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81" w:rsidRDefault="00394881" w:rsidP="00394881">
      <w:pPr>
        <w:rPr>
          <w:b/>
        </w:rPr>
      </w:pPr>
    </w:p>
    <w:p w:rsidR="00D54D81" w:rsidRPr="00920402" w:rsidRDefault="00D54D81" w:rsidP="00D54D81">
      <w:pPr>
        <w:pStyle w:val="CurtinMainAddress"/>
        <w:jc w:val="right"/>
      </w:pPr>
      <w:r w:rsidRPr="00920402">
        <w:t xml:space="preserve">78 Murray Street </w:t>
      </w:r>
    </w:p>
    <w:p w:rsidR="00D54D81" w:rsidRPr="00920402" w:rsidRDefault="00D54D81" w:rsidP="00D54D81">
      <w:pPr>
        <w:pStyle w:val="CurtinMainAddress"/>
        <w:jc w:val="right"/>
      </w:pPr>
      <w:r w:rsidRPr="00920402">
        <w:t>Perth Western Australia 6000</w:t>
      </w:r>
    </w:p>
    <w:p w:rsidR="00D54D81" w:rsidRPr="00920402" w:rsidRDefault="00D54D81" w:rsidP="00D54D81">
      <w:pPr>
        <w:pStyle w:val="CurtinMainAddress"/>
        <w:jc w:val="right"/>
      </w:pPr>
    </w:p>
    <w:p w:rsidR="00D54D81" w:rsidRPr="00920402" w:rsidRDefault="00D54D81" w:rsidP="00D54D81">
      <w:pPr>
        <w:pStyle w:val="CurtinMainAddress"/>
        <w:jc w:val="right"/>
        <w:rPr>
          <w:sz w:val="16"/>
        </w:rPr>
      </w:pPr>
      <w:r w:rsidRPr="00920402">
        <w:rPr>
          <w:sz w:val="16"/>
        </w:rPr>
        <w:t>Telephone</w:t>
      </w:r>
      <w:r w:rsidRPr="00920402">
        <w:rPr>
          <w:sz w:val="16"/>
        </w:rPr>
        <w:tab/>
        <w:t xml:space="preserve">+61 8 9266 </w:t>
      </w:r>
      <w:r>
        <w:rPr>
          <w:sz w:val="16"/>
        </w:rPr>
        <w:t>1087</w:t>
      </w:r>
    </w:p>
    <w:p w:rsidR="00D54D81" w:rsidRPr="00920402" w:rsidRDefault="00D54D81" w:rsidP="00D54D81">
      <w:pPr>
        <w:pStyle w:val="CurtinMainAddress"/>
        <w:jc w:val="right"/>
        <w:rPr>
          <w:sz w:val="16"/>
        </w:rPr>
      </w:pPr>
      <w:r w:rsidRPr="00920402">
        <w:rPr>
          <w:sz w:val="16"/>
        </w:rPr>
        <w:t>Facsimile</w:t>
      </w:r>
      <w:r w:rsidRPr="00920402">
        <w:rPr>
          <w:sz w:val="16"/>
        </w:rPr>
        <w:tab/>
        <w:t>+61 8 9266 3368</w:t>
      </w:r>
    </w:p>
    <w:p w:rsidR="00D54D81" w:rsidRPr="00920402" w:rsidRDefault="00D54D81" w:rsidP="00D54D81">
      <w:pPr>
        <w:pStyle w:val="CurtinMainAddress"/>
        <w:jc w:val="right"/>
        <w:rPr>
          <w:sz w:val="16"/>
        </w:rPr>
      </w:pPr>
      <w:r>
        <w:rPr>
          <w:sz w:val="16"/>
        </w:rPr>
        <w:t>Email</w:t>
      </w:r>
      <w:r>
        <w:rPr>
          <w:sz w:val="16"/>
        </w:rPr>
        <w:tab/>
      </w:r>
      <w:proofErr w:type="spellStart"/>
      <w:r>
        <w:rPr>
          <w:sz w:val="16"/>
        </w:rPr>
        <w:t>f.mckenzie</w:t>
      </w:r>
      <w:r w:rsidRPr="00920402">
        <w:rPr>
          <w:sz w:val="16"/>
        </w:rPr>
        <w:t>@curtin.edu.au</w:t>
      </w:r>
      <w:proofErr w:type="spellEnd"/>
    </w:p>
    <w:p w:rsidR="00394881" w:rsidRDefault="00394881" w:rsidP="00394881">
      <w:pPr>
        <w:rPr>
          <w:b/>
        </w:rPr>
      </w:pPr>
    </w:p>
    <w:p w:rsidR="00D54D81" w:rsidRPr="00D54D81" w:rsidRDefault="00D54D81" w:rsidP="00394881">
      <w:r w:rsidRPr="00D54D81">
        <w:t>5</w:t>
      </w:r>
      <w:r w:rsidRPr="00D54D81">
        <w:rPr>
          <w:vertAlign w:val="superscript"/>
        </w:rPr>
        <w:t>th</w:t>
      </w:r>
      <w:r w:rsidRPr="00D54D81">
        <w:t xml:space="preserve"> September 2013</w:t>
      </w:r>
    </w:p>
    <w:p w:rsidR="00C31161" w:rsidRDefault="00C31161" w:rsidP="00C31161">
      <w:pPr>
        <w:pStyle w:val="PlainText"/>
        <w:spacing w:line="276" w:lineRule="auto"/>
      </w:pPr>
    </w:p>
    <w:p w:rsidR="00D54D81" w:rsidRDefault="00D54D81" w:rsidP="00C31161">
      <w:pPr>
        <w:pStyle w:val="PlainText"/>
        <w:spacing w:line="276" w:lineRule="auto"/>
      </w:pPr>
      <w:r>
        <w:t>Dr Leonora Risse</w:t>
      </w:r>
    </w:p>
    <w:p w:rsidR="00D54D81" w:rsidRDefault="00D54D81" w:rsidP="00C31161">
      <w:pPr>
        <w:pStyle w:val="PlainText"/>
        <w:spacing w:line="276" w:lineRule="auto"/>
      </w:pPr>
      <w:r>
        <w:t>Senior Research Economist</w:t>
      </w:r>
    </w:p>
    <w:p w:rsidR="00D54D81" w:rsidRDefault="00D54D81" w:rsidP="00C31161">
      <w:pPr>
        <w:pStyle w:val="PlainText"/>
        <w:spacing w:line="276" w:lineRule="auto"/>
      </w:pPr>
      <w:r>
        <w:t>Productivity Commission</w:t>
      </w:r>
    </w:p>
    <w:p w:rsidR="00C31161" w:rsidRDefault="00D54D81" w:rsidP="00C31161">
      <w:pPr>
        <w:spacing w:line="276" w:lineRule="auto"/>
      </w:pPr>
      <w:r>
        <w:t xml:space="preserve">Level 12, 530 Collins St, </w:t>
      </w:r>
    </w:p>
    <w:p w:rsidR="00D54D81" w:rsidRDefault="00D54D81" w:rsidP="00C31161">
      <w:pPr>
        <w:spacing w:line="276" w:lineRule="auto"/>
        <w:rPr>
          <w:b/>
        </w:rPr>
      </w:pPr>
      <w:r>
        <w:t xml:space="preserve">Melbourne VIC 3000 </w:t>
      </w:r>
    </w:p>
    <w:p w:rsidR="00C31161" w:rsidRDefault="00C31161" w:rsidP="00394881"/>
    <w:p w:rsidR="00D54D81" w:rsidRDefault="00D54D81" w:rsidP="00C31161">
      <w:pPr>
        <w:spacing w:line="276" w:lineRule="auto"/>
      </w:pPr>
      <w:r w:rsidRPr="00D54D81">
        <w:t xml:space="preserve">Dear </w:t>
      </w:r>
      <w:r w:rsidR="00C31161">
        <w:t>Leonora,</w:t>
      </w:r>
    </w:p>
    <w:p w:rsidR="00307B86" w:rsidRDefault="00307B86" w:rsidP="00C31161">
      <w:pPr>
        <w:spacing w:line="276" w:lineRule="auto"/>
      </w:pPr>
    </w:p>
    <w:p w:rsidR="00C31161" w:rsidRDefault="00C31161" w:rsidP="00C31161">
      <w:pPr>
        <w:spacing w:line="276" w:lineRule="auto"/>
      </w:pPr>
      <w:r>
        <w:t xml:space="preserve">Thank you for visiting with us last week and for your interest in the work that Mike and I do.  It was an interesting discussion.  As discussed, I have summarised what I consider to be the key conclusions of the recent work I have been doing in the Pilbara area of Western Australia.  (There is little in this précis that does not have application in other rural, regional and remote areas, particularly in Western Australia, where I have worked over the last decade regarding worker mobility and long distance commuting).  If there is anything in this document that does include a topic of discussion that we canvassed last week, please let me know and I will be happy to include it.  </w:t>
      </w:r>
    </w:p>
    <w:p w:rsidR="00307B86" w:rsidRDefault="00307B86" w:rsidP="00C31161">
      <w:pPr>
        <w:spacing w:line="276" w:lineRule="auto"/>
      </w:pPr>
    </w:p>
    <w:p w:rsidR="00307B86" w:rsidRPr="00D54D81" w:rsidRDefault="00307B86" w:rsidP="00C31161">
      <w:pPr>
        <w:spacing w:line="276" w:lineRule="auto"/>
      </w:pPr>
      <w:r>
        <w:t>Should you have any additional questions that you think I may be able to assist with, please do not hesitate to contact me.</w:t>
      </w:r>
    </w:p>
    <w:p w:rsidR="00D54D81" w:rsidRDefault="00D54D81" w:rsidP="00394881">
      <w:pPr>
        <w:rPr>
          <w:b/>
        </w:rPr>
      </w:pPr>
    </w:p>
    <w:p w:rsidR="00307B86" w:rsidRDefault="00307B86" w:rsidP="00394881">
      <w:r w:rsidRPr="00307B86">
        <w:t>Yours sincerely,</w:t>
      </w:r>
    </w:p>
    <w:p w:rsidR="00307B86" w:rsidRDefault="00307B86" w:rsidP="00394881">
      <w:pPr>
        <w:rPr>
          <w:rFonts w:ascii="Verdana" w:hAnsi="Verdana"/>
          <w:noProof/>
          <w:sz w:val="20"/>
          <w:szCs w:val="20"/>
        </w:rPr>
      </w:pPr>
    </w:p>
    <w:p w:rsidR="00EC3DAF" w:rsidRDefault="00EC3DAF" w:rsidP="00394881">
      <w:bookmarkStart w:id="0" w:name="_GoBack"/>
      <w:bookmarkEnd w:id="0"/>
    </w:p>
    <w:p w:rsidR="00307B86" w:rsidRPr="00307B86" w:rsidRDefault="00307B86" w:rsidP="00394881"/>
    <w:p w:rsidR="00307B86" w:rsidRPr="00307B86" w:rsidRDefault="00307B86" w:rsidP="00394881">
      <w:r w:rsidRPr="00307B86">
        <w:t xml:space="preserve">Fiona Haslam McKenzie </w:t>
      </w:r>
    </w:p>
    <w:p w:rsidR="00394881" w:rsidRDefault="00394881" w:rsidP="00394881">
      <w:pPr>
        <w:rPr>
          <w:b/>
        </w:rPr>
      </w:pPr>
    </w:p>
    <w:p w:rsidR="00394881" w:rsidRDefault="00394881" w:rsidP="00394881">
      <w:pPr>
        <w:rPr>
          <w:b/>
        </w:rPr>
      </w:pPr>
    </w:p>
    <w:p w:rsidR="00394881" w:rsidRDefault="00394881" w:rsidP="00394881">
      <w:pPr>
        <w:spacing w:line="276" w:lineRule="auto"/>
      </w:pPr>
    </w:p>
    <w:p w:rsidR="00394881" w:rsidRDefault="00394881" w:rsidP="00394881">
      <w:pPr>
        <w:spacing w:line="276" w:lineRule="auto"/>
      </w:pPr>
    </w:p>
    <w:p w:rsidR="00394881" w:rsidRDefault="00394881" w:rsidP="00394881">
      <w:pPr>
        <w:spacing w:line="276" w:lineRule="auto"/>
      </w:pPr>
    </w:p>
    <w:p w:rsidR="003F03D1" w:rsidRDefault="003E1142" w:rsidP="003F03D1">
      <w:pPr>
        <w:jc w:val="center"/>
        <w:rPr>
          <w:b/>
        </w:rPr>
      </w:pPr>
      <w:r>
        <w:rPr>
          <w:b/>
        </w:rPr>
        <w:t>Productivity Commission Issues Paper</w:t>
      </w:r>
    </w:p>
    <w:p w:rsidR="003E1142" w:rsidRPr="00E24078" w:rsidRDefault="003E1142" w:rsidP="003477A1">
      <w:pPr>
        <w:pStyle w:val="Title"/>
        <w:jc w:val="center"/>
      </w:pPr>
      <w:r>
        <w:t>GEOGRAPHIC LABOUR MOBILITY</w:t>
      </w:r>
    </w:p>
    <w:p w:rsidR="003F03D1" w:rsidRPr="003F362E" w:rsidRDefault="003F03D1" w:rsidP="003F362E">
      <w:pPr>
        <w:spacing w:line="276" w:lineRule="auto"/>
      </w:pPr>
      <w:r w:rsidRPr="003E1142">
        <w:t xml:space="preserve">A submission </w:t>
      </w:r>
      <w:r w:rsidR="003E1142" w:rsidRPr="003E1142">
        <w:t>p</w:t>
      </w:r>
      <w:r w:rsidRPr="003E1142">
        <w:t>repared by Prof Fiona Haslam McKenzie</w:t>
      </w:r>
      <w:r w:rsidR="003E1142">
        <w:t xml:space="preserve">, </w:t>
      </w:r>
      <w:r w:rsidR="003E1142" w:rsidRPr="003E1142">
        <w:rPr>
          <w:rStyle w:val="Emphasis"/>
          <w:i w:val="0"/>
        </w:rPr>
        <w:t>professorial fellow at Curtin Graduate School of Business and principal research leader at the Co-operative Research Centre - Remote Economic Participation</w:t>
      </w:r>
      <w:r w:rsidR="003E1142">
        <w:rPr>
          <w:rStyle w:val="Emphasis"/>
          <w:i w:val="0"/>
        </w:rPr>
        <w:t xml:space="preserve"> </w:t>
      </w:r>
      <w:r w:rsidR="003E1142">
        <w:rPr>
          <w:rStyle w:val="Emphasis"/>
        </w:rPr>
        <w:t xml:space="preserve">Enduring Community Value from Mining </w:t>
      </w:r>
      <w:r w:rsidR="003E1142">
        <w:rPr>
          <w:rStyle w:val="Emphasis"/>
          <w:i w:val="0"/>
        </w:rPr>
        <w:t>research program</w:t>
      </w:r>
      <w:r w:rsidR="003E1142" w:rsidRPr="003E1142">
        <w:rPr>
          <w:rStyle w:val="Emphasis"/>
          <w:i w:val="0"/>
        </w:rPr>
        <w:t>.</w:t>
      </w:r>
    </w:p>
    <w:p w:rsidR="003F03D1" w:rsidRPr="006B12E2" w:rsidRDefault="001114C5" w:rsidP="003477A1">
      <w:pPr>
        <w:pStyle w:val="Heading1"/>
      </w:pPr>
      <w:r>
        <w:t>Labour Mobility Issues in the Pilbara Region</w:t>
      </w:r>
    </w:p>
    <w:p w:rsidR="003F362E" w:rsidRDefault="003F362E" w:rsidP="003F362E">
      <w:pPr>
        <w:pStyle w:val="Heading2"/>
      </w:pPr>
      <w:r>
        <w:t>Context</w:t>
      </w:r>
    </w:p>
    <w:p w:rsidR="001114C5" w:rsidRDefault="001114C5" w:rsidP="001114C5">
      <w:pPr>
        <w:spacing w:line="276" w:lineRule="auto"/>
      </w:pPr>
      <w:r w:rsidRPr="0074770B">
        <w:t xml:space="preserve">The Western Australian economy </w:t>
      </w:r>
      <w:r>
        <w:t>has experienced</w:t>
      </w:r>
      <w:r w:rsidRPr="0074770B">
        <w:t xml:space="preserve"> phenomenal growth on the back of unprecedented demand for </w:t>
      </w:r>
      <w:r>
        <w:t xml:space="preserve">resources.  </w:t>
      </w:r>
      <w:r w:rsidRPr="005D6A7D">
        <w:t>For most of the last decade iron-ore has been the most lucrative commodity export with the largest and richest deposits located in the remote Pilbara region of Western Australia</w:t>
      </w:r>
      <w:r>
        <w:t xml:space="preserve">.  </w:t>
      </w:r>
      <w:r w:rsidR="003477A1">
        <w:t>This resources boom has imposed significant pressures on the labour market and local communities which have struggled to meet the demand for appropriate accommodation</w:t>
      </w:r>
      <w:r w:rsidR="003F362E">
        <w:t xml:space="preserve"> and adequate services</w:t>
      </w:r>
      <w:r w:rsidR="003477A1">
        <w:t>.</w:t>
      </w:r>
      <w:r w:rsidR="002F04C3">
        <w:t xml:space="preserve">  Consequently, labour force mobility by way of long distance commuting (</w:t>
      </w:r>
      <w:proofErr w:type="spellStart"/>
      <w:r w:rsidR="002F04C3">
        <w:t>LDC</w:t>
      </w:r>
      <w:proofErr w:type="spellEnd"/>
      <w:r w:rsidR="002F04C3">
        <w:t xml:space="preserve">) has become the norm, not only for those working in the resources industries but also for those servicing communities and support industries.  </w:t>
      </w:r>
      <w:proofErr w:type="spellStart"/>
      <w:r w:rsidR="002F5B83" w:rsidRPr="00F813C4">
        <w:t>LDC</w:t>
      </w:r>
      <w:proofErr w:type="spellEnd"/>
      <w:r w:rsidR="002F5B83" w:rsidRPr="00F813C4">
        <w:t xml:space="preserve"> is adopted here as the encompassing term for the range of non-residential workforce</w:t>
      </w:r>
      <w:r w:rsidR="002F5B83" w:rsidRPr="00797943">
        <w:t xml:space="preserve"> arrangements currently in use in the </w:t>
      </w:r>
      <w:r w:rsidR="002F5B83">
        <w:t xml:space="preserve">resource </w:t>
      </w:r>
      <w:r w:rsidR="002F5B83" w:rsidRPr="00797943">
        <w:t>sector, including fly-in/fly-out (FIFO), drive-in/drive-out (DIDO)</w:t>
      </w:r>
      <w:r w:rsidR="002F5B83">
        <w:t>, fly-out/fly-in (</w:t>
      </w:r>
      <w:proofErr w:type="spellStart"/>
      <w:r w:rsidR="002F5B83">
        <w:t>FOFI</w:t>
      </w:r>
      <w:proofErr w:type="spellEnd"/>
      <w:r w:rsidR="002F5B83">
        <w:t>)</w:t>
      </w:r>
      <w:r w:rsidR="002F5B83" w:rsidRPr="00797943">
        <w:t xml:space="preserve"> and bus-in/bus-out (</w:t>
      </w:r>
      <w:proofErr w:type="spellStart"/>
      <w:r w:rsidR="002F5B83" w:rsidRPr="00797943">
        <w:t>BIBO</w:t>
      </w:r>
      <w:proofErr w:type="spellEnd"/>
      <w:r w:rsidR="002F5B83" w:rsidRPr="00797943">
        <w:t>).</w:t>
      </w:r>
    </w:p>
    <w:p w:rsidR="003477A1" w:rsidRDefault="003477A1" w:rsidP="003F362E">
      <w:pPr>
        <w:pStyle w:val="Heading3"/>
      </w:pPr>
      <w:r>
        <w:t>About the Pilbara</w:t>
      </w:r>
    </w:p>
    <w:p w:rsidR="00F26361" w:rsidRDefault="00FC64A3" w:rsidP="00F26361">
      <w:pPr>
        <w:spacing w:line="276" w:lineRule="auto"/>
      </w:pPr>
      <w:r>
        <w:t xml:space="preserve">The </w:t>
      </w:r>
      <w:r w:rsidR="003F362E">
        <w:t xml:space="preserve">Pilbara region, until the </w:t>
      </w:r>
      <w:proofErr w:type="spellStart"/>
      <w:r w:rsidR="003F362E">
        <w:t>1960s</w:t>
      </w:r>
      <w:proofErr w:type="spellEnd"/>
      <w:r>
        <w:t xml:space="preserve"> when the federal government removed the restrictions on the international sale of iron ore, the main industries in the Pilbara region were pastoralism and fishing.  Since the </w:t>
      </w:r>
      <w:proofErr w:type="spellStart"/>
      <w:r>
        <w:t>1960s</w:t>
      </w:r>
      <w:proofErr w:type="spellEnd"/>
      <w:r>
        <w:t xml:space="preserve"> there have been several mining booms</w:t>
      </w:r>
      <w:r w:rsidR="00B520F8">
        <w:t>,</w:t>
      </w:r>
      <w:r>
        <w:t xml:space="preserve"> (and subsequent slow-downs</w:t>
      </w:r>
      <w:r w:rsidR="00B520F8">
        <w:t>, but not busts</w:t>
      </w:r>
      <w:r>
        <w:t>)</w:t>
      </w:r>
      <w:r w:rsidR="00B520F8">
        <w:t>,</w:t>
      </w:r>
      <w:r>
        <w:t xml:space="preserve"> during which the lack of housing, </w:t>
      </w:r>
      <w:r w:rsidR="00B216BD">
        <w:t xml:space="preserve">inadequate </w:t>
      </w:r>
      <w:r>
        <w:t xml:space="preserve">infrastructure and </w:t>
      </w:r>
      <w:r w:rsidR="00B216BD">
        <w:t xml:space="preserve">poor service delivery </w:t>
      </w:r>
      <w:r w:rsidR="003F362E">
        <w:t>were</w:t>
      </w:r>
      <w:r w:rsidR="00B216BD">
        <w:t xml:space="preserve"> blamed for industry inefficiencies</w:t>
      </w:r>
      <w:r w:rsidR="003F362E">
        <w:t>,</w:t>
      </w:r>
      <w:r w:rsidR="00B216BD">
        <w:t xml:space="preserve"> </w:t>
      </w:r>
      <w:r w:rsidR="003F362E">
        <w:t xml:space="preserve">dysfunctional communities </w:t>
      </w:r>
      <w:r w:rsidR="00B216BD">
        <w:t xml:space="preserve">and </w:t>
      </w:r>
      <w:r w:rsidR="003F362E">
        <w:t xml:space="preserve">disjointed </w:t>
      </w:r>
      <w:r w:rsidR="00B216BD">
        <w:t xml:space="preserve">economic development.  </w:t>
      </w:r>
      <w:r w:rsidR="003219D8">
        <w:t xml:space="preserve">The most recent boom has amplified the </w:t>
      </w:r>
      <w:r w:rsidR="003219D8" w:rsidRPr="005D6A7D">
        <w:t>pressure</w:t>
      </w:r>
      <w:r w:rsidR="003F362E">
        <w:t>s</w:t>
      </w:r>
      <w:r w:rsidR="003219D8" w:rsidRPr="005D6A7D">
        <w:t xml:space="preserve"> on housing, infrastructure, human resources and public service provision </w:t>
      </w:r>
      <w:r w:rsidR="003219D8">
        <w:fldChar w:fldCharType="begin"/>
      </w:r>
      <w:r w:rsidR="003219D8">
        <w:instrText xml:space="preserve"> ADDIN EN.CITE &lt;EndNote&gt;&lt;Cite&gt;&lt;Author&gt;Haslam McKenzie&lt;/Author&gt;&lt;Year&gt;2009&lt;/Year&gt;&lt;RecNum&gt;3533&lt;/RecNum&gt;&lt;DisplayText&gt;(Haslam McKenzie, Rowley, Phillips, Birdsall-Jones, &amp;amp; Brereton, 2009; Senate Select Committee on Housing Affordability in Australia, 2008)&lt;/DisplayText&gt;&lt;record&gt;&lt;rec-number&gt;3533&lt;/rec-number&gt;&lt;foreign-keys&gt;&lt;key app="EN" db-id="50zxpfva920ewressaxxetvfvzv5vfeewd0e"&gt;3533&lt;/key&gt;&lt;/foreign-keys&gt;&lt;ref-type name="Report"&gt;27&lt;/ref-type&gt;&lt;contributors&gt;&lt;authors&gt;&lt;author&gt;Haslam McKenzie, F.&lt;/author&gt;&lt;author&gt;Rowley, S.&lt;/author&gt;&lt;author&gt;Phillips, R.&lt;/author&gt;&lt;author&gt;Birdsall-Jones, C.&lt;/author&gt;&lt;author&gt;Brereton, D.&lt;/author&gt;&lt;/authors&gt;&lt;/contributors&gt;&lt;titles&gt;&lt;title&gt;Housing Market Dynamics in Resource Boom Towns&lt;/title&gt;&lt;/titles&gt;&lt;dates&gt;&lt;year&gt;2009&lt;/year&gt;&lt;/dates&gt;&lt;pub-location&gt;Perth&lt;/pub-location&gt;&lt;publisher&gt;Australian Housing and Urban Research Institute (www.ahuri.edu.au/publications/p80370/)&lt;/publisher&gt;&lt;urls&gt;&lt;related-urls&gt;&lt;url&gt;www.ahuri.edu.au/publications/p80370/&lt;/url&gt;&lt;/related-urls&gt;&lt;/urls&gt;&lt;/record&gt;&lt;/Cite&gt;&lt;Cite&gt;&lt;Author&gt;Senate Select Committee on Housing Affordability in Australia&lt;/Author&gt;&lt;Year&gt;2008&lt;/Year&gt;&lt;RecNum&gt;3464&lt;/RecNum&gt;&lt;record&gt;&lt;rec-number&gt;3464&lt;/rec-number&gt;&lt;foreign-keys&gt;&lt;key app="EN" db-id="50zxpfva920ewressaxxetvfvzv5vfeewd0e"&gt;3464&lt;/key&gt;&lt;/foreign-keys&gt;&lt;ref-type name="Report"&gt;27&lt;/ref-type&gt;&lt;contributors&gt;&lt;authors&gt;&lt;author&gt;Senate Select Committee on Housing Affordability in Australia,&lt;/author&gt;&lt;/authors&gt;&lt;/contributors&gt;&lt;titles&gt;&lt;title&gt;A good house is hard to find: Housing affordability in Australia&lt;/title&gt;&lt;/titles&gt;&lt;dates&gt;&lt;year&gt;2008&lt;/year&gt;&lt;/dates&gt;&lt;pub-location&gt;Canberra&lt;/pub-location&gt;&lt;publisher&gt;Commonwealth of Australia&lt;/publisher&gt;&lt;urls&gt;&lt;related-urls&gt;&lt;url&gt;http://www.aph.gov.au/Senate/committee/hsaf_ctte/report/report.pdf&lt;/url&gt;&lt;/related-urls&gt;&lt;/urls&gt;&lt;access-date&gt;18th June 2008&lt;/access-date&gt;&lt;/record&gt;&lt;/Cite&gt;&lt;/EndNote&gt;</w:instrText>
      </w:r>
      <w:r w:rsidR="003219D8">
        <w:fldChar w:fldCharType="separate"/>
      </w:r>
      <w:r w:rsidR="003219D8">
        <w:rPr>
          <w:noProof/>
        </w:rPr>
        <w:t>(</w:t>
      </w:r>
      <w:hyperlink w:anchor="_ENREF_9" w:tooltip="Haslam McKenzie, 2009 #3533" w:history="1">
        <w:r w:rsidR="00BD28A7">
          <w:rPr>
            <w:noProof/>
          </w:rPr>
          <w:t>Haslam McKenzie, Rowley, Phillips, Birdsall-Jones, &amp; Brereton, 2009</w:t>
        </w:r>
      </w:hyperlink>
      <w:r w:rsidR="003219D8">
        <w:rPr>
          <w:noProof/>
        </w:rPr>
        <w:t xml:space="preserve">; </w:t>
      </w:r>
      <w:hyperlink w:anchor="_ENREF_14" w:tooltip="Senate Select Committee on Housing Affordability in Australia, 2008 #3464" w:history="1">
        <w:r w:rsidR="00BD28A7">
          <w:rPr>
            <w:noProof/>
          </w:rPr>
          <w:t xml:space="preserve">Senate </w:t>
        </w:r>
        <w:r w:rsidR="00BD28A7">
          <w:rPr>
            <w:noProof/>
          </w:rPr>
          <w:lastRenderedPageBreak/>
          <w:t>Select Committee on Housing Affordability in Australia, 2008</w:t>
        </w:r>
      </w:hyperlink>
      <w:r w:rsidR="003219D8">
        <w:rPr>
          <w:noProof/>
        </w:rPr>
        <w:t>)</w:t>
      </w:r>
      <w:r w:rsidR="003219D8">
        <w:fldChar w:fldCharType="end"/>
      </w:r>
      <w:r w:rsidR="003219D8">
        <w:t>, marginalising those who cannot compete with the resources companies for scar</w:t>
      </w:r>
      <w:r w:rsidR="003F362E">
        <w:t>c</w:t>
      </w:r>
      <w:r w:rsidR="003219D8">
        <w:t>e labour and accommodation, and effectively creating a mono-economy in the Pilbara</w:t>
      </w:r>
      <w:r w:rsidR="001C0B1A">
        <w:t>, and consequently</w:t>
      </w:r>
      <w:r w:rsidR="001C0B1A" w:rsidRPr="001A395C">
        <w:rPr>
          <w:rFonts w:cs="Cambria"/>
        </w:rPr>
        <w:t xml:space="preserve"> </w:t>
      </w:r>
      <w:r w:rsidR="001C0B1A">
        <w:rPr>
          <w:rFonts w:cs="Cambria"/>
        </w:rPr>
        <w:t>increasing the</w:t>
      </w:r>
      <w:r w:rsidR="001C0B1A" w:rsidRPr="001A395C">
        <w:rPr>
          <w:rFonts w:cs="Cambria"/>
        </w:rPr>
        <w:t xml:space="preserve"> depende</w:t>
      </w:r>
      <w:r w:rsidR="001C0B1A">
        <w:rPr>
          <w:rFonts w:cs="Cambria"/>
        </w:rPr>
        <w:t>nce</w:t>
      </w:r>
      <w:r w:rsidR="001C0B1A" w:rsidRPr="001A395C">
        <w:rPr>
          <w:rFonts w:cs="Cambria"/>
        </w:rPr>
        <w:t xml:space="preserve"> on the resource sector.</w:t>
      </w:r>
      <w:r w:rsidR="00F26361">
        <w:rPr>
          <w:rFonts w:cs="Cambria"/>
        </w:rPr>
        <w:t xml:space="preserve">  </w:t>
      </w:r>
      <w:r w:rsidR="00F26361" w:rsidRPr="001A395C">
        <w:t xml:space="preserve">Unless non-mining businesses have access to a ready supply of affordable accommodation for their businesses and employees and can pay comparable wages to the resource sector, there </w:t>
      </w:r>
      <w:r w:rsidR="00F26361">
        <w:t>are risks of</w:t>
      </w:r>
      <w:r w:rsidR="00F26361" w:rsidRPr="001A395C">
        <w:t xml:space="preserve"> labour force cannibalism and poaching, causing considerable workforce turnover and community churn.</w:t>
      </w:r>
    </w:p>
    <w:p w:rsidR="004B675E" w:rsidRDefault="004B675E" w:rsidP="001114C5">
      <w:pPr>
        <w:spacing w:line="276" w:lineRule="auto"/>
      </w:pPr>
    </w:p>
    <w:p w:rsidR="004B675E" w:rsidRDefault="00B216BD" w:rsidP="001114C5">
      <w:pPr>
        <w:spacing w:line="276" w:lineRule="auto"/>
      </w:pPr>
      <w:r>
        <w:t xml:space="preserve">The most recent boom (2001-2012) has been the most sustained with unprecedented population and resources industry growth.  </w:t>
      </w:r>
      <w:r w:rsidR="00FC64A3" w:rsidRPr="005D6A7D">
        <w:t>In the decade 2001 to 2011, the Pilbara region</w:t>
      </w:r>
      <w:r w:rsidR="003F362E">
        <w:t>, stretching over 5</w:t>
      </w:r>
      <w:r w:rsidR="00FC64A3">
        <w:t>00,000 square kilometres,</w:t>
      </w:r>
      <w:r w:rsidR="00FC64A3" w:rsidRPr="005D6A7D">
        <w:t xml:space="preserve"> recorded the largest and fastest population increase (59%) outside of Perth, the State’s capital city </w:t>
      </w:r>
      <w:r w:rsidR="003219D8">
        <w:fldChar w:fldCharType="begin"/>
      </w:r>
      <w:r w:rsidR="003219D8">
        <w:instrText xml:space="preserve"> ADDIN EN.CITE &lt;EndNote&gt;&lt;Cite&gt;&lt;Author&gt;Australian Bureau of Statistics&lt;/Author&gt;&lt;Year&gt;2012&lt;/Year&gt;&lt;RecNum&gt;5861&lt;/RecNum&gt;&lt;DisplayText&gt;(Australian Bureau of Statistics, 2012)&lt;/DisplayText&gt;&lt;record&gt;&lt;rec-number&gt;5861&lt;/rec-number&gt;&lt;foreign-keys&gt;&lt;key app="EN" db-id="50zxpfva920ewressaxxetvfvzv5vfeewd0e"&gt;5861&lt;/key&gt;&lt;/foreign-keys&gt;&lt;ref-type name="Report"&gt;27&lt;/ref-type&gt;&lt;contributors&gt;&lt;authors&gt;&lt;author&gt;Australian Bureau of Statistics,&lt;/author&gt;&lt;/authors&gt;&lt;/contributors&gt;&lt;titles&gt;&lt;title&gt;Regional Population Growth - Australia 2011 Cat. 3218.0&lt;/title&gt;&lt;/titles&gt;&lt;dates&gt;&lt;year&gt;2012&lt;/year&gt;&lt;/dates&gt;&lt;pub-location&gt;Australian Bureau of Statistics&lt;/pub-location&gt;&lt;publisher&gt;Canberra&lt;/publisher&gt;&lt;urls&gt;&lt;/urls&gt;&lt;/record&gt;&lt;/Cite&gt;&lt;/EndNote&gt;</w:instrText>
      </w:r>
      <w:r w:rsidR="003219D8">
        <w:fldChar w:fldCharType="separate"/>
      </w:r>
      <w:r w:rsidR="003219D8">
        <w:rPr>
          <w:noProof/>
        </w:rPr>
        <w:t>(</w:t>
      </w:r>
      <w:hyperlink w:anchor="_ENREF_3" w:tooltip="Australian Bureau of Statistics, 2012 #5861" w:history="1">
        <w:r w:rsidR="00BD28A7">
          <w:rPr>
            <w:noProof/>
          </w:rPr>
          <w:t>Australian Bureau of Statistics, 2012</w:t>
        </w:r>
      </w:hyperlink>
      <w:r w:rsidR="003219D8">
        <w:rPr>
          <w:noProof/>
        </w:rPr>
        <w:t>)</w:t>
      </w:r>
      <w:r w:rsidR="003219D8">
        <w:fldChar w:fldCharType="end"/>
      </w:r>
      <w:r w:rsidR="00FC64A3">
        <w:t xml:space="preserve">. </w:t>
      </w:r>
      <w:r w:rsidR="00FC64A3" w:rsidRPr="005D6A7D">
        <w:t xml:space="preserve"> </w:t>
      </w:r>
      <w:r w:rsidR="00FC64A3">
        <w:t>Importantly</w:t>
      </w:r>
      <w:r w:rsidR="00FC64A3" w:rsidRPr="005D6A7D">
        <w:t xml:space="preserve"> </w:t>
      </w:r>
      <w:r w:rsidR="00FC64A3">
        <w:t xml:space="preserve">however, </w:t>
      </w:r>
      <w:r w:rsidR="00FC64A3" w:rsidRPr="005D6A7D">
        <w:t>the growth was coming off a low base</w:t>
      </w:r>
      <w:r w:rsidR="00FC64A3">
        <w:t xml:space="preserve"> in 2001 of 39,461 people for the entire region</w:t>
      </w:r>
      <w:r w:rsidR="00FC64A3" w:rsidRPr="005D6A7D">
        <w:t xml:space="preserve">.  </w:t>
      </w:r>
      <w:r w:rsidR="004B675E">
        <w:t xml:space="preserve">In the 2011 the permanent Pilbara population was </w:t>
      </w:r>
      <w:r w:rsidR="004B675E" w:rsidRPr="004B675E">
        <w:t>claimed to be 48,610 peoples although t</w:t>
      </w:r>
      <w:r w:rsidRPr="004B675E">
        <w:t>he precise number of people living in the Pilbara is difficult to calculate</w:t>
      </w:r>
      <w:r w:rsidR="004B675E" w:rsidRPr="004B675E">
        <w:t xml:space="preserve"> because the permanent population is augmented by a large, temporary long distance commuting (</w:t>
      </w:r>
      <w:proofErr w:type="spellStart"/>
      <w:r w:rsidR="004B675E" w:rsidRPr="004B675E">
        <w:t>LDC</w:t>
      </w:r>
      <w:proofErr w:type="spellEnd"/>
      <w:r w:rsidR="004B675E" w:rsidRPr="004B675E">
        <w:t xml:space="preserve">) workforce most of whom live in company owned and administered mining company accommodation, often some distance from the towns.  </w:t>
      </w:r>
      <w:r w:rsidR="006677F8">
        <w:t xml:space="preserve">It is estimated that an additional 55,000 long distance commuter workers, especially fly-in/fly-out (FIFO) from Perth, are also working in the Pilbara </w:t>
      </w:r>
      <w:r w:rsidR="006677F8">
        <w:fldChar w:fldCharType="begin"/>
      </w:r>
      <w:r w:rsidR="006677F8">
        <w:instrText xml:space="preserve"> ADDIN EN.CITE &lt;EndNote&gt;&lt;Cite&gt;&lt;Author&gt;Chamber of Minerals and Energy&lt;/Author&gt;&lt;Year&gt;2012&lt;/Year&gt;&lt;RecNum&gt;5875&lt;/RecNum&gt;&lt;DisplayText&gt;(Chamber of Minerals and Energy, 2012)&lt;/DisplayText&gt;&lt;record&gt;&lt;rec-number&gt;5875&lt;/rec-number&gt;&lt;foreign-keys&gt;&lt;key app="EN" db-id="50zxpfva920ewressaxxetvfvzv5vfeewd0e"&gt;5875&lt;/key&gt;&lt;/foreign-keys&gt;&lt;ref-type name="Report"&gt;27&lt;/ref-type&gt;&lt;contributors&gt;&lt;authors&gt;&lt;author&gt;Chamber of Minerals and Energy,&lt;/author&gt;&lt;/authors&gt;&lt;/contributors&gt;&lt;titles&gt;&lt;title&gt;A Matter of Choice&lt;/title&gt;&lt;/titles&gt;&lt;dates&gt;&lt;year&gt;2012&lt;/year&gt;&lt;/dates&gt;&lt;pub-location&gt;Perth&lt;/pub-location&gt;&lt;publisher&gt;Chamber of Minerals and Energy&lt;/publisher&gt;&lt;urls&gt;&lt;/urls&gt;&lt;/record&gt;&lt;/Cite&gt;&lt;/EndNote&gt;</w:instrText>
      </w:r>
      <w:r w:rsidR="006677F8">
        <w:fldChar w:fldCharType="separate"/>
      </w:r>
      <w:r w:rsidR="006677F8">
        <w:rPr>
          <w:noProof/>
        </w:rPr>
        <w:t>(</w:t>
      </w:r>
      <w:hyperlink w:anchor="_ENREF_4" w:tooltip="Chamber of Minerals and Energy, 2012 #5875" w:history="1">
        <w:r w:rsidR="00BD28A7">
          <w:rPr>
            <w:noProof/>
          </w:rPr>
          <w:t>Chamber of Minerals and Energy, 2012</w:t>
        </w:r>
      </w:hyperlink>
      <w:r w:rsidR="006677F8">
        <w:rPr>
          <w:noProof/>
        </w:rPr>
        <w:t>)</w:t>
      </w:r>
      <w:r w:rsidR="006677F8">
        <w:fldChar w:fldCharType="end"/>
      </w:r>
      <w:r w:rsidR="006677F8">
        <w:t xml:space="preserve">, more than twice the resident population.  </w:t>
      </w:r>
    </w:p>
    <w:p w:rsidR="004B675E" w:rsidRDefault="004B675E" w:rsidP="004B675E">
      <w:pPr>
        <w:pStyle w:val="Heading2"/>
      </w:pPr>
      <w:r>
        <w:t>Long distance commuting workers</w:t>
      </w:r>
    </w:p>
    <w:p w:rsidR="003477A1" w:rsidRDefault="004B675E" w:rsidP="005A21CD">
      <w:pPr>
        <w:spacing w:line="276" w:lineRule="auto"/>
      </w:pPr>
      <w:r w:rsidRPr="004B675E">
        <w:t>To date, the Australian Bureau of Statistics (ABS) does not specifically count transient workers or the long distance commuter workforce in the five yearly census.</w:t>
      </w:r>
      <w:r w:rsidRPr="00DC0116">
        <w:rPr>
          <w:rFonts w:ascii="Times New Roman" w:hAnsi="Times New Roman"/>
        </w:rPr>
        <w:t xml:space="preserve">  </w:t>
      </w:r>
      <w:proofErr w:type="spellStart"/>
      <w:r w:rsidR="005A21CD">
        <w:rPr>
          <w:rFonts w:ascii="Times New Roman" w:hAnsi="Times New Roman"/>
        </w:rPr>
        <w:t>LDC</w:t>
      </w:r>
      <w:proofErr w:type="spellEnd"/>
      <w:r w:rsidR="005A21CD">
        <w:rPr>
          <w:rFonts w:ascii="Times New Roman" w:hAnsi="Times New Roman"/>
        </w:rPr>
        <w:t xml:space="preserve"> </w:t>
      </w:r>
      <w:r w:rsidR="003477A1">
        <w:t xml:space="preserve">work arrangements have escalated in Australia over the last ten years.  The vast majority of workers work in regional areas but usually claim to live in urban or peri-urban settings </w:t>
      </w:r>
      <w:r w:rsidR="005A21CD">
        <w:fldChar w:fldCharType="begin"/>
      </w:r>
      <w:r w:rsidR="005A21CD">
        <w:instrText xml:space="preserve"> ADDIN EN.CITE &lt;EndNote&gt;&lt;Cite&gt;&lt;Author&gt;Australian Bureau of Statistics&lt;/Author&gt;&lt;Year&gt;2008&lt;/Year&gt;&lt;RecNum&gt;3478&lt;/RecNum&gt;&lt;DisplayText&gt;(Australian Bureau of Statistics, 2008a, 2008b)&lt;/DisplayText&gt;&lt;record&gt;&lt;rec-number&gt;3478&lt;/rec-number&gt;&lt;foreign-keys&gt;&lt;key app="EN" db-id="50zxpfva920ewressaxxetvfvzv5vfeewd0e"&gt;3478&lt;/key&gt;&lt;/foreign-keys&gt;&lt;ref-type name="Report"&gt;27&lt;/ref-type&gt;&lt;contributors&gt;&lt;authors&gt;&lt;author&gt;Australian Bureau of Statistics,&lt;/author&gt;&lt;/authors&gt;&lt;/contributors&gt;&lt;titles&gt;&lt;title&gt;Migration and mobility in Western Australia (cat. 1367.5)&lt;/title&gt;&lt;/titles&gt;&lt;dates&gt;&lt;year&gt;2008&lt;/year&gt;&lt;/dates&gt;&lt;pub-location&gt;Canberra&lt;/pub-location&gt;&lt;publisher&gt;Australian Bureau of Statistics&lt;/publisher&gt;&lt;urls&gt;&lt;related-urls&gt;&lt;url&gt;http://www.abs.gov.au/AUSSTATS/abs@.nsf/Lookup/1367.5Feature%20Article1Jun%202008?opendocument&amp;amp;tabname=Summary&amp;amp;prodno=1367.5&amp;amp;issue=Jun%202008&amp;amp;num=&amp;amp;view=&lt;/url&gt;&lt;/related-urls&gt;&lt;/urls&gt;&lt;access-date&gt;7th July, 2008&lt;/access-date&gt;&lt;/record&gt;&lt;/Cite&gt;&lt;Cite&gt;&lt;Author&gt;Australian Bureau of Statistics&lt;/Author&gt;&lt;Year&gt;2008&lt;/Year&gt;&lt;RecNum&gt;3468&lt;/RecNum&gt;&lt;record&gt;&lt;rec-number&gt;3468&lt;/rec-number&gt;&lt;foreign-keys&gt;&lt;key app="EN" db-id="50zxpfva920ewressaxxetvfvzv5vfeewd0e"&gt;3468&lt;/key&gt;&lt;/foreign-keys&gt;&lt;ref-type name="Report"&gt;27&lt;/ref-type&gt;&lt;contributors&gt;&lt;authors&gt;&lt;author&gt;Australian Bureau of Statistics,&lt;/author&gt;&lt;/authors&gt;&lt;/contributors&gt;&lt;titles&gt;&lt;title&gt;Towns of the Mineral Boom (Australian Social Trends)&lt;/title&gt;&lt;/titles&gt;&lt;dates&gt;&lt;year&gt;2008&lt;/year&gt;&lt;/dates&gt;&lt;pub-location&gt;Canberra&lt;/pub-location&gt;&lt;publisher&gt;Australian Bureau of Statistics&lt;/publisher&gt;&lt;urls&gt;&lt;related-urls&gt;&lt;url&gt;http://www.abs.gov.au/AUSSTATS/abs@.nsf/Lookup/4102.0Chapter3102008&lt;/url&gt;&lt;/related-urls&gt;&lt;/urls&gt;&lt;access-date&gt;24th July 2008&lt;/access-date&gt;&lt;/record&gt;&lt;/Cite&gt;&lt;/EndNote&gt;</w:instrText>
      </w:r>
      <w:r w:rsidR="005A21CD">
        <w:fldChar w:fldCharType="separate"/>
      </w:r>
      <w:r w:rsidR="005A21CD">
        <w:rPr>
          <w:noProof/>
        </w:rPr>
        <w:t>(</w:t>
      </w:r>
      <w:hyperlink w:anchor="_ENREF_1" w:tooltip="Australian Bureau of Statistics, 2008 #3478" w:history="1">
        <w:r w:rsidR="00BD28A7">
          <w:rPr>
            <w:noProof/>
          </w:rPr>
          <w:t>Australian Bureau of Statistics, 2008a</w:t>
        </w:r>
      </w:hyperlink>
      <w:r w:rsidR="005A21CD">
        <w:rPr>
          <w:noProof/>
        </w:rPr>
        <w:t xml:space="preserve">, </w:t>
      </w:r>
      <w:hyperlink w:anchor="_ENREF_2" w:tooltip="Australian Bureau of Statistics, 2008 #3468" w:history="1">
        <w:r w:rsidR="00BD28A7">
          <w:rPr>
            <w:noProof/>
          </w:rPr>
          <w:t>2008b</w:t>
        </w:r>
      </w:hyperlink>
      <w:r w:rsidR="005A21CD">
        <w:rPr>
          <w:noProof/>
        </w:rPr>
        <w:t>)</w:t>
      </w:r>
      <w:r w:rsidR="005A21CD">
        <w:fldChar w:fldCharType="end"/>
      </w:r>
      <w:r w:rsidR="003477A1">
        <w:t xml:space="preserve">.  </w:t>
      </w:r>
    </w:p>
    <w:p w:rsidR="005A21CD" w:rsidRDefault="005A21CD" w:rsidP="005A21CD">
      <w:pPr>
        <w:spacing w:line="276" w:lineRule="auto"/>
      </w:pPr>
    </w:p>
    <w:p w:rsidR="005A21CD" w:rsidRDefault="005A21CD" w:rsidP="005A21CD">
      <w:pPr>
        <w:spacing w:line="276" w:lineRule="auto"/>
      </w:pPr>
      <w:r>
        <w:t>T</w:t>
      </w:r>
      <w:r w:rsidR="003477A1">
        <w:t>he boom economic conditions have put extraordinary pressure on a highly sought after skilled labour force.  Workers in the</w:t>
      </w:r>
      <w:r w:rsidR="00E03082">
        <w:t xml:space="preserve"> resources</w:t>
      </w:r>
      <w:r w:rsidR="003477A1">
        <w:t xml:space="preserve"> sector choose to commute to work places in often remote communities for b</w:t>
      </w:r>
      <w:r w:rsidR="009306B7">
        <w:t>oth economic and social reasons:</w:t>
      </w:r>
      <w:r w:rsidR="003477A1">
        <w:t xml:space="preserve"> </w:t>
      </w:r>
    </w:p>
    <w:p w:rsidR="003477A1" w:rsidRDefault="009306B7" w:rsidP="00E03082">
      <w:pPr>
        <w:pStyle w:val="ListParagraph"/>
        <w:numPr>
          <w:ilvl w:val="0"/>
          <w:numId w:val="1"/>
        </w:numPr>
        <w:spacing w:line="276" w:lineRule="auto"/>
      </w:pPr>
      <w:proofErr w:type="spellStart"/>
      <w:r>
        <w:t>LDC</w:t>
      </w:r>
      <w:proofErr w:type="spellEnd"/>
      <w:r>
        <w:t xml:space="preserve"> enables workers to have </w:t>
      </w:r>
      <w:r w:rsidR="00E03082">
        <w:t>a well-</w:t>
      </w:r>
      <w:r w:rsidR="003477A1">
        <w:t xml:space="preserve">paid job </w:t>
      </w:r>
      <w:r>
        <w:t xml:space="preserve">in remote areas </w:t>
      </w:r>
      <w:r w:rsidR="003477A1">
        <w:t xml:space="preserve">while at the same time retaining family and friendship ties in their residential communities, taking advantage of facilities and </w:t>
      </w:r>
      <w:r>
        <w:t xml:space="preserve">leisure </w:t>
      </w:r>
      <w:r w:rsidR="003477A1">
        <w:t xml:space="preserve">opportunities there in the furlough period which are not available in remote and small communities. </w:t>
      </w:r>
    </w:p>
    <w:p w:rsidR="00E03082" w:rsidRPr="005212B2" w:rsidRDefault="00E03082" w:rsidP="00E03082">
      <w:pPr>
        <w:pStyle w:val="ListParagraph"/>
        <w:numPr>
          <w:ilvl w:val="0"/>
          <w:numId w:val="1"/>
        </w:numPr>
        <w:spacing w:line="276" w:lineRule="auto"/>
      </w:pPr>
      <w:r w:rsidRPr="005212B2">
        <w:lastRenderedPageBreak/>
        <w:t>Families are often reluctant to</w:t>
      </w:r>
      <w:r>
        <w:t xml:space="preserve"> relocate</w:t>
      </w:r>
      <w:r w:rsidRPr="005212B2">
        <w:t xml:space="preserve"> </w:t>
      </w:r>
      <w:r>
        <w:t>themselves</w:t>
      </w:r>
      <w:r w:rsidRPr="005212B2">
        <w:t xml:space="preserve"> in remote </w:t>
      </w:r>
      <w:r>
        <w:t xml:space="preserve">and rural </w:t>
      </w:r>
      <w:r w:rsidRPr="005212B2">
        <w:t>communities where jobs for partners, and education, health, recreation and other social services are limited</w:t>
      </w:r>
      <w:r>
        <w:t xml:space="preserve">.  </w:t>
      </w:r>
    </w:p>
    <w:p w:rsidR="00E03082" w:rsidRDefault="009306B7" w:rsidP="005A21CD">
      <w:pPr>
        <w:pStyle w:val="ListParagraph"/>
        <w:numPr>
          <w:ilvl w:val="0"/>
          <w:numId w:val="1"/>
        </w:numPr>
        <w:spacing w:line="276" w:lineRule="auto"/>
      </w:pPr>
      <w:proofErr w:type="spellStart"/>
      <w:r>
        <w:t>LDC</w:t>
      </w:r>
      <w:proofErr w:type="spellEnd"/>
      <w:r>
        <w:t xml:space="preserve"> arrangements l</w:t>
      </w:r>
      <w:r w:rsidR="00E03082">
        <w:t xml:space="preserve">imit risk of capital investments over uncertain mining cycles, so there is a preference </w:t>
      </w:r>
      <w:r>
        <w:t xml:space="preserve">by both companies and individuals </w:t>
      </w:r>
      <w:r w:rsidR="00E03082">
        <w:t>to invest housing and other capital in more predictable, stable markets.</w:t>
      </w:r>
    </w:p>
    <w:p w:rsidR="00440E71" w:rsidRDefault="00440E71" w:rsidP="005A21CD">
      <w:pPr>
        <w:pStyle w:val="ListParagraph"/>
        <w:numPr>
          <w:ilvl w:val="0"/>
          <w:numId w:val="1"/>
        </w:numPr>
        <w:spacing w:line="276" w:lineRule="auto"/>
      </w:pPr>
      <w:proofErr w:type="spellStart"/>
      <w:r>
        <w:t>LDC</w:t>
      </w:r>
      <w:proofErr w:type="spellEnd"/>
      <w:r>
        <w:t xml:space="preserve"> enables workers to be flexible, giving them choice about who they work for, how long and where, particularly in a tight labour market.</w:t>
      </w:r>
    </w:p>
    <w:p w:rsidR="00440E71" w:rsidRDefault="00440E71" w:rsidP="005A21CD">
      <w:pPr>
        <w:pStyle w:val="ListParagraph"/>
        <w:numPr>
          <w:ilvl w:val="0"/>
          <w:numId w:val="1"/>
        </w:numPr>
        <w:spacing w:line="276" w:lineRule="auto"/>
      </w:pPr>
      <w:proofErr w:type="spellStart"/>
      <w:r>
        <w:t>LDC</w:t>
      </w:r>
      <w:proofErr w:type="spellEnd"/>
      <w:r>
        <w:t xml:space="preserve"> workers are usually remunerated at a higher rate than residential workers.</w:t>
      </w:r>
    </w:p>
    <w:p w:rsidR="00440E71" w:rsidRDefault="00440E71" w:rsidP="005A21CD">
      <w:pPr>
        <w:pStyle w:val="ListParagraph"/>
        <w:numPr>
          <w:ilvl w:val="0"/>
          <w:numId w:val="1"/>
        </w:numPr>
        <w:spacing w:line="276" w:lineRule="auto"/>
      </w:pPr>
      <w:proofErr w:type="spellStart"/>
      <w:r>
        <w:t>LDC</w:t>
      </w:r>
      <w:proofErr w:type="spellEnd"/>
      <w:r>
        <w:t xml:space="preserve"> workers are accommodated in company paid accommodation with transport, food and some entertainment costs provided.</w:t>
      </w:r>
    </w:p>
    <w:p w:rsidR="00440E71" w:rsidRDefault="00440E71" w:rsidP="005A21CD">
      <w:pPr>
        <w:pStyle w:val="ListParagraph"/>
        <w:numPr>
          <w:ilvl w:val="0"/>
          <w:numId w:val="1"/>
        </w:numPr>
        <w:spacing w:line="276" w:lineRule="auto"/>
      </w:pPr>
      <w:proofErr w:type="spellStart"/>
      <w:r>
        <w:t>LDC</w:t>
      </w:r>
      <w:proofErr w:type="spellEnd"/>
      <w:r>
        <w:t xml:space="preserve"> lessens the need for investment in infrastructure by all levels of government, particularly for remote mines and sites with short operating lives and fluctuating workforce requirements.  </w:t>
      </w:r>
    </w:p>
    <w:p w:rsidR="003477A1" w:rsidRDefault="006677F8" w:rsidP="006677F8">
      <w:pPr>
        <w:pStyle w:val="Heading2"/>
      </w:pPr>
      <w:r>
        <w:t>Why long distance commuter workers and not permanent workers?</w:t>
      </w:r>
    </w:p>
    <w:p w:rsidR="005D5F2B" w:rsidRDefault="005A21CD" w:rsidP="005A21CD">
      <w:pPr>
        <w:spacing w:line="276" w:lineRule="auto"/>
      </w:pPr>
      <w:r>
        <w:t xml:space="preserve">Economic reasons and pragmatism appear to have been important motivators for the mining and resource sectors to establish and then expand their </w:t>
      </w:r>
      <w:proofErr w:type="spellStart"/>
      <w:r w:rsidR="005D5F2B">
        <w:t>LDC</w:t>
      </w:r>
      <w:proofErr w:type="spellEnd"/>
      <w:r>
        <w:t xml:space="preserve"> work</w:t>
      </w:r>
      <w:r w:rsidR="005D5F2B">
        <w:t xml:space="preserve"> arrangements</w:t>
      </w:r>
      <w:r>
        <w:t xml:space="preserve">.   </w:t>
      </w:r>
    </w:p>
    <w:p w:rsidR="005D5F2B" w:rsidRDefault="005A21CD" w:rsidP="005D5F2B">
      <w:pPr>
        <w:pStyle w:val="ListParagraph"/>
        <w:numPr>
          <w:ilvl w:val="0"/>
          <w:numId w:val="2"/>
        </w:numPr>
        <w:spacing w:line="276" w:lineRule="auto"/>
      </w:pPr>
      <w:r>
        <w:t>Many ore-bodies in Australia have a fairly limited mine life</w:t>
      </w:r>
      <w:r w:rsidR="005D5F2B">
        <w:t>.</w:t>
      </w:r>
      <w:r>
        <w:t xml:space="preserve"> </w:t>
      </w:r>
    </w:p>
    <w:p w:rsidR="005D5F2B" w:rsidRDefault="005D5F2B" w:rsidP="005D5F2B">
      <w:pPr>
        <w:pStyle w:val="ListParagraph"/>
        <w:numPr>
          <w:ilvl w:val="0"/>
          <w:numId w:val="2"/>
        </w:numPr>
        <w:spacing w:line="276" w:lineRule="auto"/>
      </w:pPr>
      <w:r>
        <w:t>T</w:t>
      </w:r>
      <w:r w:rsidR="005A21CD">
        <w:t xml:space="preserve">he high cost of infrastructure in remote areas and the cyclical vagaries of international metal prices necessitates against the establishment of any substantial residential communities for these operations.  </w:t>
      </w:r>
    </w:p>
    <w:p w:rsidR="005A21CD" w:rsidRDefault="005D5F2B" w:rsidP="005D5F2B">
      <w:pPr>
        <w:pStyle w:val="ListParagraph"/>
        <w:numPr>
          <w:ilvl w:val="0"/>
          <w:numId w:val="2"/>
        </w:numPr>
        <w:spacing w:line="276" w:lineRule="auto"/>
      </w:pPr>
      <w:r>
        <w:t>S</w:t>
      </w:r>
      <w:r w:rsidR="005A21CD">
        <w:t xml:space="preserve">ubsidised low rental housing in remote areas has been the </w:t>
      </w:r>
      <w:r w:rsidR="009306B7">
        <w:t xml:space="preserve">norm since the </w:t>
      </w:r>
      <w:r w:rsidR="005A21CD">
        <w:t>introduct</w:t>
      </w:r>
      <w:r w:rsidR="009306B7">
        <w:t>ion of fringe benefits taxation, (</w:t>
      </w:r>
      <w:r w:rsidR="005A21CD">
        <w:t>a cost to the employer</w:t>
      </w:r>
      <w:r w:rsidR="009306B7">
        <w:t>)</w:t>
      </w:r>
      <w:r w:rsidR="005A21CD">
        <w:t xml:space="preserve">.  </w:t>
      </w:r>
    </w:p>
    <w:p w:rsidR="005D5F2B" w:rsidRDefault="005D5F2B" w:rsidP="005D5F2B">
      <w:pPr>
        <w:pStyle w:val="ListParagraph"/>
        <w:numPr>
          <w:ilvl w:val="0"/>
          <w:numId w:val="2"/>
        </w:numPr>
        <w:spacing w:line="276" w:lineRule="auto"/>
      </w:pPr>
      <w:r>
        <w:t xml:space="preserve">High cost of living in remote communities. The cost of living in the Pilbara is 137% of that of Perth </w:t>
      </w:r>
      <w:r w:rsidR="00D36AB2">
        <w:fldChar w:fldCharType="begin"/>
      </w:r>
      <w:r w:rsidR="00D36AB2">
        <w:instrText xml:space="preserve"> ADDIN EN.CITE &lt;EndNote&gt;&lt;Cite&gt;&lt;Author&gt;Department of Regional Development and Lands&lt;/Author&gt;&lt;Year&gt;2011&lt;/Year&gt;&lt;RecNum&gt;5943&lt;/RecNum&gt;&lt;DisplayText&gt;(Department of Regional Development and Lands, 2011)&lt;/DisplayText&gt;&lt;record&gt;&lt;rec-number&gt;5943&lt;/rec-number&gt;&lt;foreign-keys&gt;&lt;key app="EN" db-id="50zxpfva920ewressaxxetvfvzv5vfeewd0e"&gt;5943&lt;/key&gt;&lt;/foreign-keys&gt;&lt;ref-type name="Report"&gt;27&lt;/ref-type&gt;&lt;contributors&gt;&lt;authors&gt;&lt;author&gt;Department of Regional Development and Lands,&lt;/author&gt;&lt;/authors&gt;&lt;/contributors&gt;&lt;titles&gt;&lt;title&gt;Regional Price Index&lt;/title&gt;&lt;/titles&gt;&lt;dates&gt;&lt;year&gt;2011&lt;/year&gt;&lt;/dates&gt;&lt;pub-location&gt;Perth&lt;/pub-location&gt;&lt;publisher&gt;Department of Regional Development and Lands&lt;/publisher&gt;&lt;urls&gt;&lt;/urls&gt;&lt;/record&gt;&lt;/Cite&gt;&lt;/EndNote&gt;</w:instrText>
      </w:r>
      <w:r w:rsidR="00D36AB2">
        <w:fldChar w:fldCharType="separate"/>
      </w:r>
      <w:r w:rsidR="00D36AB2">
        <w:rPr>
          <w:noProof/>
        </w:rPr>
        <w:t>(</w:t>
      </w:r>
      <w:hyperlink w:anchor="_ENREF_5" w:tooltip="Department of Regional Development and Lands, 2011 #5943" w:history="1">
        <w:r w:rsidR="00BD28A7">
          <w:rPr>
            <w:noProof/>
          </w:rPr>
          <w:t>Department of Regional Development and Lands, 2011</w:t>
        </w:r>
      </w:hyperlink>
      <w:r w:rsidR="00D36AB2">
        <w:rPr>
          <w:noProof/>
        </w:rPr>
        <w:t>)</w:t>
      </w:r>
      <w:r w:rsidR="00D36AB2">
        <w:fldChar w:fldCharType="end"/>
      </w:r>
      <w:r w:rsidR="00D36AB2">
        <w:t>.</w:t>
      </w:r>
      <w:r w:rsidR="001C0B1A">
        <w:t xml:space="preserve">  </w:t>
      </w:r>
      <w:r w:rsidR="001C0B1A">
        <w:rPr>
          <w:rFonts w:cstheme="minorHAnsi"/>
        </w:rPr>
        <w:t xml:space="preserve">It is too expensive for most retirees and others who are NOT employed in the resources industries, thus removing </w:t>
      </w:r>
      <w:r w:rsidR="001C0B1A">
        <w:t xml:space="preserve">a large proportion of the volunteering sector and preventing the community functioning in a traditional manner.  </w:t>
      </w:r>
    </w:p>
    <w:p w:rsidR="002F5B83" w:rsidRDefault="002F5B83" w:rsidP="005D5F2B">
      <w:pPr>
        <w:pStyle w:val="ListParagraph"/>
        <w:numPr>
          <w:ilvl w:val="0"/>
          <w:numId w:val="2"/>
        </w:numPr>
        <w:spacing w:line="276" w:lineRule="auto"/>
      </w:pPr>
      <w:r>
        <w:t xml:space="preserve">Lack of land banking by State agencies which have authority over Crown Land.  </w:t>
      </w:r>
      <w:r w:rsidR="00416FDE">
        <w:t>On average, it takes seven years to rezone Crown Land to developable status</w:t>
      </w:r>
      <w:r w:rsidR="006543D5">
        <w:t xml:space="preserve"> (whether for residential or industrial purposes),</w:t>
      </w:r>
      <w:r w:rsidR="00416FDE">
        <w:t xml:space="preserve"> due to sequential decision processes and the </w:t>
      </w:r>
      <w:r w:rsidR="00416FDE" w:rsidRPr="00D5667D">
        <w:t>co-ordination of multiple government departments</w:t>
      </w:r>
      <w:r w:rsidR="006543D5">
        <w:t xml:space="preserve">.  If land had been prepared for rezoning, many of the development time delays would be avoided.  </w:t>
      </w:r>
    </w:p>
    <w:p w:rsidR="006543D5" w:rsidRPr="00C809F3" w:rsidRDefault="006543D5" w:rsidP="005D5F2B">
      <w:pPr>
        <w:pStyle w:val="ListParagraph"/>
        <w:numPr>
          <w:ilvl w:val="0"/>
          <w:numId w:val="2"/>
        </w:numPr>
        <w:spacing w:line="276" w:lineRule="auto"/>
      </w:pPr>
      <w:r w:rsidRPr="00D5667D">
        <w:rPr>
          <w:color w:val="000000"/>
        </w:rPr>
        <w:t>Native title</w:t>
      </w:r>
      <w:r>
        <w:rPr>
          <w:color w:val="000000"/>
        </w:rPr>
        <w:t xml:space="preserve">, </w:t>
      </w:r>
      <w:r w:rsidRPr="00D5667D">
        <w:rPr>
          <w:color w:val="000000"/>
        </w:rPr>
        <w:t xml:space="preserve">mining clearances and environmental approvals </w:t>
      </w:r>
      <w:r>
        <w:rPr>
          <w:color w:val="000000"/>
        </w:rPr>
        <w:t xml:space="preserve">are all </w:t>
      </w:r>
      <w:r w:rsidRPr="00D5667D">
        <w:rPr>
          <w:color w:val="000000"/>
        </w:rPr>
        <w:t>required for land release and the installation of the necessary</w:t>
      </w:r>
      <w:r>
        <w:rPr>
          <w:color w:val="000000"/>
        </w:rPr>
        <w:t xml:space="preserve"> development</w:t>
      </w:r>
      <w:r w:rsidRPr="00D5667D">
        <w:rPr>
          <w:color w:val="000000"/>
        </w:rPr>
        <w:t xml:space="preserve"> infrastructure such as roads, power, water and sewage services</w:t>
      </w:r>
      <w:r>
        <w:rPr>
          <w:color w:val="000000"/>
        </w:rPr>
        <w:t xml:space="preserve"> </w:t>
      </w:r>
      <w:r>
        <w:rPr>
          <w:color w:val="000000"/>
        </w:rPr>
        <w:fldChar w:fldCharType="begin"/>
      </w:r>
      <w:r>
        <w:rPr>
          <w:color w:val="000000"/>
        </w:rPr>
        <w:instrText xml:space="preserve"> ADDIN EN.CITE &lt;EndNote&gt;&lt;Cite&gt;&lt;Author&gt;Haslam McKenzie&lt;/Author&gt;&lt;Year&gt;2013&lt;/Year&gt;&lt;RecNum&gt;5944&lt;/RecNum&gt;&lt;Prefix&gt;see &lt;/Prefix&gt;&lt;DisplayText&gt;(see Haslam McKenzie &amp;amp; Rowley, 2013)&lt;/DisplayText&gt;&lt;record&gt;&lt;rec-number&gt;5944&lt;/rec-number&gt;&lt;foreign-keys&gt;&lt;key app="EN" db-id="50zxpfva920ewressaxxetvfvzv5vfeewd0e"&gt;5944&lt;/key&gt;&lt;/foreign-keys&gt;&lt;ref-type name="Journal Article"&gt;17&lt;/ref-type&gt;&lt;contributors&gt;&lt;authors&gt;&lt;author&gt;Haslam McKenzie, F.&lt;/author&gt;&lt;author&gt;Rowley, S.&lt;/author&gt;&lt;/authors&gt;&lt;/contributors&gt;&lt;titles&gt;&lt;title&gt;Housing market failure in a booming economy&lt;/title&gt;&lt;secondary-title&gt;Housing Studies&lt;/secondary-title&gt;&lt;/titles&gt;&lt;periodical&gt;&lt;full-title&gt;Housing Studies&lt;/full-title&gt;&lt;/periodical&gt;&lt;volume&gt;28&lt;/volume&gt;&lt;number&gt;373-388&lt;/number&gt;&lt;dates&gt;&lt;year&gt;2013&lt;/year&gt;&lt;/dates&gt;&lt;urls&gt;&lt;/urls&gt;&lt;/record&gt;&lt;/Cite&gt;&lt;/EndNote&gt;</w:instrText>
      </w:r>
      <w:r>
        <w:rPr>
          <w:color w:val="000000"/>
        </w:rPr>
        <w:fldChar w:fldCharType="separate"/>
      </w:r>
      <w:r>
        <w:rPr>
          <w:noProof/>
          <w:color w:val="000000"/>
        </w:rPr>
        <w:t>(</w:t>
      </w:r>
      <w:hyperlink w:anchor="_ENREF_8" w:tooltip="Haslam McKenzie, 2013 #5944" w:history="1">
        <w:r w:rsidR="00BD28A7">
          <w:rPr>
            <w:noProof/>
            <w:color w:val="000000"/>
          </w:rPr>
          <w:t>see Haslam McKenzie &amp; Rowley, 2013</w:t>
        </w:r>
      </w:hyperlink>
      <w:r>
        <w:rPr>
          <w:noProof/>
          <w:color w:val="000000"/>
        </w:rPr>
        <w:t>)</w:t>
      </w:r>
      <w:r>
        <w:rPr>
          <w:color w:val="000000"/>
        </w:rPr>
        <w:fldChar w:fldCharType="end"/>
      </w:r>
      <w:r w:rsidRPr="00D5667D">
        <w:rPr>
          <w:color w:val="000000"/>
        </w:rPr>
        <w:t>.</w:t>
      </w:r>
    </w:p>
    <w:p w:rsidR="00C809F3" w:rsidRDefault="00C809F3" w:rsidP="005D5F2B">
      <w:pPr>
        <w:pStyle w:val="ListParagraph"/>
        <w:numPr>
          <w:ilvl w:val="0"/>
          <w:numId w:val="2"/>
        </w:numPr>
        <w:spacing w:line="276" w:lineRule="auto"/>
      </w:pPr>
      <w:r>
        <w:lastRenderedPageBreak/>
        <w:t xml:space="preserve">Company controlled accommodation means that there is greater control over </w:t>
      </w:r>
      <w:proofErr w:type="spellStart"/>
      <w:r>
        <w:t>LDC</w:t>
      </w:r>
      <w:proofErr w:type="spellEnd"/>
      <w:r>
        <w:t xml:space="preserve"> workers, their behaviour and their social impact on local communities.</w:t>
      </w:r>
    </w:p>
    <w:p w:rsidR="006677F8" w:rsidRDefault="006677F8" w:rsidP="001114C5">
      <w:pPr>
        <w:spacing w:line="276" w:lineRule="auto"/>
      </w:pPr>
    </w:p>
    <w:p w:rsidR="001C0B1A" w:rsidRDefault="001C0B1A" w:rsidP="00F26361">
      <w:pPr>
        <w:spacing w:line="276" w:lineRule="auto"/>
        <w:rPr>
          <w:rFonts w:cs="Cambria"/>
        </w:rPr>
      </w:pPr>
      <w:r w:rsidRPr="001A395C">
        <w:rPr>
          <w:rFonts w:cs="Cambria"/>
        </w:rPr>
        <w:t xml:space="preserve">Economic modelling </w:t>
      </w:r>
      <w:r>
        <w:rPr>
          <w:rFonts w:cs="Cambria"/>
        </w:rPr>
        <w:t>undertaken</w:t>
      </w:r>
      <w:r w:rsidR="00D018A8">
        <w:rPr>
          <w:rFonts w:cs="Cambria"/>
        </w:rPr>
        <w:t xml:space="preserve"> by Rolfe and others </w:t>
      </w:r>
      <w:r w:rsidR="00D018A8">
        <w:rPr>
          <w:rFonts w:cs="Cambria"/>
        </w:rPr>
        <w:fldChar w:fldCharType="begin">
          <w:fldData xml:space="preserve">PEVuZE5vdGU+PENpdGU+PEF1dGhvcj5Sb2xmZTwvQXV0aG9yPjxZZWFyPjIwMDc8L1llYXI+PFJl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</w:fldData>
        </w:fldChar>
      </w:r>
      <w:r w:rsidR="00D018A8">
        <w:rPr>
          <w:rFonts w:cs="Cambria"/>
        </w:rPr>
        <w:instrText xml:space="preserve"> ADDIN EN.CITE </w:instrText>
      </w:r>
      <w:r w:rsidR="00D018A8">
        <w:rPr>
          <w:rFonts w:cs="Cambria"/>
        </w:rPr>
        <w:fldChar w:fldCharType="begin">
          <w:fldData xml:space="preserve">PEVuZE5vdGU+PENpdGU+PEF1dGhvcj5Sb2xmZTwvQXV0aG9yPjxZZWFyPjIwMDc8L1llYXI+PFJl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</w:fldData>
        </w:fldChar>
      </w:r>
      <w:r w:rsidR="00D018A8">
        <w:rPr>
          <w:rFonts w:cs="Cambria"/>
        </w:rPr>
        <w:instrText xml:space="preserve"> ADDIN EN.CITE.DATA </w:instrText>
      </w:r>
      <w:r w:rsidR="00D018A8">
        <w:rPr>
          <w:rFonts w:cs="Cambria"/>
        </w:rPr>
      </w:r>
      <w:r w:rsidR="00D018A8">
        <w:rPr>
          <w:rFonts w:cs="Cambria"/>
        </w:rPr>
        <w:fldChar w:fldCharType="end"/>
      </w:r>
      <w:r w:rsidR="00D018A8">
        <w:rPr>
          <w:rFonts w:cs="Cambria"/>
        </w:rPr>
      </w:r>
      <w:r w:rsidR="00D018A8">
        <w:rPr>
          <w:rFonts w:cs="Cambria"/>
        </w:rPr>
        <w:fldChar w:fldCharType="separate"/>
      </w:r>
      <w:r w:rsidR="00D018A8">
        <w:rPr>
          <w:rFonts w:cs="Cambria"/>
          <w:noProof/>
        </w:rPr>
        <w:t>(</w:t>
      </w:r>
      <w:hyperlink w:anchor="_ENREF_11" w:tooltip="Rolfe, 2013 #5930" w:history="1">
        <w:r w:rsidR="00BD28A7">
          <w:rPr>
            <w:rFonts w:cs="Cambria"/>
            <w:noProof/>
          </w:rPr>
          <w:t>Rolfe &amp; Kinnear, 2013</w:t>
        </w:r>
      </w:hyperlink>
      <w:r w:rsidR="00D018A8">
        <w:rPr>
          <w:rFonts w:cs="Cambria"/>
          <w:noProof/>
        </w:rPr>
        <w:t xml:space="preserve">; </w:t>
      </w:r>
      <w:hyperlink w:anchor="_ENREF_12" w:tooltip="Rolfe, 2007 #5818" w:history="1">
        <w:r w:rsidR="00BD28A7">
          <w:rPr>
            <w:rFonts w:cs="Cambria"/>
            <w:noProof/>
          </w:rPr>
          <w:t>Rolfe, Miles, Lockie, &amp; Ivanova, 2007</w:t>
        </w:r>
      </w:hyperlink>
      <w:r w:rsidR="00D018A8">
        <w:rPr>
          <w:rFonts w:cs="Cambria"/>
          <w:noProof/>
        </w:rPr>
        <w:t xml:space="preserve">; </w:t>
      </w:r>
      <w:hyperlink w:anchor="_ENREF_13" w:tooltip="Rolfe, 2012 #5839" w:history="1">
        <w:r w:rsidR="00BD28A7">
          <w:rPr>
            <w:rFonts w:cs="Cambria"/>
            <w:noProof/>
          </w:rPr>
          <w:t>Rolfe &amp; Rose, 2012</w:t>
        </w:r>
      </w:hyperlink>
      <w:r w:rsidR="00D018A8">
        <w:rPr>
          <w:rFonts w:cs="Cambria"/>
          <w:noProof/>
        </w:rPr>
        <w:t>)</w:t>
      </w:r>
      <w:r w:rsidR="00D018A8">
        <w:rPr>
          <w:rFonts w:cs="Cambria"/>
        </w:rPr>
        <w:fldChar w:fldCharType="end"/>
      </w:r>
      <w:r>
        <w:rPr>
          <w:rFonts w:cs="Cambria"/>
        </w:rPr>
        <w:t xml:space="preserve"> </w:t>
      </w:r>
      <w:r w:rsidR="00D018A8">
        <w:rPr>
          <w:rFonts w:cs="Cambria"/>
        </w:rPr>
        <w:t>showed</w:t>
      </w:r>
      <w:r w:rsidRPr="001A395C">
        <w:rPr>
          <w:rFonts w:cs="Cambria"/>
        </w:rPr>
        <w:t xml:space="preserve"> that employment multiplier effects are much lower for smaller communities, and tend to be lower for newer mining communities compared to traditional agricultural communities. </w:t>
      </w:r>
    </w:p>
    <w:p w:rsidR="00F26361" w:rsidRDefault="00F26361" w:rsidP="00F26361">
      <w:pPr>
        <w:spacing w:line="276" w:lineRule="auto"/>
        <w:rPr>
          <w:rFonts w:cs="Cambria"/>
        </w:rPr>
      </w:pPr>
    </w:p>
    <w:p w:rsidR="00F26361" w:rsidRDefault="00F26361" w:rsidP="00F26361">
      <w:pPr>
        <w:spacing w:line="276" w:lineRule="auto"/>
      </w:pPr>
      <w:r>
        <w:t xml:space="preserve">Government has also had a role in fostering </w:t>
      </w:r>
      <w:proofErr w:type="spellStart"/>
      <w:r>
        <w:t>LDC</w:t>
      </w:r>
      <w:proofErr w:type="spellEnd"/>
      <w:r>
        <w:t xml:space="preserve"> </w:t>
      </w:r>
      <w:r w:rsidR="0033310F">
        <w:t>i</w:t>
      </w:r>
      <w:r>
        <w:t xml:space="preserve">n Western Australia. When decisions have been made regarding </w:t>
      </w:r>
      <w:r w:rsidR="0033310F">
        <w:t xml:space="preserve">resource projects and regional development the sequencing of development has not always been timely or consistent.  For example, </w:t>
      </w:r>
      <w:r>
        <w:t xml:space="preserve">the sequencing of land release has not been carefully planned.  </w:t>
      </w:r>
      <w:r w:rsidR="0033310F">
        <w:t>In Onslow where Chevron has announced the development of an onshore gas facility, t</w:t>
      </w:r>
      <w:r w:rsidRPr="00941A63">
        <w:t xml:space="preserve">he Department </w:t>
      </w:r>
      <w:r>
        <w:t xml:space="preserve">for State Development </w:t>
      </w:r>
      <w:r w:rsidRPr="00941A63">
        <w:t xml:space="preserve">began </w:t>
      </w:r>
      <w:r>
        <w:t xml:space="preserve">the projections for </w:t>
      </w:r>
      <w:r w:rsidRPr="00941A63">
        <w:t xml:space="preserve">population growth </w:t>
      </w:r>
      <w:r>
        <w:t>and government services, (</w:t>
      </w:r>
      <w:r w:rsidRPr="00941A63">
        <w:t>power supply, schools, health infrastructure, emergency response, waste management and water supply</w:t>
      </w:r>
      <w:r>
        <w:t>) for</w:t>
      </w:r>
      <w:r w:rsidRPr="00941A63">
        <w:t xml:space="preserve"> </w:t>
      </w:r>
      <w:r w:rsidR="0033310F">
        <w:t>the town</w:t>
      </w:r>
      <w:r w:rsidRPr="00941A63">
        <w:t xml:space="preserve"> </w:t>
      </w:r>
      <w:r>
        <w:rPr>
          <w:b/>
        </w:rPr>
        <w:t xml:space="preserve">after </w:t>
      </w:r>
      <w:r>
        <w:t>the project was announced in 2011</w:t>
      </w:r>
      <w:r w:rsidR="0033310F">
        <w:t xml:space="preserve"> even though there had been strong indications by the company for two years prior that the project would go ahead.  Timely investment in planning and projections for the region do not represent a costly impost of government expenditure and could have saved expensive development bottlenecks and </w:t>
      </w:r>
      <w:r w:rsidR="00860BED">
        <w:t>considerable community disquiet</w:t>
      </w:r>
      <w:r>
        <w:t xml:space="preserve">.  </w:t>
      </w:r>
      <w:r w:rsidR="00860BED">
        <w:t>(T</w:t>
      </w:r>
      <w:r>
        <w:t>he State government’s commitments to provide power and water for the town have lagged and the situation has become critical since the construction workforce has placed unplanned-for pressure on local water supplies.</w:t>
      </w:r>
      <w:r w:rsidR="00860BED">
        <w:t>)</w:t>
      </w:r>
      <w:r>
        <w:t xml:space="preserve">  </w:t>
      </w:r>
    </w:p>
    <w:p w:rsidR="00F26361" w:rsidRDefault="00F26361" w:rsidP="00F26361">
      <w:pPr>
        <w:spacing w:line="276" w:lineRule="auto"/>
      </w:pPr>
    </w:p>
    <w:p w:rsidR="006B3988" w:rsidRDefault="00860BED" w:rsidP="00F26361">
      <w:pPr>
        <w:spacing w:line="276" w:lineRule="auto"/>
      </w:pPr>
      <w:r>
        <w:t xml:space="preserve">Furthermore, this particular project </w:t>
      </w:r>
      <w:r w:rsidR="00F26361">
        <w:t>is administered by a State Development Agreement</w:t>
      </w:r>
      <w:r>
        <w:t xml:space="preserve">, (instead of the more usual State Agreement), </w:t>
      </w:r>
      <w:r w:rsidR="00F26361">
        <w:t xml:space="preserve">which is </w:t>
      </w:r>
      <w:r w:rsidR="00F26361">
        <w:rPr>
          <w:b/>
        </w:rPr>
        <w:t xml:space="preserve">not </w:t>
      </w:r>
      <w:r w:rsidR="00F26361">
        <w:t xml:space="preserve">ratified by an Act of Parliament but rather, a series of </w:t>
      </w:r>
      <w:proofErr w:type="spellStart"/>
      <w:r w:rsidR="00F26361">
        <w:t>contractual</w:t>
      </w:r>
      <w:proofErr w:type="spellEnd"/>
      <w:r w:rsidR="00F26361">
        <w:t xml:space="preserve"> agreements between the government and corporate partners.  </w:t>
      </w:r>
      <w:r>
        <w:t xml:space="preserve">Despite a commitment by the company to limit </w:t>
      </w:r>
      <w:proofErr w:type="spellStart"/>
      <w:r>
        <w:t>LDC</w:t>
      </w:r>
      <w:proofErr w:type="spellEnd"/>
      <w:r>
        <w:t>, the shortfalls in critical utilities and infrastructure have forced transient worker accommodation and other arrangements</w:t>
      </w:r>
      <w:r w:rsidR="005D2AF5">
        <w:t xml:space="preserve"> </w:t>
      </w:r>
      <w:r w:rsidR="005D2AF5">
        <w:fldChar w:fldCharType="begin"/>
      </w:r>
      <w:r w:rsidR="005D2AF5">
        <w:instrText xml:space="preserve"> ADDIN EN.CITE &lt;EndNote&gt;&lt;Cite&gt;&lt;Author&gt;Haslam McKenzie&lt;/Author&gt;&lt;Year&gt;2013&lt;/Year&gt;&lt;RecNum&gt;5939&lt;/RecNum&gt;&lt;Prefix&gt;see &lt;/Prefix&gt;&lt;DisplayText&gt;(see Haslam McKenzie, 2013)&lt;/DisplayText&gt;&lt;record&gt;&lt;rec-number&gt;5939&lt;/rec-number&gt;&lt;foreign-keys&gt;&lt;key app="EN" db-id="50zxpfva920ewressaxxetvfvzv5vfeewd0e"&gt;5939&lt;/key&gt;&lt;/foreign-keys&gt;&lt;ref-type name="Journal Article"&gt;17&lt;/ref-type&gt;&lt;contributors&gt;&lt;authors&gt;&lt;author&gt;Haslam McKenzie, F.&lt;/author&gt;&lt;/authors&gt;&lt;/contributors&gt;&lt;titles&gt;&lt;title&gt;Delivering enduring benefits from a gas development: Governance and planning challenges in remote Western Australia&lt;/title&gt;&lt;secondary-title&gt;Australian Geographer&lt;/secondary-title&gt;&lt;/titles&gt;&lt;periodical&gt;&lt;full-title&gt;Australian Geographer&lt;/full-title&gt;&lt;/periodical&gt;&lt;pages&gt;341-358&lt;/pages&gt;&lt;volume&gt;42&lt;/volume&gt;&lt;number&gt;3&lt;/number&gt;&lt;dates&gt;&lt;year&gt;2013&lt;/year&gt;&lt;/dates&gt;&lt;urls&gt;&lt;/urls&gt;&lt;/record&gt;&lt;/Cite&gt;&lt;/EndNote&gt;</w:instrText>
      </w:r>
      <w:r w:rsidR="005D2AF5">
        <w:fldChar w:fldCharType="separate"/>
      </w:r>
      <w:r w:rsidR="005D2AF5">
        <w:rPr>
          <w:noProof/>
        </w:rPr>
        <w:t>(</w:t>
      </w:r>
      <w:hyperlink w:anchor="_ENREF_6" w:tooltip="Haslam McKenzie, 2013 #5939" w:history="1">
        <w:r w:rsidR="00BD28A7">
          <w:rPr>
            <w:noProof/>
          </w:rPr>
          <w:t>see Haslam McKenzie, 2013</w:t>
        </w:r>
      </w:hyperlink>
      <w:r w:rsidR="005D2AF5">
        <w:rPr>
          <w:noProof/>
        </w:rPr>
        <w:t>)</w:t>
      </w:r>
      <w:r w:rsidR="005D2AF5">
        <w:fldChar w:fldCharType="end"/>
      </w:r>
      <w:r>
        <w:t>.  G</w:t>
      </w:r>
      <w:r w:rsidRPr="005D6A7D">
        <w:t xml:space="preserve">overnment has a </w:t>
      </w:r>
      <w:r>
        <w:t>critical</w:t>
      </w:r>
      <w:r w:rsidRPr="005D6A7D">
        <w:t xml:space="preserve"> role in providing leadership </w:t>
      </w:r>
      <w:r w:rsidR="006B3988">
        <w:t xml:space="preserve">and </w:t>
      </w:r>
      <w:r w:rsidR="006B3988" w:rsidRPr="00D5667D">
        <w:rPr>
          <w:rFonts w:cs="Arial"/>
          <w:szCs w:val="22"/>
        </w:rPr>
        <w:t xml:space="preserve">strategic guidance that will facilitate rather than hinder sustainable </w:t>
      </w:r>
      <w:proofErr w:type="spellStart"/>
      <w:r w:rsidR="006B3988" w:rsidRPr="00D5667D">
        <w:rPr>
          <w:rFonts w:cs="Arial"/>
          <w:szCs w:val="22"/>
        </w:rPr>
        <w:t>socio-economic</w:t>
      </w:r>
      <w:proofErr w:type="spellEnd"/>
      <w:r w:rsidR="006B3988" w:rsidRPr="00D5667D">
        <w:rPr>
          <w:rFonts w:cs="Arial"/>
          <w:szCs w:val="22"/>
        </w:rPr>
        <w:t xml:space="preserve"> and environmental development.  </w:t>
      </w:r>
    </w:p>
    <w:p w:rsidR="005D2AF5" w:rsidRDefault="005D2AF5" w:rsidP="005D2AF5">
      <w:pPr>
        <w:pStyle w:val="Heading2"/>
      </w:pPr>
      <w:r>
        <w:t>Concluding remarks</w:t>
      </w:r>
    </w:p>
    <w:p w:rsidR="002F04C3" w:rsidRDefault="002F04C3" w:rsidP="00C809F3">
      <w:pPr>
        <w:spacing w:line="276" w:lineRule="auto"/>
      </w:pPr>
      <w:proofErr w:type="spellStart"/>
      <w:r>
        <w:t>LDC</w:t>
      </w:r>
      <w:proofErr w:type="spellEnd"/>
      <w:r>
        <w:t xml:space="preserve"> arrangements will remain essential for current and future mining operations in Australia for a range of reasons.  The benefits allow new developments to proceed, spreads wealth across regions and states, smooths out workforce peaks and avoids many short-medium </w:t>
      </w:r>
      <w:r>
        <w:lastRenderedPageBreak/>
        <w:t xml:space="preserve">term impacts on local communities, particularly smaller communities unable to cope with a sudden influx of new workers.  </w:t>
      </w:r>
    </w:p>
    <w:p w:rsidR="002F04C3" w:rsidRDefault="002F04C3" w:rsidP="002F04C3">
      <w:pPr>
        <w:spacing w:line="276" w:lineRule="auto"/>
      </w:pPr>
    </w:p>
    <w:p w:rsidR="002F04C3" w:rsidRDefault="002F04C3" w:rsidP="002F04C3">
      <w:pPr>
        <w:spacing w:line="276" w:lineRule="auto"/>
      </w:pPr>
      <w:r>
        <w:t xml:space="preserve">The mining and resource industry employees who choose to commute instead of relocate distribute the </w:t>
      </w:r>
      <w:proofErr w:type="spellStart"/>
      <w:r>
        <w:t>socio-economic</w:t>
      </w:r>
      <w:proofErr w:type="spellEnd"/>
      <w:r>
        <w:t xml:space="preserve"> costs and benefits of the super-cycles across numerous communities,</w:t>
      </w:r>
      <w:r w:rsidRPr="00621754">
        <w:t xml:space="preserve"> </w:t>
      </w:r>
      <w:r>
        <w:t>regions and even States</w:t>
      </w:r>
      <w:r w:rsidR="00C809F3">
        <w:t xml:space="preserve"> </w:t>
      </w:r>
      <w:r w:rsidR="00C809F3">
        <w:fldChar w:fldCharType="begin"/>
      </w:r>
      <w:r w:rsidR="00C809F3">
        <w:instrText xml:space="preserve"> ADDIN EN.CITE &lt;EndNote&gt;&lt;Cite&gt;&lt;Author&gt;Minifie&lt;/Author&gt;&lt;Year&gt;2013&lt;/Year&gt;&lt;RecNum&gt;5941&lt;/RecNum&gt;&lt;Prefix&gt;see &lt;/Prefix&gt;&lt;DisplayText&gt;(see Minifie, 2013; Sheehan, 2011)&lt;/DisplayText&gt;&lt;record&gt;&lt;rec-number&gt;5941&lt;/rec-number&gt;&lt;foreign-keys&gt;&lt;key app="EN" db-id="50zxpfva920ewressaxxetvfvzv5vfeewd0e"&gt;5941&lt;/key&gt;&lt;/foreign-keys&gt;&lt;ref-type name="Report"&gt;27&lt;/ref-type&gt;&lt;contributors&gt;&lt;authors&gt;&lt;author&gt;Minifie, J.&lt;/author&gt;&lt;/authors&gt;&lt;/contributors&gt;&lt;titles&gt;&lt;title&gt;The mining boom: Impacts and prospects&lt;/title&gt;&lt;/titles&gt;&lt;dates&gt;&lt;year&gt;2013&lt;/year&gt;&lt;/dates&gt;&lt;pub-location&gt;Melbourne&lt;/pub-location&gt;&lt;publisher&gt;The Grattan Institute&lt;/publisher&gt;&lt;urls&gt;&lt;/urls&gt;&lt;/record&gt;&lt;/Cite&gt;&lt;Cite&gt;&lt;Author&gt;Sheehan&lt;/Author&gt;&lt;Year&gt;2011&lt;/Year&gt;&lt;RecNum&gt;5883&lt;/RecNum&gt;&lt;record&gt;&lt;rec-number&gt;5883&lt;/rec-number&gt;&lt;foreign-keys&gt;&lt;key app="EN" db-id="50zxpfva920ewressaxxetvfvzv5vfeewd0e"&gt;5883&lt;/key&gt;&lt;/foreign-keys&gt;&lt;ref-type name="Web Page"&gt;12&lt;/ref-type&gt;&lt;contributors&gt;&lt;authors&gt;&lt;author&gt;Sheehan, P.&lt;/author&gt;&lt;/authors&gt;&lt;/contributors&gt;&lt;titles&gt;&lt;title&gt;Beyond the boom: The new economic challenge&lt;/title&gt;&lt;secondary-title&gt;Australian Policy Online&lt;/secondary-title&gt;&lt;/titles&gt;&lt;volume&gt;2012&lt;/volume&gt;&lt;number&gt;5th January&lt;/number&gt;&lt;dates&gt;&lt;year&gt;2011&lt;/year&gt;&lt;/dates&gt;&lt;pub-location&gt;Melbourne&lt;/pub-location&gt;&lt;publisher&gt;Swinburne Institute for Social Research&lt;/publisher&gt;&lt;urls&gt;&lt;related-urls&gt;&lt;url&gt;www.inside.org.au/Beyond-the-boom-The-new-economic-challenge&lt;/url&gt;&lt;/related-urls&gt;&lt;/urls&gt;&lt;/record&gt;&lt;/Cite&gt;&lt;/EndNote&gt;</w:instrText>
      </w:r>
      <w:r w:rsidR="00C809F3">
        <w:fldChar w:fldCharType="separate"/>
      </w:r>
      <w:r w:rsidR="00C809F3">
        <w:rPr>
          <w:noProof/>
        </w:rPr>
        <w:t xml:space="preserve">(see </w:t>
      </w:r>
      <w:hyperlink w:anchor="_ENREF_10" w:tooltip="Minifie, 2013 #5941" w:history="1">
        <w:r w:rsidR="00BD28A7">
          <w:rPr>
            <w:noProof/>
          </w:rPr>
          <w:t>Minifie, 2013</w:t>
        </w:r>
      </w:hyperlink>
      <w:r w:rsidR="00C809F3">
        <w:rPr>
          <w:noProof/>
        </w:rPr>
        <w:t xml:space="preserve">; </w:t>
      </w:r>
      <w:hyperlink w:anchor="_ENREF_15" w:tooltip="Sheehan, 2011 #5883" w:history="1">
        <w:r w:rsidR="00BD28A7">
          <w:rPr>
            <w:noProof/>
          </w:rPr>
          <w:t>Sheehan, 2011</w:t>
        </w:r>
      </w:hyperlink>
      <w:r w:rsidR="00C809F3">
        <w:rPr>
          <w:noProof/>
        </w:rPr>
        <w:t>)</w:t>
      </w:r>
      <w:r w:rsidR="00C809F3">
        <w:fldChar w:fldCharType="end"/>
      </w:r>
      <w:r>
        <w:t xml:space="preserve">.  </w:t>
      </w:r>
    </w:p>
    <w:p w:rsidR="00C809F3" w:rsidRDefault="00C809F3" w:rsidP="00F26361">
      <w:pPr>
        <w:spacing w:line="276" w:lineRule="auto"/>
      </w:pPr>
    </w:p>
    <w:p w:rsidR="00C809F3" w:rsidRDefault="00C809F3" w:rsidP="00C809F3">
      <w:pPr>
        <w:spacing w:line="276" w:lineRule="auto"/>
      </w:pPr>
      <w:r>
        <w:t xml:space="preserve">Well planned </w:t>
      </w:r>
      <w:proofErr w:type="spellStart"/>
      <w:r>
        <w:t>LDC</w:t>
      </w:r>
      <w:proofErr w:type="spellEnd"/>
      <w:r>
        <w:t xml:space="preserve"> and discrete </w:t>
      </w:r>
      <w:proofErr w:type="spellStart"/>
      <w:r>
        <w:t>LDC</w:t>
      </w:r>
      <w:proofErr w:type="spellEnd"/>
      <w:r>
        <w:t xml:space="preserve"> accommodation can have the advantage of keeping a large workforce influx contained, thus limiting impacts on local housing and employment markets, and managing other behavioural and social pressures. </w:t>
      </w:r>
    </w:p>
    <w:p w:rsidR="00C809F3" w:rsidRDefault="00C809F3" w:rsidP="00C809F3">
      <w:pPr>
        <w:spacing w:line="276" w:lineRule="auto"/>
      </w:pPr>
    </w:p>
    <w:p w:rsidR="00C809F3" w:rsidRDefault="00C809F3" w:rsidP="00C809F3">
      <w:pPr>
        <w:spacing w:line="276" w:lineRule="auto"/>
      </w:pPr>
      <w:r>
        <w:t xml:space="preserve">Currently, </w:t>
      </w:r>
      <w:r w:rsidR="00E67EB2">
        <w:t xml:space="preserve">resource-dominated communities do not reap many benefits from a highly peripatetic workforce, and it can be argued, are both marginalised and penalised for having resources development nearby.  Certainly, more could be done by all levels of government and the corporate sector to spread the benefits of </w:t>
      </w:r>
      <w:proofErr w:type="spellStart"/>
      <w:r w:rsidR="00E67EB2">
        <w:t>LDC</w:t>
      </w:r>
      <w:proofErr w:type="spellEnd"/>
      <w:r w:rsidR="00E67EB2">
        <w:t xml:space="preserve"> at a local level</w:t>
      </w:r>
      <w:r w:rsidR="00BD28A7">
        <w:t xml:space="preserve"> </w:t>
      </w:r>
      <w:r w:rsidR="00BD28A7">
        <w:fldChar w:fldCharType="begin"/>
      </w:r>
      <w:r w:rsidR="00BD28A7">
        <w:instrText xml:space="preserve"> ADDIN EN.CITE &lt;EndNote&gt;&lt;Cite&gt;&lt;Author&gt;Haslam McKenzie&lt;/Author&gt;&lt;Year&gt;2013&lt;/Year&gt;&lt;RecNum&gt;5912&lt;/RecNum&gt;&lt;Prefix&gt;see &lt;/Prefix&gt;&lt;DisplayText&gt;(see Haslam McKenzie, Rolfe, Hoath, Buckley, &amp;amp; Greer, 2013)&lt;/DisplayText&gt;&lt;record&gt;&lt;rec-number&gt;5912&lt;/rec-number&gt;&lt;foreign-keys&gt;&lt;key app="EN" db-id="50zxpfva920ewressaxxetvfvzv5vfeewd0e"&gt;5912&lt;/key&gt;&lt;/foreign-keys&gt;&lt;ref-type name="Report"&gt;27&lt;/ref-type&gt;&lt;contributors&gt;&lt;authors&gt;&lt;author&gt;Haslam McKenzie, F.&lt;/author&gt;&lt;author&gt;Rolfe, J.&lt;/author&gt;&lt;author&gt;Hoath, A.&lt;/author&gt;&lt;author&gt;Buckley, A. &lt;/author&gt;&lt;author&gt;Greer, L.&lt;/author&gt;&lt;/authors&gt;&lt;/contributors&gt;&lt;titles&gt;&lt;title&gt;Regions in Transition: Uneasy Transitions to a Diversified Economy involving Agriculture and Mining&lt;/title&gt;&lt;/titles&gt;&lt;dates&gt;&lt;year&gt;2013&lt;/year&gt;&lt;/dates&gt;&lt;pub-location&gt;Curtin Graduate School of Business, Curtin University, Perth and CQUniversity, Rockhampton.&lt;/pub-location&gt;&lt;publisher&gt;Final Report prepared for CSIRO Minerals Down Under Flagship, Mineral Futures Collaboration Cluster&lt;/publisher&gt;&lt;urls&gt;&lt;/urls&gt;&lt;/record&gt;&lt;/Cite&gt;&lt;/EndNote&gt;</w:instrText>
      </w:r>
      <w:r w:rsidR="00BD28A7">
        <w:fldChar w:fldCharType="separate"/>
      </w:r>
      <w:r w:rsidR="00BD28A7">
        <w:rPr>
          <w:noProof/>
        </w:rPr>
        <w:t>(</w:t>
      </w:r>
      <w:hyperlink w:anchor="_ENREF_7" w:tooltip="Haslam McKenzie, 2013 #5912" w:history="1">
        <w:r w:rsidR="00BD28A7">
          <w:rPr>
            <w:noProof/>
          </w:rPr>
          <w:t>see Haslam McKenzie, Rolfe, Hoath, Buckley, &amp; Greer, 2013</w:t>
        </w:r>
      </w:hyperlink>
      <w:r w:rsidR="00BD28A7">
        <w:rPr>
          <w:noProof/>
        </w:rPr>
        <w:t>)</w:t>
      </w:r>
      <w:r w:rsidR="00BD28A7">
        <w:fldChar w:fldCharType="end"/>
      </w:r>
      <w:r w:rsidR="00E67EB2">
        <w:t>.</w:t>
      </w:r>
    </w:p>
    <w:p w:rsidR="00D54D81" w:rsidRDefault="00D54D81">
      <w:pPr>
        <w:spacing w:after="200" w:line="276" w:lineRule="auto"/>
        <w:jc w:val="left"/>
        <w:rPr>
          <w:rFonts w:asciiTheme="majorHAnsi" w:eastAsiaTheme="majorEastAsia" w:hAnsiTheme="majorHAnsi" w:cstheme="majorBidi"/>
          <w:b/>
          <w:bCs/>
          <w:color w:val="365F91" w:themeColor="accent1" w:themeShade="BF"/>
          <w:sz w:val="28"/>
          <w:szCs w:val="28"/>
        </w:rPr>
      </w:pPr>
      <w:r>
        <w:br w:type="page"/>
      </w:r>
    </w:p>
    <w:p w:rsidR="006677F8" w:rsidRDefault="006677F8" w:rsidP="006677F8">
      <w:pPr>
        <w:pStyle w:val="Heading1"/>
      </w:pPr>
      <w:r>
        <w:lastRenderedPageBreak/>
        <w:t>References</w:t>
      </w:r>
    </w:p>
    <w:p w:rsidR="00BD28A7" w:rsidRPr="00BD28A7" w:rsidRDefault="006677F8" w:rsidP="00BD28A7">
      <w:pPr>
        <w:spacing w:line="240" w:lineRule="auto"/>
        <w:ind w:left="720" w:hanging="720"/>
        <w:rPr>
          <w:rFonts w:ascii="Calibri" w:hAnsi="Calibri"/>
          <w:noProof/>
        </w:rPr>
      </w:pPr>
      <w:r>
        <w:fldChar w:fldCharType="begin"/>
      </w:r>
      <w:r>
        <w:instrText xml:space="preserve"> ADDIN EN.REFLIST </w:instrText>
      </w:r>
      <w:r>
        <w:fldChar w:fldCharType="separate"/>
      </w:r>
      <w:bookmarkStart w:id="1" w:name="_ENREF_1"/>
      <w:r w:rsidR="00BD28A7" w:rsidRPr="00BD28A7">
        <w:rPr>
          <w:rFonts w:ascii="Calibri" w:hAnsi="Calibri"/>
          <w:noProof/>
        </w:rPr>
        <w:t>Australian Bureau of Statistics. (2008a). Migration and mobility in Western Australia (cat. 1367.5). Canberra: Australian Bureau of Statistics.</w:t>
      </w:r>
      <w:bookmarkEnd w:id="1"/>
    </w:p>
    <w:p w:rsidR="00BD28A7" w:rsidRPr="00BD28A7" w:rsidRDefault="00BD28A7" w:rsidP="00BD28A7">
      <w:pPr>
        <w:spacing w:line="240" w:lineRule="auto"/>
        <w:ind w:left="720" w:hanging="720"/>
        <w:rPr>
          <w:rFonts w:ascii="Calibri" w:hAnsi="Calibri"/>
          <w:noProof/>
        </w:rPr>
      </w:pPr>
      <w:bookmarkStart w:id="2" w:name="_ENREF_2"/>
      <w:r w:rsidRPr="00BD28A7">
        <w:rPr>
          <w:rFonts w:ascii="Calibri" w:hAnsi="Calibri"/>
          <w:noProof/>
        </w:rPr>
        <w:t>Australian Bureau of Statistics. (2008b). Towns of the Mineral Boom (Australian Social Trends). Canberra: Australian Bureau of Statistics.</w:t>
      </w:r>
      <w:bookmarkEnd w:id="2"/>
    </w:p>
    <w:p w:rsidR="00BD28A7" w:rsidRPr="00BD28A7" w:rsidRDefault="00BD28A7" w:rsidP="00BD28A7">
      <w:pPr>
        <w:spacing w:line="240" w:lineRule="auto"/>
        <w:ind w:left="720" w:hanging="720"/>
        <w:rPr>
          <w:rFonts w:ascii="Calibri" w:hAnsi="Calibri"/>
          <w:noProof/>
        </w:rPr>
      </w:pPr>
      <w:bookmarkStart w:id="3" w:name="_ENREF_3"/>
      <w:r w:rsidRPr="00BD28A7">
        <w:rPr>
          <w:rFonts w:ascii="Calibri" w:hAnsi="Calibri"/>
          <w:noProof/>
        </w:rPr>
        <w:t>Australian Bureau of Statistics. (2012). Regional Population Growth - Australia 2011 Cat. 3218.0. Australian Bureau of Statistics: Canberra.</w:t>
      </w:r>
      <w:bookmarkEnd w:id="3"/>
    </w:p>
    <w:p w:rsidR="00BD28A7" w:rsidRPr="00BD28A7" w:rsidRDefault="00BD28A7" w:rsidP="00BD28A7">
      <w:pPr>
        <w:spacing w:line="240" w:lineRule="auto"/>
        <w:ind w:left="720" w:hanging="720"/>
        <w:rPr>
          <w:rFonts w:ascii="Calibri" w:hAnsi="Calibri"/>
          <w:noProof/>
        </w:rPr>
      </w:pPr>
      <w:bookmarkStart w:id="4" w:name="_ENREF_4"/>
      <w:r w:rsidRPr="00BD28A7">
        <w:rPr>
          <w:rFonts w:ascii="Calibri" w:hAnsi="Calibri"/>
          <w:noProof/>
        </w:rPr>
        <w:t>Chamber of Minerals and Energy. (2012). A Matter of Choice. Perth: Chamber of Minerals and Energy.</w:t>
      </w:r>
      <w:bookmarkEnd w:id="4"/>
    </w:p>
    <w:p w:rsidR="00BD28A7" w:rsidRPr="00BD28A7" w:rsidRDefault="00BD28A7" w:rsidP="00BD28A7">
      <w:pPr>
        <w:spacing w:line="240" w:lineRule="auto"/>
        <w:ind w:left="720" w:hanging="720"/>
        <w:rPr>
          <w:rFonts w:ascii="Calibri" w:hAnsi="Calibri"/>
          <w:noProof/>
        </w:rPr>
      </w:pPr>
      <w:bookmarkStart w:id="5" w:name="_ENREF_5"/>
      <w:r w:rsidRPr="00BD28A7">
        <w:rPr>
          <w:rFonts w:ascii="Calibri" w:hAnsi="Calibri"/>
          <w:noProof/>
        </w:rPr>
        <w:t>Department of Regional Development and Lands. (2011). Regional Price Index. Perth: Department of Regional Development and Lands.</w:t>
      </w:r>
      <w:bookmarkEnd w:id="5"/>
    </w:p>
    <w:p w:rsidR="00BD28A7" w:rsidRPr="00BD28A7" w:rsidRDefault="00BD28A7" w:rsidP="00BD28A7">
      <w:pPr>
        <w:spacing w:line="240" w:lineRule="auto"/>
        <w:ind w:left="720" w:hanging="720"/>
        <w:rPr>
          <w:rFonts w:ascii="Calibri" w:hAnsi="Calibri"/>
          <w:noProof/>
        </w:rPr>
      </w:pPr>
      <w:bookmarkStart w:id="6" w:name="_ENREF_6"/>
      <w:r w:rsidRPr="00BD28A7">
        <w:rPr>
          <w:rFonts w:ascii="Calibri" w:hAnsi="Calibri"/>
          <w:noProof/>
        </w:rPr>
        <w:t xml:space="preserve">Haslam McKenzie, F. (2013). Delivering enduring benefits from a gas development: Governance and planning challenges in remote Western Australia. </w:t>
      </w:r>
      <w:r w:rsidRPr="00BD28A7">
        <w:rPr>
          <w:rFonts w:ascii="Calibri" w:hAnsi="Calibri"/>
          <w:i/>
          <w:noProof/>
        </w:rPr>
        <w:t>Australian Geographer, 42</w:t>
      </w:r>
      <w:r w:rsidRPr="00BD28A7">
        <w:rPr>
          <w:rFonts w:ascii="Calibri" w:hAnsi="Calibri"/>
          <w:noProof/>
        </w:rPr>
        <w:t xml:space="preserve">(3), 341-358. </w:t>
      </w:r>
      <w:bookmarkEnd w:id="6"/>
    </w:p>
    <w:p w:rsidR="00BD28A7" w:rsidRPr="00BD28A7" w:rsidRDefault="00BD28A7" w:rsidP="00BD28A7">
      <w:pPr>
        <w:spacing w:line="240" w:lineRule="auto"/>
        <w:ind w:left="720" w:hanging="720"/>
        <w:rPr>
          <w:rFonts w:ascii="Calibri" w:hAnsi="Calibri"/>
          <w:noProof/>
        </w:rPr>
      </w:pPr>
      <w:bookmarkStart w:id="7" w:name="_ENREF_7"/>
      <w:r w:rsidRPr="00BD28A7">
        <w:rPr>
          <w:rFonts w:ascii="Calibri" w:hAnsi="Calibri"/>
          <w:noProof/>
        </w:rPr>
        <w:t>Haslam McKenzie, F., Rolfe, J., Hoath, A., Buckley, A., &amp; Greer, L. (2013). Regions in Transition: Uneasy Transitions to a Diversified Economy involving Agriculture and Mining. Curtin Graduate School of Business, Curtin University, Perth and CQUniversity, Rockhampton.: Final Report prepared for CSIRO Minerals Down Under Flagship, Mineral Futures Collaboration Cluster.</w:t>
      </w:r>
      <w:bookmarkEnd w:id="7"/>
    </w:p>
    <w:p w:rsidR="00BD28A7" w:rsidRPr="00BD28A7" w:rsidRDefault="00BD28A7" w:rsidP="00BD28A7">
      <w:pPr>
        <w:spacing w:line="240" w:lineRule="auto"/>
        <w:ind w:left="720" w:hanging="720"/>
        <w:rPr>
          <w:rFonts w:ascii="Calibri" w:hAnsi="Calibri"/>
          <w:noProof/>
        </w:rPr>
      </w:pPr>
      <w:bookmarkStart w:id="8" w:name="_ENREF_8"/>
      <w:r w:rsidRPr="00BD28A7">
        <w:rPr>
          <w:rFonts w:ascii="Calibri" w:hAnsi="Calibri"/>
          <w:noProof/>
        </w:rPr>
        <w:t xml:space="preserve">Haslam McKenzie, F., &amp; Rowley, S. (2013). Housing market failure in a booming economy. </w:t>
      </w:r>
      <w:r w:rsidRPr="00BD28A7">
        <w:rPr>
          <w:rFonts w:ascii="Calibri" w:hAnsi="Calibri"/>
          <w:i/>
          <w:noProof/>
        </w:rPr>
        <w:t>Housing Studies, 28</w:t>
      </w:r>
      <w:r w:rsidRPr="00BD28A7">
        <w:rPr>
          <w:rFonts w:ascii="Calibri" w:hAnsi="Calibri"/>
          <w:noProof/>
        </w:rPr>
        <w:t xml:space="preserve">(373-388). </w:t>
      </w:r>
      <w:bookmarkEnd w:id="8"/>
    </w:p>
    <w:p w:rsidR="00BD28A7" w:rsidRPr="00BD28A7" w:rsidRDefault="00BD28A7" w:rsidP="00BD28A7">
      <w:pPr>
        <w:spacing w:line="240" w:lineRule="auto"/>
        <w:ind w:left="720" w:hanging="720"/>
        <w:rPr>
          <w:rFonts w:ascii="Calibri" w:hAnsi="Calibri"/>
          <w:noProof/>
        </w:rPr>
      </w:pPr>
      <w:bookmarkStart w:id="9" w:name="_ENREF_9"/>
      <w:r w:rsidRPr="00BD28A7">
        <w:rPr>
          <w:rFonts w:ascii="Calibri" w:hAnsi="Calibri"/>
          <w:noProof/>
        </w:rPr>
        <w:t>Haslam McKenzie, F., Rowley, S., Phillips, R., Birdsall-Jones, C., &amp; Brereton, D. (2009). Housing Market Dynamics in Resource Boom Towns. Perth: Australian Housing and Urban Research Institute (</w:t>
      </w:r>
      <w:hyperlink r:id="rId8" w:history="1">
        <w:r w:rsidRPr="00BD28A7">
          <w:rPr>
            <w:rStyle w:val="Hyperlink"/>
            <w:rFonts w:ascii="Calibri" w:hAnsi="Calibri"/>
            <w:noProof/>
          </w:rPr>
          <w:t>www.ahuri.edu.au/publications/p80370/)</w:t>
        </w:r>
      </w:hyperlink>
      <w:r w:rsidRPr="00BD28A7">
        <w:rPr>
          <w:rFonts w:ascii="Calibri" w:hAnsi="Calibri"/>
          <w:noProof/>
        </w:rPr>
        <w:t>.</w:t>
      </w:r>
      <w:bookmarkEnd w:id="9"/>
    </w:p>
    <w:p w:rsidR="00BD28A7" w:rsidRPr="00BD28A7" w:rsidRDefault="00BD28A7" w:rsidP="00BD28A7">
      <w:pPr>
        <w:spacing w:line="240" w:lineRule="auto"/>
        <w:ind w:left="720" w:hanging="720"/>
        <w:rPr>
          <w:rFonts w:ascii="Calibri" w:hAnsi="Calibri"/>
          <w:noProof/>
        </w:rPr>
      </w:pPr>
      <w:bookmarkStart w:id="10" w:name="_ENREF_10"/>
      <w:r w:rsidRPr="00BD28A7">
        <w:rPr>
          <w:rFonts w:ascii="Calibri" w:hAnsi="Calibri"/>
          <w:noProof/>
        </w:rPr>
        <w:t>Minifie, J. (2013). The mining boom: Impacts and prospects. Melbourne: The Grattan Institute.</w:t>
      </w:r>
      <w:bookmarkEnd w:id="10"/>
    </w:p>
    <w:p w:rsidR="00BD28A7" w:rsidRPr="00BD28A7" w:rsidRDefault="00BD28A7" w:rsidP="00BD28A7">
      <w:pPr>
        <w:spacing w:line="240" w:lineRule="auto"/>
        <w:ind w:left="720" w:hanging="720"/>
        <w:rPr>
          <w:rFonts w:ascii="Calibri" w:hAnsi="Calibri"/>
          <w:noProof/>
        </w:rPr>
      </w:pPr>
      <w:bookmarkStart w:id="11" w:name="_ENREF_11"/>
      <w:r w:rsidRPr="00BD28A7">
        <w:rPr>
          <w:rFonts w:ascii="Calibri" w:hAnsi="Calibri"/>
          <w:noProof/>
        </w:rPr>
        <w:t xml:space="preserve">Rolfe, J., &amp; Kinnear, A. (2013). Populating regional Australia: What are the impacts of non-resident labour force practices on demographic growth in resource regions? </w:t>
      </w:r>
      <w:r w:rsidRPr="00BD28A7">
        <w:rPr>
          <w:rFonts w:ascii="Calibri" w:hAnsi="Calibri"/>
          <w:i/>
          <w:noProof/>
        </w:rPr>
        <w:t>Rural Society, 22</w:t>
      </w:r>
      <w:r w:rsidRPr="00BD28A7">
        <w:rPr>
          <w:rFonts w:ascii="Calibri" w:hAnsi="Calibri"/>
          <w:noProof/>
        </w:rPr>
        <w:t xml:space="preserve">(2), 125-137. </w:t>
      </w:r>
      <w:bookmarkEnd w:id="11"/>
    </w:p>
    <w:p w:rsidR="00BD28A7" w:rsidRPr="00BD28A7" w:rsidRDefault="00BD28A7" w:rsidP="00BD28A7">
      <w:pPr>
        <w:spacing w:line="240" w:lineRule="auto"/>
        <w:ind w:left="720" w:hanging="720"/>
        <w:rPr>
          <w:rFonts w:ascii="Calibri" w:hAnsi="Calibri"/>
          <w:noProof/>
        </w:rPr>
      </w:pPr>
      <w:bookmarkStart w:id="12" w:name="_ENREF_12"/>
      <w:r w:rsidRPr="00BD28A7">
        <w:rPr>
          <w:rFonts w:ascii="Calibri" w:hAnsi="Calibri"/>
          <w:noProof/>
        </w:rPr>
        <w:t xml:space="preserve">Rolfe, J., Miles, B., Lockie, S., &amp; Ivanova, G. (2007). Lessons from the social and economic impacts of the mining boom in the Bowen Basin 2004-2006. </w:t>
      </w:r>
      <w:r w:rsidRPr="00BD28A7">
        <w:rPr>
          <w:rFonts w:ascii="Calibri" w:hAnsi="Calibri"/>
          <w:i/>
          <w:noProof/>
        </w:rPr>
        <w:t>Australasian Journal of Regional Studies, 13</w:t>
      </w:r>
      <w:r w:rsidRPr="00BD28A7">
        <w:rPr>
          <w:rFonts w:ascii="Calibri" w:hAnsi="Calibri"/>
          <w:noProof/>
        </w:rPr>
        <w:t xml:space="preserve">, 134-153. </w:t>
      </w:r>
      <w:bookmarkEnd w:id="12"/>
    </w:p>
    <w:p w:rsidR="00BD28A7" w:rsidRPr="00BD28A7" w:rsidRDefault="00BD28A7" w:rsidP="00BD28A7">
      <w:pPr>
        <w:spacing w:line="240" w:lineRule="auto"/>
        <w:ind w:left="720" w:hanging="720"/>
        <w:rPr>
          <w:rFonts w:ascii="Calibri" w:hAnsi="Calibri"/>
          <w:noProof/>
        </w:rPr>
      </w:pPr>
      <w:bookmarkStart w:id="13" w:name="_ENREF_13"/>
      <w:r w:rsidRPr="00BD28A7">
        <w:rPr>
          <w:rFonts w:ascii="Calibri" w:hAnsi="Calibri"/>
          <w:noProof/>
        </w:rPr>
        <w:t>Rolfe, J., &amp; Rose, A. (2012). An economic and demographic analysis of growth potential from the resources sector in the Surat Basin Region. Rockhampton: CSIRO Mineral Futures project.</w:t>
      </w:r>
      <w:bookmarkEnd w:id="13"/>
    </w:p>
    <w:p w:rsidR="00BD28A7" w:rsidRPr="00BD28A7" w:rsidRDefault="00BD28A7" w:rsidP="00BD28A7">
      <w:pPr>
        <w:spacing w:line="240" w:lineRule="auto"/>
        <w:ind w:left="720" w:hanging="720"/>
        <w:rPr>
          <w:rFonts w:ascii="Calibri" w:hAnsi="Calibri"/>
          <w:noProof/>
        </w:rPr>
      </w:pPr>
      <w:bookmarkStart w:id="14" w:name="_ENREF_14"/>
      <w:r w:rsidRPr="00BD28A7">
        <w:rPr>
          <w:rFonts w:ascii="Calibri" w:hAnsi="Calibri"/>
          <w:noProof/>
        </w:rPr>
        <w:t>Senate Select Committee on Housing Affordability in Australia. (2008). A good house is hard to find: Housing affordability in Australia. Canberra: Commonwealth of Australia.</w:t>
      </w:r>
      <w:bookmarkEnd w:id="14"/>
    </w:p>
    <w:p w:rsidR="00BD28A7" w:rsidRPr="00BD28A7" w:rsidRDefault="00BD28A7" w:rsidP="00BD28A7">
      <w:pPr>
        <w:spacing w:line="240" w:lineRule="auto"/>
        <w:ind w:left="720" w:hanging="720"/>
        <w:rPr>
          <w:rFonts w:ascii="Calibri" w:hAnsi="Calibri"/>
          <w:noProof/>
        </w:rPr>
      </w:pPr>
      <w:bookmarkStart w:id="15" w:name="_ENREF_15"/>
      <w:r w:rsidRPr="00BD28A7">
        <w:rPr>
          <w:rFonts w:ascii="Calibri" w:hAnsi="Calibri"/>
          <w:noProof/>
        </w:rPr>
        <w:t xml:space="preserve">Sheehan, P. (2011). Beyond the boom: The new economic challenge. </w:t>
      </w:r>
      <w:r w:rsidRPr="00BD28A7">
        <w:rPr>
          <w:rFonts w:ascii="Calibri" w:hAnsi="Calibri"/>
          <w:i/>
          <w:noProof/>
        </w:rPr>
        <w:t>Australian Policy Online.</w:t>
      </w:r>
      <w:r w:rsidRPr="00BD28A7">
        <w:rPr>
          <w:rFonts w:ascii="Calibri" w:hAnsi="Calibri"/>
          <w:noProof/>
        </w:rPr>
        <w:t xml:space="preserve">  Retrieved 5th January, 2012, from </w:t>
      </w:r>
      <w:hyperlink r:id="rId9" w:history="1">
        <w:r w:rsidRPr="00BD28A7">
          <w:rPr>
            <w:rStyle w:val="Hyperlink"/>
            <w:rFonts w:ascii="Calibri" w:hAnsi="Calibri"/>
            <w:noProof/>
          </w:rPr>
          <w:t>www.inside.org.au/Beyond-the-boom-The-new-economic-challenge</w:t>
        </w:r>
        <w:bookmarkEnd w:id="15"/>
      </w:hyperlink>
    </w:p>
    <w:p w:rsidR="00BD28A7" w:rsidRDefault="00BD28A7" w:rsidP="00BD28A7">
      <w:pPr>
        <w:spacing w:line="240" w:lineRule="auto"/>
        <w:rPr>
          <w:rFonts w:ascii="Calibri" w:hAnsi="Calibri"/>
          <w:noProof/>
        </w:rPr>
      </w:pPr>
    </w:p>
    <w:p w:rsidR="001114C5" w:rsidRDefault="006677F8" w:rsidP="003F03D1">
      <w:r>
        <w:fldChar w:fldCharType="end"/>
      </w:r>
    </w:p>
    <w:p w:rsidR="00B520F8" w:rsidRDefault="00B520F8" w:rsidP="00B520F8">
      <w:pPr>
        <w:spacing w:after="200" w:line="276" w:lineRule="auto"/>
        <w:jc w:val="left"/>
        <w:rPr>
          <w:rFonts w:ascii="Palatino" w:hAnsi="Palatino"/>
          <w:b/>
          <w:i/>
          <w:sz w:val="22"/>
          <w:szCs w:val="22"/>
        </w:rPr>
      </w:pPr>
    </w:p>
    <w:p w:rsidR="00947A7C" w:rsidRDefault="00947A7C" w:rsidP="00B520F8">
      <w:pPr>
        <w:spacing w:after="200" w:line="276" w:lineRule="auto"/>
        <w:jc w:val="left"/>
        <w:rPr>
          <w:rFonts w:ascii="Palatino" w:hAnsi="Palatino"/>
          <w:b/>
          <w:i/>
          <w:sz w:val="22"/>
          <w:szCs w:val="22"/>
        </w:rPr>
      </w:pPr>
    </w:p>
    <w:p w:rsidR="00D54D81" w:rsidRDefault="00D54D81" w:rsidP="00B520F8">
      <w:pPr>
        <w:spacing w:after="200" w:line="276" w:lineRule="auto"/>
        <w:jc w:val="left"/>
        <w:rPr>
          <w:rFonts w:ascii="Verdana" w:hAnsi="Verdana"/>
          <w:color w:val="000000" w:themeColor="text1"/>
          <w:sz w:val="20"/>
          <w:szCs w:val="20"/>
        </w:rPr>
      </w:pPr>
      <w:r w:rsidRPr="004C279F">
        <w:rPr>
          <w:b/>
        </w:rPr>
        <w:t xml:space="preserve">Professor Fiona Haslam </w:t>
      </w:r>
      <w:proofErr w:type="spellStart"/>
      <w:r w:rsidRPr="003727B5">
        <w:rPr>
          <w:b/>
          <w:color w:val="000000" w:themeColor="text1"/>
        </w:rPr>
        <w:t>Mckenzie</w:t>
      </w:r>
      <w:proofErr w:type="spellEnd"/>
      <w:r w:rsidRPr="003727B5">
        <w:rPr>
          <w:color w:val="000000" w:themeColor="text1"/>
        </w:rPr>
        <w:t xml:space="preserve"> has a </w:t>
      </w:r>
      <w:r w:rsidRPr="008F448A">
        <w:t xml:space="preserve">PhD in political geography.  Fiona has extensive experience in population and </w:t>
      </w:r>
      <w:proofErr w:type="spellStart"/>
      <w:r w:rsidRPr="008F448A">
        <w:t>socio-economic</w:t>
      </w:r>
      <w:proofErr w:type="spellEnd"/>
      <w:r w:rsidRPr="008F448A">
        <w:t xml:space="preserve"> change, housing, regional economic development and analysis of remote, regional and urban </w:t>
      </w:r>
      <w:proofErr w:type="spellStart"/>
      <w:r w:rsidRPr="008F448A">
        <w:t>socio-economic</w:t>
      </w:r>
      <w:proofErr w:type="spellEnd"/>
      <w:r w:rsidRPr="008F448A">
        <w:t xml:space="preserve"> indicators. She has published widely and undertaken work for the corporate and small business sectors both nationally and in Western Australia as well conducting work for all three tiers of government.  Fiona led the CSIRO Minerals Down Under Regions in </w:t>
      </w:r>
      <w:r w:rsidR="00947A7C">
        <w:t>Transition Project.  She currently leads</w:t>
      </w:r>
      <w:r w:rsidRPr="008F448A">
        <w:t xml:space="preserve"> the Regional Economies – Enduring Community Value from Mining division of the Co-operative Research Centre - Remote Economic Participation.  She is investigating the </w:t>
      </w:r>
      <w:proofErr w:type="spellStart"/>
      <w:r w:rsidRPr="008F448A">
        <w:t>socio-economic</w:t>
      </w:r>
      <w:proofErr w:type="spellEnd"/>
      <w:r w:rsidRPr="008F448A">
        <w:t xml:space="preserve"> impact of different workforce arrangements for the mining industry, including long distance commuting, residential and automated </w:t>
      </w:r>
      <w:proofErr w:type="spellStart"/>
      <w:r w:rsidRPr="008F448A">
        <w:t>minesites</w:t>
      </w:r>
      <w:proofErr w:type="spellEnd"/>
      <w:r w:rsidRPr="008F448A">
        <w:t>.</w:t>
      </w:r>
    </w:p>
    <w:p w:rsidR="00D54D81" w:rsidRDefault="00D54D81" w:rsidP="00D54D81">
      <w:pPr>
        <w:spacing w:after="200" w:line="276" w:lineRule="auto"/>
        <w:jc w:val="left"/>
        <w:rPr>
          <w:b/>
        </w:rPr>
      </w:pPr>
    </w:p>
    <w:p w:rsidR="00D54D81" w:rsidRDefault="00D54D81" w:rsidP="00D54D81">
      <w:pPr>
        <w:spacing w:after="200" w:line="276" w:lineRule="auto"/>
        <w:jc w:val="left"/>
        <w:rPr>
          <w:b/>
        </w:rPr>
      </w:pPr>
    </w:p>
    <w:p w:rsidR="00EA79D3" w:rsidRPr="00EA79D3" w:rsidRDefault="00394881" w:rsidP="00EA79D3">
      <w:pPr>
        <w:rPr>
          <w:rFonts w:ascii="Calibri" w:hAnsi="Calibri"/>
          <w:i/>
          <w:color w:val="000000"/>
          <w:sz w:val="21"/>
          <w:szCs w:val="21"/>
        </w:rPr>
      </w:pPr>
      <w:r w:rsidRPr="00654B81">
        <w:rPr>
          <w:rFonts w:ascii="Palatino" w:hAnsi="Palatino"/>
          <w:b/>
          <w:i/>
          <w:sz w:val="22"/>
          <w:szCs w:val="22"/>
        </w:rPr>
        <w:t>Disclaimer</w:t>
      </w:r>
      <w:r w:rsidRPr="00654B81">
        <w:rPr>
          <w:rFonts w:ascii="Palatino" w:hAnsi="Palatino"/>
          <w:i/>
          <w:sz w:val="22"/>
          <w:szCs w:val="22"/>
        </w:rPr>
        <w:t xml:space="preserve">: </w:t>
      </w:r>
      <w:r w:rsidRPr="00EA79D3">
        <w:rPr>
          <w:i/>
          <w:sz w:val="22"/>
          <w:szCs w:val="22"/>
        </w:rPr>
        <w:t xml:space="preserve">While every attempt has been made to use current and accurate information, the researchers make no representation to any person with regard to the completeness and accuracy of the data or information contained in this document and, to the extent permitted by law, disclaim all liability for any loss or damage (including indirect, special or consequential loss or damage) incurred by any person organisation arising from the use of, or reliance upon, the data or information contained herein. </w:t>
      </w:r>
      <w:r w:rsidR="00EA79D3" w:rsidRPr="00EA79D3">
        <w:rPr>
          <w:rStyle w:val="apple-style-span"/>
          <w:bCs/>
          <w:i/>
          <w:color w:val="000000"/>
          <w:sz w:val="22"/>
          <w:szCs w:val="22"/>
          <w:lang w:val="en-US"/>
        </w:rPr>
        <w:t xml:space="preserve">The work reported in this publication was supported by funding from the Australian Government Cooperative Research </w:t>
      </w:r>
      <w:proofErr w:type="spellStart"/>
      <w:r w:rsidR="00EA79D3" w:rsidRPr="00EA79D3">
        <w:rPr>
          <w:rStyle w:val="apple-style-span"/>
          <w:bCs/>
          <w:i/>
          <w:color w:val="000000"/>
          <w:sz w:val="22"/>
          <w:szCs w:val="22"/>
          <w:lang w:val="en-US"/>
        </w:rPr>
        <w:t>Centres</w:t>
      </w:r>
      <w:proofErr w:type="spellEnd"/>
      <w:r w:rsidR="00EA79D3" w:rsidRPr="00EA79D3">
        <w:rPr>
          <w:rStyle w:val="apple-style-span"/>
          <w:bCs/>
          <w:i/>
          <w:color w:val="000000"/>
          <w:sz w:val="22"/>
          <w:szCs w:val="22"/>
          <w:lang w:val="en-US"/>
        </w:rPr>
        <w:t xml:space="preserve"> Program through the Cooperative Research Centre for Remote Economic Participation (</w:t>
      </w:r>
      <w:proofErr w:type="spellStart"/>
      <w:r w:rsidR="00EA79D3" w:rsidRPr="00EA79D3">
        <w:rPr>
          <w:rStyle w:val="apple-style-span"/>
          <w:bCs/>
          <w:i/>
          <w:color w:val="000000"/>
          <w:sz w:val="22"/>
          <w:szCs w:val="22"/>
          <w:lang w:val="en-US"/>
        </w:rPr>
        <w:t>CRC</w:t>
      </w:r>
      <w:proofErr w:type="spellEnd"/>
      <w:r w:rsidR="00EA79D3" w:rsidRPr="00EA79D3">
        <w:rPr>
          <w:rStyle w:val="apple-style-span"/>
          <w:bCs/>
          <w:i/>
          <w:color w:val="000000"/>
          <w:sz w:val="22"/>
          <w:szCs w:val="22"/>
          <w:lang w:val="en-US"/>
        </w:rPr>
        <w:t>-REP). T</w:t>
      </w:r>
      <w:r w:rsidR="00EA79D3" w:rsidRPr="00EA79D3">
        <w:rPr>
          <w:rStyle w:val="apple-style-span"/>
          <w:bCs/>
          <w:i/>
          <w:color w:val="000000"/>
          <w:sz w:val="22"/>
          <w:szCs w:val="22"/>
        </w:rPr>
        <w:t xml:space="preserve">he views expressed herein do not necessarily represent the views of the CRC REP or </w:t>
      </w:r>
      <w:proofErr w:type="spellStart"/>
      <w:r w:rsidR="00EA79D3" w:rsidRPr="00EA79D3">
        <w:rPr>
          <w:rStyle w:val="apple-style-span"/>
          <w:bCs/>
          <w:i/>
          <w:color w:val="000000"/>
          <w:sz w:val="22"/>
          <w:szCs w:val="22"/>
        </w:rPr>
        <w:t>Ninti</w:t>
      </w:r>
      <w:proofErr w:type="spellEnd"/>
      <w:r w:rsidR="00EA79D3" w:rsidRPr="00EA79D3">
        <w:rPr>
          <w:rStyle w:val="apple-style-span"/>
          <w:bCs/>
          <w:i/>
          <w:color w:val="000000"/>
          <w:sz w:val="22"/>
          <w:szCs w:val="22"/>
        </w:rPr>
        <w:t xml:space="preserve"> One Limited or its participants. Errors or omissions remain with the author.</w:t>
      </w:r>
    </w:p>
    <w:p w:rsidR="00D54D81" w:rsidRDefault="00D54D81">
      <w:pPr>
        <w:spacing w:after="200" w:line="276" w:lineRule="auto"/>
        <w:jc w:val="left"/>
      </w:pPr>
    </w:p>
    <w:p w:rsidR="00394881" w:rsidRDefault="00394881" w:rsidP="003F03D1"/>
    <w:sectPr w:rsidR="0039488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B5" w:rsidRDefault="00086BB5" w:rsidP="006543D5">
      <w:pPr>
        <w:spacing w:line="240" w:lineRule="auto"/>
      </w:pPr>
      <w:r>
        <w:separator/>
      </w:r>
    </w:p>
  </w:endnote>
  <w:endnote w:type="continuationSeparator" w:id="0">
    <w:p w:rsidR="00086BB5" w:rsidRDefault="00086BB5" w:rsidP="00654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972483"/>
      <w:docPartObj>
        <w:docPartGallery w:val="Page Numbers (Bottom of Page)"/>
        <w:docPartUnique/>
      </w:docPartObj>
    </w:sdtPr>
    <w:sdtEndPr/>
    <w:sdtContent>
      <w:p w:rsidR="00394881" w:rsidRDefault="00394881" w:rsidP="001105B5">
        <w:pPr>
          <w:pStyle w:val="Footer"/>
          <w:tabs>
            <w:tab w:val="clear" w:pos="9026"/>
            <w:tab w:val="right" w:pos="9923"/>
          </w:tabs>
          <w:ind w:right="-897"/>
          <w:jc w:val="right"/>
        </w:pPr>
        <w:r>
          <w:fldChar w:fldCharType="begin"/>
        </w:r>
        <w:r>
          <w:instrText xml:space="preserve"> PAGE   \* MERGEFORMAT </w:instrText>
        </w:r>
        <w:r>
          <w:fldChar w:fldCharType="separate"/>
        </w:r>
        <w:r w:rsidR="00EC3DAF">
          <w:rPr>
            <w:noProof/>
          </w:rPr>
          <w:t>1</w:t>
        </w:r>
        <w:r>
          <w:rPr>
            <w:noProof/>
          </w:rPr>
          <w:fldChar w:fldCharType="end"/>
        </w:r>
        <w:r>
          <w:rPr>
            <w:noProof/>
          </w:rPr>
          <w:t xml:space="preserve">                                     </w:t>
        </w:r>
        <w:r>
          <w:rPr>
            <w:noProof/>
          </w:rPr>
          <w:drawing>
            <wp:inline distT="0" distB="0" distL="0" distR="0" wp14:anchorId="30FB3306" wp14:editId="2FE12F0B">
              <wp:extent cx="1933575" cy="10674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REP_logo_CMYK.JPEG"/>
                      <pic:cNvPicPr/>
                    </pic:nvPicPr>
                    <pic:blipFill>
                      <a:blip r:embed="rId1">
                        <a:extLst>
                          <a:ext uri="{28A0092B-C50C-407E-A947-70E740481C1C}">
                            <a14:useLocalDpi xmlns:a14="http://schemas.microsoft.com/office/drawing/2010/main" val="0"/>
                          </a:ext>
                        </a:extLst>
                      </a:blip>
                      <a:stretch>
                        <a:fillRect/>
                      </a:stretch>
                    </pic:blipFill>
                    <pic:spPr>
                      <a:xfrm>
                        <a:off x="0" y="0"/>
                        <a:ext cx="1937389" cy="1069577"/>
                      </a:xfrm>
                      <a:prstGeom prst="rect">
                        <a:avLst/>
                      </a:prstGeom>
                    </pic:spPr>
                  </pic:pic>
                </a:graphicData>
              </a:graphic>
            </wp:inline>
          </w:drawing>
        </w:r>
      </w:p>
    </w:sdtContent>
  </w:sdt>
  <w:p w:rsidR="00394881" w:rsidRDefault="00394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B5" w:rsidRDefault="00086BB5" w:rsidP="006543D5">
      <w:pPr>
        <w:spacing w:line="240" w:lineRule="auto"/>
      </w:pPr>
      <w:r>
        <w:separator/>
      </w:r>
    </w:p>
  </w:footnote>
  <w:footnote w:type="continuationSeparator" w:id="0">
    <w:p w:rsidR="00086BB5" w:rsidRDefault="00086BB5" w:rsidP="006543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881" w:rsidRDefault="00394881">
    <w:pPr>
      <w:pStyle w:val="Header"/>
    </w:pPr>
    <w:r w:rsidRPr="00596AF6">
      <w:rPr>
        <w:noProof/>
      </w:rPr>
      <w:drawing>
        <wp:anchor distT="0" distB="0" distL="114300" distR="114300" simplePos="0" relativeHeight="251659264" behindDoc="1" locked="1" layoutInCell="1" allowOverlap="1" wp14:anchorId="682162C0" wp14:editId="63D65802">
          <wp:simplePos x="0" y="0"/>
          <wp:positionH relativeFrom="page">
            <wp:posOffset>180975</wp:posOffset>
          </wp:positionH>
          <wp:positionV relativeFrom="page">
            <wp:posOffset>400050</wp:posOffset>
          </wp:positionV>
          <wp:extent cx="7372350" cy="352425"/>
          <wp:effectExtent l="19050" t="0" r="0" b="0"/>
          <wp:wrapNone/>
          <wp:docPr id="2" name="Picture 12" descr="elf letterhead logo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f letterhead logo strip"/>
                  <pic:cNvPicPr>
                    <a:picLocks noChangeAspect="1" noChangeArrowheads="1"/>
                  </pic:cNvPicPr>
                </pic:nvPicPr>
                <pic:blipFill>
                  <a:blip r:embed="rId1"/>
                  <a:srcRect/>
                  <a:stretch>
                    <a:fillRect/>
                  </a:stretch>
                </pic:blipFill>
                <pic:spPr bwMode="auto">
                  <a:xfrm>
                    <a:off x="0" y="0"/>
                    <a:ext cx="7375525" cy="3530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814CD"/>
    <w:multiLevelType w:val="hybridMultilevel"/>
    <w:tmpl w:val="65FCF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7231BB0"/>
    <w:multiLevelType w:val="hybridMultilevel"/>
    <w:tmpl w:val="C6D44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0zxpfva920ewressaxxetvfvzv5vfeewd0e&quot;&gt;FMcK Complete library&lt;record-ids&gt;&lt;item&gt;3464&lt;/item&gt;&lt;item&gt;3468&lt;/item&gt;&lt;item&gt;3478&lt;/item&gt;&lt;item&gt;3533&lt;/item&gt;&lt;item&gt;5818&lt;/item&gt;&lt;item&gt;5839&lt;/item&gt;&lt;item&gt;5861&lt;/item&gt;&lt;item&gt;5875&lt;/item&gt;&lt;item&gt;5883&lt;/item&gt;&lt;item&gt;5912&lt;/item&gt;&lt;item&gt;5930&lt;/item&gt;&lt;item&gt;5939&lt;/item&gt;&lt;item&gt;5941&lt;/item&gt;&lt;item&gt;5943&lt;/item&gt;&lt;item&gt;5944&lt;/item&gt;&lt;/record-ids&gt;&lt;/item&gt;&lt;/Libraries&gt;"/>
  </w:docVars>
  <w:rsids>
    <w:rsidRoot w:val="003F03D1"/>
    <w:rsid w:val="00077D46"/>
    <w:rsid w:val="00086BB5"/>
    <w:rsid w:val="001114C5"/>
    <w:rsid w:val="001C0B1A"/>
    <w:rsid w:val="002932FD"/>
    <w:rsid w:val="002F04C3"/>
    <w:rsid w:val="002F5B83"/>
    <w:rsid w:val="00307B86"/>
    <w:rsid w:val="003219D8"/>
    <w:rsid w:val="0032336D"/>
    <w:rsid w:val="0033310F"/>
    <w:rsid w:val="003477A1"/>
    <w:rsid w:val="00356C09"/>
    <w:rsid w:val="00394881"/>
    <w:rsid w:val="003E1142"/>
    <w:rsid w:val="003F03D1"/>
    <w:rsid w:val="003F362E"/>
    <w:rsid w:val="00416FDE"/>
    <w:rsid w:val="00440E71"/>
    <w:rsid w:val="00461FFC"/>
    <w:rsid w:val="004B675E"/>
    <w:rsid w:val="005A21CD"/>
    <w:rsid w:val="005D2AF5"/>
    <w:rsid w:val="005D5F2B"/>
    <w:rsid w:val="006078D4"/>
    <w:rsid w:val="006543D5"/>
    <w:rsid w:val="006677F8"/>
    <w:rsid w:val="006B3988"/>
    <w:rsid w:val="0081583F"/>
    <w:rsid w:val="00860BED"/>
    <w:rsid w:val="008A5141"/>
    <w:rsid w:val="009306B7"/>
    <w:rsid w:val="00947A7C"/>
    <w:rsid w:val="009622D8"/>
    <w:rsid w:val="00A2519D"/>
    <w:rsid w:val="00B216BD"/>
    <w:rsid w:val="00B520F8"/>
    <w:rsid w:val="00BD28A7"/>
    <w:rsid w:val="00C27AED"/>
    <w:rsid w:val="00C31161"/>
    <w:rsid w:val="00C809F3"/>
    <w:rsid w:val="00C942DC"/>
    <w:rsid w:val="00D018A8"/>
    <w:rsid w:val="00D159D0"/>
    <w:rsid w:val="00D36AB2"/>
    <w:rsid w:val="00D54D81"/>
    <w:rsid w:val="00E03082"/>
    <w:rsid w:val="00E67EB2"/>
    <w:rsid w:val="00EA79D3"/>
    <w:rsid w:val="00EC3DAF"/>
    <w:rsid w:val="00EC5EDC"/>
    <w:rsid w:val="00F26361"/>
    <w:rsid w:val="00FC6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D1"/>
    <w:pPr>
      <w:spacing w:after="0" w:line="360" w:lineRule="auto"/>
      <w:jc w:val="both"/>
    </w:pPr>
    <w:rPr>
      <w:rFonts w:eastAsia="Times New Roman" w:cs="Times New Roman"/>
      <w:sz w:val="24"/>
      <w:szCs w:val="24"/>
      <w:lang w:eastAsia="en-AU"/>
    </w:rPr>
  </w:style>
  <w:style w:type="paragraph" w:styleId="Heading1">
    <w:name w:val="heading 1"/>
    <w:basedOn w:val="Normal"/>
    <w:next w:val="Normal"/>
    <w:link w:val="Heading1Char"/>
    <w:uiPriority w:val="9"/>
    <w:qFormat/>
    <w:rsid w:val="0034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77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36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A2519D"/>
    <w:rPr>
      <w:i/>
      <w:iCs/>
      <w:color w:val="000000" w:themeColor="text1"/>
    </w:rPr>
  </w:style>
  <w:style w:type="character" w:customStyle="1" w:styleId="QuoteChar">
    <w:name w:val="Quote Char"/>
    <w:basedOn w:val="DefaultParagraphFont"/>
    <w:link w:val="Quote"/>
    <w:uiPriority w:val="29"/>
    <w:rsid w:val="00A2519D"/>
    <w:rPr>
      <w:i/>
      <w:iCs/>
      <w:color w:val="000000" w:themeColor="text1"/>
    </w:rPr>
  </w:style>
  <w:style w:type="character" w:styleId="Emphasis">
    <w:name w:val="Emphasis"/>
    <w:basedOn w:val="DefaultParagraphFont"/>
    <w:uiPriority w:val="20"/>
    <w:qFormat/>
    <w:rsid w:val="003E1142"/>
    <w:rPr>
      <w:i/>
      <w:iCs/>
    </w:rPr>
  </w:style>
  <w:style w:type="paragraph" w:styleId="NormalWeb">
    <w:name w:val="Normal (Web)"/>
    <w:basedOn w:val="Normal"/>
    <w:uiPriority w:val="99"/>
    <w:semiHidden/>
    <w:unhideWhenUsed/>
    <w:rsid w:val="001114C5"/>
    <w:pPr>
      <w:spacing w:before="100" w:beforeAutospacing="1" w:after="100" w:afterAutospacing="1" w:line="240" w:lineRule="auto"/>
      <w:jc w:val="left"/>
    </w:pPr>
    <w:rPr>
      <w:rFonts w:ascii="Times New Roman" w:hAnsi="Times New Roman"/>
    </w:rPr>
  </w:style>
  <w:style w:type="character" w:customStyle="1" w:styleId="Heading2Char">
    <w:name w:val="Heading 2 Char"/>
    <w:basedOn w:val="DefaultParagraphFont"/>
    <w:link w:val="Heading2"/>
    <w:uiPriority w:val="9"/>
    <w:rsid w:val="003477A1"/>
    <w:rPr>
      <w:rFonts w:asciiTheme="majorHAnsi" w:eastAsiaTheme="majorEastAsia" w:hAnsiTheme="majorHAnsi" w:cstheme="majorBidi"/>
      <w:b/>
      <w:bCs/>
      <w:color w:val="4F81BD" w:themeColor="accent1"/>
      <w:sz w:val="26"/>
      <w:szCs w:val="26"/>
      <w:lang w:eastAsia="en-AU"/>
    </w:rPr>
  </w:style>
  <w:style w:type="character" w:customStyle="1" w:styleId="Heading1Char">
    <w:name w:val="Heading 1 Char"/>
    <w:basedOn w:val="DefaultParagraphFont"/>
    <w:link w:val="Heading1"/>
    <w:uiPriority w:val="9"/>
    <w:rsid w:val="003477A1"/>
    <w:rPr>
      <w:rFonts w:asciiTheme="majorHAnsi" w:eastAsiaTheme="majorEastAsia" w:hAnsiTheme="majorHAnsi" w:cstheme="majorBidi"/>
      <w:b/>
      <w:bCs/>
      <w:color w:val="365F91" w:themeColor="accent1" w:themeShade="BF"/>
      <w:sz w:val="28"/>
      <w:szCs w:val="28"/>
      <w:lang w:eastAsia="en-AU"/>
    </w:rPr>
  </w:style>
  <w:style w:type="paragraph" w:styleId="Title">
    <w:name w:val="Title"/>
    <w:basedOn w:val="Normal"/>
    <w:next w:val="Normal"/>
    <w:link w:val="TitleChar"/>
    <w:uiPriority w:val="10"/>
    <w:qFormat/>
    <w:rsid w:val="003477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77A1"/>
    <w:rPr>
      <w:rFonts w:asciiTheme="majorHAnsi" w:eastAsiaTheme="majorEastAsia" w:hAnsiTheme="majorHAnsi" w:cstheme="majorBidi"/>
      <w:color w:val="17365D" w:themeColor="text2" w:themeShade="BF"/>
      <w:spacing w:val="5"/>
      <w:kern w:val="28"/>
      <w:sz w:val="52"/>
      <w:szCs w:val="52"/>
      <w:lang w:eastAsia="en-AU"/>
    </w:rPr>
  </w:style>
  <w:style w:type="character" w:styleId="Hyperlink">
    <w:name w:val="Hyperlink"/>
    <w:basedOn w:val="DefaultParagraphFont"/>
    <w:uiPriority w:val="99"/>
    <w:unhideWhenUsed/>
    <w:rsid w:val="006677F8"/>
    <w:rPr>
      <w:color w:val="0000FF" w:themeColor="hyperlink"/>
      <w:u w:val="single"/>
    </w:rPr>
  </w:style>
  <w:style w:type="paragraph" w:styleId="ListParagraph">
    <w:name w:val="List Paragraph"/>
    <w:basedOn w:val="Normal"/>
    <w:uiPriority w:val="34"/>
    <w:qFormat/>
    <w:rsid w:val="005A21CD"/>
    <w:pPr>
      <w:ind w:left="720"/>
      <w:contextualSpacing/>
    </w:pPr>
  </w:style>
  <w:style w:type="character" w:customStyle="1" w:styleId="Heading3Char">
    <w:name w:val="Heading 3 Char"/>
    <w:basedOn w:val="DefaultParagraphFont"/>
    <w:link w:val="Heading3"/>
    <w:uiPriority w:val="9"/>
    <w:rsid w:val="003F362E"/>
    <w:rPr>
      <w:rFonts w:asciiTheme="majorHAnsi" w:eastAsiaTheme="majorEastAsia" w:hAnsiTheme="majorHAnsi" w:cstheme="majorBidi"/>
      <w:b/>
      <w:bCs/>
      <w:color w:val="4F81BD" w:themeColor="accent1"/>
      <w:sz w:val="24"/>
      <w:szCs w:val="24"/>
      <w:lang w:eastAsia="en-AU"/>
    </w:rPr>
  </w:style>
  <w:style w:type="character" w:styleId="FootnoteReference">
    <w:name w:val="footnote reference"/>
    <w:basedOn w:val="DefaultParagraphFont"/>
    <w:rsid w:val="006543D5"/>
    <w:rPr>
      <w:vertAlign w:val="superscript"/>
    </w:rPr>
  </w:style>
  <w:style w:type="paragraph" w:styleId="BodyText">
    <w:name w:val="Body Text"/>
    <w:basedOn w:val="Normal"/>
    <w:link w:val="BodyTextChar"/>
    <w:rsid w:val="00394881"/>
    <w:rPr>
      <w:rFonts w:ascii="Palatino" w:hAnsi="Palatino"/>
      <w:sz w:val="22"/>
      <w:szCs w:val="20"/>
      <w:lang w:eastAsia="en-US"/>
    </w:rPr>
  </w:style>
  <w:style w:type="character" w:customStyle="1" w:styleId="BodyTextChar">
    <w:name w:val="Body Text Char"/>
    <w:basedOn w:val="DefaultParagraphFont"/>
    <w:link w:val="BodyText"/>
    <w:rsid w:val="00394881"/>
    <w:rPr>
      <w:rFonts w:ascii="Palatino" w:eastAsia="Times New Roman" w:hAnsi="Palatino" w:cs="Times New Roman"/>
      <w:szCs w:val="20"/>
    </w:rPr>
  </w:style>
  <w:style w:type="paragraph" w:styleId="Header">
    <w:name w:val="header"/>
    <w:basedOn w:val="Normal"/>
    <w:link w:val="HeaderChar"/>
    <w:unhideWhenUsed/>
    <w:rsid w:val="00394881"/>
    <w:pPr>
      <w:tabs>
        <w:tab w:val="center" w:pos="4513"/>
        <w:tab w:val="right" w:pos="9026"/>
      </w:tabs>
      <w:spacing w:line="240" w:lineRule="auto"/>
    </w:pPr>
  </w:style>
  <w:style w:type="character" w:customStyle="1" w:styleId="HeaderChar">
    <w:name w:val="Header Char"/>
    <w:basedOn w:val="DefaultParagraphFont"/>
    <w:link w:val="Header"/>
    <w:rsid w:val="00394881"/>
    <w:rPr>
      <w:rFonts w:eastAsia="Times New Roman" w:cs="Times New Roman"/>
      <w:sz w:val="24"/>
      <w:szCs w:val="24"/>
      <w:lang w:eastAsia="en-AU"/>
    </w:rPr>
  </w:style>
  <w:style w:type="paragraph" w:styleId="Footer">
    <w:name w:val="footer"/>
    <w:basedOn w:val="Normal"/>
    <w:link w:val="FooterChar"/>
    <w:uiPriority w:val="99"/>
    <w:unhideWhenUsed/>
    <w:rsid w:val="00394881"/>
    <w:pPr>
      <w:tabs>
        <w:tab w:val="center" w:pos="4513"/>
        <w:tab w:val="right" w:pos="9026"/>
      </w:tabs>
      <w:spacing w:line="240" w:lineRule="auto"/>
    </w:pPr>
  </w:style>
  <w:style w:type="character" w:customStyle="1" w:styleId="FooterChar">
    <w:name w:val="Footer Char"/>
    <w:basedOn w:val="DefaultParagraphFont"/>
    <w:link w:val="Footer"/>
    <w:uiPriority w:val="99"/>
    <w:rsid w:val="00394881"/>
    <w:rPr>
      <w:rFonts w:eastAsia="Times New Roman" w:cs="Times New Roman"/>
      <w:sz w:val="24"/>
      <w:szCs w:val="24"/>
      <w:lang w:eastAsia="en-AU"/>
    </w:rPr>
  </w:style>
  <w:style w:type="paragraph" w:styleId="BalloonText">
    <w:name w:val="Balloon Text"/>
    <w:basedOn w:val="Normal"/>
    <w:link w:val="BalloonTextChar"/>
    <w:uiPriority w:val="99"/>
    <w:semiHidden/>
    <w:unhideWhenUsed/>
    <w:rsid w:val="003948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881"/>
    <w:rPr>
      <w:rFonts w:ascii="Tahoma" w:eastAsia="Times New Roman" w:hAnsi="Tahoma" w:cs="Tahoma"/>
      <w:sz w:val="16"/>
      <w:szCs w:val="16"/>
      <w:lang w:eastAsia="en-AU"/>
    </w:rPr>
  </w:style>
  <w:style w:type="paragraph" w:customStyle="1" w:styleId="CurtinMainAddress">
    <w:name w:val="CurtinMainAddress"/>
    <w:autoRedefine/>
    <w:uiPriority w:val="99"/>
    <w:rsid w:val="00D54D81"/>
    <w:pPr>
      <w:tabs>
        <w:tab w:val="left" w:pos="851"/>
      </w:tabs>
      <w:spacing w:after="0" w:line="240" w:lineRule="auto"/>
    </w:pPr>
    <w:rPr>
      <w:rFonts w:ascii="Calibri" w:eastAsia="Times" w:hAnsi="Calibri" w:cs="Calibri"/>
      <w:sz w:val="18"/>
      <w:szCs w:val="18"/>
      <w:lang w:val="en-GB"/>
    </w:rPr>
  </w:style>
  <w:style w:type="paragraph" w:styleId="PlainText">
    <w:name w:val="Plain Text"/>
    <w:basedOn w:val="Normal"/>
    <w:link w:val="PlainTextChar"/>
    <w:uiPriority w:val="99"/>
    <w:semiHidden/>
    <w:unhideWhenUsed/>
    <w:rsid w:val="00D54D81"/>
    <w:pPr>
      <w:spacing w:line="240" w:lineRule="auto"/>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54D81"/>
    <w:rPr>
      <w:rFonts w:ascii="Calibri" w:hAnsi="Calibri"/>
      <w:szCs w:val="21"/>
    </w:rPr>
  </w:style>
  <w:style w:type="character" w:customStyle="1" w:styleId="apple-style-span">
    <w:name w:val="apple-style-span"/>
    <w:basedOn w:val="DefaultParagraphFont"/>
    <w:rsid w:val="00EA7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D1"/>
    <w:pPr>
      <w:spacing w:after="0" w:line="360" w:lineRule="auto"/>
      <w:jc w:val="both"/>
    </w:pPr>
    <w:rPr>
      <w:rFonts w:eastAsia="Times New Roman" w:cs="Times New Roman"/>
      <w:sz w:val="24"/>
      <w:szCs w:val="24"/>
      <w:lang w:eastAsia="en-AU"/>
    </w:rPr>
  </w:style>
  <w:style w:type="paragraph" w:styleId="Heading1">
    <w:name w:val="heading 1"/>
    <w:basedOn w:val="Normal"/>
    <w:next w:val="Normal"/>
    <w:link w:val="Heading1Char"/>
    <w:uiPriority w:val="9"/>
    <w:qFormat/>
    <w:rsid w:val="0034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77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36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A2519D"/>
    <w:rPr>
      <w:i/>
      <w:iCs/>
      <w:color w:val="000000" w:themeColor="text1"/>
    </w:rPr>
  </w:style>
  <w:style w:type="character" w:customStyle="1" w:styleId="QuoteChar">
    <w:name w:val="Quote Char"/>
    <w:basedOn w:val="DefaultParagraphFont"/>
    <w:link w:val="Quote"/>
    <w:uiPriority w:val="29"/>
    <w:rsid w:val="00A2519D"/>
    <w:rPr>
      <w:i/>
      <w:iCs/>
      <w:color w:val="000000" w:themeColor="text1"/>
    </w:rPr>
  </w:style>
  <w:style w:type="character" w:styleId="Emphasis">
    <w:name w:val="Emphasis"/>
    <w:basedOn w:val="DefaultParagraphFont"/>
    <w:uiPriority w:val="20"/>
    <w:qFormat/>
    <w:rsid w:val="003E1142"/>
    <w:rPr>
      <w:i/>
      <w:iCs/>
    </w:rPr>
  </w:style>
  <w:style w:type="paragraph" w:styleId="NormalWeb">
    <w:name w:val="Normal (Web)"/>
    <w:basedOn w:val="Normal"/>
    <w:uiPriority w:val="99"/>
    <w:semiHidden/>
    <w:unhideWhenUsed/>
    <w:rsid w:val="001114C5"/>
    <w:pPr>
      <w:spacing w:before="100" w:beforeAutospacing="1" w:after="100" w:afterAutospacing="1" w:line="240" w:lineRule="auto"/>
      <w:jc w:val="left"/>
    </w:pPr>
    <w:rPr>
      <w:rFonts w:ascii="Times New Roman" w:hAnsi="Times New Roman"/>
    </w:rPr>
  </w:style>
  <w:style w:type="character" w:customStyle="1" w:styleId="Heading2Char">
    <w:name w:val="Heading 2 Char"/>
    <w:basedOn w:val="DefaultParagraphFont"/>
    <w:link w:val="Heading2"/>
    <w:uiPriority w:val="9"/>
    <w:rsid w:val="003477A1"/>
    <w:rPr>
      <w:rFonts w:asciiTheme="majorHAnsi" w:eastAsiaTheme="majorEastAsia" w:hAnsiTheme="majorHAnsi" w:cstheme="majorBidi"/>
      <w:b/>
      <w:bCs/>
      <w:color w:val="4F81BD" w:themeColor="accent1"/>
      <w:sz w:val="26"/>
      <w:szCs w:val="26"/>
      <w:lang w:eastAsia="en-AU"/>
    </w:rPr>
  </w:style>
  <w:style w:type="character" w:customStyle="1" w:styleId="Heading1Char">
    <w:name w:val="Heading 1 Char"/>
    <w:basedOn w:val="DefaultParagraphFont"/>
    <w:link w:val="Heading1"/>
    <w:uiPriority w:val="9"/>
    <w:rsid w:val="003477A1"/>
    <w:rPr>
      <w:rFonts w:asciiTheme="majorHAnsi" w:eastAsiaTheme="majorEastAsia" w:hAnsiTheme="majorHAnsi" w:cstheme="majorBidi"/>
      <w:b/>
      <w:bCs/>
      <w:color w:val="365F91" w:themeColor="accent1" w:themeShade="BF"/>
      <w:sz w:val="28"/>
      <w:szCs w:val="28"/>
      <w:lang w:eastAsia="en-AU"/>
    </w:rPr>
  </w:style>
  <w:style w:type="paragraph" w:styleId="Title">
    <w:name w:val="Title"/>
    <w:basedOn w:val="Normal"/>
    <w:next w:val="Normal"/>
    <w:link w:val="TitleChar"/>
    <w:uiPriority w:val="10"/>
    <w:qFormat/>
    <w:rsid w:val="003477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77A1"/>
    <w:rPr>
      <w:rFonts w:asciiTheme="majorHAnsi" w:eastAsiaTheme="majorEastAsia" w:hAnsiTheme="majorHAnsi" w:cstheme="majorBidi"/>
      <w:color w:val="17365D" w:themeColor="text2" w:themeShade="BF"/>
      <w:spacing w:val="5"/>
      <w:kern w:val="28"/>
      <w:sz w:val="52"/>
      <w:szCs w:val="52"/>
      <w:lang w:eastAsia="en-AU"/>
    </w:rPr>
  </w:style>
  <w:style w:type="character" w:styleId="Hyperlink">
    <w:name w:val="Hyperlink"/>
    <w:basedOn w:val="DefaultParagraphFont"/>
    <w:uiPriority w:val="99"/>
    <w:unhideWhenUsed/>
    <w:rsid w:val="006677F8"/>
    <w:rPr>
      <w:color w:val="0000FF" w:themeColor="hyperlink"/>
      <w:u w:val="single"/>
    </w:rPr>
  </w:style>
  <w:style w:type="paragraph" w:styleId="ListParagraph">
    <w:name w:val="List Paragraph"/>
    <w:basedOn w:val="Normal"/>
    <w:uiPriority w:val="34"/>
    <w:qFormat/>
    <w:rsid w:val="005A21CD"/>
    <w:pPr>
      <w:ind w:left="720"/>
      <w:contextualSpacing/>
    </w:pPr>
  </w:style>
  <w:style w:type="character" w:customStyle="1" w:styleId="Heading3Char">
    <w:name w:val="Heading 3 Char"/>
    <w:basedOn w:val="DefaultParagraphFont"/>
    <w:link w:val="Heading3"/>
    <w:uiPriority w:val="9"/>
    <w:rsid w:val="003F362E"/>
    <w:rPr>
      <w:rFonts w:asciiTheme="majorHAnsi" w:eastAsiaTheme="majorEastAsia" w:hAnsiTheme="majorHAnsi" w:cstheme="majorBidi"/>
      <w:b/>
      <w:bCs/>
      <w:color w:val="4F81BD" w:themeColor="accent1"/>
      <w:sz w:val="24"/>
      <w:szCs w:val="24"/>
      <w:lang w:eastAsia="en-AU"/>
    </w:rPr>
  </w:style>
  <w:style w:type="character" w:styleId="FootnoteReference">
    <w:name w:val="footnote reference"/>
    <w:basedOn w:val="DefaultParagraphFont"/>
    <w:rsid w:val="006543D5"/>
    <w:rPr>
      <w:vertAlign w:val="superscript"/>
    </w:rPr>
  </w:style>
  <w:style w:type="paragraph" w:styleId="BodyText">
    <w:name w:val="Body Text"/>
    <w:basedOn w:val="Normal"/>
    <w:link w:val="BodyTextChar"/>
    <w:rsid w:val="00394881"/>
    <w:rPr>
      <w:rFonts w:ascii="Palatino" w:hAnsi="Palatino"/>
      <w:sz w:val="22"/>
      <w:szCs w:val="20"/>
      <w:lang w:eastAsia="en-US"/>
    </w:rPr>
  </w:style>
  <w:style w:type="character" w:customStyle="1" w:styleId="BodyTextChar">
    <w:name w:val="Body Text Char"/>
    <w:basedOn w:val="DefaultParagraphFont"/>
    <w:link w:val="BodyText"/>
    <w:rsid w:val="00394881"/>
    <w:rPr>
      <w:rFonts w:ascii="Palatino" w:eastAsia="Times New Roman" w:hAnsi="Palatino" w:cs="Times New Roman"/>
      <w:szCs w:val="20"/>
    </w:rPr>
  </w:style>
  <w:style w:type="paragraph" w:styleId="Header">
    <w:name w:val="header"/>
    <w:basedOn w:val="Normal"/>
    <w:link w:val="HeaderChar"/>
    <w:unhideWhenUsed/>
    <w:rsid w:val="00394881"/>
    <w:pPr>
      <w:tabs>
        <w:tab w:val="center" w:pos="4513"/>
        <w:tab w:val="right" w:pos="9026"/>
      </w:tabs>
      <w:spacing w:line="240" w:lineRule="auto"/>
    </w:pPr>
  </w:style>
  <w:style w:type="character" w:customStyle="1" w:styleId="HeaderChar">
    <w:name w:val="Header Char"/>
    <w:basedOn w:val="DefaultParagraphFont"/>
    <w:link w:val="Header"/>
    <w:rsid w:val="00394881"/>
    <w:rPr>
      <w:rFonts w:eastAsia="Times New Roman" w:cs="Times New Roman"/>
      <w:sz w:val="24"/>
      <w:szCs w:val="24"/>
      <w:lang w:eastAsia="en-AU"/>
    </w:rPr>
  </w:style>
  <w:style w:type="paragraph" w:styleId="Footer">
    <w:name w:val="footer"/>
    <w:basedOn w:val="Normal"/>
    <w:link w:val="FooterChar"/>
    <w:uiPriority w:val="99"/>
    <w:unhideWhenUsed/>
    <w:rsid w:val="00394881"/>
    <w:pPr>
      <w:tabs>
        <w:tab w:val="center" w:pos="4513"/>
        <w:tab w:val="right" w:pos="9026"/>
      </w:tabs>
      <w:spacing w:line="240" w:lineRule="auto"/>
    </w:pPr>
  </w:style>
  <w:style w:type="character" w:customStyle="1" w:styleId="FooterChar">
    <w:name w:val="Footer Char"/>
    <w:basedOn w:val="DefaultParagraphFont"/>
    <w:link w:val="Footer"/>
    <w:uiPriority w:val="99"/>
    <w:rsid w:val="00394881"/>
    <w:rPr>
      <w:rFonts w:eastAsia="Times New Roman" w:cs="Times New Roman"/>
      <w:sz w:val="24"/>
      <w:szCs w:val="24"/>
      <w:lang w:eastAsia="en-AU"/>
    </w:rPr>
  </w:style>
  <w:style w:type="paragraph" w:styleId="BalloonText">
    <w:name w:val="Balloon Text"/>
    <w:basedOn w:val="Normal"/>
    <w:link w:val="BalloonTextChar"/>
    <w:uiPriority w:val="99"/>
    <w:semiHidden/>
    <w:unhideWhenUsed/>
    <w:rsid w:val="003948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881"/>
    <w:rPr>
      <w:rFonts w:ascii="Tahoma" w:eastAsia="Times New Roman" w:hAnsi="Tahoma" w:cs="Tahoma"/>
      <w:sz w:val="16"/>
      <w:szCs w:val="16"/>
      <w:lang w:eastAsia="en-AU"/>
    </w:rPr>
  </w:style>
  <w:style w:type="paragraph" w:customStyle="1" w:styleId="CurtinMainAddress">
    <w:name w:val="CurtinMainAddress"/>
    <w:autoRedefine/>
    <w:uiPriority w:val="99"/>
    <w:rsid w:val="00D54D81"/>
    <w:pPr>
      <w:tabs>
        <w:tab w:val="left" w:pos="851"/>
      </w:tabs>
      <w:spacing w:after="0" w:line="240" w:lineRule="auto"/>
    </w:pPr>
    <w:rPr>
      <w:rFonts w:ascii="Calibri" w:eastAsia="Times" w:hAnsi="Calibri" w:cs="Calibri"/>
      <w:sz w:val="18"/>
      <w:szCs w:val="18"/>
      <w:lang w:val="en-GB"/>
    </w:rPr>
  </w:style>
  <w:style w:type="paragraph" w:styleId="PlainText">
    <w:name w:val="Plain Text"/>
    <w:basedOn w:val="Normal"/>
    <w:link w:val="PlainTextChar"/>
    <w:uiPriority w:val="99"/>
    <w:semiHidden/>
    <w:unhideWhenUsed/>
    <w:rsid w:val="00D54D81"/>
    <w:pPr>
      <w:spacing w:line="240" w:lineRule="auto"/>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54D81"/>
    <w:rPr>
      <w:rFonts w:ascii="Calibri" w:hAnsi="Calibri"/>
      <w:szCs w:val="21"/>
    </w:rPr>
  </w:style>
  <w:style w:type="character" w:customStyle="1" w:styleId="apple-style-span">
    <w:name w:val="apple-style-span"/>
    <w:basedOn w:val="DefaultParagraphFont"/>
    <w:rsid w:val="00EA7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966">
      <w:bodyDiv w:val="1"/>
      <w:marLeft w:val="0"/>
      <w:marRight w:val="0"/>
      <w:marTop w:val="0"/>
      <w:marBottom w:val="0"/>
      <w:divBdr>
        <w:top w:val="none" w:sz="0" w:space="0" w:color="auto"/>
        <w:left w:val="none" w:sz="0" w:space="0" w:color="auto"/>
        <w:bottom w:val="none" w:sz="0" w:space="0" w:color="auto"/>
        <w:right w:val="none" w:sz="0" w:space="0" w:color="auto"/>
      </w:divBdr>
    </w:div>
    <w:div w:id="1002660374">
      <w:bodyDiv w:val="1"/>
      <w:marLeft w:val="0"/>
      <w:marRight w:val="0"/>
      <w:marTop w:val="0"/>
      <w:marBottom w:val="0"/>
      <w:divBdr>
        <w:top w:val="none" w:sz="0" w:space="0" w:color="auto"/>
        <w:left w:val="none" w:sz="0" w:space="0" w:color="auto"/>
        <w:bottom w:val="none" w:sz="0" w:space="0" w:color="auto"/>
        <w:right w:val="none" w:sz="0" w:space="0" w:color="auto"/>
      </w:divBdr>
    </w:div>
    <w:div w:id="1516384401">
      <w:bodyDiv w:val="1"/>
      <w:marLeft w:val="0"/>
      <w:marRight w:val="0"/>
      <w:marTop w:val="0"/>
      <w:marBottom w:val="0"/>
      <w:divBdr>
        <w:top w:val="none" w:sz="0" w:space="0" w:color="auto"/>
        <w:left w:val="none" w:sz="0" w:space="0" w:color="auto"/>
        <w:bottom w:val="none" w:sz="0" w:space="0" w:color="auto"/>
        <w:right w:val="none" w:sz="0" w:space="0" w:color="auto"/>
      </w:divBdr>
    </w:div>
    <w:div w:id="21167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uri.edu.au/publications/p8037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ide.org.au/Beyond-the-boom-The-new-economic-challen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2381</Words>
  <Characters>13928</Characters>
  <Application>Microsoft Office Word</Application>
  <DocSecurity>0</DocSecurity>
  <Lines>258</Lines>
  <Paragraphs>70</Paragraphs>
  <ScaleCrop>false</ScaleCrop>
  <HeadingPairs>
    <vt:vector size="2" baseType="variant">
      <vt:variant>
        <vt:lpstr>Title</vt:lpstr>
      </vt:variant>
      <vt:variant>
        <vt:i4>1</vt:i4>
      </vt:variant>
    </vt:vector>
  </HeadingPairs>
  <TitlesOfParts>
    <vt:vector size="1" baseType="lpstr">
      <vt:lpstr>Submission 30 - Prof Fiona Haslam McKenzie - Geographic Labour Mobility - Commissioned study</vt:lpstr>
    </vt:vector>
  </TitlesOfParts>
  <Company>Prof Fiona Haslam McKenzie</Company>
  <LinksUpToDate>false</LinksUpToDate>
  <CharactersWithSpaces>16330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Prof Fiona Haslam McKenzie - Geographic Labour Mobility - Commissioned study</dc:title>
  <dc:creator>Prof Fiona Haslam McKenzie</dc:creator>
  <cp:lastModifiedBy>Productivity Commission</cp:lastModifiedBy>
  <cp:revision>2</cp:revision>
  <dcterms:created xsi:type="dcterms:W3CDTF">2013-09-10T01:03:00Z</dcterms:created>
  <dcterms:modified xsi:type="dcterms:W3CDTF">2013-09-10T01:03:00Z</dcterms:modified>
</cp:coreProperties>
</file>