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0C9" w:rsidRPr="003441E5" w:rsidRDefault="001D2D61" w:rsidP="00B14DFB">
      <w:pPr>
        <w:pStyle w:val="Title"/>
      </w:pPr>
      <w:bookmarkStart w:id="0" w:name="_GoBack"/>
      <w:bookmarkEnd w:id="0"/>
      <w:r>
        <w:t>Telecommunications Universal Service Obligation</w:t>
      </w:r>
    </w:p>
    <w:p w:rsidR="009F4B9D" w:rsidRPr="003441E5" w:rsidRDefault="009F4B9D" w:rsidP="00B14DFB">
      <w:pPr>
        <w:pStyle w:val="Subtitle"/>
      </w:pPr>
      <w:r w:rsidRPr="003441E5">
        <w:t xml:space="preserve">Submission by the Australian Communications Consumer Action Network to the </w:t>
      </w:r>
      <w:r w:rsidR="00EA2F40">
        <w:t>Productivity Commission</w:t>
      </w:r>
    </w:p>
    <w:p w:rsidR="009F4B9D" w:rsidRPr="003441E5" w:rsidRDefault="00EA2F40" w:rsidP="00B14DFB">
      <w:pPr>
        <w:pStyle w:val="Subtitle"/>
      </w:pPr>
      <w:r>
        <w:t>July 2016</w:t>
      </w:r>
    </w:p>
    <w:p w:rsidR="009F4B9D" w:rsidRPr="003441E5" w:rsidRDefault="009F4B9D" w:rsidP="00A13B92">
      <w:pPr>
        <w:rPr>
          <w:lang w:eastAsia="en-US"/>
        </w:rPr>
      </w:pPr>
      <w:r w:rsidRPr="003441E5">
        <w:rPr>
          <w:lang w:eastAsia="en-US"/>
        </w:rPr>
        <w:br w:type="page"/>
      </w:r>
    </w:p>
    <w:p w:rsidR="009F4B9D" w:rsidRPr="003441E5" w:rsidRDefault="009F4B9D" w:rsidP="00B14DFB">
      <w:pPr>
        <w:pStyle w:val="About"/>
      </w:pPr>
      <w:r w:rsidRPr="003441E5">
        <w:lastRenderedPageBreak/>
        <w:t xml:space="preserve">About </w:t>
      </w:r>
      <w:proofErr w:type="spellStart"/>
      <w:r w:rsidRPr="003441E5">
        <w:t>ACCAN</w:t>
      </w:r>
      <w:proofErr w:type="spellEnd"/>
      <w:r w:rsidRPr="003441E5">
        <w:t xml:space="preserve"> </w:t>
      </w:r>
    </w:p>
    <w:p w:rsidR="009F4B9D" w:rsidRPr="003441E5" w:rsidRDefault="009F4B9D" w:rsidP="00B14DFB">
      <w:r w:rsidRPr="003441E5">
        <w:t>The Australian Communications Consumer Action Network (</w:t>
      </w:r>
      <w:proofErr w:type="spellStart"/>
      <w:r w:rsidRPr="003441E5">
        <w:t>ACCAN</w:t>
      </w:r>
      <w:proofErr w:type="spellEnd"/>
      <w:r w:rsidRPr="003441E5">
        <w:t xml:space="preserve">) is the peak body that represents all consumers on communications issues including telecommunications, broadband and emerging new services. </w:t>
      </w:r>
      <w:proofErr w:type="spellStart"/>
      <w:r w:rsidRPr="003441E5">
        <w:t>ACCAN</w:t>
      </w:r>
      <w:proofErr w:type="spellEnd"/>
      <w:r w:rsidRPr="003441E5">
        <w:t xml:space="preserve"> provides a strong unified voice to industry and government as consumers work towards </w:t>
      </w:r>
      <w:r w:rsidRPr="003441E5">
        <w:rPr>
          <w:rFonts w:asciiTheme="minorHAnsi" w:hAnsiTheme="minorHAnsi" w:cstheme="minorHAnsi"/>
        </w:rPr>
        <w:t>availability</w:t>
      </w:r>
      <w:r w:rsidRPr="003441E5">
        <w:t>, accessibility and affordability of communications services for all Australians.</w:t>
      </w:r>
    </w:p>
    <w:p w:rsidR="00A615CC" w:rsidRPr="003441E5" w:rsidRDefault="00A615CC" w:rsidP="00A615CC">
      <w:r w:rsidRPr="003441E5">
        <w:t xml:space="preserve">Consumers need </w:t>
      </w:r>
      <w:proofErr w:type="spellStart"/>
      <w:r w:rsidRPr="003441E5">
        <w:t>ACCAN</w:t>
      </w:r>
      <w:proofErr w:type="spellEnd"/>
      <w:r w:rsidRPr="003441E5">
        <w:t xml:space="preserve"> to promote better consumer protection outcomes ensuring speedy responses to complaints and issues. </w:t>
      </w:r>
      <w:proofErr w:type="spellStart"/>
      <w:r w:rsidRPr="003441E5">
        <w:t>ACCAN</w:t>
      </w:r>
      <w:proofErr w:type="spellEnd"/>
      <w:r w:rsidRPr="003441E5">
        <w:t xml:space="preserve"> aims to empower consumers so that they are well informed and can make good choices about products and services. As a peak body, </w:t>
      </w:r>
      <w:proofErr w:type="spellStart"/>
      <w:r w:rsidRPr="003441E5">
        <w:t>ACCAN</w:t>
      </w:r>
      <w:proofErr w:type="spellEnd"/>
      <w:r w:rsidRPr="003441E5">
        <w:t xml:space="preserve"> will </w:t>
      </w:r>
      <w:r>
        <w:t>represent the views of</w:t>
      </w:r>
      <w:r w:rsidRPr="003441E5">
        <w:t xml:space="preserve"> its broad and diverse membership base to </w:t>
      </w:r>
      <w:r>
        <w:t>policy makers, government and industry</w:t>
      </w:r>
      <w:r w:rsidRPr="003441E5">
        <w:t xml:space="preserve"> to get better </w:t>
      </w:r>
      <w:r>
        <w:t xml:space="preserve">outcomes </w:t>
      </w:r>
      <w:r w:rsidRPr="003441E5">
        <w:t>for all communications consumers. </w:t>
      </w:r>
    </w:p>
    <w:p w:rsidR="009F4B9D" w:rsidRDefault="009F4B9D" w:rsidP="00B14DFB">
      <w:pPr>
        <w:pStyle w:val="About"/>
      </w:pPr>
      <w:r w:rsidRPr="003441E5">
        <w:t>Contact</w:t>
      </w:r>
    </w:p>
    <w:p w:rsidR="00457A81" w:rsidRPr="00457A81" w:rsidRDefault="00457A81" w:rsidP="00457A81">
      <w:pPr>
        <w:pStyle w:val="About"/>
        <w:spacing w:before="0" w:beforeAutospacing="0" w:after="0" w:afterAutospacing="0"/>
        <w:rPr>
          <w:b w:val="0"/>
        </w:rPr>
      </w:pPr>
      <w:r w:rsidRPr="00457A81">
        <w:rPr>
          <w:b w:val="0"/>
        </w:rPr>
        <w:t>Rachel Thomas</w:t>
      </w:r>
    </w:p>
    <w:p w:rsidR="00457A81" w:rsidRPr="00457A81" w:rsidRDefault="00457A81" w:rsidP="00457A81">
      <w:pPr>
        <w:pStyle w:val="About"/>
        <w:spacing w:before="0" w:beforeAutospacing="0" w:after="0" w:afterAutospacing="0"/>
        <w:rPr>
          <w:b w:val="0"/>
        </w:rPr>
      </w:pPr>
      <w:r w:rsidRPr="00457A81">
        <w:rPr>
          <w:b w:val="0"/>
        </w:rPr>
        <w:t>Policy Officer</w:t>
      </w:r>
    </w:p>
    <w:p w:rsidR="009F4B9D" w:rsidRPr="003441E5" w:rsidRDefault="009F4B9D" w:rsidP="00C00823">
      <w:pPr>
        <w:jc w:val="left"/>
      </w:pPr>
      <w:r w:rsidRPr="003441E5">
        <w:t>Suite 402, Level 4</w:t>
      </w:r>
      <w:r w:rsidRPr="003441E5">
        <w:br/>
        <w:t>55 Mountain Street</w:t>
      </w:r>
      <w:r w:rsidRPr="003441E5">
        <w:br/>
        <w:t>Ultimo NSW, 2007</w:t>
      </w:r>
      <w:r w:rsidRPr="003441E5">
        <w:br/>
        <w:t xml:space="preserve">Email: </w:t>
      </w:r>
      <w:hyperlink r:id="rId15" w:history="1">
        <w:proofErr w:type="spellStart"/>
        <w:r w:rsidRPr="003441E5">
          <w:rPr>
            <w:rStyle w:val="Hyperlink"/>
          </w:rPr>
          <w:t>info@accan.org.au</w:t>
        </w:r>
        <w:proofErr w:type="spellEnd"/>
      </w:hyperlink>
      <w:r w:rsidRPr="003441E5">
        <w:rPr>
          <w:rStyle w:val="Hyperlink"/>
        </w:rPr>
        <w:br/>
      </w:r>
      <w:r w:rsidRPr="003441E5">
        <w:t>Phone: (02) 9288 4000</w:t>
      </w:r>
      <w:r w:rsidRPr="003441E5">
        <w:br/>
        <w:t>Fax: (02) 9288 4019</w:t>
      </w:r>
      <w:r w:rsidRPr="003441E5">
        <w:br/>
        <w:t>TTY: 9281 5322</w:t>
      </w:r>
    </w:p>
    <w:sdt>
      <w:sdtPr>
        <w:rPr>
          <w:rFonts w:eastAsiaTheme="minorEastAsia" w:cstheme="minorBidi"/>
          <w:bCs w:val="0"/>
          <w:sz w:val="23"/>
          <w:szCs w:val="22"/>
          <w:lang w:eastAsia="en-AU"/>
        </w:rPr>
        <w:id w:val="-39521029"/>
        <w:docPartObj>
          <w:docPartGallery w:val="Table of Contents"/>
          <w:docPartUnique/>
        </w:docPartObj>
      </w:sdtPr>
      <w:sdtEndPr>
        <w:rPr>
          <w:b/>
          <w:noProof/>
          <w:sz w:val="22"/>
        </w:rPr>
      </w:sdtEndPr>
      <w:sdtContent>
        <w:p w:rsidR="00EC1696" w:rsidRPr="0019301B" w:rsidRDefault="00EC1696" w:rsidP="00B51314">
          <w:pPr>
            <w:pStyle w:val="TOCHeading"/>
            <w:spacing w:after="0"/>
            <w:rPr>
              <w:sz w:val="40"/>
              <w:szCs w:val="40"/>
            </w:rPr>
          </w:pPr>
          <w:r w:rsidRPr="0019301B">
            <w:rPr>
              <w:sz w:val="40"/>
              <w:szCs w:val="40"/>
            </w:rPr>
            <w:t>Contents</w:t>
          </w:r>
        </w:p>
        <w:p w:rsidR="004C4226" w:rsidRDefault="00EC1696">
          <w:pPr>
            <w:pStyle w:val="TOC1"/>
            <w:rPr>
              <w:rFonts w:asciiTheme="minorHAnsi" w:hAnsiTheme="minorHAnsi"/>
              <w:noProof/>
              <w:lang w:val="en-IE" w:eastAsia="en-IE"/>
            </w:rPr>
          </w:pPr>
          <w:r w:rsidRPr="003441E5">
            <w:fldChar w:fldCharType="begin"/>
          </w:r>
          <w:r w:rsidRPr="003441E5">
            <w:instrText xml:space="preserve"> TOC \o "1-3" \h \z \u </w:instrText>
          </w:r>
          <w:r w:rsidRPr="003441E5">
            <w:fldChar w:fldCharType="separate"/>
          </w:r>
          <w:hyperlink w:anchor="_Toc457563424" w:history="1">
            <w:r w:rsidR="004C4226" w:rsidRPr="00C60A41">
              <w:rPr>
                <w:rStyle w:val="Hyperlink"/>
                <w:noProof/>
              </w:rPr>
              <w:t>1.</w:t>
            </w:r>
            <w:r w:rsidR="004C4226">
              <w:rPr>
                <w:rFonts w:asciiTheme="minorHAnsi" w:hAnsiTheme="minorHAnsi"/>
                <w:noProof/>
                <w:lang w:val="en-IE" w:eastAsia="en-IE"/>
              </w:rPr>
              <w:tab/>
            </w:r>
            <w:r w:rsidR="004C4226" w:rsidRPr="00C60A41">
              <w:rPr>
                <w:rStyle w:val="Hyperlink"/>
                <w:noProof/>
              </w:rPr>
              <w:t>Executive Summary</w:t>
            </w:r>
            <w:r w:rsidR="004C4226">
              <w:rPr>
                <w:noProof/>
                <w:webHidden/>
              </w:rPr>
              <w:tab/>
            </w:r>
            <w:r w:rsidR="004C4226">
              <w:rPr>
                <w:noProof/>
                <w:webHidden/>
              </w:rPr>
              <w:fldChar w:fldCharType="begin"/>
            </w:r>
            <w:r w:rsidR="004C4226">
              <w:rPr>
                <w:noProof/>
                <w:webHidden/>
              </w:rPr>
              <w:instrText xml:space="preserve"> PAGEREF _Toc457563424 \h </w:instrText>
            </w:r>
            <w:r w:rsidR="004C4226">
              <w:rPr>
                <w:noProof/>
                <w:webHidden/>
              </w:rPr>
            </w:r>
            <w:r w:rsidR="004C4226">
              <w:rPr>
                <w:noProof/>
                <w:webHidden/>
              </w:rPr>
              <w:fldChar w:fldCharType="separate"/>
            </w:r>
            <w:r w:rsidR="00933F14">
              <w:rPr>
                <w:noProof/>
                <w:webHidden/>
              </w:rPr>
              <w:t>4</w:t>
            </w:r>
            <w:r w:rsidR="004C4226">
              <w:rPr>
                <w:noProof/>
                <w:webHidden/>
              </w:rPr>
              <w:fldChar w:fldCharType="end"/>
            </w:r>
          </w:hyperlink>
        </w:p>
        <w:p w:rsidR="004C4226" w:rsidRDefault="00E514F0">
          <w:pPr>
            <w:pStyle w:val="TOC2"/>
            <w:rPr>
              <w:rFonts w:asciiTheme="minorHAnsi" w:hAnsiTheme="minorHAnsi"/>
              <w:lang w:val="en-IE" w:eastAsia="en-IE"/>
            </w:rPr>
          </w:pPr>
          <w:hyperlink w:anchor="_Toc457563425" w:history="1">
            <w:r w:rsidR="004C4226" w:rsidRPr="00C60A41">
              <w:rPr>
                <w:rStyle w:val="Hyperlink"/>
              </w:rPr>
              <w:t>1.1.</w:t>
            </w:r>
            <w:r w:rsidR="004C4226">
              <w:rPr>
                <w:rFonts w:asciiTheme="minorHAnsi" w:hAnsiTheme="minorHAnsi"/>
                <w:lang w:val="en-IE" w:eastAsia="en-IE"/>
              </w:rPr>
              <w:tab/>
            </w:r>
            <w:r w:rsidR="004C4226" w:rsidRPr="00C60A41">
              <w:rPr>
                <w:rStyle w:val="Hyperlink"/>
              </w:rPr>
              <w:t>Telecommunications Universal Service Obligation in Australia</w:t>
            </w:r>
            <w:r w:rsidR="004C4226">
              <w:rPr>
                <w:webHidden/>
              </w:rPr>
              <w:tab/>
            </w:r>
            <w:r w:rsidR="004C4226">
              <w:rPr>
                <w:webHidden/>
              </w:rPr>
              <w:fldChar w:fldCharType="begin"/>
            </w:r>
            <w:r w:rsidR="004C4226">
              <w:rPr>
                <w:webHidden/>
              </w:rPr>
              <w:instrText xml:space="preserve"> PAGEREF _Toc457563425 \h </w:instrText>
            </w:r>
            <w:r w:rsidR="004C4226">
              <w:rPr>
                <w:webHidden/>
              </w:rPr>
            </w:r>
            <w:r w:rsidR="004C4226">
              <w:rPr>
                <w:webHidden/>
              </w:rPr>
              <w:fldChar w:fldCharType="separate"/>
            </w:r>
            <w:r w:rsidR="00933F14">
              <w:rPr>
                <w:webHidden/>
              </w:rPr>
              <w:t>4</w:t>
            </w:r>
            <w:r w:rsidR="004C4226">
              <w:rPr>
                <w:webHidden/>
              </w:rPr>
              <w:fldChar w:fldCharType="end"/>
            </w:r>
          </w:hyperlink>
        </w:p>
        <w:p w:rsidR="004C4226" w:rsidRDefault="00E514F0">
          <w:pPr>
            <w:pStyle w:val="TOC1"/>
            <w:rPr>
              <w:rFonts w:asciiTheme="minorHAnsi" w:hAnsiTheme="minorHAnsi"/>
              <w:noProof/>
              <w:lang w:val="en-IE" w:eastAsia="en-IE"/>
            </w:rPr>
          </w:pPr>
          <w:hyperlink w:anchor="_Toc457563426" w:history="1">
            <w:r w:rsidR="004C4226" w:rsidRPr="00C60A41">
              <w:rPr>
                <w:rStyle w:val="Hyperlink"/>
                <w:noProof/>
              </w:rPr>
              <w:t>1.</w:t>
            </w:r>
            <w:r w:rsidR="004C4226">
              <w:rPr>
                <w:rFonts w:asciiTheme="minorHAnsi" w:hAnsiTheme="minorHAnsi"/>
                <w:noProof/>
                <w:lang w:val="en-IE" w:eastAsia="en-IE"/>
              </w:rPr>
              <w:tab/>
            </w:r>
            <w:r w:rsidR="004C4226" w:rsidRPr="00C60A41">
              <w:rPr>
                <w:rStyle w:val="Hyperlink"/>
                <w:noProof/>
              </w:rPr>
              <w:t>Introduction</w:t>
            </w:r>
            <w:r w:rsidR="004C4226">
              <w:rPr>
                <w:noProof/>
                <w:webHidden/>
              </w:rPr>
              <w:tab/>
            </w:r>
            <w:r w:rsidR="004C4226">
              <w:rPr>
                <w:noProof/>
                <w:webHidden/>
              </w:rPr>
              <w:fldChar w:fldCharType="begin"/>
            </w:r>
            <w:r w:rsidR="004C4226">
              <w:rPr>
                <w:noProof/>
                <w:webHidden/>
              </w:rPr>
              <w:instrText xml:space="preserve"> PAGEREF _Toc457563426 \h </w:instrText>
            </w:r>
            <w:r w:rsidR="004C4226">
              <w:rPr>
                <w:noProof/>
                <w:webHidden/>
              </w:rPr>
            </w:r>
            <w:r w:rsidR="004C4226">
              <w:rPr>
                <w:noProof/>
                <w:webHidden/>
              </w:rPr>
              <w:fldChar w:fldCharType="separate"/>
            </w:r>
            <w:r w:rsidR="00933F14">
              <w:rPr>
                <w:noProof/>
                <w:webHidden/>
              </w:rPr>
              <w:t>6</w:t>
            </w:r>
            <w:r w:rsidR="004C4226">
              <w:rPr>
                <w:noProof/>
                <w:webHidden/>
              </w:rPr>
              <w:fldChar w:fldCharType="end"/>
            </w:r>
          </w:hyperlink>
        </w:p>
        <w:p w:rsidR="004C4226" w:rsidRDefault="00E514F0">
          <w:pPr>
            <w:pStyle w:val="TOC1"/>
            <w:rPr>
              <w:rFonts w:asciiTheme="minorHAnsi" w:hAnsiTheme="minorHAnsi"/>
              <w:noProof/>
              <w:lang w:val="en-IE" w:eastAsia="en-IE"/>
            </w:rPr>
          </w:pPr>
          <w:hyperlink w:anchor="_Toc457563427" w:history="1">
            <w:r w:rsidR="004C4226" w:rsidRPr="00C60A41">
              <w:rPr>
                <w:rStyle w:val="Hyperlink"/>
                <w:noProof/>
              </w:rPr>
              <w:t>2.</w:t>
            </w:r>
            <w:r w:rsidR="004C4226">
              <w:rPr>
                <w:rFonts w:asciiTheme="minorHAnsi" w:hAnsiTheme="minorHAnsi"/>
                <w:noProof/>
                <w:lang w:val="en-IE" w:eastAsia="en-IE"/>
              </w:rPr>
              <w:tab/>
            </w:r>
            <w:r w:rsidR="004C4226" w:rsidRPr="00C60A41">
              <w:rPr>
                <w:rStyle w:val="Hyperlink"/>
                <w:noProof/>
              </w:rPr>
              <w:t>Current USO</w:t>
            </w:r>
            <w:r w:rsidR="004C4226">
              <w:rPr>
                <w:noProof/>
                <w:webHidden/>
              </w:rPr>
              <w:tab/>
            </w:r>
            <w:r w:rsidR="004C4226">
              <w:rPr>
                <w:noProof/>
                <w:webHidden/>
              </w:rPr>
              <w:fldChar w:fldCharType="begin"/>
            </w:r>
            <w:r w:rsidR="004C4226">
              <w:rPr>
                <w:noProof/>
                <w:webHidden/>
              </w:rPr>
              <w:instrText xml:space="preserve"> PAGEREF _Toc457563427 \h </w:instrText>
            </w:r>
            <w:r w:rsidR="004C4226">
              <w:rPr>
                <w:noProof/>
                <w:webHidden/>
              </w:rPr>
            </w:r>
            <w:r w:rsidR="004C4226">
              <w:rPr>
                <w:noProof/>
                <w:webHidden/>
              </w:rPr>
              <w:fldChar w:fldCharType="separate"/>
            </w:r>
            <w:r w:rsidR="00933F14">
              <w:rPr>
                <w:noProof/>
                <w:webHidden/>
              </w:rPr>
              <w:t>7</w:t>
            </w:r>
            <w:r w:rsidR="004C4226">
              <w:rPr>
                <w:noProof/>
                <w:webHidden/>
              </w:rPr>
              <w:fldChar w:fldCharType="end"/>
            </w:r>
          </w:hyperlink>
        </w:p>
        <w:p w:rsidR="004C4226" w:rsidRDefault="00E514F0">
          <w:pPr>
            <w:pStyle w:val="TOC2"/>
            <w:rPr>
              <w:rFonts w:asciiTheme="minorHAnsi" w:hAnsiTheme="minorHAnsi"/>
              <w:lang w:val="en-IE" w:eastAsia="en-IE"/>
            </w:rPr>
          </w:pPr>
          <w:hyperlink w:anchor="_Toc457563428" w:history="1">
            <w:r w:rsidR="004C4226" w:rsidRPr="00C60A41">
              <w:rPr>
                <w:rStyle w:val="Hyperlink"/>
              </w:rPr>
              <w:t>2.1.</w:t>
            </w:r>
            <w:r w:rsidR="004C4226">
              <w:rPr>
                <w:rFonts w:asciiTheme="minorHAnsi" w:hAnsiTheme="minorHAnsi"/>
                <w:lang w:val="en-IE" w:eastAsia="en-IE"/>
              </w:rPr>
              <w:tab/>
            </w:r>
            <w:r w:rsidR="004C4226" w:rsidRPr="00C60A41">
              <w:rPr>
                <w:rStyle w:val="Hyperlink"/>
              </w:rPr>
              <w:t>Standard telephone services</w:t>
            </w:r>
            <w:r w:rsidR="004C4226">
              <w:rPr>
                <w:webHidden/>
              </w:rPr>
              <w:tab/>
            </w:r>
            <w:r w:rsidR="004C4226">
              <w:rPr>
                <w:webHidden/>
              </w:rPr>
              <w:fldChar w:fldCharType="begin"/>
            </w:r>
            <w:r w:rsidR="004C4226">
              <w:rPr>
                <w:webHidden/>
              </w:rPr>
              <w:instrText xml:space="preserve"> PAGEREF _Toc457563428 \h </w:instrText>
            </w:r>
            <w:r w:rsidR="004C4226">
              <w:rPr>
                <w:webHidden/>
              </w:rPr>
            </w:r>
            <w:r w:rsidR="004C4226">
              <w:rPr>
                <w:webHidden/>
              </w:rPr>
              <w:fldChar w:fldCharType="separate"/>
            </w:r>
            <w:r w:rsidR="00933F14">
              <w:rPr>
                <w:webHidden/>
              </w:rPr>
              <w:t>7</w:t>
            </w:r>
            <w:r w:rsidR="004C4226">
              <w:rPr>
                <w:webHidden/>
              </w:rPr>
              <w:fldChar w:fldCharType="end"/>
            </w:r>
          </w:hyperlink>
        </w:p>
        <w:p w:rsidR="004C4226" w:rsidRDefault="00E514F0">
          <w:pPr>
            <w:pStyle w:val="TOC2"/>
            <w:rPr>
              <w:rFonts w:asciiTheme="minorHAnsi" w:hAnsiTheme="minorHAnsi"/>
              <w:lang w:val="en-IE" w:eastAsia="en-IE"/>
            </w:rPr>
          </w:pPr>
          <w:hyperlink w:anchor="_Toc457563429" w:history="1">
            <w:r w:rsidR="004C4226" w:rsidRPr="00C60A41">
              <w:rPr>
                <w:rStyle w:val="Hyperlink"/>
              </w:rPr>
              <w:t>2.2.</w:t>
            </w:r>
            <w:r w:rsidR="004C4226">
              <w:rPr>
                <w:rFonts w:asciiTheme="minorHAnsi" w:hAnsiTheme="minorHAnsi"/>
                <w:lang w:val="en-IE" w:eastAsia="en-IE"/>
              </w:rPr>
              <w:tab/>
            </w:r>
            <w:r w:rsidR="004C4226" w:rsidRPr="00C60A41">
              <w:rPr>
                <w:rStyle w:val="Hyperlink"/>
              </w:rPr>
              <w:t>Payphones</w:t>
            </w:r>
            <w:r w:rsidR="004C4226">
              <w:rPr>
                <w:webHidden/>
              </w:rPr>
              <w:tab/>
            </w:r>
            <w:r w:rsidR="004C4226">
              <w:rPr>
                <w:webHidden/>
              </w:rPr>
              <w:fldChar w:fldCharType="begin"/>
            </w:r>
            <w:r w:rsidR="004C4226">
              <w:rPr>
                <w:webHidden/>
              </w:rPr>
              <w:instrText xml:space="preserve"> PAGEREF _Toc457563429 \h </w:instrText>
            </w:r>
            <w:r w:rsidR="004C4226">
              <w:rPr>
                <w:webHidden/>
              </w:rPr>
            </w:r>
            <w:r w:rsidR="004C4226">
              <w:rPr>
                <w:webHidden/>
              </w:rPr>
              <w:fldChar w:fldCharType="separate"/>
            </w:r>
            <w:r w:rsidR="00933F14">
              <w:rPr>
                <w:webHidden/>
              </w:rPr>
              <w:t>8</w:t>
            </w:r>
            <w:r w:rsidR="004C4226">
              <w:rPr>
                <w:webHidden/>
              </w:rPr>
              <w:fldChar w:fldCharType="end"/>
            </w:r>
          </w:hyperlink>
        </w:p>
        <w:p w:rsidR="004C4226" w:rsidRDefault="00E514F0">
          <w:pPr>
            <w:pStyle w:val="TOC2"/>
            <w:rPr>
              <w:rFonts w:asciiTheme="minorHAnsi" w:hAnsiTheme="minorHAnsi"/>
              <w:lang w:val="en-IE" w:eastAsia="en-IE"/>
            </w:rPr>
          </w:pPr>
          <w:hyperlink w:anchor="_Toc457563430" w:history="1">
            <w:r w:rsidR="004C4226" w:rsidRPr="00C60A41">
              <w:rPr>
                <w:rStyle w:val="Hyperlink"/>
              </w:rPr>
              <w:t>2.3.</w:t>
            </w:r>
            <w:r w:rsidR="004C4226">
              <w:rPr>
                <w:rFonts w:asciiTheme="minorHAnsi" w:hAnsiTheme="minorHAnsi"/>
                <w:lang w:val="en-IE" w:eastAsia="en-IE"/>
              </w:rPr>
              <w:tab/>
            </w:r>
            <w:r w:rsidR="004C4226" w:rsidRPr="00C60A41">
              <w:rPr>
                <w:rStyle w:val="Hyperlink"/>
              </w:rPr>
              <w:t>Policy interaction</w:t>
            </w:r>
            <w:r w:rsidR="004C4226">
              <w:rPr>
                <w:webHidden/>
              </w:rPr>
              <w:tab/>
            </w:r>
            <w:r w:rsidR="004C4226">
              <w:rPr>
                <w:webHidden/>
              </w:rPr>
              <w:fldChar w:fldCharType="begin"/>
            </w:r>
            <w:r w:rsidR="004C4226">
              <w:rPr>
                <w:webHidden/>
              </w:rPr>
              <w:instrText xml:space="preserve"> PAGEREF _Toc457563430 \h </w:instrText>
            </w:r>
            <w:r w:rsidR="004C4226">
              <w:rPr>
                <w:webHidden/>
              </w:rPr>
            </w:r>
            <w:r w:rsidR="004C4226">
              <w:rPr>
                <w:webHidden/>
              </w:rPr>
              <w:fldChar w:fldCharType="separate"/>
            </w:r>
            <w:r w:rsidR="00933F14">
              <w:rPr>
                <w:webHidden/>
              </w:rPr>
              <w:t>8</w:t>
            </w:r>
            <w:r w:rsidR="004C4226">
              <w:rPr>
                <w:webHidden/>
              </w:rPr>
              <w:fldChar w:fldCharType="end"/>
            </w:r>
          </w:hyperlink>
        </w:p>
        <w:p w:rsidR="004C4226" w:rsidRDefault="00E514F0">
          <w:pPr>
            <w:pStyle w:val="TOC1"/>
            <w:rPr>
              <w:rFonts w:asciiTheme="minorHAnsi" w:hAnsiTheme="minorHAnsi"/>
              <w:noProof/>
              <w:lang w:val="en-IE" w:eastAsia="en-IE"/>
            </w:rPr>
          </w:pPr>
          <w:hyperlink w:anchor="_Toc457563431" w:history="1">
            <w:r w:rsidR="004C4226" w:rsidRPr="00C60A41">
              <w:rPr>
                <w:rStyle w:val="Hyperlink"/>
                <w:noProof/>
                <w:lang w:val="en-IE"/>
              </w:rPr>
              <w:t>3.</w:t>
            </w:r>
            <w:r w:rsidR="004C4226">
              <w:rPr>
                <w:rFonts w:asciiTheme="minorHAnsi" w:hAnsiTheme="minorHAnsi"/>
                <w:noProof/>
                <w:lang w:val="en-IE" w:eastAsia="en-IE"/>
              </w:rPr>
              <w:tab/>
            </w:r>
            <w:r w:rsidR="004C4226" w:rsidRPr="00C60A41">
              <w:rPr>
                <w:rStyle w:val="Hyperlink"/>
                <w:noProof/>
                <w:lang w:val="en-IE"/>
              </w:rPr>
              <w:t>Objectives, rationales and options for universal services</w:t>
            </w:r>
            <w:r w:rsidR="004C4226">
              <w:rPr>
                <w:noProof/>
                <w:webHidden/>
              </w:rPr>
              <w:tab/>
            </w:r>
            <w:r w:rsidR="004C4226">
              <w:rPr>
                <w:noProof/>
                <w:webHidden/>
              </w:rPr>
              <w:fldChar w:fldCharType="begin"/>
            </w:r>
            <w:r w:rsidR="004C4226">
              <w:rPr>
                <w:noProof/>
                <w:webHidden/>
              </w:rPr>
              <w:instrText xml:space="preserve"> PAGEREF _Toc457563431 \h </w:instrText>
            </w:r>
            <w:r w:rsidR="004C4226">
              <w:rPr>
                <w:noProof/>
                <w:webHidden/>
              </w:rPr>
            </w:r>
            <w:r w:rsidR="004C4226">
              <w:rPr>
                <w:noProof/>
                <w:webHidden/>
              </w:rPr>
              <w:fldChar w:fldCharType="separate"/>
            </w:r>
            <w:r w:rsidR="00933F14">
              <w:rPr>
                <w:noProof/>
                <w:webHidden/>
              </w:rPr>
              <w:t>10</w:t>
            </w:r>
            <w:r w:rsidR="004C4226">
              <w:rPr>
                <w:noProof/>
                <w:webHidden/>
              </w:rPr>
              <w:fldChar w:fldCharType="end"/>
            </w:r>
          </w:hyperlink>
        </w:p>
        <w:p w:rsidR="004C4226" w:rsidRDefault="00E514F0">
          <w:pPr>
            <w:pStyle w:val="TOC2"/>
            <w:rPr>
              <w:rFonts w:asciiTheme="minorHAnsi" w:hAnsiTheme="minorHAnsi"/>
              <w:lang w:val="en-IE" w:eastAsia="en-IE"/>
            </w:rPr>
          </w:pPr>
          <w:hyperlink w:anchor="_Toc457563432" w:history="1">
            <w:r w:rsidR="004C4226" w:rsidRPr="00C60A41">
              <w:rPr>
                <w:rStyle w:val="Hyperlink"/>
              </w:rPr>
              <w:t>3.1.</w:t>
            </w:r>
            <w:r w:rsidR="004C4226">
              <w:rPr>
                <w:rFonts w:asciiTheme="minorHAnsi" w:hAnsiTheme="minorHAnsi"/>
                <w:lang w:val="en-IE" w:eastAsia="en-IE"/>
              </w:rPr>
              <w:tab/>
            </w:r>
            <w:r w:rsidR="004C4226" w:rsidRPr="00C60A41">
              <w:rPr>
                <w:rStyle w:val="Hyperlink"/>
              </w:rPr>
              <w:t>Empowerment and appropriateness</w:t>
            </w:r>
            <w:r w:rsidR="004C4226">
              <w:rPr>
                <w:webHidden/>
              </w:rPr>
              <w:tab/>
            </w:r>
            <w:r w:rsidR="004C4226">
              <w:rPr>
                <w:webHidden/>
              </w:rPr>
              <w:fldChar w:fldCharType="begin"/>
            </w:r>
            <w:r w:rsidR="004C4226">
              <w:rPr>
                <w:webHidden/>
              </w:rPr>
              <w:instrText xml:space="preserve"> PAGEREF _Toc457563432 \h </w:instrText>
            </w:r>
            <w:r w:rsidR="004C4226">
              <w:rPr>
                <w:webHidden/>
              </w:rPr>
            </w:r>
            <w:r w:rsidR="004C4226">
              <w:rPr>
                <w:webHidden/>
              </w:rPr>
              <w:fldChar w:fldCharType="separate"/>
            </w:r>
            <w:r w:rsidR="00933F14">
              <w:rPr>
                <w:webHidden/>
              </w:rPr>
              <w:t>10</w:t>
            </w:r>
            <w:r w:rsidR="004C4226">
              <w:rPr>
                <w:webHidden/>
              </w:rPr>
              <w:fldChar w:fldCharType="end"/>
            </w:r>
          </w:hyperlink>
        </w:p>
        <w:p w:rsidR="004C4226" w:rsidRDefault="00E514F0">
          <w:pPr>
            <w:pStyle w:val="TOC2"/>
            <w:rPr>
              <w:rFonts w:asciiTheme="minorHAnsi" w:hAnsiTheme="minorHAnsi"/>
              <w:lang w:val="en-IE" w:eastAsia="en-IE"/>
            </w:rPr>
          </w:pPr>
          <w:hyperlink w:anchor="_Toc457563433" w:history="1">
            <w:r w:rsidR="004C4226" w:rsidRPr="00C60A41">
              <w:rPr>
                <w:rStyle w:val="Hyperlink"/>
              </w:rPr>
              <w:t>3.2.</w:t>
            </w:r>
            <w:r w:rsidR="004C4226">
              <w:rPr>
                <w:rFonts w:asciiTheme="minorHAnsi" w:hAnsiTheme="minorHAnsi"/>
                <w:lang w:val="en-IE" w:eastAsia="en-IE"/>
              </w:rPr>
              <w:tab/>
            </w:r>
            <w:r w:rsidR="004C4226" w:rsidRPr="00C60A41">
              <w:rPr>
                <w:rStyle w:val="Hyperlink"/>
              </w:rPr>
              <w:t>Options</w:t>
            </w:r>
            <w:r w:rsidR="004C4226">
              <w:rPr>
                <w:webHidden/>
              </w:rPr>
              <w:tab/>
            </w:r>
            <w:r w:rsidR="004C4226">
              <w:rPr>
                <w:webHidden/>
              </w:rPr>
              <w:fldChar w:fldCharType="begin"/>
            </w:r>
            <w:r w:rsidR="004C4226">
              <w:rPr>
                <w:webHidden/>
              </w:rPr>
              <w:instrText xml:space="preserve"> PAGEREF _Toc457563433 \h </w:instrText>
            </w:r>
            <w:r w:rsidR="004C4226">
              <w:rPr>
                <w:webHidden/>
              </w:rPr>
            </w:r>
            <w:r w:rsidR="004C4226">
              <w:rPr>
                <w:webHidden/>
              </w:rPr>
              <w:fldChar w:fldCharType="separate"/>
            </w:r>
            <w:r w:rsidR="00933F14">
              <w:rPr>
                <w:webHidden/>
              </w:rPr>
              <w:t>10</w:t>
            </w:r>
            <w:r w:rsidR="004C4226">
              <w:rPr>
                <w:webHidden/>
              </w:rPr>
              <w:fldChar w:fldCharType="end"/>
            </w:r>
          </w:hyperlink>
        </w:p>
        <w:p w:rsidR="004C4226" w:rsidRDefault="00E514F0">
          <w:pPr>
            <w:pStyle w:val="TOC1"/>
            <w:rPr>
              <w:rFonts w:asciiTheme="minorHAnsi" w:hAnsiTheme="minorHAnsi"/>
              <w:noProof/>
              <w:lang w:val="en-IE" w:eastAsia="en-IE"/>
            </w:rPr>
          </w:pPr>
          <w:hyperlink w:anchor="_Toc457563434" w:history="1">
            <w:r w:rsidR="004C4226" w:rsidRPr="00C60A41">
              <w:rPr>
                <w:rStyle w:val="Hyperlink"/>
                <w:noProof/>
              </w:rPr>
              <w:t>4.</w:t>
            </w:r>
            <w:r w:rsidR="004C4226">
              <w:rPr>
                <w:rFonts w:asciiTheme="minorHAnsi" w:hAnsiTheme="minorHAnsi"/>
                <w:noProof/>
                <w:lang w:val="en-IE" w:eastAsia="en-IE"/>
              </w:rPr>
              <w:tab/>
            </w:r>
            <w:r w:rsidR="004C4226" w:rsidRPr="00C60A41">
              <w:rPr>
                <w:rStyle w:val="Hyperlink"/>
                <w:noProof/>
              </w:rPr>
              <w:t>Scope: Communication services</w:t>
            </w:r>
            <w:r w:rsidR="004C4226">
              <w:rPr>
                <w:noProof/>
                <w:webHidden/>
              </w:rPr>
              <w:tab/>
            </w:r>
            <w:r w:rsidR="004C4226">
              <w:rPr>
                <w:noProof/>
                <w:webHidden/>
              </w:rPr>
              <w:fldChar w:fldCharType="begin"/>
            </w:r>
            <w:r w:rsidR="004C4226">
              <w:rPr>
                <w:noProof/>
                <w:webHidden/>
              </w:rPr>
              <w:instrText xml:space="preserve"> PAGEREF _Toc457563434 \h </w:instrText>
            </w:r>
            <w:r w:rsidR="004C4226">
              <w:rPr>
                <w:noProof/>
                <w:webHidden/>
              </w:rPr>
            </w:r>
            <w:r w:rsidR="004C4226">
              <w:rPr>
                <w:noProof/>
                <w:webHidden/>
              </w:rPr>
              <w:fldChar w:fldCharType="separate"/>
            </w:r>
            <w:r w:rsidR="00933F14">
              <w:rPr>
                <w:noProof/>
                <w:webHidden/>
              </w:rPr>
              <w:t>11</w:t>
            </w:r>
            <w:r w:rsidR="004C4226">
              <w:rPr>
                <w:noProof/>
                <w:webHidden/>
              </w:rPr>
              <w:fldChar w:fldCharType="end"/>
            </w:r>
          </w:hyperlink>
        </w:p>
        <w:p w:rsidR="004C4226" w:rsidRDefault="00E514F0">
          <w:pPr>
            <w:pStyle w:val="TOC2"/>
            <w:rPr>
              <w:rFonts w:asciiTheme="minorHAnsi" w:hAnsiTheme="minorHAnsi"/>
              <w:lang w:val="en-IE" w:eastAsia="en-IE"/>
            </w:rPr>
          </w:pPr>
          <w:hyperlink w:anchor="_Toc457563435" w:history="1">
            <w:r w:rsidR="004C4226" w:rsidRPr="00C60A41">
              <w:rPr>
                <w:rStyle w:val="Hyperlink"/>
              </w:rPr>
              <w:t>4.1.</w:t>
            </w:r>
            <w:r w:rsidR="004C4226">
              <w:rPr>
                <w:rFonts w:asciiTheme="minorHAnsi" w:hAnsiTheme="minorHAnsi"/>
                <w:lang w:val="en-IE" w:eastAsia="en-IE"/>
              </w:rPr>
              <w:tab/>
            </w:r>
            <w:r w:rsidR="004C4226" w:rsidRPr="00C60A41">
              <w:rPr>
                <w:rStyle w:val="Hyperlink"/>
              </w:rPr>
              <w:t>National Broadband Network and policy</w:t>
            </w:r>
            <w:r w:rsidR="004C4226">
              <w:rPr>
                <w:webHidden/>
              </w:rPr>
              <w:tab/>
            </w:r>
            <w:r w:rsidR="004C4226">
              <w:rPr>
                <w:webHidden/>
              </w:rPr>
              <w:fldChar w:fldCharType="begin"/>
            </w:r>
            <w:r w:rsidR="004C4226">
              <w:rPr>
                <w:webHidden/>
              </w:rPr>
              <w:instrText xml:space="preserve"> PAGEREF _Toc457563435 \h </w:instrText>
            </w:r>
            <w:r w:rsidR="004C4226">
              <w:rPr>
                <w:webHidden/>
              </w:rPr>
            </w:r>
            <w:r w:rsidR="004C4226">
              <w:rPr>
                <w:webHidden/>
              </w:rPr>
              <w:fldChar w:fldCharType="separate"/>
            </w:r>
            <w:r w:rsidR="00933F14">
              <w:rPr>
                <w:webHidden/>
              </w:rPr>
              <w:t>11</w:t>
            </w:r>
            <w:r w:rsidR="004C4226">
              <w:rPr>
                <w:webHidden/>
              </w:rPr>
              <w:fldChar w:fldCharType="end"/>
            </w:r>
          </w:hyperlink>
        </w:p>
        <w:p w:rsidR="004C4226" w:rsidRDefault="00E514F0">
          <w:pPr>
            <w:pStyle w:val="TOC2"/>
            <w:rPr>
              <w:rFonts w:asciiTheme="minorHAnsi" w:hAnsiTheme="minorHAnsi"/>
              <w:lang w:val="en-IE" w:eastAsia="en-IE"/>
            </w:rPr>
          </w:pPr>
          <w:hyperlink w:anchor="_Toc457563436" w:history="1">
            <w:r w:rsidR="004C4226" w:rsidRPr="00C60A41">
              <w:rPr>
                <w:rStyle w:val="Hyperlink"/>
              </w:rPr>
              <w:t>4.2.</w:t>
            </w:r>
            <w:r w:rsidR="004C4226">
              <w:rPr>
                <w:rFonts w:asciiTheme="minorHAnsi" w:hAnsiTheme="minorHAnsi"/>
                <w:lang w:val="en-IE" w:eastAsia="en-IE"/>
              </w:rPr>
              <w:tab/>
            </w:r>
            <w:r w:rsidR="004C4226" w:rsidRPr="00C60A41">
              <w:rPr>
                <w:rStyle w:val="Hyperlink"/>
              </w:rPr>
              <w:t>Data service</w:t>
            </w:r>
            <w:r w:rsidR="004C4226">
              <w:rPr>
                <w:webHidden/>
              </w:rPr>
              <w:tab/>
            </w:r>
            <w:r w:rsidR="004C4226">
              <w:rPr>
                <w:webHidden/>
              </w:rPr>
              <w:fldChar w:fldCharType="begin"/>
            </w:r>
            <w:r w:rsidR="004C4226">
              <w:rPr>
                <w:webHidden/>
              </w:rPr>
              <w:instrText xml:space="preserve"> PAGEREF _Toc457563436 \h </w:instrText>
            </w:r>
            <w:r w:rsidR="004C4226">
              <w:rPr>
                <w:webHidden/>
              </w:rPr>
            </w:r>
            <w:r w:rsidR="004C4226">
              <w:rPr>
                <w:webHidden/>
              </w:rPr>
              <w:fldChar w:fldCharType="separate"/>
            </w:r>
            <w:r w:rsidR="00933F14">
              <w:rPr>
                <w:webHidden/>
              </w:rPr>
              <w:t>12</w:t>
            </w:r>
            <w:r w:rsidR="004C4226">
              <w:rPr>
                <w:webHidden/>
              </w:rPr>
              <w:fldChar w:fldCharType="end"/>
            </w:r>
          </w:hyperlink>
        </w:p>
        <w:p w:rsidR="004C4226" w:rsidRDefault="00E514F0">
          <w:pPr>
            <w:pStyle w:val="TOC2"/>
            <w:rPr>
              <w:rFonts w:asciiTheme="minorHAnsi" w:hAnsiTheme="minorHAnsi"/>
              <w:lang w:val="en-IE" w:eastAsia="en-IE"/>
            </w:rPr>
          </w:pPr>
          <w:hyperlink w:anchor="_Toc457563437" w:history="1">
            <w:r w:rsidR="004C4226" w:rsidRPr="00C60A41">
              <w:rPr>
                <w:rStyle w:val="Hyperlink"/>
              </w:rPr>
              <w:t>4.3.</w:t>
            </w:r>
            <w:r w:rsidR="004C4226">
              <w:rPr>
                <w:rFonts w:asciiTheme="minorHAnsi" w:hAnsiTheme="minorHAnsi"/>
                <w:lang w:val="en-IE" w:eastAsia="en-IE"/>
              </w:rPr>
              <w:tab/>
            </w:r>
            <w:r w:rsidR="004C4226" w:rsidRPr="00C60A41">
              <w:rPr>
                <w:rStyle w:val="Hyperlink"/>
              </w:rPr>
              <w:t>Retail service providers</w:t>
            </w:r>
            <w:r w:rsidR="004C4226">
              <w:rPr>
                <w:webHidden/>
              </w:rPr>
              <w:tab/>
            </w:r>
            <w:r w:rsidR="004C4226">
              <w:rPr>
                <w:webHidden/>
              </w:rPr>
              <w:fldChar w:fldCharType="begin"/>
            </w:r>
            <w:r w:rsidR="004C4226">
              <w:rPr>
                <w:webHidden/>
              </w:rPr>
              <w:instrText xml:space="preserve"> PAGEREF _Toc457563437 \h </w:instrText>
            </w:r>
            <w:r w:rsidR="004C4226">
              <w:rPr>
                <w:webHidden/>
              </w:rPr>
            </w:r>
            <w:r w:rsidR="004C4226">
              <w:rPr>
                <w:webHidden/>
              </w:rPr>
              <w:fldChar w:fldCharType="separate"/>
            </w:r>
            <w:r w:rsidR="00933F14">
              <w:rPr>
                <w:webHidden/>
              </w:rPr>
              <w:t>13</w:t>
            </w:r>
            <w:r w:rsidR="004C4226">
              <w:rPr>
                <w:webHidden/>
              </w:rPr>
              <w:fldChar w:fldCharType="end"/>
            </w:r>
          </w:hyperlink>
        </w:p>
        <w:p w:rsidR="004C4226" w:rsidRDefault="00E514F0">
          <w:pPr>
            <w:pStyle w:val="TOC2"/>
            <w:rPr>
              <w:rFonts w:asciiTheme="minorHAnsi" w:hAnsiTheme="minorHAnsi"/>
              <w:lang w:val="en-IE" w:eastAsia="en-IE"/>
            </w:rPr>
          </w:pPr>
          <w:hyperlink w:anchor="_Toc457563438" w:history="1">
            <w:r w:rsidR="004C4226" w:rsidRPr="00C60A41">
              <w:rPr>
                <w:rStyle w:val="Hyperlink"/>
              </w:rPr>
              <w:t>4.4.</w:t>
            </w:r>
            <w:r w:rsidR="004C4226">
              <w:rPr>
                <w:rFonts w:asciiTheme="minorHAnsi" w:hAnsiTheme="minorHAnsi"/>
                <w:lang w:val="en-IE" w:eastAsia="en-IE"/>
              </w:rPr>
              <w:tab/>
            </w:r>
            <w:r w:rsidR="004C4226" w:rsidRPr="00C60A41">
              <w:rPr>
                <w:rStyle w:val="Hyperlink"/>
              </w:rPr>
              <w:t>Mobility and technology neutrality</w:t>
            </w:r>
            <w:r w:rsidR="004C4226">
              <w:rPr>
                <w:webHidden/>
              </w:rPr>
              <w:tab/>
            </w:r>
            <w:r w:rsidR="004C4226">
              <w:rPr>
                <w:webHidden/>
              </w:rPr>
              <w:fldChar w:fldCharType="begin"/>
            </w:r>
            <w:r w:rsidR="004C4226">
              <w:rPr>
                <w:webHidden/>
              </w:rPr>
              <w:instrText xml:space="preserve"> PAGEREF _Toc457563438 \h </w:instrText>
            </w:r>
            <w:r w:rsidR="004C4226">
              <w:rPr>
                <w:webHidden/>
              </w:rPr>
            </w:r>
            <w:r w:rsidR="004C4226">
              <w:rPr>
                <w:webHidden/>
              </w:rPr>
              <w:fldChar w:fldCharType="separate"/>
            </w:r>
            <w:r w:rsidR="00933F14">
              <w:rPr>
                <w:webHidden/>
              </w:rPr>
              <w:t>13</w:t>
            </w:r>
            <w:r w:rsidR="004C4226">
              <w:rPr>
                <w:webHidden/>
              </w:rPr>
              <w:fldChar w:fldCharType="end"/>
            </w:r>
          </w:hyperlink>
        </w:p>
        <w:p w:rsidR="004C4226" w:rsidRDefault="00E514F0">
          <w:pPr>
            <w:pStyle w:val="TOC2"/>
            <w:rPr>
              <w:rFonts w:asciiTheme="minorHAnsi" w:hAnsiTheme="minorHAnsi"/>
              <w:lang w:val="en-IE" w:eastAsia="en-IE"/>
            </w:rPr>
          </w:pPr>
          <w:hyperlink w:anchor="_Toc457563439" w:history="1">
            <w:r w:rsidR="004C4226" w:rsidRPr="00C60A41">
              <w:rPr>
                <w:rStyle w:val="Hyperlink"/>
              </w:rPr>
              <w:t>4.5.</w:t>
            </w:r>
            <w:r w:rsidR="004C4226">
              <w:rPr>
                <w:rFonts w:asciiTheme="minorHAnsi" w:hAnsiTheme="minorHAnsi"/>
                <w:lang w:val="en-IE" w:eastAsia="en-IE"/>
              </w:rPr>
              <w:tab/>
            </w:r>
            <w:r w:rsidR="004C4226" w:rsidRPr="00C60A41">
              <w:rPr>
                <w:rStyle w:val="Hyperlink"/>
              </w:rPr>
              <w:t>Content</w:t>
            </w:r>
            <w:r w:rsidR="004C4226">
              <w:rPr>
                <w:webHidden/>
              </w:rPr>
              <w:tab/>
            </w:r>
            <w:r w:rsidR="004C4226">
              <w:rPr>
                <w:webHidden/>
              </w:rPr>
              <w:fldChar w:fldCharType="begin"/>
            </w:r>
            <w:r w:rsidR="004C4226">
              <w:rPr>
                <w:webHidden/>
              </w:rPr>
              <w:instrText xml:space="preserve"> PAGEREF _Toc457563439 \h </w:instrText>
            </w:r>
            <w:r w:rsidR="004C4226">
              <w:rPr>
                <w:webHidden/>
              </w:rPr>
            </w:r>
            <w:r w:rsidR="004C4226">
              <w:rPr>
                <w:webHidden/>
              </w:rPr>
              <w:fldChar w:fldCharType="separate"/>
            </w:r>
            <w:r w:rsidR="00933F14">
              <w:rPr>
                <w:webHidden/>
              </w:rPr>
              <w:t>14</w:t>
            </w:r>
            <w:r w:rsidR="004C4226">
              <w:rPr>
                <w:webHidden/>
              </w:rPr>
              <w:fldChar w:fldCharType="end"/>
            </w:r>
          </w:hyperlink>
        </w:p>
        <w:p w:rsidR="004C4226" w:rsidRDefault="00E514F0">
          <w:pPr>
            <w:pStyle w:val="TOC1"/>
            <w:rPr>
              <w:rFonts w:asciiTheme="minorHAnsi" w:hAnsiTheme="minorHAnsi"/>
              <w:noProof/>
              <w:lang w:val="en-IE" w:eastAsia="en-IE"/>
            </w:rPr>
          </w:pPr>
          <w:hyperlink w:anchor="_Toc457563440" w:history="1">
            <w:r w:rsidR="004C4226" w:rsidRPr="00C60A41">
              <w:rPr>
                <w:rStyle w:val="Hyperlink"/>
                <w:noProof/>
              </w:rPr>
              <w:t>5.</w:t>
            </w:r>
            <w:r w:rsidR="004C4226">
              <w:rPr>
                <w:rFonts w:asciiTheme="minorHAnsi" w:hAnsiTheme="minorHAnsi"/>
                <w:noProof/>
                <w:lang w:val="en-IE" w:eastAsia="en-IE"/>
              </w:rPr>
              <w:tab/>
            </w:r>
            <w:r w:rsidR="004C4226" w:rsidRPr="00C60A41">
              <w:rPr>
                <w:rStyle w:val="Hyperlink"/>
                <w:noProof/>
              </w:rPr>
              <w:t>Service guarantees and reliability</w:t>
            </w:r>
            <w:r w:rsidR="004C4226">
              <w:rPr>
                <w:noProof/>
                <w:webHidden/>
              </w:rPr>
              <w:tab/>
            </w:r>
            <w:r w:rsidR="004C4226">
              <w:rPr>
                <w:noProof/>
                <w:webHidden/>
              </w:rPr>
              <w:fldChar w:fldCharType="begin"/>
            </w:r>
            <w:r w:rsidR="004C4226">
              <w:rPr>
                <w:noProof/>
                <w:webHidden/>
              </w:rPr>
              <w:instrText xml:space="preserve"> PAGEREF _Toc457563440 \h </w:instrText>
            </w:r>
            <w:r w:rsidR="004C4226">
              <w:rPr>
                <w:noProof/>
                <w:webHidden/>
              </w:rPr>
            </w:r>
            <w:r w:rsidR="004C4226">
              <w:rPr>
                <w:noProof/>
                <w:webHidden/>
              </w:rPr>
              <w:fldChar w:fldCharType="separate"/>
            </w:r>
            <w:r w:rsidR="00933F14">
              <w:rPr>
                <w:noProof/>
                <w:webHidden/>
              </w:rPr>
              <w:t>16</w:t>
            </w:r>
            <w:r w:rsidR="004C4226">
              <w:rPr>
                <w:noProof/>
                <w:webHidden/>
              </w:rPr>
              <w:fldChar w:fldCharType="end"/>
            </w:r>
          </w:hyperlink>
        </w:p>
        <w:p w:rsidR="004C4226" w:rsidRDefault="00E514F0">
          <w:pPr>
            <w:pStyle w:val="TOC2"/>
            <w:rPr>
              <w:rFonts w:asciiTheme="minorHAnsi" w:hAnsiTheme="minorHAnsi"/>
              <w:lang w:val="en-IE" w:eastAsia="en-IE"/>
            </w:rPr>
          </w:pPr>
          <w:hyperlink w:anchor="_Toc457563441" w:history="1">
            <w:r w:rsidR="004C4226" w:rsidRPr="00C60A41">
              <w:rPr>
                <w:rStyle w:val="Hyperlink"/>
              </w:rPr>
              <w:t>5.1.</w:t>
            </w:r>
            <w:r w:rsidR="004C4226">
              <w:rPr>
                <w:rFonts w:asciiTheme="minorHAnsi" w:hAnsiTheme="minorHAnsi"/>
                <w:lang w:val="en-IE" w:eastAsia="en-IE"/>
              </w:rPr>
              <w:tab/>
            </w:r>
            <w:r w:rsidR="004C4226" w:rsidRPr="00C60A41">
              <w:rPr>
                <w:rStyle w:val="Hyperlink"/>
              </w:rPr>
              <w:t>The need for wholesale service obligations</w:t>
            </w:r>
            <w:r w:rsidR="004C4226">
              <w:rPr>
                <w:webHidden/>
              </w:rPr>
              <w:tab/>
            </w:r>
            <w:r w:rsidR="004C4226">
              <w:rPr>
                <w:webHidden/>
              </w:rPr>
              <w:fldChar w:fldCharType="begin"/>
            </w:r>
            <w:r w:rsidR="004C4226">
              <w:rPr>
                <w:webHidden/>
              </w:rPr>
              <w:instrText xml:space="preserve"> PAGEREF _Toc457563441 \h </w:instrText>
            </w:r>
            <w:r w:rsidR="004C4226">
              <w:rPr>
                <w:webHidden/>
              </w:rPr>
            </w:r>
            <w:r w:rsidR="004C4226">
              <w:rPr>
                <w:webHidden/>
              </w:rPr>
              <w:fldChar w:fldCharType="separate"/>
            </w:r>
            <w:r w:rsidR="00933F14">
              <w:rPr>
                <w:webHidden/>
              </w:rPr>
              <w:t>16</w:t>
            </w:r>
            <w:r w:rsidR="004C4226">
              <w:rPr>
                <w:webHidden/>
              </w:rPr>
              <w:fldChar w:fldCharType="end"/>
            </w:r>
          </w:hyperlink>
        </w:p>
        <w:p w:rsidR="004C4226" w:rsidRDefault="00E514F0">
          <w:pPr>
            <w:pStyle w:val="TOC2"/>
            <w:rPr>
              <w:rFonts w:asciiTheme="minorHAnsi" w:hAnsiTheme="minorHAnsi"/>
              <w:lang w:val="en-IE" w:eastAsia="en-IE"/>
            </w:rPr>
          </w:pPr>
          <w:hyperlink w:anchor="_Toc457563442" w:history="1">
            <w:r w:rsidR="004C4226" w:rsidRPr="00C60A41">
              <w:rPr>
                <w:rStyle w:val="Hyperlink"/>
              </w:rPr>
              <w:t>5.2.</w:t>
            </w:r>
            <w:r w:rsidR="004C4226">
              <w:rPr>
                <w:rFonts w:asciiTheme="minorHAnsi" w:hAnsiTheme="minorHAnsi"/>
                <w:lang w:val="en-IE" w:eastAsia="en-IE"/>
              </w:rPr>
              <w:tab/>
            </w:r>
            <w:r w:rsidR="004C4226" w:rsidRPr="00C60A41">
              <w:rPr>
                <w:rStyle w:val="Hyperlink"/>
              </w:rPr>
              <w:t>Specific obligations</w:t>
            </w:r>
            <w:r w:rsidR="004C4226">
              <w:rPr>
                <w:webHidden/>
              </w:rPr>
              <w:tab/>
            </w:r>
            <w:r w:rsidR="004C4226">
              <w:rPr>
                <w:webHidden/>
              </w:rPr>
              <w:fldChar w:fldCharType="begin"/>
            </w:r>
            <w:r w:rsidR="004C4226">
              <w:rPr>
                <w:webHidden/>
              </w:rPr>
              <w:instrText xml:space="preserve"> PAGEREF _Toc457563442 \h </w:instrText>
            </w:r>
            <w:r w:rsidR="004C4226">
              <w:rPr>
                <w:webHidden/>
              </w:rPr>
            </w:r>
            <w:r w:rsidR="004C4226">
              <w:rPr>
                <w:webHidden/>
              </w:rPr>
              <w:fldChar w:fldCharType="separate"/>
            </w:r>
            <w:r w:rsidR="00933F14">
              <w:rPr>
                <w:webHidden/>
              </w:rPr>
              <w:t>17</w:t>
            </w:r>
            <w:r w:rsidR="004C4226">
              <w:rPr>
                <w:webHidden/>
              </w:rPr>
              <w:fldChar w:fldCharType="end"/>
            </w:r>
          </w:hyperlink>
        </w:p>
        <w:p w:rsidR="004C4226" w:rsidRDefault="00E514F0">
          <w:pPr>
            <w:pStyle w:val="TOC2"/>
            <w:rPr>
              <w:rFonts w:asciiTheme="minorHAnsi" w:hAnsiTheme="minorHAnsi"/>
              <w:lang w:val="en-IE" w:eastAsia="en-IE"/>
            </w:rPr>
          </w:pPr>
          <w:hyperlink w:anchor="_Toc457563443" w:history="1">
            <w:r w:rsidR="004C4226" w:rsidRPr="00C60A41">
              <w:rPr>
                <w:rStyle w:val="Hyperlink"/>
              </w:rPr>
              <w:t>5.3.</w:t>
            </w:r>
            <w:r w:rsidR="004C4226">
              <w:rPr>
                <w:rFonts w:asciiTheme="minorHAnsi" w:hAnsiTheme="minorHAnsi"/>
                <w:lang w:val="en-IE" w:eastAsia="en-IE"/>
              </w:rPr>
              <w:tab/>
            </w:r>
            <w:r w:rsidR="004C4226" w:rsidRPr="00C60A41">
              <w:rPr>
                <w:rStyle w:val="Hyperlink"/>
              </w:rPr>
              <w:t>Remedies and incentives</w:t>
            </w:r>
            <w:r w:rsidR="004C4226">
              <w:rPr>
                <w:webHidden/>
              </w:rPr>
              <w:tab/>
            </w:r>
            <w:r w:rsidR="004C4226">
              <w:rPr>
                <w:webHidden/>
              </w:rPr>
              <w:fldChar w:fldCharType="begin"/>
            </w:r>
            <w:r w:rsidR="004C4226">
              <w:rPr>
                <w:webHidden/>
              </w:rPr>
              <w:instrText xml:space="preserve"> PAGEREF _Toc457563443 \h </w:instrText>
            </w:r>
            <w:r w:rsidR="004C4226">
              <w:rPr>
                <w:webHidden/>
              </w:rPr>
            </w:r>
            <w:r w:rsidR="004C4226">
              <w:rPr>
                <w:webHidden/>
              </w:rPr>
              <w:fldChar w:fldCharType="separate"/>
            </w:r>
            <w:r w:rsidR="00933F14">
              <w:rPr>
                <w:webHidden/>
              </w:rPr>
              <w:t>17</w:t>
            </w:r>
            <w:r w:rsidR="004C4226">
              <w:rPr>
                <w:webHidden/>
              </w:rPr>
              <w:fldChar w:fldCharType="end"/>
            </w:r>
          </w:hyperlink>
        </w:p>
        <w:p w:rsidR="004C4226" w:rsidRDefault="00E514F0">
          <w:pPr>
            <w:pStyle w:val="TOC1"/>
            <w:rPr>
              <w:rFonts w:asciiTheme="minorHAnsi" w:hAnsiTheme="minorHAnsi"/>
              <w:noProof/>
              <w:lang w:val="en-IE" w:eastAsia="en-IE"/>
            </w:rPr>
          </w:pPr>
          <w:hyperlink w:anchor="_Toc457563448" w:history="1">
            <w:r w:rsidR="004C4226" w:rsidRPr="00C60A41">
              <w:rPr>
                <w:rStyle w:val="Hyperlink"/>
                <w:noProof/>
              </w:rPr>
              <w:t>6.</w:t>
            </w:r>
            <w:r w:rsidR="004C4226">
              <w:rPr>
                <w:rFonts w:asciiTheme="minorHAnsi" w:hAnsiTheme="minorHAnsi"/>
                <w:noProof/>
                <w:lang w:val="en-IE" w:eastAsia="en-IE"/>
              </w:rPr>
              <w:tab/>
            </w:r>
            <w:r w:rsidR="004C4226" w:rsidRPr="00C60A41">
              <w:rPr>
                <w:rStyle w:val="Hyperlink"/>
                <w:noProof/>
              </w:rPr>
              <w:t>Affordability</w:t>
            </w:r>
            <w:r w:rsidR="004C4226">
              <w:rPr>
                <w:noProof/>
                <w:webHidden/>
              </w:rPr>
              <w:tab/>
            </w:r>
            <w:r w:rsidR="004C4226">
              <w:rPr>
                <w:noProof/>
                <w:webHidden/>
              </w:rPr>
              <w:fldChar w:fldCharType="begin"/>
            </w:r>
            <w:r w:rsidR="004C4226">
              <w:rPr>
                <w:noProof/>
                <w:webHidden/>
              </w:rPr>
              <w:instrText xml:space="preserve"> PAGEREF _Toc457563448 \h </w:instrText>
            </w:r>
            <w:r w:rsidR="004C4226">
              <w:rPr>
                <w:noProof/>
                <w:webHidden/>
              </w:rPr>
            </w:r>
            <w:r w:rsidR="004C4226">
              <w:rPr>
                <w:noProof/>
                <w:webHidden/>
              </w:rPr>
              <w:fldChar w:fldCharType="separate"/>
            </w:r>
            <w:r w:rsidR="00933F14">
              <w:rPr>
                <w:noProof/>
                <w:webHidden/>
              </w:rPr>
              <w:t>20</w:t>
            </w:r>
            <w:r w:rsidR="004C4226">
              <w:rPr>
                <w:noProof/>
                <w:webHidden/>
              </w:rPr>
              <w:fldChar w:fldCharType="end"/>
            </w:r>
          </w:hyperlink>
        </w:p>
        <w:p w:rsidR="004C4226" w:rsidRDefault="00E514F0">
          <w:pPr>
            <w:pStyle w:val="TOC2"/>
            <w:rPr>
              <w:rFonts w:asciiTheme="minorHAnsi" w:hAnsiTheme="minorHAnsi"/>
              <w:lang w:val="en-IE" w:eastAsia="en-IE"/>
            </w:rPr>
          </w:pPr>
          <w:hyperlink w:anchor="_Toc457563449" w:history="1">
            <w:r w:rsidR="004C4226" w:rsidRPr="00C60A41">
              <w:rPr>
                <w:rStyle w:val="Hyperlink"/>
                <w:rFonts w:eastAsiaTheme="minorHAnsi"/>
              </w:rPr>
              <w:t>6.1.</w:t>
            </w:r>
            <w:r w:rsidR="004C4226">
              <w:rPr>
                <w:rFonts w:asciiTheme="minorHAnsi" w:hAnsiTheme="minorHAnsi"/>
                <w:lang w:val="en-IE" w:eastAsia="en-IE"/>
              </w:rPr>
              <w:tab/>
            </w:r>
            <w:r w:rsidR="004C4226" w:rsidRPr="00C60A41">
              <w:rPr>
                <w:rStyle w:val="Hyperlink"/>
                <w:rFonts w:eastAsiaTheme="minorHAnsi"/>
              </w:rPr>
              <w:t>Affordability for accessibility</w:t>
            </w:r>
            <w:r w:rsidR="004C4226">
              <w:rPr>
                <w:webHidden/>
              </w:rPr>
              <w:tab/>
            </w:r>
            <w:r w:rsidR="004C4226">
              <w:rPr>
                <w:webHidden/>
              </w:rPr>
              <w:fldChar w:fldCharType="begin"/>
            </w:r>
            <w:r w:rsidR="004C4226">
              <w:rPr>
                <w:webHidden/>
              </w:rPr>
              <w:instrText xml:space="preserve"> PAGEREF _Toc457563449 \h </w:instrText>
            </w:r>
            <w:r w:rsidR="004C4226">
              <w:rPr>
                <w:webHidden/>
              </w:rPr>
            </w:r>
            <w:r w:rsidR="004C4226">
              <w:rPr>
                <w:webHidden/>
              </w:rPr>
              <w:fldChar w:fldCharType="separate"/>
            </w:r>
            <w:r w:rsidR="00933F14">
              <w:rPr>
                <w:webHidden/>
              </w:rPr>
              <w:t>21</w:t>
            </w:r>
            <w:r w:rsidR="004C4226">
              <w:rPr>
                <w:webHidden/>
              </w:rPr>
              <w:fldChar w:fldCharType="end"/>
            </w:r>
          </w:hyperlink>
        </w:p>
        <w:p w:rsidR="004C4226" w:rsidRDefault="00E514F0">
          <w:pPr>
            <w:pStyle w:val="TOC2"/>
            <w:rPr>
              <w:rFonts w:asciiTheme="minorHAnsi" w:hAnsiTheme="minorHAnsi"/>
              <w:lang w:val="en-IE" w:eastAsia="en-IE"/>
            </w:rPr>
          </w:pPr>
          <w:hyperlink w:anchor="_Toc457563450" w:history="1">
            <w:r w:rsidR="004C4226" w:rsidRPr="00C60A41">
              <w:rPr>
                <w:rStyle w:val="Hyperlink"/>
              </w:rPr>
              <w:t>6.2.</w:t>
            </w:r>
            <w:r w:rsidR="004C4226">
              <w:rPr>
                <w:rFonts w:asciiTheme="minorHAnsi" w:hAnsiTheme="minorHAnsi"/>
                <w:lang w:val="en-IE" w:eastAsia="en-IE"/>
              </w:rPr>
              <w:tab/>
            </w:r>
            <w:r w:rsidR="004C4226" w:rsidRPr="00C60A41">
              <w:rPr>
                <w:rStyle w:val="Hyperlink"/>
              </w:rPr>
              <w:t>Addressing affordability</w:t>
            </w:r>
            <w:r w:rsidR="004C4226">
              <w:rPr>
                <w:webHidden/>
              </w:rPr>
              <w:tab/>
            </w:r>
            <w:r w:rsidR="004C4226">
              <w:rPr>
                <w:webHidden/>
              </w:rPr>
              <w:fldChar w:fldCharType="begin"/>
            </w:r>
            <w:r w:rsidR="004C4226">
              <w:rPr>
                <w:webHidden/>
              </w:rPr>
              <w:instrText xml:space="preserve"> PAGEREF _Toc457563450 \h </w:instrText>
            </w:r>
            <w:r w:rsidR="004C4226">
              <w:rPr>
                <w:webHidden/>
              </w:rPr>
            </w:r>
            <w:r w:rsidR="004C4226">
              <w:rPr>
                <w:webHidden/>
              </w:rPr>
              <w:fldChar w:fldCharType="separate"/>
            </w:r>
            <w:r w:rsidR="00933F14">
              <w:rPr>
                <w:webHidden/>
              </w:rPr>
              <w:t>21</w:t>
            </w:r>
            <w:r w:rsidR="004C4226">
              <w:rPr>
                <w:webHidden/>
              </w:rPr>
              <w:fldChar w:fldCharType="end"/>
            </w:r>
          </w:hyperlink>
        </w:p>
        <w:p w:rsidR="004C4226" w:rsidRDefault="00E514F0">
          <w:pPr>
            <w:pStyle w:val="TOC1"/>
            <w:rPr>
              <w:rFonts w:asciiTheme="minorHAnsi" w:hAnsiTheme="minorHAnsi"/>
              <w:noProof/>
              <w:lang w:val="en-IE" w:eastAsia="en-IE"/>
            </w:rPr>
          </w:pPr>
          <w:hyperlink w:anchor="_Toc457563451" w:history="1">
            <w:r w:rsidR="004C4226" w:rsidRPr="00C60A41">
              <w:rPr>
                <w:rStyle w:val="Hyperlink"/>
                <w:noProof/>
              </w:rPr>
              <w:t>7.</w:t>
            </w:r>
            <w:r w:rsidR="004C4226">
              <w:rPr>
                <w:rFonts w:asciiTheme="minorHAnsi" w:hAnsiTheme="minorHAnsi"/>
                <w:noProof/>
                <w:lang w:val="en-IE" w:eastAsia="en-IE"/>
              </w:rPr>
              <w:tab/>
            </w:r>
            <w:r w:rsidR="004C4226" w:rsidRPr="00C60A41">
              <w:rPr>
                <w:rStyle w:val="Hyperlink"/>
                <w:noProof/>
              </w:rPr>
              <w:t>Accessibility</w:t>
            </w:r>
            <w:r w:rsidR="004C4226">
              <w:rPr>
                <w:noProof/>
                <w:webHidden/>
              </w:rPr>
              <w:tab/>
            </w:r>
            <w:r w:rsidR="004C4226">
              <w:rPr>
                <w:noProof/>
                <w:webHidden/>
              </w:rPr>
              <w:fldChar w:fldCharType="begin"/>
            </w:r>
            <w:r w:rsidR="004C4226">
              <w:rPr>
                <w:noProof/>
                <w:webHidden/>
              </w:rPr>
              <w:instrText xml:space="preserve"> PAGEREF _Toc457563451 \h </w:instrText>
            </w:r>
            <w:r w:rsidR="004C4226">
              <w:rPr>
                <w:noProof/>
                <w:webHidden/>
              </w:rPr>
            </w:r>
            <w:r w:rsidR="004C4226">
              <w:rPr>
                <w:noProof/>
                <w:webHidden/>
              </w:rPr>
              <w:fldChar w:fldCharType="separate"/>
            </w:r>
            <w:r w:rsidR="00933F14">
              <w:rPr>
                <w:noProof/>
                <w:webHidden/>
              </w:rPr>
              <w:t>22</w:t>
            </w:r>
            <w:r w:rsidR="004C4226">
              <w:rPr>
                <w:noProof/>
                <w:webHidden/>
              </w:rPr>
              <w:fldChar w:fldCharType="end"/>
            </w:r>
          </w:hyperlink>
        </w:p>
        <w:p w:rsidR="004C4226" w:rsidRDefault="00E514F0">
          <w:pPr>
            <w:pStyle w:val="TOC2"/>
            <w:rPr>
              <w:rFonts w:asciiTheme="minorHAnsi" w:hAnsiTheme="minorHAnsi"/>
              <w:lang w:val="en-IE" w:eastAsia="en-IE"/>
            </w:rPr>
          </w:pPr>
          <w:hyperlink w:anchor="_Toc457563452" w:history="1">
            <w:r w:rsidR="004C4226" w:rsidRPr="00C60A41">
              <w:rPr>
                <w:rStyle w:val="Hyperlink"/>
              </w:rPr>
              <w:t>7.1.</w:t>
            </w:r>
            <w:r w:rsidR="004C4226">
              <w:rPr>
                <w:rFonts w:asciiTheme="minorHAnsi" w:hAnsiTheme="minorHAnsi"/>
                <w:lang w:val="en-IE" w:eastAsia="en-IE"/>
              </w:rPr>
              <w:tab/>
            </w:r>
            <w:r w:rsidR="004C4226" w:rsidRPr="00C60A41">
              <w:rPr>
                <w:rStyle w:val="Hyperlink"/>
              </w:rPr>
              <w:t>Disability Telecommunication Service</w:t>
            </w:r>
            <w:r w:rsidR="004C4226">
              <w:rPr>
                <w:webHidden/>
              </w:rPr>
              <w:tab/>
            </w:r>
            <w:r w:rsidR="004C4226">
              <w:rPr>
                <w:webHidden/>
              </w:rPr>
              <w:fldChar w:fldCharType="begin"/>
            </w:r>
            <w:r w:rsidR="004C4226">
              <w:rPr>
                <w:webHidden/>
              </w:rPr>
              <w:instrText xml:space="preserve"> PAGEREF _Toc457563452 \h </w:instrText>
            </w:r>
            <w:r w:rsidR="004C4226">
              <w:rPr>
                <w:webHidden/>
              </w:rPr>
            </w:r>
            <w:r w:rsidR="004C4226">
              <w:rPr>
                <w:webHidden/>
              </w:rPr>
              <w:fldChar w:fldCharType="separate"/>
            </w:r>
            <w:r w:rsidR="00933F14">
              <w:rPr>
                <w:webHidden/>
              </w:rPr>
              <w:t>23</w:t>
            </w:r>
            <w:r w:rsidR="004C4226">
              <w:rPr>
                <w:webHidden/>
              </w:rPr>
              <w:fldChar w:fldCharType="end"/>
            </w:r>
          </w:hyperlink>
        </w:p>
        <w:p w:rsidR="004C4226" w:rsidRDefault="00E514F0">
          <w:pPr>
            <w:pStyle w:val="TOC2"/>
            <w:rPr>
              <w:rFonts w:asciiTheme="minorHAnsi" w:hAnsiTheme="minorHAnsi"/>
              <w:lang w:val="en-IE" w:eastAsia="en-IE"/>
            </w:rPr>
          </w:pPr>
          <w:hyperlink w:anchor="_Toc457563453" w:history="1">
            <w:r w:rsidR="004C4226" w:rsidRPr="00C60A41">
              <w:rPr>
                <w:rStyle w:val="Hyperlink"/>
              </w:rPr>
              <w:t>7.2.</w:t>
            </w:r>
            <w:r w:rsidR="004C4226">
              <w:rPr>
                <w:rFonts w:asciiTheme="minorHAnsi" w:hAnsiTheme="minorHAnsi"/>
                <w:lang w:val="en-IE" w:eastAsia="en-IE"/>
              </w:rPr>
              <w:tab/>
            </w:r>
            <w:r w:rsidR="004C4226" w:rsidRPr="00C60A41">
              <w:rPr>
                <w:rStyle w:val="Hyperlink"/>
              </w:rPr>
              <w:t>National relay service</w:t>
            </w:r>
            <w:r w:rsidR="004C4226">
              <w:rPr>
                <w:webHidden/>
              </w:rPr>
              <w:tab/>
            </w:r>
            <w:r w:rsidR="004C4226">
              <w:rPr>
                <w:webHidden/>
              </w:rPr>
              <w:fldChar w:fldCharType="begin"/>
            </w:r>
            <w:r w:rsidR="004C4226">
              <w:rPr>
                <w:webHidden/>
              </w:rPr>
              <w:instrText xml:space="preserve"> PAGEREF _Toc457563453 \h </w:instrText>
            </w:r>
            <w:r w:rsidR="004C4226">
              <w:rPr>
                <w:webHidden/>
              </w:rPr>
            </w:r>
            <w:r w:rsidR="004C4226">
              <w:rPr>
                <w:webHidden/>
              </w:rPr>
              <w:fldChar w:fldCharType="separate"/>
            </w:r>
            <w:r w:rsidR="00933F14">
              <w:rPr>
                <w:webHidden/>
              </w:rPr>
              <w:t>24</w:t>
            </w:r>
            <w:r w:rsidR="004C4226">
              <w:rPr>
                <w:webHidden/>
              </w:rPr>
              <w:fldChar w:fldCharType="end"/>
            </w:r>
          </w:hyperlink>
        </w:p>
        <w:p w:rsidR="004C4226" w:rsidRDefault="00E514F0">
          <w:pPr>
            <w:pStyle w:val="TOC1"/>
            <w:rPr>
              <w:rFonts w:asciiTheme="minorHAnsi" w:hAnsiTheme="minorHAnsi"/>
              <w:noProof/>
              <w:lang w:val="en-IE" w:eastAsia="en-IE"/>
            </w:rPr>
          </w:pPr>
          <w:hyperlink w:anchor="_Toc457563454" w:history="1">
            <w:r w:rsidR="004C4226" w:rsidRPr="00C60A41">
              <w:rPr>
                <w:rStyle w:val="Hyperlink"/>
                <w:noProof/>
              </w:rPr>
              <w:t>8.</w:t>
            </w:r>
            <w:r w:rsidR="004C4226">
              <w:rPr>
                <w:rFonts w:asciiTheme="minorHAnsi" w:hAnsiTheme="minorHAnsi"/>
                <w:noProof/>
                <w:lang w:val="en-IE" w:eastAsia="en-IE"/>
              </w:rPr>
              <w:tab/>
            </w:r>
            <w:r w:rsidR="004C4226" w:rsidRPr="00C60A41">
              <w:rPr>
                <w:rStyle w:val="Hyperlink"/>
                <w:noProof/>
              </w:rPr>
              <w:t>Funding, costs and implementation</w:t>
            </w:r>
            <w:r w:rsidR="004C4226">
              <w:rPr>
                <w:noProof/>
                <w:webHidden/>
              </w:rPr>
              <w:tab/>
            </w:r>
            <w:r w:rsidR="004C4226">
              <w:rPr>
                <w:noProof/>
                <w:webHidden/>
              </w:rPr>
              <w:fldChar w:fldCharType="begin"/>
            </w:r>
            <w:r w:rsidR="004C4226">
              <w:rPr>
                <w:noProof/>
                <w:webHidden/>
              </w:rPr>
              <w:instrText xml:space="preserve"> PAGEREF _Toc457563454 \h </w:instrText>
            </w:r>
            <w:r w:rsidR="004C4226">
              <w:rPr>
                <w:noProof/>
                <w:webHidden/>
              </w:rPr>
            </w:r>
            <w:r w:rsidR="004C4226">
              <w:rPr>
                <w:noProof/>
                <w:webHidden/>
              </w:rPr>
              <w:fldChar w:fldCharType="separate"/>
            </w:r>
            <w:r w:rsidR="00933F14">
              <w:rPr>
                <w:noProof/>
                <w:webHidden/>
              </w:rPr>
              <w:t>26</w:t>
            </w:r>
            <w:r w:rsidR="004C4226">
              <w:rPr>
                <w:noProof/>
                <w:webHidden/>
              </w:rPr>
              <w:fldChar w:fldCharType="end"/>
            </w:r>
          </w:hyperlink>
        </w:p>
        <w:p w:rsidR="004C4226" w:rsidRDefault="00E514F0">
          <w:pPr>
            <w:pStyle w:val="TOC2"/>
            <w:rPr>
              <w:rFonts w:asciiTheme="minorHAnsi" w:hAnsiTheme="minorHAnsi"/>
              <w:lang w:val="en-IE" w:eastAsia="en-IE"/>
            </w:rPr>
          </w:pPr>
          <w:hyperlink w:anchor="_Toc457563455" w:history="1">
            <w:r w:rsidR="004C4226" w:rsidRPr="00C60A41">
              <w:rPr>
                <w:rStyle w:val="Hyperlink"/>
              </w:rPr>
              <w:t>8.1.</w:t>
            </w:r>
            <w:r w:rsidR="004C4226">
              <w:rPr>
                <w:rFonts w:asciiTheme="minorHAnsi" w:hAnsiTheme="minorHAnsi"/>
                <w:lang w:val="en-IE" w:eastAsia="en-IE"/>
              </w:rPr>
              <w:tab/>
            </w:r>
            <w:r w:rsidR="004C4226" w:rsidRPr="00C60A41">
              <w:rPr>
                <w:rStyle w:val="Hyperlink"/>
              </w:rPr>
              <w:t>Funding and costs</w:t>
            </w:r>
            <w:r w:rsidR="004C4226">
              <w:rPr>
                <w:webHidden/>
              </w:rPr>
              <w:tab/>
            </w:r>
            <w:r w:rsidR="004C4226">
              <w:rPr>
                <w:webHidden/>
              </w:rPr>
              <w:fldChar w:fldCharType="begin"/>
            </w:r>
            <w:r w:rsidR="004C4226">
              <w:rPr>
                <w:webHidden/>
              </w:rPr>
              <w:instrText xml:space="preserve"> PAGEREF _Toc457563455 \h </w:instrText>
            </w:r>
            <w:r w:rsidR="004C4226">
              <w:rPr>
                <w:webHidden/>
              </w:rPr>
            </w:r>
            <w:r w:rsidR="004C4226">
              <w:rPr>
                <w:webHidden/>
              </w:rPr>
              <w:fldChar w:fldCharType="separate"/>
            </w:r>
            <w:r w:rsidR="00933F14">
              <w:rPr>
                <w:webHidden/>
              </w:rPr>
              <w:t>26</w:t>
            </w:r>
            <w:r w:rsidR="004C4226">
              <w:rPr>
                <w:webHidden/>
              </w:rPr>
              <w:fldChar w:fldCharType="end"/>
            </w:r>
          </w:hyperlink>
        </w:p>
        <w:p w:rsidR="004C4226" w:rsidRDefault="00E514F0">
          <w:pPr>
            <w:pStyle w:val="TOC2"/>
            <w:rPr>
              <w:rFonts w:asciiTheme="minorHAnsi" w:hAnsiTheme="minorHAnsi"/>
              <w:lang w:val="en-IE" w:eastAsia="en-IE"/>
            </w:rPr>
          </w:pPr>
          <w:hyperlink w:anchor="_Toc457563456" w:history="1">
            <w:r w:rsidR="004C4226" w:rsidRPr="00C60A41">
              <w:rPr>
                <w:rStyle w:val="Hyperlink"/>
              </w:rPr>
              <w:t>8.2.</w:t>
            </w:r>
            <w:r w:rsidR="004C4226">
              <w:rPr>
                <w:rFonts w:asciiTheme="minorHAnsi" w:hAnsiTheme="minorHAnsi"/>
                <w:lang w:val="en-IE" w:eastAsia="en-IE"/>
              </w:rPr>
              <w:tab/>
            </w:r>
            <w:r w:rsidR="004C4226" w:rsidRPr="00C60A41">
              <w:rPr>
                <w:rStyle w:val="Hyperlink"/>
              </w:rPr>
              <w:t>Implementation</w:t>
            </w:r>
            <w:r w:rsidR="004C4226">
              <w:rPr>
                <w:webHidden/>
              </w:rPr>
              <w:tab/>
            </w:r>
            <w:r w:rsidR="004C4226">
              <w:rPr>
                <w:webHidden/>
              </w:rPr>
              <w:fldChar w:fldCharType="begin"/>
            </w:r>
            <w:r w:rsidR="004C4226">
              <w:rPr>
                <w:webHidden/>
              </w:rPr>
              <w:instrText xml:space="preserve"> PAGEREF _Toc457563456 \h </w:instrText>
            </w:r>
            <w:r w:rsidR="004C4226">
              <w:rPr>
                <w:webHidden/>
              </w:rPr>
            </w:r>
            <w:r w:rsidR="004C4226">
              <w:rPr>
                <w:webHidden/>
              </w:rPr>
              <w:fldChar w:fldCharType="separate"/>
            </w:r>
            <w:r w:rsidR="00933F14">
              <w:rPr>
                <w:webHidden/>
              </w:rPr>
              <w:t>27</w:t>
            </w:r>
            <w:r w:rsidR="004C4226">
              <w:rPr>
                <w:webHidden/>
              </w:rPr>
              <w:fldChar w:fldCharType="end"/>
            </w:r>
          </w:hyperlink>
        </w:p>
        <w:p w:rsidR="004C4226" w:rsidRDefault="00E514F0">
          <w:pPr>
            <w:pStyle w:val="TOC1"/>
            <w:tabs>
              <w:tab w:val="left" w:pos="1320"/>
            </w:tabs>
            <w:rPr>
              <w:rFonts w:asciiTheme="minorHAnsi" w:hAnsiTheme="minorHAnsi"/>
              <w:noProof/>
              <w:lang w:val="en-IE" w:eastAsia="en-IE"/>
            </w:rPr>
          </w:pPr>
          <w:hyperlink w:anchor="_Toc457563457" w:history="1">
            <w:r w:rsidR="004C4226" w:rsidRPr="00C60A41">
              <w:rPr>
                <w:rStyle w:val="Hyperlink"/>
                <w:noProof/>
              </w:rPr>
              <w:t>Appendix A.</w:t>
            </w:r>
            <w:r w:rsidR="004C4226">
              <w:rPr>
                <w:rFonts w:asciiTheme="minorHAnsi" w:hAnsiTheme="minorHAnsi"/>
                <w:noProof/>
                <w:lang w:val="en-IE" w:eastAsia="en-IE"/>
              </w:rPr>
              <w:tab/>
            </w:r>
            <w:r w:rsidR="004C4226" w:rsidRPr="00C60A41">
              <w:rPr>
                <w:rStyle w:val="Hyperlink"/>
                <w:noProof/>
              </w:rPr>
              <w:t>ORGANISATIONAL MEMBERS AS AT JUNE 30, 2016</w:t>
            </w:r>
            <w:r w:rsidR="004C4226">
              <w:rPr>
                <w:noProof/>
                <w:webHidden/>
              </w:rPr>
              <w:tab/>
            </w:r>
            <w:r w:rsidR="004C4226">
              <w:rPr>
                <w:noProof/>
                <w:webHidden/>
              </w:rPr>
              <w:fldChar w:fldCharType="begin"/>
            </w:r>
            <w:r w:rsidR="004C4226">
              <w:rPr>
                <w:noProof/>
                <w:webHidden/>
              </w:rPr>
              <w:instrText xml:space="preserve"> PAGEREF _Toc457563457 \h </w:instrText>
            </w:r>
            <w:r w:rsidR="004C4226">
              <w:rPr>
                <w:noProof/>
                <w:webHidden/>
              </w:rPr>
            </w:r>
            <w:r w:rsidR="004C4226">
              <w:rPr>
                <w:noProof/>
                <w:webHidden/>
              </w:rPr>
              <w:fldChar w:fldCharType="separate"/>
            </w:r>
            <w:r w:rsidR="00933F14">
              <w:rPr>
                <w:noProof/>
                <w:webHidden/>
              </w:rPr>
              <w:t>28</w:t>
            </w:r>
            <w:r w:rsidR="004C4226">
              <w:rPr>
                <w:noProof/>
                <w:webHidden/>
              </w:rPr>
              <w:fldChar w:fldCharType="end"/>
            </w:r>
          </w:hyperlink>
        </w:p>
        <w:p w:rsidR="00EC1696" w:rsidRPr="003441E5" w:rsidRDefault="00EC1696" w:rsidP="00B51314">
          <w:r w:rsidRPr="003441E5">
            <w:rPr>
              <w:b/>
              <w:bCs/>
              <w:noProof/>
            </w:rPr>
            <w:fldChar w:fldCharType="end"/>
          </w:r>
        </w:p>
      </w:sdtContent>
    </w:sdt>
    <w:p w:rsidR="00027253" w:rsidRPr="003441E5" w:rsidRDefault="004B7462" w:rsidP="002A629E">
      <w:pPr>
        <w:pStyle w:val="Heading1"/>
      </w:pPr>
      <w:bookmarkStart w:id="1" w:name="_Toc351382481"/>
      <w:bookmarkStart w:id="2" w:name="_Toc457563424"/>
      <w:r w:rsidRPr="003441E5">
        <w:lastRenderedPageBreak/>
        <w:t>Executive S</w:t>
      </w:r>
      <w:r w:rsidR="00A022BC" w:rsidRPr="003441E5">
        <w:t>ummary</w:t>
      </w:r>
      <w:bookmarkEnd w:id="1"/>
      <w:bookmarkEnd w:id="2"/>
    </w:p>
    <w:p w:rsidR="009A330D" w:rsidRDefault="009A330D" w:rsidP="00B51314">
      <w:pPr>
        <w:rPr>
          <w:lang w:eastAsia="en-US"/>
        </w:rPr>
      </w:pPr>
      <w:r>
        <w:rPr>
          <w:lang w:eastAsia="en-US"/>
        </w:rPr>
        <w:t xml:space="preserve">Consumers in Australia should have access to quality and affordable telecommunication services. </w:t>
      </w:r>
      <w:r w:rsidR="00052EDB">
        <w:rPr>
          <w:lang w:eastAsia="en-US"/>
        </w:rPr>
        <w:t xml:space="preserve">These </w:t>
      </w:r>
      <w:r>
        <w:rPr>
          <w:lang w:eastAsia="en-US"/>
        </w:rPr>
        <w:t>services ena</w:t>
      </w:r>
      <w:r w:rsidR="00052EDB">
        <w:rPr>
          <w:lang w:eastAsia="en-US"/>
        </w:rPr>
        <w:t xml:space="preserve">ble consumers to perform essential </w:t>
      </w:r>
      <w:r>
        <w:rPr>
          <w:lang w:eastAsia="en-US"/>
        </w:rPr>
        <w:t>functions</w:t>
      </w:r>
      <w:r w:rsidR="00052EDB">
        <w:rPr>
          <w:lang w:eastAsia="en-US"/>
        </w:rPr>
        <w:t xml:space="preserve"> in society today</w:t>
      </w:r>
      <w:r w:rsidR="0004755B">
        <w:rPr>
          <w:lang w:eastAsia="en-US"/>
        </w:rPr>
        <w:t>, such as</w:t>
      </w:r>
      <w:r w:rsidR="001B3C5D">
        <w:rPr>
          <w:lang w:eastAsia="en-US"/>
        </w:rPr>
        <w:t xml:space="preserve"> e</w:t>
      </w:r>
      <w:r>
        <w:rPr>
          <w:lang w:eastAsia="en-US"/>
        </w:rPr>
        <w:t xml:space="preserve">nsuring personal safety and security, </w:t>
      </w:r>
      <w:r w:rsidR="00052EDB">
        <w:rPr>
          <w:lang w:eastAsia="en-US"/>
        </w:rPr>
        <w:t xml:space="preserve">ensuring </w:t>
      </w:r>
      <w:r>
        <w:rPr>
          <w:lang w:eastAsia="en-US"/>
        </w:rPr>
        <w:t>self-progression and devel</w:t>
      </w:r>
      <w:r w:rsidR="00052EDB">
        <w:rPr>
          <w:lang w:eastAsia="en-US"/>
        </w:rPr>
        <w:t>opment, completing</w:t>
      </w:r>
      <w:r>
        <w:rPr>
          <w:lang w:eastAsia="en-US"/>
        </w:rPr>
        <w:t xml:space="preserve"> essential tasks, e-commerce, economic livelihood and social interaction</w:t>
      </w:r>
      <w:r w:rsidR="00AD528B">
        <w:rPr>
          <w:lang w:eastAsia="en-US"/>
        </w:rPr>
        <w:t>.</w:t>
      </w:r>
      <w:r>
        <w:rPr>
          <w:lang w:eastAsia="en-US"/>
        </w:rPr>
        <w:t xml:space="preserve"> </w:t>
      </w:r>
    </w:p>
    <w:p w:rsidR="009A330D" w:rsidRDefault="009A330D" w:rsidP="009A330D">
      <w:pPr>
        <w:rPr>
          <w:lang w:eastAsia="en-US"/>
        </w:rPr>
      </w:pPr>
      <w:r>
        <w:rPr>
          <w:lang w:eastAsia="en-US"/>
        </w:rPr>
        <w:t xml:space="preserve">In </w:t>
      </w:r>
      <w:proofErr w:type="spellStart"/>
      <w:r>
        <w:rPr>
          <w:lang w:eastAsia="en-US"/>
        </w:rPr>
        <w:t>ACCAN's</w:t>
      </w:r>
      <w:proofErr w:type="spellEnd"/>
      <w:r>
        <w:rPr>
          <w:lang w:eastAsia="en-US"/>
        </w:rPr>
        <w:t xml:space="preserve"> approach to the Universal Service Obligation we have utilised the capabilities framework, based on the theoretical framework developed by Nobel Prize winning economist </w:t>
      </w:r>
      <w:proofErr w:type="spellStart"/>
      <w:r>
        <w:rPr>
          <w:lang w:eastAsia="en-US"/>
        </w:rPr>
        <w:t>Amaryta</w:t>
      </w:r>
      <w:proofErr w:type="spellEnd"/>
      <w:r>
        <w:rPr>
          <w:lang w:eastAsia="en-US"/>
        </w:rPr>
        <w:t xml:space="preserve"> Sen.</w:t>
      </w:r>
      <w:r w:rsidR="00052EDB">
        <w:rPr>
          <w:rStyle w:val="FootnoteReference"/>
          <w:lang w:eastAsia="en-US"/>
        </w:rPr>
        <w:footnoteReference w:id="1"/>
      </w:r>
      <w:r w:rsidR="00D530C1">
        <w:t xml:space="preserve"> </w:t>
      </w:r>
      <w:r>
        <w:rPr>
          <w:lang w:eastAsia="en-US"/>
        </w:rPr>
        <w:t>In the twenty first century this</w:t>
      </w:r>
      <w:r w:rsidR="00AD528B">
        <w:rPr>
          <w:lang w:eastAsia="en-US"/>
        </w:rPr>
        <w:t xml:space="preserve"> approach</w:t>
      </w:r>
      <w:r>
        <w:rPr>
          <w:lang w:eastAsia="en-US"/>
        </w:rPr>
        <w:t xml:space="preserve"> results in the idea of </w:t>
      </w:r>
      <w:proofErr w:type="spellStart"/>
      <w:r>
        <w:rPr>
          <w:lang w:eastAsia="en-US"/>
        </w:rPr>
        <w:t>connectability</w:t>
      </w:r>
      <w:proofErr w:type="spellEnd"/>
      <w:r>
        <w:rPr>
          <w:lang w:eastAsia="en-US"/>
        </w:rPr>
        <w:t>, the absence of which results in social isolation, loss of functions, reduced economic livelihood</w:t>
      </w:r>
      <w:r w:rsidR="001B3C5D">
        <w:rPr>
          <w:lang w:eastAsia="en-US"/>
        </w:rPr>
        <w:t xml:space="preserve"> and</w:t>
      </w:r>
      <w:r>
        <w:rPr>
          <w:lang w:eastAsia="en-US"/>
        </w:rPr>
        <w:t xml:space="preserve"> participation in social life, insecurity</w:t>
      </w:r>
      <w:r w:rsidR="00052EDB">
        <w:rPr>
          <w:lang w:eastAsia="en-US"/>
        </w:rPr>
        <w:t xml:space="preserve"> and potential threat</w:t>
      </w:r>
      <w:r w:rsidR="001B3C5D">
        <w:rPr>
          <w:lang w:eastAsia="en-US"/>
        </w:rPr>
        <w:t>s</w:t>
      </w:r>
      <w:r w:rsidR="00052EDB">
        <w:rPr>
          <w:lang w:eastAsia="en-US"/>
        </w:rPr>
        <w:t xml:space="preserve"> to safety</w:t>
      </w:r>
      <w:r>
        <w:rPr>
          <w:lang w:eastAsia="en-US"/>
        </w:rPr>
        <w:t>.</w:t>
      </w:r>
      <w:r w:rsidR="00052EDB">
        <w:rPr>
          <w:rStyle w:val="FootnoteReference"/>
          <w:lang w:eastAsia="en-US"/>
        </w:rPr>
        <w:footnoteReference w:id="2"/>
      </w:r>
      <w:r>
        <w:rPr>
          <w:lang w:eastAsia="en-US"/>
        </w:rPr>
        <w:t xml:space="preserve"> It is important that we ensure that all consumers can choose to be connected consumers. </w:t>
      </w:r>
    </w:p>
    <w:p w:rsidR="004B7462" w:rsidRPr="003441E5" w:rsidRDefault="006922F3" w:rsidP="009A330D">
      <w:pPr>
        <w:rPr>
          <w:lang w:eastAsia="en-US"/>
        </w:rPr>
      </w:pPr>
      <w:r>
        <w:rPr>
          <w:lang w:eastAsia="en-US"/>
        </w:rPr>
        <w:t>The telecommunications market has</w:t>
      </w:r>
      <w:r w:rsidR="001B3C5D">
        <w:rPr>
          <w:lang w:eastAsia="en-US"/>
        </w:rPr>
        <w:t xml:space="preserve"> undergone,</w:t>
      </w:r>
      <w:r>
        <w:rPr>
          <w:lang w:eastAsia="en-US"/>
        </w:rPr>
        <w:t xml:space="preserve"> and will undergo a significant amount of changes in the next few years. These </w:t>
      </w:r>
      <w:r w:rsidR="00F45548">
        <w:rPr>
          <w:lang w:eastAsia="en-US"/>
        </w:rPr>
        <w:t>will significantly improve the range and quality of services that consumers can access.</w:t>
      </w:r>
      <w:r>
        <w:rPr>
          <w:lang w:eastAsia="en-US"/>
        </w:rPr>
        <w:t xml:space="preserve"> </w:t>
      </w:r>
      <w:r w:rsidR="009A330D">
        <w:rPr>
          <w:lang w:eastAsia="en-US"/>
        </w:rPr>
        <w:t xml:space="preserve">Unfortunately, the market will not </w:t>
      </w:r>
      <w:r w:rsidR="00D530C1">
        <w:rPr>
          <w:lang w:eastAsia="en-US"/>
        </w:rPr>
        <w:t>meet</w:t>
      </w:r>
      <w:r w:rsidR="009A330D">
        <w:rPr>
          <w:lang w:eastAsia="en-US"/>
        </w:rPr>
        <w:t xml:space="preserve"> the needs of all consumers. </w:t>
      </w:r>
      <w:r w:rsidR="00F45548">
        <w:rPr>
          <w:lang w:eastAsia="en-US"/>
        </w:rPr>
        <w:t>In particular the areas of affordability</w:t>
      </w:r>
      <w:r w:rsidR="00AD528B">
        <w:rPr>
          <w:lang w:eastAsia="en-US"/>
        </w:rPr>
        <w:t>,</w:t>
      </w:r>
      <w:r w:rsidR="00F45548">
        <w:rPr>
          <w:lang w:eastAsia="en-US"/>
        </w:rPr>
        <w:t xml:space="preserve"> accessibility</w:t>
      </w:r>
      <w:r w:rsidR="00AD528B">
        <w:rPr>
          <w:lang w:eastAsia="en-US"/>
        </w:rPr>
        <w:t xml:space="preserve"> and guarantees</w:t>
      </w:r>
      <w:r w:rsidR="00F45548">
        <w:rPr>
          <w:lang w:eastAsia="en-US"/>
        </w:rPr>
        <w:t xml:space="preserve"> of service are not addressed by the current reforms in the sector. </w:t>
      </w:r>
      <w:proofErr w:type="spellStart"/>
      <w:r w:rsidR="009A330D">
        <w:rPr>
          <w:lang w:eastAsia="en-US"/>
        </w:rPr>
        <w:t>ACCAN</w:t>
      </w:r>
      <w:proofErr w:type="spellEnd"/>
      <w:r w:rsidR="009A330D">
        <w:rPr>
          <w:lang w:eastAsia="en-US"/>
        </w:rPr>
        <w:t xml:space="preserve"> believes that intervention is </w:t>
      </w:r>
      <w:r w:rsidR="00134741">
        <w:rPr>
          <w:lang w:eastAsia="en-US"/>
        </w:rPr>
        <w:t>required to</w:t>
      </w:r>
      <w:r w:rsidR="009A330D">
        <w:rPr>
          <w:lang w:eastAsia="en-US"/>
        </w:rPr>
        <w:t xml:space="preserve"> ensure that consumers</w:t>
      </w:r>
      <w:r w:rsidR="001B3C5D">
        <w:rPr>
          <w:lang w:eastAsia="en-US"/>
        </w:rPr>
        <w:t>, particularly those with disabilities, limited financial resources, or living in remote</w:t>
      </w:r>
      <w:r w:rsidR="00305691">
        <w:rPr>
          <w:lang w:eastAsia="en-US"/>
        </w:rPr>
        <w:t xml:space="preserve"> and</w:t>
      </w:r>
      <w:r w:rsidR="001B3C5D">
        <w:rPr>
          <w:lang w:eastAsia="en-US"/>
        </w:rPr>
        <w:t xml:space="preserve"> rural geographical location</w:t>
      </w:r>
      <w:r w:rsidR="00305691">
        <w:rPr>
          <w:lang w:eastAsia="en-US"/>
        </w:rPr>
        <w:t>s</w:t>
      </w:r>
      <w:r w:rsidR="001B3C5D">
        <w:rPr>
          <w:lang w:eastAsia="en-US"/>
        </w:rPr>
        <w:t xml:space="preserve">, </w:t>
      </w:r>
      <w:r w:rsidR="009A330D">
        <w:rPr>
          <w:lang w:eastAsia="en-US"/>
        </w:rPr>
        <w:t xml:space="preserve">can access </w:t>
      </w:r>
      <w:r w:rsidR="00AD528B">
        <w:rPr>
          <w:lang w:eastAsia="en-US"/>
        </w:rPr>
        <w:t>essential</w:t>
      </w:r>
      <w:r w:rsidR="00F45548">
        <w:rPr>
          <w:lang w:eastAsia="en-US"/>
        </w:rPr>
        <w:t xml:space="preserve"> services</w:t>
      </w:r>
      <w:r w:rsidR="009A330D">
        <w:rPr>
          <w:lang w:eastAsia="en-US"/>
        </w:rPr>
        <w:t xml:space="preserve"> needed.</w:t>
      </w:r>
      <w:r w:rsidR="009A330D" w:rsidRPr="003441E5">
        <w:rPr>
          <w:lang w:eastAsia="en-US"/>
        </w:rPr>
        <w:t xml:space="preserve"> </w:t>
      </w:r>
    </w:p>
    <w:p w:rsidR="00886444" w:rsidRDefault="00EE6CDA" w:rsidP="00613698">
      <w:pPr>
        <w:pStyle w:val="Heading2"/>
      </w:pPr>
      <w:bookmarkStart w:id="3" w:name="_Toc457563425"/>
      <w:r>
        <w:t>Telecommunications Universal Service Obligation in Australia</w:t>
      </w:r>
      <w:bookmarkEnd w:id="3"/>
    </w:p>
    <w:p w:rsidR="00EE6CDA" w:rsidRDefault="00AD528B" w:rsidP="00EE6CDA">
      <w:pPr>
        <w:rPr>
          <w:lang w:eastAsia="en-US"/>
        </w:rPr>
      </w:pPr>
      <w:proofErr w:type="spellStart"/>
      <w:r>
        <w:rPr>
          <w:lang w:eastAsia="en-US"/>
        </w:rPr>
        <w:t>ACCAN</w:t>
      </w:r>
      <w:r w:rsidR="00B6196A">
        <w:rPr>
          <w:lang w:eastAsia="en-US"/>
        </w:rPr>
        <w:t>’</w:t>
      </w:r>
      <w:r>
        <w:rPr>
          <w:lang w:eastAsia="en-US"/>
        </w:rPr>
        <w:t>s</w:t>
      </w:r>
      <w:proofErr w:type="spellEnd"/>
      <w:r>
        <w:rPr>
          <w:lang w:eastAsia="en-US"/>
        </w:rPr>
        <w:t xml:space="preserve"> view of the </w:t>
      </w:r>
      <w:r w:rsidR="0063386E">
        <w:rPr>
          <w:lang w:eastAsia="en-US"/>
        </w:rPr>
        <w:t>Universal S</w:t>
      </w:r>
      <w:r w:rsidR="00EE6CDA">
        <w:rPr>
          <w:lang w:eastAsia="en-US"/>
        </w:rPr>
        <w:t>e</w:t>
      </w:r>
      <w:r w:rsidR="0063386E">
        <w:rPr>
          <w:lang w:eastAsia="en-US"/>
        </w:rPr>
        <w:t>rvice O</w:t>
      </w:r>
      <w:r w:rsidR="00EE6CDA">
        <w:rPr>
          <w:lang w:eastAsia="en-US"/>
        </w:rPr>
        <w:t xml:space="preserve">bligation in Australia </w:t>
      </w:r>
      <w:r>
        <w:rPr>
          <w:lang w:eastAsia="en-US"/>
        </w:rPr>
        <w:t>is</w:t>
      </w:r>
      <w:r w:rsidR="00EE6CDA">
        <w:rPr>
          <w:lang w:eastAsia="en-US"/>
        </w:rPr>
        <w:t>:</w:t>
      </w:r>
    </w:p>
    <w:p w:rsidR="00EE6CDA" w:rsidRDefault="006E6427" w:rsidP="006E6427">
      <w:r w:rsidRPr="006E6427">
        <w:rPr>
          <w:rStyle w:val="Bulletlist1Char"/>
          <w:b/>
        </w:rPr>
        <w:t>Objectives:</w:t>
      </w:r>
      <w:r>
        <w:t xml:space="preserve"> The </w:t>
      </w:r>
      <w:proofErr w:type="spellStart"/>
      <w:r>
        <w:t>USO</w:t>
      </w:r>
      <w:proofErr w:type="spellEnd"/>
      <w:r>
        <w:t xml:space="preserve"> should m</w:t>
      </w:r>
      <w:r w:rsidR="00EE6CDA">
        <w:t>eet the objectives of available, affordable, accessible, empower</w:t>
      </w:r>
      <w:r w:rsidR="00316537">
        <w:t>ment</w:t>
      </w:r>
      <w:r w:rsidR="00EE6CDA">
        <w:t xml:space="preserve"> and appropriate</w:t>
      </w:r>
      <w:r w:rsidR="00316537">
        <w:t>ness</w:t>
      </w:r>
      <w:r w:rsidR="00EE6CDA">
        <w:t>. These revised objectives will ensure that communication services meet the needs of consumers in Australia.</w:t>
      </w:r>
      <w:r w:rsidR="00333A24">
        <w:t xml:space="preserve"> (See section 3)</w:t>
      </w:r>
    </w:p>
    <w:p w:rsidR="00EE6CDA" w:rsidRDefault="006E6427" w:rsidP="00333A24">
      <w:r w:rsidRPr="006E6427">
        <w:rPr>
          <w:rStyle w:val="Bulletlist1Char"/>
          <w:b/>
        </w:rPr>
        <w:t>Options</w:t>
      </w:r>
      <w:r w:rsidRPr="006E6427">
        <w:rPr>
          <w:b/>
        </w:rPr>
        <w:t xml:space="preserve"> for delivery:</w:t>
      </w:r>
      <w:r>
        <w:t xml:space="preserve"> </w:t>
      </w:r>
      <w:r w:rsidR="00EE6CDA">
        <w:t>In</w:t>
      </w:r>
      <w:r w:rsidR="00D235F3">
        <w:t xml:space="preserve"> delivering universal services a number </w:t>
      </w:r>
      <w:r w:rsidR="00134741">
        <w:t>of options</w:t>
      </w:r>
      <w:r>
        <w:t xml:space="preserve"> from public provision of services to subsidising users of services</w:t>
      </w:r>
      <w:r w:rsidR="00D235F3">
        <w:t xml:space="preserve"> can and should be used, depending on the failure that is being </w:t>
      </w:r>
      <w:r>
        <w:t>addressed</w:t>
      </w:r>
      <w:r w:rsidR="00D235F3">
        <w:t xml:space="preserve">. </w:t>
      </w:r>
      <w:r w:rsidR="00333A24">
        <w:t>(See Section 3)</w:t>
      </w:r>
    </w:p>
    <w:p w:rsidR="006E6427" w:rsidRDefault="006E6427" w:rsidP="00333A24">
      <w:r w:rsidRPr="006E6427">
        <w:rPr>
          <w:rStyle w:val="Bulletlist1Char"/>
          <w:b/>
        </w:rPr>
        <w:t>Scope:</w:t>
      </w:r>
      <w:r>
        <w:t xml:space="preserve"> Essential communication services should be guaranteed.</w:t>
      </w:r>
    </w:p>
    <w:p w:rsidR="00D235F3" w:rsidRDefault="006E6427" w:rsidP="00C2652A">
      <w:pPr>
        <w:pStyle w:val="Bulletlist1"/>
      </w:pPr>
      <w:r w:rsidRPr="006E6427">
        <w:rPr>
          <w:b/>
        </w:rPr>
        <w:t>Voice services</w:t>
      </w:r>
      <w:r>
        <w:t xml:space="preserve">: </w:t>
      </w:r>
      <w:r w:rsidR="00D235F3">
        <w:t>Continue</w:t>
      </w:r>
      <w:r w:rsidR="00AD528B">
        <w:t>d</w:t>
      </w:r>
      <w:r w:rsidR="00D235F3">
        <w:t xml:space="preserve"> guarantee</w:t>
      </w:r>
      <w:r w:rsidR="00AD528B">
        <w:t>d</w:t>
      </w:r>
      <w:r w:rsidR="00D235F3">
        <w:t xml:space="preserve"> </w:t>
      </w:r>
      <w:r w:rsidR="0063386E">
        <w:t>access to</w:t>
      </w:r>
      <w:r w:rsidR="00D235F3">
        <w:t xml:space="preserve"> voice services. </w:t>
      </w:r>
      <w:r w:rsidR="00D235F3" w:rsidRPr="00AD528B">
        <w:t xml:space="preserve">Where voice services over the </w:t>
      </w:r>
      <w:proofErr w:type="spellStart"/>
      <w:r w:rsidR="00D235F3" w:rsidRPr="00AD528B">
        <w:t>nbn</w:t>
      </w:r>
      <w:proofErr w:type="spellEnd"/>
      <w:r w:rsidR="00D235F3" w:rsidRPr="00AD528B">
        <w:t xml:space="preserve"> network </w:t>
      </w:r>
      <w:r w:rsidR="00134741" w:rsidRPr="00AD528B">
        <w:t>meet the</w:t>
      </w:r>
      <w:r w:rsidR="00D235F3" w:rsidRPr="00AD528B">
        <w:t xml:space="preserve"> required standard</w:t>
      </w:r>
      <w:r w:rsidR="00B6196A">
        <w:t>,</w:t>
      </w:r>
      <w:r w:rsidR="00D235F3" w:rsidRPr="00AD528B">
        <w:t xml:space="preserve"> </w:t>
      </w:r>
      <w:r w:rsidR="00AD528B" w:rsidRPr="00AD528B">
        <w:t xml:space="preserve">voice service can be provided over the network with no additional financial support for retailers. In areas where the </w:t>
      </w:r>
      <w:proofErr w:type="spellStart"/>
      <w:r w:rsidR="00AD528B" w:rsidRPr="00AD528B">
        <w:t>nbn</w:t>
      </w:r>
      <w:proofErr w:type="spellEnd"/>
      <w:r w:rsidR="00AD528B" w:rsidRPr="00AD528B">
        <w:t xml:space="preserve"> network can</w:t>
      </w:r>
      <w:r w:rsidR="00B6196A">
        <w:t>no</w:t>
      </w:r>
      <w:r w:rsidR="00AD528B" w:rsidRPr="00AD528B">
        <w:t>t me</w:t>
      </w:r>
      <w:r w:rsidR="00B6196A">
        <w:t>e</w:t>
      </w:r>
      <w:r w:rsidR="00AD528B" w:rsidRPr="00AD528B">
        <w:t xml:space="preserve">t this standard the current obligation should ensure access to voice services. </w:t>
      </w:r>
      <w:r w:rsidR="00D235F3">
        <w:t xml:space="preserve"> </w:t>
      </w:r>
      <w:r w:rsidR="00333A24">
        <w:t>(See section 2)</w:t>
      </w:r>
    </w:p>
    <w:p w:rsidR="00D235F3" w:rsidRDefault="006E6427" w:rsidP="00C2652A">
      <w:pPr>
        <w:pStyle w:val="Bulletlist1"/>
      </w:pPr>
      <w:r w:rsidRPr="006E6427">
        <w:rPr>
          <w:b/>
        </w:rPr>
        <w:lastRenderedPageBreak/>
        <w:t>Payphones</w:t>
      </w:r>
      <w:r>
        <w:rPr>
          <w:b/>
        </w:rPr>
        <w:t>:</w:t>
      </w:r>
      <w:r>
        <w:t xml:space="preserve"> </w:t>
      </w:r>
      <w:r w:rsidR="00D235F3">
        <w:t xml:space="preserve">Further study should be carried out on the use of payphones and the potential for alternative services to meet and improve </w:t>
      </w:r>
      <w:r w:rsidR="00B6196A">
        <w:t xml:space="preserve">the </w:t>
      </w:r>
      <w:r w:rsidR="00D235F3">
        <w:t>utility</w:t>
      </w:r>
      <w:r w:rsidR="00AD528B">
        <w:t xml:space="preserve"> delivered by this service</w:t>
      </w:r>
      <w:r w:rsidR="00D235F3">
        <w:t>.</w:t>
      </w:r>
      <w:r w:rsidR="00333A24">
        <w:t xml:space="preserve"> (see section 2)</w:t>
      </w:r>
    </w:p>
    <w:p w:rsidR="006E6427" w:rsidRDefault="006E6427" w:rsidP="00C2652A">
      <w:pPr>
        <w:pStyle w:val="Bulletlist1"/>
      </w:pPr>
      <w:r w:rsidRPr="006E6427">
        <w:rPr>
          <w:rStyle w:val="Bulletlist2Char"/>
          <w:b/>
        </w:rPr>
        <w:t>Data services</w:t>
      </w:r>
      <w:r>
        <w:t xml:space="preserve">: </w:t>
      </w:r>
      <w:r w:rsidR="00D235F3">
        <w:t>Data services should be guaranteed to all Australians. These should meet a minimum standard and ensure access to required amounts of data</w:t>
      </w:r>
      <w:r w:rsidR="00AD528B">
        <w:t xml:space="preserve"> which adapts to developing needs</w:t>
      </w:r>
      <w:r w:rsidR="00D235F3">
        <w:t>.</w:t>
      </w:r>
      <w:r w:rsidR="00333A24">
        <w:t xml:space="preserve"> (See section 4)</w:t>
      </w:r>
    </w:p>
    <w:p w:rsidR="00D235F3" w:rsidRDefault="006E6427" w:rsidP="00C2652A">
      <w:pPr>
        <w:pStyle w:val="Bulletlist1"/>
      </w:pPr>
      <w:r w:rsidRPr="00333A24">
        <w:rPr>
          <w:b/>
        </w:rPr>
        <w:t>Content</w:t>
      </w:r>
      <w:r>
        <w:t xml:space="preserve">: </w:t>
      </w:r>
      <w:r w:rsidR="00D235F3">
        <w:t>Essential content, such as for education and government services, should be guaranteed.</w:t>
      </w:r>
      <w:r w:rsidR="00333A24">
        <w:t xml:space="preserve"> (See section 4)</w:t>
      </w:r>
    </w:p>
    <w:p w:rsidR="00D235F3" w:rsidRDefault="00D235F3" w:rsidP="00C2652A">
      <w:pPr>
        <w:pStyle w:val="Bulletlist1"/>
      </w:pPr>
      <w:r>
        <w:t xml:space="preserve">A retail provider of last resort obligation for data and voice over </w:t>
      </w:r>
      <w:proofErr w:type="spellStart"/>
      <w:r>
        <w:t>nbn</w:t>
      </w:r>
      <w:proofErr w:type="spellEnd"/>
      <w:r>
        <w:t xml:space="preserve"> should be created to ensure that consumers are not left without a </w:t>
      </w:r>
      <w:r w:rsidR="009213ED">
        <w:t xml:space="preserve">service </w:t>
      </w:r>
      <w:r w:rsidR="00796B08">
        <w:t xml:space="preserve">if </w:t>
      </w:r>
      <w:r w:rsidR="00134741">
        <w:t>a provider</w:t>
      </w:r>
      <w:r w:rsidR="009213ED">
        <w:t xml:space="preserve"> no longer operates.</w:t>
      </w:r>
      <w:r>
        <w:t xml:space="preserve"> </w:t>
      </w:r>
      <w:r w:rsidR="00333A24">
        <w:t>(See section 4)</w:t>
      </w:r>
    </w:p>
    <w:p w:rsidR="00333A24" w:rsidRDefault="00333A24" w:rsidP="00C2652A">
      <w:pPr>
        <w:pStyle w:val="Bulletlist1"/>
      </w:pPr>
      <w:r w:rsidRPr="00333A24">
        <w:rPr>
          <w:b/>
        </w:rPr>
        <w:t>Quality:</w:t>
      </w:r>
      <w:r w:rsidRPr="00333A24">
        <w:t xml:space="preserve"> Service guarantees </w:t>
      </w:r>
      <w:r w:rsidR="009B4899">
        <w:t xml:space="preserve">for connection and fault repairs </w:t>
      </w:r>
      <w:r w:rsidRPr="00333A24">
        <w:t xml:space="preserve">and reliability standards should apply to services. (See section </w:t>
      </w:r>
      <w:r w:rsidR="00AD528B">
        <w:t>5</w:t>
      </w:r>
      <w:r w:rsidRPr="00333A24">
        <w:t>)</w:t>
      </w:r>
    </w:p>
    <w:p w:rsidR="00D235F3" w:rsidRDefault="006E6427" w:rsidP="00333A24">
      <w:pPr>
        <w:pStyle w:val="Bulletlist1"/>
        <w:numPr>
          <w:ilvl w:val="0"/>
          <w:numId w:val="0"/>
        </w:numPr>
      </w:pPr>
      <w:r w:rsidRPr="00333A24">
        <w:rPr>
          <w:b/>
        </w:rPr>
        <w:t>Affordability</w:t>
      </w:r>
      <w:r w:rsidR="00333A24">
        <w:rPr>
          <w:b/>
        </w:rPr>
        <w:t>:</w:t>
      </w:r>
      <w:r>
        <w:t xml:space="preserve"> </w:t>
      </w:r>
      <w:r w:rsidR="00D235F3">
        <w:t>Affordability measures for low income consumers</w:t>
      </w:r>
      <w:r w:rsidR="00333A24">
        <w:t xml:space="preserve"> and consumers with disabilities</w:t>
      </w:r>
      <w:r w:rsidR="00D235F3">
        <w:t xml:space="preserve"> to access a range of telecommunications services and devices should be made available, independent of provider. </w:t>
      </w:r>
      <w:r>
        <w:t xml:space="preserve"> (See section </w:t>
      </w:r>
      <w:r w:rsidR="00AD528B">
        <w:t>6</w:t>
      </w:r>
      <w:r>
        <w:t>)</w:t>
      </w:r>
    </w:p>
    <w:p w:rsidR="006E6427" w:rsidRPr="00333A24" w:rsidRDefault="006E6427" w:rsidP="00333A24">
      <w:pPr>
        <w:pStyle w:val="Bulletlist1"/>
        <w:numPr>
          <w:ilvl w:val="0"/>
          <w:numId w:val="0"/>
        </w:numPr>
        <w:rPr>
          <w:b/>
        </w:rPr>
      </w:pPr>
      <w:r w:rsidRPr="00333A24">
        <w:rPr>
          <w:b/>
        </w:rPr>
        <w:t xml:space="preserve">Accessibility: </w:t>
      </w:r>
    </w:p>
    <w:p w:rsidR="00D235F3" w:rsidRDefault="00D235F3" w:rsidP="00C2652A">
      <w:pPr>
        <w:pStyle w:val="Bulletlist1"/>
      </w:pPr>
      <w:r>
        <w:t xml:space="preserve">A Disability Telecommunication Service should be established to provide </w:t>
      </w:r>
      <w:r w:rsidRPr="00415805">
        <w:t>communications information, equipment provision, training and support</w:t>
      </w:r>
      <w:r>
        <w:t xml:space="preserve">. </w:t>
      </w:r>
      <w:r w:rsidR="006E6427">
        <w:t>(See section 7)</w:t>
      </w:r>
    </w:p>
    <w:p w:rsidR="00333A24" w:rsidRDefault="00D235F3" w:rsidP="00C2652A">
      <w:pPr>
        <w:pStyle w:val="Bulletlist1"/>
      </w:pPr>
      <w:r>
        <w:t xml:space="preserve">The National Relay Service should be expanded to include services for </w:t>
      </w:r>
      <w:proofErr w:type="spellStart"/>
      <w:r w:rsidR="00B6196A">
        <w:t>D</w:t>
      </w:r>
      <w:r>
        <w:t>eafblind</w:t>
      </w:r>
      <w:proofErr w:type="spellEnd"/>
      <w:r>
        <w:t xml:space="preserve"> and multilingual consumers, with all services offered 24 hours per day.</w:t>
      </w:r>
      <w:r w:rsidR="006E6427">
        <w:t xml:space="preserve"> (See section 7)</w:t>
      </w:r>
    </w:p>
    <w:p w:rsidR="006E6427" w:rsidRDefault="006E6427" w:rsidP="00333A24">
      <w:pPr>
        <w:pStyle w:val="Bulletlist2"/>
        <w:numPr>
          <w:ilvl w:val="0"/>
          <w:numId w:val="0"/>
        </w:numPr>
      </w:pPr>
      <w:r w:rsidRPr="00333A24">
        <w:rPr>
          <w:b/>
        </w:rPr>
        <w:t>Funding, costs and implementation</w:t>
      </w:r>
      <w:r>
        <w:t xml:space="preserve">: </w:t>
      </w:r>
    </w:p>
    <w:p w:rsidR="00D235F3" w:rsidRDefault="00D235F3" w:rsidP="00C2652A">
      <w:pPr>
        <w:pStyle w:val="Bulletlist1"/>
      </w:pPr>
      <w:r>
        <w:t xml:space="preserve">Funding, sourced from industry and Government, should </w:t>
      </w:r>
      <w:r w:rsidR="00AD528B">
        <w:t>be used</w:t>
      </w:r>
      <w:r>
        <w:t xml:space="preserve"> and delivered through public provision</w:t>
      </w:r>
      <w:r w:rsidR="008805B6">
        <w:t>, subsidising the private sector,</w:t>
      </w:r>
      <w:r>
        <w:t xml:space="preserve"> and </w:t>
      </w:r>
      <w:r w:rsidR="008805B6">
        <w:t>subsidising consumers and carrier licence conditions</w:t>
      </w:r>
      <w:r>
        <w:t xml:space="preserve">. </w:t>
      </w:r>
      <w:r w:rsidR="006E6427">
        <w:t>(See section 8)</w:t>
      </w:r>
    </w:p>
    <w:p w:rsidR="00D52378" w:rsidRDefault="00C2652A" w:rsidP="000E4B8D">
      <w:pPr>
        <w:pStyle w:val="Bulletlist1"/>
      </w:pPr>
      <w:r>
        <w:t xml:space="preserve">Implementation should be on </w:t>
      </w:r>
      <w:r w:rsidR="00D235F3">
        <w:t>a rolling basis</w:t>
      </w:r>
      <w:r>
        <w:t xml:space="preserve"> </w:t>
      </w:r>
      <w:r w:rsidR="00AD528B">
        <w:t xml:space="preserve">as and </w:t>
      </w:r>
      <w:r>
        <w:t>when the infrastructure becomes available</w:t>
      </w:r>
      <w:r w:rsidR="00AD528B">
        <w:t>, with everyone guaranteed access by 2021</w:t>
      </w:r>
      <w:r w:rsidR="00D235F3">
        <w:t>.</w:t>
      </w:r>
      <w:r w:rsidR="006E6427">
        <w:t xml:space="preserve"> (See section 8)</w:t>
      </w:r>
    </w:p>
    <w:p w:rsidR="001D2D61" w:rsidRDefault="001D2D61" w:rsidP="002A629E">
      <w:pPr>
        <w:pStyle w:val="Heading1"/>
        <w:numPr>
          <w:ilvl w:val="0"/>
          <w:numId w:val="3"/>
        </w:numPr>
      </w:pPr>
      <w:bookmarkStart w:id="4" w:name="_Toc457563426"/>
      <w:bookmarkStart w:id="5" w:name="_Toc343010198"/>
      <w:bookmarkStart w:id="6" w:name="_Toc351382483"/>
      <w:r>
        <w:lastRenderedPageBreak/>
        <w:t>Introduction</w:t>
      </w:r>
      <w:bookmarkEnd w:id="4"/>
    </w:p>
    <w:p w:rsidR="001A007E" w:rsidRDefault="001A007E" w:rsidP="00057045">
      <w:pPr>
        <w:rPr>
          <w:lang w:val="en-IE" w:eastAsia="en-US"/>
        </w:rPr>
      </w:pPr>
      <w:proofErr w:type="spellStart"/>
      <w:r>
        <w:rPr>
          <w:lang w:val="en-IE" w:eastAsia="en-US"/>
        </w:rPr>
        <w:t>ACCAN</w:t>
      </w:r>
      <w:proofErr w:type="spellEnd"/>
      <w:r>
        <w:rPr>
          <w:lang w:val="en-IE" w:eastAsia="en-US"/>
        </w:rPr>
        <w:t xml:space="preserve"> </w:t>
      </w:r>
      <w:r w:rsidR="00573D05">
        <w:rPr>
          <w:lang w:val="en-IE" w:eastAsia="en-US"/>
        </w:rPr>
        <w:t>is a peak member body with a diverse group of members</w:t>
      </w:r>
      <w:r w:rsidR="00573D05">
        <w:t>,</w:t>
      </w:r>
      <w:r w:rsidR="009213ED">
        <w:t xml:space="preserve"> includ</w:t>
      </w:r>
      <w:r w:rsidR="00573D05">
        <w:t>ing</w:t>
      </w:r>
      <w:r w:rsidR="009213ED">
        <w:t xml:space="preserve"> community legal centres, disability advocates, indigenous organisations, financial counsellors, regional organisations, farmers’ federations, parents groups, seniors’ organisations and other individual members.</w:t>
      </w:r>
      <w:r w:rsidR="00090590">
        <w:rPr>
          <w:rStyle w:val="FootnoteReference"/>
          <w:lang w:val="en-IE" w:eastAsia="en-US"/>
        </w:rPr>
        <w:footnoteReference w:id="3"/>
      </w:r>
      <w:r w:rsidR="009213ED">
        <w:t xml:space="preserve"> </w:t>
      </w:r>
      <w:proofErr w:type="spellStart"/>
      <w:r w:rsidR="009213ED">
        <w:t>ACCAN</w:t>
      </w:r>
      <w:proofErr w:type="spellEnd"/>
      <w:r w:rsidR="009213ED">
        <w:t xml:space="preserve"> works in the public interest to promote outcomes that are in communication consumers’ interest.</w:t>
      </w:r>
    </w:p>
    <w:p w:rsidR="00057045" w:rsidRPr="009A330D" w:rsidRDefault="00573D05" w:rsidP="00057045">
      <w:pPr>
        <w:rPr>
          <w:lang w:val="en-IE" w:eastAsia="en-US"/>
        </w:rPr>
      </w:pPr>
      <w:proofErr w:type="spellStart"/>
      <w:r w:rsidRPr="009A330D">
        <w:rPr>
          <w:lang w:val="en-IE" w:eastAsia="en-US"/>
        </w:rPr>
        <w:t>ACCAN</w:t>
      </w:r>
      <w:proofErr w:type="spellEnd"/>
      <w:r w:rsidRPr="009A330D">
        <w:rPr>
          <w:lang w:val="en-IE" w:eastAsia="en-US"/>
        </w:rPr>
        <w:t>, and its predecessor Consumers Telecommunication Network (</w:t>
      </w:r>
      <w:proofErr w:type="spellStart"/>
      <w:r w:rsidRPr="009A330D">
        <w:rPr>
          <w:lang w:val="en-IE" w:eastAsia="en-US"/>
        </w:rPr>
        <w:t>CTN</w:t>
      </w:r>
      <w:proofErr w:type="spellEnd"/>
      <w:r w:rsidRPr="009A330D">
        <w:rPr>
          <w:lang w:val="en-IE" w:eastAsia="en-US"/>
        </w:rPr>
        <w:t xml:space="preserve">), have </w:t>
      </w:r>
      <w:r>
        <w:rPr>
          <w:lang w:val="en-IE" w:eastAsia="en-US"/>
        </w:rPr>
        <w:t xml:space="preserve">been keenly interested in the </w:t>
      </w:r>
      <w:r w:rsidRPr="009A330D">
        <w:rPr>
          <w:lang w:val="en-IE" w:eastAsia="en-US"/>
        </w:rPr>
        <w:t xml:space="preserve">Universal Service Obligation for </w:t>
      </w:r>
      <w:r>
        <w:rPr>
          <w:lang w:val="en-IE" w:eastAsia="en-US"/>
        </w:rPr>
        <w:t>over 25 years</w:t>
      </w:r>
      <w:r w:rsidRPr="009A330D">
        <w:rPr>
          <w:lang w:val="en-IE" w:eastAsia="en-US"/>
        </w:rPr>
        <w:t>.</w:t>
      </w:r>
      <w:r>
        <w:rPr>
          <w:lang w:val="en-IE" w:eastAsia="en-US"/>
        </w:rPr>
        <w:t xml:space="preserve"> </w:t>
      </w:r>
      <w:r w:rsidR="00146F44">
        <w:rPr>
          <w:lang w:val="en-IE" w:eastAsia="en-US"/>
        </w:rPr>
        <w:t xml:space="preserve">Consumers have consistently expressed frustration at the lack of </w:t>
      </w:r>
      <w:r w:rsidR="00EE68AC">
        <w:rPr>
          <w:lang w:val="en-IE" w:eastAsia="en-US"/>
        </w:rPr>
        <w:t>services</w:t>
      </w:r>
      <w:r w:rsidR="00146F44">
        <w:rPr>
          <w:lang w:val="en-IE" w:eastAsia="en-US"/>
        </w:rPr>
        <w:t xml:space="preserve"> that are </w:t>
      </w:r>
      <w:r w:rsidR="00D33196">
        <w:rPr>
          <w:lang w:val="en-IE" w:eastAsia="en-US"/>
        </w:rPr>
        <w:t xml:space="preserve">included in the </w:t>
      </w:r>
      <w:proofErr w:type="spellStart"/>
      <w:r w:rsidR="00D33196">
        <w:rPr>
          <w:lang w:val="en-IE" w:eastAsia="en-US"/>
        </w:rPr>
        <w:t>USO</w:t>
      </w:r>
      <w:proofErr w:type="spellEnd"/>
      <w:r w:rsidR="00146F44">
        <w:rPr>
          <w:lang w:val="en-IE" w:eastAsia="en-US"/>
        </w:rPr>
        <w:t xml:space="preserve">. </w:t>
      </w:r>
      <w:r w:rsidR="00EE68AC">
        <w:rPr>
          <w:lang w:val="en-IE" w:eastAsia="en-US"/>
        </w:rPr>
        <w:t>Th</w:t>
      </w:r>
      <w:r w:rsidR="008805B6">
        <w:rPr>
          <w:lang w:val="en-IE" w:eastAsia="en-US"/>
        </w:rPr>
        <w:t>is</w:t>
      </w:r>
      <w:r w:rsidR="00EE68AC">
        <w:rPr>
          <w:lang w:val="en-IE" w:eastAsia="en-US"/>
        </w:rPr>
        <w:t xml:space="preserve"> </w:t>
      </w:r>
      <w:r w:rsidR="00EE68AC" w:rsidRPr="009A330D">
        <w:rPr>
          <w:lang w:val="en-IE" w:eastAsia="en-US"/>
        </w:rPr>
        <w:t xml:space="preserve">lack of </w:t>
      </w:r>
      <w:r w:rsidR="00EE68AC">
        <w:rPr>
          <w:lang w:val="en-IE" w:eastAsia="en-US"/>
        </w:rPr>
        <w:t xml:space="preserve">services </w:t>
      </w:r>
      <w:r w:rsidR="00EE68AC" w:rsidRPr="009A330D">
        <w:rPr>
          <w:lang w:val="en-IE" w:eastAsia="en-US"/>
        </w:rPr>
        <w:t>is amplified in regional and remote areas, with Telecommunications Industry Ombudsman (</w:t>
      </w:r>
      <w:proofErr w:type="spellStart"/>
      <w:r w:rsidR="00EE68AC" w:rsidRPr="009A330D">
        <w:rPr>
          <w:lang w:val="en-IE" w:eastAsia="en-US"/>
        </w:rPr>
        <w:t>TIO</w:t>
      </w:r>
      <w:proofErr w:type="spellEnd"/>
      <w:r w:rsidR="00EE68AC" w:rsidRPr="009A330D">
        <w:rPr>
          <w:lang w:val="en-IE" w:eastAsia="en-US"/>
        </w:rPr>
        <w:t>) data showing 40% of consumer enquiries raise issues with the unavailability or performance limitations of landline and internet services due to the lack of infrastructure.</w:t>
      </w:r>
      <w:r w:rsidR="00EE68AC">
        <w:rPr>
          <w:rStyle w:val="FootnoteReference"/>
          <w:lang w:val="en-IE" w:eastAsia="en-US"/>
        </w:rPr>
        <w:footnoteReference w:id="4"/>
      </w:r>
      <w:r w:rsidR="00057045" w:rsidRPr="00057045">
        <w:rPr>
          <w:lang w:val="en-IE" w:eastAsia="en-US"/>
        </w:rPr>
        <w:t xml:space="preserve"> </w:t>
      </w:r>
      <w:r w:rsidR="00057045" w:rsidRPr="009A330D">
        <w:rPr>
          <w:lang w:val="en-IE" w:eastAsia="en-US"/>
        </w:rPr>
        <w:t xml:space="preserve">The current telecommunications market has left a number of consumers frustrated </w:t>
      </w:r>
      <w:r w:rsidR="005E187E">
        <w:rPr>
          <w:lang w:val="en-IE" w:eastAsia="en-US"/>
        </w:rPr>
        <w:t>by</w:t>
      </w:r>
      <w:r w:rsidR="00057045" w:rsidRPr="009A330D">
        <w:rPr>
          <w:lang w:val="en-IE" w:eastAsia="en-US"/>
        </w:rPr>
        <w:t xml:space="preserve"> </w:t>
      </w:r>
      <w:r w:rsidR="005E187E">
        <w:rPr>
          <w:lang w:val="en-IE" w:eastAsia="en-US"/>
        </w:rPr>
        <w:t xml:space="preserve">available </w:t>
      </w:r>
      <w:r w:rsidR="00057045" w:rsidRPr="009A330D">
        <w:rPr>
          <w:lang w:val="en-IE" w:eastAsia="en-US"/>
        </w:rPr>
        <w:t xml:space="preserve">services </w:t>
      </w:r>
      <w:r w:rsidR="005E187E">
        <w:rPr>
          <w:lang w:val="en-IE" w:eastAsia="en-US"/>
        </w:rPr>
        <w:t xml:space="preserve">and </w:t>
      </w:r>
      <w:r w:rsidR="00090590">
        <w:rPr>
          <w:lang w:val="en-IE" w:eastAsia="en-US"/>
        </w:rPr>
        <w:t xml:space="preserve">their </w:t>
      </w:r>
      <w:r w:rsidR="00090590" w:rsidRPr="009A330D">
        <w:rPr>
          <w:lang w:val="en-IE" w:eastAsia="en-US"/>
        </w:rPr>
        <w:t>quality</w:t>
      </w:r>
      <w:r w:rsidR="00057045" w:rsidRPr="009A330D">
        <w:rPr>
          <w:lang w:val="en-IE" w:eastAsia="en-US"/>
        </w:rPr>
        <w:t xml:space="preserve">. </w:t>
      </w:r>
    </w:p>
    <w:p w:rsidR="00057045" w:rsidRPr="009A330D" w:rsidRDefault="00057045" w:rsidP="00057045">
      <w:pPr>
        <w:rPr>
          <w:lang w:val="en-IE" w:eastAsia="en-US"/>
        </w:rPr>
      </w:pPr>
      <w:r w:rsidRPr="009A330D">
        <w:rPr>
          <w:lang w:val="en-IE" w:eastAsia="en-US"/>
        </w:rPr>
        <w:t xml:space="preserve">Telecommunication services have </w:t>
      </w:r>
      <w:r w:rsidR="005E187E">
        <w:rPr>
          <w:lang w:val="en-IE" w:eastAsia="en-US"/>
        </w:rPr>
        <w:t xml:space="preserve">been </w:t>
      </w:r>
      <w:r w:rsidRPr="009A330D">
        <w:rPr>
          <w:lang w:val="en-IE" w:eastAsia="en-US"/>
        </w:rPr>
        <w:t xml:space="preserve">and are rapidly evolving. The resulting enhancements to quality of life and economic opportunities from being connected should be available to all consumers. The National Broadband Network, through providing premises and small business access to </w:t>
      </w:r>
      <w:proofErr w:type="spellStart"/>
      <w:r w:rsidRPr="009A330D">
        <w:rPr>
          <w:lang w:val="en-IE" w:eastAsia="en-US"/>
        </w:rPr>
        <w:t>25Mbps</w:t>
      </w:r>
      <w:proofErr w:type="spellEnd"/>
      <w:r w:rsidRPr="009A330D">
        <w:rPr>
          <w:lang w:val="en-IE" w:eastAsia="en-US"/>
        </w:rPr>
        <w:t xml:space="preserve"> network, will address some of the issues associated with lack of access to infrastructure. However, concerns in relation to the service</w:t>
      </w:r>
      <w:r w:rsidR="00573D05">
        <w:rPr>
          <w:lang w:val="en-IE" w:eastAsia="en-US"/>
        </w:rPr>
        <w:t xml:space="preserve"> guarantees and equ</w:t>
      </w:r>
      <w:r w:rsidR="00134741">
        <w:rPr>
          <w:lang w:val="en-IE" w:eastAsia="en-US"/>
        </w:rPr>
        <w:t xml:space="preserve">ivalence </w:t>
      </w:r>
      <w:r w:rsidR="00573D05">
        <w:rPr>
          <w:lang w:val="en-IE" w:eastAsia="en-US"/>
        </w:rPr>
        <w:t>of available services</w:t>
      </w:r>
      <w:r w:rsidRPr="009A330D">
        <w:rPr>
          <w:lang w:val="en-IE" w:eastAsia="en-US"/>
        </w:rPr>
        <w:t xml:space="preserve"> still remain.</w:t>
      </w:r>
    </w:p>
    <w:p w:rsidR="00057045" w:rsidRDefault="009A330D" w:rsidP="009A330D">
      <w:pPr>
        <w:rPr>
          <w:lang w:val="en-IE" w:eastAsia="en-US"/>
        </w:rPr>
      </w:pPr>
      <w:r w:rsidRPr="009A330D">
        <w:rPr>
          <w:lang w:val="en-IE" w:eastAsia="en-US"/>
        </w:rPr>
        <w:t xml:space="preserve">Furthermore, the barriers </w:t>
      </w:r>
      <w:r w:rsidR="005E187E">
        <w:rPr>
          <w:lang w:val="en-IE" w:eastAsia="en-US"/>
        </w:rPr>
        <w:t>to</w:t>
      </w:r>
      <w:r w:rsidRPr="009A330D">
        <w:rPr>
          <w:lang w:val="en-IE" w:eastAsia="en-US"/>
        </w:rPr>
        <w:t xml:space="preserve"> telecommunication</w:t>
      </w:r>
      <w:r w:rsidR="005E187E">
        <w:rPr>
          <w:lang w:val="en-IE" w:eastAsia="en-US"/>
        </w:rPr>
        <w:t>s</w:t>
      </w:r>
      <w:r w:rsidRPr="009A330D">
        <w:rPr>
          <w:lang w:val="en-IE" w:eastAsia="en-US"/>
        </w:rPr>
        <w:t xml:space="preserve"> services are becoming more complicated and have the potential to </w:t>
      </w:r>
      <w:r w:rsidR="005E187E">
        <w:rPr>
          <w:lang w:val="en-IE" w:eastAsia="en-US"/>
        </w:rPr>
        <w:t>increase the</w:t>
      </w:r>
      <w:r w:rsidRPr="009A330D">
        <w:rPr>
          <w:lang w:val="en-IE" w:eastAsia="en-US"/>
        </w:rPr>
        <w:t xml:space="preserve"> divide between those online and those offline. </w:t>
      </w:r>
      <w:r w:rsidR="00146F44">
        <w:rPr>
          <w:lang w:val="en-IE" w:eastAsia="en-US"/>
        </w:rPr>
        <w:t>International s</w:t>
      </w:r>
      <w:r w:rsidRPr="009A330D">
        <w:rPr>
          <w:lang w:val="en-IE" w:eastAsia="en-US"/>
        </w:rPr>
        <w:t>tudies have found that non-users, while decreasing, tend to be</w:t>
      </w:r>
      <w:r w:rsidR="00573D05">
        <w:rPr>
          <w:lang w:val="en-IE" w:eastAsia="en-US"/>
        </w:rPr>
        <w:t xml:space="preserve"> more</w:t>
      </w:r>
      <w:r w:rsidRPr="009A330D">
        <w:rPr>
          <w:lang w:val="en-IE" w:eastAsia="en-US"/>
        </w:rPr>
        <w:t xml:space="preserve"> conc</w:t>
      </w:r>
      <w:r w:rsidR="00057045">
        <w:rPr>
          <w:lang w:val="en-IE" w:eastAsia="en-US"/>
        </w:rPr>
        <w:t xml:space="preserve">entrated </w:t>
      </w:r>
      <w:r w:rsidR="008015CF">
        <w:rPr>
          <w:lang w:val="en-IE" w:eastAsia="en-US"/>
        </w:rPr>
        <w:t>among</w:t>
      </w:r>
      <w:r w:rsidR="00057045">
        <w:rPr>
          <w:lang w:val="en-IE" w:eastAsia="en-US"/>
        </w:rPr>
        <w:t xml:space="preserve"> vulnerable groups.</w:t>
      </w:r>
      <w:r w:rsidRPr="009A330D">
        <w:rPr>
          <w:vertAlign w:val="superscript"/>
          <w:lang w:val="en-IE" w:eastAsia="en-US"/>
        </w:rPr>
        <w:footnoteReference w:id="5"/>
      </w:r>
      <w:r w:rsidRPr="009A330D">
        <w:rPr>
          <w:lang w:val="en-IE" w:eastAsia="en-US"/>
        </w:rPr>
        <w:t xml:space="preserve"> </w:t>
      </w:r>
    </w:p>
    <w:p w:rsidR="00A35DD3" w:rsidRDefault="00A35DD3" w:rsidP="009A330D">
      <w:pPr>
        <w:rPr>
          <w:lang w:val="en-IE" w:eastAsia="en-US"/>
        </w:rPr>
      </w:pPr>
      <w:r>
        <w:rPr>
          <w:lang w:val="en-IE" w:eastAsia="en-US"/>
        </w:rPr>
        <w:t xml:space="preserve">Recent </w:t>
      </w:r>
      <w:proofErr w:type="spellStart"/>
      <w:r>
        <w:rPr>
          <w:lang w:val="en-IE" w:eastAsia="en-US"/>
        </w:rPr>
        <w:t>ACCAN</w:t>
      </w:r>
      <w:proofErr w:type="spellEnd"/>
      <w:r>
        <w:rPr>
          <w:lang w:val="en-IE" w:eastAsia="en-US"/>
        </w:rPr>
        <w:t xml:space="preserve"> work has focused on the future of the </w:t>
      </w:r>
      <w:proofErr w:type="spellStart"/>
      <w:r w:rsidR="005E187E">
        <w:rPr>
          <w:lang w:val="en-IE" w:eastAsia="en-US"/>
        </w:rPr>
        <w:t>USO</w:t>
      </w:r>
      <w:proofErr w:type="spellEnd"/>
      <w:r>
        <w:rPr>
          <w:lang w:val="en-IE" w:eastAsia="en-US"/>
        </w:rPr>
        <w:t xml:space="preserve">, </w:t>
      </w:r>
      <w:r w:rsidR="00E152BE">
        <w:rPr>
          <w:lang w:val="en-IE" w:eastAsia="en-US"/>
        </w:rPr>
        <w:t xml:space="preserve">service </w:t>
      </w:r>
      <w:r>
        <w:rPr>
          <w:lang w:val="en-IE" w:eastAsia="en-US"/>
        </w:rPr>
        <w:t>guarantees, accessibility and affordability. This submission is based on these research papers</w:t>
      </w:r>
      <w:r w:rsidR="00146F44">
        <w:rPr>
          <w:lang w:val="en-IE" w:eastAsia="en-US"/>
        </w:rPr>
        <w:t xml:space="preserve">, </w:t>
      </w:r>
      <w:r w:rsidR="00D63AD8">
        <w:rPr>
          <w:lang w:val="en-IE" w:eastAsia="en-US"/>
        </w:rPr>
        <w:t>discussions with members and consumers</w:t>
      </w:r>
      <w:r w:rsidR="00146F44">
        <w:rPr>
          <w:lang w:val="en-IE" w:eastAsia="en-US"/>
        </w:rPr>
        <w:t xml:space="preserve"> and </w:t>
      </w:r>
      <w:r w:rsidR="008805B6">
        <w:rPr>
          <w:lang w:val="en-IE" w:eastAsia="en-US"/>
        </w:rPr>
        <w:t xml:space="preserve">consultation undertaken at </w:t>
      </w:r>
      <w:r w:rsidR="00146F44">
        <w:rPr>
          <w:lang w:val="en-IE" w:eastAsia="en-US"/>
        </w:rPr>
        <w:t xml:space="preserve">a number of events that </w:t>
      </w:r>
      <w:proofErr w:type="spellStart"/>
      <w:r w:rsidR="00146F44">
        <w:rPr>
          <w:lang w:val="en-IE" w:eastAsia="en-US"/>
        </w:rPr>
        <w:t>ACCAN</w:t>
      </w:r>
      <w:proofErr w:type="spellEnd"/>
      <w:r w:rsidR="00146F44">
        <w:rPr>
          <w:lang w:val="en-IE" w:eastAsia="en-US"/>
        </w:rPr>
        <w:t xml:space="preserve"> has recently held</w:t>
      </w:r>
      <w:r>
        <w:rPr>
          <w:lang w:val="en-IE" w:eastAsia="en-US"/>
        </w:rPr>
        <w:t>.</w:t>
      </w:r>
    </w:p>
    <w:p w:rsidR="0088571C" w:rsidRDefault="00B010DF" w:rsidP="002A629E">
      <w:pPr>
        <w:pStyle w:val="Heading1"/>
        <w:numPr>
          <w:ilvl w:val="0"/>
          <w:numId w:val="3"/>
        </w:numPr>
      </w:pPr>
      <w:bookmarkStart w:id="7" w:name="_Toc457563427"/>
      <w:r>
        <w:lastRenderedPageBreak/>
        <w:t xml:space="preserve">Current </w:t>
      </w:r>
      <w:bookmarkEnd w:id="5"/>
      <w:bookmarkEnd w:id="6"/>
      <w:proofErr w:type="spellStart"/>
      <w:r>
        <w:t>USO</w:t>
      </w:r>
      <w:bookmarkEnd w:id="7"/>
      <w:proofErr w:type="spellEnd"/>
    </w:p>
    <w:p w:rsidR="009A330D" w:rsidRDefault="009A330D" w:rsidP="00A35DD3">
      <w:r>
        <w:t xml:space="preserve">Guaranteed access to a standard telephone service </w:t>
      </w:r>
      <w:r w:rsidR="008015CF">
        <w:t>is</w:t>
      </w:r>
      <w:r>
        <w:t xml:space="preserve"> </w:t>
      </w:r>
      <w:r w:rsidR="00562E39">
        <w:t xml:space="preserve">and will continue to be </w:t>
      </w:r>
      <w:r>
        <w:t xml:space="preserve">important for consumers. </w:t>
      </w:r>
      <w:r w:rsidR="009C6D88">
        <w:t xml:space="preserve">Likewise </w:t>
      </w:r>
      <w:proofErr w:type="spellStart"/>
      <w:r w:rsidR="009C6D88">
        <w:t>ACCAN</w:t>
      </w:r>
      <w:proofErr w:type="spellEnd"/>
      <w:r w:rsidR="009C6D88">
        <w:t xml:space="preserve"> believes that payphones may still serve an important function for consumers</w:t>
      </w:r>
      <w:r w:rsidR="007C29DD">
        <w:t>.</w:t>
      </w:r>
    </w:p>
    <w:p w:rsidR="008B0B3E" w:rsidRDefault="00842D1C" w:rsidP="00A35DD3">
      <w:pPr>
        <w:pStyle w:val="Heading2"/>
      </w:pPr>
      <w:bookmarkStart w:id="8" w:name="_Toc457563428"/>
      <w:r>
        <w:t xml:space="preserve">Standard telephone </w:t>
      </w:r>
      <w:r w:rsidR="008B0B3E">
        <w:t>services</w:t>
      </w:r>
      <w:bookmarkEnd w:id="8"/>
      <w:r w:rsidR="003B295D" w:rsidRPr="003B295D">
        <w:rPr>
          <w:noProof/>
          <w:lang w:val="en-IE" w:eastAsia="en-IE"/>
        </w:rPr>
        <w:t xml:space="preserve"> </w:t>
      </w:r>
    </w:p>
    <w:p w:rsidR="001C5B27" w:rsidRDefault="001C5B27" w:rsidP="008B0B3E">
      <w:r>
        <w:t xml:space="preserve">Consumers </w:t>
      </w:r>
      <w:r w:rsidR="00F769F0">
        <w:t>still rel</w:t>
      </w:r>
      <w:r>
        <w:t>y on the ability to make calls, as indicated by the consistent monthly voice call minutes in the last number of years.</w:t>
      </w:r>
      <w:r w:rsidR="00D575BF">
        <w:rPr>
          <w:rStyle w:val="FootnoteReference"/>
        </w:rPr>
        <w:footnoteReference w:id="6"/>
      </w:r>
      <w:r>
        <w:t xml:space="preserve"> </w:t>
      </w:r>
      <w:r w:rsidR="0049749C">
        <w:t xml:space="preserve">The </w:t>
      </w:r>
      <w:proofErr w:type="spellStart"/>
      <w:r w:rsidR="0049749C">
        <w:t>USO</w:t>
      </w:r>
      <w:proofErr w:type="spellEnd"/>
      <w:r w:rsidR="0049749C">
        <w:t xml:space="preserve"> obligation to deliver a standard telephone service (</w:t>
      </w:r>
      <w:proofErr w:type="spellStart"/>
      <w:r w:rsidR="0049749C">
        <w:t>STS</w:t>
      </w:r>
      <w:proofErr w:type="spellEnd"/>
      <w:r w:rsidR="0049749C">
        <w:t xml:space="preserve">) is and can be delivered through a number of technologies, including fixed copper phones, </w:t>
      </w:r>
      <w:r w:rsidR="00B6226E" w:rsidRPr="00B6226E">
        <w:rPr>
          <w:lang w:val="en-IE"/>
        </w:rPr>
        <w:t>high capacity radio concentrator</w:t>
      </w:r>
      <w:r w:rsidR="00B6226E">
        <w:rPr>
          <w:lang w:val="en-IE"/>
        </w:rPr>
        <w:t xml:space="preserve"> (</w:t>
      </w:r>
      <w:r w:rsidR="0049749C">
        <w:t>HCRC</w:t>
      </w:r>
      <w:r w:rsidR="00B6226E">
        <w:t>)</w:t>
      </w:r>
      <w:r w:rsidR="0049749C">
        <w:t>, sat</w:t>
      </w:r>
      <w:r w:rsidR="00B6226E">
        <w:t>ellite</w:t>
      </w:r>
      <w:r w:rsidR="0049749C">
        <w:t xml:space="preserve"> </w:t>
      </w:r>
      <w:r w:rsidR="00B6226E">
        <w:t>and mobile networks.</w:t>
      </w:r>
      <w:r w:rsidR="00D575BF">
        <w:rPr>
          <w:rStyle w:val="FootnoteReference"/>
        </w:rPr>
        <w:footnoteReference w:id="7"/>
      </w:r>
      <w:r w:rsidR="00562E39" w:rsidRPr="00562E39">
        <w:t xml:space="preserve"> </w:t>
      </w:r>
      <w:r w:rsidR="00562E39">
        <w:t>It was previously estimated that Telstra’s copper network did not connect about 0.25% of premises.</w:t>
      </w:r>
      <w:r w:rsidR="00562E39">
        <w:rPr>
          <w:rStyle w:val="FootnoteReference"/>
        </w:rPr>
        <w:footnoteReference w:id="8"/>
      </w:r>
      <w:r w:rsidR="00562E39" w:rsidRPr="00562E39">
        <w:t xml:space="preserve"> </w:t>
      </w:r>
      <w:r w:rsidR="004829CB">
        <w:t xml:space="preserve">Where other technologies can deliver voice standards to the required standard and reliability at a more affordable manner for consumers then these should be used. </w:t>
      </w:r>
    </w:p>
    <w:p w:rsidR="00B6226E" w:rsidRDefault="00B6226E" w:rsidP="008B0B3E">
      <w:r>
        <w:t xml:space="preserve">Consumers have </w:t>
      </w:r>
      <w:r w:rsidR="004829CB">
        <w:t xml:space="preserve">increasingly </w:t>
      </w:r>
      <w:r>
        <w:t xml:space="preserve">expressed frustration about the delivery of voice services to </w:t>
      </w:r>
      <w:proofErr w:type="spellStart"/>
      <w:r>
        <w:t>ACCAN</w:t>
      </w:r>
      <w:proofErr w:type="spellEnd"/>
      <w:r>
        <w:t xml:space="preserve">. </w:t>
      </w:r>
      <w:r w:rsidR="00D575BF">
        <w:t xml:space="preserve">Complaints in relation to landline connection and faults </w:t>
      </w:r>
      <w:r w:rsidR="001F0BDF">
        <w:t>to the Telecommunications Industry Ombudsman</w:t>
      </w:r>
      <w:r w:rsidR="00E152BE">
        <w:t xml:space="preserve"> (</w:t>
      </w:r>
      <w:proofErr w:type="spellStart"/>
      <w:r w:rsidR="00E152BE">
        <w:t>TIO</w:t>
      </w:r>
      <w:proofErr w:type="spellEnd"/>
      <w:r w:rsidR="00E152BE">
        <w:t>)</w:t>
      </w:r>
      <w:r w:rsidR="001F0BDF">
        <w:t xml:space="preserve"> </w:t>
      </w:r>
      <w:r w:rsidR="00D575BF">
        <w:t>have</w:t>
      </w:r>
      <w:r w:rsidR="00006782">
        <w:t xml:space="preserve"> increased in the last number of years, with</w:t>
      </w:r>
      <w:r w:rsidR="00B53CCD">
        <w:t xml:space="preserve"> the number of complaints about</w:t>
      </w:r>
      <w:r w:rsidR="00006782">
        <w:t xml:space="preserve"> fully unusable landline services</w:t>
      </w:r>
      <w:r w:rsidR="00B53CCD">
        <w:t xml:space="preserve"> increasing by over 20%, and complaints about </w:t>
      </w:r>
      <w:r w:rsidR="00006782">
        <w:t>delayed landline connections</w:t>
      </w:r>
      <w:r w:rsidR="00B53CCD">
        <w:t xml:space="preserve"> increasing by 23.6%</w:t>
      </w:r>
      <w:r w:rsidR="00006782">
        <w:t xml:space="preserve"> in 2014-2015.</w:t>
      </w:r>
      <w:r w:rsidR="00006782">
        <w:rPr>
          <w:rStyle w:val="FootnoteReference"/>
          <w:lang w:val="en-IE"/>
        </w:rPr>
        <w:footnoteReference w:id="9"/>
      </w:r>
      <w:r w:rsidR="00006782" w:rsidRPr="00006782">
        <w:rPr>
          <w:lang w:val="en-IE"/>
        </w:rPr>
        <w:t xml:space="preserve"> </w:t>
      </w:r>
      <w:r w:rsidR="00006782">
        <w:t xml:space="preserve">In regional areas, which will continue to rely on the </w:t>
      </w:r>
      <w:proofErr w:type="spellStart"/>
      <w:r w:rsidR="00B53CCD">
        <w:t>STS</w:t>
      </w:r>
      <w:proofErr w:type="spellEnd"/>
      <w:r w:rsidR="00006782">
        <w:t xml:space="preserve"> through</w:t>
      </w:r>
      <w:r w:rsidR="008015CF">
        <w:t xml:space="preserve"> the</w:t>
      </w:r>
      <w:r w:rsidR="00006782">
        <w:t xml:space="preserve"> Telstra</w:t>
      </w:r>
      <w:r w:rsidR="008015CF">
        <w:t xml:space="preserve"> network</w:t>
      </w:r>
      <w:r w:rsidR="00562E39">
        <w:t>,</w:t>
      </w:r>
      <w:r w:rsidR="00006782">
        <w:t xml:space="preserve"> </w:t>
      </w:r>
      <w:r w:rsidR="00E152BE">
        <w:t xml:space="preserve">the </w:t>
      </w:r>
      <w:proofErr w:type="spellStart"/>
      <w:r w:rsidR="00E152BE">
        <w:t>TIO</w:t>
      </w:r>
      <w:proofErr w:type="spellEnd"/>
      <w:r w:rsidR="00E152BE">
        <w:t xml:space="preserve"> </w:t>
      </w:r>
      <w:r w:rsidR="00006782">
        <w:t xml:space="preserve">saw </w:t>
      </w:r>
      <w:r w:rsidR="00562E39">
        <w:t>more than a doubl</w:t>
      </w:r>
      <w:r w:rsidR="00FB4FCE">
        <w:t xml:space="preserve">ing in the number of </w:t>
      </w:r>
      <w:r w:rsidR="00562E39">
        <w:t>complaints</w:t>
      </w:r>
      <w:r w:rsidR="00D575BF">
        <w:t xml:space="preserve"> </w:t>
      </w:r>
      <w:r w:rsidR="00B53CCD">
        <w:t xml:space="preserve">in </w:t>
      </w:r>
      <w:r w:rsidR="00D575BF">
        <w:t xml:space="preserve">the third quarter of 2014-2015 </w:t>
      </w:r>
      <w:r w:rsidR="001F0BDF">
        <w:t xml:space="preserve">compared </w:t>
      </w:r>
      <w:r w:rsidR="00D575BF">
        <w:t xml:space="preserve">to the first </w:t>
      </w:r>
      <w:r w:rsidR="004664FF">
        <w:t>quarter of</w:t>
      </w:r>
      <w:r w:rsidR="00B53CCD">
        <w:t xml:space="preserve"> </w:t>
      </w:r>
      <w:r w:rsidR="00D575BF">
        <w:t>2011-2012.</w:t>
      </w:r>
      <w:r>
        <w:rPr>
          <w:rStyle w:val="FootnoteReference"/>
        </w:rPr>
        <w:footnoteReference w:id="10"/>
      </w:r>
      <w:r w:rsidR="00BD67AE">
        <w:t xml:space="preserve"> </w:t>
      </w:r>
    </w:p>
    <w:p w:rsidR="00EB52A4" w:rsidRDefault="004664FF" w:rsidP="008B0B3E">
      <w:r>
        <w:t xml:space="preserve">The </w:t>
      </w:r>
      <w:proofErr w:type="spellStart"/>
      <w:r>
        <w:t>NBN</w:t>
      </w:r>
      <w:proofErr w:type="spellEnd"/>
      <w:r>
        <w:t xml:space="preserve"> network will provide the infrastructure for voice services in the fixed line footprint, or to about 93% of  premises. </w:t>
      </w:r>
      <w:r w:rsidR="00B53CCD">
        <w:t xml:space="preserve">Following the rollout of the </w:t>
      </w:r>
      <w:r w:rsidR="00DD3D3D">
        <w:t>National Broadband Network (</w:t>
      </w:r>
      <w:proofErr w:type="spellStart"/>
      <w:r w:rsidR="00EB52A4">
        <w:t>NBN</w:t>
      </w:r>
      <w:proofErr w:type="spellEnd"/>
      <w:r w:rsidR="00DD3D3D">
        <w:t>)</w:t>
      </w:r>
      <w:r w:rsidR="00EB52A4">
        <w:t xml:space="preserve"> about 7% of premises</w:t>
      </w:r>
      <w:r w:rsidR="008015CF">
        <w:t xml:space="preserve"> outside the fixed footprint</w:t>
      </w:r>
      <w:r w:rsidR="00EB52A4">
        <w:t xml:space="preserve"> in Australia will continue to rely on </w:t>
      </w:r>
      <w:r w:rsidR="00B53CCD">
        <w:t xml:space="preserve">a </w:t>
      </w:r>
      <w:r w:rsidR="00EB52A4">
        <w:t xml:space="preserve">traditional </w:t>
      </w:r>
      <w:proofErr w:type="spellStart"/>
      <w:r w:rsidR="00B53CCD">
        <w:t>STS</w:t>
      </w:r>
      <w:proofErr w:type="spellEnd"/>
      <w:r w:rsidR="00EB52A4">
        <w:t xml:space="preserve"> </w:t>
      </w:r>
      <w:r>
        <w:t xml:space="preserve">over the </w:t>
      </w:r>
      <w:r w:rsidR="00EB52A4">
        <w:t>Telstra</w:t>
      </w:r>
      <w:r>
        <w:t xml:space="preserve"> network, as the </w:t>
      </w:r>
      <w:proofErr w:type="spellStart"/>
      <w:r>
        <w:t>NBN</w:t>
      </w:r>
      <w:proofErr w:type="spellEnd"/>
      <w:r>
        <w:t xml:space="preserve"> infrastructure does not guarantee a voice service, nor do</w:t>
      </w:r>
      <w:r w:rsidR="00B6196A">
        <w:t>es it</w:t>
      </w:r>
      <w:r>
        <w:t xml:space="preserve"> offer the customer a service guarantee</w:t>
      </w:r>
      <w:r w:rsidR="00EB52A4">
        <w:t xml:space="preserve">. </w:t>
      </w:r>
      <w:r w:rsidR="00DD3D3D">
        <w:t xml:space="preserve">In order for consumers </w:t>
      </w:r>
      <w:r>
        <w:t xml:space="preserve">in these geographical areas </w:t>
      </w:r>
      <w:r w:rsidR="00DD3D3D">
        <w:t>to access voice services with basic consumer safety net</w:t>
      </w:r>
      <w:r w:rsidR="000F3CB4">
        <w:t>s,</w:t>
      </w:r>
      <w:r w:rsidR="00DD3D3D">
        <w:t xml:space="preserve"> it </w:t>
      </w:r>
      <w:r>
        <w:t xml:space="preserve">is </w:t>
      </w:r>
      <w:r w:rsidR="008015CF">
        <w:t>ne</w:t>
      </w:r>
      <w:r w:rsidR="00B6196A">
        <w:t xml:space="preserve">cessary </w:t>
      </w:r>
      <w:r w:rsidR="00DD3D3D">
        <w:t xml:space="preserve"> to have two networks funded</w:t>
      </w:r>
      <w:r>
        <w:t xml:space="preserve"> (Telstra copper for voice and </w:t>
      </w:r>
      <w:proofErr w:type="spellStart"/>
      <w:r>
        <w:t>NBN</w:t>
      </w:r>
      <w:proofErr w:type="spellEnd"/>
      <w:r>
        <w:t xml:space="preserve"> for data services)</w:t>
      </w:r>
      <w:r w:rsidR="00DD3D3D">
        <w:t xml:space="preserve"> to reach them.</w:t>
      </w:r>
    </w:p>
    <w:p w:rsidR="00DD3D3D" w:rsidRDefault="00DD3D3D" w:rsidP="008B0B3E">
      <w:r>
        <w:t>I</w:t>
      </w:r>
      <w:r w:rsidR="000F3CB4">
        <w:t>n considering if</w:t>
      </w:r>
      <w:r>
        <w:t xml:space="preserve"> the current </w:t>
      </w:r>
      <w:proofErr w:type="spellStart"/>
      <w:r w:rsidR="001E3E64">
        <w:t>USO</w:t>
      </w:r>
      <w:proofErr w:type="spellEnd"/>
      <w:r>
        <w:t xml:space="preserve"> for voice</w:t>
      </w:r>
      <w:r w:rsidR="003223C8">
        <w:t xml:space="preserve"> services</w:t>
      </w:r>
      <w:r>
        <w:t xml:space="preserve"> could be removed, an alternative that offers the same level of safeguards would need to be ensured. Other technologies such as mobile and fixed wireless may be able to </w:t>
      </w:r>
      <w:r w:rsidR="00AA611E">
        <w:t xml:space="preserve">deliver a voice service that </w:t>
      </w:r>
      <w:r>
        <w:t>meet</w:t>
      </w:r>
      <w:r w:rsidR="00AA611E">
        <w:t>s</w:t>
      </w:r>
      <w:r>
        <w:t xml:space="preserve"> </w:t>
      </w:r>
      <w:r w:rsidR="00AA611E">
        <w:t xml:space="preserve">the </w:t>
      </w:r>
      <w:r>
        <w:t xml:space="preserve">standard </w:t>
      </w:r>
      <w:r w:rsidR="008015CF">
        <w:t>for</w:t>
      </w:r>
      <w:r>
        <w:t xml:space="preserve"> some premises </w:t>
      </w:r>
      <w:r w:rsidR="00AA611E">
        <w:t>outside the fixed footprint</w:t>
      </w:r>
      <w:r w:rsidR="004664FF">
        <w:t xml:space="preserve">, </w:t>
      </w:r>
      <w:r w:rsidR="000F3CB4">
        <w:t xml:space="preserve">if </w:t>
      </w:r>
      <w:r w:rsidR="00AA611E">
        <w:t>consumer guarantees are offered and coverage</w:t>
      </w:r>
      <w:r w:rsidR="000F3CB4">
        <w:t xml:space="preserve"> </w:t>
      </w:r>
      <w:r w:rsidR="00AA611E">
        <w:t xml:space="preserve">ensured. </w:t>
      </w:r>
      <w:r w:rsidR="003223C8">
        <w:t xml:space="preserve">However </w:t>
      </w:r>
      <w:proofErr w:type="spellStart"/>
      <w:r w:rsidR="008015CF">
        <w:t>nbn</w:t>
      </w:r>
      <w:proofErr w:type="spellEnd"/>
      <w:r w:rsidR="008015CF">
        <w:t xml:space="preserve"> </w:t>
      </w:r>
      <w:r w:rsidR="003223C8">
        <w:t>s</w:t>
      </w:r>
      <w:r>
        <w:t>atellite</w:t>
      </w:r>
      <w:r w:rsidR="008015CF">
        <w:t xml:space="preserve"> technology</w:t>
      </w:r>
      <w:r w:rsidR="000F3CB4">
        <w:t>, which suffers from high latency,</w:t>
      </w:r>
      <w:r>
        <w:t xml:space="preserve"> will not be able to provide such a service standard. </w:t>
      </w:r>
      <w:r w:rsidR="00AA611E">
        <w:t>Consumers</w:t>
      </w:r>
      <w:r>
        <w:t xml:space="preserve"> in th</w:t>
      </w:r>
      <w:r w:rsidR="000F3CB4">
        <w:t>ese</w:t>
      </w:r>
      <w:r>
        <w:t xml:space="preserve"> </w:t>
      </w:r>
      <w:r w:rsidR="00AA611E">
        <w:t>areas will</w:t>
      </w:r>
      <w:r>
        <w:t xml:space="preserve"> need to have </w:t>
      </w:r>
      <w:r w:rsidR="008015CF">
        <w:t xml:space="preserve">an alternative network </w:t>
      </w:r>
      <w:r w:rsidR="00134741">
        <w:t>available</w:t>
      </w:r>
      <w:r>
        <w:t xml:space="preserve"> to ensure they can access both voice and data services.</w:t>
      </w:r>
    </w:p>
    <w:p w:rsidR="00DD3D3D" w:rsidRPr="00B865B8" w:rsidRDefault="00DD3D3D" w:rsidP="00FB4FCE">
      <w:proofErr w:type="spellStart"/>
      <w:r>
        <w:lastRenderedPageBreak/>
        <w:t>ACCAN</w:t>
      </w:r>
      <w:proofErr w:type="spellEnd"/>
      <w:r>
        <w:t xml:space="preserve"> supports the continu</w:t>
      </w:r>
      <w:r w:rsidR="00B6545C">
        <w:t>ation</w:t>
      </w:r>
      <w:r>
        <w:t xml:space="preserve"> </w:t>
      </w:r>
      <w:r w:rsidR="00B6545C">
        <w:t xml:space="preserve">of </w:t>
      </w:r>
      <w:r>
        <w:t xml:space="preserve">guaranteed access </w:t>
      </w:r>
      <w:r w:rsidR="00B6545C">
        <w:t>to</w:t>
      </w:r>
      <w:r>
        <w:t xml:space="preserve"> voice services for all premises. This should ensure a high quality</w:t>
      </w:r>
      <w:r w:rsidR="00B6545C">
        <w:t>, reliable</w:t>
      </w:r>
      <w:r>
        <w:t xml:space="preserve"> </w:t>
      </w:r>
      <w:r w:rsidR="00FB4FCE">
        <w:t>voice service</w:t>
      </w:r>
      <w:r>
        <w:t xml:space="preserve"> with </w:t>
      </w:r>
      <w:r w:rsidR="00B6545C">
        <w:t xml:space="preserve">enforceable </w:t>
      </w:r>
      <w:r w:rsidR="000F3CB4">
        <w:t xml:space="preserve">connection </w:t>
      </w:r>
      <w:r w:rsidR="00AA611E">
        <w:t xml:space="preserve">and fault repair </w:t>
      </w:r>
      <w:r w:rsidR="000F3CB4">
        <w:t>timeframes</w:t>
      </w:r>
      <w:r>
        <w:t xml:space="preserve"> </w:t>
      </w:r>
      <w:r w:rsidR="00AA611E">
        <w:t>for all</w:t>
      </w:r>
      <w:r>
        <w:t xml:space="preserve"> premises.</w:t>
      </w:r>
      <w:r w:rsidR="00FB4FCE" w:rsidRPr="00FB4FCE">
        <w:t xml:space="preserve"> </w:t>
      </w:r>
      <w:r w:rsidR="00AA611E">
        <w:t>Where this can be delivered over other technologies</w:t>
      </w:r>
      <w:r w:rsidR="00920DA2">
        <w:t>,</w:t>
      </w:r>
      <w:r w:rsidR="00AA611E">
        <w:t xml:space="preserve"> it should</w:t>
      </w:r>
      <w:r w:rsidR="00920DA2">
        <w:t xml:space="preserve"> be</w:t>
      </w:r>
      <w:r w:rsidR="00AA611E">
        <w:t>.</w:t>
      </w:r>
    </w:p>
    <w:p w:rsidR="00A35DD3" w:rsidRDefault="00A35DD3" w:rsidP="00A35DD3">
      <w:pPr>
        <w:pStyle w:val="Heading2"/>
      </w:pPr>
      <w:bookmarkStart w:id="9" w:name="_Toc457563429"/>
      <w:r>
        <w:t>Payphones</w:t>
      </w:r>
      <w:bookmarkEnd w:id="9"/>
    </w:p>
    <w:p w:rsidR="00435F31" w:rsidRDefault="00400F57" w:rsidP="00A35DD3">
      <w:proofErr w:type="spellStart"/>
      <w:r>
        <w:t>ACCAN</w:t>
      </w:r>
      <w:proofErr w:type="spellEnd"/>
      <w:r>
        <w:t xml:space="preserve"> </w:t>
      </w:r>
      <w:r w:rsidR="00134741">
        <w:t>acknowledges that</w:t>
      </w:r>
      <w:r>
        <w:t xml:space="preserve"> for the majority of consumers</w:t>
      </w:r>
      <w:r w:rsidR="003F032A">
        <w:t xml:space="preserve"> </w:t>
      </w:r>
      <w:r>
        <w:t xml:space="preserve">access to payphones is not </w:t>
      </w:r>
      <w:r w:rsidR="003F032A">
        <w:t>critical</w:t>
      </w:r>
      <w:r>
        <w:t>.</w:t>
      </w:r>
      <w:r w:rsidR="00435F31">
        <w:t xml:space="preserve">  </w:t>
      </w:r>
      <w:r w:rsidR="003F032A">
        <w:t>However, access to payphones appears to still be important for a number of communities and users</w:t>
      </w:r>
      <w:r w:rsidR="001C4FA4">
        <w:t>, and in some cases they still provide a critical service, as demonstrated by 2.4% of calls to Triple Zero originating from a payphone.</w:t>
      </w:r>
      <w:r w:rsidR="001C4FA4">
        <w:rPr>
          <w:rStyle w:val="FootnoteReference"/>
        </w:rPr>
        <w:footnoteReference w:id="11"/>
      </w:r>
      <w:r w:rsidR="003F032A">
        <w:t xml:space="preserve"> </w:t>
      </w:r>
      <w:r w:rsidR="00D33196">
        <w:t xml:space="preserve">Further examination of the use of payphones is required to understand why consumers </w:t>
      </w:r>
      <w:r w:rsidR="001C4FA4">
        <w:t>use</w:t>
      </w:r>
      <w:r w:rsidR="00D33196">
        <w:t xml:space="preserve"> </w:t>
      </w:r>
      <w:r w:rsidR="000E4040">
        <w:t>them</w:t>
      </w:r>
      <w:r w:rsidR="00D33196">
        <w:t>. It may be that there is no mobile coverage</w:t>
      </w:r>
      <w:r w:rsidR="00790D5C">
        <w:t xml:space="preserve">, so </w:t>
      </w:r>
      <w:r w:rsidR="00435F31">
        <w:t xml:space="preserve">that payphones are </w:t>
      </w:r>
      <w:r w:rsidR="003F032A">
        <w:t>the only</w:t>
      </w:r>
      <w:r w:rsidR="00790D5C">
        <w:t xml:space="preserve"> way</w:t>
      </w:r>
      <w:r w:rsidR="003F032A">
        <w:t xml:space="preserve"> to make calls, such as in</w:t>
      </w:r>
      <w:r w:rsidR="001C4FA4">
        <w:t xml:space="preserve"> 10% of</w:t>
      </w:r>
      <w:r w:rsidR="003F032A">
        <w:t xml:space="preserve"> remote Indigenous communities</w:t>
      </w:r>
      <w:r w:rsidR="00435F31">
        <w:t>.</w:t>
      </w:r>
      <w:r w:rsidR="00435F31">
        <w:rPr>
          <w:rStyle w:val="FootnoteReference"/>
        </w:rPr>
        <w:footnoteReference w:id="12"/>
      </w:r>
      <w:r w:rsidR="00435F31">
        <w:t xml:space="preserve"> It may also be that a number of consumers</w:t>
      </w:r>
      <w:r w:rsidR="00D33196">
        <w:t xml:space="preserve"> do not use mobile services</w:t>
      </w:r>
      <w:r w:rsidR="00435F31">
        <w:t xml:space="preserve"> and need access to a payphone to make calls when outside the house. </w:t>
      </w:r>
      <w:r w:rsidR="003F032A">
        <w:t xml:space="preserve">This may be particularly true for older Australians who are significantly more likely to have a fixed phone and no mobile; </w:t>
      </w:r>
      <w:r w:rsidR="000E4040">
        <w:t xml:space="preserve">namely </w:t>
      </w:r>
      <w:r w:rsidR="00435F31">
        <w:t xml:space="preserve">25% of 65+ </w:t>
      </w:r>
      <w:r w:rsidR="003F032A">
        <w:t>aged group, increasing to 48% in 80+ age group compared to 7% of Australian</w:t>
      </w:r>
      <w:r w:rsidR="001C4FA4">
        <w:t>s overall</w:t>
      </w:r>
      <w:r w:rsidR="003F032A">
        <w:t>.</w:t>
      </w:r>
      <w:r w:rsidR="00435F31">
        <w:rPr>
          <w:rStyle w:val="FootnoteReference"/>
        </w:rPr>
        <w:footnoteReference w:id="13"/>
      </w:r>
      <w:r w:rsidR="00D33196">
        <w:t xml:space="preserve"> </w:t>
      </w:r>
      <w:r w:rsidR="008015CF">
        <w:t>Other groups, such as migrants making international calls, might need access to payphones as there are limited alternative options.</w:t>
      </w:r>
    </w:p>
    <w:p w:rsidR="000F3CB4" w:rsidRDefault="0086653B" w:rsidP="000F3CB4">
      <w:r>
        <w:t>S</w:t>
      </w:r>
      <w:r w:rsidR="000F3CB4">
        <w:t>tudying the types of users, alternative communication methods in the locality and the types of calls that consumers are making on payphones will provide a better insight into the utility that payphones deliver to the community. Following this</w:t>
      </w:r>
      <w:r w:rsidR="00790D5C">
        <w:t>,</w:t>
      </w:r>
      <w:r w:rsidR="000F3CB4">
        <w:t xml:space="preserve"> it may be possible to ensure this utility is provided to consumers </w:t>
      </w:r>
      <w:r>
        <w:t>by</w:t>
      </w:r>
      <w:r w:rsidR="000F3CB4">
        <w:t xml:space="preserve"> more </w:t>
      </w:r>
      <w:r w:rsidR="008015CF">
        <w:t>appropriate</w:t>
      </w:r>
      <w:r w:rsidR="000F3CB4">
        <w:t xml:space="preserve"> means. In a technology neutral environment, it is important to ensure that consumers do not lose the communication functions that they currently have. There currently exists a process to remove payphones following public consultation</w:t>
      </w:r>
      <w:r w:rsidR="00790D5C">
        <w:t xml:space="preserve">. </w:t>
      </w:r>
      <w:r w:rsidR="000E4040">
        <w:t>If this process is no longer considered adequate, it should</w:t>
      </w:r>
      <w:r w:rsidR="000F3CB4">
        <w:t xml:space="preserve"> be examined to ensure that payphones can be removed </w:t>
      </w:r>
      <w:r w:rsidR="000E4040">
        <w:t xml:space="preserve">without </w:t>
      </w:r>
      <w:r w:rsidR="00134741">
        <w:t>detriment</w:t>
      </w:r>
      <w:r w:rsidR="000E4040">
        <w:t xml:space="preserve"> and if </w:t>
      </w:r>
      <w:r w:rsidR="00134741">
        <w:t>necessary adequate</w:t>
      </w:r>
      <w:r w:rsidR="000F3CB4">
        <w:t xml:space="preserve"> alternatives, such as increased mobile coverage</w:t>
      </w:r>
      <w:r w:rsidR="00AA611E">
        <w:t xml:space="preserve"> where this meets the function</w:t>
      </w:r>
      <w:r w:rsidR="000F3CB4">
        <w:t>, could be used to provide an equivalent function.</w:t>
      </w:r>
      <w:r w:rsidR="000F3CB4">
        <w:rPr>
          <w:rStyle w:val="FootnoteReference"/>
        </w:rPr>
        <w:footnoteReference w:id="14"/>
      </w:r>
      <w:r w:rsidR="000F3CB4">
        <w:t xml:space="preserve"> </w:t>
      </w:r>
    </w:p>
    <w:p w:rsidR="008B0B3E" w:rsidRDefault="008B0B3E" w:rsidP="008B0B3E">
      <w:pPr>
        <w:pStyle w:val="Heading2"/>
      </w:pPr>
      <w:bookmarkStart w:id="10" w:name="_Toc457563430"/>
      <w:r>
        <w:t>Policy interaction</w:t>
      </w:r>
      <w:bookmarkEnd w:id="10"/>
    </w:p>
    <w:p w:rsidR="009A330D" w:rsidRDefault="009A330D" w:rsidP="009A330D">
      <w:r>
        <w:t xml:space="preserve">There have historically been a number of targeted Government </w:t>
      </w:r>
      <w:r w:rsidR="004E08B5">
        <w:t xml:space="preserve">programs </w:t>
      </w:r>
      <w:r w:rsidR="00630319">
        <w:t xml:space="preserve">and policies </w:t>
      </w:r>
      <w:r w:rsidR="004E08B5">
        <w:t>which have interacted with the provision of universal services</w:t>
      </w:r>
      <w:r>
        <w:t xml:space="preserve">, including the Australian Broadband Guarantee Scheme, Networking the Nation, Telecommunications Action Plan for Remote Indigenous Communities, Digital Regions Initiative, </w:t>
      </w:r>
      <w:r w:rsidR="0049749C">
        <w:t xml:space="preserve">Extended Zones, </w:t>
      </w:r>
      <w:r>
        <w:t xml:space="preserve">Regional Backbone </w:t>
      </w:r>
      <w:proofErr w:type="spellStart"/>
      <w:r>
        <w:t>Blackspots</w:t>
      </w:r>
      <w:proofErr w:type="spellEnd"/>
      <w:r>
        <w:t>, Satellite Support Scheme, Internet Assistance Program, Remote Indigenous Public Internet Access, Backing Indigenous Ability and</w:t>
      </w:r>
      <w:r w:rsidR="0086653B">
        <w:t xml:space="preserve"> the</w:t>
      </w:r>
      <w:r>
        <w:t xml:space="preserve"> Community Phone Project. </w:t>
      </w:r>
    </w:p>
    <w:p w:rsidR="009A330D" w:rsidRDefault="008015CF" w:rsidP="009A330D">
      <w:r>
        <w:t>W</w:t>
      </w:r>
      <w:r w:rsidR="004E08B5">
        <w:t>e would like to draw your attention to these</w:t>
      </w:r>
      <w:r w:rsidR="0086653B">
        <w:t>:</w:t>
      </w:r>
      <w:r w:rsidR="009A330D">
        <w:t xml:space="preserve"> </w:t>
      </w:r>
    </w:p>
    <w:p w:rsidR="00B6226E" w:rsidRDefault="00B6226E" w:rsidP="00AA611E">
      <w:pPr>
        <w:pStyle w:val="Bulletlist1"/>
      </w:pPr>
      <w:r>
        <w:lastRenderedPageBreak/>
        <w:t>Network reliability framework</w:t>
      </w:r>
      <w:r w:rsidR="0041059F">
        <w:t xml:space="preserve"> that ensures that faults </w:t>
      </w:r>
      <w:r w:rsidR="000F3CB4">
        <w:t xml:space="preserve">over the copper network </w:t>
      </w:r>
      <w:r w:rsidR="0041059F">
        <w:t>are repaired within reasonable timeframes.</w:t>
      </w:r>
      <w:r w:rsidR="0041059F">
        <w:rPr>
          <w:rStyle w:val="FootnoteReference"/>
        </w:rPr>
        <w:footnoteReference w:id="15"/>
      </w:r>
    </w:p>
    <w:p w:rsidR="00EE40D0" w:rsidRDefault="00780F99" w:rsidP="00AA611E">
      <w:pPr>
        <w:pStyle w:val="Bulletlist1"/>
      </w:pPr>
      <w:r>
        <w:rPr>
          <w:iCs/>
        </w:rPr>
        <w:t>2014 Amendments to Telstra’s carrier licence condition</w:t>
      </w:r>
      <w:r w:rsidR="00EE40D0" w:rsidRPr="00EE40D0">
        <w:t xml:space="preserve"> that</w:t>
      </w:r>
      <w:r w:rsidR="00CE44FC">
        <w:t xml:space="preserve"> limit</w:t>
      </w:r>
      <w:r w:rsidR="00EE40D0" w:rsidRPr="00EE40D0">
        <w:t xml:space="preserve"> Telstra’s Priority Assistance obligations </w:t>
      </w:r>
      <w:r w:rsidR="00CE44FC">
        <w:t>to networks over which it exercises control</w:t>
      </w:r>
      <w:r w:rsidR="00EE40D0" w:rsidRPr="00EE40D0">
        <w:t>.</w:t>
      </w:r>
      <w:r w:rsidRPr="00780F99">
        <w:rPr>
          <w:rStyle w:val="FootnoteReference"/>
          <w:i/>
          <w:iCs/>
        </w:rPr>
        <w:t xml:space="preserve"> </w:t>
      </w:r>
      <w:r w:rsidRPr="00AA611E">
        <w:rPr>
          <w:rStyle w:val="FootnoteReference"/>
          <w:iCs/>
        </w:rPr>
        <w:footnoteReference w:id="16"/>
      </w:r>
      <w:r w:rsidRPr="00AA611E">
        <w:rPr>
          <w:rStyle w:val="FootnoteReference"/>
          <w:iCs/>
        </w:rPr>
        <w:t xml:space="preserve"> </w:t>
      </w:r>
      <w:r w:rsidR="0068652B">
        <w:t xml:space="preserve">This limits protection for </w:t>
      </w:r>
      <w:r w:rsidR="008015CF">
        <w:t xml:space="preserve">priority </w:t>
      </w:r>
      <w:r w:rsidR="0068652B">
        <w:t xml:space="preserve">consumers that are connecting over a network other than Telstra’s. </w:t>
      </w:r>
    </w:p>
    <w:p w:rsidR="009A330D" w:rsidRDefault="009A330D" w:rsidP="00AA611E">
      <w:pPr>
        <w:pStyle w:val="Bulletlist1"/>
      </w:pPr>
      <w:r>
        <w:t>Australian Standards that require monitored medical alarms to provide 36 hours battery backup support.</w:t>
      </w:r>
      <w:r w:rsidR="00780F99">
        <w:rPr>
          <w:rStyle w:val="FootnoteReference"/>
        </w:rPr>
        <w:footnoteReference w:id="17"/>
      </w:r>
      <w:r>
        <w:t xml:space="preserve"> The </w:t>
      </w:r>
      <w:proofErr w:type="spellStart"/>
      <w:r w:rsidR="0086653B">
        <w:t>NBN</w:t>
      </w:r>
      <w:proofErr w:type="spellEnd"/>
      <w:r>
        <w:t xml:space="preserve"> will not meet this standard to allow monitored medical alarms to be delivered over the network.</w:t>
      </w:r>
    </w:p>
    <w:p w:rsidR="009A330D" w:rsidRDefault="009A330D" w:rsidP="00AA611E">
      <w:pPr>
        <w:pStyle w:val="Bulletlist1"/>
      </w:pPr>
      <w:r>
        <w:t xml:space="preserve">Digital Transformation Office and the Digital First Strategy which aims to move Government services to an online platform. </w:t>
      </w:r>
    </w:p>
    <w:p w:rsidR="009A330D" w:rsidRDefault="009A330D" w:rsidP="00AA611E">
      <w:pPr>
        <w:pStyle w:val="Bulletlist1"/>
      </w:pPr>
      <w:r>
        <w:t xml:space="preserve">National Disability Insurance Scheme which will provide support for people with disabilities. </w:t>
      </w:r>
    </w:p>
    <w:p w:rsidR="009A330D" w:rsidRDefault="009A330D" w:rsidP="009A330D">
      <w:r>
        <w:t xml:space="preserve">There are also a number of programs delivered through community, telecommunication providers and not for profit groups that act as a substitute for the </w:t>
      </w:r>
      <w:proofErr w:type="spellStart"/>
      <w:r>
        <w:t>USO</w:t>
      </w:r>
      <w:proofErr w:type="spellEnd"/>
      <w:r>
        <w:t xml:space="preserve">. These generally try to reach consumers who are not served by the </w:t>
      </w:r>
      <w:proofErr w:type="spellStart"/>
      <w:r>
        <w:t>USO</w:t>
      </w:r>
      <w:proofErr w:type="spellEnd"/>
      <w:r>
        <w:t xml:space="preserve"> and are effective at reaching harder to reach consumers. These include:</w:t>
      </w:r>
    </w:p>
    <w:p w:rsidR="009A330D" w:rsidRDefault="009A330D" w:rsidP="00AA611E">
      <w:pPr>
        <w:pStyle w:val="Bulletlist1"/>
      </w:pPr>
      <w:proofErr w:type="spellStart"/>
      <w:r>
        <w:t>Activ8me</w:t>
      </w:r>
      <w:proofErr w:type="spellEnd"/>
      <w:r>
        <w:t xml:space="preserve"> </w:t>
      </w:r>
      <w:r w:rsidRPr="00780F99">
        <w:t xml:space="preserve">Remote </w:t>
      </w:r>
      <w:r w:rsidR="00AA611E">
        <w:t>C</w:t>
      </w:r>
      <w:r w:rsidRPr="00780F99">
        <w:t xml:space="preserve">ommunities’ </w:t>
      </w:r>
      <w:r w:rsidR="00AA611E">
        <w:t>T</w:t>
      </w:r>
      <w:r w:rsidRPr="00780F99">
        <w:t>elecommunications</w:t>
      </w:r>
      <w:r>
        <w:t xml:space="preserve"> under the Australian Government’s Remote Australia Strategies </w:t>
      </w:r>
      <w:proofErr w:type="spellStart"/>
      <w:r>
        <w:t>Programme</w:t>
      </w:r>
      <w:proofErr w:type="spellEnd"/>
      <w:r>
        <w:t>.</w:t>
      </w:r>
      <w:r w:rsidR="00780F99">
        <w:rPr>
          <w:rStyle w:val="FootnoteReference"/>
        </w:rPr>
        <w:footnoteReference w:id="18"/>
      </w:r>
      <w:r>
        <w:t xml:space="preserve"> These phones provide remote communities with access to free fixed line calls and access to other calls and data services</w:t>
      </w:r>
    </w:p>
    <w:p w:rsidR="009A330D" w:rsidRDefault="009A330D" w:rsidP="00AA611E">
      <w:pPr>
        <w:pStyle w:val="Bulletlist1"/>
      </w:pPr>
      <w:r>
        <w:t>Ce</w:t>
      </w:r>
      <w:r w:rsidR="00273C3E">
        <w:t>ntre for Appropriate Technology’s 250 c</w:t>
      </w:r>
      <w:r w:rsidRPr="00780F99">
        <w:t>ommunity phone</w:t>
      </w:r>
      <w:r w:rsidR="00273C3E">
        <w:t xml:space="preserve"> in Central and Northern Australia</w:t>
      </w:r>
      <w:r>
        <w:t>.</w:t>
      </w:r>
      <w:r w:rsidR="00780F99">
        <w:rPr>
          <w:rStyle w:val="FootnoteReference"/>
        </w:rPr>
        <w:footnoteReference w:id="19"/>
      </w:r>
      <w:r>
        <w:t xml:space="preserve"> </w:t>
      </w:r>
    </w:p>
    <w:p w:rsidR="009A330D" w:rsidRDefault="009A330D" w:rsidP="009A330D">
      <w:r>
        <w:t>A number of organisations are also currently addressing gaps in access, accessibility and affordability for data connections. These include</w:t>
      </w:r>
      <w:r w:rsidR="00780F99">
        <w:t>, but are not limited to</w:t>
      </w:r>
      <w:r>
        <w:t>;</w:t>
      </w:r>
    </w:p>
    <w:p w:rsidR="009A330D" w:rsidRDefault="00273C3E" w:rsidP="00AA611E">
      <w:pPr>
        <w:pStyle w:val="Bulletlist1"/>
      </w:pPr>
      <w:proofErr w:type="spellStart"/>
      <w:r w:rsidRPr="00273C3E">
        <w:t>Info</w:t>
      </w:r>
      <w:r w:rsidR="000E4040">
        <w:t>X</w:t>
      </w:r>
      <w:r w:rsidRPr="00273C3E">
        <w:t>change</w:t>
      </w:r>
      <w:proofErr w:type="spellEnd"/>
      <w:r w:rsidR="009A330D">
        <w:t xml:space="preserve"> technology support programs</w:t>
      </w:r>
      <w:r w:rsidR="0086653B">
        <w:t xml:space="preserve"> including the</w:t>
      </w:r>
      <w:r w:rsidR="009A330D">
        <w:t xml:space="preserve"> Wired project which provides </w:t>
      </w:r>
      <w:proofErr w:type="spellStart"/>
      <w:r w:rsidR="009A330D">
        <w:t>internet</w:t>
      </w:r>
      <w:proofErr w:type="spellEnd"/>
      <w:r w:rsidR="009A330D">
        <w:t xml:space="preserve"> connections to social housing, </w:t>
      </w:r>
      <w:proofErr w:type="spellStart"/>
      <w:r w:rsidR="009A330D">
        <w:t>GreenPC</w:t>
      </w:r>
      <w:proofErr w:type="spellEnd"/>
      <w:r w:rsidR="009A330D">
        <w:t xml:space="preserve"> which provides low income families with equipment</w:t>
      </w:r>
      <w:r w:rsidR="0086653B">
        <w:t>,</w:t>
      </w:r>
      <w:r w:rsidR="009A330D">
        <w:t xml:space="preserve"> and </w:t>
      </w:r>
      <w:r w:rsidR="0086653B">
        <w:t xml:space="preserve">an </w:t>
      </w:r>
      <w:r w:rsidR="009A330D">
        <w:t>i</w:t>
      </w:r>
      <w:r w:rsidR="0086653B">
        <w:t>P</w:t>
      </w:r>
      <w:r w:rsidR="009A330D">
        <w:t>ads in Aged Care program.</w:t>
      </w:r>
      <w:r>
        <w:rPr>
          <w:rStyle w:val="FootnoteReference"/>
        </w:rPr>
        <w:footnoteReference w:id="20"/>
      </w:r>
      <w:r w:rsidR="009A330D">
        <w:t xml:space="preserve"> </w:t>
      </w:r>
    </w:p>
    <w:p w:rsidR="009A330D" w:rsidRDefault="009A330D" w:rsidP="00AA611E">
      <w:pPr>
        <w:pStyle w:val="Bulletlist1"/>
      </w:pPr>
      <w:r>
        <w:t xml:space="preserve">Smith Family </w:t>
      </w:r>
      <w:r w:rsidRPr="00273C3E">
        <w:t>Tech Packs</w:t>
      </w:r>
      <w:r>
        <w:t xml:space="preserve"> which provide families with equipment, </w:t>
      </w:r>
      <w:proofErr w:type="spellStart"/>
      <w:r>
        <w:t>internet</w:t>
      </w:r>
      <w:proofErr w:type="spellEnd"/>
      <w:r>
        <w:t xml:space="preserve"> connections and digital training for disadvantaged children and their families.</w:t>
      </w:r>
      <w:r w:rsidR="00273C3E">
        <w:rPr>
          <w:rStyle w:val="FootnoteReference"/>
        </w:rPr>
        <w:footnoteReference w:id="21"/>
      </w:r>
      <w:r>
        <w:t xml:space="preserve"> </w:t>
      </w:r>
    </w:p>
    <w:p w:rsidR="009A330D" w:rsidRDefault="009A330D" w:rsidP="00AA611E">
      <w:pPr>
        <w:pStyle w:val="Bulletlist1"/>
      </w:pPr>
      <w:r>
        <w:t xml:space="preserve">Central Australian Youth Link Up Service </w:t>
      </w:r>
      <w:r w:rsidRPr="00273C3E">
        <w:t>computer rooms</w:t>
      </w:r>
      <w:r>
        <w:t xml:space="preserve"> which provide access to </w:t>
      </w:r>
      <w:proofErr w:type="spellStart"/>
      <w:r>
        <w:t>internet</w:t>
      </w:r>
      <w:proofErr w:type="spellEnd"/>
      <w:r>
        <w:t xml:space="preserve"> and equipment in remote </w:t>
      </w:r>
      <w:r w:rsidR="0086653B">
        <w:t>I</w:t>
      </w:r>
      <w:r>
        <w:t>ndigenous communities.</w:t>
      </w:r>
      <w:r w:rsidR="00273C3E">
        <w:rPr>
          <w:rStyle w:val="FootnoteReference"/>
        </w:rPr>
        <w:footnoteReference w:id="22"/>
      </w:r>
    </w:p>
    <w:p w:rsidR="009A330D" w:rsidRDefault="009A330D" w:rsidP="009A330D">
      <w:pPr>
        <w:pStyle w:val="Heading1"/>
        <w:rPr>
          <w:lang w:val="en-IE"/>
        </w:rPr>
      </w:pPr>
      <w:bookmarkStart w:id="11" w:name="_Toc457563431"/>
      <w:bookmarkStart w:id="12" w:name="_Toc343010203"/>
      <w:bookmarkStart w:id="13" w:name="_Toc351382488"/>
      <w:r w:rsidRPr="009A330D">
        <w:rPr>
          <w:lang w:val="en-IE"/>
        </w:rPr>
        <w:lastRenderedPageBreak/>
        <w:t>Objectives, rationales and options for universal services</w:t>
      </w:r>
      <w:bookmarkEnd w:id="11"/>
    </w:p>
    <w:p w:rsidR="009A330D" w:rsidRDefault="009A330D" w:rsidP="009A330D">
      <w:proofErr w:type="spellStart"/>
      <w:r>
        <w:t>ACCAN</w:t>
      </w:r>
      <w:proofErr w:type="spellEnd"/>
      <w:r>
        <w:t xml:space="preserve"> believes that availability, accessibility and affordability are still </w:t>
      </w:r>
      <w:r w:rsidR="005C685B">
        <w:t>relevant;</w:t>
      </w:r>
      <w:r>
        <w:t xml:space="preserve"> however, we believe that </w:t>
      </w:r>
      <w:r w:rsidR="00642789">
        <w:t>further objectives</w:t>
      </w:r>
      <w:r w:rsidR="00556F2B">
        <w:t xml:space="preserve"> of </w:t>
      </w:r>
      <w:r w:rsidR="00D30EA0">
        <w:t>empower</w:t>
      </w:r>
      <w:r w:rsidR="0086653B">
        <w:t>ment</w:t>
      </w:r>
      <w:r w:rsidR="00D30EA0">
        <w:t xml:space="preserve"> </w:t>
      </w:r>
      <w:r w:rsidR="00556F2B">
        <w:t xml:space="preserve">and </w:t>
      </w:r>
      <w:r w:rsidR="00D30EA0">
        <w:t xml:space="preserve">appropriateness </w:t>
      </w:r>
      <w:r w:rsidR="00642789">
        <w:t>are</w:t>
      </w:r>
      <w:r w:rsidR="00706B41">
        <w:t xml:space="preserve"> needed</w:t>
      </w:r>
      <w:r>
        <w:t xml:space="preserve">. </w:t>
      </w:r>
    </w:p>
    <w:p w:rsidR="00D30EA0" w:rsidRDefault="00D30EA0" w:rsidP="00D30EA0">
      <w:pPr>
        <w:pStyle w:val="Heading2"/>
      </w:pPr>
      <w:bookmarkStart w:id="14" w:name="_Toc457563432"/>
      <w:r>
        <w:t>Empower</w:t>
      </w:r>
      <w:r w:rsidR="0086653B">
        <w:t>ment</w:t>
      </w:r>
      <w:r>
        <w:t xml:space="preserve"> and appropriateness</w:t>
      </w:r>
      <w:bookmarkEnd w:id="14"/>
    </w:p>
    <w:p w:rsidR="00556F2B" w:rsidRDefault="00316537" w:rsidP="00842D1C">
      <w:r w:rsidRPr="00CB63EB">
        <w:rPr>
          <w:rFonts w:ascii="Times New Roman" w:hAnsi="Times New Roman"/>
          <w:noProof/>
          <w:sz w:val="24"/>
        </w:rPr>
        <mc:AlternateContent>
          <mc:Choice Requires="wps">
            <w:drawing>
              <wp:anchor distT="91440" distB="91440" distL="114300" distR="114300" simplePos="0" relativeHeight="251667456" behindDoc="0" locked="0" layoutInCell="0" allowOverlap="1" wp14:anchorId="300F0C38" wp14:editId="4C549AEE">
                <wp:simplePos x="0" y="0"/>
                <wp:positionH relativeFrom="margin">
                  <wp:posOffset>3629025</wp:posOffset>
                </wp:positionH>
                <wp:positionV relativeFrom="margin">
                  <wp:posOffset>2543175</wp:posOffset>
                </wp:positionV>
                <wp:extent cx="2239010" cy="2495550"/>
                <wp:effectExtent l="38100" t="38100" r="107950" b="114300"/>
                <wp:wrapSquare wrapText="bothSides"/>
                <wp:docPr id="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39010" cy="249555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B6196A" w:rsidRPr="00180404" w:rsidRDefault="00B6196A" w:rsidP="00D30EA0">
                            <w:pPr>
                              <w:rPr>
                                <w:color w:val="4F81BD" w:themeColor="accent1"/>
                                <w:sz w:val="20"/>
                                <w:szCs w:val="20"/>
                              </w:rPr>
                            </w:pPr>
                            <w:r w:rsidRPr="00180404">
                              <w:rPr>
                                <w:color w:val="4F81BD" w:themeColor="accent1"/>
                                <w:sz w:val="20"/>
                                <w:szCs w:val="20"/>
                              </w:rPr>
                              <w:t xml:space="preserve">Swinburne </w:t>
                            </w:r>
                            <w:r w:rsidRPr="00180404">
                              <w:rPr>
                                <w:color w:val="4F81BD" w:themeColor="accent1"/>
                                <w:sz w:val="20"/>
                                <w:szCs w:val="20"/>
                                <w:lang w:val="en-IE"/>
                              </w:rPr>
                              <w:t>Home Internet in Remote Indigenous Communities’ project</w:t>
                            </w:r>
                            <w:r w:rsidRPr="00180404">
                              <w:rPr>
                                <w:color w:val="4F81BD" w:themeColor="accent1"/>
                                <w:sz w:val="20"/>
                                <w:szCs w:val="20"/>
                              </w:rPr>
                              <w:t xml:space="preserve"> found that consumer preference for pre-paid billing, as well as practical difficulties associated with satellite </w:t>
                            </w:r>
                            <w:proofErr w:type="spellStart"/>
                            <w:r w:rsidRPr="00180404">
                              <w:rPr>
                                <w:color w:val="4F81BD" w:themeColor="accent1"/>
                                <w:sz w:val="20"/>
                                <w:szCs w:val="20"/>
                              </w:rPr>
                              <w:t>internet</w:t>
                            </w:r>
                            <w:proofErr w:type="spellEnd"/>
                            <w:r w:rsidRPr="00180404">
                              <w:rPr>
                                <w:color w:val="4F81BD" w:themeColor="accent1"/>
                                <w:sz w:val="20"/>
                                <w:szCs w:val="20"/>
                              </w:rPr>
                              <w:t xml:space="preserve"> connections, means that households are more likely to go without </w:t>
                            </w:r>
                            <w:proofErr w:type="spellStart"/>
                            <w:r w:rsidRPr="00180404">
                              <w:rPr>
                                <w:color w:val="4F81BD" w:themeColor="accent1"/>
                                <w:sz w:val="20"/>
                                <w:szCs w:val="20"/>
                              </w:rPr>
                              <w:t>internet</w:t>
                            </w:r>
                            <w:proofErr w:type="spellEnd"/>
                            <w:r w:rsidRPr="00180404">
                              <w:rPr>
                                <w:color w:val="4F81BD" w:themeColor="accent1"/>
                                <w:sz w:val="20"/>
                                <w:szCs w:val="20"/>
                              </w:rPr>
                              <w:t xml:space="preserve"> than enter into satellite </w:t>
                            </w:r>
                            <w:proofErr w:type="spellStart"/>
                            <w:r w:rsidRPr="00180404">
                              <w:rPr>
                                <w:color w:val="4F81BD" w:themeColor="accent1"/>
                                <w:sz w:val="20"/>
                                <w:szCs w:val="20"/>
                              </w:rPr>
                              <w:t>internet</w:t>
                            </w:r>
                            <w:proofErr w:type="spellEnd"/>
                            <w:r w:rsidRPr="00180404">
                              <w:rPr>
                                <w:color w:val="4F81BD" w:themeColor="accent1"/>
                                <w:sz w:val="20"/>
                                <w:szCs w:val="20"/>
                              </w:rPr>
                              <w:t xml:space="preserve"> contracts.</w:t>
                            </w:r>
                          </w:p>
                          <w:p w:rsidR="00B6196A" w:rsidRDefault="00B6196A" w:rsidP="00D30EA0">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40000</wp14:pctWidth>
                </wp14:sizeRelH>
                <wp14:sizeRelV relativeFrom="page">
                  <wp14:pctHeight>0</wp14:pctHeight>
                </wp14:sizeRelV>
              </wp:anchor>
            </w:drawing>
          </mc:Choice>
          <mc:Fallback>
            <w:pict>
              <v:rect id="Rectangle 396" o:spid="_x0000_s1026" style="position:absolute;left:0;text-align:left;margin-left:285.75pt;margin-top:200.25pt;width:176.3pt;height:196.5pt;flip:x;z-index:251667456;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svrAIAAHgFAAAOAAAAZHJzL2Uyb0RvYy54bWysVF1v2yAUfZ+0/4B4X504TdtEdaqqXbdJ&#10;+6jaTnvGgGNUDAxInOzX74DbNOlepml+QNxrOJxz74Hzi02nyVr6oKyp6PhoRIk03ApllhX9/nDz&#10;7oySEJkRTFsjK7qVgV4s3r45791clra1WkhPAGLCvHcVbWN086IIvJUdC0fWSYOfjfUdiwj9shCe&#10;9UDvdFGORidFb71w3nIZArLXw0+6yPhNI3n81jRBRqIrCm4xjz6PdRqLxTmbLz1zreJPNNg/sOiY&#10;Mjh0B3XNIiMrr/6A6hT3NtgmHnHbFbZpFJdZA9SMR6/U3LfMyawFxQluV6bw/2D51/WtJ0pU9JQS&#10;wzq06A5FY2apJZnMTlKBehfmWHfvbn2SGNxnyx8DMfaqxTp56b3tW8kEaI3T+uJgQwoCtpK6/2IF&#10;8Nkq2lyrTeM70mjlPqaNCRr1IJvcnO2uOXITCUeyLCczlIgSjn/l8Ww6neb2FWyegNJ250P8IG1H&#10;0qSiHkIyLFt/DjERe1mShVitxI3SOgfbcKU9WTMYBf4StqdEsxCRrOhN/rI26N/fpg3pwX42Apm/&#10;wHyAmj3cUf7yRr3qUJ7h/GlKD9ZEGgZ+lYaOkOlmSQd8OhVxn7TqKno2gGeHp/a8NyLPI1N6mANH&#10;m8Ra5puCIqXArgBx34qe1Hrl7xi8MR0BjBKhUlknZ+MhQGHK0+EQEtAhpMEc9x0Nep4zvcS7EDUl&#10;3sYfKrbZ06m56ajUp13Va83449Av7Vo2aD5+LsVT77A6i96RzNEe/2y+5LfBt3FTb6A6mbC2Ygsb&#10;gkd2GB4tTFrrf1HS4wGoaPi5Yl6iPZ8MrFyeHk/K9GQcRP4gqg8iZjjgKsqjp2QIriLiQauxlzB+&#10;o7IRX/iAfwpwvbOSp6covR/7cV718mAufgMAAP//AwBQSwMEFAAGAAgAAAAhABxs7bniAAAACwEA&#10;AA8AAABkcnMvZG93bnJldi54bWxMj8FuwjAMhu+T9g6RJ+02kjJaoGuKJiSkCe0C2w7cQuM1FU3S&#10;NQHat593Yjdb/vX5+4vVYFt2wT403klIJgIYusrrxtUSPj82TwtgISqnVesdShgxwKq8vytUrv3V&#10;7fCyjzUjiAu5kmBi7HLOQ2XQqjDxHTq6ffveqkhrX3PdqyvBbcunQmTcqsbRB6M6XBusTvuzlZBu&#10;s9OuPrx9vfvU/mSbMG7NepTy8WF4fQEWcYi3MPzpkzqU5HT0Z6cDa4kxT1KKSpgJQQMlltNZAuwo&#10;Yb58ToGXBf/fofwFAAD//wMAUEsBAi0AFAAGAAgAAAAhALaDOJL+AAAA4QEAABMAAAAAAAAAAAAA&#10;AAAAAAAAAFtDb250ZW50X1R5cGVzXS54bWxQSwECLQAUAAYACAAAACEAOP0h/9YAAACUAQAACwAA&#10;AAAAAAAAAAAAAAAvAQAAX3JlbHMvLnJlbHNQSwECLQAUAAYACAAAACEAJcG7L6wCAAB4BQAADgAA&#10;AAAAAAAAAAAAAAAuAgAAZHJzL2Uyb0RvYy54bWxQSwECLQAUAAYACAAAACEAHGztueIAAAALAQAA&#10;DwAAAAAAAAAAAAAAAAAGBQAAZHJzL2Rvd25yZXYueG1sUEsFBgAAAAAEAAQA8wAAABUGAAAAAA==&#10;" o:allowincell="f" fillcolor="window" strokecolor="#7f7f7f" strokeweight="1.5pt">
                <v:shadow on="t" type="perspective" color="black" opacity="26214f" origin="-.5,-.5" offset=".74836mm,.74836mm" matrix="65864f,,,65864f"/>
                <v:textbox inset="21.6pt,21.6pt,21.6pt,21.6pt">
                  <w:txbxContent>
                    <w:p w:rsidR="00B6196A" w:rsidRPr="00180404" w:rsidRDefault="00B6196A" w:rsidP="00D30EA0">
                      <w:pPr>
                        <w:rPr>
                          <w:color w:val="4F81BD" w:themeColor="accent1"/>
                          <w:sz w:val="20"/>
                          <w:szCs w:val="20"/>
                        </w:rPr>
                      </w:pPr>
                      <w:r w:rsidRPr="00180404">
                        <w:rPr>
                          <w:color w:val="4F81BD" w:themeColor="accent1"/>
                          <w:sz w:val="20"/>
                          <w:szCs w:val="20"/>
                        </w:rPr>
                        <w:t xml:space="preserve">Swinburne </w:t>
                      </w:r>
                      <w:r w:rsidRPr="00180404">
                        <w:rPr>
                          <w:color w:val="4F81BD" w:themeColor="accent1"/>
                          <w:sz w:val="20"/>
                          <w:szCs w:val="20"/>
                          <w:lang w:val="en-IE"/>
                        </w:rPr>
                        <w:t>Home Internet in Remote Indigenous Communities’ project</w:t>
                      </w:r>
                      <w:r w:rsidRPr="00180404">
                        <w:rPr>
                          <w:color w:val="4F81BD" w:themeColor="accent1"/>
                          <w:sz w:val="20"/>
                          <w:szCs w:val="20"/>
                        </w:rPr>
                        <w:t xml:space="preserve"> found that consumer preference for pre-paid billing, as well as practical difficulties associated with satellite internet connections, means that households are more likely to go without internet than enter into satellite internet contracts.</w:t>
                      </w:r>
                    </w:p>
                    <w:p w:rsidR="00B6196A" w:rsidRDefault="00B6196A" w:rsidP="00D30EA0">
                      <w:pPr>
                        <w:rPr>
                          <w:color w:val="4F81BD" w:themeColor="accent1"/>
                          <w:sz w:val="20"/>
                          <w:szCs w:val="20"/>
                        </w:rPr>
                      </w:pPr>
                    </w:p>
                  </w:txbxContent>
                </v:textbox>
                <w10:wrap type="square" anchorx="margin" anchory="margin"/>
              </v:rect>
            </w:pict>
          </mc:Fallback>
        </mc:AlternateContent>
      </w:r>
      <w:r w:rsidR="00642789">
        <w:t xml:space="preserve">In ensuring that we have connected consumers it is important when addressing market failures that the solutions presented are appropriate to </w:t>
      </w:r>
      <w:r w:rsidR="00134741">
        <w:t>meet consumers’</w:t>
      </w:r>
      <w:r w:rsidR="00642789">
        <w:t xml:space="preserve"> needs and give them control and choice. </w:t>
      </w:r>
      <w:r w:rsidR="00556F2B">
        <w:t xml:space="preserve">For example, </w:t>
      </w:r>
      <w:r w:rsidR="00642789">
        <w:t xml:space="preserve">Indigenous consumers </w:t>
      </w:r>
      <w:r w:rsidR="008015CF">
        <w:t xml:space="preserve">have specific preferences for services which limit the take up of services that are made available but do not meet these </w:t>
      </w:r>
      <w:r w:rsidR="00134741">
        <w:t>preferences (</w:t>
      </w:r>
      <w:r w:rsidR="00556F2B">
        <w:t xml:space="preserve">see box).  </w:t>
      </w:r>
    </w:p>
    <w:p w:rsidR="004A4193" w:rsidRDefault="00027197" w:rsidP="004A4193">
      <w:pPr>
        <w:suppressAutoHyphens/>
        <w:spacing w:before="28" w:beforeAutospacing="0" w:after="28" w:afterAutospacing="0"/>
      </w:pPr>
      <w:r>
        <w:t xml:space="preserve">How much an individual benefits from access to </w:t>
      </w:r>
      <w:r w:rsidR="007B4874">
        <w:t>telecommunications relates</w:t>
      </w:r>
      <w:r w:rsidR="004A4193">
        <w:t xml:space="preserve"> to the</w:t>
      </w:r>
      <w:r>
        <w:t>ir</w:t>
      </w:r>
      <w:r w:rsidR="004A4193">
        <w:t xml:space="preserve"> use of the service</w:t>
      </w:r>
      <w:r>
        <w:t>s</w:t>
      </w:r>
      <w:r w:rsidR="004A4193">
        <w:t xml:space="preserve">. It is assumed that access to </w:t>
      </w:r>
      <w:proofErr w:type="spellStart"/>
      <w:r w:rsidR="004A4193">
        <w:t>NBN</w:t>
      </w:r>
      <w:proofErr w:type="spellEnd"/>
      <w:r w:rsidR="004A4193">
        <w:t xml:space="preserve"> will, in turn ensure access to particular kinds of content or applications.</w:t>
      </w:r>
      <w:r w:rsidR="004A4193">
        <w:rPr>
          <w:rStyle w:val="FootnoteReference"/>
        </w:rPr>
        <w:footnoteReference w:id="23"/>
      </w:r>
      <w:r w:rsidR="004A4193">
        <w:t xml:space="preserve">  This however may not be the case and there may be a case for intervention to ensure that consumers can access content and applications that are needed</w:t>
      </w:r>
      <w:r w:rsidR="00AA611E">
        <w:t>, such as education</w:t>
      </w:r>
      <w:r w:rsidR="007B4874">
        <w:t xml:space="preserve"> and health</w:t>
      </w:r>
      <w:r w:rsidR="004A4193">
        <w:t>. “It is likely that these conditions could be satisfied by enabling access to e-education, e-health and e-government. They seem likely to be important for universal digital inclusion and participation in society.”</w:t>
      </w:r>
      <w:r w:rsidR="004A4193">
        <w:rPr>
          <w:rStyle w:val="FootnoteReference"/>
        </w:rPr>
        <w:footnoteReference w:id="24"/>
      </w:r>
    </w:p>
    <w:p w:rsidR="008D3F37" w:rsidRDefault="002548D6" w:rsidP="002548D6">
      <w:pPr>
        <w:pStyle w:val="Heading2"/>
      </w:pPr>
      <w:bookmarkStart w:id="15" w:name="_Toc457563433"/>
      <w:r>
        <w:t>Options</w:t>
      </w:r>
      <w:bookmarkEnd w:id="15"/>
    </w:p>
    <w:p w:rsidR="004A4193" w:rsidRDefault="002548D6" w:rsidP="00D52378">
      <w:r>
        <w:t>A range of options could be utilised depending on the o</w:t>
      </w:r>
      <w:r w:rsidR="004A4193">
        <w:t>bjective</w:t>
      </w:r>
      <w:r w:rsidR="008015CF">
        <w:t>s</w:t>
      </w:r>
      <w:r w:rsidR="004A4193">
        <w:t xml:space="preserve"> established. Currently, the provision of universal services in Australia is met through</w:t>
      </w:r>
      <w:r>
        <w:t xml:space="preserve"> subsidising the private sector (through funding for standard telephone services and payphones) and subsidising users of telecommunication services (through the Centrelink </w:t>
      </w:r>
      <w:r w:rsidR="00E075DD">
        <w:t>T</w:t>
      </w:r>
      <w:r>
        <w:t xml:space="preserve">elephone </w:t>
      </w:r>
      <w:r w:rsidR="00E075DD">
        <w:t>A</w:t>
      </w:r>
      <w:r>
        <w:t>llowance</w:t>
      </w:r>
      <w:r w:rsidR="004A4193">
        <w:t xml:space="preserve"> and the Commonwealth allocation to the delivery of the </w:t>
      </w:r>
      <w:proofErr w:type="spellStart"/>
      <w:r w:rsidR="004A4193">
        <w:t>USO</w:t>
      </w:r>
      <w:proofErr w:type="spellEnd"/>
      <w:r>
        <w:t xml:space="preserve">). </w:t>
      </w:r>
      <w:r w:rsidR="00D52378">
        <w:t>Carrier licence conditions or regulatory obligations are also used to ensure that affordability measures exist.</w:t>
      </w:r>
      <w:r w:rsidR="007B4874">
        <w:rPr>
          <w:rStyle w:val="FootnoteReference"/>
        </w:rPr>
        <w:footnoteReference w:id="25"/>
      </w:r>
      <w:r w:rsidR="00D52378">
        <w:t xml:space="preserve"> </w:t>
      </w:r>
      <w:r>
        <w:t xml:space="preserve">Each option has </w:t>
      </w:r>
      <w:r w:rsidR="009E4C71">
        <w:t xml:space="preserve">its own benefits and weaknesses, but </w:t>
      </w:r>
      <w:r w:rsidR="007B4874">
        <w:t>all</w:t>
      </w:r>
      <w:r w:rsidR="009E4C71">
        <w:t xml:space="preserve"> may be appropriate depending on </w:t>
      </w:r>
      <w:r>
        <w:t>the objective</w:t>
      </w:r>
      <w:r w:rsidR="009E4C71">
        <w:t xml:space="preserve"> that it is designed to meet</w:t>
      </w:r>
      <w:r>
        <w:t>.</w:t>
      </w:r>
      <w:r w:rsidR="009E4C71">
        <w:t xml:space="preserve"> </w:t>
      </w:r>
    </w:p>
    <w:p w:rsidR="002548D6" w:rsidRPr="002548D6" w:rsidRDefault="002548D6" w:rsidP="002548D6">
      <w:pPr>
        <w:rPr>
          <w:lang w:eastAsia="en-US"/>
        </w:rPr>
      </w:pPr>
      <w:proofErr w:type="spellStart"/>
      <w:r>
        <w:t>ACCAN</w:t>
      </w:r>
      <w:proofErr w:type="spellEnd"/>
      <w:r>
        <w:t xml:space="preserve"> believes that all of the options could appropriately be considered for delivering different elements of a universal service obligation. Subsidising users could be appropriate to address affordability and accessibility issues. Public provision of services is likely to continue in the medium </w:t>
      </w:r>
      <w:r w:rsidR="00D52378">
        <w:t xml:space="preserve">to long </w:t>
      </w:r>
      <w:r>
        <w:t xml:space="preserve">term through the delivery of the </w:t>
      </w:r>
      <w:proofErr w:type="spellStart"/>
      <w:r w:rsidR="00E075DD">
        <w:t>NBN</w:t>
      </w:r>
      <w:proofErr w:type="spellEnd"/>
      <w:r>
        <w:t xml:space="preserve">. Subsidising the private sector or regulatory / licencing obligations may be appropriate to increase mobile coverage. </w:t>
      </w:r>
    </w:p>
    <w:p w:rsidR="009A330D" w:rsidRDefault="009A330D" w:rsidP="009A330D">
      <w:pPr>
        <w:pStyle w:val="Heading1"/>
      </w:pPr>
      <w:bookmarkStart w:id="16" w:name="_Toc457563434"/>
      <w:r>
        <w:lastRenderedPageBreak/>
        <w:t xml:space="preserve">Scope: </w:t>
      </w:r>
      <w:r w:rsidR="00A109E3">
        <w:t>Communication services</w:t>
      </w:r>
      <w:bookmarkEnd w:id="16"/>
    </w:p>
    <w:p w:rsidR="00370A4D" w:rsidRPr="00370A4D" w:rsidRDefault="00A31910" w:rsidP="00370A4D">
      <w:pPr>
        <w:rPr>
          <w:b/>
          <w:bCs/>
          <w:i/>
          <w:iCs/>
        </w:rPr>
      </w:pPr>
      <w:r w:rsidRPr="00370A4D">
        <w:rPr>
          <w:bCs/>
          <w:iCs/>
        </w:rPr>
        <w:t xml:space="preserve">Access to data and voice services are increasingly important for all Australians. </w:t>
      </w:r>
      <w:r w:rsidR="00370A4D" w:rsidRPr="00370A4D">
        <w:rPr>
          <w:bCs/>
          <w:iCs/>
        </w:rPr>
        <w:t xml:space="preserve">The essentiality of communication services today can be seen by what they are used for; </w:t>
      </w:r>
    </w:p>
    <w:p w:rsidR="00370A4D" w:rsidRPr="00370A4D" w:rsidRDefault="00134741" w:rsidP="00370A4D">
      <w:pPr>
        <w:pStyle w:val="ListParagraph"/>
        <w:numPr>
          <w:ilvl w:val="0"/>
          <w:numId w:val="42"/>
        </w:numPr>
      </w:pPr>
      <w:r w:rsidRPr="003A3164">
        <w:rPr>
          <w:rFonts w:asciiTheme="minorHAnsi" w:hAnsiTheme="minorHAnsi"/>
          <w:noProof/>
          <w:lang w:eastAsia="en-AU"/>
        </w:rPr>
        <mc:AlternateContent>
          <mc:Choice Requires="wps">
            <w:drawing>
              <wp:anchor distT="91440" distB="91440" distL="114300" distR="114300" simplePos="0" relativeHeight="251677696" behindDoc="0" locked="0" layoutInCell="0" allowOverlap="1" wp14:anchorId="64C88D73" wp14:editId="7CE771AE">
                <wp:simplePos x="0" y="0"/>
                <wp:positionH relativeFrom="margin">
                  <wp:posOffset>3724910</wp:posOffset>
                </wp:positionH>
                <wp:positionV relativeFrom="margin">
                  <wp:posOffset>1284605</wp:posOffset>
                </wp:positionV>
                <wp:extent cx="2239010" cy="2120900"/>
                <wp:effectExtent l="38100" t="38100" r="107950" b="118110"/>
                <wp:wrapSquare wrapText="bothSides"/>
                <wp:docPr id="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39010" cy="21209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B6196A" w:rsidRDefault="00B6196A" w:rsidP="003A3164">
                            <w:pPr>
                              <w:rPr>
                                <w:color w:val="4F81BD" w:themeColor="accent1"/>
                                <w:sz w:val="20"/>
                                <w:szCs w:val="20"/>
                              </w:rPr>
                            </w:pPr>
                            <w:r>
                              <w:rPr>
                                <w:color w:val="4F81BD" w:themeColor="accent1"/>
                                <w:sz w:val="20"/>
                                <w:szCs w:val="20"/>
                              </w:rPr>
                              <w:t xml:space="preserve">Rosie works as a social media manager. She would like to work from home; however, her position requires her to video conference with clients and upload large files and videos that she produces. Her </w:t>
                            </w:r>
                            <w:proofErr w:type="spellStart"/>
                            <w:r>
                              <w:rPr>
                                <w:color w:val="4F81BD" w:themeColor="accent1"/>
                                <w:sz w:val="20"/>
                                <w:szCs w:val="20"/>
                              </w:rPr>
                              <w:t>internet</w:t>
                            </w:r>
                            <w:proofErr w:type="spellEnd"/>
                            <w:r>
                              <w:rPr>
                                <w:color w:val="4F81BD" w:themeColor="accent1"/>
                                <w:sz w:val="20"/>
                                <w:szCs w:val="20"/>
                              </w:rPr>
                              <w:t xml:space="preserve"> connection does not allow her to do this, limiting her ability to work or requiring her to travel long distances each day to get the connection she needs.</w:t>
                            </w:r>
                          </w:p>
                        </w:txbxContent>
                      </wps:txbx>
                      <wps:bodyPr rot="0" vert="horz" wrap="square" lIns="274320" tIns="274320" rIns="274320" bIns="274320" anchor="ctr" anchorCtr="0">
                        <a:spAutoFit/>
                      </wps:bodyPr>
                    </wps:wsp>
                  </a:graphicData>
                </a:graphic>
                <wp14:sizeRelH relativeFrom="margin">
                  <wp14:pctWidth>40000</wp14:pctWidth>
                </wp14:sizeRelH>
                <wp14:sizeRelV relativeFrom="page">
                  <wp14:pctHeight>0</wp14:pctHeight>
                </wp14:sizeRelV>
              </wp:anchor>
            </w:drawing>
          </mc:Choice>
          <mc:Fallback>
            <w:pict>
              <v:rect id="_x0000_s1027" style="position:absolute;left:0;text-align:left;margin-left:293.3pt;margin-top:101.15pt;width:176.3pt;height:167pt;flip:x;z-index:251677696;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YwEsQIAAH8FAAAOAAAAZHJzL2Uyb0RvYy54bWysVMtu2zAQvBfoPxC8N5LlvGxEDoKkbgv0&#10;ESQpeqYpyiJCkSpJR3a/vsOV49jJragOAnfJHe7sDvfict0a9qR80M6WfHSUc6asdJW2y5L/fJh/&#10;OOcsRGErYZxVJd+owC9n799d9N1UFa5xplKeAcSGad+VvImxm2ZZkI1qRThynbLYrJ1vRYTpl1nl&#10;RQ/01mRFnp9mvfNV551UIcB7M2zyGeHXtZLxR10HFZkpOXKL9Pf0X6R/NrsQ06UXXaPlNg3xD1m0&#10;QltcuoO6EVGwlddvoFotvQuujkfStZmray0VcQCbUf6KzX0jOkVcUJzQ7coU/h+s/P5065muSl5w&#10;ZkWLFt2haMIujWLjyWkqUN+FKc7dd7c+UQzdVycfA7PuusE5deW96xslKqQ1Suezg4BkBISyRf/N&#10;VcAXq+ioVuvat6w2uvucAhM06sHW1JzNrjlqHZmEsyjGE5SIM4m9YlTkk5zal4lpAkrhnQ/xk3It&#10;S4uSexAhWPH0NcSU2MsRIuKMrubaGDI24dp49iQgFOircj1nRoQIZ8nn9BE38N8PM5b1yH6Sn+R0&#10;1cFmeIP5ADZ7uDl9FGhWLcoz3H+S3IM04YaAX7nBY4AmSgdXtjriPRndlvx8ACeFp/Z8tBWto9Bm&#10;WAPH2ERe0UtBkZLhVoC4b6qeLczK3wlo4yQHGGeVTmUdn48GA4UpzoZLWECH4EbmeO9o0PNamCXm&#10;QjSceRd/6diQplNz01WpT7uqL4yQj0O/TNeIgfPxcym2vcNpIr1Lkqy9/El8SW+DbuN6sSZ5kzKT&#10;Fheu2kCNSIeEhtmFReP8H856zIGSh98r4RW69MVC0cXZ8bhIk+PA8gfW4sASVgKu5DJ6zgbjOsLe&#10;CqS7gv7nmvT4kg9oJAOvnAhtJ1IaI/s2nXqZm7O/AAAA//8DAFBLAwQUAAYACAAAACEA13WTfOEA&#10;AAALAQAADwAAAGRycy9kb3ducmV2LnhtbEyPUUvDMBSF3wX/Q7iCL+LSpli32nQMQRDf3CbsMW3u&#10;mmqTlCbrun/v9Wk+Xs7HOd8t17Pt2YRj6LyTkC4SYOgarzvXStjv3h6XwEJUTqveO5RwwQDr6vam&#10;VIX2Z/eJ0za2jEpcKJQEE+NQcB4ag1aFhR/QUXb0o1WRzrHlelRnKrc9F0mSc6s6RwtGDfhqsPnZ&#10;nqyEZ7U3u3r6OKTfov163zykF4G9lPd38+YFWMQ5XmH40yd1qMip9ienA+slPC3znFAJIhEZMCJW&#10;2UoAqynK8gx4VfL/P1S/AAAA//8DAFBLAQItABQABgAIAAAAIQC2gziS/gAAAOEBAAATAAAAAAAA&#10;AAAAAAAAAAAAAABbQ29udGVudF9UeXBlc10ueG1sUEsBAi0AFAAGAAgAAAAhADj9If/WAAAAlAEA&#10;AAsAAAAAAAAAAAAAAAAALwEAAF9yZWxzLy5yZWxzUEsBAi0AFAAGAAgAAAAhANbdjASxAgAAfwUA&#10;AA4AAAAAAAAAAAAAAAAALgIAAGRycy9lMm9Eb2MueG1sUEsBAi0AFAAGAAgAAAAhANd1k3zhAAAA&#10;CwEAAA8AAAAAAAAAAAAAAAAACwUAAGRycy9kb3ducmV2LnhtbFBLBQYAAAAABAAEAPMAAAAZBgAA&#10;AAA=&#10;" o:allowincell="f" fillcolor="window" strokecolor="#7f7f7f" strokeweight="1.5pt">
                <v:shadow on="t" type="perspective" color="black" opacity="26214f" origin="-.5,-.5" offset=".74836mm,.74836mm" matrix="65864f,,,65864f"/>
                <v:textbox style="mso-fit-shape-to-text:t" inset="21.6pt,21.6pt,21.6pt,21.6pt">
                  <w:txbxContent>
                    <w:p w:rsidR="00B6196A" w:rsidRDefault="00B6196A" w:rsidP="003A3164">
                      <w:pPr>
                        <w:rPr>
                          <w:color w:val="4F81BD" w:themeColor="accent1"/>
                          <w:sz w:val="20"/>
                          <w:szCs w:val="20"/>
                        </w:rPr>
                      </w:pPr>
                      <w:r>
                        <w:rPr>
                          <w:color w:val="4F81BD" w:themeColor="accent1"/>
                          <w:sz w:val="20"/>
                          <w:szCs w:val="20"/>
                        </w:rPr>
                        <w:t xml:space="preserve">Rosie works as a social media manager. She would like to work from home; however, her </w:t>
                      </w:r>
                      <w:proofErr w:type="gramStart"/>
                      <w:r>
                        <w:rPr>
                          <w:color w:val="4F81BD" w:themeColor="accent1"/>
                          <w:sz w:val="20"/>
                          <w:szCs w:val="20"/>
                        </w:rPr>
                        <w:t>position requires her to video conference with clients and upload</w:t>
                      </w:r>
                      <w:proofErr w:type="gramEnd"/>
                      <w:r>
                        <w:rPr>
                          <w:color w:val="4F81BD" w:themeColor="accent1"/>
                          <w:sz w:val="20"/>
                          <w:szCs w:val="20"/>
                        </w:rPr>
                        <w:t xml:space="preserve"> large files and videos that she produces. Her internet connection does not allow her to do this, limiting her ability to work or requiring her to travel long distances each day to get the connection she needs.</w:t>
                      </w:r>
                    </w:p>
                  </w:txbxContent>
                </v:textbox>
                <w10:wrap type="square" anchorx="margin" anchory="margin"/>
              </v:rect>
            </w:pict>
          </mc:Fallback>
        </mc:AlternateContent>
      </w:r>
      <w:r w:rsidR="00370A4D" w:rsidRPr="00370A4D">
        <w:rPr>
          <w:b/>
          <w:i/>
        </w:rPr>
        <w:t>in life threatening situations for personal safety and security</w:t>
      </w:r>
      <w:r w:rsidR="00370A4D" w:rsidRPr="00370A4D">
        <w:t xml:space="preserve"> (8.5 million calls were made to Triple Zero in 2014, 67% of which were made from mobile phones), </w:t>
      </w:r>
    </w:p>
    <w:p w:rsidR="00370A4D" w:rsidRPr="00370A4D" w:rsidRDefault="00370A4D" w:rsidP="00370A4D">
      <w:pPr>
        <w:pStyle w:val="ListParagraph"/>
        <w:numPr>
          <w:ilvl w:val="0"/>
          <w:numId w:val="42"/>
        </w:numPr>
      </w:pPr>
      <w:r w:rsidRPr="00370A4D">
        <w:rPr>
          <w:b/>
          <w:i/>
        </w:rPr>
        <w:t>for self-progression and personal development</w:t>
      </w:r>
      <w:r w:rsidRPr="00370A4D">
        <w:t xml:space="preserve"> (56% of Australians reported working or studying from home),</w:t>
      </w:r>
    </w:p>
    <w:p w:rsidR="00370A4D" w:rsidRPr="00370A4D" w:rsidRDefault="00370A4D" w:rsidP="00370A4D">
      <w:pPr>
        <w:pStyle w:val="ListParagraph"/>
        <w:numPr>
          <w:ilvl w:val="0"/>
          <w:numId w:val="42"/>
        </w:numPr>
      </w:pPr>
      <w:r w:rsidRPr="00370A4D">
        <w:rPr>
          <w:b/>
          <w:i/>
        </w:rPr>
        <w:t xml:space="preserve">to complete essential tasks, e-commerce and economic livelihood, success and </w:t>
      </w:r>
      <w:proofErr w:type="spellStart"/>
      <w:r w:rsidRPr="00370A4D">
        <w:rPr>
          <w:b/>
          <w:i/>
        </w:rPr>
        <w:t>well-being</w:t>
      </w:r>
      <w:proofErr w:type="spellEnd"/>
      <w:r w:rsidRPr="00370A4D">
        <w:t xml:space="preserve"> (77% of Australians banked and paid bills online, 64% for bought or sold items, 49% accessed government websites), and </w:t>
      </w:r>
    </w:p>
    <w:p w:rsidR="00370A4D" w:rsidRPr="00370A4D" w:rsidRDefault="00370A4D" w:rsidP="00370A4D">
      <w:pPr>
        <w:pStyle w:val="ListParagraph"/>
        <w:numPr>
          <w:ilvl w:val="0"/>
          <w:numId w:val="42"/>
        </w:numPr>
      </w:pPr>
      <w:r w:rsidRPr="00370A4D">
        <w:rPr>
          <w:b/>
          <w:i/>
        </w:rPr>
        <w:t>for social networking, interaction and communication</w:t>
      </w:r>
      <w:r w:rsidRPr="00370A4D">
        <w:t xml:space="preserve"> (94% used the </w:t>
      </w:r>
      <w:proofErr w:type="spellStart"/>
      <w:r w:rsidRPr="00370A4D">
        <w:t>internet</w:t>
      </w:r>
      <w:proofErr w:type="spellEnd"/>
      <w:r w:rsidRPr="00370A4D">
        <w:t xml:space="preserve"> for emailing, 69% of Australians used the </w:t>
      </w:r>
      <w:proofErr w:type="spellStart"/>
      <w:r w:rsidRPr="00370A4D">
        <w:t>internet</w:t>
      </w:r>
      <w:proofErr w:type="spellEnd"/>
      <w:r w:rsidRPr="00370A4D">
        <w:t xml:space="preserve"> for social networking).</w:t>
      </w:r>
      <w:r w:rsidRPr="00370A4D">
        <w:rPr>
          <w:vertAlign w:val="superscript"/>
        </w:rPr>
        <w:footnoteReference w:id="26"/>
      </w:r>
      <w:r w:rsidRPr="00370A4D">
        <w:t xml:space="preserve"> </w:t>
      </w:r>
    </w:p>
    <w:p w:rsidR="004B34E2" w:rsidRDefault="00A31910" w:rsidP="004B34E2">
      <w:r>
        <w:t>Ac</w:t>
      </w:r>
      <w:r w:rsidRPr="001110C6">
        <w:t>cess to services and content is as important as access to infrastructure</w:t>
      </w:r>
      <w:r>
        <w:t xml:space="preserve">, which on its own does not ensure </w:t>
      </w:r>
      <w:r>
        <w:rPr>
          <w:bCs/>
          <w:iCs/>
        </w:rPr>
        <w:t xml:space="preserve">that consumers can carry out these functions. </w:t>
      </w:r>
      <w:r w:rsidR="00370A4D" w:rsidRPr="00370A4D">
        <w:rPr>
          <w:bCs/>
          <w:iCs/>
        </w:rPr>
        <w:t xml:space="preserve">Unfortunately market forces </w:t>
      </w:r>
      <w:r w:rsidR="008015CF">
        <w:rPr>
          <w:bCs/>
          <w:iCs/>
        </w:rPr>
        <w:t xml:space="preserve">on their own </w:t>
      </w:r>
      <w:r w:rsidR="00370A4D" w:rsidRPr="00370A4D">
        <w:rPr>
          <w:bCs/>
          <w:iCs/>
        </w:rPr>
        <w:t xml:space="preserve">are unlikely to deliver the networks and services required to ensure that all consumers have access to these services. </w:t>
      </w:r>
      <w:proofErr w:type="spellStart"/>
      <w:r w:rsidR="00A109E3">
        <w:rPr>
          <w:bCs/>
          <w:iCs/>
        </w:rPr>
        <w:t>ACCAN</w:t>
      </w:r>
      <w:proofErr w:type="spellEnd"/>
      <w:r w:rsidR="00A109E3">
        <w:rPr>
          <w:bCs/>
          <w:iCs/>
        </w:rPr>
        <w:t xml:space="preserve"> believes that consumers should have access to voice </w:t>
      </w:r>
      <w:r w:rsidR="003C0288">
        <w:rPr>
          <w:bCs/>
          <w:iCs/>
        </w:rPr>
        <w:t xml:space="preserve">(see section 2) </w:t>
      </w:r>
      <w:r w:rsidR="00A109E3">
        <w:rPr>
          <w:bCs/>
          <w:iCs/>
        </w:rPr>
        <w:t>and data services</w:t>
      </w:r>
      <w:r w:rsidR="008015CF">
        <w:rPr>
          <w:bCs/>
          <w:iCs/>
        </w:rPr>
        <w:t xml:space="preserve"> and content</w:t>
      </w:r>
      <w:r w:rsidR="003C0288">
        <w:rPr>
          <w:bCs/>
          <w:iCs/>
        </w:rPr>
        <w:t>.</w:t>
      </w:r>
    </w:p>
    <w:p w:rsidR="00370A4D" w:rsidRDefault="00370A4D" w:rsidP="00370A4D">
      <w:pPr>
        <w:pStyle w:val="Heading2"/>
      </w:pPr>
      <w:bookmarkStart w:id="17" w:name="_Toc457563435"/>
      <w:r>
        <w:t>National Broadband Network</w:t>
      </w:r>
      <w:r w:rsidR="00DD3BBB">
        <w:t xml:space="preserve"> and policy</w:t>
      </w:r>
      <w:bookmarkEnd w:id="17"/>
    </w:p>
    <w:p w:rsidR="00260162" w:rsidRDefault="00370A4D" w:rsidP="003A3164">
      <w:r>
        <w:t>The National Broadband Network is a hugely significant network rollout that will change how consumers access broadband services and</w:t>
      </w:r>
      <w:r w:rsidR="00747825">
        <w:t xml:space="preserve"> will</w:t>
      </w:r>
      <w:r>
        <w:t xml:space="preserve"> </w:t>
      </w:r>
      <w:r w:rsidR="00747825">
        <w:t xml:space="preserve">ensure personal, societal and economic benefits. </w:t>
      </w:r>
      <w:r w:rsidR="00DC6AB1">
        <w:t>Within the next four to five years all premises in Australia will be able to request a service</w:t>
      </w:r>
      <w:r w:rsidR="008015CF">
        <w:t xml:space="preserve"> over the </w:t>
      </w:r>
      <w:proofErr w:type="spellStart"/>
      <w:r w:rsidR="008015CF">
        <w:t>n</w:t>
      </w:r>
      <w:r w:rsidR="00DC6AB1">
        <w:t>bn</w:t>
      </w:r>
      <w:proofErr w:type="spellEnd"/>
      <w:r w:rsidR="008015CF">
        <w:t xml:space="preserve"> network</w:t>
      </w:r>
      <w:r w:rsidR="00DC6AB1">
        <w:t>, or an alternative infrastructure provider.</w:t>
      </w:r>
      <w:r w:rsidR="00747825">
        <w:rPr>
          <w:rStyle w:val="FootnoteReference"/>
        </w:rPr>
        <w:footnoteReference w:id="27"/>
      </w:r>
      <w:r>
        <w:t xml:space="preserve"> However, </w:t>
      </w:r>
      <w:proofErr w:type="spellStart"/>
      <w:r w:rsidR="00747825">
        <w:t>ACCAN</w:t>
      </w:r>
      <w:proofErr w:type="spellEnd"/>
      <w:r w:rsidR="00747825">
        <w:t xml:space="preserve"> d</w:t>
      </w:r>
      <w:r>
        <w:t>o</w:t>
      </w:r>
      <w:r w:rsidR="00747825">
        <w:t>es</w:t>
      </w:r>
      <w:r>
        <w:t xml:space="preserve"> not believe that it is an alternative (wholesale) </w:t>
      </w:r>
      <w:proofErr w:type="spellStart"/>
      <w:r>
        <w:t>USO</w:t>
      </w:r>
      <w:proofErr w:type="spellEnd"/>
      <w:r>
        <w:t xml:space="preserve"> service. </w:t>
      </w:r>
      <w:r w:rsidR="00260162">
        <w:t xml:space="preserve">This is </w:t>
      </w:r>
      <w:r w:rsidR="00C0370E">
        <w:t>because</w:t>
      </w:r>
      <w:r w:rsidR="003C0288">
        <w:t xml:space="preserve"> the network cannot deliver voice services to all premises (discussed in section 2),</w:t>
      </w:r>
      <w:r w:rsidR="00260162">
        <w:t xml:space="preserve"> services are not offered equivalently to all Australians</w:t>
      </w:r>
      <w:r w:rsidR="003C0288">
        <w:t xml:space="preserve"> and there is currently no guaranteed access into the future</w:t>
      </w:r>
      <w:r w:rsidR="00260162">
        <w:t xml:space="preserve">. </w:t>
      </w:r>
    </w:p>
    <w:p w:rsidR="00DD3BBB" w:rsidRDefault="00E20F02" w:rsidP="003A3164">
      <w:r>
        <w:lastRenderedPageBreak/>
        <w:t xml:space="preserve">One area that is not equivalent is access to data levels. Currently, consumers over </w:t>
      </w:r>
      <w:proofErr w:type="spellStart"/>
      <w:r>
        <w:t>nbn</w:t>
      </w:r>
      <w:proofErr w:type="spellEnd"/>
      <w:r>
        <w:t xml:space="preserve"> are using on average </w:t>
      </w:r>
      <w:proofErr w:type="spellStart"/>
      <w:r>
        <w:t>128GB</w:t>
      </w:r>
      <w:proofErr w:type="spellEnd"/>
      <w:r>
        <w:t xml:space="preserve"> of data a month.</w:t>
      </w:r>
      <w:r>
        <w:rPr>
          <w:rStyle w:val="FootnoteReference"/>
        </w:rPr>
        <w:footnoteReference w:id="28"/>
      </w:r>
      <w:r>
        <w:t xml:space="preserve"> This figure has increased significantly since last year and</w:t>
      </w:r>
      <w:r w:rsidR="008B3FE9">
        <w:t xml:space="preserve"> it</w:t>
      </w:r>
      <w:r>
        <w:t xml:space="preserve"> is </w:t>
      </w:r>
      <w:r w:rsidR="008E67F2">
        <w:t>ex</w:t>
      </w:r>
      <w:r>
        <w:t>pected that fixed data</w:t>
      </w:r>
      <w:r w:rsidR="00C0370E">
        <w:t xml:space="preserve"> use</w:t>
      </w:r>
      <w:r>
        <w:t xml:space="preserve"> will grow by 180% between 2014 and 2019</w:t>
      </w:r>
      <w:r w:rsidR="008E67F2">
        <w:t>, and may continue to increase beyond this date</w:t>
      </w:r>
      <w:r>
        <w:t>.</w:t>
      </w:r>
      <w:r>
        <w:rPr>
          <w:rStyle w:val="FootnoteReference"/>
        </w:rPr>
        <w:footnoteReference w:id="29"/>
      </w:r>
      <w:r>
        <w:t xml:space="preserve"> Satellite services offered </w:t>
      </w:r>
      <w:r w:rsidR="00511CBF">
        <w:t>over</w:t>
      </w:r>
      <w:r>
        <w:t xml:space="preserve"> </w:t>
      </w:r>
      <w:proofErr w:type="spellStart"/>
      <w:r>
        <w:t>nbn</w:t>
      </w:r>
      <w:proofErr w:type="spellEnd"/>
      <w:r w:rsidR="008E67F2">
        <w:t>, however,</w:t>
      </w:r>
      <w:r>
        <w:t xml:space="preserve"> a</w:t>
      </w:r>
      <w:r w:rsidR="001F646A">
        <w:t xml:space="preserve">re capped at </w:t>
      </w:r>
      <w:proofErr w:type="spellStart"/>
      <w:r w:rsidR="001F646A">
        <w:t>150GB</w:t>
      </w:r>
      <w:proofErr w:type="spellEnd"/>
      <w:r w:rsidR="001F646A">
        <w:t xml:space="preserve"> of data per month</w:t>
      </w:r>
      <w:r w:rsidR="008E67F2">
        <w:t>, with most plans offering data</w:t>
      </w:r>
      <w:r w:rsidR="008B3FE9">
        <w:t xml:space="preserve"> divided into peak and off peak</w:t>
      </w:r>
      <w:r w:rsidR="008E67F2">
        <w:t xml:space="preserve"> hours.</w:t>
      </w:r>
      <w:r w:rsidR="001F646A">
        <w:rPr>
          <w:rStyle w:val="FootnoteReference"/>
        </w:rPr>
        <w:footnoteReference w:id="30"/>
      </w:r>
      <w:r w:rsidR="001F646A">
        <w:t xml:space="preserve"> It is unlikely that </w:t>
      </w:r>
      <w:r w:rsidR="008B3FE9">
        <w:t xml:space="preserve">the level of data available </w:t>
      </w:r>
      <w:r w:rsidR="003C0288">
        <w:t xml:space="preserve">to consumers </w:t>
      </w:r>
      <w:r w:rsidR="008B3FE9">
        <w:t>over satellite will increase during its existence. This creates risks that demand for data will in the short to medium term outstrip the</w:t>
      </w:r>
      <w:r w:rsidR="001F646A">
        <w:t xml:space="preserve"> </w:t>
      </w:r>
      <w:r w:rsidR="003C0288">
        <w:t xml:space="preserve">supply </w:t>
      </w:r>
      <w:r w:rsidR="008B3FE9">
        <w:t xml:space="preserve">and result in </w:t>
      </w:r>
      <w:r w:rsidR="00C0370E">
        <w:t xml:space="preserve">unequal </w:t>
      </w:r>
      <w:r w:rsidR="008B3FE9">
        <w:t>service</w:t>
      </w:r>
      <w:r w:rsidR="00511CBF">
        <w:t xml:space="preserve"> access</w:t>
      </w:r>
      <w:r w:rsidR="008B3FE9">
        <w:t xml:space="preserve"> between geographical areas. </w:t>
      </w:r>
      <w:r w:rsidR="001F646A">
        <w:t xml:space="preserve"> </w:t>
      </w:r>
      <w:r>
        <w:t xml:space="preserve"> </w:t>
      </w:r>
    </w:p>
    <w:p w:rsidR="003C0288" w:rsidRDefault="003C0288" w:rsidP="00370A4D">
      <w:r w:rsidRPr="003A3164">
        <w:rPr>
          <w:rFonts w:asciiTheme="minorHAnsi" w:eastAsiaTheme="minorHAnsi" w:hAnsiTheme="minorHAnsi"/>
          <w:noProof/>
        </w:rPr>
        <mc:AlternateContent>
          <mc:Choice Requires="wps">
            <w:drawing>
              <wp:anchor distT="91440" distB="91440" distL="114300" distR="114300" simplePos="0" relativeHeight="251675648" behindDoc="0" locked="0" layoutInCell="0" allowOverlap="1" wp14:anchorId="5601188B" wp14:editId="031781C3">
                <wp:simplePos x="0" y="0"/>
                <wp:positionH relativeFrom="margin">
                  <wp:posOffset>3712210</wp:posOffset>
                </wp:positionH>
                <wp:positionV relativeFrom="margin">
                  <wp:posOffset>2160905</wp:posOffset>
                </wp:positionV>
                <wp:extent cx="2239010" cy="2120900"/>
                <wp:effectExtent l="38100" t="38100" r="107950" b="105410"/>
                <wp:wrapSquare wrapText="bothSides"/>
                <wp:docPr id="3"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39010" cy="21209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B6196A" w:rsidRDefault="00B6196A" w:rsidP="003A3164">
                            <w:pPr>
                              <w:rPr>
                                <w:color w:val="4F81BD" w:themeColor="accent1"/>
                                <w:sz w:val="20"/>
                                <w:szCs w:val="20"/>
                              </w:rPr>
                            </w:pPr>
                            <w:r>
                              <w:rPr>
                                <w:color w:val="4F81BD" w:themeColor="accent1"/>
                                <w:sz w:val="20"/>
                                <w:szCs w:val="20"/>
                              </w:rPr>
                              <w:t xml:space="preserve">Video relay allows </w:t>
                            </w:r>
                            <w:r w:rsidRPr="00773872">
                              <w:rPr>
                                <w:color w:val="4F81BD" w:themeColor="accent1"/>
                                <w:sz w:val="20"/>
                                <w:szCs w:val="20"/>
                              </w:rPr>
                              <w:t xml:space="preserve">consumers who are deaf to use their own language, </w:t>
                            </w:r>
                            <w:proofErr w:type="spellStart"/>
                            <w:r w:rsidRPr="00773872">
                              <w:rPr>
                                <w:color w:val="4F81BD" w:themeColor="accent1"/>
                                <w:sz w:val="20"/>
                                <w:szCs w:val="20"/>
                              </w:rPr>
                              <w:t>Auslan</w:t>
                            </w:r>
                            <w:proofErr w:type="spellEnd"/>
                            <w:r w:rsidRPr="00773872">
                              <w:rPr>
                                <w:color w:val="4F81BD" w:themeColor="accent1"/>
                                <w:sz w:val="20"/>
                                <w:szCs w:val="20"/>
                              </w:rPr>
                              <w:t xml:space="preserve">, </w:t>
                            </w:r>
                            <w:r>
                              <w:rPr>
                                <w:color w:val="4F81BD" w:themeColor="accent1"/>
                                <w:sz w:val="20"/>
                                <w:szCs w:val="20"/>
                              </w:rPr>
                              <w:t>A</w:t>
                            </w:r>
                            <w:r w:rsidRPr="00773872">
                              <w:rPr>
                                <w:color w:val="4F81BD" w:themeColor="accent1"/>
                                <w:sz w:val="20"/>
                                <w:szCs w:val="20"/>
                              </w:rPr>
                              <w:t xml:space="preserve"> one to one high definition video call </w:t>
                            </w:r>
                            <w:r>
                              <w:rPr>
                                <w:color w:val="4F81BD" w:themeColor="accent1"/>
                                <w:sz w:val="20"/>
                                <w:szCs w:val="20"/>
                              </w:rPr>
                              <w:t xml:space="preserve">required for video relay requires a minimum upload and download speed of </w:t>
                            </w:r>
                            <w:proofErr w:type="spellStart"/>
                            <w:r>
                              <w:rPr>
                                <w:color w:val="4F81BD" w:themeColor="accent1"/>
                                <w:sz w:val="20"/>
                                <w:szCs w:val="20"/>
                              </w:rPr>
                              <w:t>1.5Mbps</w:t>
                            </w:r>
                            <w:proofErr w:type="spellEnd"/>
                            <w:r>
                              <w:rPr>
                                <w:color w:val="4F81BD" w:themeColor="accent1"/>
                                <w:sz w:val="20"/>
                                <w:szCs w:val="20"/>
                              </w:rPr>
                              <w:t>, a</w:t>
                            </w:r>
                            <w:r w:rsidRPr="00773872">
                              <w:rPr>
                                <w:color w:val="4F81BD" w:themeColor="accent1"/>
                                <w:sz w:val="20"/>
                                <w:szCs w:val="20"/>
                              </w:rPr>
                              <w:t xml:space="preserve"> maximum end-to-end latency of 15</w:t>
                            </w:r>
                            <w:r>
                              <w:rPr>
                                <w:color w:val="4F81BD" w:themeColor="accent1"/>
                                <w:sz w:val="20"/>
                                <w:szCs w:val="20"/>
                              </w:rPr>
                              <w:t>0 milliseconds under peak load, p</w:t>
                            </w:r>
                            <w:r w:rsidRPr="00773872">
                              <w:rPr>
                                <w:color w:val="4F81BD" w:themeColor="accent1"/>
                                <w:sz w:val="20"/>
                                <w:szCs w:val="20"/>
                              </w:rPr>
                              <w:t>acket loss should be less than 1% and jitter should be less than 30 milliseconds.</w:t>
                            </w:r>
                            <w:r>
                              <w:rPr>
                                <w:color w:val="4F81BD" w:themeColor="accent1"/>
                                <w:sz w:val="20"/>
                                <w:szCs w:val="20"/>
                              </w:rPr>
                              <w:t xml:space="preserve"> There are limited data networks that can meet this standard to allow consumers who are deaf communicate in their own language.</w:t>
                            </w:r>
                          </w:p>
                        </w:txbxContent>
                      </wps:txbx>
                      <wps:bodyPr rot="0" vert="horz" wrap="square" lIns="274320" tIns="274320" rIns="274320" bIns="274320" anchor="ctr" anchorCtr="0">
                        <a:spAutoFit/>
                      </wps:bodyPr>
                    </wps:wsp>
                  </a:graphicData>
                </a:graphic>
                <wp14:sizeRelH relativeFrom="margin">
                  <wp14:pctWidth>40000</wp14:pctWidth>
                </wp14:sizeRelH>
                <wp14:sizeRelV relativeFrom="page">
                  <wp14:pctHeight>0</wp14:pctHeight>
                </wp14:sizeRelV>
              </wp:anchor>
            </w:drawing>
          </mc:Choice>
          <mc:Fallback>
            <w:pict>
              <v:rect id="_x0000_s1028" style="position:absolute;left:0;text-align:left;margin-left:292.3pt;margin-top:170.15pt;width:176.3pt;height:167pt;flip:x;z-index:251675648;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8r3sgIAAH8FAAAOAAAAZHJzL2Uyb0RvYy54bWysVF1v2yAUfZ+0/4B4X+04/UpUp6raZZvU&#10;bVXbac8Y4xgVAwMSJ/31O+A0Tdq3aX6wuBfu4Z57D/fict0pshLOS6NLOjrKKRGam1rqRUl/Pc4/&#10;nVPiA9M1U0aLkm6Ep5ezjx8uejsVhWmNqoUjANF+2tuStiHYaZZ53oqO+SNjhcZmY1zHAky3yGrH&#10;eqB3Kivy/DTrjautM1x4D+/NsElnCb9pBA8/m8aLQFRJkVtIf5f+Vfxnsws2XThmW8m3abB/yKJj&#10;UuPSHdQNC4wsnXwH1UnujDdNOOKmy0zTSC4SB7AZ5W/YPLTMisQFxfF2Vyb//2D5j9WdI7Iu6ZgS&#10;zTq06B5FY3qhBBlPTmOBeuunOPdg71yk6O2t4U+eaHPd4py4cs70rWA10hrF89lBQDQ8QknVfzc1&#10;8NkymFSrdeM60ihpv8bACI16kHVqzmbXHLEOhMNZFOMJSkQJx14xKvJJntqXsWkEiuHW+fBFmI7E&#10;RUkdiCRYtrr1ISb2eiQRMUrWc6lUMjb+WjmyYhAK9FWbnhLFfICzpPP0JW7gvx+mNOmR/SQ/ydNV&#10;B5v+HeYj2Ozh5ulLgWrZoTzD/SfRPUgTbgj4jRs8BuhE6eDKTga8JyW7kp4P4EnhsT2fdZ3WgUk1&#10;rIGjdCQv0ktBkaJhloB4aOueVGrp7hm0cZIDjJJaxrKOz0eDgcIUZ8MlxKNDcCNzvHc06GXN1AJz&#10;IShKnAm/ZWiTpmNz41WxT7uqV4rxp6FfyrZs4Hz8Uopt73A6kd4lmay9/JP4ot4G3YZ1tU7yLl6U&#10;XJl6AzUinSQ0zC4sWuOeKekxB0rq/yyZE+jSNw1FF2fH4yJOjgPLHVjVgcU0B1xJeXCUDMZ1gL0V&#10;iL2C/ucy6TG+jSEf0IgGXnkitJ1IcYzs2+nU69yc/QUAAP//AwBQSwMEFAAGAAgAAAAhAHbu4v7h&#10;AAAACwEAAA8AAABkcnMvZG93bnJldi54bWxMj0tLxDAUhfeC/yFcwY046ct2rL0dBkEQd/MQXKbN&#10;tak2SWkync6/N650eTkf53y32ix6YDNNrrcGIV5FwMi0VvamQzgeXu7XwJwXRorBGkK4kINNfX1V&#10;iVLas9nRvPcdCyXGlQJBeT+WnLtWkRZuZUcyIfu0kxY+nFPH5STOoVwPPIminGvRm7CgxEjPitrv&#10;/UkjFOKoDs389hF/Jd376/YuviQ0IN7eLNsnYJ4W/wfDr35Qhzo4NfZkpGMDwsM6ywOKkGZRCiwQ&#10;j2mRAGsQ8iJLgdcV//9D/QMAAP//AwBQSwECLQAUAAYACAAAACEAtoM4kv4AAADhAQAAEwAAAAAA&#10;AAAAAAAAAAAAAAAAW0NvbnRlbnRfVHlwZXNdLnhtbFBLAQItABQABgAIAAAAIQA4/SH/1gAAAJQB&#10;AAALAAAAAAAAAAAAAAAAAC8BAABfcmVscy8ucmVsc1BLAQItABQABgAIAAAAIQBgg8r3sgIAAH8F&#10;AAAOAAAAAAAAAAAAAAAAAC4CAABkcnMvZTJvRG9jLnhtbFBLAQItABQABgAIAAAAIQB27uL+4QAA&#10;AAsBAAAPAAAAAAAAAAAAAAAAAAwFAABkcnMvZG93bnJldi54bWxQSwUGAAAAAAQABADzAAAAGgYA&#10;AAAA&#10;" o:allowincell="f" fillcolor="window" strokecolor="#7f7f7f" strokeweight="1.5pt">
                <v:shadow on="t" type="perspective" color="black" opacity="26214f" origin="-.5,-.5" offset=".74836mm,.74836mm" matrix="65864f,,,65864f"/>
                <v:textbox style="mso-fit-shape-to-text:t" inset="21.6pt,21.6pt,21.6pt,21.6pt">
                  <w:txbxContent>
                    <w:p w:rsidR="00B6196A" w:rsidRDefault="00B6196A" w:rsidP="003A3164">
                      <w:pPr>
                        <w:rPr>
                          <w:color w:val="4F81BD" w:themeColor="accent1"/>
                          <w:sz w:val="20"/>
                          <w:szCs w:val="20"/>
                        </w:rPr>
                      </w:pPr>
                      <w:r>
                        <w:rPr>
                          <w:color w:val="4F81BD" w:themeColor="accent1"/>
                          <w:sz w:val="20"/>
                          <w:szCs w:val="20"/>
                        </w:rPr>
                        <w:t xml:space="preserve">Video relay allows </w:t>
                      </w:r>
                      <w:r w:rsidRPr="00773872">
                        <w:rPr>
                          <w:color w:val="4F81BD" w:themeColor="accent1"/>
                          <w:sz w:val="20"/>
                          <w:szCs w:val="20"/>
                        </w:rPr>
                        <w:t xml:space="preserve">consumers who are deaf to use their own language, </w:t>
                      </w:r>
                      <w:proofErr w:type="spellStart"/>
                      <w:r w:rsidRPr="00773872">
                        <w:rPr>
                          <w:color w:val="4F81BD" w:themeColor="accent1"/>
                          <w:sz w:val="20"/>
                          <w:szCs w:val="20"/>
                        </w:rPr>
                        <w:t>Auslan</w:t>
                      </w:r>
                      <w:proofErr w:type="spellEnd"/>
                      <w:r w:rsidRPr="00773872">
                        <w:rPr>
                          <w:color w:val="4F81BD" w:themeColor="accent1"/>
                          <w:sz w:val="20"/>
                          <w:szCs w:val="20"/>
                        </w:rPr>
                        <w:t xml:space="preserve">, </w:t>
                      </w:r>
                      <w:r>
                        <w:rPr>
                          <w:color w:val="4F81BD" w:themeColor="accent1"/>
                          <w:sz w:val="20"/>
                          <w:szCs w:val="20"/>
                        </w:rPr>
                        <w:t>A</w:t>
                      </w:r>
                      <w:r w:rsidRPr="00773872">
                        <w:rPr>
                          <w:color w:val="4F81BD" w:themeColor="accent1"/>
                          <w:sz w:val="20"/>
                          <w:szCs w:val="20"/>
                        </w:rPr>
                        <w:t xml:space="preserve"> one to one high definition video call </w:t>
                      </w:r>
                      <w:r>
                        <w:rPr>
                          <w:color w:val="4F81BD" w:themeColor="accent1"/>
                          <w:sz w:val="20"/>
                          <w:szCs w:val="20"/>
                        </w:rPr>
                        <w:t>required for video relay requires a minimum upload and download speed of 1.5Mbps, a</w:t>
                      </w:r>
                      <w:r w:rsidRPr="00773872">
                        <w:rPr>
                          <w:color w:val="4F81BD" w:themeColor="accent1"/>
                          <w:sz w:val="20"/>
                          <w:szCs w:val="20"/>
                        </w:rPr>
                        <w:t xml:space="preserve"> maximum end-to-end latency of 15</w:t>
                      </w:r>
                      <w:r>
                        <w:rPr>
                          <w:color w:val="4F81BD" w:themeColor="accent1"/>
                          <w:sz w:val="20"/>
                          <w:szCs w:val="20"/>
                        </w:rPr>
                        <w:t>0 milliseconds under peak load, p</w:t>
                      </w:r>
                      <w:r w:rsidRPr="00773872">
                        <w:rPr>
                          <w:color w:val="4F81BD" w:themeColor="accent1"/>
                          <w:sz w:val="20"/>
                          <w:szCs w:val="20"/>
                        </w:rPr>
                        <w:t>acket loss should be less than 1% and jitter should be less than 30 milliseconds.</w:t>
                      </w:r>
                      <w:r>
                        <w:rPr>
                          <w:color w:val="4F81BD" w:themeColor="accent1"/>
                          <w:sz w:val="20"/>
                          <w:szCs w:val="20"/>
                        </w:rPr>
                        <w:t xml:space="preserve"> There are limited data networks that can meet this standard to allow consumers who are deaf communicate in their own language.</w:t>
                      </w:r>
                    </w:p>
                  </w:txbxContent>
                </v:textbox>
                <w10:wrap type="square" anchorx="margin" anchory="margin"/>
              </v:rect>
            </w:pict>
          </mc:Fallback>
        </mc:AlternateContent>
      </w:r>
      <w:r w:rsidR="00A027CC">
        <w:t xml:space="preserve">Furthermore </w:t>
      </w:r>
      <w:proofErr w:type="spellStart"/>
      <w:r w:rsidR="00A027CC">
        <w:t>ACCAN</w:t>
      </w:r>
      <w:proofErr w:type="spellEnd"/>
      <w:r w:rsidR="00A027CC">
        <w:t xml:space="preserve"> has concerns about the long term service standards that are offered over </w:t>
      </w:r>
      <w:proofErr w:type="spellStart"/>
      <w:r w:rsidR="00A027CC">
        <w:t>nbn</w:t>
      </w:r>
      <w:proofErr w:type="spellEnd"/>
      <w:r w:rsidR="00A027CC">
        <w:t xml:space="preserve">. The </w:t>
      </w:r>
      <w:r w:rsidR="008B3FE9">
        <w:t xml:space="preserve">objective for the </w:t>
      </w:r>
      <w:proofErr w:type="spellStart"/>
      <w:r w:rsidR="00C0370E">
        <w:t>NBN</w:t>
      </w:r>
      <w:proofErr w:type="spellEnd"/>
      <w:r w:rsidR="008B3FE9">
        <w:t xml:space="preserve"> is set out in the </w:t>
      </w:r>
      <w:r w:rsidR="00C42785">
        <w:t xml:space="preserve">statement of expectations letter, which will provide at least </w:t>
      </w:r>
      <w:proofErr w:type="spellStart"/>
      <w:r w:rsidR="00C42785">
        <w:t>25Mbps</w:t>
      </w:r>
      <w:proofErr w:type="spellEnd"/>
      <w:r w:rsidR="00C0370E">
        <w:t xml:space="preserve"> download speeds</w:t>
      </w:r>
      <w:r w:rsidR="00C42785">
        <w:t xml:space="preserve"> to all premises.</w:t>
      </w:r>
      <w:r w:rsidR="00C42785">
        <w:rPr>
          <w:rStyle w:val="FootnoteReference"/>
        </w:rPr>
        <w:footnoteReference w:id="31"/>
      </w:r>
      <w:r w:rsidR="00C42785">
        <w:t xml:space="preserve"> </w:t>
      </w:r>
      <w:r w:rsidR="00511CBF">
        <w:t xml:space="preserve">There is no guarantee that the policy objective will not change over time which will reduce the objective or the service will continue to be improved as needs develop, </w:t>
      </w:r>
      <w:r w:rsidR="00A027CC">
        <w:t>especially those receiving s</w:t>
      </w:r>
      <w:r w:rsidR="00C12C2E">
        <w:t xml:space="preserve">atellite services, which has a lifespan of about 15 years. The </w:t>
      </w:r>
      <w:proofErr w:type="spellStart"/>
      <w:r w:rsidR="00C12C2E">
        <w:t>nbn</w:t>
      </w:r>
      <w:proofErr w:type="spellEnd"/>
      <w:r w:rsidR="00C12C2E">
        <w:t xml:space="preserve"> will address infrastructure availability for these consumers in the immediate timeframe but there is no certain</w:t>
      </w:r>
      <w:r w:rsidR="00C42785">
        <w:t>ty</w:t>
      </w:r>
      <w:r w:rsidR="00C12C2E">
        <w:t xml:space="preserve"> that this will continue into the long term. </w:t>
      </w:r>
    </w:p>
    <w:p w:rsidR="00893E08" w:rsidRDefault="00893E08" w:rsidP="003C0288">
      <w:pPr>
        <w:pStyle w:val="Heading2"/>
      </w:pPr>
      <w:bookmarkStart w:id="18" w:name="_Toc457563436"/>
      <w:r>
        <w:t>Data service</w:t>
      </w:r>
      <w:bookmarkEnd w:id="18"/>
      <w:r w:rsidR="003A3164" w:rsidRPr="003A3164">
        <w:rPr>
          <w:rFonts w:asciiTheme="minorHAnsi" w:eastAsiaTheme="minorHAnsi" w:hAnsiTheme="minorHAnsi" w:cstheme="minorBidi"/>
          <w:noProof/>
          <w:sz w:val="22"/>
          <w:szCs w:val="22"/>
          <w:lang w:val="en-IE" w:eastAsia="en-IE"/>
        </w:rPr>
        <w:t xml:space="preserve"> </w:t>
      </w:r>
    </w:p>
    <w:p w:rsidR="00C12C2E" w:rsidRPr="003A3164" w:rsidRDefault="008B3FE9" w:rsidP="00C12C2E">
      <w:r>
        <w:t>All consumers should be reasonabl</w:t>
      </w:r>
      <w:r w:rsidR="00C0370E">
        <w:t>y</w:t>
      </w:r>
      <w:r>
        <w:t xml:space="preserve"> able to access data services</w:t>
      </w:r>
      <w:r w:rsidR="00C0370E">
        <w:t>.</w:t>
      </w:r>
      <w:r>
        <w:t xml:space="preserve"> </w:t>
      </w:r>
      <w:r w:rsidR="00C0370E">
        <w:t>Access</w:t>
      </w:r>
      <w:r>
        <w:t xml:space="preserve"> should not be guaranteed to only </w:t>
      </w:r>
      <w:r w:rsidR="00C0370E">
        <w:t xml:space="preserve">certain </w:t>
      </w:r>
      <w:r>
        <w:t xml:space="preserve">user groups. </w:t>
      </w:r>
      <w:r w:rsidR="003C0288">
        <w:t xml:space="preserve">Data needs to </w:t>
      </w:r>
      <w:r w:rsidR="00846990">
        <w:t xml:space="preserve">be </w:t>
      </w:r>
      <w:r w:rsidR="003C0288">
        <w:t xml:space="preserve">defined in terms </w:t>
      </w:r>
      <w:r w:rsidR="00846990">
        <w:t>of minimum technical standards</w:t>
      </w:r>
      <w:r w:rsidR="00C12C2E" w:rsidRPr="003A3164">
        <w:t xml:space="preserve"> which all services must </w:t>
      </w:r>
      <w:r w:rsidR="00134741" w:rsidRPr="003A3164">
        <w:t>meet to</w:t>
      </w:r>
      <w:r w:rsidR="00C12C2E" w:rsidRPr="003A3164">
        <w:t xml:space="preserve"> ensure that </w:t>
      </w:r>
      <w:r w:rsidR="00B55C1E">
        <w:t xml:space="preserve">consistent </w:t>
      </w:r>
      <w:r w:rsidR="00C12C2E" w:rsidRPr="003A3164">
        <w:t>services are offered equitabl</w:t>
      </w:r>
      <w:r w:rsidR="00B55C1E">
        <w:t>y</w:t>
      </w:r>
      <w:r w:rsidR="00C12C2E" w:rsidRPr="003A3164">
        <w:t xml:space="preserve"> across providers, technology and geographical areas. </w:t>
      </w:r>
      <w:r w:rsidR="005855FF">
        <w:t>This</w:t>
      </w:r>
      <w:r w:rsidR="00B55C1E">
        <w:t xml:space="preserve"> definition</w:t>
      </w:r>
      <w:r w:rsidR="005855FF">
        <w:t xml:space="preserve"> should be broader than a minimum download speed, as this does</w:t>
      </w:r>
      <w:r w:rsidR="005855FF" w:rsidRPr="003A3164">
        <w:t xml:space="preserve"> not take into consideration what people can do with the connection, which is dependent on other technical features such as upload speeds and latency.</w:t>
      </w:r>
      <w:r w:rsidR="00B04464">
        <w:t xml:space="preserve"> </w:t>
      </w:r>
    </w:p>
    <w:p w:rsidR="009A330D" w:rsidRDefault="00846990" w:rsidP="009A330D">
      <w:r>
        <w:t>This define</w:t>
      </w:r>
      <w:r w:rsidR="00B55C1E">
        <w:t>d</w:t>
      </w:r>
      <w:r>
        <w:t xml:space="preserve"> data service should</w:t>
      </w:r>
      <w:r w:rsidR="005D3EA4">
        <w:t xml:space="preserve"> </w:t>
      </w:r>
      <w:r w:rsidR="003C0288">
        <w:t>take into consideration the</w:t>
      </w:r>
      <w:r w:rsidR="005D3EA4">
        <w:t xml:space="preserve"> applications that consumers need to use. Applications such as voice and video relay service</w:t>
      </w:r>
      <w:r w:rsidR="005855FF">
        <w:t xml:space="preserve">, particularly </w:t>
      </w:r>
      <w:r w:rsidR="005855FF">
        <w:rPr>
          <w:rFonts w:eastAsia="Times New Roman"/>
        </w:rPr>
        <w:t>important</w:t>
      </w:r>
      <w:r w:rsidR="007C7843">
        <w:rPr>
          <w:rFonts w:eastAsia="Times New Roman"/>
        </w:rPr>
        <w:t xml:space="preserve"> in education and</w:t>
      </w:r>
      <w:r w:rsidR="005855FF">
        <w:rPr>
          <w:rFonts w:eastAsia="Times New Roman"/>
        </w:rPr>
        <w:t xml:space="preserve"> for people with disabilities,</w:t>
      </w:r>
      <w:r w:rsidR="005D3EA4">
        <w:t xml:space="preserve"> are a basic requirement</w:t>
      </w:r>
      <w:r w:rsidR="005855FF">
        <w:t xml:space="preserve"> for consumers and</w:t>
      </w:r>
      <w:r w:rsidR="003C0288">
        <w:t xml:space="preserve"> need a reliable and high quality service to ensure that they function (see box).</w:t>
      </w:r>
      <w:r w:rsidR="003C0288">
        <w:rPr>
          <w:rStyle w:val="FootnoteReference"/>
        </w:rPr>
        <w:footnoteReference w:id="32"/>
      </w:r>
      <w:r w:rsidR="003C0288">
        <w:t xml:space="preserve"> </w:t>
      </w:r>
      <w:r w:rsidR="005855FF">
        <w:t xml:space="preserve"> </w:t>
      </w:r>
      <w:r w:rsidR="005855FF">
        <w:rPr>
          <w:rFonts w:eastAsia="Times New Roman"/>
        </w:rPr>
        <w:t xml:space="preserve">Currently </w:t>
      </w:r>
      <w:r w:rsidR="007C7843">
        <w:rPr>
          <w:rFonts w:eastAsia="Times New Roman"/>
        </w:rPr>
        <w:t>S</w:t>
      </w:r>
      <w:r w:rsidR="00EA26DE">
        <w:rPr>
          <w:rFonts w:eastAsia="Times New Roman"/>
        </w:rPr>
        <w:t xml:space="preserve">chool of the </w:t>
      </w:r>
      <w:r w:rsidR="007C7843">
        <w:rPr>
          <w:rFonts w:eastAsia="Times New Roman"/>
        </w:rPr>
        <w:t>A</w:t>
      </w:r>
      <w:r w:rsidR="00EA26DE">
        <w:rPr>
          <w:rFonts w:eastAsia="Times New Roman"/>
        </w:rPr>
        <w:t xml:space="preserve">ir children, using </w:t>
      </w:r>
      <w:proofErr w:type="spellStart"/>
      <w:r w:rsidR="00EA26DE">
        <w:rPr>
          <w:rFonts w:eastAsia="Times New Roman"/>
        </w:rPr>
        <w:t>nbn</w:t>
      </w:r>
      <w:proofErr w:type="spellEnd"/>
      <w:r w:rsidR="00EA26DE">
        <w:rPr>
          <w:rFonts w:eastAsia="Times New Roman"/>
        </w:rPr>
        <w:t xml:space="preserve"> Sky Muster services</w:t>
      </w:r>
      <w:r w:rsidR="005855FF">
        <w:rPr>
          <w:rFonts w:eastAsia="Times New Roman"/>
        </w:rPr>
        <w:t>,</w:t>
      </w:r>
      <w:r w:rsidR="00EA26DE">
        <w:rPr>
          <w:rFonts w:eastAsia="Times New Roman"/>
        </w:rPr>
        <w:t xml:space="preserve"> are using </w:t>
      </w:r>
      <w:r w:rsidR="00EA26DE">
        <w:rPr>
          <w:rFonts w:eastAsia="Times New Roman"/>
        </w:rPr>
        <w:lastRenderedPageBreak/>
        <w:t xml:space="preserve">voice over alternative methods as it is not possible to have a group chat over the Sky Muster service. </w:t>
      </w:r>
      <w:r>
        <w:rPr>
          <w:rFonts w:eastAsia="Times New Roman"/>
        </w:rPr>
        <w:t>Likewise, u</w:t>
      </w:r>
      <w:r w:rsidR="005855FF">
        <w:rPr>
          <w:rFonts w:eastAsia="Times New Roman"/>
        </w:rPr>
        <w:t>pload speeds are also extremely important for small businesses</w:t>
      </w:r>
      <w:r w:rsidR="007C7843">
        <w:t>, p</w:t>
      </w:r>
      <w:r w:rsidR="009A330D">
        <w:t>articularly if the connection is being used for multiple core functions in the premise</w:t>
      </w:r>
      <w:r w:rsidR="00B55C1E">
        <w:t>s</w:t>
      </w:r>
      <w:r w:rsidR="007C7843">
        <w:t>. These functions might include</w:t>
      </w:r>
      <w:r w:rsidR="009A330D">
        <w:t xml:space="preserve"> using cloud applications for the functioning of a small business, backing up of data to the cloud, health</w:t>
      </w:r>
      <w:r w:rsidR="007C7843">
        <w:t xml:space="preserve"> monitoring</w:t>
      </w:r>
      <w:r w:rsidR="009A330D">
        <w:t xml:space="preserve">, </w:t>
      </w:r>
      <w:r w:rsidR="007C7843">
        <w:t xml:space="preserve">and </w:t>
      </w:r>
      <w:r w:rsidR="009A330D">
        <w:t xml:space="preserve">the constant connection updating of applications for a range of devices connected to the </w:t>
      </w:r>
      <w:proofErr w:type="spellStart"/>
      <w:r w:rsidR="009A330D">
        <w:t>internet</w:t>
      </w:r>
      <w:proofErr w:type="spellEnd"/>
      <w:r w:rsidR="009A330D">
        <w:t xml:space="preserve">. </w:t>
      </w:r>
    </w:p>
    <w:p w:rsidR="009A330D" w:rsidRDefault="009A330D" w:rsidP="00776FE1">
      <w:pPr>
        <w:pStyle w:val="Heading2"/>
      </w:pPr>
      <w:bookmarkStart w:id="19" w:name="_Toc457563437"/>
      <w:r>
        <w:t>Retail service</w:t>
      </w:r>
      <w:r w:rsidR="004B34E2">
        <w:t xml:space="preserve"> provider</w:t>
      </w:r>
      <w:bookmarkEnd w:id="19"/>
      <w:r w:rsidR="00134741">
        <w:t xml:space="preserve"> obligation</w:t>
      </w:r>
    </w:p>
    <w:p w:rsidR="002669B6" w:rsidRDefault="009A330D" w:rsidP="005D3EA4">
      <w:r>
        <w:t xml:space="preserve">The open access </w:t>
      </w:r>
      <w:r w:rsidR="00C74FB3">
        <w:t xml:space="preserve">and design of </w:t>
      </w:r>
      <w:proofErr w:type="spellStart"/>
      <w:r w:rsidR="00505C16">
        <w:t>NBN</w:t>
      </w:r>
      <w:proofErr w:type="spellEnd"/>
      <w:r>
        <w:t xml:space="preserve"> mean</w:t>
      </w:r>
      <w:r w:rsidR="00C74FB3">
        <w:t>s</w:t>
      </w:r>
      <w:r>
        <w:t xml:space="preserve"> that there are very few reasons why a consumer would not be able to access a retail provider</w:t>
      </w:r>
      <w:r w:rsidR="00846990">
        <w:t xml:space="preserve"> or voice and/or data service</w:t>
      </w:r>
      <w:r w:rsidR="00C74FB3">
        <w:t xml:space="preserve"> over the </w:t>
      </w:r>
      <w:proofErr w:type="spellStart"/>
      <w:r w:rsidR="00C74FB3">
        <w:t>NBN</w:t>
      </w:r>
      <w:proofErr w:type="spellEnd"/>
      <w:r>
        <w:t xml:space="preserve">. </w:t>
      </w:r>
      <w:r w:rsidR="00505C16">
        <w:t xml:space="preserve">Currently there are a number of providers who are offering these services standalone or bundled. </w:t>
      </w:r>
      <w:r w:rsidR="00C74FB3">
        <w:t>Potentially this may occur because of f</w:t>
      </w:r>
      <w:r>
        <w:t xml:space="preserve">ailure of a </w:t>
      </w:r>
      <w:r w:rsidR="00C74FB3">
        <w:t>company,</w:t>
      </w:r>
      <w:r>
        <w:t xml:space="preserve"> </w:t>
      </w:r>
      <w:r w:rsidR="00370A4D">
        <w:t>which may leave consumers vulnerable to not having a service provider</w:t>
      </w:r>
      <w:r w:rsidR="00C74FB3">
        <w:t>, or the needs of the consumer being more complicated</w:t>
      </w:r>
      <w:r w:rsidR="00846990">
        <w:t xml:space="preserve"> to service</w:t>
      </w:r>
      <w:r w:rsidR="00370A4D">
        <w:t xml:space="preserve">. </w:t>
      </w:r>
    </w:p>
    <w:p w:rsidR="009A330D" w:rsidRDefault="00846990" w:rsidP="005D3EA4">
      <w:r>
        <w:t>This occurred in 2014 with the failure of the provider One Senior. Consumers of this provider, many of which were vulnerable, were left without services almost immediately and without notice.</w:t>
      </w:r>
      <w:r>
        <w:rPr>
          <w:rStyle w:val="FootnoteReference"/>
        </w:rPr>
        <w:footnoteReference w:id="33"/>
      </w:r>
      <w:r>
        <w:t xml:space="preserve"> The responsibility was on these consumers to find a new service provider. Many con</w:t>
      </w:r>
      <w:r w:rsidR="00505C16">
        <w:t>sumers faced financial and emotional distress, with</w:t>
      </w:r>
      <w:r>
        <w:t xml:space="preserve"> many</w:t>
      </w:r>
      <w:r w:rsidR="00511CBF">
        <w:t xml:space="preserve"> also</w:t>
      </w:r>
      <w:r>
        <w:t xml:space="preserve"> </w:t>
      </w:r>
      <w:r w:rsidR="00505C16">
        <w:t>losing their phone number.</w:t>
      </w:r>
      <w:r w:rsidR="00505C16">
        <w:rPr>
          <w:rStyle w:val="FootnoteReference"/>
        </w:rPr>
        <w:footnoteReference w:id="34"/>
      </w:r>
      <w:r w:rsidR="00505C16">
        <w:t xml:space="preserve"> </w:t>
      </w:r>
      <w:r w:rsidR="00C74FB3">
        <w:t xml:space="preserve">To counter this potential </w:t>
      </w:r>
      <w:r w:rsidR="008B3FE9">
        <w:t xml:space="preserve">risk </w:t>
      </w:r>
      <w:r w:rsidR="00C74FB3">
        <w:t xml:space="preserve">a </w:t>
      </w:r>
      <w:r w:rsidR="00370A4D">
        <w:t>retail service provider(s) of last resort</w:t>
      </w:r>
      <w:r w:rsidR="009A330D">
        <w:t xml:space="preserve"> </w:t>
      </w:r>
      <w:r w:rsidR="00370A4D">
        <w:t xml:space="preserve">should be </w:t>
      </w:r>
      <w:r w:rsidR="00511CBF">
        <w:t>established</w:t>
      </w:r>
      <w:r w:rsidR="00370A4D">
        <w:t>. Similar to the energy sector, there could be a number of providers that may opt to perform this role.</w:t>
      </w:r>
      <w:r w:rsidR="00C74FB3">
        <w:rPr>
          <w:rStyle w:val="FootnoteReference"/>
        </w:rPr>
        <w:footnoteReference w:id="35"/>
      </w:r>
      <w:r w:rsidR="00370A4D">
        <w:t xml:space="preserve"> </w:t>
      </w:r>
      <w:r w:rsidR="009A330D">
        <w:t xml:space="preserve">A retail provider of last resort </w:t>
      </w:r>
      <w:r w:rsidR="005855FF">
        <w:t xml:space="preserve">obligation for data and voice services may not be a burden on a provider as they are gaining the service and the revenue through increased customer numbers. </w:t>
      </w:r>
      <w:r w:rsidR="00505C16">
        <w:t>Subsequently there is little justification for a subsidy to perform this role.</w:t>
      </w:r>
    </w:p>
    <w:p w:rsidR="009A330D" w:rsidRDefault="009A330D" w:rsidP="00776FE1">
      <w:pPr>
        <w:pStyle w:val="Heading2"/>
      </w:pPr>
      <w:bookmarkStart w:id="20" w:name="_Toc457563438"/>
      <w:r>
        <w:t>Mobility</w:t>
      </w:r>
      <w:r w:rsidR="00C74FB3">
        <w:t xml:space="preserve"> and technology neutrality</w:t>
      </w:r>
      <w:bookmarkEnd w:id="20"/>
      <w:r w:rsidR="00893E08" w:rsidRPr="00893E08">
        <w:rPr>
          <w:noProof/>
          <w:lang w:val="en-IE" w:eastAsia="en-IE"/>
        </w:rPr>
        <w:t xml:space="preserve"> </w:t>
      </w:r>
    </w:p>
    <w:p w:rsidR="009A330D" w:rsidRDefault="00AA151E" w:rsidP="00AA151E">
      <w:r>
        <w:t>Accesses to mobile services are</w:t>
      </w:r>
      <w:r w:rsidR="009A330D">
        <w:t xml:space="preserve"> vitally important.</w:t>
      </w:r>
      <w:r w:rsidR="00180404">
        <w:t xml:space="preserve"> </w:t>
      </w:r>
      <w:r w:rsidR="00180404" w:rsidRPr="00180404">
        <w:rPr>
          <w:rFonts w:eastAsia="Times New Roman"/>
          <w:lang w:eastAsia="en-US"/>
        </w:rPr>
        <w:t>Mobile services are important for safety, as indicated by the number of calls to Triple Zero</w:t>
      </w:r>
      <w:r w:rsidR="007C7843">
        <w:rPr>
          <w:rFonts w:eastAsia="Times New Roman"/>
          <w:lang w:eastAsia="en-US"/>
        </w:rPr>
        <w:t>,</w:t>
      </w:r>
      <w:r w:rsidR="00180404" w:rsidRPr="00180404">
        <w:rPr>
          <w:rFonts w:eastAsia="Times New Roman"/>
          <w:vertAlign w:val="superscript"/>
          <w:lang w:eastAsia="en-US"/>
        </w:rPr>
        <w:footnoteReference w:id="36"/>
      </w:r>
      <w:r w:rsidR="00180404" w:rsidRPr="00180404">
        <w:rPr>
          <w:rFonts w:eastAsia="Times New Roman"/>
          <w:lang w:eastAsia="en-US"/>
        </w:rPr>
        <w:t xml:space="preserve"> and mobility is a key factor in </w:t>
      </w:r>
      <w:proofErr w:type="spellStart"/>
      <w:r w:rsidR="00180404" w:rsidRPr="00180404">
        <w:rPr>
          <w:rFonts w:eastAsia="Times New Roman"/>
          <w:lang w:eastAsia="en-US"/>
        </w:rPr>
        <w:t>connectability</w:t>
      </w:r>
      <w:proofErr w:type="spellEnd"/>
      <w:r w:rsidR="00180404" w:rsidRPr="00180404">
        <w:rPr>
          <w:rFonts w:eastAsia="Times New Roman"/>
          <w:lang w:eastAsia="en-US"/>
        </w:rPr>
        <w:t>.</w:t>
      </w:r>
      <w:r w:rsidR="00180404" w:rsidRPr="00180404">
        <w:t xml:space="preserve"> </w:t>
      </w:r>
      <w:r w:rsidR="00180404" w:rsidRPr="00180404">
        <w:rPr>
          <w:rFonts w:eastAsia="Times New Roman"/>
          <w:lang w:eastAsia="en-US"/>
        </w:rPr>
        <w:t>Furthermore mobile services may be preferred to fixed broadband among many low income consumers. 23% of households with incomes of less than $40,000 had mobile only broadband, compared to 9% in households with income over $120,000</w:t>
      </w:r>
      <w:r w:rsidR="00180404" w:rsidRPr="00180404">
        <w:rPr>
          <w:rFonts w:eastAsia="Times New Roman"/>
          <w:b/>
          <w:i/>
          <w:lang w:eastAsia="en-US"/>
        </w:rPr>
        <w:t>.</w:t>
      </w:r>
      <w:r w:rsidR="00180404" w:rsidRPr="00180404">
        <w:rPr>
          <w:rFonts w:eastAsia="Times New Roman"/>
          <w:vertAlign w:val="superscript"/>
          <w:lang w:eastAsia="en-US"/>
        </w:rPr>
        <w:footnoteReference w:id="37"/>
      </w:r>
      <w:r w:rsidR="00511CBF" w:rsidRPr="00511CBF">
        <w:rPr>
          <w:noProof/>
          <w:lang w:val="en-IE" w:eastAsia="en-IE"/>
        </w:rPr>
        <w:t xml:space="preserve"> </w:t>
      </w:r>
    </w:p>
    <w:p w:rsidR="00AA151E" w:rsidRDefault="00511CBF" w:rsidP="00AA151E">
      <w:r>
        <w:rPr>
          <w:noProof/>
        </w:rPr>
        <w:lastRenderedPageBreak/>
        <mc:AlternateContent>
          <mc:Choice Requires="wps">
            <w:drawing>
              <wp:anchor distT="91440" distB="91440" distL="114300" distR="114300" simplePos="0" relativeHeight="251683840" behindDoc="0" locked="0" layoutInCell="0" allowOverlap="1" wp14:anchorId="37D9D395" wp14:editId="3A96C862">
                <wp:simplePos x="0" y="0"/>
                <wp:positionH relativeFrom="margin">
                  <wp:posOffset>3677285</wp:posOffset>
                </wp:positionH>
                <wp:positionV relativeFrom="margin">
                  <wp:posOffset>322580</wp:posOffset>
                </wp:positionV>
                <wp:extent cx="2239010" cy="2120900"/>
                <wp:effectExtent l="38100" t="38100" r="107950" b="138430"/>
                <wp:wrapSquare wrapText="bothSides"/>
                <wp:docPr id="8"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39010" cy="2120900"/>
                        </a:xfrm>
                        <a:prstGeom prst="rect">
                          <a:avLst/>
                        </a:prstGeom>
                        <a:solidFill>
                          <a:sysClr val="window" lastClr="FFFFFF"/>
                        </a:solidFill>
                        <a:ln w="19050">
                          <a:solidFill>
                            <a:sysClr val="windowText" lastClr="000000">
                              <a:lumMod val="50000"/>
                              <a:lumOff val="50000"/>
                            </a:sysClr>
                          </a:solidFill>
                          <a:miter lim="800000"/>
                          <a:headEnd/>
                          <a:tailEnd/>
                        </a:ln>
                        <a:effectLst>
                          <a:outerShdw blurRad="50800" dist="38100" dir="2700000" sx="100500" sy="100500" algn="tl" rotWithShape="0">
                            <a:prstClr val="black">
                              <a:alpha val="40000"/>
                            </a:prstClr>
                          </a:outerShdw>
                        </a:effectLst>
                      </wps:spPr>
                      <wps:txbx>
                        <w:txbxContent>
                          <w:p w:rsidR="00B6196A" w:rsidRDefault="00B6196A" w:rsidP="00511CBF">
                            <w:pPr>
                              <w:rPr>
                                <w:color w:val="4F81BD" w:themeColor="accent1"/>
                                <w:sz w:val="20"/>
                                <w:szCs w:val="20"/>
                              </w:rPr>
                            </w:pPr>
                            <w:r w:rsidRPr="00AA151E">
                              <w:rPr>
                                <w:color w:val="4F81BD" w:themeColor="accent1"/>
                                <w:sz w:val="20"/>
                                <w:szCs w:val="20"/>
                              </w:rPr>
                              <w:t xml:space="preserve">Clare Public School is </w:t>
                            </w:r>
                            <w:proofErr w:type="spellStart"/>
                            <w:r w:rsidRPr="00AA151E">
                              <w:rPr>
                                <w:color w:val="4F81BD" w:themeColor="accent1"/>
                                <w:sz w:val="20"/>
                                <w:szCs w:val="20"/>
                              </w:rPr>
                              <w:t>155km</w:t>
                            </w:r>
                            <w:proofErr w:type="spellEnd"/>
                            <w:r w:rsidRPr="00AA151E">
                              <w:rPr>
                                <w:color w:val="4F81BD" w:themeColor="accent1"/>
                                <w:sz w:val="20"/>
                                <w:szCs w:val="20"/>
                              </w:rPr>
                              <w:t xml:space="preserve"> from Balranald and consists of a school only </w:t>
                            </w:r>
                            <w:r>
                              <w:rPr>
                                <w:color w:val="4F81BD" w:themeColor="accent1"/>
                                <w:sz w:val="20"/>
                                <w:szCs w:val="20"/>
                              </w:rPr>
                              <w:t>(i</w:t>
                            </w:r>
                            <w:r w:rsidRPr="00AA151E">
                              <w:rPr>
                                <w:color w:val="4F81BD" w:themeColor="accent1"/>
                                <w:sz w:val="20"/>
                                <w:szCs w:val="20"/>
                              </w:rPr>
                              <w:t>t is not part of a town</w:t>
                            </w:r>
                            <w:r>
                              <w:rPr>
                                <w:color w:val="4F81BD" w:themeColor="accent1"/>
                                <w:sz w:val="20"/>
                                <w:szCs w:val="20"/>
                              </w:rPr>
                              <w:t>)</w:t>
                            </w:r>
                            <w:r w:rsidRPr="00AA151E">
                              <w:rPr>
                                <w:color w:val="4F81BD" w:themeColor="accent1"/>
                                <w:sz w:val="20"/>
                                <w:szCs w:val="20"/>
                              </w:rPr>
                              <w:t xml:space="preserve">. In the event of bushfires and other natural disasters, Clare Public School is the emergency evacuation point and, as the centre of the community, holds the Royal Flying Doctor medical chest and a defibrillator in case of a medical emergency. Unfortunately, Clare Public School has no mobile phone coverage and coverage cuts out about </w:t>
                            </w:r>
                            <w:proofErr w:type="spellStart"/>
                            <w:r w:rsidRPr="00AA151E">
                              <w:rPr>
                                <w:color w:val="4F81BD" w:themeColor="accent1"/>
                                <w:sz w:val="20"/>
                                <w:szCs w:val="20"/>
                              </w:rPr>
                              <w:t>120kms</w:t>
                            </w:r>
                            <w:proofErr w:type="spellEnd"/>
                            <w:r w:rsidRPr="00AA151E">
                              <w:rPr>
                                <w:color w:val="4F81BD" w:themeColor="accent1"/>
                                <w:sz w:val="20"/>
                                <w:szCs w:val="20"/>
                              </w:rPr>
                              <w:t xml:space="preserve"> away from the school if traveling by road from Balranald. As there is also a teacher’s residence at the school and a visiting teacher’s residence, mobile connectivity would enhance access to online services for traveling staff and also for teachers who live on site. By default, students would </w:t>
                            </w:r>
                            <w:r>
                              <w:rPr>
                                <w:color w:val="4F81BD" w:themeColor="accent1"/>
                                <w:sz w:val="20"/>
                                <w:szCs w:val="20"/>
                              </w:rPr>
                              <w:t xml:space="preserve">also </w:t>
                            </w:r>
                            <w:r w:rsidRPr="00AA151E">
                              <w:rPr>
                                <w:color w:val="4F81BD" w:themeColor="accent1"/>
                                <w:sz w:val="20"/>
                                <w:szCs w:val="20"/>
                              </w:rPr>
                              <w:t>benefit from enhanced mobile connectivity.</w:t>
                            </w:r>
                          </w:p>
                        </w:txbxContent>
                      </wps:txbx>
                      <wps:bodyPr rot="0" vert="horz" wrap="square" lIns="274320" tIns="274320" rIns="274320" bIns="274320" anchor="ctr" anchorCtr="0">
                        <a:spAutoFit/>
                      </wps:bodyPr>
                    </wps:wsp>
                  </a:graphicData>
                </a:graphic>
                <wp14:sizeRelH relativeFrom="margin">
                  <wp14:pctWidth>40000</wp14:pctWidth>
                </wp14:sizeRelH>
                <wp14:sizeRelV relativeFrom="page">
                  <wp14:pctHeight>0</wp14:pctHeight>
                </wp14:sizeRelV>
              </wp:anchor>
            </w:drawing>
          </mc:Choice>
          <mc:Fallback>
            <w:pict>
              <v:rect id="_x0000_s1029" style="position:absolute;left:0;text-align:left;margin-left:289.55pt;margin-top:25.4pt;width:176.3pt;height:167pt;flip:x;z-index:251683840;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sQIAAH8FAAAOAAAAZHJzL2Uyb0RvYy54bWysVF1v2yAUfZ+0/4B4X+04/UpUp6raZZvU&#10;bVXbac8Y4xgVAwMSJ/31O+A0Tdq3aX6wuHwc7rnncC8u150iK+G8NLqko6OcEqG5qaVelPTX4/zT&#10;OSU+MF0zZbQo6UZ4ejn7+OGit1NRmNaoWjgCEO2nvS1pG4KdZpnnreiYPzJWaCw2xnUsIHSLrHas&#10;B3qnsiLPT7PeuNo6w4X3mL0ZFuks4TeN4OFn03gRiCopcgvp79K/iv9sdsGmC8dsK/k2DfYPWXRM&#10;aly6g7phgZGlk++gOsmd8aYJR9x0mWkayUXiADaj/A2bh5ZZkbigON7uyuT/Hyz/sbpzRNYlhVCa&#10;dZDoHkVjeqEEGU9OY4F666fY92DvXKTo7a3hT55oc91in7hyzvStYDXSGsX92cGBGHgcJVX/3dTA&#10;Z8tgUq3WjetIo6T9Gg9GaNSDrJM4m504Yh0Ix2RRjCcoESUca8WoyCd5ki9j0wgUj1vnwxdhOhIH&#10;JXUgkmDZ6taHmNjrlkTEKFnPpVIp2Phr5ciKwSjwV216ShTzAZMlnacvcQP//WNKkx7ZT/KTPF11&#10;sOjfYT6CzR5unr50UC07lGe4/yROD9bENAz8Zho8BuhE6eDKTga8JyU7CDqAJ4dHeT7rOo0Dk2oY&#10;A0fpSF6kl4IixcAsAfHQ1j2p1NLdM3jjJAcYJbWMZR2fj4YAhSnOhkuIh0KYRuZ47xDoZczUAn0h&#10;KEqcCb9laJOno7jxqqjTruqVYvxp0EvZlg2cj19KsdUOuxPpXZIp2ss/mS/6bfBtWFfrZO/xi5Mr&#10;U2/gRqSTjIbehUFr3DMlPfpASf2fJXMCKn3TcHRxdjwuYuc4iNxBVB1ETHPAlZQHR8kQXAfEW4PY&#10;K/h/LpMf49sY8gGNGOCVJ0LbjhTbyH6cdr32zdlfAAAA//8DAFBLAwQUAAYACAAAACEAkcKvCuEA&#10;AAAKAQAADwAAAGRycy9kb3ducmV2LnhtbEyPwU7DMAyG70i8Q2QkLoil6YB2pek0ISGh3diGxDFt&#10;TFNokqrJuu7t8U5ws+VPv7+/XM+2ZxOOofNOglgkwNA1XneulXDYv97nwEJUTqveO5RwxgDr6vqq&#10;VIX2J/eO0y62jEJcKJQEE+NQcB4ag1aFhR/Q0e3Lj1ZFWseW61GdKNz2PE2SJ25V5+iDUQO+GGx+&#10;dkcrIVMHs6+n7af4TtuPt82dOKfYS3l7M2+egUWc4x8MF31Sh4qcan90OrBewmO2EoTSkFAFAlZL&#10;kQGrJSzzhxx4VfL/FapfAAAA//8DAFBLAQItABQABgAIAAAAIQC2gziS/gAAAOEBAAATAAAAAAAA&#10;AAAAAAAAAAAAAABbQ29udGVudF9UeXBlc10ueG1sUEsBAi0AFAAGAAgAAAAhADj9If/WAAAAlAEA&#10;AAsAAAAAAAAAAAAAAAAALwEAAF9yZWxzLy5yZWxzUEsBAi0AFAAGAAgAAAAhAH5z6FexAgAAfwUA&#10;AA4AAAAAAAAAAAAAAAAALgIAAGRycy9lMm9Eb2MueG1sUEsBAi0AFAAGAAgAAAAhAJHCrwrhAAAA&#10;CgEAAA8AAAAAAAAAAAAAAAAACwUAAGRycy9kb3ducmV2LnhtbFBLBQYAAAAABAAEAPMAAAAZBgAA&#10;AAA=&#10;" o:allowincell="f" fillcolor="window" strokecolor="#7f7f7f" strokeweight="1.5pt">
                <v:shadow on="t" type="perspective" color="black" opacity="26214f" origin="-.5,-.5" offset=".74836mm,.74836mm" matrix="65864f,,,65864f"/>
                <v:textbox style="mso-fit-shape-to-text:t" inset="21.6pt,21.6pt,21.6pt,21.6pt">
                  <w:txbxContent>
                    <w:p w:rsidR="00B6196A" w:rsidRDefault="00B6196A" w:rsidP="00511CBF">
                      <w:pPr>
                        <w:rPr>
                          <w:color w:val="4F81BD" w:themeColor="accent1"/>
                          <w:sz w:val="20"/>
                          <w:szCs w:val="20"/>
                        </w:rPr>
                      </w:pPr>
                      <w:r w:rsidRPr="00AA151E">
                        <w:rPr>
                          <w:color w:val="4F81BD" w:themeColor="accent1"/>
                          <w:sz w:val="20"/>
                          <w:szCs w:val="20"/>
                        </w:rPr>
                        <w:t xml:space="preserve">Clare Public School is 155km from Balranald and consists of a school only </w:t>
                      </w:r>
                      <w:r>
                        <w:rPr>
                          <w:color w:val="4F81BD" w:themeColor="accent1"/>
                          <w:sz w:val="20"/>
                          <w:szCs w:val="20"/>
                        </w:rPr>
                        <w:t>(i</w:t>
                      </w:r>
                      <w:r w:rsidRPr="00AA151E">
                        <w:rPr>
                          <w:color w:val="4F81BD" w:themeColor="accent1"/>
                          <w:sz w:val="20"/>
                          <w:szCs w:val="20"/>
                        </w:rPr>
                        <w:t>t is not part of a town</w:t>
                      </w:r>
                      <w:r>
                        <w:rPr>
                          <w:color w:val="4F81BD" w:themeColor="accent1"/>
                          <w:sz w:val="20"/>
                          <w:szCs w:val="20"/>
                        </w:rPr>
                        <w:t>)</w:t>
                      </w:r>
                      <w:r w:rsidRPr="00AA151E">
                        <w:rPr>
                          <w:color w:val="4F81BD" w:themeColor="accent1"/>
                          <w:sz w:val="20"/>
                          <w:szCs w:val="20"/>
                        </w:rPr>
                        <w:t xml:space="preserve">. In the event of bushfires and other natural disasters, Clare Public School is the emergency evacuation point and, as the centre of the community, holds the Royal Flying Doctor medical chest and a defibrillator in case of a medical emergency. Unfortunately, Clare Public School has no mobile phone coverage and coverage cuts out about 120kms away from the school if traveling by road from Balranald. As there is also a teacher’s residence at the school and a visiting teacher’s residence, mobile connectivity would enhance access to online services for traveling staff and also for teachers who live on site. By default, students would </w:t>
                      </w:r>
                      <w:r>
                        <w:rPr>
                          <w:color w:val="4F81BD" w:themeColor="accent1"/>
                          <w:sz w:val="20"/>
                          <w:szCs w:val="20"/>
                        </w:rPr>
                        <w:t xml:space="preserve">also </w:t>
                      </w:r>
                      <w:r w:rsidRPr="00AA151E">
                        <w:rPr>
                          <w:color w:val="4F81BD" w:themeColor="accent1"/>
                          <w:sz w:val="20"/>
                          <w:szCs w:val="20"/>
                        </w:rPr>
                        <w:t>benefit from enhanced mobile connectivity.</w:t>
                      </w:r>
                    </w:p>
                  </w:txbxContent>
                </v:textbox>
                <w10:wrap type="square" anchorx="margin" anchory="margin"/>
              </v:rect>
            </w:pict>
          </mc:Fallback>
        </mc:AlternateContent>
      </w:r>
      <w:r w:rsidR="009A330D">
        <w:t xml:space="preserve">The </w:t>
      </w:r>
      <w:r w:rsidR="007C7843">
        <w:t>M</w:t>
      </w:r>
      <w:r w:rsidR="009A330D">
        <w:t xml:space="preserve">obile </w:t>
      </w:r>
      <w:r w:rsidR="007C7843">
        <w:t>B</w:t>
      </w:r>
      <w:r w:rsidR="009A330D">
        <w:t xml:space="preserve">lack </w:t>
      </w:r>
      <w:r w:rsidR="007C7843">
        <w:t>S</w:t>
      </w:r>
      <w:r w:rsidR="009A330D">
        <w:t xml:space="preserve">pot </w:t>
      </w:r>
      <w:proofErr w:type="spellStart"/>
      <w:r w:rsidR="007C7843">
        <w:t>P</w:t>
      </w:r>
      <w:r w:rsidR="009A330D">
        <w:t>rogramme</w:t>
      </w:r>
      <w:proofErr w:type="spellEnd"/>
      <w:r w:rsidR="009A330D">
        <w:t xml:space="preserve"> has been very important for consumers</w:t>
      </w:r>
      <w:r w:rsidR="00D33553">
        <w:t>;</w:t>
      </w:r>
      <w:r w:rsidR="00C74FB3">
        <w:t xml:space="preserve"> however, </w:t>
      </w:r>
      <w:r w:rsidR="00505C16">
        <w:t>there have been limitations in how effective it is in delivering competition and choice, despite this being a characteristic of the program</w:t>
      </w:r>
      <w:r w:rsidR="00B55C1E">
        <w:t xml:space="preserve">. We are aware </w:t>
      </w:r>
      <w:r w:rsidR="00134741">
        <w:t>of one</w:t>
      </w:r>
      <w:r w:rsidR="00505C16">
        <w:t xml:space="preserve"> provider </w:t>
      </w:r>
      <w:r w:rsidR="00387413">
        <w:t>not opening</w:t>
      </w:r>
      <w:r w:rsidR="00505C16">
        <w:t xml:space="preserve"> publically funded infrastructure to </w:t>
      </w:r>
      <w:r>
        <w:t>other service providers</w:t>
      </w:r>
      <w:r w:rsidR="00505C16">
        <w:t xml:space="preserve">. </w:t>
      </w:r>
      <w:r w:rsidR="00AA151E">
        <w:t xml:space="preserve">The funding through the Mobile Black Spot </w:t>
      </w:r>
      <w:proofErr w:type="spellStart"/>
      <w:r w:rsidR="00D33553">
        <w:t>P</w:t>
      </w:r>
      <w:r w:rsidR="00AA151E">
        <w:t>rogramme</w:t>
      </w:r>
      <w:proofErr w:type="spellEnd"/>
      <w:r w:rsidR="00AA151E">
        <w:t xml:space="preserve"> and other state and territory programmes ha</w:t>
      </w:r>
      <w:r w:rsidR="00920DA2">
        <w:t>s</w:t>
      </w:r>
      <w:r w:rsidR="00AA151E">
        <w:t xml:space="preserve"> distorted competition and ensured that Telstra remains a monopoly mobile provider in many areas. </w:t>
      </w:r>
    </w:p>
    <w:p w:rsidR="00AA151E" w:rsidRDefault="00C74FB3" w:rsidP="00C74FB3">
      <w:r>
        <w:t>F</w:t>
      </w:r>
      <w:r w:rsidR="009A330D">
        <w:t>urther funding should be provided to increase mobile coverage</w:t>
      </w:r>
      <w:r w:rsidR="00AA151E">
        <w:t xml:space="preserve"> as part of</w:t>
      </w:r>
      <w:r w:rsidR="00180404">
        <w:t xml:space="preserve"> a Universal Service Obligation. Addressing black spot mobile coverage should </w:t>
      </w:r>
      <w:r w:rsidR="00505C16">
        <w:t xml:space="preserve">address the issues that are preventing an increase in mobile coverage, such as a lack of or expensive backhaul. Ideally publically funded infrastructure should </w:t>
      </w:r>
      <w:r w:rsidR="00180404">
        <w:t>be</w:t>
      </w:r>
      <w:r w:rsidR="009A330D">
        <w:t xml:space="preserve"> on a basis of open access networks</w:t>
      </w:r>
      <w:r w:rsidR="00AA151E">
        <w:t xml:space="preserve">, </w:t>
      </w:r>
      <w:r w:rsidR="009A330D">
        <w:t>national roaming</w:t>
      </w:r>
      <w:r w:rsidR="00AA151E">
        <w:t xml:space="preserve"> regulated</w:t>
      </w:r>
      <w:r w:rsidR="00A85E26">
        <w:t>,</w:t>
      </w:r>
      <w:r w:rsidR="00AA151E">
        <w:t xml:space="preserve"> or on the condition that the service is re-sold onto other providers</w:t>
      </w:r>
      <w:r w:rsidR="009A330D">
        <w:t xml:space="preserve"> to ensure that these consumers also have </w:t>
      </w:r>
      <w:r w:rsidR="00AA151E">
        <w:t xml:space="preserve">choice in retail providers. </w:t>
      </w:r>
      <w:r w:rsidR="00505C16">
        <w:t xml:space="preserve">It should also fund important community areas (see box). </w:t>
      </w:r>
      <w:r w:rsidR="00AA151E">
        <w:t xml:space="preserve">Government </w:t>
      </w:r>
      <w:r w:rsidR="00505C16">
        <w:t xml:space="preserve">policy </w:t>
      </w:r>
      <w:r w:rsidR="00AA151E">
        <w:t xml:space="preserve">is seeking to ensure that at least three </w:t>
      </w:r>
      <w:proofErr w:type="spellStart"/>
      <w:r w:rsidR="00A85E26">
        <w:t>internet</w:t>
      </w:r>
      <w:proofErr w:type="spellEnd"/>
      <w:r w:rsidR="00A85E26">
        <w:t xml:space="preserve"> service </w:t>
      </w:r>
      <w:r w:rsidR="00AA151E">
        <w:t xml:space="preserve">retail providers are available in new </w:t>
      </w:r>
      <w:r w:rsidR="00180404">
        <w:t>developments;</w:t>
      </w:r>
      <w:r w:rsidR="00AA151E">
        <w:t xml:space="preserve"> this should also be a requirement of mobile coverage</w:t>
      </w:r>
      <w:r w:rsidR="00387413">
        <w:t xml:space="preserve"> expansion</w:t>
      </w:r>
      <w:r w:rsidR="00AA151E">
        <w:t>.</w:t>
      </w:r>
      <w:r w:rsidR="00AA151E">
        <w:rPr>
          <w:rStyle w:val="FootnoteReference"/>
        </w:rPr>
        <w:footnoteReference w:id="38"/>
      </w:r>
      <w:r>
        <w:t xml:space="preserve"> </w:t>
      </w:r>
    </w:p>
    <w:p w:rsidR="00AD40D0" w:rsidRDefault="00AD40D0" w:rsidP="00AD40D0">
      <w:pPr>
        <w:pStyle w:val="Heading2"/>
      </w:pPr>
      <w:bookmarkStart w:id="21" w:name="_Toc457563439"/>
      <w:r>
        <w:t>Content</w:t>
      </w:r>
      <w:bookmarkEnd w:id="21"/>
    </w:p>
    <w:p w:rsidR="00AD40D0" w:rsidRDefault="00AD40D0" w:rsidP="00AD40D0">
      <w:r>
        <w:t xml:space="preserve">Telecommunication services and the </w:t>
      </w:r>
      <w:proofErr w:type="spellStart"/>
      <w:r>
        <w:t>NBN</w:t>
      </w:r>
      <w:proofErr w:type="spellEnd"/>
      <w:r>
        <w:t xml:space="preserve"> are, and will increasingly be, relied on to deliver other services, such as education and government services. This method of delivery is seen as a better method to interact with citizens, compared to other methods such as in person or postal, and produces cost savings to the Government from doing so.</w:t>
      </w:r>
      <w:r>
        <w:rPr>
          <w:rStyle w:val="FootnoteReference"/>
          <w:lang w:val="en-IE"/>
        </w:rPr>
        <w:footnoteReference w:id="39"/>
      </w:r>
      <w:r>
        <w:rPr>
          <w:lang w:val="en-IE"/>
        </w:rPr>
        <w:t xml:space="preserve"> </w:t>
      </w:r>
      <w:r>
        <w:t>To deliver these</w:t>
      </w:r>
      <w:r w:rsidR="0096509C">
        <w:t xml:space="preserve"> services</w:t>
      </w:r>
      <w:r>
        <w:t xml:space="preserve"> the telecommunications network and household setup need to </w:t>
      </w:r>
      <w:r w:rsidR="0096509C">
        <w:t>meet</w:t>
      </w:r>
      <w:r>
        <w:t xml:space="preserve"> a certain standard</w:t>
      </w:r>
      <w:r w:rsidR="0096509C">
        <w:t xml:space="preserve"> but t</w:t>
      </w:r>
      <w:r>
        <w:t xml:space="preserve">his is not always the case. There may be a number of premises for which the telecommunications network is not up to the standard needed to deliver these services. They may not be able to afford to </w:t>
      </w:r>
      <w:r w:rsidR="00511CBF">
        <w:t>connect to access these services or content</w:t>
      </w:r>
      <w:r w:rsidR="0096509C">
        <w:t>,</w:t>
      </w:r>
      <w:r>
        <w:t xml:space="preserve"> </w:t>
      </w:r>
      <w:r w:rsidR="0096509C">
        <w:t>o</w:t>
      </w:r>
      <w:r>
        <w:t xml:space="preserve">r they may not have the technology (e.g. suitable devices or required software) or plan (e.g. suitable level of data allowance) to complete these online services and tasks. </w:t>
      </w:r>
    </w:p>
    <w:p w:rsidR="00AD40D0" w:rsidRDefault="00AD40D0" w:rsidP="00AD40D0">
      <w:pPr>
        <w:rPr>
          <w:lang w:val="en-US"/>
        </w:rPr>
      </w:pPr>
      <w:r>
        <w:rPr>
          <w:lang w:val="en-US"/>
        </w:rPr>
        <w:t xml:space="preserve">One suggested approach could be the use of zero rating for Government websites (i.e. data is not charged for using these sites). However, this would need to apply to all plans and providers, including mobile networks to ensure equity, which may present a challenge. Furthermore, not all citizens interact or face difficulties interacting to the same level with e-Government and online </w:t>
      </w:r>
      <w:r>
        <w:rPr>
          <w:lang w:val="en-US"/>
        </w:rPr>
        <w:lastRenderedPageBreak/>
        <w:t xml:space="preserve">services. Targeted programs </w:t>
      </w:r>
      <w:r w:rsidR="00341C9B">
        <w:rPr>
          <w:lang w:val="en-US"/>
        </w:rPr>
        <w:t>for</w:t>
      </w:r>
      <w:r>
        <w:rPr>
          <w:lang w:val="en-US"/>
        </w:rPr>
        <w:t xml:space="preserve"> those that face greater </w:t>
      </w:r>
      <w:r w:rsidR="00341C9B">
        <w:rPr>
          <w:lang w:val="en-US"/>
        </w:rPr>
        <w:t>affordability barriers</w:t>
      </w:r>
      <w:r>
        <w:rPr>
          <w:lang w:val="en-US"/>
        </w:rPr>
        <w:t xml:space="preserve"> with interacting may be more beneficial.</w:t>
      </w:r>
      <w:r>
        <w:rPr>
          <w:rStyle w:val="FootnoteReference"/>
          <w:lang w:val="en-US"/>
        </w:rPr>
        <w:footnoteReference w:id="40"/>
      </w:r>
    </w:p>
    <w:p w:rsidR="00AD40D0" w:rsidRPr="00AD40D0" w:rsidRDefault="00AD40D0" w:rsidP="00AD40D0">
      <w:r>
        <w:t>The Digital Transformation Office (</w:t>
      </w:r>
      <w:proofErr w:type="spellStart"/>
      <w:r>
        <w:t>DTO</w:t>
      </w:r>
      <w:proofErr w:type="spellEnd"/>
      <w:r>
        <w:t>) and the body delivering the service may be best placed to establish systems to deal with the delivery of these services.</w:t>
      </w:r>
      <w:r w:rsidRPr="00425DB1">
        <w:t xml:space="preserve"> </w:t>
      </w:r>
      <w:r>
        <w:t xml:space="preserve">They are equipped to play a co-ordinating role, and have a technical understanding of the level of service and equipment and software required. Furthermore, this would require content providers to design services with consumers’ ability to use them in mind. If the delivery of online services requires the use of special equipment </w:t>
      </w:r>
      <w:r w:rsidR="00341C9B">
        <w:t>(e.g.</w:t>
      </w:r>
      <w:r>
        <w:t xml:space="preserve"> for consumers with disability</w:t>
      </w:r>
      <w:r w:rsidR="00341C9B">
        <w:t>)</w:t>
      </w:r>
      <w:r>
        <w:t xml:space="preserve"> the government agency concerned should provide </w:t>
      </w:r>
      <w:r w:rsidR="00341C9B">
        <w:t xml:space="preserve">financial </w:t>
      </w:r>
      <w:r>
        <w:t xml:space="preserve">support for the purchase of this equipment. As a further example, the cost of equipment for school age students should be considered and programs to address the affordability of these designed. </w:t>
      </w:r>
      <w:r w:rsidRPr="00E246B2">
        <w:t>Some of the</w:t>
      </w:r>
      <w:r w:rsidR="00511CBF">
        <w:t xml:space="preserve"> fiscal</w:t>
      </w:r>
      <w:r w:rsidRPr="00E246B2">
        <w:t xml:space="preserve"> benefits accruing to government could be redistributed to prepare citizens and meet the costs of </w:t>
      </w:r>
      <w:r w:rsidR="00341C9B">
        <w:t xml:space="preserve">the </w:t>
      </w:r>
      <w:r w:rsidRPr="00E246B2">
        <w:t>equipment or data plans required.</w:t>
      </w:r>
    </w:p>
    <w:p w:rsidR="004C4226" w:rsidRDefault="004C4226" w:rsidP="004C4226">
      <w:pPr>
        <w:pStyle w:val="Heading1"/>
      </w:pPr>
      <w:bookmarkStart w:id="22" w:name="_Toc457563440"/>
      <w:r>
        <w:lastRenderedPageBreak/>
        <w:t>Service guarantees and reliability</w:t>
      </w:r>
      <w:bookmarkEnd w:id="22"/>
    </w:p>
    <w:p w:rsidR="004C4226" w:rsidRPr="00776FE1" w:rsidRDefault="004C4226" w:rsidP="004C4226">
      <w:pPr>
        <w:rPr>
          <w:lang w:eastAsia="en-US"/>
        </w:rPr>
      </w:pPr>
      <w:r w:rsidRPr="00776FE1">
        <w:rPr>
          <w:lang w:eastAsia="en-US"/>
        </w:rPr>
        <w:t xml:space="preserve">While there are legal consumer guarantees </w:t>
      </w:r>
      <w:r>
        <w:rPr>
          <w:lang w:eastAsia="en-US"/>
        </w:rPr>
        <w:t>covering</w:t>
      </w:r>
      <w:r w:rsidRPr="00776FE1">
        <w:rPr>
          <w:lang w:eastAsia="en-US"/>
        </w:rPr>
        <w:t xml:space="preserve"> the provision of services, there is little case law on how these might work in practice in telecommunications.</w:t>
      </w:r>
      <w:r w:rsidRPr="00776FE1">
        <w:rPr>
          <w:vertAlign w:val="superscript"/>
          <w:lang w:eastAsia="en-US"/>
        </w:rPr>
        <w:footnoteReference w:id="41"/>
      </w:r>
      <w:r w:rsidRPr="00776FE1">
        <w:rPr>
          <w:lang w:eastAsia="en-US"/>
        </w:rPr>
        <w:t xml:space="preserve"> Without a clearly codified framework, it is difficult for consumers to enforce their rights over this complicated service delivery model. While consumers may have some success asserting their rights at the retail level under contract or the Australian Consumer Law, the wholesale level, where crucial services are delivered, remains largely unprotected. Adequately managing this tension between wholesale and retail performance is where improved consumer protections policy is required.</w:t>
      </w:r>
      <w:r w:rsidRPr="00776FE1">
        <w:rPr>
          <w:vertAlign w:val="superscript"/>
          <w:lang w:eastAsia="en-US"/>
        </w:rPr>
        <w:footnoteReference w:id="42"/>
      </w:r>
      <w:r w:rsidRPr="00776FE1">
        <w:rPr>
          <w:lang w:eastAsia="en-US"/>
        </w:rPr>
        <w:t xml:space="preserve"> </w:t>
      </w:r>
    </w:p>
    <w:p w:rsidR="004C4226" w:rsidRPr="00776FE1" w:rsidRDefault="004C4226" w:rsidP="004C4226">
      <w:pPr>
        <w:rPr>
          <w:lang w:eastAsia="en-US"/>
        </w:rPr>
      </w:pPr>
      <w:r w:rsidRPr="00776FE1">
        <w:rPr>
          <w:lang w:eastAsia="en-US"/>
        </w:rPr>
        <w:t xml:space="preserve">The current </w:t>
      </w:r>
      <w:proofErr w:type="spellStart"/>
      <w:r w:rsidRPr="00776FE1">
        <w:rPr>
          <w:lang w:eastAsia="en-US"/>
        </w:rPr>
        <w:t>CSG</w:t>
      </w:r>
      <w:proofErr w:type="spellEnd"/>
      <w:r w:rsidRPr="00776FE1">
        <w:rPr>
          <w:lang w:eastAsia="en-US"/>
        </w:rPr>
        <w:t xml:space="preserve"> only protects the </w:t>
      </w:r>
      <w:proofErr w:type="spellStart"/>
      <w:r w:rsidRPr="00776FE1">
        <w:rPr>
          <w:lang w:eastAsia="en-US"/>
        </w:rPr>
        <w:t>STS</w:t>
      </w:r>
      <w:proofErr w:type="spellEnd"/>
      <w:r w:rsidRPr="00776FE1">
        <w:rPr>
          <w:lang w:eastAsia="en-US"/>
        </w:rPr>
        <w:t xml:space="preserve">. This is out of step with changes in consumer usage patterns, which are now overwhelmingly towards mobile and broadband based communication. The </w:t>
      </w:r>
      <w:proofErr w:type="spellStart"/>
      <w:r w:rsidRPr="00776FE1">
        <w:rPr>
          <w:lang w:eastAsia="en-US"/>
        </w:rPr>
        <w:t>NBN</w:t>
      </w:r>
      <w:proofErr w:type="spellEnd"/>
      <w:r w:rsidRPr="00776FE1">
        <w:rPr>
          <w:lang w:eastAsia="en-US"/>
        </w:rPr>
        <w:t xml:space="preserve"> will significantly address the lack of access to infrastructure, but guaranteed service connection, fault repair and reliability remains an issue.</w:t>
      </w:r>
    </w:p>
    <w:p w:rsidR="004C4226" w:rsidRPr="00776FE1" w:rsidRDefault="004C4226" w:rsidP="004C4226">
      <w:pPr>
        <w:pStyle w:val="Heading2"/>
      </w:pPr>
      <w:bookmarkStart w:id="23" w:name="_Toc457563441"/>
      <w:r w:rsidRPr="00776FE1">
        <w:t>The need for wholesale service obligations</w:t>
      </w:r>
      <w:bookmarkEnd w:id="23"/>
      <w:r w:rsidRPr="00776FE1">
        <w:t xml:space="preserve"> </w:t>
      </w:r>
    </w:p>
    <w:p w:rsidR="004C4226" w:rsidRPr="00776FE1" w:rsidRDefault="004C4226" w:rsidP="004C4226">
      <w:pPr>
        <w:rPr>
          <w:lang w:eastAsia="en-US"/>
        </w:rPr>
      </w:pPr>
      <w:r w:rsidRPr="00776FE1">
        <w:rPr>
          <w:lang w:eastAsia="en-US"/>
        </w:rPr>
        <w:t>Where relevant, obligations for fault rectification, connections and appointment keeping should be placed on the wholesale provider. These obligations should include whole of network performance obligations, as well as remedies for individual consumers.</w:t>
      </w:r>
    </w:p>
    <w:p w:rsidR="004C4226" w:rsidRPr="00776FE1" w:rsidRDefault="004C4226" w:rsidP="004C4226">
      <w:pPr>
        <w:rPr>
          <w:lang w:eastAsia="en-US"/>
        </w:rPr>
      </w:pPr>
      <w:r w:rsidRPr="00776FE1">
        <w:rPr>
          <w:lang w:eastAsia="en-US"/>
        </w:rPr>
        <w:t xml:space="preserve">The </w:t>
      </w:r>
      <w:r w:rsidRPr="00776FE1">
        <w:rPr>
          <w:i/>
          <w:lang w:eastAsia="en-US"/>
        </w:rPr>
        <w:t>Telecommunications (</w:t>
      </w:r>
      <w:proofErr w:type="spellStart"/>
      <w:r w:rsidRPr="00776FE1">
        <w:rPr>
          <w:i/>
          <w:lang w:eastAsia="en-US"/>
        </w:rPr>
        <w:t>CPSS</w:t>
      </w:r>
      <w:proofErr w:type="spellEnd"/>
      <w:r w:rsidRPr="00776FE1">
        <w:rPr>
          <w:i/>
          <w:lang w:eastAsia="en-US"/>
        </w:rPr>
        <w:t>) Act</w:t>
      </w:r>
      <w:r w:rsidRPr="00776FE1">
        <w:rPr>
          <w:lang w:eastAsia="en-US"/>
        </w:rPr>
        <w:t xml:space="preserve"> gives the Minister for Communications the power to create service obligations on both wholesale and retail telecommunications service suppliers.</w:t>
      </w:r>
      <w:r w:rsidRPr="00776FE1">
        <w:rPr>
          <w:vertAlign w:val="superscript"/>
          <w:lang w:eastAsia="en-US"/>
        </w:rPr>
        <w:footnoteReference w:id="43"/>
      </w:r>
      <w:r w:rsidRPr="00776FE1">
        <w:rPr>
          <w:lang w:eastAsia="en-US"/>
        </w:rPr>
        <w:t xml:space="preserve">  Currently the legislation is used to create obligations on retailers, in the form of the </w:t>
      </w:r>
      <w:proofErr w:type="spellStart"/>
      <w:r w:rsidRPr="00776FE1">
        <w:rPr>
          <w:lang w:eastAsia="en-US"/>
        </w:rPr>
        <w:t>CSG</w:t>
      </w:r>
      <w:proofErr w:type="spellEnd"/>
      <w:r w:rsidRPr="00776FE1">
        <w:rPr>
          <w:lang w:eastAsia="en-US"/>
        </w:rPr>
        <w:t xml:space="preserve">. This is not suitable in a context where the wholesale </w:t>
      </w:r>
      <w:proofErr w:type="spellStart"/>
      <w:r w:rsidRPr="00776FE1">
        <w:rPr>
          <w:lang w:eastAsia="en-US"/>
        </w:rPr>
        <w:t>NBN</w:t>
      </w:r>
      <w:proofErr w:type="spellEnd"/>
      <w:r w:rsidRPr="00776FE1">
        <w:rPr>
          <w:lang w:eastAsia="en-US"/>
        </w:rPr>
        <w:t xml:space="preserve"> network will be largely responsible for ensuring network reliability. </w:t>
      </w:r>
    </w:p>
    <w:p w:rsidR="004C4226" w:rsidRPr="00776FE1" w:rsidRDefault="004C4226" w:rsidP="004C4226">
      <w:pPr>
        <w:rPr>
          <w:lang w:eastAsia="en-US"/>
        </w:rPr>
      </w:pPr>
      <w:r w:rsidRPr="00776FE1">
        <w:rPr>
          <w:lang w:eastAsia="en-US"/>
        </w:rPr>
        <w:t xml:space="preserve">As the </w:t>
      </w:r>
      <w:proofErr w:type="spellStart"/>
      <w:r w:rsidRPr="00776FE1">
        <w:rPr>
          <w:lang w:eastAsia="en-US"/>
        </w:rPr>
        <w:t>NBN</w:t>
      </w:r>
      <w:proofErr w:type="spellEnd"/>
      <w:r w:rsidRPr="00776FE1">
        <w:rPr>
          <w:lang w:eastAsia="en-US"/>
        </w:rPr>
        <w:t xml:space="preserve"> reaches scale, wholesale service standards will be more important as </w:t>
      </w:r>
      <w:proofErr w:type="spellStart"/>
      <w:r w:rsidRPr="00776FE1">
        <w:rPr>
          <w:lang w:eastAsia="en-US"/>
        </w:rPr>
        <w:t>nbn</w:t>
      </w:r>
      <w:proofErr w:type="spellEnd"/>
      <w:r w:rsidRPr="00776FE1">
        <w:rPr>
          <w:lang w:eastAsia="en-US"/>
        </w:rPr>
        <w:t xml:space="preserve"> is responsible for the performance of the underlying access network. Existing wholesale obligations do not adequately protect consumers. The Wholesale Broadband Agreement (</w:t>
      </w:r>
      <w:proofErr w:type="spellStart"/>
      <w:r w:rsidRPr="00776FE1">
        <w:rPr>
          <w:lang w:eastAsia="en-US"/>
        </w:rPr>
        <w:t>WBA</w:t>
      </w:r>
      <w:proofErr w:type="spellEnd"/>
      <w:r w:rsidRPr="00776FE1">
        <w:rPr>
          <w:lang w:eastAsia="en-US"/>
        </w:rPr>
        <w:t xml:space="preserve">) is an agreement between </w:t>
      </w:r>
      <w:proofErr w:type="spellStart"/>
      <w:r w:rsidRPr="00776FE1">
        <w:rPr>
          <w:lang w:eastAsia="en-US"/>
        </w:rPr>
        <w:t>nbn</w:t>
      </w:r>
      <w:proofErr w:type="spellEnd"/>
      <w:r w:rsidRPr="00776FE1">
        <w:rPr>
          <w:lang w:eastAsia="en-US"/>
        </w:rPr>
        <w:t xml:space="preserve"> and its retail customers (e.g. Telstra, Optus and </w:t>
      </w:r>
      <w:proofErr w:type="spellStart"/>
      <w:r w:rsidRPr="00776FE1">
        <w:rPr>
          <w:lang w:eastAsia="en-US"/>
        </w:rPr>
        <w:t>TPG</w:t>
      </w:r>
      <w:proofErr w:type="spellEnd"/>
      <w:r w:rsidRPr="00776FE1">
        <w:rPr>
          <w:lang w:eastAsia="en-US"/>
        </w:rPr>
        <w:t>), and its focus is on network management rather than consumer demand.</w:t>
      </w:r>
      <w:r w:rsidRPr="00776FE1">
        <w:rPr>
          <w:vertAlign w:val="superscript"/>
          <w:lang w:eastAsia="en-US"/>
        </w:rPr>
        <w:footnoteReference w:id="44"/>
      </w:r>
      <w:r w:rsidRPr="00776FE1">
        <w:rPr>
          <w:lang w:eastAsia="en-US"/>
        </w:rPr>
        <w:t xml:space="preserve"> Creating lines of accountability between the wholesale provider and a consumer is more likely to create a network responsive to consumer needs.</w:t>
      </w:r>
    </w:p>
    <w:p w:rsidR="004C4226" w:rsidRPr="00776FE1" w:rsidRDefault="004C4226" w:rsidP="004C4226">
      <w:pPr>
        <w:rPr>
          <w:lang w:eastAsia="en-US"/>
        </w:rPr>
      </w:pPr>
      <w:r w:rsidRPr="00776FE1">
        <w:rPr>
          <w:lang w:eastAsia="en-US"/>
        </w:rPr>
        <w:t xml:space="preserve">In addition, the </w:t>
      </w:r>
      <w:proofErr w:type="spellStart"/>
      <w:r w:rsidRPr="00776FE1">
        <w:rPr>
          <w:lang w:eastAsia="en-US"/>
        </w:rPr>
        <w:t>WBA</w:t>
      </w:r>
      <w:proofErr w:type="spellEnd"/>
      <w:r w:rsidRPr="00776FE1">
        <w:rPr>
          <w:lang w:eastAsia="en-US"/>
        </w:rPr>
        <w:t xml:space="preserve"> does not create universal wholesale network obligations. There are a number of smaller competitor wholesale networks, such as </w:t>
      </w:r>
      <w:proofErr w:type="spellStart"/>
      <w:r w:rsidRPr="00776FE1">
        <w:rPr>
          <w:lang w:eastAsia="en-US"/>
        </w:rPr>
        <w:t>TPG’s</w:t>
      </w:r>
      <w:proofErr w:type="spellEnd"/>
      <w:r w:rsidRPr="00776FE1">
        <w:rPr>
          <w:lang w:eastAsia="en-US"/>
        </w:rPr>
        <w:t xml:space="preserve"> ‘fibre-to-the-basement’ (</w:t>
      </w:r>
      <w:proofErr w:type="spellStart"/>
      <w:r w:rsidRPr="00776FE1">
        <w:rPr>
          <w:lang w:eastAsia="en-US"/>
        </w:rPr>
        <w:t>FttB</w:t>
      </w:r>
      <w:proofErr w:type="spellEnd"/>
      <w:r w:rsidRPr="00776FE1">
        <w:rPr>
          <w:lang w:eastAsia="en-US"/>
        </w:rPr>
        <w:t xml:space="preserve">). In some instances these networks are operating in ‘islands’ of limited or no infrastructure competition and are exempt from some existing consumer protections. The practical impact is that the </w:t>
      </w:r>
      <w:proofErr w:type="spellStart"/>
      <w:r w:rsidRPr="00776FE1">
        <w:rPr>
          <w:lang w:eastAsia="en-US"/>
        </w:rPr>
        <w:t>nbn</w:t>
      </w:r>
      <w:proofErr w:type="spellEnd"/>
      <w:r w:rsidRPr="00776FE1">
        <w:rPr>
          <w:lang w:eastAsia="en-US"/>
        </w:rPr>
        <w:t xml:space="preserve"> is unlikely to overbuild in these areas. This means consumers are left with no protection under the </w:t>
      </w:r>
      <w:proofErr w:type="spellStart"/>
      <w:r w:rsidRPr="00776FE1">
        <w:rPr>
          <w:lang w:eastAsia="en-US"/>
        </w:rPr>
        <w:t>WBA</w:t>
      </w:r>
      <w:proofErr w:type="spellEnd"/>
      <w:r w:rsidRPr="00776FE1">
        <w:rPr>
          <w:lang w:eastAsia="en-US"/>
        </w:rPr>
        <w:t xml:space="preserve">, and </w:t>
      </w:r>
      <w:r w:rsidRPr="00776FE1">
        <w:rPr>
          <w:lang w:eastAsia="en-US"/>
        </w:rPr>
        <w:lastRenderedPageBreak/>
        <w:t>limited protection under existing legislation. Policy needs to address this gap preferably through a universal safety net on telecommunications networks.</w:t>
      </w:r>
    </w:p>
    <w:p w:rsidR="004C4226" w:rsidRPr="00776FE1" w:rsidRDefault="004C4226" w:rsidP="004C4226">
      <w:pPr>
        <w:pStyle w:val="Heading2"/>
      </w:pPr>
      <w:bookmarkStart w:id="24" w:name="_Toc457563442"/>
      <w:r w:rsidRPr="00776FE1">
        <w:t>Specific obligations</w:t>
      </w:r>
      <w:bookmarkEnd w:id="24"/>
    </w:p>
    <w:p w:rsidR="004C4226" w:rsidRPr="00776FE1" w:rsidRDefault="004C4226" w:rsidP="004C4226">
      <w:pPr>
        <w:rPr>
          <w:lang w:eastAsia="en-US"/>
        </w:rPr>
      </w:pPr>
      <w:r w:rsidRPr="00776FE1">
        <w:rPr>
          <w:lang w:eastAsia="en-US"/>
        </w:rPr>
        <w:t>For an obligation to be sustainable, it should provide for a level of network service which realistically balances consumer need with the technical and resource limits of the network. This is consistent with the underlying considerations within the telecommunications legislation.</w:t>
      </w:r>
      <w:r w:rsidRPr="00776FE1">
        <w:rPr>
          <w:vertAlign w:val="superscript"/>
          <w:lang w:eastAsia="en-US"/>
        </w:rPr>
        <w:footnoteReference w:id="45"/>
      </w:r>
      <w:r w:rsidRPr="00776FE1">
        <w:rPr>
          <w:lang w:eastAsia="en-US"/>
        </w:rPr>
        <w:t xml:space="preserve"> </w:t>
      </w:r>
    </w:p>
    <w:p w:rsidR="004C4226" w:rsidRPr="00776FE1" w:rsidRDefault="004C4226" w:rsidP="004C4226">
      <w:pPr>
        <w:rPr>
          <w:lang w:eastAsia="en-US"/>
        </w:rPr>
      </w:pPr>
      <w:r w:rsidRPr="00776FE1">
        <w:rPr>
          <w:lang w:eastAsia="en-US"/>
        </w:rPr>
        <w:t>The obligations should deliver a baseline level of adequate service to individual consumers. This should include:</w:t>
      </w:r>
    </w:p>
    <w:p w:rsidR="004C4226" w:rsidRPr="00776FE1" w:rsidRDefault="004C4226" w:rsidP="004C4226">
      <w:pPr>
        <w:rPr>
          <w:lang w:eastAsia="en-US"/>
        </w:rPr>
      </w:pPr>
      <w:r w:rsidRPr="00776FE1">
        <w:rPr>
          <w:lang w:eastAsia="en-US"/>
        </w:rPr>
        <w:t>a) Customer service standards setting timeframes for:</w:t>
      </w:r>
    </w:p>
    <w:p w:rsidR="004C4226" w:rsidRPr="00776FE1" w:rsidRDefault="004C4226" w:rsidP="004C4226">
      <w:pPr>
        <w:numPr>
          <w:ilvl w:val="0"/>
          <w:numId w:val="30"/>
        </w:numPr>
        <w:rPr>
          <w:lang w:eastAsia="en-US"/>
        </w:rPr>
      </w:pPr>
      <w:r w:rsidRPr="00776FE1">
        <w:rPr>
          <w:lang w:eastAsia="en-US"/>
        </w:rPr>
        <w:t>Fault rectification,</w:t>
      </w:r>
    </w:p>
    <w:p w:rsidR="004C4226" w:rsidRPr="00776FE1" w:rsidRDefault="004C4226" w:rsidP="004C4226">
      <w:pPr>
        <w:numPr>
          <w:ilvl w:val="0"/>
          <w:numId w:val="30"/>
        </w:numPr>
        <w:rPr>
          <w:lang w:eastAsia="en-US"/>
        </w:rPr>
      </w:pPr>
      <w:r w:rsidRPr="00776FE1">
        <w:rPr>
          <w:lang w:eastAsia="en-US"/>
        </w:rPr>
        <w:t>New connections,</w:t>
      </w:r>
    </w:p>
    <w:p w:rsidR="004C4226" w:rsidRPr="00776FE1" w:rsidRDefault="004C4226" w:rsidP="004C4226">
      <w:pPr>
        <w:numPr>
          <w:ilvl w:val="0"/>
          <w:numId w:val="30"/>
        </w:numPr>
        <w:rPr>
          <w:lang w:eastAsia="en-US"/>
        </w:rPr>
      </w:pPr>
      <w:r w:rsidRPr="00776FE1">
        <w:rPr>
          <w:lang w:eastAsia="en-US"/>
        </w:rPr>
        <w:t>Existing connections (where infrastructure is in place), and</w:t>
      </w:r>
    </w:p>
    <w:p w:rsidR="004C4226" w:rsidRPr="00776FE1" w:rsidRDefault="004C4226" w:rsidP="004C4226">
      <w:pPr>
        <w:numPr>
          <w:ilvl w:val="0"/>
          <w:numId w:val="30"/>
        </w:numPr>
        <w:rPr>
          <w:lang w:eastAsia="en-US"/>
        </w:rPr>
      </w:pPr>
      <w:r w:rsidRPr="00776FE1">
        <w:rPr>
          <w:lang w:eastAsia="en-US"/>
        </w:rPr>
        <w:t>Appointment keeping.</w:t>
      </w:r>
    </w:p>
    <w:p w:rsidR="004C4226" w:rsidRPr="00776FE1" w:rsidRDefault="004C4226" w:rsidP="004C4226">
      <w:pPr>
        <w:rPr>
          <w:lang w:eastAsia="en-US"/>
        </w:rPr>
      </w:pPr>
      <w:r w:rsidRPr="00776FE1">
        <w:rPr>
          <w:lang w:eastAsia="en-US"/>
        </w:rPr>
        <w:t>b) Reliability measures consisting of agreed independent performance benchmarks to encourage overall high performance across urban, regional and rural/remote geographies. These need to be targeted to address the severity of impact of unreliable services and include metrics such as:</w:t>
      </w:r>
      <w:r w:rsidRPr="00776FE1">
        <w:rPr>
          <w:vertAlign w:val="superscript"/>
          <w:lang w:eastAsia="en-US"/>
        </w:rPr>
        <w:t xml:space="preserve"> </w:t>
      </w:r>
      <w:r w:rsidRPr="00776FE1">
        <w:rPr>
          <w:vertAlign w:val="superscript"/>
          <w:lang w:eastAsia="en-US"/>
        </w:rPr>
        <w:footnoteReference w:id="46"/>
      </w:r>
    </w:p>
    <w:p w:rsidR="004C4226" w:rsidRPr="00776FE1" w:rsidRDefault="004C4226" w:rsidP="004C4226">
      <w:pPr>
        <w:numPr>
          <w:ilvl w:val="0"/>
          <w:numId w:val="32"/>
        </w:numPr>
        <w:rPr>
          <w:lang w:eastAsia="en-US"/>
        </w:rPr>
      </w:pPr>
      <w:r w:rsidRPr="00776FE1">
        <w:rPr>
          <w:lang w:eastAsia="en-US"/>
        </w:rPr>
        <w:t>number of minutes that a customer is without services in a year,</w:t>
      </w:r>
    </w:p>
    <w:p w:rsidR="004C4226" w:rsidRPr="00776FE1" w:rsidRDefault="004C4226" w:rsidP="004C4226">
      <w:pPr>
        <w:numPr>
          <w:ilvl w:val="0"/>
          <w:numId w:val="32"/>
        </w:numPr>
        <w:rPr>
          <w:lang w:eastAsia="en-US"/>
        </w:rPr>
      </w:pPr>
      <w:r w:rsidRPr="00776FE1">
        <w:rPr>
          <w:lang w:eastAsia="en-US"/>
        </w:rPr>
        <w:t>number of times a customer’s supply is interrupted per year,</w:t>
      </w:r>
    </w:p>
    <w:p w:rsidR="004C4226" w:rsidRPr="00776FE1" w:rsidRDefault="004C4226" w:rsidP="004C4226">
      <w:pPr>
        <w:numPr>
          <w:ilvl w:val="0"/>
          <w:numId w:val="32"/>
        </w:numPr>
        <w:rPr>
          <w:lang w:eastAsia="en-US"/>
        </w:rPr>
      </w:pPr>
      <w:r w:rsidRPr="00776FE1">
        <w:rPr>
          <w:lang w:eastAsia="en-US"/>
        </w:rPr>
        <w:t>duration of each interruption, and</w:t>
      </w:r>
    </w:p>
    <w:p w:rsidR="004C4226" w:rsidRPr="00776FE1" w:rsidRDefault="004C4226" w:rsidP="004C4226">
      <w:pPr>
        <w:numPr>
          <w:ilvl w:val="0"/>
          <w:numId w:val="32"/>
        </w:numPr>
        <w:rPr>
          <w:lang w:eastAsia="en-US"/>
        </w:rPr>
      </w:pPr>
      <w:r w:rsidRPr="00776FE1">
        <w:rPr>
          <w:lang w:eastAsia="en-US"/>
        </w:rPr>
        <w:t>number of momentary interruptions per customer per year.</w:t>
      </w:r>
    </w:p>
    <w:p w:rsidR="004C4226" w:rsidRPr="00776FE1" w:rsidRDefault="004C4226" w:rsidP="004C4226">
      <w:pPr>
        <w:rPr>
          <w:lang w:eastAsia="en-US"/>
        </w:rPr>
      </w:pPr>
      <w:r w:rsidRPr="00776FE1">
        <w:rPr>
          <w:lang w:eastAsia="en-US"/>
        </w:rPr>
        <w:t>Using these measures, network reliability can be improved by identifying areas for remediation which are causing significant consumer detriment.</w:t>
      </w:r>
    </w:p>
    <w:p w:rsidR="004C4226" w:rsidRPr="00776FE1" w:rsidRDefault="004C4226" w:rsidP="004C4226">
      <w:pPr>
        <w:pStyle w:val="Heading2"/>
      </w:pPr>
      <w:bookmarkStart w:id="25" w:name="_Toc457563443"/>
      <w:r w:rsidRPr="00776FE1">
        <w:t>Remedies and incentives</w:t>
      </w:r>
      <w:bookmarkEnd w:id="25"/>
    </w:p>
    <w:p w:rsidR="004C4226" w:rsidRPr="00776FE1" w:rsidRDefault="004C4226" w:rsidP="004C4226">
      <w:pPr>
        <w:rPr>
          <w:lang w:eastAsia="en-US"/>
        </w:rPr>
      </w:pPr>
      <w:r w:rsidRPr="00776FE1">
        <w:rPr>
          <w:lang w:eastAsia="en-US"/>
        </w:rPr>
        <w:t>Given the importance of a reliable communications network to a number of functions in a consumer’s life, there needs to be a transparent streamlined mechanism that both encourages improved performance on the part of network operators and aims to compensate a consumer for loss suffered. A combination of negative and positive incentives is needed to achieve this outcome.</w:t>
      </w:r>
    </w:p>
    <w:p w:rsidR="004C4226" w:rsidRPr="00776FE1" w:rsidRDefault="004C4226" w:rsidP="004C4226">
      <w:pPr>
        <w:pStyle w:val="Heading3"/>
      </w:pPr>
      <w:bookmarkStart w:id="26" w:name="_Toc457563444"/>
      <w:r w:rsidRPr="00776FE1">
        <w:lastRenderedPageBreak/>
        <w:t>Customer compensation</w:t>
      </w:r>
      <w:bookmarkEnd w:id="26"/>
    </w:p>
    <w:p w:rsidR="004C4226" w:rsidRPr="00776FE1" w:rsidRDefault="004C4226" w:rsidP="004C4226">
      <w:pPr>
        <w:rPr>
          <w:lang w:eastAsia="en-US"/>
        </w:rPr>
      </w:pPr>
      <w:r w:rsidRPr="00776FE1">
        <w:rPr>
          <w:lang w:eastAsia="en-US"/>
        </w:rPr>
        <w:t xml:space="preserve">At the retail level the ordinary remedies under contract and consumer law should apply. These should be complemented by compensation paid by the retailer to the customer for extended outages and delays. </w:t>
      </w:r>
    </w:p>
    <w:p w:rsidR="004C4226" w:rsidRPr="00776FE1" w:rsidRDefault="004C4226" w:rsidP="004C4226">
      <w:pPr>
        <w:rPr>
          <w:lang w:eastAsia="en-US"/>
        </w:rPr>
      </w:pPr>
      <w:r w:rsidRPr="00776FE1">
        <w:rPr>
          <w:lang w:eastAsia="en-US"/>
        </w:rPr>
        <w:t>To ensure the wholesaler is accountable for outages and delays it has caused, a standard setting out a compensation formula would make it liable to reimburse the retailer for these payments.</w:t>
      </w:r>
      <w:r>
        <w:rPr>
          <w:lang w:eastAsia="en-US"/>
        </w:rPr>
        <w:t xml:space="preserve"> </w:t>
      </w:r>
      <w:r w:rsidRPr="00776FE1">
        <w:rPr>
          <w:lang w:eastAsia="en-US"/>
        </w:rPr>
        <w:t>To prevent overlap, a workable delineation between wholesale and retail obligations needs to be developed.</w:t>
      </w:r>
      <w:r w:rsidRPr="00776FE1">
        <w:rPr>
          <w:vertAlign w:val="superscript"/>
          <w:lang w:eastAsia="en-US"/>
        </w:rPr>
        <w:footnoteReference w:id="47"/>
      </w:r>
      <w:r w:rsidRPr="00776FE1">
        <w:rPr>
          <w:lang w:eastAsia="en-US"/>
        </w:rPr>
        <w:t xml:space="preserve"> </w:t>
      </w:r>
    </w:p>
    <w:p w:rsidR="004C4226" w:rsidRPr="00776FE1" w:rsidRDefault="004C4226" w:rsidP="004C4226">
      <w:pPr>
        <w:rPr>
          <w:lang w:eastAsia="en-US"/>
        </w:rPr>
      </w:pPr>
      <w:r w:rsidRPr="00776FE1">
        <w:rPr>
          <w:i/>
          <w:lang w:eastAsia="en-US"/>
        </w:rPr>
        <w:t xml:space="preserve">Practical example: </w:t>
      </w:r>
      <w:r w:rsidRPr="00776FE1">
        <w:rPr>
          <w:lang w:eastAsia="en-US"/>
        </w:rPr>
        <w:t xml:space="preserve">If a customer is experiencing a fault they should be entitled to a dollar amount from the </w:t>
      </w:r>
      <w:proofErr w:type="spellStart"/>
      <w:r w:rsidRPr="00776FE1">
        <w:rPr>
          <w:lang w:eastAsia="en-US"/>
        </w:rPr>
        <w:t>nbn</w:t>
      </w:r>
      <w:proofErr w:type="spellEnd"/>
      <w:r w:rsidRPr="00776FE1">
        <w:rPr>
          <w:lang w:eastAsia="en-US"/>
        </w:rPr>
        <w:t xml:space="preserve"> or relevant wholesaler, delivered via the retail service provider (</w:t>
      </w:r>
      <w:proofErr w:type="spellStart"/>
      <w:r w:rsidRPr="00776FE1">
        <w:rPr>
          <w:lang w:eastAsia="en-US"/>
        </w:rPr>
        <w:t>RSP</w:t>
      </w:r>
      <w:proofErr w:type="spellEnd"/>
      <w:r w:rsidRPr="00776FE1">
        <w:rPr>
          <w:lang w:eastAsia="en-US"/>
        </w:rPr>
        <w:t>) for each day the service does not work. Such measures should encourage timely repairs and the amount of compensation should increase the longer the customer is left without a service.</w:t>
      </w:r>
    </w:p>
    <w:p w:rsidR="004C4226" w:rsidRPr="00776FE1" w:rsidRDefault="004C4226" w:rsidP="004C4226">
      <w:pPr>
        <w:pStyle w:val="Heading3"/>
      </w:pPr>
      <w:bookmarkStart w:id="27" w:name="_Toc457563445"/>
      <w:r w:rsidRPr="00776FE1">
        <w:t>Wholesale price levels and adequate resourcing of network performance</w:t>
      </w:r>
      <w:bookmarkEnd w:id="27"/>
    </w:p>
    <w:p w:rsidR="004C4226" w:rsidRPr="00776FE1" w:rsidRDefault="004C4226" w:rsidP="004C4226">
      <w:pPr>
        <w:rPr>
          <w:lang w:eastAsia="en-US"/>
        </w:rPr>
      </w:pPr>
      <w:r w:rsidRPr="00776FE1">
        <w:rPr>
          <w:lang w:eastAsia="en-US"/>
        </w:rPr>
        <w:t>Customer service standards and published reliability measures need to be considered as part of future wholesale pricing decisions. Access pricing decisions should take into account wholesaler performance against customer service guarantee timeframes, and network reliability performance benchmarks as elements in the long term interests of end users.  This approach would introduce a positive incentive for network providers to comply, and have the practical advantage of feeding into existing access pricing mechanisms .This approach also places performance in a market context. It can take into account factors such as the efficient operation and international competitiveness of the network as well as important social goals, such as availability and affordability of access.</w:t>
      </w:r>
    </w:p>
    <w:p w:rsidR="004C4226" w:rsidRPr="00776FE1" w:rsidRDefault="004C4226" w:rsidP="004C4226">
      <w:pPr>
        <w:rPr>
          <w:lang w:eastAsia="en-US"/>
        </w:rPr>
      </w:pPr>
      <w:r w:rsidRPr="00776FE1">
        <w:rPr>
          <w:lang w:eastAsia="en-US"/>
        </w:rPr>
        <w:t>This mirrors an approach that has been adopted locally in the energy sector, and internationally in telecommunications.</w:t>
      </w:r>
      <w:r w:rsidRPr="00776FE1">
        <w:rPr>
          <w:vertAlign w:val="superscript"/>
          <w:lang w:eastAsia="en-US"/>
        </w:rPr>
        <w:footnoteReference w:id="48"/>
      </w:r>
      <w:r w:rsidRPr="00776FE1">
        <w:rPr>
          <w:lang w:eastAsia="en-US"/>
        </w:rPr>
        <w:t xml:space="preserve"> The benefit of this approach is that it creates a positive dialogue between the regulator and the industry about performance standards. </w:t>
      </w:r>
    </w:p>
    <w:p w:rsidR="004C4226" w:rsidRPr="00776FE1" w:rsidRDefault="004C4226" w:rsidP="004C4226">
      <w:pPr>
        <w:pStyle w:val="Heading3"/>
      </w:pPr>
      <w:bookmarkStart w:id="28" w:name="_Toc457563446"/>
      <w:r w:rsidRPr="00776FE1">
        <w:t>Penalties for failing to meet set performance benchmarks</w:t>
      </w:r>
      <w:bookmarkEnd w:id="28"/>
    </w:p>
    <w:p w:rsidR="004C4226" w:rsidRPr="00776FE1" w:rsidRDefault="004C4226" w:rsidP="004C4226">
      <w:pPr>
        <w:rPr>
          <w:lang w:eastAsia="en-US"/>
        </w:rPr>
      </w:pPr>
      <w:r w:rsidRPr="00776FE1">
        <w:rPr>
          <w:lang w:eastAsia="en-US"/>
        </w:rPr>
        <w:t>As in the current system, it is expected that a wholesaler may face penalties for failing to meet set performance benchmarks. The inclusion of both incentives, in the form of pricing decisions, and disincentives, in the form of penalties, is deliberate in order to allow the regulator to tailor appropriate responses to encourage sound network performance. For example pricing decisions need to be set with a long view to encourage responsible investment practice, while penalties may be appropriate on a yearly basis if a wholesaler falls well below the expected standard.</w:t>
      </w:r>
    </w:p>
    <w:p w:rsidR="004C4226" w:rsidRPr="00776FE1" w:rsidRDefault="004C4226" w:rsidP="004C4226">
      <w:pPr>
        <w:pStyle w:val="Heading3"/>
      </w:pPr>
      <w:bookmarkStart w:id="29" w:name="_Toc457563447"/>
      <w:r w:rsidRPr="00776FE1">
        <w:lastRenderedPageBreak/>
        <w:t>Exemptions</w:t>
      </w:r>
      <w:bookmarkEnd w:id="29"/>
    </w:p>
    <w:p w:rsidR="004C4226" w:rsidRPr="009A330D" w:rsidRDefault="004C4226" w:rsidP="004C4226">
      <w:pPr>
        <w:rPr>
          <w:lang w:eastAsia="en-US"/>
        </w:rPr>
      </w:pPr>
      <w:r w:rsidRPr="00776FE1">
        <w:rPr>
          <w:lang w:eastAsia="en-US"/>
        </w:rPr>
        <w:t>Providers should be able to apply for exemptions from penalties in situations such as an extreme weather event. As already outlined, independent oversight should be in place to ensure the network is adequately resourced. The aim of this oversight should be to limit the number and length of exemption claims to those needed to recover from the mass service disruption.</w:t>
      </w:r>
    </w:p>
    <w:p w:rsidR="00C6649C" w:rsidRDefault="00C6649C" w:rsidP="00C6649C">
      <w:pPr>
        <w:pStyle w:val="Heading1"/>
      </w:pPr>
      <w:bookmarkStart w:id="30" w:name="_Toc457563448"/>
      <w:r>
        <w:lastRenderedPageBreak/>
        <w:t>Affordability</w:t>
      </w:r>
      <w:bookmarkEnd w:id="30"/>
    </w:p>
    <w:p w:rsidR="00C6649C" w:rsidRPr="000F1654" w:rsidRDefault="00C6649C" w:rsidP="00C6649C">
      <w:pPr>
        <w:spacing w:before="0" w:beforeAutospacing="0" w:after="200" w:afterAutospacing="0" w:line="276" w:lineRule="auto"/>
        <w:rPr>
          <w:rFonts w:asciiTheme="minorHAnsi" w:eastAsiaTheme="minorHAnsi" w:hAnsiTheme="minorHAnsi"/>
          <w:lang w:val="en-IE" w:eastAsia="en-US"/>
        </w:rPr>
      </w:pPr>
      <w:r w:rsidRPr="000F1654">
        <w:rPr>
          <w:rFonts w:asciiTheme="minorHAnsi" w:eastAsiaTheme="minorHAnsi" w:hAnsiTheme="minorHAnsi"/>
          <w:iCs/>
          <w:lang w:eastAsia="en-US"/>
        </w:rPr>
        <w:t>Leading academics define affordability as a consumer’s ability to pay for and use telecommunications without sacrificing expenditure on other essential services and items.</w:t>
      </w:r>
      <w:r w:rsidRPr="000F1654">
        <w:rPr>
          <w:rFonts w:asciiTheme="minorHAnsi" w:eastAsiaTheme="minorHAnsi" w:hAnsiTheme="minorHAnsi"/>
          <w:iCs/>
          <w:vertAlign w:val="superscript"/>
          <w:lang w:eastAsia="en-US"/>
        </w:rPr>
        <w:footnoteReference w:id="49"/>
      </w:r>
      <w:r w:rsidRPr="000F1654">
        <w:rPr>
          <w:rFonts w:asciiTheme="minorHAnsi" w:eastAsiaTheme="minorHAnsi" w:hAnsiTheme="minorHAnsi"/>
          <w:iCs/>
          <w:lang w:eastAsia="en-US"/>
        </w:rPr>
        <w:t xml:space="preserve"> Affordability </w:t>
      </w:r>
      <w:r w:rsidRPr="000F1654">
        <w:rPr>
          <w:rFonts w:asciiTheme="minorHAnsi" w:eastAsiaTheme="minorHAnsi" w:hAnsiTheme="minorHAnsi"/>
          <w:lang w:eastAsia="en-US"/>
        </w:rPr>
        <w:t xml:space="preserve">is particularly an issue for those that have low predictability of cost and have less well developed coping mechanisms. </w:t>
      </w:r>
      <w:r w:rsidRPr="000F1654">
        <w:rPr>
          <w:rFonts w:asciiTheme="minorHAnsi" w:eastAsiaTheme="minorHAnsi" w:hAnsiTheme="minorHAnsi"/>
          <w:lang w:val="en-IE" w:eastAsia="en-US"/>
        </w:rPr>
        <w:t xml:space="preserve">Affordability is a known barrier for broadband services. Nationally </w:t>
      </w:r>
      <w:r w:rsidRPr="000F1654">
        <w:rPr>
          <w:rFonts w:asciiTheme="minorHAnsi" w:eastAsiaTheme="minorHAnsi" w:hAnsiTheme="minorHAnsi"/>
          <w:lang w:eastAsia="en-US"/>
        </w:rPr>
        <w:t xml:space="preserve">the rate of households with </w:t>
      </w:r>
      <w:proofErr w:type="spellStart"/>
      <w:r w:rsidRPr="000F1654">
        <w:rPr>
          <w:rFonts w:asciiTheme="minorHAnsi" w:eastAsiaTheme="minorHAnsi" w:hAnsiTheme="minorHAnsi"/>
          <w:lang w:eastAsia="en-US"/>
        </w:rPr>
        <w:t>internet</w:t>
      </w:r>
      <w:proofErr w:type="spellEnd"/>
      <w:r w:rsidRPr="000F1654">
        <w:rPr>
          <w:rFonts w:asciiTheme="minorHAnsi" w:eastAsiaTheme="minorHAnsi" w:hAnsiTheme="minorHAnsi"/>
          <w:lang w:eastAsia="en-US"/>
        </w:rPr>
        <w:t xml:space="preserve"> is currently 86%, with access falling to just 66% for household</w:t>
      </w:r>
      <w:r w:rsidR="00F52552">
        <w:rPr>
          <w:rFonts w:asciiTheme="minorHAnsi" w:eastAsiaTheme="minorHAnsi" w:hAnsiTheme="minorHAnsi"/>
          <w:lang w:eastAsia="en-US"/>
        </w:rPr>
        <w:t>s in the lowest income bracket.</w:t>
      </w:r>
      <w:r w:rsidRPr="000F1654">
        <w:rPr>
          <w:rFonts w:asciiTheme="minorHAnsi" w:eastAsiaTheme="minorHAnsi" w:hAnsiTheme="minorHAnsi"/>
          <w:vertAlign w:val="superscript"/>
          <w:lang w:eastAsia="en-US"/>
        </w:rPr>
        <w:footnoteReference w:id="50"/>
      </w:r>
      <w:r w:rsidRPr="000F1654">
        <w:rPr>
          <w:rFonts w:asciiTheme="minorHAnsi" w:eastAsiaTheme="minorHAnsi" w:hAnsiTheme="minorHAnsi"/>
          <w:lang w:val="en-IE" w:eastAsia="en-US"/>
        </w:rPr>
        <w:t xml:space="preserve"> The ABS found that “</w:t>
      </w:r>
      <w:r w:rsidRPr="000F1654">
        <w:rPr>
          <w:rFonts w:asciiTheme="minorHAnsi" w:eastAsiaTheme="minorHAnsi" w:hAnsiTheme="minorHAnsi"/>
          <w:lang w:eastAsia="en-US"/>
        </w:rPr>
        <w:t xml:space="preserve">For households with children under 15 years, the most common reason given for not accessing the </w:t>
      </w:r>
      <w:proofErr w:type="spellStart"/>
      <w:r w:rsidRPr="000F1654">
        <w:rPr>
          <w:rFonts w:asciiTheme="minorHAnsi" w:eastAsiaTheme="minorHAnsi" w:hAnsiTheme="minorHAnsi"/>
          <w:lang w:eastAsia="en-US"/>
        </w:rPr>
        <w:t>internet</w:t>
      </w:r>
      <w:proofErr w:type="spellEnd"/>
      <w:r w:rsidRPr="000F1654">
        <w:rPr>
          <w:rFonts w:asciiTheme="minorHAnsi" w:eastAsiaTheme="minorHAnsi" w:hAnsiTheme="minorHAnsi"/>
          <w:lang w:eastAsia="en-US"/>
        </w:rPr>
        <w:t xml:space="preserve"> was cost (43%)”.</w:t>
      </w:r>
      <w:r w:rsidRPr="000F1654">
        <w:rPr>
          <w:rFonts w:asciiTheme="minorHAnsi" w:eastAsiaTheme="minorHAnsi" w:hAnsiTheme="minorHAnsi"/>
          <w:vertAlign w:val="superscript"/>
          <w:lang w:eastAsia="en-US"/>
        </w:rPr>
        <w:footnoteReference w:id="51"/>
      </w:r>
      <w:r w:rsidRPr="000F1654">
        <w:rPr>
          <w:rFonts w:asciiTheme="minorHAnsi" w:eastAsiaTheme="minorHAnsi" w:hAnsiTheme="minorHAnsi"/>
          <w:lang w:eastAsia="en-US"/>
        </w:rPr>
        <w:t xml:space="preserve"> </w:t>
      </w:r>
    </w:p>
    <w:p w:rsidR="003E64D8" w:rsidRDefault="003E64D8" w:rsidP="003E64D8">
      <w:pPr>
        <w:spacing w:before="0" w:beforeAutospacing="0" w:after="200" w:afterAutospacing="0" w:line="276" w:lineRule="auto"/>
        <w:rPr>
          <w:rFonts w:asciiTheme="minorHAnsi" w:eastAsiaTheme="minorHAnsi" w:hAnsiTheme="minorHAnsi"/>
          <w:lang w:eastAsia="en-US"/>
        </w:rPr>
      </w:pPr>
      <w:r>
        <w:rPr>
          <w:rFonts w:asciiTheme="minorHAnsi" w:eastAsiaTheme="minorHAnsi" w:hAnsiTheme="minorHAnsi"/>
          <w:lang w:eastAsia="en-US"/>
        </w:rPr>
        <w:t xml:space="preserve">Affordability </w:t>
      </w:r>
      <w:r w:rsidR="00974B1E">
        <w:rPr>
          <w:rFonts w:asciiTheme="minorHAnsi" w:eastAsiaTheme="minorHAnsi" w:hAnsiTheme="minorHAnsi"/>
          <w:lang w:eastAsia="en-US"/>
        </w:rPr>
        <w:t xml:space="preserve">of telecommunication services </w:t>
      </w:r>
      <w:r>
        <w:rPr>
          <w:rFonts w:asciiTheme="minorHAnsi" w:eastAsiaTheme="minorHAnsi" w:hAnsiTheme="minorHAnsi"/>
          <w:lang w:eastAsia="en-US"/>
        </w:rPr>
        <w:t xml:space="preserve">is currently addressed in Australia </w:t>
      </w:r>
      <w:r w:rsidR="00974B1E">
        <w:rPr>
          <w:rFonts w:asciiTheme="minorHAnsi" w:eastAsiaTheme="minorHAnsi" w:hAnsiTheme="minorHAnsi"/>
          <w:lang w:eastAsia="en-US"/>
        </w:rPr>
        <w:t xml:space="preserve">in two ways; </w:t>
      </w:r>
      <w:r>
        <w:rPr>
          <w:rFonts w:asciiTheme="minorHAnsi" w:eastAsiaTheme="minorHAnsi" w:hAnsiTheme="minorHAnsi"/>
          <w:lang w:eastAsia="en-US"/>
        </w:rPr>
        <w:t>through the carrier licence conditions on Telstra that requires it to “offer products and arrangements to low-income customers (the low income package)”</w:t>
      </w:r>
      <w:r>
        <w:rPr>
          <w:rStyle w:val="FootnoteReference"/>
          <w:rFonts w:asciiTheme="minorHAnsi" w:eastAsiaTheme="minorHAnsi" w:hAnsiTheme="minorHAnsi"/>
          <w:lang w:eastAsia="en-US"/>
        </w:rPr>
        <w:footnoteReference w:id="52"/>
      </w:r>
      <w:r w:rsidR="00076707">
        <w:rPr>
          <w:rFonts w:asciiTheme="minorHAnsi" w:eastAsiaTheme="minorHAnsi" w:hAnsiTheme="minorHAnsi"/>
          <w:lang w:eastAsia="en-US"/>
        </w:rPr>
        <w:t xml:space="preserve"> </w:t>
      </w:r>
      <w:r w:rsidR="00974B1E">
        <w:rPr>
          <w:rFonts w:asciiTheme="minorHAnsi" w:eastAsiaTheme="minorHAnsi" w:hAnsiTheme="minorHAnsi"/>
          <w:lang w:eastAsia="en-US"/>
        </w:rPr>
        <w:t>and t</w:t>
      </w:r>
      <w:r w:rsidR="00076707">
        <w:rPr>
          <w:rFonts w:asciiTheme="minorHAnsi" w:eastAsiaTheme="minorHAnsi" w:hAnsiTheme="minorHAnsi"/>
          <w:lang w:eastAsia="en-US"/>
        </w:rPr>
        <w:t xml:space="preserve">he Commonwealth </w:t>
      </w:r>
      <w:r w:rsidR="00B767AB">
        <w:rPr>
          <w:rFonts w:asciiTheme="minorHAnsi" w:eastAsiaTheme="minorHAnsi" w:hAnsiTheme="minorHAnsi"/>
          <w:lang w:eastAsia="en-US"/>
        </w:rPr>
        <w:t>T</w:t>
      </w:r>
      <w:r w:rsidR="00076707">
        <w:rPr>
          <w:rFonts w:asciiTheme="minorHAnsi" w:eastAsiaTheme="minorHAnsi" w:hAnsiTheme="minorHAnsi"/>
          <w:lang w:eastAsia="en-US"/>
        </w:rPr>
        <w:t xml:space="preserve">elephone </w:t>
      </w:r>
      <w:r w:rsidR="00B767AB">
        <w:rPr>
          <w:rFonts w:asciiTheme="minorHAnsi" w:eastAsiaTheme="minorHAnsi" w:hAnsiTheme="minorHAnsi"/>
          <w:lang w:eastAsia="en-US"/>
        </w:rPr>
        <w:t>A</w:t>
      </w:r>
      <w:r w:rsidR="00076707">
        <w:rPr>
          <w:rFonts w:asciiTheme="minorHAnsi" w:eastAsiaTheme="minorHAnsi" w:hAnsiTheme="minorHAnsi"/>
          <w:lang w:eastAsia="en-US"/>
        </w:rPr>
        <w:t>llowance</w:t>
      </w:r>
      <w:r w:rsidR="00974B1E">
        <w:rPr>
          <w:rFonts w:asciiTheme="minorHAnsi" w:eastAsiaTheme="minorHAnsi" w:hAnsiTheme="minorHAnsi"/>
          <w:lang w:eastAsia="en-US"/>
        </w:rPr>
        <w:t>.</w:t>
      </w:r>
      <w:r w:rsidR="00511CBF" w:rsidRPr="00511CBF">
        <w:rPr>
          <w:rStyle w:val="FootnoteReference"/>
          <w:rFonts w:asciiTheme="minorHAnsi" w:eastAsiaTheme="minorHAnsi" w:hAnsiTheme="minorHAnsi"/>
          <w:lang w:eastAsia="en-US"/>
        </w:rPr>
        <w:t xml:space="preserve"> </w:t>
      </w:r>
      <w:r w:rsidR="00511CBF">
        <w:rPr>
          <w:rStyle w:val="FootnoteReference"/>
          <w:rFonts w:asciiTheme="minorHAnsi" w:eastAsiaTheme="minorHAnsi" w:hAnsiTheme="minorHAnsi"/>
          <w:lang w:eastAsia="en-US"/>
        </w:rPr>
        <w:footnoteReference w:id="53"/>
      </w:r>
      <w:r w:rsidR="00974B1E">
        <w:rPr>
          <w:rFonts w:asciiTheme="minorHAnsi" w:eastAsiaTheme="minorHAnsi" w:hAnsiTheme="minorHAnsi"/>
          <w:lang w:eastAsia="en-US"/>
        </w:rPr>
        <w:t xml:space="preserve"> Telstra’s low income package, worth $</w:t>
      </w:r>
      <w:proofErr w:type="spellStart"/>
      <w:r w:rsidR="00974B1E">
        <w:rPr>
          <w:rFonts w:asciiTheme="minorHAnsi" w:eastAsiaTheme="minorHAnsi" w:hAnsiTheme="minorHAnsi"/>
          <w:lang w:eastAsia="en-US"/>
        </w:rPr>
        <w:t>163m</w:t>
      </w:r>
      <w:proofErr w:type="spellEnd"/>
      <w:r w:rsidR="00974B1E">
        <w:rPr>
          <w:rFonts w:asciiTheme="minorHAnsi" w:eastAsiaTheme="minorHAnsi" w:hAnsiTheme="minorHAnsi"/>
          <w:lang w:eastAsia="en-US"/>
        </w:rPr>
        <w:t xml:space="preserve"> in 2012-2013</w:t>
      </w:r>
      <w:r w:rsidR="00D5784F">
        <w:rPr>
          <w:rFonts w:asciiTheme="minorHAnsi" w:eastAsiaTheme="minorHAnsi" w:hAnsiTheme="minorHAnsi"/>
          <w:lang w:eastAsia="en-US"/>
        </w:rPr>
        <w:t xml:space="preserve"> but decreasing</w:t>
      </w:r>
      <w:r w:rsidR="00974B1E">
        <w:rPr>
          <w:rFonts w:asciiTheme="minorHAnsi" w:eastAsiaTheme="minorHAnsi" w:hAnsiTheme="minorHAnsi"/>
          <w:lang w:eastAsia="en-US"/>
        </w:rPr>
        <w:t xml:space="preserve">, helps consumers through a number of targeted </w:t>
      </w:r>
      <w:r w:rsidR="00187961">
        <w:rPr>
          <w:rFonts w:asciiTheme="minorHAnsi" w:eastAsiaTheme="minorHAnsi" w:hAnsiTheme="minorHAnsi"/>
          <w:lang w:eastAsia="en-US"/>
        </w:rPr>
        <w:t>services</w:t>
      </w:r>
      <w:r w:rsidR="00974B1E">
        <w:rPr>
          <w:rFonts w:asciiTheme="minorHAnsi" w:eastAsiaTheme="minorHAnsi" w:hAnsiTheme="minorHAnsi"/>
          <w:lang w:eastAsia="en-US"/>
        </w:rPr>
        <w:t xml:space="preserve">. </w:t>
      </w:r>
      <w:r w:rsidR="00F52552">
        <w:rPr>
          <w:rFonts w:asciiTheme="minorHAnsi" w:eastAsiaTheme="minorHAnsi" w:hAnsiTheme="minorHAnsi"/>
          <w:lang w:eastAsia="en-US"/>
        </w:rPr>
        <w:t xml:space="preserve">This package includes relief for phone line rental, </w:t>
      </w:r>
      <w:proofErr w:type="spellStart"/>
      <w:r w:rsidR="00F52552">
        <w:rPr>
          <w:rFonts w:asciiTheme="minorHAnsi" w:eastAsiaTheme="minorHAnsi" w:hAnsiTheme="minorHAnsi"/>
          <w:lang w:eastAsia="en-US"/>
        </w:rPr>
        <w:t>InContact</w:t>
      </w:r>
      <w:proofErr w:type="spellEnd"/>
      <w:r w:rsidR="00F52552">
        <w:rPr>
          <w:rFonts w:asciiTheme="minorHAnsi" w:eastAsiaTheme="minorHAnsi" w:hAnsiTheme="minorHAnsi"/>
          <w:lang w:eastAsia="en-US"/>
        </w:rPr>
        <w:t xml:space="preserve">, which supports an estimated </w:t>
      </w:r>
      <w:r w:rsidR="00974B1E">
        <w:rPr>
          <w:rFonts w:asciiTheme="minorHAnsi" w:eastAsiaTheme="minorHAnsi" w:hAnsiTheme="minorHAnsi"/>
          <w:lang w:eastAsia="en-US"/>
        </w:rPr>
        <w:t>76,000 consumers each year.</w:t>
      </w:r>
      <w:r w:rsidR="00974B1E">
        <w:rPr>
          <w:rStyle w:val="FootnoteReference"/>
          <w:rFonts w:asciiTheme="minorHAnsi" w:eastAsiaTheme="minorHAnsi" w:hAnsiTheme="minorHAnsi"/>
          <w:lang w:eastAsia="en-US"/>
        </w:rPr>
        <w:footnoteReference w:id="54"/>
      </w:r>
      <w:r w:rsidR="00974B1E">
        <w:rPr>
          <w:rFonts w:asciiTheme="minorHAnsi" w:eastAsiaTheme="minorHAnsi" w:hAnsiTheme="minorHAnsi"/>
          <w:lang w:eastAsia="en-US"/>
        </w:rPr>
        <w:t xml:space="preserve"> </w:t>
      </w:r>
      <w:r w:rsidR="00723566">
        <w:rPr>
          <w:rFonts w:asciiTheme="minorHAnsi" w:eastAsiaTheme="minorHAnsi" w:hAnsiTheme="minorHAnsi"/>
          <w:lang w:eastAsia="en-US"/>
        </w:rPr>
        <w:t>The Telephone</w:t>
      </w:r>
      <w:r w:rsidR="00F52552">
        <w:rPr>
          <w:rFonts w:asciiTheme="minorHAnsi" w:eastAsiaTheme="minorHAnsi" w:hAnsiTheme="minorHAnsi"/>
          <w:lang w:eastAsia="en-US"/>
        </w:rPr>
        <w:t xml:space="preserve"> </w:t>
      </w:r>
      <w:r w:rsidR="00580EFF">
        <w:rPr>
          <w:rFonts w:asciiTheme="minorHAnsi" w:eastAsiaTheme="minorHAnsi" w:hAnsiTheme="minorHAnsi"/>
          <w:lang w:eastAsia="en-US"/>
        </w:rPr>
        <w:t>A</w:t>
      </w:r>
      <w:r w:rsidR="00F52552">
        <w:rPr>
          <w:rFonts w:asciiTheme="minorHAnsi" w:eastAsiaTheme="minorHAnsi" w:hAnsiTheme="minorHAnsi"/>
          <w:lang w:eastAsia="en-US"/>
        </w:rPr>
        <w:t>llowance provides eligible welfare beneficiaries between $27.80 and $41.40 per quarter to assist with connections.</w:t>
      </w:r>
      <w:r w:rsidR="00076707">
        <w:rPr>
          <w:rFonts w:asciiTheme="minorHAnsi" w:eastAsiaTheme="minorHAnsi" w:hAnsiTheme="minorHAnsi"/>
          <w:lang w:eastAsia="en-US"/>
        </w:rPr>
        <w:t xml:space="preserve"> </w:t>
      </w:r>
    </w:p>
    <w:p w:rsidR="00316537" w:rsidRDefault="0027370A" w:rsidP="0027370A">
      <w:pPr>
        <w:spacing w:before="0" w:beforeAutospacing="0" w:after="200" w:afterAutospacing="0" w:line="276" w:lineRule="auto"/>
        <w:rPr>
          <w:rFonts w:eastAsiaTheme="minorHAnsi"/>
        </w:rPr>
      </w:pPr>
      <w:r>
        <w:t xml:space="preserve">An </w:t>
      </w:r>
      <w:proofErr w:type="spellStart"/>
      <w:r>
        <w:t>ACCAN</w:t>
      </w:r>
      <w:proofErr w:type="spellEnd"/>
      <w:r>
        <w:t xml:space="preserve"> </w:t>
      </w:r>
      <w:r w:rsidRPr="0027370A">
        <w:rPr>
          <w:rFonts w:asciiTheme="minorHAnsi" w:eastAsiaTheme="minorHAnsi" w:hAnsiTheme="minorHAnsi"/>
          <w:lang w:eastAsia="en-US"/>
        </w:rPr>
        <w:t xml:space="preserve">survey found that many low income consumers are struggling to pay their telecommunications costs with 62 per cent of respondents either experiencing difficulty paying, having to cut back or stopping using one or more telecommunications services for financial reasons in the last 12 months. Half of respondents said they had difficulty paying their ongoing phone (50 per cent) and </w:t>
      </w:r>
      <w:proofErr w:type="spellStart"/>
      <w:r w:rsidRPr="0027370A">
        <w:rPr>
          <w:rFonts w:asciiTheme="minorHAnsi" w:eastAsiaTheme="minorHAnsi" w:hAnsiTheme="minorHAnsi"/>
          <w:lang w:eastAsia="en-US"/>
        </w:rPr>
        <w:t>internet</w:t>
      </w:r>
      <w:proofErr w:type="spellEnd"/>
      <w:r w:rsidRPr="0027370A">
        <w:rPr>
          <w:rFonts w:asciiTheme="minorHAnsi" w:eastAsiaTheme="minorHAnsi" w:hAnsiTheme="minorHAnsi"/>
          <w:lang w:eastAsia="en-US"/>
        </w:rPr>
        <w:t xml:space="preserve"> (49 per cent) bills.</w:t>
      </w:r>
      <w:r>
        <w:rPr>
          <w:rStyle w:val="FootnoteReference"/>
          <w:rFonts w:asciiTheme="minorHAnsi" w:eastAsiaTheme="minorHAnsi" w:hAnsiTheme="minorHAnsi"/>
          <w:lang w:eastAsia="en-US"/>
        </w:rPr>
        <w:footnoteReference w:id="55"/>
      </w:r>
      <w:r>
        <w:rPr>
          <w:rFonts w:asciiTheme="minorHAnsi" w:eastAsiaTheme="minorHAnsi" w:hAnsiTheme="minorHAnsi"/>
          <w:lang w:val="en-IE" w:eastAsia="en-US"/>
        </w:rPr>
        <w:t xml:space="preserve"> </w:t>
      </w:r>
      <w:r w:rsidR="00C6649C">
        <w:rPr>
          <w:rFonts w:asciiTheme="minorHAnsi" w:eastAsiaTheme="minorHAnsi" w:hAnsiTheme="minorHAnsi"/>
          <w:lang w:eastAsia="en-US"/>
        </w:rPr>
        <w:t xml:space="preserve">John </w:t>
      </w:r>
      <w:proofErr w:type="spellStart"/>
      <w:r w:rsidR="00C6649C">
        <w:rPr>
          <w:rFonts w:asciiTheme="minorHAnsi" w:eastAsiaTheme="minorHAnsi" w:hAnsiTheme="minorHAnsi"/>
          <w:lang w:eastAsia="en-US"/>
        </w:rPr>
        <w:t>deRidder</w:t>
      </w:r>
      <w:proofErr w:type="spellEnd"/>
      <w:r w:rsidR="00C6649C">
        <w:rPr>
          <w:rFonts w:asciiTheme="minorHAnsi" w:eastAsiaTheme="minorHAnsi" w:hAnsiTheme="minorHAnsi"/>
          <w:lang w:eastAsia="en-US"/>
        </w:rPr>
        <w:t xml:space="preserve"> estimated that between 2 and 4 million people or up to 1 million households are below the relative poverty line and</w:t>
      </w:r>
      <w:r w:rsidR="0077682D">
        <w:rPr>
          <w:rFonts w:asciiTheme="minorHAnsi" w:eastAsiaTheme="minorHAnsi" w:hAnsiTheme="minorHAnsi"/>
          <w:lang w:eastAsia="en-US"/>
        </w:rPr>
        <w:t xml:space="preserve"> may</w:t>
      </w:r>
      <w:r w:rsidR="00C6649C">
        <w:rPr>
          <w:rFonts w:asciiTheme="minorHAnsi" w:eastAsiaTheme="minorHAnsi" w:hAnsiTheme="minorHAnsi"/>
          <w:lang w:eastAsia="en-US"/>
        </w:rPr>
        <w:t xml:space="preserve"> struggle to get</w:t>
      </w:r>
      <w:r w:rsidR="0077682D">
        <w:rPr>
          <w:rFonts w:asciiTheme="minorHAnsi" w:eastAsiaTheme="minorHAnsi" w:hAnsiTheme="minorHAnsi"/>
          <w:lang w:eastAsia="en-US"/>
        </w:rPr>
        <w:t xml:space="preserve"> and</w:t>
      </w:r>
      <w:r w:rsidR="00807507">
        <w:rPr>
          <w:rFonts w:asciiTheme="minorHAnsi" w:eastAsiaTheme="minorHAnsi" w:hAnsiTheme="minorHAnsi"/>
          <w:lang w:eastAsia="en-US"/>
        </w:rPr>
        <w:t>/or</w:t>
      </w:r>
      <w:r w:rsidR="00C6649C">
        <w:rPr>
          <w:rFonts w:asciiTheme="minorHAnsi" w:eastAsiaTheme="minorHAnsi" w:hAnsiTheme="minorHAnsi"/>
          <w:lang w:eastAsia="en-US"/>
        </w:rPr>
        <w:t xml:space="preserve"> maintain a connection.</w:t>
      </w:r>
      <w:r w:rsidR="00C6649C">
        <w:rPr>
          <w:rStyle w:val="FootnoteReference"/>
          <w:rFonts w:asciiTheme="minorHAnsi" w:eastAsiaTheme="minorHAnsi" w:hAnsiTheme="minorHAnsi"/>
          <w:lang w:eastAsia="en-US"/>
        </w:rPr>
        <w:footnoteReference w:id="56"/>
      </w:r>
      <w:r w:rsidR="003F2118">
        <w:rPr>
          <w:rFonts w:asciiTheme="minorHAnsi" w:eastAsiaTheme="minorHAnsi" w:hAnsiTheme="minorHAnsi"/>
          <w:lang w:eastAsia="en-US"/>
        </w:rPr>
        <w:t xml:space="preserve"> </w:t>
      </w:r>
      <w:r w:rsidR="00D5784F">
        <w:rPr>
          <w:rFonts w:asciiTheme="minorHAnsi" w:eastAsiaTheme="minorHAnsi" w:hAnsiTheme="minorHAnsi"/>
          <w:lang w:eastAsia="en-US"/>
        </w:rPr>
        <w:t>This would indicate that the current measures are not supporting all consumers who may be facing affordability barriers.</w:t>
      </w:r>
      <w:r w:rsidR="00C6649C">
        <w:rPr>
          <w:rFonts w:asciiTheme="minorHAnsi" w:eastAsiaTheme="minorHAnsi" w:hAnsiTheme="minorHAnsi"/>
          <w:lang w:eastAsia="en-US"/>
        </w:rPr>
        <w:t xml:space="preserve"> </w:t>
      </w:r>
      <w:r w:rsidR="00BD799A">
        <w:rPr>
          <w:rFonts w:asciiTheme="minorHAnsi" w:eastAsiaTheme="minorHAnsi" w:hAnsiTheme="minorHAnsi"/>
          <w:lang w:eastAsia="en-US"/>
        </w:rPr>
        <w:t>Further work by A</w:t>
      </w:r>
      <w:proofErr w:type="spellStart"/>
      <w:r w:rsidR="00C6649C" w:rsidRPr="00C6649C">
        <w:rPr>
          <w:rFonts w:asciiTheme="minorHAnsi" w:eastAsiaTheme="minorHAnsi" w:hAnsiTheme="minorHAnsi"/>
          <w:lang w:val="en-IE" w:eastAsia="en-US"/>
        </w:rPr>
        <w:t>CCAN</w:t>
      </w:r>
      <w:proofErr w:type="spellEnd"/>
      <w:r w:rsidR="00C6649C" w:rsidRPr="00C6649C">
        <w:rPr>
          <w:rFonts w:asciiTheme="minorHAnsi" w:eastAsiaTheme="minorHAnsi" w:hAnsiTheme="minorHAnsi"/>
          <w:lang w:val="en-IE" w:eastAsia="en-US"/>
        </w:rPr>
        <w:t xml:space="preserve"> has identified</w:t>
      </w:r>
      <w:r w:rsidR="00D5784F">
        <w:rPr>
          <w:rFonts w:asciiTheme="minorHAnsi" w:eastAsiaTheme="minorHAnsi" w:hAnsiTheme="minorHAnsi"/>
          <w:lang w:val="en-IE" w:eastAsia="en-US"/>
        </w:rPr>
        <w:t xml:space="preserve"> a number of groups</w:t>
      </w:r>
      <w:r w:rsidR="00F52552">
        <w:rPr>
          <w:rFonts w:asciiTheme="minorHAnsi" w:eastAsiaTheme="minorHAnsi" w:hAnsiTheme="minorHAnsi"/>
          <w:lang w:val="en-IE" w:eastAsia="en-US"/>
        </w:rPr>
        <w:t xml:space="preserve">, not </w:t>
      </w:r>
      <w:r w:rsidR="00D5784F">
        <w:rPr>
          <w:rFonts w:asciiTheme="minorHAnsi" w:eastAsiaTheme="minorHAnsi" w:hAnsiTheme="minorHAnsi"/>
          <w:lang w:val="en-IE" w:eastAsia="en-US"/>
        </w:rPr>
        <w:t xml:space="preserve">an </w:t>
      </w:r>
      <w:r w:rsidR="00F52552">
        <w:rPr>
          <w:rFonts w:asciiTheme="minorHAnsi" w:eastAsiaTheme="minorHAnsi" w:hAnsiTheme="minorHAnsi"/>
          <w:lang w:val="en-IE" w:eastAsia="en-US"/>
        </w:rPr>
        <w:t>exhaustive</w:t>
      </w:r>
      <w:r w:rsidR="00D5784F">
        <w:rPr>
          <w:rFonts w:asciiTheme="minorHAnsi" w:eastAsiaTheme="minorHAnsi" w:hAnsiTheme="minorHAnsi"/>
          <w:lang w:val="en-IE" w:eastAsia="en-US"/>
        </w:rPr>
        <w:t xml:space="preserve"> list</w:t>
      </w:r>
      <w:r w:rsidR="00F52552">
        <w:rPr>
          <w:rFonts w:asciiTheme="minorHAnsi" w:eastAsiaTheme="minorHAnsi" w:hAnsiTheme="minorHAnsi"/>
          <w:lang w:val="en-IE" w:eastAsia="en-US"/>
        </w:rPr>
        <w:t>,</w:t>
      </w:r>
      <w:r w:rsidR="0077682D">
        <w:rPr>
          <w:rFonts w:asciiTheme="minorHAnsi" w:eastAsiaTheme="minorHAnsi" w:hAnsiTheme="minorHAnsi"/>
          <w:lang w:val="en-IE" w:eastAsia="en-US"/>
        </w:rPr>
        <w:t xml:space="preserve"> </w:t>
      </w:r>
      <w:r w:rsidR="00C6649C" w:rsidRPr="00C6649C">
        <w:rPr>
          <w:rFonts w:asciiTheme="minorHAnsi" w:eastAsiaTheme="minorHAnsi" w:hAnsiTheme="minorHAnsi"/>
          <w:lang w:val="en-IE" w:eastAsia="en-US"/>
        </w:rPr>
        <w:t xml:space="preserve">as facing unique barriers to telecommunications affordability are: people facing homelessness; low-income families; people with disability; students; older people; people receiving the lowest government income support payments (Youth Allowance and </w:t>
      </w:r>
      <w:proofErr w:type="spellStart"/>
      <w:r w:rsidR="00C6649C" w:rsidRPr="00C6649C">
        <w:rPr>
          <w:rFonts w:asciiTheme="minorHAnsi" w:eastAsiaTheme="minorHAnsi" w:hAnsiTheme="minorHAnsi"/>
          <w:lang w:val="en-IE" w:eastAsia="en-US"/>
        </w:rPr>
        <w:t>Newstart</w:t>
      </w:r>
      <w:proofErr w:type="spellEnd"/>
      <w:r w:rsidR="00C6649C" w:rsidRPr="00C6649C">
        <w:rPr>
          <w:rFonts w:asciiTheme="minorHAnsi" w:eastAsiaTheme="minorHAnsi" w:hAnsiTheme="minorHAnsi"/>
          <w:lang w:val="en-IE" w:eastAsia="en-US"/>
        </w:rPr>
        <w:t xml:space="preserve"> Allowance); migrants and asylum seekers; Aboriginal Australians and Torres Strait Islanders;</w:t>
      </w:r>
      <w:r w:rsidR="00BD799A">
        <w:rPr>
          <w:rFonts w:asciiTheme="minorHAnsi" w:eastAsiaTheme="minorHAnsi" w:hAnsiTheme="minorHAnsi"/>
          <w:lang w:val="en-IE" w:eastAsia="en-US"/>
        </w:rPr>
        <w:t xml:space="preserve"> </w:t>
      </w:r>
      <w:r w:rsidR="00C6649C" w:rsidRPr="00C6649C">
        <w:rPr>
          <w:rFonts w:asciiTheme="minorHAnsi" w:eastAsiaTheme="minorHAnsi" w:hAnsiTheme="minorHAnsi"/>
          <w:lang w:val="en-IE" w:eastAsia="en-US"/>
        </w:rPr>
        <w:t xml:space="preserve">the </w:t>
      </w:r>
      <w:r w:rsidR="00C6649C" w:rsidRPr="00C6649C">
        <w:rPr>
          <w:rFonts w:asciiTheme="minorHAnsi" w:eastAsiaTheme="minorHAnsi" w:hAnsiTheme="minorHAnsi"/>
          <w:lang w:val="en-IE" w:eastAsia="en-US"/>
        </w:rPr>
        <w:lastRenderedPageBreak/>
        <w:t>unemployed;</w:t>
      </w:r>
      <w:r w:rsidR="00BD799A">
        <w:rPr>
          <w:rFonts w:asciiTheme="minorHAnsi" w:eastAsiaTheme="minorHAnsi" w:hAnsiTheme="minorHAnsi"/>
          <w:lang w:val="en-IE" w:eastAsia="en-US"/>
        </w:rPr>
        <w:t xml:space="preserve"> </w:t>
      </w:r>
      <w:r w:rsidR="00C6649C" w:rsidRPr="00C6649C">
        <w:rPr>
          <w:rFonts w:asciiTheme="minorHAnsi" w:eastAsiaTheme="minorHAnsi" w:hAnsiTheme="minorHAnsi"/>
          <w:lang w:val="en-IE" w:eastAsia="en-US"/>
        </w:rPr>
        <w:t>prisoners; and people who live in social housing.</w:t>
      </w:r>
      <w:r w:rsidR="00BD799A">
        <w:rPr>
          <w:rStyle w:val="FootnoteReference"/>
          <w:rFonts w:asciiTheme="minorHAnsi" w:eastAsiaTheme="minorHAnsi" w:hAnsiTheme="minorHAnsi"/>
          <w:lang w:val="en-IE" w:eastAsia="en-US"/>
        </w:rPr>
        <w:footnoteReference w:id="57"/>
      </w:r>
      <w:r w:rsidR="00D5784F">
        <w:rPr>
          <w:rFonts w:asciiTheme="minorHAnsi" w:eastAsiaTheme="minorHAnsi" w:hAnsiTheme="minorHAnsi"/>
          <w:lang w:val="en-IE" w:eastAsia="en-US"/>
        </w:rPr>
        <w:t xml:space="preserve"> Many of these consumers may not qualify for assistance</w:t>
      </w:r>
      <w:r w:rsidR="00D7106C">
        <w:rPr>
          <w:rFonts w:asciiTheme="minorHAnsi" w:eastAsiaTheme="minorHAnsi" w:hAnsiTheme="minorHAnsi"/>
          <w:lang w:val="en-IE" w:eastAsia="en-US"/>
        </w:rPr>
        <w:t xml:space="preserve"> through either of the current measures that address affordability</w:t>
      </w:r>
      <w:r w:rsidR="00D5784F">
        <w:rPr>
          <w:rFonts w:asciiTheme="minorHAnsi" w:eastAsiaTheme="minorHAnsi" w:hAnsiTheme="minorHAnsi"/>
          <w:lang w:val="en-IE" w:eastAsia="en-US"/>
        </w:rPr>
        <w:t xml:space="preserve">.  </w:t>
      </w:r>
      <w:r w:rsidR="003F35CC">
        <w:rPr>
          <w:rFonts w:asciiTheme="minorHAnsi" w:eastAsiaTheme="minorHAnsi" w:hAnsiTheme="minorHAnsi"/>
          <w:lang w:val="en-IE" w:eastAsia="en-US"/>
        </w:rPr>
        <w:t>Affordability is one of the indexes that the Digital Inclusion Index will be providing further data on.</w:t>
      </w:r>
      <w:r w:rsidR="003F35CC">
        <w:rPr>
          <w:rStyle w:val="FootnoteReference"/>
          <w:rFonts w:asciiTheme="minorHAnsi" w:eastAsiaTheme="minorHAnsi" w:hAnsiTheme="minorHAnsi"/>
          <w:lang w:val="en-IE" w:eastAsia="en-US"/>
        </w:rPr>
        <w:footnoteReference w:id="58"/>
      </w:r>
      <w:r w:rsidRPr="0027370A">
        <w:t xml:space="preserve"> </w:t>
      </w:r>
      <w:bookmarkStart w:id="31" w:name="_Toc457563449"/>
    </w:p>
    <w:p w:rsidR="00B04464" w:rsidRPr="0027370A" w:rsidRDefault="00B04464" w:rsidP="00316537">
      <w:pPr>
        <w:pStyle w:val="Heading2"/>
        <w:rPr>
          <w:rFonts w:asciiTheme="minorHAnsi" w:eastAsiaTheme="minorHAnsi" w:hAnsiTheme="minorHAnsi"/>
          <w:lang w:val="en-IE"/>
        </w:rPr>
      </w:pPr>
      <w:r>
        <w:rPr>
          <w:rFonts w:eastAsiaTheme="minorHAnsi"/>
        </w:rPr>
        <w:t>Affordability for accessibility</w:t>
      </w:r>
      <w:bookmarkEnd w:id="31"/>
    </w:p>
    <w:p w:rsidR="00B04464" w:rsidRPr="00585FF3" w:rsidRDefault="00B04464" w:rsidP="00585FF3">
      <w:pPr>
        <w:spacing w:line="276" w:lineRule="auto"/>
        <w:rPr>
          <w:rFonts w:asciiTheme="minorHAnsi" w:hAnsiTheme="minorHAnsi"/>
        </w:rPr>
      </w:pPr>
      <w:r w:rsidRPr="00585FF3">
        <w:rPr>
          <w:rFonts w:asciiTheme="minorHAnsi" w:hAnsiTheme="minorHAnsi"/>
        </w:rPr>
        <w:t>While issues of connectivity affordability for consumers with disability are similar to those issues of affordability for other low-income consumers, there is an acknowledged higher cost of living with disability which further exacerbates issues of equipment affordability for consumers with disability.</w:t>
      </w:r>
      <w:r w:rsidRPr="00585FF3">
        <w:rPr>
          <w:rStyle w:val="FootnoteReference"/>
          <w:rFonts w:asciiTheme="minorHAnsi" w:hAnsiTheme="minorHAnsi"/>
        </w:rPr>
        <w:footnoteReference w:id="59"/>
      </w:r>
      <w:r w:rsidR="00585FF3" w:rsidRPr="00585FF3">
        <w:rPr>
          <w:rFonts w:asciiTheme="minorHAnsi" w:hAnsiTheme="minorHAnsi"/>
        </w:rPr>
        <w:t xml:space="preserve"> </w:t>
      </w:r>
      <w:r w:rsidR="00D7106C">
        <w:rPr>
          <w:rFonts w:asciiTheme="minorHAnsi" w:hAnsiTheme="minorHAnsi"/>
        </w:rPr>
        <w:t>Additionally, l</w:t>
      </w:r>
      <w:r w:rsidRPr="00585FF3">
        <w:rPr>
          <w:rFonts w:asciiTheme="minorHAnsi" w:hAnsiTheme="minorHAnsi"/>
        </w:rPr>
        <w:t>evels of employment for consumers with disability are considerably lower than employment levels for the general population.  Only 53 per cent of Australians with disability are in employment, and of these only 27 per cent in full-time employment</w:t>
      </w:r>
      <w:r w:rsidRPr="00585FF3">
        <w:rPr>
          <w:rStyle w:val="FootnoteReference"/>
          <w:rFonts w:asciiTheme="minorHAnsi" w:hAnsiTheme="minorHAnsi"/>
        </w:rPr>
        <w:footnoteReference w:id="60"/>
      </w:r>
      <w:r w:rsidRPr="00585FF3">
        <w:rPr>
          <w:rFonts w:asciiTheme="minorHAnsi" w:hAnsiTheme="minorHAnsi"/>
        </w:rPr>
        <w:t>. OECD indicates that almost 1 in 2 Australians with disability are living in poverty; this is more than twice the number of people without disability.</w:t>
      </w:r>
      <w:r w:rsidRPr="00585FF3">
        <w:rPr>
          <w:rStyle w:val="FootnoteReference"/>
          <w:rFonts w:asciiTheme="minorHAnsi" w:hAnsiTheme="minorHAnsi"/>
        </w:rPr>
        <w:footnoteReference w:id="61"/>
      </w:r>
      <w:r w:rsidRPr="00585FF3">
        <w:rPr>
          <w:rFonts w:asciiTheme="minorHAnsi" w:hAnsiTheme="minorHAnsi"/>
        </w:rPr>
        <w:t xml:space="preserve"> Affordability measures available through the C</w:t>
      </w:r>
      <w:r w:rsidR="00511CBF">
        <w:rPr>
          <w:rFonts w:asciiTheme="minorHAnsi" w:hAnsiTheme="minorHAnsi"/>
        </w:rPr>
        <w:t>TA</w:t>
      </w:r>
      <w:r w:rsidRPr="00585FF3">
        <w:rPr>
          <w:rFonts w:asciiTheme="minorHAnsi" w:hAnsiTheme="minorHAnsi"/>
        </w:rPr>
        <w:t xml:space="preserve"> are not available for many people on D</w:t>
      </w:r>
      <w:r w:rsidR="00D7106C">
        <w:rPr>
          <w:rFonts w:asciiTheme="minorHAnsi" w:hAnsiTheme="minorHAnsi"/>
        </w:rPr>
        <w:t xml:space="preserve">isability </w:t>
      </w:r>
      <w:r w:rsidRPr="00585FF3">
        <w:rPr>
          <w:rFonts w:asciiTheme="minorHAnsi" w:hAnsiTheme="minorHAnsi"/>
        </w:rPr>
        <w:t>S</w:t>
      </w:r>
      <w:r w:rsidR="00D7106C">
        <w:rPr>
          <w:rFonts w:asciiTheme="minorHAnsi" w:hAnsiTheme="minorHAnsi"/>
        </w:rPr>
        <w:t xml:space="preserve">upport </w:t>
      </w:r>
      <w:r w:rsidRPr="00585FF3">
        <w:rPr>
          <w:rFonts w:asciiTheme="minorHAnsi" w:hAnsiTheme="minorHAnsi"/>
        </w:rPr>
        <w:t>P</w:t>
      </w:r>
      <w:r w:rsidR="00D7106C">
        <w:rPr>
          <w:rFonts w:asciiTheme="minorHAnsi" w:hAnsiTheme="minorHAnsi"/>
        </w:rPr>
        <w:t>ension</w:t>
      </w:r>
      <w:r w:rsidR="00585FF3" w:rsidRPr="00585FF3">
        <w:rPr>
          <w:rFonts w:asciiTheme="minorHAnsi" w:hAnsiTheme="minorHAnsi"/>
        </w:rPr>
        <w:t>.</w:t>
      </w:r>
      <w:r w:rsidRPr="00585FF3">
        <w:rPr>
          <w:rStyle w:val="FootnoteReference"/>
          <w:rFonts w:asciiTheme="minorHAnsi" w:hAnsiTheme="minorHAnsi"/>
        </w:rPr>
        <w:footnoteReference w:id="62"/>
      </w:r>
      <w:r w:rsidRPr="00585FF3">
        <w:rPr>
          <w:rFonts w:asciiTheme="minorHAnsi" w:hAnsiTheme="minorHAnsi"/>
        </w:rPr>
        <w:t xml:space="preserve"> </w:t>
      </w:r>
      <w:r w:rsidR="00D7106C">
        <w:rPr>
          <w:rFonts w:asciiTheme="minorHAnsi" w:hAnsiTheme="minorHAnsi"/>
        </w:rPr>
        <w:t>The c</w:t>
      </w:r>
      <w:r w:rsidRPr="00585FF3">
        <w:rPr>
          <w:rFonts w:asciiTheme="minorHAnsi" w:hAnsiTheme="minorHAnsi"/>
        </w:rPr>
        <w:t xml:space="preserve">ost of mainstream technology, devices and access to service is unachievable for many people with disability. Deaf or hearing impaired consumers whose first language is </w:t>
      </w:r>
      <w:proofErr w:type="spellStart"/>
      <w:r w:rsidRPr="00585FF3">
        <w:rPr>
          <w:rFonts w:asciiTheme="minorHAnsi" w:hAnsiTheme="minorHAnsi"/>
        </w:rPr>
        <w:t>Auslan</w:t>
      </w:r>
      <w:proofErr w:type="spellEnd"/>
      <w:r w:rsidRPr="00585FF3">
        <w:rPr>
          <w:rFonts w:asciiTheme="minorHAnsi" w:hAnsiTheme="minorHAnsi"/>
        </w:rPr>
        <w:t xml:space="preserve"> </w:t>
      </w:r>
      <w:r w:rsidR="00585FF3" w:rsidRPr="00585FF3">
        <w:rPr>
          <w:rFonts w:asciiTheme="minorHAnsi" w:hAnsiTheme="minorHAnsi"/>
        </w:rPr>
        <w:t xml:space="preserve">have an increased need for data services to be able to communicate in </w:t>
      </w:r>
      <w:proofErr w:type="spellStart"/>
      <w:r w:rsidR="00585FF3" w:rsidRPr="00585FF3">
        <w:rPr>
          <w:rFonts w:asciiTheme="minorHAnsi" w:hAnsiTheme="minorHAnsi"/>
        </w:rPr>
        <w:t>Auslan</w:t>
      </w:r>
      <w:proofErr w:type="spellEnd"/>
      <w:r w:rsidR="00585FF3" w:rsidRPr="00585FF3">
        <w:rPr>
          <w:rFonts w:asciiTheme="minorHAnsi" w:hAnsiTheme="minorHAnsi"/>
        </w:rPr>
        <w:t xml:space="preserve">, which requires video relay. </w:t>
      </w:r>
    </w:p>
    <w:p w:rsidR="00D5784F" w:rsidRDefault="00D5784F" w:rsidP="00316537">
      <w:pPr>
        <w:pStyle w:val="Heading2"/>
      </w:pPr>
      <w:bookmarkStart w:id="36" w:name="_Toc457563450"/>
      <w:r>
        <w:t>Addressing affordability</w:t>
      </w:r>
      <w:bookmarkEnd w:id="36"/>
    </w:p>
    <w:p w:rsidR="00D5784F" w:rsidRPr="00D5784F" w:rsidRDefault="00D5784F" w:rsidP="00316537">
      <w:pPr>
        <w:spacing w:before="0" w:beforeAutospacing="0" w:after="200" w:afterAutospacing="0" w:line="276" w:lineRule="auto"/>
        <w:rPr>
          <w:lang w:eastAsia="en-US"/>
        </w:rPr>
      </w:pPr>
      <w:proofErr w:type="spellStart"/>
      <w:r>
        <w:rPr>
          <w:rFonts w:asciiTheme="minorHAnsi" w:eastAsiaTheme="minorHAnsi" w:hAnsiTheme="minorHAnsi"/>
          <w:lang w:val="en-IE" w:eastAsia="en-US"/>
        </w:rPr>
        <w:t>ACCAN</w:t>
      </w:r>
      <w:proofErr w:type="spellEnd"/>
      <w:r>
        <w:rPr>
          <w:rFonts w:asciiTheme="minorHAnsi" w:eastAsiaTheme="minorHAnsi" w:hAnsiTheme="minorHAnsi"/>
          <w:lang w:val="en-IE" w:eastAsia="en-US"/>
        </w:rPr>
        <w:t xml:space="preserve"> does not believe the current arrangements adequately address affordability barriers and need to be re-examined. Affordability measures going forward should be retail service provider independent to give consumers choice in their provider. </w:t>
      </w:r>
      <w:r w:rsidR="00B31595">
        <w:rPr>
          <w:rFonts w:asciiTheme="minorHAnsi" w:eastAsiaTheme="minorHAnsi" w:hAnsiTheme="minorHAnsi"/>
          <w:lang w:val="en-IE" w:eastAsia="en-US"/>
        </w:rPr>
        <w:t xml:space="preserve">John </w:t>
      </w:r>
      <w:proofErr w:type="spellStart"/>
      <w:r w:rsidR="00B31595">
        <w:rPr>
          <w:rFonts w:asciiTheme="minorHAnsi" w:eastAsiaTheme="minorHAnsi" w:hAnsiTheme="minorHAnsi"/>
          <w:lang w:val="en-IE" w:eastAsia="en-US"/>
        </w:rPr>
        <w:t>deRidder</w:t>
      </w:r>
      <w:proofErr w:type="spellEnd"/>
      <w:r w:rsidR="00B31595">
        <w:rPr>
          <w:rFonts w:asciiTheme="minorHAnsi" w:eastAsiaTheme="minorHAnsi" w:hAnsiTheme="minorHAnsi"/>
          <w:lang w:val="en-IE" w:eastAsia="en-US"/>
        </w:rPr>
        <w:t xml:space="preserve"> has estimated that services available from </w:t>
      </w:r>
      <w:r w:rsidR="00B31595" w:rsidRPr="00187961">
        <w:rPr>
          <w:rFonts w:asciiTheme="minorHAnsi" w:eastAsiaTheme="minorHAnsi" w:hAnsiTheme="minorHAnsi"/>
          <w:lang w:val="en-IE" w:eastAsia="en-US"/>
        </w:rPr>
        <w:t>around $5</w:t>
      </w:r>
      <w:r w:rsidR="00602BD8">
        <w:rPr>
          <w:rFonts w:asciiTheme="minorHAnsi" w:eastAsiaTheme="minorHAnsi" w:hAnsiTheme="minorHAnsi"/>
          <w:lang w:val="en-IE" w:eastAsia="en-US"/>
        </w:rPr>
        <w:t xml:space="preserve"> </w:t>
      </w:r>
      <w:r w:rsidR="00241586">
        <w:rPr>
          <w:rFonts w:asciiTheme="minorHAnsi" w:eastAsiaTheme="minorHAnsi" w:hAnsiTheme="minorHAnsi"/>
          <w:lang w:val="en-IE" w:eastAsia="en-US"/>
        </w:rPr>
        <w:t xml:space="preserve">per </w:t>
      </w:r>
      <w:r w:rsidR="00B31595" w:rsidRPr="00187961">
        <w:rPr>
          <w:rFonts w:asciiTheme="minorHAnsi" w:eastAsiaTheme="minorHAnsi" w:hAnsiTheme="minorHAnsi"/>
          <w:lang w:val="en-IE" w:eastAsia="en-US"/>
        </w:rPr>
        <w:t xml:space="preserve">week </w:t>
      </w:r>
      <w:r w:rsidR="00B31595">
        <w:rPr>
          <w:rFonts w:asciiTheme="minorHAnsi" w:eastAsiaTheme="minorHAnsi" w:hAnsiTheme="minorHAnsi"/>
          <w:lang w:val="en-IE" w:eastAsia="en-US"/>
        </w:rPr>
        <w:t xml:space="preserve">could meet </w:t>
      </w:r>
      <w:r w:rsidR="00511CBF">
        <w:rPr>
          <w:rFonts w:asciiTheme="minorHAnsi" w:eastAsiaTheme="minorHAnsi" w:hAnsiTheme="minorHAnsi"/>
          <w:lang w:val="en-IE" w:eastAsia="en-US"/>
        </w:rPr>
        <w:t xml:space="preserve">low income </w:t>
      </w:r>
      <w:r w:rsidR="00B31595">
        <w:rPr>
          <w:rFonts w:asciiTheme="minorHAnsi" w:eastAsiaTheme="minorHAnsi" w:hAnsiTheme="minorHAnsi"/>
          <w:lang w:val="en-IE" w:eastAsia="en-US"/>
        </w:rPr>
        <w:t>consumers’ needs.</w:t>
      </w:r>
      <w:r w:rsidR="00B31595">
        <w:rPr>
          <w:rStyle w:val="FootnoteReference"/>
          <w:rFonts w:asciiTheme="minorHAnsi" w:eastAsiaTheme="minorHAnsi" w:hAnsiTheme="minorHAnsi"/>
          <w:lang w:val="en-IE" w:eastAsia="en-US"/>
        </w:rPr>
        <w:footnoteReference w:id="63"/>
      </w:r>
      <w:r w:rsidR="00B31595">
        <w:rPr>
          <w:rFonts w:asciiTheme="minorHAnsi" w:eastAsiaTheme="minorHAnsi" w:hAnsiTheme="minorHAnsi"/>
          <w:lang w:val="en-IE" w:eastAsia="en-US"/>
        </w:rPr>
        <w:t xml:space="preserve"> </w:t>
      </w:r>
      <w:r w:rsidR="00185430">
        <w:rPr>
          <w:rFonts w:asciiTheme="minorHAnsi" w:eastAsiaTheme="minorHAnsi" w:hAnsiTheme="minorHAnsi"/>
          <w:lang w:val="en-IE" w:eastAsia="en-US"/>
        </w:rPr>
        <w:t xml:space="preserve">This could be achieved in a number of ways. Firstly, </w:t>
      </w:r>
      <w:r w:rsidR="003F2118">
        <w:rPr>
          <w:rFonts w:asciiTheme="minorHAnsi" w:eastAsiaTheme="minorHAnsi" w:hAnsiTheme="minorHAnsi"/>
          <w:lang w:val="en-IE" w:eastAsia="en-US"/>
        </w:rPr>
        <w:t>Government could provide financial assistance to consumers</w:t>
      </w:r>
      <w:r w:rsidR="00B31595">
        <w:rPr>
          <w:rFonts w:asciiTheme="minorHAnsi" w:eastAsiaTheme="minorHAnsi" w:hAnsiTheme="minorHAnsi"/>
          <w:lang w:val="en-IE" w:eastAsia="en-US"/>
        </w:rPr>
        <w:t xml:space="preserve"> for services and </w:t>
      </w:r>
      <w:r w:rsidR="00CB3F82">
        <w:rPr>
          <w:rFonts w:asciiTheme="minorHAnsi" w:eastAsiaTheme="minorHAnsi" w:hAnsiTheme="minorHAnsi"/>
          <w:lang w:val="en-IE" w:eastAsia="en-US"/>
        </w:rPr>
        <w:t>devices; this could be through a revised CTA</w:t>
      </w:r>
      <w:r w:rsidR="00B31595">
        <w:rPr>
          <w:rFonts w:asciiTheme="minorHAnsi" w:eastAsiaTheme="minorHAnsi" w:hAnsiTheme="minorHAnsi"/>
          <w:lang w:val="en-IE" w:eastAsia="en-US"/>
        </w:rPr>
        <w:t xml:space="preserve">. The carrier </w:t>
      </w:r>
      <w:r w:rsidR="00185430">
        <w:rPr>
          <w:rFonts w:asciiTheme="minorHAnsi" w:eastAsiaTheme="minorHAnsi" w:hAnsiTheme="minorHAnsi"/>
          <w:lang w:val="en-IE" w:eastAsia="en-US"/>
        </w:rPr>
        <w:t>licence conditions</w:t>
      </w:r>
      <w:r w:rsidR="00B31595">
        <w:rPr>
          <w:rFonts w:asciiTheme="minorHAnsi" w:eastAsiaTheme="minorHAnsi" w:hAnsiTheme="minorHAnsi"/>
          <w:lang w:val="en-IE" w:eastAsia="en-US"/>
        </w:rPr>
        <w:t xml:space="preserve">, currently only applicable to Telstra, </w:t>
      </w:r>
      <w:r w:rsidR="00185430">
        <w:rPr>
          <w:rFonts w:asciiTheme="minorHAnsi" w:eastAsiaTheme="minorHAnsi" w:hAnsiTheme="minorHAnsi"/>
          <w:lang w:val="en-IE" w:eastAsia="en-US"/>
        </w:rPr>
        <w:t xml:space="preserve">could be </w:t>
      </w:r>
      <w:r w:rsidR="00B31595">
        <w:rPr>
          <w:rFonts w:asciiTheme="minorHAnsi" w:eastAsiaTheme="minorHAnsi" w:hAnsiTheme="minorHAnsi"/>
          <w:lang w:val="en-IE" w:eastAsia="en-US"/>
        </w:rPr>
        <w:t xml:space="preserve">expanded </w:t>
      </w:r>
      <w:r w:rsidR="00241586">
        <w:rPr>
          <w:rFonts w:asciiTheme="minorHAnsi" w:eastAsiaTheme="minorHAnsi" w:hAnsiTheme="minorHAnsi"/>
          <w:lang w:val="en-IE" w:eastAsia="en-US"/>
        </w:rPr>
        <w:t>so that</w:t>
      </w:r>
      <w:r w:rsidR="00B31595">
        <w:rPr>
          <w:rFonts w:asciiTheme="minorHAnsi" w:eastAsiaTheme="minorHAnsi" w:hAnsiTheme="minorHAnsi"/>
          <w:lang w:val="en-IE" w:eastAsia="en-US"/>
        </w:rPr>
        <w:t xml:space="preserve"> all retail service providers </w:t>
      </w:r>
      <w:r w:rsidR="00241586">
        <w:rPr>
          <w:rFonts w:asciiTheme="minorHAnsi" w:eastAsiaTheme="minorHAnsi" w:hAnsiTheme="minorHAnsi"/>
          <w:lang w:val="en-IE" w:eastAsia="en-US"/>
        </w:rPr>
        <w:t xml:space="preserve">are required </w:t>
      </w:r>
      <w:r w:rsidR="00B31595">
        <w:rPr>
          <w:rFonts w:asciiTheme="minorHAnsi" w:eastAsiaTheme="minorHAnsi" w:hAnsiTheme="minorHAnsi"/>
          <w:lang w:val="en-IE" w:eastAsia="en-US"/>
        </w:rPr>
        <w:t>to offer</w:t>
      </w:r>
      <w:r w:rsidR="00185430">
        <w:rPr>
          <w:rFonts w:asciiTheme="minorHAnsi" w:eastAsiaTheme="minorHAnsi" w:hAnsiTheme="minorHAnsi"/>
          <w:lang w:val="en-IE" w:eastAsia="en-US"/>
        </w:rPr>
        <w:t xml:space="preserve"> low</w:t>
      </w:r>
      <w:r w:rsidR="00241586">
        <w:rPr>
          <w:rFonts w:asciiTheme="minorHAnsi" w:eastAsiaTheme="minorHAnsi" w:hAnsiTheme="minorHAnsi"/>
          <w:lang w:val="en-IE" w:eastAsia="en-US"/>
        </w:rPr>
        <w:t>-</w:t>
      </w:r>
      <w:r w:rsidR="00185430">
        <w:rPr>
          <w:rFonts w:asciiTheme="minorHAnsi" w:eastAsiaTheme="minorHAnsi" w:hAnsiTheme="minorHAnsi"/>
          <w:lang w:val="en-IE" w:eastAsia="en-US"/>
        </w:rPr>
        <w:t xml:space="preserve">income support </w:t>
      </w:r>
      <w:r w:rsidR="00241586">
        <w:rPr>
          <w:rFonts w:asciiTheme="minorHAnsi" w:eastAsiaTheme="minorHAnsi" w:hAnsiTheme="minorHAnsi"/>
          <w:lang w:val="en-IE" w:eastAsia="en-US"/>
        </w:rPr>
        <w:t>and</w:t>
      </w:r>
      <w:r w:rsidR="00185430">
        <w:rPr>
          <w:rFonts w:asciiTheme="minorHAnsi" w:eastAsiaTheme="minorHAnsi" w:hAnsiTheme="minorHAnsi"/>
          <w:lang w:val="en-IE" w:eastAsia="en-US"/>
        </w:rPr>
        <w:t xml:space="preserve"> services. Alternatively </w:t>
      </w:r>
      <w:proofErr w:type="spellStart"/>
      <w:r w:rsidR="00185430">
        <w:rPr>
          <w:rFonts w:asciiTheme="minorHAnsi" w:eastAsiaTheme="minorHAnsi" w:hAnsiTheme="minorHAnsi"/>
          <w:lang w:val="en-IE" w:eastAsia="en-US"/>
        </w:rPr>
        <w:t>nbn</w:t>
      </w:r>
      <w:proofErr w:type="spellEnd"/>
      <w:r w:rsidR="00185430">
        <w:rPr>
          <w:rFonts w:asciiTheme="minorHAnsi" w:eastAsiaTheme="minorHAnsi" w:hAnsiTheme="minorHAnsi"/>
          <w:lang w:val="en-IE" w:eastAsia="en-US"/>
        </w:rPr>
        <w:t xml:space="preserve"> could provide eligible end users with a coupon or voucher for discounted services to be redeemed from</w:t>
      </w:r>
      <w:r w:rsidR="00F542B3" w:rsidRPr="00F542B3">
        <w:rPr>
          <w:rFonts w:asciiTheme="minorHAnsi" w:eastAsiaTheme="minorHAnsi" w:hAnsiTheme="minorHAnsi"/>
          <w:lang w:val="en-IE" w:eastAsia="en-US"/>
        </w:rPr>
        <w:t xml:space="preserve"> </w:t>
      </w:r>
      <w:r w:rsidR="00185430">
        <w:rPr>
          <w:rFonts w:asciiTheme="minorHAnsi" w:eastAsiaTheme="minorHAnsi" w:hAnsiTheme="minorHAnsi"/>
          <w:lang w:val="en-IE" w:eastAsia="en-US"/>
        </w:rPr>
        <w:t xml:space="preserve">their choice of </w:t>
      </w:r>
      <w:r w:rsidR="00F542B3" w:rsidRPr="00F542B3">
        <w:rPr>
          <w:rFonts w:asciiTheme="minorHAnsi" w:eastAsiaTheme="minorHAnsi" w:hAnsiTheme="minorHAnsi"/>
          <w:lang w:val="en-IE" w:eastAsia="en-US"/>
        </w:rPr>
        <w:t>service provider</w:t>
      </w:r>
      <w:r w:rsidR="00185430">
        <w:rPr>
          <w:rFonts w:asciiTheme="minorHAnsi" w:eastAsiaTheme="minorHAnsi" w:hAnsiTheme="minorHAnsi"/>
          <w:lang w:val="en-IE" w:eastAsia="en-US"/>
        </w:rPr>
        <w:t>s</w:t>
      </w:r>
      <w:r w:rsidR="00F542B3" w:rsidRPr="00F542B3">
        <w:rPr>
          <w:rFonts w:asciiTheme="minorHAnsi" w:eastAsiaTheme="minorHAnsi" w:hAnsiTheme="minorHAnsi"/>
          <w:lang w:val="en-IE" w:eastAsia="en-US"/>
        </w:rPr>
        <w:t xml:space="preserve"> to allow the end-user to obtain a price discount which the provider could in</w:t>
      </w:r>
      <w:r w:rsidR="00F542B3">
        <w:rPr>
          <w:rFonts w:asciiTheme="minorHAnsi" w:eastAsiaTheme="minorHAnsi" w:hAnsiTheme="minorHAnsi"/>
          <w:lang w:val="en-IE" w:eastAsia="en-US"/>
        </w:rPr>
        <w:t xml:space="preserve"> </w:t>
      </w:r>
      <w:r w:rsidR="00185430">
        <w:rPr>
          <w:rFonts w:asciiTheme="minorHAnsi" w:eastAsiaTheme="minorHAnsi" w:hAnsiTheme="minorHAnsi"/>
          <w:lang w:val="en-IE" w:eastAsia="en-US"/>
        </w:rPr>
        <w:t xml:space="preserve">turn claim from </w:t>
      </w:r>
      <w:proofErr w:type="spellStart"/>
      <w:r w:rsidR="00185430">
        <w:rPr>
          <w:rFonts w:asciiTheme="minorHAnsi" w:eastAsiaTheme="minorHAnsi" w:hAnsiTheme="minorHAnsi"/>
          <w:lang w:val="en-IE" w:eastAsia="en-US"/>
        </w:rPr>
        <w:t>nbn</w:t>
      </w:r>
      <w:proofErr w:type="spellEnd"/>
      <w:r w:rsidR="00185430">
        <w:rPr>
          <w:rFonts w:asciiTheme="minorHAnsi" w:eastAsiaTheme="minorHAnsi" w:hAnsiTheme="minorHAnsi"/>
          <w:lang w:val="en-IE" w:eastAsia="en-US"/>
        </w:rPr>
        <w:t xml:space="preserve">. </w:t>
      </w:r>
      <w:r w:rsidR="00B31595">
        <w:rPr>
          <w:rFonts w:asciiTheme="minorHAnsi" w:eastAsiaTheme="minorHAnsi" w:hAnsiTheme="minorHAnsi"/>
          <w:lang w:val="en-IE" w:eastAsia="en-US"/>
        </w:rPr>
        <w:t xml:space="preserve">This could be funded by public funding to </w:t>
      </w:r>
      <w:proofErr w:type="spellStart"/>
      <w:r w:rsidR="00B31595">
        <w:rPr>
          <w:rFonts w:asciiTheme="minorHAnsi" w:eastAsiaTheme="minorHAnsi" w:hAnsiTheme="minorHAnsi"/>
          <w:lang w:val="en-IE" w:eastAsia="en-US"/>
        </w:rPr>
        <w:t>nbn</w:t>
      </w:r>
      <w:proofErr w:type="spellEnd"/>
      <w:r w:rsidR="00B31595">
        <w:rPr>
          <w:rFonts w:asciiTheme="minorHAnsi" w:eastAsiaTheme="minorHAnsi" w:hAnsiTheme="minorHAnsi"/>
          <w:lang w:val="en-IE" w:eastAsia="en-US"/>
        </w:rPr>
        <w:t>.</w:t>
      </w:r>
    </w:p>
    <w:bookmarkStart w:id="37" w:name="_Toc457563451"/>
    <w:p w:rsidR="009A330D" w:rsidRDefault="00CF339F" w:rsidP="009A330D">
      <w:pPr>
        <w:pStyle w:val="Heading1"/>
      </w:pPr>
      <w:r w:rsidRPr="00016372">
        <w:rPr>
          <w:noProof/>
          <w:lang w:eastAsia="en-AU"/>
        </w:rPr>
        <w:lastRenderedPageBreak/>
        <mc:AlternateContent>
          <mc:Choice Requires="wps">
            <w:drawing>
              <wp:anchor distT="91440" distB="91440" distL="114300" distR="114300" simplePos="0" relativeHeight="251681792" behindDoc="0" locked="0" layoutInCell="0" allowOverlap="1" wp14:anchorId="45922C7F" wp14:editId="13C1D643">
                <wp:simplePos x="0" y="0"/>
                <wp:positionH relativeFrom="margin">
                  <wp:posOffset>3371850</wp:posOffset>
                </wp:positionH>
                <wp:positionV relativeFrom="margin">
                  <wp:posOffset>200025</wp:posOffset>
                </wp:positionV>
                <wp:extent cx="2239010" cy="7781925"/>
                <wp:effectExtent l="38100" t="38100" r="107950" b="161925"/>
                <wp:wrapSquare wrapText="bothSides"/>
                <wp:docPr id="11"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239010" cy="7781925"/>
                        </a:xfrm>
                        <a:prstGeom prst="rect">
                          <a:avLst/>
                        </a:prstGeom>
                        <a:solidFill>
                          <a:schemeClr val="bg1"/>
                        </a:solidFill>
                        <a:ln w="19050">
                          <a:solidFill>
                            <a:schemeClr val="tx1">
                              <a:lumMod val="50000"/>
                              <a:lumOff val="50000"/>
                            </a:schemeClr>
                          </a:solidFill>
                          <a:miter lim="800000"/>
                          <a:headEnd/>
                          <a:tailEnd/>
                        </a:ln>
                        <a:effectLst>
                          <a:outerShdw blurRad="50800" dist="38100" dir="2700000" sx="100500" sy="100500" algn="tl" rotWithShape="0">
                            <a:prstClr val="black">
                              <a:alpha val="40000"/>
                            </a:prstClr>
                          </a:outerShdw>
                        </a:effectLst>
                      </wps:spPr>
                      <wps:txbx>
                        <w:txbxContent>
                          <w:p w:rsidR="00B6196A" w:rsidRDefault="00B6196A" w:rsidP="00016372">
                            <w:pPr>
                              <w:rPr>
                                <w:color w:val="4F81BD" w:themeColor="accent1"/>
                                <w:sz w:val="20"/>
                                <w:szCs w:val="20"/>
                                <w:lang w:val="en-US"/>
                              </w:rPr>
                            </w:pPr>
                            <w:r w:rsidRPr="00016372">
                              <w:rPr>
                                <w:color w:val="4F81BD" w:themeColor="accent1"/>
                                <w:sz w:val="20"/>
                                <w:szCs w:val="20"/>
                                <w:lang w:val="en-US"/>
                              </w:rPr>
                              <w:t xml:space="preserve">Daisy has Usher syndrome and is fully blind and profoundly Deaf and uses </w:t>
                            </w:r>
                            <w:proofErr w:type="spellStart"/>
                            <w:r w:rsidRPr="00016372">
                              <w:rPr>
                                <w:color w:val="4F81BD" w:themeColor="accent1"/>
                                <w:sz w:val="20"/>
                                <w:szCs w:val="20"/>
                                <w:lang w:val="en-US"/>
                              </w:rPr>
                              <w:t>Auslan</w:t>
                            </w:r>
                            <w:proofErr w:type="spellEnd"/>
                            <w:r w:rsidRPr="00016372">
                              <w:rPr>
                                <w:color w:val="4F81BD" w:themeColor="accent1"/>
                                <w:sz w:val="20"/>
                                <w:szCs w:val="20"/>
                                <w:lang w:val="en-US"/>
                              </w:rPr>
                              <w:t xml:space="preserve"> (Australian Sign Language) as her preferred method of communication. </w:t>
                            </w:r>
                            <w:r>
                              <w:rPr>
                                <w:color w:val="4F81BD" w:themeColor="accent1"/>
                                <w:sz w:val="20"/>
                                <w:szCs w:val="20"/>
                                <w:lang w:val="en-US"/>
                              </w:rPr>
                              <w:t>She</w:t>
                            </w:r>
                            <w:r w:rsidRPr="00016372">
                              <w:rPr>
                                <w:color w:val="4F81BD" w:themeColor="accent1"/>
                                <w:sz w:val="20"/>
                                <w:szCs w:val="20"/>
                                <w:lang w:val="en-US"/>
                              </w:rPr>
                              <w:t xml:space="preserve"> is unable to use a fixed line telephone as she is non-verbal and profoundly Deaf. Her vision impairment also prevents her from using a standard TTY as a fixed line phone alternative. Daisy uses a Braille TTY to make fixed line phone calls. Whilst this represents a work around for not having a telephone, it does not provide equivalent access for her. The braille TTY requires her to read Braille translations of her second language (English) as well as input text in her second language via qwerty typing at a pace sufficient to maintain a real time conversation. This is incredibly difficult, stressful and often results in breakdowns of communication. </w:t>
                            </w:r>
                          </w:p>
                          <w:p w:rsidR="00B6196A" w:rsidRPr="00016372" w:rsidRDefault="00B6196A" w:rsidP="00016372">
                            <w:pPr>
                              <w:rPr>
                                <w:color w:val="4F81BD" w:themeColor="accent1"/>
                                <w:sz w:val="20"/>
                                <w:szCs w:val="20"/>
                                <w:lang w:val="en-US"/>
                              </w:rPr>
                            </w:pPr>
                            <w:r>
                              <w:rPr>
                                <w:color w:val="4F81BD" w:themeColor="accent1"/>
                                <w:sz w:val="20"/>
                                <w:szCs w:val="20"/>
                                <w:lang w:val="en-US"/>
                              </w:rPr>
                              <w:t>An</w:t>
                            </w:r>
                            <w:r w:rsidRPr="00016372">
                              <w:rPr>
                                <w:color w:val="4F81BD" w:themeColor="accent1"/>
                                <w:sz w:val="20"/>
                                <w:szCs w:val="20"/>
                                <w:lang w:val="en-US"/>
                              </w:rPr>
                              <w:t xml:space="preserve"> iPhone with a refreshable braille display provides </w:t>
                            </w:r>
                            <w:r>
                              <w:rPr>
                                <w:color w:val="4F81BD" w:themeColor="accent1"/>
                                <w:sz w:val="20"/>
                                <w:szCs w:val="20"/>
                                <w:lang w:val="en-US"/>
                              </w:rPr>
                              <w:t xml:space="preserve">Daisy with </w:t>
                            </w:r>
                            <w:r w:rsidRPr="00016372">
                              <w:rPr>
                                <w:color w:val="4F81BD" w:themeColor="accent1"/>
                                <w:sz w:val="20"/>
                                <w:szCs w:val="20"/>
                                <w:lang w:val="en-US"/>
                              </w:rPr>
                              <w:t>great</w:t>
                            </w:r>
                            <w:r>
                              <w:rPr>
                                <w:color w:val="4F81BD" w:themeColor="accent1"/>
                                <w:sz w:val="20"/>
                                <w:szCs w:val="20"/>
                                <w:lang w:val="en-US"/>
                              </w:rPr>
                              <w:t>er</w:t>
                            </w:r>
                            <w:r w:rsidRPr="00016372">
                              <w:rPr>
                                <w:color w:val="4F81BD" w:themeColor="accent1"/>
                                <w:sz w:val="20"/>
                                <w:szCs w:val="20"/>
                                <w:lang w:val="en-US"/>
                              </w:rPr>
                              <w:t xml:space="preserve"> independence and access to information. She is able to access social media, email and </w:t>
                            </w:r>
                            <w:proofErr w:type="spellStart"/>
                            <w:r w:rsidRPr="00016372">
                              <w:rPr>
                                <w:color w:val="4F81BD" w:themeColor="accent1"/>
                                <w:sz w:val="20"/>
                                <w:szCs w:val="20"/>
                                <w:lang w:val="en-US"/>
                              </w:rPr>
                              <w:t>sms</w:t>
                            </w:r>
                            <w:proofErr w:type="spellEnd"/>
                            <w:r w:rsidRPr="00016372">
                              <w:rPr>
                                <w:color w:val="4F81BD" w:themeColor="accent1"/>
                                <w:sz w:val="20"/>
                                <w:szCs w:val="20"/>
                                <w:lang w:val="en-US"/>
                              </w:rPr>
                              <w:t xml:space="preserve"> communication as well as the National Relay Service IP relay for phone calls. By virtue of this she is locked into a sort of enforced brand dependency with Apple</w:t>
                            </w:r>
                            <w:r>
                              <w:rPr>
                                <w:color w:val="4F81BD" w:themeColor="accent1"/>
                                <w:sz w:val="20"/>
                                <w:szCs w:val="20"/>
                                <w:lang w:val="en-US"/>
                              </w:rPr>
                              <w:t>, requiring expensive devices and sufficient data allowance in her plan</w:t>
                            </w:r>
                            <w:r w:rsidRPr="00016372">
                              <w:rPr>
                                <w:color w:val="4F81BD" w:themeColor="accent1"/>
                                <w:sz w:val="20"/>
                                <w:szCs w:val="20"/>
                                <w:lang w:val="en-US"/>
                              </w:rPr>
                              <w:t xml:space="preserve">. </w:t>
                            </w:r>
                          </w:p>
                          <w:p w:rsidR="00B6196A" w:rsidRDefault="00B6196A">
                            <w:pPr>
                              <w:rPr>
                                <w:color w:val="4F81BD" w:themeColor="accent1"/>
                                <w:sz w:val="20"/>
                                <w:szCs w:val="20"/>
                              </w:rPr>
                            </w:pPr>
                          </w:p>
                        </w:txbxContent>
                      </wps:txbx>
                      <wps:bodyPr rot="0" vert="horz" wrap="square" lIns="274320" tIns="274320" rIns="274320" bIns="274320" anchor="ctr" anchorCtr="0">
                        <a:noAutofit/>
                      </wps:bodyPr>
                    </wps:wsp>
                  </a:graphicData>
                </a:graphic>
                <wp14:sizeRelH relativeFrom="margin">
                  <wp14:pctWidth>40000</wp14:pctWidth>
                </wp14:sizeRelH>
                <wp14:sizeRelV relativeFrom="page">
                  <wp14:pctHeight>0</wp14:pctHeight>
                </wp14:sizeRelV>
              </wp:anchor>
            </w:drawing>
          </mc:Choice>
          <mc:Fallback>
            <w:pict>
              <v:rect id="_x0000_s1030" style="position:absolute;left:0;text-align:left;margin-left:265.5pt;margin-top:15.75pt;width:176.3pt;height:612.75pt;flip:x;z-index:251681792;visibility:visible;mso-wrap-style:square;mso-width-percent:400;mso-height-percent:0;mso-wrap-distance-left:9pt;mso-wrap-distance-top:7.2pt;mso-wrap-distance-right:9pt;mso-wrap-distance-bottom:7.2pt;mso-position-horizontal:absolute;mso-position-horizontal-relative:margin;mso-position-vertical:absolute;mso-position-vertical-relative:margin;mso-width-percent:4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RpgIAAF0FAAAOAAAAZHJzL2Uyb0RvYy54bWysVF1v2yAUfZ+0/4B4X+04TfOhOlXVrtuk&#10;bqvaTXvGGMeoGBiQOO2v3wGnSdO9TfODxYXL4Z57z73nF9tOkY1wXhpd0tFJTonQ3NRSr0r688fN&#10;hxklPjBdM2W0KOmT8PRi+f7deW8XojCtUbVwBCDaL3pb0jYEu8gyz1vRMX9irNA4bIzrWIDpVlnt&#10;WA/0TmVFnp9lvXG1dYYL77F7PRzSZcJvGsHD96bxIhBVUsQW0t+lfxX/2fKcLVaO2VbyXRjsH6Lo&#10;mNR4dA91zQIjayf/guokd8abJpxw02WmaSQXiQPYjPI3bB5aZkXiguR4u0+T/3+w/NvmzhFZo3Yj&#10;SjTrUKN7ZI3plRJkPD+LGeqtX8Dxwd65yNHbW8MfPdHmqoWfuHTO9K1gNeIaRf/s6EI0PK6Sqv9q&#10;auCzdTApWdvGdaRR0n6OFyM0EkK2qTpP++qIbSAcm0UxniNHlHCcTaez0byYpNfYIgLF69b58EmY&#10;jsRFSR2IJFi2ufUhBnZwSUSMkvWNVCoZUXLiSjmyYRBLtRqogO5rL6VJj2Dn+SRPyEeHSbUHiLAd&#10;SKl1B+ID7CTHN6gO29Dmm21EuEdJ8R490MmAblGyK+ksAu2QYu4/6jppOTCphjWglI7MROoDZCAa&#10;Zg2Ih7buSaXW7p6h8pMcYJTUMuZsPBsNBpqkmA6PEI/0YxvBo5uR/Zc1Uyt0fVCUOBN+ydAmxcbK&#10;xadiEQ75VIw/DsVQtmUD7dMXDrvCwDuR3geZrFfxJ2VFMQ2iDNtqm8R7+iLTytRPkBrCSSrCZMKi&#10;Ne6Zkh5dXlL/e82coER90ZBrMT0dF3EuHFnuyKqOLKY54ErKg6NkMK5CGiiRsjaXEHcjk9ii8Id4&#10;QCMa6OFEaDdv4pB4bSevw1Rc/gEAAP//AwBQSwMEFAAGAAgAAAAhAA9ZVK/gAAAACwEAAA8AAABk&#10;cnMvZG93bnJldi54bWxMj0FPhDAQhe8m/odmTLwYt7CEXYKUjTHxIPGgq96ntAJZ2hJa2PrvHU/u&#10;cTJf3vtedYhmZKue/eCsgHSTANO2dWqwnYDPj+f7ApgPaBWOzmoBP9rDob6+qrBU7mzf9XoMHaMQ&#10;60sU0IcwlZz7ttcG/cZN2tLv280GA51zx9WMZwo3I98myY4bHCw19Djpp163p+NiBNytBk98edu/&#10;SCPj61fTqCgbIW5v4uMDsKBj+IfhT5/UoSYn6RarPBsF5FlKW4KALM2BEVAU2Q6YJHKb7xPgdcUv&#10;N9S/AAAA//8DAFBLAQItABQABgAIAAAAIQC2gziS/gAAAOEBAAATAAAAAAAAAAAAAAAAAAAAAABb&#10;Q29udGVudF9UeXBlc10ueG1sUEsBAi0AFAAGAAgAAAAhADj9If/WAAAAlAEAAAsAAAAAAAAAAAAA&#10;AAAALwEAAF9yZWxzLy5yZWxzUEsBAi0AFAAGAAgAAAAhAB35i9GmAgAAXQUAAA4AAAAAAAAAAAAA&#10;AAAALgIAAGRycy9lMm9Eb2MueG1sUEsBAi0AFAAGAAgAAAAhAA9ZVK/gAAAACwEAAA8AAAAAAAAA&#10;AAAAAAAAAAUAAGRycy9kb3ducmV2LnhtbFBLBQYAAAAABAAEAPMAAAANBgAAAAA=&#10;" o:allowincell="f" fillcolor="white [3212]" strokecolor="gray [1629]" strokeweight="1.5pt">
                <v:shadow on="t" type="perspective" color="black" opacity="26214f" origin="-.5,-.5" offset=".74836mm,.74836mm" matrix="65864f,,,65864f"/>
                <v:textbox inset="21.6pt,21.6pt,21.6pt,21.6pt">
                  <w:txbxContent>
                    <w:p w:rsidR="00B6196A" w:rsidRDefault="00B6196A" w:rsidP="00016372">
                      <w:pPr>
                        <w:rPr>
                          <w:color w:val="4F81BD" w:themeColor="accent1"/>
                          <w:sz w:val="20"/>
                          <w:szCs w:val="20"/>
                          <w:lang w:val="en-US"/>
                        </w:rPr>
                      </w:pPr>
                      <w:r w:rsidRPr="00016372">
                        <w:rPr>
                          <w:color w:val="4F81BD" w:themeColor="accent1"/>
                          <w:sz w:val="20"/>
                          <w:szCs w:val="20"/>
                          <w:lang w:val="en-US"/>
                        </w:rPr>
                        <w:t xml:space="preserve">Daisy has Usher syndrome and is fully blind and profoundly Deaf and uses </w:t>
                      </w:r>
                      <w:proofErr w:type="spellStart"/>
                      <w:r w:rsidRPr="00016372">
                        <w:rPr>
                          <w:color w:val="4F81BD" w:themeColor="accent1"/>
                          <w:sz w:val="20"/>
                          <w:szCs w:val="20"/>
                          <w:lang w:val="en-US"/>
                        </w:rPr>
                        <w:t>Auslan</w:t>
                      </w:r>
                      <w:proofErr w:type="spellEnd"/>
                      <w:r w:rsidRPr="00016372">
                        <w:rPr>
                          <w:color w:val="4F81BD" w:themeColor="accent1"/>
                          <w:sz w:val="20"/>
                          <w:szCs w:val="20"/>
                          <w:lang w:val="en-US"/>
                        </w:rPr>
                        <w:t xml:space="preserve"> (Australian Sign Language) as her preferred method of communication. </w:t>
                      </w:r>
                      <w:r>
                        <w:rPr>
                          <w:color w:val="4F81BD" w:themeColor="accent1"/>
                          <w:sz w:val="20"/>
                          <w:szCs w:val="20"/>
                          <w:lang w:val="en-US"/>
                        </w:rPr>
                        <w:t>She</w:t>
                      </w:r>
                      <w:r w:rsidRPr="00016372">
                        <w:rPr>
                          <w:color w:val="4F81BD" w:themeColor="accent1"/>
                          <w:sz w:val="20"/>
                          <w:szCs w:val="20"/>
                          <w:lang w:val="en-US"/>
                        </w:rPr>
                        <w:t xml:space="preserve"> is unable to use a fixed line telephone as she is non-verbal and profoundly Deaf. Her vision impairment also prevents her from using a standard TTY as a fixed line phone alternative. Daisy uses a Braille TTY to make fixed line phone calls. Whilst this represents a work around for not having a telephone, it does not provide equivalent access for her. The braille TTY requires her to read Braille translations of her second language (English) as well as input text in her second language via </w:t>
                      </w:r>
                      <w:proofErr w:type="gramStart"/>
                      <w:r w:rsidRPr="00016372">
                        <w:rPr>
                          <w:color w:val="4F81BD" w:themeColor="accent1"/>
                          <w:sz w:val="20"/>
                          <w:szCs w:val="20"/>
                          <w:lang w:val="en-US"/>
                        </w:rPr>
                        <w:t>qwerty</w:t>
                      </w:r>
                      <w:proofErr w:type="gramEnd"/>
                      <w:r w:rsidRPr="00016372">
                        <w:rPr>
                          <w:color w:val="4F81BD" w:themeColor="accent1"/>
                          <w:sz w:val="20"/>
                          <w:szCs w:val="20"/>
                          <w:lang w:val="en-US"/>
                        </w:rPr>
                        <w:t xml:space="preserve"> typing at a pace sufficient to maintain a real time conversation. This is incredibly difficult, stressful and often results in breakdowns of communication. </w:t>
                      </w:r>
                    </w:p>
                    <w:p w:rsidR="00B6196A" w:rsidRPr="00016372" w:rsidRDefault="00B6196A" w:rsidP="00016372">
                      <w:pPr>
                        <w:rPr>
                          <w:color w:val="4F81BD" w:themeColor="accent1"/>
                          <w:sz w:val="20"/>
                          <w:szCs w:val="20"/>
                          <w:lang w:val="en-US"/>
                        </w:rPr>
                      </w:pPr>
                      <w:r>
                        <w:rPr>
                          <w:color w:val="4F81BD" w:themeColor="accent1"/>
                          <w:sz w:val="20"/>
                          <w:szCs w:val="20"/>
                          <w:lang w:val="en-US"/>
                        </w:rPr>
                        <w:t>An</w:t>
                      </w:r>
                      <w:r w:rsidRPr="00016372">
                        <w:rPr>
                          <w:color w:val="4F81BD" w:themeColor="accent1"/>
                          <w:sz w:val="20"/>
                          <w:szCs w:val="20"/>
                          <w:lang w:val="en-US"/>
                        </w:rPr>
                        <w:t xml:space="preserve"> iPhone with a refreshable braille display provides </w:t>
                      </w:r>
                      <w:r>
                        <w:rPr>
                          <w:color w:val="4F81BD" w:themeColor="accent1"/>
                          <w:sz w:val="20"/>
                          <w:szCs w:val="20"/>
                          <w:lang w:val="en-US"/>
                        </w:rPr>
                        <w:t xml:space="preserve">Daisy with </w:t>
                      </w:r>
                      <w:r w:rsidRPr="00016372">
                        <w:rPr>
                          <w:color w:val="4F81BD" w:themeColor="accent1"/>
                          <w:sz w:val="20"/>
                          <w:szCs w:val="20"/>
                          <w:lang w:val="en-US"/>
                        </w:rPr>
                        <w:t>great</w:t>
                      </w:r>
                      <w:r>
                        <w:rPr>
                          <w:color w:val="4F81BD" w:themeColor="accent1"/>
                          <w:sz w:val="20"/>
                          <w:szCs w:val="20"/>
                          <w:lang w:val="en-US"/>
                        </w:rPr>
                        <w:t>er</w:t>
                      </w:r>
                      <w:r w:rsidRPr="00016372">
                        <w:rPr>
                          <w:color w:val="4F81BD" w:themeColor="accent1"/>
                          <w:sz w:val="20"/>
                          <w:szCs w:val="20"/>
                          <w:lang w:val="en-US"/>
                        </w:rPr>
                        <w:t xml:space="preserve"> independence and access to information. She is able to access social media, email and </w:t>
                      </w:r>
                      <w:proofErr w:type="spellStart"/>
                      <w:r w:rsidRPr="00016372">
                        <w:rPr>
                          <w:color w:val="4F81BD" w:themeColor="accent1"/>
                          <w:sz w:val="20"/>
                          <w:szCs w:val="20"/>
                          <w:lang w:val="en-US"/>
                        </w:rPr>
                        <w:t>sms</w:t>
                      </w:r>
                      <w:proofErr w:type="spellEnd"/>
                      <w:r w:rsidRPr="00016372">
                        <w:rPr>
                          <w:color w:val="4F81BD" w:themeColor="accent1"/>
                          <w:sz w:val="20"/>
                          <w:szCs w:val="20"/>
                          <w:lang w:val="en-US"/>
                        </w:rPr>
                        <w:t xml:space="preserve"> communication as well as the National Relay Service IP relay for phone calls. By virtue of this she is locked into a sort of enforced brand dependency with Apple</w:t>
                      </w:r>
                      <w:r>
                        <w:rPr>
                          <w:color w:val="4F81BD" w:themeColor="accent1"/>
                          <w:sz w:val="20"/>
                          <w:szCs w:val="20"/>
                          <w:lang w:val="en-US"/>
                        </w:rPr>
                        <w:t>, requiring expensive devices and sufficient data allowance in her plan</w:t>
                      </w:r>
                      <w:r w:rsidRPr="00016372">
                        <w:rPr>
                          <w:color w:val="4F81BD" w:themeColor="accent1"/>
                          <w:sz w:val="20"/>
                          <w:szCs w:val="20"/>
                          <w:lang w:val="en-US"/>
                        </w:rPr>
                        <w:t xml:space="preserve">. </w:t>
                      </w:r>
                    </w:p>
                    <w:p w:rsidR="00B6196A" w:rsidRDefault="00B6196A">
                      <w:pPr>
                        <w:rPr>
                          <w:color w:val="4F81BD" w:themeColor="accent1"/>
                          <w:sz w:val="20"/>
                          <w:szCs w:val="20"/>
                        </w:rPr>
                      </w:pPr>
                    </w:p>
                  </w:txbxContent>
                </v:textbox>
                <w10:wrap type="square" anchorx="margin" anchory="margin"/>
              </v:rect>
            </w:pict>
          </mc:Fallback>
        </mc:AlternateContent>
      </w:r>
      <w:r w:rsidR="009A330D">
        <w:t>Accessibility</w:t>
      </w:r>
      <w:bookmarkEnd w:id="37"/>
    </w:p>
    <w:p w:rsidR="002D31B5" w:rsidRDefault="002D31B5" w:rsidP="00016372">
      <w:pPr>
        <w:rPr>
          <w:lang w:eastAsia="en-US"/>
        </w:rPr>
      </w:pPr>
      <w:r>
        <w:t xml:space="preserve">Telecommunication services, particularly data services, are expected to address many barriers faced by Australians with disabilities. The National Disability Strategy states that the </w:t>
      </w:r>
      <w:proofErr w:type="spellStart"/>
      <w:r>
        <w:t>NBN</w:t>
      </w:r>
      <w:proofErr w:type="spellEnd"/>
      <w:r>
        <w:t xml:space="preserve"> is “capable of enabling Australians with disability and their carers to access a range of benefits including e-health services, remote monitoring for assisted living, interactive learning opportunities, employment opportunities, increased connectedness within the community and improved access to communication services”.</w:t>
      </w:r>
      <w:r>
        <w:rPr>
          <w:rStyle w:val="FootnoteReference"/>
        </w:rPr>
        <w:footnoteReference w:id="64"/>
      </w:r>
      <w:r>
        <w:t xml:space="preserve">  Such services can come with a hefty price in terms of the cost of equipment and data allowance. </w:t>
      </w:r>
      <w:r w:rsidRPr="004F5BC3">
        <w:rPr>
          <w:lang w:eastAsia="en-US"/>
        </w:rPr>
        <w:t>While it is anticipated that the roll-out of the National Disability Insurance Scheme (</w:t>
      </w:r>
      <w:proofErr w:type="spellStart"/>
      <w:r w:rsidRPr="004F5BC3">
        <w:rPr>
          <w:lang w:eastAsia="en-US"/>
        </w:rPr>
        <w:t>NDIS</w:t>
      </w:r>
      <w:proofErr w:type="spellEnd"/>
      <w:r w:rsidRPr="004F5BC3">
        <w:rPr>
          <w:lang w:eastAsia="en-US"/>
        </w:rPr>
        <w:t xml:space="preserve">) will provide access to equipment for those </w:t>
      </w:r>
      <w:proofErr w:type="spellStart"/>
      <w:r w:rsidRPr="004F5BC3">
        <w:rPr>
          <w:lang w:eastAsia="en-US"/>
        </w:rPr>
        <w:t>NDIS</w:t>
      </w:r>
      <w:proofErr w:type="spellEnd"/>
      <w:r w:rsidRPr="004F5BC3">
        <w:rPr>
          <w:lang w:eastAsia="en-US"/>
        </w:rPr>
        <w:t xml:space="preserve"> participants who qualify for </w:t>
      </w:r>
      <w:proofErr w:type="spellStart"/>
      <w:r w:rsidRPr="004F5BC3">
        <w:rPr>
          <w:lang w:eastAsia="en-US"/>
        </w:rPr>
        <w:t>NDIS</w:t>
      </w:r>
      <w:proofErr w:type="spellEnd"/>
      <w:r w:rsidRPr="004F5BC3">
        <w:rPr>
          <w:lang w:eastAsia="en-US"/>
        </w:rPr>
        <w:t xml:space="preserve"> funding packages – estimated to be 464,000 participants</w:t>
      </w:r>
      <w:r>
        <w:rPr>
          <w:lang w:eastAsia="en-US"/>
        </w:rPr>
        <w:t xml:space="preserve"> – </w:t>
      </w:r>
      <w:r w:rsidRPr="004F5BC3">
        <w:rPr>
          <w:lang w:eastAsia="en-US"/>
        </w:rPr>
        <w:t xml:space="preserve">for those people with disability who do not qualify for </w:t>
      </w:r>
      <w:proofErr w:type="spellStart"/>
      <w:r w:rsidRPr="004F5BC3">
        <w:rPr>
          <w:lang w:eastAsia="en-US"/>
        </w:rPr>
        <w:t>NDIS</w:t>
      </w:r>
      <w:proofErr w:type="spellEnd"/>
      <w:r w:rsidRPr="004F5BC3">
        <w:rPr>
          <w:lang w:eastAsia="en-US"/>
        </w:rPr>
        <w:t xml:space="preserve"> funding</w:t>
      </w:r>
      <w:r>
        <w:rPr>
          <w:lang w:eastAsia="en-US"/>
        </w:rPr>
        <w:t>;</w:t>
      </w:r>
      <w:r w:rsidRPr="004F5BC3">
        <w:rPr>
          <w:lang w:eastAsia="en-US"/>
        </w:rPr>
        <w:t xml:space="preserve"> people over the age of 65, people with episodic disability and those people with disability who fall outside the eli</w:t>
      </w:r>
      <w:r>
        <w:rPr>
          <w:lang w:eastAsia="en-US"/>
        </w:rPr>
        <w:t xml:space="preserve">gibility criteria for the </w:t>
      </w:r>
      <w:proofErr w:type="spellStart"/>
      <w:r>
        <w:rPr>
          <w:lang w:eastAsia="en-US"/>
        </w:rPr>
        <w:t>NDIS</w:t>
      </w:r>
      <w:proofErr w:type="spellEnd"/>
      <w:r>
        <w:rPr>
          <w:lang w:eastAsia="en-US"/>
        </w:rPr>
        <w:t xml:space="preserve">, </w:t>
      </w:r>
      <w:r w:rsidRPr="004F5BC3">
        <w:rPr>
          <w:lang w:eastAsia="en-US"/>
        </w:rPr>
        <w:t>an updated e</w:t>
      </w:r>
      <w:r>
        <w:rPr>
          <w:lang w:eastAsia="en-US"/>
        </w:rPr>
        <w:t>quipment program will be an</w:t>
      </w:r>
      <w:r w:rsidRPr="004F5BC3">
        <w:rPr>
          <w:lang w:eastAsia="en-US"/>
        </w:rPr>
        <w:t xml:space="preserve"> essential safety-</w:t>
      </w:r>
      <w:r>
        <w:rPr>
          <w:lang w:eastAsia="en-US"/>
        </w:rPr>
        <w:t>net.</w:t>
      </w:r>
    </w:p>
    <w:p w:rsidR="009A5D04" w:rsidRPr="009A5D04" w:rsidRDefault="007D00D5" w:rsidP="00016372">
      <w:pPr>
        <w:rPr>
          <w:lang w:eastAsia="en-US"/>
        </w:rPr>
      </w:pPr>
      <w:r>
        <w:rPr>
          <w:lang w:eastAsia="en-US"/>
        </w:rPr>
        <w:t xml:space="preserve">Ensuring services are accessible is a very important element of the </w:t>
      </w:r>
      <w:proofErr w:type="spellStart"/>
      <w:r>
        <w:rPr>
          <w:lang w:eastAsia="en-US"/>
        </w:rPr>
        <w:t>USO</w:t>
      </w:r>
      <w:proofErr w:type="spellEnd"/>
      <w:r>
        <w:rPr>
          <w:lang w:eastAsia="en-US"/>
        </w:rPr>
        <w:t xml:space="preserve">. </w:t>
      </w:r>
      <w:r w:rsidR="006C0690" w:rsidRPr="003A25A3">
        <w:rPr>
          <w:lang w:eastAsia="en-US"/>
        </w:rPr>
        <w:t xml:space="preserve">The regulations </w:t>
      </w:r>
      <w:r w:rsidR="00491B26">
        <w:rPr>
          <w:lang w:eastAsia="en-US"/>
        </w:rPr>
        <w:t xml:space="preserve">were amended in 1998 to </w:t>
      </w:r>
      <w:r w:rsidR="006C0690" w:rsidRPr="003A25A3">
        <w:rPr>
          <w:lang w:eastAsia="en-US"/>
        </w:rPr>
        <w:t xml:space="preserve">oblige the </w:t>
      </w:r>
      <w:proofErr w:type="spellStart"/>
      <w:r w:rsidR="006C0690" w:rsidRPr="003A25A3">
        <w:rPr>
          <w:lang w:eastAsia="en-US"/>
        </w:rPr>
        <w:t>USO</w:t>
      </w:r>
      <w:proofErr w:type="spellEnd"/>
      <w:r w:rsidR="006C0690" w:rsidRPr="003A25A3">
        <w:rPr>
          <w:lang w:eastAsia="en-US"/>
        </w:rPr>
        <w:t xml:space="preserve"> provider</w:t>
      </w:r>
      <w:r w:rsidR="006C0690" w:rsidRPr="004F5BC3">
        <w:rPr>
          <w:i/>
          <w:lang w:eastAsia="en-US"/>
        </w:rPr>
        <w:t xml:space="preserve"> </w:t>
      </w:r>
      <w:r w:rsidR="006C0690" w:rsidRPr="004F5BC3">
        <w:rPr>
          <w:lang w:eastAsia="en-US"/>
        </w:rPr>
        <w:t xml:space="preserve">to </w:t>
      </w:r>
      <w:r w:rsidR="00C36689">
        <w:rPr>
          <w:lang w:eastAsia="en-US"/>
        </w:rPr>
        <w:t xml:space="preserve">supply </w:t>
      </w:r>
      <w:r w:rsidR="006C0690" w:rsidRPr="004F5BC3">
        <w:rPr>
          <w:lang w:eastAsia="en-US"/>
        </w:rPr>
        <w:t>equipment that allows people with a disability to have access to a standard telephone service, with a specific obligation for equipment that allows customers to use the N</w:t>
      </w:r>
      <w:r w:rsidR="00C36689">
        <w:rPr>
          <w:lang w:eastAsia="en-US"/>
        </w:rPr>
        <w:t>ational Relay Service (</w:t>
      </w:r>
      <w:proofErr w:type="spellStart"/>
      <w:r w:rsidR="00C36689">
        <w:rPr>
          <w:lang w:eastAsia="en-US"/>
        </w:rPr>
        <w:t>NRS</w:t>
      </w:r>
      <w:proofErr w:type="spellEnd"/>
      <w:r w:rsidR="00C36689">
        <w:rPr>
          <w:lang w:eastAsia="en-US"/>
        </w:rPr>
        <w:t>)</w:t>
      </w:r>
      <w:r w:rsidR="006C0690" w:rsidRPr="004F5BC3">
        <w:rPr>
          <w:lang w:eastAsia="en-US"/>
        </w:rPr>
        <w:t>.</w:t>
      </w:r>
      <w:r w:rsidR="00491B26">
        <w:rPr>
          <w:rStyle w:val="FootnoteReference"/>
          <w:lang w:eastAsia="en-US"/>
        </w:rPr>
        <w:footnoteReference w:id="65"/>
      </w:r>
      <w:r w:rsidR="006C0690" w:rsidRPr="004F5BC3">
        <w:rPr>
          <w:lang w:eastAsia="en-US"/>
        </w:rPr>
        <w:t xml:space="preserve"> </w:t>
      </w:r>
      <w:r w:rsidR="00C36689">
        <w:rPr>
          <w:lang w:eastAsia="en-US"/>
        </w:rPr>
        <w:t xml:space="preserve">The current arrangements </w:t>
      </w:r>
      <w:r w:rsidR="00C36689" w:rsidRPr="009A5D04">
        <w:rPr>
          <w:lang w:eastAsia="en-US"/>
        </w:rPr>
        <w:t xml:space="preserve">create barriers to functionally equivalent access to today’s communications </w:t>
      </w:r>
      <w:r w:rsidR="00C36689">
        <w:rPr>
          <w:lang w:eastAsia="en-US"/>
        </w:rPr>
        <w:t>services</w:t>
      </w:r>
      <w:r w:rsidR="00C36689" w:rsidRPr="009A5D04">
        <w:rPr>
          <w:lang w:eastAsia="en-US"/>
        </w:rPr>
        <w:t xml:space="preserve">, with many consumers with disability requiring access to high-speed broadband or mobile phones rather than the standard telephone service as currently defined. </w:t>
      </w:r>
      <w:r w:rsidR="009A5D04" w:rsidRPr="009A5D04">
        <w:rPr>
          <w:lang w:eastAsia="en-US"/>
        </w:rPr>
        <w:t>Furthermore, many consumers with disability</w:t>
      </w:r>
      <w:r w:rsidR="002D31B5">
        <w:rPr>
          <w:lang w:eastAsia="en-US"/>
        </w:rPr>
        <w:t xml:space="preserve"> face affordability barriers due to the extent of </w:t>
      </w:r>
      <w:r w:rsidR="009A5D04" w:rsidRPr="009A5D04">
        <w:rPr>
          <w:lang w:eastAsia="en-US"/>
        </w:rPr>
        <w:t xml:space="preserve">equipment and services </w:t>
      </w:r>
      <w:r w:rsidR="002D31B5">
        <w:rPr>
          <w:lang w:eastAsia="en-US"/>
        </w:rPr>
        <w:t xml:space="preserve">they require to </w:t>
      </w:r>
      <w:r w:rsidR="009A5D04" w:rsidRPr="009A5D04">
        <w:rPr>
          <w:lang w:eastAsia="en-US"/>
        </w:rPr>
        <w:t>allowing them to communicat</w:t>
      </w:r>
      <w:r w:rsidR="002D31B5">
        <w:rPr>
          <w:lang w:eastAsia="en-US"/>
        </w:rPr>
        <w:t>e</w:t>
      </w:r>
      <w:r w:rsidR="00C36689">
        <w:rPr>
          <w:lang w:eastAsia="en-US"/>
        </w:rPr>
        <w:t>. In particular</w:t>
      </w:r>
      <w:r w:rsidR="009A5D04" w:rsidRPr="009A5D04">
        <w:rPr>
          <w:lang w:eastAsia="en-US"/>
        </w:rPr>
        <w:t xml:space="preserve">; </w:t>
      </w:r>
    </w:p>
    <w:p w:rsidR="009A5D04" w:rsidRPr="009A5D04" w:rsidRDefault="009A5D04" w:rsidP="009A5D04">
      <w:pPr>
        <w:numPr>
          <w:ilvl w:val="0"/>
          <w:numId w:val="43"/>
        </w:numPr>
        <w:rPr>
          <w:lang w:eastAsia="en-US"/>
        </w:rPr>
      </w:pPr>
      <w:r w:rsidRPr="009A5D04">
        <w:rPr>
          <w:lang w:eastAsia="en-US"/>
        </w:rPr>
        <w:t xml:space="preserve">consumers who are Deaf or hearing-impaired and who use video technology as an alternative </w:t>
      </w:r>
      <w:r w:rsidRPr="009A5D04">
        <w:rPr>
          <w:lang w:eastAsia="en-US"/>
        </w:rPr>
        <w:lastRenderedPageBreak/>
        <w:t xml:space="preserve">to or augmentation of voice telephony require guaranteed minimum download and upload speeds, </w:t>
      </w:r>
    </w:p>
    <w:p w:rsidR="009A5D04" w:rsidRPr="009A5D04" w:rsidRDefault="009A5D04" w:rsidP="009A5D04">
      <w:pPr>
        <w:numPr>
          <w:ilvl w:val="0"/>
          <w:numId w:val="43"/>
        </w:numPr>
        <w:rPr>
          <w:lang w:eastAsia="en-US"/>
        </w:rPr>
      </w:pPr>
      <w:proofErr w:type="spellStart"/>
      <w:r w:rsidRPr="009A5D04">
        <w:rPr>
          <w:lang w:eastAsia="en-US"/>
        </w:rPr>
        <w:t>Deafblind</w:t>
      </w:r>
      <w:proofErr w:type="spellEnd"/>
      <w:r w:rsidRPr="009A5D04">
        <w:rPr>
          <w:lang w:eastAsia="en-US"/>
        </w:rPr>
        <w:t xml:space="preserve"> consumers need access to a range of technologies as well as training and ongoing support in order to access communications networks, </w:t>
      </w:r>
    </w:p>
    <w:p w:rsidR="00B430B0" w:rsidRPr="009A5D04" w:rsidRDefault="00B430B0" w:rsidP="009A5D04">
      <w:pPr>
        <w:numPr>
          <w:ilvl w:val="0"/>
          <w:numId w:val="43"/>
        </w:numPr>
        <w:rPr>
          <w:lang w:eastAsia="en-US"/>
        </w:rPr>
      </w:pPr>
      <w:r w:rsidRPr="009A5D04">
        <w:rPr>
          <w:lang w:eastAsia="en-US"/>
        </w:rPr>
        <w:t>Consumers with speech impairment require access to appropriate equipment, training and ongoing support in order to be able to benefit from access to communications networks</w:t>
      </w:r>
    </w:p>
    <w:p w:rsidR="00491B26" w:rsidRDefault="00706E56" w:rsidP="00706E56">
      <w:pPr>
        <w:pStyle w:val="Heading2"/>
      </w:pPr>
      <w:bookmarkStart w:id="38" w:name="_Toc457563452"/>
      <w:r>
        <w:t xml:space="preserve">Disability </w:t>
      </w:r>
      <w:r w:rsidR="002D31B5">
        <w:t>Telecommunication S</w:t>
      </w:r>
      <w:r w:rsidR="00B430B0">
        <w:t>ervice</w:t>
      </w:r>
      <w:bookmarkEnd w:id="38"/>
    </w:p>
    <w:p w:rsidR="006C0690" w:rsidRPr="004F5BC3" w:rsidRDefault="00602BD8" w:rsidP="006C0690">
      <w:pPr>
        <w:rPr>
          <w:lang w:eastAsia="en-US"/>
        </w:rPr>
      </w:pPr>
      <w:r>
        <w:rPr>
          <w:lang w:eastAsia="en-US"/>
        </w:rPr>
        <w:t>A f</w:t>
      </w:r>
      <w:r w:rsidR="006C0690" w:rsidRPr="004F5BC3">
        <w:rPr>
          <w:lang w:eastAsia="en-US"/>
        </w:rPr>
        <w:t xml:space="preserve">uture disability equipment program needs to be flexible to reflect current communications technologies and consumer trends. The current communications landscape requires a move away from the limitations of a one-size-fits-all equipment program towards the provision of equipment which best suits the individual needs of consumers with disability. If a consumer’s assessment indicates that a particular equipment solution is needed to provide them </w:t>
      </w:r>
      <w:r w:rsidR="002F07DF">
        <w:rPr>
          <w:lang w:eastAsia="en-US"/>
        </w:rPr>
        <w:t xml:space="preserve">with </w:t>
      </w:r>
      <w:r w:rsidR="006C0690" w:rsidRPr="004F5BC3">
        <w:rPr>
          <w:lang w:eastAsia="en-US"/>
        </w:rPr>
        <w:t xml:space="preserve">functionally equivalent access to communications networks, then that equipment should be considered for funding, regardless of the type of equipment - mainstream or specialised. </w:t>
      </w:r>
    </w:p>
    <w:p w:rsidR="006C0690" w:rsidRPr="004F5BC3" w:rsidRDefault="006C0690" w:rsidP="006C0690">
      <w:pPr>
        <w:rPr>
          <w:lang w:eastAsia="en-US"/>
        </w:rPr>
      </w:pPr>
      <w:r w:rsidRPr="004F5BC3">
        <w:rPr>
          <w:lang w:eastAsia="en-US"/>
        </w:rPr>
        <w:t xml:space="preserve">For example, there is not one specific technology or device that can provide essential access to communications networks for all </w:t>
      </w:r>
      <w:proofErr w:type="spellStart"/>
      <w:r w:rsidRPr="004F5BC3">
        <w:rPr>
          <w:lang w:eastAsia="en-US"/>
        </w:rPr>
        <w:t>Deafblind</w:t>
      </w:r>
      <w:proofErr w:type="spellEnd"/>
      <w:r w:rsidRPr="004F5BC3">
        <w:rPr>
          <w:lang w:eastAsia="en-US"/>
        </w:rPr>
        <w:t xml:space="preserve"> consumers – a range of devices, software and applications which can be used in isolation or in combination need to be available through an updated equipment program.</w:t>
      </w:r>
    </w:p>
    <w:p w:rsidR="006C0690" w:rsidRDefault="006C0690" w:rsidP="006C0690">
      <w:pPr>
        <w:rPr>
          <w:lang w:eastAsia="en-US"/>
        </w:rPr>
      </w:pPr>
      <w:r w:rsidRPr="004F5BC3">
        <w:rPr>
          <w:lang w:eastAsia="en-US"/>
        </w:rPr>
        <w:t xml:space="preserve">New and emerging mainstream technologies can provide increased access for some consumers with disability. However, there remain barriers which need to be addressed to ensure that consumers with disability can benefit from these new mainstream products. Issues of product awareness, connection and set-up, training in the use of mainstream equipment and ongoing support need to be available to ensure that consumers with disability who are able to benefit from mainstream solutions can continue to use the equipment as updates and upgrades occur. Without these essential services for consumers with disability there will be an increased risk of equipment abandonment, resulting in further isolation and exclusion.  </w:t>
      </w:r>
    </w:p>
    <w:p w:rsidR="00B430B0" w:rsidRPr="00B430B0" w:rsidRDefault="00B430B0" w:rsidP="00B430B0">
      <w:pPr>
        <w:rPr>
          <w:lang w:eastAsia="en-US"/>
        </w:rPr>
      </w:pPr>
      <w:r w:rsidRPr="00B430B0">
        <w:rPr>
          <w:lang w:eastAsia="en-US"/>
        </w:rPr>
        <w:t xml:space="preserve">There is a clear need for greater intervention to ensure that all Australians with disability can access and benefit from our increasingly ubiquitous connected society. The current range of ad-hoc programs and services are not providing the necessary safety net. </w:t>
      </w:r>
      <w:proofErr w:type="spellStart"/>
      <w:r w:rsidRPr="00B430B0">
        <w:rPr>
          <w:lang w:eastAsia="en-US"/>
        </w:rPr>
        <w:t>ACCAN</w:t>
      </w:r>
      <w:proofErr w:type="spellEnd"/>
      <w:r w:rsidRPr="00B430B0">
        <w:rPr>
          <w:lang w:eastAsia="en-US"/>
        </w:rPr>
        <w:t xml:space="preserve"> sees this review of the Universal Service Obligation as an opportunity to make significant changes to communications laws, policies and practices to deliver inclusive communications to all Australians.  In 2011 </w:t>
      </w:r>
      <w:proofErr w:type="spellStart"/>
      <w:r w:rsidRPr="00B430B0">
        <w:rPr>
          <w:lang w:eastAsia="en-US"/>
        </w:rPr>
        <w:t>ACCAN</w:t>
      </w:r>
      <w:proofErr w:type="spellEnd"/>
      <w:r w:rsidRPr="00B430B0">
        <w:rPr>
          <w:lang w:eastAsia="en-US"/>
        </w:rPr>
        <w:t xml:space="preserve"> recommended the development of a national Disability Telecommunications Service (DTS)</w:t>
      </w:r>
      <w:r w:rsidRPr="00B430B0">
        <w:rPr>
          <w:vertAlign w:val="superscript"/>
          <w:lang w:eastAsia="en-US"/>
        </w:rPr>
        <w:footnoteReference w:id="66"/>
      </w:r>
      <w:r w:rsidRPr="00B430B0">
        <w:rPr>
          <w:lang w:eastAsia="en-US"/>
        </w:rPr>
        <w:t>.</w:t>
      </w:r>
      <w:r w:rsidRPr="00B430B0">
        <w:rPr>
          <w:lang w:eastAsia="en-US"/>
        </w:rPr>
        <w:tab/>
        <w:t xml:space="preserve"> We envision a DTS as a one-stop agency for communications information, equipment provision, training and support. This would alleviate many of the barriers to accessing communications for those consumers with disability who are unable to receive funding packages from the </w:t>
      </w:r>
      <w:proofErr w:type="spellStart"/>
      <w:r w:rsidRPr="00B430B0">
        <w:rPr>
          <w:lang w:eastAsia="en-US"/>
        </w:rPr>
        <w:t>NDIS</w:t>
      </w:r>
      <w:proofErr w:type="spellEnd"/>
      <w:r w:rsidRPr="00B430B0">
        <w:rPr>
          <w:lang w:eastAsia="en-US"/>
        </w:rPr>
        <w:t xml:space="preserve">.  </w:t>
      </w:r>
    </w:p>
    <w:p w:rsidR="00B430B0" w:rsidRPr="00B430B0" w:rsidRDefault="00B430B0" w:rsidP="00B430B0">
      <w:pPr>
        <w:rPr>
          <w:lang w:eastAsia="en-US"/>
        </w:rPr>
      </w:pPr>
      <w:r w:rsidRPr="00B430B0">
        <w:rPr>
          <w:lang w:eastAsia="en-US"/>
        </w:rPr>
        <w:t>The DTS would;</w:t>
      </w:r>
    </w:p>
    <w:p w:rsidR="00B430B0" w:rsidRPr="00B430B0" w:rsidRDefault="00B430B0" w:rsidP="00B430B0">
      <w:pPr>
        <w:numPr>
          <w:ilvl w:val="0"/>
          <w:numId w:val="45"/>
        </w:numPr>
        <w:rPr>
          <w:lang w:eastAsia="en-US"/>
        </w:rPr>
      </w:pPr>
      <w:r w:rsidRPr="00B430B0">
        <w:rPr>
          <w:lang w:eastAsia="en-US"/>
        </w:rPr>
        <w:t>Provide information on mainstream and assistive communications products suitable for different disabilities,</w:t>
      </w:r>
    </w:p>
    <w:p w:rsidR="00B430B0" w:rsidRPr="00B430B0" w:rsidRDefault="00B430B0" w:rsidP="00B430B0">
      <w:pPr>
        <w:numPr>
          <w:ilvl w:val="0"/>
          <w:numId w:val="45"/>
        </w:numPr>
        <w:rPr>
          <w:lang w:eastAsia="en-US"/>
        </w:rPr>
      </w:pPr>
      <w:r w:rsidRPr="00B430B0">
        <w:rPr>
          <w:lang w:eastAsia="en-US"/>
        </w:rPr>
        <w:lastRenderedPageBreak/>
        <w:t xml:space="preserve">Provide information about connection set-up, equipment training and </w:t>
      </w:r>
      <w:proofErr w:type="spellStart"/>
      <w:r w:rsidRPr="00B430B0">
        <w:rPr>
          <w:lang w:eastAsia="en-US"/>
        </w:rPr>
        <w:t>on-going</w:t>
      </w:r>
      <w:proofErr w:type="spellEnd"/>
      <w:r w:rsidRPr="00B430B0">
        <w:rPr>
          <w:lang w:eastAsia="en-US"/>
        </w:rPr>
        <w:t xml:space="preserve"> support resources for different disabilities,</w:t>
      </w:r>
    </w:p>
    <w:p w:rsidR="00B430B0" w:rsidRPr="00B430B0" w:rsidRDefault="00B430B0" w:rsidP="00B430B0">
      <w:pPr>
        <w:numPr>
          <w:ilvl w:val="0"/>
          <w:numId w:val="45"/>
        </w:numPr>
        <w:rPr>
          <w:lang w:eastAsia="en-US"/>
        </w:rPr>
      </w:pPr>
      <w:r w:rsidRPr="00B430B0">
        <w:rPr>
          <w:lang w:eastAsia="en-US"/>
        </w:rPr>
        <w:t xml:space="preserve">Provide a range of mainstream and assistive equipment to assist people with disability to access and benefit from communications – become an independent equipment program, replacing the current Telstra and Optus Disability Equipment Programs. An international example of this is the US Federal Communications Commission’s National </w:t>
      </w:r>
      <w:proofErr w:type="spellStart"/>
      <w:r w:rsidRPr="00B430B0">
        <w:rPr>
          <w:lang w:eastAsia="en-US"/>
        </w:rPr>
        <w:t>Deafblind</w:t>
      </w:r>
      <w:proofErr w:type="spellEnd"/>
      <w:r w:rsidRPr="00B430B0">
        <w:rPr>
          <w:lang w:eastAsia="en-US"/>
        </w:rPr>
        <w:t xml:space="preserve"> Equipment Distribution Program</w:t>
      </w:r>
      <w:r w:rsidRPr="00B430B0">
        <w:rPr>
          <w:vertAlign w:val="superscript"/>
          <w:lang w:eastAsia="en-US"/>
        </w:rPr>
        <w:footnoteReference w:id="67"/>
      </w:r>
      <w:r w:rsidRPr="00B430B0">
        <w:rPr>
          <w:lang w:eastAsia="en-US"/>
        </w:rPr>
        <w:t>.</w:t>
      </w:r>
    </w:p>
    <w:p w:rsidR="00B430B0" w:rsidRPr="00B430B0" w:rsidRDefault="00B430B0" w:rsidP="00B430B0">
      <w:pPr>
        <w:rPr>
          <w:lang w:val="en" w:eastAsia="en-US"/>
        </w:rPr>
      </w:pPr>
      <w:r w:rsidRPr="00B430B0">
        <w:rPr>
          <w:lang w:eastAsia="en-US"/>
        </w:rPr>
        <w:t xml:space="preserve">A potential model </w:t>
      </w:r>
      <w:r w:rsidR="002F07DF">
        <w:rPr>
          <w:lang w:eastAsia="en-US"/>
        </w:rPr>
        <w:t>for</w:t>
      </w:r>
      <w:r w:rsidRPr="00B430B0">
        <w:rPr>
          <w:lang w:eastAsia="en-US"/>
        </w:rPr>
        <w:t xml:space="preserve"> the DTS is the </w:t>
      </w:r>
      <w:proofErr w:type="spellStart"/>
      <w:r w:rsidRPr="00B430B0">
        <w:rPr>
          <w:lang w:eastAsia="en-US"/>
        </w:rPr>
        <w:t>NDIS</w:t>
      </w:r>
      <w:proofErr w:type="spellEnd"/>
      <w:r w:rsidRPr="00B430B0">
        <w:rPr>
          <w:lang w:eastAsia="en-US"/>
        </w:rPr>
        <w:t xml:space="preserve"> Information, Linkages and Capacity </w:t>
      </w:r>
      <w:r w:rsidR="002F07DF">
        <w:rPr>
          <w:lang w:eastAsia="en-US"/>
        </w:rPr>
        <w:t>B</w:t>
      </w:r>
      <w:r w:rsidRPr="00B430B0">
        <w:rPr>
          <w:lang w:eastAsia="en-US"/>
        </w:rPr>
        <w:t>uilding (</w:t>
      </w:r>
      <w:proofErr w:type="spellStart"/>
      <w:r w:rsidRPr="00B430B0">
        <w:rPr>
          <w:lang w:eastAsia="en-US"/>
        </w:rPr>
        <w:t>ILC</w:t>
      </w:r>
      <w:proofErr w:type="spellEnd"/>
      <w:r w:rsidRPr="00B430B0">
        <w:rPr>
          <w:lang w:eastAsia="en-US"/>
        </w:rPr>
        <w:t>) National Carers Gateway</w:t>
      </w:r>
      <w:r w:rsidR="002D31B5">
        <w:rPr>
          <w:lang w:eastAsia="en-US"/>
        </w:rPr>
        <w:t xml:space="preserve"> (the Gateway)</w:t>
      </w:r>
      <w:r w:rsidRPr="00B430B0">
        <w:rPr>
          <w:lang w:eastAsia="en-US"/>
        </w:rPr>
        <w:t xml:space="preserve">. The Gateway will </w:t>
      </w:r>
      <w:r w:rsidRPr="00B430B0">
        <w:rPr>
          <w:lang w:val="en" w:eastAsia="en-US"/>
        </w:rPr>
        <w:t xml:space="preserve">provide a central place for </w:t>
      </w:r>
      <w:proofErr w:type="spellStart"/>
      <w:r w:rsidRPr="00B430B0">
        <w:rPr>
          <w:lang w:val="en" w:eastAsia="en-US"/>
        </w:rPr>
        <w:t>carers</w:t>
      </w:r>
      <w:proofErr w:type="spellEnd"/>
      <w:r w:rsidRPr="00B430B0">
        <w:rPr>
          <w:lang w:val="en" w:eastAsia="en-US"/>
        </w:rPr>
        <w:t xml:space="preserve"> to go for information, support and referral to services and will be the ‘front door' for all existing services, regardless of the system they are provided through. The </w:t>
      </w:r>
      <w:r w:rsidR="002F07DF">
        <w:rPr>
          <w:lang w:val="en" w:eastAsia="en-US"/>
        </w:rPr>
        <w:t>G</w:t>
      </w:r>
      <w:r w:rsidRPr="00B430B0">
        <w:rPr>
          <w:lang w:val="en" w:eastAsia="en-US"/>
        </w:rPr>
        <w:t xml:space="preserve">ateway will include a national telephone contact </w:t>
      </w:r>
      <w:r w:rsidR="002D31B5" w:rsidRPr="00B430B0">
        <w:rPr>
          <w:lang w:val="en" w:eastAsia="en-US"/>
        </w:rPr>
        <w:t>center</w:t>
      </w:r>
      <w:r w:rsidRPr="00B430B0">
        <w:rPr>
          <w:lang w:val="en" w:eastAsia="en-US"/>
        </w:rPr>
        <w:t xml:space="preserve">, a website with </w:t>
      </w:r>
      <w:proofErr w:type="spellStart"/>
      <w:r w:rsidRPr="00B430B0">
        <w:rPr>
          <w:lang w:val="en" w:eastAsia="en-US"/>
        </w:rPr>
        <w:t>carer</w:t>
      </w:r>
      <w:proofErr w:type="spellEnd"/>
      <w:r w:rsidRPr="00B430B0">
        <w:rPr>
          <w:lang w:val="en" w:eastAsia="en-US"/>
        </w:rPr>
        <w:t xml:space="preserve">-specific information and a service finder to make it easier for </w:t>
      </w:r>
      <w:proofErr w:type="spellStart"/>
      <w:r w:rsidRPr="00B430B0">
        <w:rPr>
          <w:lang w:val="en" w:eastAsia="en-US"/>
        </w:rPr>
        <w:t>carers</w:t>
      </w:r>
      <w:proofErr w:type="spellEnd"/>
      <w:r w:rsidRPr="00B430B0">
        <w:rPr>
          <w:lang w:val="en" w:eastAsia="en-US"/>
        </w:rPr>
        <w:t xml:space="preserve"> to find the information and support they need.</w:t>
      </w:r>
    </w:p>
    <w:p w:rsidR="00706E56" w:rsidRDefault="00706E56" w:rsidP="00706E56">
      <w:pPr>
        <w:pStyle w:val="Heading2"/>
      </w:pPr>
      <w:bookmarkStart w:id="39" w:name="_Toc457563453"/>
      <w:r>
        <w:t xml:space="preserve">National </w:t>
      </w:r>
      <w:r w:rsidR="00C420D0">
        <w:t>R</w:t>
      </w:r>
      <w:r>
        <w:t xml:space="preserve">elay </w:t>
      </w:r>
      <w:r w:rsidR="00C420D0">
        <w:t>S</w:t>
      </w:r>
      <w:r>
        <w:t>ervice</w:t>
      </w:r>
      <w:bookmarkEnd w:id="39"/>
    </w:p>
    <w:p w:rsidR="006C0690" w:rsidRPr="004F5BC3" w:rsidRDefault="006C0690" w:rsidP="006C0690">
      <w:pPr>
        <w:rPr>
          <w:lang w:eastAsia="en-US"/>
        </w:rPr>
      </w:pPr>
      <w:r w:rsidRPr="004F5BC3">
        <w:rPr>
          <w:lang w:eastAsia="en-US"/>
        </w:rPr>
        <w:t xml:space="preserve">While the </w:t>
      </w:r>
      <w:proofErr w:type="spellStart"/>
      <w:r w:rsidRPr="004F5BC3">
        <w:rPr>
          <w:lang w:eastAsia="en-US"/>
        </w:rPr>
        <w:t>NRS</w:t>
      </w:r>
      <w:proofErr w:type="spellEnd"/>
      <w:r w:rsidRPr="004F5BC3">
        <w:rPr>
          <w:lang w:eastAsia="en-US"/>
        </w:rPr>
        <w:t xml:space="preserve"> is a </w:t>
      </w:r>
      <w:r w:rsidR="00C36689">
        <w:rPr>
          <w:lang w:eastAsia="en-US"/>
        </w:rPr>
        <w:t>n</w:t>
      </w:r>
      <w:r w:rsidRPr="004F5BC3">
        <w:rPr>
          <w:lang w:eastAsia="en-US"/>
        </w:rPr>
        <w:t>ationwide service legislated by the Commonwealth and managed under Commonwealth contracts, the service is funded from a levy on eligible telecommunications companies.</w:t>
      </w:r>
      <w:r w:rsidR="002D31B5">
        <w:rPr>
          <w:rStyle w:val="FootnoteReference"/>
          <w:lang w:eastAsia="en-US"/>
        </w:rPr>
        <w:footnoteReference w:id="68"/>
      </w:r>
      <w:r>
        <w:rPr>
          <w:lang w:eastAsia="en-US"/>
        </w:rPr>
        <w:t xml:space="preserve"> </w:t>
      </w:r>
      <w:r w:rsidRPr="004F5BC3">
        <w:rPr>
          <w:lang w:eastAsia="en-US"/>
        </w:rPr>
        <w:t xml:space="preserve">The implicit objective of this </w:t>
      </w:r>
      <w:r w:rsidRPr="002D31B5">
        <w:rPr>
          <w:lang w:eastAsia="en-US"/>
        </w:rPr>
        <w:t>legislation</w:t>
      </w:r>
      <w:r w:rsidRPr="004F5BC3">
        <w:rPr>
          <w:lang w:eastAsia="en-US"/>
        </w:rPr>
        <w:t xml:space="preserve"> is that consumers who are Deaf, hearing-impaired or speech-impaired will have anywhere, anytime access to a service which provides functionally equivalent availability to the standard telephone service available to general consumers. </w:t>
      </w:r>
    </w:p>
    <w:p w:rsidR="006C0690" w:rsidRPr="004F5BC3" w:rsidRDefault="006C0690" w:rsidP="006C0690">
      <w:pPr>
        <w:rPr>
          <w:lang w:eastAsia="en-US"/>
        </w:rPr>
      </w:pPr>
      <w:r w:rsidRPr="004F5BC3">
        <w:rPr>
          <w:lang w:eastAsia="en-US"/>
        </w:rPr>
        <w:t xml:space="preserve">Currently, all but one of the relay services provides this equivalency of availability. The video relay service is currently only provided on a limited basis, thus excluding </w:t>
      </w:r>
      <w:proofErr w:type="spellStart"/>
      <w:r w:rsidRPr="004F5BC3">
        <w:rPr>
          <w:lang w:eastAsia="en-US"/>
        </w:rPr>
        <w:t>Auslan</w:t>
      </w:r>
      <w:proofErr w:type="spellEnd"/>
      <w:r w:rsidRPr="004F5BC3">
        <w:rPr>
          <w:lang w:eastAsia="en-US"/>
        </w:rPr>
        <w:t xml:space="preserve"> users from functionally equivalent access to a telecommunications service. In order to meet the policy objectives of the T</w:t>
      </w:r>
      <w:r w:rsidR="00C420D0">
        <w:rPr>
          <w:lang w:eastAsia="en-US"/>
        </w:rPr>
        <w:t>elecommunications (</w:t>
      </w:r>
      <w:r w:rsidRPr="004F5BC3">
        <w:rPr>
          <w:lang w:eastAsia="en-US"/>
        </w:rPr>
        <w:t>C</w:t>
      </w:r>
      <w:r w:rsidR="00C420D0">
        <w:rPr>
          <w:lang w:eastAsia="en-US"/>
        </w:rPr>
        <w:t xml:space="preserve">onsumer </w:t>
      </w:r>
      <w:r w:rsidRPr="004F5BC3">
        <w:rPr>
          <w:lang w:eastAsia="en-US"/>
        </w:rPr>
        <w:t>P</w:t>
      </w:r>
      <w:r w:rsidR="00C420D0">
        <w:rPr>
          <w:lang w:eastAsia="en-US"/>
        </w:rPr>
        <w:t xml:space="preserve">rotections and </w:t>
      </w:r>
      <w:r w:rsidRPr="004F5BC3">
        <w:rPr>
          <w:lang w:eastAsia="en-US"/>
        </w:rPr>
        <w:t>S</w:t>
      </w:r>
      <w:r w:rsidR="00C420D0">
        <w:rPr>
          <w:lang w:eastAsia="en-US"/>
        </w:rPr>
        <w:t xml:space="preserve">ervice </w:t>
      </w:r>
      <w:r w:rsidRPr="004F5BC3">
        <w:rPr>
          <w:lang w:eastAsia="en-US"/>
        </w:rPr>
        <w:t>S</w:t>
      </w:r>
      <w:r w:rsidR="00C420D0">
        <w:rPr>
          <w:lang w:eastAsia="en-US"/>
        </w:rPr>
        <w:t>tandards)</w:t>
      </w:r>
      <w:r w:rsidRPr="004F5BC3">
        <w:rPr>
          <w:lang w:eastAsia="en-US"/>
        </w:rPr>
        <w:t xml:space="preserve"> Act, the video relay service needs to be provided on a 24 hour</w:t>
      </w:r>
      <w:r w:rsidR="00A22541">
        <w:rPr>
          <w:lang w:eastAsia="en-US"/>
        </w:rPr>
        <w:t>s</w:t>
      </w:r>
      <w:r w:rsidRPr="004F5BC3">
        <w:rPr>
          <w:lang w:eastAsia="en-US"/>
        </w:rPr>
        <w:t>, 7 day</w:t>
      </w:r>
      <w:r w:rsidR="00A22541">
        <w:rPr>
          <w:lang w:eastAsia="en-US"/>
        </w:rPr>
        <w:t>s a week</w:t>
      </w:r>
      <w:r w:rsidRPr="004F5BC3">
        <w:rPr>
          <w:lang w:eastAsia="en-US"/>
        </w:rPr>
        <w:t xml:space="preserve"> basis.</w:t>
      </w:r>
    </w:p>
    <w:p w:rsidR="006C0690" w:rsidRPr="004F5BC3" w:rsidRDefault="006C0690" w:rsidP="006C0690">
      <w:pPr>
        <w:rPr>
          <w:lang w:eastAsia="en-US"/>
        </w:rPr>
      </w:pPr>
      <w:r w:rsidRPr="004F5BC3">
        <w:rPr>
          <w:lang w:eastAsia="en-US"/>
        </w:rPr>
        <w:t xml:space="preserve">Over the last several years, since the commencement of the current </w:t>
      </w:r>
      <w:proofErr w:type="spellStart"/>
      <w:r w:rsidRPr="004F5BC3">
        <w:rPr>
          <w:lang w:eastAsia="en-US"/>
        </w:rPr>
        <w:t>NRS</w:t>
      </w:r>
      <w:proofErr w:type="spellEnd"/>
      <w:r w:rsidRPr="004F5BC3">
        <w:rPr>
          <w:lang w:eastAsia="en-US"/>
        </w:rPr>
        <w:t xml:space="preserve"> contracts, there have been a number of service improvements and additional relay services included in the suite of services that the </w:t>
      </w:r>
      <w:proofErr w:type="spellStart"/>
      <w:r w:rsidRPr="004F5BC3">
        <w:rPr>
          <w:lang w:eastAsia="en-US"/>
        </w:rPr>
        <w:t>NRS</w:t>
      </w:r>
      <w:proofErr w:type="spellEnd"/>
      <w:r w:rsidRPr="004F5BC3">
        <w:rPr>
          <w:lang w:eastAsia="en-US"/>
        </w:rPr>
        <w:t xml:space="preserve"> offers, including </w:t>
      </w:r>
      <w:proofErr w:type="spellStart"/>
      <w:r w:rsidRPr="004F5BC3">
        <w:rPr>
          <w:lang w:eastAsia="en-US"/>
        </w:rPr>
        <w:t>SMS</w:t>
      </w:r>
      <w:proofErr w:type="spellEnd"/>
      <w:r w:rsidRPr="004F5BC3">
        <w:rPr>
          <w:lang w:eastAsia="en-US"/>
        </w:rPr>
        <w:t xml:space="preserve"> relay, captioned telephony, two-way </w:t>
      </w:r>
      <w:proofErr w:type="spellStart"/>
      <w:r w:rsidRPr="004F5BC3">
        <w:rPr>
          <w:lang w:eastAsia="en-US"/>
        </w:rPr>
        <w:t>internet</w:t>
      </w:r>
      <w:proofErr w:type="spellEnd"/>
      <w:r w:rsidRPr="004F5BC3">
        <w:rPr>
          <w:lang w:eastAsia="en-US"/>
        </w:rPr>
        <w:t xml:space="preserve"> relay and the </w:t>
      </w:r>
      <w:proofErr w:type="spellStart"/>
      <w:r w:rsidRPr="004F5BC3">
        <w:rPr>
          <w:lang w:eastAsia="en-US"/>
        </w:rPr>
        <w:t>NRS</w:t>
      </w:r>
      <w:proofErr w:type="spellEnd"/>
      <w:r w:rsidRPr="004F5BC3">
        <w:rPr>
          <w:lang w:eastAsia="en-US"/>
        </w:rPr>
        <w:t xml:space="preserve"> mobile app. However, Deaf, hearing-impaired or speech-impaired consumers continue to have inadequate access to Triple Zero ‘000’ emergency services when out and about in the community. The introduction of </w:t>
      </w:r>
      <w:proofErr w:type="spellStart"/>
      <w:r w:rsidRPr="004F5BC3">
        <w:rPr>
          <w:lang w:eastAsia="en-US"/>
        </w:rPr>
        <w:t>SMS</w:t>
      </w:r>
      <w:proofErr w:type="spellEnd"/>
      <w:r w:rsidRPr="004F5BC3">
        <w:rPr>
          <w:lang w:eastAsia="en-US"/>
        </w:rPr>
        <w:t xml:space="preserve"> relay was anticipated to ameliorate this public safety issue, however while it is possible to use </w:t>
      </w:r>
      <w:proofErr w:type="spellStart"/>
      <w:r w:rsidRPr="004F5BC3">
        <w:rPr>
          <w:lang w:eastAsia="en-US"/>
        </w:rPr>
        <w:t>SMS</w:t>
      </w:r>
      <w:proofErr w:type="spellEnd"/>
      <w:r w:rsidRPr="004F5BC3">
        <w:rPr>
          <w:lang w:eastAsia="en-US"/>
        </w:rPr>
        <w:t xml:space="preserve"> to contact 000 through the </w:t>
      </w:r>
      <w:proofErr w:type="spellStart"/>
      <w:r w:rsidRPr="004F5BC3">
        <w:rPr>
          <w:lang w:eastAsia="en-US"/>
        </w:rPr>
        <w:t>NRS</w:t>
      </w:r>
      <w:proofErr w:type="spellEnd"/>
      <w:r w:rsidRPr="004F5BC3">
        <w:rPr>
          <w:lang w:eastAsia="en-US"/>
        </w:rPr>
        <w:t xml:space="preserve"> it is strongly cautioned that this should only be used in conjunction with a voice call to 000. Not only is this a significant safety concern for consumers with disability but it is also a significant safety concern for the whole community.</w:t>
      </w:r>
    </w:p>
    <w:p w:rsidR="00193340" w:rsidRPr="00567100" w:rsidRDefault="006C0690" w:rsidP="00193340">
      <w:pPr>
        <w:pStyle w:val="ListParagraph"/>
        <w:spacing w:after="0"/>
        <w:ind w:left="0"/>
        <w:rPr>
          <w:rFonts w:asciiTheme="minorHAnsi" w:hAnsiTheme="minorHAnsi"/>
          <w:lang w:eastAsia="en-AU"/>
        </w:rPr>
      </w:pPr>
      <w:r w:rsidRPr="004F5BC3">
        <w:t xml:space="preserve">Furthermore, the current </w:t>
      </w:r>
      <w:proofErr w:type="spellStart"/>
      <w:r w:rsidRPr="004F5BC3">
        <w:t>NRS</w:t>
      </w:r>
      <w:proofErr w:type="spellEnd"/>
      <w:r w:rsidRPr="004F5BC3">
        <w:t xml:space="preserve"> protections are limited to consumers who are Deaf, hearing-impaired or speech-impaired. Consumers with additional or multiple disabilities are not specifically protected under the </w:t>
      </w:r>
      <w:proofErr w:type="spellStart"/>
      <w:r w:rsidRPr="004F5BC3">
        <w:t>NRS</w:t>
      </w:r>
      <w:proofErr w:type="spellEnd"/>
      <w:r w:rsidRPr="004F5BC3">
        <w:t xml:space="preserve"> legislation. In order to guarantee access to communications networks for all Australians with disability there needs to be an expansion of the </w:t>
      </w:r>
      <w:proofErr w:type="spellStart"/>
      <w:r w:rsidRPr="004F5BC3">
        <w:t>NRS</w:t>
      </w:r>
      <w:proofErr w:type="spellEnd"/>
      <w:r w:rsidRPr="004F5BC3">
        <w:t xml:space="preserve"> remit to include services for culturally and linguistically diverse consumers with disability, </w:t>
      </w:r>
      <w:proofErr w:type="spellStart"/>
      <w:r w:rsidRPr="004F5BC3">
        <w:t>Deafblind</w:t>
      </w:r>
      <w:proofErr w:type="spellEnd"/>
      <w:r w:rsidRPr="004F5BC3">
        <w:t xml:space="preserve"> consumers, and consumers </w:t>
      </w:r>
      <w:r w:rsidRPr="004F5BC3">
        <w:lastRenderedPageBreak/>
        <w:t>with intellectual impairments.</w:t>
      </w:r>
      <w:r w:rsidR="00193340">
        <w:t xml:space="preserve"> </w:t>
      </w:r>
      <w:bookmarkStart w:id="40" w:name="OLE_LINK26"/>
      <w:bookmarkStart w:id="41" w:name="OLE_LINK27"/>
      <w:r w:rsidR="00193340" w:rsidRPr="00567100">
        <w:rPr>
          <w:rFonts w:asciiTheme="minorHAnsi" w:hAnsiTheme="minorHAnsi" w:cs="Arial"/>
        </w:rPr>
        <w:t>Australia is a multicultural country, with many Australians speaking English as a second language, or not speaking English at all. As the population ages, so too will the population of people from a non-English-speaking background, and as they age, they may have more difficulty with English than they did previously</w:t>
      </w:r>
      <w:r w:rsidR="00193340" w:rsidRPr="00567100">
        <w:rPr>
          <w:rStyle w:val="FootnoteReference"/>
          <w:rFonts w:asciiTheme="minorHAnsi" w:hAnsiTheme="minorHAnsi" w:cs="Arial"/>
        </w:rPr>
        <w:footnoteReference w:id="69"/>
      </w:r>
      <w:r w:rsidR="00193340" w:rsidRPr="00567100">
        <w:rPr>
          <w:rFonts w:asciiTheme="minorHAnsi" w:hAnsiTheme="minorHAnsi" w:cs="Arial"/>
        </w:rPr>
        <w:t>.  M</w:t>
      </w:r>
      <w:r w:rsidR="00193340" w:rsidRPr="00567100">
        <w:rPr>
          <w:rFonts w:asciiTheme="minorHAnsi" w:hAnsiTheme="minorHAnsi" w:cs="Arial"/>
          <w:lang w:eastAsia="en-AU"/>
        </w:rPr>
        <w:t>ore than one million Australians with disability are from non-English-speaking backgrounds</w:t>
      </w:r>
      <w:r w:rsidR="00193340" w:rsidRPr="00567100">
        <w:rPr>
          <w:rStyle w:val="FootnoteReference"/>
          <w:rFonts w:asciiTheme="minorHAnsi" w:hAnsiTheme="minorHAnsi" w:cs="Arial"/>
          <w:lang w:eastAsia="en-AU"/>
        </w:rPr>
        <w:footnoteReference w:id="70"/>
      </w:r>
      <w:r w:rsidR="00193340" w:rsidRPr="00567100">
        <w:rPr>
          <w:rFonts w:asciiTheme="minorHAnsi" w:hAnsiTheme="minorHAnsi" w:cs="Arial"/>
          <w:lang w:eastAsia="en-AU"/>
        </w:rPr>
        <w:t xml:space="preserve">, and </w:t>
      </w:r>
      <w:r w:rsidR="00193340" w:rsidRPr="00567100">
        <w:rPr>
          <w:rFonts w:asciiTheme="minorHAnsi" w:hAnsiTheme="minorHAnsi" w:cs="Arial"/>
        </w:rPr>
        <w:t>more than 25% of people with low English proficiency have a core activity restriction, around double that of the rest of the population</w:t>
      </w:r>
      <w:r w:rsidR="00193340" w:rsidRPr="00567100">
        <w:rPr>
          <w:rStyle w:val="FootnoteReference"/>
          <w:rFonts w:asciiTheme="minorHAnsi" w:hAnsiTheme="minorHAnsi" w:cs="Arial"/>
        </w:rPr>
        <w:footnoteReference w:id="71"/>
      </w:r>
      <w:r w:rsidR="00193340" w:rsidRPr="00567100">
        <w:rPr>
          <w:rFonts w:asciiTheme="minorHAnsi" w:hAnsiTheme="minorHAnsi" w:cs="Arial"/>
        </w:rPr>
        <w:t xml:space="preserve">. Yet </w:t>
      </w:r>
      <w:proofErr w:type="spellStart"/>
      <w:r w:rsidR="00193340" w:rsidRPr="00567100">
        <w:rPr>
          <w:rFonts w:asciiTheme="minorHAnsi" w:hAnsiTheme="minorHAnsi" w:cs="Arial"/>
        </w:rPr>
        <w:t>NRS</w:t>
      </w:r>
      <w:proofErr w:type="spellEnd"/>
      <w:r w:rsidR="00193340" w:rsidRPr="00567100">
        <w:rPr>
          <w:rFonts w:asciiTheme="minorHAnsi" w:hAnsiTheme="minorHAnsi" w:cs="Arial"/>
        </w:rPr>
        <w:t xml:space="preserve"> calls can only be relayed in English</w:t>
      </w:r>
      <w:r w:rsidR="00193340" w:rsidRPr="00567100">
        <w:rPr>
          <w:rStyle w:val="FootnoteReference"/>
          <w:rFonts w:asciiTheme="minorHAnsi" w:hAnsiTheme="minorHAnsi" w:cs="Arial"/>
        </w:rPr>
        <w:footnoteReference w:id="72"/>
      </w:r>
      <w:r w:rsidR="00193340" w:rsidRPr="00567100">
        <w:rPr>
          <w:rFonts w:asciiTheme="minorHAnsi" w:hAnsiTheme="minorHAnsi" w:cs="Arial"/>
          <w:color w:val="FF0000"/>
        </w:rPr>
        <w:t xml:space="preserve"> </w:t>
      </w:r>
      <w:r w:rsidR="00193340" w:rsidRPr="00567100">
        <w:rPr>
          <w:rFonts w:asciiTheme="minorHAnsi" w:hAnsiTheme="minorHAnsi" w:cs="Arial"/>
        </w:rPr>
        <w:t>and cannot be used in conjunction with the Translating and Interpreting Service (TIS) except in very rare circumstances</w:t>
      </w:r>
      <w:r w:rsidR="00193340" w:rsidRPr="00567100">
        <w:rPr>
          <w:rStyle w:val="FootnoteReference"/>
          <w:rFonts w:asciiTheme="minorHAnsi" w:hAnsiTheme="minorHAnsi" w:cs="Arial"/>
        </w:rPr>
        <w:footnoteReference w:id="73"/>
      </w:r>
      <w:r w:rsidR="00193340" w:rsidRPr="00567100">
        <w:rPr>
          <w:rFonts w:asciiTheme="minorHAnsi" w:hAnsiTheme="minorHAnsi" w:cs="Arial"/>
        </w:rPr>
        <w:t xml:space="preserve">. </w:t>
      </w:r>
      <w:bookmarkEnd w:id="40"/>
      <w:bookmarkEnd w:id="41"/>
    </w:p>
    <w:p w:rsidR="00706E56" w:rsidRPr="00567100" w:rsidRDefault="00706E56" w:rsidP="00706E56">
      <w:pPr>
        <w:rPr>
          <w:rFonts w:asciiTheme="minorHAnsi" w:hAnsiTheme="minorHAnsi"/>
        </w:rPr>
      </w:pPr>
      <w:r w:rsidRPr="00567100">
        <w:rPr>
          <w:rFonts w:asciiTheme="minorHAnsi" w:hAnsiTheme="minorHAnsi"/>
        </w:rPr>
        <w:t xml:space="preserve">The </w:t>
      </w:r>
      <w:proofErr w:type="spellStart"/>
      <w:r w:rsidRPr="00567100">
        <w:rPr>
          <w:rFonts w:asciiTheme="minorHAnsi" w:hAnsiTheme="minorHAnsi"/>
        </w:rPr>
        <w:t>NRS</w:t>
      </w:r>
      <w:proofErr w:type="spellEnd"/>
      <w:r w:rsidRPr="00567100">
        <w:rPr>
          <w:rFonts w:asciiTheme="minorHAnsi" w:hAnsiTheme="minorHAnsi"/>
        </w:rPr>
        <w:t xml:space="preserve"> needs to continue as the communications solution which provides functionally equivalent access for consumers with disability however </w:t>
      </w:r>
      <w:proofErr w:type="spellStart"/>
      <w:r w:rsidRPr="00567100">
        <w:rPr>
          <w:rFonts w:asciiTheme="minorHAnsi" w:hAnsiTheme="minorHAnsi"/>
        </w:rPr>
        <w:t>ACCAN</w:t>
      </w:r>
      <w:proofErr w:type="spellEnd"/>
      <w:r w:rsidRPr="00567100">
        <w:rPr>
          <w:rFonts w:asciiTheme="minorHAnsi" w:hAnsiTheme="minorHAnsi"/>
        </w:rPr>
        <w:t xml:space="preserve"> recommends that the </w:t>
      </w:r>
      <w:proofErr w:type="spellStart"/>
      <w:r w:rsidRPr="00567100">
        <w:rPr>
          <w:rFonts w:asciiTheme="minorHAnsi" w:hAnsiTheme="minorHAnsi"/>
        </w:rPr>
        <w:t>NRS</w:t>
      </w:r>
      <w:proofErr w:type="spellEnd"/>
      <w:r w:rsidRPr="00567100">
        <w:rPr>
          <w:rFonts w:asciiTheme="minorHAnsi" w:hAnsiTheme="minorHAnsi"/>
        </w:rPr>
        <w:t xml:space="preserve"> objectives be amended to include provision to communications networks for other sectors of the disability community, specifically;</w:t>
      </w:r>
    </w:p>
    <w:p w:rsidR="00706E56" w:rsidRPr="00193340" w:rsidRDefault="00706E56" w:rsidP="00193340">
      <w:pPr>
        <w:pStyle w:val="ListParagraph"/>
        <w:numPr>
          <w:ilvl w:val="0"/>
          <w:numId w:val="46"/>
        </w:numPr>
        <w:rPr>
          <w:rFonts w:eastAsia="Times New Roman"/>
          <w:lang w:val="en"/>
        </w:rPr>
      </w:pPr>
      <w:r w:rsidRPr="00193340">
        <w:rPr>
          <w:rFonts w:eastAsia="Times New Roman"/>
          <w:lang w:val="en"/>
        </w:rPr>
        <w:t xml:space="preserve">Amend the </w:t>
      </w:r>
      <w:proofErr w:type="spellStart"/>
      <w:r w:rsidRPr="00193340">
        <w:rPr>
          <w:rFonts w:eastAsia="Times New Roman"/>
          <w:lang w:val="en"/>
        </w:rPr>
        <w:t>TCPSS</w:t>
      </w:r>
      <w:proofErr w:type="spellEnd"/>
      <w:r w:rsidRPr="00193340">
        <w:rPr>
          <w:rFonts w:eastAsia="Times New Roman"/>
          <w:lang w:val="en"/>
        </w:rPr>
        <w:t xml:space="preserve"> Act (1999)</w:t>
      </w:r>
      <w:r w:rsidRPr="00567100">
        <w:rPr>
          <w:rStyle w:val="FootnoteReference"/>
          <w:rFonts w:asciiTheme="minorHAnsi" w:eastAsia="Times New Roman" w:hAnsiTheme="minorHAnsi" w:cs="Times New Roman"/>
          <w:lang w:val="en" w:eastAsia="en-AU"/>
        </w:rPr>
        <w:footnoteReference w:id="74"/>
      </w:r>
      <w:r w:rsidRPr="00193340">
        <w:rPr>
          <w:rFonts w:eastAsia="Times New Roman"/>
          <w:lang w:val="en"/>
        </w:rPr>
        <w:t xml:space="preserve"> to specifica</w:t>
      </w:r>
      <w:r w:rsidR="00193340" w:rsidRPr="00193340">
        <w:rPr>
          <w:rFonts w:eastAsia="Times New Roman"/>
          <w:lang w:val="en"/>
        </w:rPr>
        <w:t xml:space="preserve">lly include </w:t>
      </w:r>
      <w:proofErr w:type="spellStart"/>
      <w:r w:rsidR="00193340" w:rsidRPr="00193340">
        <w:rPr>
          <w:rFonts w:eastAsia="Times New Roman"/>
          <w:lang w:val="en"/>
        </w:rPr>
        <w:t>Deafblind</w:t>
      </w:r>
      <w:proofErr w:type="spellEnd"/>
      <w:r w:rsidR="00193340" w:rsidRPr="00193340">
        <w:rPr>
          <w:rFonts w:eastAsia="Times New Roman"/>
          <w:lang w:val="en"/>
        </w:rPr>
        <w:t xml:space="preserve"> consumers,</w:t>
      </w:r>
      <w:r w:rsidRPr="00193340">
        <w:rPr>
          <w:rFonts w:eastAsia="Times New Roman"/>
          <w:lang w:val="en"/>
        </w:rPr>
        <w:t xml:space="preserve"> </w:t>
      </w:r>
    </w:p>
    <w:p w:rsidR="00193340" w:rsidRPr="00193340" w:rsidRDefault="00C420D0" w:rsidP="00193340">
      <w:pPr>
        <w:pStyle w:val="ListParagraph"/>
        <w:numPr>
          <w:ilvl w:val="0"/>
          <w:numId w:val="46"/>
        </w:numPr>
      </w:pPr>
      <w:r>
        <w:rPr>
          <w:rFonts w:cs="Arial"/>
        </w:rPr>
        <w:t xml:space="preserve">Include </w:t>
      </w:r>
      <w:r w:rsidR="00706E56" w:rsidRPr="00193340">
        <w:rPr>
          <w:rFonts w:cs="Arial"/>
        </w:rPr>
        <w:t xml:space="preserve">relay services for culturally and linguistically diverse consumers with disability, </w:t>
      </w:r>
    </w:p>
    <w:p w:rsidR="00706E56" w:rsidRPr="00193340" w:rsidRDefault="00706E56" w:rsidP="00193340">
      <w:pPr>
        <w:pStyle w:val="ListParagraph"/>
        <w:numPr>
          <w:ilvl w:val="0"/>
          <w:numId w:val="46"/>
        </w:numPr>
      </w:pPr>
      <w:r w:rsidRPr="00193340">
        <w:t>Expand all relay services to 24 hour, 7 day service.</w:t>
      </w:r>
    </w:p>
    <w:p w:rsidR="00706E56" w:rsidRPr="00706E56" w:rsidRDefault="00706E56" w:rsidP="00706E56">
      <w:pPr>
        <w:rPr>
          <w:lang w:eastAsia="en-US"/>
        </w:rPr>
      </w:pPr>
    </w:p>
    <w:p w:rsidR="002548D6" w:rsidRDefault="002548D6" w:rsidP="002548D6">
      <w:pPr>
        <w:pStyle w:val="Heading1"/>
      </w:pPr>
      <w:bookmarkStart w:id="45" w:name="_Toc457563454"/>
      <w:r>
        <w:lastRenderedPageBreak/>
        <w:t>Funding, costs and implementation</w:t>
      </w:r>
      <w:bookmarkEnd w:id="45"/>
    </w:p>
    <w:p w:rsidR="000F124C" w:rsidRDefault="002548D6" w:rsidP="00F42AA5">
      <w:r>
        <w:t xml:space="preserve">A </w:t>
      </w:r>
      <w:proofErr w:type="spellStart"/>
      <w:r>
        <w:t>USO</w:t>
      </w:r>
      <w:proofErr w:type="spellEnd"/>
      <w:r>
        <w:t xml:space="preserve"> should address market failures and provide a safety net to those who would otherwise not have services. </w:t>
      </w:r>
      <w:proofErr w:type="spellStart"/>
      <w:r>
        <w:t>ACCAN</w:t>
      </w:r>
      <w:proofErr w:type="spellEnd"/>
      <w:r>
        <w:t xml:space="preserve"> believes that </w:t>
      </w:r>
      <w:r w:rsidR="00C420D0">
        <w:t xml:space="preserve">a </w:t>
      </w:r>
      <w:proofErr w:type="spellStart"/>
      <w:r w:rsidR="000F124C">
        <w:t>USO</w:t>
      </w:r>
      <w:proofErr w:type="spellEnd"/>
      <w:r>
        <w:t xml:space="preserve"> should not distort the market, by reducing investment that would otherwise occur or by supporting one provider over others. </w:t>
      </w:r>
      <w:r w:rsidR="000F124C">
        <w:t xml:space="preserve">Furthermore, </w:t>
      </w:r>
      <w:r w:rsidR="000F124C" w:rsidRPr="00F42AA5">
        <w:rPr>
          <w:bCs/>
          <w:lang w:val="en-IE"/>
        </w:rPr>
        <w:t>barriers should be addressed</w:t>
      </w:r>
      <w:r w:rsidR="004C4226">
        <w:rPr>
          <w:bCs/>
          <w:lang w:val="en-IE"/>
        </w:rPr>
        <w:t xml:space="preserve"> at the appropriate level (address the cause of the problem),</w:t>
      </w:r>
      <w:r w:rsidR="000F124C" w:rsidRPr="00F42AA5">
        <w:rPr>
          <w:bCs/>
          <w:lang w:val="en-IE"/>
        </w:rPr>
        <w:t xml:space="preserve"> by the most appropriate body to deliver the solution. For example</w:t>
      </w:r>
      <w:r w:rsidR="000F124C">
        <w:rPr>
          <w:bCs/>
          <w:lang w:val="en-IE"/>
        </w:rPr>
        <w:t>,</w:t>
      </w:r>
      <w:r w:rsidR="000F124C" w:rsidRPr="00F42AA5">
        <w:rPr>
          <w:bCs/>
          <w:lang w:val="en-IE"/>
        </w:rPr>
        <w:t xml:space="preserve"> consumer</w:t>
      </w:r>
      <w:r w:rsidR="000F124C">
        <w:rPr>
          <w:bCs/>
          <w:lang w:val="en-IE"/>
        </w:rPr>
        <w:t>s</w:t>
      </w:r>
      <w:r w:rsidR="000F124C" w:rsidRPr="00F42AA5">
        <w:rPr>
          <w:bCs/>
          <w:lang w:val="en-IE"/>
        </w:rPr>
        <w:t xml:space="preserve"> who require additional support with disability equipment</w:t>
      </w:r>
      <w:r w:rsidR="000F124C">
        <w:rPr>
          <w:bCs/>
          <w:lang w:val="en-IE"/>
        </w:rPr>
        <w:t xml:space="preserve"> or financial support</w:t>
      </w:r>
      <w:r w:rsidR="000F124C" w:rsidRPr="00F42AA5">
        <w:rPr>
          <w:bCs/>
          <w:lang w:val="en-IE"/>
        </w:rPr>
        <w:t xml:space="preserve"> should not </w:t>
      </w:r>
      <w:r w:rsidR="000F124C">
        <w:rPr>
          <w:bCs/>
          <w:lang w:val="en-IE"/>
        </w:rPr>
        <w:t>be limited in choice of service provider.</w:t>
      </w:r>
    </w:p>
    <w:p w:rsidR="00AD40D0" w:rsidRDefault="00AD40D0" w:rsidP="00AD40D0">
      <w:pPr>
        <w:pStyle w:val="Heading2"/>
      </w:pPr>
      <w:bookmarkStart w:id="46" w:name="_Toc457563455"/>
      <w:r>
        <w:t>Funding</w:t>
      </w:r>
      <w:r w:rsidR="00E4657B">
        <w:t xml:space="preserve"> and costs</w:t>
      </w:r>
      <w:bookmarkEnd w:id="46"/>
    </w:p>
    <w:p w:rsidR="00F42AA5" w:rsidRDefault="00F42AA5" w:rsidP="00F42AA5">
      <w:r>
        <w:t>Funding arrangements should provide certainty for the continuation of the service</w:t>
      </w:r>
      <w:r w:rsidR="00E4657B">
        <w:t xml:space="preserve">s for consumers. </w:t>
      </w:r>
      <w:r w:rsidR="00C420D0">
        <w:t>They</w:t>
      </w:r>
      <w:r w:rsidR="00E4657B">
        <w:t xml:space="preserve"> should also be transparent.</w:t>
      </w:r>
      <w:r w:rsidR="00EE4583">
        <w:t xml:space="preserve"> F</w:t>
      </w:r>
      <w:r>
        <w:t xml:space="preserve">unding </w:t>
      </w:r>
      <w:r w:rsidR="00EE4583">
        <w:t xml:space="preserve">from public sources </w:t>
      </w:r>
      <w:r>
        <w:t xml:space="preserve">provides the most transparency and equity; however, it is not always certain that it will be continued. The Mobile Black Spot </w:t>
      </w:r>
      <w:proofErr w:type="spellStart"/>
      <w:r w:rsidR="00EE4583">
        <w:t>P</w:t>
      </w:r>
      <w:r>
        <w:t>rogram</w:t>
      </w:r>
      <w:r w:rsidR="00EE4583">
        <w:t>me</w:t>
      </w:r>
      <w:proofErr w:type="spellEnd"/>
      <w:r>
        <w:t xml:space="preserve"> is only guaranteed </w:t>
      </w:r>
      <w:r w:rsidR="004C4226">
        <w:t>on a per round basis</w:t>
      </w:r>
      <w:r>
        <w:t xml:space="preserve"> and </w:t>
      </w:r>
      <w:r w:rsidR="00E4657B">
        <w:t xml:space="preserve">is unlikely to continue </w:t>
      </w:r>
      <w:r>
        <w:t>until</w:t>
      </w:r>
      <w:r w:rsidR="00E4657B">
        <w:t xml:space="preserve"> such a time when</w:t>
      </w:r>
      <w:r>
        <w:t xml:space="preserve"> all black spots are addressed. </w:t>
      </w:r>
    </w:p>
    <w:p w:rsidR="00E4657B" w:rsidRDefault="00F42AA5" w:rsidP="00F42AA5">
      <w:r>
        <w:t>A range of funding arrangement</w:t>
      </w:r>
      <w:r w:rsidR="00C420D0">
        <w:t>s</w:t>
      </w:r>
      <w:r>
        <w:t xml:space="preserve"> could be examined</w:t>
      </w:r>
      <w:r w:rsidR="00E4657B">
        <w:t xml:space="preserve"> depending on the areas of </w:t>
      </w:r>
      <w:proofErr w:type="spellStart"/>
      <w:r w:rsidR="00E4657B">
        <w:t>USO</w:t>
      </w:r>
      <w:proofErr w:type="spellEnd"/>
      <w:r w:rsidR="00E4657B">
        <w:t xml:space="preserve"> that are being addressed. </w:t>
      </w:r>
      <w:r w:rsidR="00F95765">
        <w:t xml:space="preserve">In line with what </w:t>
      </w:r>
      <w:proofErr w:type="spellStart"/>
      <w:r w:rsidR="00F95765">
        <w:t>ACCAN</w:t>
      </w:r>
      <w:proofErr w:type="spellEnd"/>
      <w:r w:rsidR="00F95765">
        <w:t xml:space="preserve"> has proposed we are su</w:t>
      </w:r>
      <w:r w:rsidR="0077682D">
        <w:t>ggesting the following:</w:t>
      </w:r>
    </w:p>
    <w:p w:rsidR="000F124C" w:rsidRDefault="000F124C" w:rsidP="000F124C">
      <w:pPr>
        <w:pStyle w:val="Bulletlist1"/>
        <w:numPr>
          <w:ilvl w:val="0"/>
          <w:numId w:val="44"/>
        </w:numPr>
      </w:pPr>
      <w:r>
        <w:t xml:space="preserve">Guaranteed access to voice services should be </w:t>
      </w:r>
      <w:r w:rsidR="00C420D0">
        <w:t xml:space="preserve">available </w:t>
      </w:r>
      <w:r>
        <w:t xml:space="preserve"> to all premises. This should be funded </w:t>
      </w:r>
      <w:r w:rsidR="00EE4583">
        <w:t>through</w:t>
      </w:r>
      <w:r>
        <w:t xml:space="preserve"> the current arrangements and where alternative technologies and networks can provide an equivalent service the funding should be diverted</w:t>
      </w:r>
      <w:r w:rsidR="00EE4583">
        <w:t xml:space="preserve"> or reduced in line with</w:t>
      </w:r>
      <w:r>
        <w:t xml:space="preserve"> these.</w:t>
      </w:r>
    </w:p>
    <w:p w:rsidR="000F124C" w:rsidRDefault="000F124C" w:rsidP="000F124C">
      <w:pPr>
        <w:pStyle w:val="Bulletlist1"/>
        <w:numPr>
          <w:ilvl w:val="0"/>
          <w:numId w:val="44"/>
        </w:numPr>
      </w:pPr>
      <w:r>
        <w:t xml:space="preserve">Data services and essential content should </w:t>
      </w:r>
      <w:r w:rsidR="00EE4583">
        <w:t xml:space="preserve">be available to all Australians and funded through the public provision of </w:t>
      </w:r>
      <w:proofErr w:type="spellStart"/>
      <w:r w:rsidR="00EE4583">
        <w:t>nbn</w:t>
      </w:r>
      <w:proofErr w:type="spellEnd"/>
      <w:r w:rsidR="00EE4583">
        <w:t>.</w:t>
      </w:r>
      <w:r>
        <w:t xml:space="preserve"> </w:t>
      </w:r>
    </w:p>
    <w:p w:rsidR="000F124C" w:rsidRDefault="00EE4583" w:rsidP="000F124C">
      <w:pPr>
        <w:pStyle w:val="Bulletlist1"/>
        <w:numPr>
          <w:ilvl w:val="0"/>
          <w:numId w:val="44"/>
        </w:numPr>
      </w:pPr>
      <w:r>
        <w:t>A r</w:t>
      </w:r>
      <w:r w:rsidR="000F124C">
        <w:t>etail provider of last resort obligation should be created</w:t>
      </w:r>
      <w:r>
        <w:t>, however this we do not believe will be a burden to provide and therefore should not</w:t>
      </w:r>
      <w:r w:rsidR="008B12E6">
        <w:t xml:space="preserve"> carry any costs.</w:t>
      </w:r>
    </w:p>
    <w:p w:rsidR="000F124C" w:rsidRDefault="000F124C" w:rsidP="000F124C">
      <w:pPr>
        <w:pStyle w:val="Bulletlist1"/>
        <w:numPr>
          <w:ilvl w:val="0"/>
          <w:numId w:val="44"/>
        </w:numPr>
      </w:pPr>
      <w:r>
        <w:t xml:space="preserve">Affordability measures for low income consumers to access a range of telecommunication services and devices should be available to consumers, independent of provider. </w:t>
      </w:r>
      <w:r w:rsidR="008B12E6">
        <w:t xml:space="preserve">This should be funded through </w:t>
      </w:r>
      <w:r w:rsidR="00EE4583">
        <w:t xml:space="preserve">a review of the Communications Telephone Allowance and through additional industry wide measures. </w:t>
      </w:r>
    </w:p>
    <w:p w:rsidR="000F124C" w:rsidRDefault="00EE4583" w:rsidP="000F124C">
      <w:pPr>
        <w:pStyle w:val="Bulletlist1"/>
        <w:numPr>
          <w:ilvl w:val="0"/>
          <w:numId w:val="44"/>
        </w:numPr>
      </w:pPr>
      <w:r>
        <w:t>Service guarantees and reliability</w:t>
      </w:r>
      <w:r w:rsidR="000F124C" w:rsidRPr="00A361C6">
        <w:t xml:space="preserve"> should apply to </w:t>
      </w:r>
      <w:r w:rsidR="000F124C">
        <w:t>voice and data</w:t>
      </w:r>
      <w:r w:rsidR="000F124C" w:rsidRPr="00A361C6">
        <w:t xml:space="preserve"> services</w:t>
      </w:r>
      <w:r w:rsidR="000F124C">
        <w:t>.</w:t>
      </w:r>
      <w:r w:rsidR="008B12E6">
        <w:t xml:space="preserve"> This should form part of carrier licence obligations and any associated cost born by carriers</w:t>
      </w:r>
      <w:r w:rsidR="004C4226">
        <w:t xml:space="preserve"> or by regulated cost calculations</w:t>
      </w:r>
      <w:r w:rsidR="008B12E6">
        <w:t>.</w:t>
      </w:r>
    </w:p>
    <w:p w:rsidR="000F124C" w:rsidRDefault="00EE4583" w:rsidP="000F124C">
      <w:pPr>
        <w:pStyle w:val="Bulletlist1"/>
        <w:numPr>
          <w:ilvl w:val="0"/>
          <w:numId w:val="44"/>
        </w:numPr>
      </w:pPr>
      <w:r>
        <w:t xml:space="preserve">A </w:t>
      </w:r>
      <w:r w:rsidR="00C420D0">
        <w:t xml:space="preserve">Disability </w:t>
      </w:r>
      <w:r w:rsidR="000F124C">
        <w:t xml:space="preserve">l Telecommunication Service </w:t>
      </w:r>
      <w:r w:rsidR="00C420D0">
        <w:t xml:space="preserve">should be </w:t>
      </w:r>
      <w:r w:rsidR="000F124C">
        <w:t xml:space="preserve">established to provide </w:t>
      </w:r>
      <w:r w:rsidR="000F124C" w:rsidRPr="00415805">
        <w:t>communications information, equipment provision, training and support</w:t>
      </w:r>
      <w:r w:rsidR="000F124C">
        <w:t xml:space="preserve">. </w:t>
      </w:r>
      <w:r w:rsidR="008B12E6">
        <w:t xml:space="preserve">This </w:t>
      </w:r>
      <w:r w:rsidR="004C4226">
        <w:t>could be funded under the current levy funding</w:t>
      </w:r>
      <w:r w:rsidR="008B12E6">
        <w:t>.</w:t>
      </w:r>
    </w:p>
    <w:p w:rsidR="000F124C" w:rsidRDefault="00C420D0" w:rsidP="000F124C">
      <w:pPr>
        <w:pStyle w:val="Bulletlist1"/>
        <w:numPr>
          <w:ilvl w:val="0"/>
          <w:numId w:val="44"/>
        </w:numPr>
      </w:pPr>
      <w:r>
        <w:t xml:space="preserve">The </w:t>
      </w:r>
      <w:r w:rsidR="000F124C">
        <w:t xml:space="preserve">National Relay </w:t>
      </w:r>
      <w:r>
        <w:t>S</w:t>
      </w:r>
      <w:r w:rsidR="000F124C">
        <w:t xml:space="preserve">ervice should be expanded to include services for </w:t>
      </w:r>
      <w:proofErr w:type="spellStart"/>
      <w:r>
        <w:t>D</w:t>
      </w:r>
      <w:r w:rsidR="000F124C">
        <w:t>eafblind</w:t>
      </w:r>
      <w:proofErr w:type="spellEnd"/>
      <w:r w:rsidR="000F124C">
        <w:t xml:space="preserve"> and multilingual consumers, with all services offered </w:t>
      </w:r>
      <w:proofErr w:type="spellStart"/>
      <w:r w:rsidR="000F124C">
        <w:t>24x7</w:t>
      </w:r>
      <w:proofErr w:type="spellEnd"/>
      <w:r w:rsidR="000F124C">
        <w:t>.</w:t>
      </w:r>
      <w:r w:rsidR="008B12E6">
        <w:t xml:space="preserve"> This should be funded through the telecommunications industry levy.</w:t>
      </w:r>
    </w:p>
    <w:p w:rsidR="004C4226" w:rsidRDefault="004C4226" w:rsidP="000F124C">
      <w:pPr>
        <w:pStyle w:val="Bulletlist1"/>
        <w:numPr>
          <w:ilvl w:val="0"/>
          <w:numId w:val="44"/>
        </w:numPr>
      </w:pPr>
      <w:r>
        <w:t>Re-distribution of savings</w:t>
      </w:r>
      <w:r w:rsidR="00677134">
        <w:t xml:space="preserve"> to government</w:t>
      </w:r>
      <w:r>
        <w:t xml:space="preserve"> from switching to online service delivery to offset the cost of change to consumers.</w:t>
      </w:r>
    </w:p>
    <w:p w:rsidR="00AD40D0" w:rsidRPr="003441E5" w:rsidRDefault="008B12E6" w:rsidP="00F42AA5">
      <w:r>
        <w:lastRenderedPageBreak/>
        <w:t xml:space="preserve">The current telecommunications industry levy should continue and be expanded to include the funding of non-commercial </w:t>
      </w:r>
      <w:proofErr w:type="spellStart"/>
      <w:r>
        <w:t>nbn</w:t>
      </w:r>
      <w:proofErr w:type="spellEnd"/>
      <w:r>
        <w:t xml:space="preserve"> services (</w:t>
      </w:r>
      <w:proofErr w:type="spellStart"/>
      <w:r>
        <w:t>BCR</w:t>
      </w:r>
      <w:proofErr w:type="spellEnd"/>
      <w:r>
        <w:t xml:space="preserve"> </w:t>
      </w:r>
      <w:r w:rsidR="00677134">
        <w:t>R</w:t>
      </w:r>
      <w:r>
        <w:t>eview)</w:t>
      </w:r>
      <w:r w:rsidR="00EE4583">
        <w:rPr>
          <w:rStyle w:val="FootnoteReference"/>
        </w:rPr>
        <w:footnoteReference w:id="75"/>
      </w:r>
      <w:r>
        <w:t xml:space="preserve">. </w:t>
      </w:r>
      <w:r w:rsidR="00AD40D0">
        <w:t xml:space="preserve">In examining funding </w:t>
      </w:r>
      <w:r>
        <w:t xml:space="preserve">sources </w:t>
      </w:r>
      <w:r w:rsidR="00AD40D0">
        <w:t xml:space="preserve">it may be useful to examine further beneficiaries of having everyone connected and provide services over the network, such as over the top providers. </w:t>
      </w:r>
    </w:p>
    <w:p w:rsidR="002548D6" w:rsidRDefault="00AD40D0" w:rsidP="00AD40D0">
      <w:pPr>
        <w:pStyle w:val="Heading2"/>
      </w:pPr>
      <w:bookmarkStart w:id="47" w:name="_Toc457563456"/>
      <w:r>
        <w:t>I</w:t>
      </w:r>
      <w:r w:rsidR="002548D6">
        <w:t>mplementation</w:t>
      </w:r>
      <w:bookmarkEnd w:id="47"/>
      <w:r w:rsidR="002548D6">
        <w:t xml:space="preserve"> </w:t>
      </w:r>
    </w:p>
    <w:p w:rsidR="000F124C" w:rsidRDefault="00F42AA5" w:rsidP="00F42AA5">
      <w:pPr>
        <w:rPr>
          <w:lang w:eastAsia="en-US"/>
        </w:rPr>
      </w:pPr>
      <w:proofErr w:type="spellStart"/>
      <w:r w:rsidRPr="00F42AA5">
        <w:rPr>
          <w:lang w:eastAsia="en-US"/>
        </w:rPr>
        <w:t>ACCAN</w:t>
      </w:r>
      <w:proofErr w:type="spellEnd"/>
      <w:r w:rsidRPr="00F42AA5">
        <w:rPr>
          <w:lang w:eastAsia="en-US"/>
        </w:rPr>
        <w:t xml:space="preserve"> believes that the current a</w:t>
      </w:r>
      <w:r w:rsidR="00E4657B">
        <w:rPr>
          <w:lang w:eastAsia="en-US"/>
        </w:rPr>
        <w:t xml:space="preserve">rrangements need to be reviewed. It will take a number of years before a minimum level of </w:t>
      </w:r>
      <w:r w:rsidR="00677134">
        <w:rPr>
          <w:lang w:eastAsia="en-US"/>
        </w:rPr>
        <w:t xml:space="preserve">communication </w:t>
      </w:r>
      <w:r w:rsidR="00E4657B">
        <w:rPr>
          <w:lang w:eastAsia="en-US"/>
        </w:rPr>
        <w:t>service can be provided to everyone, particularly given the</w:t>
      </w:r>
      <w:r w:rsidR="004C4226">
        <w:rPr>
          <w:lang w:eastAsia="en-US"/>
        </w:rPr>
        <w:t xml:space="preserve"> time required to complete the</w:t>
      </w:r>
      <w:r w:rsidR="00E4657B">
        <w:rPr>
          <w:lang w:eastAsia="en-US"/>
        </w:rPr>
        <w:t xml:space="preserve"> rollout of </w:t>
      </w:r>
      <w:proofErr w:type="spellStart"/>
      <w:r w:rsidR="00E4657B">
        <w:rPr>
          <w:lang w:eastAsia="en-US"/>
        </w:rPr>
        <w:t>nbn</w:t>
      </w:r>
      <w:proofErr w:type="spellEnd"/>
      <w:r w:rsidR="00E4657B">
        <w:rPr>
          <w:lang w:eastAsia="en-US"/>
        </w:rPr>
        <w:t xml:space="preserve">. However, </w:t>
      </w:r>
      <w:r w:rsidR="00EE4583">
        <w:rPr>
          <w:lang w:eastAsia="en-US"/>
        </w:rPr>
        <w:t>implementation can begin now to put these</w:t>
      </w:r>
      <w:r w:rsidR="00677134">
        <w:rPr>
          <w:lang w:eastAsia="en-US"/>
        </w:rPr>
        <w:t xml:space="preserve"> measures</w:t>
      </w:r>
      <w:r w:rsidR="00EE4583">
        <w:rPr>
          <w:lang w:eastAsia="en-US"/>
        </w:rPr>
        <w:t xml:space="preserve"> in place</w:t>
      </w:r>
      <w:r w:rsidR="004C4226">
        <w:rPr>
          <w:lang w:eastAsia="en-US"/>
        </w:rPr>
        <w:t>, with a timeframe for the new obligations to apply as services are available</w:t>
      </w:r>
      <w:r w:rsidR="00EE4583">
        <w:rPr>
          <w:lang w:eastAsia="en-US"/>
        </w:rPr>
        <w:t xml:space="preserve">. The obligation </w:t>
      </w:r>
      <w:r w:rsidR="004C4226">
        <w:rPr>
          <w:lang w:eastAsia="en-US"/>
        </w:rPr>
        <w:t>should</w:t>
      </w:r>
      <w:r w:rsidR="00EE4583">
        <w:rPr>
          <w:lang w:eastAsia="en-US"/>
        </w:rPr>
        <w:t xml:space="preserve"> begin to apply as the </w:t>
      </w:r>
      <w:proofErr w:type="spellStart"/>
      <w:r w:rsidR="00EE4583">
        <w:rPr>
          <w:lang w:eastAsia="en-US"/>
        </w:rPr>
        <w:t>nbn</w:t>
      </w:r>
      <w:proofErr w:type="spellEnd"/>
      <w:r w:rsidR="00EE4583">
        <w:rPr>
          <w:lang w:eastAsia="en-US"/>
        </w:rPr>
        <w:t xml:space="preserve"> network is rolled out</w:t>
      </w:r>
      <w:r w:rsidR="004C4226">
        <w:rPr>
          <w:lang w:eastAsia="en-US"/>
        </w:rPr>
        <w:t>, with everyone included by 2021.</w:t>
      </w:r>
      <w:bookmarkEnd w:id="12"/>
      <w:bookmarkEnd w:id="13"/>
    </w:p>
    <w:p w:rsidR="00D53DAA" w:rsidRDefault="00D53DAA" w:rsidP="00B51314">
      <w:pPr>
        <w:rPr>
          <w:lang w:eastAsia="en-US"/>
        </w:rPr>
      </w:pPr>
    </w:p>
    <w:p w:rsidR="00D53DAA" w:rsidRPr="00D53DAA" w:rsidRDefault="00D53DAA" w:rsidP="00B51314">
      <w:pPr>
        <w:pStyle w:val="Appendixheading1"/>
      </w:pPr>
      <w:bookmarkStart w:id="48" w:name="_Toc457563457"/>
      <w:r w:rsidRPr="00D53DAA">
        <w:lastRenderedPageBreak/>
        <w:t>ORGANISATIONAL MEMBERS AS AT JUNE 30, 2016</w:t>
      </w:r>
      <w:bookmarkEnd w:id="48"/>
    </w:p>
    <w:p w:rsidR="00D53DAA" w:rsidRPr="00D53DAA" w:rsidRDefault="00D53DAA" w:rsidP="00D53DAA">
      <w:pPr>
        <w:spacing w:before="0" w:beforeAutospacing="0" w:after="0" w:afterAutospacing="0"/>
        <w:jc w:val="left"/>
        <w:rPr>
          <w:rFonts w:eastAsia="SimSun" w:cs="Times New Roman"/>
          <w:sz w:val="20"/>
          <w:szCs w:val="20"/>
        </w:rPr>
      </w:pPr>
    </w:p>
    <w:p w:rsidR="00D53DAA" w:rsidRPr="00D53DAA" w:rsidRDefault="00D53DAA" w:rsidP="00D53DAA">
      <w:pPr>
        <w:spacing w:before="0" w:beforeAutospacing="0" w:after="0" w:afterAutospacing="0"/>
        <w:jc w:val="left"/>
        <w:rPr>
          <w:rFonts w:eastAsia="SimSun" w:cs="Times New Roman"/>
          <w:sz w:val="20"/>
          <w:szCs w:val="20"/>
        </w:rPr>
        <w:sectPr w:rsidR="00D53DAA" w:rsidRPr="00D53DAA" w:rsidSect="005455CD">
          <w:headerReference w:type="default" r:id="rId16"/>
          <w:footerReference w:type="default" r:id="rId17"/>
          <w:headerReference w:type="first" r:id="rId18"/>
          <w:footerReference w:type="first" r:id="rId19"/>
          <w:type w:val="continuous"/>
          <w:pgSz w:w="11906" w:h="16838" w:code="9"/>
          <w:pgMar w:top="1440" w:right="1440" w:bottom="1440" w:left="1440" w:header="709" w:footer="709" w:gutter="0"/>
          <w:cols w:space="708"/>
          <w:titlePg/>
          <w:docGrid w:linePitch="360"/>
        </w:sectPr>
      </w:pP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proofErr w:type="spellStart"/>
      <w:r w:rsidRPr="00D53DAA">
        <w:rPr>
          <w:rFonts w:eastAsia="SimSun" w:cs="Times New Roman"/>
          <w:sz w:val="20"/>
          <w:szCs w:val="20"/>
        </w:rPr>
        <w:lastRenderedPageBreak/>
        <w:t>2508+Disconnected</w:t>
      </w:r>
      <w:proofErr w:type="spellEnd"/>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proofErr w:type="spellStart"/>
      <w:r w:rsidRPr="00D53DAA">
        <w:rPr>
          <w:rFonts w:eastAsia="SimSun" w:cs="Times New Roman"/>
          <w:sz w:val="20"/>
          <w:szCs w:val="20"/>
        </w:rPr>
        <w:t>Aadmi</w:t>
      </w:r>
      <w:proofErr w:type="spellEnd"/>
      <w:r w:rsidRPr="00D53DAA">
        <w:rPr>
          <w:rFonts w:eastAsia="SimSun" w:cs="Times New Roman"/>
          <w:sz w:val="20"/>
          <w:szCs w:val="20"/>
        </w:rPr>
        <w:t xml:space="preserve"> Co</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Able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Achieve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Adult Learning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Australia Institute (The)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Australian Communication Exchange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Australian Council of Social Service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Australian Federation of Deaf Societies</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Australian Federation of Disability Organisations</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Australian Pensioners and Superannuants Federation</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Australian Privacy Foundation</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Australian Regional Business Development Specialists</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Australian Seniors Computer Clubs Association</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Better Hearing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Better Internet for Rural, Regional &amp; Remote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Blind Citizens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Broadband for the Bush Alliance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Broadband Today Alliance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 xml:space="preserve">CARE </w:t>
      </w:r>
      <w:proofErr w:type="spellStart"/>
      <w:r w:rsidRPr="00D53DAA">
        <w:rPr>
          <w:rFonts w:eastAsia="SimSun" w:cs="Times New Roman"/>
          <w:sz w:val="20"/>
          <w:szCs w:val="20"/>
        </w:rPr>
        <w:t>Inc</w:t>
      </w:r>
      <w:proofErr w:type="spellEnd"/>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Central Land Council</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Centre for Appropriate Technology</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 xml:space="preserve">Centre for </w:t>
      </w:r>
      <w:proofErr w:type="spellStart"/>
      <w:r w:rsidRPr="00D53DAA">
        <w:rPr>
          <w:rFonts w:eastAsia="SimSun" w:cs="Times New Roman"/>
          <w:sz w:val="20"/>
          <w:szCs w:val="20"/>
        </w:rPr>
        <w:t>eCommerce</w:t>
      </w:r>
      <w:proofErr w:type="spellEnd"/>
      <w:r w:rsidRPr="00D53DAA">
        <w:rPr>
          <w:rFonts w:eastAsia="SimSun" w:cs="Times New Roman"/>
          <w:sz w:val="20"/>
          <w:szCs w:val="20"/>
        </w:rPr>
        <w:t xml:space="preserve"> &amp; Communications</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CHOICE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CICADA QLD</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CITIES - Centre for Indigenous Technology Information and Engineering Solutions</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City of Greater Geelong</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Collective of Self Help Groups</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Combined Pensioners &amp; Superannuants Assoc. of Victoria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Communication Rights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Communications Law Centre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Community Broadcasting Association of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Community Legal Centres NSW</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Consumer Action Law Centre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Consumer Credit Legal Service WA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Consumer Utilities Advocacy Centre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Consumers' Association of South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Consumers' Federation of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Copper Development Centre, Australia Ltd</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Council on the Ageing (WA) Inc.</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lastRenderedPageBreak/>
        <w:t>Council on the Ageing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Country Women's Association of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Cyberspace Law and Policy Centre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Deaf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Deaf Children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Deaf NT</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Deaf Society of NSW</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Deafness Forum of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Desert Knowledge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Differently Abled People Association Inc.</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Digital Tasmania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proofErr w:type="spellStart"/>
      <w:r w:rsidRPr="00D53DAA">
        <w:rPr>
          <w:rFonts w:eastAsia="SimSun" w:cs="Times New Roman"/>
          <w:sz w:val="20"/>
          <w:szCs w:val="20"/>
        </w:rPr>
        <w:t>Diversicare</w:t>
      </w:r>
      <w:proofErr w:type="spellEnd"/>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Electronic Frontiers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Ethnic Communities Council of WA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Evidence Technology Holdings Pty Ltd</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Family Drug Support</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Federation of Ethnic Communities Councils of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Financial Counselling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Financial Counsellors Association of Queensland</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Financial Rights Legal Centre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Footscray Community Legal Centre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Health Consumers of Rural &amp; Remote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Helplines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Homelessness Australia Inc.</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IDEAS NSW</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 xml:space="preserve">Illawarra Legal Centre </w:t>
      </w:r>
      <w:proofErr w:type="spellStart"/>
      <w:r w:rsidRPr="00D53DAA">
        <w:rPr>
          <w:rFonts w:eastAsia="SimSun" w:cs="Times New Roman"/>
          <w:sz w:val="20"/>
          <w:szCs w:val="20"/>
        </w:rPr>
        <w:t>Inc</w:t>
      </w:r>
      <w:proofErr w:type="spellEnd"/>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 xml:space="preserve">Inclusive </w:t>
      </w:r>
      <w:proofErr w:type="spellStart"/>
      <w:r w:rsidRPr="00D53DAA">
        <w:rPr>
          <w:rFonts w:eastAsia="SimSun" w:cs="Times New Roman"/>
          <w:sz w:val="20"/>
          <w:szCs w:val="20"/>
        </w:rPr>
        <w:t>UX</w:t>
      </w:r>
      <w:proofErr w:type="spellEnd"/>
      <w:r w:rsidRPr="00D53DAA">
        <w:rPr>
          <w:rFonts w:eastAsia="SimSun" w:cs="Times New Roman"/>
          <w:sz w:val="20"/>
          <w:szCs w:val="20"/>
        </w:rPr>
        <w:t xml:space="preserve"> Pty Ltd</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Indigenous Consumer Assistance Network Ltd</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Indigenous Remote Communications Association</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Inner Sydney Regional Council for Social Development</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Internet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 xml:space="preserve">IP </w:t>
      </w:r>
      <w:proofErr w:type="spellStart"/>
      <w:r w:rsidRPr="00D53DAA">
        <w:rPr>
          <w:rFonts w:eastAsia="SimSun" w:cs="Times New Roman"/>
          <w:sz w:val="20"/>
          <w:szCs w:val="20"/>
        </w:rPr>
        <w:t>Neighborhood</w:t>
      </w:r>
      <w:proofErr w:type="spellEnd"/>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Isolated Children's Parents Association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Isolated Children's Parents' Association NT</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Isolated Children's Parents' Association of NSW</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Isolated Children’s Parents Association Queensland</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Isolated Children's Parents' Association WA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proofErr w:type="spellStart"/>
      <w:r w:rsidRPr="00D53DAA">
        <w:rPr>
          <w:rFonts w:eastAsia="SimSun" w:cs="Times New Roman"/>
          <w:sz w:val="20"/>
          <w:szCs w:val="20"/>
        </w:rPr>
        <w:t>itControl</w:t>
      </w:r>
      <w:proofErr w:type="spellEnd"/>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Kingsford Legal Centre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Macarthur  Legal Centre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Media Access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lastRenderedPageBreak/>
        <w:t>National Association of Community Legal Centres</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National Association of Tenant Organisations</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National Children's and Youth Law Centre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National Council of Women of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National Ethnic Disability Alliance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Northern Rivers Community Legal Centre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proofErr w:type="spellStart"/>
      <w:r w:rsidRPr="00D53DAA">
        <w:rPr>
          <w:rFonts w:eastAsia="SimSun" w:cs="Times New Roman"/>
          <w:sz w:val="20"/>
          <w:szCs w:val="20"/>
        </w:rPr>
        <w:t>Novita</w:t>
      </w:r>
      <w:proofErr w:type="spellEnd"/>
      <w:r w:rsidRPr="00D53DAA">
        <w:rPr>
          <w:rFonts w:eastAsia="SimSun" w:cs="Times New Roman"/>
          <w:sz w:val="20"/>
          <w:szCs w:val="20"/>
        </w:rPr>
        <w:t xml:space="preserve"> Children's Services</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NSW Farmers Association</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proofErr w:type="spellStart"/>
      <w:r w:rsidRPr="00D53DAA">
        <w:rPr>
          <w:rFonts w:eastAsia="SimSun" w:cs="Times New Roman"/>
          <w:sz w:val="20"/>
          <w:szCs w:val="20"/>
        </w:rPr>
        <w:t>Parawa</w:t>
      </w:r>
      <w:proofErr w:type="spellEnd"/>
      <w:r w:rsidRPr="00D53DAA">
        <w:rPr>
          <w:rFonts w:eastAsia="SimSun" w:cs="Times New Roman"/>
          <w:sz w:val="20"/>
          <w:szCs w:val="20"/>
        </w:rPr>
        <w:t xml:space="preserve"> Agricultural Bureau </w:t>
      </w:r>
      <w:proofErr w:type="spellStart"/>
      <w:r w:rsidRPr="00D53DAA">
        <w:rPr>
          <w:rFonts w:eastAsia="SimSun" w:cs="Times New Roman"/>
          <w:sz w:val="20"/>
          <w:szCs w:val="20"/>
        </w:rPr>
        <w:t>Inc</w:t>
      </w:r>
      <w:proofErr w:type="spellEnd"/>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People with Disabilities WA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People with Disability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Physical Disability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Physical Disability Council of NSW</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Queensland Consumers Association</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Queensland Council of Social Service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Redfern Legal Centre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Signs Ministries Charitable Trust</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South Australian Financial Counsellors Association</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Swinburne Institute for Social Research</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Tasmanian Deaf Society</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Tasmanians with Disabilities Inc.</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Tenants Queensland Inc.</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Vision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proofErr w:type="spellStart"/>
      <w:r w:rsidRPr="00D53DAA">
        <w:rPr>
          <w:rFonts w:eastAsia="SimSun" w:cs="Times New Roman"/>
          <w:sz w:val="20"/>
          <w:szCs w:val="20"/>
        </w:rPr>
        <w:t>W.O.W</w:t>
      </w:r>
      <w:proofErr w:type="spellEnd"/>
      <w:r w:rsidRPr="00D53DAA">
        <w:rPr>
          <w:rFonts w:eastAsia="SimSun" w:cs="Times New Roman"/>
          <w:sz w:val="20"/>
          <w:szCs w:val="20"/>
        </w:rPr>
        <w:t>! - Willing Older Workers Incorporated</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Western Australian Deaf Society Inc.</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Westwood Spice</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Women with Disabilities Australia</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 xml:space="preserve">Women's Legal Services </w:t>
      </w:r>
      <w:proofErr w:type="spellStart"/>
      <w:r w:rsidRPr="00D53DAA">
        <w:rPr>
          <w:rFonts w:eastAsia="SimSun" w:cs="Times New Roman"/>
          <w:sz w:val="20"/>
          <w:szCs w:val="20"/>
        </w:rPr>
        <w:t>Aust</w:t>
      </w:r>
      <w:proofErr w:type="spellEnd"/>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Women's Legal Services NSW</w:t>
      </w:r>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proofErr w:type="spellStart"/>
      <w:r w:rsidRPr="00D53DAA">
        <w:rPr>
          <w:rFonts w:eastAsia="SimSun" w:cs="Times New Roman"/>
          <w:sz w:val="20"/>
          <w:szCs w:val="20"/>
        </w:rPr>
        <w:t>Workventures</w:t>
      </w:r>
      <w:proofErr w:type="spellEnd"/>
    </w:p>
    <w:p w:rsidR="00D53DAA" w:rsidRPr="00D53DAA" w:rsidRDefault="00D53DAA" w:rsidP="00D53DAA">
      <w:pPr>
        <w:numPr>
          <w:ilvl w:val="0"/>
          <w:numId w:val="48"/>
        </w:numPr>
        <w:spacing w:before="0" w:beforeAutospacing="0" w:after="0" w:afterAutospacing="0"/>
        <w:ind w:left="284"/>
        <w:contextualSpacing/>
        <w:jc w:val="left"/>
        <w:rPr>
          <w:rFonts w:eastAsia="SimSun" w:cs="Times New Roman"/>
          <w:sz w:val="20"/>
          <w:szCs w:val="20"/>
        </w:rPr>
      </w:pPr>
      <w:r w:rsidRPr="00D53DAA">
        <w:rPr>
          <w:rFonts w:eastAsia="SimSun" w:cs="Times New Roman"/>
          <w:sz w:val="20"/>
          <w:szCs w:val="20"/>
        </w:rPr>
        <w:t>Youth Affairs Network of Queensland</w:t>
      </w:r>
    </w:p>
    <w:sectPr w:rsidR="00D53DAA" w:rsidRPr="00D53DAA" w:rsidSect="00D53DAA">
      <w:headerReference w:type="default" r:id="rId20"/>
      <w:footerReference w:type="default" r:id="rId21"/>
      <w:headerReference w:type="first" r:id="rId22"/>
      <w:footerReference w:type="first" r:id="rId23"/>
      <w:type w:val="continuous"/>
      <w:pgSz w:w="11906" w:h="16838" w:code="9"/>
      <w:pgMar w:top="1440" w:right="1440" w:bottom="1440" w:left="1440" w:header="680" w:footer="170"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6EF" w:rsidRDefault="001916EF" w:rsidP="00B14DFB">
      <w:r>
        <w:separator/>
      </w:r>
    </w:p>
  </w:endnote>
  <w:endnote w:type="continuationSeparator" w:id="0">
    <w:p w:rsidR="001916EF" w:rsidRDefault="001916EF" w:rsidP="00B1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6A" w:rsidRDefault="00B6196A" w:rsidP="005455CD">
    <w:pPr>
      <w:spacing w:after="0"/>
      <w:rPr>
        <w:noProof/>
      </w:rPr>
    </w:pPr>
    <w:proofErr w:type="spellStart"/>
    <w:r w:rsidRPr="00E05115">
      <w:rPr>
        <w:color w:val="23B0E6"/>
      </w:rPr>
      <w:t>www.accan.org.au</w:t>
    </w:r>
    <w:proofErr w:type="spellEnd"/>
    <w:r w:rsidRPr="00E05115">
      <w:rPr>
        <w:color w:val="23B0E6"/>
      </w:rPr>
      <w:t xml:space="preserve"> | </w:t>
    </w:r>
    <w:proofErr w:type="spellStart"/>
    <w:r w:rsidRPr="00E05115">
      <w:rPr>
        <w:color w:val="23B0E6"/>
      </w:rPr>
      <w:t>info@accan.org.au</w:t>
    </w:r>
    <w:proofErr w:type="spellEnd"/>
    <w:r w:rsidRPr="00E05115">
      <w:rPr>
        <w:color w:val="23B0E6"/>
      </w:rPr>
      <w:t xml:space="preserve"> | twitter: @</w:t>
    </w:r>
    <w:proofErr w:type="spellStart"/>
    <w:r w:rsidRPr="00E05115">
      <w:rPr>
        <w:color w:val="23B0E6"/>
      </w:rPr>
      <w:t>ACCAN_AU</w:t>
    </w:r>
    <w:proofErr w:type="spellEnd"/>
    <w:r>
      <w:rPr>
        <w:color w:val="23B0E6"/>
      </w:rPr>
      <w:ptab w:relativeTo="margin" w:alignment="right" w:leader="none"/>
    </w:r>
    <w:r w:rsidRPr="00C4251E">
      <w:fldChar w:fldCharType="begin"/>
    </w:r>
    <w:r w:rsidRPr="00C4251E">
      <w:instrText xml:space="preserve"> PAGE   \* MERGEFORMAT </w:instrText>
    </w:r>
    <w:r w:rsidRPr="00C4251E">
      <w:fldChar w:fldCharType="separate"/>
    </w:r>
    <w:r w:rsidR="00E514F0">
      <w:rPr>
        <w:noProof/>
      </w:rPr>
      <w:t>28</w:t>
    </w:r>
    <w:r w:rsidRPr="00C4251E">
      <w:rPr>
        <w:noProof/>
      </w:rPr>
      <w:fldChar w:fldCharType="end"/>
    </w:r>
  </w:p>
  <w:p w:rsidR="00B6196A" w:rsidRDefault="00B619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6A" w:rsidRDefault="00B6196A" w:rsidP="005455CD">
    <w:pPr>
      <w:pStyle w:val="Footerpage1"/>
    </w:pPr>
    <w:r w:rsidRPr="004A0B0A">
      <w:rPr>
        <w:color w:val="44C8F5"/>
      </w:rPr>
      <w:t>Australian Communications Consumer Action Network (</w:t>
    </w:r>
    <w:proofErr w:type="spellStart"/>
    <w:r w:rsidRPr="004A0B0A">
      <w:rPr>
        <w:color w:val="44C8F5"/>
      </w:rPr>
      <w:t>ACCAN</w:t>
    </w:r>
    <w:proofErr w:type="spellEnd"/>
    <w:r w:rsidRPr="004A0B0A">
      <w:rPr>
        <w:color w:val="44C8F5"/>
      </w:rPr>
      <w:t>)</w:t>
    </w:r>
  </w:p>
  <w:p w:rsidR="00B6196A" w:rsidRDefault="00B6196A" w:rsidP="005455CD">
    <w:pPr>
      <w:pStyle w:val="Footerpage1"/>
      <w:rPr>
        <w:i/>
      </w:rPr>
    </w:pPr>
    <w:r w:rsidRPr="004A0B0A">
      <w:rPr>
        <w:i/>
        <w:color w:val="44C8F5"/>
      </w:rPr>
      <w:t>Australia’s peak telecommunications consumer organisation</w:t>
    </w:r>
  </w:p>
  <w:p w:rsidR="00B6196A" w:rsidRDefault="00B6196A" w:rsidP="005455CD">
    <w:pPr>
      <w:pStyle w:val="Footerpage1"/>
    </w:pPr>
    <w:r w:rsidRPr="008E763A">
      <w:rPr>
        <w:noProof/>
        <w:lang w:eastAsia="en-AU"/>
      </w:rPr>
      <mc:AlternateContent>
        <mc:Choice Requires="wps">
          <w:drawing>
            <wp:inline distT="0" distB="0" distL="0" distR="0" wp14:anchorId="11F855C7" wp14:editId="7EFF5FDF">
              <wp:extent cx="6699600" cy="0"/>
              <wp:effectExtent l="0" t="19050" r="6350" b="19050"/>
              <wp:docPr id="10" name="Straight Connector 10"/>
              <wp:cNvGraphicFramePr/>
              <a:graphic xmlns:a="http://schemas.openxmlformats.org/drawingml/2006/main">
                <a:graphicData uri="http://schemas.microsoft.com/office/word/2010/wordprocessingShape">
                  <wps:wsp>
                    <wps:cNvCnPr/>
                    <wps:spPr>
                      <a:xfrm>
                        <a:off x="0" y="0"/>
                        <a:ext cx="6699600" cy="0"/>
                      </a:xfrm>
                      <a:prstGeom prst="line">
                        <a:avLst/>
                      </a:prstGeom>
                      <a:noFill/>
                      <a:ln w="38100" cap="flat" cmpd="sng" algn="ctr">
                        <a:solidFill>
                          <a:srgbClr val="23B0E6"/>
                        </a:solidFill>
                        <a:prstDash val="solid"/>
                      </a:ln>
                      <a:effectLst/>
                    </wps:spPr>
                    <wps:bodyPr/>
                  </wps:wsp>
                </a:graphicData>
              </a:graphic>
            </wp:inline>
          </w:drawing>
        </mc:Choice>
        <mc:Fallback>
          <w:pict>
            <v:line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52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IsHvAEAAGADAAAOAAAAZHJzL2Uyb0RvYy54bWysU01v2zAMvQ/YfxB0X+ykQNAacQosWXcZ&#10;tgBdfwAjy7YAfYHU4uTfj1LcrNtuwy6yKJKPfI/05vHsrDhpJBN8K5eLWgrtVeiMH1r58v3pw70U&#10;lMB3YIPXrbxoko/b9+82U2z0KozBdhoFg3hqptjKMaXYVBWpUTugRYjas7MP6CCxiUPVIUyM7my1&#10;qut1NQXsIgalifh1f3XKbcHve63St74nnYRtJfeWyonlPOaz2m6gGRDiaNTcBvxDFw6M56I3qD0k&#10;ED/Q/AXljMJAoU8LFVwV+t4oXTgwm2X9B5vnEaIuXFgcijeZ6P/Bqq+nAwrT8exYHg+OZ/ScEMww&#10;JrEL3rOCAQU7WakpUsMJO3/A2aJ4wEz73KPLXyYkzkXdy01dfU5C8eN6/fCwrrmKevVVvxIjUvqs&#10;gxP50kprfCYODZy+UOJiHPoakp99eDLWluFZL6ZW3t0vCzTwDvUWEldxkVmRH6QAO/ByqoQFkoI1&#10;XU7PQITDcWdRnIAXZHX3sf60zky53G9hufYeaLzGFdccZn2G0WXV5lazTFdh8u0YukvRq8oWj7Gg&#10;zyuX9+Stzfe3P8b2JwAAAP//AwBQSwMEFAAGAAgAAAAhANMnfcXZAAAAAwEAAA8AAABkcnMvZG93&#10;bnJldi54bWxMj09rwkAQxe8Fv8MyQm+60dZS0mxERAWh4J/a+5gdk9DsbMyumn77brzYy4PHG977&#10;TTJtTSWu1LjSsoLRMAJBnFldcq7g8LUcvINwHlljZZkU/JKDadp7SjDW9sY7uu59LkIJuxgVFN7X&#10;sZQuK8igG9qaOGQn2xj0wTa51A3eQrmp5DiK3qTBksNCgTXNC8p+9hejYLmefW5rd54vjJF8etks&#10;vl9XB6We++3sA4Sn1j+OocMP6JAGpqO9sHaiUhAe8XftsmgyGYE4dl6mifzPnv4BAAD//wMAUEsB&#10;Ai0AFAAGAAgAAAAhALaDOJL+AAAA4QEAABMAAAAAAAAAAAAAAAAAAAAAAFtDb250ZW50X1R5cGVz&#10;XS54bWxQSwECLQAUAAYACAAAACEAOP0h/9YAAACUAQAACwAAAAAAAAAAAAAAAAAvAQAAX3JlbHMv&#10;LnJlbHNQSwECLQAUAAYACAAAACEAvQyLB7wBAABgAwAADgAAAAAAAAAAAAAAAAAuAgAAZHJzL2Uy&#10;b0RvYy54bWxQSwECLQAUAAYACAAAACEA0yd9xdkAAAADAQAADwAAAAAAAAAAAAAAAAAWBAAAZHJz&#10;L2Rvd25yZXYueG1sUEsFBgAAAAAEAAQA8wAAABwFAAAAAA==&#10;" strokecolor="#23b0e6" strokeweight="3pt">
              <w10:anchorlock/>
            </v:line>
          </w:pict>
        </mc:Fallback>
      </mc:AlternateContent>
    </w:r>
    <w:r w:rsidRPr="008E763A">
      <w:t>Suite 4.02, 55 Mountain St, Ultimo NSW 2007</w:t>
    </w:r>
  </w:p>
  <w:p w:rsidR="00B6196A" w:rsidRDefault="00B6196A" w:rsidP="005455CD">
    <w:pPr>
      <w:pStyle w:val="Footerpage1"/>
    </w:pPr>
    <w:r w:rsidRPr="008E763A">
      <w:t>Tel: (02) 9288 4000 | TTY: (02) 9281 5322 | Fax: (02) 9288 4019</w:t>
    </w:r>
  </w:p>
  <w:p w:rsidR="00B6196A" w:rsidRDefault="00B6196A" w:rsidP="005455CD">
    <w:pPr>
      <w:pStyle w:val="Footerpage1"/>
    </w:pPr>
    <w:proofErr w:type="spellStart"/>
    <w:r w:rsidRPr="004A0B0A">
      <w:rPr>
        <w:color w:val="44C8F5"/>
      </w:rPr>
      <w:t>www.accan.org.au</w:t>
    </w:r>
    <w:proofErr w:type="spellEnd"/>
    <w:r w:rsidRPr="004A0B0A">
      <w:rPr>
        <w:color w:val="44C8F5"/>
      </w:rPr>
      <w:t xml:space="preserve"> | </w:t>
    </w:r>
    <w:proofErr w:type="spellStart"/>
    <w:r w:rsidRPr="004A0B0A">
      <w:rPr>
        <w:color w:val="44C8F5"/>
      </w:rPr>
      <w:t>info@accan.org.au</w:t>
    </w:r>
    <w:proofErr w:type="spellEnd"/>
    <w:r w:rsidRPr="004A0B0A">
      <w:rPr>
        <w:color w:val="44C8F5"/>
      </w:rPr>
      <w:t xml:space="preserve"> | twitter: @</w:t>
    </w:r>
    <w:proofErr w:type="spellStart"/>
    <w:r w:rsidRPr="004A0B0A">
      <w:rPr>
        <w:color w:val="44C8F5"/>
      </w:rPr>
      <w:t>ACCAN_AU</w:t>
    </w:r>
    <w:proofErr w:type="spellEnd"/>
  </w:p>
  <w:p w:rsidR="00B6196A" w:rsidRPr="005455CD" w:rsidRDefault="00B6196A" w:rsidP="005455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6A" w:rsidRDefault="00B6196A" w:rsidP="000F58CC">
    <w:pPr>
      <w:spacing w:after="0"/>
      <w:rPr>
        <w:noProof/>
      </w:rPr>
    </w:pPr>
    <w:proofErr w:type="spellStart"/>
    <w:r w:rsidRPr="00E05115">
      <w:rPr>
        <w:color w:val="23B0E6"/>
      </w:rPr>
      <w:t>www.accan.org.au</w:t>
    </w:r>
    <w:proofErr w:type="spellEnd"/>
    <w:r w:rsidRPr="00E05115">
      <w:rPr>
        <w:color w:val="23B0E6"/>
      </w:rPr>
      <w:t xml:space="preserve"> | </w:t>
    </w:r>
    <w:proofErr w:type="spellStart"/>
    <w:r w:rsidRPr="00E05115">
      <w:rPr>
        <w:color w:val="23B0E6"/>
      </w:rPr>
      <w:t>info@accan.org.au</w:t>
    </w:r>
    <w:proofErr w:type="spellEnd"/>
    <w:r w:rsidRPr="00E05115">
      <w:rPr>
        <w:color w:val="23B0E6"/>
      </w:rPr>
      <w:t xml:space="preserve"> | twitter: @</w:t>
    </w:r>
    <w:proofErr w:type="spellStart"/>
    <w:r w:rsidRPr="00E05115">
      <w:rPr>
        <w:color w:val="23B0E6"/>
      </w:rPr>
      <w:t>ACCAN_AU</w:t>
    </w:r>
    <w:proofErr w:type="spellEnd"/>
    <w:r>
      <w:rPr>
        <w:color w:val="23B0E6"/>
      </w:rPr>
      <w:ptab w:relativeTo="margin" w:alignment="right" w:leader="none"/>
    </w:r>
    <w:r w:rsidRPr="00C4251E">
      <w:fldChar w:fldCharType="begin"/>
    </w:r>
    <w:r w:rsidRPr="00C4251E">
      <w:instrText xml:space="preserve"> PAGE   \* MERGEFORMAT </w:instrText>
    </w:r>
    <w:r w:rsidRPr="00C4251E">
      <w:fldChar w:fldCharType="separate"/>
    </w:r>
    <w:r w:rsidR="00E514F0">
      <w:rPr>
        <w:noProof/>
      </w:rPr>
      <w:t>29</w:t>
    </w:r>
    <w:r w:rsidRPr="00C4251E">
      <w:rPr>
        <w:noProof/>
      </w:rPr>
      <w:fldChar w:fldCharType="end"/>
    </w:r>
  </w:p>
  <w:p w:rsidR="00B6196A" w:rsidRPr="000F58CC" w:rsidRDefault="00B6196A" w:rsidP="00A13B9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6A" w:rsidRDefault="00B6196A" w:rsidP="00A13B92">
    <w:pPr>
      <w:pStyle w:val="Footerpage1"/>
    </w:pPr>
    <w:r w:rsidRPr="004A0B0A">
      <w:rPr>
        <w:color w:val="44C8F5"/>
      </w:rPr>
      <w:t>Australian Communications Consumer Action Network (</w:t>
    </w:r>
    <w:proofErr w:type="spellStart"/>
    <w:r w:rsidRPr="004A0B0A">
      <w:rPr>
        <w:color w:val="44C8F5"/>
      </w:rPr>
      <w:t>ACCAN</w:t>
    </w:r>
    <w:proofErr w:type="spellEnd"/>
    <w:r w:rsidRPr="004A0B0A">
      <w:rPr>
        <w:color w:val="44C8F5"/>
      </w:rPr>
      <w:t>)</w:t>
    </w:r>
  </w:p>
  <w:p w:rsidR="00B6196A" w:rsidRDefault="00B6196A" w:rsidP="00A13B92">
    <w:pPr>
      <w:pStyle w:val="Footerpage1"/>
      <w:rPr>
        <w:i/>
      </w:rPr>
    </w:pPr>
    <w:r w:rsidRPr="004A0B0A">
      <w:rPr>
        <w:i/>
        <w:color w:val="44C8F5"/>
      </w:rPr>
      <w:t>Australia’s peak telecommunications consumer organisation</w:t>
    </w:r>
  </w:p>
  <w:p w:rsidR="00B6196A" w:rsidRDefault="00B6196A" w:rsidP="00A13B92">
    <w:pPr>
      <w:pStyle w:val="Footerpage1"/>
    </w:pPr>
    <w:r w:rsidRPr="008E763A">
      <w:rPr>
        <w:noProof/>
        <w:lang w:eastAsia="en-AU"/>
      </w:rPr>
      <mc:AlternateContent>
        <mc:Choice Requires="wps">
          <w:drawing>
            <wp:inline distT="0" distB="0" distL="0" distR="0" wp14:anchorId="233A4202" wp14:editId="0D030482">
              <wp:extent cx="6699600" cy="0"/>
              <wp:effectExtent l="0" t="19050" r="6350" b="19050"/>
              <wp:docPr id="5" name="Straight Connector 5"/>
              <wp:cNvGraphicFramePr/>
              <a:graphic xmlns:a="http://schemas.openxmlformats.org/drawingml/2006/main">
                <a:graphicData uri="http://schemas.microsoft.com/office/word/2010/wordprocessingShape">
                  <wps:wsp>
                    <wps:cNvCnPr/>
                    <wps:spPr>
                      <a:xfrm>
                        <a:off x="0" y="0"/>
                        <a:ext cx="6699600" cy="0"/>
                      </a:xfrm>
                      <a:prstGeom prst="line">
                        <a:avLst/>
                      </a:prstGeom>
                      <a:ln w="38100">
                        <a:solidFill>
                          <a:srgbClr val="23B0E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id="Straight Connector 5" o:spid="_x0000_s1026" style="visibility:visible;mso-wrap-style:square;mso-left-percent:-10001;mso-top-percent:-10001;mso-position-horizontal:absolute;mso-position-horizontal-relative:char;mso-position-vertical:absolute;mso-position-vertical-relative:line;mso-left-percent:-10001;mso-top-percent:-10001" from="0,0" to="52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Kn3wEAAA4EAAAOAAAAZHJzL2Uyb0RvYy54bWysU8tu2zAQvBfoPxC815IcxEgEywHqNL0U&#10;rdG0H0BTpESALyxZS/77LilZCdKiQINcKO1yd3ZmSG7vRqPJSUBQzja0WpWUCMtdq2zX0J8/Hj7c&#10;UBIisy3TzoqGnkWgd7v377aDr8Xa9U63AgiC2FAPvqF9jL4uisB7YVhYOS8sbkoHhkUMoStaYAOi&#10;G12sy3JTDA5aD46LEDB7P23SXcaXUvD4TcogItENRW4xr5DXY1qL3ZbVHTDfKz7TYK9gYZiyOHSB&#10;umeRkV+g/oAyioMLTsYVd6ZwUiousgZUU5Uv1Dz2zIusBc0JfrEpvB0s/3o6AFFtQ68psczgET1G&#10;YKrrI9k7a9FAB+Q6+TT4UGP53h5gjoI/QBI9SjDpi3LImL09L96KMRKOyc3m9nZT4hHwy17x1Ogh&#10;xM/CGZJ+GqqVTbJZzU5fQsRhWHopSWltydDQq5sK8VIcnFbtg9I6B9Ad9xrIieGRr68+lp82iT1C&#10;PCvDSFtMJk2TivwXz1pMA74Lia4g72qakO6jWGAZ58LGasbVFqtTm0QKS+NM7V+Nc31qFfmu/k/z&#10;0pEnOxuXZqOsg7/RjuOFspzqLw5MupMFR9ee8/lma/DSZefmB5Ju9fM4tz89491vAAAA//8DAFBL&#10;AwQUAAYACAAAACEA0yd9xdkAAAADAQAADwAAAGRycy9kb3ducmV2LnhtbEyPT2vCQBDF7wW/wzJC&#10;b7rR1lLSbEREBaHgn9r7mB2T0OxszK6afvtuvNjLg8cb3vtNMm1NJa7UuNKygtEwAkGcWV1yruDw&#10;tRy8g3AeWWNlmRT8koNp2ntKMNb2xju67n0uQgm7GBUU3texlC4ryKAb2po4ZCfbGPTBNrnUDd5C&#10;uankOIrepMGSw0KBNc0Lyn72F6NguZ59bmt3ni+MkXx62Sy+X1cHpZ777ewDhKfWP46hww/okAam&#10;o72wdqJSEB7xd+2yaDIZgTh2XqaJ/M+e/gEAAP//AwBQSwECLQAUAAYACAAAACEAtoM4kv4AAADh&#10;AQAAEwAAAAAAAAAAAAAAAAAAAAAAW0NvbnRlbnRfVHlwZXNdLnhtbFBLAQItABQABgAIAAAAIQA4&#10;/SH/1gAAAJQBAAALAAAAAAAAAAAAAAAAAC8BAABfcmVscy8ucmVsc1BLAQItABQABgAIAAAAIQCm&#10;WxKn3wEAAA4EAAAOAAAAAAAAAAAAAAAAAC4CAABkcnMvZTJvRG9jLnhtbFBLAQItABQABgAIAAAA&#10;IQDTJ33F2QAAAAMBAAAPAAAAAAAAAAAAAAAAADkEAABkcnMvZG93bnJldi54bWxQSwUGAAAAAAQA&#10;BADzAAAAPwUAAAAA&#10;" strokecolor="#23b0e6" strokeweight="3pt">
              <w10:anchorlock/>
            </v:line>
          </w:pict>
        </mc:Fallback>
      </mc:AlternateContent>
    </w:r>
    <w:r w:rsidRPr="008E763A">
      <w:t>Suite 4.02, 55 Mountain St, Ultimo NSW 2007</w:t>
    </w:r>
  </w:p>
  <w:p w:rsidR="00B6196A" w:rsidRDefault="00B6196A" w:rsidP="00A13B92">
    <w:pPr>
      <w:pStyle w:val="Footerpage1"/>
    </w:pPr>
    <w:r w:rsidRPr="008E763A">
      <w:t>Tel: (02) 9288 4000 | TTY: (02) 9281 5322 | Fax: (02) 9288 4019</w:t>
    </w:r>
  </w:p>
  <w:p w:rsidR="00B6196A" w:rsidRDefault="00B6196A" w:rsidP="00A13B92">
    <w:pPr>
      <w:pStyle w:val="Footerpage1"/>
    </w:pPr>
    <w:proofErr w:type="spellStart"/>
    <w:r w:rsidRPr="004A0B0A">
      <w:rPr>
        <w:color w:val="44C8F5"/>
      </w:rPr>
      <w:t>www.accan.org.au</w:t>
    </w:r>
    <w:proofErr w:type="spellEnd"/>
    <w:r w:rsidRPr="004A0B0A">
      <w:rPr>
        <w:color w:val="44C8F5"/>
      </w:rPr>
      <w:t xml:space="preserve"> | </w:t>
    </w:r>
    <w:proofErr w:type="spellStart"/>
    <w:r w:rsidRPr="004A0B0A">
      <w:rPr>
        <w:color w:val="44C8F5"/>
      </w:rPr>
      <w:t>info@accan.org.au</w:t>
    </w:r>
    <w:proofErr w:type="spellEnd"/>
    <w:r w:rsidRPr="004A0B0A">
      <w:rPr>
        <w:color w:val="44C8F5"/>
      </w:rPr>
      <w:t xml:space="preserve"> | twitter: @</w:t>
    </w:r>
    <w:proofErr w:type="spellStart"/>
    <w:r w:rsidRPr="004A0B0A">
      <w:rPr>
        <w:color w:val="44C8F5"/>
      </w:rPr>
      <w:t>ACCAN_AU</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6EF" w:rsidRDefault="001916EF" w:rsidP="00B14DFB">
      <w:r>
        <w:separator/>
      </w:r>
    </w:p>
  </w:footnote>
  <w:footnote w:type="continuationSeparator" w:id="0">
    <w:p w:rsidR="001916EF" w:rsidRDefault="001916EF" w:rsidP="00B14DFB">
      <w:r>
        <w:continuationSeparator/>
      </w:r>
    </w:p>
  </w:footnote>
  <w:footnote w:id="1">
    <w:p w:rsidR="00B6196A" w:rsidRDefault="00B6196A" w:rsidP="00052EDB">
      <w:pPr>
        <w:pStyle w:val="FootnoteText"/>
        <w:spacing w:after="0"/>
      </w:pPr>
      <w:r>
        <w:rPr>
          <w:rStyle w:val="FootnoteReference"/>
        </w:rPr>
        <w:footnoteRef/>
      </w:r>
      <w:r>
        <w:t xml:space="preserve"> </w:t>
      </w:r>
      <w:proofErr w:type="spellStart"/>
      <w:r>
        <w:t>ACCAN</w:t>
      </w:r>
      <w:proofErr w:type="spellEnd"/>
      <w:r>
        <w:t xml:space="preserve"> Connected Consumer Policy Position, June 2016. </w:t>
      </w:r>
      <w:hyperlink r:id="rId1" w:history="1">
        <w:r w:rsidRPr="00353E2E">
          <w:rPr>
            <w:rStyle w:val="Hyperlink"/>
          </w:rPr>
          <w:t>http://</w:t>
        </w:r>
        <w:proofErr w:type="spellStart"/>
        <w:r w:rsidRPr="00353E2E">
          <w:rPr>
            <w:rStyle w:val="Hyperlink"/>
          </w:rPr>
          <w:t>accan.org.au</w:t>
        </w:r>
        <w:proofErr w:type="spellEnd"/>
        <w:r w:rsidRPr="00353E2E">
          <w:rPr>
            <w:rStyle w:val="Hyperlink"/>
          </w:rPr>
          <w:t>/</w:t>
        </w:r>
        <w:proofErr w:type="spellStart"/>
        <w:r w:rsidRPr="00353E2E">
          <w:rPr>
            <w:rStyle w:val="Hyperlink"/>
          </w:rPr>
          <w:t>The%20Connected%20Consumer.pdf</w:t>
        </w:r>
        <w:proofErr w:type="spellEnd"/>
      </w:hyperlink>
    </w:p>
  </w:footnote>
  <w:footnote w:id="2">
    <w:p w:rsidR="00B6196A" w:rsidRDefault="00B6196A">
      <w:pPr>
        <w:pStyle w:val="FootnoteText"/>
      </w:pPr>
      <w:r>
        <w:rPr>
          <w:rStyle w:val="FootnoteReference"/>
        </w:rPr>
        <w:footnoteRef/>
      </w:r>
      <w:r>
        <w:t xml:space="preserve"> </w:t>
      </w:r>
      <w:proofErr w:type="spellStart"/>
      <w:r w:rsidRPr="00052EDB">
        <w:rPr>
          <w:rFonts w:asciiTheme="minorHAnsi" w:hAnsiTheme="minorHAnsi"/>
          <w:szCs w:val="18"/>
          <w:lang w:val="en-US"/>
        </w:rPr>
        <w:t>Garnham</w:t>
      </w:r>
      <w:proofErr w:type="spellEnd"/>
      <w:r w:rsidRPr="00052EDB">
        <w:rPr>
          <w:rFonts w:asciiTheme="minorHAnsi" w:hAnsiTheme="minorHAnsi"/>
          <w:szCs w:val="18"/>
          <w:lang w:val="en-US"/>
        </w:rPr>
        <w:t>, Nicholas. "</w:t>
      </w:r>
      <w:proofErr w:type="spellStart"/>
      <w:r w:rsidRPr="00052EDB">
        <w:rPr>
          <w:rFonts w:asciiTheme="minorHAnsi" w:hAnsiTheme="minorHAnsi"/>
          <w:szCs w:val="18"/>
          <w:lang w:val="en-US"/>
        </w:rPr>
        <w:t>Amartya</w:t>
      </w:r>
      <w:proofErr w:type="spellEnd"/>
      <w:r w:rsidRPr="00052EDB">
        <w:rPr>
          <w:rFonts w:asciiTheme="minorHAnsi" w:hAnsiTheme="minorHAnsi"/>
          <w:szCs w:val="18"/>
          <w:lang w:val="en-US"/>
        </w:rPr>
        <w:t xml:space="preserve"> Sen’s capabilities approach to the evaluation of welfare: Its application to communications." </w:t>
      </w:r>
      <w:r w:rsidRPr="00052EDB">
        <w:rPr>
          <w:rFonts w:asciiTheme="minorHAnsi" w:hAnsiTheme="minorHAnsi"/>
          <w:i/>
          <w:szCs w:val="18"/>
          <w:lang w:val="en-US"/>
        </w:rPr>
        <w:t>Communication, citizenship and social policy: Rethinking the limits of the welfare state</w:t>
      </w:r>
      <w:r w:rsidRPr="00052EDB">
        <w:rPr>
          <w:rFonts w:asciiTheme="minorHAnsi" w:hAnsiTheme="minorHAnsi"/>
          <w:szCs w:val="18"/>
          <w:lang w:val="en-US"/>
        </w:rPr>
        <w:t xml:space="preserve"> (1999): 113-124.</w:t>
      </w:r>
    </w:p>
  </w:footnote>
  <w:footnote w:id="3">
    <w:p w:rsidR="00B6196A" w:rsidRDefault="00B6196A" w:rsidP="00090590">
      <w:pPr>
        <w:pStyle w:val="FootnoteText"/>
        <w:spacing w:after="0"/>
      </w:pPr>
      <w:r>
        <w:rPr>
          <w:rStyle w:val="FootnoteReference"/>
        </w:rPr>
        <w:footnoteRef/>
      </w:r>
      <w:r>
        <w:t xml:space="preserve"> A list of organisational members can be found at Appendix 1.</w:t>
      </w:r>
    </w:p>
  </w:footnote>
  <w:footnote w:id="4">
    <w:p w:rsidR="00B6196A" w:rsidRDefault="00B6196A" w:rsidP="00EE68AC">
      <w:pPr>
        <w:pStyle w:val="FootnoteText"/>
        <w:spacing w:after="0"/>
      </w:pPr>
      <w:r>
        <w:rPr>
          <w:rStyle w:val="FootnoteReference"/>
        </w:rPr>
        <w:footnoteRef/>
      </w:r>
      <w:r>
        <w:t xml:space="preserve"> The </w:t>
      </w:r>
      <w:proofErr w:type="spellStart"/>
      <w:r>
        <w:t>TIO</w:t>
      </w:r>
      <w:proofErr w:type="spellEnd"/>
      <w:r>
        <w:t xml:space="preserve"> records contact from a consumer about a matter it cannot handle or help with as an ‘enquiry’; </w:t>
      </w:r>
      <w:proofErr w:type="spellStart"/>
      <w:r>
        <w:t>TIO</w:t>
      </w:r>
      <w:proofErr w:type="spellEnd"/>
      <w:r>
        <w:t xml:space="preserve">, 2015, ‘Submission to the 2015 Regional Telecommunications Review’, </w:t>
      </w:r>
      <w:proofErr w:type="spellStart"/>
      <w:r>
        <w:t>p.5</w:t>
      </w:r>
      <w:proofErr w:type="spellEnd"/>
    </w:p>
  </w:footnote>
  <w:footnote w:id="5">
    <w:p w:rsidR="00B6196A" w:rsidRDefault="00B6196A" w:rsidP="008015CF">
      <w:pPr>
        <w:spacing w:before="0" w:beforeAutospacing="0" w:after="0" w:afterAutospacing="0"/>
      </w:pPr>
      <w:r w:rsidRPr="00753E88">
        <w:rPr>
          <w:sz w:val="18"/>
          <w:szCs w:val="18"/>
          <w:vertAlign w:val="superscript"/>
        </w:rPr>
        <w:footnoteRef/>
      </w:r>
      <w:r w:rsidRPr="00753E88">
        <w:rPr>
          <w:sz w:val="18"/>
          <w:szCs w:val="18"/>
          <w:vertAlign w:val="superscript"/>
        </w:rPr>
        <w:t xml:space="preserve"> </w:t>
      </w:r>
      <w:proofErr w:type="spellStart"/>
      <w:r w:rsidRPr="00753E88">
        <w:rPr>
          <w:sz w:val="18"/>
          <w:szCs w:val="18"/>
          <w:lang w:val="en-IE"/>
        </w:rPr>
        <w:t>Helsper</w:t>
      </w:r>
      <w:proofErr w:type="spellEnd"/>
      <w:r w:rsidRPr="00753E88">
        <w:rPr>
          <w:sz w:val="18"/>
          <w:szCs w:val="18"/>
          <w:lang w:val="en-IE"/>
        </w:rPr>
        <w:t xml:space="preserve">, Ellen </w:t>
      </w:r>
      <w:proofErr w:type="spellStart"/>
      <w:r w:rsidRPr="00753E88">
        <w:rPr>
          <w:sz w:val="18"/>
          <w:szCs w:val="18"/>
          <w:lang w:val="en-IE"/>
        </w:rPr>
        <w:t>J.and</w:t>
      </w:r>
      <w:proofErr w:type="spellEnd"/>
      <w:r w:rsidRPr="00753E88">
        <w:rPr>
          <w:sz w:val="18"/>
          <w:szCs w:val="18"/>
          <w:lang w:val="en-IE"/>
        </w:rPr>
        <w:t xml:space="preserve"> </w:t>
      </w:r>
      <w:proofErr w:type="spellStart"/>
      <w:r w:rsidRPr="00753E88">
        <w:rPr>
          <w:sz w:val="18"/>
          <w:szCs w:val="18"/>
          <w:lang w:val="en-IE"/>
        </w:rPr>
        <w:t>Reisdorf</w:t>
      </w:r>
      <w:proofErr w:type="spellEnd"/>
      <w:r w:rsidRPr="00753E88">
        <w:rPr>
          <w:sz w:val="18"/>
          <w:szCs w:val="18"/>
          <w:lang w:val="en-IE"/>
        </w:rPr>
        <w:t>, Bianca C.(2016) The emergence of a "digital underclass" in Great Britain and Sweden: changing reasons for digital exclusion. New Media &amp; Society. ISSN 1461-4448</w:t>
      </w:r>
    </w:p>
  </w:footnote>
  <w:footnote w:id="6">
    <w:p w:rsidR="00B6196A" w:rsidRDefault="00B6196A" w:rsidP="00D575BF">
      <w:pPr>
        <w:pStyle w:val="FootnoteText"/>
        <w:spacing w:after="0"/>
      </w:pPr>
      <w:r>
        <w:rPr>
          <w:rStyle w:val="FootnoteReference"/>
        </w:rPr>
        <w:footnoteRef/>
      </w:r>
      <w:r>
        <w:t xml:space="preserve"> </w:t>
      </w:r>
      <w:proofErr w:type="spellStart"/>
      <w:r>
        <w:t>P.g</w:t>
      </w:r>
      <w:proofErr w:type="spellEnd"/>
      <w:r>
        <w:t xml:space="preserve"> 7 of the issues paper</w:t>
      </w:r>
    </w:p>
  </w:footnote>
  <w:footnote w:id="7">
    <w:p w:rsidR="00B6196A" w:rsidRDefault="00B6196A" w:rsidP="00D575BF">
      <w:pPr>
        <w:pStyle w:val="FootnoteText"/>
        <w:spacing w:after="0"/>
      </w:pPr>
      <w:r>
        <w:rPr>
          <w:rStyle w:val="FootnoteReference"/>
        </w:rPr>
        <w:footnoteRef/>
      </w:r>
      <w:r>
        <w:t xml:space="preserve"> </w:t>
      </w:r>
      <w:hyperlink r:id="rId2" w:history="1">
        <w:r w:rsidRPr="002C69A9">
          <w:rPr>
            <w:rStyle w:val="Hyperlink"/>
          </w:rPr>
          <w:t>https://www.telstra.com.au/consumer-advice/customer-service/universal-service-obligation</w:t>
        </w:r>
      </w:hyperlink>
    </w:p>
  </w:footnote>
  <w:footnote w:id="8">
    <w:p w:rsidR="00B6196A" w:rsidRDefault="00B6196A" w:rsidP="00562E39">
      <w:pPr>
        <w:pStyle w:val="FootnoteText"/>
        <w:spacing w:after="0"/>
      </w:pPr>
      <w:r>
        <w:rPr>
          <w:rStyle w:val="FootnoteReference"/>
        </w:rPr>
        <w:footnoteRef/>
      </w:r>
      <w:r>
        <w:t xml:space="preserve"> John </w:t>
      </w:r>
      <w:proofErr w:type="spellStart"/>
      <w:r>
        <w:t>deRidder</w:t>
      </w:r>
      <w:proofErr w:type="spellEnd"/>
      <w:r>
        <w:t xml:space="preserve">, The future of the </w:t>
      </w:r>
      <w:proofErr w:type="spellStart"/>
      <w:r>
        <w:t>USO</w:t>
      </w:r>
      <w:proofErr w:type="spellEnd"/>
      <w:r>
        <w:t xml:space="preserve">. </w:t>
      </w:r>
      <w:proofErr w:type="spellStart"/>
      <w:r>
        <w:t>Pg.10</w:t>
      </w:r>
      <w:proofErr w:type="spellEnd"/>
      <w:r>
        <w:t xml:space="preserve"> </w:t>
      </w:r>
      <w:hyperlink r:id="rId3" w:history="1">
        <w:r w:rsidRPr="002C69A9">
          <w:rPr>
            <w:rStyle w:val="Hyperlink"/>
          </w:rPr>
          <w:t>http://deridder.com.au/site/wp-content/uploads/2014/05/ACCAN-USO.pdf</w:t>
        </w:r>
      </w:hyperlink>
    </w:p>
  </w:footnote>
  <w:footnote w:id="9">
    <w:p w:rsidR="00B6196A" w:rsidRDefault="00B6196A" w:rsidP="00006782">
      <w:pPr>
        <w:pStyle w:val="FootnoteText"/>
        <w:spacing w:after="0"/>
      </w:pPr>
      <w:r>
        <w:rPr>
          <w:rStyle w:val="FootnoteReference"/>
        </w:rPr>
        <w:footnoteRef/>
      </w:r>
      <w:r>
        <w:t xml:space="preserve"> Telecommunications Industry Ombudsman Annual Report 2014-2015. </w:t>
      </w:r>
      <w:hyperlink r:id="rId4" w:history="1">
        <w:r w:rsidRPr="002C69A9">
          <w:rPr>
            <w:rStyle w:val="Hyperlink"/>
          </w:rPr>
          <w:t>https://annualreport.tio.com.au/complaint-trends/tio-complaint-trends</w:t>
        </w:r>
      </w:hyperlink>
    </w:p>
  </w:footnote>
  <w:footnote w:id="10">
    <w:p w:rsidR="00B6196A" w:rsidRDefault="00B6196A" w:rsidP="00006782">
      <w:pPr>
        <w:pStyle w:val="FootnoteText"/>
        <w:spacing w:after="0"/>
      </w:pPr>
      <w:r>
        <w:rPr>
          <w:rStyle w:val="FootnoteReference"/>
        </w:rPr>
        <w:footnoteRef/>
      </w:r>
      <w:r>
        <w:t xml:space="preserve"> Telecommunications Industry Ombudsman submission to Regional Telecommunications Review, pg. 8. </w:t>
      </w:r>
      <w:hyperlink r:id="rId5" w:history="1">
        <w:r w:rsidRPr="002C69A9">
          <w:rPr>
            <w:rStyle w:val="Hyperlink"/>
          </w:rPr>
          <w:t>https://www.communications.gov.au/sites/g/files/net301/f/TIO%20submission%20-%202015%20Regional%20Telecommunications%20Review%20-%20Final.pdf</w:t>
        </w:r>
      </w:hyperlink>
    </w:p>
  </w:footnote>
  <w:footnote w:id="11">
    <w:p w:rsidR="00B6196A" w:rsidRDefault="00B6196A" w:rsidP="001C4FA4">
      <w:pPr>
        <w:pStyle w:val="FootnoteText"/>
        <w:spacing w:after="0"/>
      </w:pPr>
      <w:r>
        <w:rPr>
          <w:rStyle w:val="FootnoteReference"/>
        </w:rPr>
        <w:footnoteRef/>
      </w:r>
      <w:r>
        <w:t xml:space="preserve"> </w:t>
      </w:r>
      <w:proofErr w:type="spellStart"/>
      <w:r>
        <w:t>ACMA</w:t>
      </w:r>
      <w:proofErr w:type="spellEnd"/>
      <w:r>
        <w:t xml:space="preserve"> Communications Report 2014-2015, pg. 90. </w:t>
      </w:r>
      <w:hyperlink r:id="rId6" w:history="1">
        <w:r w:rsidRPr="00353E2E">
          <w:rPr>
            <w:rStyle w:val="Hyperlink"/>
          </w:rPr>
          <w:t>http://www.acma.gov.au/theACMA/Library/Corporate-library/Corporate-publications/communications-report-2014-15</w:t>
        </w:r>
      </w:hyperlink>
    </w:p>
  </w:footnote>
  <w:footnote w:id="12">
    <w:p w:rsidR="00B6196A" w:rsidRDefault="00B6196A" w:rsidP="00435F31">
      <w:pPr>
        <w:pStyle w:val="FootnoteText"/>
        <w:spacing w:after="0"/>
      </w:pPr>
      <w:r>
        <w:rPr>
          <w:rStyle w:val="FootnoteReference"/>
        </w:rPr>
        <w:footnoteRef/>
      </w:r>
      <w:r>
        <w:t xml:space="preserve"> </w:t>
      </w:r>
      <w:proofErr w:type="spellStart"/>
      <w:r>
        <w:t>ACMA</w:t>
      </w:r>
      <w:proofErr w:type="spellEnd"/>
      <w:r>
        <w:t>, Telecommunications in Remote Indigenous Communities, 2008.</w:t>
      </w:r>
      <w:r w:rsidRPr="00435F31">
        <w:t xml:space="preserve"> </w:t>
      </w:r>
      <w:hyperlink r:id="rId7" w:history="1">
        <w:r w:rsidRPr="002C69A9">
          <w:rPr>
            <w:rStyle w:val="Hyperlink"/>
          </w:rPr>
          <w:t>http://www.acma.gov.au/webwr/_assets/main/lib310210/telecommunications_in_rics_2008.pdf</w:t>
        </w:r>
      </w:hyperlink>
    </w:p>
  </w:footnote>
  <w:footnote w:id="13">
    <w:p w:rsidR="00B6196A" w:rsidRDefault="00B6196A" w:rsidP="00435F31">
      <w:pPr>
        <w:pStyle w:val="FootnoteText"/>
        <w:spacing w:after="0"/>
      </w:pPr>
      <w:r>
        <w:rPr>
          <w:rStyle w:val="FootnoteReference"/>
        </w:rPr>
        <w:footnoteRef/>
      </w:r>
      <w:r>
        <w:t xml:space="preserve"> </w:t>
      </w:r>
      <w:proofErr w:type="spellStart"/>
      <w:r>
        <w:t>ACMA</w:t>
      </w:r>
      <w:proofErr w:type="spellEnd"/>
      <w:r>
        <w:t xml:space="preserve">, Older Australians resist cutting the cord. </w:t>
      </w:r>
      <w:hyperlink r:id="rId8" w:history="1">
        <w:r w:rsidRPr="002C69A9">
          <w:rPr>
            <w:rStyle w:val="Hyperlink"/>
          </w:rPr>
          <w:t>http://www.acma.gov.au/theACMA/engage-blogs/engage-blogs/Research-snapshots/Older-Australians-resist-cutting-the-cord</w:t>
        </w:r>
      </w:hyperlink>
    </w:p>
  </w:footnote>
  <w:footnote w:id="14">
    <w:p w:rsidR="00B6196A" w:rsidRDefault="00B6196A" w:rsidP="000F3CB4">
      <w:pPr>
        <w:pStyle w:val="FootnoteText"/>
        <w:spacing w:after="0"/>
      </w:pPr>
      <w:r>
        <w:rPr>
          <w:rStyle w:val="FootnoteReference"/>
        </w:rPr>
        <w:footnoteRef/>
      </w:r>
      <w:r>
        <w:t xml:space="preserve"> </w:t>
      </w:r>
      <w:r w:rsidRPr="000F3CB4">
        <w:t>Telecommunications Universal Service Obligation (Public Consultation on the Location or removal of Payphones) Determination 2011</w:t>
      </w:r>
      <w:r>
        <w:t xml:space="preserve"> </w:t>
      </w:r>
      <w:hyperlink r:id="rId9" w:history="1">
        <w:r w:rsidRPr="00353E2E">
          <w:rPr>
            <w:rStyle w:val="Hyperlink"/>
          </w:rPr>
          <w:t>https://</w:t>
        </w:r>
        <w:proofErr w:type="spellStart"/>
        <w:r w:rsidRPr="00353E2E">
          <w:rPr>
            <w:rStyle w:val="Hyperlink"/>
          </w:rPr>
          <w:t>www.legislation.gov.au</w:t>
        </w:r>
        <w:proofErr w:type="spellEnd"/>
        <w:r w:rsidRPr="00353E2E">
          <w:rPr>
            <w:rStyle w:val="Hyperlink"/>
          </w:rPr>
          <w:t>/Details/</w:t>
        </w:r>
        <w:proofErr w:type="spellStart"/>
        <w:r w:rsidRPr="00353E2E">
          <w:rPr>
            <w:rStyle w:val="Hyperlink"/>
          </w:rPr>
          <w:t>F2011L02707</w:t>
        </w:r>
        <w:proofErr w:type="spellEnd"/>
      </w:hyperlink>
    </w:p>
  </w:footnote>
  <w:footnote w:id="15">
    <w:p w:rsidR="00B6196A" w:rsidRDefault="00B6196A" w:rsidP="00780F99">
      <w:pPr>
        <w:pStyle w:val="FootnoteText"/>
        <w:spacing w:after="0"/>
      </w:pPr>
      <w:r>
        <w:rPr>
          <w:rStyle w:val="FootnoteReference"/>
        </w:rPr>
        <w:footnoteRef/>
      </w:r>
      <w:r>
        <w:t xml:space="preserve"> </w:t>
      </w:r>
      <w:proofErr w:type="spellStart"/>
      <w:r>
        <w:t>ACMA</w:t>
      </w:r>
      <w:proofErr w:type="spellEnd"/>
      <w:r>
        <w:t xml:space="preserve"> website. Network Reliability Framework (accessed 18</w:t>
      </w:r>
      <w:r w:rsidRPr="00780F99">
        <w:rPr>
          <w:vertAlign w:val="superscript"/>
        </w:rPr>
        <w:t>th</w:t>
      </w:r>
      <w:r>
        <w:t xml:space="preserve"> July 2016) </w:t>
      </w:r>
      <w:hyperlink r:id="rId10" w:history="1">
        <w:r w:rsidRPr="008F07BF">
          <w:rPr>
            <w:rStyle w:val="Hyperlink"/>
          </w:rPr>
          <w:t>http://www.acma.gov.au/Industry/Telco/Carriers-and-service-providers/Universal-service-obligation/network-reliability-framework-carriers-service-providers-acma-1</w:t>
        </w:r>
      </w:hyperlink>
    </w:p>
  </w:footnote>
  <w:footnote w:id="16">
    <w:p w:rsidR="00B6196A" w:rsidRDefault="00B6196A" w:rsidP="00780F99">
      <w:pPr>
        <w:pStyle w:val="FootnoteText"/>
        <w:spacing w:after="0"/>
      </w:pPr>
      <w:r>
        <w:rPr>
          <w:rStyle w:val="FootnoteReference"/>
        </w:rPr>
        <w:footnoteRef/>
      </w:r>
      <w:r>
        <w:t xml:space="preserve"> Carrier Licence Conditions (Telstra Corporation Limited) Declaration 1997 (Amendment No. 2 of 2014). </w:t>
      </w:r>
      <w:hyperlink r:id="rId11" w:history="1">
        <w:r w:rsidRPr="00EE40D0">
          <w:rPr>
            <w:rStyle w:val="Hyperlink"/>
          </w:rPr>
          <w:t>https://</w:t>
        </w:r>
        <w:proofErr w:type="spellStart"/>
        <w:r w:rsidRPr="00EE40D0">
          <w:rPr>
            <w:rStyle w:val="Hyperlink"/>
          </w:rPr>
          <w:t>www.legislation.gov.au</w:t>
        </w:r>
        <w:proofErr w:type="spellEnd"/>
        <w:r w:rsidRPr="00EE40D0">
          <w:rPr>
            <w:rStyle w:val="Hyperlink"/>
          </w:rPr>
          <w:t>/Details/</w:t>
        </w:r>
        <w:proofErr w:type="spellStart"/>
        <w:r w:rsidRPr="00EE40D0">
          <w:rPr>
            <w:rStyle w:val="Hyperlink"/>
          </w:rPr>
          <w:t>F2014L01002</w:t>
        </w:r>
        <w:proofErr w:type="spellEnd"/>
        <w:r w:rsidRPr="00EE40D0">
          <w:rPr>
            <w:rStyle w:val="Hyperlink"/>
          </w:rPr>
          <w:t>/Download</w:t>
        </w:r>
      </w:hyperlink>
    </w:p>
  </w:footnote>
  <w:footnote w:id="17">
    <w:p w:rsidR="00B6196A" w:rsidRPr="00780F99" w:rsidRDefault="00B6196A" w:rsidP="00780F99">
      <w:pPr>
        <w:pStyle w:val="FootnoteText"/>
        <w:spacing w:after="0"/>
        <w:rPr>
          <w:lang w:val="en-US"/>
        </w:rPr>
      </w:pPr>
      <w:r>
        <w:rPr>
          <w:rStyle w:val="FootnoteReference"/>
        </w:rPr>
        <w:footnoteRef/>
      </w:r>
      <w:r>
        <w:t xml:space="preserve"> </w:t>
      </w:r>
      <w:r>
        <w:rPr>
          <w:lang w:val="en-US"/>
        </w:rPr>
        <w:t xml:space="preserve">Standards Australia AS 4607 – 1999. </w:t>
      </w:r>
      <w:hyperlink r:id="rId12" w:history="1">
        <w:r w:rsidRPr="008F07BF">
          <w:rPr>
            <w:rStyle w:val="Hyperlink"/>
            <w:lang w:val="en-US"/>
          </w:rPr>
          <w:t>http://infostore.saiglobal.com/store/details.aspx?ProductID=316656</w:t>
        </w:r>
      </w:hyperlink>
    </w:p>
  </w:footnote>
  <w:footnote w:id="18">
    <w:p w:rsidR="00B6196A" w:rsidRPr="00780F99" w:rsidRDefault="00B6196A" w:rsidP="00780F99">
      <w:pPr>
        <w:pStyle w:val="FootnoteText"/>
        <w:spacing w:after="0"/>
        <w:rPr>
          <w:lang w:val="en-US"/>
        </w:rPr>
      </w:pPr>
      <w:r>
        <w:rPr>
          <w:rStyle w:val="FootnoteReference"/>
        </w:rPr>
        <w:footnoteRef/>
      </w:r>
      <w:r>
        <w:t xml:space="preserve"> </w:t>
      </w:r>
      <w:proofErr w:type="spellStart"/>
      <w:r>
        <w:rPr>
          <w:lang w:val="en-US"/>
        </w:rPr>
        <w:t>Activ8me</w:t>
      </w:r>
      <w:proofErr w:type="spellEnd"/>
      <w:r>
        <w:rPr>
          <w:lang w:val="en-US"/>
        </w:rPr>
        <w:t xml:space="preserve"> (accessed 18</w:t>
      </w:r>
      <w:r w:rsidRPr="00780F99">
        <w:rPr>
          <w:vertAlign w:val="superscript"/>
          <w:lang w:val="en-US"/>
        </w:rPr>
        <w:t>th</w:t>
      </w:r>
      <w:r>
        <w:rPr>
          <w:lang w:val="en-US"/>
        </w:rPr>
        <w:t xml:space="preserve"> July). </w:t>
      </w:r>
      <w:hyperlink r:id="rId13" w:history="1">
        <w:r w:rsidRPr="008F07BF">
          <w:rPr>
            <w:rStyle w:val="Hyperlink"/>
            <w:lang w:val="en-US"/>
          </w:rPr>
          <w:t>http://www.activ8me.net.au/about/remote-community-telecommunications</w:t>
        </w:r>
      </w:hyperlink>
    </w:p>
  </w:footnote>
  <w:footnote w:id="19">
    <w:p w:rsidR="00B6196A" w:rsidRPr="00780F99" w:rsidRDefault="00B6196A" w:rsidP="00780F99">
      <w:pPr>
        <w:pStyle w:val="FootnoteText"/>
        <w:spacing w:after="0"/>
        <w:rPr>
          <w:lang w:val="en-US"/>
        </w:rPr>
      </w:pPr>
      <w:r>
        <w:rPr>
          <w:rStyle w:val="FootnoteReference"/>
        </w:rPr>
        <w:footnoteRef/>
      </w:r>
      <w:r>
        <w:t xml:space="preserve"> </w:t>
      </w:r>
      <w:r>
        <w:rPr>
          <w:lang w:val="en-US"/>
        </w:rPr>
        <w:t>Centre for Appropriate Technology (CAT). Community Access Phone (accessed 18</w:t>
      </w:r>
      <w:r w:rsidRPr="00780F99">
        <w:rPr>
          <w:vertAlign w:val="superscript"/>
          <w:lang w:val="en-US"/>
        </w:rPr>
        <w:t>th</w:t>
      </w:r>
      <w:r>
        <w:rPr>
          <w:lang w:val="en-US"/>
        </w:rPr>
        <w:t xml:space="preserve"> July 2016). </w:t>
      </w:r>
      <w:hyperlink r:id="rId14" w:history="1">
        <w:r w:rsidRPr="008F07BF">
          <w:rPr>
            <w:rStyle w:val="Hyperlink"/>
            <w:lang w:val="en-US"/>
          </w:rPr>
          <w:t>http://</w:t>
        </w:r>
        <w:proofErr w:type="spellStart"/>
        <w:r w:rsidRPr="008F07BF">
          <w:rPr>
            <w:rStyle w:val="Hyperlink"/>
            <w:lang w:val="en-US"/>
          </w:rPr>
          <w:t>www.cat.org.au</w:t>
        </w:r>
        <w:proofErr w:type="spellEnd"/>
        <w:r w:rsidRPr="008F07BF">
          <w:rPr>
            <w:rStyle w:val="Hyperlink"/>
            <w:lang w:val="en-US"/>
          </w:rPr>
          <w:t>/the-cat-community-access-phone/</w:t>
        </w:r>
      </w:hyperlink>
    </w:p>
  </w:footnote>
  <w:footnote w:id="20">
    <w:p w:rsidR="00B6196A" w:rsidRPr="00273C3E" w:rsidRDefault="00B6196A" w:rsidP="00273C3E">
      <w:pPr>
        <w:pStyle w:val="FootnoteText"/>
        <w:spacing w:after="0"/>
        <w:rPr>
          <w:lang w:val="en-US"/>
        </w:rPr>
      </w:pPr>
      <w:r>
        <w:rPr>
          <w:rStyle w:val="FootnoteReference"/>
        </w:rPr>
        <w:footnoteRef/>
      </w:r>
      <w:r>
        <w:t xml:space="preserve"> </w:t>
      </w:r>
      <w:proofErr w:type="spellStart"/>
      <w:r>
        <w:rPr>
          <w:lang w:val="en-US"/>
        </w:rPr>
        <w:t>InfoXchange</w:t>
      </w:r>
      <w:proofErr w:type="spellEnd"/>
      <w:r>
        <w:rPr>
          <w:lang w:val="en-US"/>
        </w:rPr>
        <w:t xml:space="preserve"> affordable internet access programs (accessed 18</w:t>
      </w:r>
      <w:r w:rsidRPr="00273C3E">
        <w:rPr>
          <w:vertAlign w:val="superscript"/>
          <w:lang w:val="en-US"/>
        </w:rPr>
        <w:t>th</w:t>
      </w:r>
      <w:r>
        <w:rPr>
          <w:lang w:val="en-US"/>
        </w:rPr>
        <w:t xml:space="preserve"> July). </w:t>
      </w:r>
      <w:hyperlink r:id="rId15" w:history="1">
        <w:r w:rsidRPr="008F07BF">
          <w:rPr>
            <w:rStyle w:val="Hyperlink"/>
            <w:lang w:val="en-US"/>
          </w:rPr>
          <w:t>https://www.infoxchange.org/au/community-programs/affordable-internet-access</w:t>
        </w:r>
      </w:hyperlink>
    </w:p>
  </w:footnote>
  <w:footnote w:id="21">
    <w:p w:rsidR="00B6196A" w:rsidRPr="00273C3E" w:rsidRDefault="00B6196A" w:rsidP="00273C3E">
      <w:pPr>
        <w:pStyle w:val="FootnoteText"/>
        <w:spacing w:after="0"/>
        <w:rPr>
          <w:lang w:val="en-US"/>
        </w:rPr>
      </w:pPr>
      <w:r>
        <w:rPr>
          <w:rStyle w:val="FootnoteReference"/>
        </w:rPr>
        <w:footnoteRef/>
      </w:r>
      <w:r>
        <w:t xml:space="preserve"> </w:t>
      </w:r>
      <w:r>
        <w:rPr>
          <w:lang w:val="en-US"/>
        </w:rPr>
        <w:t>Smith Family Tech Pack program (accessed 18</w:t>
      </w:r>
      <w:r w:rsidRPr="00273C3E">
        <w:rPr>
          <w:vertAlign w:val="superscript"/>
          <w:lang w:val="en-US"/>
        </w:rPr>
        <w:t>th</w:t>
      </w:r>
      <w:r>
        <w:rPr>
          <w:lang w:val="en-US"/>
        </w:rPr>
        <w:t xml:space="preserve"> July 2016). </w:t>
      </w:r>
      <w:hyperlink r:id="rId16" w:history="1">
        <w:r w:rsidRPr="008F07BF">
          <w:rPr>
            <w:rStyle w:val="Hyperlink"/>
            <w:lang w:val="en-US"/>
          </w:rPr>
          <w:t>https://www.thesmithfamily.com.au/what-we-do/our-work/at-home/tech-packs</w:t>
        </w:r>
      </w:hyperlink>
    </w:p>
  </w:footnote>
  <w:footnote w:id="22">
    <w:p w:rsidR="00B6196A" w:rsidRPr="00273C3E" w:rsidRDefault="00B6196A" w:rsidP="00273C3E">
      <w:pPr>
        <w:pStyle w:val="FootnoteText"/>
        <w:spacing w:after="0"/>
        <w:rPr>
          <w:lang w:val="en-US"/>
        </w:rPr>
      </w:pPr>
      <w:r>
        <w:rPr>
          <w:rStyle w:val="FootnoteReference"/>
        </w:rPr>
        <w:footnoteRef/>
      </w:r>
      <w:r>
        <w:t xml:space="preserve"> </w:t>
      </w:r>
      <w:proofErr w:type="spellStart"/>
      <w:r>
        <w:rPr>
          <w:lang w:val="en-US"/>
        </w:rPr>
        <w:t>CAYLUS</w:t>
      </w:r>
      <w:proofErr w:type="spellEnd"/>
      <w:r>
        <w:rPr>
          <w:lang w:val="en-US"/>
        </w:rPr>
        <w:t xml:space="preserve"> computer rooms (accessed 18</w:t>
      </w:r>
      <w:r w:rsidRPr="00273C3E">
        <w:rPr>
          <w:vertAlign w:val="superscript"/>
          <w:lang w:val="en-US"/>
        </w:rPr>
        <w:t>th</w:t>
      </w:r>
      <w:r>
        <w:rPr>
          <w:lang w:val="en-US"/>
        </w:rPr>
        <w:t xml:space="preserve"> July). </w:t>
      </w:r>
      <w:hyperlink r:id="rId17" w:anchor="computer-rooms" w:history="1">
        <w:r w:rsidRPr="008F07BF">
          <w:rPr>
            <w:rStyle w:val="Hyperlink"/>
            <w:lang w:val="en-US"/>
          </w:rPr>
          <w:t>http://</w:t>
        </w:r>
        <w:proofErr w:type="spellStart"/>
        <w:r w:rsidRPr="008F07BF">
          <w:rPr>
            <w:rStyle w:val="Hyperlink"/>
            <w:lang w:val="en-US"/>
          </w:rPr>
          <w:t>caylus.org.au</w:t>
        </w:r>
        <w:proofErr w:type="spellEnd"/>
        <w:r w:rsidRPr="008F07BF">
          <w:rPr>
            <w:rStyle w:val="Hyperlink"/>
            <w:lang w:val="en-US"/>
          </w:rPr>
          <w:t>/</w:t>
        </w:r>
        <w:proofErr w:type="spellStart"/>
        <w:r w:rsidRPr="008F07BF">
          <w:rPr>
            <w:rStyle w:val="Hyperlink"/>
            <w:lang w:val="en-US"/>
          </w:rPr>
          <w:t>computerrooms</w:t>
        </w:r>
        <w:proofErr w:type="spellEnd"/>
        <w:r w:rsidRPr="008F07BF">
          <w:rPr>
            <w:rStyle w:val="Hyperlink"/>
            <w:lang w:val="en-US"/>
          </w:rPr>
          <w:t>/#computer-rooms</w:t>
        </w:r>
      </w:hyperlink>
    </w:p>
  </w:footnote>
  <w:footnote w:id="23">
    <w:p w:rsidR="00B6196A" w:rsidRDefault="00B6196A" w:rsidP="004A4193">
      <w:pPr>
        <w:pStyle w:val="FootnoteText"/>
        <w:spacing w:after="0"/>
      </w:pPr>
      <w:r>
        <w:rPr>
          <w:rStyle w:val="FootnoteReference"/>
        </w:rPr>
        <w:footnoteRef/>
      </w:r>
      <w:r>
        <w:t xml:space="preserve"> Gerard </w:t>
      </w:r>
      <w:proofErr w:type="spellStart"/>
      <w:r>
        <w:t>Goggin</w:t>
      </w:r>
      <w:proofErr w:type="spellEnd"/>
      <w:r>
        <w:t xml:space="preserve">, Realising Universal Communications. </w:t>
      </w:r>
      <w:hyperlink r:id="rId18" w:history="1">
        <w:r w:rsidRPr="002C69A9">
          <w:rPr>
            <w:rStyle w:val="Hyperlink"/>
          </w:rPr>
          <w:t>https://accan.org.au/files/Reports/Realising%20Universal%20Communications.pdf</w:t>
        </w:r>
      </w:hyperlink>
    </w:p>
  </w:footnote>
  <w:footnote w:id="24">
    <w:p w:rsidR="00B6196A" w:rsidRDefault="00B6196A" w:rsidP="004A4193">
      <w:pPr>
        <w:pStyle w:val="FootnoteText"/>
        <w:spacing w:after="0"/>
      </w:pPr>
      <w:r>
        <w:rPr>
          <w:rStyle w:val="FootnoteReference"/>
        </w:rPr>
        <w:footnoteRef/>
      </w:r>
      <w:r>
        <w:t xml:space="preserve"> John </w:t>
      </w:r>
      <w:proofErr w:type="spellStart"/>
      <w:r>
        <w:t>deRidder</w:t>
      </w:r>
      <w:proofErr w:type="spellEnd"/>
      <w:r>
        <w:t xml:space="preserve">, The future of the </w:t>
      </w:r>
      <w:proofErr w:type="spellStart"/>
      <w:r>
        <w:t>USO</w:t>
      </w:r>
      <w:proofErr w:type="spellEnd"/>
      <w:r>
        <w:t xml:space="preserve">, 2015. </w:t>
      </w:r>
      <w:hyperlink r:id="rId19" w:history="1">
        <w:r w:rsidRPr="00353E2E">
          <w:rPr>
            <w:rStyle w:val="Hyperlink"/>
          </w:rPr>
          <w:t>http://deridder.com.au/site/wp-content/uploads/2014/05/ACCAN-USO.pdf</w:t>
        </w:r>
      </w:hyperlink>
    </w:p>
  </w:footnote>
  <w:footnote w:id="25">
    <w:p w:rsidR="00B6196A" w:rsidRDefault="00B6196A" w:rsidP="007B4874">
      <w:pPr>
        <w:pStyle w:val="FootnoteText"/>
        <w:spacing w:after="0"/>
      </w:pPr>
      <w:r>
        <w:rPr>
          <w:rStyle w:val="FootnoteReference"/>
        </w:rPr>
        <w:footnoteRef/>
      </w:r>
      <w:r>
        <w:t xml:space="preserve"> Carrier Licence Conditions (Telstra Corporation Limited) Declaration 1997 (Amendment No. 2 of 2014)</w:t>
      </w:r>
    </w:p>
  </w:footnote>
  <w:footnote w:id="26">
    <w:p w:rsidR="00B6196A" w:rsidRDefault="00B6196A" w:rsidP="00411BF3">
      <w:pPr>
        <w:pStyle w:val="FootnoteText"/>
        <w:spacing w:after="0"/>
      </w:pPr>
      <w:r>
        <w:rPr>
          <w:rStyle w:val="FootnoteReference"/>
        </w:rPr>
        <w:footnoteRef/>
      </w:r>
      <w:r>
        <w:t xml:space="preserve"> </w:t>
      </w:r>
      <w:proofErr w:type="spellStart"/>
      <w:r>
        <w:t>ACMA</w:t>
      </w:r>
      <w:proofErr w:type="spellEnd"/>
      <w:r>
        <w:t xml:space="preserve"> Communications Report 2013 – 2014 </w:t>
      </w:r>
      <w:hyperlink r:id="rId20" w:history="1">
        <w:r w:rsidRPr="00D72EBC">
          <w:rPr>
            <w:rStyle w:val="Hyperlink"/>
          </w:rPr>
          <w:t>http://www.acma.gov.au/theACMA/Library/Corporate-library/Corporate-publications/communications-report</w:t>
        </w:r>
      </w:hyperlink>
      <w:r>
        <w:t>, pages 37 and 55</w:t>
      </w:r>
    </w:p>
  </w:footnote>
  <w:footnote w:id="27">
    <w:p w:rsidR="00B6196A" w:rsidRPr="00747825" w:rsidRDefault="00B6196A" w:rsidP="00747825">
      <w:pPr>
        <w:pStyle w:val="FootnoteText"/>
        <w:spacing w:after="0"/>
        <w:rPr>
          <w:lang w:val="en-US"/>
        </w:rPr>
      </w:pPr>
      <w:r>
        <w:rPr>
          <w:rStyle w:val="FootnoteReference"/>
        </w:rPr>
        <w:footnoteRef/>
      </w:r>
      <w:r>
        <w:t xml:space="preserve"> A number of policies and conditions ensure network standards in new developments. </w:t>
      </w:r>
      <w:r>
        <w:rPr>
          <w:lang w:val="en-US"/>
        </w:rPr>
        <w:t>Telecommunications in new developments policies provides an overview (accessed 18</w:t>
      </w:r>
      <w:r w:rsidRPr="00747825">
        <w:rPr>
          <w:vertAlign w:val="superscript"/>
          <w:lang w:val="en-US"/>
        </w:rPr>
        <w:t>th</w:t>
      </w:r>
      <w:r>
        <w:rPr>
          <w:lang w:val="en-US"/>
        </w:rPr>
        <w:t xml:space="preserve"> July). </w:t>
      </w:r>
      <w:hyperlink r:id="rId21" w:history="1">
        <w:r w:rsidRPr="008F07BF">
          <w:rPr>
            <w:rStyle w:val="Hyperlink"/>
            <w:lang w:val="en-US"/>
          </w:rPr>
          <w:t>https://www.communications.gov.au/policy/policy-listing/telecommunications-new-developments</w:t>
        </w:r>
      </w:hyperlink>
      <w:r>
        <w:rPr>
          <w:lang w:val="en-US"/>
        </w:rPr>
        <w:t>.</w:t>
      </w:r>
      <w:r w:rsidRPr="00E20F02">
        <w:rPr>
          <w:lang w:val="en-US"/>
        </w:rPr>
        <w:t xml:space="preserve"> </w:t>
      </w:r>
      <w:r>
        <w:rPr>
          <w:lang w:val="en-US"/>
        </w:rPr>
        <w:t xml:space="preserve">Carrier </w:t>
      </w:r>
      <w:proofErr w:type="spellStart"/>
      <w:r>
        <w:rPr>
          <w:lang w:val="en-US"/>
        </w:rPr>
        <w:t>Licence</w:t>
      </w:r>
      <w:proofErr w:type="spellEnd"/>
      <w:r>
        <w:rPr>
          <w:lang w:val="en-US"/>
        </w:rPr>
        <w:t xml:space="preserve"> Conditions (Networks supplying Superfast Carriage Services to Residential Customers) Declaration 2014 which ensures fixed networks supplying fast network (25/</w:t>
      </w:r>
      <w:proofErr w:type="spellStart"/>
      <w:r>
        <w:rPr>
          <w:lang w:val="en-US"/>
        </w:rPr>
        <w:t>5Mbps</w:t>
      </w:r>
      <w:proofErr w:type="spellEnd"/>
      <w:r>
        <w:rPr>
          <w:lang w:val="en-US"/>
        </w:rPr>
        <w:t xml:space="preserve"> peak information rate) and voice. </w:t>
      </w:r>
      <w:r w:rsidRPr="00260162">
        <w:t xml:space="preserve">Furthermore it is expected that infrastructure provider of last resort obligations on </w:t>
      </w:r>
      <w:proofErr w:type="spellStart"/>
      <w:r w:rsidRPr="00260162">
        <w:t>nbn</w:t>
      </w:r>
      <w:proofErr w:type="spellEnd"/>
      <w:r w:rsidRPr="00260162">
        <w:t xml:space="preserve"> will commence from 1 January 2017</w:t>
      </w:r>
    </w:p>
  </w:footnote>
  <w:footnote w:id="28">
    <w:p w:rsidR="00B6196A" w:rsidRPr="00E20F02" w:rsidRDefault="00B6196A" w:rsidP="00511CBF">
      <w:pPr>
        <w:pStyle w:val="FootnoteText"/>
        <w:spacing w:after="0"/>
        <w:rPr>
          <w:lang w:val="en-US"/>
        </w:rPr>
      </w:pPr>
      <w:r>
        <w:rPr>
          <w:rStyle w:val="FootnoteReference"/>
        </w:rPr>
        <w:footnoteRef/>
      </w:r>
      <w:r>
        <w:t xml:space="preserve"> </w:t>
      </w:r>
      <w:proofErr w:type="spellStart"/>
      <w:r>
        <w:t>NBN</w:t>
      </w:r>
      <w:proofErr w:type="spellEnd"/>
      <w:r>
        <w:t xml:space="preserve"> users download more data per month than national average (accessed 18</w:t>
      </w:r>
      <w:r w:rsidRPr="00E20F02">
        <w:rPr>
          <w:vertAlign w:val="superscript"/>
        </w:rPr>
        <w:t>th</w:t>
      </w:r>
      <w:r>
        <w:t xml:space="preserve"> July). </w:t>
      </w:r>
      <w:hyperlink r:id="rId22" w:history="1">
        <w:r w:rsidRPr="008F07BF">
          <w:rPr>
            <w:rStyle w:val="Hyperlink"/>
          </w:rPr>
          <w:t>http://www.zdnet.com/article/nbn-users-download-more-data-per-month-than-national-average/</w:t>
        </w:r>
      </w:hyperlink>
    </w:p>
  </w:footnote>
  <w:footnote w:id="29">
    <w:p w:rsidR="00B6196A" w:rsidRPr="00E20F02" w:rsidRDefault="00B6196A" w:rsidP="00E20F02">
      <w:pPr>
        <w:pStyle w:val="FootnoteText"/>
        <w:spacing w:after="0"/>
        <w:rPr>
          <w:lang w:val="en-US"/>
        </w:rPr>
      </w:pPr>
      <w:r>
        <w:rPr>
          <w:rStyle w:val="FootnoteReference"/>
        </w:rPr>
        <w:footnoteRef/>
      </w:r>
      <w:r>
        <w:t xml:space="preserve"> </w:t>
      </w:r>
      <w:proofErr w:type="spellStart"/>
      <w:r>
        <w:rPr>
          <w:lang w:val="en-US"/>
        </w:rPr>
        <w:t>ACCC</w:t>
      </w:r>
      <w:proofErr w:type="spellEnd"/>
      <w:r>
        <w:rPr>
          <w:lang w:val="en-US"/>
        </w:rPr>
        <w:t xml:space="preserve">, Competition in the Australian telecommunications sector, February 2016. Pg. 10. </w:t>
      </w:r>
      <w:hyperlink r:id="rId23" w:history="1">
        <w:r w:rsidRPr="008F07BF">
          <w:rPr>
            <w:rStyle w:val="Hyperlink"/>
            <w:lang w:val="en-US"/>
          </w:rPr>
          <w:t>https://www.accc.gov.au/system/files/ACCC%20Telecommunications%20reports%202014%E2%80%9315_Div%2011%20and%2012_web_FA.pdf</w:t>
        </w:r>
      </w:hyperlink>
    </w:p>
  </w:footnote>
  <w:footnote w:id="30">
    <w:p w:rsidR="00B6196A" w:rsidRPr="001F646A" w:rsidRDefault="00B6196A" w:rsidP="001F646A">
      <w:pPr>
        <w:pStyle w:val="FootnoteText"/>
        <w:spacing w:after="0"/>
        <w:rPr>
          <w:lang w:val="en-US"/>
        </w:rPr>
      </w:pPr>
      <w:r>
        <w:rPr>
          <w:rStyle w:val="FootnoteReference"/>
        </w:rPr>
        <w:footnoteRef/>
      </w:r>
      <w:r>
        <w:t xml:space="preserve"> </w:t>
      </w:r>
      <w:proofErr w:type="spellStart"/>
      <w:r>
        <w:rPr>
          <w:lang w:val="en-US"/>
        </w:rPr>
        <w:t>NBN</w:t>
      </w:r>
      <w:proofErr w:type="spellEnd"/>
      <w:r>
        <w:rPr>
          <w:lang w:val="en-US"/>
        </w:rPr>
        <w:t xml:space="preserve"> Fair usage policy, pg. 5. </w:t>
      </w:r>
      <w:hyperlink r:id="rId24" w:history="1">
        <w:r w:rsidRPr="008F07BF">
          <w:rPr>
            <w:rStyle w:val="Hyperlink"/>
            <w:lang w:val="en-US"/>
          </w:rPr>
          <w:t>http://www.nbnco.com.au/content/dam/nbnco2/documents/sfaa-wba2-product-catalogue-fair-use-policy_20160407.pdf</w:t>
        </w:r>
      </w:hyperlink>
    </w:p>
  </w:footnote>
  <w:footnote w:id="31">
    <w:p w:rsidR="00B6196A" w:rsidRPr="00C42785" w:rsidRDefault="00B6196A" w:rsidP="00C42785">
      <w:pPr>
        <w:pStyle w:val="FootnoteText"/>
        <w:spacing w:after="0"/>
        <w:rPr>
          <w:lang w:val="en-US"/>
        </w:rPr>
      </w:pPr>
      <w:r>
        <w:rPr>
          <w:rStyle w:val="FootnoteReference"/>
        </w:rPr>
        <w:footnoteRef/>
      </w:r>
      <w:r>
        <w:t xml:space="preserve"> </w:t>
      </w:r>
      <w:r>
        <w:rPr>
          <w:lang w:val="en-US"/>
        </w:rPr>
        <w:t xml:space="preserve">Statement of expectation letter, April 2014. </w:t>
      </w:r>
      <w:hyperlink r:id="rId25" w:history="1">
        <w:r w:rsidRPr="008F07BF">
          <w:rPr>
            <w:rStyle w:val="Hyperlink"/>
            <w:lang w:val="en-US"/>
          </w:rPr>
          <w:t>http://www.nbnco.com.au/content/dam/nbnco2/documents/soe-shareholder-minister-letter.pdf</w:t>
        </w:r>
      </w:hyperlink>
    </w:p>
  </w:footnote>
  <w:footnote w:id="32">
    <w:p w:rsidR="00B6196A" w:rsidRDefault="00B6196A">
      <w:pPr>
        <w:pStyle w:val="FootnoteText"/>
      </w:pPr>
      <w:r>
        <w:rPr>
          <w:rStyle w:val="FootnoteReference"/>
        </w:rPr>
        <w:footnoteRef/>
      </w:r>
      <w:r>
        <w:t xml:space="preserve"> The frame delay and variation for satellite and fixed wireless services, as currently set out in the </w:t>
      </w:r>
      <w:proofErr w:type="spellStart"/>
      <w:r>
        <w:t>nbn</w:t>
      </w:r>
      <w:proofErr w:type="spellEnd"/>
      <w:r>
        <w:t xml:space="preserve"> Ethernet product description may not allow for these applications to be used reliably over these technologies. </w:t>
      </w:r>
    </w:p>
  </w:footnote>
  <w:footnote w:id="33">
    <w:p w:rsidR="00B6196A" w:rsidRDefault="00B6196A" w:rsidP="00846990">
      <w:pPr>
        <w:pStyle w:val="FootnoteText"/>
        <w:spacing w:after="0"/>
      </w:pPr>
      <w:r>
        <w:rPr>
          <w:rStyle w:val="FootnoteReference"/>
        </w:rPr>
        <w:footnoteRef/>
      </w:r>
      <w:r>
        <w:t xml:space="preserve"> </w:t>
      </w:r>
      <w:proofErr w:type="spellStart"/>
      <w:r>
        <w:t>C|Net</w:t>
      </w:r>
      <w:proofErr w:type="spellEnd"/>
      <w:r>
        <w:t>, 12</w:t>
      </w:r>
      <w:r w:rsidRPr="00B77343">
        <w:rPr>
          <w:vertAlign w:val="superscript"/>
        </w:rPr>
        <w:t>th</w:t>
      </w:r>
      <w:r>
        <w:t xml:space="preserve"> May 2014, </w:t>
      </w:r>
      <w:proofErr w:type="spellStart"/>
      <w:r>
        <w:t>OneSeniors</w:t>
      </w:r>
      <w:proofErr w:type="spellEnd"/>
      <w:r>
        <w:t xml:space="preserve"> Customers disconnected following </w:t>
      </w:r>
      <w:proofErr w:type="spellStart"/>
      <w:r>
        <w:t>telco</w:t>
      </w:r>
      <w:proofErr w:type="spellEnd"/>
      <w:r>
        <w:t xml:space="preserve"> collapse </w:t>
      </w:r>
      <w:r w:rsidRPr="009213ED">
        <w:t>http://www.cnet.com/au/news/oneseniors-customers-disconnected-following-telco-collapse/</w:t>
      </w:r>
    </w:p>
  </w:footnote>
  <w:footnote w:id="34">
    <w:p w:rsidR="00B6196A" w:rsidRDefault="00B6196A" w:rsidP="00505C16">
      <w:pPr>
        <w:pStyle w:val="FootnoteText"/>
        <w:spacing w:after="0"/>
      </w:pPr>
      <w:r>
        <w:rPr>
          <w:rStyle w:val="FootnoteReference"/>
        </w:rPr>
        <w:footnoteRef/>
      </w:r>
      <w:r>
        <w:t xml:space="preserve"> ABC, 8</w:t>
      </w:r>
      <w:r w:rsidRPr="00505C16">
        <w:rPr>
          <w:vertAlign w:val="superscript"/>
        </w:rPr>
        <w:t>th</w:t>
      </w:r>
      <w:r>
        <w:t xml:space="preserve"> May 2014. One seniors collapse sees locals suddenly lose phone services. </w:t>
      </w:r>
      <w:hyperlink r:id="rId26" w:history="1">
        <w:r w:rsidRPr="00D43445">
          <w:rPr>
            <w:rStyle w:val="Hyperlink"/>
          </w:rPr>
          <w:t>http://</w:t>
        </w:r>
        <w:proofErr w:type="spellStart"/>
        <w:r w:rsidRPr="00D43445">
          <w:rPr>
            <w:rStyle w:val="Hyperlink"/>
          </w:rPr>
          <w:t>www.abc.net.au</w:t>
        </w:r>
        <w:proofErr w:type="spellEnd"/>
        <w:r w:rsidRPr="00D43445">
          <w:rPr>
            <w:rStyle w:val="Hyperlink"/>
          </w:rPr>
          <w:t>/local/stories/2014/05/08/</w:t>
        </w:r>
        <w:proofErr w:type="spellStart"/>
        <w:r w:rsidRPr="00D43445">
          <w:rPr>
            <w:rStyle w:val="Hyperlink"/>
          </w:rPr>
          <w:t>4000418.htm</w:t>
        </w:r>
        <w:proofErr w:type="spellEnd"/>
      </w:hyperlink>
    </w:p>
  </w:footnote>
  <w:footnote w:id="35">
    <w:p w:rsidR="00B6196A" w:rsidRDefault="00B6196A" w:rsidP="00C74FB3">
      <w:pPr>
        <w:pStyle w:val="FootnoteText"/>
        <w:spacing w:after="0"/>
      </w:pPr>
      <w:r>
        <w:rPr>
          <w:rStyle w:val="FootnoteReference"/>
        </w:rPr>
        <w:footnoteRef/>
      </w:r>
      <w:r>
        <w:t xml:space="preserve"> </w:t>
      </w:r>
      <w:hyperlink r:id="rId27" w:history="1">
        <w:r w:rsidRPr="002C69A9">
          <w:rPr>
            <w:rStyle w:val="Hyperlink"/>
          </w:rPr>
          <w:t>http://www.ewon.com.au/index.cfm/suppliers/supplier-responsibilities/retailer-of-last-resort/</w:t>
        </w:r>
      </w:hyperlink>
    </w:p>
  </w:footnote>
  <w:footnote w:id="36">
    <w:p w:rsidR="00B6196A" w:rsidRPr="001E0EE0" w:rsidRDefault="00B6196A" w:rsidP="001E0EE0">
      <w:pPr>
        <w:spacing w:before="0" w:beforeAutospacing="0" w:after="0" w:afterAutospacing="0"/>
        <w:rPr>
          <w:rFonts w:asciiTheme="minorHAnsi" w:hAnsiTheme="minorHAnsi"/>
          <w:sz w:val="18"/>
          <w:szCs w:val="18"/>
        </w:rPr>
      </w:pPr>
      <w:r w:rsidRPr="001E0EE0">
        <w:rPr>
          <w:rStyle w:val="FootnoteReference"/>
          <w:rFonts w:asciiTheme="minorHAnsi" w:hAnsiTheme="minorHAnsi"/>
          <w:sz w:val="18"/>
          <w:szCs w:val="18"/>
        </w:rPr>
        <w:footnoteRef/>
      </w:r>
      <w:r w:rsidRPr="001E0EE0">
        <w:rPr>
          <w:rFonts w:asciiTheme="minorHAnsi" w:hAnsiTheme="minorHAnsi"/>
          <w:sz w:val="18"/>
          <w:szCs w:val="18"/>
        </w:rPr>
        <w:t xml:space="preserve"> 8.5 million calls were made to Triple Zero in 2014, 67% of which were made from mobile phones</w:t>
      </w:r>
    </w:p>
  </w:footnote>
  <w:footnote w:id="37">
    <w:p w:rsidR="00B6196A" w:rsidRPr="007461A8" w:rsidRDefault="00B6196A" w:rsidP="001E0EE0">
      <w:pPr>
        <w:pStyle w:val="FootnoteText"/>
        <w:spacing w:after="0"/>
        <w:rPr>
          <w:lang w:val="en-US"/>
        </w:rPr>
      </w:pPr>
      <w:r w:rsidRPr="001E0EE0">
        <w:rPr>
          <w:rStyle w:val="FootnoteReference"/>
          <w:rFonts w:asciiTheme="minorHAnsi" w:hAnsiTheme="minorHAnsi"/>
          <w:szCs w:val="18"/>
        </w:rPr>
        <w:footnoteRef/>
      </w:r>
      <w:r w:rsidRPr="001E0EE0">
        <w:rPr>
          <w:rFonts w:asciiTheme="minorHAnsi" w:hAnsiTheme="minorHAnsi"/>
          <w:szCs w:val="18"/>
        </w:rPr>
        <w:t xml:space="preserve"> ABS, </w:t>
      </w:r>
      <w:hyperlink r:id="rId28" w:history="1">
        <w:r w:rsidRPr="001E0EE0">
          <w:rPr>
            <w:rStyle w:val="Hyperlink"/>
            <w:rFonts w:asciiTheme="minorHAnsi" w:hAnsiTheme="minorHAnsi"/>
            <w:szCs w:val="18"/>
          </w:rPr>
          <w:t>Household use of information technology, 2012-2013</w:t>
        </w:r>
      </w:hyperlink>
      <w:r w:rsidRPr="001E0EE0">
        <w:rPr>
          <w:rFonts w:asciiTheme="minorHAnsi" w:hAnsiTheme="minorHAnsi"/>
          <w:szCs w:val="18"/>
        </w:rPr>
        <w:t xml:space="preserve">. Taken from the Bureau of Communications Research consultation on the funding of non-commercial services. </w:t>
      </w:r>
      <w:hyperlink r:id="rId29" w:history="1">
        <w:r w:rsidRPr="001E0EE0">
          <w:rPr>
            <w:rStyle w:val="Hyperlink"/>
            <w:rFonts w:asciiTheme="minorHAnsi" w:hAnsiTheme="minorHAnsi"/>
            <w:szCs w:val="18"/>
          </w:rPr>
          <w:t>https://www.communications.gov.au/have-your-say/final-consultation-nbn-non-commercial-services-funding-options</w:t>
        </w:r>
      </w:hyperlink>
    </w:p>
  </w:footnote>
  <w:footnote w:id="38">
    <w:p w:rsidR="00B6196A" w:rsidRDefault="00B6196A" w:rsidP="001E0EE0">
      <w:pPr>
        <w:pStyle w:val="FootnoteText"/>
        <w:spacing w:after="0"/>
      </w:pPr>
      <w:r>
        <w:rPr>
          <w:rStyle w:val="FootnoteReference"/>
        </w:rPr>
        <w:footnoteRef/>
      </w:r>
      <w:r>
        <w:t xml:space="preserve"> Department of Communications and Arts, Carrier licence conditions for new developments</w:t>
      </w:r>
      <w:r w:rsidRPr="00AA151E">
        <w:t xml:space="preserve"> </w:t>
      </w:r>
      <w:hyperlink r:id="rId30" w:history="1">
        <w:r w:rsidRPr="00983059">
          <w:rPr>
            <w:rStyle w:val="Hyperlink"/>
          </w:rPr>
          <w:t>https://www.communications.gov.au/have-your-say/carrier-licence-conditions-telecommunications-new-developments</w:t>
        </w:r>
      </w:hyperlink>
    </w:p>
  </w:footnote>
  <w:footnote w:id="39">
    <w:p w:rsidR="00B6196A" w:rsidRDefault="00B6196A" w:rsidP="00387413">
      <w:pPr>
        <w:pStyle w:val="FootnoteText"/>
        <w:spacing w:after="0"/>
      </w:pPr>
      <w:r>
        <w:rPr>
          <w:rStyle w:val="FootnoteReference"/>
        </w:rPr>
        <w:footnoteRef/>
      </w:r>
      <w:r>
        <w:t xml:space="preserve"> Deloitte estimates that </w:t>
      </w:r>
      <w:r w:rsidRPr="00027522">
        <w:rPr>
          <w:lang w:val="en-IE"/>
        </w:rPr>
        <w:t>digitising customer transactions</w:t>
      </w:r>
      <w:r>
        <w:rPr>
          <w:lang w:val="en-IE"/>
        </w:rPr>
        <w:t xml:space="preserve"> </w:t>
      </w:r>
      <w:r w:rsidRPr="00027522">
        <w:rPr>
          <w:lang w:val="en-IE"/>
        </w:rPr>
        <w:t>in government</w:t>
      </w:r>
      <w:r>
        <w:t xml:space="preserve"> will result in a net lifetime present value benefit of $20.5 billion (</w:t>
      </w:r>
      <w:r w:rsidRPr="00027522">
        <w:rPr>
          <w:lang w:val="en-IE"/>
        </w:rPr>
        <w:t xml:space="preserve">government </w:t>
      </w:r>
      <w:r>
        <w:rPr>
          <w:lang w:val="en-IE"/>
        </w:rPr>
        <w:t xml:space="preserve">benefits of $17.9 billion </w:t>
      </w:r>
      <w:r w:rsidRPr="00027522">
        <w:rPr>
          <w:lang w:val="en-IE"/>
        </w:rPr>
        <w:t>and</w:t>
      </w:r>
      <w:r>
        <w:rPr>
          <w:lang w:val="en-IE"/>
        </w:rPr>
        <w:t xml:space="preserve"> costs of $6.1 billion and</w:t>
      </w:r>
      <w:r w:rsidRPr="00027522">
        <w:rPr>
          <w:lang w:val="en-IE"/>
        </w:rPr>
        <w:t xml:space="preserve"> citizen benefits of $8.7</w:t>
      </w:r>
      <w:r>
        <w:rPr>
          <w:lang w:val="en-IE"/>
        </w:rPr>
        <w:t xml:space="preserve"> </w:t>
      </w:r>
      <w:r w:rsidRPr="00027522">
        <w:rPr>
          <w:lang w:val="en-IE"/>
        </w:rPr>
        <w:t>b</w:t>
      </w:r>
      <w:r>
        <w:rPr>
          <w:lang w:val="en-IE"/>
        </w:rPr>
        <w:t xml:space="preserve">illion. </w:t>
      </w:r>
      <w:r w:rsidRPr="00027522">
        <w:rPr>
          <w:lang w:val="en-IE"/>
        </w:rPr>
        <w:t>Deloitte Access Economics 2015. Digital government transformation.</w:t>
      </w:r>
    </w:p>
  </w:footnote>
  <w:footnote w:id="40">
    <w:p w:rsidR="00B6196A" w:rsidRDefault="00B6196A" w:rsidP="00AD40D0">
      <w:pPr>
        <w:pStyle w:val="FootnoteText"/>
      </w:pPr>
      <w:r>
        <w:rPr>
          <w:rStyle w:val="FootnoteReference"/>
        </w:rPr>
        <w:footnoteRef/>
      </w:r>
      <w:r>
        <w:t xml:space="preserve"> See affordability policy for further information. </w:t>
      </w:r>
      <w:hyperlink r:id="rId31" w:history="1">
        <w:r w:rsidRPr="00D43445">
          <w:rPr>
            <w:rStyle w:val="Hyperlink"/>
          </w:rPr>
          <w:t>http://accan.org.au/our-work/policy/1179-affordable-communications</w:t>
        </w:r>
      </w:hyperlink>
    </w:p>
  </w:footnote>
  <w:footnote w:id="41">
    <w:p w:rsidR="00B6196A" w:rsidRDefault="00B6196A" w:rsidP="004C4226">
      <w:pPr>
        <w:pStyle w:val="FootnoteText"/>
        <w:spacing w:after="0"/>
      </w:pPr>
      <w:r>
        <w:rPr>
          <w:rStyle w:val="FootnoteReference"/>
        </w:rPr>
        <w:footnoteRef/>
      </w:r>
      <w:r>
        <w:t xml:space="preserve"> Services are to be provided with due care and skill, be fit for purpose, supplied within a reasonable time (ACL, </w:t>
      </w:r>
      <w:proofErr w:type="spellStart"/>
      <w:r>
        <w:t>s.60,61,62</w:t>
      </w:r>
      <w:proofErr w:type="spellEnd"/>
      <w:r>
        <w:t>)</w:t>
      </w:r>
    </w:p>
  </w:footnote>
  <w:footnote w:id="42">
    <w:p w:rsidR="00B6196A" w:rsidRDefault="00B6196A" w:rsidP="004C4226">
      <w:pPr>
        <w:pStyle w:val="FootnoteText"/>
        <w:spacing w:after="0"/>
      </w:pPr>
      <w:r>
        <w:rPr>
          <w:rStyle w:val="FootnoteReference"/>
        </w:rPr>
        <w:footnoteRef/>
      </w:r>
      <w:r>
        <w:t xml:space="preserve"> </w:t>
      </w:r>
      <w:r w:rsidRPr="00690AB3">
        <w:t>Section 65 of the ACL specifically carves out telecommunications and electricity networks from the consumer guarantee provisions</w:t>
      </w:r>
      <w:r>
        <w:t xml:space="preserve"> if supply is covered by other regulations</w:t>
      </w:r>
      <w:r w:rsidRPr="00690AB3">
        <w:t>.</w:t>
      </w:r>
    </w:p>
  </w:footnote>
  <w:footnote w:id="43">
    <w:p w:rsidR="00B6196A" w:rsidRPr="008B0A8F" w:rsidRDefault="00B6196A" w:rsidP="004C4226">
      <w:pPr>
        <w:pStyle w:val="FootnoteText"/>
        <w:spacing w:after="0"/>
      </w:pPr>
      <w:r>
        <w:rPr>
          <w:rStyle w:val="FootnoteReference"/>
        </w:rPr>
        <w:footnoteRef/>
      </w:r>
      <w:r>
        <w:t xml:space="preserve"> </w:t>
      </w:r>
      <w:r w:rsidRPr="008B0A8F">
        <w:rPr>
          <w:i/>
        </w:rPr>
        <w:t>Telecommunications (Consumer Protection and Service Standards) Act 1999</w:t>
      </w:r>
      <w:r>
        <w:rPr>
          <w:i/>
        </w:rPr>
        <w:t>,</w:t>
      </w:r>
      <w:r>
        <w:t xml:space="preserve"> Part 5 Division 3, sections </w:t>
      </w:r>
      <w:proofErr w:type="spellStart"/>
      <w:r>
        <w:t>117D-117E</w:t>
      </w:r>
      <w:proofErr w:type="spellEnd"/>
    </w:p>
  </w:footnote>
  <w:footnote w:id="44">
    <w:p w:rsidR="00B6196A" w:rsidRDefault="00B6196A" w:rsidP="004C4226">
      <w:pPr>
        <w:pStyle w:val="FootnoteText"/>
        <w:spacing w:after="0"/>
      </w:pPr>
      <w:r w:rsidRPr="00C751C1">
        <w:rPr>
          <w:rStyle w:val="FootnoteReference"/>
        </w:rPr>
        <w:footnoteRef/>
      </w:r>
      <w:r w:rsidRPr="00C751C1">
        <w:t xml:space="preserve"> </w:t>
      </w:r>
      <w:r w:rsidRPr="00C751C1">
        <w:rPr>
          <w:i/>
        </w:rPr>
        <w:t>Wholesale Broadband Agreement</w:t>
      </w:r>
      <w:r>
        <w:t xml:space="preserve">, available at: </w:t>
      </w:r>
      <w:hyperlink r:id="rId32" w:history="1">
        <w:r w:rsidRPr="007C445F">
          <w:rPr>
            <w:rStyle w:val="Hyperlink"/>
          </w:rPr>
          <w:t>http://www.nbnco.com.au/sell-nbn-services/supply-agreements/wba2.html</w:t>
        </w:r>
      </w:hyperlink>
      <w:r>
        <w:t xml:space="preserve"> </w:t>
      </w:r>
    </w:p>
  </w:footnote>
  <w:footnote w:id="45">
    <w:p w:rsidR="00B6196A" w:rsidRPr="005569DE" w:rsidRDefault="00B6196A" w:rsidP="004C4226">
      <w:pPr>
        <w:pStyle w:val="FootnoteText"/>
        <w:spacing w:after="0"/>
      </w:pPr>
      <w:r>
        <w:rPr>
          <w:rStyle w:val="FootnoteReference"/>
        </w:rPr>
        <w:footnoteRef/>
      </w:r>
      <w:r>
        <w:t xml:space="preserve"> </w:t>
      </w:r>
      <w:r w:rsidRPr="00C96165">
        <w:rPr>
          <w:i/>
        </w:rPr>
        <w:t>Telecommunications Act 1997</w:t>
      </w:r>
      <w:r>
        <w:t xml:space="preserve">, </w:t>
      </w:r>
      <w:proofErr w:type="spellStart"/>
      <w:r>
        <w:t>s3</w:t>
      </w:r>
      <w:proofErr w:type="spellEnd"/>
      <w:r>
        <w:t>: objects</w:t>
      </w:r>
      <w:r w:rsidRPr="005569DE">
        <w:t xml:space="preserve"> such as: </w:t>
      </w:r>
    </w:p>
    <w:p w:rsidR="00B6196A" w:rsidRPr="005569DE" w:rsidRDefault="00B6196A" w:rsidP="004C4226">
      <w:pPr>
        <w:pStyle w:val="FootnoteText"/>
        <w:numPr>
          <w:ilvl w:val="0"/>
          <w:numId w:val="31"/>
        </w:numPr>
        <w:spacing w:after="0"/>
      </w:pPr>
      <w:r w:rsidRPr="005569DE">
        <w:t>The long term  interests of end users,</w:t>
      </w:r>
    </w:p>
    <w:p w:rsidR="00B6196A" w:rsidRPr="005569DE" w:rsidRDefault="00B6196A" w:rsidP="004C4226">
      <w:pPr>
        <w:pStyle w:val="FootnoteText"/>
        <w:numPr>
          <w:ilvl w:val="0"/>
          <w:numId w:val="31"/>
        </w:numPr>
        <w:spacing w:after="0"/>
      </w:pPr>
      <w:r w:rsidRPr="005569DE">
        <w:t>The efficiency and international competitiveness of the Australian telecommunications industry, and</w:t>
      </w:r>
    </w:p>
    <w:p w:rsidR="00B6196A" w:rsidRDefault="00B6196A" w:rsidP="004C4226">
      <w:pPr>
        <w:pStyle w:val="FootnoteText"/>
        <w:numPr>
          <w:ilvl w:val="0"/>
          <w:numId w:val="31"/>
        </w:numPr>
        <w:spacing w:after="0"/>
      </w:pPr>
      <w:r w:rsidRPr="005569DE">
        <w:t>The availability of accessible and affordable carriage services that enhance the welfare of Australians.</w:t>
      </w:r>
    </w:p>
  </w:footnote>
  <w:footnote w:id="46">
    <w:p w:rsidR="00B6196A" w:rsidRDefault="00B6196A" w:rsidP="004C4226">
      <w:pPr>
        <w:pStyle w:val="FootnoteText"/>
        <w:spacing w:after="0"/>
      </w:pPr>
      <w:r>
        <w:rPr>
          <w:rStyle w:val="FootnoteReference"/>
        </w:rPr>
        <w:footnoteRef/>
      </w:r>
      <w:r>
        <w:t xml:space="preserve"> These mirror the measures used to monitor network reliability in the energy sector. Further discussion in Houston Kemp, 2014, ‘Electricity Network Service Standards: An Overview’, </w:t>
      </w:r>
      <w:proofErr w:type="spellStart"/>
      <w:r>
        <w:t>p.2</w:t>
      </w:r>
      <w:proofErr w:type="spellEnd"/>
      <w:r>
        <w:t xml:space="preserve"> </w:t>
      </w:r>
    </w:p>
  </w:footnote>
  <w:footnote w:id="47">
    <w:p w:rsidR="00B6196A" w:rsidRPr="001E0EE0" w:rsidRDefault="00B6196A" w:rsidP="004C4226">
      <w:pPr>
        <w:pStyle w:val="FootnoteText"/>
        <w:spacing w:after="0"/>
        <w:rPr>
          <w:szCs w:val="18"/>
        </w:rPr>
      </w:pPr>
      <w:r w:rsidRPr="001E0EE0">
        <w:rPr>
          <w:rStyle w:val="FootnoteReference"/>
          <w:szCs w:val="18"/>
        </w:rPr>
        <w:footnoteRef/>
      </w:r>
      <w:r w:rsidRPr="001E0EE0">
        <w:rPr>
          <w:szCs w:val="18"/>
        </w:rPr>
        <w:t xml:space="preserve"> Broadly the separation would see retailers being responsible for </w:t>
      </w:r>
      <w:proofErr w:type="spellStart"/>
      <w:r w:rsidRPr="001E0EE0">
        <w:rPr>
          <w:szCs w:val="18"/>
        </w:rPr>
        <w:t>contractual</w:t>
      </w:r>
      <w:proofErr w:type="spellEnd"/>
      <w:r w:rsidRPr="001E0EE0">
        <w:rPr>
          <w:szCs w:val="18"/>
        </w:rPr>
        <w:t xml:space="preserve"> issues (e.g. selling practices, billing, contract cancellation) and wholesalers being responsible for supply issues (e.g. connection to the network, interruptions and quality of supply) </w:t>
      </w:r>
    </w:p>
  </w:footnote>
  <w:footnote w:id="48">
    <w:p w:rsidR="00B6196A" w:rsidRDefault="00B6196A" w:rsidP="004C4226">
      <w:pPr>
        <w:pStyle w:val="FootnoteText"/>
        <w:spacing w:after="0"/>
      </w:pPr>
      <w:r w:rsidRPr="001E0EE0">
        <w:rPr>
          <w:rStyle w:val="FootnoteReference"/>
          <w:szCs w:val="18"/>
        </w:rPr>
        <w:footnoteRef/>
      </w:r>
      <w:r w:rsidRPr="001E0EE0">
        <w:rPr>
          <w:szCs w:val="18"/>
        </w:rPr>
        <w:t xml:space="preserve"> </w:t>
      </w:r>
      <w:proofErr w:type="spellStart"/>
      <w:r w:rsidRPr="001E0EE0">
        <w:rPr>
          <w:szCs w:val="18"/>
        </w:rPr>
        <w:t>UKRN</w:t>
      </w:r>
      <w:proofErr w:type="spellEnd"/>
      <w:r w:rsidRPr="001E0EE0">
        <w:rPr>
          <w:szCs w:val="18"/>
        </w:rPr>
        <w:t>, 2015, ‘Regulating for quality of service’; Houston Kemp, 2014, ‘Electricity Network Service Standards: An Overview’</w:t>
      </w:r>
    </w:p>
  </w:footnote>
  <w:footnote w:id="49">
    <w:p w:rsidR="00B6196A" w:rsidRPr="001E0EE0" w:rsidRDefault="00B6196A" w:rsidP="00C6649C">
      <w:pPr>
        <w:pStyle w:val="FootnoteText"/>
        <w:spacing w:after="0"/>
        <w:rPr>
          <w:szCs w:val="18"/>
          <w:lang w:val="en"/>
        </w:rPr>
      </w:pPr>
      <w:r w:rsidRPr="001E0EE0">
        <w:rPr>
          <w:rStyle w:val="FootnoteReference"/>
          <w:szCs w:val="18"/>
        </w:rPr>
        <w:footnoteRef/>
      </w:r>
      <w:r w:rsidRPr="001E0EE0">
        <w:rPr>
          <w:szCs w:val="18"/>
        </w:rPr>
        <w:t xml:space="preserve"> </w:t>
      </w:r>
      <w:proofErr w:type="spellStart"/>
      <w:r w:rsidRPr="001E0EE0">
        <w:rPr>
          <w:szCs w:val="18"/>
          <w:lang w:val="en"/>
        </w:rPr>
        <w:t>Lewin</w:t>
      </w:r>
      <w:proofErr w:type="spellEnd"/>
      <w:r w:rsidRPr="001E0EE0">
        <w:rPr>
          <w:szCs w:val="18"/>
          <w:lang w:val="en"/>
        </w:rPr>
        <w:t xml:space="preserve">, D; Milne, C. 2010. </w:t>
      </w:r>
      <w:r w:rsidRPr="001E0EE0">
        <w:rPr>
          <w:i/>
          <w:szCs w:val="18"/>
          <w:lang w:val="en"/>
        </w:rPr>
        <w:t>Are telecommunications services universally affordable across the EU? An independent assessment for Vodafone</w:t>
      </w:r>
      <w:r w:rsidRPr="001E0EE0">
        <w:rPr>
          <w:szCs w:val="18"/>
          <w:lang w:val="en"/>
        </w:rPr>
        <w:t xml:space="preserve">, </w:t>
      </w:r>
      <w:hyperlink r:id="rId33" w:history="1">
        <w:r w:rsidRPr="001E0EE0">
          <w:rPr>
            <w:rStyle w:val="Hyperlink"/>
            <w:szCs w:val="18"/>
            <w:lang w:val="en"/>
          </w:rPr>
          <w:t>http://www.vodafone.com/content/dam/vodafone/about/public_policy/affordability_plum.pdf</w:t>
        </w:r>
      </w:hyperlink>
    </w:p>
  </w:footnote>
  <w:footnote w:id="50">
    <w:p w:rsidR="00B6196A" w:rsidRPr="001E0EE0" w:rsidRDefault="00B6196A" w:rsidP="00C6649C">
      <w:pPr>
        <w:pStyle w:val="NoSpacing"/>
        <w:rPr>
          <w:sz w:val="18"/>
          <w:szCs w:val="18"/>
        </w:rPr>
      </w:pPr>
      <w:r w:rsidRPr="001E0EE0">
        <w:rPr>
          <w:rStyle w:val="FootnoteReference"/>
          <w:sz w:val="18"/>
          <w:szCs w:val="18"/>
        </w:rPr>
        <w:footnoteRef/>
      </w:r>
      <w:r w:rsidRPr="001E0EE0">
        <w:rPr>
          <w:sz w:val="18"/>
          <w:szCs w:val="18"/>
        </w:rPr>
        <w:t xml:space="preserve"> </w:t>
      </w:r>
      <w:r>
        <w:rPr>
          <w:sz w:val="18"/>
          <w:szCs w:val="18"/>
        </w:rPr>
        <w:t>ABS, Household Use of Information Technology, 2014-2015. 8146.0 (accessed 18</w:t>
      </w:r>
      <w:r w:rsidRPr="003F2118">
        <w:rPr>
          <w:sz w:val="18"/>
          <w:szCs w:val="18"/>
          <w:vertAlign w:val="superscript"/>
        </w:rPr>
        <w:t>th</w:t>
      </w:r>
      <w:r>
        <w:rPr>
          <w:sz w:val="18"/>
          <w:szCs w:val="18"/>
        </w:rPr>
        <w:t xml:space="preserve"> July). </w:t>
      </w:r>
      <w:hyperlink r:id="rId34" w:history="1">
        <w:r w:rsidRPr="001E0EE0">
          <w:rPr>
            <w:rStyle w:val="Hyperlink"/>
            <w:sz w:val="18"/>
            <w:szCs w:val="18"/>
          </w:rPr>
          <w:t>http://www.abs.gov.au/AUSSTATS/abs@.nsf/Lookup/8146.0Main+Features12014-15?OpenDocument</w:t>
        </w:r>
      </w:hyperlink>
    </w:p>
  </w:footnote>
  <w:footnote w:id="51">
    <w:p w:rsidR="00B6196A" w:rsidRPr="001E0EE0" w:rsidRDefault="00B6196A" w:rsidP="00C6649C">
      <w:pPr>
        <w:pStyle w:val="NoSpacing"/>
        <w:rPr>
          <w:sz w:val="18"/>
          <w:szCs w:val="18"/>
        </w:rPr>
      </w:pPr>
      <w:r w:rsidRPr="001E0EE0">
        <w:rPr>
          <w:sz w:val="18"/>
          <w:szCs w:val="18"/>
          <w:vertAlign w:val="superscript"/>
        </w:rPr>
        <w:footnoteRef/>
      </w:r>
      <w:r w:rsidRPr="001E0EE0">
        <w:rPr>
          <w:sz w:val="18"/>
          <w:szCs w:val="18"/>
        </w:rPr>
        <w:t xml:space="preserve"> </w:t>
      </w:r>
      <w:r>
        <w:rPr>
          <w:sz w:val="18"/>
          <w:szCs w:val="18"/>
        </w:rPr>
        <w:t>ABS, Household Use of Information Technology, 2014-2015. 8146.0 (accessed 18</w:t>
      </w:r>
      <w:r w:rsidRPr="003F2118">
        <w:rPr>
          <w:sz w:val="18"/>
          <w:szCs w:val="18"/>
          <w:vertAlign w:val="superscript"/>
        </w:rPr>
        <w:t>th</w:t>
      </w:r>
      <w:r>
        <w:rPr>
          <w:sz w:val="18"/>
          <w:szCs w:val="18"/>
        </w:rPr>
        <w:t xml:space="preserve"> July). </w:t>
      </w:r>
      <w:hyperlink r:id="rId35" w:history="1">
        <w:r w:rsidRPr="001E0EE0">
          <w:rPr>
            <w:rStyle w:val="Hyperlink"/>
            <w:sz w:val="18"/>
            <w:szCs w:val="18"/>
          </w:rPr>
          <w:t>http://www.abs.gov.au/AUSSTATS/abs@.nsf/Lookup/8146.0Main+Features12014-15?OpenDocument</w:t>
        </w:r>
      </w:hyperlink>
    </w:p>
  </w:footnote>
  <w:footnote w:id="52">
    <w:p w:rsidR="00B6196A" w:rsidRPr="001E5E17" w:rsidRDefault="00B6196A" w:rsidP="003E64D8">
      <w:pPr>
        <w:pStyle w:val="FootnoteText"/>
        <w:spacing w:after="0"/>
        <w:rPr>
          <w:lang w:val="en-US"/>
        </w:rPr>
      </w:pPr>
      <w:r>
        <w:rPr>
          <w:rStyle w:val="FootnoteReference"/>
        </w:rPr>
        <w:footnoteRef/>
      </w:r>
      <w:r>
        <w:t xml:space="preserve"> </w:t>
      </w:r>
      <w:r>
        <w:rPr>
          <w:lang w:val="en-US"/>
        </w:rPr>
        <w:t xml:space="preserve">Carrier </w:t>
      </w:r>
      <w:proofErr w:type="spellStart"/>
      <w:r>
        <w:rPr>
          <w:lang w:val="en-US"/>
        </w:rPr>
        <w:t>Licence</w:t>
      </w:r>
      <w:proofErr w:type="spellEnd"/>
      <w:r>
        <w:rPr>
          <w:lang w:val="en-US"/>
        </w:rPr>
        <w:t xml:space="preserve"> Conditions (Telstra Corporation Limited) Declaration 1997. </w:t>
      </w:r>
      <w:hyperlink r:id="rId36" w:history="1">
        <w:r w:rsidRPr="008F07BF">
          <w:rPr>
            <w:rStyle w:val="Hyperlink"/>
            <w:lang w:val="en-US"/>
          </w:rPr>
          <w:t>https://</w:t>
        </w:r>
        <w:proofErr w:type="spellStart"/>
        <w:r w:rsidRPr="008F07BF">
          <w:rPr>
            <w:rStyle w:val="Hyperlink"/>
            <w:lang w:val="en-US"/>
          </w:rPr>
          <w:t>www.legislation.gov.au</w:t>
        </w:r>
        <w:proofErr w:type="spellEnd"/>
        <w:r w:rsidRPr="008F07BF">
          <w:rPr>
            <w:rStyle w:val="Hyperlink"/>
            <w:lang w:val="en-US"/>
          </w:rPr>
          <w:t>/Details/</w:t>
        </w:r>
        <w:proofErr w:type="spellStart"/>
        <w:r w:rsidRPr="008F07BF">
          <w:rPr>
            <w:rStyle w:val="Hyperlink"/>
            <w:lang w:val="en-US"/>
          </w:rPr>
          <w:t>F2015C00031</w:t>
        </w:r>
        <w:proofErr w:type="spellEnd"/>
      </w:hyperlink>
    </w:p>
  </w:footnote>
  <w:footnote w:id="53">
    <w:p w:rsidR="00B6196A" w:rsidRDefault="00B6196A" w:rsidP="00511CBF">
      <w:pPr>
        <w:pStyle w:val="FootnoteText"/>
        <w:spacing w:after="0"/>
      </w:pPr>
      <w:r>
        <w:rPr>
          <w:rStyle w:val="FootnoteReference"/>
        </w:rPr>
        <w:footnoteRef/>
      </w:r>
      <w:r>
        <w:t xml:space="preserve"> Department of Human Services, ‘Telephone Allowance’, https://www.humanservices.gov.au/customer/services/centrelink/telephone-allowance</w:t>
      </w:r>
    </w:p>
  </w:footnote>
  <w:footnote w:id="54">
    <w:p w:rsidR="00B6196A" w:rsidRPr="00974B1E" w:rsidRDefault="00B6196A" w:rsidP="00D5784F">
      <w:pPr>
        <w:pStyle w:val="FootnoteText"/>
        <w:spacing w:after="0"/>
        <w:rPr>
          <w:lang w:val="en-US"/>
        </w:rPr>
      </w:pPr>
      <w:r>
        <w:rPr>
          <w:rStyle w:val="FootnoteReference"/>
        </w:rPr>
        <w:footnoteRef/>
      </w:r>
      <w:r>
        <w:t xml:space="preserve"> </w:t>
      </w:r>
      <w:proofErr w:type="spellStart"/>
      <w:r>
        <w:t>LIMAC</w:t>
      </w:r>
      <w:proofErr w:type="spellEnd"/>
      <w:r>
        <w:t xml:space="preserve">, 2013 report to Minister. </w:t>
      </w:r>
      <w:hyperlink r:id="rId37" w:history="1">
        <w:r w:rsidRPr="008F07BF">
          <w:rPr>
            <w:rStyle w:val="Hyperlink"/>
          </w:rPr>
          <w:t>https://www.telstra.com.au/content/dam/tcom/about-us/community-environment/pdf/2013-report-minister.pdf</w:t>
        </w:r>
      </w:hyperlink>
    </w:p>
  </w:footnote>
  <w:footnote w:id="55">
    <w:p w:rsidR="00B6196A" w:rsidRDefault="00B6196A" w:rsidP="0027370A">
      <w:pPr>
        <w:pStyle w:val="FootnoteText"/>
        <w:spacing w:after="0"/>
      </w:pPr>
      <w:r>
        <w:rPr>
          <w:rStyle w:val="FootnoteReference"/>
        </w:rPr>
        <w:footnoteRef/>
      </w:r>
      <w:r>
        <w:t xml:space="preserve"> </w:t>
      </w:r>
      <w:proofErr w:type="spellStart"/>
      <w:r>
        <w:t>ACCAN</w:t>
      </w:r>
      <w:proofErr w:type="spellEnd"/>
      <w:r>
        <w:t xml:space="preserve">, 2016. New data highlights telecommunications exclusion. </w:t>
      </w:r>
      <w:hyperlink r:id="rId38" w:history="1">
        <w:r w:rsidRPr="00D43445">
          <w:rPr>
            <w:rStyle w:val="Hyperlink"/>
          </w:rPr>
          <w:t>http://accan.org.au/election-2016/media/1258-new-data-highlights-telecommunications-exclusion</w:t>
        </w:r>
      </w:hyperlink>
    </w:p>
  </w:footnote>
  <w:footnote w:id="56">
    <w:p w:rsidR="00B6196A" w:rsidRDefault="00B6196A" w:rsidP="00C6649C">
      <w:pPr>
        <w:pStyle w:val="FootnoteText"/>
        <w:spacing w:after="0"/>
      </w:pPr>
      <w:r>
        <w:rPr>
          <w:rStyle w:val="FootnoteReference"/>
        </w:rPr>
        <w:footnoteRef/>
      </w:r>
      <w:r>
        <w:t xml:space="preserve"> John </w:t>
      </w:r>
      <w:proofErr w:type="spellStart"/>
      <w:r>
        <w:t>deRidder</w:t>
      </w:r>
      <w:proofErr w:type="spellEnd"/>
      <w:r>
        <w:t xml:space="preserve">, The future of the </w:t>
      </w:r>
      <w:proofErr w:type="spellStart"/>
      <w:r>
        <w:t>USO</w:t>
      </w:r>
      <w:proofErr w:type="spellEnd"/>
      <w:r>
        <w:t xml:space="preserve">, pg. 19. </w:t>
      </w:r>
      <w:hyperlink r:id="rId39" w:history="1">
        <w:r w:rsidRPr="002C69A9">
          <w:rPr>
            <w:rStyle w:val="Hyperlink"/>
          </w:rPr>
          <w:t>http://deridder.com.au/site/wp-content/uploads/2014/05/ACCAN-USO.pdf</w:t>
        </w:r>
      </w:hyperlink>
    </w:p>
  </w:footnote>
  <w:footnote w:id="57">
    <w:p w:rsidR="00B6196A" w:rsidRDefault="00B6196A" w:rsidP="00BD799A">
      <w:pPr>
        <w:pStyle w:val="FootnoteText"/>
        <w:spacing w:after="0"/>
      </w:pPr>
      <w:r>
        <w:rPr>
          <w:rStyle w:val="FootnoteReference"/>
        </w:rPr>
        <w:footnoteRef/>
      </w:r>
      <w:r>
        <w:t xml:space="preserve"> </w:t>
      </w:r>
      <w:proofErr w:type="spellStart"/>
      <w:r>
        <w:t>ACCAN</w:t>
      </w:r>
      <w:proofErr w:type="spellEnd"/>
      <w:r>
        <w:t xml:space="preserve">, Affordability Map. June 2016. </w:t>
      </w:r>
      <w:hyperlink r:id="rId40" w:history="1">
        <w:r w:rsidRPr="002C69A9">
          <w:rPr>
            <w:rStyle w:val="Hyperlink"/>
          </w:rPr>
          <w:t>https://</w:t>
        </w:r>
        <w:proofErr w:type="spellStart"/>
        <w:r w:rsidRPr="002C69A9">
          <w:rPr>
            <w:rStyle w:val="Hyperlink"/>
          </w:rPr>
          <w:t>accan.org.au</w:t>
        </w:r>
        <w:proofErr w:type="spellEnd"/>
        <w:r w:rsidRPr="002C69A9">
          <w:rPr>
            <w:rStyle w:val="Hyperlink"/>
          </w:rPr>
          <w:t>/</w:t>
        </w:r>
        <w:proofErr w:type="spellStart"/>
        <w:r w:rsidRPr="002C69A9">
          <w:rPr>
            <w:rStyle w:val="Hyperlink"/>
          </w:rPr>
          <w:t>Affordability%20Map%20June%202016.pdf</w:t>
        </w:r>
        <w:proofErr w:type="spellEnd"/>
      </w:hyperlink>
    </w:p>
  </w:footnote>
  <w:footnote w:id="58">
    <w:p w:rsidR="00B6196A" w:rsidRDefault="00B6196A" w:rsidP="004C4226">
      <w:pPr>
        <w:pStyle w:val="FootnoteText"/>
        <w:spacing w:after="0"/>
      </w:pPr>
      <w:r>
        <w:rPr>
          <w:rStyle w:val="FootnoteReference"/>
        </w:rPr>
        <w:footnoteRef/>
      </w:r>
      <w:r>
        <w:t xml:space="preserve"> Digital Inclusion Index. (accessed 29</w:t>
      </w:r>
      <w:r w:rsidRPr="003F35CC">
        <w:rPr>
          <w:vertAlign w:val="superscript"/>
        </w:rPr>
        <w:t>th</w:t>
      </w:r>
      <w:r>
        <w:t xml:space="preserve"> July 2016) </w:t>
      </w:r>
      <w:r w:rsidRPr="003F35CC">
        <w:t>http://</w:t>
      </w:r>
      <w:proofErr w:type="spellStart"/>
      <w:r w:rsidRPr="003F35CC">
        <w:t>digitalinclusionindex.org.au</w:t>
      </w:r>
      <w:proofErr w:type="spellEnd"/>
      <w:r w:rsidRPr="003F35CC">
        <w:t>/dii-project-update/</w:t>
      </w:r>
    </w:p>
  </w:footnote>
  <w:footnote w:id="59">
    <w:p w:rsidR="00B6196A" w:rsidRDefault="00B6196A" w:rsidP="00B04464">
      <w:pPr>
        <w:spacing w:before="0" w:beforeAutospacing="0" w:after="0" w:afterAutospacing="0"/>
      </w:pPr>
      <w:r w:rsidRPr="00B04464">
        <w:rPr>
          <w:rStyle w:val="FootnoteReference"/>
          <w:rFonts w:asciiTheme="minorHAnsi" w:hAnsiTheme="minorHAnsi"/>
          <w:sz w:val="18"/>
          <w:szCs w:val="18"/>
        </w:rPr>
        <w:footnoteRef/>
      </w:r>
      <w:r w:rsidRPr="00B04464">
        <w:rPr>
          <w:rFonts w:asciiTheme="minorHAnsi" w:hAnsiTheme="minorHAnsi"/>
          <w:sz w:val="18"/>
          <w:szCs w:val="18"/>
        </w:rPr>
        <w:t xml:space="preserve"> See Department of Social Services Shut Out: The experience of people with disabilities and their families in Australia? </w:t>
      </w:r>
      <w:hyperlink r:id="rId41" w:history="1">
        <w:r w:rsidRPr="00B04464">
          <w:rPr>
            <w:rStyle w:val="Hyperlink"/>
            <w:rFonts w:asciiTheme="minorHAnsi" w:hAnsiTheme="minorHAnsi"/>
            <w:sz w:val="18"/>
            <w:szCs w:val="18"/>
          </w:rPr>
          <w:t>https://www.dss.gov.au/our-responsibilities/disability-and-carers/publications-articles/policy-research/shut-out-</w:t>
        </w:r>
        <w:bookmarkStart w:id="32" w:name="OLE_LINK17"/>
        <w:bookmarkStart w:id="33" w:name="OLE_LINK18"/>
        <w:r w:rsidRPr="00B04464">
          <w:rPr>
            <w:rStyle w:val="Hyperlink"/>
            <w:rFonts w:asciiTheme="minorHAnsi" w:hAnsiTheme="minorHAnsi"/>
            <w:sz w:val="18"/>
            <w:szCs w:val="18"/>
          </w:rPr>
          <w:t>the-experience-of-people-with-disabilities-and-their-families-in-australia?</w:t>
        </w:r>
        <w:bookmarkEnd w:id="32"/>
        <w:bookmarkEnd w:id="33"/>
        <w:r w:rsidRPr="00B04464">
          <w:rPr>
            <w:rStyle w:val="Hyperlink"/>
            <w:rFonts w:asciiTheme="minorHAnsi" w:hAnsiTheme="minorHAnsi"/>
            <w:sz w:val="18"/>
            <w:szCs w:val="18"/>
          </w:rPr>
          <w:t>HTML</w:t>
        </w:r>
      </w:hyperlink>
    </w:p>
  </w:footnote>
  <w:footnote w:id="60">
    <w:p w:rsidR="00B6196A" w:rsidRPr="00B04464" w:rsidRDefault="00B6196A" w:rsidP="00B04464">
      <w:pPr>
        <w:spacing w:before="0" w:beforeAutospacing="0" w:after="0" w:afterAutospacing="0"/>
        <w:rPr>
          <w:rStyle w:val="file"/>
          <w:rFonts w:asciiTheme="minorHAnsi" w:hAnsiTheme="minorHAnsi"/>
          <w:sz w:val="18"/>
          <w:szCs w:val="18"/>
          <w:lang w:val="en"/>
        </w:rPr>
      </w:pPr>
      <w:r w:rsidRPr="00B04464">
        <w:rPr>
          <w:rStyle w:val="FootnoteReference"/>
          <w:rFonts w:asciiTheme="minorHAnsi" w:hAnsiTheme="minorHAnsi"/>
          <w:sz w:val="18"/>
          <w:szCs w:val="18"/>
        </w:rPr>
        <w:footnoteRef/>
      </w:r>
      <w:r w:rsidRPr="00B04464">
        <w:rPr>
          <w:rFonts w:asciiTheme="minorHAnsi" w:hAnsiTheme="minorHAnsi"/>
          <w:sz w:val="18"/>
          <w:szCs w:val="18"/>
        </w:rPr>
        <w:t xml:space="preserve"> See Australian Human Rights Commission (2016) </w:t>
      </w:r>
      <w:bookmarkStart w:id="34" w:name="OLE_LINK15"/>
      <w:bookmarkStart w:id="35" w:name="OLE_LINK16"/>
      <w:r w:rsidRPr="00B04464">
        <w:rPr>
          <w:rStyle w:val="file"/>
          <w:rFonts w:asciiTheme="minorHAnsi" w:hAnsiTheme="minorHAnsi"/>
          <w:sz w:val="18"/>
          <w:szCs w:val="18"/>
          <w:lang w:val="en"/>
        </w:rPr>
        <w:t>Willing to Work factsheet - Australians with Disability</w:t>
      </w:r>
    </w:p>
    <w:bookmarkEnd w:id="34"/>
    <w:bookmarkEnd w:id="35"/>
    <w:p w:rsidR="00B6196A" w:rsidRDefault="00B6196A" w:rsidP="00B04464">
      <w:pPr>
        <w:pStyle w:val="FootnoteText"/>
        <w:spacing w:after="0"/>
      </w:pPr>
      <w:r>
        <w:fldChar w:fldCharType="begin"/>
      </w:r>
      <w:r>
        <w:instrText xml:space="preserve"> HYPERLINK "</w:instrText>
      </w:r>
      <w:r w:rsidRPr="008D443C">
        <w:instrText>https://www.humanrights.gov.au/our-work/disability-rights/publications/willing-work-national-inquiry-employment-discrimination#factsheets</w:instrText>
      </w:r>
      <w:r>
        <w:instrText xml:space="preserve">" </w:instrText>
      </w:r>
      <w:r>
        <w:fldChar w:fldCharType="separate"/>
      </w:r>
      <w:r w:rsidRPr="00475EA5">
        <w:rPr>
          <w:rStyle w:val="Hyperlink"/>
        </w:rPr>
        <w:t>https://www.humanrights.gov.au/our-work/disability-rights/publications/willing-work-national-inquiry-employment-discrimination#factsheets</w:t>
      </w:r>
      <w:r>
        <w:fldChar w:fldCharType="end"/>
      </w:r>
    </w:p>
  </w:footnote>
  <w:footnote w:id="61">
    <w:p w:rsidR="00B6196A" w:rsidRDefault="00B6196A" w:rsidP="00585FF3">
      <w:pPr>
        <w:pStyle w:val="FootnoteText"/>
        <w:spacing w:after="0"/>
      </w:pPr>
      <w:r w:rsidRPr="00B04464">
        <w:rPr>
          <w:rStyle w:val="FootnoteReference"/>
          <w:rFonts w:asciiTheme="minorHAnsi" w:hAnsiTheme="minorHAnsi"/>
          <w:szCs w:val="18"/>
        </w:rPr>
        <w:footnoteRef/>
      </w:r>
      <w:r w:rsidRPr="00B04464">
        <w:rPr>
          <w:rFonts w:asciiTheme="minorHAnsi" w:hAnsiTheme="minorHAnsi"/>
          <w:szCs w:val="18"/>
        </w:rPr>
        <w:t xml:space="preserve"> OECD (2010) Sickness, Disability and Work: Breaking the Barriers </w:t>
      </w:r>
      <w:hyperlink r:id="rId42" w:history="1">
        <w:r w:rsidRPr="00B04464">
          <w:rPr>
            <w:rStyle w:val="Hyperlink"/>
            <w:rFonts w:asciiTheme="minorHAnsi" w:hAnsiTheme="minorHAnsi" w:cs="Arial"/>
            <w:szCs w:val="18"/>
          </w:rPr>
          <w:t>https://</w:t>
        </w:r>
        <w:proofErr w:type="spellStart"/>
        <w:r w:rsidRPr="00B04464">
          <w:rPr>
            <w:rStyle w:val="Hyperlink"/>
            <w:rFonts w:asciiTheme="minorHAnsi" w:hAnsiTheme="minorHAnsi" w:cs="Arial"/>
            <w:szCs w:val="18"/>
          </w:rPr>
          <w:t>www.</w:t>
        </w:r>
        <w:r w:rsidRPr="00585FF3">
          <w:rPr>
            <w:rStyle w:val="Hyperlink"/>
            <w:rFonts w:asciiTheme="minorHAnsi" w:hAnsiTheme="minorHAnsi" w:cs="Arial"/>
            <w:bCs/>
            <w:szCs w:val="18"/>
          </w:rPr>
          <w:t>oecd</w:t>
        </w:r>
        <w:r w:rsidRPr="00B04464">
          <w:rPr>
            <w:rStyle w:val="Hyperlink"/>
            <w:rFonts w:asciiTheme="minorHAnsi" w:hAnsiTheme="minorHAnsi" w:cs="Arial"/>
            <w:szCs w:val="18"/>
          </w:rPr>
          <w:t>.org</w:t>
        </w:r>
        <w:proofErr w:type="spellEnd"/>
        <w:r w:rsidRPr="00B04464">
          <w:rPr>
            <w:rStyle w:val="Hyperlink"/>
            <w:rFonts w:asciiTheme="minorHAnsi" w:hAnsiTheme="minorHAnsi" w:cs="Arial"/>
            <w:szCs w:val="18"/>
          </w:rPr>
          <w:t>/</w:t>
        </w:r>
        <w:proofErr w:type="spellStart"/>
        <w:r w:rsidRPr="00585FF3">
          <w:rPr>
            <w:rStyle w:val="Hyperlink"/>
            <w:rFonts w:asciiTheme="minorHAnsi" w:hAnsiTheme="minorHAnsi" w:cs="Arial"/>
            <w:bCs/>
            <w:szCs w:val="18"/>
          </w:rPr>
          <w:t>australia</w:t>
        </w:r>
        <w:proofErr w:type="spellEnd"/>
        <w:r w:rsidRPr="00B04464">
          <w:rPr>
            <w:rStyle w:val="Hyperlink"/>
            <w:rFonts w:asciiTheme="minorHAnsi" w:hAnsiTheme="minorHAnsi" w:cs="Arial"/>
            <w:szCs w:val="18"/>
          </w:rPr>
          <w:t>/</w:t>
        </w:r>
        <w:proofErr w:type="spellStart"/>
        <w:r w:rsidRPr="00B04464">
          <w:rPr>
            <w:rStyle w:val="Hyperlink"/>
            <w:rFonts w:asciiTheme="minorHAnsi" w:hAnsiTheme="minorHAnsi" w:cs="Arial"/>
            <w:szCs w:val="18"/>
          </w:rPr>
          <w:t>46497207.pdf</w:t>
        </w:r>
        <w:proofErr w:type="spellEnd"/>
      </w:hyperlink>
    </w:p>
  </w:footnote>
  <w:footnote w:id="62">
    <w:p w:rsidR="00B6196A" w:rsidRDefault="00B6196A" w:rsidP="00585FF3">
      <w:pPr>
        <w:pStyle w:val="FootnoteText"/>
        <w:spacing w:after="0"/>
      </w:pPr>
      <w:r>
        <w:rPr>
          <w:rStyle w:val="FootnoteReference"/>
        </w:rPr>
        <w:footnoteRef/>
      </w:r>
      <w:r>
        <w:t xml:space="preserve"> </w:t>
      </w:r>
      <w:hyperlink r:id="rId43" w:history="1">
        <w:r w:rsidRPr="00475EA5">
          <w:rPr>
            <w:rStyle w:val="Hyperlink"/>
          </w:rPr>
          <w:t>https://www.dss.gov.au/about-the-department/benefits-payments/telephone-allowance</w:t>
        </w:r>
      </w:hyperlink>
    </w:p>
  </w:footnote>
  <w:footnote w:id="63">
    <w:p w:rsidR="00B6196A" w:rsidRPr="00585FF3" w:rsidRDefault="00B6196A" w:rsidP="00B31595">
      <w:pPr>
        <w:pStyle w:val="FootnoteText"/>
        <w:spacing w:after="0"/>
        <w:rPr>
          <w:lang w:val="en-US"/>
        </w:rPr>
      </w:pPr>
      <w:r>
        <w:rPr>
          <w:rStyle w:val="FootnoteReference"/>
        </w:rPr>
        <w:footnoteRef/>
      </w:r>
      <w:r>
        <w:t xml:space="preserve"> John </w:t>
      </w:r>
      <w:proofErr w:type="spellStart"/>
      <w:r>
        <w:t>deRidder</w:t>
      </w:r>
      <w:proofErr w:type="spellEnd"/>
      <w:r>
        <w:t xml:space="preserve">, The future of the </w:t>
      </w:r>
      <w:proofErr w:type="spellStart"/>
      <w:r>
        <w:t>USO</w:t>
      </w:r>
      <w:proofErr w:type="spellEnd"/>
      <w:r>
        <w:t xml:space="preserve">, pg. 19. </w:t>
      </w:r>
      <w:hyperlink r:id="rId44" w:history="1">
        <w:r w:rsidRPr="002C69A9">
          <w:rPr>
            <w:rStyle w:val="Hyperlink"/>
          </w:rPr>
          <w:t>http://deridder.com.au/site/wp-content/uploads/2014/05/ACCAN-USO.pdf</w:t>
        </w:r>
      </w:hyperlink>
    </w:p>
  </w:footnote>
  <w:footnote w:id="64">
    <w:p w:rsidR="00B6196A" w:rsidRPr="001E0EE0" w:rsidRDefault="00B6196A" w:rsidP="002D31B5">
      <w:pPr>
        <w:spacing w:before="0" w:beforeAutospacing="0" w:after="0" w:afterAutospacing="0"/>
        <w:jc w:val="left"/>
        <w:rPr>
          <w:rFonts w:asciiTheme="minorHAnsi" w:eastAsiaTheme="minorHAnsi" w:hAnsiTheme="minorHAnsi"/>
          <w:sz w:val="18"/>
          <w:szCs w:val="18"/>
          <w:lang w:eastAsia="en-US"/>
        </w:rPr>
      </w:pPr>
      <w:r w:rsidRPr="001E0EE0">
        <w:rPr>
          <w:rStyle w:val="FootnoteReference"/>
          <w:sz w:val="18"/>
          <w:szCs w:val="18"/>
        </w:rPr>
        <w:footnoteRef/>
      </w:r>
      <w:r w:rsidRPr="001E0EE0">
        <w:rPr>
          <w:sz w:val="18"/>
          <w:szCs w:val="18"/>
        </w:rPr>
        <w:t xml:space="preserve"> </w:t>
      </w:r>
      <w:r w:rsidRPr="001E0EE0">
        <w:rPr>
          <w:rFonts w:asciiTheme="minorHAnsi" w:eastAsiaTheme="minorHAnsi" w:hAnsiTheme="minorHAnsi"/>
          <w:sz w:val="18"/>
          <w:szCs w:val="18"/>
          <w:lang w:eastAsia="en-US"/>
        </w:rPr>
        <w:t xml:space="preserve">National Disability Strategy 2010-2020, </w:t>
      </w:r>
      <w:proofErr w:type="spellStart"/>
      <w:r w:rsidRPr="001E0EE0">
        <w:rPr>
          <w:rFonts w:asciiTheme="minorHAnsi" w:eastAsiaTheme="minorHAnsi" w:hAnsiTheme="minorHAnsi"/>
          <w:sz w:val="18"/>
          <w:szCs w:val="18"/>
          <w:lang w:eastAsia="en-US"/>
        </w:rPr>
        <w:t>p.g</w:t>
      </w:r>
      <w:proofErr w:type="spellEnd"/>
      <w:r w:rsidRPr="001E0EE0">
        <w:rPr>
          <w:rFonts w:asciiTheme="minorHAnsi" w:eastAsiaTheme="minorHAnsi" w:hAnsiTheme="minorHAnsi"/>
          <w:sz w:val="18"/>
          <w:szCs w:val="18"/>
          <w:lang w:eastAsia="en-US"/>
        </w:rPr>
        <w:t>. 27</w:t>
      </w:r>
      <w:r>
        <w:rPr>
          <w:rFonts w:asciiTheme="minorHAnsi" w:eastAsiaTheme="minorHAnsi" w:hAnsiTheme="minorHAnsi"/>
          <w:sz w:val="18"/>
          <w:szCs w:val="18"/>
          <w:lang w:eastAsia="en-US"/>
        </w:rPr>
        <w:t xml:space="preserve"> </w:t>
      </w:r>
      <w:hyperlink r:id="rId45" w:history="1">
        <w:r w:rsidRPr="001E0EE0">
          <w:rPr>
            <w:rFonts w:asciiTheme="minorHAnsi" w:eastAsiaTheme="minorHAnsi" w:hAnsiTheme="minorHAnsi"/>
            <w:color w:val="0000FF" w:themeColor="hyperlink"/>
            <w:sz w:val="18"/>
            <w:szCs w:val="18"/>
            <w:u w:val="single"/>
            <w:lang w:eastAsia="en-US"/>
          </w:rPr>
          <w:t>https://www.dss.gov.au/sites/default/files/documents/05_2012/national_disability_strategy_2010_2020.pdf</w:t>
        </w:r>
      </w:hyperlink>
      <w:r w:rsidRPr="001E0EE0">
        <w:rPr>
          <w:rFonts w:asciiTheme="minorHAnsi" w:eastAsiaTheme="minorHAnsi" w:hAnsiTheme="minorHAnsi"/>
          <w:color w:val="0000FF" w:themeColor="hyperlink"/>
          <w:sz w:val="18"/>
          <w:szCs w:val="18"/>
          <w:u w:val="single"/>
          <w:lang w:eastAsia="en-US"/>
        </w:rPr>
        <w:t xml:space="preserve"> </w:t>
      </w:r>
    </w:p>
  </w:footnote>
  <w:footnote w:id="65">
    <w:p w:rsidR="00B6196A" w:rsidRPr="00491B26" w:rsidRDefault="00B6196A" w:rsidP="00415805">
      <w:pPr>
        <w:pStyle w:val="FootnoteText"/>
        <w:tabs>
          <w:tab w:val="left" w:pos="885"/>
        </w:tabs>
        <w:spacing w:after="0"/>
        <w:rPr>
          <w:lang w:val="en-US"/>
        </w:rPr>
      </w:pPr>
      <w:r>
        <w:rPr>
          <w:rStyle w:val="FootnoteReference"/>
        </w:rPr>
        <w:footnoteRef/>
      </w:r>
      <w:r>
        <w:t xml:space="preserve"> </w:t>
      </w:r>
      <w:r w:rsidRPr="00CF1B4E">
        <w:t>Telecommunications (Equipment for the Disabled) Regulations 199</w:t>
      </w:r>
      <w:r>
        <w:t>8</w:t>
      </w:r>
      <w:r w:rsidRPr="00CF1B4E">
        <w:t xml:space="preserve"> and the Telecommunications Act (1997)</w:t>
      </w:r>
      <w:r>
        <w:t xml:space="preserve">. </w:t>
      </w:r>
      <w:r w:rsidRPr="00C36689">
        <w:t>The National Relay service (</w:t>
      </w:r>
      <w:proofErr w:type="spellStart"/>
      <w:r w:rsidRPr="00C36689">
        <w:t>NRS</w:t>
      </w:r>
      <w:proofErr w:type="spellEnd"/>
      <w:r w:rsidRPr="00C36689">
        <w:t>) was established as a measure to achieve equivalence to voice telephony for people who are Deaf or hearing-impaired, and later, people who are speech-impaired.</w:t>
      </w:r>
    </w:p>
  </w:footnote>
  <w:footnote w:id="66">
    <w:p w:rsidR="00B6196A" w:rsidRDefault="00B6196A" w:rsidP="0099520E">
      <w:pPr>
        <w:pStyle w:val="FootnoteText"/>
        <w:spacing w:after="0"/>
      </w:pPr>
      <w:r w:rsidRPr="00567100">
        <w:rPr>
          <w:rStyle w:val="FootnoteReference"/>
          <w:rFonts w:asciiTheme="minorHAnsi" w:hAnsiTheme="minorHAnsi"/>
          <w:szCs w:val="18"/>
        </w:rPr>
        <w:footnoteRef/>
      </w:r>
      <w:proofErr w:type="spellStart"/>
      <w:r>
        <w:rPr>
          <w:rFonts w:asciiTheme="minorHAnsi" w:hAnsiTheme="minorHAnsi"/>
          <w:szCs w:val="18"/>
        </w:rPr>
        <w:t>ACCAN</w:t>
      </w:r>
      <w:proofErr w:type="spellEnd"/>
      <w:r>
        <w:rPr>
          <w:rFonts w:asciiTheme="minorHAnsi" w:hAnsiTheme="minorHAnsi"/>
          <w:szCs w:val="18"/>
        </w:rPr>
        <w:t>, 2011, Review of Access to Telecommunication Services by People with Disability, Older Australians and People Experiencing Illness.</w:t>
      </w:r>
      <w:r w:rsidRPr="00567100">
        <w:rPr>
          <w:rFonts w:asciiTheme="minorHAnsi" w:hAnsiTheme="minorHAnsi"/>
          <w:szCs w:val="18"/>
        </w:rPr>
        <w:t xml:space="preserve"> </w:t>
      </w:r>
      <w:hyperlink r:id="rId46" w:history="1">
        <w:r w:rsidRPr="00567100">
          <w:rPr>
            <w:rStyle w:val="Hyperlink"/>
            <w:rFonts w:asciiTheme="minorHAnsi" w:hAnsiTheme="minorHAnsi"/>
            <w:szCs w:val="18"/>
          </w:rPr>
          <w:t>http://accan.org.au/our-work/submissions/361-review-of-access-to-telecommunication-services-by-people-with-disability-older-australians-and-people-experiencing-illness</w:t>
        </w:r>
      </w:hyperlink>
    </w:p>
  </w:footnote>
  <w:footnote w:id="67">
    <w:p w:rsidR="00B6196A" w:rsidRPr="00567100" w:rsidRDefault="00B6196A" w:rsidP="00B430B0">
      <w:pPr>
        <w:pStyle w:val="FootnoteText"/>
        <w:spacing w:after="0"/>
        <w:rPr>
          <w:rFonts w:asciiTheme="minorHAnsi" w:hAnsiTheme="minorHAnsi"/>
          <w:szCs w:val="18"/>
          <w:lang w:val="en-GB"/>
        </w:rPr>
      </w:pPr>
      <w:r>
        <w:rPr>
          <w:rStyle w:val="FootnoteReference"/>
        </w:rPr>
        <w:footnoteRef/>
      </w:r>
      <w:r>
        <w:t xml:space="preserve"> </w:t>
      </w:r>
      <w:proofErr w:type="spellStart"/>
      <w:r>
        <w:t>FCC</w:t>
      </w:r>
      <w:proofErr w:type="spellEnd"/>
      <w:r>
        <w:t xml:space="preserve">. National deaf-Blind Equipment Distribution Program. </w:t>
      </w:r>
      <w:hyperlink r:id="rId47" w:history="1">
        <w:r w:rsidRPr="00567100">
          <w:rPr>
            <w:rStyle w:val="Hyperlink"/>
            <w:rFonts w:asciiTheme="minorHAnsi" w:hAnsiTheme="minorHAnsi"/>
            <w:szCs w:val="18"/>
          </w:rPr>
          <w:t>https://www.fcc.gov/consumers/guides/national-deaf-blind-equipment-distribution-program</w:t>
        </w:r>
      </w:hyperlink>
    </w:p>
  </w:footnote>
  <w:footnote w:id="68">
    <w:p w:rsidR="00B6196A" w:rsidRDefault="00B6196A">
      <w:pPr>
        <w:pStyle w:val="FootnoteText"/>
      </w:pPr>
      <w:r>
        <w:rPr>
          <w:rStyle w:val="FootnoteReference"/>
        </w:rPr>
        <w:footnoteRef/>
      </w:r>
      <w:r>
        <w:t xml:space="preserve"> See footnote 63 above</w:t>
      </w:r>
    </w:p>
  </w:footnote>
  <w:footnote w:id="69">
    <w:p w:rsidR="00B6196A" w:rsidRPr="00567100" w:rsidRDefault="00B6196A" w:rsidP="00193340">
      <w:pPr>
        <w:pStyle w:val="FootnoteText"/>
        <w:spacing w:after="0"/>
        <w:rPr>
          <w:rFonts w:asciiTheme="minorHAnsi" w:hAnsiTheme="minorHAnsi"/>
          <w:szCs w:val="18"/>
          <w:lang w:bidi="en-US"/>
        </w:rPr>
      </w:pPr>
      <w:r w:rsidRPr="00567100">
        <w:rPr>
          <w:rStyle w:val="FootnoteReference"/>
          <w:rFonts w:asciiTheme="minorHAnsi" w:hAnsiTheme="minorHAnsi"/>
          <w:szCs w:val="18"/>
        </w:rPr>
        <w:footnoteRef/>
      </w:r>
      <w:r w:rsidRPr="00567100">
        <w:rPr>
          <w:rFonts w:asciiTheme="minorHAnsi" w:hAnsiTheme="minorHAnsi"/>
          <w:szCs w:val="18"/>
        </w:rPr>
        <w:t xml:space="preserve"> </w:t>
      </w:r>
      <w:hyperlink r:id="rId48" w:history="1">
        <w:r w:rsidRPr="00567100">
          <w:rPr>
            <w:rStyle w:val="Hyperlink"/>
            <w:rFonts w:asciiTheme="minorHAnsi" w:hAnsiTheme="minorHAnsi"/>
            <w:szCs w:val="18"/>
          </w:rPr>
          <w:t>http://</w:t>
        </w:r>
        <w:proofErr w:type="spellStart"/>
        <w:r w:rsidRPr="00567100">
          <w:rPr>
            <w:rStyle w:val="Hyperlink"/>
            <w:rFonts w:asciiTheme="minorHAnsi" w:hAnsiTheme="minorHAnsi"/>
            <w:szCs w:val="18"/>
          </w:rPr>
          <w:t>en.wikipedia.org</w:t>
        </w:r>
        <w:proofErr w:type="spellEnd"/>
        <w:r w:rsidRPr="00567100">
          <w:rPr>
            <w:rStyle w:val="Hyperlink"/>
            <w:rFonts w:asciiTheme="minorHAnsi" w:hAnsiTheme="minorHAnsi"/>
            <w:szCs w:val="18"/>
          </w:rPr>
          <w:t>/wiki/</w:t>
        </w:r>
        <w:proofErr w:type="spellStart"/>
        <w:r w:rsidRPr="00567100">
          <w:rPr>
            <w:rStyle w:val="Hyperlink"/>
            <w:rFonts w:asciiTheme="minorHAnsi" w:hAnsiTheme="minorHAnsi"/>
            <w:szCs w:val="18"/>
          </w:rPr>
          <w:t>Second_language_attrition</w:t>
        </w:r>
        <w:proofErr w:type="spellEnd"/>
      </w:hyperlink>
      <w:r w:rsidRPr="00567100">
        <w:rPr>
          <w:rFonts w:asciiTheme="minorHAnsi" w:hAnsiTheme="minorHAnsi"/>
          <w:szCs w:val="18"/>
        </w:rPr>
        <w:t xml:space="preserve"> </w:t>
      </w:r>
    </w:p>
  </w:footnote>
  <w:footnote w:id="70">
    <w:p w:rsidR="00B6196A" w:rsidRPr="00567100" w:rsidRDefault="00B6196A" w:rsidP="00016372">
      <w:pPr>
        <w:autoSpaceDE w:val="0"/>
        <w:autoSpaceDN w:val="0"/>
        <w:adjustRightInd w:val="0"/>
        <w:spacing w:before="0" w:beforeAutospacing="0" w:after="0" w:afterAutospacing="0"/>
        <w:jc w:val="left"/>
        <w:rPr>
          <w:rFonts w:asciiTheme="minorHAnsi" w:hAnsiTheme="minorHAnsi"/>
          <w:sz w:val="18"/>
          <w:szCs w:val="18"/>
          <w:lang w:val="en-US"/>
        </w:rPr>
      </w:pPr>
      <w:r w:rsidRPr="00567100">
        <w:rPr>
          <w:rStyle w:val="FootnoteReference"/>
          <w:rFonts w:asciiTheme="minorHAnsi" w:hAnsiTheme="minorHAnsi"/>
          <w:sz w:val="18"/>
          <w:szCs w:val="18"/>
        </w:rPr>
        <w:footnoteRef/>
      </w:r>
      <w:r w:rsidRPr="00567100">
        <w:rPr>
          <w:rFonts w:asciiTheme="minorHAnsi" w:hAnsiTheme="minorHAnsi"/>
          <w:sz w:val="18"/>
          <w:szCs w:val="18"/>
        </w:rPr>
        <w:t xml:space="preserve"> National Ethnic Disability Alliance, ‘Communicating Difference: Understanding Communications Consumers from Non English Speaking Backgrounds (</w:t>
      </w:r>
      <w:proofErr w:type="spellStart"/>
      <w:r w:rsidRPr="00567100">
        <w:rPr>
          <w:rFonts w:asciiTheme="minorHAnsi" w:hAnsiTheme="minorHAnsi"/>
          <w:sz w:val="18"/>
          <w:szCs w:val="18"/>
        </w:rPr>
        <w:t>NESB</w:t>
      </w:r>
      <w:proofErr w:type="spellEnd"/>
      <w:r w:rsidRPr="00567100">
        <w:rPr>
          <w:rFonts w:asciiTheme="minorHAnsi" w:hAnsiTheme="minorHAnsi"/>
          <w:sz w:val="18"/>
          <w:szCs w:val="18"/>
        </w:rPr>
        <w:t xml:space="preserve">)’, 2010, </w:t>
      </w:r>
      <w:proofErr w:type="spellStart"/>
      <w:r w:rsidRPr="00567100">
        <w:rPr>
          <w:rFonts w:asciiTheme="minorHAnsi" w:hAnsiTheme="minorHAnsi"/>
          <w:sz w:val="18"/>
          <w:szCs w:val="18"/>
        </w:rPr>
        <w:t>p24</w:t>
      </w:r>
      <w:proofErr w:type="spellEnd"/>
      <w:r w:rsidRPr="00567100">
        <w:rPr>
          <w:rFonts w:asciiTheme="minorHAnsi" w:hAnsiTheme="minorHAnsi"/>
          <w:sz w:val="18"/>
          <w:szCs w:val="18"/>
        </w:rPr>
        <w:t xml:space="preserve">; </w:t>
      </w:r>
      <w:hyperlink r:id="rId49" w:history="1">
        <w:r w:rsidRPr="00567100">
          <w:rPr>
            <w:rStyle w:val="Hyperlink"/>
            <w:rFonts w:asciiTheme="minorHAnsi" w:hAnsiTheme="minorHAnsi"/>
            <w:sz w:val="18"/>
            <w:szCs w:val="18"/>
          </w:rPr>
          <w:t>http://accan.org.au/files/Reports/Communicating%20Difference%20Report.pdf</w:t>
        </w:r>
      </w:hyperlink>
      <w:r w:rsidRPr="00567100">
        <w:rPr>
          <w:rFonts w:asciiTheme="minorHAnsi" w:hAnsiTheme="minorHAnsi"/>
          <w:sz w:val="18"/>
          <w:szCs w:val="18"/>
        </w:rPr>
        <w:t xml:space="preserve"> </w:t>
      </w:r>
    </w:p>
  </w:footnote>
  <w:footnote w:id="71">
    <w:p w:rsidR="00B6196A" w:rsidRPr="00567100" w:rsidRDefault="00B6196A" w:rsidP="00AD60D5">
      <w:pPr>
        <w:spacing w:before="0" w:beforeAutospacing="0" w:after="0" w:afterAutospacing="0"/>
        <w:jc w:val="left"/>
        <w:rPr>
          <w:rFonts w:asciiTheme="minorHAnsi" w:hAnsiTheme="minorHAnsi"/>
          <w:sz w:val="18"/>
          <w:szCs w:val="18"/>
        </w:rPr>
      </w:pPr>
      <w:r w:rsidRPr="00567100">
        <w:rPr>
          <w:rStyle w:val="FootnoteReference"/>
          <w:rFonts w:asciiTheme="minorHAnsi" w:hAnsiTheme="minorHAnsi"/>
          <w:sz w:val="18"/>
          <w:szCs w:val="18"/>
        </w:rPr>
        <w:footnoteRef/>
      </w:r>
      <w:r w:rsidRPr="00567100">
        <w:rPr>
          <w:rFonts w:asciiTheme="minorHAnsi" w:hAnsiTheme="minorHAnsi"/>
          <w:sz w:val="18"/>
          <w:szCs w:val="18"/>
        </w:rPr>
        <w:t xml:space="preserve"> ‘People From </w:t>
      </w:r>
      <w:proofErr w:type="spellStart"/>
      <w:r w:rsidRPr="00567100">
        <w:rPr>
          <w:rFonts w:asciiTheme="minorHAnsi" w:hAnsiTheme="minorHAnsi"/>
          <w:sz w:val="18"/>
          <w:szCs w:val="18"/>
        </w:rPr>
        <w:t>NESB</w:t>
      </w:r>
      <w:proofErr w:type="spellEnd"/>
      <w:r w:rsidRPr="00567100">
        <w:rPr>
          <w:rFonts w:asciiTheme="minorHAnsi" w:hAnsiTheme="minorHAnsi"/>
          <w:sz w:val="18"/>
          <w:szCs w:val="18"/>
        </w:rPr>
        <w:t xml:space="preserve"> With Disability – Barriers to Accessing Telecommunications’, provided to </w:t>
      </w:r>
      <w:proofErr w:type="spellStart"/>
      <w:r w:rsidRPr="00567100">
        <w:rPr>
          <w:rFonts w:asciiTheme="minorHAnsi" w:hAnsiTheme="minorHAnsi"/>
          <w:sz w:val="18"/>
          <w:szCs w:val="18"/>
        </w:rPr>
        <w:t>ACCAN</w:t>
      </w:r>
      <w:proofErr w:type="spellEnd"/>
      <w:r w:rsidRPr="00567100">
        <w:rPr>
          <w:rFonts w:asciiTheme="minorHAnsi" w:hAnsiTheme="minorHAnsi"/>
          <w:sz w:val="18"/>
          <w:szCs w:val="18"/>
        </w:rPr>
        <w:t>, based on Australian Bureau of Statistics, ‘General Social Survey: Summary Results’, 2006,</w:t>
      </w:r>
      <w:r w:rsidRPr="00567100">
        <w:rPr>
          <w:rFonts w:asciiTheme="minorHAnsi" w:hAnsiTheme="minorHAnsi"/>
          <w:color w:val="FF0000"/>
          <w:sz w:val="18"/>
          <w:szCs w:val="18"/>
        </w:rPr>
        <w:t xml:space="preserve"> </w:t>
      </w:r>
      <w:hyperlink r:id="rId50" w:history="1">
        <w:r w:rsidRPr="00567100">
          <w:rPr>
            <w:rStyle w:val="Hyperlink"/>
            <w:rFonts w:asciiTheme="minorHAnsi" w:hAnsiTheme="minorHAnsi"/>
            <w:sz w:val="18"/>
            <w:szCs w:val="18"/>
          </w:rPr>
          <w:t>http://www.ausstats.abs.gov.au/Ausstats/subscriber.nsf/0/9EBEEE90D2746F45CA2572E20013BD17/$File/41590_2006.pdf</w:t>
        </w:r>
      </w:hyperlink>
    </w:p>
  </w:footnote>
  <w:footnote w:id="72">
    <w:p w:rsidR="00B6196A" w:rsidRPr="00567100" w:rsidRDefault="00B6196A" w:rsidP="00193340">
      <w:pPr>
        <w:pStyle w:val="FootnoteText"/>
        <w:spacing w:after="0"/>
        <w:rPr>
          <w:rFonts w:asciiTheme="minorHAnsi" w:hAnsiTheme="minorHAnsi"/>
          <w:szCs w:val="18"/>
        </w:rPr>
      </w:pPr>
      <w:r w:rsidRPr="00567100">
        <w:rPr>
          <w:rStyle w:val="FootnoteReference"/>
          <w:rFonts w:asciiTheme="minorHAnsi" w:hAnsiTheme="minorHAnsi"/>
          <w:szCs w:val="18"/>
        </w:rPr>
        <w:footnoteRef/>
      </w:r>
      <w:r w:rsidRPr="00567100">
        <w:rPr>
          <w:rFonts w:asciiTheme="minorHAnsi" w:hAnsiTheme="minorHAnsi"/>
          <w:szCs w:val="18"/>
        </w:rPr>
        <w:t xml:space="preserve"> ‘National Relay Service Plan 2010-2011’, </w:t>
      </w:r>
      <w:proofErr w:type="spellStart"/>
      <w:r w:rsidRPr="00567100">
        <w:rPr>
          <w:rFonts w:asciiTheme="minorHAnsi" w:hAnsiTheme="minorHAnsi"/>
          <w:szCs w:val="18"/>
        </w:rPr>
        <w:t>p5</w:t>
      </w:r>
      <w:proofErr w:type="spellEnd"/>
      <w:r w:rsidRPr="00567100">
        <w:rPr>
          <w:rFonts w:asciiTheme="minorHAnsi" w:hAnsiTheme="minorHAnsi"/>
          <w:szCs w:val="18"/>
        </w:rPr>
        <w:t xml:space="preserve">; </w:t>
      </w:r>
      <w:hyperlink r:id="rId51" w:history="1">
        <w:r w:rsidRPr="00567100">
          <w:rPr>
            <w:rStyle w:val="Hyperlink"/>
            <w:rFonts w:asciiTheme="minorHAnsi" w:hAnsiTheme="minorHAnsi"/>
            <w:szCs w:val="18"/>
          </w:rPr>
          <w:t>http://www.relayservice.com.au/media/uploads/resources/NRS_Plan__2010-11_2.pdf</w:t>
        </w:r>
      </w:hyperlink>
      <w:r w:rsidRPr="00567100">
        <w:rPr>
          <w:rFonts w:asciiTheme="minorHAnsi" w:hAnsiTheme="minorHAnsi"/>
          <w:szCs w:val="18"/>
        </w:rPr>
        <w:t xml:space="preserve"> </w:t>
      </w:r>
    </w:p>
  </w:footnote>
  <w:footnote w:id="73">
    <w:p w:rsidR="00B6196A" w:rsidRPr="00567100" w:rsidRDefault="00B6196A" w:rsidP="00193340">
      <w:pPr>
        <w:pStyle w:val="FootnoteText"/>
        <w:spacing w:after="0"/>
        <w:rPr>
          <w:rFonts w:asciiTheme="minorHAnsi" w:hAnsiTheme="minorHAnsi"/>
          <w:szCs w:val="18"/>
        </w:rPr>
      </w:pPr>
      <w:r w:rsidRPr="00567100">
        <w:rPr>
          <w:rStyle w:val="FootnoteReference"/>
          <w:rFonts w:asciiTheme="minorHAnsi" w:hAnsiTheme="minorHAnsi"/>
          <w:szCs w:val="18"/>
        </w:rPr>
        <w:footnoteRef/>
      </w:r>
      <w:r w:rsidRPr="00567100">
        <w:rPr>
          <w:rFonts w:asciiTheme="minorHAnsi" w:hAnsiTheme="minorHAnsi"/>
          <w:szCs w:val="18"/>
        </w:rPr>
        <w:t xml:space="preserve"> The segment of the call which is to be relayed must be in English. In theory, therefore, a Speak and Read user could speak directly in a language other than English to the other party, but the other party would have to respond in English so that the relay officer could type their words to the Speak and Read user</w:t>
      </w:r>
    </w:p>
  </w:footnote>
  <w:footnote w:id="74">
    <w:p w:rsidR="00B6196A" w:rsidRPr="00B430B0" w:rsidRDefault="00B6196A" w:rsidP="00946E98">
      <w:pPr>
        <w:pStyle w:val="FootnoteText"/>
        <w:spacing w:after="0"/>
        <w:rPr>
          <w:rFonts w:asciiTheme="minorHAnsi" w:hAnsiTheme="minorHAnsi"/>
          <w:color w:val="4F81BD" w:themeColor="accent1"/>
          <w:szCs w:val="18"/>
          <w:lang w:val="en-GB"/>
        </w:rPr>
      </w:pPr>
      <w:bookmarkStart w:id="42" w:name="OLE_LINK20"/>
      <w:bookmarkStart w:id="43" w:name="OLE_LINK21"/>
      <w:bookmarkStart w:id="44" w:name="_Hlk456269983"/>
      <w:r w:rsidRPr="00567100">
        <w:rPr>
          <w:rStyle w:val="FootnoteReference"/>
          <w:rFonts w:asciiTheme="minorHAnsi" w:hAnsiTheme="minorHAnsi"/>
          <w:szCs w:val="18"/>
        </w:rPr>
        <w:footnoteRef/>
      </w:r>
      <w:r w:rsidRPr="00567100">
        <w:rPr>
          <w:rFonts w:asciiTheme="minorHAnsi" w:hAnsiTheme="minorHAnsi"/>
          <w:szCs w:val="18"/>
        </w:rPr>
        <w:t xml:space="preserve"> </w:t>
      </w:r>
      <w:proofErr w:type="spellStart"/>
      <w:r w:rsidRPr="00567100">
        <w:rPr>
          <w:rFonts w:asciiTheme="minorHAnsi" w:hAnsiTheme="minorHAnsi"/>
          <w:szCs w:val="18"/>
        </w:rPr>
        <w:t>TCPSS</w:t>
      </w:r>
      <w:proofErr w:type="spellEnd"/>
      <w:r w:rsidRPr="00567100">
        <w:rPr>
          <w:rFonts w:asciiTheme="minorHAnsi" w:hAnsiTheme="minorHAnsi"/>
          <w:szCs w:val="18"/>
        </w:rPr>
        <w:t xml:space="preserve"> Act Division 3 Section 13 (D)</w:t>
      </w:r>
      <w:r>
        <w:rPr>
          <w:rFonts w:asciiTheme="minorHAnsi" w:hAnsiTheme="minorHAnsi"/>
          <w:szCs w:val="18"/>
        </w:rPr>
        <w:t xml:space="preserve"> </w:t>
      </w:r>
      <w:hyperlink r:id="rId52" w:history="1">
        <w:r w:rsidRPr="00567100">
          <w:rPr>
            <w:rStyle w:val="Hyperlink"/>
            <w:rFonts w:asciiTheme="minorHAnsi" w:hAnsiTheme="minorHAnsi"/>
            <w:color w:val="4F81BD" w:themeColor="accent1"/>
            <w:szCs w:val="18"/>
          </w:rPr>
          <w:t>http://www.austlii.edu.au/au/legis/cth/consol_act/tpassa1999620/s13.html</w:t>
        </w:r>
      </w:hyperlink>
      <w:r w:rsidRPr="00567100">
        <w:rPr>
          <w:rFonts w:asciiTheme="minorHAnsi" w:hAnsiTheme="minorHAnsi"/>
          <w:szCs w:val="18"/>
          <w:lang w:val="en"/>
        </w:rPr>
        <w:t xml:space="preserve"> </w:t>
      </w:r>
      <w:bookmarkEnd w:id="42"/>
      <w:bookmarkEnd w:id="43"/>
      <w:bookmarkEnd w:id="44"/>
    </w:p>
  </w:footnote>
  <w:footnote w:id="75">
    <w:p w:rsidR="00B6196A" w:rsidRDefault="00B6196A" w:rsidP="00EE4583">
      <w:pPr>
        <w:pStyle w:val="FootnoteText"/>
        <w:spacing w:after="0"/>
      </w:pPr>
      <w:r>
        <w:rPr>
          <w:rStyle w:val="FootnoteReference"/>
        </w:rPr>
        <w:footnoteRef/>
      </w:r>
      <w:r>
        <w:t xml:space="preserve"> </w:t>
      </w:r>
      <w:hyperlink r:id="rId53" w:history="1">
        <w:r w:rsidRPr="00D43445">
          <w:rPr>
            <w:rStyle w:val="Hyperlink"/>
          </w:rPr>
          <w:t>https://www.communications.gov.au/departmental-news/further-consultation-nbn-non-commercial-services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6A" w:rsidRDefault="00B6196A" w:rsidP="005455C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6A" w:rsidRDefault="00B6196A" w:rsidP="005455CD">
    <w:pPr>
      <w:pStyle w:val="Header"/>
      <w:jc w:val="center"/>
    </w:pPr>
    <w:r>
      <w:rPr>
        <w:noProof/>
        <w:lang w:eastAsia="en-AU"/>
      </w:rPr>
      <w:drawing>
        <wp:inline distT="0" distB="0" distL="0" distR="0" wp14:anchorId="2CEAD97B" wp14:editId="48A6119C">
          <wp:extent cx="3057525" cy="1581150"/>
          <wp:effectExtent l="0" t="0" r="0" b="0"/>
          <wp:docPr id="9" name="Picture 13" descr="ACCAN_logo_BLUE_viewing_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CAN_logo_BLUE_viewing_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581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6A" w:rsidRDefault="00B6196A" w:rsidP="00E45E4C">
    <w:pPr>
      <w:pStyle w:val="Header"/>
      <w:jc w:val="right"/>
    </w:pPr>
    <w:r>
      <w:rPr>
        <w:noProof/>
        <w:lang w:eastAsia="en-AU"/>
      </w:rPr>
      <w:drawing>
        <wp:inline distT="0" distB="0" distL="0" distR="0" wp14:anchorId="6568DB38" wp14:editId="02AED521">
          <wp:extent cx="678787" cy="296066"/>
          <wp:effectExtent l="0" t="0" r="7620" b="8890"/>
          <wp:docPr id="1" name="Picture 1" descr="ACCAN_logo_BLACK_viewing_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CAN_logo_BLACK_viewing_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108" cy="295334"/>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96A" w:rsidRDefault="00B6196A" w:rsidP="00B14DFB">
    <w:pPr>
      <w:pStyle w:val="Header"/>
      <w:jc w:val="center"/>
    </w:pPr>
    <w:r>
      <w:rPr>
        <w:noProof/>
        <w:lang w:eastAsia="en-AU"/>
      </w:rPr>
      <w:drawing>
        <wp:inline distT="0" distB="0" distL="0" distR="0" wp14:anchorId="0833080B" wp14:editId="28C83231">
          <wp:extent cx="3057525" cy="1581150"/>
          <wp:effectExtent l="0" t="0" r="0" b="0"/>
          <wp:docPr id="6" name="Picture 13" descr="ACCAN_logo_BLUE_viewing_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CAN_logo_BLUE_viewing_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581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0"/>
        </w:tabs>
        <w:ind w:left="0" w:hanging="360"/>
      </w:pPr>
    </w:lvl>
    <w:lvl w:ilvl="1">
      <w:start w:val="1"/>
      <w:numFmt w:val="decimal"/>
      <w:lvlText w:val="%2."/>
      <w:lvlJc w:val="left"/>
      <w:pPr>
        <w:tabs>
          <w:tab w:val="num" w:pos="360"/>
        </w:tabs>
        <w:ind w:left="360" w:hanging="360"/>
      </w:pPr>
    </w:lvl>
    <w:lvl w:ilvl="2">
      <w:start w:val="1"/>
      <w:numFmt w:val="decimal"/>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decimal"/>
      <w:lvlText w:val="%8."/>
      <w:lvlJc w:val="left"/>
      <w:pPr>
        <w:tabs>
          <w:tab w:val="num" w:pos="2520"/>
        </w:tabs>
        <w:ind w:left="2520" w:hanging="360"/>
      </w:pPr>
    </w:lvl>
    <w:lvl w:ilvl="8">
      <w:start w:val="1"/>
      <w:numFmt w:val="decimal"/>
      <w:lvlText w:val="%9."/>
      <w:lvlJc w:val="left"/>
      <w:pPr>
        <w:tabs>
          <w:tab w:val="num" w:pos="2880"/>
        </w:tabs>
        <w:ind w:left="2880" w:hanging="360"/>
      </w:pPr>
    </w:lvl>
  </w:abstractNum>
  <w:abstractNum w:abstractNumId="1">
    <w:nsid w:val="00000004"/>
    <w:multiLevelType w:val="multilevel"/>
    <w:tmpl w:val="00000004"/>
    <w:name w:val="WWNum2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6"/>
    <w:multiLevelType w:val="multilevel"/>
    <w:tmpl w:val="0000000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5873FB3"/>
    <w:multiLevelType w:val="hybridMultilevel"/>
    <w:tmpl w:val="CDACDDAA"/>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cs="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cs="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cs="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4">
    <w:nsid w:val="05D456BF"/>
    <w:multiLevelType w:val="hybridMultilevel"/>
    <w:tmpl w:val="638C8496"/>
    <w:lvl w:ilvl="0" w:tplc="0C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079A6110"/>
    <w:multiLevelType w:val="hybridMultilevel"/>
    <w:tmpl w:val="F0A45D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F3491A"/>
    <w:multiLevelType w:val="hybridMultilevel"/>
    <w:tmpl w:val="80F22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B190B"/>
    <w:multiLevelType w:val="multilevel"/>
    <w:tmpl w:val="E2D812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E661B9"/>
    <w:multiLevelType w:val="hybridMultilevel"/>
    <w:tmpl w:val="963C19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215439A"/>
    <w:multiLevelType w:val="hybridMultilevel"/>
    <w:tmpl w:val="3848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4F0862"/>
    <w:multiLevelType w:val="multilevel"/>
    <w:tmpl w:val="6AFEEB4C"/>
    <w:styleLink w:val="Bullets"/>
    <w:lvl w:ilvl="0">
      <w:start w:val="1"/>
      <w:numFmt w:val="bullet"/>
      <w:pStyle w:val="Bulletlist1"/>
      <w:lvlText w:val=""/>
      <w:lvlJc w:val="left"/>
      <w:pPr>
        <w:ind w:left="851" w:hanging="284"/>
      </w:pPr>
      <w:rPr>
        <w:rFonts w:ascii="Symbol" w:hAnsi="Symbol" w:hint="default"/>
      </w:rPr>
    </w:lvl>
    <w:lvl w:ilvl="1">
      <w:start w:val="1"/>
      <w:numFmt w:val="bullet"/>
      <w:pStyle w:val="Bulletlist2"/>
      <w:lvlText w:val=""/>
      <w:lvlJc w:val="left"/>
      <w:pPr>
        <w:ind w:left="1418" w:hanging="284"/>
      </w:pPr>
      <w:rPr>
        <w:rFonts w:ascii="Symbol" w:hAnsi="Symbol" w:hint="default"/>
      </w:rPr>
    </w:lvl>
    <w:lvl w:ilvl="2">
      <w:start w:val="1"/>
      <w:numFmt w:val="bullet"/>
      <w:pStyle w:val="Bulletlist3"/>
      <w:lvlText w:val=""/>
      <w:lvlJc w:val="left"/>
      <w:pPr>
        <w:ind w:left="1985" w:hanging="284"/>
      </w:pPr>
      <w:rPr>
        <w:rFonts w:ascii="Symbol" w:hAnsi="Symbol" w:hint="default"/>
        <w:color w:val="auto"/>
      </w:rPr>
    </w:lvl>
    <w:lvl w:ilvl="3">
      <w:start w:val="1"/>
      <w:numFmt w:val="bullet"/>
      <w:lvlText w:val=""/>
      <w:lvlJc w:val="left"/>
      <w:pPr>
        <w:ind w:left="2552" w:hanging="284"/>
      </w:pPr>
      <w:rPr>
        <w:rFonts w:ascii="Symbol" w:hAnsi="Symbol" w:hint="default"/>
      </w:rPr>
    </w:lvl>
    <w:lvl w:ilvl="4">
      <w:start w:val="1"/>
      <w:numFmt w:val="bullet"/>
      <w:lvlText w:val=""/>
      <w:lvlJc w:val="left"/>
      <w:pPr>
        <w:ind w:left="3119" w:hanging="284"/>
      </w:pPr>
      <w:rPr>
        <w:rFonts w:ascii="Symbol" w:hAnsi="Symbol" w:hint="default"/>
      </w:rPr>
    </w:lvl>
    <w:lvl w:ilvl="5">
      <w:start w:val="1"/>
      <w:numFmt w:val="bullet"/>
      <w:lvlText w:val=""/>
      <w:lvlJc w:val="left"/>
      <w:pPr>
        <w:ind w:left="3686" w:hanging="284"/>
      </w:pPr>
      <w:rPr>
        <w:rFonts w:ascii="Symbol" w:hAnsi="Symbol" w:hint="default"/>
      </w:rPr>
    </w:lvl>
    <w:lvl w:ilvl="6">
      <w:start w:val="1"/>
      <w:numFmt w:val="bullet"/>
      <w:lvlText w:val=""/>
      <w:lvlJc w:val="left"/>
      <w:pPr>
        <w:ind w:left="4253" w:hanging="284"/>
      </w:pPr>
      <w:rPr>
        <w:rFonts w:ascii="Symbol" w:hAnsi="Symbol" w:hint="default"/>
      </w:rPr>
    </w:lvl>
    <w:lvl w:ilvl="7">
      <w:start w:val="1"/>
      <w:numFmt w:val="bullet"/>
      <w:lvlText w:val=""/>
      <w:lvlJc w:val="left"/>
      <w:pPr>
        <w:ind w:left="4820" w:hanging="284"/>
      </w:pPr>
      <w:rPr>
        <w:rFonts w:ascii="Symbol" w:hAnsi="Symbol" w:hint="default"/>
      </w:rPr>
    </w:lvl>
    <w:lvl w:ilvl="8">
      <w:start w:val="1"/>
      <w:numFmt w:val="bullet"/>
      <w:lvlText w:val=""/>
      <w:lvlJc w:val="left"/>
      <w:pPr>
        <w:ind w:left="5387" w:hanging="284"/>
      </w:pPr>
      <w:rPr>
        <w:rFonts w:ascii="Symbol" w:hAnsi="Symbol" w:hint="default"/>
      </w:rPr>
    </w:lvl>
  </w:abstractNum>
  <w:abstractNum w:abstractNumId="11">
    <w:nsid w:val="2D195D81"/>
    <w:multiLevelType w:val="hybridMultilevel"/>
    <w:tmpl w:val="EE06D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37C5FB2"/>
    <w:multiLevelType w:val="multilevel"/>
    <w:tmpl w:val="6AFEEB4C"/>
    <w:numStyleLink w:val="Bullets"/>
  </w:abstractNum>
  <w:abstractNum w:abstractNumId="13">
    <w:nsid w:val="33D9536F"/>
    <w:multiLevelType w:val="multilevel"/>
    <w:tmpl w:val="7BC22240"/>
    <w:numStyleLink w:val="Headings"/>
  </w:abstractNum>
  <w:abstractNum w:abstractNumId="14">
    <w:nsid w:val="34E0409E"/>
    <w:multiLevelType w:val="hybridMultilevel"/>
    <w:tmpl w:val="56C8B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5F41370"/>
    <w:multiLevelType w:val="multilevel"/>
    <w:tmpl w:val="F2FC669E"/>
    <w:styleLink w:val="Recommendations"/>
    <w:lvl w:ilvl="0">
      <w:start w:val="1"/>
      <w:numFmt w:val="decimal"/>
      <w:pStyle w:val="Recommendation"/>
      <w:lvlText w:val="Recommendation %1:"/>
      <w:lvlJc w:val="left"/>
      <w:pPr>
        <w:ind w:left="851" w:firstLine="0"/>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6">
    <w:nsid w:val="39860C67"/>
    <w:multiLevelType w:val="multilevel"/>
    <w:tmpl w:val="7BC22240"/>
    <w:numStyleLink w:val="Headings"/>
  </w:abstractNum>
  <w:abstractNum w:abstractNumId="17">
    <w:nsid w:val="3A55036E"/>
    <w:multiLevelType w:val="hybridMultilevel"/>
    <w:tmpl w:val="71625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3DF936BD"/>
    <w:multiLevelType w:val="multilevel"/>
    <w:tmpl w:val="7BC22240"/>
    <w:numStyleLink w:val="Headings"/>
  </w:abstractNum>
  <w:abstractNum w:abstractNumId="19">
    <w:nsid w:val="3FBB2B63"/>
    <w:multiLevelType w:val="hybridMultilevel"/>
    <w:tmpl w:val="58368B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48C633E"/>
    <w:multiLevelType w:val="hybridMultilevel"/>
    <w:tmpl w:val="36A4A7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CDD09C3"/>
    <w:multiLevelType w:val="hybridMultilevel"/>
    <w:tmpl w:val="CFEE8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E857923"/>
    <w:multiLevelType w:val="multilevel"/>
    <w:tmpl w:val="989E8E90"/>
    <w:styleLink w:val="Appendices"/>
    <w:lvl w:ilvl="0">
      <w:start w:val="1"/>
      <w:numFmt w:val="upperLetter"/>
      <w:pStyle w:val="Appendixheading1"/>
      <w:lvlText w:val="Appendix %1."/>
      <w:lvlJc w:val="left"/>
      <w:pPr>
        <w:ind w:left="0" w:firstLine="0"/>
      </w:pPr>
      <w:rPr>
        <w:rFonts w:hint="default"/>
      </w:rPr>
    </w:lvl>
    <w:lvl w:ilvl="1">
      <w:start w:val="1"/>
      <w:numFmt w:val="lowerRoman"/>
      <w:pStyle w:val="Appendixheading2"/>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nsid w:val="5A467144"/>
    <w:multiLevelType w:val="multilevel"/>
    <w:tmpl w:val="989E8E90"/>
    <w:numStyleLink w:val="Appendices"/>
  </w:abstractNum>
  <w:abstractNum w:abstractNumId="24">
    <w:nsid w:val="5D7C3518"/>
    <w:multiLevelType w:val="hybridMultilevel"/>
    <w:tmpl w:val="0BB4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EB4798B"/>
    <w:multiLevelType w:val="hybridMultilevel"/>
    <w:tmpl w:val="42FAE1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617A55AB"/>
    <w:multiLevelType w:val="hybridMultilevel"/>
    <w:tmpl w:val="600625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nsid w:val="652D4C14"/>
    <w:multiLevelType w:val="hybridMultilevel"/>
    <w:tmpl w:val="B46C49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67D51A10"/>
    <w:multiLevelType w:val="hybridMultilevel"/>
    <w:tmpl w:val="13D2DA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6AAF098D"/>
    <w:multiLevelType w:val="multilevel"/>
    <w:tmpl w:val="7BC22240"/>
    <w:numStyleLink w:val="Headings"/>
  </w:abstractNum>
  <w:abstractNum w:abstractNumId="30">
    <w:nsid w:val="6CAA0FE4"/>
    <w:multiLevelType w:val="multilevel"/>
    <w:tmpl w:val="E2F45A98"/>
    <w:styleLink w:val="Blockquotebullets"/>
    <w:lvl w:ilvl="0">
      <w:start w:val="1"/>
      <w:numFmt w:val="bullet"/>
      <w:pStyle w:val="Blockquotebulletlist1"/>
      <w:lvlText w:val=""/>
      <w:lvlJc w:val="left"/>
      <w:pPr>
        <w:ind w:left="1701" w:hanging="283"/>
      </w:pPr>
      <w:rPr>
        <w:rFonts w:ascii="Symbol" w:hAnsi="Symbol"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nsid w:val="71A93915"/>
    <w:multiLevelType w:val="hybridMultilevel"/>
    <w:tmpl w:val="0E6229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74E30402"/>
    <w:multiLevelType w:val="hybridMultilevel"/>
    <w:tmpl w:val="D1F410A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77FF45ED"/>
    <w:multiLevelType w:val="multilevel"/>
    <w:tmpl w:val="7BC22240"/>
    <w:styleLink w:val="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decimal"/>
      <w:pStyle w:val="Heading3"/>
      <w:lvlText w:val="%1.%2.%3."/>
      <w:lvlJc w:val="left"/>
      <w:pPr>
        <w:ind w:left="851" w:hanging="851"/>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4">
    <w:nsid w:val="790B6180"/>
    <w:multiLevelType w:val="hybridMultilevel"/>
    <w:tmpl w:val="544A33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5"/>
  </w:num>
  <w:num w:numId="2">
    <w:abstractNumId w:val="33"/>
  </w:num>
  <w:num w:numId="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16"/>
  </w:num>
  <w:num w:numId="6">
    <w:abstractNumId w:val="10"/>
  </w:num>
  <w:num w:numId="7">
    <w:abstractNumId w:val="18"/>
  </w:num>
  <w:num w:numId="8">
    <w:abstractNumId w:val="12"/>
  </w:num>
  <w:num w:numId="9">
    <w:abstractNumId w:val="12"/>
  </w:num>
  <w:num w:numId="10">
    <w:abstractNumId w:val="12"/>
  </w:num>
  <w:num w:numId="11">
    <w:abstractNumId w:val="12"/>
  </w:num>
  <w:num w:numId="12">
    <w:abstractNumId w:val="10"/>
  </w:num>
  <w:num w:numId="13">
    <w:abstractNumId w:val="13"/>
  </w:num>
  <w:num w:numId="14">
    <w:abstractNumId w:val="13"/>
  </w:num>
  <w:num w:numId="15">
    <w:abstractNumId w:val="13"/>
  </w:num>
  <w:num w:numId="16">
    <w:abstractNumId w:val="33"/>
    <w:lvlOverride w:ilvl="1">
      <w:lvl w:ilvl="1">
        <w:start w:val="1"/>
        <w:numFmt w:val="decimal"/>
        <w:pStyle w:val="Heading2"/>
        <w:lvlText w:val="%1.%2."/>
        <w:lvlJc w:val="left"/>
        <w:pPr>
          <w:ind w:left="851" w:hanging="851"/>
        </w:pPr>
        <w:rPr>
          <w:rFonts w:hint="default"/>
        </w:rPr>
      </w:lvl>
    </w:lvlOverride>
  </w:num>
  <w:num w:numId="17">
    <w:abstractNumId w:val="22"/>
  </w:num>
  <w:num w:numId="18">
    <w:abstractNumId w:val="23"/>
  </w:num>
  <w:num w:numId="19">
    <w:abstractNumId w:val="23"/>
  </w:num>
  <w:num w:numId="20">
    <w:abstractNumId w:val="30"/>
  </w:num>
  <w:num w:numId="21">
    <w:abstractNumId w:val="30"/>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num>
  <w:num w:numId="27">
    <w:abstractNumId w:val="1"/>
  </w:num>
  <w:num w:numId="28">
    <w:abstractNumId w:val="32"/>
  </w:num>
  <w:num w:numId="29">
    <w:abstractNumId w:val="2"/>
  </w:num>
  <w:num w:numId="30">
    <w:abstractNumId w:val="14"/>
  </w:num>
  <w:num w:numId="31">
    <w:abstractNumId w:val="5"/>
  </w:num>
  <w:num w:numId="32">
    <w:abstractNumId w:val="11"/>
  </w:num>
  <w:num w:numId="33">
    <w:abstractNumId w:val="24"/>
  </w:num>
  <w:num w:numId="34">
    <w:abstractNumId w:val="6"/>
  </w:num>
  <w:num w:numId="35">
    <w:abstractNumId w:val="20"/>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7"/>
  </w:num>
  <w:num w:numId="39">
    <w:abstractNumId w:val="17"/>
  </w:num>
  <w:num w:numId="40">
    <w:abstractNumId w:val="9"/>
  </w:num>
  <w:num w:numId="41">
    <w:abstractNumId w:val="28"/>
  </w:num>
  <w:num w:numId="42">
    <w:abstractNumId w:val="31"/>
  </w:num>
  <w:num w:numId="43">
    <w:abstractNumId w:val="21"/>
  </w:num>
  <w:num w:numId="44">
    <w:abstractNumId w:val="8"/>
  </w:num>
  <w:num w:numId="45">
    <w:abstractNumId w:val="26"/>
  </w:num>
  <w:num w:numId="46">
    <w:abstractNumId w:val="4"/>
  </w:num>
  <w:num w:numId="47">
    <w:abstractNumId w:val="3"/>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A9F"/>
    <w:rsid w:val="0000565D"/>
    <w:rsid w:val="00006782"/>
    <w:rsid w:val="00016372"/>
    <w:rsid w:val="000213BE"/>
    <w:rsid w:val="00027197"/>
    <w:rsid w:val="00027253"/>
    <w:rsid w:val="000304E6"/>
    <w:rsid w:val="000445F3"/>
    <w:rsid w:val="00047257"/>
    <w:rsid w:val="0004755B"/>
    <w:rsid w:val="00052EDB"/>
    <w:rsid w:val="00057045"/>
    <w:rsid w:val="00057383"/>
    <w:rsid w:val="00064CD1"/>
    <w:rsid w:val="00076707"/>
    <w:rsid w:val="00090590"/>
    <w:rsid w:val="000D51F4"/>
    <w:rsid w:val="000E4040"/>
    <w:rsid w:val="000E4B8D"/>
    <w:rsid w:val="000F0759"/>
    <w:rsid w:val="000F124C"/>
    <w:rsid w:val="000F1654"/>
    <w:rsid w:val="000F3CB4"/>
    <w:rsid w:val="000F58CC"/>
    <w:rsid w:val="001110C6"/>
    <w:rsid w:val="00122036"/>
    <w:rsid w:val="00123CED"/>
    <w:rsid w:val="00134741"/>
    <w:rsid w:val="001401CD"/>
    <w:rsid w:val="00146F44"/>
    <w:rsid w:val="00147A7F"/>
    <w:rsid w:val="0015014C"/>
    <w:rsid w:val="00152571"/>
    <w:rsid w:val="00180404"/>
    <w:rsid w:val="00185430"/>
    <w:rsid w:val="0018608C"/>
    <w:rsid w:val="00187961"/>
    <w:rsid w:val="001916EF"/>
    <w:rsid w:val="0019230A"/>
    <w:rsid w:val="0019301B"/>
    <w:rsid w:val="00193340"/>
    <w:rsid w:val="001A007E"/>
    <w:rsid w:val="001B3C5D"/>
    <w:rsid w:val="001B50AA"/>
    <w:rsid w:val="001C28E7"/>
    <w:rsid w:val="001C4FA4"/>
    <w:rsid w:val="001C5B27"/>
    <w:rsid w:val="001C6657"/>
    <w:rsid w:val="001D2D61"/>
    <w:rsid w:val="001E0EE0"/>
    <w:rsid w:val="001E1DA0"/>
    <w:rsid w:val="001E3E64"/>
    <w:rsid w:val="001E5E17"/>
    <w:rsid w:val="001F0BDF"/>
    <w:rsid w:val="001F646A"/>
    <w:rsid w:val="00203AC4"/>
    <w:rsid w:val="002127F0"/>
    <w:rsid w:val="00234042"/>
    <w:rsid w:val="00241586"/>
    <w:rsid w:val="002461B9"/>
    <w:rsid w:val="002548D6"/>
    <w:rsid w:val="00260162"/>
    <w:rsid w:val="00265396"/>
    <w:rsid w:val="002669B6"/>
    <w:rsid w:val="0027370A"/>
    <w:rsid w:val="00273C3E"/>
    <w:rsid w:val="002A6297"/>
    <w:rsid w:val="002A629E"/>
    <w:rsid w:val="002D31B5"/>
    <w:rsid w:val="002E01A4"/>
    <w:rsid w:val="002E4872"/>
    <w:rsid w:val="002F07DF"/>
    <w:rsid w:val="00305691"/>
    <w:rsid w:val="00316537"/>
    <w:rsid w:val="003169D0"/>
    <w:rsid w:val="003223C8"/>
    <w:rsid w:val="0033152D"/>
    <w:rsid w:val="00333A24"/>
    <w:rsid w:val="00341C9B"/>
    <w:rsid w:val="003441E5"/>
    <w:rsid w:val="0036351B"/>
    <w:rsid w:val="00370A4D"/>
    <w:rsid w:val="00387413"/>
    <w:rsid w:val="003A25A3"/>
    <w:rsid w:val="003A3164"/>
    <w:rsid w:val="003A4E6C"/>
    <w:rsid w:val="003A660A"/>
    <w:rsid w:val="003B1499"/>
    <w:rsid w:val="003B1D43"/>
    <w:rsid w:val="003B295D"/>
    <w:rsid w:val="003C0288"/>
    <w:rsid w:val="003E64D8"/>
    <w:rsid w:val="003E6503"/>
    <w:rsid w:val="003E76C5"/>
    <w:rsid w:val="003F032A"/>
    <w:rsid w:val="003F1156"/>
    <w:rsid w:val="003F2118"/>
    <w:rsid w:val="003F35CC"/>
    <w:rsid w:val="003F6199"/>
    <w:rsid w:val="00400F57"/>
    <w:rsid w:val="0041059F"/>
    <w:rsid w:val="00411BF3"/>
    <w:rsid w:val="00415805"/>
    <w:rsid w:val="004335DC"/>
    <w:rsid w:val="00435F31"/>
    <w:rsid w:val="00447E1F"/>
    <w:rsid w:val="004552EA"/>
    <w:rsid w:val="00457A81"/>
    <w:rsid w:val="004640DB"/>
    <w:rsid w:val="004664FF"/>
    <w:rsid w:val="00472C7E"/>
    <w:rsid w:val="00472CA7"/>
    <w:rsid w:val="00473DA7"/>
    <w:rsid w:val="00475830"/>
    <w:rsid w:val="00477BDB"/>
    <w:rsid w:val="004829CB"/>
    <w:rsid w:val="00491B26"/>
    <w:rsid w:val="0049749C"/>
    <w:rsid w:val="004A01EB"/>
    <w:rsid w:val="004A4193"/>
    <w:rsid w:val="004A55CC"/>
    <w:rsid w:val="004A791B"/>
    <w:rsid w:val="004B34E2"/>
    <w:rsid w:val="004B7462"/>
    <w:rsid w:val="004C055B"/>
    <w:rsid w:val="004C3886"/>
    <w:rsid w:val="004C4226"/>
    <w:rsid w:val="004E059B"/>
    <w:rsid w:val="004E08B5"/>
    <w:rsid w:val="004E1FEE"/>
    <w:rsid w:val="004F2201"/>
    <w:rsid w:val="004F43E8"/>
    <w:rsid w:val="004F5BC3"/>
    <w:rsid w:val="00505C16"/>
    <w:rsid w:val="005107EA"/>
    <w:rsid w:val="00511400"/>
    <w:rsid w:val="00511CBF"/>
    <w:rsid w:val="00532C67"/>
    <w:rsid w:val="00542267"/>
    <w:rsid w:val="005455CD"/>
    <w:rsid w:val="00553427"/>
    <w:rsid w:val="00556F2B"/>
    <w:rsid w:val="00562E39"/>
    <w:rsid w:val="00567100"/>
    <w:rsid w:val="005715C9"/>
    <w:rsid w:val="00573D05"/>
    <w:rsid w:val="00580EFF"/>
    <w:rsid w:val="005820C9"/>
    <w:rsid w:val="005855FF"/>
    <w:rsid w:val="00585A9F"/>
    <w:rsid w:val="00585FF3"/>
    <w:rsid w:val="00592615"/>
    <w:rsid w:val="00593975"/>
    <w:rsid w:val="005A673E"/>
    <w:rsid w:val="005B788E"/>
    <w:rsid w:val="005C2EBF"/>
    <w:rsid w:val="005C685B"/>
    <w:rsid w:val="005D3EA4"/>
    <w:rsid w:val="005E187E"/>
    <w:rsid w:val="005F2615"/>
    <w:rsid w:val="005F6A18"/>
    <w:rsid w:val="00602BD8"/>
    <w:rsid w:val="00613698"/>
    <w:rsid w:val="00622BE2"/>
    <w:rsid w:val="00630319"/>
    <w:rsid w:val="00630CCA"/>
    <w:rsid w:val="0063386E"/>
    <w:rsid w:val="00642789"/>
    <w:rsid w:val="00654E49"/>
    <w:rsid w:val="006578D7"/>
    <w:rsid w:val="006665F0"/>
    <w:rsid w:val="00675256"/>
    <w:rsid w:val="00677134"/>
    <w:rsid w:val="00682388"/>
    <w:rsid w:val="0068652B"/>
    <w:rsid w:val="0069137B"/>
    <w:rsid w:val="006922F3"/>
    <w:rsid w:val="006A4CE1"/>
    <w:rsid w:val="006C0690"/>
    <w:rsid w:val="006C7C58"/>
    <w:rsid w:val="006D153D"/>
    <w:rsid w:val="006D4B09"/>
    <w:rsid w:val="006E6427"/>
    <w:rsid w:val="00706AFC"/>
    <w:rsid w:val="00706B41"/>
    <w:rsid w:val="00706E56"/>
    <w:rsid w:val="007144A2"/>
    <w:rsid w:val="00723566"/>
    <w:rsid w:val="00747825"/>
    <w:rsid w:val="007506AE"/>
    <w:rsid w:val="00753E88"/>
    <w:rsid w:val="007571FD"/>
    <w:rsid w:val="00773872"/>
    <w:rsid w:val="0077682D"/>
    <w:rsid w:val="00776FE1"/>
    <w:rsid w:val="00780F99"/>
    <w:rsid w:val="00790753"/>
    <w:rsid w:val="00790D5C"/>
    <w:rsid w:val="00795625"/>
    <w:rsid w:val="00795882"/>
    <w:rsid w:val="00796B08"/>
    <w:rsid w:val="007A3E1A"/>
    <w:rsid w:val="007B4874"/>
    <w:rsid w:val="007C29DD"/>
    <w:rsid w:val="007C7843"/>
    <w:rsid w:val="007D00D5"/>
    <w:rsid w:val="007D2B1A"/>
    <w:rsid w:val="007D3F16"/>
    <w:rsid w:val="007F0737"/>
    <w:rsid w:val="008015CF"/>
    <w:rsid w:val="00807507"/>
    <w:rsid w:val="0081463F"/>
    <w:rsid w:val="0082128E"/>
    <w:rsid w:val="00830039"/>
    <w:rsid w:val="008338A0"/>
    <w:rsid w:val="00842D1C"/>
    <w:rsid w:val="00846990"/>
    <w:rsid w:val="00854E3E"/>
    <w:rsid w:val="0086653B"/>
    <w:rsid w:val="00874386"/>
    <w:rsid w:val="00874C5B"/>
    <w:rsid w:val="008777A3"/>
    <w:rsid w:val="008805B6"/>
    <w:rsid w:val="0088571C"/>
    <w:rsid w:val="00886444"/>
    <w:rsid w:val="00893E08"/>
    <w:rsid w:val="008A19E7"/>
    <w:rsid w:val="008B0B3E"/>
    <w:rsid w:val="008B12E6"/>
    <w:rsid w:val="008B3FE9"/>
    <w:rsid w:val="008D3F37"/>
    <w:rsid w:val="008D7013"/>
    <w:rsid w:val="008E1CC4"/>
    <w:rsid w:val="008E67F2"/>
    <w:rsid w:val="008F7E90"/>
    <w:rsid w:val="00906197"/>
    <w:rsid w:val="009154D9"/>
    <w:rsid w:val="00920DA2"/>
    <w:rsid w:val="009213ED"/>
    <w:rsid w:val="00927102"/>
    <w:rsid w:val="00933F14"/>
    <w:rsid w:val="00946E98"/>
    <w:rsid w:val="009567C3"/>
    <w:rsid w:val="0096509C"/>
    <w:rsid w:val="00974B1E"/>
    <w:rsid w:val="00974EAA"/>
    <w:rsid w:val="00994D0E"/>
    <w:rsid w:val="0099520E"/>
    <w:rsid w:val="009976C1"/>
    <w:rsid w:val="009A227B"/>
    <w:rsid w:val="009A330D"/>
    <w:rsid w:val="009A5D04"/>
    <w:rsid w:val="009B4899"/>
    <w:rsid w:val="009C61C5"/>
    <w:rsid w:val="009C6D88"/>
    <w:rsid w:val="009E4C71"/>
    <w:rsid w:val="009F4B9D"/>
    <w:rsid w:val="00A0194D"/>
    <w:rsid w:val="00A022BC"/>
    <w:rsid w:val="00A027CC"/>
    <w:rsid w:val="00A109E3"/>
    <w:rsid w:val="00A13B92"/>
    <w:rsid w:val="00A22541"/>
    <w:rsid w:val="00A31910"/>
    <w:rsid w:val="00A35DD3"/>
    <w:rsid w:val="00A4447D"/>
    <w:rsid w:val="00A57667"/>
    <w:rsid w:val="00A615CC"/>
    <w:rsid w:val="00A663D3"/>
    <w:rsid w:val="00A76F46"/>
    <w:rsid w:val="00A85E26"/>
    <w:rsid w:val="00A91231"/>
    <w:rsid w:val="00A96349"/>
    <w:rsid w:val="00AA151E"/>
    <w:rsid w:val="00AA611E"/>
    <w:rsid w:val="00AA686C"/>
    <w:rsid w:val="00AD032B"/>
    <w:rsid w:val="00AD3403"/>
    <w:rsid w:val="00AD40D0"/>
    <w:rsid w:val="00AD528B"/>
    <w:rsid w:val="00AD60D5"/>
    <w:rsid w:val="00AE2840"/>
    <w:rsid w:val="00AE6D68"/>
    <w:rsid w:val="00B010DF"/>
    <w:rsid w:val="00B02AEB"/>
    <w:rsid w:val="00B04464"/>
    <w:rsid w:val="00B14DFB"/>
    <w:rsid w:val="00B31595"/>
    <w:rsid w:val="00B4140A"/>
    <w:rsid w:val="00B418A0"/>
    <w:rsid w:val="00B430B0"/>
    <w:rsid w:val="00B51314"/>
    <w:rsid w:val="00B53CCD"/>
    <w:rsid w:val="00B55C1E"/>
    <w:rsid w:val="00B6196A"/>
    <w:rsid w:val="00B6226E"/>
    <w:rsid w:val="00B6545C"/>
    <w:rsid w:val="00B767AB"/>
    <w:rsid w:val="00B87233"/>
    <w:rsid w:val="00BA5C36"/>
    <w:rsid w:val="00BB496C"/>
    <w:rsid w:val="00BC35C7"/>
    <w:rsid w:val="00BD67AE"/>
    <w:rsid w:val="00BD799A"/>
    <w:rsid w:val="00C00823"/>
    <w:rsid w:val="00C02722"/>
    <w:rsid w:val="00C0370E"/>
    <w:rsid w:val="00C12182"/>
    <w:rsid w:val="00C12C2E"/>
    <w:rsid w:val="00C2652A"/>
    <w:rsid w:val="00C312C5"/>
    <w:rsid w:val="00C36689"/>
    <w:rsid w:val="00C420D0"/>
    <w:rsid w:val="00C42785"/>
    <w:rsid w:val="00C613FC"/>
    <w:rsid w:val="00C6649C"/>
    <w:rsid w:val="00C74FB3"/>
    <w:rsid w:val="00C860BB"/>
    <w:rsid w:val="00C97398"/>
    <w:rsid w:val="00CB3F82"/>
    <w:rsid w:val="00CB63EB"/>
    <w:rsid w:val="00CD4B34"/>
    <w:rsid w:val="00CE44FC"/>
    <w:rsid w:val="00CF1B4E"/>
    <w:rsid w:val="00CF339F"/>
    <w:rsid w:val="00CF3D1C"/>
    <w:rsid w:val="00CF5758"/>
    <w:rsid w:val="00CF5B31"/>
    <w:rsid w:val="00D17C22"/>
    <w:rsid w:val="00D235F3"/>
    <w:rsid w:val="00D30EA0"/>
    <w:rsid w:val="00D33196"/>
    <w:rsid w:val="00D33553"/>
    <w:rsid w:val="00D34878"/>
    <w:rsid w:val="00D3636E"/>
    <w:rsid w:val="00D447C8"/>
    <w:rsid w:val="00D52378"/>
    <w:rsid w:val="00D530C1"/>
    <w:rsid w:val="00D5391E"/>
    <w:rsid w:val="00D53DAA"/>
    <w:rsid w:val="00D575BF"/>
    <w:rsid w:val="00D5784F"/>
    <w:rsid w:val="00D62BCE"/>
    <w:rsid w:val="00D63AD8"/>
    <w:rsid w:val="00D7106C"/>
    <w:rsid w:val="00D76C0E"/>
    <w:rsid w:val="00D81628"/>
    <w:rsid w:val="00DB01BB"/>
    <w:rsid w:val="00DC6AB1"/>
    <w:rsid w:val="00DC6F37"/>
    <w:rsid w:val="00DD174C"/>
    <w:rsid w:val="00DD3BBB"/>
    <w:rsid w:val="00DD3D3D"/>
    <w:rsid w:val="00DD7C1C"/>
    <w:rsid w:val="00DF2349"/>
    <w:rsid w:val="00DF287A"/>
    <w:rsid w:val="00E05115"/>
    <w:rsid w:val="00E075DD"/>
    <w:rsid w:val="00E152BE"/>
    <w:rsid w:val="00E20F02"/>
    <w:rsid w:val="00E30643"/>
    <w:rsid w:val="00E42002"/>
    <w:rsid w:val="00E45E4C"/>
    <w:rsid w:val="00E4657B"/>
    <w:rsid w:val="00E46A10"/>
    <w:rsid w:val="00E514F0"/>
    <w:rsid w:val="00E54047"/>
    <w:rsid w:val="00E747F6"/>
    <w:rsid w:val="00E81ECD"/>
    <w:rsid w:val="00E8505A"/>
    <w:rsid w:val="00E87271"/>
    <w:rsid w:val="00E879CE"/>
    <w:rsid w:val="00EA26DE"/>
    <w:rsid w:val="00EA2F40"/>
    <w:rsid w:val="00EB52A4"/>
    <w:rsid w:val="00EC1696"/>
    <w:rsid w:val="00EE1CFF"/>
    <w:rsid w:val="00EE40D0"/>
    <w:rsid w:val="00EE4583"/>
    <w:rsid w:val="00EE68AC"/>
    <w:rsid w:val="00EE6CDA"/>
    <w:rsid w:val="00EF47BE"/>
    <w:rsid w:val="00F06831"/>
    <w:rsid w:val="00F12A72"/>
    <w:rsid w:val="00F16C10"/>
    <w:rsid w:val="00F42AA5"/>
    <w:rsid w:val="00F4316F"/>
    <w:rsid w:val="00F43B24"/>
    <w:rsid w:val="00F45548"/>
    <w:rsid w:val="00F52552"/>
    <w:rsid w:val="00F542B3"/>
    <w:rsid w:val="00F61950"/>
    <w:rsid w:val="00F627A6"/>
    <w:rsid w:val="00F769F0"/>
    <w:rsid w:val="00F77AEE"/>
    <w:rsid w:val="00F860D4"/>
    <w:rsid w:val="00F91DBB"/>
    <w:rsid w:val="00F95765"/>
    <w:rsid w:val="00FB4107"/>
    <w:rsid w:val="00FB4FCE"/>
    <w:rsid w:val="00FB7DDF"/>
    <w:rsid w:val="00FC12A6"/>
    <w:rsid w:val="00FF61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D5391E"/>
    <w:pPr>
      <w:spacing w:before="100" w:beforeAutospacing="1" w:after="100" w:afterAutospacing="1"/>
      <w:jc w:val="both"/>
    </w:pPr>
    <w:rPr>
      <w:rFonts w:ascii="Calibri" w:eastAsiaTheme="minorEastAsia" w:hAnsi="Calibri"/>
      <w:lang w:eastAsia="en-AU"/>
    </w:rPr>
  </w:style>
  <w:style w:type="paragraph" w:styleId="Heading1">
    <w:name w:val="heading 1"/>
    <w:next w:val="Normal"/>
    <w:link w:val="Heading1Char"/>
    <w:uiPriority w:val="9"/>
    <w:qFormat/>
    <w:rsid w:val="003E76C5"/>
    <w:pPr>
      <w:keepNext/>
      <w:keepLines/>
      <w:pageBreakBefore/>
      <w:numPr>
        <w:numId w:val="16"/>
      </w:numPr>
      <w:spacing w:before="100" w:beforeAutospacing="1" w:after="240"/>
      <w:outlineLvl w:val="0"/>
    </w:pPr>
    <w:rPr>
      <w:rFonts w:ascii="Calibri" w:eastAsiaTheme="majorEastAsia" w:hAnsi="Calibri" w:cstheme="majorBidi"/>
      <w:bCs/>
      <w:sz w:val="48"/>
      <w:szCs w:val="28"/>
    </w:rPr>
  </w:style>
  <w:style w:type="paragraph" w:styleId="Heading2">
    <w:name w:val="heading 2"/>
    <w:next w:val="Normal"/>
    <w:link w:val="Heading2Char"/>
    <w:qFormat/>
    <w:rsid w:val="003E76C5"/>
    <w:pPr>
      <w:keepNext/>
      <w:numPr>
        <w:ilvl w:val="1"/>
        <w:numId w:val="16"/>
      </w:numPr>
      <w:spacing w:before="100" w:beforeAutospacing="1" w:after="240"/>
      <w:outlineLvl w:val="1"/>
    </w:pPr>
    <w:rPr>
      <w:rFonts w:ascii="Calibri" w:eastAsia="Times New Roman" w:hAnsi="Calibri" w:cs="Times New Roman"/>
      <w:bCs/>
      <w:iCs/>
      <w:sz w:val="32"/>
      <w:szCs w:val="24"/>
    </w:rPr>
  </w:style>
  <w:style w:type="paragraph" w:styleId="Heading3">
    <w:name w:val="heading 3"/>
    <w:next w:val="Normal"/>
    <w:link w:val="Heading3Char"/>
    <w:qFormat/>
    <w:rsid w:val="003E76C5"/>
    <w:pPr>
      <w:keepNext/>
      <w:numPr>
        <w:ilvl w:val="2"/>
        <w:numId w:val="16"/>
      </w:numPr>
      <w:spacing w:before="100" w:beforeAutospacing="1" w:after="240"/>
      <w:outlineLvl w:val="2"/>
    </w:pPr>
    <w:rPr>
      <w:rFonts w:ascii="Calibri" w:eastAsia="Times New Roman" w:hAnsi="Calibri" w:cs="Times New Roman"/>
      <w:bCs/>
      <w:iCs/>
      <w:sz w:val="28"/>
      <w:szCs w:val="24"/>
    </w:rPr>
  </w:style>
  <w:style w:type="paragraph" w:styleId="Heading4">
    <w:name w:val="heading 4"/>
    <w:next w:val="Normal"/>
    <w:link w:val="Heading4Char"/>
    <w:uiPriority w:val="9"/>
    <w:unhideWhenUsed/>
    <w:qFormat/>
    <w:rsid w:val="003E76C5"/>
    <w:pPr>
      <w:keepNext/>
      <w:keepLines/>
      <w:spacing w:before="100" w:beforeAutospacing="1" w:after="240"/>
      <w:outlineLvl w:val="3"/>
    </w:pPr>
    <w:rPr>
      <w:rFonts w:ascii="Calibri" w:eastAsiaTheme="majorEastAsia" w:hAnsi="Calibri" w:cstheme="majorBidi"/>
      <w:bCs/>
      <w:i/>
      <w:iCs/>
      <w:sz w:val="24"/>
    </w:rPr>
  </w:style>
  <w:style w:type="paragraph" w:styleId="Heading5">
    <w:name w:val="heading 5"/>
    <w:next w:val="Normal"/>
    <w:link w:val="Heading5Char"/>
    <w:uiPriority w:val="9"/>
    <w:unhideWhenUsed/>
    <w:qFormat/>
    <w:rsid w:val="003E76C5"/>
    <w:pPr>
      <w:keepNext/>
      <w:keepLines/>
      <w:outlineLvl w:val="4"/>
    </w:pPr>
    <w:rPr>
      <w:rFonts w:ascii="Calibri" w:eastAsiaTheme="majorEastAsia" w:hAnsi="Calibri" w:cstheme="majorBidi"/>
      <w:sz w:val="23"/>
      <w:u w:val="single"/>
    </w:rPr>
  </w:style>
  <w:style w:type="paragraph" w:styleId="Heading6">
    <w:name w:val="heading 6"/>
    <w:next w:val="Normal"/>
    <w:link w:val="Heading6Char"/>
    <w:uiPriority w:val="9"/>
    <w:unhideWhenUsed/>
    <w:qFormat/>
    <w:rsid w:val="003E76C5"/>
    <w:pPr>
      <w:keepNext/>
      <w:keepLines/>
      <w:spacing w:before="200"/>
      <w:outlineLvl w:val="5"/>
    </w:pPr>
    <w:rPr>
      <w:rFonts w:ascii="Calibri" w:eastAsiaTheme="majorEastAsia" w:hAnsi="Calibri" w:cstheme="majorBidi"/>
      <w:i/>
      <w:iCs/>
      <w:sz w:val="23"/>
    </w:rPr>
  </w:style>
  <w:style w:type="paragraph" w:styleId="Heading7">
    <w:name w:val="heading 7"/>
    <w:next w:val="Normal"/>
    <w:link w:val="Heading7Char"/>
    <w:uiPriority w:val="9"/>
    <w:semiHidden/>
    <w:unhideWhenUsed/>
    <w:rsid w:val="00EC1696"/>
    <w:pPr>
      <w:keepNext/>
      <w:keepLines/>
      <w:spacing w:before="200"/>
      <w:outlineLvl w:val="6"/>
    </w:pPr>
    <w:rPr>
      <w:rFonts w:asciiTheme="majorHAnsi" w:eastAsiaTheme="majorEastAsia" w:hAnsiTheme="majorHAnsi" w:cstheme="majorBidi"/>
      <w:i/>
      <w:iCs/>
      <w:color w:val="404040" w:themeColor="text1" w:themeTint="BF"/>
      <w:sz w:val="23"/>
      <w:lang w:eastAsia="en-AU"/>
    </w:rPr>
  </w:style>
  <w:style w:type="paragraph" w:styleId="Heading8">
    <w:name w:val="heading 8"/>
    <w:basedOn w:val="Normal"/>
    <w:next w:val="Normal"/>
    <w:link w:val="Heading8Char"/>
    <w:uiPriority w:val="9"/>
    <w:semiHidden/>
    <w:unhideWhenUsed/>
    <w:qFormat/>
    <w:rsid w:val="00EC169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16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6C5"/>
    <w:rPr>
      <w:rFonts w:ascii="Calibri" w:eastAsiaTheme="majorEastAsia" w:hAnsi="Calibri" w:cstheme="majorBidi"/>
      <w:bCs/>
      <w:sz w:val="48"/>
      <w:szCs w:val="28"/>
    </w:rPr>
  </w:style>
  <w:style w:type="character" w:customStyle="1" w:styleId="Heading2Char">
    <w:name w:val="Heading 2 Char"/>
    <w:basedOn w:val="DefaultParagraphFont"/>
    <w:link w:val="Heading2"/>
    <w:rsid w:val="003E76C5"/>
    <w:rPr>
      <w:rFonts w:ascii="Calibri" w:eastAsia="Times New Roman" w:hAnsi="Calibri" w:cs="Times New Roman"/>
      <w:bCs/>
      <w:iCs/>
      <w:sz w:val="32"/>
      <w:szCs w:val="24"/>
    </w:rPr>
  </w:style>
  <w:style w:type="character" w:customStyle="1" w:styleId="Heading3Char">
    <w:name w:val="Heading 3 Char"/>
    <w:basedOn w:val="DefaultParagraphFont"/>
    <w:link w:val="Heading3"/>
    <w:rsid w:val="003E76C5"/>
    <w:rPr>
      <w:rFonts w:ascii="Calibri" w:eastAsia="Times New Roman" w:hAnsi="Calibri" w:cs="Times New Roman"/>
      <w:bCs/>
      <w:iCs/>
      <w:sz w:val="28"/>
      <w:szCs w:val="24"/>
    </w:rPr>
  </w:style>
  <w:style w:type="character" w:customStyle="1" w:styleId="Heading4Char">
    <w:name w:val="Heading 4 Char"/>
    <w:basedOn w:val="DefaultParagraphFont"/>
    <w:link w:val="Heading4"/>
    <w:uiPriority w:val="9"/>
    <w:rsid w:val="003E76C5"/>
    <w:rPr>
      <w:rFonts w:ascii="Calibri" w:eastAsiaTheme="majorEastAsia" w:hAnsi="Calibri" w:cstheme="majorBidi"/>
      <w:bCs/>
      <w:i/>
      <w:iCs/>
      <w:sz w:val="24"/>
    </w:rPr>
  </w:style>
  <w:style w:type="character" w:customStyle="1" w:styleId="Heading5Char">
    <w:name w:val="Heading 5 Char"/>
    <w:basedOn w:val="DefaultParagraphFont"/>
    <w:link w:val="Heading5"/>
    <w:uiPriority w:val="9"/>
    <w:rsid w:val="003E76C5"/>
    <w:rPr>
      <w:rFonts w:ascii="Calibri" w:eastAsiaTheme="majorEastAsia" w:hAnsi="Calibri" w:cstheme="majorBidi"/>
      <w:sz w:val="23"/>
      <w:u w:val="single"/>
    </w:rPr>
  </w:style>
  <w:style w:type="character" w:customStyle="1" w:styleId="Heading6Char">
    <w:name w:val="Heading 6 Char"/>
    <w:basedOn w:val="DefaultParagraphFont"/>
    <w:link w:val="Heading6"/>
    <w:uiPriority w:val="9"/>
    <w:rsid w:val="003E76C5"/>
    <w:rPr>
      <w:rFonts w:ascii="Calibri" w:eastAsiaTheme="majorEastAsia" w:hAnsi="Calibri" w:cstheme="majorBidi"/>
      <w:i/>
      <w:iCs/>
      <w:sz w:val="23"/>
    </w:rPr>
  </w:style>
  <w:style w:type="paragraph" w:customStyle="1" w:styleId="Normal0">
    <w:name w:val="[Normal]"/>
    <w:uiPriority w:val="99"/>
    <w:rsid w:val="008F7E90"/>
    <w:pPr>
      <w:widowControl w:val="0"/>
      <w:autoSpaceDE w:val="0"/>
      <w:autoSpaceDN w:val="0"/>
      <w:adjustRightInd w:val="0"/>
    </w:pPr>
    <w:rPr>
      <w:rFonts w:ascii="Arial" w:hAnsi="Arial" w:cs="Arial"/>
      <w:sz w:val="24"/>
      <w:szCs w:val="24"/>
    </w:rPr>
  </w:style>
  <w:style w:type="character" w:customStyle="1" w:styleId="DHSText10ptChar">
    <w:name w:val="DHS Text 10pt Char"/>
    <w:uiPriority w:val="99"/>
    <w:rsid w:val="008F7E90"/>
    <w:rPr>
      <w:rFonts w:ascii="Verdana" w:hAnsi="Verdana"/>
      <w:lang w:val="en-AU" w:eastAsia="en-US"/>
    </w:rPr>
  </w:style>
  <w:style w:type="character" w:customStyle="1" w:styleId="notranslate">
    <w:name w:val="notranslate"/>
    <w:basedOn w:val="DefaultParagraphFont"/>
    <w:rsid w:val="008F7E90"/>
  </w:style>
  <w:style w:type="paragraph" w:customStyle="1" w:styleId="LineLast">
    <w:name w:val="Line Last"/>
    <w:basedOn w:val="Normal"/>
    <w:rsid w:val="003E76C5"/>
    <w:pPr>
      <w:tabs>
        <w:tab w:val="left" w:leader="underscore" w:pos="8640"/>
      </w:tabs>
      <w:spacing w:before="60" w:after="360"/>
    </w:pPr>
    <w:rPr>
      <w:rFonts w:ascii="Tahoma" w:eastAsia="Times New Roman" w:hAnsi="Tahoma" w:cs="Times New Roman"/>
      <w:sz w:val="20"/>
      <w:szCs w:val="24"/>
      <w:lang w:eastAsia="en-US"/>
    </w:rPr>
  </w:style>
  <w:style w:type="paragraph" w:customStyle="1" w:styleId="Line">
    <w:name w:val="Line"/>
    <w:basedOn w:val="Normal"/>
    <w:rsid w:val="003E76C5"/>
    <w:pPr>
      <w:tabs>
        <w:tab w:val="left" w:leader="underscore" w:pos="8640"/>
      </w:tabs>
      <w:spacing w:before="60"/>
    </w:pPr>
    <w:rPr>
      <w:rFonts w:ascii="Tahoma" w:eastAsia="Times New Roman" w:hAnsi="Tahoma" w:cs="Times New Roman"/>
      <w:sz w:val="20"/>
      <w:szCs w:val="24"/>
      <w:lang w:eastAsia="en-US"/>
    </w:rPr>
  </w:style>
  <w:style w:type="paragraph" w:customStyle="1" w:styleId="Thankyou">
    <w:name w:val="Thankyou"/>
    <w:basedOn w:val="Normal"/>
    <w:rsid w:val="003E76C5"/>
    <w:pPr>
      <w:keepNext/>
      <w:jc w:val="center"/>
    </w:pPr>
    <w:rPr>
      <w:rFonts w:ascii="Tahoma" w:eastAsia="Times New Roman" w:hAnsi="Tahoma" w:cs="Times New Roman"/>
      <w:sz w:val="20"/>
      <w:szCs w:val="24"/>
      <w:lang w:eastAsia="en-US"/>
    </w:rPr>
  </w:style>
  <w:style w:type="character" w:customStyle="1" w:styleId="maintitle">
    <w:name w:val="maintitle"/>
    <w:basedOn w:val="DefaultParagraphFont"/>
    <w:rsid w:val="008F7E90"/>
  </w:style>
  <w:style w:type="paragraph" w:customStyle="1" w:styleId="Tablecell">
    <w:name w:val="Table cell"/>
    <w:rsid w:val="003E76C5"/>
    <w:pPr>
      <w:keepLines/>
      <w:suppressAutoHyphens/>
      <w:spacing w:before="40" w:after="40"/>
    </w:pPr>
    <w:rPr>
      <w:rFonts w:ascii="Arial" w:eastAsia="Times New Roman" w:hAnsi="Arial" w:cs="Arial"/>
      <w:sz w:val="16"/>
      <w:szCs w:val="20"/>
    </w:rPr>
  </w:style>
  <w:style w:type="paragraph" w:styleId="Header">
    <w:name w:val="header"/>
    <w:link w:val="HeaderChar"/>
    <w:uiPriority w:val="99"/>
    <w:unhideWhenUsed/>
    <w:rsid w:val="003E76C5"/>
    <w:pPr>
      <w:tabs>
        <w:tab w:val="center" w:pos="4513"/>
        <w:tab w:val="right" w:pos="9026"/>
      </w:tabs>
      <w:spacing w:after="240"/>
    </w:pPr>
    <w:rPr>
      <w:rFonts w:ascii="Calibri" w:hAnsi="Calibri"/>
      <w:sz w:val="23"/>
    </w:rPr>
  </w:style>
  <w:style w:type="character" w:customStyle="1" w:styleId="HeaderChar">
    <w:name w:val="Header Char"/>
    <w:basedOn w:val="DefaultParagraphFont"/>
    <w:link w:val="Header"/>
    <w:uiPriority w:val="99"/>
    <w:rsid w:val="003E76C5"/>
    <w:rPr>
      <w:rFonts w:ascii="Calibri" w:hAnsi="Calibri"/>
      <w:sz w:val="23"/>
    </w:rPr>
  </w:style>
  <w:style w:type="paragraph" w:styleId="TOC1">
    <w:name w:val="toc 1"/>
    <w:basedOn w:val="Normal"/>
    <w:next w:val="Normal"/>
    <w:autoRedefine/>
    <w:uiPriority w:val="39"/>
    <w:unhideWhenUsed/>
    <w:rsid w:val="004F2201"/>
    <w:pPr>
      <w:tabs>
        <w:tab w:val="left" w:pos="440"/>
        <w:tab w:val="right" w:leader="dot" w:pos="9016"/>
      </w:tabs>
      <w:spacing w:before="120" w:beforeAutospacing="0" w:after="120" w:afterAutospacing="0"/>
    </w:pPr>
  </w:style>
  <w:style w:type="paragraph" w:styleId="TOC2">
    <w:name w:val="toc 2"/>
    <w:basedOn w:val="Normal"/>
    <w:next w:val="Normal"/>
    <w:autoRedefine/>
    <w:uiPriority w:val="39"/>
    <w:unhideWhenUsed/>
    <w:rsid w:val="004F2201"/>
    <w:pPr>
      <w:tabs>
        <w:tab w:val="left" w:pos="880"/>
        <w:tab w:val="right" w:leader="dot" w:pos="9016"/>
      </w:tabs>
      <w:spacing w:before="120" w:beforeAutospacing="0" w:after="120" w:afterAutospacing="0"/>
      <w:ind w:left="232"/>
    </w:pPr>
    <w:rPr>
      <w:noProof/>
    </w:rPr>
  </w:style>
  <w:style w:type="paragraph" w:styleId="TOC3">
    <w:name w:val="toc 3"/>
    <w:basedOn w:val="Normal"/>
    <w:next w:val="Normal"/>
    <w:autoRedefine/>
    <w:uiPriority w:val="39"/>
    <w:unhideWhenUsed/>
    <w:rsid w:val="004F2201"/>
    <w:pPr>
      <w:tabs>
        <w:tab w:val="left" w:pos="1320"/>
        <w:tab w:val="right" w:leader="dot" w:pos="9016"/>
      </w:tabs>
      <w:spacing w:before="120" w:beforeAutospacing="0" w:after="120" w:afterAutospacing="0"/>
      <w:ind w:left="459"/>
    </w:pPr>
    <w:rPr>
      <w:noProof/>
    </w:rPr>
  </w:style>
  <w:style w:type="numbering" w:customStyle="1" w:styleId="Appendices">
    <w:name w:val="Appendices"/>
    <w:uiPriority w:val="99"/>
    <w:rsid w:val="00047257"/>
    <w:pPr>
      <w:numPr>
        <w:numId w:val="17"/>
      </w:numPr>
    </w:pPr>
  </w:style>
  <w:style w:type="paragraph" w:styleId="FootnoteText">
    <w:name w:val="footnote text"/>
    <w:link w:val="FootnoteTextChar"/>
    <w:uiPriority w:val="99"/>
    <w:unhideWhenUsed/>
    <w:rsid w:val="003E76C5"/>
    <w:pPr>
      <w:spacing w:after="120"/>
    </w:pPr>
    <w:rPr>
      <w:rFonts w:ascii="Calibri" w:hAnsi="Calibri"/>
      <w:sz w:val="18"/>
      <w:szCs w:val="20"/>
    </w:rPr>
  </w:style>
  <w:style w:type="character" w:customStyle="1" w:styleId="FootnoteTextChar">
    <w:name w:val="Footnote Text Char"/>
    <w:basedOn w:val="DefaultParagraphFont"/>
    <w:link w:val="FootnoteText"/>
    <w:uiPriority w:val="99"/>
    <w:rsid w:val="003E76C5"/>
    <w:rPr>
      <w:rFonts w:ascii="Calibri" w:hAnsi="Calibri"/>
      <w:sz w:val="18"/>
      <w:szCs w:val="20"/>
    </w:rPr>
  </w:style>
  <w:style w:type="paragraph" w:styleId="CommentText">
    <w:name w:val="annotation text"/>
    <w:basedOn w:val="Normal"/>
    <w:link w:val="CommentTextChar"/>
    <w:uiPriority w:val="99"/>
    <w:unhideWhenUsed/>
    <w:rsid w:val="003E76C5"/>
    <w:rPr>
      <w:rFonts w:eastAsiaTheme="minorHAnsi"/>
      <w:sz w:val="20"/>
      <w:szCs w:val="20"/>
      <w:lang w:eastAsia="en-US"/>
    </w:rPr>
  </w:style>
  <w:style w:type="character" w:customStyle="1" w:styleId="CommentTextChar">
    <w:name w:val="Comment Text Char"/>
    <w:basedOn w:val="DefaultParagraphFont"/>
    <w:link w:val="CommentText"/>
    <w:uiPriority w:val="99"/>
    <w:rsid w:val="003E76C5"/>
    <w:rPr>
      <w:rFonts w:ascii="Calibri" w:hAnsi="Calibri"/>
      <w:sz w:val="20"/>
      <w:szCs w:val="20"/>
    </w:rPr>
  </w:style>
  <w:style w:type="paragraph" w:styleId="Footer">
    <w:name w:val="footer"/>
    <w:basedOn w:val="Normal"/>
    <w:link w:val="FooterChar"/>
    <w:uiPriority w:val="99"/>
    <w:unhideWhenUsed/>
    <w:rsid w:val="003E76C5"/>
    <w:pPr>
      <w:tabs>
        <w:tab w:val="center" w:pos="4513"/>
        <w:tab w:val="right" w:pos="9026"/>
      </w:tabs>
      <w:ind w:left="8505"/>
    </w:pPr>
    <w:rPr>
      <w:rFonts w:eastAsiaTheme="minorHAnsi"/>
      <w:lang w:eastAsia="en-US"/>
    </w:rPr>
  </w:style>
  <w:style w:type="character" w:customStyle="1" w:styleId="FooterChar">
    <w:name w:val="Footer Char"/>
    <w:basedOn w:val="DefaultParagraphFont"/>
    <w:link w:val="Footer"/>
    <w:uiPriority w:val="99"/>
    <w:rsid w:val="003E76C5"/>
    <w:rPr>
      <w:rFonts w:ascii="Calibri" w:hAnsi="Calibri"/>
    </w:rPr>
  </w:style>
  <w:style w:type="paragraph" w:styleId="Caption">
    <w:name w:val="caption"/>
    <w:basedOn w:val="Normal"/>
    <w:next w:val="Normal"/>
    <w:uiPriority w:val="35"/>
    <w:unhideWhenUsed/>
    <w:rsid w:val="003E76C5"/>
    <w:rPr>
      <w:rFonts w:eastAsiaTheme="minorHAnsi"/>
      <w:b/>
      <w:bCs/>
      <w:color w:val="4F81BD" w:themeColor="accent1"/>
      <w:sz w:val="18"/>
      <w:szCs w:val="18"/>
      <w:lang w:eastAsia="en-US"/>
    </w:rPr>
  </w:style>
  <w:style w:type="character" w:styleId="FootnoteReference">
    <w:name w:val="footnote reference"/>
    <w:basedOn w:val="DefaultParagraphFont"/>
    <w:uiPriority w:val="99"/>
    <w:unhideWhenUsed/>
    <w:rsid w:val="008F7E90"/>
    <w:rPr>
      <w:vertAlign w:val="superscript"/>
    </w:rPr>
  </w:style>
  <w:style w:type="character" w:styleId="CommentReference">
    <w:name w:val="annotation reference"/>
    <w:basedOn w:val="DefaultParagraphFont"/>
    <w:uiPriority w:val="99"/>
    <w:semiHidden/>
    <w:unhideWhenUsed/>
    <w:rsid w:val="008F7E90"/>
    <w:rPr>
      <w:sz w:val="16"/>
      <w:szCs w:val="16"/>
    </w:rPr>
  </w:style>
  <w:style w:type="character" w:styleId="EndnoteReference">
    <w:name w:val="endnote reference"/>
    <w:basedOn w:val="DefaultParagraphFont"/>
    <w:uiPriority w:val="99"/>
    <w:semiHidden/>
    <w:unhideWhenUsed/>
    <w:rsid w:val="008F7E90"/>
    <w:rPr>
      <w:vertAlign w:val="superscript"/>
    </w:rPr>
  </w:style>
  <w:style w:type="paragraph" w:styleId="EndnoteText">
    <w:name w:val="endnote text"/>
    <w:basedOn w:val="Normal"/>
    <w:link w:val="EndnoteTextChar"/>
    <w:uiPriority w:val="99"/>
    <w:semiHidden/>
    <w:unhideWhenUsed/>
    <w:rsid w:val="008F7E90"/>
    <w:rPr>
      <w:rFonts w:eastAsiaTheme="minorHAnsi"/>
      <w:sz w:val="20"/>
      <w:szCs w:val="20"/>
      <w:lang w:val="en-GB" w:eastAsia="en-US"/>
    </w:rPr>
  </w:style>
  <w:style w:type="character" w:customStyle="1" w:styleId="EndnoteTextChar">
    <w:name w:val="Endnote Text Char"/>
    <w:basedOn w:val="DefaultParagraphFont"/>
    <w:link w:val="EndnoteText"/>
    <w:uiPriority w:val="99"/>
    <w:semiHidden/>
    <w:rsid w:val="008F7E90"/>
    <w:rPr>
      <w:sz w:val="20"/>
      <w:szCs w:val="20"/>
      <w:lang w:val="en-GB"/>
    </w:rPr>
  </w:style>
  <w:style w:type="paragraph" w:styleId="Title">
    <w:name w:val="Title"/>
    <w:aliases w:val="Submission"/>
    <w:next w:val="Normal"/>
    <w:link w:val="TitleChar"/>
    <w:qFormat/>
    <w:rsid w:val="003E76C5"/>
    <w:pPr>
      <w:spacing w:before="2040" w:after="120"/>
      <w:contextualSpacing/>
      <w:jc w:val="center"/>
    </w:pPr>
    <w:rPr>
      <w:rFonts w:ascii="Calibri" w:eastAsiaTheme="majorEastAsia" w:hAnsi="Calibri" w:cstheme="majorBidi"/>
      <w:b/>
      <w:spacing w:val="5"/>
      <w:kern w:val="28"/>
      <w:sz w:val="52"/>
      <w:szCs w:val="52"/>
    </w:rPr>
  </w:style>
  <w:style w:type="character" w:customStyle="1" w:styleId="TitleChar">
    <w:name w:val="Title Char"/>
    <w:aliases w:val="Submission Char"/>
    <w:basedOn w:val="DefaultParagraphFont"/>
    <w:link w:val="Title"/>
    <w:rsid w:val="003E76C5"/>
    <w:rPr>
      <w:rFonts w:ascii="Calibri" w:eastAsiaTheme="majorEastAsia" w:hAnsi="Calibri" w:cstheme="majorBidi"/>
      <w:b/>
      <w:spacing w:val="5"/>
      <w:kern w:val="28"/>
      <w:sz w:val="52"/>
      <w:szCs w:val="52"/>
    </w:rPr>
  </w:style>
  <w:style w:type="paragraph" w:styleId="BodyText">
    <w:name w:val="Body Text"/>
    <w:basedOn w:val="Normal"/>
    <w:link w:val="BodyTextChar"/>
    <w:rsid w:val="003E76C5"/>
    <w:rPr>
      <w:rFonts w:ascii="Times New Roman" w:eastAsia="Times New Roman" w:hAnsi="Times New Roman" w:cs="Times New Roman"/>
      <w:szCs w:val="24"/>
      <w:lang w:eastAsia="en-US"/>
    </w:rPr>
  </w:style>
  <w:style w:type="character" w:customStyle="1" w:styleId="BodyTextChar">
    <w:name w:val="Body Text Char"/>
    <w:basedOn w:val="DefaultParagraphFont"/>
    <w:link w:val="BodyText"/>
    <w:rsid w:val="003E76C5"/>
    <w:rPr>
      <w:rFonts w:ascii="Times New Roman" w:eastAsia="Times New Roman" w:hAnsi="Times New Roman" w:cs="Times New Roman"/>
      <w:szCs w:val="24"/>
    </w:rPr>
  </w:style>
  <w:style w:type="character" w:styleId="Hyperlink">
    <w:name w:val="Hyperlink"/>
    <w:basedOn w:val="DefaultParagraphFont"/>
    <w:uiPriority w:val="99"/>
    <w:unhideWhenUsed/>
    <w:rsid w:val="008F7E90"/>
    <w:rPr>
      <w:color w:val="0000FF" w:themeColor="hyperlink"/>
      <w:u w:val="single"/>
    </w:rPr>
  </w:style>
  <w:style w:type="character" w:styleId="Strong">
    <w:name w:val="Strong"/>
    <w:basedOn w:val="DefaultParagraphFont"/>
    <w:uiPriority w:val="22"/>
    <w:rsid w:val="008F7E90"/>
    <w:rPr>
      <w:b/>
      <w:bCs/>
    </w:rPr>
  </w:style>
  <w:style w:type="paragraph" w:styleId="NormalWeb">
    <w:name w:val="Normal (Web)"/>
    <w:basedOn w:val="Normal"/>
    <w:uiPriority w:val="99"/>
    <w:semiHidden/>
    <w:unhideWhenUsed/>
    <w:rsid w:val="008F7E90"/>
    <w:pPr>
      <w:spacing w:before="140" w:after="140"/>
    </w:pPr>
    <w:rPr>
      <w:rFonts w:ascii="Trebuchet MS" w:eastAsia="Times New Roman" w:hAnsi="Trebuchet MS" w:cs="Times New Roman"/>
      <w:sz w:val="24"/>
      <w:szCs w:val="24"/>
    </w:rPr>
  </w:style>
  <w:style w:type="paragraph" w:styleId="CommentSubject">
    <w:name w:val="annotation subject"/>
    <w:basedOn w:val="CommentText"/>
    <w:next w:val="CommentText"/>
    <w:link w:val="CommentSubjectChar"/>
    <w:uiPriority w:val="99"/>
    <w:semiHidden/>
    <w:unhideWhenUsed/>
    <w:rsid w:val="008F7E90"/>
    <w:rPr>
      <w:b/>
      <w:bCs/>
    </w:rPr>
  </w:style>
  <w:style w:type="character" w:customStyle="1" w:styleId="CommentSubjectChar">
    <w:name w:val="Comment Subject Char"/>
    <w:basedOn w:val="CommentTextChar"/>
    <w:link w:val="CommentSubject"/>
    <w:uiPriority w:val="99"/>
    <w:semiHidden/>
    <w:rsid w:val="008F7E90"/>
    <w:rPr>
      <w:rFonts w:ascii="Calibri" w:hAnsi="Calibri"/>
      <w:b/>
      <w:bCs/>
      <w:sz w:val="20"/>
      <w:szCs w:val="20"/>
      <w:lang w:val="en-GB"/>
    </w:rPr>
  </w:style>
  <w:style w:type="paragraph" w:styleId="BalloonText">
    <w:name w:val="Balloon Text"/>
    <w:basedOn w:val="Normal"/>
    <w:link w:val="BalloonTextChar"/>
    <w:uiPriority w:val="99"/>
    <w:semiHidden/>
    <w:unhideWhenUsed/>
    <w:rsid w:val="008F7E90"/>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lang w:val="en-GB"/>
    </w:rPr>
  </w:style>
  <w:style w:type="table" w:styleId="TableGrid">
    <w:name w:val="Table Grid"/>
    <w:basedOn w:val="TableNormal"/>
    <w:uiPriority w:val="59"/>
    <w:rsid w:val="008F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76C5"/>
    <w:pPr>
      <w:ind w:left="720"/>
      <w:contextualSpacing/>
    </w:pPr>
    <w:rPr>
      <w:rFonts w:eastAsiaTheme="minorHAnsi"/>
      <w:lang w:eastAsia="en-US"/>
    </w:rPr>
  </w:style>
  <w:style w:type="paragraph" w:styleId="TOCHeading">
    <w:name w:val="TOC Heading"/>
    <w:basedOn w:val="Heading1"/>
    <w:next w:val="Normal"/>
    <w:uiPriority w:val="39"/>
    <w:unhideWhenUsed/>
    <w:qFormat/>
    <w:rsid w:val="003E76C5"/>
    <w:pPr>
      <w:numPr>
        <w:numId w:val="0"/>
      </w:numPr>
      <w:spacing w:line="276" w:lineRule="auto"/>
      <w:outlineLvl w:val="9"/>
    </w:pPr>
  </w:style>
  <w:style w:type="character" w:styleId="FollowedHyperlink">
    <w:name w:val="FollowedHyperlink"/>
    <w:basedOn w:val="DefaultParagraphFont"/>
    <w:uiPriority w:val="99"/>
    <w:semiHidden/>
    <w:unhideWhenUsed/>
    <w:rsid w:val="00E54047"/>
    <w:rPr>
      <w:color w:val="800080" w:themeColor="followedHyperlink"/>
      <w:u w:val="single"/>
    </w:rPr>
  </w:style>
  <w:style w:type="paragraph" w:styleId="NoSpacing">
    <w:name w:val="No Spacing"/>
    <w:uiPriority w:val="1"/>
    <w:rsid w:val="000D51F4"/>
    <w:rPr>
      <w:rFonts w:ascii="Calibri" w:eastAsiaTheme="minorEastAsia" w:hAnsi="Calibri"/>
      <w:sz w:val="23"/>
      <w:lang w:eastAsia="en-AU"/>
    </w:rPr>
  </w:style>
  <w:style w:type="paragraph" w:customStyle="1" w:styleId="About">
    <w:name w:val="About"/>
    <w:basedOn w:val="Normal"/>
    <w:link w:val="AboutChar"/>
    <w:qFormat/>
    <w:rsid w:val="00C12182"/>
    <w:rPr>
      <w:b/>
    </w:rPr>
  </w:style>
  <w:style w:type="table" w:customStyle="1" w:styleId="ACCANtable">
    <w:name w:val="ACCAN table"/>
    <w:basedOn w:val="TableNormal"/>
    <w:uiPriority w:val="99"/>
    <w:rsid w:val="0036351B"/>
    <w:tblPr>
      <w:jc w:val="center"/>
      <w:tblInd w:w="0" w:type="dxa"/>
      <w:tblBorders>
        <w:top w:val="single" w:sz="4" w:space="0" w:color="44C8F5"/>
        <w:bottom w:val="single" w:sz="4" w:space="0" w:color="44C8F5"/>
        <w:insideH w:val="single" w:sz="4" w:space="0" w:color="44C8F5"/>
      </w:tblBorders>
      <w:tblCellMar>
        <w:top w:w="108" w:type="dxa"/>
        <w:left w:w="108" w:type="dxa"/>
        <w:bottom w:w="108" w:type="dxa"/>
        <w:right w:w="108" w:type="dxa"/>
      </w:tblCellMar>
    </w:tblPr>
    <w:trPr>
      <w:jc w:val="center"/>
    </w:trPr>
    <w:tblStylePr w:type="firstRow">
      <w:pPr>
        <w:jc w:val="left"/>
      </w:pPr>
      <w:rPr>
        <w:rFonts w:asciiTheme="minorHAnsi" w:hAnsiTheme="minorHAnsi"/>
        <w:b/>
        <w:color w:val="auto"/>
        <w:sz w:val="22"/>
      </w:rPr>
      <w:tblPr/>
      <w:tcPr>
        <w:shd w:val="clear" w:color="auto" w:fill="44C8F5"/>
      </w:tcPr>
    </w:tblStylePr>
    <w:tblStylePr w:type="lastRow">
      <w:pPr>
        <w:jc w:val="left"/>
      </w:pPr>
    </w:tblStylePr>
  </w:style>
  <w:style w:type="character" w:customStyle="1" w:styleId="AboutChar">
    <w:name w:val="About Char"/>
    <w:basedOn w:val="DefaultParagraphFont"/>
    <w:link w:val="About"/>
    <w:rsid w:val="00C12182"/>
    <w:rPr>
      <w:rFonts w:ascii="Calibri" w:eastAsiaTheme="minorEastAsia" w:hAnsi="Calibri"/>
      <w:b/>
      <w:sz w:val="23"/>
      <w:lang w:eastAsia="en-AU"/>
    </w:rPr>
  </w:style>
  <w:style w:type="paragraph" w:styleId="Subtitle">
    <w:name w:val="Subtitle"/>
    <w:next w:val="Normal"/>
    <w:link w:val="SubtitleChar"/>
    <w:uiPriority w:val="11"/>
    <w:rsid w:val="003E76C5"/>
    <w:pPr>
      <w:spacing w:before="360" w:after="360"/>
      <w:jc w:val="center"/>
    </w:pPr>
    <w:rPr>
      <w:rFonts w:ascii="Calibri" w:eastAsiaTheme="minorEastAsia" w:hAnsi="Calibri"/>
      <w:sz w:val="32"/>
      <w:szCs w:val="32"/>
    </w:rPr>
  </w:style>
  <w:style w:type="character" w:customStyle="1" w:styleId="SubtitleChar">
    <w:name w:val="Subtitle Char"/>
    <w:basedOn w:val="DefaultParagraphFont"/>
    <w:link w:val="Subtitle"/>
    <w:uiPriority w:val="11"/>
    <w:rsid w:val="003E76C5"/>
    <w:rPr>
      <w:rFonts w:ascii="Calibri" w:eastAsiaTheme="minorEastAsia" w:hAnsi="Calibri"/>
      <w:sz w:val="32"/>
      <w:szCs w:val="32"/>
    </w:rPr>
  </w:style>
  <w:style w:type="character" w:customStyle="1" w:styleId="Heading7Char">
    <w:name w:val="Heading 7 Char"/>
    <w:basedOn w:val="DefaultParagraphFont"/>
    <w:link w:val="Heading7"/>
    <w:uiPriority w:val="9"/>
    <w:semiHidden/>
    <w:rsid w:val="00EC1696"/>
    <w:rPr>
      <w:rFonts w:asciiTheme="majorHAnsi" w:eastAsiaTheme="majorEastAsia" w:hAnsiTheme="majorHAnsi" w:cstheme="majorBidi"/>
      <w:i/>
      <w:iCs/>
      <w:color w:val="404040" w:themeColor="text1" w:themeTint="BF"/>
      <w:sz w:val="23"/>
      <w:lang w:eastAsia="en-AU"/>
    </w:rPr>
  </w:style>
  <w:style w:type="paragraph" w:customStyle="1" w:styleId="Recommendation">
    <w:name w:val="Recommendation"/>
    <w:basedOn w:val="Normal"/>
    <w:link w:val="RecommendationChar"/>
    <w:qFormat/>
    <w:rsid w:val="00593975"/>
    <w:pPr>
      <w:numPr>
        <w:numId w:val="22"/>
      </w:numPr>
      <w:pBdr>
        <w:top w:val="single" w:sz="8" w:space="6" w:color="44C8F5"/>
        <w:left w:val="single" w:sz="8" w:space="5" w:color="44C8F5"/>
        <w:bottom w:val="single" w:sz="8" w:space="6" w:color="44C8F5"/>
        <w:right w:val="single" w:sz="8" w:space="5" w:color="44C8F5"/>
      </w:pBdr>
      <w:ind w:right="851"/>
    </w:pPr>
    <w:rPr>
      <w:lang w:eastAsia="en-US"/>
    </w:rPr>
  </w:style>
  <w:style w:type="table" w:styleId="LightShading-Accent1">
    <w:name w:val="Light Shading Accent 1"/>
    <w:basedOn w:val="TableNormal"/>
    <w:uiPriority w:val="60"/>
    <w:rsid w:val="005C2EB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ecommendationChar">
    <w:name w:val="Recommendation Char"/>
    <w:basedOn w:val="DefaultParagraphFont"/>
    <w:link w:val="Recommendation"/>
    <w:rsid w:val="00593975"/>
    <w:rPr>
      <w:rFonts w:ascii="Calibri" w:eastAsiaTheme="minorEastAsia" w:hAnsi="Calibri"/>
      <w:sz w:val="23"/>
    </w:rPr>
  </w:style>
  <w:style w:type="paragraph" w:customStyle="1" w:styleId="Blockquote">
    <w:name w:val="Blockquote"/>
    <w:basedOn w:val="Normal"/>
    <w:link w:val="BlockquoteChar"/>
    <w:qFormat/>
    <w:rsid w:val="003E76C5"/>
    <w:pPr>
      <w:ind w:left="851" w:right="851"/>
    </w:pPr>
    <w:rPr>
      <w:lang w:eastAsia="en-US"/>
    </w:rPr>
  </w:style>
  <w:style w:type="character" w:customStyle="1" w:styleId="BlockquoteChar">
    <w:name w:val="Blockquote Char"/>
    <w:basedOn w:val="DefaultParagraphFont"/>
    <w:link w:val="Blockquote"/>
    <w:rsid w:val="003E76C5"/>
    <w:rPr>
      <w:rFonts w:ascii="Calibri" w:eastAsiaTheme="minorEastAsia" w:hAnsi="Calibri"/>
    </w:rPr>
  </w:style>
  <w:style w:type="numbering" w:customStyle="1" w:styleId="Headings">
    <w:name w:val="Headings"/>
    <w:uiPriority w:val="99"/>
    <w:rsid w:val="00EC1696"/>
    <w:pPr>
      <w:numPr>
        <w:numId w:val="2"/>
      </w:numPr>
    </w:pPr>
  </w:style>
  <w:style w:type="numbering" w:customStyle="1" w:styleId="Bullets">
    <w:name w:val="Bullets"/>
    <w:uiPriority w:val="99"/>
    <w:rsid w:val="00EC1696"/>
    <w:pPr>
      <w:numPr>
        <w:numId w:val="6"/>
      </w:numPr>
    </w:pPr>
  </w:style>
  <w:style w:type="character" w:customStyle="1" w:styleId="Heading8Char">
    <w:name w:val="Heading 8 Char"/>
    <w:basedOn w:val="DefaultParagraphFont"/>
    <w:link w:val="Heading8"/>
    <w:uiPriority w:val="9"/>
    <w:semiHidden/>
    <w:rsid w:val="00EC1696"/>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EC1696"/>
    <w:rPr>
      <w:rFonts w:asciiTheme="majorHAnsi" w:eastAsiaTheme="majorEastAsia" w:hAnsiTheme="majorHAnsi" w:cstheme="majorBidi"/>
      <w:i/>
      <w:iCs/>
      <w:color w:val="404040" w:themeColor="text1" w:themeTint="BF"/>
      <w:sz w:val="20"/>
      <w:szCs w:val="20"/>
      <w:lang w:eastAsia="en-AU"/>
    </w:rPr>
  </w:style>
  <w:style w:type="paragraph" w:customStyle="1" w:styleId="Bulletlist1">
    <w:name w:val="Bullet list 1"/>
    <w:basedOn w:val="Normal"/>
    <w:link w:val="Bulletlist1Char"/>
    <w:qFormat/>
    <w:rsid w:val="00EC1696"/>
    <w:pPr>
      <w:numPr>
        <w:numId w:val="12"/>
      </w:numPr>
    </w:pPr>
  </w:style>
  <w:style w:type="paragraph" w:customStyle="1" w:styleId="Bulletlist2">
    <w:name w:val="Bullet list 2"/>
    <w:basedOn w:val="Bulletlist1"/>
    <w:link w:val="Bulletlist2Char"/>
    <w:qFormat/>
    <w:rsid w:val="00EC1696"/>
    <w:pPr>
      <w:numPr>
        <w:ilvl w:val="1"/>
      </w:numPr>
    </w:pPr>
  </w:style>
  <w:style w:type="character" w:customStyle="1" w:styleId="Bulletlist1Char">
    <w:name w:val="Bullet list 1 Char"/>
    <w:basedOn w:val="DefaultParagraphFont"/>
    <w:link w:val="Bulletlist1"/>
    <w:rsid w:val="00EC1696"/>
    <w:rPr>
      <w:rFonts w:ascii="Calibri" w:eastAsiaTheme="minorEastAsia" w:hAnsi="Calibri"/>
      <w:sz w:val="23"/>
      <w:lang w:eastAsia="en-AU"/>
    </w:rPr>
  </w:style>
  <w:style w:type="paragraph" w:customStyle="1" w:styleId="Bulletlist3">
    <w:name w:val="Bullet list 3"/>
    <w:basedOn w:val="Bulletlist2"/>
    <w:link w:val="Bulletlist3Char"/>
    <w:qFormat/>
    <w:rsid w:val="00EC1696"/>
    <w:pPr>
      <w:numPr>
        <w:ilvl w:val="2"/>
      </w:numPr>
    </w:pPr>
  </w:style>
  <w:style w:type="character" w:customStyle="1" w:styleId="Bulletlist2Char">
    <w:name w:val="Bullet list 2 Char"/>
    <w:basedOn w:val="Bulletlist1Char"/>
    <w:link w:val="Bulletlist2"/>
    <w:rsid w:val="00EC1696"/>
    <w:rPr>
      <w:rFonts w:ascii="Calibri" w:eastAsiaTheme="minorEastAsia" w:hAnsi="Calibri"/>
      <w:sz w:val="23"/>
      <w:lang w:eastAsia="en-AU"/>
    </w:rPr>
  </w:style>
  <w:style w:type="character" w:customStyle="1" w:styleId="Bulletlist3Char">
    <w:name w:val="Bullet list 3 Char"/>
    <w:basedOn w:val="Bulletlist2Char"/>
    <w:link w:val="Bulletlist3"/>
    <w:rsid w:val="00EC1696"/>
    <w:rPr>
      <w:rFonts w:ascii="Calibri" w:eastAsiaTheme="minorEastAsia" w:hAnsi="Calibri"/>
      <w:sz w:val="23"/>
      <w:lang w:eastAsia="en-AU"/>
    </w:rPr>
  </w:style>
  <w:style w:type="paragraph" w:customStyle="1" w:styleId="Footerpage1">
    <w:name w:val="Footer page 1"/>
    <w:rsid w:val="00A13B92"/>
    <w:pPr>
      <w:spacing w:after="200"/>
      <w:ind w:left="-754"/>
      <w:contextualSpacing/>
    </w:pPr>
    <w:rPr>
      <w:sz w:val="20"/>
      <w:szCs w:val="20"/>
    </w:rPr>
  </w:style>
  <w:style w:type="paragraph" w:customStyle="1" w:styleId="Celltext">
    <w:name w:val="Cell text"/>
    <w:basedOn w:val="Normal"/>
    <w:qFormat/>
    <w:rsid w:val="00EC1696"/>
    <w:pPr>
      <w:contextualSpacing/>
    </w:pPr>
    <w:rPr>
      <w:sz w:val="20"/>
    </w:rPr>
  </w:style>
  <w:style w:type="paragraph" w:customStyle="1" w:styleId="Appendixheading1">
    <w:name w:val="Appendix heading 1"/>
    <w:basedOn w:val="Heading1"/>
    <w:next w:val="Normal"/>
    <w:link w:val="Appendixheading1Char"/>
    <w:qFormat/>
    <w:rsid w:val="00047257"/>
    <w:pPr>
      <w:numPr>
        <w:numId w:val="19"/>
      </w:numPr>
    </w:pPr>
  </w:style>
  <w:style w:type="character" w:customStyle="1" w:styleId="Appendixheading1Char">
    <w:name w:val="Appendix heading 1 Char"/>
    <w:basedOn w:val="Heading1Char"/>
    <w:link w:val="Appendixheading1"/>
    <w:rsid w:val="00047257"/>
    <w:rPr>
      <w:rFonts w:ascii="Calibri" w:eastAsiaTheme="majorEastAsia" w:hAnsi="Calibri" w:cstheme="majorBidi"/>
      <w:bCs/>
      <w:sz w:val="48"/>
      <w:szCs w:val="28"/>
      <w:lang w:val="en-GB"/>
    </w:rPr>
  </w:style>
  <w:style w:type="paragraph" w:customStyle="1" w:styleId="Appendixheading2">
    <w:name w:val="Appendix heading 2"/>
    <w:basedOn w:val="Heading2"/>
    <w:next w:val="Normal"/>
    <w:link w:val="Appendixheading2Char"/>
    <w:qFormat/>
    <w:rsid w:val="00047257"/>
    <w:pPr>
      <w:numPr>
        <w:numId w:val="19"/>
      </w:numPr>
    </w:pPr>
    <w:rPr>
      <w:b/>
    </w:rPr>
  </w:style>
  <w:style w:type="character" w:customStyle="1" w:styleId="Appendixheading2Char">
    <w:name w:val="Appendix heading 2 Char"/>
    <w:basedOn w:val="Heading2Char"/>
    <w:link w:val="Appendixheading2"/>
    <w:rsid w:val="00047257"/>
    <w:rPr>
      <w:rFonts w:ascii="Calibri" w:eastAsia="Times New Roman" w:hAnsi="Calibri" w:cs="Times New Roman"/>
      <w:b/>
      <w:bCs/>
      <w:iCs/>
      <w:sz w:val="32"/>
      <w:szCs w:val="24"/>
      <w:lang w:val="en-US"/>
    </w:rPr>
  </w:style>
  <w:style w:type="paragraph" w:customStyle="1" w:styleId="Appendixheading3">
    <w:name w:val="Appendix heading 3"/>
    <w:basedOn w:val="Heading3"/>
    <w:next w:val="Normal"/>
    <w:link w:val="Appendixheading3Char"/>
    <w:qFormat/>
    <w:rsid w:val="00047257"/>
    <w:pPr>
      <w:numPr>
        <w:ilvl w:val="0"/>
        <w:numId w:val="0"/>
      </w:numPr>
    </w:pPr>
    <w:rPr>
      <w:b/>
      <w:sz w:val="24"/>
    </w:rPr>
  </w:style>
  <w:style w:type="character" w:customStyle="1" w:styleId="Appendixheading3Char">
    <w:name w:val="Appendix heading 3 Char"/>
    <w:basedOn w:val="Heading3Char"/>
    <w:link w:val="Appendixheading3"/>
    <w:rsid w:val="00047257"/>
    <w:rPr>
      <w:rFonts w:ascii="Calibri" w:eastAsia="Times New Roman" w:hAnsi="Calibri" w:cs="Times New Roman"/>
      <w:b/>
      <w:bCs/>
      <w:iCs/>
      <w:sz w:val="24"/>
      <w:szCs w:val="24"/>
      <w:lang w:val="en-US"/>
    </w:rPr>
  </w:style>
  <w:style w:type="paragraph" w:customStyle="1" w:styleId="Blockquote2">
    <w:name w:val="Blockquote 2"/>
    <w:basedOn w:val="Blockquote"/>
    <w:link w:val="Blockquote2Char"/>
    <w:qFormat/>
    <w:rsid w:val="00047257"/>
    <w:pPr>
      <w:ind w:left="1418"/>
      <w:contextualSpacing/>
    </w:pPr>
  </w:style>
  <w:style w:type="character" w:customStyle="1" w:styleId="Blockquote2Char">
    <w:name w:val="Blockquote 2 Char"/>
    <w:basedOn w:val="BlockquoteChar"/>
    <w:link w:val="Blockquote2"/>
    <w:rsid w:val="00047257"/>
    <w:rPr>
      <w:rFonts w:ascii="Calibri" w:eastAsiaTheme="minorEastAsia" w:hAnsi="Calibri"/>
      <w:sz w:val="23"/>
      <w:lang w:val="en-US"/>
    </w:rPr>
  </w:style>
  <w:style w:type="paragraph" w:customStyle="1" w:styleId="Blockquote3">
    <w:name w:val="Blockquote 3"/>
    <w:basedOn w:val="Blockquote"/>
    <w:link w:val="Blockquote3Char"/>
    <w:qFormat/>
    <w:rsid w:val="00047257"/>
    <w:pPr>
      <w:ind w:left="1985"/>
      <w:contextualSpacing/>
    </w:pPr>
  </w:style>
  <w:style w:type="character" w:customStyle="1" w:styleId="Blockquote3Char">
    <w:name w:val="Blockquote 3 Char"/>
    <w:basedOn w:val="BlockquoteChar"/>
    <w:link w:val="Blockquote3"/>
    <w:rsid w:val="00047257"/>
    <w:rPr>
      <w:rFonts w:ascii="Calibri" w:eastAsiaTheme="minorEastAsia" w:hAnsi="Calibri"/>
      <w:sz w:val="23"/>
      <w:lang w:val="en-US"/>
    </w:rPr>
  </w:style>
  <w:style w:type="paragraph" w:customStyle="1" w:styleId="Blockquotebulletlist1">
    <w:name w:val="Blockquote bullet list 1"/>
    <w:basedOn w:val="Blockquote"/>
    <w:link w:val="Blockquotebulletlist1Char"/>
    <w:qFormat/>
    <w:rsid w:val="00047257"/>
    <w:pPr>
      <w:numPr>
        <w:numId w:val="21"/>
      </w:numPr>
    </w:pPr>
  </w:style>
  <w:style w:type="character" w:customStyle="1" w:styleId="Blockquotebulletlist1Char">
    <w:name w:val="Blockquote bullet list 1 Char"/>
    <w:basedOn w:val="BlockquoteChar"/>
    <w:link w:val="Blockquotebulletlist1"/>
    <w:rsid w:val="00047257"/>
    <w:rPr>
      <w:rFonts w:ascii="Calibri" w:eastAsiaTheme="minorEastAsia" w:hAnsi="Calibri"/>
      <w:sz w:val="23"/>
      <w:lang w:val="en-US"/>
    </w:rPr>
  </w:style>
  <w:style w:type="numbering" w:customStyle="1" w:styleId="Blockquotebullets">
    <w:name w:val="Blockquote bullets"/>
    <w:uiPriority w:val="99"/>
    <w:rsid w:val="00047257"/>
    <w:pPr>
      <w:numPr>
        <w:numId w:val="20"/>
      </w:numPr>
    </w:pPr>
  </w:style>
  <w:style w:type="paragraph" w:customStyle="1" w:styleId="Casestudyheading">
    <w:name w:val="Case study heading"/>
    <w:basedOn w:val="Normal"/>
    <w:next w:val="Normal"/>
    <w:link w:val="CasestudyheadingChar"/>
    <w:qFormat/>
    <w:rsid w:val="003E76C5"/>
    <w:pPr>
      <w:keepNext/>
      <w:ind w:left="851" w:right="851"/>
    </w:pPr>
    <w:rPr>
      <w:b/>
      <w:lang w:eastAsia="en-US"/>
    </w:rPr>
  </w:style>
  <w:style w:type="character" w:customStyle="1" w:styleId="CasestudyheadingChar">
    <w:name w:val="Case study heading Char"/>
    <w:basedOn w:val="DefaultParagraphFont"/>
    <w:link w:val="Casestudyheading"/>
    <w:rsid w:val="003E76C5"/>
    <w:rPr>
      <w:rFonts w:ascii="Calibri" w:eastAsiaTheme="minorEastAsia" w:hAnsi="Calibri"/>
      <w:b/>
    </w:rPr>
  </w:style>
  <w:style w:type="paragraph" w:customStyle="1" w:styleId="Casestudy">
    <w:name w:val="Case study"/>
    <w:basedOn w:val="Casestudyheading"/>
    <w:link w:val="CasestudyChar"/>
    <w:qFormat/>
    <w:rsid w:val="00047257"/>
    <w:pPr>
      <w:keepNext w:val="0"/>
    </w:pPr>
    <w:rPr>
      <w:b w:val="0"/>
    </w:rPr>
  </w:style>
  <w:style w:type="character" w:customStyle="1" w:styleId="CasestudyChar">
    <w:name w:val="Case study Char"/>
    <w:basedOn w:val="CasestudyheadingChar"/>
    <w:link w:val="Casestudy"/>
    <w:rsid w:val="00047257"/>
    <w:rPr>
      <w:rFonts w:ascii="Calibri" w:eastAsiaTheme="minorEastAsia" w:hAnsi="Calibri"/>
      <w:b w:val="0"/>
      <w:sz w:val="23"/>
      <w:lang w:val="en-US"/>
    </w:rPr>
  </w:style>
  <w:style w:type="paragraph" w:customStyle="1" w:styleId="Casestudyquote">
    <w:name w:val="Case study quote"/>
    <w:basedOn w:val="Casestudy"/>
    <w:link w:val="CasestudyquoteChar"/>
    <w:qFormat/>
    <w:rsid w:val="00047257"/>
    <w:pPr>
      <w:ind w:left="1418" w:right="1418"/>
    </w:pPr>
  </w:style>
  <w:style w:type="character" w:customStyle="1" w:styleId="CasestudyquoteChar">
    <w:name w:val="Case study quote Char"/>
    <w:basedOn w:val="CasestudyChar"/>
    <w:link w:val="Casestudyquote"/>
    <w:rsid w:val="00047257"/>
    <w:rPr>
      <w:rFonts w:ascii="Calibri" w:eastAsiaTheme="minorEastAsia" w:hAnsi="Calibri"/>
      <w:b w:val="0"/>
      <w:sz w:val="23"/>
      <w:lang w:val="en-US"/>
    </w:rPr>
  </w:style>
  <w:style w:type="numbering" w:customStyle="1" w:styleId="Recommendations">
    <w:name w:val="Recommendations"/>
    <w:uiPriority w:val="99"/>
    <w:rsid w:val="00593975"/>
    <w:pPr>
      <w:numPr>
        <w:numId w:val="22"/>
      </w:numPr>
    </w:pPr>
  </w:style>
  <w:style w:type="character" w:customStyle="1" w:styleId="FootnoteReference1">
    <w:name w:val="Footnote Reference1"/>
    <w:basedOn w:val="DefaultParagraphFont"/>
    <w:rsid w:val="009A330D"/>
    <w:rPr>
      <w:vertAlign w:val="superscript"/>
    </w:rPr>
  </w:style>
  <w:style w:type="character" w:customStyle="1" w:styleId="FootnoteCharacters">
    <w:name w:val="Footnote Characters"/>
    <w:rsid w:val="009A330D"/>
  </w:style>
  <w:style w:type="paragraph" w:customStyle="1" w:styleId="FootnoteText1">
    <w:name w:val="Footnote Text1"/>
    <w:rsid w:val="009A330D"/>
    <w:pPr>
      <w:suppressAutoHyphens/>
      <w:spacing w:after="120"/>
    </w:pPr>
    <w:rPr>
      <w:rFonts w:ascii="Calibri" w:eastAsia="Arial Unicode MS" w:hAnsi="Calibri" w:cs="Arial Unicode MS"/>
      <w:kern w:val="1"/>
      <w:sz w:val="18"/>
      <w:szCs w:val="20"/>
      <w:lang w:val="en-IE" w:eastAsia="hi-IN" w:bidi="hi-IN"/>
    </w:rPr>
  </w:style>
  <w:style w:type="character" w:styleId="HTMLCite">
    <w:name w:val="HTML Cite"/>
    <w:basedOn w:val="DefaultParagraphFont"/>
    <w:uiPriority w:val="99"/>
    <w:semiHidden/>
    <w:unhideWhenUsed/>
    <w:rsid w:val="00B04464"/>
    <w:rPr>
      <w:i/>
      <w:iCs/>
    </w:rPr>
  </w:style>
  <w:style w:type="character" w:customStyle="1" w:styleId="file">
    <w:name w:val="file"/>
    <w:basedOn w:val="DefaultParagraphFont"/>
    <w:rsid w:val="00B044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D5391E"/>
    <w:pPr>
      <w:spacing w:before="100" w:beforeAutospacing="1" w:after="100" w:afterAutospacing="1"/>
      <w:jc w:val="both"/>
    </w:pPr>
    <w:rPr>
      <w:rFonts w:ascii="Calibri" w:eastAsiaTheme="minorEastAsia" w:hAnsi="Calibri"/>
      <w:lang w:eastAsia="en-AU"/>
    </w:rPr>
  </w:style>
  <w:style w:type="paragraph" w:styleId="Heading1">
    <w:name w:val="heading 1"/>
    <w:next w:val="Normal"/>
    <w:link w:val="Heading1Char"/>
    <w:uiPriority w:val="9"/>
    <w:qFormat/>
    <w:rsid w:val="003E76C5"/>
    <w:pPr>
      <w:keepNext/>
      <w:keepLines/>
      <w:pageBreakBefore/>
      <w:numPr>
        <w:numId w:val="16"/>
      </w:numPr>
      <w:spacing w:before="100" w:beforeAutospacing="1" w:after="240"/>
      <w:outlineLvl w:val="0"/>
    </w:pPr>
    <w:rPr>
      <w:rFonts w:ascii="Calibri" w:eastAsiaTheme="majorEastAsia" w:hAnsi="Calibri" w:cstheme="majorBidi"/>
      <w:bCs/>
      <w:sz w:val="48"/>
      <w:szCs w:val="28"/>
    </w:rPr>
  </w:style>
  <w:style w:type="paragraph" w:styleId="Heading2">
    <w:name w:val="heading 2"/>
    <w:next w:val="Normal"/>
    <w:link w:val="Heading2Char"/>
    <w:qFormat/>
    <w:rsid w:val="003E76C5"/>
    <w:pPr>
      <w:keepNext/>
      <w:numPr>
        <w:ilvl w:val="1"/>
        <w:numId w:val="16"/>
      </w:numPr>
      <w:spacing w:before="100" w:beforeAutospacing="1" w:after="240"/>
      <w:outlineLvl w:val="1"/>
    </w:pPr>
    <w:rPr>
      <w:rFonts w:ascii="Calibri" w:eastAsia="Times New Roman" w:hAnsi="Calibri" w:cs="Times New Roman"/>
      <w:bCs/>
      <w:iCs/>
      <w:sz w:val="32"/>
      <w:szCs w:val="24"/>
    </w:rPr>
  </w:style>
  <w:style w:type="paragraph" w:styleId="Heading3">
    <w:name w:val="heading 3"/>
    <w:next w:val="Normal"/>
    <w:link w:val="Heading3Char"/>
    <w:qFormat/>
    <w:rsid w:val="003E76C5"/>
    <w:pPr>
      <w:keepNext/>
      <w:numPr>
        <w:ilvl w:val="2"/>
        <w:numId w:val="16"/>
      </w:numPr>
      <w:spacing w:before="100" w:beforeAutospacing="1" w:after="240"/>
      <w:outlineLvl w:val="2"/>
    </w:pPr>
    <w:rPr>
      <w:rFonts w:ascii="Calibri" w:eastAsia="Times New Roman" w:hAnsi="Calibri" w:cs="Times New Roman"/>
      <w:bCs/>
      <w:iCs/>
      <w:sz w:val="28"/>
      <w:szCs w:val="24"/>
    </w:rPr>
  </w:style>
  <w:style w:type="paragraph" w:styleId="Heading4">
    <w:name w:val="heading 4"/>
    <w:next w:val="Normal"/>
    <w:link w:val="Heading4Char"/>
    <w:uiPriority w:val="9"/>
    <w:unhideWhenUsed/>
    <w:qFormat/>
    <w:rsid w:val="003E76C5"/>
    <w:pPr>
      <w:keepNext/>
      <w:keepLines/>
      <w:spacing w:before="100" w:beforeAutospacing="1" w:after="240"/>
      <w:outlineLvl w:val="3"/>
    </w:pPr>
    <w:rPr>
      <w:rFonts w:ascii="Calibri" w:eastAsiaTheme="majorEastAsia" w:hAnsi="Calibri" w:cstheme="majorBidi"/>
      <w:bCs/>
      <w:i/>
      <w:iCs/>
      <w:sz w:val="24"/>
    </w:rPr>
  </w:style>
  <w:style w:type="paragraph" w:styleId="Heading5">
    <w:name w:val="heading 5"/>
    <w:next w:val="Normal"/>
    <w:link w:val="Heading5Char"/>
    <w:uiPriority w:val="9"/>
    <w:unhideWhenUsed/>
    <w:qFormat/>
    <w:rsid w:val="003E76C5"/>
    <w:pPr>
      <w:keepNext/>
      <w:keepLines/>
      <w:outlineLvl w:val="4"/>
    </w:pPr>
    <w:rPr>
      <w:rFonts w:ascii="Calibri" w:eastAsiaTheme="majorEastAsia" w:hAnsi="Calibri" w:cstheme="majorBidi"/>
      <w:sz w:val="23"/>
      <w:u w:val="single"/>
    </w:rPr>
  </w:style>
  <w:style w:type="paragraph" w:styleId="Heading6">
    <w:name w:val="heading 6"/>
    <w:next w:val="Normal"/>
    <w:link w:val="Heading6Char"/>
    <w:uiPriority w:val="9"/>
    <w:unhideWhenUsed/>
    <w:qFormat/>
    <w:rsid w:val="003E76C5"/>
    <w:pPr>
      <w:keepNext/>
      <w:keepLines/>
      <w:spacing w:before="200"/>
      <w:outlineLvl w:val="5"/>
    </w:pPr>
    <w:rPr>
      <w:rFonts w:ascii="Calibri" w:eastAsiaTheme="majorEastAsia" w:hAnsi="Calibri" w:cstheme="majorBidi"/>
      <w:i/>
      <w:iCs/>
      <w:sz w:val="23"/>
    </w:rPr>
  </w:style>
  <w:style w:type="paragraph" w:styleId="Heading7">
    <w:name w:val="heading 7"/>
    <w:next w:val="Normal"/>
    <w:link w:val="Heading7Char"/>
    <w:uiPriority w:val="9"/>
    <w:semiHidden/>
    <w:unhideWhenUsed/>
    <w:rsid w:val="00EC1696"/>
    <w:pPr>
      <w:keepNext/>
      <w:keepLines/>
      <w:spacing w:before="200"/>
      <w:outlineLvl w:val="6"/>
    </w:pPr>
    <w:rPr>
      <w:rFonts w:asciiTheme="majorHAnsi" w:eastAsiaTheme="majorEastAsia" w:hAnsiTheme="majorHAnsi" w:cstheme="majorBidi"/>
      <w:i/>
      <w:iCs/>
      <w:color w:val="404040" w:themeColor="text1" w:themeTint="BF"/>
      <w:sz w:val="23"/>
      <w:lang w:eastAsia="en-AU"/>
    </w:rPr>
  </w:style>
  <w:style w:type="paragraph" w:styleId="Heading8">
    <w:name w:val="heading 8"/>
    <w:basedOn w:val="Normal"/>
    <w:next w:val="Normal"/>
    <w:link w:val="Heading8Char"/>
    <w:uiPriority w:val="9"/>
    <w:semiHidden/>
    <w:unhideWhenUsed/>
    <w:qFormat/>
    <w:rsid w:val="00EC169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16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6C5"/>
    <w:rPr>
      <w:rFonts w:ascii="Calibri" w:eastAsiaTheme="majorEastAsia" w:hAnsi="Calibri" w:cstheme="majorBidi"/>
      <w:bCs/>
      <w:sz w:val="48"/>
      <w:szCs w:val="28"/>
    </w:rPr>
  </w:style>
  <w:style w:type="character" w:customStyle="1" w:styleId="Heading2Char">
    <w:name w:val="Heading 2 Char"/>
    <w:basedOn w:val="DefaultParagraphFont"/>
    <w:link w:val="Heading2"/>
    <w:rsid w:val="003E76C5"/>
    <w:rPr>
      <w:rFonts w:ascii="Calibri" w:eastAsia="Times New Roman" w:hAnsi="Calibri" w:cs="Times New Roman"/>
      <w:bCs/>
      <w:iCs/>
      <w:sz w:val="32"/>
      <w:szCs w:val="24"/>
    </w:rPr>
  </w:style>
  <w:style w:type="character" w:customStyle="1" w:styleId="Heading3Char">
    <w:name w:val="Heading 3 Char"/>
    <w:basedOn w:val="DefaultParagraphFont"/>
    <w:link w:val="Heading3"/>
    <w:rsid w:val="003E76C5"/>
    <w:rPr>
      <w:rFonts w:ascii="Calibri" w:eastAsia="Times New Roman" w:hAnsi="Calibri" w:cs="Times New Roman"/>
      <w:bCs/>
      <w:iCs/>
      <w:sz w:val="28"/>
      <w:szCs w:val="24"/>
    </w:rPr>
  </w:style>
  <w:style w:type="character" w:customStyle="1" w:styleId="Heading4Char">
    <w:name w:val="Heading 4 Char"/>
    <w:basedOn w:val="DefaultParagraphFont"/>
    <w:link w:val="Heading4"/>
    <w:uiPriority w:val="9"/>
    <w:rsid w:val="003E76C5"/>
    <w:rPr>
      <w:rFonts w:ascii="Calibri" w:eastAsiaTheme="majorEastAsia" w:hAnsi="Calibri" w:cstheme="majorBidi"/>
      <w:bCs/>
      <w:i/>
      <w:iCs/>
      <w:sz w:val="24"/>
    </w:rPr>
  </w:style>
  <w:style w:type="character" w:customStyle="1" w:styleId="Heading5Char">
    <w:name w:val="Heading 5 Char"/>
    <w:basedOn w:val="DefaultParagraphFont"/>
    <w:link w:val="Heading5"/>
    <w:uiPriority w:val="9"/>
    <w:rsid w:val="003E76C5"/>
    <w:rPr>
      <w:rFonts w:ascii="Calibri" w:eastAsiaTheme="majorEastAsia" w:hAnsi="Calibri" w:cstheme="majorBidi"/>
      <w:sz w:val="23"/>
      <w:u w:val="single"/>
    </w:rPr>
  </w:style>
  <w:style w:type="character" w:customStyle="1" w:styleId="Heading6Char">
    <w:name w:val="Heading 6 Char"/>
    <w:basedOn w:val="DefaultParagraphFont"/>
    <w:link w:val="Heading6"/>
    <w:uiPriority w:val="9"/>
    <w:rsid w:val="003E76C5"/>
    <w:rPr>
      <w:rFonts w:ascii="Calibri" w:eastAsiaTheme="majorEastAsia" w:hAnsi="Calibri" w:cstheme="majorBidi"/>
      <w:i/>
      <w:iCs/>
      <w:sz w:val="23"/>
    </w:rPr>
  </w:style>
  <w:style w:type="paragraph" w:customStyle="1" w:styleId="Normal0">
    <w:name w:val="[Normal]"/>
    <w:uiPriority w:val="99"/>
    <w:rsid w:val="008F7E90"/>
    <w:pPr>
      <w:widowControl w:val="0"/>
      <w:autoSpaceDE w:val="0"/>
      <w:autoSpaceDN w:val="0"/>
      <w:adjustRightInd w:val="0"/>
    </w:pPr>
    <w:rPr>
      <w:rFonts w:ascii="Arial" w:hAnsi="Arial" w:cs="Arial"/>
      <w:sz w:val="24"/>
      <w:szCs w:val="24"/>
    </w:rPr>
  </w:style>
  <w:style w:type="character" w:customStyle="1" w:styleId="DHSText10ptChar">
    <w:name w:val="DHS Text 10pt Char"/>
    <w:uiPriority w:val="99"/>
    <w:rsid w:val="008F7E90"/>
    <w:rPr>
      <w:rFonts w:ascii="Verdana" w:hAnsi="Verdana"/>
      <w:lang w:val="en-AU" w:eastAsia="en-US"/>
    </w:rPr>
  </w:style>
  <w:style w:type="character" w:customStyle="1" w:styleId="notranslate">
    <w:name w:val="notranslate"/>
    <w:basedOn w:val="DefaultParagraphFont"/>
    <w:rsid w:val="008F7E90"/>
  </w:style>
  <w:style w:type="paragraph" w:customStyle="1" w:styleId="LineLast">
    <w:name w:val="Line Last"/>
    <w:basedOn w:val="Normal"/>
    <w:rsid w:val="003E76C5"/>
    <w:pPr>
      <w:tabs>
        <w:tab w:val="left" w:leader="underscore" w:pos="8640"/>
      </w:tabs>
      <w:spacing w:before="60" w:after="360"/>
    </w:pPr>
    <w:rPr>
      <w:rFonts w:ascii="Tahoma" w:eastAsia="Times New Roman" w:hAnsi="Tahoma" w:cs="Times New Roman"/>
      <w:sz w:val="20"/>
      <w:szCs w:val="24"/>
      <w:lang w:eastAsia="en-US"/>
    </w:rPr>
  </w:style>
  <w:style w:type="paragraph" w:customStyle="1" w:styleId="Line">
    <w:name w:val="Line"/>
    <w:basedOn w:val="Normal"/>
    <w:rsid w:val="003E76C5"/>
    <w:pPr>
      <w:tabs>
        <w:tab w:val="left" w:leader="underscore" w:pos="8640"/>
      </w:tabs>
      <w:spacing w:before="60"/>
    </w:pPr>
    <w:rPr>
      <w:rFonts w:ascii="Tahoma" w:eastAsia="Times New Roman" w:hAnsi="Tahoma" w:cs="Times New Roman"/>
      <w:sz w:val="20"/>
      <w:szCs w:val="24"/>
      <w:lang w:eastAsia="en-US"/>
    </w:rPr>
  </w:style>
  <w:style w:type="paragraph" w:customStyle="1" w:styleId="Thankyou">
    <w:name w:val="Thankyou"/>
    <w:basedOn w:val="Normal"/>
    <w:rsid w:val="003E76C5"/>
    <w:pPr>
      <w:keepNext/>
      <w:jc w:val="center"/>
    </w:pPr>
    <w:rPr>
      <w:rFonts w:ascii="Tahoma" w:eastAsia="Times New Roman" w:hAnsi="Tahoma" w:cs="Times New Roman"/>
      <w:sz w:val="20"/>
      <w:szCs w:val="24"/>
      <w:lang w:eastAsia="en-US"/>
    </w:rPr>
  </w:style>
  <w:style w:type="character" w:customStyle="1" w:styleId="maintitle">
    <w:name w:val="maintitle"/>
    <w:basedOn w:val="DefaultParagraphFont"/>
    <w:rsid w:val="008F7E90"/>
  </w:style>
  <w:style w:type="paragraph" w:customStyle="1" w:styleId="Tablecell">
    <w:name w:val="Table cell"/>
    <w:rsid w:val="003E76C5"/>
    <w:pPr>
      <w:keepLines/>
      <w:suppressAutoHyphens/>
      <w:spacing w:before="40" w:after="40"/>
    </w:pPr>
    <w:rPr>
      <w:rFonts w:ascii="Arial" w:eastAsia="Times New Roman" w:hAnsi="Arial" w:cs="Arial"/>
      <w:sz w:val="16"/>
      <w:szCs w:val="20"/>
    </w:rPr>
  </w:style>
  <w:style w:type="paragraph" w:styleId="Header">
    <w:name w:val="header"/>
    <w:link w:val="HeaderChar"/>
    <w:uiPriority w:val="99"/>
    <w:unhideWhenUsed/>
    <w:rsid w:val="003E76C5"/>
    <w:pPr>
      <w:tabs>
        <w:tab w:val="center" w:pos="4513"/>
        <w:tab w:val="right" w:pos="9026"/>
      </w:tabs>
      <w:spacing w:after="240"/>
    </w:pPr>
    <w:rPr>
      <w:rFonts w:ascii="Calibri" w:hAnsi="Calibri"/>
      <w:sz w:val="23"/>
    </w:rPr>
  </w:style>
  <w:style w:type="character" w:customStyle="1" w:styleId="HeaderChar">
    <w:name w:val="Header Char"/>
    <w:basedOn w:val="DefaultParagraphFont"/>
    <w:link w:val="Header"/>
    <w:uiPriority w:val="99"/>
    <w:rsid w:val="003E76C5"/>
    <w:rPr>
      <w:rFonts w:ascii="Calibri" w:hAnsi="Calibri"/>
      <w:sz w:val="23"/>
    </w:rPr>
  </w:style>
  <w:style w:type="paragraph" w:styleId="TOC1">
    <w:name w:val="toc 1"/>
    <w:basedOn w:val="Normal"/>
    <w:next w:val="Normal"/>
    <w:autoRedefine/>
    <w:uiPriority w:val="39"/>
    <w:unhideWhenUsed/>
    <w:rsid w:val="004F2201"/>
    <w:pPr>
      <w:tabs>
        <w:tab w:val="left" w:pos="440"/>
        <w:tab w:val="right" w:leader="dot" w:pos="9016"/>
      </w:tabs>
      <w:spacing w:before="120" w:beforeAutospacing="0" w:after="120" w:afterAutospacing="0"/>
    </w:pPr>
  </w:style>
  <w:style w:type="paragraph" w:styleId="TOC2">
    <w:name w:val="toc 2"/>
    <w:basedOn w:val="Normal"/>
    <w:next w:val="Normal"/>
    <w:autoRedefine/>
    <w:uiPriority w:val="39"/>
    <w:unhideWhenUsed/>
    <w:rsid w:val="004F2201"/>
    <w:pPr>
      <w:tabs>
        <w:tab w:val="left" w:pos="880"/>
        <w:tab w:val="right" w:leader="dot" w:pos="9016"/>
      </w:tabs>
      <w:spacing w:before="120" w:beforeAutospacing="0" w:after="120" w:afterAutospacing="0"/>
      <w:ind w:left="232"/>
    </w:pPr>
    <w:rPr>
      <w:noProof/>
    </w:rPr>
  </w:style>
  <w:style w:type="paragraph" w:styleId="TOC3">
    <w:name w:val="toc 3"/>
    <w:basedOn w:val="Normal"/>
    <w:next w:val="Normal"/>
    <w:autoRedefine/>
    <w:uiPriority w:val="39"/>
    <w:unhideWhenUsed/>
    <w:rsid w:val="004F2201"/>
    <w:pPr>
      <w:tabs>
        <w:tab w:val="left" w:pos="1320"/>
        <w:tab w:val="right" w:leader="dot" w:pos="9016"/>
      </w:tabs>
      <w:spacing w:before="120" w:beforeAutospacing="0" w:after="120" w:afterAutospacing="0"/>
      <w:ind w:left="459"/>
    </w:pPr>
    <w:rPr>
      <w:noProof/>
    </w:rPr>
  </w:style>
  <w:style w:type="numbering" w:customStyle="1" w:styleId="Appendices">
    <w:name w:val="Appendices"/>
    <w:uiPriority w:val="99"/>
    <w:rsid w:val="00047257"/>
    <w:pPr>
      <w:numPr>
        <w:numId w:val="17"/>
      </w:numPr>
    </w:pPr>
  </w:style>
  <w:style w:type="paragraph" w:styleId="FootnoteText">
    <w:name w:val="footnote text"/>
    <w:link w:val="FootnoteTextChar"/>
    <w:uiPriority w:val="99"/>
    <w:unhideWhenUsed/>
    <w:rsid w:val="003E76C5"/>
    <w:pPr>
      <w:spacing w:after="120"/>
    </w:pPr>
    <w:rPr>
      <w:rFonts w:ascii="Calibri" w:hAnsi="Calibri"/>
      <w:sz w:val="18"/>
      <w:szCs w:val="20"/>
    </w:rPr>
  </w:style>
  <w:style w:type="character" w:customStyle="1" w:styleId="FootnoteTextChar">
    <w:name w:val="Footnote Text Char"/>
    <w:basedOn w:val="DefaultParagraphFont"/>
    <w:link w:val="FootnoteText"/>
    <w:uiPriority w:val="99"/>
    <w:rsid w:val="003E76C5"/>
    <w:rPr>
      <w:rFonts w:ascii="Calibri" w:hAnsi="Calibri"/>
      <w:sz w:val="18"/>
      <w:szCs w:val="20"/>
    </w:rPr>
  </w:style>
  <w:style w:type="paragraph" w:styleId="CommentText">
    <w:name w:val="annotation text"/>
    <w:basedOn w:val="Normal"/>
    <w:link w:val="CommentTextChar"/>
    <w:uiPriority w:val="99"/>
    <w:unhideWhenUsed/>
    <w:rsid w:val="003E76C5"/>
    <w:rPr>
      <w:rFonts w:eastAsiaTheme="minorHAnsi"/>
      <w:sz w:val="20"/>
      <w:szCs w:val="20"/>
      <w:lang w:eastAsia="en-US"/>
    </w:rPr>
  </w:style>
  <w:style w:type="character" w:customStyle="1" w:styleId="CommentTextChar">
    <w:name w:val="Comment Text Char"/>
    <w:basedOn w:val="DefaultParagraphFont"/>
    <w:link w:val="CommentText"/>
    <w:uiPriority w:val="99"/>
    <w:rsid w:val="003E76C5"/>
    <w:rPr>
      <w:rFonts w:ascii="Calibri" w:hAnsi="Calibri"/>
      <w:sz w:val="20"/>
      <w:szCs w:val="20"/>
    </w:rPr>
  </w:style>
  <w:style w:type="paragraph" w:styleId="Footer">
    <w:name w:val="footer"/>
    <w:basedOn w:val="Normal"/>
    <w:link w:val="FooterChar"/>
    <w:uiPriority w:val="99"/>
    <w:unhideWhenUsed/>
    <w:rsid w:val="003E76C5"/>
    <w:pPr>
      <w:tabs>
        <w:tab w:val="center" w:pos="4513"/>
        <w:tab w:val="right" w:pos="9026"/>
      </w:tabs>
      <w:ind w:left="8505"/>
    </w:pPr>
    <w:rPr>
      <w:rFonts w:eastAsiaTheme="minorHAnsi"/>
      <w:lang w:eastAsia="en-US"/>
    </w:rPr>
  </w:style>
  <w:style w:type="character" w:customStyle="1" w:styleId="FooterChar">
    <w:name w:val="Footer Char"/>
    <w:basedOn w:val="DefaultParagraphFont"/>
    <w:link w:val="Footer"/>
    <w:uiPriority w:val="99"/>
    <w:rsid w:val="003E76C5"/>
    <w:rPr>
      <w:rFonts w:ascii="Calibri" w:hAnsi="Calibri"/>
    </w:rPr>
  </w:style>
  <w:style w:type="paragraph" w:styleId="Caption">
    <w:name w:val="caption"/>
    <w:basedOn w:val="Normal"/>
    <w:next w:val="Normal"/>
    <w:uiPriority w:val="35"/>
    <w:unhideWhenUsed/>
    <w:rsid w:val="003E76C5"/>
    <w:rPr>
      <w:rFonts w:eastAsiaTheme="minorHAnsi"/>
      <w:b/>
      <w:bCs/>
      <w:color w:val="4F81BD" w:themeColor="accent1"/>
      <w:sz w:val="18"/>
      <w:szCs w:val="18"/>
      <w:lang w:eastAsia="en-US"/>
    </w:rPr>
  </w:style>
  <w:style w:type="character" w:styleId="FootnoteReference">
    <w:name w:val="footnote reference"/>
    <w:basedOn w:val="DefaultParagraphFont"/>
    <w:uiPriority w:val="99"/>
    <w:unhideWhenUsed/>
    <w:rsid w:val="008F7E90"/>
    <w:rPr>
      <w:vertAlign w:val="superscript"/>
    </w:rPr>
  </w:style>
  <w:style w:type="character" w:styleId="CommentReference">
    <w:name w:val="annotation reference"/>
    <w:basedOn w:val="DefaultParagraphFont"/>
    <w:uiPriority w:val="99"/>
    <w:semiHidden/>
    <w:unhideWhenUsed/>
    <w:rsid w:val="008F7E90"/>
    <w:rPr>
      <w:sz w:val="16"/>
      <w:szCs w:val="16"/>
    </w:rPr>
  </w:style>
  <w:style w:type="character" w:styleId="EndnoteReference">
    <w:name w:val="endnote reference"/>
    <w:basedOn w:val="DefaultParagraphFont"/>
    <w:uiPriority w:val="99"/>
    <w:semiHidden/>
    <w:unhideWhenUsed/>
    <w:rsid w:val="008F7E90"/>
    <w:rPr>
      <w:vertAlign w:val="superscript"/>
    </w:rPr>
  </w:style>
  <w:style w:type="paragraph" w:styleId="EndnoteText">
    <w:name w:val="endnote text"/>
    <w:basedOn w:val="Normal"/>
    <w:link w:val="EndnoteTextChar"/>
    <w:uiPriority w:val="99"/>
    <w:semiHidden/>
    <w:unhideWhenUsed/>
    <w:rsid w:val="008F7E90"/>
    <w:rPr>
      <w:rFonts w:eastAsiaTheme="minorHAnsi"/>
      <w:sz w:val="20"/>
      <w:szCs w:val="20"/>
      <w:lang w:val="en-GB" w:eastAsia="en-US"/>
    </w:rPr>
  </w:style>
  <w:style w:type="character" w:customStyle="1" w:styleId="EndnoteTextChar">
    <w:name w:val="Endnote Text Char"/>
    <w:basedOn w:val="DefaultParagraphFont"/>
    <w:link w:val="EndnoteText"/>
    <w:uiPriority w:val="99"/>
    <w:semiHidden/>
    <w:rsid w:val="008F7E90"/>
    <w:rPr>
      <w:sz w:val="20"/>
      <w:szCs w:val="20"/>
      <w:lang w:val="en-GB"/>
    </w:rPr>
  </w:style>
  <w:style w:type="paragraph" w:styleId="Title">
    <w:name w:val="Title"/>
    <w:aliases w:val="Submission"/>
    <w:next w:val="Normal"/>
    <w:link w:val="TitleChar"/>
    <w:qFormat/>
    <w:rsid w:val="003E76C5"/>
    <w:pPr>
      <w:spacing w:before="2040" w:after="120"/>
      <w:contextualSpacing/>
      <w:jc w:val="center"/>
    </w:pPr>
    <w:rPr>
      <w:rFonts w:ascii="Calibri" w:eastAsiaTheme="majorEastAsia" w:hAnsi="Calibri" w:cstheme="majorBidi"/>
      <w:b/>
      <w:spacing w:val="5"/>
      <w:kern w:val="28"/>
      <w:sz w:val="52"/>
      <w:szCs w:val="52"/>
    </w:rPr>
  </w:style>
  <w:style w:type="character" w:customStyle="1" w:styleId="TitleChar">
    <w:name w:val="Title Char"/>
    <w:aliases w:val="Submission Char"/>
    <w:basedOn w:val="DefaultParagraphFont"/>
    <w:link w:val="Title"/>
    <w:rsid w:val="003E76C5"/>
    <w:rPr>
      <w:rFonts w:ascii="Calibri" w:eastAsiaTheme="majorEastAsia" w:hAnsi="Calibri" w:cstheme="majorBidi"/>
      <w:b/>
      <w:spacing w:val="5"/>
      <w:kern w:val="28"/>
      <w:sz w:val="52"/>
      <w:szCs w:val="52"/>
    </w:rPr>
  </w:style>
  <w:style w:type="paragraph" w:styleId="BodyText">
    <w:name w:val="Body Text"/>
    <w:basedOn w:val="Normal"/>
    <w:link w:val="BodyTextChar"/>
    <w:rsid w:val="003E76C5"/>
    <w:rPr>
      <w:rFonts w:ascii="Times New Roman" w:eastAsia="Times New Roman" w:hAnsi="Times New Roman" w:cs="Times New Roman"/>
      <w:szCs w:val="24"/>
      <w:lang w:eastAsia="en-US"/>
    </w:rPr>
  </w:style>
  <w:style w:type="character" w:customStyle="1" w:styleId="BodyTextChar">
    <w:name w:val="Body Text Char"/>
    <w:basedOn w:val="DefaultParagraphFont"/>
    <w:link w:val="BodyText"/>
    <w:rsid w:val="003E76C5"/>
    <w:rPr>
      <w:rFonts w:ascii="Times New Roman" w:eastAsia="Times New Roman" w:hAnsi="Times New Roman" w:cs="Times New Roman"/>
      <w:szCs w:val="24"/>
    </w:rPr>
  </w:style>
  <w:style w:type="character" w:styleId="Hyperlink">
    <w:name w:val="Hyperlink"/>
    <w:basedOn w:val="DefaultParagraphFont"/>
    <w:uiPriority w:val="99"/>
    <w:unhideWhenUsed/>
    <w:rsid w:val="008F7E90"/>
    <w:rPr>
      <w:color w:val="0000FF" w:themeColor="hyperlink"/>
      <w:u w:val="single"/>
    </w:rPr>
  </w:style>
  <w:style w:type="character" w:styleId="Strong">
    <w:name w:val="Strong"/>
    <w:basedOn w:val="DefaultParagraphFont"/>
    <w:uiPriority w:val="22"/>
    <w:rsid w:val="008F7E90"/>
    <w:rPr>
      <w:b/>
      <w:bCs/>
    </w:rPr>
  </w:style>
  <w:style w:type="paragraph" w:styleId="NormalWeb">
    <w:name w:val="Normal (Web)"/>
    <w:basedOn w:val="Normal"/>
    <w:uiPriority w:val="99"/>
    <w:semiHidden/>
    <w:unhideWhenUsed/>
    <w:rsid w:val="008F7E90"/>
    <w:pPr>
      <w:spacing w:before="140" w:after="140"/>
    </w:pPr>
    <w:rPr>
      <w:rFonts w:ascii="Trebuchet MS" w:eastAsia="Times New Roman" w:hAnsi="Trebuchet MS" w:cs="Times New Roman"/>
      <w:sz w:val="24"/>
      <w:szCs w:val="24"/>
    </w:rPr>
  </w:style>
  <w:style w:type="paragraph" w:styleId="CommentSubject">
    <w:name w:val="annotation subject"/>
    <w:basedOn w:val="CommentText"/>
    <w:next w:val="CommentText"/>
    <w:link w:val="CommentSubjectChar"/>
    <w:uiPriority w:val="99"/>
    <w:semiHidden/>
    <w:unhideWhenUsed/>
    <w:rsid w:val="008F7E90"/>
    <w:rPr>
      <w:b/>
      <w:bCs/>
    </w:rPr>
  </w:style>
  <w:style w:type="character" w:customStyle="1" w:styleId="CommentSubjectChar">
    <w:name w:val="Comment Subject Char"/>
    <w:basedOn w:val="CommentTextChar"/>
    <w:link w:val="CommentSubject"/>
    <w:uiPriority w:val="99"/>
    <w:semiHidden/>
    <w:rsid w:val="008F7E90"/>
    <w:rPr>
      <w:rFonts w:ascii="Calibri" w:hAnsi="Calibri"/>
      <w:b/>
      <w:bCs/>
      <w:sz w:val="20"/>
      <w:szCs w:val="20"/>
      <w:lang w:val="en-GB"/>
    </w:rPr>
  </w:style>
  <w:style w:type="paragraph" w:styleId="BalloonText">
    <w:name w:val="Balloon Text"/>
    <w:basedOn w:val="Normal"/>
    <w:link w:val="BalloonTextChar"/>
    <w:uiPriority w:val="99"/>
    <w:semiHidden/>
    <w:unhideWhenUsed/>
    <w:rsid w:val="008F7E90"/>
    <w:rPr>
      <w:rFonts w:ascii="Tahoma" w:eastAsiaTheme="minorHAnsi" w:hAnsi="Tahoma" w:cs="Tahoma"/>
      <w:sz w:val="16"/>
      <w:szCs w:val="16"/>
      <w:lang w:val="en-GB" w:eastAsia="en-US"/>
    </w:rPr>
  </w:style>
  <w:style w:type="character" w:customStyle="1" w:styleId="BalloonTextChar">
    <w:name w:val="Balloon Text Char"/>
    <w:basedOn w:val="DefaultParagraphFont"/>
    <w:link w:val="BalloonText"/>
    <w:uiPriority w:val="99"/>
    <w:semiHidden/>
    <w:rsid w:val="008F7E90"/>
    <w:rPr>
      <w:rFonts w:ascii="Tahoma" w:hAnsi="Tahoma" w:cs="Tahoma"/>
      <w:sz w:val="16"/>
      <w:szCs w:val="16"/>
      <w:lang w:val="en-GB"/>
    </w:rPr>
  </w:style>
  <w:style w:type="table" w:styleId="TableGrid">
    <w:name w:val="Table Grid"/>
    <w:basedOn w:val="TableNormal"/>
    <w:uiPriority w:val="59"/>
    <w:rsid w:val="008F7E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E76C5"/>
    <w:pPr>
      <w:ind w:left="720"/>
      <w:contextualSpacing/>
    </w:pPr>
    <w:rPr>
      <w:rFonts w:eastAsiaTheme="minorHAnsi"/>
      <w:lang w:eastAsia="en-US"/>
    </w:rPr>
  </w:style>
  <w:style w:type="paragraph" w:styleId="TOCHeading">
    <w:name w:val="TOC Heading"/>
    <w:basedOn w:val="Heading1"/>
    <w:next w:val="Normal"/>
    <w:uiPriority w:val="39"/>
    <w:unhideWhenUsed/>
    <w:qFormat/>
    <w:rsid w:val="003E76C5"/>
    <w:pPr>
      <w:numPr>
        <w:numId w:val="0"/>
      </w:numPr>
      <w:spacing w:line="276" w:lineRule="auto"/>
      <w:outlineLvl w:val="9"/>
    </w:pPr>
  </w:style>
  <w:style w:type="character" w:styleId="FollowedHyperlink">
    <w:name w:val="FollowedHyperlink"/>
    <w:basedOn w:val="DefaultParagraphFont"/>
    <w:uiPriority w:val="99"/>
    <w:semiHidden/>
    <w:unhideWhenUsed/>
    <w:rsid w:val="00E54047"/>
    <w:rPr>
      <w:color w:val="800080" w:themeColor="followedHyperlink"/>
      <w:u w:val="single"/>
    </w:rPr>
  </w:style>
  <w:style w:type="paragraph" w:styleId="NoSpacing">
    <w:name w:val="No Spacing"/>
    <w:uiPriority w:val="1"/>
    <w:rsid w:val="000D51F4"/>
    <w:rPr>
      <w:rFonts w:ascii="Calibri" w:eastAsiaTheme="minorEastAsia" w:hAnsi="Calibri"/>
      <w:sz w:val="23"/>
      <w:lang w:eastAsia="en-AU"/>
    </w:rPr>
  </w:style>
  <w:style w:type="paragraph" w:customStyle="1" w:styleId="About">
    <w:name w:val="About"/>
    <w:basedOn w:val="Normal"/>
    <w:link w:val="AboutChar"/>
    <w:qFormat/>
    <w:rsid w:val="00C12182"/>
    <w:rPr>
      <w:b/>
    </w:rPr>
  </w:style>
  <w:style w:type="table" w:customStyle="1" w:styleId="ACCANtable">
    <w:name w:val="ACCAN table"/>
    <w:basedOn w:val="TableNormal"/>
    <w:uiPriority w:val="99"/>
    <w:rsid w:val="0036351B"/>
    <w:tblPr>
      <w:jc w:val="center"/>
      <w:tblInd w:w="0" w:type="dxa"/>
      <w:tblBorders>
        <w:top w:val="single" w:sz="4" w:space="0" w:color="44C8F5"/>
        <w:bottom w:val="single" w:sz="4" w:space="0" w:color="44C8F5"/>
        <w:insideH w:val="single" w:sz="4" w:space="0" w:color="44C8F5"/>
      </w:tblBorders>
      <w:tblCellMar>
        <w:top w:w="108" w:type="dxa"/>
        <w:left w:w="108" w:type="dxa"/>
        <w:bottom w:w="108" w:type="dxa"/>
        <w:right w:w="108" w:type="dxa"/>
      </w:tblCellMar>
    </w:tblPr>
    <w:trPr>
      <w:jc w:val="center"/>
    </w:trPr>
    <w:tblStylePr w:type="firstRow">
      <w:pPr>
        <w:jc w:val="left"/>
      </w:pPr>
      <w:rPr>
        <w:rFonts w:asciiTheme="minorHAnsi" w:hAnsiTheme="minorHAnsi"/>
        <w:b/>
        <w:color w:val="auto"/>
        <w:sz w:val="22"/>
      </w:rPr>
      <w:tblPr/>
      <w:tcPr>
        <w:shd w:val="clear" w:color="auto" w:fill="44C8F5"/>
      </w:tcPr>
    </w:tblStylePr>
    <w:tblStylePr w:type="lastRow">
      <w:pPr>
        <w:jc w:val="left"/>
      </w:pPr>
    </w:tblStylePr>
  </w:style>
  <w:style w:type="character" w:customStyle="1" w:styleId="AboutChar">
    <w:name w:val="About Char"/>
    <w:basedOn w:val="DefaultParagraphFont"/>
    <w:link w:val="About"/>
    <w:rsid w:val="00C12182"/>
    <w:rPr>
      <w:rFonts w:ascii="Calibri" w:eastAsiaTheme="minorEastAsia" w:hAnsi="Calibri"/>
      <w:b/>
      <w:sz w:val="23"/>
      <w:lang w:eastAsia="en-AU"/>
    </w:rPr>
  </w:style>
  <w:style w:type="paragraph" w:styleId="Subtitle">
    <w:name w:val="Subtitle"/>
    <w:next w:val="Normal"/>
    <w:link w:val="SubtitleChar"/>
    <w:uiPriority w:val="11"/>
    <w:rsid w:val="003E76C5"/>
    <w:pPr>
      <w:spacing w:before="360" w:after="360"/>
      <w:jc w:val="center"/>
    </w:pPr>
    <w:rPr>
      <w:rFonts w:ascii="Calibri" w:eastAsiaTheme="minorEastAsia" w:hAnsi="Calibri"/>
      <w:sz w:val="32"/>
      <w:szCs w:val="32"/>
    </w:rPr>
  </w:style>
  <w:style w:type="character" w:customStyle="1" w:styleId="SubtitleChar">
    <w:name w:val="Subtitle Char"/>
    <w:basedOn w:val="DefaultParagraphFont"/>
    <w:link w:val="Subtitle"/>
    <w:uiPriority w:val="11"/>
    <w:rsid w:val="003E76C5"/>
    <w:rPr>
      <w:rFonts w:ascii="Calibri" w:eastAsiaTheme="minorEastAsia" w:hAnsi="Calibri"/>
      <w:sz w:val="32"/>
      <w:szCs w:val="32"/>
    </w:rPr>
  </w:style>
  <w:style w:type="character" w:customStyle="1" w:styleId="Heading7Char">
    <w:name w:val="Heading 7 Char"/>
    <w:basedOn w:val="DefaultParagraphFont"/>
    <w:link w:val="Heading7"/>
    <w:uiPriority w:val="9"/>
    <w:semiHidden/>
    <w:rsid w:val="00EC1696"/>
    <w:rPr>
      <w:rFonts w:asciiTheme="majorHAnsi" w:eastAsiaTheme="majorEastAsia" w:hAnsiTheme="majorHAnsi" w:cstheme="majorBidi"/>
      <w:i/>
      <w:iCs/>
      <w:color w:val="404040" w:themeColor="text1" w:themeTint="BF"/>
      <w:sz w:val="23"/>
      <w:lang w:eastAsia="en-AU"/>
    </w:rPr>
  </w:style>
  <w:style w:type="paragraph" w:customStyle="1" w:styleId="Recommendation">
    <w:name w:val="Recommendation"/>
    <w:basedOn w:val="Normal"/>
    <w:link w:val="RecommendationChar"/>
    <w:qFormat/>
    <w:rsid w:val="00593975"/>
    <w:pPr>
      <w:numPr>
        <w:numId w:val="22"/>
      </w:numPr>
      <w:pBdr>
        <w:top w:val="single" w:sz="8" w:space="6" w:color="44C8F5"/>
        <w:left w:val="single" w:sz="8" w:space="5" w:color="44C8F5"/>
        <w:bottom w:val="single" w:sz="8" w:space="6" w:color="44C8F5"/>
        <w:right w:val="single" w:sz="8" w:space="5" w:color="44C8F5"/>
      </w:pBdr>
      <w:ind w:right="851"/>
    </w:pPr>
    <w:rPr>
      <w:lang w:eastAsia="en-US"/>
    </w:rPr>
  </w:style>
  <w:style w:type="table" w:styleId="LightShading-Accent1">
    <w:name w:val="Light Shading Accent 1"/>
    <w:basedOn w:val="TableNormal"/>
    <w:uiPriority w:val="60"/>
    <w:rsid w:val="005C2EBF"/>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RecommendationChar">
    <w:name w:val="Recommendation Char"/>
    <w:basedOn w:val="DefaultParagraphFont"/>
    <w:link w:val="Recommendation"/>
    <w:rsid w:val="00593975"/>
    <w:rPr>
      <w:rFonts w:ascii="Calibri" w:eastAsiaTheme="minorEastAsia" w:hAnsi="Calibri"/>
      <w:sz w:val="23"/>
    </w:rPr>
  </w:style>
  <w:style w:type="paragraph" w:customStyle="1" w:styleId="Blockquote">
    <w:name w:val="Blockquote"/>
    <w:basedOn w:val="Normal"/>
    <w:link w:val="BlockquoteChar"/>
    <w:qFormat/>
    <w:rsid w:val="003E76C5"/>
    <w:pPr>
      <w:ind w:left="851" w:right="851"/>
    </w:pPr>
    <w:rPr>
      <w:lang w:eastAsia="en-US"/>
    </w:rPr>
  </w:style>
  <w:style w:type="character" w:customStyle="1" w:styleId="BlockquoteChar">
    <w:name w:val="Blockquote Char"/>
    <w:basedOn w:val="DefaultParagraphFont"/>
    <w:link w:val="Blockquote"/>
    <w:rsid w:val="003E76C5"/>
    <w:rPr>
      <w:rFonts w:ascii="Calibri" w:eastAsiaTheme="minorEastAsia" w:hAnsi="Calibri"/>
    </w:rPr>
  </w:style>
  <w:style w:type="numbering" w:customStyle="1" w:styleId="Headings">
    <w:name w:val="Headings"/>
    <w:uiPriority w:val="99"/>
    <w:rsid w:val="00EC1696"/>
    <w:pPr>
      <w:numPr>
        <w:numId w:val="2"/>
      </w:numPr>
    </w:pPr>
  </w:style>
  <w:style w:type="numbering" w:customStyle="1" w:styleId="Bullets">
    <w:name w:val="Bullets"/>
    <w:uiPriority w:val="99"/>
    <w:rsid w:val="00EC1696"/>
    <w:pPr>
      <w:numPr>
        <w:numId w:val="6"/>
      </w:numPr>
    </w:pPr>
  </w:style>
  <w:style w:type="character" w:customStyle="1" w:styleId="Heading8Char">
    <w:name w:val="Heading 8 Char"/>
    <w:basedOn w:val="DefaultParagraphFont"/>
    <w:link w:val="Heading8"/>
    <w:uiPriority w:val="9"/>
    <w:semiHidden/>
    <w:rsid w:val="00EC1696"/>
    <w:rPr>
      <w:rFonts w:asciiTheme="majorHAnsi" w:eastAsiaTheme="majorEastAsia" w:hAnsiTheme="majorHAnsi" w:cstheme="majorBidi"/>
      <w:color w:val="404040" w:themeColor="text1" w:themeTint="BF"/>
      <w:sz w:val="20"/>
      <w:szCs w:val="20"/>
      <w:lang w:eastAsia="en-AU"/>
    </w:rPr>
  </w:style>
  <w:style w:type="character" w:customStyle="1" w:styleId="Heading9Char">
    <w:name w:val="Heading 9 Char"/>
    <w:basedOn w:val="DefaultParagraphFont"/>
    <w:link w:val="Heading9"/>
    <w:uiPriority w:val="9"/>
    <w:semiHidden/>
    <w:rsid w:val="00EC1696"/>
    <w:rPr>
      <w:rFonts w:asciiTheme="majorHAnsi" w:eastAsiaTheme="majorEastAsia" w:hAnsiTheme="majorHAnsi" w:cstheme="majorBidi"/>
      <w:i/>
      <w:iCs/>
      <w:color w:val="404040" w:themeColor="text1" w:themeTint="BF"/>
      <w:sz w:val="20"/>
      <w:szCs w:val="20"/>
      <w:lang w:eastAsia="en-AU"/>
    </w:rPr>
  </w:style>
  <w:style w:type="paragraph" w:customStyle="1" w:styleId="Bulletlist1">
    <w:name w:val="Bullet list 1"/>
    <w:basedOn w:val="Normal"/>
    <w:link w:val="Bulletlist1Char"/>
    <w:qFormat/>
    <w:rsid w:val="00EC1696"/>
    <w:pPr>
      <w:numPr>
        <w:numId w:val="12"/>
      </w:numPr>
    </w:pPr>
  </w:style>
  <w:style w:type="paragraph" w:customStyle="1" w:styleId="Bulletlist2">
    <w:name w:val="Bullet list 2"/>
    <w:basedOn w:val="Bulletlist1"/>
    <w:link w:val="Bulletlist2Char"/>
    <w:qFormat/>
    <w:rsid w:val="00EC1696"/>
    <w:pPr>
      <w:numPr>
        <w:ilvl w:val="1"/>
      </w:numPr>
    </w:pPr>
  </w:style>
  <w:style w:type="character" w:customStyle="1" w:styleId="Bulletlist1Char">
    <w:name w:val="Bullet list 1 Char"/>
    <w:basedOn w:val="DefaultParagraphFont"/>
    <w:link w:val="Bulletlist1"/>
    <w:rsid w:val="00EC1696"/>
    <w:rPr>
      <w:rFonts w:ascii="Calibri" w:eastAsiaTheme="minorEastAsia" w:hAnsi="Calibri"/>
      <w:sz w:val="23"/>
      <w:lang w:eastAsia="en-AU"/>
    </w:rPr>
  </w:style>
  <w:style w:type="paragraph" w:customStyle="1" w:styleId="Bulletlist3">
    <w:name w:val="Bullet list 3"/>
    <w:basedOn w:val="Bulletlist2"/>
    <w:link w:val="Bulletlist3Char"/>
    <w:qFormat/>
    <w:rsid w:val="00EC1696"/>
    <w:pPr>
      <w:numPr>
        <w:ilvl w:val="2"/>
      </w:numPr>
    </w:pPr>
  </w:style>
  <w:style w:type="character" w:customStyle="1" w:styleId="Bulletlist2Char">
    <w:name w:val="Bullet list 2 Char"/>
    <w:basedOn w:val="Bulletlist1Char"/>
    <w:link w:val="Bulletlist2"/>
    <w:rsid w:val="00EC1696"/>
    <w:rPr>
      <w:rFonts w:ascii="Calibri" w:eastAsiaTheme="minorEastAsia" w:hAnsi="Calibri"/>
      <w:sz w:val="23"/>
      <w:lang w:eastAsia="en-AU"/>
    </w:rPr>
  </w:style>
  <w:style w:type="character" w:customStyle="1" w:styleId="Bulletlist3Char">
    <w:name w:val="Bullet list 3 Char"/>
    <w:basedOn w:val="Bulletlist2Char"/>
    <w:link w:val="Bulletlist3"/>
    <w:rsid w:val="00EC1696"/>
    <w:rPr>
      <w:rFonts w:ascii="Calibri" w:eastAsiaTheme="minorEastAsia" w:hAnsi="Calibri"/>
      <w:sz w:val="23"/>
      <w:lang w:eastAsia="en-AU"/>
    </w:rPr>
  </w:style>
  <w:style w:type="paragraph" w:customStyle="1" w:styleId="Footerpage1">
    <w:name w:val="Footer page 1"/>
    <w:rsid w:val="00A13B92"/>
    <w:pPr>
      <w:spacing w:after="200"/>
      <w:ind w:left="-754"/>
      <w:contextualSpacing/>
    </w:pPr>
    <w:rPr>
      <w:sz w:val="20"/>
      <w:szCs w:val="20"/>
    </w:rPr>
  </w:style>
  <w:style w:type="paragraph" w:customStyle="1" w:styleId="Celltext">
    <w:name w:val="Cell text"/>
    <w:basedOn w:val="Normal"/>
    <w:qFormat/>
    <w:rsid w:val="00EC1696"/>
    <w:pPr>
      <w:contextualSpacing/>
    </w:pPr>
    <w:rPr>
      <w:sz w:val="20"/>
    </w:rPr>
  </w:style>
  <w:style w:type="paragraph" w:customStyle="1" w:styleId="Appendixheading1">
    <w:name w:val="Appendix heading 1"/>
    <w:basedOn w:val="Heading1"/>
    <w:next w:val="Normal"/>
    <w:link w:val="Appendixheading1Char"/>
    <w:qFormat/>
    <w:rsid w:val="00047257"/>
    <w:pPr>
      <w:numPr>
        <w:numId w:val="19"/>
      </w:numPr>
    </w:pPr>
  </w:style>
  <w:style w:type="character" w:customStyle="1" w:styleId="Appendixheading1Char">
    <w:name w:val="Appendix heading 1 Char"/>
    <w:basedOn w:val="Heading1Char"/>
    <w:link w:val="Appendixheading1"/>
    <w:rsid w:val="00047257"/>
    <w:rPr>
      <w:rFonts w:ascii="Calibri" w:eastAsiaTheme="majorEastAsia" w:hAnsi="Calibri" w:cstheme="majorBidi"/>
      <w:bCs/>
      <w:sz w:val="48"/>
      <w:szCs w:val="28"/>
      <w:lang w:val="en-GB"/>
    </w:rPr>
  </w:style>
  <w:style w:type="paragraph" w:customStyle="1" w:styleId="Appendixheading2">
    <w:name w:val="Appendix heading 2"/>
    <w:basedOn w:val="Heading2"/>
    <w:next w:val="Normal"/>
    <w:link w:val="Appendixheading2Char"/>
    <w:qFormat/>
    <w:rsid w:val="00047257"/>
    <w:pPr>
      <w:numPr>
        <w:numId w:val="19"/>
      </w:numPr>
    </w:pPr>
    <w:rPr>
      <w:b/>
    </w:rPr>
  </w:style>
  <w:style w:type="character" w:customStyle="1" w:styleId="Appendixheading2Char">
    <w:name w:val="Appendix heading 2 Char"/>
    <w:basedOn w:val="Heading2Char"/>
    <w:link w:val="Appendixheading2"/>
    <w:rsid w:val="00047257"/>
    <w:rPr>
      <w:rFonts w:ascii="Calibri" w:eastAsia="Times New Roman" w:hAnsi="Calibri" w:cs="Times New Roman"/>
      <w:b/>
      <w:bCs/>
      <w:iCs/>
      <w:sz w:val="32"/>
      <w:szCs w:val="24"/>
      <w:lang w:val="en-US"/>
    </w:rPr>
  </w:style>
  <w:style w:type="paragraph" w:customStyle="1" w:styleId="Appendixheading3">
    <w:name w:val="Appendix heading 3"/>
    <w:basedOn w:val="Heading3"/>
    <w:next w:val="Normal"/>
    <w:link w:val="Appendixheading3Char"/>
    <w:qFormat/>
    <w:rsid w:val="00047257"/>
    <w:pPr>
      <w:numPr>
        <w:ilvl w:val="0"/>
        <w:numId w:val="0"/>
      </w:numPr>
    </w:pPr>
    <w:rPr>
      <w:b/>
      <w:sz w:val="24"/>
    </w:rPr>
  </w:style>
  <w:style w:type="character" w:customStyle="1" w:styleId="Appendixheading3Char">
    <w:name w:val="Appendix heading 3 Char"/>
    <w:basedOn w:val="Heading3Char"/>
    <w:link w:val="Appendixheading3"/>
    <w:rsid w:val="00047257"/>
    <w:rPr>
      <w:rFonts w:ascii="Calibri" w:eastAsia="Times New Roman" w:hAnsi="Calibri" w:cs="Times New Roman"/>
      <w:b/>
      <w:bCs/>
      <w:iCs/>
      <w:sz w:val="24"/>
      <w:szCs w:val="24"/>
      <w:lang w:val="en-US"/>
    </w:rPr>
  </w:style>
  <w:style w:type="paragraph" w:customStyle="1" w:styleId="Blockquote2">
    <w:name w:val="Blockquote 2"/>
    <w:basedOn w:val="Blockquote"/>
    <w:link w:val="Blockquote2Char"/>
    <w:qFormat/>
    <w:rsid w:val="00047257"/>
    <w:pPr>
      <w:ind w:left="1418"/>
      <w:contextualSpacing/>
    </w:pPr>
  </w:style>
  <w:style w:type="character" w:customStyle="1" w:styleId="Blockquote2Char">
    <w:name w:val="Blockquote 2 Char"/>
    <w:basedOn w:val="BlockquoteChar"/>
    <w:link w:val="Blockquote2"/>
    <w:rsid w:val="00047257"/>
    <w:rPr>
      <w:rFonts w:ascii="Calibri" w:eastAsiaTheme="minorEastAsia" w:hAnsi="Calibri"/>
      <w:sz w:val="23"/>
      <w:lang w:val="en-US"/>
    </w:rPr>
  </w:style>
  <w:style w:type="paragraph" w:customStyle="1" w:styleId="Blockquote3">
    <w:name w:val="Blockquote 3"/>
    <w:basedOn w:val="Blockquote"/>
    <w:link w:val="Blockquote3Char"/>
    <w:qFormat/>
    <w:rsid w:val="00047257"/>
    <w:pPr>
      <w:ind w:left="1985"/>
      <w:contextualSpacing/>
    </w:pPr>
  </w:style>
  <w:style w:type="character" w:customStyle="1" w:styleId="Blockquote3Char">
    <w:name w:val="Blockquote 3 Char"/>
    <w:basedOn w:val="BlockquoteChar"/>
    <w:link w:val="Blockquote3"/>
    <w:rsid w:val="00047257"/>
    <w:rPr>
      <w:rFonts w:ascii="Calibri" w:eastAsiaTheme="minorEastAsia" w:hAnsi="Calibri"/>
      <w:sz w:val="23"/>
      <w:lang w:val="en-US"/>
    </w:rPr>
  </w:style>
  <w:style w:type="paragraph" w:customStyle="1" w:styleId="Blockquotebulletlist1">
    <w:name w:val="Blockquote bullet list 1"/>
    <w:basedOn w:val="Blockquote"/>
    <w:link w:val="Blockquotebulletlist1Char"/>
    <w:qFormat/>
    <w:rsid w:val="00047257"/>
    <w:pPr>
      <w:numPr>
        <w:numId w:val="21"/>
      </w:numPr>
    </w:pPr>
  </w:style>
  <w:style w:type="character" w:customStyle="1" w:styleId="Blockquotebulletlist1Char">
    <w:name w:val="Blockquote bullet list 1 Char"/>
    <w:basedOn w:val="BlockquoteChar"/>
    <w:link w:val="Blockquotebulletlist1"/>
    <w:rsid w:val="00047257"/>
    <w:rPr>
      <w:rFonts w:ascii="Calibri" w:eastAsiaTheme="minorEastAsia" w:hAnsi="Calibri"/>
      <w:sz w:val="23"/>
      <w:lang w:val="en-US"/>
    </w:rPr>
  </w:style>
  <w:style w:type="numbering" w:customStyle="1" w:styleId="Blockquotebullets">
    <w:name w:val="Blockquote bullets"/>
    <w:uiPriority w:val="99"/>
    <w:rsid w:val="00047257"/>
    <w:pPr>
      <w:numPr>
        <w:numId w:val="20"/>
      </w:numPr>
    </w:pPr>
  </w:style>
  <w:style w:type="paragraph" w:customStyle="1" w:styleId="Casestudyheading">
    <w:name w:val="Case study heading"/>
    <w:basedOn w:val="Normal"/>
    <w:next w:val="Normal"/>
    <w:link w:val="CasestudyheadingChar"/>
    <w:qFormat/>
    <w:rsid w:val="003E76C5"/>
    <w:pPr>
      <w:keepNext/>
      <w:ind w:left="851" w:right="851"/>
    </w:pPr>
    <w:rPr>
      <w:b/>
      <w:lang w:eastAsia="en-US"/>
    </w:rPr>
  </w:style>
  <w:style w:type="character" w:customStyle="1" w:styleId="CasestudyheadingChar">
    <w:name w:val="Case study heading Char"/>
    <w:basedOn w:val="DefaultParagraphFont"/>
    <w:link w:val="Casestudyheading"/>
    <w:rsid w:val="003E76C5"/>
    <w:rPr>
      <w:rFonts w:ascii="Calibri" w:eastAsiaTheme="minorEastAsia" w:hAnsi="Calibri"/>
      <w:b/>
    </w:rPr>
  </w:style>
  <w:style w:type="paragraph" w:customStyle="1" w:styleId="Casestudy">
    <w:name w:val="Case study"/>
    <w:basedOn w:val="Casestudyheading"/>
    <w:link w:val="CasestudyChar"/>
    <w:qFormat/>
    <w:rsid w:val="00047257"/>
    <w:pPr>
      <w:keepNext w:val="0"/>
    </w:pPr>
    <w:rPr>
      <w:b w:val="0"/>
    </w:rPr>
  </w:style>
  <w:style w:type="character" w:customStyle="1" w:styleId="CasestudyChar">
    <w:name w:val="Case study Char"/>
    <w:basedOn w:val="CasestudyheadingChar"/>
    <w:link w:val="Casestudy"/>
    <w:rsid w:val="00047257"/>
    <w:rPr>
      <w:rFonts w:ascii="Calibri" w:eastAsiaTheme="minorEastAsia" w:hAnsi="Calibri"/>
      <w:b w:val="0"/>
      <w:sz w:val="23"/>
      <w:lang w:val="en-US"/>
    </w:rPr>
  </w:style>
  <w:style w:type="paragraph" w:customStyle="1" w:styleId="Casestudyquote">
    <w:name w:val="Case study quote"/>
    <w:basedOn w:val="Casestudy"/>
    <w:link w:val="CasestudyquoteChar"/>
    <w:qFormat/>
    <w:rsid w:val="00047257"/>
    <w:pPr>
      <w:ind w:left="1418" w:right="1418"/>
    </w:pPr>
  </w:style>
  <w:style w:type="character" w:customStyle="1" w:styleId="CasestudyquoteChar">
    <w:name w:val="Case study quote Char"/>
    <w:basedOn w:val="CasestudyChar"/>
    <w:link w:val="Casestudyquote"/>
    <w:rsid w:val="00047257"/>
    <w:rPr>
      <w:rFonts w:ascii="Calibri" w:eastAsiaTheme="minorEastAsia" w:hAnsi="Calibri"/>
      <w:b w:val="0"/>
      <w:sz w:val="23"/>
      <w:lang w:val="en-US"/>
    </w:rPr>
  </w:style>
  <w:style w:type="numbering" w:customStyle="1" w:styleId="Recommendations">
    <w:name w:val="Recommendations"/>
    <w:uiPriority w:val="99"/>
    <w:rsid w:val="00593975"/>
    <w:pPr>
      <w:numPr>
        <w:numId w:val="22"/>
      </w:numPr>
    </w:pPr>
  </w:style>
  <w:style w:type="character" w:customStyle="1" w:styleId="FootnoteReference1">
    <w:name w:val="Footnote Reference1"/>
    <w:basedOn w:val="DefaultParagraphFont"/>
    <w:rsid w:val="009A330D"/>
    <w:rPr>
      <w:vertAlign w:val="superscript"/>
    </w:rPr>
  </w:style>
  <w:style w:type="character" w:customStyle="1" w:styleId="FootnoteCharacters">
    <w:name w:val="Footnote Characters"/>
    <w:rsid w:val="009A330D"/>
  </w:style>
  <w:style w:type="paragraph" w:customStyle="1" w:styleId="FootnoteText1">
    <w:name w:val="Footnote Text1"/>
    <w:rsid w:val="009A330D"/>
    <w:pPr>
      <w:suppressAutoHyphens/>
      <w:spacing w:after="120"/>
    </w:pPr>
    <w:rPr>
      <w:rFonts w:ascii="Calibri" w:eastAsia="Arial Unicode MS" w:hAnsi="Calibri" w:cs="Arial Unicode MS"/>
      <w:kern w:val="1"/>
      <w:sz w:val="18"/>
      <w:szCs w:val="20"/>
      <w:lang w:val="en-IE" w:eastAsia="hi-IN" w:bidi="hi-IN"/>
    </w:rPr>
  </w:style>
  <w:style w:type="character" w:styleId="HTMLCite">
    <w:name w:val="HTML Cite"/>
    <w:basedOn w:val="DefaultParagraphFont"/>
    <w:uiPriority w:val="99"/>
    <w:semiHidden/>
    <w:unhideWhenUsed/>
    <w:rsid w:val="00B04464"/>
    <w:rPr>
      <w:i/>
      <w:iCs/>
    </w:rPr>
  </w:style>
  <w:style w:type="character" w:customStyle="1" w:styleId="file">
    <w:name w:val="file"/>
    <w:basedOn w:val="DefaultParagraphFont"/>
    <w:rsid w:val="00B04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3435">
      <w:bodyDiv w:val="1"/>
      <w:marLeft w:val="0"/>
      <w:marRight w:val="0"/>
      <w:marTop w:val="0"/>
      <w:marBottom w:val="0"/>
      <w:divBdr>
        <w:top w:val="none" w:sz="0" w:space="0" w:color="auto"/>
        <w:left w:val="none" w:sz="0" w:space="0" w:color="auto"/>
        <w:bottom w:val="none" w:sz="0" w:space="0" w:color="auto"/>
        <w:right w:val="none" w:sz="0" w:space="0" w:color="auto"/>
      </w:divBdr>
      <w:divsChild>
        <w:div w:id="1483814341">
          <w:marLeft w:val="0"/>
          <w:marRight w:val="0"/>
          <w:marTop w:val="0"/>
          <w:marBottom w:val="0"/>
          <w:divBdr>
            <w:top w:val="none" w:sz="0" w:space="0" w:color="auto"/>
            <w:left w:val="none" w:sz="0" w:space="0" w:color="auto"/>
            <w:bottom w:val="none" w:sz="0" w:space="0" w:color="auto"/>
            <w:right w:val="none" w:sz="0" w:space="0" w:color="auto"/>
          </w:divBdr>
        </w:div>
        <w:div w:id="1360932078">
          <w:marLeft w:val="0"/>
          <w:marRight w:val="0"/>
          <w:marTop w:val="0"/>
          <w:marBottom w:val="0"/>
          <w:divBdr>
            <w:top w:val="none" w:sz="0" w:space="0" w:color="auto"/>
            <w:left w:val="none" w:sz="0" w:space="0" w:color="auto"/>
            <w:bottom w:val="none" w:sz="0" w:space="0" w:color="auto"/>
            <w:right w:val="none" w:sz="0" w:space="0" w:color="auto"/>
          </w:divBdr>
        </w:div>
        <w:div w:id="1104420476">
          <w:marLeft w:val="0"/>
          <w:marRight w:val="0"/>
          <w:marTop w:val="0"/>
          <w:marBottom w:val="0"/>
          <w:divBdr>
            <w:top w:val="none" w:sz="0" w:space="0" w:color="auto"/>
            <w:left w:val="none" w:sz="0" w:space="0" w:color="auto"/>
            <w:bottom w:val="none" w:sz="0" w:space="0" w:color="auto"/>
            <w:right w:val="none" w:sz="0" w:space="0" w:color="auto"/>
          </w:divBdr>
        </w:div>
        <w:div w:id="83573338">
          <w:marLeft w:val="0"/>
          <w:marRight w:val="0"/>
          <w:marTop w:val="0"/>
          <w:marBottom w:val="0"/>
          <w:divBdr>
            <w:top w:val="none" w:sz="0" w:space="0" w:color="auto"/>
            <w:left w:val="none" w:sz="0" w:space="0" w:color="auto"/>
            <w:bottom w:val="none" w:sz="0" w:space="0" w:color="auto"/>
            <w:right w:val="none" w:sz="0" w:space="0" w:color="auto"/>
          </w:divBdr>
        </w:div>
        <w:div w:id="886453975">
          <w:marLeft w:val="0"/>
          <w:marRight w:val="0"/>
          <w:marTop w:val="0"/>
          <w:marBottom w:val="0"/>
          <w:divBdr>
            <w:top w:val="none" w:sz="0" w:space="0" w:color="auto"/>
            <w:left w:val="none" w:sz="0" w:space="0" w:color="auto"/>
            <w:bottom w:val="none" w:sz="0" w:space="0" w:color="auto"/>
            <w:right w:val="none" w:sz="0" w:space="0" w:color="auto"/>
          </w:divBdr>
        </w:div>
        <w:div w:id="1609047690">
          <w:marLeft w:val="0"/>
          <w:marRight w:val="0"/>
          <w:marTop w:val="0"/>
          <w:marBottom w:val="0"/>
          <w:divBdr>
            <w:top w:val="none" w:sz="0" w:space="0" w:color="auto"/>
            <w:left w:val="none" w:sz="0" w:space="0" w:color="auto"/>
            <w:bottom w:val="none" w:sz="0" w:space="0" w:color="auto"/>
            <w:right w:val="none" w:sz="0" w:space="0" w:color="auto"/>
          </w:divBdr>
        </w:div>
        <w:div w:id="405079343">
          <w:marLeft w:val="0"/>
          <w:marRight w:val="0"/>
          <w:marTop w:val="0"/>
          <w:marBottom w:val="0"/>
          <w:divBdr>
            <w:top w:val="none" w:sz="0" w:space="0" w:color="auto"/>
            <w:left w:val="none" w:sz="0" w:space="0" w:color="auto"/>
            <w:bottom w:val="none" w:sz="0" w:space="0" w:color="auto"/>
            <w:right w:val="none" w:sz="0" w:space="0" w:color="auto"/>
          </w:divBdr>
        </w:div>
        <w:div w:id="1382364189">
          <w:marLeft w:val="0"/>
          <w:marRight w:val="0"/>
          <w:marTop w:val="0"/>
          <w:marBottom w:val="0"/>
          <w:divBdr>
            <w:top w:val="none" w:sz="0" w:space="0" w:color="auto"/>
            <w:left w:val="none" w:sz="0" w:space="0" w:color="auto"/>
            <w:bottom w:val="none" w:sz="0" w:space="0" w:color="auto"/>
            <w:right w:val="none" w:sz="0" w:space="0" w:color="auto"/>
          </w:divBdr>
        </w:div>
        <w:div w:id="1566260407">
          <w:marLeft w:val="0"/>
          <w:marRight w:val="0"/>
          <w:marTop w:val="0"/>
          <w:marBottom w:val="0"/>
          <w:divBdr>
            <w:top w:val="none" w:sz="0" w:space="0" w:color="auto"/>
            <w:left w:val="none" w:sz="0" w:space="0" w:color="auto"/>
            <w:bottom w:val="none" w:sz="0" w:space="0" w:color="auto"/>
            <w:right w:val="none" w:sz="0" w:space="0" w:color="auto"/>
          </w:divBdr>
        </w:div>
        <w:div w:id="1180043515">
          <w:marLeft w:val="0"/>
          <w:marRight w:val="0"/>
          <w:marTop w:val="0"/>
          <w:marBottom w:val="0"/>
          <w:divBdr>
            <w:top w:val="none" w:sz="0" w:space="0" w:color="auto"/>
            <w:left w:val="none" w:sz="0" w:space="0" w:color="auto"/>
            <w:bottom w:val="none" w:sz="0" w:space="0" w:color="auto"/>
            <w:right w:val="none" w:sz="0" w:space="0" w:color="auto"/>
          </w:divBdr>
        </w:div>
      </w:divsChild>
    </w:div>
    <w:div w:id="301161802">
      <w:bodyDiv w:val="1"/>
      <w:marLeft w:val="0"/>
      <w:marRight w:val="0"/>
      <w:marTop w:val="0"/>
      <w:marBottom w:val="0"/>
      <w:divBdr>
        <w:top w:val="none" w:sz="0" w:space="0" w:color="auto"/>
        <w:left w:val="none" w:sz="0" w:space="0" w:color="auto"/>
        <w:bottom w:val="none" w:sz="0" w:space="0" w:color="auto"/>
        <w:right w:val="none" w:sz="0" w:space="0" w:color="auto"/>
      </w:divBdr>
      <w:divsChild>
        <w:div w:id="436023378">
          <w:marLeft w:val="0"/>
          <w:marRight w:val="0"/>
          <w:marTop w:val="0"/>
          <w:marBottom w:val="0"/>
          <w:divBdr>
            <w:top w:val="none" w:sz="0" w:space="0" w:color="auto"/>
            <w:left w:val="none" w:sz="0" w:space="0" w:color="auto"/>
            <w:bottom w:val="none" w:sz="0" w:space="0" w:color="auto"/>
            <w:right w:val="none" w:sz="0" w:space="0" w:color="auto"/>
          </w:divBdr>
        </w:div>
        <w:div w:id="1432428987">
          <w:marLeft w:val="0"/>
          <w:marRight w:val="0"/>
          <w:marTop w:val="0"/>
          <w:marBottom w:val="0"/>
          <w:divBdr>
            <w:top w:val="none" w:sz="0" w:space="0" w:color="auto"/>
            <w:left w:val="none" w:sz="0" w:space="0" w:color="auto"/>
            <w:bottom w:val="none" w:sz="0" w:space="0" w:color="auto"/>
            <w:right w:val="none" w:sz="0" w:space="0" w:color="auto"/>
          </w:divBdr>
        </w:div>
        <w:div w:id="194738555">
          <w:marLeft w:val="0"/>
          <w:marRight w:val="0"/>
          <w:marTop w:val="0"/>
          <w:marBottom w:val="0"/>
          <w:divBdr>
            <w:top w:val="none" w:sz="0" w:space="0" w:color="auto"/>
            <w:left w:val="none" w:sz="0" w:space="0" w:color="auto"/>
            <w:bottom w:val="none" w:sz="0" w:space="0" w:color="auto"/>
            <w:right w:val="none" w:sz="0" w:space="0" w:color="auto"/>
          </w:divBdr>
        </w:div>
        <w:div w:id="542258066">
          <w:marLeft w:val="0"/>
          <w:marRight w:val="0"/>
          <w:marTop w:val="0"/>
          <w:marBottom w:val="0"/>
          <w:divBdr>
            <w:top w:val="none" w:sz="0" w:space="0" w:color="auto"/>
            <w:left w:val="none" w:sz="0" w:space="0" w:color="auto"/>
            <w:bottom w:val="none" w:sz="0" w:space="0" w:color="auto"/>
            <w:right w:val="none" w:sz="0" w:space="0" w:color="auto"/>
          </w:divBdr>
        </w:div>
        <w:div w:id="230510350">
          <w:marLeft w:val="0"/>
          <w:marRight w:val="0"/>
          <w:marTop w:val="0"/>
          <w:marBottom w:val="0"/>
          <w:divBdr>
            <w:top w:val="none" w:sz="0" w:space="0" w:color="auto"/>
            <w:left w:val="none" w:sz="0" w:space="0" w:color="auto"/>
            <w:bottom w:val="none" w:sz="0" w:space="0" w:color="auto"/>
            <w:right w:val="none" w:sz="0" w:space="0" w:color="auto"/>
          </w:divBdr>
        </w:div>
        <w:div w:id="1961647251">
          <w:marLeft w:val="0"/>
          <w:marRight w:val="0"/>
          <w:marTop w:val="0"/>
          <w:marBottom w:val="0"/>
          <w:divBdr>
            <w:top w:val="none" w:sz="0" w:space="0" w:color="auto"/>
            <w:left w:val="none" w:sz="0" w:space="0" w:color="auto"/>
            <w:bottom w:val="none" w:sz="0" w:space="0" w:color="auto"/>
            <w:right w:val="none" w:sz="0" w:space="0" w:color="auto"/>
          </w:divBdr>
        </w:div>
        <w:div w:id="294258751">
          <w:marLeft w:val="0"/>
          <w:marRight w:val="0"/>
          <w:marTop w:val="0"/>
          <w:marBottom w:val="0"/>
          <w:divBdr>
            <w:top w:val="none" w:sz="0" w:space="0" w:color="auto"/>
            <w:left w:val="none" w:sz="0" w:space="0" w:color="auto"/>
            <w:bottom w:val="none" w:sz="0" w:space="0" w:color="auto"/>
            <w:right w:val="none" w:sz="0" w:space="0" w:color="auto"/>
          </w:divBdr>
        </w:div>
        <w:div w:id="1471365848">
          <w:marLeft w:val="0"/>
          <w:marRight w:val="0"/>
          <w:marTop w:val="0"/>
          <w:marBottom w:val="0"/>
          <w:divBdr>
            <w:top w:val="none" w:sz="0" w:space="0" w:color="auto"/>
            <w:left w:val="none" w:sz="0" w:space="0" w:color="auto"/>
            <w:bottom w:val="none" w:sz="0" w:space="0" w:color="auto"/>
            <w:right w:val="none" w:sz="0" w:space="0" w:color="auto"/>
          </w:divBdr>
        </w:div>
        <w:div w:id="1927835536">
          <w:marLeft w:val="0"/>
          <w:marRight w:val="0"/>
          <w:marTop w:val="0"/>
          <w:marBottom w:val="0"/>
          <w:divBdr>
            <w:top w:val="none" w:sz="0" w:space="0" w:color="auto"/>
            <w:left w:val="none" w:sz="0" w:space="0" w:color="auto"/>
            <w:bottom w:val="none" w:sz="0" w:space="0" w:color="auto"/>
            <w:right w:val="none" w:sz="0" w:space="0" w:color="auto"/>
          </w:divBdr>
        </w:div>
        <w:div w:id="280383217">
          <w:marLeft w:val="0"/>
          <w:marRight w:val="0"/>
          <w:marTop w:val="0"/>
          <w:marBottom w:val="0"/>
          <w:divBdr>
            <w:top w:val="none" w:sz="0" w:space="0" w:color="auto"/>
            <w:left w:val="none" w:sz="0" w:space="0" w:color="auto"/>
            <w:bottom w:val="none" w:sz="0" w:space="0" w:color="auto"/>
            <w:right w:val="none" w:sz="0" w:space="0" w:color="auto"/>
          </w:divBdr>
        </w:div>
        <w:div w:id="208154708">
          <w:marLeft w:val="0"/>
          <w:marRight w:val="0"/>
          <w:marTop w:val="0"/>
          <w:marBottom w:val="0"/>
          <w:divBdr>
            <w:top w:val="none" w:sz="0" w:space="0" w:color="auto"/>
            <w:left w:val="none" w:sz="0" w:space="0" w:color="auto"/>
            <w:bottom w:val="none" w:sz="0" w:space="0" w:color="auto"/>
            <w:right w:val="none" w:sz="0" w:space="0" w:color="auto"/>
          </w:divBdr>
        </w:div>
        <w:div w:id="177164916">
          <w:marLeft w:val="0"/>
          <w:marRight w:val="0"/>
          <w:marTop w:val="0"/>
          <w:marBottom w:val="0"/>
          <w:divBdr>
            <w:top w:val="none" w:sz="0" w:space="0" w:color="auto"/>
            <w:left w:val="none" w:sz="0" w:space="0" w:color="auto"/>
            <w:bottom w:val="none" w:sz="0" w:space="0" w:color="auto"/>
            <w:right w:val="none" w:sz="0" w:space="0" w:color="auto"/>
          </w:divBdr>
        </w:div>
        <w:div w:id="1242759996">
          <w:marLeft w:val="0"/>
          <w:marRight w:val="0"/>
          <w:marTop w:val="0"/>
          <w:marBottom w:val="0"/>
          <w:divBdr>
            <w:top w:val="none" w:sz="0" w:space="0" w:color="auto"/>
            <w:left w:val="none" w:sz="0" w:space="0" w:color="auto"/>
            <w:bottom w:val="none" w:sz="0" w:space="0" w:color="auto"/>
            <w:right w:val="none" w:sz="0" w:space="0" w:color="auto"/>
          </w:divBdr>
        </w:div>
        <w:div w:id="587883264">
          <w:marLeft w:val="0"/>
          <w:marRight w:val="0"/>
          <w:marTop w:val="0"/>
          <w:marBottom w:val="0"/>
          <w:divBdr>
            <w:top w:val="none" w:sz="0" w:space="0" w:color="auto"/>
            <w:left w:val="none" w:sz="0" w:space="0" w:color="auto"/>
            <w:bottom w:val="none" w:sz="0" w:space="0" w:color="auto"/>
            <w:right w:val="none" w:sz="0" w:space="0" w:color="auto"/>
          </w:divBdr>
        </w:div>
      </w:divsChild>
    </w:div>
    <w:div w:id="341933097">
      <w:bodyDiv w:val="1"/>
      <w:marLeft w:val="0"/>
      <w:marRight w:val="0"/>
      <w:marTop w:val="0"/>
      <w:marBottom w:val="0"/>
      <w:divBdr>
        <w:top w:val="none" w:sz="0" w:space="0" w:color="auto"/>
        <w:left w:val="none" w:sz="0" w:space="0" w:color="auto"/>
        <w:bottom w:val="none" w:sz="0" w:space="0" w:color="auto"/>
        <w:right w:val="none" w:sz="0" w:space="0" w:color="auto"/>
      </w:divBdr>
    </w:div>
    <w:div w:id="472481714">
      <w:bodyDiv w:val="1"/>
      <w:marLeft w:val="0"/>
      <w:marRight w:val="0"/>
      <w:marTop w:val="0"/>
      <w:marBottom w:val="0"/>
      <w:divBdr>
        <w:top w:val="none" w:sz="0" w:space="0" w:color="auto"/>
        <w:left w:val="none" w:sz="0" w:space="0" w:color="auto"/>
        <w:bottom w:val="none" w:sz="0" w:space="0" w:color="auto"/>
        <w:right w:val="none" w:sz="0" w:space="0" w:color="auto"/>
      </w:divBdr>
    </w:div>
    <w:div w:id="507981320">
      <w:bodyDiv w:val="1"/>
      <w:marLeft w:val="0"/>
      <w:marRight w:val="0"/>
      <w:marTop w:val="0"/>
      <w:marBottom w:val="0"/>
      <w:divBdr>
        <w:top w:val="none" w:sz="0" w:space="0" w:color="auto"/>
        <w:left w:val="none" w:sz="0" w:space="0" w:color="auto"/>
        <w:bottom w:val="none" w:sz="0" w:space="0" w:color="auto"/>
        <w:right w:val="none" w:sz="0" w:space="0" w:color="auto"/>
      </w:divBdr>
      <w:divsChild>
        <w:div w:id="605507071">
          <w:marLeft w:val="0"/>
          <w:marRight w:val="0"/>
          <w:marTop w:val="0"/>
          <w:marBottom w:val="0"/>
          <w:divBdr>
            <w:top w:val="none" w:sz="0" w:space="0" w:color="auto"/>
            <w:left w:val="none" w:sz="0" w:space="0" w:color="auto"/>
            <w:bottom w:val="none" w:sz="0" w:space="0" w:color="auto"/>
            <w:right w:val="none" w:sz="0" w:space="0" w:color="auto"/>
          </w:divBdr>
        </w:div>
        <w:div w:id="1494448152">
          <w:marLeft w:val="0"/>
          <w:marRight w:val="0"/>
          <w:marTop w:val="0"/>
          <w:marBottom w:val="0"/>
          <w:divBdr>
            <w:top w:val="none" w:sz="0" w:space="0" w:color="auto"/>
            <w:left w:val="none" w:sz="0" w:space="0" w:color="auto"/>
            <w:bottom w:val="none" w:sz="0" w:space="0" w:color="auto"/>
            <w:right w:val="none" w:sz="0" w:space="0" w:color="auto"/>
          </w:divBdr>
        </w:div>
        <w:div w:id="1770658989">
          <w:marLeft w:val="0"/>
          <w:marRight w:val="0"/>
          <w:marTop w:val="0"/>
          <w:marBottom w:val="0"/>
          <w:divBdr>
            <w:top w:val="none" w:sz="0" w:space="0" w:color="auto"/>
            <w:left w:val="none" w:sz="0" w:space="0" w:color="auto"/>
            <w:bottom w:val="none" w:sz="0" w:space="0" w:color="auto"/>
            <w:right w:val="none" w:sz="0" w:space="0" w:color="auto"/>
          </w:divBdr>
        </w:div>
        <w:div w:id="604190342">
          <w:marLeft w:val="0"/>
          <w:marRight w:val="0"/>
          <w:marTop w:val="0"/>
          <w:marBottom w:val="0"/>
          <w:divBdr>
            <w:top w:val="none" w:sz="0" w:space="0" w:color="auto"/>
            <w:left w:val="none" w:sz="0" w:space="0" w:color="auto"/>
            <w:bottom w:val="none" w:sz="0" w:space="0" w:color="auto"/>
            <w:right w:val="none" w:sz="0" w:space="0" w:color="auto"/>
          </w:divBdr>
        </w:div>
        <w:div w:id="1267886528">
          <w:marLeft w:val="0"/>
          <w:marRight w:val="0"/>
          <w:marTop w:val="0"/>
          <w:marBottom w:val="0"/>
          <w:divBdr>
            <w:top w:val="none" w:sz="0" w:space="0" w:color="auto"/>
            <w:left w:val="none" w:sz="0" w:space="0" w:color="auto"/>
            <w:bottom w:val="none" w:sz="0" w:space="0" w:color="auto"/>
            <w:right w:val="none" w:sz="0" w:space="0" w:color="auto"/>
          </w:divBdr>
        </w:div>
        <w:div w:id="331566322">
          <w:marLeft w:val="0"/>
          <w:marRight w:val="0"/>
          <w:marTop w:val="0"/>
          <w:marBottom w:val="0"/>
          <w:divBdr>
            <w:top w:val="none" w:sz="0" w:space="0" w:color="auto"/>
            <w:left w:val="none" w:sz="0" w:space="0" w:color="auto"/>
            <w:bottom w:val="none" w:sz="0" w:space="0" w:color="auto"/>
            <w:right w:val="none" w:sz="0" w:space="0" w:color="auto"/>
          </w:divBdr>
        </w:div>
        <w:div w:id="55982385">
          <w:marLeft w:val="0"/>
          <w:marRight w:val="0"/>
          <w:marTop w:val="0"/>
          <w:marBottom w:val="0"/>
          <w:divBdr>
            <w:top w:val="none" w:sz="0" w:space="0" w:color="auto"/>
            <w:left w:val="none" w:sz="0" w:space="0" w:color="auto"/>
            <w:bottom w:val="none" w:sz="0" w:space="0" w:color="auto"/>
            <w:right w:val="none" w:sz="0" w:space="0" w:color="auto"/>
          </w:divBdr>
        </w:div>
        <w:div w:id="710301559">
          <w:marLeft w:val="0"/>
          <w:marRight w:val="0"/>
          <w:marTop w:val="0"/>
          <w:marBottom w:val="0"/>
          <w:divBdr>
            <w:top w:val="none" w:sz="0" w:space="0" w:color="auto"/>
            <w:left w:val="none" w:sz="0" w:space="0" w:color="auto"/>
            <w:bottom w:val="none" w:sz="0" w:space="0" w:color="auto"/>
            <w:right w:val="none" w:sz="0" w:space="0" w:color="auto"/>
          </w:divBdr>
        </w:div>
        <w:div w:id="486751232">
          <w:marLeft w:val="0"/>
          <w:marRight w:val="0"/>
          <w:marTop w:val="0"/>
          <w:marBottom w:val="0"/>
          <w:divBdr>
            <w:top w:val="none" w:sz="0" w:space="0" w:color="auto"/>
            <w:left w:val="none" w:sz="0" w:space="0" w:color="auto"/>
            <w:bottom w:val="none" w:sz="0" w:space="0" w:color="auto"/>
            <w:right w:val="none" w:sz="0" w:space="0" w:color="auto"/>
          </w:divBdr>
        </w:div>
        <w:div w:id="1752508239">
          <w:marLeft w:val="0"/>
          <w:marRight w:val="0"/>
          <w:marTop w:val="0"/>
          <w:marBottom w:val="0"/>
          <w:divBdr>
            <w:top w:val="none" w:sz="0" w:space="0" w:color="auto"/>
            <w:left w:val="none" w:sz="0" w:space="0" w:color="auto"/>
            <w:bottom w:val="none" w:sz="0" w:space="0" w:color="auto"/>
            <w:right w:val="none" w:sz="0" w:space="0" w:color="auto"/>
          </w:divBdr>
        </w:div>
        <w:div w:id="283584871">
          <w:marLeft w:val="0"/>
          <w:marRight w:val="0"/>
          <w:marTop w:val="0"/>
          <w:marBottom w:val="0"/>
          <w:divBdr>
            <w:top w:val="none" w:sz="0" w:space="0" w:color="auto"/>
            <w:left w:val="none" w:sz="0" w:space="0" w:color="auto"/>
            <w:bottom w:val="none" w:sz="0" w:space="0" w:color="auto"/>
            <w:right w:val="none" w:sz="0" w:space="0" w:color="auto"/>
          </w:divBdr>
        </w:div>
        <w:div w:id="1852336349">
          <w:marLeft w:val="0"/>
          <w:marRight w:val="0"/>
          <w:marTop w:val="0"/>
          <w:marBottom w:val="0"/>
          <w:divBdr>
            <w:top w:val="none" w:sz="0" w:space="0" w:color="auto"/>
            <w:left w:val="none" w:sz="0" w:space="0" w:color="auto"/>
            <w:bottom w:val="none" w:sz="0" w:space="0" w:color="auto"/>
            <w:right w:val="none" w:sz="0" w:space="0" w:color="auto"/>
          </w:divBdr>
        </w:div>
        <w:div w:id="497159192">
          <w:marLeft w:val="0"/>
          <w:marRight w:val="0"/>
          <w:marTop w:val="0"/>
          <w:marBottom w:val="0"/>
          <w:divBdr>
            <w:top w:val="none" w:sz="0" w:space="0" w:color="auto"/>
            <w:left w:val="none" w:sz="0" w:space="0" w:color="auto"/>
            <w:bottom w:val="none" w:sz="0" w:space="0" w:color="auto"/>
            <w:right w:val="none" w:sz="0" w:space="0" w:color="auto"/>
          </w:divBdr>
        </w:div>
        <w:div w:id="1935505297">
          <w:marLeft w:val="0"/>
          <w:marRight w:val="0"/>
          <w:marTop w:val="0"/>
          <w:marBottom w:val="0"/>
          <w:divBdr>
            <w:top w:val="none" w:sz="0" w:space="0" w:color="auto"/>
            <w:left w:val="none" w:sz="0" w:space="0" w:color="auto"/>
            <w:bottom w:val="none" w:sz="0" w:space="0" w:color="auto"/>
            <w:right w:val="none" w:sz="0" w:space="0" w:color="auto"/>
          </w:divBdr>
        </w:div>
      </w:divsChild>
    </w:div>
    <w:div w:id="682245536">
      <w:bodyDiv w:val="1"/>
      <w:marLeft w:val="0"/>
      <w:marRight w:val="0"/>
      <w:marTop w:val="0"/>
      <w:marBottom w:val="0"/>
      <w:divBdr>
        <w:top w:val="none" w:sz="0" w:space="0" w:color="auto"/>
        <w:left w:val="none" w:sz="0" w:space="0" w:color="auto"/>
        <w:bottom w:val="none" w:sz="0" w:space="0" w:color="auto"/>
        <w:right w:val="none" w:sz="0" w:space="0" w:color="auto"/>
      </w:divBdr>
      <w:divsChild>
        <w:div w:id="2015916219">
          <w:marLeft w:val="0"/>
          <w:marRight w:val="0"/>
          <w:marTop w:val="0"/>
          <w:marBottom w:val="0"/>
          <w:divBdr>
            <w:top w:val="none" w:sz="0" w:space="0" w:color="auto"/>
            <w:left w:val="none" w:sz="0" w:space="0" w:color="auto"/>
            <w:bottom w:val="none" w:sz="0" w:space="0" w:color="auto"/>
            <w:right w:val="none" w:sz="0" w:space="0" w:color="auto"/>
          </w:divBdr>
        </w:div>
        <w:div w:id="1502432319">
          <w:marLeft w:val="0"/>
          <w:marRight w:val="0"/>
          <w:marTop w:val="0"/>
          <w:marBottom w:val="0"/>
          <w:divBdr>
            <w:top w:val="none" w:sz="0" w:space="0" w:color="auto"/>
            <w:left w:val="none" w:sz="0" w:space="0" w:color="auto"/>
            <w:bottom w:val="none" w:sz="0" w:space="0" w:color="auto"/>
            <w:right w:val="none" w:sz="0" w:space="0" w:color="auto"/>
          </w:divBdr>
        </w:div>
        <w:div w:id="735783847">
          <w:marLeft w:val="0"/>
          <w:marRight w:val="0"/>
          <w:marTop w:val="0"/>
          <w:marBottom w:val="0"/>
          <w:divBdr>
            <w:top w:val="none" w:sz="0" w:space="0" w:color="auto"/>
            <w:left w:val="none" w:sz="0" w:space="0" w:color="auto"/>
            <w:bottom w:val="none" w:sz="0" w:space="0" w:color="auto"/>
            <w:right w:val="none" w:sz="0" w:space="0" w:color="auto"/>
          </w:divBdr>
        </w:div>
      </w:divsChild>
    </w:div>
    <w:div w:id="725222443">
      <w:bodyDiv w:val="1"/>
      <w:marLeft w:val="0"/>
      <w:marRight w:val="0"/>
      <w:marTop w:val="0"/>
      <w:marBottom w:val="0"/>
      <w:divBdr>
        <w:top w:val="none" w:sz="0" w:space="0" w:color="auto"/>
        <w:left w:val="none" w:sz="0" w:space="0" w:color="auto"/>
        <w:bottom w:val="none" w:sz="0" w:space="0" w:color="auto"/>
        <w:right w:val="none" w:sz="0" w:space="0" w:color="auto"/>
      </w:divBdr>
      <w:divsChild>
        <w:div w:id="644118601">
          <w:marLeft w:val="0"/>
          <w:marRight w:val="0"/>
          <w:marTop w:val="0"/>
          <w:marBottom w:val="0"/>
          <w:divBdr>
            <w:top w:val="none" w:sz="0" w:space="0" w:color="auto"/>
            <w:left w:val="none" w:sz="0" w:space="0" w:color="auto"/>
            <w:bottom w:val="none" w:sz="0" w:space="0" w:color="auto"/>
            <w:right w:val="none" w:sz="0" w:space="0" w:color="auto"/>
          </w:divBdr>
        </w:div>
        <w:div w:id="644042517">
          <w:marLeft w:val="0"/>
          <w:marRight w:val="0"/>
          <w:marTop w:val="0"/>
          <w:marBottom w:val="0"/>
          <w:divBdr>
            <w:top w:val="none" w:sz="0" w:space="0" w:color="auto"/>
            <w:left w:val="none" w:sz="0" w:space="0" w:color="auto"/>
            <w:bottom w:val="none" w:sz="0" w:space="0" w:color="auto"/>
            <w:right w:val="none" w:sz="0" w:space="0" w:color="auto"/>
          </w:divBdr>
        </w:div>
        <w:div w:id="1826433809">
          <w:marLeft w:val="0"/>
          <w:marRight w:val="0"/>
          <w:marTop w:val="0"/>
          <w:marBottom w:val="0"/>
          <w:divBdr>
            <w:top w:val="none" w:sz="0" w:space="0" w:color="auto"/>
            <w:left w:val="none" w:sz="0" w:space="0" w:color="auto"/>
            <w:bottom w:val="none" w:sz="0" w:space="0" w:color="auto"/>
            <w:right w:val="none" w:sz="0" w:space="0" w:color="auto"/>
          </w:divBdr>
        </w:div>
        <w:div w:id="1295452908">
          <w:marLeft w:val="0"/>
          <w:marRight w:val="0"/>
          <w:marTop w:val="0"/>
          <w:marBottom w:val="0"/>
          <w:divBdr>
            <w:top w:val="none" w:sz="0" w:space="0" w:color="auto"/>
            <w:left w:val="none" w:sz="0" w:space="0" w:color="auto"/>
            <w:bottom w:val="none" w:sz="0" w:space="0" w:color="auto"/>
            <w:right w:val="none" w:sz="0" w:space="0" w:color="auto"/>
          </w:divBdr>
        </w:div>
        <w:div w:id="447893653">
          <w:marLeft w:val="0"/>
          <w:marRight w:val="0"/>
          <w:marTop w:val="0"/>
          <w:marBottom w:val="0"/>
          <w:divBdr>
            <w:top w:val="none" w:sz="0" w:space="0" w:color="auto"/>
            <w:left w:val="none" w:sz="0" w:space="0" w:color="auto"/>
            <w:bottom w:val="none" w:sz="0" w:space="0" w:color="auto"/>
            <w:right w:val="none" w:sz="0" w:space="0" w:color="auto"/>
          </w:divBdr>
        </w:div>
        <w:div w:id="1993363521">
          <w:marLeft w:val="0"/>
          <w:marRight w:val="0"/>
          <w:marTop w:val="0"/>
          <w:marBottom w:val="0"/>
          <w:divBdr>
            <w:top w:val="none" w:sz="0" w:space="0" w:color="auto"/>
            <w:left w:val="none" w:sz="0" w:space="0" w:color="auto"/>
            <w:bottom w:val="none" w:sz="0" w:space="0" w:color="auto"/>
            <w:right w:val="none" w:sz="0" w:space="0" w:color="auto"/>
          </w:divBdr>
        </w:div>
        <w:div w:id="1743915826">
          <w:marLeft w:val="0"/>
          <w:marRight w:val="0"/>
          <w:marTop w:val="0"/>
          <w:marBottom w:val="0"/>
          <w:divBdr>
            <w:top w:val="none" w:sz="0" w:space="0" w:color="auto"/>
            <w:left w:val="none" w:sz="0" w:space="0" w:color="auto"/>
            <w:bottom w:val="none" w:sz="0" w:space="0" w:color="auto"/>
            <w:right w:val="none" w:sz="0" w:space="0" w:color="auto"/>
          </w:divBdr>
        </w:div>
        <w:div w:id="2078279239">
          <w:marLeft w:val="0"/>
          <w:marRight w:val="0"/>
          <w:marTop w:val="0"/>
          <w:marBottom w:val="0"/>
          <w:divBdr>
            <w:top w:val="none" w:sz="0" w:space="0" w:color="auto"/>
            <w:left w:val="none" w:sz="0" w:space="0" w:color="auto"/>
            <w:bottom w:val="none" w:sz="0" w:space="0" w:color="auto"/>
            <w:right w:val="none" w:sz="0" w:space="0" w:color="auto"/>
          </w:divBdr>
        </w:div>
        <w:div w:id="1524174941">
          <w:marLeft w:val="0"/>
          <w:marRight w:val="0"/>
          <w:marTop w:val="0"/>
          <w:marBottom w:val="0"/>
          <w:divBdr>
            <w:top w:val="none" w:sz="0" w:space="0" w:color="auto"/>
            <w:left w:val="none" w:sz="0" w:space="0" w:color="auto"/>
            <w:bottom w:val="none" w:sz="0" w:space="0" w:color="auto"/>
            <w:right w:val="none" w:sz="0" w:space="0" w:color="auto"/>
          </w:divBdr>
        </w:div>
        <w:div w:id="1499617664">
          <w:marLeft w:val="0"/>
          <w:marRight w:val="0"/>
          <w:marTop w:val="0"/>
          <w:marBottom w:val="0"/>
          <w:divBdr>
            <w:top w:val="none" w:sz="0" w:space="0" w:color="auto"/>
            <w:left w:val="none" w:sz="0" w:space="0" w:color="auto"/>
            <w:bottom w:val="none" w:sz="0" w:space="0" w:color="auto"/>
            <w:right w:val="none" w:sz="0" w:space="0" w:color="auto"/>
          </w:divBdr>
        </w:div>
      </w:divsChild>
    </w:div>
    <w:div w:id="808398297">
      <w:bodyDiv w:val="1"/>
      <w:marLeft w:val="0"/>
      <w:marRight w:val="0"/>
      <w:marTop w:val="0"/>
      <w:marBottom w:val="0"/>
      <w:divBdr>
        <w:top w:val="none" w:sz="0" w:space="0" w:color="auto"/>
        <w:left w:val="none" w:sz="0" w:space="0" w:color="auto"/>
        <w:bottom w:val="none" w:sz="0" w:space="0" w:color="auto"/>
        <w:right w:val="none" w:sz="0" w:space="0" w:color="auto"/>
      </w:divBdr>
    </w:div>
    <w:div w:id="1299917100">
      <w:bodyDiv w:val="1"/>
      <w:marLeft w:val="0"/>
      <w:marRight w:val="0"/>
      <w:marTop w:val="0"/>
      <w:marBottom w:val="0"/>
      <w:divBdr>
        <w:top w:val="none" w:sz="0" w:space="0" w:color="auto"/>
        <w:left w:val="none" w:sz="0" w:space="0" w:color="auto"/>
        <w:bottom w:val="none" w:sz="0" w:space="0" w:color="auto"/>
        <w:right w:val="none" w:sz="0" w:space="0" w:color="auto"/>
      </w:divBdr>
      <w:divsChild>
        <w:div w:id="431051463">
          <w:marLeft w:val="0"/>
          <w:marRight w:val="0"/>
          <w:marTop w:val="0"/>
          <w:marBottom w:val="0"/>
          <w:divBdr>
            <w:top w:val="none" w:sz="0" w:space="0" w:color="auto"/>
            <w:left w:val="none" w:sz="0" w:space="0" w:color="auto"/>
            <w:bottom w:val="none" w:sz="0" w:space="0" w:color="auto"/>
            <w:right w:val="none" w:sz="0" w:space="0" w:color="auto"/>
          </w:divBdr>
        </w:div>
        <w:div w:id="724257791">
          <w:marLeft w:val="0"/>
          <w:marRight w:val="0"/>
          <w:marTop w:val="0"/>
          <w:marBottom w:val="0"/>
          <w:divBdr>
            <w:top w:val="none" w:sz="0" w:space="0" w:color="auto"/>
            <w:left w:val="none" w:sz="0" w:space="0" w:color="auto"/>
            <w:bottom w:val="none" w:sz="0" w:space="0" w:color="auto"/>
            <w:right w:val="none" w:sz="0" w:space="0" w:color="auto"/>
          </w:divBdr>
        </w:div>
        <w:div w:id="576595530">
          <w:marLeft w:val="0"/>
          <w:marRight w:val="0"/>
          <w:marTop w:val="0"/>
          <w:marBottom w:val="0"/>
          <w:divBdr>
            <w:top w:val="none" w:sz="0" w:space="0" w:color="auto"/>
            <w:left w:val="none" w:sz="0" w:space="0" w:color="auto"/>
            <w:bottom w:val="none" w:sz="0" w:space="0" w:color="auto"/>
            <w:right w:val="none" w:sz="0" w:space="0" w:color="auto"/>
          </w:divBdr>
        </w:div>
        <w:div w:id="1930237091">
          <w:marLeft w:val="0"/>
          <w:marRight w:val="0"/>
          <w:marTop w:val="0"/>
          <w:marBottom w:val="0"/>
          <w:divBdr>
            <w:top w:val="none" w:sz="0" w:space="0" w:color="auto"/>
            <w:left w:val="none" w:sz="0" w:space="0" w:color="auto"/>
            <w:bottom w:val="none" w:sz="0" w:space="0" w:color="auto"/>
            <w:right w:val="none" w:sz="0" w:space="0" w:color="auto"/>
          </w:divBdr>
        </w:div>
        <w:div w:id="1245458642">
          <w:marLeft w:val="0"/>
          <w:marRight w:val="0"/>
          <w:marTop w:val="0"/>
          <w:marBottom w:val="0"/>
          <w:divBdr>
            <w:top w:val="none" w:sz="0" w:space="0" w:color="auto"/>
            <w:left w:val="none" w:sz="0" w:space="0" w:color="auto"/>
            <w:bottom w:val="none" w:sz="0" w:space="0" w:color="auto"/>
            <w:right w:val="none" w:sz="0" w:space="0" w:color="auto"/>
          </w:divBdr>
        </w:div>
        <w:div w:id="186138298">
          <w:marLeft w:val="0"/>
          <w:marRight w:val="0"/>
          <w:marTop w:val="0"/>
          <w:marBottom w:val="0"/>
          <w:divBdr>
            <w:top w:val="none" w:sz="0" w:space="0" w:color="auto"/>
            <w:left w:val="none" w:sz="0" w:space="0" w:color="auto"/>
            <w:bottom w:val="none" w:sz="0" w:space="0" w:color="auto"/>
            <w:right w:val="none" w:sz="0" w:space="0" w:color="auto"/>
          </w:divBdr>
        </w:div>
        <w:div w:id="154690613">
          <w:marLeft w:val="0"/>
          <w:marRight w:val="0"/>
          <w:marTop w:val="0"/>
          <w:marBottom w:val="0"/>
          <w:divBdr>
            <w:top w:val="none" w:sz="0" w:space="0" w:color="auto"/>
            <w:left w:val="none" w:sz="0" w:space="0" w:color="auto"/>
            <w:bottom w:val="none" w:sz="0" w:space="0" w:color="auto"/>
            <w:right w:val="none" w:sz="0" w:space="0" w:color="auto"/>
          </w:divBdr>
        </w:div>
        <w:div w:id="1786805348">
          <w:marLeft w:val="0"/>
          <w:marRight w:val="0"/>
          <w:marTop w:val="0"/>
          <w:marBottom w:val="0"/>
          <w:divBdr>
            <w:top w:val="none" w:sz="0" w:space="0" w:color="auto"/>
            <w:left w:val="none" w:sz="0" w:space="0" w:color="auto"/>
            <w:bottom w:val="none" w:sz="0" w:space="0" w:color="auto"/>
            <w:right w:val="none" w:sz="0" w:space="0" w:color="auto"/>
          </w:divBdr>
        </w:div>
        <w:div w:id="797996289">
          <w:marLeft w:val="0"/>
          <w:marRight w:val="0"/>
          <w:marTop w:val="0"/>
          <w:marBottom w:val="0"/>
          <w:divBdr>
            <w:top w:val="none" w:sz="0" w:space="0" w:color="auto"/>
            <w:left w:val="none" w:sz="0" w:space="0" w:color="auto"/>
            <w:bottom w:val="none" w:sz="0" w:space="0" w:color="auto"/>
            <w:right w:val="none" w:sz="0" w:space="0" w:color="auto"/>
          </w:divBdr>
        </w:div>
        <w:div w:id="1407262992">
          <w:marLeft w:val="0"/>
          <w:marRight w:val="0"/>
          <w:marTop w:val="0"/>
          <w:marBottom w:val="0"/>
          <w:divBdr>
            <w:top w:val="none" w:sz="0" w:space="0" w:color="auto"/>
            <w:left w:val="none" w:sz="0" w:space="0" w:color="auto"/>
            <w:bottom w:val="none" w:sz="0" w:space="0" w:color="auto"/>
            <w:right w:val="none" w:sz="0" w:space="0" w:color="auto"/>
          </w:divBdr>
        </w:div>
        <w:div w:id="1819372561">
          <w:marLeft w:val="0"/>
          <w:marRight w:val="0"/>
          <w:marTop w:val="0"/>
          <w:marBottom w:val="0"/>
          <w:divBdr>
            <w:top w:val="none" w:sz="0" w:space="0" w:color="auto"/>
            <w:left w:val="none" w:sz="0" w:space="0" w:color="auto"/>
            <w:bottom w:val="none" w:sz="0" w:space="0" w:color="auto"/>
            <w:right w:val="none" w:sz="0" w:space="0" w:color="auto"/>
          </w:divBdr>
        </w:div>
        <w:div w:id="1805544448">
          <w:marLeft w:val="0"/>
          <w:marRight w:val="0"/>
          <w:marTop w:val="0"/>
          <w:marBottom w:val="0"/>
          <w:divBdr>
            <w:top w:val="none" w:sz="0" w:space="0" w:color="auto"/>
            <w:left w:val="none" w:sz="0" w:space="0" w:color="auto"/>
            <w:bottom w:val="none" w:sz="0" w:space="0" w:color="auto"/>
            <w:right w:val="none" w:sz="0" w:space="0" w:color="auto"/>
          </w:divBdr>
        </w:div>
        <w:div w:id="1519006555">
          <w:marLeft w:val="0"/>
          <w:marRight w:val="0"/>
          <w:marTop w:val="0"/>
          <w:marBottom w:val="0"/>
          <w:divBdr>
            <w:top w:val="none" w:sz="0" w:space="0" w:color="auto"/>
            <w:left w:val="none" w:sz="0" w:space="0" w:color="auto"/>
            <w:bottom w:val="none" w:sz="0" w:space="0" w:color="auto"/>
            <w:right w:val="none" w:sz="0" w:space="0" w:color="auto"/>
          </w:divBdr>
        </w:div>
        <w:div w:id="1012799438">
          <w:marLeft w:val="0"/>
          <w:marRight w:val="0"/>
          <w:marTop w:val="0"/>
          <w:marBottom w:val="0"/>
          <w:divBdr>
            <w:top w:val="none" w:sz="0" w:space="0" w:color="auto"/>
            <w:left w:val="none" w:sz="0" w:space="0" w:color="auto"/>
            <w:bottom w:val="none" w:sz="0" w:space="0" w:color="auto"/>
            <w:right w:val="none" w:sz="0" w:space="0" w:color="auto"/>
          </w:divBdr>
        </w:div>
        <w:div w:id="985477378">
          <w:marLeft w:val="0"/>
          <w:marRight w:val="0"/>
          <w:marTop w:val="0"/>
          <w:marBottom w:val="0"/>
          <w:divBdr>
            <w:top w:val="none" w:sz="0" w:space="0" w:color="auto"/>
            <w:left w:val="none" w:sz="0" w:space="0" w:color="auto"/>
            <w:bottom w:val="none" w:sz="0" w:space="0" w:color="auto"/>
            <w:right w:val="none" w:sz="0" w:space="0" w:color="auto"/>
          </w:divBdr>
        </w:div>
        <w:div w:id="938568107">
          <w:marLeft w:val="0"/>
          <w:marRight w:val="0"/>
          <w:marTop w:val="0"/>
          <w:marBottom w:val="0"/>
          <w:divBdr>
            <w:top w:val="none" w:sz="0" w:space="0" w:color="auto"/>
            <w:left w:val="none" w:sz="0" w:space="0" w:color="auto"/>
            <w:bottom w:val="none" w:sz="0" w:space="0" w:color="auto"/>
            <w:right w:val="none" w:sz="0" w:space="0" w:color="auto"/>
          </w:divBdr>
        </w:div>
        <w:div w:id="2095513896">
          <w:marLeft w:val="0"/>
          <w:marRight w:val="0"/>
          <w:marTop w:val="0"/>
          <w:marBottom w:val="0"/>
          <w:divBdr>
            <w:top w:val="none" w:sz="0" w:space="0" w:color="auto"/>
            <w:left w:val="none" w:sz="0" w:space="0" w:color="auto"/>
            <w:bottom w:val="none" w:sz="0" w:space="0" w:color="auto"/>
            <w:right w:val="none" w:sz="0" w:space="0" w:color="auto"/>
          </w:divBdr>
        </w:div>
        <w:div w:id="1721980741">
          <w:marLeft w:val="0"/>
          <w:marRight w:val="0"/>
          <w:marTop w:val="0"/>
          <w:marBottom w:val="0"/>
          <w:divBdr>
            <w:top w:val="none" w:sz="0" w:space="0" w:color="auto"/>
            <w:left w:val="none" w:sz="0" w:space="0" w:color="auto"/>
            <w:bottom w:val="none" w:sz="0" w:space="0" w:color="auto"/>
            <w:right w:val="none" w:sz="0" w:space="0" w:color="auto"/>
          </w:divBdr>
        </w:div>
        <w:div w:id="349528900">
          <w:marLeft w:val="0"/>
          <w:marRight w:val="0"/>
          <w:marTop w:val="0"/>
          <w:marBottom w:val="0"/>
          <w:divBdr>
            <w:top w:val="none" w:sz="0" w:space="0" w:color="auto"/>
            <w:left w:val="none" w:sz="0" w:space="0" w:color="auto"/>
            <w:bottom w:val="none" w:sz="0" w:space="0" w:color="auto"/>
            <w:right w:val="none" w:sz="0" w:space="0" w:color="auto"/>
          </w:divBdr>
        </w:div>
      </w:divsChild>
    </w:div>
    <w:div w:id="1451702298">
      <w:bodyDiv w:val="1"/>
      <w:marLeft w:val="0"/>
      <w:marRight w:val="0"/>
      <w:marTop w:val="0"/>
      <w:marBottom w:val="0"/>
      <w:divBdr>
        <w:top w:val="none" w:sz="0" w:space="0" w:color="auto"/>
        <w:left w:val="none" w:sz="0" w:space="0" w:color="auto"/>
        <w:bottom w:val="none" w:sz="0" w:space="0" w:color="auto"/>
        <w:right w:val="none" w:sz="0" w:space="0" w:color="auto"/>
      </w:divBdr>
      <w:divsChild>
        <w:div w:id="666594592">
          <w:marLeft w:val="0"/>
          <w:marRight w:val="0"/>
          <w:marTop w:val="0"/>
          <w:marBottom w:val="0"/>
          <w:divBdr>
            <w:top w:val="none" w:sz="0" w:space="0" w:color="auto"/>
            <w:left w:val="none" w:sz="0" w:space="0" w:color="auto"/>
            <w:bottom w:val="none" w:sz="0" w:space="0" w:color="auto"/>
            <w:right w:val="none" w:sz="0" w:space="0" w:color="auto"/>
          </w:divBdr>
        </w:div>
        <w:div w:id="470444021">
          <w:marLeft w:val="0"/>
          <w:marRight w:val="0"/>
          <w:marTop w:val="0"/>
          <w:marBottom w:val="0"/>
          <w:divBdr>
            <w:top w:val="none" w:sz="0" w:space="0" w:color="auto"/>
            <w:left w:val="none" w:sz="0" w:space="0" w:color="auto"/>
            <w:bottom w:val="none" w:sz="0" w:space="0" w:color="auto"/>
            <w:right w:val="none" w:sz="0" w:space="0" w:color="auto"/>
          </w:divBdr>
        </w:div>
      </w:divsChild>
    </w:div>
    <w:div w:id="1932859325">
      <w:bodyDiv w:val="1"/>
      <w:marLeft w:val="0"/>
      <w:marRight w:val="0"/>
      <w:marTop w:val="0"/>
      <w:marBottom w:val="0"/>
      <w:divBdr>
        <w:top w:val="none" w:sz="0" w:space="0" w:color="auto"/>
        <w:left w:val="none" w:sz="0" w:space="0" w:color="auto"/>
        <w:bottom w:val="none" w:sz="0" w:space="0" w:color="auto"/>
        <w:right w:val="none" w:sz="0" w:space="0" w:color="auto"/>
      </w:divBdr>
    </w:div>
    <w:div w:id="2084796200">
      <w:bodyDiv w:val="1"/>
      <w:marLeft w:val="0"/>
      <w:marRight w:val="0"/>
      <w:marTop w:val="0"/>
      <w:marBottom w:val="0"/>
      <w:divBdr>
        <w:top w:val="none" w:sz="0" w:space="0" w:color="auto"/>
        <w:left w:val="none" w:sz="0" w:space="0" w:color="auto"/>
        <w:bottom w:val="none" w:sz="0" w:space="0" w:color="auto"/>
        <w:right w:val="none" w:sz="0" w:space="0" w:color="auto"/>
      </w:divBdr>
      <w:divsChild>
        <w:div w:id="1239753280">
          <w:marLeft w:val="0"/>
          <w:marRight w:val="0"/>
          <w:marTop w:val="0"/>
          <w:marBottom w:val="0"/>
          <w:divBdr>
            <w:top w:val="none" w:sz="0" w:space="0" w:color="auto"/>
            <w:left w:val="none" w:sz="0" w:space="0" w:color="auto"/>
            <w:bottom w:val="none" w:sz="0" w:space="0" w:color="auto"/>
            <w:right w:val="none" w:sz="0" w:space="0" w:color="auto"/>
          </w:divBdr>
        </w:div>
        <w:div w:id="2069453668">
          <w:marLeft w:val="0"/>
          <w:marRight w:val="0"/>
          <w:marTop w:val="0"/>
          <w:marBottom w:val="0"/>
          <w:divBdr>
            <w:top w:val="none" w:sz="0" w:space="0" w:color="auto"/>
            <w:left w:val="none" w:sz="0" w:space="0" w:color="auto"/>
            <w:bottom w:val="none" w:sz="0" w:space="0" w:color="auto"/>
            <w:right w:val="none" w:sz="0" w:space="0" w:color="auto"/>
          </w:divBdr>
        </w:div>
        <w:div w:id="581262066">
          <w:marLeft w:val="0"/>
          <w:marRight w:val="0"/>
          <w:marTop w:val="0"/>
          <w:marBottom w:val="0"/>
          <w:divBdr>
            <w:top w:val="none" w:sz="0" w:space="0" w:color="auto"/>
            <w:left w:val="none" w:sz="0" w:space="0" w:color="auto"/>
            <w:bottom w:val="none" w:sz="0" w:space="0" w:color="auto"/>
            <w:right w:val="none" w:sz="0" w:space="0" w:color="auto"/>
          </w:divBdr>
        </w:div>
        <w:div w:id="565796376">
          <w:marLeft w:val="0"/>
          <w:marRight w:val="0"/>
          <w:marTop w:val="0"/>
          <w:marBottom w:val="0"/>
          <w:divBdr>
            <w:top w:val="none" w:sz="0" w:space="0" w:color="auto"/>
            <w:left w:val="none" w:sz="0" w:space="0" w:color="auto"/>
            <w:bottom w:val="none" w:sz="0" w:space="0" w:color="auto"/>
            <w:right w:val="none" w:sz="0" w:space="0" w:color="auto"/>
          </w:divBdr>
        </w:div>
        <w:div w:id="1515995215">
          <w:marLeft w:val="0"/>
          <w:marRight w:val="0"/>
          <w:marTop w:val="0"/>
          <w:marBottom w:val="0"/>
          <w:divBdr>
            <w:top w:val="none" w:sz="0" w:space="0" w:color="auto"/>
            <w:left w:val="none" w:sz="0" w:space="0" w:color="auto"/>
            <w:bottom w:val="none" w:sz="0" w:space="0" w:color="auto"/>
            <w:right w:val="none" w:sz="0" w:space="0" w:color="auto"/>
          </w:divBdr>
        </w:div>
        <w:div w:id="1063262495">
          <w:marLeft w:val="0"/>
          <w:marRight w:val="0"/>
          <w:marTop w:val="0"/>
          <w:marBottom w:val="0"/>
          <w:divBdr>
            <w:top w:val="none" w:sz="0" w:space="0" w:color="auto"/>
            <w:left w:val="none" w:sz="0" w:space="0" w:color="auto"/>
            <w:bottom w:val="none" w:sz="0" w:space="0" w:color="auto"/>
            <w:right w:val="none" w:sz="0" w:space="0" w:color="auto"/>
          </w:divBdr>
        </w:div>
        <w:div w:id="1310867150">
          <w:marLeft w:val="0"/>
          <w:marRight w:val="0"/>
          <w:marTop w:val="0"/>
          <w:marBottom w:val="0"/>
          <w:divBdr>
            <w:top w:val="none" w:sz="0" w:space="0" w:color="auto"/>
            <w:left w:val="none" w:sz="0" w:space="0" w:color="auto"/>
            <w:bottom w:val="none" w:sz="0" w:space="0" w:color="auto"/>
            <w:right w:val="none" w:sz="0" w:space="0" w:color="auto"/>
          </w:divBdr>
        </w:div>
        <w:div w:id="216667220">
          <w:marLeft w:val="0"/>
          <w:marRight w:val="0"/>
          <w:marTop w:val="0"/>
          <w:marBottom w:val="0"/>
          <w:divBdr>
            <w:top w:val="none" w:sz="0" w:space="0" w:color="auto"/>
            <w:left w:val="none" w:sz="0" w:space="0" w:color="auto"/>
            <w:bottom w:val="none" w:sz="0" w:space="0" w:color="auto"/>
            <w:right w:val="none" w:sz="0" w:space="0" w:color="auto"/>
          </w:divBdr>
        </w:div>
        <w:div w:id="1564682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info@accan.org.au" TargetMode="External"/><Relationship Id="rId23" Type="http://schemas.openxmlformats.org/officeDocument/2006/relationships/footer" Target="footer4.xml"/><Relationship Id="rId10" Type="http://schemas.microsoft.com/office/2007/relationships/stylesWithEffects" Target="stylesWithEffect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13" Type="http://schemas.openxmlformats.org/officeDocument/2006/relationships/hyperlink" Target="http://www.activ8me.net.au/about/remote-community-telecommunications" TargetMode="External"/><Relationship Id="rId18" Type="http://schemas.openxmlformats.org/officeDocument/2006/relationships/hyperlink" Target="https://accan.org.au/files/Reports/Realising%20Universal%20Communications.pdf" TargetMode="External"/><Relationship Id="rId26" Type="http://schemas.openxmlformats.org/officeDocument/2006/relationships/hyperlink" Target="http://www.abc.net.au/local/stories/2014/05/08/4000418.htm" TargetMode="External"/><Relationship Id="rId39" Type="http://schemas.openxmlformats.org/officeDocument/2006/relationships/hyperlink" Target="http://deridder.com.au/site/wp-content/uploads/2014/05/ACCAN-USO.pdf" TargetMode="External"/><Relationship Id="rId3" Type="http://schemas.openxmlformats.org/officeDocument/2006/relationships/hyperlink" Target="http://deridder.com.au/site/wp-content/uploads/2014/05/ACCAN-USO.pdf" TargetMode="External"/><Relationship Id="rId21" Type="http://schemas.openxmlformats.org/officeDocument/2006/relationships/hyperlink" Target="https://www.communications.gov.au/policy/policy-listing/telecommunications-new-developments" TargetMode="External"/><Relationship Id="rId34" Type="http://schemas.openxmlformats.org/officeDocument/2006/relationships/hyperlink" Target="http://www.abs.gov.au/AUSSTATS/abs@.nsf/Lookup/8146.0Main+Features12014-15?OpenDocument" TargetMode="External"/><Relationship Id="rId42" Type="http://schemas.openxmlformats.org/officeDocument/2006/relationships/hyperlink" Target="https://www.oecd.org/australia/46497207.pdf" TargetMode="External"/><Relationship Id="rId47" Type="http://schemas.openxmlformats.org/officeDocument/2006/relationships/hyperlink" Target="https://www.fcc.gov/consumers/guides/national-deaf-blind-equipment-distribution-program" TargetMode="External"/><Relationship Id="rId50" Type="http://schemas.openxmlformats.org/officeDocument/2006/relationships/hyperlink" Target="http://www.ausstats.abs.gov.au/Ausstats/subscriber.nsf/0/9EBEEE90D2746F45CA2572E20013BD17/$File/41590_2006.pdf" TargetMode="External"/><Relationship Id="rId7" Type="http://schemas.openxmlformats.org/officeDocument/2006/relationships/hyperlink" Target="http://www.acma.gov.au/webwr/_assets/main/lib310210/telecommunications_in_rics_2008.pdf" TargetMode="External"/><Relationship Id="rId12" Type="http://schemas.openxmlformats.org/officeDocument/2006/relationships/hyperlink" Target="http://infostore.saiglobal.com/store/details.aspx?ProductID=316656" TargetMode="External"/><Relationship Id="rId17" Type="http://schemas.openxmlformats.org/officeDocument/2006/relationships/hyperlink" Target="http://caylus.org.au/computerrooms/" TargetMode="External"/><Relationship Id="rId25" Type="http://schemas.openxmlformats.org/officeDocument/2006/relationships/hyperlink" Target="http://www.nbnco.com.au/content/dam/nbnco2/documents/soe-shareholder-minister-letter.pdf" TargetMode="External"/><Relationship Id="rId33" Type="http://schemas.openxmlformats.org/officeDocument/2006/relationships/hyperlink" Target="http://www.vodafone.com/content/dam/vodafone/about/public_policy/affordability_plum.pdf" TargetMode="External"/><Relationship Id="rId38" Type="http://schemas.openxmlformats.org/officeDocument/2006/relationships/hyperlink" Target="http://accan.org.au/election-2016/media/1258-new-data-highlights-telecommunications-exclusion" TargetMode="External"/><Relationship Id="rId46" Type="http://schemas.openxmlformats.org/officeDocument/2006/relationships/hyperlink" Target="http://accan.org.au/our-work/submissions/361-review-of-access-to-telecommunication-services-by-people-with-disability-older-australians-and-people-experiencing-illness" TargetMode="External"/><Relationship Id="rId2" Type="http://schemas.openxmlformats.org/officeDocument/2006/relationships/hyperlink" Target="https://www.telstra.com.au/consumer-advice/customer-service/universal-service-obligation" TargetMode="External"/><Relationship Id="rId16" Type="http://schemas.openxmlformats.org/officeDocument/2006/relationships/hyperlink" Target="https://www.thesmithfamily.com.au/what-we-do/our-work/at-home/tech-packs" TargetMode="External"/><Relationship Id="rId20" Type="http://schemas.openxmlformats.org/officeDocument/2006/relationships/hyperlink" Target="http://www.acma.gov.au/theACMA/Library/Corporate-library/Corporate-publications/communications-report" TargetMode="External"/><Relationship Id="rId29" Type="http://schemas.openxmlformats.org/officeDocument/2006/relationships/hyperlink" Target="https://www.communications.gov.au/have-your-say/final-consultation-nbn-non-commercial-services-funding-options" TargetMode="External"/><Relationship Id="rId41" Type="http://schemas.openxmlformats.org/officeDocument/2006/relationships/hyperlink" Target="https://www.dss.gov.au/our-responsibilities/disability-and-carers/publications-articles/policy-research/shut-out-the-experience-of-people-with-disabilities-and-their-families-in-australia?HTML" TargetMode="External"/><Relationship Id="rId1" Type="http://schemas.openxmlformats.org/officeDocument/2006/relationships/hyperlink" Target="http://accan.org.au/The%20Connected%20Consumer.pdf" TargetMode="External"/><Relationship Id="rId6" Type="http://schemas.openxmlformats.org/officeDocument/2006/relationships/hyperlink" Target="http://www.acma.gov.au/theACMA/Library/Corporate-library/Corporate-publications/communications-report-2014-15" TargetMode="External"/><Relationship Id="rId11" Type="http://schemas.openxmlformats.org/officeDocument/2006/relationships/hyperlink" Target="https://www.legislation.gov.au/Details/F2014L01002/Download" TargetMode="External"/><Relationship Id="rId24" Type="http://schemas.openxmlformats.org/officeDocument/2006/relationships/hyperlink" Target="http://www.nbnco.com.au/content/dam/nbnco2/documents/sfaa-wba2-product-catalogue-fair-use-policy_20160407.pdf" TargetMode="External"/><Relationship Id="rId32" Type="http://schemas.openxmlformats.org/officeDocument/2006/relationships/hyperlink" Target="http://www.nbnco.com.au/sell-nbn-services/supply-agreements/wba2.html" TargetMode="External"/><Relationship Id="rId37" Type="http://schemas.openxmlformats.org/officeDocument/2006/relationships/hyperlink" Target="https://www.telstra.com.au/content/dam/tcom/about-us/community-environment/pdf/2013-report-minister.pdf" TargetMode="External"/><Relationship Id="rId40" Type="http://schemas.openxmlformats.org/officeDocument/2006/relationships/hyperlink" Target="https://accan.org.au/Affordability%20Map%20June%202016.pdf" TargetMode="External"/><Relationship Id="rId45" Type="http://schemas.openxmlformats.org/officeDocument/2006/relationships/hyperlink" Target="https://www.dss.gov.au/sites/default/files/documents/05_2012/national_disability_strategy_2010_2020.pdf" TargetMode="External"/><Relationship Id="rId53" Type="http://schemas.openxmlformats.org/officeDocument/2006/relationships/hyperlink" Target="https://www.communications.gov.au/departmental-news/further-consultation-nbn-non-commercial-services" TargetMode="External"/><Relationship Id="rId5" Type="http://schemas.openxmlformats.org/officeDocument/2006/relationships/hyperlink" Target="https://www.communications.gov.au/sites/g/files/net301/f/TIO%20submission%20-%202015%20Regional%20Telecommunications%20Review%20-%20Final.pdf" TargetMode="External"/><Relationship Id="rId15" Type="http://schemas.openxmlformats.org/officeDocument/2006/relationships/hyperlink" Target="https://www.infoxchange.org/au/community-programs/affordable-internet-access" TargetMode="External"/><Relationship Id="rId23" Type="http://schemas.openxmlformats.org/officeDocument/2006/relationships/hyperlink" Target="https://www.accc.gov.au/system/files/ACCC%20Telecommunications%20reports%202014%E2%80%9315_Div%2011%20and%2012_web_FA.pdf" TargetMode="External"/><Relationship Id="rId28" Type="http://schemas.openxmlformats.org/officeDocument/2006/relationships/hyperlink" Target="http://www.abs.gov.au/ausstats/abs@.nsf/Lookup/8146.0Chapter12012-13" TargetMode="External"/><Relationship Id="rId36" Type="http://schemas.openxmlformats.org/officeDocument/2006/relationships/hyperlink" Target="https://www.legislation.gov.au/Details/F2015C00031" TargetMode="External"/><Relationship Id="rId49" Type="http://schemas.openxmlformats.org/officeDocument/2006/relationships/hyperlink" Target="http://accan.org.au/files/Reports/Communicating%20Difference%20Report.pdf" TargetMode="External"/><Relationship Id="rId10" Type="http://schemas.openxmlformats.org/officeDocument/2006/relationships/hyperlink" Target="http://www.acma.gov.au/Industry/Telco/Carriers-and-service-providers/Universal-service-obligation/network-reliability-framework-carriers-service-providers-acma-1" TargetMode="External"/><Relationship Id="rId19" Type="http://schemas.openxmlformats.org/officeDocument/2006/relationships/hyperlink" Target="http://deridder.com.au/site/wp-content/uploads/2014/05/ACCAN-USO.pdf" TargetMode="External"/><Relationship Id="rId31" Type="http://schemas.openxmlformats.org/officeDocument/2006/relationships/hyperlink" Target="http://accan.org.au/our-work/policy/1179-affordable-communications" TargetMode="External"/><Relationship Id="rId44" Type="http://schemas.openxmlformats.org/officeDocument/2006/relationships/hyperlink" Target="http://deridder.com.au/site/wp-content/uploads/2014/05/ACCAN-USO.pdf" TargetMode="External"/><Relationship Id="rId52" Type="http://schemas.openxmlformats.org/officeDocument/2006/relationships/hyperlink" Target="http://www.austlii.edu.au/au/legis/cth/consol_act/tpassa1999620/s13.html" TargetMode="External"/><Relationship Id="rId4" Type="http://schemas.openxmlformats.org/officeDocument/2006/relationships/hyperlink" Target="https://annualreport.tio.com.au/complaint-trends/tio-complaint-trends" TargetMode="External"/><Relationship Id="rId9" Type="http://schemas.openxmlformats.org/officeDocument/2006/relationships/hyperlink" Target="https://www.legislation.gov.au/Details/F2011L02707" TargetMode="External"/><Relationship Id="rId14" Type="http://schemas.openxmlformats.org/officeDocument/2006/relationships/hyperlink" Target="http://www.cat.org.au/the-cat-community-access-phone/" TargetMode="External"/><Relationship Id="rId22" Type="http://schemas.openxmlformats.org/officeDocument/2006/relationships/hyperlink" Target="http://www.zdnet.com/article/nbn-users-download-more-data-per-month-than-national-average/" TargetMode="External"/><Relationship Id="rId27" Type="http://schemas.openxmlformats.org/officeDocument/2006/relationships/hyperlink" Target="http://www.ewon.com.au/index.cfm/suppliers/supplier-responsibilities/retailer-of-last-resort/" TargetMode="External"/><Relationship Id="rId30" Type="http://schemas.openxmlformats.org/officeDocument/2006/relationships/hyperlink" Target="https://www.communications.gov.au/have-your-say/carrier-licence-conditions-telecommunications-new-developments" TargetMode="External"/><Relationship Id="rId35" Type="http://schemas.openxmlformats.org/officeDocument/2006/relationships/hyperlink" Target="http://www.abs.gov.au/AUSSTATS/abs@.nsf/Lookup/8146.0Main+Features12014-15?OpenDocument" TargetMode="External"/><Relationship Id="rId43" Type="http://schemas.openxmlformats.org/officeDocument/2006/relationships/hyperlink" Target="https://www.dss.gov.au/about-the-department/benefits-payments/telephone-allowance" TargetMode="External"/><Relationship Id="rId48" Type="http://schemas.openxmlformats.org/officeDocument/2006/relationships/hyperlink" Target="http://en.wikipedia.org/wiki/Second_language_attrition" TargetMode="External"/><Relationship Id="rId8" Type="http://schemas.openxmlformats.org/officeDocument/2006/relationships/hyperlink" Target="http://www.acma.gov.au/theACMA/engage-blogs/engage-blogs/Research-snapshots/Older-Australians-resist-cutting-the-cord" TargetMode="External"/><Relationship Id="rId51" Type="http://schemas.openxmlformats.org/officeDocument/2006/relationships/hyperlink" Target="http://www.relayservice.com.au/media/uploads/resources/NRS_Plan__2010-11_2.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A4BACF5810D60A4786FE0EE710FE46A4" ma:contentTypeVersion="0" ma:contentTypeDescription="" ma:contentTypeScope="" ma:versionID="719c92c6f052a7ef3f6cffbc29b4ce5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db5c8b4080e25c2dfc6fbaadeaa34413"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0DC3C-6DB5-4DF4-9221-46AE6D9DA1C5}">
  <ds:schemaRefs>
    <ds:schemaRef ds:uri="Microsoft.SharePoint.Taxonomy.ContentTypeSync"/>
  </ds:schemaRefs>
</ds:datastoreItem>
</file>

<file path=customXml/itemProps2.xml><?xml version="1.0" encoding="utf-8"?>
<ds:datastoreItem xmlns:ds="http://schemas.openxmlformats.org/officeDocument/2006/customXml" ds:itemID="{436A3694-0EE5-4A16-A8DC-DCBB5E4620B8}">
  <ds:schemaRefs>
    <ds:schemaRef ds:uri="http://schemas.microsoft.com/office/2006/documentManagement/types"/>
    <ds:schemaRef ds:uri="http://www.w3.org/XML/1998/namespace"/>
    <ds:schemaRef ds:uri="http://schemas.microsoft.com/office/2006/metadata/properties"/>
    <ds:schemaRef ds:uri="3f4bcce7-ac1a-4c9d-aa3e-7e77695652db"/>
    <ds:schemaRef ds:uri="http://purl.org/dc/elements/1.1/"/>
    <ds:schemaRef ds:uri="http://purl.org/dc/terms/"/>
    <ds:schemaRef ds:uri="http://schemas.microsoft.com/office/infopath/2007/PartnerControls"/>
    <ds:schemaRef ds:uri="http://schemas.openxmlformats.org/package/2006/metadata/core-properties"/>
    <ds:schemaRef ds:uri="8044c801-d84b-4ee1-a77e-678f8dcdee17"/>
    <ds:schemaRef ds:uri="http://purl.org/dc/dcmitype/"/>
  </ds:schemaRefs>
</ds:datastoreItem>
</file>

<file path=customXml/itemProps3.xml><?xml version="1.0" encoding="utf-8"?>
<ds:datastoreItem xmlns:ds="http://schemas.openxmlformats.org/officeDocument/2006/customXml" ds:itemID="{DC0BFBF8-B60C-45F2-A64C-26A6338D6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A7BB8C-57D3-47AE-80C5-BFECD5DD29BC}">
  <ds:schemaRefs>
    <ds:schemaRef ds:uri="http://schemas.microsoft.com/sharepoint/v3/contenttype/forms"/>
  </ds:schemaRefs>
</ds:datastoreItem>
</file>

<file path=customXml/itemProps5.xml><?xml version="1.0" encoding="utf-8"?>
<ds:datastoreItem xmlns:ds="http://schemas.openxmlformats.org/officeDocument/2006/customXml" ds:itemID="{CA2000E1-8574-465F-AE34-DAE59359601E}">
  <ds:schemaRefs>
    <ds:schemaRef ds:uri="http://schemas.microsoft.com/sharepoint/events"/>
  </ds:schemaRefs>
</ds:datastoreItem>
</file>

<file path=customXml/itemProps6.xml><?xml version="1.0" encoding="utf-8"?>
<ds:datastoreItem xmlns:ds="http://schemas.openxmlformats.org/officeDocument/2006/customXml" ds:itemID="{3D73513B-D018-4C74-A4F1-0FDEF2001330}">
  <ds:schemaRefs>
    <ds:schemaRef ds:uri="http://schemas.microsoft.com/office/2006/metadata/customXsn"/>
  </ds:schemaRefs>
</ds:datastoreItem>
</file>

<file path=customXml/itemProps7.xml><?xml version="1.0" encoding="utf-8"?>
<ds:datastoreItem xmlns:ds="http://schemas.openxmlformats.org/officeDocument/2006/customXml" ds:itemID="{86A3FD08-A37E-4B1B-92BB-63F75E51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9039</Words>
  <Characters>51524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Submission 48 - Australian Communications Consumer Action Network (ACCAN) - Telecommunications Universal Service Obligation - Public inquiry</vt:lpstr>
    </vt:vector>
  </TitlesOfParts>
  <Company>Australian Communications Consumer Action Network (ACCAN)</Company>
  <LinksUpToDate>false</LinksUpToDate>
  <CharactersWithSpaces>60443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48 - Australian Communications Consumer Action Network (ACCAN) - Telecommunications Universal Service Obligation - Public inquiry</dc:title>
  <dc:creator>Australian Communications Consumer Action Network (ACCAN)</dc:creator>
  <cp:keywords/>
  <cp:lastModifiedBy>Productivity Commission</cp:lastModifiedBy>
  <cp:revision>3</cp:revision>
  <cp:lastPrinted>2016-07-29T06:17:00Z</cp:lastPrinted>
  <dcterms:created xsi:type="dcterms:W3CDTF">2016-07-29T06:17:00Z</dcterms:created>
  <dcterms:modified xsi:type="dcterms:W3CDTF">2016-08-02T03:33:00Z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0x0101007916246811615643A710C6FEAFF56A87110500A4BACF5810D60A4786FE0EE710FE46A4</vt:lpwstr>
  </property>
  <property fmtid="{D5CDD505-2E9C-101B-9397-08002B2CF9AE}" pid="3" name="c401844703f64372bb0e85d87d761fe6">
    <vt:lpwstr>Reference Only|923c7a19-3b10-4b1a-aa53-490b73d512fc</vt:lpwstr>
  </property>
  <property fmtid="{D5CDD505-2E9C-101B-9397-08002B2CF9AE}" pid="4" name="Order">
    <vt:r8>6900</vt:r8>
  </property>
  <property fmtid="{D5CDD505-2E9C-101B-9397-08002B2CF9AE}" pid="5" name="TaxKeyword">
    <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