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38634" w14:textId="60D15C0F" w:rsidR="008E4BD6" w:rsidRDefault="00E243E8" w:rsidP="008E4BD6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University of Melbourne’s </w:t>
      </w:r>
      <w:r w:rsidR="002D2674" w:rsidRPr="004C3B51">
        <w:rPr>
          <w:rFonts w:ascii="Arial" w:hAnsi="Arial" w:cs="Arial"/>
          <w:color w:val="000000"/>
          <w:sz w:val="22"/>
          <w:szCs w:val="22"/>
        </w:rPr>
        <w:t xml:space="preserve">Indigenous Eye Health (IEH) welcomes the opportunity to </w:t>
      </w:r>
      <w:r w:rsidR="00D46A05">
        <w:rPr>
          <w:rFonts w:ascii="Arial" w:hAnsi="Arial" w:cs="Arial"/>
          <w:color w:val="000000"/>
          <w:sz w:val="22"/>
          <w:szCs w:val="22"/>
        </w:rPr>
        <w:t>respond to requests for information</w:t>
      </w:r>
      <w:r w:rsidR="000A5D63" w:rsidRPr="004C3B51">
        <w:rPr>
          <w:rFonts w:ascii="Arial" w:hAnsi="Arial" w:cs="Arial"/>
          <w:color w:val="000000"/>
          <w:sz w:val="22"/>
          <w:szCs w:val="22"/>
        </w:rPr>
        <w:t xml:space="preserve"> </w:t>
      </w:r>
      <w:r w:rsidR="002D2674" w:rsidRPr="004C3B51">
        <w:rPr>
          <w:rFonts w:ascii="Arial" w:hAnsi="Arial" w:cs="Arial"/>
          <w:color w:val="000000"/>
          <w:sz w:val="22"/>
          <w:szCs w:val="22"/>
        </w:rPr>
        <w:t xml:space="preserve">around </w:t>
      </w:r>
      <w:r w:rsidR="000A5D63" w:rsidRPr="004C3B51">
        <w:rPr>
          <w:rFonts w:ascii="Arial" w:hAnsi="Arial" w:cs="Arial"/>
          <w:color w:val="000000"/>
          <w:sz w:val="22"/>
          <w:szCs w:val="22"/>
        </w:rPr>
        <w:t>timely and affordable access to appropriate</w:t>
      </w:r>
      <w:r w:rsidR="00FC637D" w:rsidRPr="004C3B51">
        <w:rPr>
          <w:rFonts w:ascii="Arial" w:hAnsi="Arial" w:cs="Arial"/>
          <w:color w:val="000000"/>
          <w:sz w:val="22"/>
          <w:szCs w:val="22"/>
        </w:rPr>
        <w:t xml:space="preserve"> and</w:t>
      </w:r>
      <w:r w:rsidR="000A5D63" w:rsidRPr="004C3B51">
        <w:rPr>
          <w:rFonts w:ascii="Arial" w:hAnsi="Arial" w:cs="Arial"/>
          <w:color w:val="000000"/>
          <w:sz w:val="22"/>
          <w:szCs w:val="22"/>
        </w:rPr>
        <w:t xml:space="preserve"> cost effective </w:t>
      </w:r>
      <w:r w:rsidR="001C32A6">
        <w:rPr>
          <w:rFonts w:ascii="Arial" w:hAnsi="Arial" w:cs="Arial"/>
          <w:color w:val="000000"/>
          <w:sz w:val="22"/>
          <w:szCs w:val="22"/>
        </w:rPr>
        <w:t xml:space="preserve">human </w:t>
      </w:r>
      <w:r w:rsidR="000A5D63" w:rsidRPr="004C3B51">
        <w:rPr>
          <w:rFonts w:ascii="Arial" w:hAnsi="Arial" w:cs="Arial"/>
          <w:color w:val="000000"/>
          <w:sz w:val="22"/>
          <w:szCs w:val="22"/>
        </w:rPr>
        <w:t>services</w:t>
      </w:r>
      <w:r w:rsidR="00FC637D" w:rsidRPr="004C3B51">
        <w:rPr>
          <w:rFonts w:ascii="Arial" w:hAnsi="Arial" w:cs="Arial"/>
          <w:color w:val="000000"/>
          <w:sz w:val="22"/>
          <w:szCs w:val="22"/>
        </w:rPr>
        <w:t>.</w:t>
      </w:r>
      <w:r w:rsidR="000A5D63" w:rsidRPr="004C3B51">
        <w:rPr>
          <w:rFonts w:ascii="Arial" w:hAnsi="Arial" w:cs="Arial"/>
          <w:color w:val="000000"/>
          <w:sz w:val="22"/>
          <w:szCs w:val="22"/>
        </w:rPr>
        <w:t xml:space="preserve"> </w:t>
      </w:r>
      <w:r w:rsidR="008E4BD6" w:rsidRPr="008E4BD6">
        <w:rPr>
          <w:rFonts w:ascii="Arial" w:hAnsi="Arial" w:cs="Arial"/>
          <w:color w:val="000000"/>
          <w:sz w:val="22"/>
          <w:szCs w:val="22"/>
        </w:rPr>
        <w:t>Two key areas impact upon Indigenous eye health - public hospital services and human s</w:t>
      </w:r>
      <w:r w:rsidR="0086316F">
        <w:rPr>
          <w:rFonts w:ascii="Arial" w:hAnsi="Arial" w:cs="Arial"/>
          <w:color w:val="000000"/>
          <w:sz w:val="22"/>
          <w:szCs w:val="22"/>
        </w:rPr>
        <w:t>e</w:t>
      </w:r>
      <w:r w:rsidR="008E4BD6" w:rsidRPr="008E4BD6">
        <w:rPr>
          <w:rFonts w:ascii="Arial" w:hAnsi="Arial" w:cs="Arial"/>
          <w:color w:val="000000"/>
          <w:sz w:val="22"/>
          <w:szCs w:val="22"/>
        </w:rPr>
        <w:t>rvices in remote Indigenous communities.</w:t>
      </w:r>
    </w:p>
    <w:p w14:paraId="4C5DC7F4" w14:textId="0F6E5099" w:rsidR="00CB5897" w:rsidRDefault="00CB5897" w:rsidP="00CB5897">
      <w:pPr>
        <w:pStyle w:val="NormalWeb"/>
        <w:spacing w:before="0" w:beforeAutospacing="0" w:after="120" w:afterAutospacing="0"/>
        <w:rPr>
          <w:rFonts w:ascii="Arial" w:eastAsiaTheme="minorHAnsi" w:hAnsi="Arial" w:cs="Arial"/>
          <w:color w:val="000000"/>
          <w:sz w:val="22"/>
          <w:szCs w:val="22"/>
        </w:rPr>
      </w:pPr>
      <w:r w:rsidRPr="004C3B51">
        <w:rPr>
          <w:rFonts w:ascii="Arial" w:hAnsi="Arial" w:cs="Arial"/>
          <w:sz w:val="22"/>
          <w:szCs w:val="22"/>
        </w:rPr>
        <w:t>Indigenous Australians have a greater burden of eye disease but receive less eye care than non-Indigenous Australians. Poor vision hinders education, employment and independence yet most vision loss and blindness is preventable and easily treatable</w:t>
      </w:r>
      <w:r>
        <w:rPr>
          <w:rFonts w:ascii="Arial" w:hAnsi="Arial" w:cs="Arial"/>
          <w:sz w:val="22"/>
          <w:szCs w:val="22"/>
        </w:rPr>
        <w:t>.</w:t>
      </w:r>
    </w:p>
    <w:p w14:paraId="38ED4F93" w14:textId="0102157B" w:rsidR="00E243E8" w:rsidRPr="00E243E8" w:rsidRDefault="00E243E8" w:rsidP="00E243E8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E243E8">
        <w:rPr>
          <w:rFonts w:ascii="Arial" w:hAnsi="Arial" w:cs="Arial"/>
          <w:color w:val="000000"/>
          <w:sz w:val="22"/>
          <w:szCs w:val="22"/>
        </w:rPr>
        <w:t xml:space="preserve">IEH has undertaken formative research to assess the need, barriers and enablers to the delivery of eye health services for Indigenous people. The evidence </w:t>
      </w:r>
      <w:r>
        <w:rPr>
          <w:rFonts w:ascii="Arial" w:hAnsi="Arial" w:cs="Arial"/>
          <w:color w:val="000000"/>
          <w:sz w:val="22"/>
          <w:szCs w:val="22"/>
        </w:rPr>
        <w:t xml:space="preserve">base </w:t>
      </w:r>
      <w:r w:rsidRPr="00E243E8">
        <w:rPr>
          <w:rFonts w:ascii="Arial" w:hAnsi="Arial" w:cs="Arial"/>
          <w:color w:val="000000"/>
          <w:sz w:val="22"/>
          <w:szCs w:val="22"/>
        </w:rPr>
        <w:t xml:space="preserve">gathered has guided the development of a comprehensive </w:t>
      </w:r>
      <w:r w:rsidR="00CB5897">
        <w:rPr>
          <w:rFonts w:ascii="Arial" w:hAnsi="Arial" w:cs="Arial"/>
          <w:color w:val="000000"/>
          <w:sz w:val="22"/>
          <w:szCs w:val="22"/>
        </w:rPr>
        <w:t xml:space="preserve">and feasible </w:t>
      </w:r>
      <w:r w:rsidRPr="00E243E8">
        <w:rPr>
          <w:rFonts w:ascii="Arial" w:hAnsi="Arial" w:cs="Arial"/>
          <w:color w:val="000000"/>
          <w:sz w:val="22"/>
          <w:szCs w:val="22"/>
        </w:rPr>
        <w:t>policy framework</w:t>
      </w:r>
      <w:r w:rsidR="00CB5897">
        <w:rPr>
          <w:rFonts w:ascii="Arial" w:hAnsi="Arial" w:cs="Arial"/>
          <w:color w:val="000000"/>
          <w:sz w:val="22"/>
          <w:szCs w:val="22"/>
        </w:rPr>
        <w:t>,</w:t>
      </w:r>
      <w:r w:rsidR="00CB5897" w:rsidRPr="00CB5897">
        <w:rPr>
          <w:rFonts w:ascii="Arial" w:hAnsi="Arial" w:cs="Arial"/>
          <w:sz w:val="22"/>
          <w:szCs w:val="22"/>
        </w:rPr>
        <w:t xml:space="preserve"> </w:t>
      </w:r>
      <w:r w:rsidR="00CB5897">
        <w:rPr>
          <w:rFonts w:ascii="Arial" w:hAnsi="Arial" w:cs="Arial"/>
          <w:sz w:val="22"/>
          <w:szCs w:val="22"/>
        </w:rPr>
        <w:t>t</w:t>
      </w:r>
      <w:r w:rsidR="00CB5897" w:rsidRPr="00D46A05">
        <w:rPr>
          <w:rFonts w:ascii="Arial" w:hAnsi="Arial" w:cs="Arial"/>
          <w:sz w:val="22"/>
          <w:szCs w:val="22"/>
        </w:rPr>
        <w:t xml:space="preserve">he </w:t>
      </w:r>
      <w:r w:rsidR="00CB5897" w:rsidRPr="004C3B51">
        <w:rPr>
          <w:rFonts w:ascii="Arial" w:hAnsi="Arial" w:cs="Arial"/>
          <w:sz w:val="22"/>
          <w:szCs w:val="22"/>
        </w:rPr>
        <w:t>Roadmap to Close the Gap for Vision</w:t>
      </w:r>
      <w:r w:rsidR="00CB5897" w:rsidRPr="004C3B51">
        <w:rPr>
          <w:rStyle w:val="FootnoteReference"/>
          <w:rFonts w:ascii="Arial" w:hAnsi="Arial" w:cs="Arial"/>
          <w:i/>
          <w:iCs/>
          <w:sz w:val="22"/>
          <w:szCs w:val="22"/>
        </w:rPr>
        <w:footnoteReference w:id="1"/>
      </w:r>
      <w:r w:rsidR="00CB5897" w:rsidRPr="004C3B51">
        <w:rPr>
          <w:rFonts w:ascii="Arial" w:hAnsi="Arial" w:cs="Arial"/>
          <w:sz w:val="22"/>
          <w:szCs w:val="22"/>
        </w:rPr>
        <w:t xml:space="preserve"> (the </w:t>
      </w:r>
      <w:r w:rsidR="00CB5897" w:rsidRPr="004C3B51">
        <w:rPr>
          <w:rFonts w:ascii="Arial" w:hAnsi="Arial" w:cs="Arial"/>
          <w:i/>
          <w:iCs/>
          <w:sz w:val="22"/>
          <w:szCs w:val="22"/>
        </w:rPr>
        <w:t>Roadmap</w:t>
      </w:r>
      <w:r w:rsidR="00CB5897" w:rsidRPr="004C3B51">
        <w:rPr>
          <w:rFonts w:ascii="Arial" w:hAnsi="Arial" w:cs="Arial"/>
          <w:sz w:val="22"/>
          <w:szCs w:val="22"/>
        </w:rPr>
        <w:t>)</w:t>
      </w:r>
      <w:r w:rsidRPr="00E243E8">
        <w:rPr>
          <w:rFonts w:ascii="Arial" w:hAnsi="Arial" w:cs="Arial"/>
          <w:color w:val="000000"/>
          <w:sz w:val="22"/>
          <w:szCs w:val="22"/>
        </w:rPr>
        <w:t xml:space="preserve"> that is </w:t>
      </w:r>
      <w:r w:rsidR="00CB5897">
        <w:rPr>
          <w:rFonts w:ascii="Arial" w:hAnsi="Arial" w:cs="Arial"/>
          <w:color w:val="000000"/>
          <w:sz w:val="22"/>
          <w:szCs w:val="22"/>
        </w:rPr>
        <w:t>endorsed</w:t>
      </w:r>
      <w:r w:rsidRPr="00E243E8">
        <w:rPr>
          <w:rFonts w:ascii="Arial" w:hAnsi="Arial" w:cs="Arial"/>
          <w:color w:val="000000"/>
          <w:sz w:val="22"/>
          <w:szCs w:val="22"/>
        </w:rPr>
        <w:t xml:space="preserve"> by the Indigenous and mainstream health sectors and government.</w:t>
      </w:r>
      <w:r w:rsidR="00CB58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43E8">
        <w:rPr>
          <w:rFonts w:ascii="Arial" w:hAnsi="Arial" w:cs="Arial"/>
          <w:color w:val="000000"/>
          <w:sz w:val="22"/>
          <w:szCs w:val="22"/>
        </w:rPr>
        <w:t xml:space="preserve"> IEH is currently actively engaged in providing the necessary advocacy and technical support to Close the Gap for Vision.</w:t>
      </w:r>
    </w:p>
    <w:p w14:paraId="68675B54" w14:textId="70D57DE7" w:rsidR="00BC609C" w:rsidRDefault="00D46A05" w:rsidP="00B7263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 xml:space="preserve">The </w:t>
      </w:r>
      <w:r w:rsidRPr="00D46A05">
        <w:rPr>
          <w:rFonts w:ascii="Arial" w:eastAsiaTheme="minorHAnsi" w:hAnsi="Arial" w:cs="Arial"/>
          <w:i/>
          <w:color w:val="000000"/>
          <w:sz w:val="22"/>
          <w:szCs w:val="22"/>
        </w:rPr>
        <w:t>Roadmap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CB5897">
        <w:rPr>
          <w:rFonts w:ascii="Arial" w:eastAsiaTheme="minorHAnsi" w:hAnsi="Arial" w:cs="Arial"/>
          <w:color w:val="000000"/>
          <w:sz w:val="22"/>
          <w:szCs w:val="22"/>
        </w:rPr>
        <w:t xml:space="preserve">is a </w:t>
      </w:r>
      <w:r w:rsidRPr="00D46A05">
        <w:rPr>
          <w:rFonts w:ascii="Arial" w:hAnsi="Arial" w:cs="Arial"/>
          <w:color w:val="000000"/>
          <w:sz w:val="22"/>
          <w:szCs w:val="22"/>
        </w:rPr>
        <w:t xml:space="preserve">whole-of-system framework </w:t>
      </w:r>
      <w:r w:rsidR="00CB5897">
        <w:rPr>
          <w:rFonts w:ascii="Arial" w:hAnsi="Arial" w:cs="Arial"/>
          <w:color w:val="000000"/>
          <w:sz w:val="22"/>
          <w:szCs w:val="22"/>
        </w:rPr>
        <w:t xml:space="preserve">with </w:t>
      </w:r>
      <w:r w:rsidRPr="00D46A05">
        <w:rPr>
          <w:rFonts w:ascii="Arial" w:hAnsi="Arial" w:cs="Arial"/>
          <w:color w:val="000000"/>
          <w:sz w:val="22"/>
          <w:szCs w:val="22"/>
        </w:rPr>
        <w:t xml:space="preserve">42 </w:t>
      </w:r>
      <w:r w:rsidR="00ED2777">
        <w:rPr>
          <w:rFonts w:ascii="Arial" w:hAnsi="Arial" w:cs="Arial"/>
          <w:color w:val="000000"/>
          <w:sz w:val="22"/>
          <w:szCs w:val="22"/>
        </w:rPr>
        <w:t xml:space="preserve">interlocking </w:t>
      </w:r>
      <w:r w:rsidRPr="00D46A05">
        <w:rPr>
          <w:rFonts w:ascii="Arial" w:hAnsi="Arial" w:cs="Arial"/>
          <w:color w:val="000000"/>
          <w:sz w:val="22"/>
          <w:szCs w:val="22"/>
        </w:rPr>
        <w:t>recommendations to improve Indigenous eye health</w:t>
      </w:r>
      <w:r w:rsidR="00ED2777">
        <w:rPr>
          <w:rFonts w:ascii="Arial" w:hAnsi="Arial" w:cs="Arial"/>
          <w:color w:val="000000"/>
          <w:sz w:val="22"/>
          <w:szCs w:val="22"/>
        </w:rPr>
        <w:t xml:space="preserve">. </w:t>
      </w:r>
      <w:r w:rsidR="00F340F2">
        <w:rPr>
          <w:rFonts w:ascii="Arial" w:hAnsi="Arial" w:cs="Arial"/>
          <w:sz w:val="22"/>
          <w:szCs w:val="22"/>
        </w:rPr>
        <w:t xml:space="preserve">The most recent </w:t>
      </w:r>
      <w:r w:rsidR="00BA5A6D">
        <w:rPr>
          <w:rFonts w:ascii="Arial" w:hAnsi="Arial" w:cs="Arial"/>
          <w:sz w:val="22"/>
          <w:szCs w:val="22"/>
        </w:rPr>
        <w:t xml:space="preserve">annual </w:t>
      </w:r>
      <w:r w:rsidR="00F340F2">
        <w:rPr>
          <w:rFonts w:ascii="Arial" w:hAnsi="Arial" w:cs="Arial"/>
          <w:sz w:val="22"/>
          <w:szCs w:val="22"/>
        </w:rPr>
        <w:t>update</w:t>
      </w:r>
      <w:r w:rsidR="00BA5A6D">
        <w:rPr>
          <w:rFonts w:ascii="Arial" w:hAnsi="Arial" w:cs="Arial"/>
          <w:sz w:val="22"/>
          <w:szCs w:val="22"/>
        </w:rPr>
        <w:t xml:space="preserve"> of the </w:t>
      </w:r>
      <w:r w:rsidR="00BA5A6D" w:rsidRPr="00B72630">
        <w:rPr>
          <w:rFonts w:ascii="Arial" w:hAnsi="Arial" w:cs="Arial"/>
          <w:sz w:val="22"/>
          <w:szCs w:val="22"/>
        </w:rPr>
        <w:t>Roadmap</w:t>
      </w:r>
      <w:r w:rsidR="00F340F2">
        <w:rPr>
          <w:rFonts w:ascii="Arial" w:hAnsi="Arial" w:cs="Arial"/>
          <w:sz w:val="22"/>
          <w:szCs w:val="22"/>
        </w:rPr>
        <w:t xml:space="preserve"> in November 2016</w:t>
      </w:r>
      <w:r w:rsidR="0067514E">
        <w:rPr>
          <w:rFonts w:ascii="Arial" w:hAnsi="Arial" w:cs="Arial"/>
          <w:sz w:val="22"/>
          <w:szCs w:val="22"/>
        </w:rPr>
        <w:t xml:space="preserve"> reports that 11 of the 42 recommendations have been completed.</w:t>
      </w:r>
      <w:r w:rsidR="00F340F2">
        <w:rPr>
          <w:rFonts w:ascii="Arial" w:hAnsi="Arial" w:cs="Arial"/>
          <w:sz w:val="22"/>
          <w:szCs w:val="22"/>
        </w:rPr>
        <w:t xml:space="preserve"> </w:t>
      </w:r>
      <w:r w:rsidR="00BC609C">
        <w:rPr>
          <w:rFonts w:ascii="Arial" w:hAnsi="Arial" w:cs="Arial"/>
          <w:sz w:val="22"/>
          <w:szCs w:val="22"/>
        </w:rPr>
        <w:t xml:space="preserve">However, 31 recommendations are outstanding and all must be completed to ensure a comprehensive and fully effective health system </w:t>
      </w:r>
      <w:r w:rsidR="00401B98">
        <w:rPr>
          <w:rFonts w:ascii="Arial" w:hAnsi="Arial" w:cs="Arial"/>
          <w:sz w:val="22"/>
          <w:szCs w:val="22"/>
        </w:rPr>
        <w:t>reform</w:t>
      </w:r>
      <w:r w:rsidR="00BC609C">
        <w:rPr>
          <w:rFonts w:ascii="Arial" w:hAnsi="Arial" w:cs="Arial"/>
          <w:sz w:val="22"/>
          <w:szCs w:val="22"/>
        </w:rPr>
        <w:t>.</w:t>
      </w:r>
    </w:p>
    <w:p w14:paraId="45F51AC4" w14:textId="66DD5143" w:rsidR="00B72630" w:rsidRPr="00B72630" w:rsidRDefault="00B72630" w:rsidP="00B72630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Progress in outcomes is being made. The most recent National Eye Health Survey (2016) reported that th</w:t>
      </w:r>
      <w:r w:rsidRPr="00B72630">
        <w:rPr>
          <w:rFonts w:ascii="Arial" w:hAnsi="Arial" w:cs="Arial"/>
          <w:sz w:val="22"/>
          <w:szCs w:val="22"/>
        </w:rPr>
        <w:t xml:space="preserve">e prevalence of vision impairment and blindness among Indigenous Australians </w:t>
      </w:r>
      <w:r>
        <w:rPr>
          <w:rFonts w:ascii="Arial" w:hAnsi="Arial" w:cs="Arial"/>
          <w:sz w:val="22"/>
          <w:szCs w:val="22"/>
        </w:rPr>
        <w:t>has declined from six times to</w:t>
      </w:r>
      <w:r w:rsidRPr="00B72630">
        <w:rPr>
          <w:rFonts w:ascii="Arial" w:hAnsi="Arial" w:cs="Arial"/>
          <w:sz w:val="22"/>
          <w:szCs w:val="22"/>
        </w:rPr>
        <w:t xml:space="preserve"> three times that of non-Indigenous Australians. </w:t>
      </w:r>
    </w:p>
    <w:p w14:paraId="0CC50A70" w14:textId="28E1704A" w:rsidR="002D2674" w:rsidRDefault="003031E5" w:rsidP="00D46A05">
      <w:pPr>
        <w:pStyle w:val="NormalWeb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hyperlink r:id="rId15" w:anchor="roadmap-to-close-the-gap-for-vision" w:history="1">
        <w:r w:rsidR="00F340F2" w:rsidRPr="00F340F2">
          <w:rPr>
            <w:rStyle w:val="Hyperlink"/>
            <w:rFonts w:ascii="Arial Narrow" w:hAnsi="Arial Narrow" w:cs="Arial"/>
            <w:sz w:val="22"/>
            <w:szCs w:val="22"/>
          </w:rPr>
          <w:t>http://mspgh.unimelb.edu.au/centres-institutes/centre-for-health-equity/research-group/indigenous-eye-health#roadmap-to-close-the-gap-for-vision</w:t>
        </w:r>
      </w:hyperlink>
      <w:r w:rsidR="00492310">
        <w:rPr>
          <w:rStyle w:val="Hyperlink"/>
          <w:rFonts w:ascii="Arial Narrow" w:hAnsi="Arial Narrow" w:cs="Arial"/>
          <w:sz w:val="22"/>
          <w:szCs w:val="22"/>
        </w:rPr>
        <w:t xml:space="preserve"> </w:t>
      </w:r>
    </w:p>
    <w:p w14:paraId="77DC3089" w14:textId="0375CD67" w:rsidR="00D46A05" w:rsidRPr="00D46A05" w:rsidRDefault="00D46A05" w:rsidP="00FC637D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 Requests for Information</w:t>
      </w:r>
    </w:p>
    <w:p w14:paraId="2057938D" w14:textId="357BCCF8" w:rsidR="00E539CB" w:rsidRPr="004C3B51" w:rsidRDefault="00E539CB" w:rsidP="00FC637D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4C3B51">
        <w:rPr>
          <w:rFonts w:ascii="Arial" w:hAnsi="Arial" w:cs="Arial"/>
          <w:sz w:val="22"/>
          <w:szCs w:val="22"/>
        </w:rPr>
        <w:t>We have grouped our responses to the Requests for Information</w:t>
      </w:r>
      <w:r w:rsidR="00351041" w:rsidRPr="004C3B51">
        <w:rPr>
          <w:rFonts w:ascii="Arial" w:hAnsi="Arial" w:cs="Arial"/>
          <w:sz w:val="22"/>
          <w:szCs w:val="22"/>
        </w:rPr>
        <w:t xml:space="preserve"> (RfI)</w:t>
      </w:r>
      <w:r w:rsidRPr="004C3B51">
        <w:rPr>
          <w:rFonts w:ascii="Arial" w:hAnsi="Arial" w:cs="Arial"/>
          <w:sz w:val="22"/>
          <w:szCs w:val="22"/>
        </w:rPr>
        <w:t xml:space="preserve"> around 2 key areas:</w:t>
      </w:r>
    </w:p>
    <w:p w14:paraId="33A534FF" w14:textId="329BE278" w:rsidR="00E539CB" w:rsidRPr="004C3B51" w:rsidRDefault="00E539CB" w:rsidP="00D46A05">
      <w:pPr>
        <w:pStyle w:val="NormalWeb"/>
        <w:numPr>
          <w:ilvl w:val="0"/>
          <w:numId w:val="10"/>
        </w:numPr>
        <w:spacing w:before="0" w:beforeAutospacing="0" w:after="60" w:afterAutospacing="0"/>
        <w:ind w:left="714" w:hanging="357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4C3B51">
        <w:rPr>
          <w:rStyle w:val="apple-converted-space"/>
          <w:rFonts w:ascii="Arial" w:hAnsi="Arial" w:cs="Arial"/>
          <w:color w:val="000000"/>
          <w:sz w:val="22"/>
          <w:szCs w:val="22"/>
        </w:rPr>
        <w:t>Information and access</w:t>
      </w:r>
    </w:p>
    <w:p w14:paraId="7326AC53" w14:textId="478E2221" w:rsidR="00E539CB" w:rsidRPr="004C3B51" w:rsidRDefault="00E539CB" w:rsidP="00D46A05">
      <w:pPr>
        <w:pStyle w:val="NormalWeb"/>
        <w:numPr>
          <w:ilvl w:val="0"/>
          <w:numId w:val="10"/>
        </w:numPr>
        <w:spacing w:before="0" w:beforeAutospacing="0" w:after="240" w:afterAutospacing="0"/>
        <w:ind w:left="714" w:hanging="357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4C3B51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Coordination and delivery </w:t>
      </w:r>
    </w:p>
    <w:p w14:paraId="49ADB883" w14:textId="36AEF1F4" w:rsidR="00351041" w:rsidRPr="00136944" w:rsidRDefault="00351041" w:rsidP="00351041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 w:rsidRPr="00136944">
        <w:rPr>
          <w:rFonts w:ascii="Arial" w:hAnsi="Arial" w:cs="Arial"/>
          <w:b/>
        </w:rPr>
        <w:t>Information and access – RfI 11,13,14</w:t>
      </w:r>
      <w:r w:rsidR="004C3B51" w:rsidRPr="00136944">
        <w:rPr>
          <w:rFonts w:ascii="Arial" w:hAnsi="Arial" w:cs="Arial"/>
          <w:b/>
        </w:rPr>
        <w:t>,</w:t>
      </w:r>
      <w:r w:rsidRPr="00136944">
        <w:rPr>
          <w:rFonts w:ascii="Arial" w:hAnsi="Arial" w:cs="Arial"/>
          <w:b/>
        </w:rPr>
        <w:t xml:space="preserve"> 15</w:t>
      </w:r>
      <w:r w:rsidR="004C3B51" w:rsidRPr="00136944">
        <w:rPr>
          <w:rFonts w:ascii="Arial" w:hAnsi="Arial" w:cs="Arial"/>
          <w:b/>
        </w:rPr>
        <w:t xml:space="preserve"> and 17</w:t>
      </w:r>
    </w:p>
    <w:p w14:paraId="0CAAE549" w14:textId="01F7ED91" w:rsidR="00351041" w:rsidRDefault="00B80C0C" w:rsidP="004C3B51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351041">
        <w:rPr>
          <w:rFonts w:ascii="Arial" w:hAnsi="Arial" w:cs="Arial"/>
          <w:color w:val="000000"/>
          <w:sz w:val="22"/>
          <w:szCs w:val="22"/>
        </w:rPr>
        <w:t>E</w:t>
      </w:r>
      <w:r w:rsidR="00711D8E" w:rsidRPr="00351041">
        <w:rPr>
          <w:rFonts w:ascii="Arial" w:hAnsi="Arial" w:cs="Arial"/>
          <w:color w:val="000000"/>
          <w:sz w:val="22"/>
          <w:szCs w:val="22"/>
        </w:rPr>
        <w:t>quity of access to public hospital services</w:t>
      </w:r>
      <w:r w:rsidR="00351041" w:rsidRPr="00351041">
        <w:rPr>
          <w:rFonts w:ascii="Arial" w:hAnsi="Arial" w:cs="Arial"/>
          <w:color w:val="000000"/>
          <w:sz w:val="22"/>
          <w:szCs w:val="22"/>
        </w:rPr>
        <w:t xml:space="preserve"> (RfI 11) is essential for Indigenous community members </w:t>
      </w:r>
      <w:r w:rsidR="00BA5A6D">
        <w:rPr>
          <w:rFonts w:ascii="Arial" w:hAnsi="Arial" w:cs="Arial"/>
          <w:color w:val="000000"/>
          <w:sz w:val="22"/>
          <w:szCs w:val="22"/>
        </w:rPr>
        <w:t>to close the gap for vision. Data suggests lower rates of cataract surgery and longer waiting times for Indigenous patients in all settings</w:t>
      </w:r>
      <w:r w:rsidR="00351041" w:rsidRPr="00351041">
        <w:rPr>
          <w:rFonts w:ascii="Arial" w:hAnsi="Arial" w:cs="Arial"/>
          <w:color w:val="000000"/>
          <w:sz w:val="22"/>
          <w:szCs w:val="22"/>
        </w:rPr>
        <w:t xml:space="preserve">. IEH recommends the use of </w:t>
      </w:r>
      <w:r w:rsidR="00351041">
        <w:rPr>
          <w:rFonts w:ascii="Arial" w:hAnsi="Arial" w:cs="Arial"/>
          <w:color w:val="000000"/>
          <w:sz w:val="22"/>
          <w:szCs w:val="22"/>
        </w:rPr>
        <w:t>performance indicators that measure equity of access such as the cataract surgery within 90 days of referral (CS90).</w:t>
      </w:r>
    </w:p>
    <w:p w14:paraId="2736D973" w14:textId="027DFBAC" w:rsidR="00B72630" w:rsidRDefault="00B72630" w:rsidP="004C3B51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Public hospital services need to actively participate in the regional planning process advocated in the </w:t>
      </w:r>
      <w:r w:rsidRPr="00B72630">
        <w:rPr>
          <w:rFonts w:ascii="Arial" w:hAnsi="Arial" w:cs="Arial"/>
          <w:i/>
          <w:color w:val="000000"/>
          <w:sz w:val="22"/>
          <w:szCs w:val="22"/>
        </w:rPr>
        <w:t>Roadmap</w:t>
      </w:r>
      <w:r>
        <w:rPr>
          <w:rFonts w:ascii="Arial" w:hAnsi="Arial" w:cs="Arial"/>
          <w:color w:val="000000"/>
          <w:sz w:val="22"/>
          <w:szCs w:val="22"/>
        </w:rPr>
        <w:t xml:space="preserve"> and provide relevant performance data as a part of that process</w:t>
      </w:r>
      <w:r w:rsidR="000C53D3">
        <w:rPr>
          <w:rFonts w:ascii="Arial" w:hAnsi="Arial" w:cs="Arial"/>
          <w:color w:val="000000"/>
          <w:sz w:val="22"/>
          <w:szCs w:val="22"/>
        </w:rPr>
        <w:t xml:space="preserve"> (Rf</w:t>
      </w:r>
      <w:r w:rsidR="00401B98">
        <w:rPr>
          <w:rFonts w:ascii="Arial" w:hAnsi="Arial" w:cs="Arial"/>
          <w:color w:val="000000"/>
          <w:sz w:val="22"/>
          <w:szCs w:val="22"/>
        </w:rPr>
        <w:t>I</w:t>
      </w:r>
      <w:r w:rsidR="000C53D3">
        <w:rPr>
          <w:rFonts w:ascii="Arial" w:hAnsi="Arial" w:cs="Arial"/>
          <w:color w:val="000000"/>
          <w:sz w:val="22"/>
          <w:szCs w:val="22"/>
        </w:rPr>
        <w:t xml:space="preserve"> 11 and 15)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8FBBD18" w14:textId="77777777" w:rsidR="00B76230" w:rsidRDefault="00351041" w:rsidP="004C3B51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Patient choice (RfI 13) in </w:t>
      </w:r>
      <w:r w:rsidR="00CB5897">
        <w:rPr>
          <w:rFonts w:ascii="Arial" w:hAnsi="Arial" w:cs="Arial"/>
          <w:color w:val="000000"/>
          <w:sz w:val="22"/>
          <w:szCs w:val="22"/>
        </w:rPr>
        <w:t xml:space="preserve">rural and </w:t>
      </w:r>
      <w:r>
        <w:rPr>
          <w:rFonts w:ascii="Arial" w:hAnsi="Arial" w:cs="Arial"/>
          <w:color w:val="000000"/>
          <w:sz w:val="22"/>
          <w:szCs w:val="22"/>
        </w:rPr>
        <w:t>remote settings is typically limited to the closest regional hospital. Consequently, effective co-ordination is a more important component</w:t>
      </w:r>
      <w:r w:rsidR="00ED2777">
        <w:rPr>
          <w:rFonts w:ascii="Arial" w:hAnsi="Arial" w:cs="Arial"/>
          <w:color w:val="000000"/>
          <w:sz w:val="22"/>
          <w:szCs w:val="22"/>
        </w:rPr>
        <w:t xml:space="preserve"> than choice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C32A6">
        <w:rPr>
          <w:rFonts w:ascii="Arial" w:hAnsi="Arial" w:cs="Arial"/>
          <w:color w:val="000000"/>
          <w:sz w:val="22"/>
          <w:szCs w:val="22"/>
        </w:rPr>
        <w:t>to</w:t>
      </w:r>
      <w:r>
        <w:rPr>
          <w:rFonts w:ascii="Arial" w:hAnsi="Arial" w:cs="Arial"/>
          <w:color w:val="000000"/>
          <w:sz w:val="22"/>
          <w:szCs w:val="22"/>
        </w:rPr>
        <w:t xml:space="preserve"> realis</w:t>
      </w:r>
      <w:r w:rsidR="001C32A6">
        <w:rPr>
          <w:rFonts w:ascii="Arial" w:hAnsi="Arial" w:cs="Arial"/>
          <w:color w:val="000000"/>
          <w:sz w:val="22"/>
          <w:szCs w:val="22"/>
        </w:rPr>
        <w:t xml:space="preserve">e </w:t>
      </w:r>
      <w:r>
        <w:rPr>
          <w:rFonts w:ascii="Arial" w:hAnsi="Arial" w:cs="Arial"/>
          <w:color w:val="000000"/>
          <w:sz w:val="22"/>
          <w:szCs w:val="22"/>
        </w:rPr>
        <w:t>efficien</w:t>
      </w:r>
      <w:r w:rsidR="0070353F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 xml:space="preserve"> and cost effective outcomes. </w:t>
      </w:r>
    </w:p>
    <w:p w14:paraId="19DDD9EE" w14:textId="0C91FF63" w:rsidR="0070353F" w:rsidRDefault="00351041" w:rsidP="004C3B51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Patient travel </w:t>
      </w:r>
      <w:r w:rsidR="0070353F">
        <w:rPr>
          <w:rFonts w:ascii="Arial" w:hAnsi="Arial" w:cs="Arial"/>
          <w:color w:val="000000"/>
          <w:sz w:val="22"/>
          <w:szCs w:val="22"/>
        </w:rPr>
        <w:t>funding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0353F">
        <w:rPr>
          <w:rFonts w:ascii="Arial" w:hAnsi="Arial" w:cs="Arial"/>
          <w:color w:val="000000"/>
          <w:sz w:val="22"/>
          <w:szCs w:val="22"/>
        </w:rPr>
        <w:t>is provided by</w:t>
      </w:r>
      <w:r>
        <w:rPr>
          <w:rFonts w:ascii="Arial" w:hAnsi="Arial" w:cs="Arial"/>
          <w:color w:val="000000"/>
          <w:sz w:val="22"/>
          <w:szCs w:val="22"/>
        </w:rPr>
        <w:t xml:space="preserve"> state and territory governments </w:t>
      </w:r>
      <w:r w:rsidR="0070353F">
        <w:rPr>
          <w:rFonts w:ascii="Arial" w:hAnsi="Arial" w:cs="Arial"/>
          <w:color w:val="000000"/>
          <w:sz w:val="22"/>
          <w:szCs w:val="22"/>
        </w:rPr>
        <w:t>and is often not targeted to align with those objectives</w:t>
      </w:r>
      <w:r w:rsidR="00ED2777">
        <w:rPr>
          <w:rFonts w:ascii="Arial" w:hAnsi="Arial" w:cs="Arial"/>
          <w:color w:val="000000"/>
          <w:sz w:val="22"/>
          <w:szCs w:val="22"/>
        </w:rPr>
        <w:t>,</w:t>
      </w:r>
      <w:r w:rsidR="00136944">
        <w:rPr>
          <w:rFonts w:ascii="Arial" w:hAnsi="Arial" w:cs="Arial"/>
          <w:color w:val="000000"/>
          <w:sz w:val="22"/>
          <w:szCs w:val="22"/>
        </w:rPr>
        <w:t xml:space="preserve"> generally adopting a more rigid and mechanistic approach</w:t>
      </w:r>
      <w:r w:rsidR="0070353F">
        <w:rPr>
          <w:rFonts w:ascii="Arial" w:hAnsi="Arial" w:cs="Arial"/>
          <w:color w:val="000000"/>
          <w:sz w:val="22"/>
          <w:szCs w:val="22"/>
        </w:rPr>
        <w:t>.</w:t>
      </w:r>
      <w:r w:rsidR="00B72630">
        <w:rPr>
          <w:rFonts w:ascii="Arial" w:hAnsi="Arial" w:cs="Arial"/>
          <w:color w:val="000000"/>
          <w:sz w:val="22"/>
          <w:szCs w:val="22"/>
        </w:rPr>
        <w:t xml:space="preserve"> For example, often an important part of a successful clinical outcome is the </w:t>
      </w:r>
      <w:r w:rsidR="00CB5897">
        <w:rPr>
          <w:rFonts w:ascii="Arial" w:hAnsi="Arial" w:cs="Arial"/>
          <w:color w:val="000000"/>
          <w:sz w:val="22"/>
          <w:szCs w:val="22"/>
        </w:rPr>
        <w:t xml:space="preserve">support provided by </w:t>
      </w:r>
      <w:r w:rsidR="00B72630">
        <w:rPr>
          <w:rFonts w:ascii="Arial" w:hAnsi="Arial" w:cs="Arial"/>
          <w:color w:val="000000"/>
          <w:sz w:val="22"/>
          <w:szCs w:val="22"/>
        </w:rPr>
        <w:t>an accompanying person.</w:t>
      </w:r>
      <w:r w:rsidR="0070353F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1D89DEBD" w14:textId="49C7D5D2" w:rsidR="00B92827" w:rsidRPr="00ED59F0" w:rsidRDefault="00BC609C" w:rsidP="00ED59F0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The Rural Hospital Outreach Fund (RHOF) provides funding for Opthalmology services</w:t>
      </w:r>
      <w:r w:rsidR="00CB5897">
        <w:rPr>
          <w:rFonts w:ascii="Arial" w:hAnsi="Arial" w:cs="Arial"/>
          <w:color w:val="000000"/>
          <w:sz w:val="22"/>
          <w:szCs w:val="22"/>
        </w:rPr>
        <w:t>. These services</w:t>
      </w:r>
      <w:r>
        <w:rPr>
          <w:rFonts w:ascii="Arial" w:hAnsi="Arial" w:cs="Arial"/>
          <w:color w:val="000000"/>
          <w:sz w:val="22"/>
          <w:szCs w:val="22"/>
        </w:rPr>
        <w:t xml:space="preserve"> should be bulk billed</w:t>
      </w:r>
      <w:r w:rsidR="00793A96" w:rsidRPr="00ED59F0">
        <w:rPr>
          <w:rFonts w:ascii="Arial" w:hAnsi="Arial" w:cs="Arial"/>
          <w:color w:val="000000"/>
          <w:sz w:val="22"/>
          <w:szCs w:val="22"/>
        </w:rPr>
        <w:t xml:space="preserve"> to reduce cost and </w:t>
      </w:r>
      <w:r w:rsidR="00ED59F0">
        <w:rPr>
          <w:rFonts w:ascii="Arial" w:hAnsi="Arial" w:cs="Arial"/>
          <w:color w:val="000000"/>
          <w:sz w:val="22"/>
          <w:szCs w:val="22"/>
        </w:rPr>
        <w:t xml:space="preserve">minimise </w:t>
      </w:r>
      <w:r w:rsidR="00793A96" w:rsidRPr="00ED59F0">
        <w:rPr>
          <w:rFonts w:ascii="Arial" w:hAnsi="Arial" w:cs="Arial"/>
          <w:color w:val="000000"/>
          <w:sz w:val="22"/>
          <w:szCs w:val="22"/>
        </w:rPr>
        <w:t>cost</w:t>
      </w:r>
      <w:r w:rsidR="00ED59F0" w:rsidRPr="00ED59F0">
        <w:rPr>
          <w:rFonts w:ascii="Arial" w:hAnsi="Arial" w:cs="Arial"/>
          <w:color w:val="000000"/>
          <w:sz w:val="22"/>
          <w:szCs w:val="22"/>
        </w:rPr>
        <w:t xml:space="preserve"> </w:t>
      </w:r>
      <w:r w:rsidR="00793A96" w:rsidRPr="00ED59F0">
        <w:rPr>
          <w:rFonts w:ascii="Arial" w:hAnsi="Arial" w:cs="Arial"/>
          <w:color w:val="000000"/>
          <w:sz w:val="22"/>
          <w:szCs w:val="22"/>
        </w:rPr>
        <w:t>certainty barriers to acces</w:t>
      </w:r>
      <w:r w:rsidR="00ED59F0" w:rsidRPr="00ED59F0">
        <w:rPr>
          <w:rFonts w:ascii="Arial" w:hAnsi="Arial" w:cs="Arial"/>
          <w:color w:val="000000"/>
          <w:sz w:val="22"/>
          <w:szCs w:val="22"/>
        </w:rPr>
        <w:t>s.</w:t>
      </w:r>
      <w:r w:rsidR="00ED59F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59F0">
        <w:rPr>
          <w:rFonts w:ascii="Arial" w:hAnsi="Arial" w:cs="Arial"/>
          <w:color w:val="000000"/>
          <w:sz w:val="22"/>
          <w:szCs w:val="22"/>
        </w:rPr>
        <w:t>In addition, funding for</w:t>
      </w:r>
      <w:r w:rsidR="00401B98" w:rsidRPr="00ED59F0">
        <w:rPr>
          <w:rFonts w:ascii="Arial" w:hAnsi="Arial" w:cs="Arial"/>
          <w:color w:val="000000"/>
          <w:sz w:val="22"/>
          <w:szCs w:val="22"/>
        </w:rPr>
        <w:t xml:space="preserve"> outreach</w:t>
      </w:r>
      <w:r w:rsidRPr="00ED59F0">
        <w:rPr>
          <w:rFonts w:ascii="Arial" w:hAnsi="Arial" w:cs="Arial"/>
          <w:color w:val="000000"/>
          <w:sz w:val="22"/>
          <w:szCs w:val="22"/>
        </w:rPr>
        <w:t xml:space="preserve"> VOS and RHOF needs to cover the full cost of a visit</w:t>
      </w:r>
      <w:r w:rsidR="000C53D3" w:rsidRPr="00ED59F0">
        <w:rPr>
          <w:rFonts w:ascii="Arial" w:hAnsi="Arial" w:cs="Arial"/>
          <w:color w:val="000000"/>
          <w:sz w:val="22"/>
          <w:szCs w:val="22"/>
        </w:rPr>
        <w:t>,</w:t>
      </w:r>
      <w:r w:rsidRPr="00ED59F0">
        <w:rPr>
          <w:rFonts w:ascii="Arial" w:hAnsi="Arial" w:cs="Arial"/>
          <w:color w:val="000000"/>
          <w:sz w:val="22"/>
          <w:szCs w:val="22"/>
        </w:rPr>
        <w:t xml:space="preserve"> including coordination and case management </w:t>
      </w:r>
      <w:r w:rsidR="000C53D3" w:rsidRPr="00ED59F0">
        <w:rPr>
          <w:rFonts w:ascii="Arial" w:hAnsi="Arial" w:cs="Arial"/>
          <w:color w:val="000000"/>
          <w:sz w:val="22"/>
          <w:szCs w:val="22"/>
        </w:rPr>
        <w:t>to deliver effi</w:t>
      </w:r>
      <w:r w:rsidRPr="00ED59F0">
        <w:rPr>
          <w:rFonts w:ascii="Arial" w:hAnsi="Arial" w:cs="Arial"/>
          <w:color w:val="000000"/>
          <w:sz w:val="22"/>
          <w:szCs w:val="22"/>
        </w:rPr>
        <w:t>cient outcomes</w:t>
      </w:r>
      <w:r w:rsidR="000C53D3" w:rsidRPr="00ED59F0">
        <w:rPr>
          <w:rFonts w:ascii="Arial" w:hAnsi="Arial" w:cs="Arial"/>
          <w:color w:val="000000"/>
          <w:sz w:val="22"/>
          <w:szCs w:val="22"/>
        </w:rPr>
        <w:t xml:space="preserve"> (RfI 36)</w:t>
      </w:r>
      <w:r w:rsidRPr="00ED59F0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40FE621" w14:textId="71513160" w:rsidR="00492310" w:rsidRPr="00492310" w:rsidRDefault="0070353F" w:rsidP="007F0659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FF"/>
          <w:sz w:val="22"/>
          <w:szCs w:val="22"/>
          <w:u w:val="single"/>
        </w:rPr>
      </w:pPr>
      <w:r w:rsidRPr="00492310">
        <w:rPr>
          <w:rFonts w:ascii="Arial" w:hAnsi="Arial" w:cs="Arial"/>
          <w:color w:val="000000"/>
          <w:sz w:val="22"/>
          <w:szCs w:val="22"/>
        </w:rPr>
        <w:t>IEH has developed a range of performance indicators</w:t>
      </w:r>
      <w:r w:rsidR="004C3B51" w:rsidRPr="00492310">
        <w:rPr>
          <w:rFonts w:ascii="Arial" w:hAnsi="Arial" w:cs="Arial"/>
          <w:color w:val="000000"/>
          <w:sz w:val="22"/>
          <w:szCs w:val="22"/>
        </w:rPr>
        <w:t xml:space="preserve"> (RfI 14 and 15) </w:t>
      </w:r>
      <w:r w:rsidR="00136944" w:rsidRPr="00492310">
        <w:rPr>
          <w:rFonts w:ascii="Arial" w:hAnsi="Arial" w:cs="Arial"/>
          <w:color w:val="000000"/>
          <w:sz w:val="22"/>
          <w:szCs w:val="22"/>
        </w:rPr>
        <w:t xml:space="preserve">as a part of </w:t>
      </w:r>
      <w:r w:rsidR="004C3B51" w:rsidRPr="00492310">
        <w:rPr>
          <w:rFonts w:ascii="Arial" w:hAnsi="Arial" w:cs="Arial"/>
          <w:color w:val="000000"/>
          <w:sz w:val="22"/>
          <w:szCs w:val="22"/>
        </w:rPr>
        <w:t xml:space="preserve">Recommendation 6 -  Monitoring and Evaluation of the </w:t>
      </w:r>
      <w:r w:rsidR="004C3B51" w:rsidRPr="00492310">
        <w:rPr>
          <w:rFonts w:ascii="Arial" w:hAnsi="Arial" w:cs="Arial"/>
          <w:i/>
          <w:color w:val="000000"/>
          <w:sz w:val="22"/>
          <w:szCs w:val="22"/>
        </w:rPr>
        <w:t xml:space="preserve">Roadmap </w:t>
      </w:r>
      <w:r w:rsidR="004C3B51" w:rsidRPr="00492310">
        <w:rPr>
          <w:rFonts w:ascii="Arial" w:hAnsi="Arial" w:cs="Arial"/>
          <w:color w:val="000000"/>
          <w:sz w:val="22"/>
          <w:szCs w:val="22"/>
        </w:rPr>
        <w:t>which aims</w:t>
      </w:r>
      <w:r w:rsidR="004C3B51" w:rsidRPr="00492310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4C3B51" w:rsidRPr="00492310">
        <w:rPr>
          <w:rFonts w:ascii="Arial" w:hAnsi="Arial" w:cs="Arial"/>
          <w:color w:val="000000"/>
          <w:sz w:val="22"/>
          <w:szCs w:val="22"/>
        </w:rPr>
        <w:t xml:space="preserve">to capture and report information about progress and improvement of services and outcomes in Indigenous eye health. </w:t>
      </w:r>
      <w:r w:rsidR="00492310" w:rsidRPr="00492310">
        <w:rPr>
          <w:rFonts w:ascii="Arial" w:hAnsi="Arial" w:cs="Arial"/>
          <w:color w:val="000000"/>
          <w:sz w:val="22"/>
          <w:szCs w:val="22"/>
        </w:rPr>
        <w:t>(</w:t>
      </w:r>
      <w:r w:rsidR="00657A53">
        <w:rPr>
          <w:rFonts w:ascii="Arial" w:hAnsi="Arial" w:cs="Arial"/>
          <w:color w:val="000000"/>
          <w:sz w:val="22"/>
          <w:szCs w:val="22"/>
        </w:rPr>
        <w:t>A</w:t>
      </w:r>
      <w:r w:rsidR="00492310" w:rsidRPr="00492310">
        <w:rPr>
          <w:rFonts w:ascii="Arial" w:hAnsi="Arial" w:cs="Arial"/>
          <w:color w:val="000000"/>
          <w:sz w:val="22"/>
          <w:szCs w:val="22"/>
        </w:rPr>
        <w:t>ttachment</w:t>
      </w:r>
      <w:r w:rsidR="00657A53">
        <w:rPr>
          <w:rFonts w:ascii="Arial" w:hAnsi="Arial" w:cs="Arial"/>
          <w:color w:val="000000"/>
          <w:sz w:val="22"/>
          <w:szCs w:val="22"/>
        </w:rPr>
        <w:t xml:space="preserve"> 2.</w:t>
      </w:r>
      <w:r w:rsidR="00492310" w:rsidRPr="00492310">
        <w:rPr>
          <w:rFonts w:ascii="Arial" w:hAnsi="Arial" w:cs="Arial"/>
          <w:color w:val="000000"/>
          <w:sz w:val="22"/>
          <w:szCs w:val="22"/>
        </w:rPr>
        <w:t>)</w:t>
      </w:r>
    </w:p>
    <w:p w14:paraId="73FB133F" w14:textId="2EA07541" w:rsidR="003C2039" w:rsidRPr="00492310" w:rsidRDefault="00EF452C" w:rsidP="007F0659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FF"/>
          <w:sz w:val="22"/>
          <w:szCs w:val="22"/>
          <w:u w:val="single"/>
        </w:rPr>
      </w:pPr>
      <w:r w:rsidRPr="00492310">
        <w:rPr>
          <w:rFonts w:ascii="Arial" w:hAnsi="Arial" w:cs="Arial"/>
          <w:color w:val="000000"/>
          <w:sz w:val="22"/>
          <w:szCs w:val="22"/>
        </w:rPr>
        <w:t xml:space="preserve">Effective coordination is essential to deliver the link to </w:t>
      </w:r>
      <w:r w:rsidR="00E96709" w:rsidRPr="00492310">
        <w:rPr>
          <w:rFonts w:ascii="Arial" w:hAnsi="Arial" w:cs="Arial"/>
          <w:color w:val="000000"/>
          <w:sz w:val="22"/>
          <w:szCs w:val="22"/>
        </w:rPr>
        <w:t xml:space="preserve">secondary and </w:t>
      </w:r>
      <w:r w:rsidRPr="00492310">
        <w:rPr>
          <w:rFonts w:ascii="Arial" w:hAnsi="Arial" w:cs="Arial"/>
          <w:color w:val="000000"/>
          <w:sz w:val="22"/>
          <w:szCs w:val="22"/>
        </w:rPr>
        <w:t xml:space="preserve">tertiary healthcare (RfI 17) and </w:t>
      </w:r>
      <w:r w:rsidR="00ED2777" w:rsidRPr="00492310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492310">
        <w:rPr>
          <w:rFonts w:ascii="Arial" w:hAnsi="Arial" w:cs="Arial"/>
          <w:color w:val="000000"/>
          <w:sz w:val="22"/>
          <w:szCs w:val="22"/>
        </w:rPr>
        <w:t>facilitate this communication</w:t>
      </w:r>
      <w:r w:rsidR="000169A8" w:rsidRPr="0049231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2310">
        <w:rPr>
          <w:rFonts w:ascii="Arial" w:hAnsi="Arial" w:cs="Arial"/>
          <w:color w:val="000000"/>
          <w:sz w:val="22"/>
          <w:szCs w:val="22"/>
        </w:rPr>
        <w:t>and coordination</w:t>
      </w:r>
      <w:r w:rsidR="00657A53">
        <w:rPr>
          <w:rFonts w:ascii="Arial" w:hAnsi="Arial" w:cs="Arial"/>
          <w:color w:val="000000"/>
          <w:sz w:val="22"/>
          <w:szCs w:val="22"/>
        </w:rPr>
        <w:t>. (Attachment 3.)</w:t>
      </w:r>
      <w:r w:rsidRPr="0049231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3D71C54" w14:textId="6E2E3F54" w:rsidR="001C32A6" w:rsidRDefault="00EF452C" w:rsidP="00ED2777">
      <w:pPr>
        <w:pStyle w:val="InformationRequestBullet"/>
        <w:spacing w:before="0" w:after="240"/>
        <w:ind w:left="357" w:hanging="357"/>
        <w:rPr>
          <w:rFonts w:eastAsiaTheme="minorHAnsi" w:cs="Arial"/>
          <w:i w:val="0"/>
          <w:color w:val="000000"/>
          <w:szCs w:val="22"/>
          <w:lang w:val="en-US" w:eastAsia="en-US"/>
        </w:rPr>
      </w:pPr>
      <w:r>
        <w:rPr>
          <w:rFonts w:eastAsiaTheme="minorHAnsi" w:cs="Arial"/>
          <w:i w:val="0"/>
          <w:color w:val="000000"/>
          <w:szCs w:val="22"/>
          <w:lang w:val="en-US" w:eastAsia="en-US"/>
        </w:rPr>
        <w:t>A report by PricewaterhouseCoopers</w:t>
      </w:r>
      <w:r w:rsidR="003C2039">
        <w:rPr>
          <w:rFonts w:eastAsiaTheme="minorHAnsi" w:cs="Arial"/>
          <w:i w:val="0"/>
          <w:color w:val="000000"/>
          <w:szCs w:val="22"/>
          <w:lang w:val="en-US" w:eastAsia="en-US"/>
        </w:rPr>
        <w:t xml:space="preserve"> </w:t>
      </w:r>
      <w:r w:rsidR="001C32A6">
        <w:rPr>
          <w:rFonts w:eastAsiaTheme="minorHAnsi" w:cs="Arial"/>
          <w:i w:val="0"/>
          <w:color w:val="000000"/>
          <w:szCs w:val="22"/>
          <w:lang w:val="en-US" w:eastAsia="en-US"/>
        </w:rPr>
        <w:t xml:space="preserve">on </w:t>
      </w:r>
      <w:r w:rsidR="001C32A6" w:rsidRPr="001C32A6">
        <w:rPr>
          <w:rFonts w:eastAsiaTheme="minorHAnsi" w:cs="Arial"/>
          <w:color w:val="000000"/>
          <w:szCs w:val="22"/>
          <w:lang w:val="en-US" w:eastAsia="en-US"/>
        </w:rPr>
        <w:t>the value of Indigenous sight</w:t>
      </w:r>
      <w:r w:rsidR="001C32A6">
        <w:rPr>
          <w:rFonts w:eastAsiaTheme="minorHAnsi" w:cs="Arial"/>
          <w:i w:val="0"/>
          <w:color w:val="000000"/>
          <w:szCs w:val="22"/>
          <w:lang w:val="en-US" w:eastAsia="en-US"/>
        </w:rPr>
        <w:t xml:space="preserve"> clearly demonstrates the economic benefits that flow from the implementation of the </w:t>
      </w:r>
      <w:r w:rsidR="001C32A6" w:rsidRPr="001C32A6">
        <w:rPr>
          <w:rFonts w:eastAsiaTheme="minorHAnsi" w:cs="Arial"/>
          <w:color w:val="000000"/>
          <w:szCs w:val="22"/>
          <w:lang w:val="en-US" w:eastAsia="en-US"/>
        </w:rPr>
        <w:t>Roadmap</w:t>
      </w:r>
      <w:r w:rsidR="001C32A6">
        <w:rPr>
          <w:rFonts w:eastAsiaTheme="minorHAnsi" w:cs="Arial"/>
          <w:i w:val="0"/>
          <w:color w:val="000000"/>
          <w:szCs w:val="22"/>
          <w:lang w:val="en-US" w:eastAsia="en-US"/>
        </w:rPr>
        <w:t xml:space="preserve"> and a commitment to an integrated approach to closing the gap</w:t>
      </w:r>
      <w:r w:rsidR="00CB5897">
        <w:rPr>
          <w:rFonts w:eastAsiaTheme="minorHAnsi" w:cs="Arial"/>
          <w:i w:val="0"/>
          <w:color w:val="000000"/>
          <w:szCs w:val="22"/>
          <w:lang w:val="en-US" w:eastAsia="en-US"/>
        </w:rPr>
        <w:t xml:space="preserve"> (RfI </w:t>
      </w:r>
      <w:r w:rsidR="008372AC">
        <w:rPr>
          <w:rFonts w:eastAsiaTheme="minorHAnsi" w:cs="Arial"/>
          <w:i w:val="0"/>
          <w:color w:val="000000"/>
          <w:szCs w:val="22"/>
          <w:lang w:val="en-US" w:eastAsia="en-US"/>
        </w:rPr>
        <w:t>37)</w:t>
      </w:r>
      <w:r w:rsidR="001C32A6">
        <w:rPr>
          <w:rFonts w:eastAsiaTheme="minorHAnsi" w:cs="Arial"/>
          <w:i w:val="0"/>
          <w:color w:val="000000"/>
          <w:szCs w:val="22"/>
          <w:lang w:val="en-US" w:eastAsia="en-US"/>
        </w:rPr>
        <w:t xml:space="preserve">. </w:t>
      </w:r>
      <w:hyperlink r:id="rId16" w:history="1">
        <w:r w:rsidR="001C32A6" w:rsidRPr="00F340F2">
          <w:rPr>
            <w:rStyle w:val="Hyperlink"/>
            <w:rFonts w:ascii="Arial Narrow" w:eastAsiaTheme="minorHAnsi" w:hAnsi="Arial Narrow" w:cs="Arial"/>
            <w:i w:val="0"/>
            <w:szCs w:val="22"/>
            <w:lang w:val="en-US" w:eastAsia="en-US"/>
          </w:rPr>
          <w:t>http://www.pwc.com.au/publications/healthcare-indigenous-sight.html</w:t>
        </w:r>
      </w:hyperlink>
    </w:p>
    <w:p w14:paraId="44D11FF2" w14:textId="2C0E4929" w:rsidR="00351041" w:rsidRPr="00136944" w:rsidRDefault="00351041" w:rsidP="00351041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 w:rsidRPr="00136944">
        <w:rPr>
          <w:rFonts w:ascii="Arial" w:hAnsi="Arial" w:cs="Arial"/>
          <w:b/>
        </w:rPr>
        <w:t>Coordination and delivery - RfI 32,33,35</w:t>
      </w:r>
      <w:r w:rsidR="008372AC">
        <w:rPr>
          <w:rFonts w:ascii="Arial" w:hAnsi="Arial" w:cs="Arial"/>
          <w:b/>
        </w:rPr>
        <w:t>,</w:t>
      </w:r>
      <w:r w:rsidRPr="00136944">
        <w:rPr>
          <w:rFonts w:ascii="Arial" w:hAnsi="Arial" w:cs="Arial"/>
          <w:b/>
        </w:rPr>
        <w:t xml:space="preserve"> 36</w:t>
      </w:r>
      <w:r w:rsidR="008372AC">
        <w:rPr>
          <w:rFonts w:ascii="Arial" w:hAnsi="Arial" w:cs="Arial"/>
          <w:b/>
        </w:rPr>
        <w:t xml:space="preserve"> and 37</w:t>
      </w:r>
    </w:p>
    <w:p w14:paraId="26ABF33B" w14:textId="4D56B127" w:rsidR="00E015C9" w:rsidRPr="00E015C9" w:rsidRDefault="008372AC" w:rsidP="008372AC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FF"/>
          <w:sz w:val="22"/>
          <w:szCs w:val="22"/>
          <w:u w:val="single"/>
        </w:rPr>
      </w:pPr>
      <w:r w:rsidRPr="00136944">
        <w:rPr>
          <w:rFonts w:ascii="Arial" w:hAnsi="Arial" w:cs="Arial"/>
          <w:color w:val="000000"/>
          <w:sz w:val="22"/>
          <w:szCs w:val="22"/>
        </w:rPr>
        <w:t xml:space="preserve">Recommendation 1 of the Roadmap addresses primary eye care as part of comprehensive primary health care to improve the identification and referral for eye care needs. </w:t>
      </w:r>
      <w:r w:rsidR="00E015C9">
        <w:rPr>
          <w:rFonts w:ascii="Arial" w:hAnsi="Arial" w:cs="Arial"/>
          <w:color w:val="000000"/>
          <w:sz w:val="22"/>
          <w:szCs w:val="22"/>
        </w:rPr>
        <w:t xml:space="preserve">The referral pathway from primary health care to </w:t>
      </w:r>
      <w:r w:rsidR="00B76230">
        <w:rPr>
          <w:rFonts w:ascii="Arial" w:hAnsi="Arial" w:cs="Arial"/>
          <w:color w:val="000000"/>
          <w:sz w:val="22"/>
          <w:szCs w:val="22"/>
        </w:rPr>
        <w:t>s</w:t>
      </w:r>
      <w:r w:rsidR="00E015C9">
        <w:rPr>
          <w:rFonts w:ascii="Arial" w:hAnsi="Arial" w:cs="Arial"/>
          <w:color w:val="000000"/>
          <w:sz w:val="22"/>
          <w:szCs w:val="22"/>
        </w:rPr>
        <w:t>pecialist services requires a whole of system approach to be effective and ensure the patient journey is not a “leaky pipe”.</w:t>
      </w:r>
    </w:p>
    <w:p w14:paraId="2F8EA4B6" w14:textId="626A1514" w:rsidR="00B837E3" w:rsidRPr="00E015C9" w:rsidRDefault="00E015C9" w:rsidP="00E015C9">
      <w:pPr>
        <w:spacing w:after="120"/>
        <w:jc w:val="center"/>
        <w:rPr>
          <w:rFonts w:ascii="Arial" w:hAnsi="Arial" w:cs="Arial"/>
          <w:color w:val="0000FF"/>
          <w:sz w:val="22"/>
          <w:szCs w:val="22"/>
          <w:u w:val="single"/>
        </w:rPr>
      </w:pPr>
      <w:r w:rsidRPr="00E015C9">
        <w:rPr>
          <w:rFonts w:ascii="Arial" w:hAnsi="Arial" w:cs="Arial"/>
          <w:noProof/>
          <w:color w:val="000000"/>
          <w:sz w:val="22"/>
          <w:szCs w:val="22"/>
          <w:lang w:val="en-AU" w:eastAsia="en-AU"/>
        </w:rPr>
        <w:drawing>
          <wp:inline distT="0" distB="0" distL="0" distR="0" wp14:anchorId="33CD35BB" wp14:editId="6F846FE0">
            <wp:extent cx="3361699" cy="2558171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781" cy="264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1EDB9F" w14:textId="0E51AAAB" w:rsidR="008372AC" w:rsidRPr="00E96709" w:rsidRDefault="008372AC" w:rsidP="008372AC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FF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importance of culturally safe care is paramount to drive successful patient outcomes and the Aboriginal controlled sector is a key part of delivering appropriate health care (RfI 35). </w:t>
      </w:r>
    </w:p>
    <w:p w14:paraId="1604DEFF" w14:textId="51249D62" w:rsidR="00656780" w:rsidRPr="00F340F2" w:rsidRDefault="00656780" w:rsidP="00DC309E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F340F2">
        <w:rPr>
          <w:rFonts w:ascii="Arial" w:hAnsi="Arial" w:cs="Arial"/>
          <w:color w:val="000000"/>
          <w:sz w:val="22"/>
          <w:szCs w:val="22"/>
        </w:rPr>
        <w:t>The Visiting Optometrists Scheme (VOS) provides funding for Optometrists to visit remote communities and</w:t>
      </w:r>
      <w:r w:rsidR="00136944" w:rsidRPr="00F340F2">
        <w:rPr>
          <w:rFonts w:ascii="Arial" w:hAnsi="Arial" w:cs="Arial"/>
          <w:color w:val="000000"/>
          <w:sz w:val="22"/>
          <w:szCs w:val="22"/>
        </w:rPr>
        <w:t>,</w:t>
      </w:r>
      <w:r w:rsidRPr="00F340F2">
        <w:rPr>
          <w:rFonts w:ascii="Arial" w:hAnsi="Arial" w:cs="Arial"/>
          <w:color w:val="000000"/>
          <w:sz w:val="22"/>
          <w:szCs w:val="22"/>
        </w:rPr>
        <w:t xml:space="preserve"> </w:t>
      </w:r>
      <w:r w:rsidR="00136944" w:rsidRPr="00F340F2">
        <w:rPr>
          <w:rFonts w:ascii="Arial" w:hAnsi="Arial" w:cs="Arial"/>
          <w:color w:val="000000"/>
          <w:sz w:val="22"/>
          <w:szCs w:val="22"/>
        </w:rPr>
        <w:t xml:space="preserve">where required, </w:t>
      </w:r>
      <w:r w:rsidR="00E96709">
        <w:rPr>
          <w:rFonts w:ascii="Arial" w:hAnsi="Arial" w:cs="Arial"/>
          <w:color w:val="000000"/>
          <w:sz w:val="22"/>
          <w:szCs w:val="22"/>
        </w:rPr>
        <w:t>refer</w:t>
      </w:r>
      <w:r w:rsidRPr="00F340F2">
        <w:rPr>
          <w:rFonts w:ascii="Arial" w:hAnsi="Arial" w:cs="Arial"/>
          <w:color w:val="000000"/>
          <w:sz w:val="22"/>
          <w:szCs w:val="22"/>
        </w:rPr>
        <w:t xml:space="preserve"> patients for </w:t>
      </w:r>
      <w:r w:rsidR="00ED2777">
        <w:rPr>
          <w:rFonts w:ascii="Arial" w:hAnsi="Arial" w:cs="Arial"/>
          <w:color w:val="000000"/>
          <w:sz w:val="22"/>
          <w:szCs w:val="22"/>
        </w:rPr>
        <w:t>review</w:t>
      </w:r>
      <w:r w:rsidRPr="00F340F2">
        <w:rPr>
          <w:rFonts w:ascii="Arial" w:hAnsi="Arial" w:cs="Arial"/>
          <w:color w:val="000000"/>
          <w:sz w:val="22"/>
          <w:szCs w:val="22"/>
        </w:rPr>
        <w:t xml:space="preserve"> by an </w:t>
      </w:r>
      <w:r w:rsidR="006167CB" w:rsidRPr="00F340F2">
        <w:rPr>
          <w:rFonts w:ascii="Arial" w:hAnsi="Arial" w:cs="Arial"/>
          <w:color w:val="000000"/>
          <w:sz w:val="22"/>
          <w:szCs w:val="22"/>
        </w:rPr>
        <w:t>Ophthalmologist</w:t>
      </w:r>
      <w:r w:rsidRPr="00F340F2">
        <w:rPr>
          <w:rFonts w:ascii="Arial" w:hAnsi="Arial" w:cs="Arial"/>
          <w:color w:val="000000"/>
          <w:sz w:val="22"/>
          <w:szCs w:val="22"/>
        </w:rPr>
        <w:t xml:space="preserve">. </w:t>
      </w:r>
      <w:r w:rsidR="00ED2777">
        <w:rPr>
          <w:rFonts w:ascii="Arial" w:hAnsi="Arial" w:cs="Arial"/>
          <w:color w:val="000000"/>
          <w:sz w:val="22"/>
          <w:szCs w:val="22"/>
        </w:rPr>
        <w:t>T</w:t>
      </w:r>
      <w:r w:rsidRPr="00F340F2">
        <w:rPr>
          <w:rFonts w:ascii="Arial" w:hAnsi="Arial" w:cs="Arial"/>
          <w:color w:val="000000"/>
          <w:sz w:val="22"/>
          <w:szCs w:val="22"/>
        </w:rPr>
        <w:t xml:space="preserve">elehealth (with an associated MBS item) is being effectively used by </w:t>
      </w:r>
      <w:r w:rsidR="00ED2777">
        <w:rPr>
          <w:rFonts w:ascii="Arial" w:hAnsi="Arial" w:cs="Arial"/>
          <w:color w:val="000000"/>
          <w:sz w:val="22"/>
          <w:szCs w:val="22"/>
        </w:rPr>
        <w:t>O</w:t>
      </w:r>
      <w:r w:rsidRPr="00F340F2">
        <w:rPr>
          <w:rFonts w:ascii="Arial" w:hAnsi="Arial" w:cs="Arial"/>
          <w:color w:val="000000"/>
          <w:sz w:val="22"/>
          <w:szCs w:val="22"/>
        </w:rPr>
        <w:t>ptometrists in WA to communicate with the Specialist and the patient to discuss the required procedure and obtain patient consent before coming to the hospital for the actual procedure</w:t>
      </w:r>
      <w:r w:rsidR="00781626" w:rsidRPr="00F340F2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8" w:history="1">
        <w:r w:rsidR="00F340F2" w:rsidRPr="00F340F2">
          <w:rPr>
            <w:rStyle w:val="Hyperlink"/>
            <w:rFonts w:ascii="Arial Narrow" w:hAnsi="Arial Narrow" w:cs="Arial"/>
            <w:sz w:val="22"/>
            <w:szCs w:val="22"/>
          </w:rPr>
          <w:t>http://outbackvision.com.au/telehealth/</w:t>
        </w:r>
      </w:hyperlink>
      <w:r w:rsidR="00F340F2" w:rsidRPr="00F340F2">
        <w:rPr>
          <w:rFonts w:ascii="Arial" w:hAnsi="Arial" w:cs="Arial"/>
          <w:color w:val="000000"/>
          <w:sz w:val="22"/>
          <w:szCs w:val="22"/>
        </w:rPr>
        <w:t xml:space="preserve"> </w:t>
      </w:r>
      <w:r w:rsidR="00781626" w:rsidRPr="00F340F2">
        <w:rPr>
          <w:rFonts w:ascii="Arial" w:hAnsi="Arial" w:cs="Arial"/>
          <w:color w:val="000000"/>
          <w:sz w:val="22"/>
          <w:szCs w:val="22"/>
        </w:rPr>
        <w:t>(RfI 17 and 32)</w:t>
      </w:r>
      <w:r w:rsidRPr="00F340F2">
        <w:rPr>
          <w:rFonts w:ascii="Arial" w:hAnsi="Arial" w:cs="Arial"/>
          <w:color w:val="000000"/>
          <w:sz w:val="22"/>
          <w:szCs w:val="22"/>
        </w:rPr>
        <w:t>.</w:t>
      </w:r>
      <w:r w:rsidR="00B72630">
        <w:rPr>
          <w:rFonts w:ascii="Arial" w:hAnsi="Arial" w:cs="Arial"/>
          <w:color w:val="000000"/>
          <w:sz w:val="22"/>
          <w:szCs w:val="22"/>
        </w:rPr>
        <w:t xml:space="preserve"> We would note that this has not translated into effective utilisation of telehealth by GPs and Specialists for clinical purposes.</w:t>
      </w:r>
    </w:p>
    <w:p w14:paraId="7D649E77" w14:textId="0F478932" w:rsidR="008E4BD6" w:rsidRPr="00D46A05" w:rsidRDefault="008E4BD6" w:rsidP="00781626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 Narrow" w:hAnsi="Arial Narrow" w:cs="Arial"/>
          <w:color w:val="000000"/>
          <w:sz w:val="22"/>
          <w:szCs w:val="22"/>
        </w:rPr>
      </w:pPr>
      <w:r w:rsidRPr="00781626">
        <w:rPr>
          <w:rFonts w:ascii="Arial" w:hAnsi="Arial" w:cs="Arial"/>
          <w:color w:val="000000"/>
          <w:sz w:val="22"/>
          <w:szCs w:val="22"/>
        </w:rPr>
        <w:lastRenderedPageBreak/>
        <w:t>The hidden cost burden of relocation for services due to negative impacts of visits to urban centres</w:t>
      </w:r>
      <w:r w:rsidR="00781626" w:rsidRPr="00781626">
        <w:rPr>
          <w:rFonts w:ascii="Arial" w:hAnsi="Arial" w:cs="Arial"/>
          <w:color w:val="000000"/>
          <w:sz w:val="22"/>
          <w:szCs w:val="22"/>
        </w:rPr>
        <w:t xml:space="preserve"> </w:t>
      </w:r>
      <w:r w:rsidR="00781626" w:rsidRPr="00781626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781626">
        <w:rPr>
          <w:rFonts w:ascii="Arial" w:hAnsi="Arial" w:cs="Arial"/>
          <w:color w:val="000000"/>
          <w:sz w:val="22"/>
          <w:szCs w:val="22"/>
        </w:rPr>
        <w:t xml:space="preserve"> </w:t>
      </w:r>
      <w:r w:rsidR="00781626">
        <w:rPr>
          <w:rFonts w:ascii="Arial" w:hAnsi="Arial" w:cs="Arial"/>
          <w:color w:val="000000"/>
          <w:sz w:val="22"/>
          <w:szCs w:val="22"/>
        </w:rPr>
        <w:t xml:space="preserve">also reinforces the benefits of a system that emphasises the key role of primary health care and the important role of </w:t>
      </w:r>
      <w:r w:rsidR="00ED59F0">
        <w:rPr>
          <w:rFonts w:ascii="Arial" w:hAnsi="Arial" w:cs="Arial"/>
          <w:color w:val="000000"/>
          <w:sz w:val="22"/>
          <w:szCs w:val="22"/>
        </w:rPr>
        <w:t>visiting</w:t>
      </w:r>
      <w:r w:rsidRPr="00781626">
        <w:rPr>
          <w:rFonts w:ascii="Arial" w:hAnsi="Arial" w:cs="Arial"/>
          <w:color w:val="000000"/>
          <w:sz w:val="22"/>
          <w:szCs w:val="22"/>
        </w:rPr>
        <w:t xml:space="preserve"> services and visiting </w:t>
      </w:r>
      <w:r w:rsidR="00781626">
        <w:rPr>
          <w:rFonts w:ascii="Arial" w:hAnsi="Arial" w:cs="Arial"/>
          <w:color w:val="000000"/>
          <w:sz w:val="22"/>
          <w:szCs w:val="22"/>
        </w:rPr>
        <w:t>Optometrists and, when required, Specialists</w:t>
      </w:r>
      <w:r w:rsidR="00D46A05">
        <w:rPr>
          <w:rFonts w:ascii="Arial" w:hAnsi="Arial" w:cs="Arial"/>
          <w:color w:val="000000"/>
          <w:sz w:val="22"/>
          <w:szCs w:val="22"/>
        </w:rPr>
        <w:t>. Dedicated</w:t>
      </w:r>
      <w:r w:rsidRPr="00781626">
        <w:rPr>
          <w:rFonts w:ascii="Arial" w:hAnsi="Arial" w:cs="Arial"/>
          <w:color w:val="000000"/>
          <w:sz w:val="22"/>
          <w:szCs w:val="22"/>
        </w:rPr>
        <w:t xml:space="preserve"> coordination</w:t>
      </w:r>
      <w:r w:rsidR="00D46A05">
        <w:rPr>
          <w:rFonts w:ascii="Arial" w:hAnsi="Arial" w:cs="Arial"/>
          <w:color w:val="000000"/>
          <w:sz w:val="22"/>
          <w:szCs w:val="22"/>
        </w:rPr>
        <w:t xml:space="preserve"> is</w:t>
      </w:r>
      <w:r w:rsidRPr="00781626">
        <w:rPr>
          <w:rFonts w:ascii="Arial" w:hAnsi="Arial" w:cs="Arial"/>
          <w:color w:val="000000"/>
          <w:sz w:val="22"/>
          <w:szCs w:val="22"/>
        </w:rPr>
        <w:t xml:space="preserve"> required to minimi</w:t>
      </w:r>
      <w:r w:rsidR="00781626">
        <w:rPr>
          <w:rFonts w:ascii="Arial" w:hAnsi="Arial" w:cs="Arial"/>
          <w:color w:val="000000"/>
          <w:sz w:val="22"/>
          <w:szCs w:val="22"/>
        </w:rPr>
        <w:t>s</w:t>
      </w:r>
      <w:r w:rsidRPr="00781626">
        <w:rPr>
          <w:rFonts w:ascii="Arial" w:hAnsi="Arial" w:cs="Arial"/>
          <w:color w:val="000000"/>
          <w:sz w:val="22"/>
          <w:szCs w:val="22"/>
        </w:rPr>
        <w:t>e the time patients have to spend in the major centres for public hospital services such as cataract surgery or diabetic eye care.</w:t>
      </w:r>
      <w:r w:rsidR="0029395F">
        <w:rPr>
          <w:rFonts w:ascii="Arial" w:hAnsi="Arial" w:cs="Arial"/>
          <w:color w:val="000000"/>
          <w:sz w:val="22"/>
          <w:szCs w:val="22"/>
        </w:rPr>
        <w:t xml:space="preserve"> The </w:t>
      </w:r>
      <w:r w:rsidR="00991FCA">
        <w:rPr>
          <w:rFonts w:ascii="Arial" w:hAnsi="Arial" w:cs="Arial"/>
          <w:color w:val="000000"/>
          <w:sz w:val="22"/>
          <w:szCs w:val="22"/>
        </w:rPr>
        <w:t>process</w:t>
      </w:r>
      <w:r w:rsidR="0029395F">
        <w:rPr>
          <w:rFonts w:ascii="Arial" w:hAnsi="Arial" w:cs="Arial"/>
          <w:color w:val="000000"/>
          <w:sz w:val="22"/>
          <w:szCs w:val="22"/>
        </w:rPr>
        <w:t xml:space="preserve"> begins with the MBS item number 715 for mandatory eye checks to be included in the annual health assessment</w:t>
      </w:r>
      <w:r w:rsidR="00D46A05">
        <w:rPr>
          <w:rFonts w:ascii="Arial" w:hAnsi="Arial" w:cs="Arial"/>
          <w:color w:val="000000"/>
          <w:sz w:val="22"/>
          <w:szCs w:val="22"/>
        </w:rPr>
        <w:t xml:space="preserve"> and flows through to other eye health activities that can be delivered in the primary health care setting</w:t>
      </w:r>
      <w:r w:rsidR="00356184">
        <w:rPr>
          <w:rFonts w:ascii="Arial" w:hAnsi="Arial" w:cs="Arial"/>
          <w:color w:val="000000"/>
          <w:sz w:val="22"/>
          <w:szCs w:val="22"/>
        </w:rPr>
        <w:t xml:space="preserve"> (</w:t>
      </w:r>
      <w:r w:rsidR="00657A53">
        <w:rPr>
          <w:rFonts w:ascii="Arial" w:hAnsi="Arial" w:cs="Arial"/>
          <w:color w:val="000000"/>
          <w:sz w:val="22"/>
          <w:szCs w:val="22"/>
        </w:rPr>
        <w:t>A</w:t>
      </w:r>
      <w:r w:rsidR="00356184">
        <w:rPr>
          <w:rFonts w:ascii="Arial" w:hAnsi="Arial" w:cs="Arial"/>
          <w:color w:val="000000"/>
          <w:sz w:val="22"/>
          <w:szCs w:val="22"/>
        </w:rPr>
        <w:t>ttach</w:t>
      </w:r>
      <w:r w:rsidR="00657A53">
        <w:rPr>
          <w:rFonts w:ascii="Arial" w:hAnsi="Arial" w:cs="Arial"/>
          <w:color w:val="000000"/>
          <w:sz w:val="22"/>
          <w:szCs w:val="22"/>
        </w:rPr>
        <w:t>ment 4</w:t>
      </w:r>
      <w:r w:rsidR="00356184">
        <w:rPr>
          <w:rFonts w:ascii="Arial" w:hAnsi="Arial" w:cs="Arial"/>
          <w:color w:val="000000"/>
          <w:sz w:val="22"/>
          <w:szCs w:val="22"/>
        </w:rPr>
        <w:t>)</w:t>
      </w:r>
      <w:r w:rsidR="0029395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D92FCC3" w14:textId="7D6BB25A" w:rsidR="00781626" w:rsidRDefault="00781626" w:rsidP="00781626">
      <w:pPr>
        <w:pStyle w:val="ListParagraph"/>
        <w:numPr>
          <w:ilvl w:val="0"/>
          <w:numId w:val="11"/>
        </w:numPr>
        <w:spacing w:before="0" w:beforeAutospacing="0" w:after="120" w:afterAutospacing="0"/>
        <w:ind w:left="357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The introduction </w:t>
      </w:r>
      <w:r w:rsidR="004077A1">
        <w:rPr>
          <w:rFonts w:ascii="Arial" w:hAnsi="Arial" w:cs="Arial"/>
          <w:color w:val="000000"/>
          <w:sz w:val="22"/>
          <w:szCs w:val="22"/>
        </w:rPr>
        <w:t>of</w:t>
      </w:r>
      <w:r>
        <w:rPr>
          <w:rFonts w:ascii="Arial" w:hAnsi="Arial" w:cs="Arial"/>
          <w:color w:val="000000"/>
          <w:sz w:val="22"/>
          <w:szCs w:val="22"/>
        </w:rPr>
        <w:t xml:space="preserve"> the new MBS item for non-mydriatic </w:t>
      </w:r>
      <w:r w:rsidR="00E96709">
        <w:rPr>
          <w:rFonts w:ascii="Arial" w:hAnsi="Arial" w:cs="Arial"/>
          <w:color w:val="000000"/>
          <w:sz w:val="22"/>
          <w:szCs w:val="22"/>
        </w:rPr>
        <w:t xml:space="preserve">retinal photography </w:t>
      </w:r>
      <w:r>
        <w:rPr>
          <w:rFonts w:ascii="Arial" w:hAnsi="Arial" w:cs="Arial"/>
          <w:color w:val="000000"/>
          <w:sz w:val="22"/>
          <w:szCs w:val="22"/>
        </w:rPr>
        <w:t>screening for Diabetic Retinopathy</w:t>
      </w:r>
      <w:r w:rsidR="004077A1">
        <w:rPr>
          <w:rFonts w:ascii="Arial" w:hAnsi="Arial" w:cs="Arial"/>
          <w:color w:val="000000"/>
          <w:sz w:val="22"/>
          <w:szCs w:val="22"/>
        </w:rPr>
        <w:t xml:space="preserve"> represents a great opportunity for screening to occur in a primary health care setting and</w:t>
      </w:r>
      <w:r w:rsidR="00401B98">
        <w:rPr>
          <w:rFonts w:ascii="Arial" w:hAnsi="Arial" w:cs="Arial"/>
          <w:color w:val="000000"/>
          <w:sz w:val="22"/>
          <w:szCs w:val="22"/>
        </w:rPr>
        <w:t>, in some cases,</w:t>
      </w:r>
      <w:r w:rsidR="004077A1">
        <w:rPr>
          <w:rFonts w:ascii="Arial" w:hAnsi="Arial" w:cs="Arial"/>
          <w:color w:val="000000"/>
          <w:sz w:val="22"/>
          <w:szCs w:val="22"/>
        </w:rPr>
        <w:t xml:space="preserve"> utilise the services of other professionals to</w:t>
      </w:r>
      <w:r w:rsidR="00401B98">
        <w:rPr>
          <w:rFonts w:ascii="Arial" w:hAnsi="Arial" w:cs="Arial"/>
          <w:color w:val="000000"/>
          <w:sz w:val="22"/>
          <w:szCs w:val="22"/>
        </w:rPr>
        <w:t xml:space="preserve"> support assessment of</w:t>
      </w:r>
      <w:r w:rsidR="00D46A05">
        <w:rPr>
          <w:rFonts w:ascii="Arial" w:hAnsi="Arial" w:cs="Arial"/>
          <w:color w:val="000000"/>
          <w:sz w:val="22"/>
          <w:szCs w:val="22"/>
        </w:rPr>
        <w:t xml:space="preserve"> generated</w:t>
      </w:r>
      <w:r w:rsidR="004077A1">
        <w:rPr>
          <w:rFonts w:ascii="Arial" w:hAnsi="Arial" w:cs="Arial"/>
          <w:color w:val="000000"/>
          <w:sz w:val="22"/>
          <w:szCs w:val="22"/>
        </w:rPr>
        <w:t xml:space="preserve"> in an alternative location. The cost of the camera and training required for the clinical staff at the health centre is mitigated by the savings in eff</w:t>
      </w:r>
      <w:r w:rsidR="00ED2777">
        <w:rPr>
          <w:rFonts w:ascii="Arial" w:hAnsi="Arial" w:cs="Arial"/>
          <w:color w:val="000000"/>
          <w:sz w:val="22"/>
          <w:szCs w:val="22"/>
        </w:rPr>
        <w:t>icient</w:t>
      </w:r>
      <w:r w:rsidR="004077A1">
        <w:rPr>
          <w:rFonts w:ascii="Arial" w:hAnsi="Arial" w:cs="Arial"/>
          <w:color w:val="000000"/>
          <w:sz w:val="22"/>
          <w:szCs w:val="22"/>
        </w:rPr>
        <w:t xml:space="preserve"> triage and reduced need for specialist visits</w:t>
      </w:r>
      <w:r w:rsidR="004077A1" w:rsidRPr="00D46A05">
        <w:rPr>
          <w:rFonts w:ascii="Arial Narrow" w:hAnsi="Arial Narrow" w:cs="Arial"/>
          <w:color w:val="000000"/>
          <w:sz w:val="21"/>
          <w:szCs w:val="21"/>
        </w:rPr>
        <w:t xml:space="preserve">.    </w:t>
      </w:r>
      <w:r w:rsidRPr="00D46A05">
        <w:rPr>
          <w:rFonts w:ascii="Arial Narrow" w:hAnsi="Arial Narrow" w:cs="Arial"/>
          <w:color w:val="000000"/>
          <w:sz w:val="21"/>
          <w:szCs w:val="21"/>
        </w:rPr>
        <w:t xml:space="preserve"> </w:t>
      </w:r>
      <w:hyperlink r:id="rId19" w:history="1">
        <w:r w:rsidR="004077A1" w:rsidRPr="00D46A05">
          <w:rPr>
            <w:rStyle w:val="Hyperlink"/>
            <w:rFonts w:ascii="Arial Narrow" w:hAnsi="Arial Narrow" w:cs="Arial"/>
            <w:sz w:val="21"/>
            <w:szCs w:val="21"/>
          </w:rPr>
          <w:t>http://mspgh.unimelb.edu.au/centres-institutes/centre-for-health-equity/research-group/indigenous-eye-health/news-and-events/mbs-items-dr-nmrp</w:t>
        </w:r>
      </w:hyperlink>
    </w:p>
    <w:p w14:paraId="34218373" w14:textId="77777777" w:rsidR="00713F25" w:rsidRDefault="008625CF" w:rsidP="004077A1">
      <w:pPr>
        <w:pStyle w:val="InformationRequestBullet"/>
        <w:numPr>
          <w:ilvl w:val="0"/>
          <w:numId w:val="11"/>
        </w:numPr>
        <w:rPr>
          <w:rFonts w:cs="Arial"/>
          <w:i w:val="0"/>
          <w:szCs w:val="22"/>
        </w:rPr>
      </w:pPr>
      <w:r>
        <w:rPr>
          <w:rFonts w:cs="Arial"/>
          <w:i w:val="0"/>
          <w:szCs w:val="22"/>
        </w:rPr>
        <w:t>IEH works at a community level to develop and propagate health awareness and promotion activities around Trachoma (</w:t>
      </w:r>
      <w:r w:rsidRPr="008625CF">
        <w:rPr>
          <w:rFonts w:cs="Arial"/>
          <w:szCs w:val="22"/>
        </w:rPr>
        <w:t>Clean Faces, Strong Eyes</w:t>
      </w:r>
      <w:r>
        <w:rPr>
          <w:rFonts w:cs="Arial"/>
          <w:i w:val="0"/>
          <w:szCs w:val="22"/>
        </w:rPr>
        <w:t>) and Diabetes eye care (</w:t>
      </w:r>
      <w:r w:rsidRPr="008625CF">
        <w:rPr>
          <w:rFonts w:cs="Arial"/>
          <w:szCs w:val="22"/>
        </w:rPr>
        <w:t>Check Today, See Tomorrow</w:t>
      </w:r>
      <w:r>
        <w:rPr>
          <w:rFonts w:cs="Arial"/>
          <w:i w:val="0"/>
          <w:szCs w:val="22"/>
        </w:rPr>
        <w:t>) (RfI 35).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  <w:gridCol w:w="5671"/>
      </w:tblGrid>
      <w:tr w:rsidR="00713F25" w14:paraId="2B838DB6" w14:textId="77777777" w:rsidTr="00713F25">
        <w:tc>
          <w:tcPr>
            <w:tcW w:w="4505" w:type="dxa"/>
            <w:vAlign w:val="center"/>
          </w:tcPr>
          <w:p w14:paraId="2FA64108" w14:textId="559BF257" w:rsidR="00713F25" w:rsidRDefault="00713F25" w:rsidP="00713F25">
            <w:pPr>
              <w:pStyle w:val="BodyText"/>
              <w:jc w:val="center"/>
              <w:rPr>
                <w:lang w:val="en-AU" w:eastAsia="en-AU"/>
              </w:rPr>
            </w:pPr>
            <w:r w:rsidRPr="00713F25">
              <w:rPr>
                <w:rFonts w:cs="Arial"/>
                <w:noProof/>
                <w:szCs w:val="22"/>
                <w:lang w:val="en-AU" w:eastAsia="en-AU"/>
              </w:rPr>
              <w:drawing>
                <wp:inline distT="0" distB="0" distL="0" distR="0" wp14:anchorId="5AACC49A" wp14:editId="30FF2F59">
                  <wp:extent cx="1345244" cy="787986"/>
                  <wp:effectExtent l="0" t="0" r="1270" b="0"/>
                  <wp:docPr id="2" name="Picture 4" descr="S:\Katherine materials\artwork for flipchart and trachoma story kit\IMAGES FOR CHART\Goanna_Primary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S:\Katherine materials\artwork for flipchart and trachoma story kit\IMAGES FOR CHART\Goanna_Primary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224" cy="816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  <w:vAlign w:val="center"/>
          </w:tcPr>
          <w:p w14:paraId="1819A960" w14:textId="7F4980E7" w:rsidR="00713F25" w:rsidRDefault="00713F25" w:rsidP="00713F25">
            <w:pPr>
              <w:pStyle w:val="BodyText"/>
              <w:jc w:val="center"/>
              <w:rPr>
                <w:lang w:val="en-AU" w:eastAsia="en-AU"/>
              </w:rPr>
            </w:pPr>
            <w:r w:rsidRPr="00713F25">
              <w:rPr>
                <w:rFonts w:cs="Arial"/>
                <w:noProof/>
                <w:szCs w:val="22"/>
                <w:lang w:val="en-AU" w:eastAsia="en-AU"/>
              </w:rPr>
              <w:drawing>
                <wp:inline distT="0" distB="0" distL="0" distR="0" wp14:anchorId="41E31CD9" wp14:editId="40D67F48">
                  <wp:extent cx="3464049" cy="455867"/>
                  <wp:effectExtent l="0" t="0" r="0" b="1905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910" cy="46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BEBCCA" w14:textId="156722F8" w:rsidR="004077A1" w:rsidRDefault="008625CF" w:rsidP="004077A1">
      <w:pPr>
        <w:pStyle w:val="InformationRequestBullet"/>
        <w:numPr>
          <w:ilvl w:val="0"/>
          <w:numId w:val="11"/>
        </w:numPr>
        <w:rPr>
          <w:rFonts w:cs="Arial"/>
          <w:i w:val="0"/>
          <w:szCs w:val="22"/>
        </w:rPr>
      </w:pPr>
      <w:r>
        <w:rPr>
          <w:rFonts w:cs="Arial"/>
          <w:i w:val="0"/>
          <w:szCs w:val="22"/>
        </w:rPr>
        <w:t>The strong focus on community involvement in the development of these resources is key to their successful integration into primary health care setting.</w:t>
      </w:r>
    </w:p>
    <w:p w14:paraId="2DD38EB5" w14:textId="66845DEE" w:rsidR="008625CF" w:rsidRPr="008625CF" w:rsidRDefault="003031E5" w:rsidP="008625CF">
      <w:pPr>
        <w:pStyle w:val="BodyText"/>
        <w:numPr>
          <w:ilvl w:val="0"/>
          <w:numId w:val="15"/>
        </w:numPr>
        <w:spacing w:after="60"/>
        <w:ind w:left="714" w:hanging="357"/>
        <w:rPr>
          <w:rFonts w:ascii="Arial Narrow" w:hAnsi="Arial Narrow"/>
          <w:sz w:val="17"/>
          <w:szCs w:val="17"/>
          <w:lang w:val="en-AU" w:eastAsia="en-AU"/>
        </w:rPr>
      </w:pPr>
      <w:hyperlink r:id="rId22" w:anchor="diabetes-eye-care" w:history="1">
        <w:r w:rsidR="008625CF" w:rsidRPr="008625CF">
          <w:rPr>
            <w:rStyle w:val="Hyperlink"/>
            <w:rFonts w:ascii="Arial Narrow" w:hAnsi="Arial Narrow"/>
            <w:sz w:val="17"/>
            <w:szCs w:val="17"/>
            <w:lang w:val="en-AU" w:eastAsia="en-AU"/>
          </w:rPr>
          <w:t>http://mspgh.unimelb.edu.au/centres-institutes/centre-for-health-equity/research-group/indigenous-eye-health#diabetes-eye-care</w:t>
        </w:r>
      </w:hyperlink>
    </w:p>
    <w:p w14:paraId="5321B374" w14:textId="00B9269C" w:rsidR="008625CF" w:rsidRPr="008625CF" w:rsidRDefault="003031E5" w:rsidP="008625CF">
      <w:pPr>
        <w:pStyle w:val="BodyText"/>
        <w:numPr>
          <w:ilvl w:val="0"/>
          <w:numId w:val="15"/>
        </w:numPr>
        <w:rPr>
          <w:rFonts w:ascii="Arial Narrow" w:hAnsi="Arial Narrow"/>
          <w:sz w:val="17"/>
          <w:szCs w:val="17"/>
          <w:lang w:val="en-AU" w:eastAsia="en-AU"/>
        </w:rPr>
      </w:pPr>
      <w:hyperlink r:id="rId23" w:anchor="trachoma" w:history="1">
        <w:r w:rsidR="008625CF" w:rsidRPr="008625CF">
          <w:rPr>
            <w:rStyle w:val="Hyperlink"/>
            <w:rFonts w:ascii="Arial Narrow" w:hAnsi="Arial Narrow"/>
            <w:sz w:val="17"/>
            <w:szCs w:val="17"/>
            <w:lang w:val="en-AU" w:eastAsia="en-AU"/>
          </w:rPr>
          <w:t>http://mspgh.unimelb.edu.au/centres-institutes/centre-for-health-equity/research-group/indigenous-eye-health#trachoma</w:t>
        </w:r>
      </w:hyperlink>
    </w:p>
    <w:p w14:paraId="37DC193C" w14:textId="77777777" w:rsidR="008372AC" w:rsidRPr="008372AC" w:rsidRDefault="00503789" w:rsidP="002B5D2F">
      <w:pPr>
        <w:pStyle w:val="InformationRequestBullet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</w:rPr>
      </w:pPr>
      <w:r w:rsidRPr="006167CB">
        <w:rPr>
          <w:rFonts w:cs="Arial"/>
          <w:i w:val="0"/>
          <w:szCs w:val="22"/>
        </w:rPr>
        <w:t xml:space="preserve">The Roadmap </w:t>
      </w:r>
      <w:r w:rsidR="006167CB" w:rsidRPr="006167CB">
        <w:rPr>
          <w:rFonts w:cs="Arial"/>
          <w:i w:val="0"/>
          <w:szCs w:val="22"/>
        </w:rPr>
        <w:t xml:space="preserve">is working to implement a jurisdictional and regional approach to successful eye health care delivery across Australia (RfI 36). </w:t>
      </w:r>
      <w:r w:rsidR="000C53D3">
        <w:rPr>
          <w:rFonts w:cs="Arial"/>
          <w:i w:val="0"/>
          <w:szCs w:val="22"/>
        </w:rPr>
        <w:t xml:space="preserve">A key element of this approach is the development of services to meet population based need. </w:t>
      </w:r>
      <w:r w:rsidR="00E96709">
        <w:rPr>
          <w:rFonts w:cs="Arial"/>
          <w:i w:val="0"/>
          <w:szCs w:val="22"/>
        </w:rPr>
        <w:t>E</w:t>
      </w:r>
      <w:r w:rsidR="006167CB" w:rsidRPr="006167CB">
        <w:rPr>
          <w:rFonts w:cs="Arial"/>
          <w:i w:val="0"/>
          <w:szCs w:val="22"/>
        </w:rPr>
        <w:t>xcellent example</w:t>
      </w:r>
      <w:r w:rsidR="00E96709">
        <w:rPr>
          <w:rFonts w:cs="Arial"/>
          <w:i w:val="0"/>
          <w:szCs w:val="22"/>
        </w:rPr>
        <w:t>s</w:t>
      </w:r>
      <w:r w:rsidR="006167CB" w:rsidRPr="006167CB">
        <w:rPr>
          <w:rFonts w:cs="Arial"/>
          <w:i w:val="0"/>
          <w:szCs w:val="22"/>
        </w:rPr>
        <w:t xml:space="preserve"> of this approach</w:t>
      </w:r>
      <w:r w:rsidR="00E96709">
        <w:rPr>
          <w:rFonts w:cs="Arial"/>
          <w:i w:val="0"/>
          <w:szCs w:val="22"/>
        </w:rPr>
        <w:t xml:space="preserve"> occur in Central Australia and the Grampians region of Victoria. </w:t>
      </w:r>
    </w:p>
    <w:p w14:paraId="656911EA" w14:textId="11C0EEA9" w:rsidR="00E96709" w:rsidRPr="00E96709" w:rsidRDefault="00E96709" w:rsidP="002B5D2F">
      <w:pPr>
        <w:pStyle w:val="InformationRequestBullet"/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</w:rPr>
      </w:pPr>
      <w:r>
        <w:rPr>
          <w:rFonts w:cs="Arial"/>
          <w:i w:val="0"/>
          <w:szCs w:val="22"/>
        </w:rPr>
        <w:t>The</w:t>
      </w:r>
      <w:r w:rsidR="006167CB" w:rsidRPr="006167CB">
        <w:rPr>
          <w:rFonts w:cs="Arial"/>
          <w:i w:val="0"/>
          <w:szCs w:val="22"/>
        </w:rPr>
        <w:t xml:space="preserve"> Central Australia and Barkly Integrated Eye Health Strategy (CABIEHS) Committee works to ensure</w:t>
      </w:r>
      <w:r w:rsidR="006167CB" w:rsidRPr="006167CB">
        <w:rPr>
          <w:rFonts w:cs="Arial"/>
          <w:szCs w:val="22"/>
        </w:rPr>
        <w:t xml:space="preserve"> </w:t>
      </w:r>
      <w:r w:rsidR="006167CB" w:rsidRPr="006167CB">
        <w:rPr>
          <w:rFonts w:ascii="Arial Narrow" w:hAnsi="Arial Narrow"/>
        </w:rPr>
        <w:t>“All people in Central Australia and Barkly, particularly Aboriginal people, have access to timely and appropriate eye health and vision care services and supports”</w:t>
      </w:r>
      <w:r w:rsidR="006167CB">
        <w:rPr>
          <w:rStyle w:val="FootnoteReference"/>
          <w:rFonts w:ascii="Arial Narrow" w:hAnsi="Arial Narrow"/>
        </w:rPr>
        <w:footnoteReference w:id="3"/>
      </w:r>
      <w:r w:rsidR="006167CB" w:rsidRPr="006167CB">
        <w:rPr>
          <w:rFonts w:ascii="Arial Narrow" w:hAnsi="Arial Narrow"/>
        </w:rPr>
        <w:t>.</w:t>
      </w:r>
      <w:r w:rsidR="006167CB">
        <w:rPr>
          <w:rFonts w:ascii="Arial Narrow" w:hAnsi="Arial Narrow"/>
        </w:rPr>
        <w:t xml:space="preserve"> </w:t>
      </w:r>
      <w:r w:rsidR="006167CB" w:rsidRPr="006167CB">
        <w:rPr>
          <w:rFonts w:cs="Arial"/>
          <w:i w:val="0"/>
        </w:rPr>
        <w:t xml:space="preserve">This group works to develop a coordinated and integrated approach to eye health care delivery in the region and avoid the fragmentation </w:t>
      </w:r>
      <w:r w:rsidR="006167CB">
        <w:rPr>
          <w:rFonts w:cs="Arial"/>
          <w:i w:val="0"/>
        </w:rPr>
        <w:t>of service delivery and ensure all parties operating in the space adopt a standard approach and communicate outcomes and follow up clearly.</w:t>
      </w:r>
      <w:r>
        <w:rPr>
          <w:rFonts w:cs="Arial"/>
          <w:i w:val="0"/>
        </w:rPr>
        <w:t xml:space="preserve"> </w:t>
      </w:r>
    </w:p>
    <w:p w14:paraId="1262C6FD" w14:textId="77777777" w:rsidR="00ED59F0" w:rsidRDefault="00E96709" w:rsidP="002B5D2F">
      <w:pPr>
        <w:pStyle w:val="InformationRequestBullet"/>
        <w:numPr>
          <w:ilvl w:val="0"/>
          <w:numId w:val="11"/>
        </w:numPr>
        <w:autoSpaceDE w:val="0"/>
        <w:autoSpaceDN w:val="0"/>
        <w:adjustRightInd w:val="0"/>
        <w:rPr>
          <w:rFonts w:cs="Arial"/>
          <w:i w:val="0"/>
        </w:rPr>
      </w:pPr>
      <w:r>
        <w:rPr>
          <w:rFonts w:cs="Arial"/>
          <w:i w:val="0"/>
        </w:rPr>
        <w:t>The Grampians region formed a committee of key stakeholders that collated the required data to identify the changes needed for the existing eye care system</w:t>
      </w:r>
      <w:r w:rsidR="00657A53">
        <w:rPr>
          <w:rFonts w:cs="Arial"/>
          <w:i w:val="0"/>
        </w:rPr>
        <w:t xml:space="preserve"> (Attachment 5)</w:t>
      </w:r>
      <w:r w:rsidR="00B72630">
        <w:rPr>
          <w:rFonts w:cs="Arial"/>
          <w:i w:val="0"/>
        </w:rPr>
        <w:t xml:space="preserve">. They then </w:t>
      </w:r>
      <w:r>
        <w:rPr>
          <w:rFonts w:cs="Arial"/>
          <w:i w:val="0"/>
        </w:rPr>
        <w:t>successfully implemented these changes to generate significant increases for cataract surgery and diabetes eye care.</w:t>
      </w:r>
    </w:p>
    <w:p w14:paraId="2941BC70" w14:textId="683E8920" w:rsidR="006167CB" w:rsidRDefault="003031E5" w:rsidP="00ED59F0">
      <w:pPr>
        <w:pStyle w:val="InformationRequestBullet"/>
        <w:numPr>
          <w:ilvl w:val="0"/>
          <w:numId w:val="0"/>
        </w:numPr>
        <w:autoSpaceDE w:val="0"/>
        <w:autoSpaceDN w:val="0"/>
        <w:adjustRightInd w:val="0"/>
        <w:ind w:firstLine="360"/>
        <w:rPr>
          <w:rFonts w:cs="Arial"/>
          <w:i w:val="0"/>
        </w:rPr>
      </w:pPr>
      <w:hyperlink r:id="rId24" w:history="1">
        <w:r w:rsidR="002D6A59" w:rsidRPr="003F3465">
          <w:rPr>
            <w:rStyle w:val="Hyperlink"/>
            <w:rFonts w:cs="Arial"/>
            <w:i w:val="0"/>
          </w:rPr>
          <w:t>https://www.mja.com.au/journal/2015/203/1/equity-vision-australia-sight</w:t>
        </w:r>
      </w:hyperlink>
    </w:p>
    <w:p w14:paraId="6CE57349" w14:textId="77777777" w:rsidR="002D6A59" w:rsidRPr="002D6A59" w:rsidRDefault="002D6A59" w:rsidP="002D6A59">
      <w:pPr>
        <w:pStyle w:val="BodyText"/>
        <w:rPr>
          <w:lang w:val="en-AU" w:eastAsia="en-AU"/>
        </w:rPr>
      </w:pPr>
    </w:p>
    <w:p w14:paraId="7C75A4C1" w14:textId="68679BF8" w:rsidR="00E539CB" w:rsidRDefault="00E539CB" w:rsidP="00E539CB">
      <w:pPr>
        <w:pStyle w:val="InformationRequestBullet"/>
        <w:numPr>
          <w:ilvl w:val="0"/>
          <w:numId w:val="0"/>
        </w:numPr>
        <w:rPr>
          <w:rFonts w:ascii="Calibri" w:hAnsi="Calibri"/>
          <w:color w:val="000000"/>
          <w:szCs w:val="22"/>
        </w:rPr>
      </w:pPr>
    </w:p>
    <w:p w14:paraId="74F99421" w14:textId="456BB53A" w:rsidR="00E015C9" w:rsidRDefault="00E015C9">
      <w:pPr>
        <w:rPr>
          <w:rFonts w:ascii="Arial" w:hAnsi="Arial" w:cs="Arial"/>
          <w:b/>
          <w:color w:val="000000"/>
        </w:rPr>
      </w:pPr>
    </w:p>
    <w:p w14:paraId="65674FCF" w14:textId="1AEC4401" w:rsidR="00ED2777" w:rsidRPr="00ED2777" w:rsidRDefault="00ED2777" w:rsidP="008625CF">
      <w:pPr>
        <w:spacing w:after="60"/>
        <w:rPr>
          <w:rFonts w:ascii="Arial" w:hAnsi="Arial" w:cs="Arial"/>
          <w:b/>
          <w:color w:val="000000"/>
        </w:rPr>
      </w:pPr>
      <w:r w:rsidRPr="00ED2777">
        <w:rPr>
          <w:rFonts w:ascii="Arial" w:hAnsi="Arial" w:cs="Arial"/>
          <w:b/>
          <w:color w:val="000000"/>
        </w:rPr>
        <w:t>Contact</w:t>
      </w:r>
    </w:p>
    <w:p w14:paraId="6E728D51" w14:textId="476D9602" w:rsidR="00E61977" w:rsidRPr="008625CF" w:rsidRDefault="00E61977" w:rsidP="008625CF">
      <w:pPr>
        <w:spacing w:after="60"/>
        <w:rPr>
          <w:rFonts w:ascii="Arial" w:hAnsi="Arial" w:cs="Arial"/>
          <w:color w:val="000000"/>
          <w:sz w:val="21"/>
          <w:szCs w:val="21"/>
        </w:rPr>
      </w:pPr>
      <w:r w:rsidRPr="008625CF">
        <w:rPr>
          <w:rFonts w:ascii="Arial" w:hAnsi="Arial" w:cs="Arial"/>
          <w:color w:val="000000"/>
          <w:sz w:val="21"/>
          <w:szCs w:val="21"/>
        </w:rPr>
        <w:t>Melbourne Laureate Professor Hugh R Taylor AC</w:t>
      </w:r>
    </w:p>
    <w:p w14:paraId="78FB875F" w14:textId="5B5A031F" w:rsidR="00E61977" w:rsidRPr="008625CF" w:rsidRDefault="00E61977" w:rsidP="008625CF">
      <w:pPr>
        <w:spacing w:after="60"/>
        <w:rPr>
          <w:rFonts w:ascii="Arial" w:hAnsi="Arial" w:cs="Arial"/>
          <w:color w:val="000000"/>
          <w:sz w:val="22"/>
          <w:szCs w:val="22"/>
        </w:rPr>
      </w:pPr>
      <w:r w:rsidRPr="008625CF">
        <w:rPr>
          <w:rFonts w:ascii="Arial" w:hAnsi="Arial" w:cs="Arial"/>
          <w:color w:val="000000"/>
          <w:sz w:val="21"/>
          <w:szCs w:val="21"/>
        </w:rPr>
        <w:t>Harold Mitchell Chair of Indigenous Eye Health </w:t>
      </w:r>
    </w:p>
    <w:p w14:paraId="2736B2F3" w14:textId="77777777" w:rsidR="00E61977" w:rsidRPr="008625CF" w:rsidRDefault="00E61977" w:rsidP="008625CF">
      <w:pPr>
        <w:spacing w:after="60"/>
        <w:rPr>
          <w:rFonts w:ascii="Arial" w:hAnsi="Arial" w:cs="Arial"/>
          <w:color w:val="000000"/>
          <w:sz w:val="21"/>
          <w:szCs w:val="21"/>
        </w:rPr>
      </w:pPr>
      <w:r w:rsidRPr="008625CF">
        <w:rPr>
          <w:rFonts w:ascii="Arial" w:hAnsi="Arial" w:cs="Arial"/>
          <w:color w:val="000000"/>
          <w:sz w:val="21"/>
          <w:szCs w:val="21"/>
        </w:rPr>
        <w:t>Indigenous Health Equity Unit</w:t>
      </w:r>
    </w:p>
    <w:p w14:paraId="648541CB" w14:textId="5272F4BA" w:rsidR="00E61977" w:rsidRPr="008625CF" w:rsidRDefault="00E61977" w:rsidP="008625CF">
      <w:pPr>
        <w:spacing w:after="60"/>
        <w:rPr>
          <w:rFonts w:ascii="Arial" w:hAnsi="Arial" w:cs="Arial"/>
          <w:color w:val="000000"/>
          <w:sz w:val="22"/>
          <w:szCs w:val="22"/>
        </w:rPr>
      </w:pPr>
      <w:r w:rsidRPr="008625CF">
        <w:rPr>
          <w:rFonts w:ascii="Arial" w:hAnsi="Arial" w:cs="Arial"/>
          <w:color w:val="000000"/>
          <w:sz w:val="21"/>
          <w:szCs w:val="21"/>
        </w:rPr>
        <w:t>Melbourne School of Population and Global Health </w:t>
      </w:r>
    </w:p>
    <w:p w14:paraId="1F2375D7" w14:textId="77777777" w:rsidR="00E61977" w:rsidRPr="008625CF" w:rsidRDefault="00E61977" w:rsidP="008625CF">
      <w:pPr>
        <w:spacing w:after="120"/>
        <w:rPr>
          <w:rFonts w:ascii="Arial" w:hAnsi="Arial" w:cs="Arial"/>
          <w:color w:val="000000"/>
          <w:sz w:val="21"/>
          <w:szCs w:val="21"/>
        </w:rPr>
      </w:pPr>
      <w:r w:rsidRPr="008625CF">
        <w:rPr>
          <w:rFonts w:ascii="Arial" w:hAnsi="Arial" w:cs="Arial"/>
          <w:color w:val="000000"/>
          <w:sz w:val="21"/>
          <w:szCs w:val="21"/>
        </w:rPr>
        <w:t>University of Melbourne</w:t>
      </w:r>
    </w:p>
    <w:p w14:paraId="6739FEE8" w14:textId="5798EB95" w:rsidR="00E61977" w:rsidRPr="008625CF" w:rsidRDefault="00E61977" w:rsidP="00E61977">
      <w:pPr>
        <w:rPr>
          <w:rFonts w:ascii="Arial" w:hAnsi="Arial" w:cs="Arial"/>
          <w:color w:val="000000"/>
          <w:sz w:val="22"/>
          <w:szCs w:val="22"/>
        </w:rPr>
      </w:pPr>
    </w:p>
    <w:p w14:paraId="2A2B983D" w14:textId="77777777" w:rsidR="003031E5" w:rsidRDefault="003031E5" w:rsidP="00E61977">
      <w:pPr>
        <w:rPr>
          <w:rFonts w:ascii="Arial" w:hAnsi="Arial" w:cs="Arial"/>
          <w:color w:val="000000"/>
          <w:sz w:val="21"/>
          <w:szCs w:val="21"/>
        </w:rPr>
      </w:pPr>
    </w:p>
    <w:p w14:paraId="33E1971B" w14:textId="54AA73DC" w:rsidR="002D6A59" w:rsidRDefault="008625CF" w:rsidP="00E61977">
      <w:pPr>
        <w:rPr>
          <w:rStyle w:val="Hyperlink"/>
          <w:rFonts w:ascii="Arial Narrow" w:hAnsi="Arial Narrow" w:cs="Arial"/>
          <w:sz w:val="21"/>
          <w:szCs w:val="21"/>
        </w:rPr>
      </w:pPr>
      <w:bookmarkStart w:id="0" w:name="_GoBack"/>
      <w:bookmarkEnd w:id="0"/>
      <w:r>
        <w:rPr>
          <w:rStyle w:val="Hyperlink"/>
          <w:rFonts w:ascii="Arial Narrow" w:hAnsi="Arial Narrow" w:cs="Arial"/>
          <w:sz w:val="21"/>
          <w:szCs w:val="21"/>
        </w:rPr>
        <w:t xml:space="preserve"> </w:t>
      </w:r>
    </w:p>
    <w:p w14:paraId="36F4F548" w14:textId="706EC1D8" w:rsidR="00E61977" w:rsidRPr="008625CF" w:rsidRDefault="003031E5" w:rsidP="00E61977">
      <w:pPr>
        <w:rPr>
          <w:rFonts w:ascii="Arial" w:hAnsi="Arial" w:cs="Arial"/>
          <w:color w:val="000000"/>
          <w:sz w:val="22"/>
          <w:szCs w:val="22"/>
        </w:rPr>
      </w:pPr>
      <w:hyperlink r:id="rId25" w:history="1">
        <w:r w:rsidR="00E61977" w:rsidRPr="008625CF">
          <w:rPr>
            <w:rFonts w:ascii="Arial Narrow" w:hAnsi="Arial Narrow" w:cs="Arial"/>
            <w:color w:val="800080"/>
            <w:sz w:val="21"/>
            <w:szCs w:val="21"/>
            <w:u w:val="single"/>
          </w:rPr>
          <w:t>www.iehu.unimelb.edu.au</w:t>
        </w:r>
      </w:hyperlink>
    </w:p>
    <w:p w14:paraId="3C2E4ED5" w14:textId="77777777" w:rsidR="00D249A4" w:rsidRPr="008625CF" w:rsidRDefault="00D249A4" w:rsidP="002D2674">
      <w:pPr>
        <w:spacing w:after="120"/>
        <w:rPr>
          <w:rFonts w:ascii="Arial" w:hAnsi="Arial" w:cs="Arial"/>
          <w:color w:val="000000"/>
        </w:rPr>
      </w:pPr>
    </w:p>
    <w:p w14:paraId="33063D6D" w14:textId="77777777" w:rsidR="009863A8" w:rsidRDefault="009863A8" w:rsidP="002D2674">
      <w:pPr>
        <w:spacing w:after="120"/>
      </w:pPr>
    </w:p>
    <w:sectPr w:rsidR="009863A8" w:rsidSect="00B47C2B">
      <w:headerReference w:type="even" r:id="rId26"/>
      <w:headerReference w:type="default" r:id="rId27"/>
      <w:headerReference w:type="first" r:id="rId2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F6FFF" w14:textId="77777777" w:rsidR="00B24029" w:rsidRDefault="00B24029" w:rsidP="00CE34C4">
      <w:r>
        <w:separator/>
      </w:r>
    </w:p>
  </w:endnote>
  <w:endnote w:type="continuationSeparator" w:id="0">
    <w:p w14:paraId="684D9DEC" w14:textId="77777777" w:rsidR="00B24029" w:rsidRDefault="00B24029" w:rsidP="00CE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87535" w14:textId="77777777" w:rsidR="00B24029" w:rsidRDefault="00B24029" w:rsidP="00CE34C4">
      <w:r>
        <w:separator/>
      </w:r>
    </w:p>
  </w:footnote>
  <w:footnote w:type="continuationSeparator" w:id="0">
    <w:p w14:paraId="0B483722" w14:textId="77777777" w:rsidR="00B24029" w:rsidRDefault="00B24029" w:rsidP="00CE34C4">
      <w:r>
        <w:continuationSeparator/>
      </w:r>
    </w:p>
  </w:footnote>
  <w:footnote w:id="1">
    <w:p w14:paraId="3790B061" w14:textId="77777777" w:rsidR="00CB5897" w:rsidRDefault="00CB5897" w:rsidP="00CB5897">
      <w:pPr>
        <w:pStyle w:val="p3"/>
      </w:pPr>
      <w:r>
        <w:rPr>
          <w:rStyle w:val="FootnoteReference"/>
        </w:rPr>
        <w:footnoteRef/>
      </w:r>
      <w:r>
        <w:t xml:space="preserve"> The Roadmap to Close the Gap for Vision - Full Report, Professor Hugh R Taylor AC, Mitchell D Anjou, Andrea I Boudville, Robyn J McNeil</w:t>
      </w:r>
    </w:p>
    <w:p w14:paraId="44CB3BC6" w14:textId="77777777" w:rsidR="00CB5897" w:rsidRDefault="00CB5897" w:rsidP="00CB5897">
      <w:pPr>
        <w:pStyle w:val="p3"/>
      </w:pPr>
      <w:r>
        <w:t>Indigenous Eye Health Unit, Melbourne School of Population Health, The University of Melbourne, January 2012</w:t>
      </w:r>
    </w:p>
    <w:p w14:paraId="43C10028" w14:textId="77777777" w:rsidR="00CB5897" w:rsidRPr="00CE34C4" w:rsidRDefault="00CB5897" w:rsidP="00CB5897">
      <w:pPr>
        <w:pStyle w:val="FootnoteText"/>
        <w:rPr>
          <w:lang w:val="en-AU"/>
        </w:rPr>
      </w:pPr>
    </w:p>
  </w:footnote>
  <w:footnote w:id="2">
    <w:p w14:paraId="6D3680F1" w14:textId="26456F73" w:rsidR="00781626" w:rsidRPr="00781626" w:rsidRDefault="00781626">
      <w:pPr>
        <w:pStyle w:val="FootnoteText"/>
        <w:rPr>
          <w:rFonts w:ascii="Helvetica" w:hAnsi="Helvetica" w:cs="Times New Roman"/>
          <w:sz w:val="14"/>
          <w:szCs w:val="14"/>
        </w:rPr>
      </w:pPr>
      <w:r w:rsidRPr="00EE44AC">
        <w:rPr>
          <w:rStyle w:val="FootnoteReference"/>
          <w:rFonts w:ascii="Helvetica" w:hAnsi="Helvetica" w:cs="Times New Roman"/>
          <w:sz w:val="14"/>
          <w:szCs w:val="14"/>
        </w:rPr>
        <w:footnoteRef/>
      </w:r>
      <w:r w:rsidRPr="00EE44AC">
        <w:rPr>
          <w:rStyle w:val="FootnoteReference"/>
          <w:rFonts w:ascii="Helvetica" w:hAnsi="Helvetica" w:cs="Times New Roman"/>
          <w:sz w:val="14"/>
          <w:szCs w:val="14"/>
        </w:rPr>
        <w:t xml:space="preserve"> </w:t>
      </w:r>
      <w:r w:rsidRPr="00781626">
        <w:rPr>
          <w:rFonts w:ascii="Helvetica" w:hAnsi="Helvetica" w:cs="Times New Roman"/>
          <w:sz w:val="14"/>
          <w:szCs w:val="14"/>
        </w:rPr>
        <w:t>Introducing Competition and Informed User Choice into Human Services: Identifying Sectors for Reform, Productivity Commission, November 2016 (p 137)</w:t>
      </w:r>
    </w:p>
  </w:footnote>
  <w:footnote w:id="3">
    <w:p w14:paraId="5532C7C9" w14:textId="17EC7593" w:rsidR="006167CB" w:rsidRPr="006167CB" w:rsidRDefault="006167CB">
      <w:pPr>
        <w:pStyle w:val="FootnoteText"/>
        <w:rPr>
          <w:lang w:val="en-AU"/>
        </w:rPr>
      </w:pPr>
      <w:r w:rsidRPr="006167CB">
        <w:rPr>
          <w:rStyle w:val="FootnoteReference"/>
          <w:rFonts w:ascii="Helvetica" w:hAnsi="Helvetica" w:cs="Times New Roman"/>
          <w:sz w:val="14"/>
          <w:szCs w:val="14"/>
        </w:rPr>
        <w:footnoteRef/>
      </w:r>
      <w:r w:rsidRPr="006167CB">
        <w:rPr>
          <w:rStyle w:val="FootnoteReference"/>
          <w:rFonts w:ascii="Helvetica" w:hAnsi="Helvetica" w:cs="Times New Roman"/>
          <w:sz w:val="14"/>
          <w:szCs w:val="14"/>
        </w:rPr>
        <w:t xml:space="preserve"> </w:t>
      </w:r>
      <w:r w:rsidRPr="006167CB">
        <w:rPr>
          <w:rFonts w:ascii="Helvetica" w:hAnsi="Helvetica" w:cs="Times New Roman"/>
          <w:sz w:val="14"/>
          <w:szCs w:val="14"/>
        </w:rPr>
        <w:t>Central Australian Barkly Integrated Eye Health Strategy Committee Terms of Reference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66BB1" w14:textId="4047DDC0" w:rsidR="00401B98" w:rsidRDefault="003031E5">
    <w:pPr>
      <w:pStyle w:val="Header"/>
    </w:pPr>
    <w:r>
      <w:rPr>
        <w:noProof/>
      </w:rPr>
      <w:pict w14:anchorId="471E35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6.9pt;height:158.95pt;rotation:315;z-index:-251649024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42854DE5">
        <v:shape id="PowerPlusWaterMarkObject2" o:spid="_x0000_s2050" type="#_x0000_t136" style="position:absolute;margin-left:0;margin-top:0;width:476.9pt;height:158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0FD7CF81">
        <v:shape id="PowerPlusWaterMarkObject1" o:spid="_x0000_s2049" type="#_x0000_t136" style="position:absolute;margin-left:0;margin-top:0;width:476.9pt;height:158.9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E662E" w14:textId="4D62E0A5" w:rsidR="006167CB" w:rsidRPr="006167CB" w:rsidRDefault="006167CB" w:rsidP="006167CB">
    <w:pPr>
      <w:spacing w:after="120"/>
      <w:rPr>
        <w:rFonts w:ascii="Arial" w:hAnsi="Arial" w:cs="Arial"/>
        <w:b/>
        <w:color w:val="000000"/>
        <w:sz w:val="22"/>
        <w:szCs w:val="22"/>
      </w:rPr>
    </w:pPr>
    <w:r w:rsidRPr="004C3B51">
      <w:rPr>
        <w:rFonts w:ascii="Arial" w:hAnsi="Arial" w:cs="Arial"/>
        <w:b/>
        <w:color w:val="000000"/>
        <w:sz w:val="22"/>
        <w:szCs w:val="22"/>
      </w:rPr>
      <w:t xml:space="preserve">Productivity Commission - </w:t>
    </w:r>
    <w:r>
      <w:rPr>
        <w:rFonts w:ascii="Arial" w:hAnsi="Arial" w:cs="Arial"/>
        <w:b/>
        <w:color w:val="000000"/>
        <w:sz w:val="22"/>
        <w:szCs w:val="22"/>
      </w:rPr>
      <w:t>Reforms to Human Service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0B0FF" w14:textId="2012F52E" w:rsidR="00401B98" w:rsidRDefault="003031E5">
    <w:pPr>
      <w:pStyle w:val="Header"/>
    </w:pPr>
    <w:r>
      <w:rPr>
        <w:noProof/>
      </w:rPr>
      <w:pict w14:anchorId="7CE864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76.9pt;height:158.95pt;rotation:315;z-index:-25164697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16710A4F">
        <v:shape id="PowerPlusWaterMarkObject3" o:spid="_x0000_s2051" type="#_x0000_t136" style="position:absolute;margin-left:0;margin-top:0;width:476.9pt;height:158.9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3FFA"/>
    <w:multiLevelType w:val="hybridMultilevel"/>
    <w:tmpl w:val="4E62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85156"/>
    <w:multiLevelType w:val="hybridMultilevel"/>
    <w:tmpl w:val="B8508278"/>
    <w:lvl w:ilvl="0" w:tplc="A16650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9A051D"/>
    <w:multiLevelType w:val="hybridMultilevel"/>
    <w:tmpl w:val="AC02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A602A"/>
    <w:multiLevelType w:val="hybridMultilevel"/>
    <w:tmpl w:val="AE3E2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54BEF"/>
    <w:multiLevelType w:val="multilevel"/>
    <w:tmpl w:val="9B84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2B5347"/>
    <w:multiLevelType w:val="hybridMultilevel"/>
    <w:tmpl w:val="8B002072"/>
    <w:lvl w:ilvl="0" w:tplc="720CA4D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762C9"/>
    <w:multiLevelType w:val="hybridMultilevel"/>
    <w:tmpl w:val="26085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4336EF"/>
    <w:multiLevelType w:val="multilevel"/>
    <w:tmpl w:val="68D8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96B93"/>
    <w:multiLevelType w:val="hybridMultilevel"/>
    <w:tmpl w:val="62B2B330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78436494"/>
    <w:multiLevelType w:val="hybridMultilevel"/>
    <w:tmpl w:val="8C60E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63"/>
    <w:rsid w:val="000169A8"/>
    <w:rsid w:val="00073A01"/>
    <w:rsid w:val="000926C0"/>
    <w:rsid w:val="00092B99"/>
    <w:rsid w:val="000A5D63"/>
    <w:rsid w:val="000C53D3"/>
    <w:rsid w:val="0010219A"/>
    <w:rsid w:val="00110136"/>
    <w:rsid w:val="00136944"/>
    <w:rsid w:val="00153D1A"/>
    <w:rsid w:val="00186C22"/>
    <w:rsid w:val="001C32A6"/>
    <w:rsid w:val="001D786A"/>
    <w:rsid w:val="0029395F"/>
    <w:rsid w:val="002B268A"/>
    <w:rsid w:val="002C424F"/>
    <w:rsid w:val="002D2674"/>
    <w:rsid w:val="002D6200"/>
    <w:rsid w:val="002D6A59"/>
    <w:rsid w:val="003031E5"/>
    <w:rsid w:val="00305B55"/>
    <w:rsid w:val="00351041"/>
    <w:rsid w:val="00356184"/>
    <w:rsid w:val="00360886"/>
    <w:rsid w:val="00371400"/>
    <w:rsid w:val="003B6203"/>
    <w:rsid w:val="003C2039"/>
    <w:rsid w:val="003D36C7"/>
    <w:rsid w:val="003E25B6"/>
    <w:rsid w:val="00401B98"/>
    <w:rsid w:val="004077A1"/>
    <w:rsid w:val="00413012"/>
    <w:rsid w:val="00470BFF"/>
    <w:rsid w:val="00471C1E"/>
    <w:rsid w:val="004755BC"/>
    <w:rsid w:val="00492310"/>
    <w:rsid w:val="004A1E17"/>
    <w:rsid w:val="004C3B51"/>
    <w:rsid w:val="004E2E3F"/>
    <w:rsid w:val="00503789"/>
    <w:rsid w:val="00555A3D"/>
    <w:rsid w:val="005B65EA"/>
    <w:rsid w:val="00615858"/>
    <w:rsid w:val="006167CB"/>
    <w:rsid w:val="00656780"/>
    <w:rsid w:val="00657A53"/>
    <w:rsid w:val="0067514E"/>
    <w:rsid w:val="006F3860"/>
    <w:rsid w:val="0070353F"/>
    <w:rsid w:val="00703F43"/>
    <w:rsid w:val="00711D8E"/>
    <w:rsid w:val="00713F25"/>
    <w:rsid w:val="007217DB"/>
    <w:rsid w:val="00781626"/>
    <w:rsid w:val="00793A96"/>
    <w:rsid w:val="007B3359"/>
    <w:rsid w:val="007D5B39"/>
    <w:rsid w:val="007D7A18"/>
    <w:rsid w:val="007F5832"/>
    <w:rsid w:val="0082727F"/>
    <w:rsid w:val="008372AC"/>
    <w:rsid w:val="0084743D"/>
    <w:rsid w:val="008625CF"/>
    <w:rsid w:val="0086316F"/>
    <w:rsid w:val="008B4492"/>
    <w:rsid w:val="008E4BD6"/>
    <w:rsid w:val="008E768A"/>
    <w:rsid w:val="009863A8"/>
    <w:rsid w:val="00991FCA"/>
    <w:rsid w:val="009A202C"/>
    <w:rsid w:val="009F47EF"/>
    <w:rsid w:val="00A176FF"/>
    <w:rsid w:val="00A27B35"/>
    <w:rsid w:val="00A572AB"/>
    <w:rsid w:val="00A62B8E"/>
    <w:rsid w:val="00AC6E59"/>
    <w:rsid w:val="00AD583B"/>
    <w:rsid w:val="00AE0474"/>
    <w:rsid w:val="00B24029"/>
    <w:rsid w:val="00B365C6"/>
    <w:rsid w:val="00B36A33"/>
    <w:rsid w:val="00B47C2B"/>
    <w:rsid w:val="00B72630"/>
    <w:rsid w:val="00B76230"/>
    <w:rsid w:val="00B80C0C"/>
    <w:rsid w:val="00B82EEB"/>
    <w:rsid w:val="00B837E3"/>
    <w:rsid w:val="00B92827"/>
    <w:rsid w:val="00BA5A6D"/>
    <w:rsid w:val="00BC609C"/>
    <w:rsid w:val="00C005E4"/>
    <w:rsid w:val="00C020C0"/>
    <w:rsid w:val="00C11F2A"/>
    <w:rsid w:val="00CA5751"/>
    <w:rsid w:val="00CA6AA0"/>
    <w:rsid w:val="00CB5897"/>
    <w:rsid w:val="00CE34C4"/>
    <w:rsid w:val="00D249A4"/>
    <w:rsid w:val="00D33910"/>
    <w:rsid w:val="00D46A05"/>
    <w:rsid w:val="00D52E15"/>
    <w:rsid w:val="00D57C1D"/>
    <w:rsid w:val="00DA2462"/>
    <w:rsid w:val="00DD0FC0"/>
    <w:rsid w:val="00DF1068"/>
    <w:rsid w:val="00DF16BE"/>
    <w:rsid w:val="00DF499B"/>
    <w:rsid w:val="00E015C9"/>
    <w:rsid w:val="00E243E8"/>
    <w:rsid w:val="00E539CB"/>
    <w:rsid w:val="00E61977"/>
    <w:rsid w:val="00E70EED"/>
    <w:rsid w:val="00E96709"/>
    <w:rsid w:val="00ED2777"/>
    <w:rsid w:val="00ED4901"/>
    <w:rsid w:val="00ED59F0"/>
    <w:rsid w:val="00ED6D71"/>
    <w:rsid w:val="00EE366E"/>
    <w:rsid w:val="00EE44AC"/>
    <w:rsid w:val="00EE6D77"/>
    <w:rsid w:val="00EF3441"/>
    <w:rsid w:val="00EF452C"/>
    <w:rsid w:val="00F340F2"/>
    <w:rsid w:val="00F56B3F"/>
    <w:rsid w:val="00F600C4"/>
    <w:rsid w:val="00F84A22"/>
    <w:rsid w:val="00FA1CF7"/>
    <w:rsid w:val="00FC637D"/>
    <w:rsid w:val="00FF1521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F66786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6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A5D63"/>
  </w:style>
  <w:style w:type="paragraph" w:styleId="NormalWeb">
    <w:name w:val="Normal (Web)"/>
    <w:basedOn w:val="Normal"/>
    <w:uiPriority w:val="99"/>
    <w:unhideWhenUsed/>
    <w:rsid w:val="002D2674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E34C4"/>
  </w:style>
  <w:style w:type="character" w:customStyle="1" w:styleId="FootnoteTextChar">
    <w:name w:val="Footnote Text Char"/>
    <w:basedOn w:val="DefaultParagraphFont"/>
    <w:link w:val="FootnoteText"/>
    <w:uiPriority w:val="99"/>
    <w:rsid w:val="00CE34C4"/>
  </w:style>
  <w:style w:type="character" w:styleId="FootnoteReference">
    <w:name w:val="footnote reference"/>
    <w:basedOn w:val="DefaultParagraphFont"/>
    <w:uiPriority w:val="99"/>
    <w:unhideWhenUsed/>
    <w:rsid w:val="00CE34C4"/>
    <w:rPr>
      <w:vertAlign w:val="superscript"/>
    </w:rPr>
  </w:style>
  <w:style w:type="paragraph" w:customStyle="1" w:styleId="p1">
    <w:name w:val="p1"/>
    <w:basedOn w:val="Normal"/>
    <w:rsid w:val="00CE34C4"/>
    <w:rPr>
      <w:rFonts w:ascii="Helvetica" w:hAnsi="Helvetica" w:cs="Times New Roman"/>
      <w:sz w:val="45"/>
      <w:szCs w:val="45"/>
    </w:rPr>
  </w:style>
  <w:style w:type="paragraph" w:customStyle="1" w:styleId="p2">
    <w:name w:val="p2"/>
    <w:basedOn w:val="Normal"/>
    <w:rsid w:val="00CE34C4"/>
    <w:rPr>
      <w:rFonts w:ascii="Helvetica" w:hAnsi="Helvetica" w:cs="Times New Roman"/>
      <w:sz w:val="15"/>
      <w:szCs w:val="15"/>
    </w:rPr>
  </w:style>
  <w:style w:type="paragraph" w:customStyle="1" w:styleId="p3">
    <w:name w:val="p3"/>
    <w:basedOn w:val="Normal"/>
    <w:rsid w:val="00CE34C4"/>
    <w:rPr>
      <w:rFonts w:ascii="Helvetica" w:hAnsi="Helvetica" w:cs="Times New Roman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E61977"/>
    <w:rPr>
      <w:color w:val="0000FF"/>
      <w:u w:val="single"/>
    </w:rPr>
  </w:style>
  <w:style w:type="character" w:customStyle="1" w:styleId="s1">
    <w:name w:val="s1"/>
    <w:basedOn w:val="DefaultParagraphFont"/>
    <w:rsid w:val="00B80C0C"/>
    <w:rPr>
      <w:rFonts w:ascii="Helvetica" w:hAnsi="Helvetica" w:hint="default"/>
      <w:sz w:val="14"/>
      <w:szCs w:val="14"/>
    </w:rPr>
  </w:style>
  <w:style w:type="paragraph" w:customStyle="1" w:styleId="InformationRequest">
    <w:name w:val="Information Request"/>
    <w:basedOn w:val="Normal"/>
    <w:next w:val="BodyText"/>
    <w:rsid w:val="00DF499B"/>
    <w:pPr>
      <w:keepLines/>
      <w:spacing w:before="120" w:line="280" w:lineRule="atLeast"/>
      <w:jc w:val="both"/>
    </w:pPr>
    <w:rPr>
      <w:rFonts w:ascii="Arial" w:eastAsia="Times New Roman" w:hAnsi="Arial" w:cs="Times New Roman"/>
      <w:i/>
      <w:sz w:val="22"/>
      <w:szCs w:val="20"/>
      <w:lang w:val="en-AU" w:eastAsia="en-AU"/>
    </w:rPr>
  </w:style>
  <w:style w:type="paragraph" w:customStyle="1" w:styleId="InformationRequestBullet">
    <w:name w:val="Information Request Bullet"/>
    <w:basedOn w:val="ListBullet"/>
    <w:next w:val="BodyText"/>
    <w:rsid w:val="00DF499B"/>
    <w:pPr>
      <w:spacing w:before="80" w:line="280" w:lineRule="atLeast"/>
      <w:contextualSpacing w:val="0"/>
      <w:jc w:val="both"/>
    </w:pPr>
    <w:rPr>
      <w:rFonts w:ascii="Arial" w:eastAsia="Times New Roman" w:hAnsi="Arial" w:cs="Times New Roman"/>
      <w:i/>
      <w:sz w:val="22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DF49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499B"/>
  </w:style>
  <w:style w:type="paragraph" w:styleId="ListBullet">
    <w:name w:val="List Bullet"/>
    <w:basedOn w:val="Normal"/>
    <w:uiPriority w:val="99"/>
    <w:semiHidden/>
    <w:unhideWhenUsed/>
    <w:rsid w:val="00DF499B"/>
    <w:pPr>
      <w:numPr>
        <w:numId w:val="2"/>
      </w:numPr>
      <w:contextualSpacing/>
    </w:pPr>
  </w:style>
  <w:style w:type="paragraph" w:customStyle="1" w:styleId="InformationRequestTitle">
    <w:name w:val="Information Request Title"/>
    <w:basedOn w:val="Normal"/>
    <w:next w:val="InformationRequest"/>
    <w:rsid w:val="00470BFF"/>
    <w:pPr>
      <w:keepNext/>
      <w:keepLines/>
      <w:spacing w:before="240" w:line="280" w:lineRule="atLeast"/>
      <w:jc w:val="both"/>
    </w:pPr>
    <w:rPr>
      <w:rFonts w:ascii="Arial" w:eastAsia="Times New Roman" w:hAnsi="Arial" w:cs="Times New Roman"/>
      <w:i/>
      <w:caps/>
      <w:sz w:val="18"/>
      <w:szCs w:val="20"/>
      <w:lang w:val="en-AU" w:eastAsia="en-AU"/>
    </w:rPr>
  </w:style>
  <w:style w:type="paragraph" w:customStyle="1" w:styleId="BoxSpaceBelow">
    <w:name w:val="Box Space Below"/>
    <w:basedOn w:val="Normal"/>
    <w:rsid w:val="00E539CB"/>
    <w:pPr>
      <w:spacing w:before="60" w:after="60" w:line="80" w:lineRule="exact"/>
      <w:jc w:val="both"/>
    </w:pPr>
    <w:rPr>
      <w:rFonts w:ascii="Arial" w:eastAsia="Times New Roman" w:hAnsi="Arial" w:cs="Times New Roman"/>
      <w:sz w:val="14"/>
      <w:szCs w:val="20"/>
      <w:lang w:val="en-AU" w:eastAsia="en-AU"/>
    </w:rPr>
  </w:style>
  <w:style w:type="paragraph" w:customStyle="1" w:styleId="Space">
    <w:name w:val="Space"/>
    <w:basedOn w:val="Normal"/>
    <w:rsid w:val="00E539CB"/>
    <w:pPr>
      <w:keepNext/>
      <w:spacing w:line="120" w:lineRule="exact"/>
      <w:jc w:val="both"/>
    </w:pPr>
    <w:rPr>
      <w:rFonts w:ascii="Arial" w:hAnsi="Arial"/>
      <w:sz w:val="20"/>
      <w:szCs w:val="22"/>
      <w:lang w:val="en-AU"/>
    </w:rPr>
  </w:style>
  <w:style w:type="paragraph" w:customStyle="1" w:styleId="BoxSpaceAboveElement">
    <w:name w:val="Box Space Above Element"/>
    <w:basedOn w:val="Normal"/>
    <w:link w:val="BoxSpaceAboveElementChar"/>
    <w:qFormat/>
    <w:rsid w:val="00E539CB"/>
    <w:pPr>
      <w:keepNext/>
      <w:spacing w:before="240" w:line="80" w:lineRule="exact"/>
    </w:pPr>
    <w:rPr>
      <w:rFonts w:ascii="Times New Roman" w:eastAsia="Times New Roman" w:hAnsi="Times New Roman" w:cs="Times New Roman"/>
      <w:b/>
      <w:vanish/>
      <w:color w:val="FF00FF"/>
      <w:sz w:val="14"/>
      <w:szCs w:val="20"/>
      <w:lang w:val="en-AU" w:eastAsia="en-AU"/>
    </w:rPr>
  </w:style>
  <w:style w:type="character" w:customStyle="1" w:styleId="BoxSpaceAboveElementChar">
    <w:name w:val="Box Space Above Element Char"/>
    <w:basedOn w:val="DefaultParagraphFont"/>
    <w:link w:val="BoxSpaceAboveElement"/>
    <w:rsid w:val="00E539CB"/>
    <w:rPr>
      <w:rFonts w:ascii="Times New Roman" w:eastAsia="Times New Roman" w:hAnsi="Times New Roman" w:cs="Times New Roman"/>
      <w:b/>
      <w:vanish/>
      <w:color w:val="FF00FF"/>
      <w:sz w:val="14"/>
      <w:szCs w:val="20"/>
      <w:lang w:val="en-AU" w:eastAsia="en-AU"/>
    </w:rPr>
  </w:style>
  <w:style w:type="paragraph" w:customStyle="1" w:styleId="BoxHeading2">
    <w:name w:val="Box Heading 2"/>
    <w:basedOn w:val="Normal"/>
    <w:next w:val="Normal"/>
    <w:rsid w:val="00E539CB"/>
    <w:pPr>
      <w:keepNext/>
      <w:spacing w:before="200" w:line="280" w:lineRule="atLeast"/>
      <w:jc w:val="both"/>
    </w:pPr>
    <w:rPr>
      <w:rFonts w:ascii="Arial" w:eastAsia="Times New Roman" w:hAnsi="Arial" w:cs="Times New Roman"/>
      <w:i/>
      <w:sz w:val="22"/>
      <w:szCs w:val="20"/>
      <w:lang w:val="en-AU" w:eastAsia="en-AU"/>
    </w:rPr>
  </w:style>
  <w:style w:type="character" w:styleId="Strong">
    <w:name w:val="Strong"/>
    <w:basedOn w:val="DefaultParagraphFont"/>
    <w:uiPriority w:val="22"/>
    <w:qFormat/>
    <w:rsid w:val="004C3B51"/>
    <w:rPr>
      <w:b/>
      <w:bCs/>
    </w:rPr>
  </w:style>
  <w:style w:type="character" w:styleId="Emphasis">
    <w:name w:val="Emphasis"/>
    <w:basedOn w:val="DefaultParagraphFont"/>
    <w:uiPriority w:val="20"/>
    <w:qFormat/>
    <w:rsid w:val="00D46A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6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7CB"/>
  </w:style>
  <w:style w:type="paragraph" w:styleId="Footer">
    <w:name w:val="footer"/>
    <w:basedOn w:val="Normal"/>
    <w:link w:val="FooterChar"/>
    <w:uiPriority w:val="99"/>
    <w:unhideWhenUsed/>
    <w:rsid w:val="00616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7CB"/>
  </w:style>
  <w:style w:type="character" w:styleId="FollowedHyperlink">
    <w:name w:val="FollowedHyperlink"/>
    <w:basedOn w:val="DefaultParagraphFont"/>
    <w:uiPriority w:val="99"/>
    <w:semiHidden/>
    <w:unhideWhenUsed/>
    <w:rsid w:val="00B7263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1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D6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A5D63"/>
  </w:style>
  <w:style w:type="paragraph" w:styleId="NormalWeb">
    <w:name w:val="Normal (Web)"/>
    <w:basedOn w:val="Normal"/>
    <w:uiPriority w:val="99"/>
    <w:unhideWhenUsed/>
    <w:rsid w:val="002D2674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E34C4"/>
  </w:style>
  <w:style w:type="character" w:customStyle="1" w:styleId="FootnoteTextChar">
    <w:name w:val="Footnote Text Char"/>
    <w:basedOn w:val="DefaultParagraphFont"/>
    <w:link w:val="FootnoteText"/>
    <w:uiPriority w:val="99"/>
    <w:rsid w:val="00CE34C4"/>
  </w:style>
  <w:style w:type="character" w:styleId="FootnoteReference">
    <w:name w:val="footnote reference"/>
    <w:basedOn w:val="DefaultParagraphFont"/>
    <w:uiPriority w:val="99"/>
    <w:unhideWhenUsed/>
    <w:rsid w:val="00CE34C4"/>
    <w:rPr>
      <w:vertAlign w:val="superscript"/>
    </w:rPr>
  </w:style>
  <w:style w:type="paragraph" w:customStyle="1" w:styleId="p1">
    <w:name w:val="p1"/>
    <w:basedOn w:val="Normal"/>
    <w:rsid w:val="00CE34C4"/>
    <w:rPr>
      <w:rFonts w:ascii="Helvetica" w:hAnsi="Helvetica" w:cs="Times New Roman"/>
      <w:sz w:val="45"/>
      <w:szCs w:val="45"/>
    </w:rPr>
  </w:style>
  <w:style w:type="paragraph" w:customStyle="1" w:styleId="p2">
    <w:name w:val="p2"/>
    <w:basedOn w:val="Normal"/>
    <w:rsid w:val="00CE34C4"/>
    <w:rPr>
      <w:rFonts w:ascii="Helvetica" w:hAnsi="Helvetica" w:cs="Times New Roman"/>
      <w:sz w:val="15"/>
      <w:szCs w:val="15"/>
    </w:rPr>
  </w:style>
  <w:style w:type="paragraph" w:customStyle="1" w:styleId="p3">
    <w:name w:val="p3"/>
    <w:basedOn w:val="Normal"/>
    <w:rsid w:val="00CE34C4"/>
    <w:rPr>
      <w:rFonts w:ascii="Helvetica" w:hAnsi="Helvetica" w:cs="Times New Roman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E61977"/>
    <w:rPr>
      <w:color w:val="0000FF"/>
      <w:u w:val="single"/>
    </w:rPr>
  </w:style>
  <w:style w:type="character" w:customStyle="1" w:styleId="s1">
    <w:name w:val="s1"/>
    <w:basedOn w:val="DefaultParagraphFont"/>
    <w:rsid w:val="00B80C0C"/>
    <w:rPr>
      <w:rFonts w:ascii="Helvetica" w:hAnsi="Helvetica" w:hint="default"/>
      <w:sz w:val="14"/>
      <w:szCs w:val="14"/>
    </w:rPr>
  </w:style>
  <w:style w:type="paragraph" w:customStyle="1" w:styleId="InformationRequest">
    <w:name w:val="Information Request"/>
    <w:basedOn w:val="Normal"/>
    <w:next w:val="BodyText"/>
    <w:rsid w:val="00DF499B"/>
    <w:pPr>
      <w:keepLines/>
      <w:spacing w:before="120" w:line="280" w:lineRule="atLeast"/>
      <w:jc w:val="both"/>
    </w:pPr>
    <w:rPr>
      <w:rFonts w:ascii="Arial" w:eastAsia="Times New Roman" w:hAnsi="Arial" w:cs="Times New Roman"/>
      <w:i/>
      <w:sz w:val="22"/>
      <w:szCs w:val="20"/>
      <w:lang w:val="en-AU" w:eastAsia="en-AU"/>
    </w:rPr>
  </w:style>
  <w:style w:type="paragraph" w:customStyle="1" w:styleId="InformationRequestBullet">
    <w:name w:val="Information Request Bullet"/>
    <w:basedOn w:val="ListBullet"/>
    <w:next w:val="BodyText"/>
    <w:rsid w:val="00DF499B"/>
    <w:pPr>
      <w:spacing w:before="80" w:line="280" w:lineRule="atLeast"/>
      <w:contextualSpacing w:val="0"/>
      <w:jc w:val="both"/>
    </w:pPr>
    <w:rPr>
      <w:rFonts w:ascii="Arial" w:eastAsia="Times New Roman" w:hAnsi="Arial" w:cs="Times New Roman"/>
      <w:i/>
      <w:sz w:val="22"/>
      <w:szCs w:val="20"/>
      <w:lang w:val="en-AU"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DF49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499B"/>
  </w:style>
  <w:style w:type="paragraph" w:styleId="ListBullet">
    <w:name w:val="List Bullet"/>
    <w:basedOn w:val="Normal"/>
    <w:uiPriority w:val="99"/>
    <w:semiHidden/>
    <w:unhideWhenUsed/>
    <w:rsid w:val="00DF499B"/>
    <w:pPr>
      <w:numPr>
        <w:numId w:val="2"/>
      </w:numPr>
      <w:contextualSpacing/>
    </w:pPr>
  </w:style>
  <w:style w:type="paragraph" w:customStyle="1" w:styleId="InformationRequestTitle">
    <w:name w:val="Information Request Title"/>
    <w:basedOn w:val="Normal"/>
    <w:next w:val="InformationRequest"/>
    <w:rsid w:val="00470BFF"/>
    <w:pPr>
      <w:keepNext/>
      <w:keepLines/>
      <w:spacing w:before="240" w:line="280" w:lineRule="atLeast"/>
      <w:jc w:val="both"/>
    </w:pPr>
    <w:rPr>
      <w:rFonts w:ascii="Arial" w:eastAsia="Times New Roman" w:hAnsi="Arial" w:cs="Times New Roman"/>
      <w:i/>
      <w:caps/>
      <w:sz w:val="18"/>
      <w:szCs w:val="20"/>
      <w:lang w:val="en-AU" w:eastAsia="en-AU"/>
    </w:rPr>
  </w:style>
  <w:style w:type="paragraph" w:customStyle="1" w:styleId="BoxSpaceBelow">
    <w:name w:val="Box Space Below"/>
    <w:basedOn w:val="Normal"/>
    <w:rsid w:val="00E539CB"/>
    <w:pPr>
      <w:spacing w:before="60" w:after="60" w:line="80" w:lineRule="exact"/>
      <w:jc w:val="both"/>
    </w:pPr>
    <w:rPr>
      <w:rFonts w:ascii="Arial" w:eastAsia="Times New Roman" w:hAnsi="Arial" w:cs="Times New Roman"/>
      <w:sz w:val="14"/>
      <w:szCs w:val="20"/>
      <w:lang w:val="en-AU" w:eastAsia="en-AU"/>
    </w:rPr>
  </w:style>
  <w:style w:type="paragraph" w:customStyle="1" w:styleId="Space">
    <w:name w:val="Space"/>
    <w:basedOn w:val="Normal"/>
    <w:rsid w:val="00E539CB"/>
    <w:pPr>
      <w:keepNext/>
      <w:spacing w:line="120" w:lineRule="exact"/>
      <w:jc w:val="both"/>
    </w:pPr>
    <w:rPr>
      <w:rFonts w:ascii="Arial" w:hAnsi="Arial"/>
      <w:sz w:val="20"/>
      <w:szCs w:val="22"/>
      <w:lang w:val="en-AU"/>
    </w:rPr>
  </w:style>
  <w:style w:type="paragraph" w:customStyle="1" w:styleId="BoxSpaceAboveElement">
    <w:name w:val="Box Space Above Element"/>
    <w:basedOn w:val="Normal"/>
    <w:link w:val="BoxSpaceAboveElementChar"/>
    <w:qFormat/>
    <w:rsid w:val="00E539CB"/>
    <w:pPr>
      <w:keepNext/>
      <w:spacing w:before="240" w:line="80" w:lineRule="exact"/>
    </w:pPr>
    <w:rPr>
      <w:rFonts w:ascii="Times New Roman" w:eastAsia="Times New Roman" w:hAnsi="Times New Roman" w:cs="Times New Roman"/>
      <w:b/>
      <w:vanish/>
      <w:color w:val="FF00FF"/>
      <w:sz w:val="14"/>
      <w:szCs w:val="20"/>
      <w:lang w:val="en-AU" w:eastAsia="en-AU"/>
    </w:rPr>
  </w:style>
  <w:style w:type="character" w:customStyle="1" w:styleId="BoxSpaceAboveElementChar">
    <w:name w:val="Box Space Above Element Char"/>
    <w:basedOn w:val="DefaultParagraphFont"/>
    <w:link w:val="BoxSpaceAboveElement"/>
    <w:rsid w:val="00E539CB"/>
    <w:rPr>
      <w:rFonts w:ascii="Times New Roman" w:eastAsia="Times New Roman" w:hAnsi="Times New Roman" w:cs="Times New Roman"/>
      <w:b/>
      <w:vanish/>
      <w:color w:val="FF00FF"/>
      <w:sz w:val="14"/>
      <w:szCs w:val="20"/>
      <w:lang w:val="en-AU" w:eastAsia="en-AU"/>
    </w:rPr>
  </w:style>
  <w:style w:type="paragraph" w:customStyle="1" w:styleId="BoxHeading2">
    <w:name w:val="Box Heading 2"/>
    <w:basedOn w:val="Normal"/>
    <w:next w:val="Normal"/>
    <w:rsid w:val="00E539CB"/>
    <w:pPr>
      <w:keepNext/>
      <w:spacing w:before="200" w:line="280" w:lineRule="atLeast"/>
      <w:jc w:val="both"/>
    </w:pPr>
    <w:rPr>
      <w:rFonts w:ascii="Arial" w:eastAsia="Times New Roman" w:hAnsi="Arial" w:cs="Times New Roman"/>
      <w:i/>
      <w:sz w:val="22"/>
      <w:szCs w:val="20"/>
      <w:lang w:val="en-AU" w:eastAsia="en-AU"/>
    </w:rPr>
  </w:style>
  <w:style w:type="character" w:styleId="Strong">
    <w:name w:val="Strong"/>
    <w:basedOn w:val="DefaultParagraphFont"/>
    <w:uiPriority w:val="22"/>
    <w:qFormat/>
    <w:rsid w:val="004C3B51"/>
    <w:rPr>
      <w:b/>
      <w:bCs/>
    </w:rPr>
  </w:style>
  <w:style w:type="character" w:styleId="Emphasis">
    <w:name w:val="Emphasis"/>
    <w:basedOn w:val="DefaultParagraphFont"/>
    <w:uiPriority w:val="20"/>
    <w:qFormat/>
    <w:rsid w:val="00D46A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67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7CB"/>
  </w:style>
  <w:style w:type="paragraph" w:styleId="Footer">
    <w:name w:val="footer"/>
    <w:basedOn w:val="Normal"/>
    <w:link w:val="FooterChar"/>
    <w:uiPriority w:val="99"/>
    <w:unhideWhenUsed/>
    <w:rsid w:val="006167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7CB"/>
  </w:style>
  <w:style w:type="character" w:styleId="FollowedHyperlink">
    <w:name w:val="FollowedHyperlink"/>
    <w:basedOn w:val="DefaultParagraphFont"/>
    <w:uiPriority w:val="99"/>
    <w:semiHidden/>
    <w:unhideWhenUsed/>
    <w:rsid w:val="00B7263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1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2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yperlink" Target="http://outbackvision.com.au/telehealth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1.png"/><Relationship Id="rId25" Type="http://schemas.openxmlformats.org/officeDocument/2006/relationships/hyperlink" Target="http://www.iehu.unimelb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wc.com.au/publications/healthcare-indigenous-sight.html" TargetMode="External"/><Relationship Id="rId20" Type="http://schemas.openxmlformats.org/officeDocument/2006/relationships/image" Target="media/image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hyperlink" Target="https://www.mja.com.au/journal/2015/203/1/equity-vision-australia-sigh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mspgh.unimelb.edu.au/centres-institutes/centre-for-health-equity/research-group/indigenous-eye-health" TargetMode="External"/><Relationship Id="rId23" Type="http://schemas.openxmlformats.org/officeDocument/2006/relationships/hyperlink" Target="http://mspgh.unimelb.edu.au/centres-institutes/centre-for-health-equity/research-group/indigenous-eye-health" TargetMode="External"/><Relationship Id="rId28" Type="http://schemas.openxmlformats.org/officeDocument/2006/relationships/header" Target="header3.xml"/><Relationship Id="rId10" Type="http://schemas.microsoft.com/office/2007/relationships/stylesWithEffects" Target="stylesWithEffects.xml"/><Relationship Id="rId19" Type="http://schemas.openxmlformats.org/officeDocument/2006/relationships/hyperlink" Target="http://mspgh.unimelb.edu.au/centres-institutes/centre-for-health-equity/research-group/indigenous-eye-health/news-and-events/mbs-items-dr-nmrp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hyperlink" Target="http://mspgh.unimelb.edu.au/centres-institutes/centre-for-health-equity/research-group/indigenous-eye-health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25" ma:contentTypeDescription="" ma:contentTypeScope="" ma:versionID="30e53173fcd6bb5533cefdaa16546dc6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09bd5c9ba5b1cd77563866df088cc14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indexed="true" ma:default="4831;#Routine Admin NAP|d82b0892-0b75-421c-84c3-600ce54d5cd6" ma:fieldId="{97a0baa8-c884-45a7-8b6f-55906390ba17}" ma:sspId="70da5c63-8548-4ac8-9616-83b0f373280e" ma:termSetId="e99b77ca-c000-4e3f-a77f-a64077d5e2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  <Value>138</Value>
    </TaxCatchAll>
    <_dlc_DocId xmlns="3f4bcce7-ac1a-4c9d-aa3e-7e77695652db">PCDOC-380165220-738</_dlc_DocId>
    <_dlc_DocIdUrl xmlns="3f4bcce7-ac1a-4c9d-aa3e-7e77695652db">
      <Url>https://inet.pc.gov.au/pmo/inq/hs/_layouts/15/DocIdRedir.aspx?ID=PCDOC-380165220-738</Url>
      <Description>PCDOC-380165220-738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279C84-CEC7-4C91-9F61-50290B889A2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FEBE4D4-96E3-47FD-AD0A-7FDD288DD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73E0F-0598-4120-9711-91AFD1331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29487-1E58-4419-8F93-2300C4CB8F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C981C8-07AB-44A4-8B19-60CD05C49E8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579FD90-830C-4618-B9DC-73D90E32475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f4bcce7-ac1a-4c9d-aa3e-7e77695652db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455C85F6-E1C4-44CB-AEDE-3D49BF06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425 - Indigenous Eye Health, The University of Melbourne - Reforms to Human Services - Stage 2 of Human Services public inquiry</vt:lpstr>
    </vt:vector>
  </TitlesOfParts>
  <Company>Indigenous Eye Health, The University of Melbourne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425 - Indigenous Eye Health, The University of Melbourne - Reforms to Human Services - Stage 2 of Human Services public inquiry</dc:title>
  <dc:subject/>
  <dc:creator>Indigenous Eye Health, The University of Melbourne</dc:creator>
  <cp:keywords/>
  <dc:description/>
  <cp:lastModifiedBy>Pimperl, Mark</cp:lastModifiedBy>
  <cp:revision>5</cp:revision>
  <dcterms:created xsi:type="dcterms:W3CDTF">2017-02-07T04:56:00Z</dcterms:created>
  <dcterms:modified xsi:type="dcterms:W3CDTF">2017-02-13T21:25:00Z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d13b79bb-17f0-409a-81fe-30e913697c99</vt:lpwstr>
  </property>
  <property fmtid="{D5CDD505-2E9C-101B-9397-08002B2CF9AE}" pid="5" name="Record Tag">
    <vt:lpwstr>4487;#Submissions - Stage 2|df6c8b62-a0f6-48ca-9bad-05bd9d9348d3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