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6C" w:rsidRPr="005A4E67" w:rsidRDefault="0037106C" w:rsidP="00566DAB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5A4E67">
        <w:rPr>
          <w:b/>
          <w:sz w:val="28"/>
          <w:szCs w:val="28"/>
        </w:rPr>
        <w:t>Productivity Commission</w:t>
      </w:r>
    </w:p>
    <w:p w:rsidR="0091335F" w:rsidRPr="005A4E67" w:rsidRDefault="0091335F" w:rsidP="00566DAB">
      <w:pPr>
        <w:spacing w:after="120"/>
        <w:jc w:val="center"/>
        <w:rPr>
          <w:b/>
          <w:sz w:val="28"/>
          <w:szCs w:val="28"/>
        </w:rPr>
      </w:pPr>
      <w:r w:rsidRPr="005A4E67">
        <w:rPr>
          <w:b/>
          <w:sz w:val="28"/>
          <w:szCs w:val="28"/>
        </w:rPr>
        <w:t>Inquiry into Horizontal Fiscal Equalisation (HFE)</w:t>
      </w:r>
    </w:p>
    <w:p w:rsidR="0091335F" w:rsidRPr="005A4E67" w:rsidRDefault="0091335F" w:rsidP="00566DAB">
      <w:pPr>
        <w:spacing w:after="120"/>
        <w:jc w:val="center"/>
        <w:rPr>
          <w:b/>
        </w:rPr>
      </w:pPr>
      <w:r w:rsidRPr="005A4E67">
        <w:rPr>
          <w:b/>
        </w:rPr>
        <w:t>D</w:t>
      </w:r>
      <w:r w:rsidR="00673010" w:rsidRPr="005A4E67">
        <w:rPr>
          <w:b/>
        </w:rPr>
        <w:t xml:space="preserve">oug </w:t>
      </w:r>
      <w:r w:rsidR="005A4E67" w:rsidRPr="005A4E67">
        <w:rPr>
          <w:b/>
        </w:rPr>
        <w:t>Buckley, 7</w:t>
      </w:r>
      <w:r w:rsidRPr="005A4E67">
        <w:rPr>
          <w:b/>
        </w:rPr>
        <w:t xml:space="preserve"> June 2017</w:t>
      </w:r>
    </w:p>
    <w:p w:rsidR="005A4E67" w:rsidRDefault="005A4E67" w:rsidP="00566DAB">
      <w:pPr>
        <w:spacing w:after="120"/>
        <w:jc w:val="center"/>
        <w:rPr>
          <w:b/>
        </w:rPr>
      </w:pPr>
    </w:p>
    <w:p w:rsidR="002D57BE" w:rsidRDefault="002D57BE" w:rsidP="00566DAB">
      <w:pPr>
        <w:spacing w:after="120"/>
        <w:rPr>
          <w:b/>
        </w:rPr>
      </w:pPr>
      <w:r>
        <w:rPr>
          <w:b/>
        </w:rPr>
        <w:t>1 .  Effects of current HFE method on economic growth – long term</w:t>
      </w:r>
    </w:p>
    <w:p w:rsidR="002D57BE" w:rsidRDefault="005812F5" w:rsidP="00566DAB">
      <w:pPr>
        <w:spacing w:after="120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E</w:t>
      </w:r>
      <w:r w:rsidR="002D57BE" w:rsidRPr="00273D2B">
        <w:rPr>
          <w:rFonts w:cstheme="minorHAnsi"/>
          <w:color w:val="333333"/>
          <w:shd w:val="clear" w:color="auto" w:fill="FFFFFF"/>
        </w:rPr>
        <w:t>conomics</w:t>
      </w:r>
      <w:r w:rsidRPr="005812F5">
        <w:rPr>
          <w:rFonts w:cstheme="minorHAnsi"/>
          <w:color w:val="333333"/>
          <w:shd w:val="clear" w:color="auto" w:fill="FFFFFF"/>
        </w:rPr>
        <w:t xml:space="preserve"> </w:t>
      </w:r>
      <w:r w:rsidRPr="001830DA">
        <w:rPr>
          <w:rFonts w:cstheme="minorHAnsi"/>
          <w:color w:val="333333"/>
          <w:shd w:val="clear" w:color="auto" w:fill="FFFFFF"/>
        </w:rPr>
        <w:t xml:space="preserve">Nobel </w:t>
      </w:r>
      <w:r>
        <w:rPr>
          <w:rFonts w:cstheme="minorHAnsi"/>
          <w:color w:val="333333"/>
          <w:shd w:val="clear" w:color="auto" w:fill="FFFFFF"/>
        </w:rPr>
        <w:t>L</w:t>
      </w:r>
      <w:r w:rsidRPr="001830DA">
        <w:rPr>
          <w:rFonts w:cstheme="minorHAnsi"/>
          <w:color w:val="333333"/>
          <w:shd w:val="clear" w:color="auto" w:fill="FFFFFF"/>
        </w:rPr>
        <w:t>aureat</w:t>
      </w:r>
      <w:r w:rsidRPr="00273D2B">
        <w:rPr>
          <w:rFonts w:cstheme="minorHAnsi"/>
          <w:color w:val="333333"/>
          <w:shd w:val="clear" w:color="auto" w:fill="FFFFFF"/>
        </w:rPr>
        <w:t xml:space="preserve">e </w:t>
      </w:r>
      <w:r w:rsidRPr="001830DA">
        <w:rPr>
          <w:rFonts w:cstheme="minorHAnsi"/>
          <w:color w:val="333333"/>
          <w:shd w:val="clear" w:color="auto" w:fill="FFFFFF"/>
        </w:rPr>
        <w:t>Joseph Stiglist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="002D57BE" w:rsidRPr="00273D2B">
        <w:rPr>
          <w:rFonts w:cstheme="minorHAnsi"/>
          <w:color w:val="333333"/>
          <w:shd w:val="clear" w:color="auto" w:fill="FFFFFF"/>
        </w:rPr>
        <w:t>argues that inequality leads to</w:t>
      </w:r>
      <w:r w:rsidR="002D57BE">
        <w:rPr>
          <w:rFonts w:cstheme="minorHAnsi"/>
          <w:color w:val="333333"/>
          <w:shd w:val="clear" w:color="auto" w:fill="FFFFFF"/>
        </w:rPr>
        <w:t xml:space="preserve"> reduced </w:t>
      </w:r>
      <w:r w:rsidR="002D57BE" w:rsidRPr="00273D2B">
        <w:rPr>
          <w:rFonts w:cstheme="minorHAnsi"/>
          <w:color w:val="333333"/>
          <w:shd w:val="clear" w:color="auto" w:fill="FFFFFF"/>
        </w:rPr>
        <w:t>efficiency</w:t>
      </w:r>
      <w:r w:rsidR="002D57BE">
        <w:rPr>
          <w:rFonts w:cstheme="minorHAnsi"/>
          <w:color w:val="333333"/>
          <w:shd w:val="clear" w:color="auto" w:fill="FFFFFF"/>
        </w:rPr>
        <w:t xml:space="preserve"> </w:t>
      </w:r>
      <w:r w:rsidR="002D57BE" w:rsidRPr="008204CD">
        <w:rPr>
          <w:rFonts w:cstheme="minorHAnsi"/>
          <w:color w:val="333333"/>
          <w:shd w:val="clear" w:color="auto" w:fill="FFFFFF"/>
        </w:rPr>
        <w:t>and lower long-term growth (</w:t>
      </w:r>
      <w:r w:rsidR="002D57BE">
        <w:rPr>
          <w:rFonts w:cstheme="minorHAnsi"/>
          <w:color w:val="333333"/>
          <w:shd w:val="clear" w:color="auto" w:fill="FFFFFF"/>
        </w:rPr>
        <w:t xml:space="preserve">E.g. </w:t>
      </w:r>
      <w:r w:rsidR="002D57BE" w:rsidRPr="00273D2B">
        <w:rPr>
          <w:rFonts w:cstheme="minorHAnsi"/>
          <w:i/>
          <w:color w:val="333333"/>
          <w:shd w:val="clear" w:color="auto" w:fill="FFFFFF"/>
        </w:rPr>
        <w:t>The Price of Inequality: How Todays' Divided Society Endangers Our Future</w:t>
      </w:r>
      <w:r w:rsidR="002D57BE">
        <w:rPr>
          <w:rFonts w:cstheme="minorHAnsi"/>
          <w:i/>
          <w:color w:val="333333"/>
          <w:shd w:val="clear" w:color="auto" w:fill="FFFFFF"/>
        </w:rPr>
        <w:t xml:space="preserve">, </w:t>
      </w:r>
      <w:r w:rsidR="002D57BE">
        <w:rPr>
          <w:rFonts w:cstheme="minorHAnsi"/>
          <w:color w:val="333333"/>
          <w:shd w:val="clear" w:color="auto" w:fill="FFFFFF"/>
        </w:rPr>
        <w:t>2012</w:t>
      </w:r>
      <w:r w:rsidR="002D57BE" w:rsidRPr="00273D2B">
        <w:rPr>
          <w:rFonts w:cstheme="minorHAnsi"/>
          <w:color w:val="333333"/>
          <w:shd w:val="clear" w:color="auto" w:fill="FFFFFF"/>
        </w:rPr>
        <w:t xml:space="preserve">). </w:t>
      </w:r>
      <w:r w:rsidR="005A4E67">
        <w:rPr>
          <w:rFonts w:cstheme="minorHAnsi"/>
          <w:color w:val="333333"/>
          <w:shd w:val="clear" w:color="auto" w:fill="FFFFFF"/>
        </w:rPr>
        <w:t>T</w:t>
      </w:r>
      <w:r w:rsidR="002D57BE">
        <w:rPr>
          <w:rFonts w:cstheme="minorHAnsi"/>
          <w:color w:val="333333"/>
          <w:shd w:val="clear" w:color="auto" w:fill="FFFFFF"/>
        </w:rPr>
        <w:t>he OECD reports that "</w:t>
      </w:r>
      <w:r w:rsidR="002D57BE">
        <w:t xml:space="preserve">when income inequality rises, economic growth falls [thus] tackling inequality can make our </w:t>
      </w:r>
      <w:r w:rsidR="002D57BE" w:rsidRPr="008204CD">
        <w:t>societies fairer and our economies stronger</w:t>
      </w:r>
      <w:r w:rsidR="002D57BE">
        <w:t xml:space="preserve">" </w:t>
      </w:r>
      <w:r w:rsidR="002D57BE">
        <w:rPr>
          <w:rFonts w:cstheme="minorHAnsi"/>
          <w:color w:val="333333"/>
          <w:shd w:val="clear" w:color="auto" w:fill="FFFFFF"/>
        </w:rPr>
        <w:t>(</w:t>
      </w:r>
      <w:r w:rsidR="002D57BE">
        <w:rPr>
          <w:rFonts w:cstheme="minorHAnsi"/>
          <w:i/>
          <w:color w:val="333333"/>
          <w:shd w:val="clear" w:color="auto" w:fill="FFFFFF"/>
        </w:rPr>
        <w:t>Focus on Income and Growth,</w:t>
      </w:r>
      <w:r w:rsidR="002D57BE">
        <w:rPr>
          <w:rFonts w:cstheme="minorHAnsi"/>
          <w:color w:val="333333"/>
          <w:shd w:val="clear" w:color="auto" w:fill="FFFFFF"/>
        </w:rPr>
        <w:t xml:space="preserve"> December 2014).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="002D57BE">
        <w:rPr>
          <w:rFonts w:cstheme="minorHAnsi"/>
          <w:color w:val="333333"/>
          <w:shd w:val="clear" w:color="auto" w:fill="FFFFFF"/>
        </w:rPr>
        <w:t>Investigation into the HFE's past and potential contribution to the long-term economic growth of Australia would appear to be a pertinent and worthy project for the Inquiry.</w:t>
      </w:r>
      <w:r w:rsidR="002D57BE" w:rsidRPr="00273D2B">
        <w:rPr>
          <w:rFonts w:cstheme="minorHAnsi"/>
          <w:color w:val="333333"/>
          <w:shd w:val="clear" w:color="auto" w:fill="FFFFFF"/>
        </w:rPr>
        <w:t xml:space="preserve"> </w:t>
      </w:r>
    </w:p>
    <w:p w:rsidR="002D57BE" w:rsidRPr="0097621D" w:rsidRDefault="002D57BE" w:rsidP="00566DAB">
      <w:pPr>
        <w:spacing w:after="120"/>
        <w:rPr>
          <w:b/>
        </w:rPr>
      </w:pPr>
      <w:r>
        <w:rPr>
          <w:b/>
        </w:rPr>
        <w:t>2 .  Effects of current HFE method on economic growth – medium term</w:t>
      </w:r>
    </w:p>
    <w:p w:rsidR="002D57BE" w:rsidRDefault="005812F5" w:rsidP="00566DAB">
      <w:pPr>
        <w:spacing w:after="120"/>
      </w:pPr>
      <w:r>
        <w:t xml:space="preserve">How much effect does HFE have on medium term economic growth? Does </w:t>
      </w:r>
      <w:r w:rsidR="002D57BE">
        <w:t>it matter?</w:t>
      </w:r>
      <w:r>
        <w:t xml:space="preserve"> Other forces </w:t>
      </w:r>
      <w:r w:rsidR="002D57BE">
        <w:t xml:space="preserve">have </w:t>
      </w:r>
      <w:r>
        <w:t xml:space="preserve">certainly </w:t>
      </w:r>
      <w:r w:rsidR="002D57BE">
        <w:t xml:space="preserve">out-gunned </w:t>
      </w:r>
      <w:r>
        <w:t xml:space="preserve">it. </w:t>
      </w:r>
      <w:r w:rsidR="002D57BE">
        <w:t xml:space="preserve">Despite eighty years of the very best efforts of the </w:t>
      </w:r>
      <w:r w:rsidR="001F01F7">
        <w:t>Commonwealth Grants Commission (</w:t>
      </w:r>
      <w:r w:rsidR="002D57BE">
        <w:t>CGC</w:t>
      </w:r>
      <w:r w:rsidR="001F01F7">
        <w:t>)</w:t>
      </w:r>
      <w:r w:rsidR="002D57BE">
        <w:t>,</w:t>
      </w:r>
      <w:r w:rsidR="00931459">
        <w:t xml:space="preserve"> </w:t>
      </w:r>
      <w:r w:rsidR="001F01F7">
        <w:t xml:space="preserve">our </w:t>
      </w:r>
      <w:r w:rsidR="00931459">
        <w:t xml:space="preserve">Commonwealth </w:t>
      </w:r>
      <w:r w:rsidR="002D57BE">
        <w:t>has enjoyed</w:t>
      </w:r>
      <w:r w:rsidR="00931459">
        <w:t xml:space="preserve"> </w:t>
      </w:r>
      <w:r>
        <w:t xml:space="preserve">an extraordinary </w:t>
      </w:r>
      <w:r w:rsidR="002D57BE">
        <w:t xml:space="preserve">twenty-five years of sustained economic growth, and from a high level. </w:t>
      </w:r>
    </w:p>
    <w:p w:rsidR="002D57BE" w:rsidRDefault="002D57BE" w:rsidP="00566DAB">
      <w:pPr>
        <w:spacing w:after="120"/>
      </w:pPr>
      <w:r>
        <w:t xml:space="preserve">In any case, though some of our best economists do not seem to engage with the fact, the CGC's </w:t>
      </w:r>
      <w:r w:rsidR="00931459">
        <w:t xml:space="preserve">main </w:t>
      </w:r>
      <w:r>
        <w:t xml:space="preserve">work is not </w:t>
      </w:r>
      <w:r w:rsidR="00931459">
        <w:t xml:space="preserve">to do with </w:t>
      </w:r>
      <w:r>
        <w:t xml:space="preserve">economics but public finance. Not economic growth but equity. Not about the creation of wealth but about the distribution of wealth, </w:t>
      </w:r>
      <w:r w:rsidR="00931459">
        <w:t xml:space="preserve">namely </w:t>
      </w:r>
      <w:r w:rsidRPr="008204CD">
        <w:t>the common wealth of</w:t>
      </w:r>
      <w:r>
        <w:t xml:space="preserve"> </w:t>
      </w:r>
      <w:r w:rsidR="00931459">
        <w:t xml:space="preserve">the </w:t>
      </w:r>
      <w:r>
        <w:t xml:space="preserve">Commonwealth. </w:t>
      </w:r>
    </w:p>
    <w:p w:rsidR="002D57BE" w:rsidRPr="001C652A" w:rsidRDefault="002D57BE" w:rsidP="00566DAB">
      <w:pPr>
        <w:spacing w:after="120"/>
        <w:rPr>
          <w:rFonts w:cstheme="minorHAnsi"/>
        </w:rPr>
      </w:pPr>
      <w:r>
        <w:rPr>
          <w:rFonts w:cstheme="minorHAnsi"/>
          <w:b/>
        </w:rPr>
        <w:t>3 .</w:t>
      </w:r>
      <w:r w:rsidRPr="001C652A">
        <w:rPr>
          <w:rFonts w:cstheme="minorHAnsi"/>
          <w:b/>
        </w:rPr>
        <w:t xml:space="preserve"> </w:t>
      </w:r>
      <w:r>
        <w:rPr>
          <w:rFonts w:cstheme="minorHAnsi"/>
          <w:b/>
        </w:rPr>
        <w:t>Use of non-contemporary data</w:t>
      </w:r>
    </w:p>
    <w:p w:rsidR="002D57BE" w:rsidRDefault="002D57BE" w:rsidP="00566DAB">
      <w:pPr>
        <w:spacing w:after="120"/>
        <w:rPr>
          <w:rFonts w:cstheme="minorHAnsi"/>
        </w:rPr>
      </w:pPr>
      <w:r w:rsidRPr="001C652A">
        <w:rPr>
          <w:rFonts w:cstheme="minorHAnsi"/>
        </w:rPr>
        <w:t>Use of non-contemporary data</w:t>
      </w:r>
      <w:r w:rsidR="00931459">
        <w:rPr>
          <w:rFonts w:cstheme="minorHAnsi"/>
        </w:rPr>
        <w:t xml:space="preserve"> appears to be </w:t>
      </w:r>
      <w:r w:rsidRPr="001C652A">
        <w:rPr>
          <w:rFonts w:cstheme="minorHAnsi"/>
        </w:rPr>
        <w:t xml:space="preserve">a major </w:t>
      </w:r>
      <w:r>
        <w:rPr>
          <w:rFonts w:cstheme="minorHAnsi"/>
        </w:rPr>
        <w:t xml:space="preserve">current </w:t>
      </w:r>
      <w:r w:rsidRPr="001C652A">
        <w:rPr>
          <w:rFonts w:cstheme="minorHAnsi"/>
        </w:rPr>
        <w:t>weakness</w:t>
      </w:r>
      <w:r>
        <w:rPr>
          <w:rFonts w:cstheme="minorHAnsi"/>
        </w:rPr>
        <w:t xml:space="preserve">. One way forward would be for the CGC to forecast certain key variables. When the data come in, retrospective adjustments would be made to distributions. </w:t>
      </w:r>
      <w:r w:rsidR="00931459">
        <w:rPr>
          <w:rFonts w:cstheme="minorHAnsi"/>
        </w:rPr>
        <w:t>Thus a</w:t>
      </w:r>
      <w:r>
        <w:rPr>
          <w:rFonts w:cstheme="minorHAnsi"/>
        </w:rPr>
        <w:t xml:space="preserve"> set-up broadly as follows is easy to imagine: a state's grant in year three </w:t>
      </w:r>
      <w:r w:rsidR="00931459">
        <w:rPr>
          <w:rFonts w:cstheme="minorHAnsi"/>
        </w:rPr>
        <w:t xml:space="preserve">is </w:t>
      </w:r>
      <w:r>
        <w:rPr>
          <w:rFonts w:cstheme="minorHAnsi"/>
        </w:rPr>
        <w:t xml:space="preserve">calculated using data forecasts. To this </w:t>
      </w:r>
      <w:r w:rsidR="00931459">
        <w:rPr>
          <w:rFonts w:cstheme="minorHAnsi"/>
        </w:rPr>
        <w:t xml:space="preserve">is </w:t>
      </w:r>
      <w:r>
        <w:rPr>
          <w:rFonts w:cstheme="minorHAnsi"/>
        </w:rPr>
        <w:t>added of subtracted a correction due to data now available</w:t>
      </w:r>
      <w:r w:rsidR="00931459">
        <w:rPr>
          <w:rFonts w:cstheme="minorHAnsi"/>
        </w:rPr>
        <w:t xml:space="preserve"> for year one</w:t>
      </w:r>
      <w:r>
        <w:rPr>
          <w:rFonts w:cstheme="minorHAnsi"/>
        </w:rPr>
        <w:t xml:space="preserve">. </w:t>
      </w:r>
      <w:r w:rsidR="00931459">
        <w:rPr>
          <w:rFonts w:cstheme="minorHAnsi"/>
        </w:rPr>
        <w:t>Sadly, my experience suggests that some people try to avoid forecasting. If such is an issue, CGC should be courageous to gird its loins and give it a go, safe in the knowledge that there will be a later opportunity to correct the effects of incorrect forecasts.</w:t>
      </w:r>
    </w:p>
    <w:p w:rsidR="00A213E8" w:rsidRDefault="000C089B" w:rsidP="00566DAB">
      <w:pPr>
        <w:spacing w:after="120"/>
        <w:rPr>
          <w:b/>
        </w:rPr>
      </w:pPr>
      <w:r>
        <w:rPr>
          <w:b/>
        </w:rPr>
        <w:t xml:space="preserve">4 </w:t>
      </w:r>
      <w:r w:rsidR="00D2673A">
        <w:rPr>
          <w:b/>
        </w:rPr>
        <w:t xml:space="preserve">.  Effects of current HFE methods on </w:t>
      </w:r>
      <w:r w:rsidR="00A213E8">
        <w:rPr>
          <w:b/>
        </w:rPr>
        <w:t xml:space="preserve">the </w:t>
      </w:r>
      <w:r w:rsidR="00D2673A" w:rsidRPr="0097621D">
        <w:rPr>
          <w:b/>
        </w:rPr>
        <w:t>productivity</w:t>
      </w:r>
      <w:r w:rsidR="00D2673A">
        <w:rPr>
          <w:b/>
        </w:rPr>
        <w:t xml:space="preserve"> </w:t>
      </w:r>
      <w:r w:rsidR="00A213E8">
        <w:rPr>
          <w:b/>
        </w:rPr>
        <w:t xml:space="preserve">of state administrations </w:t>
      </w:r>
      <w:r w:rsidR="00D2673A">
        <w:rPr>
          <w:b/>
        </w:rPr>
        <w:t xml:space="preserve">–  </w:t>
      </w:r>
      <w:r w:rsidR="00A213E8">
        <w:rPr>
          <w:b/>
        </w:rPr>
        <w:t xml:space="preserve">HFE causing states to lose </w:t>
      </w:r>
      <w:r w:rsidR="00931459">
        <w:rPr>
          <w:b/>
        </w:rPr>
        <w:t xml:space="preserve">the </w:t>
      </w:r>
      <w:r w:rsidR="00D2673A">
        <w:rPr>
          <w:b/>
        </w:rPr>
        <w:t xml:space="preserve">benefits of </w:t>
      </w:r>
      <w:r w:rsidR="00931459">
        <w:rPr>
          <w:b/>
        </w:rPr>
        <w:t xml:space="preserve">their </w:t>
      </w:r>
      <w:r w:rsidR="00D2673A">
        <w:rPr>
          <w:b/>
        </w:rPr>
        <w:t xml:space="preserve">productivity improvements </w:t>
      </w:r>
    </w:p>
    <w:p w:rsidR="00E03BFA" w:rsidRDefault="00E03BFA" w:rsidP="00566DAB">
      <w:pPr>
        <w:spacing w:after="120"/>
      </w:pPr>
      <w:r w:rsidRPr="0097621D">
        <w:t xml:space="preserve">Let's </w:t>
      </w:r>
      <w:r>
        <w:t xml:space="preserve">suppose </w:t>
      </w:r>
      <w:r w:rsidRPr="0097621D">
        <w:t xml:space="preserve">that </w:t>
      </w:r>
      <w:r>
        <w:t xml:space="preserve">the </w:t>
      </w:r>
      <w:r w:rsidR="00B51905">
        <w:t>Inq</w:t>
      </w:r>
      <w:r>
        <w:t xml:space="preserve">uiry </w:t>
      </w:r>
      <w:r w:rsidR="00BA605A">
        <w:t xml:space="preserve">decides that HFE </w:t>
      </w:r>
      <w:r w:rsidR="00931459">
        <w:t xml:space="preserve">somehow causes a state to lose the </w:t>
      </w:r>
      <w:r w:rsidR="00BA605A">
        <w:t xml:space="preserve">financial benefits </w:t>
      </w:r>
      <w:r w:rsidR="00617319">
        <w:t>of</w:t>
      </w:r>
      <w:r w:rsidR="0037106C">
        <w:t xml:space="preserve"> </w:t>
      </w:r>
      <w:r w:rsidR="00A213E8">
        <w:t>its</w:t>
      </w:r>
      <w:r w:rsidR="0037106C">
        <w:t xml:space="preserve"> </w:t>
      </w:r>
      <w:r w:rsidR="00BA605A" w:rsidRPr="00FA5828">
        <w:t>prod</w:t>
      </w:r>
      <w:r w:rsidR="00BA605A">
        <w:t>uctivity improvements.</w:t>
      </w:r>
      <w:r w:rsidR="00942301">
        <w:t xml:space="preserve">  </w:t>
      </w:r>
      <w:r w:rsidR="00EB6610">
        <w:t xml:space="preserve">On the basis of </w:t>
      </w:r>
      <w:r w:rsidR="00A213E8">
        <w:t xml:space="preserve">a superficial </w:t>
      </w:r>
      <w:r w:rsidR="00EB6610">
        <w:t xml:space="preserve">acquaintance with HFE calculations, it seems that this would be </w:t>
      </w:r>
      <w:r w:rsidR="00BA605A">
        <w:t xml:space="preserve">a </w:t>
      </w:r>
      <w:r w:rsidR="00EB6610">
        <w:t>reduction</w:t>
      </w:r>
      <w:r w:rsidR="00BA605A">
        <w:t xml:space="preserve"> rather than a</w:t>
      </w:r>
      <w:r w:rsidR="0037106C">
        <w:t>n</w:t>
      </w:r>
      <w:r w:rsidR="00BA605A">
        <w:t xml:space="preserve"> </w:t>
      </w:r>
      <w:r w:rsidR="0037106C">
        <w:t>elimination</w:t>
      </w:r>
      <w:r w:rsidR="00EB6610">
        <w:t>, leaving a net</w:t>
      </w:r>
      <w:r w:rsidR="00383E18">
        <w:t xml:space="preserve"> b</w:t>
      </w:r>
      <w:r w:rsidR="00EB6610">
        <w:t>enefit</w:t>
      </w:r>
      <w:r w:rsidR="00383E18">
        <w:t xml:space="preserve"> to the state</w:t>
      </w:r>
      <w:r w:rsidR="00942301">
        <w:t xml:space="preserve"> from any productivity improvements</w:t>
      </w:r>
      <w:r w:rsidR="00A213E8">
        <w:t xml:space="preserve">. </w:t>
      </w:r>
      <w:r w:rsidR="00617319">
        <w:t xml:space="preserve">Any such </w:t>
      </w:r>
      <w:r w:rsidR="0037106C">
        <w:t xml:space="preserve">collateral damage, however </w:t>
      </w:r>
      <w:r w:rsidR="00BA605A">
        <w:t>aesthetically displeasing</w:t>
      </w:r>
      <w:r w:rsidR="0037106C">
        <w:t xml:space="preserve">, in a </w:t>
      </w:r>
      <w:r w:rsidR="00A213E8">
        <w:t xml:space="preserve">small part of a </w:t>
      </w:r>
      <w:r w:rsidR="0037106C">
        <w:t xml:space="preserve">larger and worthier project. </w:t>
      </w:r>
      <w:r w:rsidR="00BA605A">
        <w:t xml:space="preserve"> </w:t>
      </w:r>
    </w:p>
    <w:p w:rsidR="00E03BFA" w:rsidRDefault="000C089B" w:rsidP="00566DAB">
      <w:pPr>
        <w:spacing w:after="120"/>
      </w:pPr>
      <w:r>
        <w:rPr>
          <w:b/>
        </w:rPr>
        <w:t xml:space="preserve">5 </w:t>
      </w:r>
      <w:r w:rsidR="00E03BFA">
        <w:rPr>
          <w:b/>
        </w:rPr>
        <w:t xml:space="preserve">.  </w:t>
      </w:r>
      <w:r w:rsidR="00A213E8">
        <w:rPr>
          <w:b/>
        </w:rPr>
        <w:t xml:space="preserve">Effects of current HFE methods on the </w:t>
      </w:r>
      <w:r w:rsidR="00A213E8" w:rsidRPr="0097621D">
        <w:rPr>
          <w:b/>
        </w:rPr>
        <w:t>productivity</w:t>
      </w:r>
      <w:r w:rsidR="00A213E8">
        <w:rPr>
          <w:b/>
        </w:rPr>
        <w:t xml:space="preserve"> of state administrations –  </w:t>
      </w:r>
      <w:r w:rsidR="00E03BFA">
        <w:rPr>
          <w:b/>
        </w:rPr>
        <w:t>gaming the system</w:t>
      </w:r>
      <w:r w:rsidR="00E03BFA">
        <w:t xml:space="preserve">    </w:t>
      </w:r>
    </w:p>
    <w:p w:rsidR="00942301" w:rsidRDefault="005A28A6" w:rsidP="00566DAB">
      <w:pPr>
        <w:spacing w:after="120"/>
      </w:pPr>
      <w:r>
        <w:lastRenderedPageBreak/>
        <w:t xml:space="preserve">A </w:t>
      </w:r>
      <w:r w:rsidR="00942301">
        <w:t xml:space="preserve">flip side </w:t>
      </w:r>
      <w:r>
        <w:t>to</w:t>
      </w:r>
      <w:r w:rsidR="00942301">
        <w:t xml:space="preserve"> this </w:t>
      </w:r>
      <w:r>
        <w:t>is</w:t>
      </w:r>
      <w:r w:rsidR="00942301">
        <w:t xml:space="preserve"> </w:t>
      </w:r>
      <w:r>
        <w:t xml:space="preserve">the </w:t>
      </w:r>
      <w:r w:rsidR="00942301">
        <w:t>notional</w:t>
      </w:r>
      <w:r w:rsidR="0037106C">
        <w:t xml:space="preserve"> </w:t>
      </w:r>
      <w:r>
        <w:t>opportunit</w:t>
      </w:r>
      <w:r w:rsidR="001F01F7">
        <w:t>y</w:t>
      </w:r>
      <w:r>
        <w:t xml:space="preserve"> </w:t>
      </w:r>
      <w:r w:rsidR="0037106C">
        <w:t xml:space="preserve">for </w:t>
      </w:r>
      <w:r w:rsidR="001F01F7">
        <w:t xml:space="preserve">a state to </w:t>
      </w:r>
      <w:r w:rsidR="0037106C">
        <w:t>gam</w:t>
      </w:r>
      <w:r w:rsidR="001F01F7">
        <w:t>e</w:t>
      </w:r>
      <w:r w:rsidR="00942301">
        <w:t xml:space="preserve"> the system by neglecting or </w:t>
      </w:r>
      <w:r w:rsidR="00942301" w:rsidRPr="00B26AFE">
        <w:t>compromis</w:t>
      </w:r>
      <w:r w:rsidR="00942301">
        <w:t xml:space="preserve">ing </w:t>
      </w:r>
      <w:r w:rsidR="00A213E8">
        <w:t xml:space="preserve">administrative </w:t>
      </w:r>
      <w:r>
        <w:t>productivity</w:t>
      </w:r>
      <w:r w:rsidR="001F01F7">
        <w:t xml:space="preserve"> in order to increase a later grant</w:t>
      </w:r>
      <w:r w:rsidR="00942301" w:rsidRPr="0097621D">
        <w:t xml:space="preserve">. </w:t>
      </w:r>
      <w:r w:rsidR="00942301">
        <w:t>As one who spent fifteen years in senior po</w:t>
      </w:r>
      <w:r w:rsidR="00A213E8">
        <w:t xml:space="preserve">sitions in </w:t>
      </w:r>
      <w:r w:rsidR="001F01F7">
        <w:t xml:space="preserve">a </w:t>
      </w:r>
      <w:r w:rsidR="00A213E8">
        <w:t>state administration</w:t>
      </w:r>
      <w:r w:rsidR="00942301">
        <w:t xml:space="preserve">, I know that the </w:t>
      </w:r>
      <w:r w:rsidR="00942301" w:rsidRPr="006A7DD2">
        <w:t xml:space="preserve">forces and incentives promoting productivity </w:t>
      </w:r>
      <w:r w:rsidR="001F01F7">
        <w:t xml:space="preserve">improvement </w:t>
      </w:r>
      <w:r w:rsidR="00942301">
        <w:t xml:space="preserve">are </w:t>
      </w:r>
      <w:r w:rsidR="00942301" w:rsidRPr="0097621D">
        <w:t xml:space="preserve">much stronger than those </w:t>
      </w:r>
      <w:r w:rsidR="00942301">
        <w:t xml:space="preserve">promoting </w:t>
      </w:r>
      <w:r w:rsidR="00942301" w:rsidRPr="0097621D">
        <w:t>grant increases</w:t>
      </w:r>
      <w:r w:rsidR="00942301">
        <w:t xml:space="preserve">. </w:t>
      </w:r>
      <w:r>
        <w:t xml:space="preserve">Firstly, what are the chances that any such grant increase would flow to one's department? One's section? Secondly, </w:t>
      </w:r>
      <w:r w:rsidR="00942301" w:rsidRPr="00F66D34">
        <w:t xml:space="preserve">productivity </w:t>
      </w:r>
      <w:r>
        <w:t xml:space="preserve">improvements </w:t>
      </w:r>
      <w:r w:rsidR="00942301">
        <w:t xml:space="preserve">are more immediate. </w:t>
      </w:r>
      <w:r w:rsidR="005D15AF">
        <w:t>Thus a</w:t>
      </w:r>
      <w:r w:rsidR="00942301" w:rsidRPr="0097621D">
        <w:t xml:space="preserve"> counter-productivity de</w:t>
      </w:r>
      <w:r w:rsidR="001F01F7">
        <w:t xml:space="preserve">cision in year 1 might affect a </w:t>
      </w:r>
      <w:r w:rsidR="00942301" w:rsidRPr="0097621D">
        <w:t xml:space="preserve">CGC report </w:t>
      </w:r>
      <w:r w:rsidR="005D15AF">
        <w:t xml:space="preserve">published </w:t>
      </w:r>
      <w:r w:rsidR="00942301" w:rsidRPr="0097621D">
        <w:t xml:space="preserve">in year 2, 3 or 4, and increase a grant made in years 3,4,5,6 or 7. State administrators have </w:t>
      </w:r>
      <w:r w:rsidR="00942301">
        <w:t xml:space="preserve">organisational </w:t>
      </w:r>
      <w:r w:rsidR="00942301" w:rsidRPr="0097621D">
        <w:t>horizons</w:t>
      </w:r>
      <w:r w:rsidR="00942301">
        <w:t xml:space="preserve"> </w:t>
      </w:r>
      <w:r w:rsidR="00942301" w:rsidRPr="0097621D">
        <w:t>far shorter than this</w:t>
      </w:r>
      <w:r w:rsidR="00942301">
        <w:t xml:space="preserve">.  </w:t>
      </w:r>
      <w:r w:rsidR="005D15AF">
        <w:t xml:space="preserve">Career horizons also. </w:t>
      </w:r>
      <w:r>
        <w:t>Moreover, a</w:t>
      </w:r>
      <w:r w:rsidR="00942301">
        <w:t xml:space="preserve">lmost no-one within state administrations apart from treasuries has any interest in or understanding of HFE. </w:t>
      </w:r>
    </w:p>
    <w:p w:rsidR="00161010" w:rsidRDefault="000C089B" w:rsidP="00566DAB">
      <w:pPr>
        <w:spacing w:after="120"/>
        <w:rPr>
          <w:b/>
        </w:rPr>
      </w:pPr>
      <w:r>
        <w:rPr>
          <w:b/>
        </w:rPr>
        <w:t xml:space="preserve">6 </w:t>
      </w:r>
      <w:r w:rsidR="00161010">
        <w:rPr>
          <w:b/>
        </w:rPr>
        <w:t xml:space="preserve">.  Effects </w:t>
      </w:r>
      <w:r w:rsidR="00153D83">
        <w:rPr>
          <w:b/>
        </w:rPr>
        <w:t>of current HFE methods</w:t>
      </w:r>
      <w:r w:rsidR="00E04339">
        <w:rPr>
          <w:b/>
        </w:rPr>
        <w:t xml:space="preserve"> on </w:t>
      </w:r>
      <w:r w:rsidR="00E04339" w:rsidRPr="0097621D">
        <w:rPr>
          <w:b/>
        </w:rPr>
        <w:t>fiscal reform</w:t>
      </w:r>
    </w:p>
    <w:p w:rsidR="005918AA" w:rsidRDefault="00A15D5E" w:rsidP="00566DAB">
      <w:pPr>
        <w:spacing w:after="120"/>
      </w:pPr>
      <w:r>
        <w:t xml:space="preserve">No doubt the </w:t>
      </w:r>
      <w:r w:rsidR="00B51905">
        <w:t>Inq</w:t>
      </w:r>
      <w:r>
        <w:t>uiry will seek s</w:t>
      </w:r>
      <w:r w:rsidR="006B7ED5">
        <w:t xml:space="preserve">pecific </w:t>
      </w:r>
      <w:r>
        <w:t xml:space="preserve">or notional </w:t>
      </w:r>
      <w:r w:rsidR="006B7ED5">
        <w:t xml:space="preserve">examples </w:t>
      </w:r>
      <w:r w:rsidR="009D2F86">
        <w:t xml:space="preserve">of </w:t>
      </w:r>
      <w:r w:rsidR="005D15AF">
        <w:t xml:space="preserve">the CGC </w:t>
      </w:r>
      <w:r w:rsidR="00A213E8">
        <w:t>compromising</w:t>
      </w:r>
      <w:r>
        <w:t xml:space="preserve"> </w:t>
      </w:r>
      <w:r w:rsidR="005D15AF">
        <w:t xml:space="preserve">state </w:t>
      </w:r>
      <w:r w:rsidR="009D2F86">
        <w:t>fiscal reform</w:t>
      </w:r>
      <w:r w:rsidR="006B7ED5">
        <w:t xml:space="preserve">. </w:t>
      </w:r>
      <w:r>
        <w:t xml:space="preserve">Such </w:t>
      </w:r>
      <w:r w:rsidR="009D2F86">
        <w:t>should be reviewed in the light of</w:t>
      </w:r>
      <w:r w:rsidR="00E04339">
        <w:t xml:space="preserve"> </w:t>
      </w:r>
      <w:r>
        <w:t xml:space="preserve">the same kinds of </w:t>
      </w:r>
      <w:r w:rsidR="00B9721D">
        <w:t>practical</w:t>
      </w:r>
      <w:r w:rsidR="00B672F3">
        <w:t xml:space="preserve"> incentives and </w:t>
      </w:r>
      <w:r w:rsidR="00E04339">
        <w:t>impediment</w:t>
      </w:r>
      <w:r w:rsidR="005D15AF">
        <w:t>s</w:t>
      </w:r>
      <w:r w:rsidR="00E04339">
        <w:t xml:space="preserve"> </w:t>
      </w:r>
      <w:r w:rsidR="00B9721D">
        <w:t xml:space="preserve">covered in </w:t>
      </w:r>
      <w:r w:rsidR="00E04339">
        <w:t>section</w:t>
      </w:r>
      <w:r w:rsidR="00B672F3">
        <w:t>s 4 and</w:t>
      </w:r>
      <w:r w:rsidR="00E04339">
        <w:t xml:space="preserve"> </w:t>
      </w:r>
      <w:r w:rsidR="00B672F3">
        <w:t>5</w:t>
      </w:r>
      <w:r w:rsidR="00E04339">
        <w:t xml:space="preserve"> above.</w:t>
      </w:r>
      <w:r w:rsidR="00626FAF">
        <w:t xml:space="preserve"> </w:t>
      </w:r>
      <w:r w:rsidR="00A213E8">
        <w:t>Pressures for fi</w:t>
      </w:r>
      <w:r w:rsidR="00B672F3">
        <w:t xml:space="preserve">scal </w:t>
      </w:r>
      <w:r w:rsidR="00A213E8">
        <w:t xml:space="preserve">reform </w:t>
      </w:r>
      <w:r w:rsidR="008204CD">
        <w:t xml:space="preserve">are far greater and more </w:t>
      </w:r>
      <w:r w:rsidR="00B672F3">
        <w:t>i</w:t>
      </w:r>
      <w:r w:rsidR="008204CD">
        <w:t>mmediate than pressures to improve a future grant.</w:t>
      </w:r>
    </w:p>
    <w:p w:rsidR="00DB4FC4" w:rsidRPr="00D61489" w:rsidRDefault="000C089B" w:rsidP="00566DAB">
      <w:pPr>
        <w:spacing w:after="120"/>
        <w:rPr>
          <w:rFonts w:cstheme="minorHAnsi"/>
        </w:rPr>
      </w:pPr>
      <w:r>
        <w:rPr>
          <w:rFonts w:cstheme="minorHAnsi"/>
          <w:b/>
        </w:rPr>
        <w:t xml:space="preserve">7 </w:t>
      </w:r>
      <w:r w:rsidR="000F4D25">
        <w:rPr>
          <w:rFonts w:cstheme="minorHAnsi"/>
          <w:b/>
        </w:rPr>
        <w:t xml:space="preserve">. </w:t>
      </w:r>
      <w:r w:rsidR="00B968CA">
        <w:rPr>
          <w:rFonts w:cstheme="minorHAnsi"/>
          <w:b/>
        </w:rPr>
        <w:t>S</w:t>
      </w:r>
      <w:r w:rsidR="000F4D25">
        <w:rPr>
          <w:rFonts w:cstheme="minorHAnsi"/>
          <w:b/>
        </w:rPr>
        <w:t>implicity</w:t>
      </w:r>
    </w:p>
    <w:p w:rsidR="00494462" w:rsidRDefault="00494462" w:rsidP="00566DAB">
      <w:pPr>
        <w:spacing w:after="120"/>
        <w:rPr>
          <w:rFonts w:cstheme="minorHAnsi"/>
        </w:rPr>
      </w:pPr>
      <w:r>
        <w:rPr>
          <w:rFonts w:cstheme="minorHAnsi"/>
        </w:rPr>
        <w:t xml:space="preserve">Though the CGC's terms of reference are straightforward enough, they are not easy to communicate to a casual observer. </w:t>
      </w:r>
      <w:r w:rsidR="008204CD">
        <w:rPr>
          <w:rFonts w:cstheme="minorHAnsi"/>
        </w:rPr>
        <w:t>Moreover t</w:t>
      </w:r>
      <w:r>
        <w:rPr>
          <w:rFonts w:cstheme="minorHAnsi"/>
        </w:rPr>
        <w:t xml:space="preserve">he consequential </w:t>
      </w:r>
      <w:r w:rsidR="00D61489">
        <w:rPr>
          <w:rFonts w:cstheme="minorHAnsi"/>
        </w:rPr>
        <w:t xml:space="preserve">calculations </w:t>
      </w:r>
      <w:r>
        <w:rPr>
          <w:rFonts w:cstheme="minorHAnsi"/>
        </w:rPr>
        <w:t xml:space="preserve">are necessarily </w:t>
      </w:r>
      <w:r w:rsidRPr="00D61489">
        <w:rPr>
          <w:rFonts w:cstheme="minorHAnsi"/>
        </w:rPr>
        <w:t>complex</w:t>
      </w:r>
      <w:r>
        <w:rPr>
          <w:rFonts w:cstheme="minorHAnsi"/>
        </w:rPr>
        <w:t xml:space="preserve">. Surely there is a place for some competent PR and advertising. It is not clear who should have the </w:t>
      </w:r>
      <w:r w:rsidR="00A54B0F">
        <w:rPr>
          <w:rFonts w:cstheme="minorHAnsi"/>
        </w:rPr>
        <w:t>responsivity</w:t>
      </w:r>
      <w:r>
        <w:rPr>
          <w:rFonts w:cstheme="minorHAnsi"/>
        </w:rPr>
        <w:t>. Why should the CGC not give it a go?</w:t>
      </w:r>
    </w:p>
    <w:p w:rsidR="00153D83" w:rsidRPr="00273D2B" w:rsidRDefault="00C64354" w:rsidP="00566DAB">
      <w:pPr>
        <w:spacing w:after="120"/>
        <w:rPr>
          <w:rFonts w:cstheme="minorHAnsi"/>
          <w:b/>
        </w:rPr>
      </w:pPr>
      <w:r>
        <w:rPr>
          <w:rFonts w:cstheme="minorHAnsi"/>
          <w:b/>
        </w:rPr>
        <w:t xml:space="preserve">8. </w:t>
      </w:r>
      <w:r w:rsidR="00153D83" w:rsidRPr="00273D2B">
        <w:rPr>
          <w:rFonts w:cstheme="minorHAnsi"/>
          <w:b/>
        </w:rPr>
        <w:t>About Doug Buckley</w:t>
      </w:r>
    </w:p>
    <w:p w:rsidR="00DD1C86" w:rsidRDefault="00153D83" w:rsidP="00566DAB">
      <w:pPr>
        <w:spacing w:after="120"/>
      </w:pPr>
      <w:r w:rsidRPr="00273D2B">
        <w:rPr>
          <w:rFonts w:cstheme="minorHAnsi"/>
        </w:rPr>
        <w:t xml:space="preserve">From the mid-1970s </w:t>
      </w:r>
      <w:r w:rsidRPr="0097621D">
        <w:t xml:space="preserve">to </w:t>
      </w:r>
      <w:r w:rsidR="00DD1C86">
        <w:t>1990</w:t>
      </w:r>
      <w:r w:rsidRPr="0097621D">
        <w:t>, I was a submission-writer and witness for New South Wales</w:t>
      </w:r>
      <w:r w:rsidR="00393EA3">
        <w:t xml:space="preserve">, </w:t>
      </w:r>
      <w:r w:rsidR="00987C62">
        <w:t>a</w:t>
      </w:r>
      <w:r w:rsidR="00DD1C86">
        <w:t xml:space="preserve">s well as being </w:t>
      </w:r>
      <w:r w:rsidR="00A44628">
        <w:t xml:space="preserve">involved in </w:t>
      </w:r>
      <w:r w:rsidRPr="0097621D">
        <w:t>a CGC tour</w:t>
      </w:r>
      <w:r w:rsidR="00A44628">
        <w:t xml:space="preserve"> of NSW</w:t>
      </w:r>
      <w:r w:rsidRPr="0097621D">
        <w:t xml:space="preserve">. I was an observer </w:t>
      </w:r>
      <w:r w:rsidR="00714890">
        <w:t xml:space="preserve">at </w:t>
      </w:r>
      <w:r w:rsidRPr="0097621D">
        <w:t xml:space="preserve">Victorian and Western Australian </w:t>
      </w:r>
      <w:r w:rsidR="00DD1C86" w:rsidRPr="0097621D">
        <w:t xml:space="preserve">hearings </w:t>
      </w:r>
      <w:r w:rsidR="00DD1C86">
        <w:t xml:space="preserve">in Melbourne and Perth </w:t>
      </w:r>
      <w:r w:rsidRPr="0097621D">
        <w:t xml:space="preserve">and toured </w:t>
      </w:r>
      <w:r w:rsidR="00F47856">
        <w:t>W</w:t>
      </w:r>
      <w:r w:rsidR="00DD1C86">
        <w:t>A</w:t>
      </w:r>
      <w:r w:rsidR="001C652A">
        <w:t xml:space="preserve"> </w:t>
      </w:r>
      <w:r w:rsidR="00393EA3">
        <w:t>with the CGC</w:t>
      </w:r>
      <w:r w:rsidR="00DD1C86">
        <w:t xml:space="preserve"> as an observer</w:t>
      </w:r>
      <w:r w:rsidR="00393EA3">
        <w:t xml:space="preserve">. </w:t>
      </w:r>
      <w:r w:rsidR="00B672F3">
        <w:t xml:space="preserve"> </w:t>
      </w:r>
    </w:p>
    <w:p w:rsidR="00153D83" w:rsidRDefault="00153D83" w:rsidP="00566DAB">
      <w:pPr>
        <w:spacing w:after="120"/>
      </w:pPr>
      <w:r w:rsidRPr="0097621D">
        <w:t xml:space="preserve">This was </w:t>
      </w:r>
      <w:r w:rsidR="001C652A">
        <w:t xml:space="preserve">while Corporate Planning Manager and similar with the NSW State Rail Authority </w:t>
      </w:r>
      <w:r w:rsidRPr="0097621D">
        <w:t xml:space="preserve">on </w:t>
      </w:r>
      <w:r w:rsidR="002B26BB">
        <w:t xml:space="preserve">occasional </w:t>
      </w:r>
      <w:r w:rsidRPr="0097621D">
        <w:t>secondment to the state treasury.</w:t>
      </w:r>
      <w:r w:rsidR="001C652A">
        <w:t xml:space="preserve"> Pertinent to sections </w:t>
      </w:r>
      <w:r w:rsidR="00B672F3">
        <w:t>5</w:t>
      </w:r>
      <w:r w:rsidR="001C652A">
        <w:t xml:space="preserve"> and </w:t>
      </w:r>
      <w:r w:rsidR="00B672F3">
        <w:t>6</w:t>
      </w:r>
      <w:r w:rsidR="001C652A">
        <w:t xml:space="preserve"> above, f</w:t>
      </w:r>
      <w:r w:rsidRPr="0097621D">
        <w:t>ar from making decisions in order to game the CGC, most transport managers have barely heard of the CGC. From a transport administration numbering many tens of thousands of staff, I was</w:t>
      </w:r>
      <w:r w:rsidR="001C652A">
        <w:t>, for well over a decade,</w:t>
      </w:r>
      <w:r w:rsidRPr="0097621D">
        <w:t xml:space="preserve"> the only person with any understanding at all of the CGC and </w:t>
      </w:r>
      <w:r w:rsidR="00714890">
        <w:t>mine was very much an in-passing knowledge</w:t>
      </w:r>
      <w:r w:rsidRPr="0097621D">
        <w:t xml:space="preserve">. </w:t>
      </w:r>
      <w:r w:rsidR="00393EA3">
        <w:t xml:space="preserve">I am pretty sure that the same would hold in most </w:t>
      </w:r>
      <w:r w:rsidR="00DA6EC9">
        <w:t xml:space="preserve">state </w:t>
      </w:r>
      <w:r w:rsidR="00393EA3">
        <w:t>administration</w:t>
      </w:r>
      <w:r w:rsidR="00DA6EC9">
        <w:t>s</w:t>
      </w:r>
      <w:r w:rsidR="00393EA3">
        <w:t xml:space="preserve">. Even within the state treasury, only a handful need to deal with CGC. </w:t>
      </w:r>
    </w:p>
    <w:p w:rsidR="00DD1C86" w:rsidRPr="0097621D" w:rsidRDefault="00DD1C86" w:rsidP="00DD1C86">
      <w:pPr>
        <w:spacing w:after="120"/>
      </w:pPr>
      <w:r>
        <w:t>The above followed nine years as a senior lecturer in engineering at the University of New South Wales.</w:t>
      </w:r>
    </w:p>
    <w:sectPr w:rsidR="00DD1C86" w:rsidRPr="0097621D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CEB" w:rsidRDefault="00DB5CEB" w:rsidP="00517745">
      <w:pPr>
        <w:spacing w:after="0" w:line="240" w:lineRule="auto"/>
      </w:pPr>
      <w:r>
        <w:separator/>
      </w:r>
    </w:p>
  </w:endnote>
  <w:endnote w:type="continuationSeparator" w:id="0">
    <w:p w:rsidR="00DB5CEB" w:rsidRDefault="00DB5CEB" w:rsidP="0051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CEB" w:rsidRDefault="00DB5CEB" w:rsidP="00517745">
      <w:pPr>
        <w:spacing w:after="0" w:line="240" w:lineRule="auto"/>
      </w:pPr>
      <w:r>
        <w:separator/>
      </w:r>
    </w:p>
  </w:footnote>
  <w:footnote w:type="continuationSeparator" w:id="0">
    <w:p w:rsidR="00DB5CEB" w:rsidRDefault="00DB5CEB" w:rsidP="0051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402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C7EAE" w:rsidRDefault="004C7E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E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7745" w:rsidRDefault="005177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26127"/>
    <w:multiLevelType w:val="multilevel"/>
    <w:tmpl w:val="AEC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A2"/>
    <w:rsid w:val="00054C73"/>
    <w:rsid w:val="000C089B"/>
    <w:rsid w:val="000D41CF"/>
    <w:rsid w:val="000D4652"/>
    <w:rsid w:val="000E12CF"/>
    <w:rsid w:val="000F4D25"/>
    <w:rsid w:val="00153D83"/>
    <w:rsid w:val="00161010"/>
    <w:rsid w:val="001818A2"/>
    <w:rsid w:val="001830DA"/>
    <w:rsid w:val="001C652A"/>
    <w:rsid w:val="001D139C"/>
    <w:rsid w:val="001D7760"/>
    <w:rsid w:val="001E5037"/>
    <w:rsid w:val="001F01F7"/>
    <w:rsid w:val="00240365"/>
    <w:rsid w:val="00273D2B"/>
    <w:rsid w:val="002919D2"/>
    <w:rsid w:val="002B26BB"/>
    <w:rsid w:val="002D57BE"/>
    <w:rsid w:val="002F44A3"/>
    <w:rsid w:val="0037106C"/>
    <w:rsid w:val="00383E18"/>
    <w:rsid w:val="00393EA3"/>
    <w:rsid w:val="00403BB9"/>
    <w:rsid w:val="004455A2"/>
    <w:rsid w:val="00486F49"/>
    <w:rsid w:val="00494462"/>
    <w:rsid w:val="004A236A"/>
    <w:rsid w:val="004C73F5"/>
    <w:rsid w:val="004C7EAE"/>
    <w:rsid w:val="00517745"/>
    <w:rsid w:val="00566DAB"/>
    <w:rsid w:val="005812F5"/>
    <w:rsid w:val="005918AA"/>
    <w:rsid w:val="005A28A6"/>
    <w:rsid w:val="005A4E67"/>
    <w:rsid w:val="005D15AF"/>
    <w:rsid w:val="00605C70"/>
    <w:rsid w:val="00617319"/>
    <w:rsid w:val="00626FAF"/>
    <w:rsid w:val="00664EE7"/>
    <w:rsid w:val="00673010"/>
    <w:rsid w:val="006A7DD2"/>
    <w:rsid w:val="006B7ED5"/>
    <w:rsid w:val="00714890"/>
    <w:rsid w:val="00722B70"/>
    <w:rsid w:val="00781FD7"/>
    <w:rsid w:val="007E18CA"/>
    <w:rsid w:val="008204CD"/>
    <w:rsid w:val="008517A5"/>
    <w:rsid w:val="00883F9C"/>
    <w:rsid w:val="008A6784"/>
    <w:rsid w:val="008E0FED"/>
    <w:rsid w:val="008F1712"/>
    <w:rsid w:val="0091335F"/>
    <w:rsid w:val="00931459"/>
    <w:rsid w:val="00942301"/>
    <w:rsid w:val="009533A6"/>
    <w:rsid w:val="0097621D"/>
    <w:rsid w:val="00987C62"/>
    <w:rsid w:val="009A3817"/>
    <w:rsid w:val="009C2031"/>
    <w:rsid w:val="009D2F86"/>
    <w:rsid w:val="00A05B3D"/>
    <w:rsid w:val="00A15D5E"/>
    <w:rsid w:val="00A213E8"/>
    <w:rsid w:val="00A44628"/>
    <w:rsid w:val="00A54B0F"/>
    <w:rsid w:val="00A846A9"/>
    <w:rsid w:val="00B003FC"/>
    <w:rsid w:val="00B24D6B"/>
    <w:rsid w:val="00B26AFE"/>
    <w:rsid w:val="00B26B4F"/>
    <w:rsid w:val="00B51905"/>
    <w:rsid w:val="00B53B1E"/>
    <w:rsid w:val="00B672F3"/>
    <w:rsid w:val="00B968CA"/>
    <w:rsid w:val="00B9721D"/>
    <w:rsid w:val="00BA605A"/>
    <w:rsid w:val="00C1110E"/>
    <w:rsid w:val="00C16299"/>
    <w:rsid w:val="00C64354"/>
    <w:rsid w:val="00CB1112"/>
    <w:rsid w:val="00CD3C01"/>
    <w:rsid w:val="00D2673A"/>
    <w:rsid w:val="00D525AD"/>
    <w:rsid w:val="00D61489"/>
    <w:rsid w:val="00D650C5"/>
    <w:rsid w:val="00D84C15"/>
    <w:rsid w:val="00D91B5C"/>
    <w:rsid w:val="00D922D0"/>
    <w:rsid w:val="00DA54B2"/>
    <w:rsid w:val="00DA6EC9"/>
    <w:rsid w:val="00DB4FC4"/>
    <w:rsid w:val="00DB5CEB"/>
    <w:rsid w:val="00DD1C86"/>
    <w:rsid w:val="00E03BFA"/>
    <w:rsid w:val="00E04339"/>
    <w:rsid w:val="00E31A21"/>
    <w:rsid w:val="00EB6610"/>
    <w:rsid w:val="00ED1E95"/>
    <w:rsid w:val="00F1168C"/>
    <w:rsid w:val="00F11983"/>
    <w:rsid w:val="00F361BA"/>
    <w:rsid w:val="00F47856"/>
    <w:rsid w:val="00F66D34"/>
    <w:rsid w:val="00FA3F1D"/>
    <w:rsid w:val="00FA5828"/>
    <w:rsid w:val="00FB0694"/>
    <w:rsid w:val="00FB5343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FB621E0-C96A-4109-A0FE-D25ED82C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6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B26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4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26B4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26B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26B4F"/>
  </w:style>
  <w:style w:type="paragraph" w:styleId="NormalWeb">
    <w:name w:val="Normal (Web)"/>
    <w:basedOn w:val="Normal"/>
    <w:uiPriority w:val="99"/>
    <w:semiHidden/>
    <w:unhideWhenUsed/>
    <w:rsid w:val="00B2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octoggle">
    <w:name w:val="toctoggle"/>
    <w:basedOn w:val="DefaultParagraphFont"/>
    <w:rsid w:val="00B26B4F"/>
  </w:style>
  <w:style w:type="character" w:customStyle="1" w:styleId="tocnumber">
    <w:name w:val="tocnumber"/>
    <w:basedOn w:val="DefaultParagraphFont"/>
    <w:rsid w:val="00B26B4F"/>
  </w:style>
  <w:style w:type="character" w:customStyle="1" w:styleId="toctext">
    <w:name w:val="toctext"/>
    <w:basedOn w:val="DefaultParagraphFont"/>
    <w:rsid w:val="00B26B4F"/>
  </w:style>
  <w:style w:type="paragraph" w:styleId="BalloonText">
    <w:name w:val="Balloon Text"/>
    <w:basedOn w:val="Normal"/>
    <w:link w:val="BalloonTextChar"/>
    <w:uiPriority w:val="99"/>
    <w:semiHidden/>
    <w:unhideWhenUsed/>
    <w:rsid w:val="00B2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745"/>
  </w:style>
  <w:style w:type="paragraph" w:styleId="Footer">
    <w:name w:val="footer"/>
    <w:basedOn w:val="Normal"/>
    <w:link w:val="FooterChar"/>
    <w:uiPriority w:val="99"/>
    <w:unhideWhenUsed/>
    <w:rsid w:val="0051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9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138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940</Words>
  <Characters>4638</Characters>
  <Application>Microsoft Office Word</Application>
  <DocSecurity>0</DocSecurity>
  <Lines>87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3 - Doug Buckley - Horizontal Fiscal Equalisation - Public inquiry</vt:lpstr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3 - Doug Buckley - Horizontal Fiscal Equalisation - Public inquiry</dc:title>
  <dc:creator>Doug Buckley</dc:creator>
  <cp:lastModifiedBy>Pimperl, Mark</cp:lastModifiedBy>
  <cp:revision>57</cp:revision>
  <cp:lastPrinted>2017-05-31T02:21:00Z</cp:lastPrinted>
  <dcterms:created xsi:type="dcterms:W3CDTF">2017-05-24T04:42:00Z</dcterms:created>
  <dcterms:modified xsi:type="dcterms:W3CDTF">2017-06-14T22:52:00Z</dcterms:modified>
</cp:coreProperties>
</file>