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D03" w:rsidRPr="00EE086E" w:rsidRDefault="00A3361E" w:rsidP="008E35CB">
      <w:pPr>
        <w:pStyle w:val="Bodycopy"/>
        <w:spacing w:after="0"/>
        <w:rPr>
          <w:sz w:val="22"/>
          <w:szCs w:val="22"/>
        </w:rPr>
      </w:pPr>
      <w:r>
        <w:rPr>
          <w:sz w:val="22"/>
          <w:szCs w:val="22"/>
        </w:rPr>
        <w:t>1</w:t>
      </w:r>
      <w:r w:rsidR="00E47D8A">
        <w:rPr>
          <w:sz w:val="22"/>
          <w:szCs w:val="22"/>
        </w:rPr>
        <w:t>3</w:t>
      </w:r>
      <w:r>
        <w:rPr>
          <w:sz w:val="22"/>
          <w:szCs w:val="22"/>
        </w:rPr>
        <w:t xml:space="preserve"> July 2018</w:t>
      </w:r>
      <w:r w:rsidR="003A5151">
        <w:rPr>
          <w:sz w:val="22"/>
          <w:szCs w:val="22"/>
        </w:rPr>
        <w:t xml:space="preserve"> </w:t>
      </w:r>
    </w:p>
    <w:p w:rsidR="00793D03" w:rsidRPr="00EE086E" w:rsidRDefault="00793D03" w:rsidP="008E35CB">
      <w:pPr>
        <w:pStyle w:val="Bodycopy"/>
        <w:spacing w:after="0"/>
        <w:rPr>
          <w:sz w:val="22"/>
          <w:szCs w:val="22"/>
        </w:rPr>
      </w:pPr>
    </w:p>
    <w:p w:rsidR="00793D03" w:rsidRPr="00EE086E" w:rsidRDefault="00793D03" w:rsidP="008E35CB">
      <w:pPr>
        <w:pStyle w:val="Bodycopy"/>
        <w:spacing w:after="0"/>
        <w:rPr>
          <w:sz w:val="22"/>
          <w:szCs w:val="22"/>
        </w:rPr>
      </w:pPr>
    </w:p>
    <w:p w:rsidR="0001424E" w:rsidRPr="00EE086E" w:rsidRDefault="00D91E32" w:rsidP="008E35CB">
      <w:pPr>
        <w:pStyle w:val="Bodycopy"/>
        <w:spacing w:after="0"/>
        <w:rPr>
          <w:sz w:val="22"/>
          <w:szCs w:val="22"/>
        </w:rPr>
      </w:pPr>
      <w:r w:rsidRPr="00EE086E">
        <w:rPr>
          <w:sz w:val="22"/>
          <w:szCs w:val="22"/>
        </w:rPr>
        <w:t xml:space="preserve">By email: </w:t>
      </w:r>
      <w:r w:rsidR="0013776E">
        <w:rPr>
          <w:sz w:val="22"/>
          <w:szCs w:val="22"/>
        </w:rPr>
        <w:t>super@pc</w:t>
      </w:r>
      <w:r w:rsidRPr="00EE086E">
        <w:rPr>
          <w:sz w:val="22"/>
          <w:szCs w:val="22"/>
        </w:rPr>
        <w:t>.gov.au</w:t>
      </w:r>
    </w:p>
    <w:p w:rsidR="00D91E32" w:rsidRPr="00EE086E" w:rsidRDefault="00D91E32" w:rsidP="008E35CB">
      <w:pPr>
        <w:pStyle w:val="Bodycopy"/>
        <w:spacing w:after="0"/>
        <w:rPr>
          <w:sz w:val="22"/>
          <w:szCs w:val="22"/>
        </w:rPr>
      </w:pPr>
    </w:p>
    <w:p w:rsidR="00A54229" w:rsidRDefault="0013776E" w:rsidP="008E35CB">
      <w:pPr>
        <w:pStyle w:val="Bodycopy"/>
        <w:spacing w:after="0"/>
        <w:rPr>
          <w:sz w:val="22"/>
          <w:szCs w:val="22"/>
        </w:rPr>
      </w:pPr>
      <w:r>
        <w:rPr>
          <w:sz w:val="22"/>
          <w:szCs w:val="22"/>
        </w:rPr>
        <w:t>Ms Karen Chester</w:t>
      </w:r>
    </w:p>
    <w:p w:rsidR="0013776E" w:rsidRDefault="0013776E" w:rsidP="008E35CB">
      <w:pPr>
        <w:pStyle w:val="Bodycopy"/>
        <w:spacing w:after="0"/>
        <w:rPr>
          <w:sz w:val="22"/>
          <w:szCs w:val="22"/>
        </w:rPr>
      </w:pPr>
      <w:r>
        <w:rPr>
          <w:sz w:val="22"/>
          <w:szCs w:val="22"/>
        </w:rPr>
        <w:t>Deputy Chair</w:t>
      </w:r>
    </w:p>
    <w:p w:rsidR="0013776E" w:rsidRDefault="0013776E" w:rsidP="008E35CB">
      <w:pPr>
        <w:pStyle w:val="Bodycopy"/>
        <w:spacing w:after="0"/>
        <w:rPr>
          <w:sz w:val="22"/>
          <w:szCs w:val="22"/>
        </w:rPr>
      </w:pPr>
      <w:r>
        <w:rPr>
          <w:sz w:val="22"/>
          <w:szCs w:val="22"/>
        </w:rPr>
        <w:t>Productivity Commission</w:t>
      </w:r>
    </w:p>
    <w:p w:rsidR="00D91E32" w:rsidRPr="00EE086E" w:rsidRDefault="0013776E" w:rsidP="008E35CB">
      <w:pPr>
        <w:pStyle w:val="Bodycopy"/>
        <w:spacing w:after="0"/>
        <w:rPr>
          <w:rFonts w:asciiTheme="majorHAnsi" w:hAnsiTheme="majorHAnsi" w:cstheme="majorHAnsi"/>
          <w:sz w:val="22"/>
          <w:szCs w:val="22"/>
        </w:rPr>
      </w:pPr>
      <w:r>
        <w:rPr>
          <w:sz w:val="22"/>
          <w:szCs w:val="22"/>
        </w:rPr>
        <w:t>Canberra</w:t>
      </w:r>
      <w:r w:rsidR="00D91E32" w:rsidRPr="00EE086E">
        <w:rPr>
          <w:sz w:val="22"/>
          <w:szCs w:val="22"/>
        </w:rPr>
        <w:t xml:space="preserve"> ACT 2600</w:t>
      </w:r>
    </w:p>
    <w:p w:rsidR="008E35CB" w:rsidRPr="00EE086E" w:rsidRDefault="008E35CB" w:rsidP="0001424E">
      <w:pPr>
        <w:pStyle w:val="Bodycopy"/>
        <w:spacing w:afterLines="60" w:after="144" w:line="240" w:lineRule="auto"/>
        <w:rPr>
          <w:noProof/>
          <w:sz w:val="22"/>
          <w:szCs w:val="22"/>
        </w:rPr>
      </w:pPr>
    </w:p>
    <w:p w:rsidR="00793D03" w:rsidRPr="00EE086E" w:rsidRDefault="00793D03" w:rsidP="0001424E">
      <w:pPr>
        <w:pStyle w:val="Bodycopy"/>
        <w:spacing w:afterLines="60" w:after="144" w:line="240" w:lineRule="auto"/>
        <w:rPr>
          <w:noProof/>
          <w:sz w:val="22"/>
          <w:szCs w:val="22"/>
        </w:rPr>
      </w:pPr>
    </w:p>
    <w:p w:rsidR="00A54229" w:rsidRPr="00EE086E" w:rsidRDefault="00582FBA" w:rsidP="0001424E">
      <w:pPr>
        <w:pStyle w:val="Bodycopy"/>
        <w:spacing w:after="60" w:line="240" w:lineRule="auto"/>
        <w:rPr>
          <w:sz w:val="22"/>
          <w:szCs w:val="22"/>
        </w:rPr>
      </w:pPr>
      <w:r w:rsidRPr="00EE086E">
        <w:rPr>
          <w:sz w:val="22"/>
          <w:szCs w:val="22"/>
        </w:rPr>
        <w:t xml:space="preserve">Dear </w:t>
      </w:r>
      <w:r w:rsidR="00761376">
        <w:rPr>
          <w:sz w:val="22"/>
          <w:szCs w:val="22"/>
        </w:rPr>
        <w:t>Ms Chester</w:t>
      </w:r>
      <w:r w:rsidR="00CE5AE2" w:rsidRPr="00EE086E">
        <w:rPr>
          <w:sz w:val="22"/>
          <w:szCs w:val="22"/>
        </w:rPr>
        <w:t>,</w:t>
      </w:r>
    </w:p>
    <w:p w:rsidR="0001424E" w:rsidRPr="00EE086E" w:rsidRDefault="0001424E" w:rsidP="0001424E">
      <w:pPr>
        <w:pStyle w:val="BodycopyBold"/>
        <w:spacing w:after="60" w:line="240" w:lineRule="auto"/>
        <w:rPr>
          <w:sz w:val="22"/>
          <w:szCs w:val="22"/>
        </w:rPr>
      </w:pPr>
    </w:p>
    <w:p w:rsidR="00A54229" w:rsidRPr="00EE086E" w:rsidRDefault="00A54229" w:rsidP="0001424E">
      <w:pPr>
        <w:pStyle w:val="BodycopyBold"/>
        <w:spacing w:after="60" w:line="240" w:lineRule="auto"/>
        <w:rPr>
          <w:sz w:val="22"/>
          <w:szCs w:val="22"/>
        </w:rPr>
      </w:pPr>
      <w:r w:rsidRPr="00EE086E">
        <w:rPr>
          <w:sz w:val="22"/>
          <w:szCs w:val="22"/>
        </w:rPr>
        <w:t xml:space="preserve">Re: </w:t>
      </w:r>
      <w:r w:rsidR="00D91E32" w:rsidRPr="00EE086E">
        <w:rPr>
          <w:sz w:val="22"/>
          <w:szCs w:val="22"/>
        </w:rPr>
        <w:t xml:space="preserve">Inquiry into </w:t>
      </w:r>
      <w:r w:rsidR="0013776E">
        <w:rPr>
          <w:sz w:val="22"/>
          <w:szCs w:val="22"/>
        </w:rPr>
        <w:t xml:space="preserve">the Assessment of the Efficiency </w:t>
      </w:r>
      <w:r w:rsidR="004919CA">
        <w:rPr>
          <w:sz w:val="22"/>
          <w:szCs w:val="22"/>
        </w:rPr>
        <w:t xml:space="preserve">and Competitiveness </w:t>
      </w:r>
      <w:r w:rsidR="0013776E">
        <w:rPr>
          <w:sz w:val="22"/>
          <w:szCs w:val="22"/>
        </w:rPr>
        <w:t>of the Superannuation System</w:t>
      </w:r>
    </w:p>
    <w:p w:rsidR="0001424E" w:rsidRPr="00EE086E" w:rsidRDefault="0001424E" w:rsidP="0001424E">
      <w:pPr>
        <w:pStyle w:val="Bodycopy"/>
        <w:spacing w:after="60" w:line="240" w:lineRule="auto"/>
        <w:rPr>
          <w:sz w:val="22"/>
          <w:szCs w:val="22"/>
        </w:rPr>
      </w:pPr>
      <w:bookmarkStart w:id="0" w:name="LetterBody"/>
      <w:bookmarkEnd w:id="0"/>
    </w:p>
    <w:p w:rsidR="0058118F" w:rsidRDefault="00D91E32" w:rsidP="0001424E">
      <w:pPr>
        <w:pStyle w:val="Bodycopy"/>
        <w:spacing w:afterLines="60" w:after="144" w:line="240" w:lineRule="auto"/>
        <w:rPr>
          <w:sz w:val="22"/>
          <w:szCs w:val="22"/>
        </w:rPr>
      </w:pPr>
      <w:r w:rsidRPr="00EE086E">
        <w:rPr>
          <w:sz w:val="22"/>
          <w:szCs w:val="22"/>
        </w:rPr>
        <w:t xml:space="preserve">Thank you for the opportunity to make a submission to the </w:t>
      </w:r>
      <w:r w:rsidR="0013776E">
        <w:rPr>
          <w:sz w:val="22"/>
          <w:szCs w:val="22"/>
        </w:rPr>
        <w:t>Commission</w:t>
      </w:r>
      <w:r w:rsidR="00472130">
        <w:rPr>
          <w:sz w:val="22"/>
          <w:szCs w:val="22"/>
        </w:rPr>
        <w:t>’s inquiry</w:t>
      </w:r>
      <w:r w:rsidRPr="00EE086E">
        <w:rPr>
          <w:sz w:val="22"/>
          <w:szCs w:val="22"/>
        </w:rPr>
        <w:t xml:space="preserve"> into </w:t>
      </w:r>
      <w:r w:rsidR="0013776E">
        <w:rPr>
          <w:sz w:val="22"/>
          <w:szCs w:val="22"/>
        </w:rPr>
        <w:t>the competitiveness and efficiency of the Australian superannuation system</w:t>
      </w:r>
      <w:r w:rsidR="004919CA">
        <w:rPr>
          <w:sz w:val="22"/>
          <w:szCs w:val="22"/>
        </w:rPr>
        <w:t xml:space="preserve"> and your latest draft report dated April 2018</w:t>
      </w:r>
      <w:r w:rsidR="0013776E">
        <w:rPr>
          <w:sz w:val="22"/>
          <w:szCs w:val="22"/>
        </w:rPr>
        <w:t>.</w:t>
      </w:r>
      <w:r w:rsidRPr="00EE086E">
        <w:rPr>
          <w:sz w:val="22"/>
          <w:szCs w:val="22"/>
        </w:rPr>
        <w:t xml:space="preserve"> Deloitte </w:t>
      </w:r>
      <w:proofErr w:type="spellStart"/>
      <w:r w:rsidRPr="00EE086E">
        <w:rPr>
          <w:sz w:val="22"/>
          <w:szCs w:val="22"/>
        </w:rPr>
        <w:t>Touche</w:t>
      </w:r>
      <w:proofErr w:type="spellEnd"/>
      <w:r w:rsidRPr="00EE086E">
        <w:rPr>
          <w:sz w:val="22"/>
          <w:szCs w:val="22"/>
        </w:rPr>
        <w:t xml:space="preserve"> Tohmatsu (Deloitte) strongly supports any efforts being made by the </w:t>
      </w:r>
      <w:r w:rsidR="004F4593" w:rsidRPr="00EE086E">
        <w:rPr>
          <w:sz w:val="22"/>
          <w:szCs w:val="22"/>
        </w:rPr>
        <w:t xml:space="preserve">Government </w:t>
      </w:r>
      <w:r w:rsidR="00761376">
        <w:rPr>
          <w:sz w:val="22"/>
          <w:szCs w:val="22"/>
        </w:rPr>
        <w:t xml:space="preserve">and the Productivity Commission </w:t>
      </w:r>
      <w:r w:rsidR="004F4593" w:rsidRPr="00EE086E">
        <w:rPr>
          <w:sz w:val="22"/>
          <w:szCs w:val="22"/>
        </w:rPr>
        <w:t xml:space="preserve">to improve </w:t>
      </w:r>
      <w:r w:rsidR="0013776E">
        <w:rPr>
          <w:sz w:val="22"/>
          <w:szCs w:val="22"/>
        </w:rPr>
        <w:t>our superannuation system which will ultimately result in a higher level of confidence</w:t>
      </w:r>
      <w:r w:rsidR="00761376">
        <w:rPr>
          <w:sz w:val="22"/>
          <w:szCs w:val="22"/>
        </w:rPr>
        <w:t xml:space="preserve"> and outcome</w:t>
      </w:r>
      <w:r w:rsidR="0013776E">
        <w:rPr>
          <w:sz w:val="22"/>
          <w:szCs w:val="22"/>
        </w:rPr>
        <w:t xml:space="preserve"> for the 12 million </w:t>
      </w:r>
      <w:r w:rsidR="004F4593" w:rsidRPr="00EE086E">
        <w:rPr>
          <w:sz w:val="22"/>
          <w:szCs w:val="22"/>
        </w:rPr>
        <w:t xml:space="preserve">Australians </w:t>
      </w:r>
      <w:r w:rsidR="0013776E">
        <w:rPr>
          <w:sz w:val="22"/>
          <w:szCs w:val="22"/>
        </w:rPr>
        <w:t>who have accounts in the system.</w:t>
      </w:r>
    </w:p>
    <w:p w:rsidR="00761376" w:rsidRDefault="00761376" w:rsidP="0001424E">
      <w:pPr>
        <w:pStyle w:val="Bodycopy"/>
        <w:spacing w:afterLines="60" w:after="144" w:line="240" w:lineRule="auto"/>
        <w:rPr>
          <w:sz w:val="22"/>
          <w:szCs w:val="22"/>
        </w:rPr>
      </w:pPr>
      <w:r>
        <w:rPr>
          <w:sz w:val="22"/>
          <w:szCs w:val="22"/>
        </w:rPr>
        <w:t xml:space="preserve">Deloitte is a major provider of superannuation advisory services to employers and the trustees of </w:t>
      </w:r>
      <w:r w:rsidR="00472130">
        <w:rPr>
          <w:sz w:val="22"/>
          <w:szCs w:val="22"/>
        </w:rPr>
        <w:t>all forms of superannuation funds</w:t>
      </w:r>
      <w:r>
        <w:rPr>
          <w:sz w:val="22"/>
          <w:szCs w:val="22"/>
        </w:rPr>
        <w:t>. The services we provide that are relevant to this submission include:</w:t>
      </w:r>
    </w:p>
    <w:p w:rsidR="00761376" w:rsidRDefault="00761376" w:rsidP="00761376">
      <w:pPr>
        <w:pStyle w:val="Bodycopy"/>
        <w:numPr>
          <w:ilvl w:val="0"/>
          <w:numId w:val="36"/>
        </w:numPr>
        <w:spacing w:afterLines="60" w:after="144" w:line="240" w:lineRule="auto"/>
        <w:rPr>
          <w:sz w:val="22"/>
          <w:szCs w:val="22"/>
        </w:rPr>
      </w:pPr>
      <w:r>
        <w:rPr>
          <w:sz w:val="22"/>
          <w:szCs w:val="22"/>
        </w:rPr>
        <w:t>Benchmarking;</w:t>
      </w:r>
    </w:p>
    <w:p w:rsidR="00761376" w:rsidRDefault="00761376" w:rsidP="00761376">
      <w:pPr>
        <w:pStyle w:val="Bodycopy"/>
        <w:numPr>
          <w:ilvl w:val="0"/>
          <w:numId w:val="36"/>
        </w:numPr>
        <w:spacing w:afterLines="60" w:after="144" w:line="240" w:lineRule="auto"/>
        <w:rPr>
          <w:sz w:val="22"/>
          <w:szCs w:val="22"/>
        </w:rPr>
      </w:pPr>
      <w:r>
        <w:rPr>
          <w:sz w:val="22"/>
          <w:szCs w:val="22"/>
        </w:rPr>
        <w:t>Administration</w:t>
      </w:r>
      <w:r w:rsidR="000566C7">
        <w:rPr>
          <w:sz w:val="22"/>
          <w:szCs w:val="22"/>
        </w:rPr>
        <w:t>, asset consultant and insurance</w:t>
      </w:r>
      <w:r>
        <w:rPr>
          <w:sz w:val="22"/>
          <w:szCs w:val="22"/>
        </w:rPr>
        <w:t xml:space="preserve"> </w:t>
      </w:r>
      <w:r w:rsidR="000566C7">
        <w:rPr>
          <w:sz w:val="22"/>
          <w:szCs w:val="22"/>
        </w:rPr>
        <w:t>reviews; and</w:t>
      </w:r>
    </w:p>
    <w:p w:rsidR="000566C7" w:rsidRDefault="000566C7" w:rsidP="00761376">
      <w:pPr>
        <w:pStyle w:val="Bodycopy"/>
        <w:numPr>
          <w:ilvl w:val="0"/>
          <w:numId w:val="36"/>
        </w:numPr>
        <w:spacing w:afterLines="60" w:after="144" w:line="240" w:lineRule="auto"/>
        <w:rPr>
          <w:sz w:val="22"/>
          <w:szCs w:val="22"/>
        </w:rPr>
      </w:pPr>
      <w:r>
        <w:rPr>
          <w:sz w:val="22"/>
          <w:szCs w:val="22"/>
        </w:rPr>
        <w:t>Tender management including default fund selection for employers.</w:t>
      </w:r>
    </w:p>
    <w:p w:rsidR="000566C7" w:rsidRDefault="000566C7" w:rsidP="000566C7">
      <w:pPr>
        <w:pStyle w:val="Bodycopy"/>
        <w:spacing w:afterLines="60" w:after="144" w:line="240" w:lineRule="auto"/>
        <w:rPr>
          <w:sz w:val="22"/>
          <w:szCs w:val="22"/>
        </w:rPr>
      </w:pPr>
      <w:r>
        <w:rPr>
          <w:sz w:val="22"/>
          <w:szCs w:val="22"/>
        </w:rPr>
        <w:t xml:space="preserve">We believe the work we carry out in these areas places us in a unique position to comment on market </w:t>
      </w:r>
      <w:proofErr w:type="gramStart"/>
      <w:r>
        <w:rPr>
          <w:sz w:val="22"/>
          <w:szCs w:val="22"/>
        </w:rPr>
        <w:t>competitive</w:t>
      </w:r>
      <w:r w:rsidR="00472130">
        <w:rPr>
          <w:sz w:val="22"/>
          <w:szCs w:val="22"/>
        </w:rPr>
        <w:t>ness</w:t>
      </w:r>
      <w:proofErr w:type="gramEnd"/>
      <w:r>
        <w:rPr>
          <w:sz w:val="22"/>
          <w:szCs w:val="22"/>
        </w:rPr>
        <w:t xml:space="preserve"> from an unbiased perspective.</w:t>
      </w:r>
    </w:p>
    <w:p w:rsidR="0013776E" w:rsidRDefault="0013776E" w:rsidP="0001424E">
      <w:pPr>
        <w:pStyle w:val="Bodycopy"/>
        <w:spacing w:afterLines="60" w:after="144" w:line="240" w:lineRule="auto"/>
        <w:rPr>
          <w:sz w:val="22"/>
          <w:szCs w:val="22"/>
        </w:rPr>
      </w:pPr>
      <w:r>
        <w:rPr>
          <w:sz w:val="22"/>
          <w:szCs w:val="22"/>
        </w:rPr>
        <w:t>In this submission we particularly want to comment on the competitiveness of the system and whether:</w:t>
      </w:r>
    </w:p>
    <w:p w:rsidR="0013776E" w:rsidRDefault="0013776E" w:rsidP="0013776E">
      <w:pPr>
        <w:pStyle w:val="Bodycopy"/>
        <w:numPr>
          <w:ilvl w:val="0"/>
          <w:numId w:val="33"/>
        </w:numPr>
        <w:spacing w:afterLines="60" w:after="144" w:line="240" w:lineRule="auto"/>
        <w:rPr>
          <w:sz w:val="22"/>
          <w:szCs w:val="22"/>
        </w:rPr>
      </w:pPr>
      <w:r>
        <w:rPr>
          <w:sz w:val="22"/>
          <w:szCs w:val="22"/>
        </w:rPr>
        <w:t>That level of competitiveness produces better superannuation outcomes for the members of funds; and</w:t>
      </w:r>
    </w:p>
    <w:p w:rsidR="00EF3878" w:rsidRPr="00EE086E" w:rsidRDefault="0013776E" w:rsidP="0013776E">
      <w:pPr>
        <w:pStyle w:val="Bodycopy"/>
        <w:numPr>
          <w:ilvl w:val="0"/>
          <w:numId w:val="33"/>
        </w:numPr>
        <w:spacing w:afterLines="60" w:after="144" w:line="240" w:lineRule="auto"/>
        <w:rPr>
          <w:sz w:val="22"/>
          <w:szCs w:val="22"/>
        </w:rPr>
      </w:pPr>
      <w:r>
        <w:rPr>
          <w:sz w:val="22"/>
          <w:szCs w:val="22"/>
        </w:rPr>
        <w:t>There are barriers to competitiveness that reduce the efficiency of the system.</w:t>
      </w:r>
      <w:r w:rsidR="00EF3878">
        <w:rPr>
          <w:sz w:val="22"/>
          <w:szCs w:val="22"/>
        </w:rPr>
        <w:t xml:space="preserve">   </w:t>
      </w:r>
    </w:p>
    <w:p w:rsidR="0069128A" w:rsidRDefault="0069128A" w:rsidP="0001424E">
      <w:pPr>
        <w:pStyle w:val="Bodycopy"/>
        <w:spacing w:afterLines="60" w:after="144" w:line="240" w:lineRule="auto"/>
        <w:rPr>
          <w:sz w:val="22"/>
          <w:szCs w:val="22"/>
        </w:rPr>
      </w:pPr>
      <w:r>
        <w:rPr>
          <w:sz w:val="22"/>
          <w:szCs w:val="22"/>
        </w:rPr>
        <w:t xml:space="preserve">Deloitte supports the introduction of the member outcome test by the Government and APRA. We believe that the best superannuation outcomes for members cannot simply be measured by the </w:t>
      </w:r>
      <w:proofErr w:type="spellStart"/>
      <w:r>
        <w:rPr>
          <w:sz w:val="22"/>
          <w:szCs w:val="22"/>
        </w:rPr>
        <w:t>MySuper</w:t>
      </w:r>
      <w:proofErr w:type="spellEnd"/>
      <w:r>
        <w:rPr>
          <w:sz w:val="22"/>
          <w:szCs w:val="22"/>
        </w:rPr>
        <w:t xml:space="preserve"> or balanced option investment returns but rather by a series of criteria including investments but also fees, insurance</w:t>
      </w:r>
      <w:r w:rsidR="00C55D03">
        <w:rPr>
          <w:sz w:val="22"/>
          <w:szCs w:val="22"/>
        </w:rPr>
        <w:t>,</w:t>
      </w:r>
      <w:r>
        <w:rPr>
          <w:sz w:val="22"/>
          <w:szCs w:val="22"/>
        </w:rPr>
        <w:t xml:space="preserve"> member engagement and services provided to name a few. </w:t>
      </w:r>
    </w:p>
    <w:p w:rsidR="0069128A" w:rsidRDefault="0069128A" w:rsidP="0001424E">
      <w:pPr>
        <w:pStyle w:val="Bodycopy"/>
        <w:spacing w:afterLines="60" w:after="144" w:line="240" w:lineRule="auto"/>
        <w:rPr>
          <w:sz w:val="22"/>
          <w:szCs w:val="22"/>
        </w:rPr>
      </w:pPr>
      <w:r>
        <w:rPr>
          <w:sz w:val="22"/>
          <w:szCs w:val="22"/>
        </w:rPr>
        <w:t xml:space="preserve">As I’m sure you can appreciate these criteria can change significantly over a reasonably short period of time due to both market conditions and the actions of trustees. During the GFC we saw funds, over a period of less than six months, go from first to fourth quartiles on the various league tables due to their underlying investments, especially in illiquid assets. </w:t>
      </w:r>
    </w:p>
    <w:p w:rsidR="00407513" w:rsidRDefault="0069128A" w:rsidP="0001424E">
      <w:pPr>
        <w:pStyle w:val="Bodycopy"/>
        <w:spacing w:afterLines="60" w:after="144" w:line="240" w:lineRule="auto"/>
        <w:rPr>
          <w:sz w:val="22"/>
          <w:szCs w:val="22"/>
        </w:rPr>
      </w:pPr>
      <w:r>
        <w:rPr>
          <w:sz w:val="22"/>
          <w:szCs w:val="22"/>
        </w:rPr>
        <w:t>In Draft Recommendation 2 - “Best in Show”</w:t>
      </w:r>
      <w:r w:rsidR="00407513">
        <w:rPr>
          <w:sz w:val="22"/>
          <w:szCs w:val="22"/>
        </w:rPr>
        <w:t xml:space="preserve"> Shortlist for New Members</w:t>
      </w:r>
      <w:r w:rsidR="00C55D03">
        <w:rPr>
          <w:sz w:val="22"/>
          <w:szCs w:val="22"/>
        </w:rPr>
        <w:t>,</w:t>
      </w:r>
      <w:r w:rsidR="00407513">
        <w:rPr>
          <w:sz w:val="22"/>
          <w:szCs w:val="22"/>
        </w:rPr>
        <w:t xml:space="preserve"> the Productivity Commission has recommended a shortlist of up to 10 superannuation products should be presented to all members who are new to the workforce. As the recommendation sta</w:t>
      </w:r>
      <w:r w:rsidR="0066371D">
        <w:rPr>
          <w:sz w:val="22"/>
          <w:szCs w:val="22"/>
        </w:rPr>
        <w:t>t</w:t>
      </w:r>
      <w:r w:rsidR="00407513">
        <w:rPr>
          <w:sz w:val="22"/>
          <w:szCs w:val="22"/>
        </w:rPr>
        <w:t xml:space="preserve">es, members would not be prevented from choosing </w:t>
      </w:r>
      <w:r w:rsidR="00407513">
        <w:rPr>
          <w:sz w:val="22"/>
          <w:szCs w:val="22"/>
        </w:rPr>
        <w:lastRenderedPageBreak/>
        <w:t>another fund however it is reasonable to assume, based on the experience to date with default funds, that the overwhelming majority of members would choose one of these 10 funds.</w:t>
      </w:r>
    </w:p>
    <w:p w:rsidR="00407513" w:rsidRDefault="00407513" w:rsidP="0001424E">
      <w:pPr>
        <w:pStyle w:val="Bodycopy"/>
        <w:spacing w:afterLines="60" w:after="144" w:line="240" w:lineRule="auto"/>
        <w:rPr>
          <w:sz w:val="22"/>
          <w:szCs w:val="22"/>
        </w:rPr>
      </w:pPr>
      <w:r>
        <w:rPr>
          <w:sz w:val="22"/>
          <w:szCs w:val="22"/>
        </w:rPr>
        <w:t>At Deloitte we are concerned with two aspects of this:</w:t>
      </w:r>
    </w:p>
    <w:p w:rsidR="00CA31DD" w:rsidRDefault="00407513" w:rsidP="00B03D2C">
      <w:pPr>
        <w:pStyle w:val="Bodycopy"/>
        <w:numPr>
          <w:ilvl w:val="0"/>
          <w:numId w:val="37"/>
        </w:numPr>
        <w:spacing w:afterLines="60" w:after="144" w:line="240" w:lineRule="auto"/>
        <w:rPr>
          <w:sz w:val="22"/>
          <w:szCs w:val="22"/>
        </w:rPr>
      </w:pPr>
      <w:r>
        <w:rPr>
          <w:sz w:val="22"/>
          <w:szCs w:val="22"/>
        </w:rPr>
        <w:t>Firstly, the need to have a shortlist of 10 funds. At a peak there were over 4,500 funds in Australia. Today as a result of competitive pressures and the licencing regimes of APRA and ASIC we have less than 120 funds. Even in the past wee</w:t>
      </w:r>
      <w:r w:rsidR="00C55D03">
        <w:rPr>
          <w:sz w:val="22"/>
          <w:szCs w:val="22"/>
        </w:rPr>
        <w:t>k</w:t>
      </w:r>
      <w:r>
        <w:rPr>
          <w:sz w:val="22"/>
          <w:szCs w:val="22"/>
        </w:rPr>
        <w:t xml:space="preserve"> two smaller industry funds, </w:t>
      </w:r>
      <w:proofErr w:type="spellStart"/>
      <w:r>
        <w:rPr>
          <w:sz w:val="22"/>
          <w:szCs w:val="22"/>
        </w:rPr>
        <w:t>AustSafe</w:t>
      </w:r>
      <w:proofErr w:type="spellEnd"/>
      <w:r>
        <w:rPr>
          <w:sz w:val="22"/>
          <w:szCs w:val="22"/>
        </w:rPr>
        <w:t xml:space="preserve"> and Combined, have announced their intentions of merging with larger funds.</w:t>
      </w:r>
      <w:r w:rsidR="00CA31DD">
        <w:rPr>
          <w:sz w:val="22"/>
          <w:szCs w:val="22"/>
        </w:rPr>
        <w:t xml:space="preserve"> T</w:t>
      </w:r>
      <w:r>
        <w:rPr>
          <w:sz w:val="22"/>
          <w:szCs w:val="22"/>
        </w:rPr>
        <w:t xml:space="preserve">he reasons </w:t>
      </w:r>
      <w:r w:rsidR="00CA31DD">
        <w:rPr>
          <w:sz w:val="22"/>
          <w:szCs w:val="22"/>
        </w:rPr>
        <w:t xml:space="preserve">for these mergers are not relevant </w:t>
      </w:r>
      <w:r w:rsidR="00C55D03">
        <w:rPr>
          <w:sz w:val="22"/>
          <w:szCs w:val="22"/>
        </w:rPr>
        <w:t>bu</w:t>
      </w:r>
      <w:r w:rsidR="00CA31DD">
        <w:rPr>
          <w:sz w:val="22"/>
          <w:szCs w:val="22"/>
        </w:rPr>
        <w:t xml:space="preserve">t it is clear that the superannuation industry continues to rationalise as smaller funds find it increasingly difficult to meet with the regulatory and licencing requirements. APRA, in particular, set the standard with the </w:t>
      </w:r>
      <w:proofErr w:type="spellStart"/>
      <w:r w:rsidR="00CA31DD">
        <w:rPr>
          <w:sz w:val="22"/>
          <w:szCs w:val="22"/>
        </w:rPr>
        <w:t>MySuper</w:t>
      </w:r>
      <w:proofErr w:type="spellEnd"/>
      <w:r w:rsidR="00CA31DD">
        <w:rPr>
          <w:sz w:val="22"/>
          <w:szCs w:val="22"/>
        </w:rPr>
        <w:t xml:space="preserve"> licences and it is this standard which we believe is most appropriate in determining whether funds should be allowed to be default funds. If there is a belief that “the bar has not been set high enough” then we suggest that APRA be asked to apply </w:t>
      </w:r>
      <w:r w:rsidR="00F5266D">
        <w:rPr>
          <w:sz w:val="22"/>
          <w:szCs w:val="22"/>
        </w:rPr>
        <w:t>stricter</w:t>
      </w:r>
      <w:r w:rsidR="00CA31DD">
        <w:rPr>
          <w:sz w:val="22"/>
          <w:szCs w:val="22"/>
        </w:rPr>
        <w:t xml:space="preserve"> and stringent stand</w:t>
      </w:r>
      <w:r w:rsidR="008C6747">
        <w:rPr>
          <w:sz w:val="22"/>
          <w:szCs w:val="22"/>
        </w:rPr>
        <w:t>a</w:t>
      </w:r>
      <w:r w:rsidR="00CA31DD">
        <w:rPr>
          <w:sz w:val="22"/>
          <w:szCs w:val="22"/>
        </w:rPr>
        <w:t>rds to the funds they supervise. This, we believe, is a more effective way of monitoring the industry and acting in members’ best interests than determining a “top 10” list which has the potential to both become quickly dated and determined on criteria that are too narrow.</w:t>
      </w:r>
    </w:p>
    <w:p w:rsidR="002946D2" w:rsidRDefault="00CA31DD" w:rsidP="00B03D2C">
      <w:pPr>
        <w:pStyle w:val="Bodycopy"/>
        <w:numPr>
          <w:ilvl w:val="0"/>
          <w:numId w:val="37"/>
        </w:numPr>
        <w:spacing w:afterLines="60" w:after="144" w:line="240" w:lineRule="auto"/>
        <w:rPr>
          <w:sz w:val="22"/>
          <w:szCs w:val="22"/>
        </w:rPr>
      </w:pPr>
      <w:r>
        <w:rPr>
          <w:sz w:val="22"/>
          <w:szCs w:val="22"/>
        </w:rPr>
        <w:t xml:space="preserve">Secondly, a shortlist of 10 funds has the strong potential, in our view, of promoting an uncompetitive market with those funds selected having an almost guaranteed </w:t>
      </w:r>
      <w:r w:rsidR="0025498F">
        <w:rPr>
          <w:sz w:val="22"/>
          <w:szCs w:val="22"/>
        </w:rPr>
        <w:t xml:space="preserve">growth and source of new members while those funds not selected for the </w:t>
      </w:r>
      <w:r w:rsidR="00BF3D3A">
        <w:rPr>
          <w:sz w:val="22"/>
          <w:szCs w:val="22"/>
        </w:rPr>
        <w:t xml:space="preserve">top 10 will face growth pressures that means they will struggle to remain competitive over time. </w:t>
      </w:r>
      <w:r w:rsidR="008C6747">
        <w:rPr>
          <w:sz w:val="22"/>
          <w:szCs w:val="22"/>
        </w:rPr>
        <w:t xml:space="preserve">As they will struggle to remain competitive, it will be difficult for them to supplant any of the initially chosen “top ten”. </w:t>
      </w:r>
      <w:r w:rsidR="00BF3D3A">
        <w:rPr>
          <w:sz w:val="22"/>
          <w:szCs w:val="22"/>
        </w:rPr>
        <w:t xml:space="preserve">Thus, in our view, rather than promoting a competitive superannuation system the proposal has the highly likely result of a concentrated and less competitive system. </w:t>
      </w:r>
      <w:r>
        <w:rPr>
          <w:sz w:val="22"/>
          <w:szCs w:val="22"/>
        </w:rPr>
        <w:t xml:space="preserve">  </w:t>
      </w:r>
    </w:p>
    <w:p w:rsidR="002946D2" w:rsidRDefault="00F5266D" w:rsidP="0001424E">
      <w:pPr>
        <w:pStyle w:val="Bodycopy"/>
        <w:spacing w:afterLines="60" w:after="144" w:line="240" w:lineRule="auto"/>
        <w:rPr>
          <w:sz w:val="22"/>
          <w:szCs w:val="22"/>
        </w:rPr>
      </w:pPr>
      <w:r>
        <w:rPr>
          <w:sz w:val="22"/>
          <w:szCs w:val="22"/>
        </w:rPr>
        <w:t>Therefore,</w:t>
      </w:r>
      <w:r w:rsidR="002946D2">
        <w:rPr>
          <w:sz w:val="22"/>
          <w:szCs w:val="22"/>
        </w:rPr>
        <w:t xml:space="preserve"> while we support the proposition that under-performing funds, if defined in an objective manner, are not offered as default funds we believe that market pressure, together with the powers available to APRA to limit those funds that hold a </w:t>
      </w:r>
      <w:proofErr w:type="spellStart"/>
      <w:r w:rsidR="002946D2">
        <w:rPr>
          <w:sz w:val="22"/>
          <w:szCs w:val="22"/>
        </w:rPr>
        <w:t>MySuper</w:t>
      </w:r>
      <w:proofErr w:type="spellEnd"/>
      <w:r w:rsidR="002946D2">
        <w:rPr>
          <w:sz w:val="22"/>
          <w:szCs w:val="22"/>
        </w:rPr>
        <w:t xml:space="preserve"> licence, will result in a better outcome for funds members than simply limiting the number of funds that can be offered.</w:t>
      </w:r>
    </w:p>
    <w:p w:rsidR="002946D2" w:rsidRDefault="002946D2" w:rsidP="0001424E">
      <w:pPr>
        <w:pStyle w:val="Bodycopy"/>
        <w:spacing w:afterLines="60" w:after="144" w:line="240" w:lineRule="auto"/>
        <w:rPr>
          <w:sz w:val="22"/>
          <w:szCs w:val="22"/>
        </w:rPr>
      </w:pPr>
      <w:r>
        <w:rPr>
          <w:sz w:val="22"/>
          <w:szCs w:val="22"/>
        </w:rPr>
        <w:t>Deloitte does not believe that there is a need for an Independent Review of Insurance in Superannuation as proposed in Draft Recommendation 19</w:t>
      </w:r>
      <w:r w:rsidR="00B46695">
        <w:rPr>
          <w:sz w:val="22"/>
          <w:szCs w:val="22"/>
        </w:rPr>
        <w:t xml:space="preserve"> provided the industry has satisfactorily demonstrated that it is acting in the best interest of members. </w:t>
      </w:r>
      <w:r>
        <w:rPr>
          <w:sz w:val="22"/>
          <w:szCs w:val="22"/>
        </w:rPr>
        <w:t>From a personal perspective I have seen a significant number of members and beneficiaries assisted financially, over my 36 years of superannuation industry experience</w:t>
      </w:r>
      <w:r w:rsidR="00CE0ABB">
        <w:rPr>
          <w:sz w:val="22"/>
          <w:szCs w:val="22"/>
        </w:rPr>
        <w:t xml:space="preserve">. Many of these would </w:t>
      </w:r>
      <w:r>
        <w:rPr>
          <w:sz w:val="22"/>
          <w:szCs w:val="22"/>
        </w:rPr>
        <w:t>not have had any insurance cover</w:t>
      </w:r>
      <w:r w:rsidR="00CE0ABB">
        <w:rPr>
          <w:sz w:val="22"/>
          <w:szCs w:val="22"/>
        </w:rPr>
        <w:t>, had it not been for the “opt-out default cover” regime</w:t>
      </w:r>
      <w:r>
        <w:rPr>
          <w:sz w:val="22"/>
          <w:szCs w:val="22"/>
        </w:rPr>
        <w:t>.</w:t>
      </w:r>
      <w:r w:rsidR="00B46695">
        <w:rPr>
          <w:sz w:val="22"/>
          <w:szCs w:val="22"/>
        </w:rPr>
        <w:t xml:space="preserve"> These arrangements have been put in by funds because they have determined there is a need to be met and that, for the overwhelming majority of members, it is in their best interests to have death and disability insurance coverage.</w:t>
      </w:r>
    </w:p>
    <w:p w:rsidR="005C5407" w:rsidRDefault="002946D2" w:rsidP="0001424E">
      <w:pPr>
        <w:pStyle w:val="Bodycopy"/>
        <w:spacing w:afterLines="60" w:after="144" w:line="240" w:lineRule="auto"/>
        <w:rPr>
          <w:sz w:val="22"/>
          <w:szCs w:val="22"/>
        </w:rPr>
      </w:pPr>
      <w:r>
        <w:rPr>
          <w:sz w:val="22"/>
          <w:szCs w:val="22"/>
        </w:rPr>
        <w:t xml:space="preserve">Prior to the introduction of award superannuation in the late 1980s and the introduction of the </w:t>
      </w:r>
      <w:r w:rsidR="005C5407">
        <w:rPr>
          <w:sz w:val="22"/>
          <w:szCs w:val="22"/>
        </w:rPr>
        <w:t>S</w:t>
      </w:r>
      <w:r>
        <w:rPr>
          <w:sz w:val="22"/>
          <w:szCs w:val="22"/>
        </w:rPr>
        <w:t>uperannuation Guarantee in 1991</w:t>
      </w:r>
      <w:r w:rsidR="005C5407">
        <w:rPr>
          <w:sz w:val="22"/>
          <w:szCs w:val="22"/>
        </w:rPr>
        <w:t xml:space="preserve"> many employees, especially those in blue collar industries, casuals and the lower paid, had no insurance coverage in the event of death or disability. The small number who did were often sold high cost (as a result of high commissions) and inappropriate insurance. The</w:t>
      </w:r>
      <w:r w:rsidR="00200FCC">
        <w:rPr>
          <w:sz w:val="22"/>
          <w:szCs w:val="22"/>
        </w:rPr>
        <w:t xml:space="preserve"> advent of</w:t>
      </w:r>
      <w:r w:rsidR="005C5407">
        <w:rPr>
          <w:sz w:val="22"/>
          <w:szCs w:val="22"/>
        </w:rPr>
        <w:t xml:space="preserve"> Award Super and </w:t>
      </w:r>
      <w:r w:rsidR="00200FCC">
        <w:rPr>
          <w:sz w:val="22"/>
          <w:szCs w:val="22"/>
        </w:rPr>
        <w:t xml:space="preserve">the Superannuation </w:t>
      </w:r>
      <w:r w:rsidR="00F5266D">
        <w:rPr>
          <w:sz w:val="22"/>
          <w:szCs w:val="22"/>
        </w:rPr>
        <w:t>Guarantee extended</w:t>
      </w:r>
      <w:r w:rsidR="00200FCC">
        <w:rPr>
          <w:sz w:val="22"/>
          <w:szCs w:val="22"/>
        </w:rPr>
        <w:t xml:space="preserve"> compulsory superannuation</w:t>
      </w:r>
      <w:r w:rsidR="005C5407">
        <w:rPr>
          <w:sz w:val="22"/>
          <w:szCs w:val="22"/>
        </w:rPr>
        <w:t>, and death and disability insurance,</w:t>
      </w:r>
      <w:r w:rsidR="00200FCC">
        <w:rPr>
          <w:sz w:val="22"/>
          <w:szCs w:val="22"/>
        </w:rPr>
        <w:t xml:space="preserve"> to the vast majority of employees</w:t>
      </w:r>
      <w:r w:rsidR="005C5407">
        <w:rPr>
          <w:sz w:val="22"/>
          <w:szCs w:val="22"/>
        </w:rPr>
        <w:t>. While there has been some criticism of insurance in superannuation (and in many cases exaggerated by the media without</w:t>
      </w:r>
      <w:r w:rsidR="00CE0ABB">
        <w:rPr>
          <w:sz w:val="22"/>
          <w:szCs w:val="22"/>
        </w:rPr>
        <w:t xml:space="preserve"> taking account of</w:t>
      </w:r>
      <w:r w:rsidR="005C5407">
        <w:rPr>
          <w:sz w:val="22"/>
          <w:szCs w:val="22"/>
        </w:rPr>
        <w:t xml:space="preserve"> all the facts) there is no question that a significant number of fund members</w:t>
      </w:r>
      <w:r w:rsidR="00B46695">
        <w:rPr>
          <w:sz w:val="22"/>
          <w:szCs w:val="22"/>
        </w:rPr>
        <w:t xml:space="preserve">, based on APRA statistics, </w:t>
      </w:r>
      <w:r w:rsidR="005C5407">
        <w:rPr>
          <w:sz w:val="22"/>
          <w:szCs w:val="22"/>
        </w:rPr>
        <w:t>have benefitted from insurance existing within superannuation funds.</w:t>
      </w:r>
      <w:r w:rsidR="00B46695">
        <w:rPr>
          <w:sz w:val="22"/>
          <w:szCs w:val="22"/>
        </w:rPr>
        <w:t xml:space="preserve"> </w:t>
      </w:r>
    </w:p>
    <w:p w:rsidR="00B46695" w:rsidRDefault="005C5407" w:rsidP="0001424E">
      <w:pPr>
        <w:pStyle w:val="Bodycopy"/>
        <w:spacing w:afterLines="60" w:after="144" w:line="240" w:lineRule="auto"/>
        <w:rPr>
          <w:sz w:val="22"/>
          <w:szCs w:val="22"/>
        </w:rPr>
      </w:pPr>
      <w:r>
        <w:rPr>
          <w:sz w:val="22"/>
          <w:szCs w:val="22"/>
        </w:rPr>
        <w:t xml:space="preserve">With the exception of defined benefit arrangements every fund that we are aware of gives members the opportunity to reduce the level of their insurance cover or opt out completely. </w:t>
      </w:r>
      <w:r w:rsidR="00200FCC">
        <w:rPr>
          <w:sz w:val="22"/>
          <w:szCs w:val="22"/>
        </w:rPr>
        <w:t xml:space="preserve"> </w:t>
      </w:r>
      <w:r w:rsidR="003A75DC">
        <w:rPr>
          <w:sz w:val="22"/>
          <w:szCs w:val="22"/>
        </w:rPr>
        <w:t xml:space="preserve">Moving to a system that requires members to “opt in” will result in far more confusion than exists in the current system and will guarantee that, inadvertently, there will be many fund members who will remain uninsured or under-insured. </w:t>
      </w:r>
      <w:r w:rsidR="003A75DC">
        <w:rPr>
          <w:sz w:val="22"/>
          <w:szCs w:val="22"/>
        </w:rPr>
        <w:lastRenderedPageBreak/>
        <w:t>From a social policy perspective</w:t>
      </w:r>
      <w:r w:rsidR="00CE0ABB">
        <w:rPr>
          <w:sz w:val="22"/>
          <w:szCs w:val="22"/>
        </w:rPr>
        <w:t>,</w:t>
      </w:r>
      <w:r w:rsidR="003A75DC">
        <w:rPr>
          <w:sz w:val="22"/>
          <w:szCs w:val="22"/>
        </w:rPr>
        <w:t xml:space="preserve"> we believe this is not a desirable outcome. For this reason</w:t>
      </w:r>
      <w:r w:rsidR="00CE0ABB">
        <w:rPr>
          <w:sz w:val="22"/>
          <w:szCs w:val="22"/>
        </w:rPr>
        <w:t>,</w:t>
      </w:r>
      <w:r w:rsidR="003A75DC">
        <w:rPr>
          <w:sz w:val="22"/>
          <w:szCs w:val="22"/>
        </w:rPr>
        <w:t xml:space="preserve"> we suggest that the current basis, subject to the Government’s proposed </w:t>
      </w:r>
      <w:r w:rsidR="00CE0ABB">
        <w:rPr>
          <w:sz w:val="22"/>
          <w:szCs w:val="22"/>
        </w:rPr>
        <w:t>changes</w:t>
      </w:r>
      <w:r w:rsidR="003A75DC">
        <w:rPr>
          <w:sz w:val="22"/>
          <w:szCs w:val="22"/>
        </w:rPr>
        <w:t xml:space="preserve"> for under 25s and small account holders, should be maintained.</w:t>
      </w:r>
      <w:r w:rsidR="00B46695">
        <w:rPr>
          <w:sz w:val="22"/>
          <w:szCs w:val="22"/>
        </w:rPr>
        <w:t xml:space="preserve"> </w:t>
      </w:r>
    </w:p>
    <w:p w:rsidR="00E47D8A" w:rsidRDefault="00B46695" w:rsidP="0001424E">
      <w:pPr>
        <w:pStyle w:val="Bodycopy"/>
        <w:spacing w:afterLines="60" w:after="144" w:line="240" w:lineRule="auto"/>
        <w:rPr>
          <w:sz w:val="22"/>
          <w:szCs w:val="22"/>
        </w:rPr>
      </w:pPr>
      <w:r>
        <w:rPr>
          <w:sz w:val="22"/>
          <w:szCs w:val="22"/>
        </w:rPr>
        <w:t xml:space="preserve">Deloitte does supports, however, the need for better disclosure to members. We understand that there has been criticism by member advocates that many members do not understand the complexities of insurance coverage within superannuation and therefore we support the need for clearer and more concise definitions of terms like “own occupation”, “totally and permanently disabled” and pre-existing conditions” so that members can better consider their personal circumstances and determine whether the insurance cover is appropriate for them. Likewise, if they decide to “opt out” or reduce their cover </w:t>
      </w:r>
      <w:r w:rsidR="00E47D8A">
        <w:rPr>
          <w:sz w:val="22"/>
          <w:szCs w:val="22"/>
        </w:rPr>
        <w:t>it needs to be made administratively simply so they are able to carry out their decision and are not put off by the complexities of the process.</w:t>
      </w:r>
    </w:p>
    <w:p w:rsidR="003A75DC" w:rsidRDefault="00E47D8A" w:rsidP="0001424E">
      <w:pPr>
        <w:pStyle w:val="Bodycopy"/>
        <w:spacing w:afterLines="60" w:after="144" w:line="240" w:lineRule="auto"/>
        <w:rPr>
          <w:sz w:val="22"/>
          <w:szCs w:val="22"/>
        </w:rPr>
      </w:pPr>
      <w:r>
        <w:rPr>
          <w:sz w:val="22"/>
          <w:szCs w:val="22"/>
        </w:rPr>
        <w:t>In our view, if the regulators are satisfied that the trustees of funds have insurance arrangements in place that are understandable and in the best interests of members then we do not believe there is the need for a review of insurance within superannuation.</w:t>
      </w:r>
      <w:r w:rsidR="00B46695">
        <w:rPr>
          <w:sz w:val="22"/>
          <w:szCs w:val="22"/>
        </w:rPr>
        <w:t xml:space="preserve"> </w:t>
      </w:r>
    </w:p>
    <w:p w:rsidR="00EE086E" w:rsidRPr="00EE086E" w:rsidRDefault="00EE086E" w:rsidP="00B44AE6">
      <w:pPr>
        <w:pStyle w:val="Bodycopy"/>
        <w:spacing w:afterLines="60" w:after="144" w:line="240" w:lineRule="auto"/>
        <w:rPr>
          <w:sz w:val="22"/>
          <w:szCs w:val="22"/>
        </w:rPr>
      </w:pPr>
      <w:r>
        <w:rPr>
          <w:sz w:val="22"/>
          <w:szCs w:val="22"/>
        </w:rPr>
        <w:t xml:space="preserve">In summary we strongly support the </w:t>
      </w:r>
      <w:r w:rsidR="00EF3878">
        <w:rPr>
          <w:sz w:val="22"/>
          <w:szCs w:val="22"/>
        </w:rPr>
        <w:t xml:space="preserve">concept of </w:t>
      </w:r>
      <w:r w:rsidR="00761376">
        <w:rPr>
          <w:sz w:val="22"/>
          <w:szCs w:val="22"/>
        </w:rPr>
        <w:t>a competitive</w:t>
      </w:r>
      <w:r w:rsidR="003A75DC">
        <w:rPr>
          <w:sz w:val="22"/>
          <w:szCs w:val="22"/>
        </w:rPr>
        <w:t xml:space="preserve"> and efficient</w:t>
      </w:r>
      <w:r w:rsidR="00761376">
        <w:rPr>
          <w:sz w:val="22"/>
          <w:szCs w:val="22"/>
        </w:rPr>
        <w:t xml:space="preserve"> superannuation system which will drive superior outcomes for members. The current barriers to competition</w:t>
      </w:r>
      <w:r w:rsidR="00015A87">
        <w:rPr>
          <w:sz w:val="22"/>
          <w:szCs w:val="22"/>
        </w:rPr>
        <w:t xml:space="preserve"> from a fund perspective</w:t>
      </w:r>
      <w:r w:rsidR="003A75DC">
        <w:rPr>
          <w:sz w:val="22"/>
          <w:szCs w:val="22"/>
        </w:rPr>
        <w:t xml:space="preserve"> are gradually being removed through self</w:t>
      </w:r>
      <w:r w:rsidR="00CE0ABB">
        <w:rPr>
          <w:sz w:val="22"/>
          <w:szCs w:val="22"/>
        </w:rPr>
        <w:t>-</w:t>
      </w:r>
      <w:r w:rsidR="003A75DC">
        <w:rPr>
          <w:sz w:val="22"/>
          <w:szCs w:val="22"/>
        </w:rPr>
        <w:t>selection and more active regulators. A system which creates artificial barriers to competition will not serve in</w:t>
      </w:r>
      <w:r w:rsidR="00CE0ABB">
        <w:rPr>
          <w:sz w:val="22"/>
          <w:szCs w:val="22"/>
        </w:rPr>
        <w:t xml:space="preserve"> promoting</w:t>
      </w:r>
      <w:r w:rsidR="003A75DC">
        <w:rPr>
          <w:sz w:val="22"/>
          <w:szCs w:val="22"/>
        </w:rPr>
        <w:t xml:space="preserve"> members’ best interests. Deloitte commends the Productivity Commission on this Draft Report and supports the majority of recommendations made. We, however, do ask that market forces and strong regulators control competition between funds and not a selection method which has the potential for </w:t>
      </w:r>
      <w:r w:rsidR="00B932FE">
        <w:rPr>
          <w:sz w:val="22"/>
          <w:szCs w:val="22"/>
        </w:rPr>
        <w:t>an uncompetitive industry to develop</w:t>
      </w:r>
      <w:r w:rsidR="008A72BB">
        <w:rPr>
          <w:sz w:val="22"/>
          <w:szCs w:val="22"/>
        </w:rPr>
        <w:t>.</w:t>
      </w:r>
      <w:bookmarkStart w:id="1" w:name="_GoBack"/>
      <w:bookmarkEnd w:id="1"/>
      <w:r w:rsidR="00761376">
        <w:rPr>
          <w:sz w:val="22"/>
          <w:szCs w:val="22"/>
        </w:rPr>
        <w:t xml:space="preserve"> </w:t>
      </w:r>
      <w:r w:rsidR="00376E4C">
        <w:rPr>
          <w:sz w:val="22"/>
          <w:szCs w:val="22"/>
        </w:rPr>
        <w:t>Should further commenta</w:t>
      </w:r>
      <w:r w:rsidR="008A72BB">
        <w:rPr>
          <w:sz w:val="22"/>
          <w:szCs w:val="22"/>
        </w:rPr>
        <w:t>ry be needed I can be contacted</w:t>
      </w:r>
      <w:r w:rsidR="00AE0CC7">
        <w:rPr>
          <w:sz w:val="22"/>
          <w:szCs w:val="22"/>
        </w:rPr>
        <w:t>.</w:t>
      </w:r>
    </w:p>
    <w:p w:rsidR="00061AA2" w:rsidRPr="00EE086E" w:rsidRDefault="00061AA2" w:rsidP="00061AA2">
      <w:pPr>
        <w:pStyle w:val="Bodycopy"/>
        <w:spacing w:afterLines="60" w:after="144" w:line="240" w:lineRule="auto"/>
        <w:rPr>
          <w:sz w:val="22"/>
          <w:szCs w:val="22"/>
        </w:rPr>
      </w:pPr>
    </w:p>
    <w:p w:rsidR="004F4593" w:rsidRPr="00EE086E" w:rsidRDefault="00AC24D3" w:rsidP="00E77424">
      <w:pPr>
        <w:pStyle w:val="Bodycopy"/>
        <w:spacing w:afterLines="60" w:after="144" w:line="240" w:lineRule="auto"/>
        <w:rPr>
          <w:sz w:val="22"/>
          <w:szCs w:val="22"/>
        </w:rPr>
      </w:pPr>
      <w:r w:rsidRPr="00EE086E">
        <w:rPr>
          <w:sz w:val="22"/>
          <w:szCs w:val="22"/>
        </w:rPr>
        <w:t xml:space="preserve"> </w:t>
      </w:r>
      <w:r w:rsidR="004F4593" w:rsidRPr="00EE086E">
        <w:rPr>
          <w:sz w:val="22"/>
          <w:szCs w:val="22"/>
        </w:rPr>
        <w:t xml:space="preserve"> </w:t>
      </w:r>
    </w:p>
    <w:p w:rsidR="00770B5E" w:rsidRPr="00EE086E" w:rsidRDefault="00770B5E" w:rsidP="0001424E">
      <w:pPr>
        <w:pStyle w:val="Bodycopy"/>
        <w:spacing w:after="60"/>
        <w:rPr>
          <w:sz w:val="22"/>
          <w:szCs w:val="22"/>
        </w:rPr>
      </w:pPr>
      <w:r w:rsidRPr="00EE086E">
        <w:rPr>
          <w:sz w:val="22"/>
          <w:szCs w:val="22"/>
        </w:rPr>
        <w:tab/>
      </w:r>
      <w:r w:rsidRPr="00EE086E">
        <w:rPr>
          <w:sz w:val="22"/>
          <w:szCs w:val="22"/>
        </w:rPr>
        <w:tab/>
      </w:r>
    </w:p>
    <w:p w:rsidR="00A54229" w:rsidRPr="00EE086E" w:rsidRDefault="00770B5E" w:rsidP="0001424E">
      <w:pPr>
        <w:pStyle w:val="Bodycopy"/>
        <w:spacing w:after="60"/>
        <w:rPr>
          <w:sz w:val="22"/>
          <w:szCs w:val="22"/>
        </w:rPr>
      </w:pPr>
      <w:r w:rsidRPr="00EE086E">
        <w:rPr>
          <w:sz w:val="22"/>
          <w:szCs w:val="22"/>
        </w:rPr>
        <w:t>Yours sincerely,</w:t>
      </w:r>
    </w:p>
    <w:p w:rsidR="00811CD7" w:rsidRDefault="00811CD7" w:rsidP="0001424E">
      <w:pPr>
        <w:pStyle w:val="Bodycopy"/>
        <w:spacing w:after="60"/>
        <w:rPr>
          <w:sz w:val="22"/>
          <w:szCs w:val="22"/>
        </w:rPr>
      </w:pPr>
    </w:p>
    <w:p w:rsidR="00FF5DA9" w:rsidRDefault="00FF5DA9" w:rsidP="0001424E">
      <w:pPr>
        <w:pStyle w:val="Bodycopy"/>
        <w:spacing w:after="60"/>
        <w:rPr>
          <w:sz w:val="22"/>
          <w:szCs w:val="22"/>
        </w:rPr>
      </w:pPr>
    </w:p>
    <w:p w:rsidR="00FF5DA9" w:rsidRPr="00EE086E" w:rsidRDefault="00FF5DA9" w:rsidP="0001424E">
      <w:pPr>
        <w:pStyle w:val="Bodycopy"/>
        <w:spacing w:after="60"/>
        <w:rPr>
          <w:sz w:val="22"/>
          <w:szCs w:val="22"/>
        </w:rPr>
      </w:pPr>
    </w:p>
    <w:p w:rsidR="00582FBA" w:rsidRDefault="00F119CE" w:rsidP="0001424E">
      <w:pPr>
        <w:pStyle w:val="Bodycopy"/>
        <w:spacing w:after="60"/>
        <w:rPr>
          <w:sz w:val="22"/>
          <w:szCs w:val="22"/>
        </w:rPr>
      </w:pPr>
      <w:r>
        <w:rPr>
          <w:sz w:val="22"/>
          <w:szCs w:val="22"/>
        </w:rPr>
        <w:t>Russell Mason</w:t>
      </w:r>
    </w:p>
    <w:p w:rsidR="00376E4C" w:rsidRDefault="00F119CE" w:rsidP="0001424E">
      <w:pPr>
        <w:pStyle w:val="Bodycopy"/>
        <w:spacing w:after="60"/>
        <w:rPr>
          <w:sz w:val="22"/>
          <w:szCs w:val="22"/>
        </w:rPr>
      </w:pPr>
      <w:r>
        <w:rPr>
          <w:sz w:val="22"/>
          <w:szCs w:val="22"/>
        </w:rPr>
        <w:t>Partner</w:t>
      </w:r>
    </w:p>
    <w:p w:rsidR="00376E4C" w:rsidRPr="00EE086E" w:rsidRDefault="00376E4C" w:rsidP="0001424E">
      <w:pPr>
        <w:pStyle w:val="Bodycopy"/>
        <w:spacing w:after="60"/>
        <w:rPr>
          <w:sz w:val="22"/>
          <w:szCs w:val="22"/>
        </w:rPr>
      </w:pPr>
      <w:r>
        <w:rPr>
          <w:sz w:val="22"/>
          <w:szCs w:val="22"/>
        </w:rPr>
        <w:t xml:space="preserve">Deloitte </w:t>
      </w:r>
      <w:proofErr w:type="spellStart"/>
      <w:r>
        <w:rPr>
          <w:sz w:val="22"/>
          <w:szCs w:val="22"/>
        </w:rPr>
        <w:t>Touche</w:t>
      </w:r>
      <w:proofErr w:type="spellEnd"/>
      <w:r>
        <w:rPr>
          <w:sz w:val="22"/>
          <w:szCs w:val="22"/>
        </w:rPr>
        <w:t xml:space="preserve"> Tohmatsu</w:t>
      </w:r>
    </w:p>
    <w:p w:rsidR="002536E4" w:rsidRPr="00EE086E" w:rsidRDefault="0042326F" w:rsidP="004F4593">
      <w:pPr>
        <w:pStyle w:val="Bodycopy"/>
        <w:spacing w:after="60"/>
        <w:rPr>
          <w:sz w:val="22"/>
          <w:szCs w:val="22"/>
        </w:rPr>
      </w:pPr>
      <w:r w:rsidRPr="00EE086E">
        <w:rPr>
          <w:sz w:val="22"/>
          <w:szCs w:val="22"/>
        </w:rPr>
        <w:br/>
      </w:r>
    </w:p>
    <w:p w:rsidR="006A6C36" w:rsidRPr="00EE086E" w:rsidRDefault="006A6C36" w:rsidP="0001424E">
      <w:pPr>
        <w:pStyle w:val="Bodycopy"/>
        <w:spacing w:afterLines="60" w:after="144"/>
        <w:rPr>
          <w:sz w:val="22"/>
          <w:szCs w:val="22"/>
        </w:rPr>
      </w:pPr>
    </w:p>
    <w:sectPr w:rsidR="006A6C36" w:rsidRPr="00EE086E" w:rsidSect="0059645A">
      <w:headerReference w:type="default" r:id="rId11"/>
      <w:headerReference w:type="first" r:id="rId12"/>
      <w:pgSz w:w="11907" w:h="16840" w:code="9"/>
      <w:pgMar w:top="3402" w:right="851" w:bottom="454" w:left="1418" w:header="851" w:footer="57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A36" w:rsidRDefault="003E3A36">
      <w:r>
        <w:separator/>
      </w:r>
    </w:p>
  </w:endnote>
  <w:endnote w:type="continuationSeparator" w:id="0">
    <w:p w:rsidR="003E3A36" w:rsidRDefault="003E3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A36" w:rsidRDefault="003E3A36">
      <w:r>
        <w:separator/>
      </w:r>
    </w:p>
  </w:footnote>
  <w:footnote w:type="continuationSeparator" w:id="0">
    <w:p w:rsidR="003E3A36" w:rsidRDefault="003E3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BB6" w:rsidRPr="006B0568" w:rsidRDefault="00417BB6" w:rsidP="006B0568">
    <w:r>
      <w:rPr>
        <w:rFonts w:ascii="Arial" w:hAnsi="Arial"/>
        <w:noProof/>
        <w:sz w:val="15"/>
        <w:szCs w:val="15"/>
        <w:lang w:eastAsia="en-AU"/>
      </w:rPr>
      <w:drawing>
        <wp:anchor distT="0" distB="0" distL="114300" distR="114300" simplePos="0" relativeHeight="251745792" behindDoc="0" locked="0" layoutInCell="1" allowOverlap="1">
          <wp:simplePos x="0" y="0"/>
          <wp:positionH relativeFrom="page">
            <wp:posOffset>900430</wp:posOffset>
          </wp:positionH>
          <wp:positionV relativeFrom="page">
            <wp:posOffset>540385</wp:posOffset>
          </wp:positionV>
          <wp:extent cx="1152525" cy="219075"/>
          <wp:effectExtent l="19050" t="0" r="9525" b="0"/>
          <wp:wrapNone/>
          <wp:docPr id="5" name="HDR_LOGO_p2" descr="DEL_PRI_GREY_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L_PRI_GREY_MS"/>
                  <pic:cNvPicPr>
                    <a:picLocks noChangeAspect="1" noChangeArrowheads="1"/>
                  </pic:cNvPicPr>
                </pic:nvPicPr>
                <pic:blipFill>
                  <a:blip r:embed="rId1"/>
                  <a:srcRect/>
                  <a:stretch>
                    <a:fillRect/>
                  </a:stretch>
                </pic:blipFill>
                <pic:spPr bwMode="auto">
                  <a:xfrm>
                    <a:off x="0" y="0"/>
                    <a:ext cx="1152525" cy="219075"/>
                  </a:xfrm>
                  <a:prstGeom prst="rect">
                    <a:avLst/>
                  </a:prstGeom>
                  <a:noFill/>
                  <a:ln w="9525">
                    <a:noFill/>
                    <a:miter lim="800000"/>
                    <a:headEnd/>
                    <a:tailEnd/>
                  </a:ln>
                </pic:spPr>
              </pic:pic>
            </a:graphicData>
          </a:graphic>
        </wp:anchor>
      </w:drawing>
    </w:r>
    <w:r w:rsidR="00A7197C">
      <w:rPr>
        <w:noProof/>
        <w:lang w:eastAsia="en-AU"/>
      </w:rPr>
      <mc:AlternateContent>
        <mc:Choice Requires="wps">
          <w:drawing>
            <wp:anchor distT="0" distB="0" distL="114300" distR="114300" simplePos="0" relativeHeight="251657728" behindDoc="0" locked="0" layoutInCell="1" allowOverlap="1">
              <wp:simplePos x="0" y="0"/>
              <wp:positionH relativeFrom="page">
                <wp:posOffset>5760720</wp:posOffset>
              </wp:positionH>
              <wp:positionV relativeFrom="page">
                <wp:posOffset>864235</wp:posOffset>
              </wp:positionV>
              <wp:extent cx="1602105" cy="543560"/>
              <wp:effectExtent l="0" t="0" r="0" b="190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54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BB6" w:rsidRDefault="00417BB6" w:rsidP="004000AB">
                          <w:pPr>
                            <w:pStyle w:val="Addressdetails"/>
                            <w:rPr>
                              <w:noProof/>
                            </w:rPr>
                          </w:pPr>
                          <w:r>
                            <w:t xml:space="preserve">Page </w:t>
                          </w:r>
                          <w:r w:rsidR="0024458F">
                            <w:fldChar w:fldCharType="begin"/>
                          </w:r>
                          <w:r w:rsidR="0024458F">
                            <w:instrText xml:space="preserve"> PAGE </w:instrText>
                          </w:r>
                          <w:r w:rsidR="0024458F">
                            <w:fldChar w:fldCharType="separate"/>
                          </w:r>
                          <w:r w:rsidR="008A72BB">
                            <w:rPr>
                              <w:noProof/>
                            </w:rPr>
                            <w:t>3</w:t>
                          </w:r>
                          <w:r w:rsidR="0024458F">
                            <w:rPr>
                              <w:noProof/>
                            </w:rPr>
                            <w:fldChar w:fldCharType="end"/>
                          </w:r>
                          <w:r>
                            <w:br/>
                          </w:r>
                          <w:r w:rsidR="00FF5DA9">
                            <w:rPr>
                              <w:noProof/>
                            </w:rPr>
                            <w:t>13</w:t>
                          </w:r>
                          <w:r w:rsidR="00CE0ABB">
                            <w:rPr>
                              <w:noProof/>
                            </w:rPr>
                            <w:t xml:space="preserve"> July </w:t>
                          </w:r>
                          <w:r w:rsidR="00472130">
                            <w:rPr>
                              <w:noProof/>
                            </w:rPr>
                            <w:t xml:space="preserve"> </w:t>
                          </w:r>
                          <w:r>
                            <w:rPr>
                              <w:noProof/>
                            </w:rPr>
                            <w:t>20</w:t>
                          </w:r>
                          <w:r w:rsidR="0025789B">
                            <w:rPr>
                              <w:noProof/>
                            </w:rPr>
                            <w:t>1</w:t>
                          </w:r>
                          <w:r w:rsidR="00CE0ABB">
                            <w:rPr>
                              <w:noProof/>
                            </w:rPr>
                            <w:t>8</w:t>
                          </w:r>
                        </w:p>
                        <w:p w:rsidR="00CE0ABB" w:rsidRDefault="00CE0ABB" w:rsidP="004000AB">
                          <w:pPr>
                            <w:pStyle w:val="Addressdetails"/>
                            <w:rPr>
                              <w:rFonts w:cs="Arial"/>
                              <w:szCs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453.6pt;margin-top:68.05pt;width:126.15pt;height:42.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" filled="f" stroked="f">
              <v:textbox inset="0,0,0,0">
                <w:txbxContent>
                  <w:p w:rsidR="00417BB6" w:rsidRDefault="00417BB6" w:rsidP="004000AB">
                    <w:pPr>
                      <w:pStyle w:val="Addressdetails"/>
                      <w:rPr>
                        <w:noProof/>
                      </w:rPr>
                    </w:pPr>
                    <w:r>
                      <w:t xml:space="preserve">Page </w:t>
                    </w:r>
                    <w:r w:rsidR="0024458F">
                      <w:fldChar w:fldCharType="begin"/>
                    </w:r>
                    <w:r w:rsidR="0024458F">
                      <w:instrText xml:space="preserve"> PAGE </w:instrText>
                    </w:r>
                    <w:r w:rsidR="0024458F">
                      <w:fldChar w:fldCharType="separate"/>
                    </w:r>
                    <w:r w:rsidR="008A72BB">
                      <w:rPr>
                        <w:noProof/>
                      </w:rPr>
                      <w:t>3</w:t>
                    </w:r>
                    <w:r w:rsidR="0024458F">
                      <w:rPr>
                        <w:noProof/>
                      </w:rPr>
                      <w:fldChar w:fldCharType="end"/>
                    </w:r>
                    <w:r>
                      <w:br/>
                    </w:r>
                    <w:r w:rsidR="00FF5DA9">
                      <w:rPr>
                        <w:noProof/>
                      </w:rPr>
                      <w:t>13</w:t>
                    </w:r>
                    <w:r w:rsidR="00CE0ABB">
                      <w:rPr>
                        <w:noProof/>
                      </w:rPr>
                      <w:t xml:space="preserve"> July </w:t>
                    </w:r>
                    <w:r w:rsidR="00472130">
                      <w:rPr>
                        <w:noProof/>
                      </w:rPr>
                      <w:t xml:space="preserve"> </w:t>
                    </w:r>
                    <w:r>
                      <w:rPr>
                        <w:noProof/>
                      </w:rPr>
                      <w:t>20</w:t>
                    </w:r>
                    <w:r w:rsidR="0025789B">
                      <w:rPr>
                        <w:noProof/>
                      </w:rPr>
                      <w:t>1</w:t>
                    </w:r>
                    <w:r w:rsidR="00CE0ABB">
                      <w:rPr>
                        <w:noProof/>
                      </w:rPr>
                      <w:t>8</w:t>
                    </w:r>
                  </w:p>
                  <w:p w:rsidR="00CE0ABB" w:rsidRDefault="00CE0ABB" w:rsidP="004000AB">
                    <w:pPr>
                      <w:pStyle w:val="Addressdetails"/>
                      <w:rPr>
                        <w:rFonts w:cs="Arial"/>
                        <w:szCs w:val="15"/>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BB6" w:rsidRPr="004000AB" w:rsidRDefault="00417BB6" w:rsidP="005E522A">
    <w:pPr>
      <w:framePr w:w="2778" w:h="2807" w:hRule="exact" w:hSpace="181" w:wrap="around" w:vAnchor="page" w:hAnchor="page" w:x="8790" w:y="1231"/>
      <w:spacing w:before="30" w:line="180" w:lineRule="atLeast"/>
      <w:rPr>
        <w:rStyle w:val="AddressdetailsChar"/>
      </w:rPr>
    </w:pPr>
    <w:r>
      <w:rPr>
        <w:rStyle w:val="AddressdetailsChar"/>
      </w:rPr>
      <w:t>Deloitte Actuaries &amp; Consultants Limited</w:t>
    </w:r>
    <w:r>
      <w:rPr>
        <w:rStyle w:val="AddressdetailsChar"/>
      </w:rPr>
      <w:br/>
      <w:t>ACN 092 651 057</w:t>
    </w:r>
    <w:r>
      <w:rPr>
        <w:rStyle w:val="AddressdetailsChar"/>
      </w:rPr>
      <w:br/>
      <w:t>AFSL 244576</w:t>
    </w:r>
    <w:r w:rsidRPr="004000AB">
      <w:rPr>
        <w:rStyle w:val="AddressdetailsChar"/>
      </w:rPr>
      <w:br/>
    </w:r>
    <w:r>
      <w:rPr>
        <w:rStyle w:val="AddressdetailsChar"/>
      </w:rPr>
      <w:br/>
      <w:t>550 Bourke Street</w:t>
    </w:r>
    <w:r>
      <w:rPr>
        <w:rStyle w:val="AddressdetailsChar"/>
      </w:rPr>
      <w:br/>
      <w:t>Melbourne VIC 3000</w:t>
    </w:r>
    <w:r>
      <w:rPr>
        <w:rStyle w:val="AddressdetailsChar"/>
      </w:rPr>
      <w:br/>
      <w:t>GPO Box 78</w:t>
    </w:r>
    <w:r>
      <w:rPr>
        <w:rStyle w:val="AddressdetailsChar"/>
      </w:rPr>
      <w:br/>
      <w:t>Melbourne VIC 3001 Australia</w:t>
    </w:r>
    <w:r w:rsidRPr="004000AB">
      <w:rPr>
        <w:rStyle w:val="AddressdetailsChar"/>
      </w:rPr>
      <w:br/>
    </w:r>
    <w:r w:rsidRPr="004000AB">
      <w:rPr>
        <w:rStyle w:val="AddressdetailsChar"/>
      </w:rPr>
      <w:br/>
    </w:r>
    <w:r>
      <w:rPr>
        <w:rStyle w:val="AddressdetailsChar"/>
      </w:rPr>
      <w:t>DX: 111</w:t>
    </w:r>
    <w:r>
      <w:rPr>
        <w:rStyle w:val="AddressdetailsChar"/>
      </w:rPr>
      <w:br/>
    </w:r>
    <w:r w:rsidRPr="004000AB">
      <w:rPr>
        <w:rStyle w:val="AddressdetailsChar"/>
      </w:rPr>
      <w:t xml:space="preserve">Tel:  </w:t>
    </w:r>
    <w:r>
      <w:rPr>
        <w:rStyle w:val="AddressdetailsChar"/>
      </w:rPr>
      <w:t>+61 (0) 3 9671 7000</w:t>
    </w:r>
    <w:r w:rsidRPr="004000AB">
      <w:rPr>
        <w:rStyle w:val="AddressdetailsChar"/>
      </w:rPr>
      <w:br/>
      <w:t xml:space="preserve">Fax:  </w:t>
    </w:r>
    <w:r>
      <w:rPr>
        <w:rStyle w:val="AddressdetailsChar"/>
      </w:rPr>
      <w:t>+6190)3 9671 6599</w:t>
    </w:r>
    <w:r w:rsidRPr="004000AB">
      <w:rPr>
        <w:rStyle w:val="AddressdetailsChar"/>
      </w:rPr>
      <w:br/>
    </w:r>
    <w:r>
      <w:rPr>
        <w:rStyle w:val="AddressdetailsChar"/>
      </w:rPr>
      <w:t>www.deloitte.com.au</w:t>
    </w:r>
  </w:p>
  <w:p w:rsidR="00417BB6" w:rsidRDefault="00FF5DA9" w:rsidP="00A54229">
    <w:pPr>
      <w:spacing w:after="2368"/>
    </w:pPr>
    <w:r w:rsidRPr="00CE5AE2">
      <w:rPr>
        <w:rStyle w:val="AddressdetailsChar"/>
        <w:noProof/>
        <w:lang w:eastAsia="en-AU"/>
      </w:rPr>
      <w:drawing>
        <wp:anchor distT="0" distB="0" distL="114300" distR="114300" simplePos="0" relativeHeight="251743744" behindDoc="0" locked="0" layoutInCell="1" allowOverlap="1">
          <wp:simplePos x="0" y="0"/>
          <wp:positionH relativeFrom="margin">
            <wp:align>left</wp:align>
          </wp:positionH>
          <wp:positionV relativeFrom="page">
            <wp:posOffset>495935</wp:posOffset>
          </wp:positionV>
          <wp:extent cx="1638300" cy="304800"/>
          <wp:effectExtent l="0" t="0" r="0" b="0"/>
          <wp:wrapNone/>
          <wp:docPr id="1" name="HDR_LOGO" descr="Deloitte_blue_RGB_1.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eloitte_blue_RGB_1.tif"/>
                  <pic:cNvPicPr/>
                </pic:nvPicPr>
                <pic:blipFill>
                  <a:blip r:embed="rId1"/>
                  <a:stretch>
                    <a:fillRect/>
                  </a:stretch>
                </pic:blipFill>
                <pic:spPr>
                  <a:xfrm>
                    <a:off x="0" y="0"/>
                    <a:ext cx="1638300" cy="304800"/>
                  </a:xfrm>
                  <a:prstGeom prst="rect">
                    <a:avLst/>
                  </a:prstGeom>
                </pic:spPr>
              </pic:pic>
            </a:graphicData>
          </a:graphic>
        </wp:anchor>
      </w:drawing>
    </w:r>
    <w:r w:rsidR="00417BB6">
      <w:rPr>
        <w:noProof/>
        <w:lang w:eastAsia="en-AU"/>
      </w:rPr>
      <w:drawing>
        <wp:anchor distT="0" distB="0" distL="114300" distR="114300" simplePos="0" relativeHeight="251741696" behindDoc="0" locked="0" layoutInCell="1" allowOverlap="1">
          <wp:simplePos x="0" y="0"/>
          <wp:positionH relativeFrom="page">
            <wp:posOffset>5897245</wp:posOffset>
          </wp:positionH>
          <wp:positionV relativeFrom="page">
            <wp:posOffset>9868535</wp:posOffset>
          </wp:positionV>
          <wp:extent cx="1066800" cy="514350"/>
          <wp:effectExtent l="19050" t="0" r="0" b="0"/>
          <wp:wrapNone/>
          <wp:docPr id="47" name="MemberDP" descr="DEL_RGB_Lock-up.jp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_RGB_Lock-up.jpg"/>
                  <pic:cNvPicPr/>
                </pic:nvPicPr>
                <pic:blipFill>
                  <a:blip r:embed="rId2"/>
                  <a:stretch>
                    <a:fillRect/>
                  </a:stretch>
                </pic:blipFill>
                <pic:spPr>
                  <a:xfrm>
                    <a:off x="0" y="0"/>
                    <a:ext cx="1066800" cy="514350"/>
                  </a:xfrm>
                  <a:prstGeom prst="rect">
                    <a:avLst/>
                  </a:prstGeom>
                </pic:spPr>
              </pic:pic>
            </a:graphicData>
          </a:graphic>
        </wp:anchor>
      </w:drawing>
    </w:r>
    <w:r w:rsidR="00A7197C">
      <w:rPr>
        <w:rFonts w:ascii="Arial" w:hAnsi="Arial"/>
        <w:noProof/>
        <w:sz w:val="15"/>
        <w:szCs w:val="15"/>
        <w:lang w:eastAsia="en-AU"/>
      </w:rPr>
      <mc:AlternateContent>
        <mc:Choice Requires="wps">
          <w:drawing>
            <wp:anchor distT="0" distB="0" distL="114300" distR="114300" simplePos="0" relativeHeight="251737600" behindDoc="0" locked="0" layoutInCell="1" allowOverlap="1">
              <wp:simplePos x="0" y="0"/>
              <wp:positionH relativeFrom="page">
                <wp:posOffset>900430</wp:posOffset>
              </wp:positionH>
              <wp:positionV relativeFrom="page">
                <wp:posOffset>10258425</wp:posOffset>
              </wp:positionV>
              <wp:extent cx="6400800" cy="344170"/>
              <wp:effectExtent l="0" t="0" r="4445" b="0"/>
              <wp:wrapNone/>
              <wp:docPr id="3" name="Text Box 7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44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B6" w:rsidRPr="00DD3C5B" w:rsidRDefault="00417BB6">
                          <w:pPr>
                            <w:pStyle w:val="Legalstatement"/>
                            <w:rPr>
                              <w:spacing w:val="-2"/>
                            </w:rPr>
                          </w:pPr>
                          <w:r w:rsidRPr="00DD3C5B">
                            <w:rPr>
                              <w:spacing w:val="-2"/>
                            </w:rPr>
                            <w:t xml:space="preserve">This is </w:t>
                          </w:r>
                          <w:r>
                            <w:rPr>
                              <w:spacing w:val="-2"/>
                            </w:rPr>
                            <w:t>a draft document.</w:t>
                          </w:r>
                          <w:r w:rsidRPr="00DD3C5B">
                            <w:rPr>
                              <w:spacing w:val="-2"/>
                            </w:rPr>
                            <w:t xml:space="preserve"> As it is a work in progress it may be incomplete, contain preliminary conclusions and may change. You must not </w:t>
                          </w:r>
                          <w:r>
                            <w:rPr>
                              <w:spacing w:val="-2"/>
                            </w:rPr>
                            <w:br/>
                          </w:r>
                          <w:r w:rsidRPr="00DD3C5B">
                            <w:rPr>
                              <w:spacing w:val="-2"/>
                            </w:rPr>
                            <w:t>rely on, disclose or refer to it in any document. We accept no duty of care or liability to you or any third party for any loss suffered in connection with the use of this 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id="_x0000_t202" coordsize="21600,21600" o:spt="202" path="m,l,21600r21600,l21600,xe">
              <v:stroke joinstyle="miter"/>
              <v:path gradientshapeok="t" o:connecttype="rect"/>
            </v:shapetype>
            <v:shape id="Text Box 79" o:spid="_x0000_s1027" type="#_x0000_t202" style="position:absolute;margin-left:70.9pt;margin-top:807.75pt;width:7in;height:27.1pt;z-index:25173760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" stroked="f">
              <v:textbox inset="0,0,0,0">
                <w:txbxContent>
                  <w:p w:rsidR="00417BB6" w:rsidRPr="00DD3C5B" w:rsidRDefault="00417BB6">
                    <w:pPr>
                      <w:pStyle w:val="Legalstatement"/>
                      <w:rPr>
                        <w:spacing w:val="-2"/>
                      </w:rPr>
                    </w:pPr>
                    <w:r w:rsidRPr="00DD3C5B">
                      <w:rPr>
                        <w:spacing w:val="-2"/>
                      </w:rPr>
                      <w:t xml:space="preserve">This is </w:t>
                    </w:r>
                    <w:r>
                      <w:rPr>
                        <w:spacing w:val="-2"/>
                      </w:rPr>
                      <w:t>a draft document.</w:t>
                    </w:r>
                    <w:r w:rsidRPr="00DD3C5B">
                      <w:rPr>
                        <w:spacing w:val="-2"/>
                      </w:rPr>
                      <w:t xml:space="preserve"> As it is a work in progress it may be incomplete, contain preliminary conclusions and may change. You must not </w:t>
                    </w:r>
                    <w:r>
                      <w:rPr>
                        <w:spacing w:val="-2"/>
                      </w:rPr>
                      <w:br/>
                    </w:r>
                    <w:r w:rsidRPr="00DD3C5B">
                      <w:rPr>
                        <w:spacing w:val="-2"/>
                      </w:rPr>
                      <w:t>rely on, disclose or refer to it in any document. We accept no duty of care or liability to you or any third party for any loss suffered in connection with the use of this document.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7A299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1EC1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9D869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4E85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CE10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987D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612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CC9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FC05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666EA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5B2384"/>
    <w:multiLevelType w:val="hybridMultilevel"/>
    <w:tmpl w:val="3984DD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CA5878"/>
    <w:multiLevelType w:val="hybridMultilevel"/>
    <w:tmpl w:val="B88AF8F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7F635C"/>
    <w:multiLevelType w:val="hybridMultilevel"/>
    <w:tmpl w:val="C5829E2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26670D"/>
    <w:multiLevelType w:val="hybridMultilevel"/>
    <w:tmpl w:val="9CE0E36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B5B29D4"/>
    <w:multiLevelType w:val="hybridMultilevel"/>
    <w:tmpl w:val="22FED19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77F5AF1"/>
    <w:multiLevelType w:val="multilevel"/>
    <w:tmpl w:val="D86417FA"/>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720"/>
        </w:tabs>
        <w:ind w:left="72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FF2230E"/>
    <w:multiLevelType w:val="hybridMultilevel"/>
    <w:tmpl w:val="A37A288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23E352B"/>
    <w:multiLevelType w:val="hybridMultilevel"/>
    <w:tmpl w:val="CD5E18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ED0616E"/>
    <w:multiLevelType w:val="hybridMultilevel"/>
    <w:tmpl w:val="C9D80E2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A4202C7"/>
    <w:multiLevelType w:val="hybridMultilevel"/>
    <w:tmpl w:val="616CF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5"/>
  </w:num>
  <w:num w:numId="13">
    <w:abstractNumId w:val="15"/>
  </w:num>
  <w:num w:numId="14">
    <w:abstractNumId w:val="15"/>
  </w:num>
  <w:num w:numId="15">
    <w:abstractNumId w:val="15"/>
  </w:num>
  <w:num w:numId="16">
    <w:abstractNumId w:val="15"/>
  </w:num>
  <w:num w:numId="17">
    <w:abstractNumId w:val="15"/>
  </w:num>
  <w:num w:numId="18">
    <w:abstractNumId w:val="15"/>
  </w:num>
  <w:num w:numId="19">
    <w:abstractNumId w:val="9"/>
  </w:num>
  <w:num w:numId="20">
    <w:abstractNumId w:val="15"/>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5"/>
  </w:num>
  <w:num w:numId="28">
    <w:abstractNumId w:val="9"/>
  </w:num>
  <w:num w:numId="29">
    <w:abstractNumId w:val="17"/>
  </w:num>
  <w:num w:numId="30">
    <w:abstractNumId w:val="19"/>
  </w:num>
  <w:num w:numId="31">
    <w:abstractNumId w:val="16"/>
  </w:num>
  <w:num w:numId="32">
    <w:abstractNumId w:val="10"/>
  </w:num>
  <w:num w:numId="33">
    <w:abstractNumId w:val="11"/>
  </w:num>
  <w:num w:numId="34">
    <w:abstractNumId w:val="12"/>
  </w:num>
  <w:num w:numId="35">
    <w:abstractNumId w:val="14"/>
  </w:num>
  <w:num w:numId="36">
    <w:abstractNumId w:val="18"/>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A5E"/>
    <w:rsid w:val="0000147C"/>
    <w:rsid w:val="00001836"/>
    <w:rsid w:val="000122F6"/>
    <w:rsid w:val="0001424E"/>
    <w:rsid w:val="00014284"/>
    <w:rsid w:val="00015A87"/>
    <w:rsid w:val="000351E3"/>
    <w:rsid w:val="0004284B"/>
    <w:rsid w:val="00042C57"/>
    <w:rsid w:val="0004359B"/>
    <w:rsid w:val="000566C7"/>
    <w:rsid w:val="00060200"/>
    <w:rsid w:val="00060713"/>
    <w:rsid w:val="00061AA2"/>
    <w:rsid w:val="000648F8"/>
    <w:rsid w:val="000724D4"/>
    <w:rsid w:val="00076CA9"/>
    <w:rsid w:val="000808B3"/>
    <w:rsid w:val="00081F87"/>
    <w:rsid w:val="00083502"/>
    <w:rsid w:val="00085519"/>
    <w:rsid w:val="00097208"/>
    <w:rsid w:val="00097E66"/>
    <w:rsid w:val="000A0A34"/>
    <w:rsid w:val="000B0235"/>
    <w:rsid w:val="000B02D3"/>
    <w:rsid w:val="000B25C9"/>
    <w:rsid w:val="000C0865"/>
    <w:rsid w:val="000C2531"/>
    <w:rsid w:val="000C3C50"/>
    <w:rsid w:val="000C498B"/>
    <w:rsid w:val="000C6885"/>
    <w:rsid w:val="000D0120"/>
    <w:rsid w:val="000E1A9B"/>
    <w:rsid w:val="000E3DFB"/>
    <w:rsid w:val="000F338C"/>
    <w:rsid w:val="000F5399"/>
    <w:rsid w:val="00107FEB"/>
    <w:rsid w:val="0011510B"/>
    <w:rsid w:val="00122E55"/>
    <w:rsid w:val="001250B8"/>
    <w:rsid w:val="00131BF0"/>
    <w:rsid w:val="00133FC4"/>
    <w:rsid w:val="0013776E"/>
    <w:rsid w:val="00142914"/>
    <w:rsid w:val="00147F62"/>
    <w:rsid w:val="001511D2"/>
    <w:rsid w:val="0015519A"/>
    <w:rsid w:val="001560C2"/>
    <w:rsid w:val="001614C2"/>
    <w:rsid w:val="00161C91"/>
    <w:rsid w:val="00170079"/>
    <w:rsid w:val="00170F0E"/>
    <w:rsid w:val="00173A31"/>
    <w:rsid w:val="00174428"/>
    <w:rsid w:val="001751B6"/>
    <w:rsid w:val="00177F5F"/>
    <w:rsid w:val="00181ACC"/>
    <w:rsid w:val="00185D1E"/>
    <w:rsid w:val="00187D6F"/>
    <w:rsid w:val="001A0282"/>
    <w:rsid w:val="001A0A0C"/>
    <w:rsid w:val="001A0EA3"/>
    <w:rsid w:val="001A64F3"/>
    <w:rsid w:val="001B19E7"/>
    <w:rsid w:val="001B4337"/>
    <w:rsid w:val="001C180E"/>
    <w:rsid w:val="001C5113"/>
    <w:rsid w:val="001E1E0B"/>
    <w:rsid w:val="001E3150"/>
    <w:rsid w:val="001E3E42"/>
    <w:rsid w:val="001E557F"/>
    <w:rsid w:val="001E79A8"/>
    <w:rsid w:val="001F4AF7"/>
    <w:rsid w:val="001F6B1B"/>
    <w:rsid w:val="001F701F"/>
    <w:rsid w:val="00200FCC"/>
    <w:rsid w:val="00203D28"/>
    <w:rsid w:val="00203D65"/>
    <w:rsid w:val="00205C9D"/>
    <w:rsid w:val="00205FBD"/>
    <w:rsid w:val="00211D05"/>
    <w:rsid w:val="00216F3E"/>
    <w:rsid w:val="00216FD2"/>
    <w:rsid w:val="002176D0"/>
    <w:rsid w:val="002267EB"/>
    <w:rsid w:val="00230E1F"/>
    <w:rsid w:val="00240E59"/>
    <w:rsid w:val="0024458F"/>
    <w:rsid w:val="00247E58"/>
    <w:rsid w:val="002536E4"/>
    <w:rsid w:val="0025498F"/>
    <w:rsid w:val="0025789B"/>
    <w:rsid w:val="00260137"/>
    <w:rsid w:val="00260983"/>
    <w:rsid w:val="00262D60"/>
    <w:rsid w:val="002735FE"/>
    <w:rsid w:val="00276232"/>
    <w:rsid w:val="00281DF8"/>
    <w:rsid w:val="00282C68"/>
    <w:rsid w:val="00285D7B"/>
    <w:rsid w:val="002946D2"/>
    <w:rsid w:val="002A2251"/>
    <w:rsid w:val="002A4D43"/>
    <w:rsid w:val="002A5503"/>
    <w:rsid w:val="002D2E47"/>
    <w:rsid w:val="002E767E"/>
    <w:rsid w:val="002F7A21"/>
    <w:rsid w:val="003026A4"/>
    <w:rsid w:val="00303830"/>
    <w:rsid w:val="0030474A"/>
    <w:rsid w:val="00306DA9"/>
    <w:rsid w:val="003110D9"/>
    <w:rsid w:val="00313476"/>
    <w:rsid w:val="00316D27"/>
    <w:rsid w:val="00325AE2"/>
    <w:rsid w:val="0033167F"/>
    <w:rsid w:val="003463C9"/>
    <w:rsid w:val="00347B0B"/>
    <w:rsid w:val="00361379"/>
    <w:rsid w:val="00363F87"/>
    <w:rsid w:val="00365A51"/>
    <w:rsid w:val="00376E4C"/>
    <w:rsid w:val="0037743F"/>
    <w:rsid w:val="003814A1"/>
    <w:rsid w:val="00383EE1"/>
    <w:rsid w:val="00384381"/>
    <w:rsid w:val="00387C63"/>
    <w:rsid w:val="00392154"/>
    <w:rsid w:val="003937FA"/>
    <w:rsid w:val="003A07C6"/>
    <w:rsid w:val="003A0BE3"/>
    <w:rsid w:val="003A5151"/>
    <w:rsid w:val="003A759B"/>
    <w:rsid w:val="003A75DC"/>
    <w:rsid w:val="003B3EED"/>
    <w:rsid w:val="003B4EE1"/>
    <w:rsid w:val="003B6E2A"/>
    <w:rsid w:val="003C472C"/>
    <w:rsid w:val="003C4C22"/>
    <w:rsid w:val="003E3A36"/>
    <w:rsid w:val="004000AB"/>
    <w:rsid w:val="00402BAA"/>
    <w:rsid w:val="00403778"/>
    <w:rsid w:val="004041D2"/>
    <w:rsid w:val="00405D24"/>
    <w:rsid w:val="00407513"/>
    <w:rsid w:val="0041271B"/>
    <w:rsid w:val="00417BB6"/>
    <w:rsid w:val="0042326F"/>
    <w:rsid w:val="00426C51"/>
    <w:rsid w:val="004305EF"/>
    <w:rsid w:val="00431619"/>
    <w:rsid w:val="00432233"/>
    <w:rsid w:val="00436003"/>
    <w:rsid w:val="0044536D"/>
    <w:rsid w:val="004453EB"/>
    <w:rsid w:val="00454C96"/>
    <w:rsid w:val="00455073"/>
    <w:rsid w:val="0046041D"/>
    <w:rsid w:val="0047052F"/>
    <w:rsid w:val="00472130"/>
    <w:rsid w:val="004825B1"/>
    <w:rsid w:val="00484048"/>
    <w:rsid w:val="00487715"/>
    <w:rsid w:val="004919CA"/>
    <w:rsid w:val="004A2852"/>
    <w:rsid w:val="004A7C7D"/>
    <w:rsid w:val="004B375F"/>
    <w:rsid w:val="004C1E5B"/>
    <w:rsid w:val="004C236A"/>
    <w:rsid w:val="004C2592"/>
    <w:rsid w:val="004C7CF6"/>
    <w:rsid w:val="004D54E2"/>
    <w:rsid w:val="004E028C"/>
    <w:rsid w:val="004E6C21"/>
    <w:rsid w:val="004F0013"/>
    <w:rsid w:val="004F0E1E"/>
    <w:rsid w:val="004F3DD9"/>
    <w:rsid w:val="004F4593"/>
    <w:rsid w:val="0050209F"/>
    <w:rsid w:val="00507D2B"/>
    <w:rsid w:val="00515E16"/>
    <w:rsid w:val="005201EA"/>
    <w:rsid w:val="00522201"/>
    <w:rsid w:val="00524024"/>
    <w:rsid w:val="00525978"/>
    <w:rsid w:val="00533221"/>
    <w:rsid w:val="0053624A"/>
    <w:rsid w:val="00540B18"/>
    <w:rsid w:val="00545743"/>
    <w:rsid w:val="00550105"/>
    <w:rsid w:val="005539DF"/>
    <w:rsid w:val="00555866"/>
    <w:rsid w:val="00555871"/>
    <w:rsid w:val="00557E68"/>
    <w:rsid w:val="005622DC"/>
    <w:rsid w:val="00566735"/>
    <w:rsid w:val="00573E4E"/>
    <w:rsid w:val="0058030D"/>
    <w:rsid w:val="0058118F"/>
    <w:rsid w:val="00582FBA"/>
    <w:rsid w:val="00584B65"/>
    <w:rsid w:val="00591912"/>
    <w:rsid w:val="0059645A"/>
    <w:rsid w:val="005A17FB"/>
    <w:rsid w:val="005A4118"/>
    <w:rsid w:val="005B3F4B"/>
    <w:rsid w:val="005C1632"/>
    <w:rsid w:val="005C4253"/>
    <w:rsid w:val="005C5407"/>
    <w:rsid w:val="005E522A"/>
    <w:rsid w:val="005F1F37"/>
    <w:rsid w:val="005F28C3"/>
    <w:rsid w:val="005F67D9"/>
    <w:rsid w:val="005F7C00"/>
    <w:rsid w:val="0060482E"/>
    <w:rsid w:val="00621B19"/>
    <w:rsid w:val="00621BD1"/>
    <w:rsid w:val="00630E4E"/>
    <w:rsid w:val="006343C4"/>
    <w:rsid w:val="006348FC"/>
    <w:rsid w:val="00636D2D"/>
    <w:rsid w:val="0064422D"/>
    <w:rsid w:val="006462C5"/>
    <w:rsid w:val="00646A5E"/>
    <w:rsid w:val="00653404"/>
    <w:rsid w:val="0066371D"/>
    <w:rsid w:val="006763BA"/>
    <w:rsid w:val="00685268"/>
    <w:rsid w:val="0069128A"/>
    <w:rsid w:val="006942D0"/>
    <w:rsid w:val="00695224"/>
    <w:rsid w:val="00695DC3"/>
    <w:rsid w:val="00697E8B"/>
    <w:rsid w:val="006A3932"/>
    <w:rsid w:val="006A6C36"/>
    <w:rsid w:val="006B0568"/>
    <w:rsid w:val="006B097D"/>
    <w:rsid w:val="006B2824"/>
    <w:rsid w:val="006B62DF"/>
    <w:rsid w:val="006C3780"/>
    <w:rsid w:val="006D482F"/>
    <w:rsid w:val="006D6DC6"/>
    <w:rsid w:val="006E0354"/>
    <w:rsid w:val="006F2D1E"/>
    <w:rsid w:val="006F5D35"/>
    <w:rsid w:val="006F611C"/>
    <w:rsid w:val="00711F29"/>
    <w:rsid w:val="007153D7"/>
    <w:rsid w:val="00725A6C"/>
    <w:rsid w:val="00727092"/>
    <w:rsid w:val="00727D10"/>
    <w:rsid w:val="007333CA"/>
    <w:rsid w:val="00735262"/>
    <w:rsid w:val="00735D28"/>
    <w:rsid w:val="00737A03"/>
    <w:rsid w:val="00742057"/>
    <w:rsid w:val="00745013"/>
    <w:rsid w:val="00745501"/>
    <w:rsid w:val="00753CAA"/>
    <w:rsid w:val="00755474"/>
    <w:rsid w:val="007610EA"/>
    <w:rsid w:val="00761376"/>
    <w:rsid w:val="00763D82"/>
    <w:rsid w:val="00766135"/>
    <w:rsid w:val="00767B59"/>
    <w:rsid w:val="00770B5E"/>
    <w:rsid w:val="007711EA"/>
    <w:rsid w:val="00773CD5"/>
    <w:rsid w:val="0077414D"/>
    <w:rsid w:val="007767B4"/>
    <w:rsid w:val="007773C9"/>
    <w:rsid w:val="0077746E"/>
    <w:rsid w:val="0078543D"/>
    <w:rsid w:val="00786344"/>
    <w:rsid w:val="00786C3F"/>
    <w:rsid w:val="00793D03"/>
    <w:rsid w:val="00796A1C"/>
    <w:rsid w:val="007A2EC2"/>
    <w:rsid w:val="007B227D"/>
    <w:rsid w:val="007B2FA6"/>
    <w:rsid w:val="007B493E"/>
    <w:rsid w:val="007B6E16"/>
    <w:rsid w:val="007C5F1A"/>
    <w:rsid w:val="007D113B"/>
    <w:rsid w:val="007D34AC"/>
    <w:rsid w:val="007E0DC9"/>
    <w:rsid w:val="007E2F8C"/>
    <w:rsid w:val="007E6ED5"/>
    <w:rsid w:val="007F0994"/>
    <w:rsid w:val="007F38CD"/>
    <w:rsid w:val="00804B71"/>
    <w:rsid w:val="008078C7"/>
    <w:rsid w:val="00811CD7"/>
    <w:rsid w:val="00822B3A"/>
    <w:rsid w:val="00823F4F"/>
    <w:rsid w:val="0083102E"/>
    <w:rsid w:val="00832C10"/>
    <w:rsid w:val="0083482F"/>
    <w:rsid w:val="00842158"/>
    <w:rsid w:val="00847757"/>
    <w:rsid w:val="0085664C"/>
    <w:rsid w:val="00861524"/>
    <w:rsid w:val="00877250"/>
    <w:rsid w:val="00880FE3"/>
    <w:rsid w:val="00884675"/>
    <w:rsid w:val="00892ED3"/>
    <w:rsid w:val="00896E98"/>
    <w:rsid w:val="008A72BB"/>
    <w:rsid w:val="008B1A3C"/>
    <w:rsid w:val="008B6416"/>
    <w:rsid w:val="008C6747"/>
    <w:rsid w:val="008D1C86"/>
    <w:rsid w:val="008D2104"/>
    <w:rsid w:val="008D7345"/>
    <w:rsid w:val="008E0129"/>
    <w:rsid w:val="008E0EF1"/>
    <w:rsid w:val="008E14E8"/>
    <w:rsid w:val="008E35CB"/>
    <w:rsid w:val="008F0C0F"/>
    <w:rsid w:val="008F1003"/>
    <w:rsid w:val="008F38C0"/>
    <w:rsid w:val="008F3A47"/>
    <w:rsid w:val="008F4097"/>
    <w:rsid w:val="00914494"/>
    <w:rsid w:val="00917C4B"/>
    <w:rsid w:val="00923683"/>
    <w:rsid w:val="00923A83"/>
    <w:rsid w:val="00927424"/>
    <w:rsid w:val="00935F24"/>
    <w:rsid w:val="00952C96"/>
    <w:rsid w:val="009543FC"/>
    <w:rsid w:val="00956BE0"/>
    <w:rsid w:val="00962FA8"/>
    <w:rsid w:val="00967F33"/>
    <w:rsid w:val="00970A74"/>
    <w:rsid w:val="00971C92"/>
    <w:rsid w:val="009814A3"/>
    <w:rsid w:val="00992A56"/>
    <w:rsid w:val="00994A4C"/>
    <w:rsid w:val="009A6986"/>
    <w:rsid w:val="009C07D0"/>
    <w:rsid w:val="009C19EB"/>
    <w:rsid w:val="009D1D7C"/>
    <w:rsid w:val="009D35A4"/>
    <w:rsid w:val="009D5850"/>
    <w:rsid w:val="009D660C"/>
    <w:rsid w:val="009F2DE4"/>
    <w:rsid w:val="009F4B3F"/>
    <w:rsid w:val="009F5AE8"/>
    <w:rsid w:val="009F7C1C"/>
    <w:rsid w:val="00A114E6"/>
    <w:rsid w:val="00A22650"/>
    <w:rsid w:val="00A23939"/>
    <w:rsid w:val="00A31ADD"/>
    <w:rsid w:val="00A3361E"/>
    <w:rsid w:val="00A354B8"/>
    <w:rsid w:val="00A44424"/>
    <w:rsid w:val="00A44742"/>
    <w:rsid w:val="00A515C8"/>
    <w:rsid w:val="00A54229"/>
    <w:rsid w:val="00A62001"/>
    <w:rsid w:val="00A6574F"/>
    <w:rsid w:val="00A663A2"/>
    <w:rsid w:val="00A7197C"/>
    <w:rsid w:val="00A724B3"/>
    <w:rsid w:val="00A74E03"/>
    <w:rsid w:val="00A8125A"/>
    <w:rsid w:val="00A8469A"/>
    <w:rsid w:val="00A92A9B"/>
    <w:rsid w:val="00A93118"/>
    <w:rsid w:val="00A95E6B"/>
    <w:rsid w:val="00A964DF"/>
    <w:rsid w:val="00A97A08"/>
    <w:rsid w:val="00A97A93"/>
    <w:rsid w:val="00AA3001"/>
    <w:rsid w:val="00AC24D3"/>
    <w:rsid w:val="00AC3D39"/>
    <w:rsid w:val="00AC6641"/>
    <w:rsid w:val="00AD38B8"/>
    <w:rsid w:val="00AD780A"/>
    <w:rsid w:val="00AE0CC7"/>
    <w:rsid w:val="00AE5239"/>
    <w:rsid w:val="00AF05A1"/>
    <w:rsid w:val="00AF2AAB"/>
    <w:rsid w:val="00AF44D9"/>
    <w:rsid w:val="00AF5596"/>
    <w:rsid w:val="00B01344"/>
    <w:rsid w:val="00B02532"/>
    <w:rsid w:val="00B02A76"/>
    <w:rsid w:val="00B03D2C"/>
    <w:rsid w:val="00B0448E"/>
    <w:rsid w:val="00B04853"/>
    <w:rsid w:val="00B0667F"/>
    <w:rsid w:val="00B16DC4"/>
    <w:rsid w:val="00B2186E"/>
    <w:rsid w:val="00B24516"/>
    <w:rsid w:val="00B24706"/>
    <w:rsid w:val="00B2529E"/>
    <w:rsid w:val="00B25FED"/>
    <w:rsid w:val="00B31610"/>
    <w:rsid w:val="00B410FA"/>
    <w:rsid w:val="00B441EA"/>
    <w:rsid w:val="00B44AE6"/>
    <w:rsid w:val="00B46695"/>
    <w:rsid w:val="00B473A4"/>
    <w:rsid w:val="00B5166B"/>
    <w:rsid w:val="00B5474C"/>
    <w:rsid w:val="00B56657"/>
    <w:rsid w:val="00B5705C"/>
    <w:rsid w:val="00B579FD"/>
    <w:rsid w:val="00B7275A"/>
    <w:rsid w:val="00B860B1"/>
    <w:rsid w:val="00B932FE"/>
    <w:rsid w:val="00B94D93"/>
    <w:rsid w:val="00BB1395"/>
    <w:rsid w:val="00BB2AA4"/>
    <w:rsid w:val="00BB2C48"/>
    <w:rsid w:val="00BC34F1"/>
    <w:rsid w:val="00BC7790"/>
    <w:rsid w:val="00BD160B"/>
    <w:rsid w:val="00BD213E"/>
    <w:rsid w:val="00BD21D5"/>
    <w:rsid w:val="00BD2A6A"/>
    <w:rsid w:val="00BD64A0"/>
    <w:rsid w:val="00BD6DBA"/>
    <w:rsid w:val="00BD7890"/>
    <w:rsid w:val="00BE2E62"/>
    <w:rsid w:val="00BE4AAC"/>
    <w:rsid w:val="00BF3D3A"/>
    <w:rsid w:val="00C0359B"/>
    <w:rsid w:val="00C05A70"/>
    <w:rsid w:val="00C06F53"/>
    <w:rsid w:val="00C07B5B"/>
    <w:rsid w:val="00C14D95"/>
    <w:rsid w:val="00C17353"/>
    <w:rsid w:val="00C30FE5"/>
    <w:rsid w:val="00C41734"/>
    <w:rsid w:val="00C55D03"/>
    <w:rsid w:val="00C56221"/>
    <w:rsid w:val="00C66AB4"/>
    <w:rsid w:val="00C81DD8"/>
    <w:rsid w:val="00C85F0E"/>
    <w:rsid w:val="00C86474"/>
    <w:rsid w:val="00C9451C"/>
    <w:rsid w:val="00CA31DD"/>
    <w:rsid w:val="00CA354F"/>
    <w:rsid w:val="00CA4E39"/>
    <w:rsid w:val="00CA5E01"/>
    <w:rsid w:val="00CC4BFA"/>
    <w:rsid w:val="00CD4909"/>
    <w:rsid w:val="00CE0ABB"/>
    <w:rsid w:val="00CE3558"/>
    <w:rsid w:val="00CE5AE2"/>
    <w:rsid w:val="00CE739F"/>
    <w:rsid w:val="00CF0EB4"/>
    <w:rsid w:val="00CF27D9"/>
    <w:rsid w:val="00CF72C8"/>
    <w:rsid w:val="00D021AD"/>
    <w:rsid w:val="00D104EF"/>
    <w:rsid w:val="00D17CB2"/>
    <w:rsid w:val="00D200F5"/>
    <w:rsid w:val="00D23BD5"/>
    <w:rsid w:val="00D408FB"/>
    <w:rsid w:val="00D4751F"/>
    <w:rsid w:val="00D540F6"/>
    <w:rsid w:val="00D61D95"/>
    <w:rsid w:val="00D63E18"/>
    <w:rsid w:val="00D6530A"/>
    <w:rsid w:val="00D735AD"/>
    <w:rsid w:val="00D84E10"/>
    <w:rsid w:val="00D86621"/>
    <w:rsid w:val="00D91E32"/>
    <w:rsid w:val="00D95199"/>
    <w:rsid w:val="00D96DEC"/>
    <w:rsid w:val="00DA31B7"/>
    <w:rsid w:val="00DA37B8"/>
    <w:rsid w:val="00DA40EE"/>
    <w:rsid w:val="00DA4316"/>
    <w:rsid w:val="00DA6CAF"/>
    <w:rsid w:val="00DC6130"/>
    <w:rsid w:val="00DD2349"/>
    <w:rsid w:val="00DE2FDF"/>
    <w:rsid w:val="00DF22EC"/>
    <w:rsid w:val="00DF572A"/>
    <w:rsid w:val="00DF67B1"/>
    <w:rsid w:val="00E0250B"/>
    <w:rsid w:val="00E04ECF"/>
    <w:rsid w:val="00E17B2A"/>
    <w:rsid w:val="00E22CF8"/>
    <w:rsid w:val="00E2407B"/>
    <w:rsid w:val="00E3669A"/>
    <w:rsid w:val="00E36E4B"/>
    <w:rsid w:val="00E40A6A"/>
    <w:rsid w:val="00E425D1"/>
    <w:rsid w:val="00E47D8A"/>
    <w:rsid w:val="00E51B9D"/>
    <w:rsid w:val="00E5230F"/>
    <w:rsid w:val="00E5508C"/>
    <w:rsid w:val="00E55A85"/>
    <w:rsid w:val="00E6208B"/>
    <w:rsid w:val="00E63747"/>
    <w:rsid w:val="00E66544"/>
    <w:rsid w:val="00E71D03"/>
    <w:rsid w:val="00E74134"/>
    <w:rsid w:val="00E77424"/>
    <w:rsid w:val="00E8202E"/>
    <w:rsid w:val="00E9250C"/>
    <w:rsid w:val="00E94CCD"/>
    <w:rsid w:val="00EA3399"/>
    <w:rsid w:val="00EB0EE3"/>
    <w:rsid w:val="00EB117D"/>
    <w:rsid w:val="00EB121A"/>
    <w:rsid w:val="00EB20F6"/>
    <w:rsid w:val="00ED3608"/>
    <w:rsid w:val="00ED4E62"/>
    <w:rsid w:val="00EE086E"/>
    <w:rsid w:val="00EF3878"/>
    <w:rsid w:val="00F019FD"/>
    <w:rsid w:val="00F07560"/>
    <w:rsid w:val="00F119CE"/>
    <w:rsid w:val="00F12F1D"/>
    <w:rsid w:val="00F13B36"/>
    <w:rsid w:val="00F1637A"/>
    <w:rsid w:val="00F16572"/>
    <w:rsid w:val="00F20DCF"/>
    <w:rsid w:val="00F21FE7"/>
    <w:rsid w:val="00F267B7"/>
    <w:rsid w:val="00F341F4"/>
    <w:rsid w:val="00F35BF6"/>
    <w:rsid w:val="00F36399"/>
    <w:rsid w:val="00F37974"/>
    <w:rsid w:val="00F5266D"/>
    <w:rsid w:val="00F549B0"/>
    <w:rsid w:val="00F57139"/>
    <w:rsid w:val="00F577A1"/>
    <w:rsid w:val="00F654B8"/>
    <w:rsid w:val="00F72BF5"/>
    <w:rsid w:val="00F72F92"/>
    <w:rsid w:val="00F8486D"/>
    <w:rsid w:val="00F86689"/>
    <w:rsid w:val="00F91529"/>
    <w:rsid w:val="00F94436"/>
    <w:rsid w:val="00F96CEC"/>
    <w:rsid w:val="00FA2B49"/>
    <w:rsid w:val="00FA6B9A"/>
    <w:rsid w:val="00FB4FDB"/>
    <w:rsid w:val="00FC0BC6"/>
    <w:rsid w:val="00FC334E"/>
    <w:rsid w:val="00FC39E1"/>
    <w:rsid w:val="00FD019E"/>
    <w:rsid w:val="00FE07D3"/>
    <w:rsid w:val="00FE2B60"/>
    <w:rsid w:val="00FE6ABF"/>
    <w:rsid w:val="00FF313D"/>
    <w:rsid w:val="00FF4208"/>
    <w:rsid w:val="00FF5D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00B464B-A2AE-4782-A9EA-CA624FC0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11C"/>
    <w:rPr>
      <w:sz w:val="22"/>
      <w:szCs w:val="24"/>
      <w:lang w:eastAsia="en-US"/>
    </w:rPr>
  </w:style>
  <w:style w:type="paragraph" w:styleId="Heading1">
    <w:name w:val="heading 1"/>
    <w:basedOn w:val="Normal"/>
    <w:next w:val="Bodycopy"/>
    <w:qFormat/>
    <w:rsid w:val="00285D7B"/>
    <w:pPr>
      <w:keepNext/>
      <w:numPr>
        <w:numId w:val="27"/>
      </w:numPr>
      <w:spacing w:after="113"/>
      <w:outlineLvl w:val="0"/>
    </w:pPr>
    <w:rPr>
      <w:rFonts w:cs="Arial"/>
      <w:b/>
      <w:bCs/>
      <w:kern w:val="32"/>
      <w:sz w:val="20"/>
      <w:szCs w:val="76"/>
    </w:rPr>
  </w:style>
  <w:style w:type="paragraph" w:styleId="Heading2">
    <w:name w:val="heading 2"/>
    <w:basedOn w:val="Normal"/>
    <w:next w:val="Bodycopy"/>
    <w:qFormat/>
    <w:rsid w:val="00285D7B"/>
    <w:pPr>
      <w:keepNext/>
      <w:numPr>
        <w:ilvl w:val="1"/>
        <w:numId w:val="27"/>
      </w:numPr>
      <w:spacing w:after="113"/>
      <w:outlineLvl w:val="1"/>
    </w:pPr>
    <w:rPr>
      <w:rFonts w:cs="Arial"/>
      <w:bCs/>
      <w:iCs/>
      <w:sz w:val="20"/>
      <w:szCs w:val="40"/>
    </w:rPr>
  </w:style>
  <w:style w:type="paragraph" w:styleId="Heading3">
    <w:name w:val="heading 3"/>
    <w:basedOn w:val="Normal"/>
    <w:next w:val="Bodycopy"/>
    <w:qFormat/>
    <w:rsid w:val="00285D7B"/>
    <w:pPr>
      <w:keepNext/>
      <w:numPr>
        <w:ilvl w:val="2"/>
        <w:numId w:val="27"/>
      </w:numPr>
      <w:spacing w:after="113"/>
      <w:outlineLvl w:val="2"/>
    </w:pPr>
    <w:rPr>
      <w:rFonts w:cs="Arial"/>
      <w:bCs/>
      <w:sz w:val="20"/>
      <w:szCs w:val="28"/>
    </w:rPr>
  </w:style>
  <w:style w:type="paragraph" w:styleId="Heading4">
    <w:name w:val="heading 4"/>
    <w:basedOn w:val="Normal"/>
    <w:next w:val="Bodycopy"/>
    <w:qFormat/>
    <w:rsid w:val="00285D7B"/>
    <w:pPr>
      <w:keepNext/>
      <w:numPr>
        <w:ilvl w:val="3"/>
        <w:numId w:val="27"/>
      </w:numPr>
      <w:spacing w:after="113"/>
      <w:outlineLvl w:val="3"/>
    </w:pPr>
    <w:rPr>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link w:val="BodycopyChar"/>
    <w:rsid w:val="003B4EE1"/>
    <w:pPr>
      <w:spacing w:after="113" w:line="240" w:lineRule="atLeast"/>
    </w:pPr>
    <w:rPr>
      <w:sz w:val="20"/>
    </w:rPr>
  </w:style>
  <w:style w:type="paragraph" w:customStyle="1" w:styleId="BodycopyBold">
    <w:name w:val="Body copy Bold"/>
    <w:basedOn w:val="Normal"/>
    <w:semiHidden/>
    <w:rsid w:val="00F21FE7"/>
    <w:pPr>
      <w:spacing w:after="113" w:line="240" w:lineRule="atLeast"/>
    </w:pPr>
    <w:rPr>
      <w:b/>
      <w:sz w:val="20"/>
    </w:rPr>
  </w:style>
  <w:style w:type="paragraph" w:customStyle="1" w:styleId="Documenttitle">
    <w:name w:val="Document title"/>
    <w:basedOn w:val="Normal"/>
    <w:semiHidden/>
    <w:rsid w:val="00042C57"/>
    <w:pPr>
      <w:spacing w:line="640" w:lineRule="atLeast"/>
    </w:pPr>
    <w:rPr>
      <w:b/>
      <w:sz w:val="56"/>
    </w:rPr>
  </w:style>
  <w:style w:type="paragraph" w:customStyle="1" w:styleId="Addressdetails">
    <w:name w:val="Address details"/>
    <w:basedOn w:val="Normal"/>
    <w:link w:val="AddressdetailsChar"/>
    <w:rsid w:val="004000AB"/>
    <w:pPr>
      <w:spacing w:before="85" w:line="180" w:lineRule="atLeast"/>
    </w:pPr>
    <w:rPr>
      <w:rFonts w:ascii="Arial" w:hAnsi="Arial"/>
      <w:sz w:val="15"/>
    </w:rPr>
  </w:style>
  <w:style w:type="paragraph" w:customStyle="1" w:styleId="Descriptor">
    <w:name w:val="Descriptor"/>
    <w:basedOn w:val="Normal"/>
    <w:rsid w:val="004B375F"/>
    <w:pPr>
      <w:spacing w:before="28" w:line="200" w:lineRule="atLeast"/>
    </w:pPr>
    <w:rPr>
      <w:rFonts w:ascii="Arial" w:hAnsi="Arial"/>
      <w:b/>
      <w:sz w:val="20"/>
    </w:rPr>
  </w:style>
  <w:style w:type="paragraph" w:customStyle="1" w:styleId="Details">
    <w:name w:val="Details"/>
    <w:basedOn w:val="Normal"/>
    <w:rsid w:val="004B375F"/>
    <w:pPr>
      <w:spacing w:before="28" w:line="200" w:lineRule="atLeast"/>
    </w:pPr>
  </w:style>
  <w:style w:type="paragraph" w:customStyle="1" w:styleId="Confidentialitynotice">
    <w:name w:val="Confidentiality notice"/>
    <w:basedOn w:val="Normal"/>
    <w:semiHidden/>
    <w:rsid w:val="00042C57"/>
    <w:pPr>
      <w:spacing w:line="200" w:lineRule="atLeast"/>
    </w:pPr>
    <w:rPr>
      <w:rFonts w:ascii="Arial" w:hAnsi="Arial"/>
      <w:sz w:val="16"/>
    </w:rPr>
  </w:style>
  <w:style w:type="paragraph" w:customStyle="1" w:styleId="Documentstatus">
    <w:name w:val="Document status"/>
    <w:basedOn w:val="Normal"/>
    <w:semiHidden/>
    <w:rsid w:val="00042C57"/>
    <w:pPr>
      <w:spacing w:before="170" w:line="340" w:lineRule="atLeast"/>
    </w:pPr>
    <w:rPr>
      <w:b/>
      <w:sz w:val="28"/>
    </w:rPr>
  </w:style>
  <w:style w:type="paragraph" w:customStyle="1" w:styleId="AHeading">
    <w:name w:val="A Heading"/>
    <w:basedOn w:val="Normal"/>
    <w:semiHidden/>
    <w:rsid w:val="00042C57"/>
    <w:pPr>
      <w:spacing w:line="440" w:lineRule="atLeast"/>
    </w:pPr>
    <w:rPr>
      <w:b/>
      <w:sz w:val="40"/>
    </w:rPr>
  </w:style>
  <w:style w:type="paragraph" w:customStyle="1" w:styleId="Requestform">
    <w:name w:val="Request form"/>
    <w:basedOn w:val="Normal"/>
    <w:semiHidden/>
    <w:rsid w:val="00880FE3"/>
    <w:pPr>
      <w:spacing w:before="85" w:line="220" w:lineRule="atLeast"/>
    </w:pPr>
    <w:rPr>
      <w:rFonts w:ascii="Arial" w:hAnsi="Arial"/>
      <w:sz w:val="18"/>
    </w:rPr>
  </w:style>
  <w:style w:type="paragraph" w:customStyle="1" w:styleId="BHeading">
    <w:name w:val="B Heading"/>
    <w:basedOn w:val="Normal"/>
    <w:semiHidden/>
    <w:rsid w:val="00880FE3"/>
    <w:pPr>
      <w:spacing w:after="170" w:line="340" w:lineRule="atLeast"/>
    </w:pPr>
    <w:rPr>
      <w:b/>
      <w:sz w:val="28"/>
    </w:rPr>
  </w:style>
  <w:style w:type="paragraph" w:customStyle="1" w:styleId="Bodycopy1before">
    <w:name w:val="Body copy 1 before"/>
    <w:basedOn w:val="Normal"/>
    <w:semiHidden/>
    <w:rsid w:val="00F07560"/>
    <w:pPr>
      <w:spacing w:before="57" w:after="113" w:line="240" w:lineRule="atLeast"/>
    </w:pPr>
    <w:rPr>
      <w:sz w:val="20"/>
    </w:rPr>
  </w:style>
  <w:style w:type="paragraph" w:customStyle="1" w:styleId="Bodycopybold1before">
    <w:name w:val="Body copy bold 1 before"/>
    <w:basedOn w:val="Normal"/>
    <w:semiHidden/>
    <w:rsid w:val="009D660C"/>
    <w:pPr>
      <w:spacing w:before="57" w:after="113" w:line="240" w:lineRule="atLeast"/>
    </w:pPr>
    <w:rPr>
      <w:b/>
      <w:sz w:val="20"/>
    </w:rPr>
  </w:style>
  <w:style w:type="paragraph" w:customStyle="1" w:styleId="Bodycopybold3before">
    <w:name w:val="Body copy bold 3 before"/>
    <w:basedOn w:val="Normal"/>
    <w:semiHidden/>
    <w:rsid w:val="002F7A21"/>
    <w:pPr>
      <w:spacing w:before="170" w:after="113" w:line="240" w:lineRule="atLeast"/>
    </w:pPr>
    <w:rPr>
      <w:b/>
      <w:sz w:val="20"/>
    </w:rPr>
  </w:style>
  <w:style w:type="paragraph" w:customStyle="1" w:styleId="Bodycopybold6before">
    <w:name w:val="Body copy bold 6 before"/>
    <w:basedOn w:val="Normal"/>
    <w:semiHidden/>
    <w:rsid w:val="00D540F6"/>
    <w:pPr>
      <w:spacing w:before="340" w:after="113" w:line="240" w:lineRule="atLeast"/>
    </w:pPr>
    <w:rPr>
      <w:b/>
      <w:sz w:val="20"/>
    </w:rPr>
  </w:style>
  <w:style w:type="paragraph" w:customStyle="1" w:styleId="Bodycopy3before">
    <w:name w:val="Body copy 3 before"/>
    <w:basedOn w:val="Normal"/>
    <w:semiHidden/>
    <w:rsid w:val="003A759B"/>
    <w:pPr>
      <w:spacing w:before="170" w:after="113" w:line="240" w:lineRule="atLeast"/>
    </w:pPr>
    <w:rPr>
      <w:sz w:val="20"/>
    </w:rPr>
  </w:style>
  <w:style w:type="paragraph" w:customStyle="1" w:styleId="Bodycopy6before">
    <w:name w:val="Body copy 6 before"/>
    <w:basedOn w:val="Normal"/>
    <w:semiHidden/>
    <w:rsid w:val="00971C92"/>
    <w:pPr>
      <w:spacing w:before="340" w:after="113" w:line="240" w:lineRule="atLeast"/>
    </w:pPr>
    <w:rPr>
      <w:sz w:val="20"/>
    </w:rPr>
  </w:style>
  <w:style w:type="paragraph" w:customStyle="1" w:styleId="Bodycopybold9before">
    <w:name w:val="Body copy bold 9 before"/>
    <w:basedOn w:val="Normal"/>
    <w:semiHidden/>
    <w:rsid w:val="00A44742"/>
    <w:pPr>
      <w:spacing w:before="510" w:after="113" w:line="240" w:lineRule="atLeast"/>
    </w:pPr>
    <w:rPr>
      <w:b/>
      <w:sz w:val="20"/>
    </w:rPr>
  </w:style>
  <w:style w:type="paragraph" w:styleId="Header">
    <w:name w:val="header"/>
    <w:basedOn w:val="Normal"/>
    <w:semiHidden/>
    <w:rsid w:val="00F37974"/>
    <w:rPr>
      <w:sz w:val="20"/>
      <w:szCs w:val="20"/>
    </w:rPr>
  </w:style>
  <w:style w:type="paragraph" w:styleId="Footer">
    <w:name w:val="footer"/>
    <w:basedOn w:val="Normal"/>
    <w:semiHidden/>
    <w:rsid w:val="00F37974"/>
    <w:rPr>
      <w:sz w:val="20"/>
    </w:rPr>
  </w:style>
  <w:style w:type="paragraph" w:customStyle="1" w:styleId="Legalstatement">
    <w:name w:val="Legal statement"/>
    <w:basedOn w:val="Footer"/>
    <w:rsid w:val="00A97A93"/>
    <w:pPr>
      <w:spacing w:after="60"/>
    </w:pPr>
    <w:rPr>
      <w:rFonts w:ascii="Arial" w:hAnsi="Arial" w:cs="Arial"/>
      <w:color w:val="000000"/>
      <w:sz w:val="13"/>
      <w:szCs w:val="16"/>
    </w:rPr>
  </w:style>
  <w:style w:type="character" w:customStyle="1" w:styleId="AddressdetailsChar">
    <w:name w:val="Address details Char"/>
    <w:basedOn w:val="DefaultParagraphFont"/>
    <w:link w:val="Addressdetails"/>
    <w:rsid w:val="004000AB"/>
    <w:rPr>
      <w:rFonts w:ascii="Arial" w:hAnsi="Arial"/>
      <w:sz w:val="15"/>
      <w:szCs w:val="24"/>
      <w:lang w:val="en-AU" w:eastAsia="en-US" w:bidi="ar-SA"/>
    </w:rPr>
  </w:style>
  <w:style w:type="paragraph" w:customStyle="1" w:styleId="Disclaimer">
    <w:name w:val="Disclaimer"/>
    <w:basedOn w:val="Normal"/>
    <w:rsid w:val="00F91529"/>
    <w:pPr>
      <w:spacing w:before="120" w:line="180" w:lineRule="exact"/>
    </w:pPr>
    <w:rPr>
      <w:rFonts w:asciiTheme="minorHAnsi" w:hAnsiTheme="minorHAnsi"/>
      <w:sz w:val="16"/>
      <w:szCs w:val="20"/>
    </w:rPr>
  </w:style>
  <w:style w:type="paragraph" w:styleId="ListBullet">
    <w:name w:val="List Bullet"/>
    <w:basedOn w:val="Normal"/>
    <w:rsid w:val="00285D7B"/>
    <w:pPr>
      <w:numPr>
        <w:numId w:val="28"/>
      </w:numPr>
      <w:spacing w:after="113" w:line="240" w:lineRule="atLeast"/>
    </w:pPr>
    <w:rPr>
      <w:sz w:val="20"/>
    </w:rPr>
  </w:style>
  <w:style w:type="table" w:customStyle="1" w:styleId="TableDeloitte">
    <w:name w:val="Table Deloitte"/>
    <w:basedOn w:val="TableNormal"/>
    <w:rsid w:val="0083482F"/>
    <w:pPr>
      <w:spacing w:before="60" w:after="113" w:line="240" w:lineRule="atLeast"/>
    </w:pPr>
    <w:rPr>
      <w:rFonts w:ascii="Arial" w:eastAsia="SimSun" w:hAnsi="Arial"/>
      <w:sz w:val="16"/>
      <w:lang w:val="en-GB" w:eastAsia="en-GB"/>
    </w:rPr>
    <w:tblPr>
      <w:tblStyleRowBandSize w:val="1"/>
    </w:tblPr>
    <w:tcPr>
      <w:shd w:val="clear" w:color="auto" w:fill="92D400" w:themeFill="accent2"/>
    </w:tcPr>
    <w:tblStylePr w:type="firstRow">
      <w:pPr>
        <w:wordWrap/>
        <w:spacing w:beforeLines="0" w:beforeAutospacing="0" w:afterLines="0" w:afterAutospacing="0" w:line="240" w:lineRule="atLeast"/>
        <w:contextualSpacing w:val="0"/>
      </w:pPr>
      <w:rPr>
        <w:rFonts w:ascii="Arial" w:hAnsi="Arial"/>
        <w:b/>
        <w:color w:val="FFFFFF" w:themeColor="background2"/>
        <w:sz w:val="18"/>
      </w:rPr>
      <w:tblPr/>
      <w:tcPr>
        <w:shd w:val="clear" w:color="auto" w:fill="92D400" w:themeFill="accent2"/>
      </w:tcPr>
    </w:tblStylePr>
    <w:tblStylePr w:type="band1Horz">
      <w:rPr>
        <w:color w:val="auto"/>
      </w:rPr>
      <w:tblPr/>
      <w:tcPr>
        <w:tcBorders>
          <w:bottom w:val="single" w:sz="4" w:space="0" w:color="92D400" w:themeColor="accent2"/>
        </w:tcBorders>
        <w:shd w:val="clear" w:color="auto" w:fill="FFFFFF" w:themeFill="background2"/>
      </w:tcPr>
    </w:tblStylePr>
    <w:tblStylePr w:type="band2Horz">
      <w:tblPr/>
      <w:tcPr>
        <w:tcBorders>
          <w:bottom w:val="single" w:sz="4" w:space="0" w:color="92D400" w:themeColor="accent2"/>
        </w:tcBorders>
        <w:shd w:val="clear" w:color="auto" w:fill="FFFFFF" w:themeFill="background2"/>
      </w:tcPr>
    </w:tblStylePr>
  </w:style>
  <w:style w:type="table" w:customStyle="1" w:styleId="TableFees">
    <w:name w:val="Table Fees"/>
    <w:basedOn w:val="TableNormal"/>
    <w:rsid w:val="0083482F"/>
    <w:pPr>
      <w:spacing w:before="60" w:after="60"/>
    </w:pPr>
    <w:rPr>
      <w:rFonts w:ascii="Times" w:eastAsia="SimSun" w:hAnsi="Times"/>
      <w:lang w:val="en-GB" w:eastAsia="en-GB"/>
    </w:rPr>
    <w:tblPr>
      <w:tblStyleRowBandSize w:val="1"/>
      <w:tblBorders>
        <w:insideH w:val="single" w:sz="4" w:space="0" w:color="auto"/>
      </w:tblBorders>
    </w:tblPr>
    <w:tcPr>
      <w:shd w:val="clear" w:color="auto" w:fill="FFFFFF" w:themeFill="background1"/>
    </w:tcPr>
    <w:tblStylePr w:type="firstRow">
      <w:rPr>
        <w:color w:val="FFFFFF"/>
      </w:rPr>
      <w:tblPr/>
      <w:tcPr>
        <w:shd w:val="clear" w:color="auto" w:fill="003399"/>
      </w:tcPr>
    </w:tblStylePr>
    <w:tblStylePr w:type="firstCol">
      <w:rPr>
        <w:color w:val="000000" w:themeColor="text1"/>
      </w:rPr>
      <w:tblPr/>
      <w:tcPr>
        <w:shd w:val="clear" w:color="auto" w:fill="FFFFFF" w:themeFill="background1"/>
      </w:tcPr>
    </w:tblStylePr>
    <w:tblStylePr w:type="band2Horz">
      <w:tblPr/>
      <w:tcPr>
        <w:shd w:val="clear" w:color="auto" w:fill="D6DBEC"/>
      </w:tcPr>
    </w:tblStylePr>
  </w:style>
  <w:style w:type="paragraph" w:customStyle="1" w:styleId="FooterDocName">
    <w:name w:val="Footer Doc Name"/>
    <w:basedOn w:val="Footer"/>
    <w:rsid w:val="00F37974"/>
    <w:rPr>
      <w:rFonts w:ascii="Arial Narrow" w:hAnsi="Arial Narrow"/>
      <w:noProof/>
      <w:sz w:val="9"/>
      <w:szCs w:val="9"/>
    </w:rPr>
  </w:style>
  <w:style w:type="paragraph" w:styleId="Caption">
    <w:name w:val="caption"/>
    <w:basedOn w:val="Normal"/>
    <w:next w:val="Bodycopy"/>
    <w:semiHidden/>
    <w:qFormat/>
    <w:rsid w:val="00F72BF5"/>
    <w:rPr>
      <w:bCs/>
      <w:szCs w:val="20"/>
    </w:rPr>
  </w:style>
  <w:style w:type="paragraph" w:styleId="BalloonText">
    <w:name w:val="Balloon Text"/>
    <w:basedOn w:val="Normal"/>
    <w:link w:val="BalloonTextChar"/>
    <w:semiHidden/>
    <w:rsid w:val="00BB1395"/>
    <w:rPr>
      <w:rFonts w:ascii="Tahoma" w:hAnsi="Tahoma" w:cs="Tahoma"/>
      <w:sz w:val="16"/>
      <w:szCs w:val="16"/>
    </w:rPr>
  </w:style>
  <w:style w:type="character" w:customStyle="1" w:styleId="BalloonTextChar">
    <w:name w:val="Balloon Text Char"/>
    <w:basedOn w:val="DefaultParagraphFont"/>
    <w:link w:val="BalloonText"/>
    <w:semiHidden/>
    <w:rsid w:val="007610EA"/>
    <w:rPr>
      <w:rFonts w:ascii="Tahoma" w:hAnsi="Tahoma" w:cs="Tahoma"/>
      <w:sz w:val="16"/>
      <w:szCs w:val="16"/>
      <w:lang w:eastAsia="en-US"/>
    </w:rPr>
  </w:style>
  <w:style w:type="paragraph" w:customStyle="1" w:styleId="Member">
    <w:name w:val="Member"/>
    <w:basedOn w:val="Legalstatement"/>
    <w:qFormat/>
    <w:rsid w:val="00F91529"/>
    <w:pPr>
      <w:spacing w:before="120" w:after="0"/>
    </w:pPr>
    <w:rPr>
      <w:sz w:val="14"/>
    </w:rPr>
  </w:style>
  <w:style w:type="paragraph" w:styleId="ListNumber">
    <w:name w:val="List Number"/>
    <w:basedOn w:val="Normal"/>
    <w:rsid w:val="006F611C"/>
    <w:pPr>
      <w:numPr>
        <w:numId w:val="6"/>
      </w:numPr>
      <w:spacing w:after="113"/>
      <w:ind w:left="357" w:hanging="357"/>
    </w:pPr>
    <w:rPr>
      <w:sz w:val="20"/>
    </w:rPr>
  </w:style>
  <w:style w:type="table" w:customStyle="1" w:styleId="TableDeloitteShadedGreen">
    <w:name w:val="Table Deloitte Shaded Green"/>
    <w:basedOn w:val="TableNormal"/>
    <w:uiPriority w:val="99"/>
    <w:qFormat/>
    <w:rsid w:val="0083482F"/>
    <w:rPr>
      <w:rFonts w:ascii="Times" w:eastAsia="Times" w:hAnsi="Times"/>
      <w:lang w:val="en-GB" w:eastAsia="en-GB"/>
    </w:rPr>
    <w:tblPr>
      <w:tblStyleRowBandSize w:val="1"/>
    </w:tblPr>
    <w:tblStylePr w:type="firstRow">
      <w:tblPr/>
      <w:tcPr>
        <w:shd w:val="clear" w:color="auto" w:fill="92D400" w:themeFill="accent2"/>
      </w:tcPr>
    </w:tblStylePr>
    <w:tblStylePr w:type="band2Horz">
      <w:tblPr/>
      <w:tcPr>
        <w:shd w:val="clear" w:color="auto" w:fill="ECFFC3" w:themeFill="accent2" w:themeFillTint="33"/>
      </w:tcPr>
    </w:tblStylePr>
  </w:style>
  <w:style w:type="table" w:customStyle="1" w:styleId="TableDeloitteShadedBlue">
    <w:name w:val="Table Deloitte Shaded Blue"/>
    <w:basedOn w:val="TableNormal"/>
    <w:uiPriority w:val="99"/>
    <w:qFormat/>
    <w:rsid w:val="0083482F"/>
    <w:rPr>
      <w:rFonts w:ascii="Times" w:eastAsia="Times" w:hAnsi="Times"/>
      <w:lang w:val="en-GB" w:eastAsia="en-GB"/>
    </w:rPr>
    <w:tblPr>
      <w:tblStyleRowBandSize w:val="1"/>
    </w:tblPr>
    <w:tblStylePr w:type="firstRow">
      <w:tblPr/>
      <w:tcPr>
        <w:shd w:val="clear" w:color="auto" w:fill="1361FF" w:themeFill="accent1" w:themeFillTint="99"/>
      </w:tcPr>
    </w:tblStylePr>
    <w:tblStylePr w:type="band2Horz">
      <w:tblPr/>
      <w:tcPr>
        <w:shd w:val="clear" w:color="auto" w:fill="C6D9F1" w:themeFill="text2" w:themeFillTint="33"/>
      </w:tcPr>
    </w:tblStylePr>
  </w:style>
  <w:style w:type="table" w:customStyle="1" w:styleId="TableDeloitteStone">
    <w:name w:val="Table Deloitte Stone"/>
    <w:basedOn w:val="TableNormal"/>
    <w:rsid w:val="0083482F"/>
    <w:pPr>
      <w:spacing w:before="60" w:after="113" w:line="240" w:lineRule="atLeast"/>
    </w:pPr>
    <w:rPr>
      <w:rFonts w:ascii="Arial" w:eastAsia="Times" w:hAnsi="Arial"/>
      <w:sz w:val="16"/>
      <w:lang w:val="en-GB" w:eastAsia="en-GB"/>
    </w:rPr>
    <w:tblPr>
      <w:tblStyleRowBandSize w:val="1"/>
    </w:tblPr>
    <w:tcPr>
      <w:shd w:val="clear" w:color="auto" w:fill="FFFFFF" w:themeFill="background1"/>
      <w:vAlign w:val="bottom"/>
    </w:tcPr>
    <w:tblStylePr w:type="firstRow">
      <w:pPr>
        <w:wordWrap/>
        <w:spacing w:beforeLines="0" w:beforeAutospacing="0" w:afterLines="0" w:afterAutospacing="0" w:line="240" w:lineRule="atLeast"/>
        <w:contextualSpacing w:val="0"/>
      </w:pPr>
      <w:rPr>
        <w:rFonts w:ascii="Arial" w:hAnsi="Arial"/>
        <w:b/>
        <w:color w:val="FFFFFF"/>
        <w:sz w:val="18"/>
      </w:rPr>
      <w:tblPr/>
      <w:tcPr>
        <w:shd w:val="clear" w:color="auto" w:fill="548DD4" w:themeFill="text2" w:themeFillTint="99"/>
      </w:tcPr>
    </w:tblStylePr>
    <w:tblStylePr w:type="band1Horz">
      <w:pPr>
        <w:wordWrap/>
        <w:spacing w:beforeLines="0" w:beforeAutospacing="0" w:afterLines="0" w:afterAutospacing="0" w:line="240" w:lineRule="atLeast"/>
      </w:pPr>
      <w:tblPr/>
      <w:tcPr>
        <w:tcBorders>
          <w:bottom w:val="single" w:sz="4" w:space="0" w:color="1361FF" w:themeColor="accent1" w:themeTint="99"/>
        </w:tcBorders>
        <w:shd w:val="clear" w:color="auto" w:fill="FFFFFF" w:themeFill="background2"/>
      </w:tcPr>
    </w:tblStylePr>
    <w:tblStylePr w:type="band2Horz">
      <w:pPr>
        <w:wordWrap/>
        <w:spacing w:beforeLines="0" w:beforeAutospacing="0" w:afterLines="0" w:afterAutospacing="0" w:line="240" w:lineRule="atLeast"/>
      </w:pPr>
      <w:tblPr/>
      <w:tcPr>
        <w:tcBorders>
          <w:bottom w:val="single" w:sz="4" w:space="0" w:color="1361FF" w:themeColor="accent1" w:themeTint="99"/>
        </w:tcBorders>
        <w:shd w:val="clear" w:color="auto" w:fill="FFFFFF" w:themeFill="background2"/>
      </w:tcPr>
    </w:tblStylePr>
  </w:style>
  <w:style w:type="character" w:styleId="Hyperlink">
    <w:name w:val="Hyperlink"/>
    <w:basedOn w:val="DefaultParagraphFont"/>
    <w:uiPriority w:val="99"/>
    <w:rsid w:val="006A6C36"/>
    <w:rPr>
      <w:color w:val="0000FF"/>
      <w:u w:val="single"/>
    </w:rPr>
  </w:style>
  <w:style w:type="character" w:styleId="CommentReference">
    <w:name w:val="annotation reference"/>
    <w:basedOn w:val="DefaultParagraphFont"/>
    <w:semiHidden/>
    <w:rsid w:val="006A6C36"/>
    <w:rPr>
      <w:sz w:val="16"/>
      <w:szCs w:val="16"/>
    </w:rPr>
  </w:style>
  <w:style w:type="paragraph" w:styleId="CommentText">
    <w:name w:val="annotation text"/>
    <w:basedOn w:val="Normal"/>
    <w:link w:val="CommentTextChar"/>
    <w:semiHidden/>
    <w:rsid w:val="006A6C36"/>
    <w:rPr>
      <w:sz w:val="20"/>
      <w:szCs w:val="20"/>
    </w:rPr>
  </w:style>
  <w:style w:type="character" w:customStyle="1" w:styleId="CommentTextChar">
    <w:name w:val="Comment Text Char"/>
    <w:basedOn w:val="DefaultParagraphFont"/>
    <w:link w:val="CommentText"/>
    <w:semiHidden/>
    <w:rsid w:val="006A6C36"/>
    <w:rPr>
      <w:lang w:eastAsia="en-US"/>
    </w:rPr>
  </w:style>
  <w:style w:type="paragraph" w:styleId="CommentSubject">
    <w:name w:val="annotation subject"/>
    <w:basedOn w:val="CommentText"/>
    <w:next w:val="CommentText"/>
    <w:link w:val="CommentSubjectChar"/>
    <w:semiHidden/>
    <w:rsid w:val="006A6C36"/>
    <w:rPr>
      <w:b/>
      <w:bCs/>
    </w:rPr>
  </w:style>
  <w:style w:type="character" w:customStyle="1" w:styleId="CommentSubjectChar">
    <w:name w:val="Comment Subject Char"/>
    <w:basedOn w:val="CommentTextChar"/>
    <w:link w:val="CommentSubject"/>
    <w:semiHidden/>
    <w:rsid w:val="006A6C36"/>
    <w:rPr>
      <w:b/>
      <w:bCs/>
      <w:lang w:eastAsia="en-US"/>
    </w:rPr>
  </w:style>
  <w:style w:type="paragraph" w:styleId="PlainText">
    <w:name w:val="Plain Text"/>
    <w:basedOn w:val="Normal"/>
    <w:link w:val="PlainTextChar"/>
    <w:uiPriority w:val="99"/>
    <w:unhideWhenUsed/>
    <w:rsid w:val="002176D0"/>
    <w:pPr>
      <w:ind w:left="777" w:right="227" w:hanging="720"/>
      <w:jc w:val="center"/>
    </w:pPr>
    <w:rPr>
      <w:rFonts w:ascii="Consolas" w:eastAsia="Times" w:hAnsi="Consolas"/>
      <w:color w:val="000000" w:themeColor="text1"/>
      <w:sz w:val="21"/>
      <w:szCs w:val="21"/>
      <w:lang w:val="en-GB"/>
    </w:rPr>
  </w:style>
  <w:style w:type="character" w:customStyle="1" w:styleId="PlainTextChar">
    <w:name w:val="Plain Text Char"/>
    <w:basedOn w:val="DefaultParagraphFont"/>
    <w:link w:val="PlainText"/>
    <w:uiPriority w:val="99"/>
    <w:rsid w:val="002176D0"/>
    <w:rPr>
      <w:rFonts w:ascii="Consolas" w:eastAsia="Times" w:hAnsi="Consolas"/>
      <w:color w:val="000000" w:themeColor="text1"/>
      <w:sz w:val="21"/>
      <w:szCs w:val="21"/>
      <w:lang w:val="en-GB" w:eastAsia="en-US"/>
    </w:rPr>
  </w:style>
  <w:style w:type="character" w:customStyle="1" w:styleId="BodycopyChar">
    <w:name w:val="Body copy Char"/>
    <w:basedOn w:val="DefaultParagraphFont"/>
    <w:link w:val="Bodycopy"/>
    <w:rsid w:val="006B097D"/>
    <w:rPr>
      <w:szCs w:val="24"/>
      <w:lang w:eastAsia="en-US"/>
    </w:rPr>
  </w:style>
  <w:style w:type="paragraph" w:customStyle="1" w:styleId="Body">
    <w:name w:val="Body"/>
    <w:basedOn w:val="Normal"/>
    <w:rsid w:val="004D54E2"/>
    <w:rPr>
      <w:szCs w:val="20"/>
    </w:rPr>
  </w:style>
  <w:style w:type="table" w:styleId="TableGrid">
    <w:name w:val="Table Grid"/>
    <w:basedOn w:val="TableNormal"/>
    <w:rsid w:val="000B0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0B02D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837327">
      <w:bodyDiv w:val="1"/>
      <w:marLeft w:val="0"/>
      <w:marRight w:val="0"/>
      <w:marTop w:val="0"/>
      <w:marBottom w:val="0"/>
      <w:divBdr>
        <w:top w:val="none" w:sz="0" w:space="0" w:color="auto"/>
        <w:left w:val="none" w:sz="0" w:space="0" w:color="auto"/>
        <w:bottom w:val="none" w:sz="0" w:space="0" w:color="auto"/>
        <w:right w:val="none" w:sz="0" w:space="0" w:color="auto"/>
      </w:divBdr>
    </w:div>
    <w:div w:id="1325470805">
      <w:bodyDiv w:val="1"/>
      <w:marLeft w:val="0"/>
      <w:marRight w:val="0"/>
      <w:marTop w:val="0"/>
      <w:marBottom w:val="0"/>
      <w:divBdr>
        <w:top w:val="none" w:sz="0" w:space="0" w:color="auto"/>
        <w:left w:val="none" w:sz="0" w:space="0" w:color="auto"/>
        <w:bottom w:val="none" w:sz="0" w:space="0" w:color="auto"/>
        <w:right w:val="none" w:sz="0" w:space="0" w:color="auto"/>
      </w:divBdr>
    </w:div>
    <w:div w:id="214657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MEL_1\Apps\office\template2013\Letter.dotm" TargetMode="External"/></Relationships>
</file>

<file path=word/theme/theme1.xml><?xml version="1.0" encoding="utf-8"?>
<a:theme xmlns:a="http://schemas.openxmlformats.org/drawingml/2006/main" name="Deloitte">
  <a:themeElements>
    <a:clrScheme name="Deloitte2">
      <a:dk1>
        <a:sysClr val="windowText" lastClr="000000"/>
      </a:dk1>
      <a:lt1>
        <a:srgbClr val="FFFFFF"/>
      </a:lt1>
      <a:dk2>
        <a:srgbClr val="1F497D"/>
      </a:dk2>
      <a:lt2>
        <a:srgbClr val="FFFFFF"/>
      </a:lt2>
      <a:accent1>
        <a:srgbClr val="002776"/>
      </a:accent1>
      <a:accent2>
        <a:srgbClr val="92D400"/>
      </a:accent2>
      <a:accent3>
        <a:srgbClr val="00A1DE"/>
      </a:accent3>
      <a:accent4>
        <a:srgbClr val="3C8A2E"/>
      </a:accent4>
      <a:accent5>
        <a:srgbClr val="72C7E7"/>
      </a:accent5>
      <a:accent6>
        <a:srgbClr val="C9DD03"/>
      </a:accent6>
      <a:hlink>
        <a:srgbClr val="00A1DE"/>
      </a:hlink>
      <a:folHlink>
        <a:srgbClr val="72C7E7"/>
      </a:folHlink>
    </a:clrScheme>
    <a:fontScheme name="Deloit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1832748A57FF45A67BBDFE073B1031" ma:contentTypeVersion="0" ma:contentTypeDescription="Create a new document." ma:contentTypeScope="" ma:versionID="713fcc4b1807160bd02545ed910108a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B3F12-DA67-4470-867A-6B3823ED4F81}">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FBE62B10-C032-4BDD-90E3-6DE90B6FCDD4}">
  <ds:schemaRefs>
    <ds:schemaRef ds:uri="http://schemas.microsoft.com/sharepoint/v3/contenttype/forms"/>
  </ds:schemaRefs>
</ds:datastoreItem>
</file>

<file path=customXml/itemProps3.xml><?xml version="1.0" encoding="utf-8"?>
<ds:datastoreItem xmlns:ds="http://schemas.openxmlformats.org/officeDocument/2006/customXml" ds:itemID="{E131512F-2CC8-4DFD-9D21-C6C4E6BF7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96FD929-3A2F-4B8F-83B8-DA0E0B810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Letter.dotm</Template>
  <TotalTime>13</TotalTime>
  <Pages>3</Pages>
  <Words>1443</Words>
  <Characters>7662</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Submission DR172 - Deloitte Touche Tohmatsu (Deloitte) - Superannuation: Assessing Efficiency and Competitiveness - Public inquiry</vt:lpstr>
    </vt:vector>
  </TitlesOfParts>
  <Company>Deloitte Touche Tohmatsu (Deloitte)</Company>
  <LinksUpToDate>false</LinksUpToDate>
  <CharactersWithSpaces>9087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DR172 - Deloitte Touche Tohmatsu (Deloitte) - Superannuation: Assessing Efficiency and Competitiveness - Public inquiry</dc:title>
  <dc:creator>Deloitte Touche Tohmatsu (Deloitte)</dc:creator>
  <cp:lastModifiedBy>Productivity Commission</cp:lastModifiedBy>
  <cp:revision>6</cp:revision>
  <cp:lastPrinted>2016-08-25T02:08:00Z</cp:lastPrinted>
  <dcterms:created xsi:type="dcterms:W3CDTF">2018-07-13T00:32:00Z</dcterms:created>
  <dcterms:modified xsi:type="dcterms:W3CDTF">2018-07-23T03:02:00Z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tter_Recipient">
    <vt:lpwstr>Marc Flipo_x000b_Director of Corporate Services</vt:lpwstr>
  </property>
  <property fmtid="{D5CDD505-2E9C-101B-9397-08002B2CF9AE}" pid="3" name="Letter_RecipientAddress">
    <vt:lpwstr>Melbourne Business School_x000b_200 Leicester Street_x000b_Carlton_x000b_VIC 3053</vt:lpwstr>
  </property>
  <property fmtid="{D5CDD505-2E9C-101B-9397-08002B2CF9AE}" pid="4" name="Letter_Salutation">
    <vt:lpwstr>Dear </vt:lpwstr>
  </property>
  <property fmtid="{D5CDD505-2E9C-101B-9397-08002B2CF9AE}" pid="5" name="Letter_Body">
    <vt:lpwstr>Letter_Body</vt:lpwstr>
  </property>
  <property fmtid="{D5CDD505-2E9C-101B-9397-08002B2CF9AE}" pid="6" name="Letter_Close">
    <vt:lpwstr>Yours sincerely,</vt:lpwstr>
  </property>
  <property fmtid="{D5CDD505-2E9C-101B-9397-08002B2CF9AE}" pid="7" name="Letter_Sign">
    <vt:lpwstr>Dr Mike Calllan</vt:lpwstr>
  </property>
  <property fmtid="{D5CDD505-2E9C-101B-9397-08002B2CF9AE}" pid="8" name="Letter_Title">
    <vt:lpwstr/>
  </property>
  <property fmtid="{D5CDD505-2E9C-101B-9397-08002B2CF9AE}" pid="9" name="Letter_Refinit">
    <vt:lpwstr/>
  </property>
  <property fmtid="{D5CDD505-2E9C-101B-9397-08002B2CF9AE}" pid="10" name="Letter_Enc">
    <vt:lpwstr/>
  </property>
  <property fmtid="{D5CDD505-2E9C-101B-9397-08002B2CF9AE}" pid="11" name="Letter_ccName">
    <vt:lpwstr/>
  </property>
  <property fmtid="{D5CDD505-2E9C-101B-9397-08002B2CF9AE}" pid="12" name="Letter_Re">
    <vt:lpwstr>Invoice for November</vt:lpwstr>
  </property>
  <property fmtid="{D5CDD505-2E9C-101B-9397-08002B2CF9AE}" pid="13" name="Letter_Ent">
    <vt:lpwstr>Deloitte Actuaries &amp; Consultants Limited</vt:lpwstr>
  </property>
  <property fmtid="{D5CDD505-2E9C-101B-9397-08002B2CF9AE}" pid="14" name="HeadingNumbering">
    <vt:lpwstr>True</vt:lpwstr>
  </property>
  <property fmtid="{D5CDD505-2E9C-101B-9397-08002B2CF9AE}" pid="15" name="ContentTypeId">
    <vt:lpwstr>0x010100771832748A57FF45A67BBDFE073B1031</vt:lpwstr>
  </property>
  <property fmtid="{D5CDD505-2E9C-101B-9397-08002B2CF9AE}" pid="16" name="BusinessLine">
    <vt:lpwstr>Deloitte Actuaries &amp; Consultants Limited</vt:lpwstr>
  </property>
  <property fmtid="{D5CDD505-2E9C-101B-9397-08002B2CF9AE}" pid="17" name="ab_CompanyHeader">
    <vt:lpwstr>Deloitte Actuaries &amp; Consultants Limited_x000b_ACN 092 651 057_x000b_AFSL 244576</vt:lpwstr>
  </property>
  <property fmtid="{D5CDD505-2E9C-101B-9397-08002B2CF9AE}" pid="18" name="ab_Address1">
    <vt:lpwstr/>
  </property>
  <property fmtid="{D5CDD505-2E9C-101B-9397-08002B2CF9AE}" pid="19" name="ab_Address2">
    <vt:lpwstr/>
  </property>
  <property fmtid="{D5CDD505-2E9C-101B-9397-08002B2CF9AE}" pid="20" name="ab_Address3">
    <vt:lpwstr>_x000b_550 Bourke Street</vt:lpwstr>
  </property>
  <property fmtid="{D5CDD505-2E9C-101B-9397-08002B2CF9AE}" pid="21" name="ab_Address4">
    <vt:lpwstr>_x000b_Melbourne VIC 3000</vt:lpwstr>
  </property>
  <property fmtid="{D5CDD505-2E9C-101B-9397-08002B2CF9AE}" pid="22" name="ab_Address5">
    <vt:lpwstr>_x000b_GPO Box 78</vt:lpwstr>
  </property>
  <property fmtid="{D5CDD505-2E9C-101B-9397-08002B2CF9AE}" pid="23" name="ab_Address6">
    <vt:lpwstr>_x000b_Melbourne VIC 3001 Australia</vt:lpwstr>
  </property>
  <property fmtid="{D5CDD505-2E9C-101B-9397-08002B2CF9AE}" pid="24" name="ab_DXNo">
    <vt:lpwstr>DX: 111_x000b_</vt:lpwstr>
  </property>
  <property fmtid="{D5CDD505-2E9C-101B-9397-08002B2CF9AE}" pid="25" name="ab_TelNo">
    <vt:lpwstr>+61 (0) 3 9671 7000</vt:lpwstr>
  </property>
  <property fmtid="{D5CDD505-2E9C-101B-9397-08002B2CF9AE}" pid="26" name="ab_Website">
    <vt:lpwstr>www.deloitte.com.au</vt:lpwstr>
  </property>
  <property fmtid="{D5CDD505-2E9C-101B-9397-08002B2CF9AE}" pid="27" name="ab_FaxNo1">
    <vt:lpwstr>+6190)3 9671 6599</vt:lpwstr>
  </property>
</Properties>
</file>