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76AC0" w14:textId="77777777" w:rsidR="009336FC" w:rsidRDefault="00114667">
      <w:pPr>
        <w:rPr>
          <w:rFonts w:ascii="Arial Narrow" w:hAnsi="Arial Narrow"/>
          <w:noProof/>
        </w:rPr>
      </w:pPr>
      <w:r>
        <w:rPr>
          <w:rFonts w:ascii="Arial Narrow" w:hAnsi="Arial Narrow"/>
          <w:noProof/>
        </w:rPr>
        <w:drawing>
          <wp:anchor distT="0" distB="0" distL="114300" distR="114300" simplePos="0" relativeHeight="251658240" behindDoc="1" locked="0" layoutInCell="1" allowOverlap="1" wp14:anchorId="4E676B12" wp14:editId="2FFDF612">
            <wp:simplePos x="0" y="0"/>
            <wp:positionH relativeFrom="column">
              <wp:posOffset>-923925</wp:posOffset>
            </wp:positionH>
            <wp:positionV relativeFrom="paragraph">
              <wp:posOffset>-1099608</wp:posOffset>
            </wp:positionV>
            <wp:extent cx="7635119" cy="1080000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99_Submission 01B front.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635119" cy="1080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E676AC1" w14:textId="77777777" w:rsidR="00B8724A" w:rsidRDefault="00B8724A">
      <w:pPr>
        <w:rPr>
          <w:rFonts w:ascii="Arial Narrow" w:hAnsi="Arial Narrow"/>
          <w:noProof/>
        </w:rPr>
      </w:pPr>
    </w:p>
    <w:p w14:paraId="4E676AC2" w14:textId="77777777" w:rsidR="00B8724A" w:rsidRDefault="00B8724A">
      <w:pPr>
        <w:rPr>
          <w:rFonts w:ascii="Arial Narrow" w:hAnsi="Arial Narrow"/>
        </w:rPr>
      </w:pPr>
    </w:p>
    <w:p w14:paraId="4E676AC3" w14:textId="77777777" w:rsidR="00B8724A" w:rsidRDefault="00B8724A">
      <w:pPr>
        <w:jc w:val="center"/>
        <w:rPr>
          <w:rFonts w:ascii="Arial Narrow" w:hAnsi="Arial Narrow"/>
        </w:rPr>
      </w:pPr>
    </w:p>
    <w:p w14:paraId="4E676AC4" w14:textId="77777777" w:rsidR="00B8724A" w:rsidRPr="002A27C3" w:rsidRDefault="00B8724A" w:rsidP="00B8724A">
      <w:pPr>
        <w:rPr>
          <w:rFonts w:ascii="Arial Narrow" w:hAnsi="Arial Narrow"/>
        </w:rPr>
      </w:pPr>
    </w:p>
    <w:p w14:paraId="4E676AC5" w14:textId="77777777" w:rsidR="00B8724A" w:rsidRPr="002A27C3" w:rsidRDefault="00B8724A" w:rsidP="00B8724A">
      <w:pPr>
        <w:rPr>
          <w:rFonts w:ascii="Arial Narrow" w:hAnsi="Arial Narrow"/>
        </w:rPr>
      </w:pPr>
    </w:p>
    <w:p w14:paraId="4E676AC6" w14:textId="77777777" w:rsidR="00B8724A" w:rsidRPr="002A27C3" w:rsidRDefault="00B8724A" w:rsidP="00B8724A">
      <w:pPr>
        <w:rPr>
          <w:rFonts w:ascii="Arial Narrow" w:hAnsi="Arial Narrow"/>
        </w:rPr>
      </w:pPr>
    </w:p>
    <w:p w14:paraId="4E676AC7" w14:textId="77777777" w:rsidR="00B8724A" w:rsidRPr="002A27C3" w:rsidRDefault="00B8724A" w:rsidP="00B8724A">
      <w:pPr>
        <w:rPr>
          <w:rFonts w:ascii="Arial Narrow" w:hAnsi="Arial Narrow"/>
        </w:rPr>
      </w:pPr>
    </w:p>
    <w:p w14:paraId="4E676AC8" w14:textId="77777777" w:rsidR="00B8724A" w:rsidRPr="002A27C3" w:rsidRDefault="00B8724A" w:rsidP="00B8724A">
      <w:pPr>
        <w:rPr>
          <w:rFonts w:ascii="Arial Narrow" w:hAnsi="Arial Narrow"/>
        </w:rPr>
      </w:pPr>
    </w:p>
    <w:p w14:paraId="4E676AC9" w14:textId="77777777" w:rsidR="00B8724A" w:rsidRPr="002A27C3" w:rsidRDefault="00B8724A" w:rsidP="00B8724A">
      <w:pPr>
        <w:rPr>
          <w:rFonts w:ascii="Arial Narrow" w:hAnsi="Arial Narrow"/>
        </w:rPr>
      </w:pPr>
    </w:p>
    <w:p w14:paraId="4E676ACA" w14:textId="53AC1B51" w:rsidR="00B8724A" w:rsidRPr="002A27C3" w:rsidRDefault="00CA16C4" w:rsidP="00B8724A">
      <w:pPr>
        <w:rPr>
          <w:rFonts w:ascii="Arial Narrow" w:hAnsi="Arial Narrow"/>
        </w:rPr>
      </w:pPr>
      <w:r>
        <w:rPr>
          <w:noProof/>
        </w:rPr>
        <mc:AlternateContent>
          <mc:Choice Requires="wps">
            <w:drawing>
              <wp:anchor distT="0" distB="0" distL="114935" distR="114935" simplePos="0" relativeHeight="251657216" behindDoc="0" locked="0" layoutInCell="1" allowOverlap="1" wp14:anchorId="4E676B15" wp14:editId="3B009F97">
                <wp:simplePos x="0" y="0"/>
                <wp:positionH relativeFrom="column">
                  <wp:posOffset>4665133</wp:posOffset>
                </wp:positionH>
                <wp:positionV relativeFrom="paragraph">
                  <wp:posOffset>156422</wp:posOffset>
                </wp:positionV>
                <wp:extent cx="1946275" cy="23368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2336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0B8FB" w14:textId="6B3761F2" w:rsidR="00B05183" w:rsidRDefault="006564FE" w:rsidP="00B8724A">
                            <w:pPr>
                              <w:pStyle w:val="header14ptorangebold"/>
                              <w:rPr>
                                <w:b/>
                                <w:i/>
                                <w:color w:val="FFFFFF"/>
                                <w:spacing w:val="-20"/>
                                <w:sz w:val="36"/>
                                <w:szCs w:val="36"/>
                              </w:rPr>
                            </w:pPr>
                            <w:r>
                              <w:rPr>
                                <w:b/>
                                <w:color w:val="FFFFFF"/>
                                <w:spacing w:val="-20"/>
                                <w:sz w:val="36"/>
                                <w:szCs w:val="36"/>
                              </w:rPr>
                              <w:t>Submission to Productivity Commission</w:t>
                            </w:r>
                            <w:r w:rsidR="00FC3955">
                              <w:rPr>
                                <w:b/>
                                <w:color w:val="FFFFFF"/>
                                <w:spacing w:val="-20"/>
                                <w:sz w:val="36"/>
                                <w:szCs w:val="36"/>
                              </w:rPr>
                              <w:t xml:space="preserve"> on</w:t>
                            </w:r>
                            <w:r>
                              <w:rPr>
                                <w:b/>
                                <w:color w:val="FFFFFF"/>
                                <w:spacing w:val="-20"/>
                                <w:sz w:val="36"/>
                                <w:szCs w:val="36"/>
                              </w:rPr>
                              <w:t xml:space="preserve"> </w:t>
                            </w:r>
                            <w:r>
                              <w:rPr>
                                <w:b/>
                                <w:i/>
                                <w:color w:val="FFFFFF"/>
                                <w:spacing w:val="-20"/>
                                <w:sz w:val="36"/>
                                <w:szCs w:val="36"/>
                              </w:rPr>
                              <w:t>Competition in</w:t>
                            </w:r>
                            <w:r w:rsidR="00A4742C">
                              <w:rPr>
                                <w:b/>
                                <w:i/>
                                <w:color w:val="FFFFFF"/>
                                <w:spacing w:val="-20"/>
                                <w:sz w:val="36"/>
                                <w:szCs w:val="36"/>
                              </w:rPr>
                              <w:t xml:space="preserve"> the Australian Financial System</w:t>
                            </w:r>
                            <w:r>
                              <w:rPr>
                                <w:b/>
                                <w:i/>
                                <w:color w:val="FFFFFF"/>
                                <w:spacing w:val="-20"/>
                                <w:sz w:val="36"/>
                                <w:szCs w:val="36"/>
                              </w:rPr>
                              <w:t xml:space="preserve"> – Draft Report </w:t>
                            </w:r>
                          </w:p>
                          <w:p w14:paraId="4E676B2A" w14:textId="77777777" w:rsidR="00B05183" w:rsidRPr="00F03AD2" w:rsidRDefault="00B05183" w:rsidP="00B8724A">
                            <w:pPr>
                              <w:rPr>
                                <w:rFonts w:ascii="Arial Bold" w:hAnsi="Arial Bold"/>
                                <w:color w:val="FFFFFF"/>
                              </w:rPr>
                            </w:pPr>
                          </w:p>
                          <w:p w14:paraId="4E676B2B" w14:textId="32E2B4C3" w:rsidR="00B05183" w:rsidRPr="00F03AD2" w:rsidRDefault="006564FE" w:rsidP="00B8724A">
                            <w:pPr>
                              <w:rPr>
                                <w:rFonts w:ascii="Arial Bold" w:hAnsi="Arial Bold"/>
                                <w:color w:val="FFFFFF"/>
                              </w:rPr>
                            </w:pPr>
                            <w:r>
                              <w:rPr>
                                <w:rFonts w:ascii="Arial Bold" w:hAnsi="Arial Bold"/>
                                <w:color w:val="FFFFFF"/>
                              </w:rPr>
                              <w:t>20 MARCH</w:t>
                            </w:r>
                            <w:r w:rsidR="00B05183">
                              <w:rPr>
                                <w:rFonts w:ascii="Arial Bold" w:hAnsi="Arial Bold"/>
                                <w:color w:val="FFFFFF"/>
                              </w:rPr>
                              <w:t xml:space="preserv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76B15" id="_x0000_t202" coordsize="21600,21600" o:spt="202" path="m,l,21600r21600,l21600,xe">
                <v:stroke joinstyle="miter"/>
                <v:path gradientshapeok="t" o:connecttype="rect"/>
              </v:shapetype>
              <v:shape id="Text Box 5" o:spid="_x0000_s1026" type="#_x0000_t202" style="position:absolute;margin-left:367.35pt;margin-top:12.3pt;width:153.25pt;height:184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tOajAIAAB0FAAAOAAAAZHJzL2Uyb0RvYy54bWysVNuO2yAQfa/Uf0C8Z31ZJxtb66x2k6aq&#10;tL1Iu/0AgnGMioECib2t+u8dIN5bX6qqfsADDGfOzBy4vBp7gY7MWK5kjbOzFCMmqWq43Nf46/12&#10;tsTIOiIbIpRkNX5gFl+t3r65HHTFctUp0TCDAETaatA17pzTVZJY2rGe2DOlmYTNVpmeOJiafdIY&#10;MgB6L5I8TRfJoEyjjaLMWljdxE28Cvhty6j73LaWOSRqDNxcGE0Yd35MVpek2huiO05PNMg/sOgJ&#10;lxD0EWpDHEEHw/+A6jk1yqrWnVHVJ6ptOWUhB8gmS19lc9cRzUIuUByrH8tk/x8s/XT8YhBvapxj&#10;JEkPLbpno0M3akRzX51B2wqc7jS4uRGWocshU6tvFf1mkVTrjsg9uzZGDR0jDbDL/Mnk2dGIYz3I&#10;bvioGghDDk4FoLE1vS8dFAMBOnTp4bEzngr1IctikV/MMaKwl5+fL5Zp6F1Cqum4Nta9Z6pH3qix&#10;gdYHeHK8tc7TIdXk4qNZJXiz5UKEidnv1sKgIwGZbMMXzwrdkbg6hbPRNeC9wBDSI0nlMWO4uAIp&#10;AAG/55MJmvhZZnmR3uTlbLtYXsyKbTGflRfpcpZm5U25SIuy2Gx/eQZZUXW8aZi85ZJN+syKv+v/&#10;6aZEZQWFoqHG5Tyfh+ResD+ldco19V/o4atC9dzBdRW8rzF04OREKt/2d7KBtEnlCBfRTl7SDyWD&#10;Gkz/UJUgEq+LqBA37kZA8crZqeYB5GIUNBM0AW8MGJ0yPzAa4L7W2H4/EMMwEh8kSM5f7skwk7Gb&#10;DCIpHK2xwyiaaxcfgYM2fN8BchS1VNcgy5YHwTyxAMp+AncwkD+9F/6SP58Hr6dXbfUbAAD//wMA&#10;UEsDBBQABgAIAAAAIQBMFnVR3gAAAAsBAAAPAAAAZHJzL2Rvd25yZXYueG1sTI/BTsMwDEDvSPxD&#10;ZCRuLF1WtVtpOsEQXBEFades8ZqqjVM12Vb+nuzEjpafnp/L7WwHdsbJd44kLBcJMKTG6Y5aCT/f&#10;709rYD4o0mpwhBJ+0cO2ur8rVaHdhb7wXIeWRQn5QkkwIYwF574xaJVfuBEp7o5usirEcWq5ntQl&#10;yu3ARZJk3KqO4gWjRtwZbPr6ZCWsPkW+9x/1227c46Zf+9f+SEbKx4f55RlYwDn8w3DNj+lQxaaD&#10;O5H2bJCQr9I8ohJEmgG7Akm6FMAOUb8RGfCq5Lc/VH8AAAD//wMAUEsBAi0AFAAGAAgAAAAhALaD&#10;OJL+AAAA4QEAABMAAAAAAAAAAAAAAAAAAAAAAFtDb250ZW50X1R5cGVzXS54bWxQSwECLQAUAAYA&#10;CAAAACEAOP0h/9YAAACUAQAACwAAAAAAAAAAAAAAAAAvAQAAX3JlbHMvLnJlbHNQSwECLQAUAAYA&#10;CAAAACEAu+rTmowCAAAdBQAADgAAAAAAAAAAAAAAAAAuAgAAZHJzL2Uyb0RvYy54bWxQSwECLQAU&#10;AAYACAAAACEATBZ1Ud4AAAALAQAADwAAAAAAAAAAAAAAAADmBAAAZHJzL2Rvd25yZXYueG1sUEsF&#10;BgAAAAAEAAQA8wAAAPEFAAAAAA==&#10;" stroked="f">
                <v:fill opacity="0"/>
                <v:textbox inset="0,0,0,0">
                  <w:txbxContent>
                    <w:p w14:paraId="29E0B8FB" w14:textId="6B3761F2" w:rsidR="00B05183" w:rsidRDefault="006564FE" w:rsidP="00B8724A">
                      <w:pPr>
                        <w:pStyle w:val="header14ptorangebold"/>
                        <w:rPr>
                          <w:b/>
                          <w:i/>
                          <w:color w:val="FFFFFF"/>
                          <w:spacing w:val="-20"/>
                          <w:sz w:val="36"/>
                          <w:szCs w:val="36"/>
                        </w:rPr>
                      </w:pPr>
                      <w:r>
                        <w:rPr>
                          <w:b/>
                          <w:color w:val="FFFFFF"/>
                          <w:spacing w:val="-20"/>
                          <w:sz w:val="36"/>
                          <w:szCs w:val="36"/>
                        </w:rPr>
                        <w:t>Submission to Productivity Commission</w:t>
                      </w:r>
                      <w:r w:rsidR="00FC3955">
                        <w:rPr>
                          <w:b/>
                          <w:color w:val="FFFFFF"/>
                          <w:spacing w:val="-20"/>
                          <w:sz w:val="36"/>
                          <w:szCs w:val="36"/>
                        </w:rPr>
                        <w:t xml:space="preserve"> on</w:t>
                      </w:r>
                      <w:r>
                        <w:rPr>
                          <w:b/>
                          <w:color w:val="FFFFFF"/>
                          <w:spacing w:val="-20"/>
                          <w:sz w:val="36"/>
                          <w:szCs w:val="36"/>
                        </w:rPr>
                        <w:t xml:space="preserve"> </w:t>
                      </w:r>
                      <w:r>
                        <w:rPr>
                          <w:b/>
                          <w:i/>
                          <w:color w:val="FFFFFF"/>
                          <w:spacing w:val="-20"/>
                          <w:sz w:val="36"/>
                          <w:szCs w:val="36"/>
                        </w:rPr>
                        <w:t>Competition in</w:t>
                      </w:r>
                      <w:r w:rsidR="00A4742C">
                        <w:rPr>
                          <w:b/>
                          <w:i/>
                          <w:color w:val="FFFFFF"/>
                          <w:spacing w:val="-20"/>
                          <w:sz w:val="36"/>
                          <w:szCs w:val="36"/>
                        </w:rPr>
                        <w:t xml:space="preserve"> the Australian Financial System</w:t>
                      </w:r>
                      <w:r>
                        <w:rPr>
                          <w:b/>
                          <w:i/>
                          <w:color w:val="FFFFFF"/>
                          <w:spacing w:val="-20"/>
                          <w:sz w:val="36"/>
                          <w:szCs w:val="36"/>
                        </w:rPr>
                        <w:t xml:space="preserve"> – Draft Report </w:t>
                      </w:r>
                    </w:p>
                    <w:p w14:paraId="4E676B2A" w14:textId="77777777" w:rsidR="00B05183" w:rsidRPr="00F03AD2" w:rsidRDefault="00B05183" w:rsidP="00B8724A">
                      <w:pPr>
                        <w:rPr>
                          <w:rFonts w:ascii="Arial Bold" w:hAnsi="Arial Bold"/>
                          <w:color w:val="FFFFFF"/>
                        </w:rPr>
                      </w:pPr>
                    </w:p>
                    <w:p w14:paraId="4E676B2B" w14:textId="32E2B4C3" w:rsidR="00B05183" w:rsidRPr="00F03AD2" w:rsidRDefault="006564FE" w:rsidP="00B8724A">
                      <w:pPr>
                        <w:rPr>
                          <w:rFonts w:ascii="Arial Bold" w:hAnsi="Arial Bold"/>
                          <w:color w:val="FFFFFF"/>
                        </w:rPr>
                      </w:pPr>
                      <w:r>
                        <w:rPr>
                          <w:rFonts w:ascii="Arial Bold" w:hAnsi="Arial Bold"/>
                          <w:color w:val="FFFFFF"/>
                        </w:rPr>
                        <w:t>20 MARCH</w:t>
                      </w:r>
                      <w:r w:rsidR="00B05183">
                        <w:rPr>
                          <w:rFonts w:ascii="Arial Bold" w:hAnsi="Arial Bold"/>
                          <w:color w:val="FFFFFF"/>
                        </w:rPr>
                        <w:t xml:space="preserve"> 2018</w:t>
                      </w:r>
                    </w:p>
                  </w:txbxContent>
                </v:textbox>
              </v:shape>
            </w:pict>
          </mc:Fallback>
        </mc:AlternateContent>
      </w:r>
    </w:p>
    <w:p w14:paraId="4E676ACB" w14:textId="2B0AAD6E" w:rsidR="00B8724A" w:rsidRPr="002A27C3" w:rsidRDefault="00B8724A" w:rsidP="00B8724A">
      <w:pPr>
        <w:rPr>
          <w:rFonts w:ascii="Arial Narrow" w:hAnsi="Arial Narrow"/>
        </w:rPr>
      </w:pPr>
    </w:p>
    <w:p w14:paraId="4E676ACC" w14:textId="77777777" w:rsidR="00B8724A" w:rsidRPr="002A27C3" w:rsidRDefault="00B8724A" w:rsidP="00B8724A">
      <w:pPr>
        <w:rPr>
          <w:rFonts w:ascii="Arial Narrow" w:hAnsi="Arial Narrow"/>
        </w:rPr>
      </w:pPr>
    </w:p>
    <w:p w14:paraId="4E676ACD" w14:textId="77777777" w:rsidR="00B8724A" w:rsidRPr="002A27C3" w:rsidRDefault="00B8724A" w:rsidP="00B8724A">
      <w:pPr>
        <w:tabs>
          <w:tab w:val="left" w:pos="7760"/>
        </w:tabs>
        <w:rPr>
          <w:rFonts w:ascii="Arial Narrow" w:hAnsi="Arial Narrow"/>
        </w:rPr>
      </w:pPr>
      <w:r>
        <w:rPr>
          <w:rFonts w:ascii="Arial Narrow" w:hAnsi="Arial Narrow"/>
        </w:rPr>
        <w:tab/>
      </w:r>
    </w:p>
    <w:p w14:paraId="4E676ACE" w14:textId="77777777" w:rsidR="00B8724A" w:rsidRPr="002A27C3" w:rsidRDefault="00B8724A" w:rsidP="00B8724A">
      <w:pPr>
        <w:rPr>
          <w:rFonts w:ascii="Arial Narrow" w:hAnsi="Arial Narrow"/>
        </w:rPr>
      </w:pPr>
    </w:p>
    <w:p w14:paraId="4E676ACF" w14:textId="77777777" w:rsidR="00B8724A" w:rsidRPr="002A27C3" w:rsidRDefault="00B8724A" w:rsidP="00B8724A">
      <w:pPr>
        <w:rPr>
          <w:rFonts w:ascii="Arial Narrow" w:hAnsi="Arial Narrow"/>
        </w:rPr>
        <w:sectPr w:rsidR="00B8724A" w:rsidRPr="002A27C3" w:rsidSect="00B8724A">
          <w:headerReference w:type="even" r:id="rId15"/>
          <w:headerReference w:type="default" r:id="rId16"/>
          <w:footerReference w:type="default" r:id="rId17"/>
          <w:pgSz w:w="11899" w:h="16838"/>
          <w:pgMar w:top="1733" w:right="1440" w:bottom="2845" w:left="1440" w:header="1440" w:footer="2552" w:gutter="0"/>
          <w:cols w:space="720"/>
          <w:docGrid w:linePitch="360"/>
        </w:sectPr>
      </w:pPr>
    </w:p>
    <w:p w14:paraId="4E676AD0" w14:textId="77777777" w:rsidR="00B8724A" w:rsidRDefault="00B8724A">
      <w:pPr>
        <w:pageBreakBefore/>
        <w:jc w:val="center"/>
        <w:rPr>
          <w:rFonts w:ascii="Arial Narrow" w:hAnsi="Arial Narrow"/>
        </w:rPr>
      </w:pPr>
    </w:p>
    <w:p w14:paraId="4E676AD1" w14:textId="77777777" w:rsidR="00B8724A" w:rsidRPr="00753C49" w:rsidRDefault="00B8724A" w:rsidP="00B8724A">
      <w:pPr>
        <w:pStyle w:val="header14ptorangebold"/>
        <w:rPr>
          <w:color w:val="192A67"/>
        </w:rPr>
      </w:pPr>
      <w:r w:rsidRPr="00753C49">
        <w:rPr>
          <w:color w:val="192A67"/>
        </w:rPr>
        <w:t>Introduction</w:t>
      </w:r>
    </w:p>
    <w:p w14:paraId="4E676AD2" w14:textId="77777777" w:rsidR="00B8724A" w:rsidRDefault="00B8724A" w:rsidP="00CA34A2">
      <w:pPr>
        <w:jc w:val="both"/>
        <w:rPr>
          <w:rFonts w:ascii="Arial Narrow" w:hAnsi="Arial Narrow"/>
        </w:rPr>
      </w:pPr>
    </w:p>
    <w:p w14:paraId="789AA8AD" w14:textId="13135497" w:rsidR="00B41DE9" w:rsidRPr="006564FE" w:rsidRDefault="00B8724A" w:rsidP="00CA34A2">
      <w:pPr>
        <w:pStyle w:val="BodytextArial10pt"/>
        <w:jc w:val="both"/>
        <w:rPr>
          <w:szCs w:val="20"/>
        </w:rPr>
      </w:pPr>
      <w:r w:rsidRPr="006564FE">
        <w:rPr>
          <w:szCs w:val="20"/>
        </w:rPr>
        <w:t>The Institute of Public Accountants (IPA) wel</w:t>
      </w:r>
      <w:r w:rsidR="00DB4D06" w:rsidRPr="006564FE">
        <w:rPr>
          <w:szCs w:val="20"/>
        </w:rPr>
        <w:t xml:space="preserve">comes the opportunity to </w:t>
      </w:r>
      <w:r w:rsidR="006564FE" w:rsidRPr="006564FE">
        <w:rPr>
          <w:szCs w:val="20"/>
        </w:rPr>
        <w:t>comment on the</w:t>
      </w:r>
      <w:r w:rsidR="00586F6F" w:rsidRPr="006564FE">
        <w:rPr>
          <w:szCs w:val="20"/>
        </w:rPr>
        <w:t xml:space="preserve"> </w:t>
      </w:r>
      <w:r w:rsidR="006564FE" w:rsidRPr="006564FE">
        <w:rPr>
          <w:szCs w:val="20"/>
        </w:rPr>
        <w:t xml:space="preserve">Productivity Commission’s Draft Report on </w:t>
      </w:r>
      <w:r w:rsidR="006564FE" w:rsidRPr="006564FE">
        <w:rPr>
          <w:i/>
          <w:szCs w:val="20"/>
        </w:rPr>
        <w:t>Competition in the</w:t>
      </w:r>
      <w:r w:rsidR="00A4742C">
        <w:rPr>
          <w:i/>
          <w:szCs w:val="20"/>
        </w:rPr>
        <w:t xml:space="preserve"> Australian Financial System</w:t>
      </w:r>
      <w:r w:rsidR="006564FE" w:rsidRPr="006564FE">
        <w:rPr>
          <w:szCs w:val="20"/>
        </w:rPr>
        <w:t xml:space="preserve">.  </w:t>
      </w:r>
    </w:p>
    <w:p w14:paraId="28A3F7A1" w14:textId="04717BA2" w:rsidR="004A0620" w:rsidRPr="00C170D6" w:rsidRDefault="00B8724A" w:rsidP="00CA34A2">
      <w:pPr>
        <w:pStyle w:val="BodytextArial10pt"/>
        <w:jc w:val="both"/>
        <w:rPr>
          <w:szCs w:val="20"/>
        </w:rPr>
      </w:pPr>
      <w:r w:rsidRPr="00CC2390">
        <w:t xml:space="preserve">The IPA is one of the three professional accounting bodies in Australia, representing over </w:t>
      </w:r>
      <w:r w:rsidR="004A0620">
        <w:t>35</w:t>
      </w:r>
      <w:r w:rsidRPr="00CC2390">
        <w:t>,000 accountants, business advisers, academics and students throughout Australia and internationally.  The IPA prides itself in not only representing the interests of accountants but also smal</w:t>
      </w:r>
      <w:r w:rsidR="001A3BE7" w:rsidRPr="00CC2390">
        <w:t xml:space="preserve">l business and their </w:t>
      </w:r>
      <w:r w:rsidR="001A3BE7" w:rsidRPr="00C170D6">
        <w:rPr>
          <w:szCs w:val="20"/>
        </w:rPr>
        <w:t xml:space="preserve">advisors. </w:t>
      </w:r>
      <w:r w:rsidRPr="00C170D6">
        <w:rPr>
          <w:szCs w:val="20"/>
        </w:rPr>
        <w:t>The IPA was first established (in another name) in 1923.</w:t>
      </w:r>
    </w:p>
    <w:p w14:paraId="4E676AD6" w14:textId="354A6D62" w:rsidR="00B8724A" w:rsidRPr="00CC2390" w:rsidRDefault="00B8724A" w:rsidP="00CA34A2">
      <w:pPr>
        <w:pStyle w:val="BodytextArial10pt"/>
        <w:jc w:val="both"/>
      </w:pPr>
      <w:r w:rsidRPr="00CC2390">
        <w:t>The IPA’s submission has been prepared with the assistance of the</w:t>
      </w:r>
      <w:r w:rsidR="00BB01D5" w:rsidRPr="00CC2390">
        <w:t xml:space="preserve"> Faculty of Business and Law, Deakin University</w:t>
      </w:r>
      <w:r w:rsidR="00B90827">
        <w:t>, as part of the IPA Deakin SME Research Centre</w:t>
      </w:r>
      <w:r w:rsidR="00BB01D5" w:rsidRPr="00CC2390">
        <w:t xml:space="preserve">. </w:t>
      </w:r>
    </w:p>
    <w:p w14:paraId="4E676AD7" w14:textId="57FFEEC5" w:rsidR="00B8724A" w:rsidRPr="00CC2390" w:rsidRDefault="00C927D9" w:rsidP="00CA34A2">
      <w:pPr>
        <w:pStyle w:val="BodytextArial10pt"/>
        <w:jc w:val="both"/>
      </w:pPr>
      <w:r>
        <w:t xml:space="preserve">We would </w:t>
      </w:r>
      <w:r w:rsidRPr="0099410B">
        <w:t xml:space="preserve">welcome an opportunity </w:t>
      </w:r>
      <w:r w:rsidR="0070151C" w:rsidRPr="0099410B">
        <w:t>to discuss this submission at your con</w:t>
      </w:r>
      <w:r w:rsidR="00273C76" w:rsidRPr="0099410B">
        <w:t xml:space="preserve">venience. </w:t>
      </w:r>
      <w:r w:rsidR="00B90827">
        <w:t>If you have any queries then please don’t hesitate to contact Vi</w:t>
      </w:r>
      <w:r w:rsidR="003E042C" w:rsidRPr="0099410B">
        <w:t xml:space="preserve">cki </w:t>
      </w:r>
      <w:proofErr w:type="spellStart"/>
      <w:r w:rsidR="003E042C" w:rsidRPr="0099410B">
        <w:t>Stylianou</w:t>
      </w:r>
      <w:proofErr w:type="spellEnd"/>
      <w:r w:rsidR="00CC3261">
        <w:t>.</w:t>
      </w:r>
      <w:r w:rsidR="00B90827">
        <w:t xml:space="preserve"> </w:t>
      </w:r>
      <w:r w:rsidR="00CC3261">
        <w:t xml:space="preserve"> </w:t>
      </w:r>
    </w:p>
    <w:p w14:paraId="4E676AD8" w14:textId="77777777" w:rsidR="00B8724A" w:rsidRDefault="00B8724A" w:rsidP="00CA34A2">
      <w:pPr>
        <w:pStyle w:val="BodytextArial10pt"/>
        <w:jc w:val="both"/>
      </w:pPr>
    </w:p>
    <w:p w14:paraId="1077EB10" w14:textId="77777777" w:rsidR="00CC3261" w:rsidRPr="00CC2390" w:rsidRDefault="00CC3261" w:rsidP="00CA34A2">
      <w:pPr>
        <w:pStyle w:val="BodytextArial10pt"/>
        <w:jc w:val="both"/>
      </w:pPr>
      <w:bookmarkStart w:id="0" w:name="_GoBack"/>
      <w:bookmarkEnd w:id="0"/>
    </w:p>
    <w:p w14:paraId="4E676AD9" w14:textId="3E5E5EAD" w:rsidR="00B8724A" w:rsidRPr="00CC2390" w:rsidRDefault="00B8724A" w:rsidP="00B90827">
      <w:pPr>
        <w:pStyle w:val="BodytextArial10pt"/>
      </w:pPr>
      <w:r w:rsidRPr="00CC2390">
        <w:t xml:space="preserve">Yours </w:t>
      </w:r>
      <w:proofErr w:type="spellStart"/>
      <w:r w:rsidR="00E23596">
        <w:t>faithrfully</w:t>
      </w:r>
      <w:proofErr w:type="spellEnd"/>
      <w:r w:rsidRPr="00CC2390">
        <w:t xml:space="preserve"> </w:t>
      </w:r>
    </w:p>
    <w:p w14:paraId="4E676ADA" w14:textId="77777777" w:rsidR="00B8724A" w:rsidRPr="00CC2390" w:rsidRDefault="00B8724A" w:rsidP="00B90827">
      <w:pPr>
        <w:rPr>
          <w:rFonts w:cs="Arial"/>
        </w:rPr>
      </w:pPr>
    </w:p>
    <w:p w14:paraId="548E8F42" w14:textId="034D16AA" w:rsidR="00E23596" w:rsidRDefault="00E23596" w:rsidP="00B90827">
      <w:pPr>
        <w:rPr>
          <w:rFonts w:cs="Arial"/>
          <w:noProof/>
        </w:rPr>
      </w:pPr>
    </w:p>
    <w:p w14:paraId="3F6B1A4D" w14:textId="77777777" w:rsidR="00CC3261" w:rsidRDefault="00CC3261" w:rsidP="00B90827">
      <w:pPr>
        <w:rPr>
          <w:rFonts w:cs="Arial"/>
          <w:noProof/>
        </w:rPr>
      </w:pPr>
    </w:p>
    <w:p w14:paraId="59939E3E" w14:textId="77777777" w:rsidR="00CC3261" w:rsidRDefault="00CC3261" w:rsidP="00B90827">
      <w:pPr>
        <w:rPr>
          <w:rFonts w:cs="Arial"/>
        </w:rPr>
      </w:pPr>
    </w:p>
    <w:p w14:paraId="4E676ADC" w14:textId="2C99867A" w:rsidR="00B8724A" w:rsidRPr="00E23596" w:rsidRDefault="00065B9D" w:rsidP="00E23596">
      <w:pPr>
        <w:rPr>
          <w:rFonts w:ascii="Arial" w:hAnsi="Arial" w:cs="Arial"/>
          <w:sz w:val="20"/>
          <w:szCs w:val="20"/>
        </w:rPr>
      </w:pPr>
      <w:r w:rsidRPr="00E23596">
        <w:rPr>
          <w:rFonts w:ascii="Arial" w:hAnsi="Arial" w:cs="Arial"/>
          <w:sz w:val="20"/>
          <w:szCs w:val="20"/>
        </w:rPr>
        <w:t>Vicki</w:t>
      </w:r>
      <w:r w:rsidR="00621290" w:rsidRPr="00E23596">
        <w:rPr>
          <w:rFonts w:ascii="Arial" w:hAnsi="Arial" w:cs="Arial"/>
          <w:sz w:val="20"/>
          <w:szCs w:val="20"/>
        </w:rPr>
        <w:t xml:space="preserve"> </w:t>
      </w:r>
      <w:proofErr w:type="spellStart"/>
      <w:r w:rsidR="00621290" w:rsidRPr="00E23596">
        <w:rPr>
          <w:rFonts w:ascii="Arial" w:hAnsi="Arial" w:cs="Arial"/>
          <w:sz w:val="20"/>
          <w:szCs w:val="20"/>
        </w:rPr>
        <w:t>Stylian</w:t>
      </w:r>
      <w:r w:rsidR="00273C76" w:rsidRPr="00E23596">
        <w:rPr>
          <w:rFonts w:ascii="Arial" w:hAnsi="Arial" w:cs="Arial"/>
          <w:sz w:val="20"/>
          <w:szCs w:val="20"/>
        </w:rPr>
        <w:t>ou</w:t>
      </w:r>
      <w:proofErr w:type="spellEnd"/>
    </w:p>
    <w:p w14:paraId="7E2D7878" w14:textId="77777777" w:rsidR="00E23596" w:rsidRPr="00E23596" w:rsidRDefault="003E042C" w:rsidP="00E23596">
      <w:pPr>
        <w:pStyle w:val="Heading2"/>
        <w:shd w:val="clear" w:color="auto" w:fill="FFFFFF"/>
        <w:spacing w:before="0"/>
        <w:rPr>
          <w:rFonts w:ascii="Arial" w:hAnsi="Arial" w:cs="Arial"/>
          <w:b/>
          <w:bCs/>
          <w:i/>
          <w:sz w:val="20"/>
          <w:szCs w:val="20"/>
        </w:rPr>
      </w:pPr>
      <w:r w:rsidRPr="00E23596">
        <w:rPr>
          <w:rFonts w:ascii="Arial" w:hAnsi="Arial" w:cs="Arial"/>
          <w:sz w:val="20"/>
          <w:szCs w:val="20"/>
        </w:rPr>
        <w:t>Executive General Manager</w:t>
      </w:r>
      <w:r w:rsidR="00E23596" w:rsidRPr="00E23596">
        <w:rPr>
          <w:rFonts w:ascii="Arial" w:hAnsi="Arial" w:cs="Arial"/>
          <w:sz w:val="20"/>
          <w:szCs w:val="20"/>
        </w:rPr>
        <w:t>,</w:t>
      </w:r>
      <w:r w:rsidRPr="00E23596">
        <w:rPr>
          <w:rFonts w:ascii="Arial" w:hAnsi="Arial" w:cs="Arial"/>
          <w:sz w:val="20"/>
          <w:szCs w:val="20"/>
        </w:rPr>
        <w:t xml:space="preserve"> Advocacy &amp; Technical</w:t>
      </w:r>
    </w:p>
    <w:p w14:paraId="693BDF61" w14:textId="3A0B0A15" w:rsidR="00B2047F" w:rsidRPr="00E23596" w:rsidRDefault="00E23596" w:rsidP="00E23596">
      <w:pPr>
        <w:pStyle w:val="Heading2"/>
        <w:shd w:val="clear" w:color="auto" w:fill="FFFFFF"/>
        <w:spacing w:before="0"/>
        <w:rPr>
          <w:rFonts w:ascii="Arial" w:hAnsi="Arial" w:cs="Arial"/>
          <w:b/>
          <w:bCs/>
          <w:i/>
          <w:sz w:val="20"/>
          <w:szCs w:val="20"/>
        </w:rPr>
      </w:pPr>
      <w:r w:rsidRPr="00E23596">
        <w:rPr>
          <w:rFonts w:ascii="Arial" w:hAnsi="Arial" w:cs="Arial"/>
          <w:sz w:val="20"/>
          <w:szCs w:val="20"/>
        </w:rPr>
        <w:t xml:space="preserve">Institute of Public Accountants </w:t>
      </w:r>
      <w:r w:rsidR="00DE5FDC" w:rsidRPr="00E23596">
        <w:rPr>
          <w:rFonts w:ascii="Arial" w:hAnsi="Arial" w:cs="Arial"/>
          <w:sz w:val="20"/>
          <w:szCs w:val="20"/>
        </w:rPr>
        <w:t xml:space="preserve"> </w:t>
      </w:r>
    </w:p>
    <w:p w14:paraId="3973F8DB" w14:textId="77777777" w:rsidR="00B2047F" w:rsidRPr="00E23596" w:rsidRDefault="00B2047F" w:rsidP="00B90827">
      <w:pPr>
        <w:rPr>
          <w:rFonts w:ascii="Arial" w:hAnsi="Arial" w:cs="Arial"/>
          <w:color w:val="63666A"/>
          <w:sz w:val="20"/>
          <w:szCs w:val="20"/>
        </w:rPr>
      </w:pPr>
    </w:p>
    <w:p w14:paraId="4E676ADD" w14:textId="77777777" w:rsidR="00B8724A" w:rsidRPr="00327895" w:rsidRDefault="00B8724A" w:rsidP="00B90827">
      <w:pPr>
        <w:rPr>
          <w:rFonts w:ascii="Arial Narrow" w:hAnsi="Arial Narrow"/>
          <w:color w:val="63666A"/>
        </w:rPr>
      </w:pPr>
    </w:p>
    <w:p w14:paraId="4E676ADE" w14:textId="77777777" w:rsidR="00B8724A" w:rsidRPr="00327895" w:rsidRDefault="00B8724A">
      <w:pPr>
        <w:rPr>
          <w:rFonts w:ascii="Arial Narrow" w:hAnsi="Arial Narrow"/>
          <w:color w:val="63666A"/>
        </w:rPr>
      </w:pPr>
    </w:p>
    <w:p w14:paraId="4E676ADF" w14:textId="77777777" w:rsidR="00B8724A" w:rsidRPr="00327895" w:rsidRDefault="00B8724A">
      <w:pPr>
        <w:rPr>
          <w:rFonts w:ascii="Arial Narrow" w:hAnsi="Arial Narrow"/>
          <w:color w:val="63666A"/>
        </w:rPr>
      </w:pPr>
    </w:p>
    <w:p w14:paraId="4E676AE0" w14:textId="77777777" w:rsidR="00B8724A" w:rsidRPr="00327895" w:rsidRDefault="00B8724A">
      <w:pPr>
        <w:rPr>
          <w:rFonts w:ascii="Arial Narrow" w:hAnsi="Arial Narrow"/>
          <w:color w:val="63666A"/>
        </w:rPr>
      </w:pPr>
    </w:p>
    <w:p w14:paraId="4E676AE1" w14:textId="77777777"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Narrow" w:hAnsi="Arial Narrow"/>
          <w:color w:val="63666A"/>
          <w:sz w:val="20"/>
        </w:rPr>
      </w:pPr>
    </w:p>
    <w:p w14:paraId="4E676AE2" w14:textId="77777777"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w:hAnsi="Arial"/>
          <w:color w:val="63666A"/>
          <w:sz w:val="20"/>
        </w:rPr>
      </w:pPr>
      <w:r w:rsidRPr="00327895">
        <w:rPr>
          <w:rFonts w:ascii="Arial" w:hAnsi="Arial"/>
          <w:color w:val="63666A"/>
          <w:sz w:val="20"/>
        </w:rPr>
        <w:t>COPYRIGHT</w:t>
      </w:r>
    </w:p>
    <w:p w14:paraId="4E676AE3" w14:textId="77777777" w:rsidR="00B8724A" w:rsidRPr="00327895" w:rsidRDefault="00B8724A" w:rsidP="00B8724A">
      <w:pPr>
        <w:pBdr>
          <w:top w:val="single" w:sz="4" w:space="0" w:color="CA5420"/>
          <w:left w:val="single" w:sz="4" w:space="4" w:color="CA5420"/>
          <w:bottom w:val="single" w:sz="4" w:space="0" w:color="CA5420"/>
          <w:right w:val="single" w:sz="4" w:space="4" w:color="CA5420"/>
        </w:pBdr>
        <w:rPr>
          <w:rFonts w:ascii="Arial" w:hAnsi="Arial"/>
          <w:color w:val="63666A"/>
          <w:sz w:val="16"/>
        </w:rPr>
      </w:pPr>
      <w:r w:rsidRPr="00327895">
        <w:rPr>
          <w:rFonts w:ascii="Arial" w:hAnsi="Arial"/>
          <w:color w:val="63666A"/>
          <w:sz w:val="16"/>
        </w:rPr>
        <w:t xml:space="preserve">© Institute of Public Accountants (ABN 81 004 130 643) 2008.  All rights reserved.  Save and except for third party content, </w:t>
      </w:r>
      <w:r w:rsidRPr="00327895">
        <w:rPr>
          <w:rFonts w:ascii="Arial" w:hAnsi="Arial"/>
          <w:color w:val="63666A"/>
          <w:sz w:val="16"/>
        </w:rPr>
        <w:br/>
        <w:t>all content in these materials is owned or licensed by the Institute of Public Accountants (ABN 81 004 130 643).</w:t>
      </w:r>
    </w:p>
    <w:p w14:paraId="4E676AE4" w14:textId="77777777" w:rsidR="00B8724A" w:rsidRPr="00327895" w:rsidRDefault="00753C49" w:rsidP="00753C49">
      <w:pPr>
        <w:pBdr>
          <w:top w:val="single" w:sz="4" w:space="0" w:color="CA5420"/>
          <w:left w:val="single" w:sz="4" w:space="4" w:color="CA5420"/>
          <w:bottom w:val="single" w:sz="4" w:space="0" w:color="CA5420"/>
          <w:right w:val="single" w:sz="4" w:space="4" w:color="CA5420"/>
        </w:pBdr>
        <w:tabs>
          <w:tab w:val="left" w:pos="5715"/>
        </w:tabs>
        <w:rPr>
          <w:rFonts w:ascii="Arial" w:hAnsi="Arial"/>
          <w:color w:val="63666A"/>
          <w:sz w:val="16"/>
        </w:rPr>
      </w:pPr>
      <w:r w:rsidRPr="00327895">
        <w:rPr>
          <w:rFonts w:ascii="Arial" w:hAnsi="Arial"/>
          <w:color w:val="63666A"/>
          <w:sz w:val="16"/>
        </w:rPr>
        <w:tab/>
      </w:r>
    </w:p>
    <w:p w14:paraId="5E53910E" w14:textId="77777777" w:rsidR="003D3EFB" w:rsidRDefault="00B8724A" w:rsidP="001A1DA4">
      <w:r>
        <w:br w:type="page"/>
      </w:r>
    </w:p>
    <w:p w14:paraId="5139B564" w14:textId="3B5567DC" w:rsidR="000D4F01" w:rsidRPr="00753C49" w:rsidRDefault="000D4F01" w:rsidP="000D4F01">
      <w:pPr>
        <w:pStyle w:val="header14ptorangebold"/>
        <w:rPr>
          <w:color w:val="192A67"/>
        </w:rPr>
      </w:pPr>
      <w:r w:rsidRPr="00753C49">
        <w:rPr>
          <w:color w:val="192A67"/>
        </w:rPr>
        <w:lastRenderedPageBreak/>
        <w:t>I</w:t>
      </w:r>
      <w:r>
        <w:rPr>
          <w:color w:val="192A67"/>
        </w:rPr>
        <w:t>PA Submission</w:t>
      </w:r>
    </w:p>
    <w:p w14:paraId="18DDB124" w14:textId="77777777" w:rsidR="003D3EFB" w:rsidRDefault="003D3EFB" w:rsidP="001A1DA4"/>
    <w:p w14:paraId="4F397AE5" w14:textId="77777777" w:rsidR="003D3EFB" w:rsidRDefault="003D3EFB" w:rsidP="001A1DA4"/>
    <w:p w14:paraId="0BE17E82" w14:textId="77777777" w:rsidR="003D3EFB" w:rsidRPr="007A30AB" w:rsidRDefault="003D3EFB" w:rsidP="001A1DA4"/>
    <w:p w14:paraId="4CFCDE44" w14:textId="1BE7C706" w:rsidR="007A30AB" w:rsidRPr="007A30AB" w:rsidRDefault="007A30AB" w:rsidP="00CA34A2">
      <w:pPr>
        <w:spacing w:after="0"/>
        <w:rPr>
          <w:rFonts w:ascii="Arial" w:hAnsi="Arial" w:cs="Arial"/>
          <w:color w:val="000000"/>
          <w:shd w:val="clear" w:color="auto" w:fill="FFFFFF"/>
        </w:rPr>
      </w:pPr>
      <w:r w:rsidRPr="007A30AB">
        <w:rPr>
          <w:rFonts w:ascii="Arial" w:hAnsi="Arial" w:cs="Arial"/>
          <w:color w:val="000000"/>
          <w:shd w:val="clear" w:color="auto" w:fill="FFFFFF"/>
        </w:rPr>
        <w:t>The Chairman</w:t>
      </w:r>
    </w:p>
    <w:p w14:paraId="677A1500" w14:textId="0066A9B5" w:rsidR="006564FE" w:rsidRPr="007A30AB" w:rsidRDefault="006564FE" w:rsidP="00CA34A2">
      <w:pPr>
        <w:spacing w:after="0"/>
        <w:rPr>
          <w:rFonts w:ascii="Arial" w:hAnsi="Arial" w:cs="Arial"/>
          <w:color w:val="000000"/>
          <w:shd w:val="clear" w:color="auto" w:fill="FFFFFF"/>
        </w:rPr>
      </w:pPr>
      <w:r w:rsidRPr="007A30AB">
        <w:rPr>
          <w:rFonts w:ascii="Arial" w:hAnsi="Arial" w:cs="Arial"/>
          <w:color w:val="000000"/>
          <w:shd w:val="clear" w:color="auto" w:fill="FFFFFF"/>
        </w:rPr>
        <w:t xml:space="preserve">Productivity Commission </w:t>
      </w:r>
    </w:p>
    <w:p w14:paraId="7D892E69" w14:textId="7E41449A" w:rsidR="006564FE" w:rsidRPr="007A30AB" w:rsidRDefault="006564FE" w:rsidP="00CA34A2">
      <w:pPr>
        <w:spacing w:after="0"/>
        <w:rPr>
          <w:rFonts w:ascii="Arial" w:hAnsi="Arial" w:cs="Arial"/>
          <w:color w:val="000000"/>
          <w:shd w:val="clear" w:color="auto" w:fill="FFFFFF"/>
        </w:rPr>
      </w:pPr>
      <w:r w:rsidRPr="007A30AB">
        <w:rPr>
          <w:rFonts w:ascii="Arial" w:hAnsi="Arial" w:cs="Arial"/>
          <w:color w:val="000000"/>
          <w:shd w:val="clear" w:color="auto" w:fill="FFFFFF"/>
        </w:rPr>
        <w:t>Level 12, 530 Collins Street</w:t>
      </w:r>
    </w:p>
    <w:p w14:paraId="28F1B485" w14:textId="08F65536" w:rsidR="006564FE" w:rsidRPr="007A30AB" w:rsidRDefault="006564FE" w:rsidP="00CA34A2">
      <w:pPr>
        <w:spacing w:after="0"/>
        <w:rPr>
          <w:rFonts w:ascii="Arial" w:hAnsi="Arial" w:cs="Arial"/>
          <w:color w:val="000000"/>
          <w:shd w:val="clear" w:color="auto" w:fill="FFFFFF"/>
        </w:rPr>
      </w:pPr>
      <w:r w:rsidRPr="007A30AB">
        <w:rPr>
          <w:rFonts w:ascii="Arial" w:hAnsi="Arial" w:cs="Arial"/>
          <w:color w:val="000000"/>
          <w:shd w:val="clear" w:color="auto" w:fill="FFFFFF"/>
        </w:rPr>
        <w:t>Melbourne  VIC  3000</w:t>
      </w:r>
    </w:p>
    <w:p w14:paraId="6D2FB335" w14:textId="6036960F" w:rsidR="006564FE" w:rsidRPr="007A30AB" w:rsidRDefault="006564FE" w:rsidP="00CA34A2">
      <w:pPr>
        <w:spacing w:after="0"/>
        <w:rPr>
          <w:rFonts w:ascii="Arial" w:hAnsi="Arial" w:cs="Arial"/>
          <w:color w:val="000000"/>
          <w:shd w:val="clear" w:color="auto" w:fill="FFFFFF"/>
        </w:rPr>
      </w:pPr>
      <w:r w:rsidRPr="007A30AB">
        <w:rPr>
          <w:rFonts w:ascii="Arial" w:hAnsi="Arial" w:cs="Arial"/>
          <w:color w:val="000000"/>
          <w:shd w:val="clear" w:color="auto" w:fill="FFFFFF"/>
        </w:rPr>
        <w:t xml:space="preserve">Australia </w:t>
      </w:r>
    </w:p>
    <w:p w14:paraId="0BA7752E" w14:textId="77777777" w:rsidR="00D569B6" w:rsidRPr="00627914" w:rsidRDefault="00D569B6" w:rsidP="001A1DA4">
      <w:pPr>
        <w:rPr>
          <w:rFonts w:ascii="Arial" w:hAnsi="Arial" w:cs="Arial"/>
          <w:color w:val="63666A"/>
        </w:rPr>
      </w:pPr>
    </w:p>
    <w:p w14:paraId="774BFF17" w14:textId="7FBC5B2E" w:rsidR="00E1289C" w:rsidRDefault="006564FE" w:rsidP="001A1DA4">
      <w:pPr>
        <w:rPr>
          <w:rFonts w:ascii="Arial" w:hAnsi="Arial" w:cs="Arial"/>
          <w:color w:val="63666A"/>
          <w:sz w:val="20"/>
        </w:rPr>
      </w:pPr>
      <w:r w:rsidRPr="006564FE">
        <w:rPr>
          <w:rFonts w:ascii="Arial" w:hAnsi="Arial" w:cs="Arial"/>
          <w:color w:val="63666A"/>
        </w:rPr>
        <w:t>Online submission</w:t>
      </w:r>
      <w:r w:rsidRPr="006564FE">
        <w:rPr>
          <w:rFonts w:ascii="Arial" w:hAnsi="Arial" w:cs="Arial"/>
          <w:color w:val="63666A"/>
          <w:sz w:val="20"/>
          <w:highlight w:val="green"/>
        </w:rPr>
        <w:t>: See link at https://www.pc.gov.au/inquiries/current/financial-system/make-submission#lodge</w:t>
      </w:r>
    </w:p>
    <w:p w14:paraId="347833DF" w14:textId="6E8137DF" w:rsidR="00D15BE3" w:rsidRPr="006564FE" w:rsidRDefault="00D15BE3" w:rsidP="00D15BE3">
      <w:pPr>
        <w:jc w:val="both"/>
        <w:rPr>
          <w:rFonts w:ascii="Arial" w:hAnsi="Arial" w:cs="Arial"/>
        </w:rPr>
      </w:pPr>
    </w:p>
    <w:p w14:paraId="5CEE3955" w14:textId="77777777" w:rsidR="00A4742C" w:rsidRDefault="006564FE" w:rsidP="006564FE">
      <w:pPr>
        <w:pStyle w:val="BodytextArial10pt"/>
        <w:jc w:val="both"/>
        <w:rPr>
          <w:sz w:val="22"/>
        </w:rPr>
      </w:pPr>
      <w:r w:rsidRPr="006564FE">
        <w:rPr>
          <w:sz w:val="22"/>
        </w:rPr>
        <w:t>The Institute of Public Accountants (IPA) welcomes the opportunity to comment on the</w:t>
      </w:r>
      <w:r>
        <w:rPr>
          <w:sz w:val="22"/>
        </w:rPr>
        <w:t xml:space="preserve"> Productivity Commission’s</w:t>
      </w:r>
      <w:r w:rsidRPr="006564FE">
        <w:rPr>
          <w:sz w:val="22"/>
        </w:rPr>
        <w:t xml:space="preserve"> Draft Report </w:t>
      </w:r>
      <w:r>
        <w:rPr>
          <w:sz w:val="22"/>
        </w:rPr>
        <w:t>on</w:t>
      </w:r>
      <w:r w:rsidRPr="006564FE">
        <w:rPr>
          <w:sz w:val="22"/>
        </w:rPr>
        <w:t xml:space="preserve"> </w:t>
      </w:r>
      <w:r w:rsidRPr="006564FE">
        <w:rPr>
          <w:i/>
          <w:sz w:val="22"/>
        </w:rPr>
        <w:t>Competition in the</w:t>
      </w:r>
      <w:r w:rsidR="00A4742C">
        <w:rPr>
          <w:i/>
          <w:sz w:val="22"/>
        </w:rPr>
        <w:t xml:space="preserve"> Australian Financial System</w:t>
      </w:r>
      <w:r w:rsidRPr="006564FE">
        <w:rPr>
          <w:sz w:val="22"/>
        </w:rPr>
        <w:t xml:space="preserve">.  </w:t>
      </w:r>
    </w:p>
    <w:p w14:paraId="7341F13E" w14:textId="1CC4ABB9" w:rsidR="006564FE" w:rsidRPr="006564FE" w:rsidRDefault="00A4742C" w:rsidP="006564FE">
      <w:pPr>
        <w:pStyle w:val="BodytextArial10pt"/>
        <w:jc w:val="both"/>
        <w:rPr>
          <w:sz w:val="22"/>
        </w:rPr>
      </w:pPr>
      <w:r w:rsidRPr="00FC3955">
        <w:rPr>
          <w:sz w:val="22"/>
        </w:rPr>
        <w:t>The reputation of the banks and other financial service providers has deteriorated, particularly si</w:t>
      </w:r>
      <w:r>
        <w:rPr>
          <w:sz w:val="22"/>
        </w:rPr>
        <w:t>nce the Global Financial Crisis</w:t>
      </w:r>
      <w:r w:rsidR="000B5226">
        <w:rPr>
          <w:sz w:val="22"/>
        </w:rPr>
        <w:t xml:space="preserve"> (</w:t>
      </w:r>
      <w:proofErr w:type="spellStart"/>
      <w:r w:rsidR="000B5226">
        <w:rPr>
          <w:sz w:val="22"/>
        </w:rPr>
        <w:t>GFC</w:t>
      </w:r>
      <w:proofErr w:type="spellEnd"/>
      <w:r w:rsidR="000B5226">
        <w:rPr>
          <w:sz w:val="22"/>
        </w:rPr>
        <w:t>)</w:t>
      </w:r>
      <w:r>
        <w:rPr>
          <w:sz w:val="22"/>
        </w:rPr>
        <w:t xml:space="preserve">. </w:t>
      </w:r>
      <w:r w:rsidRPr="00FC3955">
        <w:rPr>
          <w:sz w:val="22"/>
        </w:rPr>
        <w:t xml:space="preserve"> </w:t>
      </w:r>
      <w:r>
        <w:rPr>
          <w:sz w:val="22"/>
        </w:rPr>
        <w:t xml:space="preserve">It is encouraging to see so much attention being given to this sector by the Australian </w:t>
      </w:r>
      <w:r w:rsidR="000732D0">
        <w:rPr>
          <w:sz w:val="22"/>
        </w:rPr>
        <w:t>G</w:t>
      </w:r>
      <w:r>
        <w:rPr>
          <w:sz w:val="22"/>
        </w:rPr>
        <w:t xml:space="preserve">overnment. It is hoped that improvements can be made for the benefit of all. </w:t>
      </w:r>
    </w:p>
    <w:p w14:paraId="7BEE50B5" w14:textId="4722A741" w:rsidR="00875BF4" w:rsidRDefault="00875BF4" w:rsidP="00D15BE3">
      <w:pPr>
        <w:jc w:val="both"/>
        <w:rPr>
          <w:rFonts w:ascii="Arial" w:hAnsi="Arial" w:cs="Arial"/>
        </w:rPr>
      </w:pPr>
    </w:p>
    <w:p w14:paraId="58FC64D2" w14:textId="73793733" w:rsidR="00875BF4" w:rsidRPr="00544BC5" w:rsidRDefault="006564FE" w:rsidP="00544BC5">
      <w:pPr>
        <w:pStyle w:val="ListParagraph"/>
        <w:numPr>
          <w:ilvl w:val="0"/>
          <w:numId w:val="36"/>
        </w:numPr>
        <w:jc w:val="both"/>
        <w:rPr>
          <w:rFonts w:ascii="Arial" w:hAnsi="Arial" w:cs="Arial"/>
          <w:b/>
          <w:color w:val="0070C0"/>
        </w:rPr>
      </w:pPr>
      <w:r w:rsidRPr="00544BC5">
        <w:rPr>
          <w:rFonts w:ascii="Arial" w:hAnsi="Arial" w:cs="Arial"/>
          <w:b/>
          <w:color w:val="0070C0"/>
        </w:rPr>
        <w:t xml:space="preserve">Creating a culture of competition </w:t>
      </w:r>
      <w:r w:rsidR="000B5226">
        <w:rPr>
          <w:rFonts w:ascii="Arial" w:hAnsi="Arial" w:cs="Arial"/>
          <w:b/>
          <w:color w:val="0070C0"/>
        </w:rPr>
        <w:t xml:space="preserve">by the </w:t>
      </w:r>
      <w:r w:rsidR="000B5226" w:rsidRPr="000B5226">
        <w:rPr>
          <w:rFonts w:ascii="Arial" w:hAnsi="Arial" w:cs="Arial"/>
          <w:b/>
          <w:color w:val="0070C0"/>
          <w:u w:val="single"/>
        </w:rPr>
        <w:t>consumers</w:t>
      </w:r>
      <w:r w:rsidR="000B5226">
        <w:rPr>
          <w:rFonts w:ascii="Arial" w:hAnsi="Arial" w:cs="Arial"/>
          <w:b/>
          <w:color w:val="0070C0"/>
        </w:rPr>
        <w:t xml:space="preserve"> of</w:t>
      </w:r>
      <w:r w:rsidRPr="00544BC5">
        <w:rPr>
          <w:rFonts w:ascii="Arial" w:hAnsi="Arial" w:cs="Arial"/>
          <w:b/>
          <w:color w:val="0070C0"/>
        </w:rPr>
        <w:t xml:space="preserve"> the </w:t>
      </w:r>
      <w:r w:rsidR="00544BC5" w:rsidRPr="00544BC5">
        <w:rPr>
          <w:rFonts w:ascii="Arial" w:hAnsi="Arial" w:cs="Arial"/>
          <w:b/>
          <w:color w:val="0070C0"/>
        </w:rPr>
        <w:t>financial system</w:t>
      </w:r>
      <w:r w:rsidRPr="00544BC5">
        <w:rPr>
          <w:rFonts w:ascii="Arial" w:hAnsi="Arial" w:cs="Arial"/>
          <w:b/>
          <w:color w:val="0070C0"/>
        </w:rPr>
        <w:t xml:space="preserve"> </w:t>
      </w:r>
    </w:p>
    <w:p w14:paraId="7FA34964" w14:textId="4493A3C4" w:rsidR="00875BF4" w:rsidRDefault="00875BF4" w:rsidP="00D15BE3">
      <w:pPr>
        <w:jc w:val="both"/>
        <w:rPr>
          <w:rFonts w:ascii="Arial" w:hAnsi="Arial" w:cs="Arial"/>
        </w:rPr>
      </w:pPr>
    </w:p>
    <w:p w14:paraId="240DBABE" w14:textId="231812AD" w:rsidR="006564FE" w:rsidRPr="00FC3955" w:rsidRDefault="006564FE" w:rsidP="006564FE">
      <w:pPr>
        <w:jc w:val="both"/>
        <w:rPr>
          <w:rFonts w:ascii="Arial" w:hAnsi="Arial" w:cs="Arial"/>
        </w:rPr>
      </w:pPr>
      <w:r w:rsidRPr="00FC3955">
        <w:rPr>
          <w:rFonts w:ascii="Arial" w:hAnsi="Arial" w:cs="Arial"/>
        </w:rPr>
        <w:t>The behaviours of consumers and small businesses in Australia seem to reflect an apparent</w:t>
      </w:r>
      <w:r w:rsidR="00FC3955" w:rsidRPr="00FC3955">
        <w:rPr>
          <w:rFonts w:ascii="Arial" w:hAnsi="Arial" w:cs="Arial"/>
        </w:rPr>
        <w:t xml:space="preserve"> </w:t>
      </w:r>
      <w:r w:rsidRPr="00FC3955">
        <w:rPr>
          <w:rFonts w:ascii="Arial" w:hAnsi="Arial" w:cs="Arial"/>
        </w:rPr>
        <w:t xml:space="preserve">complacency </w:t>
      </w:r>
      <w:r w:rsidR="00FC3955" w:rsidRPr="00FC3955">
        <w:rPr>
          <w:rFonts w:ascii="Arial" w:hAnsi="Arial" w:cs="Arial"/>
        </w:rPr>
        <w:t xml:space="preserve">when it comes to </w:t>
      </w:r>
      <w:r w:rsidRPr="00FC3955">
        <w:rPr>
          <w:rFonts w:ascii="Arial" w:hAnsi="Arial" w:cs="Arial"/>
        </w:rPr>
        <w:t>obtaini</w:t>
      </w:r>
      <w:r w:rsidR="00A4742C">
        <w:rPr>
          <w:rFonts w:ascii="Arial" w:hAnsi="Arial" w:cs="Arial"/>
        </w:rPr>
        <w:t>ng competitive financial produc</w:t>
      </w:r>
      <w:r w:rsidRPr="00FC3955">
        <w:rPr>
          <w:rFonts w:ascii="Arial" w:hAnsi="Arial" w:cs="Arial"/>
        </w:rPr>
        <w:t xml:space="preserve">ts and services.  The perceived inconvenience associated with ‘switching’ financial provider, coupled with the complex array of products on offer, seem to deter many Australians from making changes that would, in fact, increase competitive </w:t>
      </w:r>
      <w:r w:rsidR="00293E5E" w:rsidRPr="00FC3955">
        <w:rPr>
          <w:rFonts w:ascii="Arial" w:hAnsi="Arial" w:cs="Arial"/>
        </w:rPr>
        <w:t>behaviour</w:t>
      </w:r>
      <w:r w:rsidRPr="00FC3955">
        <w:rPr>
          <w:rFonts w:ascii="Arial" w:hAnsi="Arial" w:cs="Arial"/>
        </w:rPr>
        <w:t xml:space="preserve"> </w:t>
      </w:r>
      <w:r w:rsidR="00A4742C">
        <w:rPr>
          <w:rFonts w:ascii="Arial" w:hAnsi="Arial" w:cs="Arial"/>
        </w:rPr>
        <w:t>between the</w:t>
      </w:r>
      <w:r w:rsidRPr="00FC3955">
        <w:rPr>
          <w:rFonts w:ascii="Arial" w:hAnsi="Arial" w:cs="Arial"/>
        </w:rPr>
        <w:t xml:space="preserve"> providers. </w:t>
      </w:r>
      <w:r w:rsidR="00A4742C">
        <w:rPr>
          <w:rFonts w:ascii="Arial" w:hAnsi="Arial" w:cs="Arial"/>
        </w:rPr>
        <w:t>Perhaps consumers believe that ‘they are all as bad as each other’</w:t>
      </w:r>
      <w:r w:rsidR="00EA24E7">
        <w:rPr>
          <w:rFonts w:ascii="Arial" w:hAnsi="Arial" w:cs="Arial"/>
        </w:rPr>
        <w:t xml:space="preserve"> and that</w:t>
      </w:r>
      <w:r w:rsidR="00A4742C">
        <w:rPr>
          <w:rFonts w:ascii="Arial" w:hAnsi="Arial" w:cs="Arial"/>
        </w:rPr>
        <w:t xml:space="preserve"> there is little to be gained from shopping around. </w:t>
      </w:r>
    </w:p>
    <w:p w14:paraId="7CB3D313" w14:textId="735E07FC" w:rsidR="006564FE" w:rsidRPr="00FC3955" w:rsidRDefault="006564FE" w:rsidP="006564FE">
      <w:pPr>
        <w:rPr>
          <w:rFonts w:ascii="Arial" w:hAnsi="Arial" w:cs="Arial"/>
        </w:rPr>
      </w:pPr>
    </w:p>
    <w:p w14:paraId="1057CF41" w14:textId="5F2DDDE3" w:rsidR="006564FE" w:rsidRPr="00FC3955" w:rsidRDefault="006564FE" w:rsidP="006564FE">
      <w:pPr>
        <w:jc w:val="both"/>
        <w:rPr>
          <w:rFonts w:ascii="Arial" w:hAnsi="Arial" w:cs="Arial"/>
        </w:rPr>
      </w:pPr>
      <w:r w:rsidRPr="00FC3955">
        <w:rPr>
          <w:rFonts w:ascii="Arial" w:hAnsi="Arial" w:cs="Arial"/>
        </w:rPr>
        <w:t xml:space="preserve">The recommendations in the </w:t>
      </w:r>
      <w:r w:rsidR="00A4742C">
        <w:rPr>
          <w:rFonts w:ascii="Arial" w:hAnsi="Arial" w:cs="Arial"/>
        </w:rPr>
        <w:t>D</w:t>
      </w:r>
      <w:r w:rsidRPr="00FC3955">
        <w:rPr>
          <w:rFonts w:ascii="Arial" w:hAnsi="Arial" w:cs="Arial"/>
        </w:rPr>
        <w:t>raft Report deal with various matter</w:t>
      </w:r>
      <w:r w:rsidR="00FC3955" w:rsidRPr="00FC3955">
        <w:rPr>
          <w:rFonts w:ascii="Arial" w:hAnsi="Arial" w:cs="Arial"/>
        </w:rPr>
        <w:t>s</w:t>
      </w:r>
      <w:r w:rsidRPr="00FC3955">
        <w:rPr>
          <w:rFonts w:ascii="Arial" w:hAnsi="Arial" w:cs="Arial"/>
        </w:rPr>
        <w:t xml:space="preserve"> designed to stimulate competition in this sector.  The IPA will</w:t>
      </w:r>
      <w:r w:rsidR="00A4742C">
        <w:rPr>
          <w:rFonts w:ascii="Arial" w:hAnsi="Arial" w:cs="Arial"/>
        </w:rPr>
        <w:t xml:space="preserve"> address some of those below.  However, on a macro level, </w:t>
      </w:r>
      <w:r w:rsidR="00FC3955" w:rsidRPr="00FC3955">
        <w:rPr>
          <w:rFonts w:ascii="Arial" w:hAnsi="Arial" w:cs="Arial"/>
        </w:rPr>
        <w:t xml:space="preserve">the IPA believes that </w:t>
      </w:r>
      <w:r w:rsidR="00A4742C">
        <w:rPr>
          <w:rFonts w:ascii="Arial" w:hAnsi="Arial" w:cs="Arial"/>
        </w:rPr>
        <w:t>competition in the financial system could be improved by a cultural attitud</w:t>
      </w:r>
      <w:r w:rsidR="000B5226">
        <w:rPr>
          <w:rFonts w:ascii="Arial" w:hAnsi="Arial" w:cs="Arial"/>
        </w:rPr>
        <w:t xml:space="preserve">inal </w:t>
      </w:r>
      <w:r w:rsidR="00A4742C">
        <w:rPr>
          <w:rFonts w:ascii="Arial" w:hAnsi="Arial" w:cs="Arial"/>
        </w:rPr>
        <w:t xml:space="preserve">change by Australians. If the behaviour of consumers (including small businesses) changes, for example by </w:t>
      </w:r>
      <w:r w:rsidR="00EA24E7">
        <w:rPr>
          <w:rFonts w:ascii="Arial" w:hAnsi="Arial" w:cs="Arial"/>
        </w:rPr>
        <w:t xml:space="preserve">‘shopping around’ for the best deal and </w:t>
      </w:r>
      <w:r w:rsidR="00A4742C">
        <w:rPr>
          <w:rFonts w:ascii="Arial" w:hAnsi="Arial" w:cs="Arial"/>
        </w:rPr>
        <w:t xml:space="preserve">switching providers when a more competitive offering is available, </w:t>
      </w:r>
      <w:r w:rsidRPr="00FC3955">
        <w:rPr>
          <w:rFonts w:ascii="Arial" w:hAnsi="Arial" w:cs="Arial"/>
        </w:rPr>
        <w:t xml:space="preserve">the </w:t>
      </w:r>
      <w:r w:rsidR="00FC3955" w:rsidRPr="00FC3955">
        <w:rPr>
          <w:rFonts w:ascii="Arial" w:hAnsi="Arial" w:cs="Arial"/>
        </w:rPr>
        <w:t xml:space="preserve">financial sector will have to respond.  </w:t>
      </w:r>
    </w:p>
    <w:p w14:paraId="2A174994" w14:textId="77777777" w:rsidR="006564FE" w:rsidRPr="00FC3955" w:rsidRDefault="006564FE" w:rsidP="006564FE">
      <w:pPr>
        <w:jc w:val="both"/>
        <w:rPr>
          <w:rFonts w:ascii="Arial" w:hAnsi="Arial" w:cs="Arial"/>
        </w:rPr>
      </w:pPr>
    </w:p>
    <w:p w14:paraId="46245FFB" w14:textId="6A612B74" w:rsidR="00FC3955" w:rsidRDefault="006564FE" w:rsidP="00FC3955">
      <w:pPr>
        <w:jc w:val="both"/>
        <w:rPr>
          <w:rFonts w:ascii="Arial" w:hAnsi="Arial" w:cs="Arial"/>
        </w:rPr>
      </w:pPr>
      <w:r w:rsidRPr="00FC3955">
        <w:rPr>
          <w:rFonts w:ascii="Arial" w:hAnsi="Arial" w:cs="Arial"/>
        </w:rPr>
        <w:t xml:space="preserve">Government has a key role to play here.  Wherever possible, government should be calling on consumers and small businesses to seek out better deals.  The Open Banking </w:t>
      </w:r>
      <w:r w:rsidRPr="00FC3955">
        <w:rPr>
          <w:rFonts w:ascii="Arial" w:hAnsi="Arial" w:cs="Arial"/>
        </w:rPr>
        <w:lastRenderedPageBreak/>
        <w:t>recommendations</w:t>
      </w:r>
      <w:r w:rsidR="000B5226">
        <w:rPr>
          <w:rStyle w:val="FootnoteReference"/>
          <w:rFonts w:ascii="Arial" w:hAnsi="Arial" w:cs="Arial"/>
        </w:rPr>
        <w:footnoteReference w:id="1"/>
      </w:r>
      <w:r w:rsidRPr="00FC3955">
        <w:rPr>
          <w:rFonts w:ascii="Arial" w:hAnsi="Arial" w:cs="Arial"/>
        </w:rPr>
        <w:t xml:space="preserve"> should be widely advertised, in simple terms, so consumers and small businesses understand that they have a </w:t>
      </w:r>
      <w:r w:rsidR="00FC3955" w:rsidRPr="00FC3955">
        <w:rPr>
          <w:rFonts w:ascii="Arial" w:hAnsi="Arial" w:cs="Arial"/>
        </w:rPr>
        <w:t>right to</w:t>
      </w:r>
      <w:r w:rsidRPr="00FC3955">
        <w:rPr>
          <w:rFonts w:ascii="Arial" w:hAnsi="Arial" w:cs="Arial"/>
        </w:rPr>
        <w:t xml:space="preserve"> access their data and </w:t>
      </w:r>
      <w:r w:rsidR="00FC3955">
        <w:rPr>
          <w:rFonts w:ascii="Arial" w:hAnsi="Arial" w:cs="Arial"/>
        </w:rPr>
        <w:t xml:space="preserve">the significant ‘power’ this gives them </w:t>
      </w:r>
      <w:r w:rsidR="00FC3955" w:rsidRPr="00FC3955">
        <w:rPr>
          <w:rFonts w:ascii="Arial" w:hAnsi="Arial" w:cs="Arial"/>
        </w:rPr>
        <w:t xml:space="preserve">vis-à-vis the financial providers. Customers should be demanding better </w:t>
      </w:r>
      <w:r w:rsidR="00FC3955">
        <w:rPr>
          <w:rFonts w:ascii="Arial" w:hAnsi="Arial" w:cs="Arial"/>
        </w:rPr>
        <w:t xml:space="preserve">products and better </w:t>
      </w:r>
      <w:r w:rsidR="00FC3955" w:rsidRPr="00FC3955">
        <w:rPr>
          <w:rFonts w:ascii="Arial" w:hAnsi="Arial" w:cs="Arial"/>
        </w:rPr>
        <w:t>customer service and, if they don’t receive it</w:t>
      </w:r>
      <w:r w:rsidR="00EA24E7">
        <w:rPr>
          <w:rFonts w:ascii="Arial" w:hAnsi="Arial" w:cs="Arial"/>
        </w:rPr>
        <w:t>, they should be switching provider</w:t>
      </w:r>
      <w:r w:rsidR="00FC3955" w:rsidRPr="00FC3955">
        <w:rPr>
          <w:rFonts w:ascii="Arial" w:hAnsi="Arial" w:cs="Arial"/>
        </w:rPr>
        <w:t xml:space="preserve">. </w:t>
      </w:r>
    </w:p>
    <w:p w14:paraId="231E66E7" w14:textId="605E5E1E" w:rsidR="00A4742C" w:rsidRDefault="00A4742C" w:rsidP="00FC3955">
      <w:pPr>
        <w:jc w:val="both"/>
        <w:rPr>
          <w:rFonts w:ascii="Arial" w:hAnsi="Arial" w:cs="Arial"/>
        </w:rPr>
      </w:pPr>
    </w:p>
    <w:p w14:paraId="64680DFF" w14:textId="15B9AD00" w:rsidR="006564FE" w:rsidRDefault="00A4742C" w:rsidP="000B5226">
      <w:pPr>
        <w:jc w:val="both"/>
        <w:rPr>
          <w:rFonts w:ascii="Arial" w:hAnsi="Arial" w:cs="Arial"/>
        </w:rPr>
      </w:pPr>
      <w:r>
        <w:rPr>
          <w:rFonts w:ascii="Arial" w:hAnsi="Arial" w:cs="Arial"/>
        </w:rPr>
        <w:t xml:space="preserve">The </w:t>
      </w:r>
      <w:r w:rsidR="000B5226">
        <w:rPr>
          <w:rFonts w:ascii="Arial" w:hAnsi="Arial" w:cs="Arial"/>
        </w:rPr>
        <w:t xml:space="preserve">issues of improving transparency and simplicity </w:t>
      </w:r>
      <w:r>
        <w:rPr>
          <w:rFonts w:ascii="Arial" w:hAnsi="Arial" w:cs="Arial"/>
        </w:rPr>
        <w:t>raised in the Draft Report will be vital to facilitating this change.  The ability to compare products and services will equip consumers and small businesses with the information needed to enable choices to be made. We discuss this further below.</w:t>
      </w:r>
    </w:p>
    <w:p w14:paraId="1CA74A6B" w14:textId="2702F2EE" w:rsidR="00FC3955" w:rsidRPr="000B5226" w:rsidRDefault="00A4742C" w:rsidP="000B5226">
      <w:pPr>
        <w:pStyle w:val="ListParagraph"/>
        <w:numPr>
          <w:ilvl w:val="0"/>
          <w:numId w:val="36"/>
        </w:numPr>
        <w:rPr>
          <w:rFonts w:ascii="Arial" w:hAnsi="Arial" w:cs="Arial"/>
          <w:b/>
          <w:color w:val="0070C0"/>
        </w:rPr>
      </w:pPr>
      <w:r w:rsidRPr="000B5226">
        <w:rPr>
          <w:rFonts w:ascii="Arial" w:hAnsi="Arial" w:cs="Arial"/>
          <w:b/>
          <w:color w:val="0070C0"/>
        </w:rPr>
        <w:br w:type="page"/>
      </w:r>
      <w:r w:rsidR="00FC3955" w:rsidRPr="000B5226">
        <w:rPr>
          <w:rFonts w:ascii="Arial" w:hAnsi="Arial" w:cs="Arial"/>
          <w:b/>
          <w:color w:val="0070C0"/>
        </w:rPr>
        <w:lastRenderedPageBreak/>
        <w:t>Market concentration</w:t>
      </w:r>
    </w:p>
    <w:p w14:paraId="74447643" w14:textId="3833FC66" w:rsidR="00FC3955" w:rsidRDefault="00FC3955" w:rsidP="00FC3955">
      <w:pPr>
        <w:rPr>
          <w:b/>
          <w:color w:val="0070C0"/>
        </w:rPr>
      </w:pPr>
    </w:p>
    <w:p w14:paraId="3D66998A" w14:textId="77998E2D" w:rsidR="00FC3955" w:rsidRPr="00FC3955" w:rsidRDefault="000B5226" w:rsidP="00FC3955">
      <w:pPr>
        <w:jc w:val="both"/>
        <w:rPr>
          <w:rFonts w:ascii="Arial" w:hAnsi="Arial" w:cs="Arial"/>
        </w:rPr>
      </w:pPr>
      <w:r>
        <w:rPr>
          <w:rFonts w:ascii="Arial" w:hAnsi="Arial" w:cs="Arial"/>
        </w:rPr>
        <w:t>The D</w:t>
      </w:r>
      <w:r w:rsidR="00FC3955" w:rsidRPr="00FC3955">
        <w:rPr>
          <w:rFonts w:ascii="Arial" w:hAnsi="Arial" w:cs="Arial"/>
        </w:rPr>
        <w:t xml:space="preserve">raft Report highlights the extent of market concentration currently existing in the financial </w:t>
      </w:r>
      <w:r w:rsidR="00EA24E7">
        <w:rPr>
          <w:rFonts w:ascii="Arial" w:hAnsi="Arial" w:cs="Arial"/>
        </w:rPr>
        <w:t xml:space="preserve">services </w:t>
      </w:r>
      <w:r w:rsidR="00FC3955" w:rsidRPr="00FC3955">
        <w:rPr>
          <w:rFonts w:ascii="Arial" w:hAnsi="Arial" w:cs="Arial"/>
        </w:rPr>
        <w:t>sector in Australia. The Productivity Comm</w:t>
      </w:r>
      <w:r w:rsidR="00A4742C">
        <w:rPr>
          <w:rFonts w:ascii="Arial" w:hAnsi="Arial" w:cs="Arial"/>
        </w:rPr>
        <w:t>i</w:t>
      </w:r>
      <w:r w:rsidR="00FC3955" w:rsidRPr="00FC3955">
        <w:rPr>
          <w:rFonts w:ascii="Arial" w:hAnsi="Arial" w:cs="Arial"/>
        </w:rPr>
        <w:t>ssion does not consider divestment to be the preferred route to increased competition, at least not when there are alternative solutions available</w:t>
      </w:r>
      <w:r w:rsidR="00D07506">
        <w:rPr>
          <w:rStyle w:val="FootnoteReference"/>
          <w:rFonts w:ascii="Arial" w:hAnsi="Arial" w:cs="Arial"/>
        </w:rPr>
        <w:footnoteReference w:id="2"/>
      </w:r>
      <w:r w:rsidR="00FC3955" w:rsidRPr="00FC3955">
        <w:rPr>
          <w:rFonts w:ascii="Arial" w:hAnsi="Arial" w:cs="Arial"/>
        </w:rPr>
        <w:t xml:space="preserve">. </w:t>
      </w:r>
    </w:p>
    <w:p w14:paraId="1F42BC91" w14:textId="77777777" w:rsidR="00FC3955" w:rsidRDefault="00FC3955" w:rsidP="00FC3955">
      <w:pPr>
        <w:jc w:val="both"/>
      </w:pPr>
    </w:p>
    <w:p w14:paraId="6A4CCAF1" w14:textId="58B25149" w:rsidR="00A4742C" w:rsidRPr="000B5226" w:rsidRDefault="00FC3955" w:rsidP="000B5226">
      <w:pPr>
        <w:jc w:val="both"/>
      </w:pPr>
      <w:r w:rsidRPr="00FC3955">
        <w:rPr>
          <w:rFonts w:ascii="Arial" w:hAnsi="Arial" w:cs="Arial"/>
        </w:rPr>
        <w:t xml:space="preserve">The redundancy of the ‘four pillars policy’ is unlikely to have any significant impact on the oligopolistic nature of the market. The IPA believes that the financial services market in Australia </w:t>
      </w:r>
      <w:r w:rsidR="00A4742C">
        <w:rPr>
          <w:rFonts w:ascii="Arial" w:hAnsi="Arial" w:cs="Arial"/>
        </w:rPr>
        <w:t xml:space="preserve">(with a population of approximately 26 million) </w:t>
      </w:r>
      <w:r w:rsidRPr="00FC3955">
        <w:rPr>
          <w:rFonts w:ascii="Arial" w:hAnsi="Arial" w:cs="Arial"/>
        </w:rPr>
        <w:t xml:space="preserve">is unlikely to support more than </w:t>
      </w:r>
      <w:r w:rsidR="000732D0">
        <w:rPr>
          <w:rFonts w:ascii="Arial" w:hAnsi="Arial" w:cs="Arial"/>
        </w:rPr>
        <w:t>four</w:t>
      </w:r>
      <w:r w:rsidRPr="00FC3955">
        <w:rPr>
          <w:rFonts w:ascii="Arial" w:hAnsi="Arial" w:cs="Arial"/>
        </w:rPr>
        <w:t xml:space="preserve"> large financial service providers</w:t>
      </w:r>
      <w:r w:rsidR="001317B9">
        <w:rPr>
          <w:rFonts w:ascii="Arial" w:hAnsi="Arial" w:cs="Arial"/>
        </w:rPr>
        <w:t xml:space="preserve">, </w:t>
      </w:r>
      <w:r w:rsidR="00573DC3">
        <w:rPr>
          <w:rFonts w:ascii="Arial" w:hAnsi="Arial" w:cs="Arial"/>
        </w:rPr>
        <w:t xml:space="preserve">that have currently positioned themselves historically and collectively into a dominant market position, particularly post the </w:t>
      </w:r>
      <w:proofErr w:type="spellStart"/>
      <w:r w:rsidR="00573DC3">
        <w:rPr>
          <w:rFonts w:ascii="Arial" w:hAnsi="Arial" w:cs="Arial"/>
        </w:rPr>
        <w:t>GFC</w:t>
      </w:r>
      <w:proofErr w:type="spellEnd"/>
      <w:r w:rsidR="008919BC">
        <w:rPr>
          <w:rStyle w:val="FootnoteReference"/>
          <w:rFonts w:ascii="Arial" w:hAnsi="Arial" w:cs="Arial"/>
        </w:rPr>
        <w:footnoteReference w:id="3"/>
      </w:r>
      <w:r w:rsidR="003061C5">
        <w:t>.</w:t>
      </w:r>
      <w:r w:rsidR="000B5226">
        <w:t xml:space="preserve"> </w:t>
      </w:r>
      <w:r w:rsidR="00A4742C">
        <w:rPr>
          <w:rFonts w:ascii="Arial" w:hAnsi="Arial" w:cs="Arial"/>
        </w:rPr>
        <w:t>That status quo is likely to remain, at least to a large extent. What is needed now is:</w:t>
      </w:r>
    </w:p>
    <w:p w14:paraId="64DA707C" w14:textId="77777777" w:rsidR="00573DC3" w:rsidRDefault="00573DC3" w:rsidP="00FC3955">
      <w:pPr>
        <w:jc w:val="both"/>
        <w:rPr>
          <w:rFonts w:ascii="Arial" w:hAnsi="Arial" w:cs="Arial"/>
        </w:rPr>
      </w:pPr>
    </w:p>
    <w:p w14:paraId="1DEA6D55" w14:textId="7F7E30AC" w:rsidR="00A4742C" w:rsidRDefault="00A4742C" w:rsidP="00A4742C">
      <w:pPr>
        <w:pStyle w:val="ListParagraph"/>
        <w:numPr>
          <w:ilvl w:val="0"/>
          <w:numId w:val="35"/>
        </w:numPr>
        <w:jc w:val="both"/>
        <w:rPr>
          <w:rFonts w:ascii="Arial" w:hAnsi="Arial" w:cs="Arial"/>
        </w:rPr>
      </w:pPr>
      <w:r>
        <w:rPr>
          <w:rFonts w:ascii="Arial" w:hAnsi="Arial" w:cs="Arial"/>
        </w:rPr>
        <w:t xml:space="preserve">More competition </w:t>
      </w:r>
      <w:r w:rsidRPr="000B5226">
        <w:rPr>
          <w:rFonts w:ascii="Arial" w:hAnsi="Arial" w:cs="Arial"/>
          <w:b/>
          <w:i/>
        </w:rPr>
        <w:t>between</w:t>
      </w:r>
      <w:r>
        <w:rPr>
          <w:rFonts w:ascii="Arial" w:hAnsi="Arial" w:cs="Arial"/>
          <w:i/>
        </w:rPr>
        <w:t xml:space="preserve"> </w:t>
      </w:r>
      <w:r>
        <w:rPr>
          <w:rFonts w:ascii="Arial" w:hAnsi="Arial" w:cs="Arial"/>
        </w:rPr>
        <w:t>the four banks</w:t>
      </w:r>
      <w:r w:rsidR="008919BC">
        <w:rPr>
          <w:rFonts w:ascii="Arial" w:hAnsi="Arial" w:cs="Arial"/>
        </w:rPr>
        <w:t>;</w:t>
      </w:r>
    </w:p>
    <w:p w14:paraId="3F166FDC" w14:textId="458BC014" w:rsidR="00A4742C" w:rsidRPr="000B5226" w:rsidRDefault="00A4742C" w:rsidP="000B5226">
      <w:pPr>
        <w:jc w:val="both"/>
        <w:rPr>
          <w:rFonts w:ascii="Arial" w:hAnsi="Arial" w:cs="Arial"/>
        </w:rPr>
      </w:pPr>
    </w:p>
    <w:p w14:paraId="68F08760" w14:textId="1211112D" w:rsidR="000B5226" w:rsidRDefault="00A4742C" w:rsidP="00A43663">
      <w:pPr>
        <w:pStyle w:val="ListParagraph"/>
        <w:numPr>
          <w:ilvl w:val="0"/>
          <w:numId w:val="35"/>
        </w:numPr>
        <w:jc w:val="both"/>
        <w:rPr>
          <w:rFonts w:ascii="Arial" w:hAnsi="Arial" w:cs="Arial"/>
        </w:rPr>
      </w:pPr>
      <w:r w:rsidRPr="000B5226">
        <w:rPr>
          <w:rFonts w:ascii="Arial" w:hAnsi="Arial" w:cs="Arial"/>
        </w:rPr>
        <w:t>Competition</w:t>
      </w:r>
      <w:r w:rsidR="00544BC5" w:rsidRPr="000B5226">
        <w:rPr>
          <w:rFonts w:ascii="Arial" w:hAnsi="Arial" w:cs="Arial"/>
        </w:rPr>
        <w:t xml:space="preserve"> from</w:t>
      </w:r>
      <w:r w:rsidRPr="000B5226">
        <w:rPr>
          <w:rFonts w:ascii="Arial" w:hAnsi="Arial" w:cs="Arial"/>
        </w:rPr>
        <w:t xml:space="preserve"> </w:t>
      </w:r>
      <w:r w:rsidRPr="000B5226">
        <w:rPr>
          <w:rFonts w:ascii="Arial" w:hAnsi="Arial" w:cs="Arial"/>
          <w:b/>
          <w:i/>
        </w:rPr>
        <w:t>innovative smaller financial service providers</w:t>
      </w:r>
      <w:r w:rsidRPr="000B5226">
        <w:rPr>
          <w:rFonts w:ascii="Arial" w:hAnsi="Arial" w:cs="Arial"/>
        </w:rPr>
        <w:t xml:space="preserve"> offering new (or better) products and services (such as those provided by St George and </w:t>
      </w:r>
      <w:proofErr w:type="spellStart"/>
      <w:r w:rsidRPr="000B5226">
        <w:rPr>
          <w:rFonts w:ascii="Arial" w:hAnsi="Arial" w:cs="Arial"/>
        </w:rPr>
        <w:t>BankWest</w:t>
      </w:r>
      <w:proofErr w:type="spellEnd"/>
      <w:r w:rsidRPr="000B5226">
        <w:rPr>
          <w:rFonts w:ascii="Arial" w:hAnsi="Arial" w:cs="Arial"/>
        </w:rPr>
        <w:t xml:space="preserve"> prior to their mergers wit</w:t>
      </w:r>
      <w:r w:rsidR="000B5226">
        <w:rPr>
          <w:rFonts w:ascii="Arial" w:hAnsi="Arial" w:cs="Arial"/>
        </w:rPr>
        <w:t xml:space="preserve">h Westpac and CBA respectively); </w:t>
      </w:r>
    </w:p>
    <w:p w14:paraId="33CC9875" w14:textId="3A556F7B" w:rsidR="000B5226" w:rsidRPr="000B5226" w:rsidRDefault="000B5226" w:rsidP="000B5226">
      <w:pPr>
        <w:jc w:val="both"/>
        <w:rPr>
          <w:rFonts w:ascii="Arial" w:hAnsi="Arial" w:cs="Arial"/>
        </w:rPr>
      </w:pPr>
    </w:p>
    <w:p w14:paraId="67920C58" w14:textId="2CAB576C" w:rsidR="000B5226" w:rsidRPr="000B5226" w:rsidRDefault="000B5226" w:rsidP="000B5226">
      <w:pPr>
        <w:pStyle w:val="ListParagraph"/>
        <w:numPr>
          <w:ilvl w:val="0"/>
          <w:numId w:val="35"/>
        </w:numPr>
        <w:jc w:val="both"/>
        <w:rPr>
          <w:rFonts w:ascii="Arial" w:hAnsi="Arial" w:cs="Arial"/>
        </w:rPr>
      </w:pPr>
      <w:r>
        <w:rPr>
          <w:rFonts w:ascii="Arial" w:hAnsi="Arial" w:cs="Arial"/>
        </w:rPr>
        <w:t xml:space="preserve">Continued </w:t>
      </w:r>
      <w:r w:rsidRPr="000B5226">
        <w:rPr>
          <w:rFonts w:ascii="Arial" w:hAnsi="Arial" w:cs="Arial"/>
          <w:b/>
          <w:i/>
        </w:rPr>
        <w:t>scrutiny</w:t>
      </w:r>
      <w:r>
        <w:rPr>
          <w:rFonts w:ascii="Arial" w:hAnsi="Arial" w:cs="Arial"/>
        </w:rPr>
        <w:t xml:space="preserve"> of their actions by the regulators and enforcement steps taken, as appropriate.</w:t>
      </w:r>
    </w:p>
    <w:p w14:paraId="3B11E2BB" w14:textId="7960E9C3" w:rsidR="00FC3955" w:rsidRDefault="00777D80" w:rsidP="00777D80">
      <w:pPr>
        <w:tabs>
          <w:tab w:val="left" w:pos="6060"/>
        </w:tabs>
        <w:rPr>
          <w:rFonts w:ascii="Arial" w:eastAsiaTheme="minorHAnsi" w:hAnsi="Arial" w:cs="Arial"/>
          <w:lang w:val="en-GB"/>
        </w:rPr>
      </w:pPr>
      <w:r>
        <w:rPr>
          <w:rFonts w:ascii="Arial" w:eastAsiaTheme="minorHAnsi" w:hAnsi="Arial" w:cs="Arial"/>
          <w:lang w:val="en-GB"/>
        </w:rPr>
        <w:tab/>
      </w:r>
    </w:p>
    <w:p w14:paraId="53F0ED5F" w14:textId="19C6EB1F" w:rsidR="00A4742C" w:rsidRDefault="00A4742C" w:rsidP="00FC3955">
      <w:pPr>
        <w:rPr>
          <w:rFonts w:ascii="Arial" w:eastAsiaTheme="minorHAnsi" w:hAnsi="Arial" w:cs="Arial"/>
          <w:lang w:val="en-GB"/>
        </w:rPr>
      </w:pPr>
      <w:r>
        <w:rPr>
          <w:rFonts w:ascii="Arial" w:eastAsiaTheme="minorHAnsi" w:hAnsi="Arial" w:cs="Arial"/>
          <w:lang w:val="en-GB"/>
        </w:rPr>
        <w:t>We expand on these ideas below.</w:t>
      </w:r>
    </w:p>
    <w:p w14:paraId="05E4693F" w14:textId="77777777" w:rsidR="00A4742C" w:rsidRDefault="00A4742C" w:rsidP="00FC3955">
      <w:pPr>
        <w:rPr>
          <w:b/>
          <w:color w:val="0070C0"/>
        </w:rPr>
      </w:pPr>
    </w:p>
    <w:p w14:paraId="703C7B10" w14:textId="16A1FCAC" w:rsidR="00FC3955" w:rsidRPr="00544BC5" w:rsidRDefault="00FC3955" w:rsidP="00544BC5">
      <w:pPr>
        <w:pStyle w:val="ListParagraph"/>
        <w:numPr>
          <w:ilvl w:val="0"/>
          <w:numId w:val="37"/>
        </w:numPr>
        <w:rPr>
          <w:rFonts w:ascii="Arial" w:hAnsi="Arial" w:cs="Arial"/>
          <w:b/>
          <w:color w:val="0070C0"/>
        </w:rPr>
      </w:pPr>
      <w:r w:rsidRPr="00544BC5">
        <w:rPr>
          <w:rFonts w:ascii="Arial" w:hAnsi="Arial" w:cs="Arial"/>
          <w:b/>
          <w:color w:val="0070C0"/>
        </w:rPr>
        <w:t>How do we deal with market concentration and get competiti</w:t>
      </w:r>
      <w:r w:rsidR="00A4742C" w:rsidRPr="00544BC5">
        <w:rPr>
          <w:rFonts w:ascii="Arial" w:hAnsi="Arial" w:cs="Arial"/>
          <w:b/>
          <w:color w:val="0070C0"/>
        </w:rPr>
        <w:t>on back into the financial system</w:t>
      </w:r>
      <w:r w:rsidRPr="00544BC5">
        <w:rPr>
          <w:rFonts w:ascii="Arial" w:hAnsi="Arial" w:cs="Arial"/>
          <w:b/>
          <w:color w:val="0070C0"/>
        </w:rPr>
        <w:t>?</w:t>
      </w:r>
    </w:p>
    <w:p w14:paraId="0C13D76F" w14:textId="77777777" w:rsidR="00FC3955" w:rsidRPr="00FC3955" w:rsidRDefault="00FC3955" w:rsidP="006564FE">
      <w:pPr>
        <w:rPr>
          <w:rFonts w:ascii="Arial" w:hAnsi="Arial" w:cs="Arial"/>
        </w:rPr>
      </w:pPr>
    </w:p>
    <w:p w14:paraId="375BC43C" w14:textId="7A27B804" w:rsidR="00A4742C" w:rsidRDefault="00A4742C" w:rsidP="00FC3955">
      <w:pPr>
        <w:jc w:val="both"/>
        <w:rPr>
          <w:rFonts w:ascii="Arial" w:hAnsi="Arial" w:cs="Arial"/>
        </w:rPr>
      </w:pPr>
      <w:r>
        <w:rPr>
          <w:rFonts w:ascii="Arial" w:hAnsi="Arial" w:cs="Arial"/>
        </w:rPr>
        <w:t>In order to create an environment where c</w:t>
      </w:r>
      <w:r w:rsidR="00FC3955" w:rsidRPr="00FC3955">
        <w:rPr>
          <w:rFonts w:ascii="Arial" w:hAnsi="Arial" w:cs="Arial"/>
        </w:rPr>
        <w:t xml:space="preserve">onsumers and small businesses </w:t>
      </w:r>
      <w:r>
        <w:rPr>
          <w:rFonts w:ascii="Arial" w:hAnsi="Arial" w:cs="Arial"/>
        </w:rPr>
        <w:t>can drive improved competitive behaviours, the financial system needs to provide:</w:t>
      </w:r>
    </w:p>
    <w:p w14:paraId="1F9B2A0D" w14:textId="77777777" w:rsidR="00FC3955" w:rsidRDefault="00FC3955" w:rsidP="00FC3955">
      <w:pPr>
        <w:jc w:val="both"/>
        <w:rPr>
          <w:rFonts w:ascii="Arial" w:hAnsi="Arial" w:cs="Arial"/>
        </w:rPr>
      </w:pPr>
    </w:p>
    <w:p w14:paraId="297E4E60" w14:textId="0B9127E7" w:rsidR="00FC3955" w:rsidRPr="00DA5690" w:rsidRDefault="00FC3955" w:rsidP="00FC3955">
      <w:pPr>
        <w:pStyle w:val="ListParagraph"/>
        <w:numPr>
          <w:ilvl w:val="0"/>
          <w:numId w:val="32"/>
        </w:numPr>
        <w:jc w:val="both"/>
        <w:rPr>
          <w:rFonts w:ascii="Arial" w:hAnsi="Arial" w:cs="Arial"/>
          <w:i/>
        </w:rPr>
      </w:pPr>
      <w:r w:rsidRPr="00544BC5">
        <w:rPr>
          <w:rFonts w:ascii="Arial" w:hAnsi="Arial" w:cs="Arial"/>
          <w:b/>
          <w:i/>
        </w:rPr>
        <w:lastRenderedPageBreak/>
        <w:t>Increased transparency</w:t>
      </w:r>
      <w:r w:rsidRPr="00FC3955">
        <w:rPr>
          <w:rFonts w:ascii="Arial" w:hAnsi="Arial" w:cs="Arial"/>
          <w:i/>
        </w:rPr>
        <w:t xml:space="preserve"> </w:t>
      </w:r>
      <w:r>
        <w:rPr>
          <w:rFonts w:ascii="Arial" w:hAnsi="Arial" w:cs="Arial"/>
        </w:rPr>
        <w:t>of the products and services avai</w:t>
      </w:r>
      <w:r w:rsidR="00A4742C">
        <w:rPr>
          <w:rFonts w:ascii="Arial" w:hAnsi="Arial" w:cs="Arial"/>
        </w:rPr>
        <w:t>lable from financial institutio</w:t>
      </w:r>
      <w:r>
        <w:rPr>
          <w:rFonts w:ascii="Arial" w:hAnsi="Arial" w:cs="Arial"/>
        </w:rPr>
        <w:t>n</w:t>
      </w:r>
      <w:r w:rsidR="00A4742C">
        <w:rPr>
          <w:rFonts w:ascii="Arial" w:hAnsi="Arial" w:cs="Arial"/>
        </w:rPr>
        <w:t xml:space="preserve">s.  This will </w:t>
      </w:r>
      <w:r>
        <w:rPr>
          <w:rFonts w:ascii="Arial" w:hAnsi="Arial" w:cs="Arial"/>
        </w:rPr>
        <w:t>allow comparisons to be made</w:t>
      </w:r>
      <w:r w:rsidR="00A4742C">
        <w:rPr>
          <w:rFonts w:ascii="Arial" w:hAnsi="Arial" w:cs="Arial"/>
        </w:rPr>
        <w:t xml:space="preserve"> </w:t>
      </w:r>
      <w:r w:rsidR="00EA24E7">
        <w:rPr>
          <w:rFonts w:ascii="Arial" w:hAnsi="Arial" w:cs="Arial"/>
        </w:rPr>
        <w:t>(</w:t>
      </w:r>
      <w:r w:rsidR="00A4742C">
        <w:rPr>
          <w:rFonts w:ascii="Arial" w:hAnsi="Arial" w:cs="Arial"/>
        </w:rPr>
        <w:t>with the flow-on benefits recognised in the Draft Report</w:t>
      </w:r>
      <w:r w:rsidR="00EA24E7">
        <w:rPr>
          <w:rFonts w:ascii="Arial" w:hAnsi="Arial" w:cs="Arial"/>
        </w:rPr>
        <w:t>)</w:t>
      </w:r>
      <w:r w:rsidR="00DA5690">
        <w:rPr>
          <w:rFonts w:ascii="Arial" w:hAnsi="Arial" w:cs="Arial"/>
        </w:rPr>
        <w:t xml:space="preserve"> in relation to matters such as mortgage rates, broker </w:t>
      </w:r>
      <w:r w:rsidR="00EA24E7">
        <w:rPr>
          <w:rFonts w:ascii="Arial" w:hAnsi="Arial" w:cs="Arial"/>
        </w:rPr>
        <w:t xml:space="preserve">relationships and </w:t>
      </w:r>
      <w:r w:rsidR="000B5226">
        <w:rPr>
          <w:rFonts w:ascii="Arial" w:hAnsi="Arial" w:cs="Arial"/>
        </w:rPr>
        <w:t xml:space="preserve">commissions, </w:t>
      </w:r>
      <w:r w:rsidR="00DA5690">
        <w:rPr>
          <w:rFonts w:ascii="Arial" w:hAnsi="Arial" w:cs="Arial"/>
        </w:rPr>
        <w:t xml:space="preserve">and use of consumer data. </w:t>
      </w:r>
    </w:p>
    <w:p w14:paraId="4424B451" w14:textId="39939B12" w:rsidR="00EA24E7" w:rsidRPr="00EA24E7" w:rsidRDefault="00EA24E7" w:rsidP="00EA24E7">
      <w:pPr>
        <w:jc w:val="both"/>
        <w:rPr>
          <w:rFonts w:ascii="Arial" w:hAnsi="Arial" w:cs="Arial"/>
          <w:color w:val="000000"/>
        </w:rPr>
      </w:pPr>
    </w:p>
    <w:p w14:paraId="65B8FC5C" w14:textId="7F3EE550" w:rsidR="00EA24E7" w:rsidRDefault="00EA24E7" w:rsidP="00EA24E7">
      <w:pPr>
        <w:pStyle w:val="ListParagraph"/>
        <w:jc w:val="both"/>
        <w:rPr>
          <w:rFonts w:ascii="Arial" w:hAnsi="Arial" w:cs="Arial"/>
          <w:color w:val="000000"/>
        </w:rPr>
      </w:pPr>
      <w:r>
        <w:rPr>
          <w:rFonts w:ascii="Arial" w:eastAsia="Times New Roman" w:hAnsi="Arial" w:cs="Arial"/>
          <w:color w:val="000000"/>
        </w:rPr>
        <w:t xml:space="preserve">It is concerning </w:t>
      </w:r>
      <w:r w:rsidRPr="00EA24E7">
        <w:rPr>
          <w:rFonts w:ascii="Arial" w:hAnsi="Arial" w:cs="Arial"/>
          <w:color w:val="000000"/>
        </w:rPr>
        <w:t xml:space="preserve">that 70% of </w:t>
      </w:r>
      <w:r>
        <w:rPr>
          <w:rFonts w:ascii="Arial" w:hAnsi="Arial" w:cs="Arial"/>
          <w:color w:val="000000"/>
        </w:rPr>
        <w:t xml:space="preserve">the </w:t>
      </w:r>
      <w:r w:rsidRPr="00EA24E7">
        <w:rPr>
          <w:rFonts w:ascii="Arial" w:hAnsi="Arial" w:cs="Arial"/>
          <w:color w:val="000000"/>
        </w:rPr>
        <w:t xml:space="preserve">so called independent 'mortgage brokers' have been captured by the </w:t>
      </w:r>
      <w:r>
        <w:rPr>
          <w:rFonts w:ascii="Arial" w:hAnsi="Arial" w:cs="Arial"/>
          <w:color w:val="000000"/>
        </w:rPr>
        <w:t xml:space="preserve">‘big four’. </w:t>
      </w:r>
      <w:r w:rsidRPr="00EA24E7">
        <w:rPr>
          <w:rFonts w:ascii="Arial" w:hAnsi="Arial" w:cs="Arial"/>
          <w:color w:val="000000"/>
        </w:rPr>
        <w:t>This</w:t>
      </w:r>
      <w:r w:rsidR="000B5226">
        <w:rPr>
          <w:rFonts w:ascii="Arial" w:hAnsi="Arial" w:cs="Arial"/>
          <w:color w:val="000000"/>
        </w:rPr>
        <w:t xml:space="preserve"> raises considerable transparency</w:t>
      </w:r>
      <w:r>
        <w:rPr>
          <w:rFonts w:ascii="Arial" w:hAnsi="Arial" w:cs="Arial"/>
          <w:color w:val="000000"/>
        </w:rPr>
        <w:t xml:space="preserve"> issues as well as issues of </w:t>
      </w:r>
      <w:r w:rsidRPr="00EA24E7">
        <w:rPr>
          <w:rFonts w:ascii="Arial" w:hAnsi="Arial" w:cs="Arial"/>
          <w:color w:val="000000"/>
        </w:rPr>
        <w:t>independence</w:t>
      </w:r>
      <w:r>
        <w:rPr>
          <w:rFonts w:ascii="Arial" w:hAnsi="Arial" w:cs="Arial"/>
          <w:color w:val="000000"/>
        </w:rPr>
        <w:t xml:space="preserve"> and </w:t>
      </w:r>
      <w:r w:rsidRPr="00EA24E7">
        <w:rPr>
          <w:rFonts w:ascii="Arial" w:hAnsi="Arial" w:cs="Arial"/>
          <w:color w:val="000000"/>
        </w:rPr>
        <w:t>conflict of intere</w:t>
      </w:r>
      <w:r>
        <w:rPr>
          <w:rFonts w:ascii="Arial" w:hAnsi="Arial" w:cs="Arial"/>
          <w:color w:val="000000"/>
        </w:rPr>
        <w:t>st</w:t>
      </w:r>
      <w:r w:rsidRPr="00EA24E7">
        <w:rPr>
          <w:rFonts w:ascii="Arial" w:hAnsi="Arial" w:cs="Arial"/>
          <w:color w:val="000000"/>
        </w:rPr>
        <w:t>. Customers seeking the best loan or switching their current loans on the bas</w:t>
      </w:r>
      <w:r w:rsidR="000B5226">
        <w:rPr>
          <w:rFonts w:ascii="Arial" w:hAnsi="Arial" w:cs="Arial"/>
          <w:color w:val="000000"/>
        </w:rPr>
        <w:t>is of advice from the captured</w:t>
      </w:r>
      <w:r w:rsidRPr="00EA24E7">
        <w:rPr>
          <w:rFonts w:ascii="Arial" w:hAnsi="Arial" w:cs="Arial"/>
          <w:color w:val="000000"/>
        </w:rPr>
        <w:t xml:space="preserve"> brokers, are in fact being misled if the relationship between</w:t>
      </w:r>
      <w:r>
        <w:rPr>
          <w:rFonts w:ascii="Arial" w:hAnsi="Arial" w:cs="Arial"/>
          <w:color w:val="000000"/>
        </w:rPr>
        <w:t xml:space="preserve"> the broker and any of the ‘big four’</w:t>
      </w:r>
      <w:r w:rsidRPr="00EA24E7">
        <w:rPr>
          <w:rFonts w:ascii="Arial" w:hAnsi="Arial" w:cs="Arial"/>
          <w:color w:val="000000"/>
        </w:rPr>
        <w:t xml:space="preserve"> is not adequately disclos</w:t>
      </w:r>
      <w:r>
        <w:rPr>
          <w:rFonts w:ascii="Arial" w:hAnsi="Arial" w:cs="Arial"/>
          <w:color w:val="000000"/>
        </w:rPr>
        <w:t>ed.</w:t>
      </w:r>
    </w:p>
    <w:p w14:paraId="4BE5412C" w14:textId="77777777" w:rsidR="000732D0" w:rsidRDefault="000732D0" w:rsidP="00EA24E7">
      <w:pPr>
        <w:pStyle w:val="ListParagraph"/>
        <w:jc w:val="both"/>
        <w:rPr>
          <w:rFonts w:ascii="Arial" w:hAnsi="Arial" w:cs="Arial"/>
          <w:color w:val="000000"/>
        </w:rPr>
      </w:pPr>
    </w:p>
    <w:p w14:paraId="25D536DB" w14:textId="6E5935A5" w:rsidR="00EA24E7" w:rsidRPr="00EA24E7" w:rsidRDefault="000732D0" w:rsidP="00EA24E7">
      <w:pPr>
        <w:pStyle w:val="ListParagraph"/>
        <w:jc w:val="both"/>
        <w:rPr>
          <w:rFonts w:ascii="Arial" w:eastAsia="Times New Roman" w:hAnsi="Arial" w:cs="Arial"/>
          <w:color w:val="000000"/>
        </w:rPr>
      </w:pPr>
      <w:r>
        <w:rPr>
          <w:rFonts w:ascii="Arial" w:hAnsi="Arial" w:cs="Arial"/>
          <w:color w:val="000000"/>
        </w:rPr>
        <w:t xml:space="preserve">However, adequate and sufficient disclosure remains elusive.  Under the </w:t>
      </w:r>
      <w:r w:rsidRPr="000732D0">
        <w:rPr>
          <w:rFonts w:ascii="Arial" w:hAnsi="Arial" w:cs="Arial"/>
          <w:i/>
          <w:color w:val="000000"/>
        </w:rPr>
        <w:t>Financial Services reform Act 2001</w:t>
      </w:r>
      <w:r>
        <w:rPr>
          <w:rFonts w:ascii="Arial" w:hAnsi="Arial" w:cs="Arial"/>
          <w:color w:val="000000"/>
        </w:rPr>
        <w:t xml:space="preserve"> </w:t>
      </w:r>
      <w:r w:rsidR="00156A5A">
        <w:rPr>
          <w:rFonts w:ascii="Arial" w:hAnsi="Arial" w:cs="Arial"/>
          <w:color w:val="000000"/>
        </w:rPr>
        <w:t xml:space="preserve">(which became chapter 7 of the Corporations Act) </w:t>
      </w:r>
      <w:r>
        <w:rPr>
          <w:rFonts w:ascii="Arial" w:hAnsi="Arial" w:cs="Arial"/>
          <w:color w:val="000000"/>
        </w:rPr>
        <w:t xml:space="preserve">the intention was to improve </w:t>
      </w:r>
      <w:r w:rsidR="006755EC">
        <w:rPr>
          <w:rFonts w:ascii="Arial" w:hAnsi="Arial" w:cs="Arial"/>
          <w:color w:val="000000"/>
        </w:rPr>
        <w:t xml:space="preserve">consumer protection and market integrity, within the framework of one piece of legislation. This was to be achieved, at least in part, by improved </w:t>
      </w:r>
      <w:r>
        <w:rPr>
          <w:rFonts w:ascii="Arial" w:hAnsi="Arial" w:cs="Arial"/>
          <w:color w:val="000000"/>
        </w:rPr>
        <w:t xml:space="preserve">disclosure for the benefit of </w:t>
      </w:r>
      <w:r w:rsidR="006755EC">
        <w:rPr>
          <w:rFonts w:ascii="Arial" w:hAnsi="Arial" w:cs="Arial"/>
          <w:color w:val="000000"/>
        </w:rPr>
        <w:t xml:space="preserve">all </w:t>
      </w:r>
      <w:r>
        <w:rPr>
          <w:rFonts w:ascii="Arial" w:hAnsi="Arial" w:cs="Arial"/>
          <w:color w:val="000000"/>
        </w:rPr>
        <w:t>con</w:t>
      </w:r>
      <w:r w:rsidR="006755EC">
        <w:rPr>
          <w:rFonts w:ascii="Arial" w:hAnsi="Arial" w:cs="Arial"/>
          <w:color w:val="000000"/>
        </w:rPr>
        <w:t>sumers</w:t>
      </w:r>
      <w:r>
        <w:rPr>
          <w:rFonts w:ascii="Arial" w:hAnsi="Arial" w:cs="Arial"/>
          <w:color w:val="000000"/>
        </w:rPr>
        <w:t xml:space="preserve">. Subsequent </w:t>
      </w:r>
      <w:r w:rsidR="00156A5A">
        <w:rPr>
          <w:rFonts w:ascii="Arial" w:hAnsi="Arial" w:cs="Arial"/>
          <w:color w:val="000000"/>
        </w:rPr>
        <w:t>amendments</w:t>
      </w:r>
      <w:r>
        <w:rPr>
          <w:rFonts w:ascii="Arial" w:hAnsi="Arial" w:cs="Arial"/>
          <w:color w:val="000000"/>
        </w:rPr>
        <w:t xml:space="preserve"> were introduced in an attempt to make the disclosure more accessible</w:t>
      </w:r>
      <w:r w:rsidR="00156A5A">
        <w:rPr>
          <w:rFonts w:ascii="Arial" w:hAnsi="Arial" w:cs="Arial"/>
          <w:color w:val="000000"/>
        </w:rPr>
        <w:t>, streamlined</w:t>
      </w:r>
      <w:r>
        <w:rPr>
          <w:rFonts w:ascii="Arial" w:hAnsi="Arial" w:cs="Arial"/>
          <w:color w:val="000000"/>
        </w:rPr>
        <w:t xml:space="preserve"> and meaningful by including summaries and other </w:t>
      </w:r>
      <w:r w:rsidR="00156A5A">
        <w:rPr>
          <w:rFonts w:ascii="Arial" w:hAnsi="Arial" w:cs="Arial"/>
          <w:color w:val="000000"/>
        </w:rPr>
        <w:t>reduced</w:t>
      </w:r>
      <w:r>
        <w:rPr>
          <w:rFonts w:ascii="Arial" w:hAnsi="Arial" w:cs="Arial"/>
          <w:color w:val="000000"/>
        </w:rPr>
        <w:t xml:space="preserve"> forms of the disclosed information</w:t>
      </w:r>
      <w:r w:rsidR="00156A5A">
        <w:rPr>
          <w:rFonts w:ascii="Arial" w:hAnsi="Arial" w:cs="Arial"/>
          <w:color w:val="000000"/>
        </w:rPr>
        <w:t xml:space="preserve"> (such as combining the Financial Services Guide with the Product Disclosure Statement)</w:t>
      </w:r>
      <w:r w:rsidR="006755EC">
        <w:rPr>
          <w:rFonts w:ascii="Arial" w:hAnsi="Arial" w:cs="Arial"/>
          <w:color w:val="000000"/>
        </w:rPr>
        <w:t>,</w:t>
      </w:r>
      <w:r>
        <w:rPr>
          <w:rFonts w:ascii="Arial" w:hAnsi="Arial" w:cs="Arial"/>
          <w:color w:val="000000"/>
        </w:rPr>
        <w:t xml:space="preserve"> as well as re</w:t>
      </w:r>
      <w:r w:rsidR="006755EC">
        <w:rPr>
          <w:rFonts w:ascii="Arial" w:hAnsi="Arial" w:cs="Arial"/>
          <w:color w:val="000000"/>
        </w:rPr>
        <w:t>ducing</w:t>
      </w:r>
      <w:r>
        <w:rPr>
          <w:rFonts w:ascii="Arial" w:hAnsi="Arial" w:cs="Arial"/>
          <w:color w:val="000000"/>
        </w:rPr>
        <w:t xml:space="preserve"> the amount of legalese. </w:t>
      </w:r>
      <w:r w:rsidR="00156A5A">
        <w:rPr>
          <w:rFonts w:ascii="Arial" w:hAnsi="Arial" w:cs="Arial"/>
          <w:color w:val="000000"/>
        </w:rPr>
        <w:t xml:space="preserve">In addition, </w:t>
      </w:r>
      <w:r w:rsidR="00EE7CE1">
        <w:rPr>
          <w:rFonts w:ascii="Arial" w:hAnsi="Arial" w:cs="Arial"/>
          <w:color w:val="000000"/>
        </w:rPr>
        <w:t>the Australian Securities and Investments Commission (</w:t>
      </w:r>
      <w:r w:rsidR="00156A5A">
        <w:rPr>
          <w:rFonts w:ascii="Arial" w:hAnsi="Arial" w:cs="Arial"/>
          <w:color w:val="000000"/>
        </w:rPr>
        <w:t>ASIC</w:t>
      </w:r>
      <w:r w:rsidR="00EE7CE1">
        <w:rPr>
          <w:rFonts w:ascii="Arial" w:hAnsi="Arial" w:cs="Arial"/>
          <w:color w:val="000000"/>
        </w:rPr>
        <w:t>)</w:t>
      </w:r>
      <w:r w:rsidR="00156A5A">
        <w:rPr>
          <w:rFonts w:ascii="Arial" w:hAnsi="Arial" w:cs="Arial"/>
          <w:color w:val="000000"/>
        </w:rPr>
        <w:t xml:space="preserve"> has since released and published a plethora of regulations and policy statements. Amendments were also introduced in 2003 to reduce the administrative burden on trustees of self-managed superannuation funds by removing the need for a Product Disclosure Statement where the trustee reasonably believed that the client had the relevant information.  </w:t>
      </w:r>
      <w:r>
        <w:rPr>
          <w:rFonts w:ascii="Arial" w:hAnsi="Arial" w:cs="Arial"/>
          <w:color w:val="000000"/>
        </w:rPr>
        <w:t xml:space="preserve"> </w:t>
      </w:r>
    </w:p>
    <w:p w14:paraId="5AEBBF8A" w14:textId="77777777" w:rsidR="00FC3955" w:rsidRPr="00FC3955" w:rsidRDefault="00FC3955" w:rsidP="00FC3955">
      <w:pPr>
        <w:pStyle w:val="ListParagraph"/>
        <w:jc w:val="both"/>
        <w:rPr>
          <w:rFonts w:ascii="Arial" w:hAnsi="Arial" w:cs="Arial"/>
          <w:i/>
        </w:rPr>
      </w:pPr>
    </w:p>
    <w:p w14:paraId="3500470B" w14:textId="77777777" w:rsidR="00A4742C" w:rsidRPr="00A4742C" w:rsidRDefault="00A4742C" w:rsidP="00FC3955">
      <w:pPr>
        <w:pStyle w:val="ListParagraph"/>
        <w:numPr>
          <w:ilvl w:val="0"/>
          <w:numId w:val="32"/>
        </w:numPr>
        <w:jc w:val="both"/>
        <w:rPr>
          <w:rFonts w:ascii="Arial" w:hAnsi="Arial" w:cs="Arial"/>
          <w:i/>
        </w:rPr>
      </w:pPr>
      <w:r w:rsidRPr="00544BC5">
        <w:rPr>
          <w:rFonts w:ascii="Arial" w:hAnsi="Arial" w:cs="Arial"/>
          <w:b/>
          <w:i/>
        </w:rPr>
        <w:t>S</w:t>
      </w:r>
      <w:r w:rsidR="00FC3955" w:rsidRPr="00544BC5">
        <w:rPr>
          <w:rFonts w:ascii="Arial" w:hAnsi="Arial" w:cs="Arial"/>
          <w:b/>
          <w:i/>
        </w:rPr>
        <w:t>implicity</w:t>
      </w:r>
      <w:r w:rsidR="00FC3955">
        <w:rPr>
          <w:rFonts w:ascii="Arial" w:hAnsi="Arial" w:cs="Arial"/>
          <w:i/>
        </w:rPr>
        <w:t xml:space="preserve"> </w:t>
      </w:r>
      <w:r w:rsidR="00FC3955">
        <w:rPr>
          <w:rFonts w:ascii="Arial" w:hAnsi="Arial" w:cs="Arial"/>
        </w:rPr>
        <w:t xml:space="preserve">in the products and services offered.  </w:t>
      </w:r>
    </w:p>
    <w:p w14:paraId="66B244C4" w14:textId="77777777" w:rsidR="00A4742C" w:rsidRPr="00A4742C" w:rsidRDefault="00A4742C" w:rsidP="00A4742C">
      <w:pPr>
        <w:pStyle w:val="ListParagraph"/>
        <w:rPr>
          <w:rFonts w:ascii="Arial" w:hAnsi="Arial" w:cs="Arial"/>
        </w:rPr>
      </w:pPr>
    </w:p>
    <w:p w14:paraId="16FEEB48" w14:textId="7F7B3B7A" w:rsidR="00A4742C" w:rsidRPr="00EA24E7" w:rsidRDefault="00A4742C" w:rsidP="00EA24E7">
      <w:pPr>
        <w:pStyle w:val="ListParagraph"/>
        <w:jc w:val="both"/>
        <w:rPr>
          <w:rFonts w:ascii="Arial" w:hAnsi="Arial" w:cs="Arial"/>
        </w:rPr>
      </w:pPr>
      <w:r>
        <w:rPr>
          <w:rFonts w:ascii="Arial" w:hAnsi="Arial" w:cs="Arial"/>
        </w:rPr>
        <w:t xml:space="preserve">In its </w:t>
      </w:r>
      <w:r>
        <w:rPr>
          <w:rFonts w:ascii="Arial" w:hAnsi="Arial" w:cs="Arial"/>
          <w:i/>
        </w:rPr>
        <w:t xml:space="preserve">Inquiry into small business loans </w:t>
      </w:r>
      <w:r>
        <w:rPr>
          <w:rFonts w:ascii="Arial" w:hAnsi="Arial" w:cs="Arial"/>
        </w:rPr>
        <w:t>(2016)</w:t>
      </w:r>
      <w:r>
        <w:rPr>
          <w:rFonts w:ascii="Arial" w:hAnsi="Arial" w:cs="Arial"/>
          <w:i/>
        </w:rPr>
        <w:t xml:space="preserve">, </w:t>
      </w:r>
      <w:r>
        <w:rPr>
          <w:rFonts w:ascii="Arial" w:hAnsi="Arial" w:cs="Arial"/>
        </w:rPr>
        <w:t>the Australian Small Business and Family Enterprise Ombudsman (</w:t>
      </w:r>
      <w:proofErr w:type="spellStart"/>
      <w:r>
        <w:rPr>
          <w:rFonts w:ascii="Arial" w:hAnsi="Arial" w:cs="Arial"/>
        </w:rPr>
        <w:t>ASBFEO</w:t>
      </w:r>
      <w:proofErr w:type="spellEnd"/>
      <w:r>
        <w:rPr>
          <w:rFonts w:ascii="Arial" w:hAnsi="Arial" w:cs="Arial"/>
        </w:rPr>
        <w:t>) found that customers were provided loan documentation in a volume that was ‘overwhelming’</w:t>
      </w:r>
      <w:r w:rsidR="00D07506">
        <w:rPr>
          <w:rStyle w:val="FootnoteReference"/>
          <w:rFonts w:ascii="Arial" w:hAnsi="Arial" w:cs="Arial"/>
        </w:rPr>
        <w:footnoteReference w:id="4"/>
      </w:r>
      <w:r w:rsidR="00EA24E7">
        <w:rPr>
          <w:rFonts w:ascii="Arial" w:hAnsi="Arial" w:cs="Arial"/>
        </w:rPr>
        <w:t xml:space="preserve">. </w:t>
      </w:r>
      <w:r w:rsidRPr="00A4742C">
        <w:rPr>
          <w:rFonts w:ascii="Arial" w:hAnsi="Arial" w:cs="Arial"/>
          <w:color w:val="000000"/>
        </w:rPr>
        <w:t>E</w:t>
      </w:r>
      <w:r>
        <w:rPr>
          <w:rFonts w:ascii="Arial" w:hAnsi="Arial" w:cs="Arial"/>
          <w:color w:val="000000"/>
        </w:rPr>
        <w:t>vidence submitted to</w:t>
      </w:r>
      <w:r w:rsidRPr="00A4742C">
        <w:rPr>
          <w:rFonts w:ascii="Arial" w:hAnsi="Arial" w:cs="Arial"/>
          <w:color w:val="000000"/>
        </w:rPr>
        <w:t xml:space="preserve"> the </w:t>
      </w:r>
      <w:r w:rsidRPr="00A4742C">
        <w:rPr>
          <w:rFonts w:ascii="Arial" w:hAnsi="Arial" w:cs="Arial"/>
          <w:i/>
          <w:color w:val="000000"/>
        </w:rPr>
        <w:t>Parliamentary Joint Committee on Corporations and Financial Services – Impairment of Customer Loans</w:t>
      </w:r>
      <w:r w:rsidR="000B5226">
        <w:rPr>
          <w:rFonts w:ascii="Arial" w:hAnsi="Arial" w:cs="Arial"/>
          <w:color w:val="000000"/>
        </w:rPr>
        <w:t xml:space="preserve"> included a submitter sta</w:t>
      </w:r>
      <w:r w:rsidRPr="00A4742C">
        <w:rPr>
          <w:rFonts w:ascii="Arial" w:hAnsi="Arial" w:cs="Arial"/>
          <w:color w:val="000000"/>
        </w:rPr>
        <w:t>ting:</w:t>
      </w:r>
    </w:p>
    <w:p w14:paraId="7B05E309" w14:textId="77777777" w:rsidR="00A4742C" w:rsidRDefault="00A4742C" w:rsidP="00A4742C">
      <w:pPr>
        <w:autoSpaceDE w:val="0"/>
        <w:autoSpaceDN w:val="0"/>
        <w:adjustRightInd w:val="0"/>
        <w:rPr>
          <w:rFonts w:ascii="Arial" w:hAnsi="Arial" w:cs="Arial"/>
          <w:color w:val="000000"/>
        </w:rPr>
      </w:pPr>
    </w:p>
    <w:p w14:paraId="40348B14" w14:textId="11CA78D8" w:rsidR="00A4742C" w:rsidRDefault="00A4742C" w:rsidP="00A4742C">
      <w:pPr>
        <w:autoSpaceDE w:val="0"/>
        <w:autoSpaceDN w:val="0"/>
        <w:adjustRightInd w:val="0"/>
        <w:ind w:left="1440"/>
        <w:jc w:val="both"/>
        <w:rPr>
          <w:rFonts w:ascii="Times" w:hAnsi="Times" w:cs="Times"/>
          <w:color w:val="000000"/>
        </w:rPr>
      </w:pPr>
      <w:r>
        <w:rPr>
          <w:rFonts w:ascii="Arial" w:hAnsi="Arial" w:cs="Arial"/>
          <w:color w:val="000000"/>
        </w:rPr>
        <w:t>“</w:t>
      </w:r>
      <w:r w:rsidRPr="00A4742C">
        <w:rPr>
          <w:rFonts w:ascii="Arial" w:hAnsi="Arial" w:cs="Arial"/>
          <w:color w:val="000000"/>
        </w:rPr>
        <w:t>that his loan document was 53 pages long, and contained obligations on the borrower that included positive undertakings, negative undertakings, default conditions and standard terms. In the submitter's view, the banks have perfected loan contract documents so that is virtually impossible for a small to medium enterprise to challenge a bank in a court.</w:t>
      </w:r>
      <w:r>
        <w:rPr>
          <w:rFonts w:ascii="Arial" w:hAnsi="Arial" w:cs="Arial"/>
          <w:color w:val="000000"/>
        </w:rPr>
        <w:t>”</w:t>
      </w:r>
      <w:r w:rsidRPr="00A4742C">
        <w:rPr>
          <w:rStyle w:val="FootnoteReference"/>
          <w:rFonts w:ascii="Arial" w:hAnsi="Arial" w:cs="Arial"/>
          <w:color w:val="000000"/>
        </w:rPr>
        <w:footnoteReference w:id="5"/>
      </w:r>
      <w:r>
        <w:rPr>
          <w:rFonts w:ascii="Arial" w:hAnsi="Arial" w:cs="Arial"/>
          <w:color w:val="000000"/>
          <w:position w:val="13"/>
          <w:sz w:val="18"/>
          <w:szCs w:val="18"/>
        </w:rPr>
        <w:t xml:space="preserve"> </w:t>
      </w:r>
    </w:p>
    <w:p w14:paraId="41AB2F9E" w14:textId="77777777" w:rsidR="00A4742C" w:rsidRDefault="00A4742C" w:rsidP="00A4742C">
      <w:pPr>
        <w:pStyle w:val="ListParagraph"/>
        <w:jc w:val="both"/>
        <w:rPr>
          <w:rFonts w:ascii="Arial" w:hAnsi="Arial" w:cs="Arial"/>
        </w:rPr>
      </w:pPr>
    </w:p>
    <w:p w14:paraId="05D25DF9" w14:textId="299807C6" w:rsidR="00A4742C" w:rsidRPr="00A4742C" w:rsidRDefault="00A4742C" w:rsidP="00A4742C">
      <w:pPr>
        <w:ind w:left="720"/>
        <w:jc w:val="both"/>
        <w:rPr>
          <w:rFonts w:ascii="Arial" w:hAnsi="Arial" w:cs="Arial"/>
          <w:i/>
        </w:rPr>
      </w:pPr>
      <w:r w:rsidRPr="00A4742C">
        <w:rPr>
          <w:rFonts w:ascii="Arial" w:hAnsi="Arial" w:cs="Arial"/>
        </w:rPr>
        <w:t>This results in a substantial information asymmetry, making it almost impossible for most small businesses to challenge the terms and conditions</w:t>
      </w:r>
      <w:r w:rsidR="000B5226">
        <w:rPr>
          <w:rFonts w:ascii="Arial" w:hAnsi="Arial" w:cs="Arial"/>
        </w:rPr>
        <w:t xml:space="preserve"> offered by financial providers</w:t>
      </w:r>
      <w:r w:rsidRPr="00A4742C">
        <w:rPr>
          <w:rFonts w:ascii="Arial" w:hAnsi="Arial" w:cs="Arial"/>
        </w:rPr>
        <w:t xml:space="preserve">. Even if they had the time and financial </w:t>
      </w:r>
      <w:r w:rsidR="00544BC5">
        <w:rPr>
          <w:rFonts w:ascii="Arial" w:hAnsi="Arial" w:cs="Arial"/>
        </w:rPr>
        <w:t>resources to do so (and very few small businesses do</w:t>
      </w:r>
      <w:r w:rsidRPr="00A4742C">
        <w:rPr>
          <w:rFonts w:ascii="Arial" w:hAnsi="Arial" w:cs="Arial"/>
        </w:rPr>
        <w:t>), there is little point when loans are offered on a ‘take it or leave it’ basis</w:t>
      </w:r>
      <w:r w:rsidR="00D07506">
        <w:rPr>
          <w:rStyle w:val="FootnoteReference"/>
          <w:rFonts w:ascii="Arial" w:hAnsi="Arial" w:cs="Arial"/>
        </w:rPr>
        <w:footnoteReference w:id="6"/>
      </w:r>
      <w:r w:rsidRPr="00A4742C">
        <w:rPr>
          <w:rFonts w:ascii="Arial" w:hAnsi="Arial" w:cs="Arial"/>
        </w:rPr>
        <w:t>.</w:t>
      </w:r>
    </w:p>
    <w:p w14:paraId="726BC79C" w14:textId="07828A49" w:rsidR="00A4742C" w:rsidRDefault="00A4742C" w:rsidP="00A4742C">
      <w:pPr>
        <w:pStyle w:val="ListParagraph"/>
        <w:rPr>
          <w:rFonts w:ascii="Arial" w:hAnsi="Arial" w:cs="Arial"/>
        </w:rPr>
      </w:pPr>
    </w:p>
    <w:p w14:paraId="43EBEA63" w14:textId="486F12DE" w:rsidR="00544BC5" w:rsidRDefault="00544BC5" w:rsidP="00544BC5">
      <w:pPr>
        <w:autoSpaceDE w:val="0"/>
        <w:autoSpaceDN w:val="0"/>
        <w:adjustRightInd w:val="0"/>
        <w:ind w:left="720"/>
        <w:jc w:val="both"/>
        <w:rPr>
          <w:rFonts w:ascii="Arial" w:hAnsi="Arial" w:cs="Arial"/>
          <w:color w:val="000000"/>
        </w:rPr>
      </w:pPr>
      <w:r w:rsidRPr="00544BC5">
        <w:rPr>
          <w:rFonts w:ascii="Arial" w:hAnsi="Arial" w:cs="Arial"/>
        </w:rPr>
        <w:t xml:space="preserve">Against this backdrop, </w:t>
      </w:r>
      <w:proofErr w:type="spellStart"/>
      <w:r w:rsidRPr="00544BC5">
        <w:rPr>
          <w:rFonts w:ascii="Arial" w:hAnsi="Arial" w:cs="Arial"/>
        </w:rPr>
        <w:t>ASBFEO</w:t>
      </w:r>
      <w:proofErr w:type="spellEnd"/>
      <w:r w:rsidRPr="00544BC5">
        <w:rPr>
          <w:rFonts w:ascii="Arial" w:hAnsi="Arial" w:cs="Arial"/>
        </w:rPr>
        <w:t xml:space="preserve"> gave a recommendation that: “</w:t>
      </w:r>
      <w:r w:rsidRPr="00544BC5">
        <w:rPr>
          <w:rFonts w:ascii="Arial" w:hAnsi="Arial" w:cs="Arial"/>
          <w:color w:val="000000"/>
        </w:rPr>
        <w:t xml:space="preserve">For </w:t>
      </w:r>
      <w:r>
        <w:rPr>
          <w:rFonts w:ascii="Arial" w:hAnsi="Arial" w:cs="Arial"/>
          <w:color w:val="000000"/>
        </w:rPr>
        <w:t xml:space="preserve">loans below </w:t>
      </w:r>
      <w:r w:rsidRPr="00544BC5">
        <w:rPr>
          <w:rFonts w:ascii="Arial" w:hAnsi="Arial" w:cs="Arial"/>
          <w:color w:val="000000"/>
        </w:rPr>
        <w:t xml:space="preserve">$5 million, banks </w:t>
      </w:r>
      <w:r>
        <w:rPr>
          <w:rFonts w:ascii="Arial" w:hAnsi="Arial" w:cs="Arial"/>
          <w:color w:val="000000"/>
        </w:rPr>
        <w:t xml:space="preserve">must put in place a new small business standard form contract that is short and written in plain English. Implementation by December 2017” </w:t>
      </w:r>
      <w:r w:rsidRPr="00544BC5">
        <w:rPr>
          <w:rFonts w:ascii="Arial" w:hAnsi="Arial" w:cs="Arial"/>
          <w:color w:val="000000"/>
        </w:rPr>
        <w:t>(</w:t>
      </w:r>
      <w:r>
        <w:rPr>
          <w:rFonts w:ascii="Arial" w:hAnsi="Arial" w:cs="Arial"/>
          <w:color w:val="000000"/>
        </w:rPr>
        <w:t>Recommendation 7</w:t>
      </w:r>
      <w:r w:rsidRPr="00544BC5">
        <w:rPr>
          <w:rFonts w:ascii="Arial" w:hAnsi="Arial" w:cs="Arial"/>
          <w:color w:val="000000"/>
        </w:rPr>
        <w:t>)</w:t>
      </w:r>
      <w:r w:rsidR="000B5226">
        <w:rPr>
          <w:rStyle w:val="FootnoteReference"/>
          <w:rFonts w:ascii="Arial" w:hAnsi="Arial" w:cs="Arial"/>
          <w:color w:val="000000"/>
        </w:rPr>
        <w:footnoteReference w:id="7"/>
      </w:r>
      <w:r w:rsidR="00DA5690">
        <w:rPr>
          <w:rFonts w:ascii="Arial" w:hAnsi="Arial" w:cs="Arial"/>
          <w:color w:val="000000"/>
        </w:rPr>
        <w:t>. Changes to some terms that were considered unfair have been made by the ‘big four’ in relation to small business loans up to $</w:t>
      </w:r>
      <w:proofErr w:type="spellStart"/>
      <w:r w:rsidR="00DA5690">
        <w:rPr>
          <w:rFonts w:ascii="Arial" w:hAnsi="Arial" w:cs="Arial"/>
          <w:color w:val="000000"/>
        </w:rPr>
        <w:t>3million</w:t>
      </w:r>
      <w:proofErr w:type="spellEnd"/>
      <w:r w:rsidR="00DA5690">
        <w:rPr>
          <w:rStyle w:val="FootnoteReference"/>
          <w:rFonts w:ascii="Arial" w:hAnsi="Arial" w:cs="Arial"/>
          <w:color w:val="000000"/>
        </w:rPr>
        <w:footnoteReference w:id="8"/>
      </w:r>
      <w:r w:rsidR="00DA5690">
        <w:rPr>
          <w:rFonts w:ascii="Arial" w:hAnsi="Arial" w:cs="Arial"/>
          <w:color w:val="000000"/>
        </w:rPr>
        <w:t>.</w:t>
      </w:r>
    </w:p>
    <w:p w14:paraId="0FC3A61F" w14:textId="5FC8BCEA" w:rsidR="00544BC5" w:rsidRDefault="00544BC5" w:rsidP="00544BC5">
      <w:pPr>
        <w:autoSpaceDE w:val="0"/>
        <w:autoSpaceDN w:val="0"/>
        <w:adjustRightInd w:val="0"/>
        <w:ind w:left="720"/>
        <w:jc w:val="both"/>
        <w:rPr>
          <w:rFonts w:ascii="Arial" w:hAnsi="Arial" w:cs="Arial"/>
          <w:color w:val="000000"/>
        </w:rPr>
      </w:pPr>
    </w:p>
    <w:p w14:paraId="2DCE2C93" w14:textId="241E8C80" w:rsidR="00544BC5" w:rsidRDefault="00544BC5" w:rsidP="00544BC5">
      <w:pPr>
        <w:autoSpaceDE w:val="0"/>
        <w:autoSpaceDN w:val="0"/>
        <w:adjustRightInd w:val="0"/>
        <w:ind w:left="720"/>
        <w:jc w:val="both"/>
        <w:rPr>
          <w:rFonts w:ascii="Arial" w:hAnsi="Arial" w:cs="Arial"/>
          <w:color w:val="000000"/>
        </w:rPr>
      </w:pPr>
      <w:r>
        <w:rPr>
          <w:rFonts w:ascii="Arial" w:hAnsi="Arial" w:cs="Arial"/>
          <w:color w:val="000000"/>
        </w:rPr>
        <w:t>It is likely that</w:t>
      </w:r>
      <w:r w:rsidR="00DA5690">
        <w:rPr>
          <w:rFonts w:ascii="Arial" w:hAnsi="Arial" w:cs="Arial"/>
          <w:color w:val="000000"/>
        </w:rPr>
        <w:t xml:space="preserve"> complex</w:t>
      </w:r>
      <w:r>
        <w:rPr>
          <w:rFonts w:ascii="Arial" w:hAnsi="Arial" w:cs="Arial"/>
          <w:color w:val="000000"/>
        </w:rPr>
        <w:t xml:space="preserve"> insurance contracts pose many of the same drawbacks for consumers and small businesses.  </w:t>
      </w:r>
      <w:r w:rsidR="00EA24E7">
        <w:rPr>
          <w:rFonts w:ascii="Arial" w:hAnsi="Arial" w:cs="Arial"/>
          <w:color w:val="000000"/>
        </w:rPr>
        <w:t xml:space="preserve">Unlike loans, insurance contracts are not currently covered by the unfair contract term provisions (see discussion below). </w:t>
      </w:r>
    </w:p>
    <w:p w14:paraId="24C0EDFE" w14:textId="77777777" w:rsidR="00544BC5" w:rsidRDefault="00544BC5" w:rsidP="00544BC5">
      <w:pPr>
        <w:autoSpaceDE w:val="0"/>
        <w:autoSpaceDN w:val="0"/>
        <w:adjustRightInd w:val="0"/>
        <w:ind w:left="720"/>
        <w:jc w:val="both"/>
        <w:rPr>
          <w:rFonts w:ascii="Arial" w:hAnsi="Arial" w:cs="Arial"/>
          <w:color w:val="000000"/>
        </w:rPr>
      </w:pPr>
    </w:p>
    <w:p w14:paraId="33044C0D" w14:textId="61A31D68" w:rsidR="00544BC5" w:rsidRPr="00544BC5" w:rsidRDefault="00EA24E7" w:rsidP="00544BC5">
      <w:pPr>
        <w:autoSpaceDE w:val="0"/>
        <w:autoSpaceDN w:val="0"/>
        <w:adjustRightInd w:val="0"/>
        <w:ind w:left="720"/>
        <w:jc w:val="both"/>
        <w:rPr>
          <w:rFonts w:ascii="Arial" w:hAnsi="Arial" w:cs="Arial"/>
          <w:color w:val="000000"/>
        </w:rPr>
      </w:pPr>
      <w:r>
        <w:rPr>
          <w:rFonts w:ascii="Arial" w:hAnsi="Arial" w:cs="Arial"/>
          <w:color w:val="000000"/>
        </w:rPr>
        <w:t>A</w:t>
      </w:r>
      <w:r w:rsidR="00544BC5">
        <w:rPr>
          <w:rFonts w:ascii="Arial" w:hAnsi="Arial" w:cs="Arial"/>
          <w:color w:val="000000"/>
        </w:rPr>
        <w:t xml:space="preserve"> reduction in the number and complexity of products offered by banks and insurers would provide benefits to both the financial institution and the consumers</w:t>
      </w:r>
      <w:r w:rsidR="00DA5690">
        <w:rPr>
          <w:rFonts w:ascii="Arial" w:hAnsi="Arial" w:cs="Arial"/>
          <w:color w:val="000000"/>
        </w:rPr>
        <w:t>/small businesses</w:t>
      </w:r>
      <w:r w:rsidR="00544BC5">
        <w:rPr>
          <w:rFonts w:ascii="Arial" w:hAnsi="Arial" w:cs="Arial"/>
          <w:color w:val="000000"/>
        </w:rPr>
        <w:t>.  A market advantage may even be gained by the offering of a simple loan or insurance product, with ‘add-ons’ that the consumer or small business could choose. Innovation!</w:t>
      </w:r>
    </w:p>
    <w:p w14:paraId="55C44E2E" w14:textId="77777777" w:rsidR="00FC3955" w:rsidRPr="00FC3955" w:rsidRDefault="00FC3955" w:rsidP="007A2962">
      <w:pPr>
        <w:jc w:val="center"/>
        <w:rPr>
          <w:rFonts w:ascii="Arial" w:hAnsi="Arial" w:cs="Arial"/>
          <w:i/>
        </w:rPr>
      </w:pPr>
    </w:p>
    <w:p w14:paraId="4DD6D3CC" w14:textId="4B322FB4" w:rsidR="00544BC5" w:rsidRDefault="00A4742C" w:rsidP="006564FE">
      <w:pPr>
        <w:pStyle w:val="ListParagraph"/>
        <w:numPr>
          <w:ilvl w:val="0"/>
          <w:numId w:val="32"/>
        </w:numPr>
        <w:jc w:val="both"/>
        <w:rPr>
          <w:rFonts w:ascii="Arial" w:hAnsi="Arial" w:cs="Arial"/>
        </w:rPr>
      </w:pPr>
      <w:r w:rsidRPr="00544BC5">
        <w:rPr>
          <w:rFonts w:ascii="Arial" w:hAnsi="Arial" w:cs="Arial"/>
          <w:b/>
          <w:i/>
        </w:rPr>
        <w:t>A</w:t>
      </w:r>
      <w:r>
        <w:rPr>
          <w:rFonts w:ascii="Arial" w:hAnsi="Arial" w:cs="Arial"/>
          <w:i/>
        </w:rPr>
        <w:t xml:space="preserve"> </w:t>
      </w:r>
      <w:r w:rsidRPr="00544BC5">
        <w:rPr>
          <w:rFonts w:ascii="Arial" w:hAnsi="Arial" w:cs="Arial"/>
          <w:b/>
          <w:i/>
        </w:rPr>
        <w:t>b</w:t>
      </w:r>
      <w:r w:rsidR="00FC3955" w:rsidRPr="00544BC5">
        <w:rPr>
          <w:rFonts w:ascii="Arial" w:hAnsi="Arial" w:cs="Arial"/>
          <w:b/>
          <w:i/>
        </w:rPr>
        <w:t>etter understanding</w:t>
      </w:r>
      <w:r w:rsidR="00FC3955">
        <w:rPr>
          <w:rFonts w:ascii="Arial" w:hAnsi="Arial" w:cs="Arial"/>
          <w:i/>
        </w:rPr>
        <w:t xml:space="preserve"> </w:t>
      </w:r>
      <w:r w:rsidR="00544BC5">
        <w:rPr>
          <w:rFonts w:ascii="Arial" w:hAnsi="Arial" w:cs="Arial"/>
        </w:rPr>
        <w:t xml:space="preserve">by consumers and small </w:t>
      </w:r>
      <w:r w:rsidR="00293E5E">
        <w:rPr>
          <w:rFonts w:ascii="Arial" w:hAnsi="Arial" w:cs="Arial"/>
        </w:rPr>
        <w:t>businesses</w:t>
      </w:r>
      <w:r w:rsidR="00544BC5">
        <w:rPr>
          <w:rFonts w:ascii="Arial" w:hAnsi="Arial" w:cs="Arial"/>
        </w:rPr>
        <w:t xml:space="preserve"> of their</w:t>
      </w:r>
      <w:r w:rsidR="00FC3955">
        <w:rPr>
          <w:rFonts w:ascii="Arial" w:hAnsi="Arial" w:cs="Arial"/>
        </w:rPr>
        <w:t xml:space="preserve"> financial information </w:t>
      </w:r>
      <w:r>
        <w:rPr>
          <w:rFonts w:ascii="Arial" w:hAnsi="Arial" w:cs="Arial"/>
        </w:rPr>
        <w:t>and the uses to which that information can be put.</w:t>
      </w:r>
      <w:r w:rsidR="00544BC5">
        <w:rPr>
          <w:rFonts w:ascii="Arial" w:hAnsi="Arial" w:cs="Arial"/>
        </w:rPr>
        <w:t xml:space="preserve"> </w:t>
      </w:r>
    </w:p>
    <w:p w14:paraId="10ECBEB6" w14:textId="77777777" w:rsidR="00544BC5" w:rsidRDefault="00544BC5" w:rsidP="00544BC5">
      <w:pPr>
        <w:pStyle w:val="ListParagraph"/>
        <w:jc w:val="both"/>
        <w:rPr>
          <w:rFonts w:ascii="Arial" w:hAnsi="Arial" w:cs="Arial"/>
          <w:b/>
          <w:i/>
        </w:rPr>
      </w:pPr>
    </w:p>
    <w:p w14:paraId="0C91B5B1" w14:textId="787B3DAB" w:rsidR="00A4742C" w:rsidRDefault="00544BC5" w:rsidP="00544BC5">
      <w:pPr>
        <w:pStyle w:val="ListParagraph"/>
        <w:jc w:val="both"/>
        <w:rPr>
          <w:rFonts w:ascii="Arial" w:hAnsi="Arial" w:cs="Arial"/>
        </w:rPr>
      </w:pPr>
      <w:r>
        <w:rPr>
          <w:rFonts w:ascii="Arial" w:hAnsi="Arial" w:cs="Arial"/>
        </w:rPr>
        <w:t xml:space="preserve">In its Inquiry Report on </w:t>
      </w:r>
      <w:r>
        <w:rPr>
          <w:rFonts w:ascii="Arial" w:hAnsi="Arial" w:cs="Arial"/>
          <w:i/>
        </w:rPr>
        <w:t xml:space="preserve">Data Availability and </w:t>
      </w:r>
      <w:r w:rsidRPr="00544BC5">
        <w:rPr>
          <w:rFonts w:ascii="Arial" w:hAnsi="Arial" w:cs="Arial"/>
          <w:i/>
        </w:rPr>
        <w:t>Use</w:t>
      </w:r>
      <w:r>
        <w:rPr>
          <w:rFonts w:ascii="Arial" w:hAnsi="Arial" w:cs="Arial"/>
        </w:rPr>
        <w:t xml:space="preserve">, </w:t>
      </w:r>
      <w:r w:rsidR="00A4742C">
        <w:rPr>
          <w:rFonts w:ascii="Arial" w:hAnsi="Arial" w:cs="Arial"/>
        </w:rPr>
        <w:t xml:space="preserve">the Productivity Commission </w:t>
      </w:r>
      <w:r>
        <w:rPr>
          <w:rFonts w:ascii="Arial" w:hAnsi="Arial" w:cs="Arial"/>
        </w:rPr>
        <w:t xml:space="preserve">recommended that Australian consumers and SMEs </w:t>
      </w:r>
      <w:r w:rsidR="00EA24E7">
        <w:rPr>
          <w:rFonts w:ascii="Arial" w:hAnsi="Arial" w:cs="Arial"/>
        </w:rPr>
        <w:t>be granted a right to use</w:t>
      </w:r>
      <w:r>
        <w:rPr>
          <w:rFonts w:ascii="Arial" w:hAnsi="Arial" w:cs="Arial"/>
        </w:rPr>
        <w:t xml:space="preserve"> their digital data.  Importantly in this context, the Productivity Commission recognised that this right “would afford individuals and SMEs more choice about the products and </w:t>
      </w:r>
      <w:r>
        <w:rPr>
          <w:rFonts w:ascii="Arial" w:hAnsi="Arial" w:cs="Arial"/>
        </w:rPr>
        <w:lastRenderedPageBreak/>
        <w:t>services they consume and the providers of those, and be an avenue to improve market competitiveness and innovation”</w:t>
      </w:r>
      <w:r w:rsidR="00D07506">
        <w:rPr>
          <w:rStyle w:val="FootnoteReference"/>
          <w:rFonts w:ascii="Arial" w:hAnsi="Arial" w:cs="Arial"/>
        </w:rPr>
        <w:footnoteReference w:id="9"/>
      </w:r>
      <w:r>
        <w:rPr>
          <w:rFonts w:ascii="Arial" w:hAnsi="Arial" w:cs="Arial"/>
        </w:rPr>
        <w:t xml:space="preserve">. </w:t>
      </w:r>
    </w:p>
    <w:p w14:paraId="6755AB83" w14:textId="5CA1A105" w:rsidR="00544BC5" w:rsidRDefault="00544BC5" w:rsidP="00544BC5">
      <w:pPr>
        <w:pStyle w:val="ListParagraph"/>
        <w:jc w:val="both"/>
        <w:rPr>
          <w:rFonts w:ascii="Arial" w:hAnsi="Arial" w:cs="Arial"/>
        </w:rPr>
      </w:pPr>
    </w:p>
    <w:p w14:paraId="6B303D17" w14:textId="491B0497" w:rsidR="00A73A2D" w:rsidRDefault="00544BC5" w:rsidP="00480318">
      <w:pPr>
        <w:pStyle w:val="ListParagraph"/>
        <w:jc w:val="both"/>
      </w:pPr>
      <w:r>
        <w:rPr>
          <w:rFonts w:ascii="Arial" w:hAnsi="Arial" w:cs="Arial"/>
        </w:rPr>
        <w:t>As discussed above, the Government needs to assist in spreading awareness and understanding of this key issue.</w:t>
      </w:r>
    </w:p>
    <w:p w14:paraId="295555AE" w14:textId="77777777" w:rsidR="00A73A2D" w:rsidRDefault="00A73A2D" w:rsidP="006564FE"/>
    <w:p w14:paraId="7B9A8BE7" w14:textId="09073D59" w:rsidR="00544BC5" w:rsidRPr="00544BC5" w:rsidRDefault="00544BC5" w:rsidP="00544BC5">
      <w:pPr>
        <w:pStyle w:val="ListParagraph"/>
        <w:numPr>
          <w:ilvl w:val="0"/>
          <w:numId w:val="37"/>
        </w:numPr>
        <w:rPr>
          <w:b/>
          <w:color w:val="0070C0"/>
        </w:rPr>
      </w:pPr>
      <w:r w:rsidRPr="00544BC5">
        <w:rPr>
          <w:rFonts w:ascii="Arial" w:hAnsi="Arial" w:cs="Arial"/>
          <w:b/>
          <w:color w:val="0070C0"/>
        </w:rPr>
        <w:t>Competition from innovative smaller financial service providers</w:t>
      </w:r>
    </w:p>
    <w:p w14:paraId="596FD682" w14:textId="77777777" w:rsidR="00544BC5" w:rsidRDefault="00544BC5" w:rsidP="00A4742C">
      <w:pPr>
        <w:jc w:val="both"/>
        <w:rPr>
          <w:rFonts w:ascii="Arial" w:hAnsi="Arial" w:cs="Arial"/>
        </w:rPr>
      </w:pPr>
    </w:p>
    <w:p w14:paraId="0104B88F" w14:textId="6EC302BA" w:rsidR="006564FE" w:rsidRPr="00A4742C" w:rsidRDefault="00FC3955" w:rsidP="00A4742C">
      <w:pPr>
        <w:jc w:val="both"/>
        <w:rPr>
          <w:rFonts w:ascii="Arial" w:hAnsi="Arial" w:cs="Arial"/>
        </w:rPr>
      </w:pPr>
      <w:r w:rsidRPr="00A4742C">
        <w:rPr>
          <w:rFonts w:ascii="Arial" w:hAnsi="Arial" w:cs="Arial"/>
        </w:rPr>
        <w:t>From</w:t>
      </w:r>
      <w:r w:rsidR="00544BC5">
        <w:rPr>
          <w:rFonts w:ascii="Arial" w:hAnsi="Arial" w:cs="Arial"/>
        </w:rPr>
        <w:t xml:space="preserve"> the</w:t>
      </w:r>
      <w:r w:rsidRPr="00A4742C">
        <w:rPr>
          <w:rFonts w:ascii="Arial" w:hAnsi="Arial" w:cs="Arial"/>
        </w:rPr>
        <w:t xml:space="preserve"> supply side, the </w:t>
      </w:r>
      <w:r w:rsidR="00544BC5">
        <w:rPr>
          <w:rFonts w:ascii="Arial" w:hAnsi="Arial" w:cs="Arial"/>
        </w:rPr>
        <w:t xml:space="preserve">‘big four’ </w:t>
      </w:r>
      <w:r w:rsidRPr="00A4742C">
        <w:rPr>
          <w:rFonts w:ascii="Arial" w:hAnsi="Arial" w:cs="Arial"/>
        </w:rPr>
        <w:t>will have an incentive to compete if the</w:t>
      </w:r>
      <w:r w:rsidR="00544BC5">
        <w:rPr>
          <w:rFonts w:ascii="Arial" w:hAnsi="Arial" w:cs="Arial"/>
        </w:rPr>
        <w:t>y face genuine (even if only potential) competition from other financial service providers</w:t>
      </w:r>
      <w:r w:rsidR="00EA24E7">
        <w:rPr>
          <w:rFonts w:ascii="Arial" w:hAnsi="Arial" w:cs="Arial"/>
        </w:rPr>
        <w:t xml:space="preserve"> (as well as each other)</w:t>
      </w:r>
      <w:r w:rsidR="00544BC5">
        <w:rPr>
          <w:rFonts w:ascii="Arial" w:hAnsi="Arial" w:cs="Arial"/>
        </w:rPr>
        <w:t xml:space="preserve">.  In addition to the initiatives mentioned above, this could be achieved through: </w:t>
      </w:r>
    </w:p>
    <w:p w14:paraId="3E0141F8" w14:textId="514C8E0D" w:rsidR="00FC3955" w:rsidRPr="00A4742C" w:rsidRDefault="00FC3955" w:rsidP="006564FE">
      <w:pPr>
        <w:rPr>
          <w:rFonts w:ascii="Arial" w:hAnsi="Arial" w:cs="Arial"/>
        </w:rPr>
      </w:pPr>
    </w:p>
    <w:p w14:paraId="2D28E3D9" w14:textId="7A68C5C6" w:rsidR="006564FE" w:rsidRPr="008919BC" w:rsidRDefault="00FC3955" w:rsidP="00544BC5">
      <w:pPr>
        <w:pStyle w:val="ListParagraph"/>
        <w:numPr>
          <w:ilvl w:val="0"/>
          <w:numId w:val="34"/>
        </w:numPr>
        <w:jc w:val="both"/>
        <w:rPr>
          <w:rFonts w:ascii="Arial" w:hAnsi="Arial" w:cs="Arial"/>
          <w:i/>
        </w:rPr>
      </w:pPr>
      <w:r w:rsidRPr="000B5226">
        <w:rPr>
          <w:rFonts w:ascii="Arial" w:hAnsi="Arial" w:cs="Arial"/>
          <w:b/>
          <w:i/>
        </w:rPr>
        <w:t>Lower regulatory barriers to entry</w:t>
      </w:r>
      <w:r w:rsidR="000B5226">
        <w:rPr>
          <w:rFonts w:ascii="Arial" w:hAnsi="Arial" w:cs="Arial"/>
        </w:rPr>
        <w:t xml:space="preserve">. </w:t>
      </w:r>
      <w:r w:rsidR="003061C5" w:rsidRPr="000B5226">
        <w:rPr>
          <w:rFonts w:ascii="Arial" w:hAnsi="Arial" w:cs="Arial"/>
        </w:rPr>
        <w:t>This</w:t>
      </w:r>
      <w:r w:rsidR="003061C5" w:rsidRPr="008919BC">
        <w:rPr>
          <w:rFonts w:ascii="Arial" w:hAnsi="Arial" w:cs="Arial"/>
        </w:rPr>
        <w:t xml:space="preserve"> has been suggested in the Deloitte Access Economics Report (2012) and The</w:t>
      </w:r>
      <w:r w:rsidR="003061C5" w:rsidRPr="00480318">
        <w:rPr>
          <w:rFonts w:ascii="Arial" w:hAnsi="Arial" w:cs="Arial"/>
        </w:rPr>
        <w:t xml:space="preserve"> Senate: Economics References Committee ‘Competition within the Australian banking sector</w:t>
      </w:r>
      <w:r w:rsidR="00D07506">
        <w:rPr>
          <w:rFonts w:ascii="Arial" w:hAnsi="Arial" w:cs="Arial"/>
        </w:rPr>
        <w:t>’</w:t>
      </w:r>
      <w:r w:rsidR="003061C5" w:rsidRPr="008919BC">
        <w:rPr>
          <w:rFonts w:ascii="Arial" w:hAnsi="Arial" w:cs="Arial"/>
        </w:rPr>
        <w:t xml:space="preserve"> </w:t>
      </w:r>
      <w:r w:rsidR="008919BC" w:rsidRPr="008919BC">
        <w:rPr>
          <w:rFonts w:ascii="Arial" w:hAnsi="Arial" w:cs="Arial"/>
        </w:rPr>
        <w:t xml:space="preserve">Report </w:t>
      </w:r>
      <w:r w:rsidR="003061C5" w:rsidRPr="008919BC">
        <w:rPr>
          <w:rFonts w:ascii="Arial" w:hAnsi="Arial" w:cs="Arial"/>
        </w:rPr>
        <w:t>(2011)</w:t>
      </w:r>
      <w:r w:rsidR="008919BC" w:rsidRPr="008919BC">
        <w:rPr>
          <w:rStyle w:val="FootnoteReference"/>
          <w:rFonts w:ascii="Arial" w:hAnsi="Arial" w:cs="Arial"/>
        </w:rPr>
        <w:footnoteReference w:id="10"/>
      </w:r>
      <w:r w:rsidR="003061C5" w:rsidRPr="008919BC">
        <w:rPr>
          <w:rFonts w:ascii="Arial" w:hAnsi="Arial" w:cs="Arial"/>
        </w:rPr>
        <w:t xml:space="preserve">. Note though that there are significant other barriers to entry which would be </w:t>
      </w:r>
      <w:r w:rsidR="00293E5E" w:rsidRPr="008919BC">
        <w:rPr>
          <w:rFonts w:ascii="Arial" w:hAnsi="Arial" w:cs="Arial"/>
        </w:rPr>
        <w:t>extremely</w:t>
      </w:r>
      <w:r w:rsidR="003061C5" w:rsidRPr="008919BC">
        <w:rPr>
          <w:rFonts w:ascii="Arial" w:hAnsi="Arial" w:cs="Arial"/>
        </w:rPr>
        <w:t xml:space="preserve"> difficult to ove</w:t>
      </w:r>
      <w:r w:rsidR="00D567E3" w:rsidRPr="008919BC">
        <w:rPr>
          <w:rFonts w:ascii="Arial" w:hAnsi="Arial" w:cs="Arial"/>
        </w:rPr>
        <w:t>r</w:t>
      </w:r>
      <w:r w:rsidR="003061C5" w:rsidRPr="008919BC">
        <w:rPr>
          <w:rFonts w:ascii="Arial" w:hAnsi="Arial" w:cs="Arial"/>
        </w:rPr>
        <w:t>come</w:t>
      </w:r>
      <w:r w:rsidR="008919BC" w:rsidRPr="008919BC">
        <w:rPr>
          <w:rStyle w:val="FootnoteReference"/>
          <w:rFonts w:ascii="Arial" w:hAnsi="Arial" w:cs="Arial"/>
        </w:rPr>
        <w:footnoteReference w:id="11"/>
      </w:r>
      <w:r w:rsidR="00D07506">
        <w:rPr>
          <w:rFonts w:ascii="Arial" w:hAnsi="Arial" w:cs="Arial"/>
        </w:rPr>
        <w:t>.</w:t>
      </w:r>
      <w:r w:rsidR="003061C5" w:rsidRPr="008919BC">
        <w:rPr>
          <w:rFonts w:ascii="Arial" w:hAnsi="Arial" w:cs="Arial"/>
        </w:rPr>
        <w:t xml:space="preserve"> </w:t>
      </w:r>
    </w:p>
    <w:p w14:paraId="14B9C185" w14:textId="77777777" w:rsidR="006564FE" w:rsidRPr="00D07506" w:rsidRDefault="006564FE" w:rsidP="006564FE">
      <w:pPr>
        <w:pStyle w:val="ListParagraph"/>
        <w:rPr>
          <w:rFonts w:ascii="Arial" w:hAnsi="Arial" w:cs="Arial"/>
        </w:rPr>
      </w:pPr>
    </w:p>
    <w:p w14:paraId="776574C4" w14:textId="2A569208" w:rsidR="008919BC" w:rsidRPr="000B5226" w:rsidRDefault="000B5226" w:rsidP="000B5226">
      <w:pPr>
        <w:pStyle w:val="ListParagraph"/>
        <w:numPr>
          <w:ilvl w:val="0"/>
          <w:numId w:val="28"/>
        </w:numPr>
        <w:jc w:val="both"/>
        <w:rPr>
          <w:rFonts w:ascii="Arial" w:hAnsi="Arial" w:cs="Arial"/>
        </w:rPr>
      </w:pPr>
      <w:r w:rsidRPr="000B5226">
        <w:rPr>
          <w:rFonts w:ascii="Arial" w:hAnsi="Arial" w:cs="Arial"/>
          <w:b/>
          <w:i/>
        </w:rPr>
        <w:t>A fifth pillar?</w:t>
      </w:r>
      <w:r>
        <w:rPr>
          <w:rFonts w:ascii="Arial" w:hAnsi="Arial" w:cs="Arial"/>
        </w:rPr>
        <w:t xml:space="preserve"> Government should consider a mechanism to allow smaller </w:t>
      </w:r>
      <w:proofErr w:type="spellStart"/>
      <w:r>
        <w:rPr>
          <w:rFonts w:ascii="Arial" w:hAnsi="Arial" w:cs="Arial"/>
        </w:rPr>
        <w:t>ADIs</w:t>
      </w:r>
      <w:proofErr w:type="spellEnd"/>
      <w:r>
        <w:rPr>
          <w:rFonts w:ascii="Arial" w:hAnsi="Arial" w:cs="Arial"/>
        </w:rPr>
        <w:t xml:space="preserve"> (credit unions, building societies and </w:t>
      </w:r>
      <w:proofErr w:type="spellStart"/>
      <w:r>
        <w:rPr>
          <w:rFonts w:ascii="Arial" w:hAnsi="Arial" w:cs="Arial"/>
        </w:rPr>
        <w:t>mutuals</w:t>
      </w:r>
      <w:proofErr w:type="spellEnd"/>
      <w:r>
        <w:rPr>
          <w:rFonts w:ascii="Arial" w:hAnsi="Arial" w:cs="Arial"/>
        </w:rPr>
        <w:t>) a greater share of the banking pie. Their position and competitiveness in the banking market was significantly weakened post-</w:t>
      </w:r>
      <w:proofErr w:type="spellStart"/>
      <w:r>
        <w:rPr>
          <w:rFonts w:ascii="Arial" w:hAnsi="Arial" w:cs="Arial"/>
        </w:rPr>
        <w:t>GFC</w:t>
      </w:r>
      <w:proofErr w:type="spellEnd"/>
      <w:r>
        <w:rPr>
          <w:rFonts w:ascii="Arial" w:hAnsi="Arial" w:cs="Arial"/>
        </w:rPr>
        <w:t xml:space="preserve"> due to increasing funding costs, and the ability of the ‘big four’ to more ably absorb fixed costs with little change to pricing (i.e. the economies of scale argument).  However, the </w:t>
      </w:r>
      <w:r w:rsidR="00D567E3" w:rsidRPr="000B5226">
        <w:rPr>
          <w:rFonts w:ascii="Arial" w:hAnsi="Arial" w:cs="Arial"/>
        </w:rPr>
        <w:t xml:space="preserve">economies of scale argument posited by the big banks as justification for industry concentration, </w:t>
      </w:r>
      <w:r w:rsidR="008919BC" w:rsidRPr="000B5226">
        <w:rPr>
          <w:rFonts w:ascii="Arial" w:hAnsi="Arial" w:cs="Arial"/>
        </w:rPr>
        <w:t>(i.</w:t>
      </w:r>
      <w:r w:rsidR="00D567E3" w:rsidRPr="000B5226">
        <w:rPr>
          <w:rFonts w:ascii="Arial" w:hAnsi="Arial" w:cs="Arial"/>
        </w:rPr>
        <w:t>e</w:t>
      </w:r>
      <w:r w:rsidR="008919BC" w:rsidRPr="000B5226">
        <w:rPr>
          <w:rFonts w:ascii="Arial" w:hAnsi="Arial" w:cs="Arial"/>
        </w:rPr>
        <w:t>.</w:t>
      </w:r>
      <w:r w:rsidR="00D567E3" w:rsidRPr="000B5226">
        <w:rPr>
          <w:rFonts w:ascii="Arial" w:hAnsi="Arial" w:cs="Arial"/>
        </w:rPr>
        <w:t xml:space="preserve"> more able to absor</w:t>
      </w:r>
      <w:r>
        <w:rPr>
          <w:rFonts w:ascii="Arial" w:hAnsi="Arial" w:cs="Arial"/>
        </w:rPr>
        <w:t>b costs resulting from the</w:t>
      </w:r>
      <w:r w:rsidR="00D567E3" w:rsidRPr="000B5226">
        <w:rPr>
          <w:rFonts w:ascii="Arial" w:hAnsi="Arial" w:cs="Arial"/>
        </w:rPr>
        <w:t xml:space="preserve"> stronger capital adequacy requirements imposed by a more conservative application of Basel III</w:t>
      </w:r>
      <w:r w:rsidR="008919BC" w:rsidRPr="000B5226">
        <w:rPr>
          <w:rFonts w:ascii="Arial" w:hAnsi="Arial" w:cs="Arial"/>
        </w:rPr>
        <w:t>)</w:t>
      </w:r>
      <w:r w:rsidR="00D567E3" w:rsidRPr="000B5226">
        <w:rPr>
          <w:rFonts w:ascii="Arial" w:hAnsi="Arial" w:cs="Arial"/>
        </w:rPr>
        <w:t xml:space="preserve"> is not supported in the literature</w:t>
      </w:r>
      <w:r>
        <w:rPr>
          <w:rFonts w:ascii="Arial" w:hAnsi="Arial" w:cs="Arial"/>
        </w:rPr>
        <w:t xml:space="preserve"> -</w:t>
      </w:r>
      <w:r w:rsidR="008919BC" w:rsidRPr="000B5226">
        <w:rPr>
          <w:rFonts w:ascii="Arial" w:hAnsi="Arial" w:cs="Arial"/>
        </w:rPr>
        <w:t xml:space="preserve"> the </w:t>
      </w:r>
      <w:r w:rsidR="00D567E3" w:rsidRPr="000B5226">
        <w:rPr>
          <w:rFonts w:ascii="Arial" w:hAnsi="Arial" w:cs="Arial"/>
        </w:rPr>
        <w:t>research results are inconclusive.</w:t>
      </w:r>
      <w:r>
        <w:rPr>
          <w:rFonts w:ascii="Arial" w:hAnsi="Arial" w:cs="Arial"/>
        </w:rPr>
        <w:t xml:space="preserve"> </w:t>
      </w:r>
      <w:r w:rsidR="00DE461C">
        <w:rPr>
          <w:rFonts w:ascii="Arial" w:hAnsi="Arial" w:cs="Arial"/>
        </w:rPr>
        <w:t xml:space="preserve">The IPA Deakin SME Research Centre can provide further information if required.  </w:t>
      </w:r>
    </w:p>
    <w:p w14:paraId="73FC8FB3" w14:textId="522B35D5" w:rsidR="006564FE" w:rsidRPr="00DA5690" w:rsidRDefault="006564FE" w:rsidP="00480318">
      <w:pPr>
        <w:pStyle w:val="ListParagraph"/>
        <w:jc w:val="both"/>
        <w:rPr>
          <w:rFonts w:ascii="Arial" w:hAnsi="Arial" w:cs="Arial"/>
          <w:highlight w:val="yellow"/>
        </w:rPr>
      </w:pPr>
    </w:p>
    <w:p w14:paraId="2089594C" w14:textId="014F2E77" w:rsidR="00A4742C" w:rsidRPr="00DA5690" w:rsidRDefault="00A4742C" w:rsidP="00544BC5">
      <w:pPr>
        <w:pStyle w:val="ListParagraph"/>
        <w:numPr>
          <w:ilvl w:val="0"/>
          <w:numId w:val="37"/>
        </w:numPr>
        <w:rPr>
          <w:rFonts w:ascii="Arial" w:hAnsi="Arial" w:cs="Arial"/>
          <w:b/>
          <w:color w:val="0070C0"/>
        </w:rPr>
      </w:pPr>
      <w:r w:rsidRPr="00DA5690">
        <w:rPr>
          <w:rFonts w:ascii="Arial" w:hAnsi="Arial" w:cs="Arial"/>
          <w:b/>
          <w:color w:val="0070C0"/>
        </w:rPr>
        <w:t xml:space="preserve">Scrutiny from regulators and appropriate enforcement actions </w:t>
      </w:r>
    </w:p>
    <w:p w14:paraId="7DBA2304" w14:textId="77777777" w:rsidR="00DA5690" w:rsidRDefault="00DA5690" w:rsidP="00DA5690">
      <w:pPr>
        <w:jc w:val="both"/>
        <w:rPr>
          <w:rFonts w:ascii="Arial" w:hAnsi="Arial" w:cs="Arial"/>
        </w:rPr>
      </w:pPr>
    </w:p>
    <w:p w14:paraId="09EF21B8" w14:textId="52C88591" w:rsidR="00DA5690" w:rsidRDefault="00DA5690" w:rsidP="00DA5690">
      <w:pPr>
        <w:jc w:val="both"/>
        <w:rPr>
          <w:rFonts w:ascii="Arial" w:hAnsi="Arial" w:cs="Arial"/>
        </w:rPr>
      </w:pPr>
      <w:r w:rsidRPr="00DA5690">
        <w:rPr>
          <w:rFonts w:ascii="Arial" w:hAnsi="Arial" w:cs="Arial"/>
        </w:rPr>
        <w:t>Both ASIC and t</w:t>
      </w:r>
      <w:r>
        <w:rPr>
          <w:rFonts w:ascii="Arial" w:hAnsi="Arial" w:cs="Arial"/>
        </w:rPr>
        <w:t xml:space="preserve">he </w:t>
      </w:r>
      <w:proofErr w:type="spellStart"/>
      <w:r>
        <w:rPr>
          <w:rFonts w:ascii="Arial" w:hAnsi="Arial" w:cs="Arial"/>
        </w:rPr>
        <w:t>ACCC</w:t>
      </w:r>
      <w:proofErr w:type="spellEnd"/>
      <w:r>
        <w:rPr>
          <w:rFonts w:ascii="Arial" w:hAnsi="Arial" w:cs="Arial"/>
        </w:rPr>
        <w:t xml:space="preserve"> have a number of legislative provisions available to them </w:t>
      </w:r>
      <w:r w:rsidRPr="00DA5690">
        <w:rPr>
          <w:rFonts w:ascii="Arial" w:hAnsi="Arial" w:cs="Arial"/>
        </w:rPr>
        <w:t xml:space="preserve">to address </w:t>
      </w:r>
      <w:r w:rsidR="00901108">
        <w:rPr>
          <w:rFonts w:ascii="Arial" w:hAnsi="Arial" w:cs="Arial"/>
        </w:rPr>
        <w:t xml:space="preserve">potential </w:t>
      </w:r>
      <w:proofErr w:type="spellStart"/>
      <w:r w:rsidRPr="00DA5690">
        <w:rPr>
          <w:rFonts w:ascii="Arial" w:hAnsi="Arial" w:cs="Arial"/>
        </w:rPr>
        <w:t>anti-competitive</w:t>
      </w:r>
      <w:proofErr w:type="spellEnd"/>
      <w:r w:rsidRPr="00DA5690">
        <w:rPr>
          <w:rFonts w:ascii="Arial" w:hAnsi="Arial" w:cs="Arial"/>
        </w:rPr>
        <w:t xml:space="preserve"> behaviour </w:t>
      </w:r>
      <w:r>
        <w:rPr>
          <w:rFonts w:ascii="Arial" w:hAnsi="Arial" w:cs="Arial"/>
        </w:rPr>
        <w:t xml:space="preserve">of </w:t>
      </w:r>
      <w:r w:rsidRPr="00DA5690">
        <w:rPr>
          <w:rFonts w:ascii="Arial" w:hAnsi="Arial" w:cs="Arial"/>
        </w:rPr>
        <w:t>the ‘big four</w:t>
      </w:r>
      <w:r w:rsidR="00901108">
        <w:rPr>
          <w:rFonts w:ascii="Arial" w:hAnsi="Arial" w:cs="Arial"/>
        </w:rPr>
        <w:t>’.</w:t>
      </w:r>
    </w:p>
    <w:p w14:paraId="592AD729" w14:textId="722E5DF8" w:rsidR="00901108" w:rsidRDefault="00901108" w:rsidP="00DA5690">
      <w:pPr>
        <w:jc w:val="both"/>
        <w:rPr>
          <w:rFonts w:ascii="Arial" w:hAnsi="Arial" w:cs="Arial"/>
        </w:rPr>
      </w:pPr>
    </w:p>
    <w:p w14:paraId="0B466726" w14:textId="77777777" w:rsidR="00D07141" w:rsidRDefault="00D07141" w:rsidP="00DA5690">
      <w:pPr>
        <w:jc w:val="both"/>
        <w:rPr>
          <w:rFonts w:ascii="Arial" w:hAnsi="Arial" w:cs="Arial"/>
        </w:rPr>
      </w:pPr>
    </w:p>
    <w:p w14:paraId="32C2DA9A" w14:textId="77777777" w:rsidR="00901108" w:rsidRPr="00901108" w:rsidRDefault="00901108" w:rsidP="00901108">
      <w:pPr>
        <w:jc w:val="both"/>
        <w:rPr>
          <w:rFonts w:ascii="Arial" w:hAnsi="Arial" w:cs="Arial"/>
          <w:i/>
          <w:color w:val="0070C0"/>
        </w:rPr>
      </w:pPr>
      <w:r w:rsidRPr="00901108">
        <w:rPr>
          <w:rFonts w:ascii="Arial" w:hAnsi="Arial" w:cs="Arial"/>
          <w:i/>
          <w:color w:val="0070C0"/>
        </w:rPr>
        <w:lastRenderedPageBreak/>
        <w:t xml:space="preserve">Consumer law provisions </w:t>
      </w:r>
    </w:p>
    <w:p w14:paraId="77D7F444" w14:textId="398F05F9" w:rsidR="00901108" w:rsidRDefault="00901108" w:rsidP="00DA5690">
      <w:pPr>
        <w:jc w:val="both"/>
        <w:rPr>
          <w:rFonts w:ascii="Arial" w:hAnsi="Arial" w:cs="Arial"/>
        </w:rPr>
      </w:pPr>
    </w:p>
    <w:p w14:paraId="4F2354FA" w14:textId="4E0B4B4A" w:rsidR="00901108" w:rsidRDefault="00901108" w:rsidP="00901108">
      <w:pPr>
        <w:jc w:val="both"/>
        <w:rPr>
          <w:rFonts w:ascii="Arial" w:hAnsi="Arial" w:cs="Arial"/>
        </w:rPr>
      </w:pPr>
      <w:r w:rsidRPr="00901108">
        <w:rPr>
          <w:rFonts w:ascii="Arial" w:hAnsi="Arial" w:cs="Arial"/>
        </w:rPr>
        <w:t>ASIC has power to investigate conduct in relation to financial services and financial products that breach</w:t>
      </w:r>
      <w:r w:rsidR="00660AED">
        <w:rPr>
          <w:rFonts w:ascii="Arial" w:hAnsi="Arial" w:cs="Arial"/>
        </w:rPr>
        <w:t>es</w:t>
      </w:r>
      <w:r w:rsidRPr="00901108">
        <w:rPr>
          <w:rFonts w:ascii="Arial" w:hAnsi="Arial" w:cs="Arial"/>
        </w:rPr>
        <w:t xml:space="preserve"> the consumer law provisions</w:t>
      </w:r>
      <w:r w:rsidR="00660AED">
        <w:rPr>
          <w:rFonts w:ascii="Arial" w:hAnsi="Arial" w:cs="Arial"/>
        </w:rPr>
        <w:t xml:space="preserve"> as set out in the</w:t>
      </w:r>
      <w:r w:rsidRPr="00901108">
        <w:rPr>
          <w:rFonts w:ascii="Arial" w:hAnsi="Arial" w:cs="Arial"/>
        </w:rPr>
        <w:t xml:space="preserve"> </w:t>
      </w:r>
      <w:r w:rsidRPr="00901108">
        <w:rPr>
          <w:rFonts w:ascii="Arial" w:hAnsi="Arial" w:cs="Arial"/>
          <w:i/>
        </w:rPr>
        <w:t>ASIC Act (Part 2, Division 2</w:t>
      </w:r>
      <w:r w:rsidRPr="00901108">
        <w:rPr>
          <w:rFonts w:ascii="Arial" w:hAnsi="Arial" w:cs="Arial"/>
        </w:rPr>
        <w:t>).  These include unconscionable conduct, misleading and deceptive conduct and unfair contract terms</w:t>
      </w:r>
      <w:r w:rsidR="00660AED">
        <w:rPr>
          <w:rStyle w:val="FootnoteReference"/>
          <w:rFonts w:ascii="Arial" w:hAnsi="Arial" w:cs="Arial"/>
        </w:rPr>
        <w:footnoteReference w:id="12"/>
      </w:r>
      <w:r w:rsidRPr="00901108">
        <w:rPr>
          <w:rFonts w:ascii="Arial" w:hAnsi="Arial" w:cs="Arial"/>
        </w:rPr>
        <w:t>.</w:t>
      </w:r>
      <w:r w:rsidR="00660AED">
        <w:rPr>
          <w:rFonts w:ascii="Arial" w:hAnsi="Arial" w:cs="Arial"/>
        </w:rPr>
        <w:t xml:space="preserve"> Questions about whether ASIC is appropriately funded to pursue all of its obligations are raised below. </w:t>
      </w:r>
    </w:p>
    <w:p w14:paraId="2254418F" w14:textId="1563BF1A" w:rsidR="000B5226" w:rsidRDefault="000B5226" w:rsidP="00901108">
      <w:pPr>
        <w:jc w:val="both"/>
        <w:rPr>
          <w:rFonts w:ascii="Arial" w:hAnsi="Arial" w:cs="Arial"/>
        </w:rPr>
      </w:pPr>
    </w:p>
    <w:p w14:paraId="2EA70C1B" w14:textId="47A2A0DB" w:rsidR="000B5226" w:rsidRPr="000B5226" w:rsidRDefault="000B5226" w:rsidP="000B5226">
      <w:pPr>
        <w:pStyle w:val="ListParagraph"/>
        <w:numPr>
          <w:ilvl w:val="0"/>
          <w:numId w:val="40"/>
        </w:numPr>
        <w:jc w:val="both"/>
        <w:rPr>
          <w:rFonts w:ascii="Arial" w:hAnsi="Arial" w:cs="Arial"/>
          <w:color w:val="0070C0"/>
        </w:rPr>
      </w:pPr>
      <w:r>
        <w:rPr>
          <w:rFonts w:ascii="Arial" w:hAnsi="Arial" w:cs="Arial"/>
          <w:color w:val="0070C0"/>
        </w:rPr>
        <w:t xml:space="preserve">Unfair contract terms and unconscionable conduct </w:t>
      </w:r>
    </w:p>
    <w:p w14:paraId="09DCB97B" w14:textId="5F2D1054" w:rsidR="00901108" w:rsidRDefault="00901108" w:rsidP="00901108">
      <w:pPr>
        <w:jc w:val="both"/>
        <w:rPr>
          <w:rFonts w:ascii="Arial" w:hAnsi="Arial" w:cs="Arial"/>
        </w:rPr>
      </w:pPr>
    </w:p>
    <w:p w14:paraId="15D000B7" w14:textId="377441E4" w:rsidR="00660AED" w:rsidRDefault="00660AED" w:rsidP="00660AED">
      <w:pPr>
        <w:jc w:val="both"/>
        <w:rPr>
          <w:rFonts w:ascii="Arial" w:hAnsi="Arial" w:cs="Arial"/>
          <w:color w:val="000000"/>
        </w:rPr>
      </w:pPr>
      <w:r>
        <w:rPr>
          <w:rFonts w:ascii="Arial" w:hAnsi="Arial" w:cs="Arial"/>
        </w:rPr>
        <w:t xml:space="preserve">The unfair contract term provisions do not currently apply to insurance contracts. </w:t>
      </w:r>
      <w:r w:rsidR="00901108" w:rsidRPr="00901108">
        <w:rPr>
          <w:rFonts w:ascii="Arial" w:hAnsi="Arial" w:cs="Arial"/>
        </w:rPr>
        <w:t xml:space="preserve">The </w:t>
      </w:r>
      <w:r w:rsidR="00901108">
        <w:rPr>
          <w:rFonts w:ascii="Arial" w:hAnsi="Arial" w:cs="Arial"/>
        </w:rPr>
        <w:t xml:space="preserve">Australian </w:t>
      </w:r>
      <w:r w:rsidR="00901108" w:rsidRPr="00660AED">
        <w:rPr>
          <w:rFonts w:ascii="Arial" w:hAnsi="Arial" w:cs="Arial"/>
        </w:rPr>
        <w:t xml:space="preserve">Consumer Law Review Final Report (“ACL Final Report”) </w:t>
      </w:r>
      <w:r w:rsidRPr="00660AED">
        <w:rPr>
          <w:rFonts w:ascii="Arial" w:hAnsi="Arial" w:cs="Arial"/>
        </w:rPr>
        <w:t>recommended that this be changed based largely on a “</w:t>
      </w:r>
      <w:r w:rsidRPr="00660AED">
        <w:rPr>
          <w:rFonts w:ascii="Arial" w:hAnsi="Arial" w:cs="Arial"/>
          <w:color w:val="000000"/>
        </w:rPr>
        <w:t>2012 Australian Government estimate [that] placed the cost to consumers of unfair contract terms in general insurance at up to $10 million per annum</w:t>
      </w:r>
      <w:r>
        <w:rPr>
          <w:rFonts w:ascii="Arial" w:hAnsi="Arial" w:cs="Arial"/>
          <w:color w:val="000000"/>
        </w:rPr>
        <w:t>”</w:t>
      </w:r>
      <w:r w:rsidR="00D07506">
        <w:rPr>
          <w:rStyle w:val="FootnoteReference"/>
          <w:rFonts w:ascii="Arial" w:hAnsi="Arial" w:cs="Arial"/>
          <w:color w:val="000000"/>
        </w:rPr>
        <w:footnoteReference w:id="13"/>
      </w:r>
      <w:r>
        <w:rPr>
          <w:rFonts w:ascii="Arial" w:hAnsi="Arial" w:cs="Arial"/>
          <w:color w:val="000000"/>
        </w:rPr>
        <w:t xml:space="preserve">.  This was considered a conservative estimate. </w:t>
      </w:r>
    </w:p>
    <w:p w14:paraId="1D05334F" w14:textId="77777777" w:rsidR="00660AED" w:rsidRDefault="00660AED" w:rsidP="00660AED">
      <w:pPr>
        <w:jc w:val="both"/>
        <w:rPr>
          <w:rFonts w:ascii="Arial" w:hAnsi="Arial" w:cs="Arial"/>
          <w:color w:val="000000"/>
        </w:rPr>
      </w:pPr>
    </w:p>
    <w:p w14:paraId="6203A1AA" w14:textId="2C6E2F19" w:rsidR="00901108" w:rsidRDefault="00660AED" w:rsidP="00660AED">
      <w:pPr>
        <w:jc w:val="both"/>
        <w:rPr>
          <w:rFonts w:ascii="Arial" w:hAnsi="Arial" w:cs="Arial"/>
        </w:rPr>
      </w:pPr>
      <w:r>
        <w:rPr>
          <w:rFonts w:ascii="Arial" w:hAnsi="Arial" w:cs="Arial"/>
          <w:color w:val="000000"/>
        </w:rPr>
        <w:t xml:space="preserve">The IPA considers that this recommendation should be implemented and notes it was not included in the </w:t>
      </w:r>
      <w:r>
        <w:rPr>
          <w:rFonts w:ascii="Arial" w:hAnsi="Arial" w:cs="Arial"/>
          <w:i/>
          <w:color w:val="000000"/>
        </w:rPr>
        <w:t>Exposure Draft Treasury Laws Amendment (Australian Consumer Law Review) Bill 2018</w:t>
      </w:r>
      <w:r>
        <w:rPr>
          <w:rFonts w:ascii="Arial" w:hAnsi="Arial" w:cs="Arial"/>
          <w:color w:val="000000"/>
        </w:rPr>
        <w:t xml:space="preserve">. </w:t>
      </w:r>
      <w:r w:rsidR="00901108">
        <w:rPr>
          <w:rFonts w:ascii="Arial" w:hAnsi="Arial" w:cs="Arial"/>
        </w:rPr>
        <w:t xml:space="preserve">  </w:t>
      </w:r>
      <w:r w:rsidR="00901108" w:rsidRPr="00901108">
        <w:rPr>
          <w:rFonts w:ascii="Arial" w:hAnsi="Arial" w:cs="Arial"/>
        </w:rPr>
        <w:t>The Ministers for Consumer Affairs have asked for a regulatory impact assessment to be completed on this proposal to inform future decision making</w:t>
      </w:r>
      <w:r w:rsidR="00901108" w:rsidRPr="00DA5690">
        <w:rPr>
          <w:rStyle w:val="FootnoteReference"/>
          <w:rFonts w:ascii="Arial" w:hAnsi="Arial" w:cs="Arial"/>
        </w:rPr>
        <w:footnoteReference w:id="14"/>
      </w:r>
      <w:r w:rsidR="00901108" w:rsidRPr="00901108">
        <w:rPr>
          <w:rFonts w:ascii="Arial" w:hAnsi="Arial" w:cs="Arial"/>
        </w:rPr>
        <w:t>.  It is hoped that this indicates an intention to introduce this amendment sooner rather than later.</w:t>
      </w:r>
    </w:p>
    <w:p w14:paraId="405DD684" w14:textId="149D0ACC" w:rsidR="00901108" w:rsidRDefault="00901108" w:rsidP="00901108">
      <w:pPr>
        <w:jc w:val="both"/>
        <w:rPr>
          <w:rFonts w:ascii="Arial" w:hAnsi="Arial" w:cs="Arial"/>
        </w:rPr>
      </w:pPr>
    </w:p>
    <w:p w14:paraId="2C8B15C4" w14:textId="77777777" w:rsidR="000B5226" w:rsidRDefault="000B5226" w:rsidP="000B5226">
      <w:pPr>
        <w:tabs>
          <w:tab w:val="left" w:pos="220"/>
          <w:tab w:val="left" w:pos="720"/>
        </w:tabs>
        <w:autoSpaceDE w:val="0"/>
        <w:autoSpaceDN w:val="0"/>
        <w:adjustRightInd w:val="0"/>
        <w:jc w:val="both"/>
        <w:rPr>
          <w:rFonts w:ascii="Arial" w:hAnsi="Arial" w:cs="Arial"/>
        </w:rPr>
      </w:pPr>
      <w:r>
        <w:rPr>
          <w:rFonts w:ascii="Arial" w:hAnsi="Arial" w:cs="Arial"/>
        </w:rPr>
        <w:t xml:space="preserve">In a submission to the Competition Policy Review in 2014, the IPA recommended amending the unconscionable conduct and unfair contract term provisions to make it clear that “it is unconscionable conduct for a firm to use its superior bargaining power to force a customer (or supplier) to accept an unfair price and to make void a </w:t>
      </w:r>
      <w:proofErr w:type="spellStart"/>
      <w:r>
        <w:rPr>
          <w:rFonts w:ascii="Arial" w:hAnsi="Arial" w:cs="Arial"/>
        </w:rPr>
        <w:t>contractual</w:t>
      </w:r>
      <w:proofErr w:type="spellEnd"/>
      <w:r>
        <w:rPr>
          <w:rFonts w:ascii="Arial" w:hAnsi="Arial" w:cs="Arial"/>
        </w:rPr>
        <w:t xml:space="preserve"> term specifying an unfair price”</w:t>
      </w:r>
      <w:r>
        <w:rPr>
          <w:rStyle w:val="FootnoteReference"/>
          <w:rFonts w:ascii="Arial" w:hAnsi="Arial" w:cs="Arial"/>
        </w:rPr>
        <w:footnoteReference w:id="15"/>
      </w:r>
      <w:r>
        <w:rPr>
          <w:rFonts w:ascii="Arial" w:hAnsi="Arial" w:cs="Arial"/>
        </w:rPr>
        <w:t>. It was suggested this could be achieved by:</w:t>
      </w:r>
    </w:p>
    <w:p w14:paraId="6ECEC8CE" w14:textId="77777777" w:rsidR="000B5226" w:rsidRDefault="000B5226" w:rsidP="000B5226">
      <w:pPr>
        <w:tabs>
          <w:tab w:val="left" w:pos="220"/>
          <w:tab w:val="left" w:pos="720"/>
        </w:tabs>
        <w:autoSpaceDE w:val="0"/>
        <w:autoSpaceDN w:val="0"/>
        <w:adjustRightInd w:val="0"/>
        <w:jc w:val="both"/>
        <w:rPr>
          <w:rFonts w:ascii="Arial" w:hAnsi="Arial" w:cs="Arial"/>
        </w:rPr>
      </w:pPr>
    </w:p>
    <w:p w14:paraId="0DFA876B" w14:textId="77777777" w:rsidR="000B5226" w:rsidRPr="00B779B7" w:rsidRDefault="000B5226" w:rsidP="000B5226">
      <w:pPr>
        <w:pStyle w:val="ListParagraph"/>
        <w:numPr>
          <w:ilvl w:val="0"/>
          <w:numId w:val="25"/>
        </w:numPr>
        <w:tabs>
          <w:tab w:val="left" w:pos="220"/>
          <w:tab w:val="left" w:pos="720"/>
        </w:tabs>
        <w:autoSpaceDE w:val="0"/>
        <w:autoSpaceDN w:val="0"/>
        <w:adjustRightInd w:val="0"/>
        <w:jc w:val="both"/>
        <w:rPr>
          <w:rFonts w:ascii="Arial" w:hAnsi="Arial" w:cs="Arial"/>
        </w:rPr>
      </w:pPr>
      <w:r w:rsidRPr="00B779B7">
        <w:rPr>
          <w:rFonts w:ascii="Arial" w:hAnsi="Arial" w:cs="Arial"/>
        </w:rPr>
        <w:t xml:space="preserve">including ‘price’ in the list of matters to which the court may have regard under section 22 ACL (unconscionable conduct); </w:t>
      </w:r>
    </w:p>
    <w:p w14:paraId="5F29BBA8" w14:textId="77777777" w:rsidR="000B5226" w:rsidRPr="00B779B7" w:rsidRDefault="000B5226" w:rsidP="000B5226">
      <w:pPr>
        <w:pStyle w:val="ListParagraph"/>
        <w:numPr>
          <w:ilvl w:val="0"/>
          <w:numId w:val="25"/>
        </w:numPr>
        <w:tabs>
          <w:tab w:val="left" w:pos="220"/>
          <w:tab w:val="left" w:pos="720"/>
        </w:tabs>
        <w:autoSpaceDE w:val="0"/>
        <w:autoSpaceDN w:val="0"/>
        <w:adjustRightInd w:val="0"/>
        <w:jc w:val="both"/>
        <w:rPr>
          <w:rFonts w:ascii="Arial" w:hAnsi="Arial" w:cs="Arial"/>
        </w:rPr>
      </w:pPr>
      <w:r w:rsidRPr="00B779B7">
        <w:rPr>
          <w:rFonts w:ascii="Arial" w:hAnsi="Arial" w:cs="Arial"/>
        </w:rPr>
        <w:t xml:space="preserve">deleting section 26(1)(b) (unfair contract terms). </w:t>
      </w:r>
    </w:p>
    <w:p w14:paraId="06419FCC" w14:textId="6577B7D7" w:rsidR="000B5226" w:rsidRDefault="000B5226" w:rsidP="00901108">
      <w:pPr>
        <w:jc w:val="both"/>
        <w:rPr>
          <w:rFonts w:ascii="Arial" w:hAnsi="Arial" w:cs="Arial"/>
        </w:rPr>
      </w:pPr>
    </w:p>
    <w:p w14:paraId="43D932F0" w14:textId="18CEDDA4" w:rsidR="000B5226" w:rsidRPr="00372AE9" w:rsidRDefault="000B5226" w:rsidP="000B5226">
      <w:pPr>
        <w:tabs>
          <w:tab w:val="left" w:pos="220"/>
          <w:tab w:val="left" w:pos="720"/>
        </w:tabs>
        <w:autoSpaceDE w:val="0"/>
        <w:autoSpaceDN w:val="0"/>
        <w:adjustRightInd w:val="0"/>
        <w:jc w:val="both"/>
        <w:rPr>
          <w:rFonts w:ascii="Arial" w:hAnsi="Arial" w:cs="Arial"/>
        </w:rPr>
      </w:pPr>
      <w:r w:rsidRPr="00372AE9">
        <w:rPr>
          <w:rFonts w:ascii="Arial" w:hAnsi="Arial" w:cs="Arial"/>
        </w:rPr>
        <w:lastRenderedPageBreak/>
        <w:t xml:space="preserve">To date, these submissions have not been accepted by </w:t>
      </w:r>
      <w:r w:rsidR="00EE7CE1">
        <w:rPr>
          <w:rFonts w:ascii="Arial" w:hAnsi="Arial" w:cs="Arial"/>
        </w:rPr>
        <w:t>the G</w:t>
      </w:r>
      <w:r w:rsidRPr="00372AE9">
        <w:rPr>
          <w:rFonts w:ascii="Arial" w:hAnsi="Arial" w:cs="Arial"/>
        </w:rPr>
        <w:t xml:space="preserve">overnment. </w:t>
      </w:r>
    </w:p>
    <w:p w14:paraId="3CD49EB4" w14:textId="258D4C62" w:rsidR="000B5226" w:rsidRDefault="000B5226" w:rsidP="00901108">
      <w:pPr>
        <w:jc w:val="both"/>
        <w:rPr>
          <w:rFonts w:ascii="Arial" w:hAnsi="Arial" w:cs="Arial"/>
        </w:rPr>
      </w:pPr>
    </w:p>
    <w:p w14:paraId="38B820CC" w14:textId="6418657B" w:rsidR="000B5226" w:rsidRDefault="000B5226" w:rsidP="000B5226">
      <w:pPr>
        <w:pStyle w:val="ListParagraph"/>
        <w:numPr>
          <w:ilvl w:val="0"/>
          <w:numId w:val="40"/>
        </w:numPr>
        <w:jc w:val="both"/>
        <w:rPr>
          <w:rFonts w:ascii="Arial" w:hAnsi="Arial" w:cs="Arial"/>
          <w:color w:val="0070C0"/>
        </w:rPr>
      </w:pPr>
      <w:r>
        <w:rPr>
          <w:rFonts w:ascii="Arial" w:hAnsi="Arial" w:cs="Arial"/>
          <w:color w:val="0070C0"/>
        </w:rPr>
        <w:t>Unfair business practices</w:t>
      </w:r>
    </w:p>
    <w:p w14:paraId="16F9FAE0" w14:textId="77777777" w:rsidR="000B5226" w:rsidRPr="000B5226" w:rsidRDefault="000B5226" w:rsidP="000B5226">
      <w:pPr>
        <w:pStyle w:val="ListParagraph"/>
        <w:jc w:val="both"/>
        <w:rPr>
          <w:rFonts w:ascii="Arial" w:hAnsi="Arial" w:cs="Arial"/>
          <w:color w:val="0070C0"/>
        </w:rPr>
      </w:pPr>
    </w:p>
    <w:p w14:paraId="67B3F4C5" w14:textId="4D95C8B5" w:rsidR="00901108" w:rsidRDefault="00901108" w:rsidP="00901108">
      <w:pPr>
        <w:jc w:val="both"/>
        <w:rPr>
          <w:rFonts w:ascii="Arial" w:hAnsi="Arial" w:cs="Arial"/>
        </w:rPr>
      </w:pPr>
      <w:r>
        <w:rPr>
          <w:rFonts w:ascii="Arial" w:hAnsi="Arial" w:cs="Arial"/>
        </w:rPr>
        <w:t xml:space="preserve">The ACL Review Final Report </w:t>
      </w:r>
      <w:r w:rsidR="004164DB">
        <w:rPr>
          <w:rFonts w:ascii="Arial" w:hAnsi="Arial" w:cs="Arial"/>
        </w:rPr>
        <w:t xml:space="preserve">also stated that </w:t>
      </w:r>
      <w:r>
        <w:rPr>
          <w:rFonts w:ascii="Arial" w:hAnsi="Arial" w:cs="Arial"/>
        </w:rPr>
        <w:t xml:space="preserve">Consumer Affairs </w:t>
      </w:r>
      <w:r w:rsidR="004164DB">
        <w:rPr>
          <w:rFonts w:ascii="Arial" w:hAnsi="Arial" w:cs="Arial"/>
        </w:rPr>
        <w:t>Australia and New Zealand (</w:t>
      </w:r>
      <w:proofErr w:type="spellStart"/>
      <w:r w:rsidR="004164DB">
        <w:rPr>
          <w:rFonts w:ascii="Arial" w:hAnsi="Arial" w:cs="Arial"/>
        </w:rPr>
        <w:t>CAANZ</w:t>
      </w:r>
      <w:proofErr w:type="spellEnd"/>
      <w:r w:rsidR="004164DB">
        <w:rPr>
          <w:rFonts w:ascii="Arial" w:hAnsi="Arial" w:cs="Arial"/>
        </w:rPr>
        <w:t>) should examine the potential need for a general prohibition against ‘unfair trading practices’:</w:t>
      </w:r>
    </w:p>
    <w:p w14:paraId="3FECF0FC" w14:textId="633D118D" w:rsidR="004164DB" w:rsidRDefault="004164DB" w:rsidP="00901108">
      <w:pPr>
        <w:jc w:val="both"/>
        <w:rPr>
          <w:rFonts w:ascii="Arial" w:hAnsi="Arial" w:cs="Arial"/>
        </w:rPr>
      </w:pPr>
    </w:p>
    <w:p w14:paraId="35C06A97" w14:textId="77777777" w:rsidR="004164DB" w:rsidRDefault="004164DB" w:rsidP="004164DB">
      <w:pPr>
        <w:tabs>
          <w:tab w:val="left" w:pos="220"/>
          <w:tab w:val="left" w:pos="720"/>
        </w:tabs>
        <w:autoSpaceDE w:val="0"/>
        <w:autoSpaceDN w:val="0"/>
        <w:adjustRightInd w:val="0"/>
        <w:ind w:left="220"/>
        <w:jc w:val="both"/>
        <w:rPr>
          <w:rFonts w:ascii="Arial" w:hAnsi="Arial" w:cs="Arial"/>
        </w:rPr>
      </w:pPr>
      <w:r>
        <w:rPr>
          <w:rFonts w:ascii="Arial" w:hAnsi="Arial" w:cs="Arial"/>
          <w:color w:val="000000"/>
        </w:rPr>
        <w:t>“</w:t>
      </w:r>
      <w:r w:rsidRPr="006D23ED">
        <w:rPr>
          <w:rFonts w:ascii="Arial" w:hAnsi="Arial" w:cs="Arial"/>
          <w:color w:val="000000"/>
        </w:rPr>
        <w:t xml:space="preserve">Noting the evidence of persistent unfair business practices, </w:t>
      </w:r>
      <w:proofErr w:type="spellStart"/>
      <w:r w:rsidRPr="006D23ED">
        <w:rPr>
          <w:rFonts w:ascii="Arial" w:hAnsi="Arial" w:cs="Arial"/>
          <w:color w:val="000000"/>
        </w:rPr>
        <w:t>CAANZ</w:t>
      </w:r>
      <w:proofErr w:type="spellEnd"/>
      <w:r w:rsidRPr="006D23ED">
        <w:rPr>
          <w:rFonts w:ascii="Arial" w:hAnsi="Arial" w:cs="Arial"/>
          <w:color w:val="000000"/>
        </w:rPr>
        <w:t xml:space="preserve"> is committed to investigating further whether a prohibition of unfair trading would provide additional protections beyond those currently in the ACL, and how it could be implemented in Australia.</w:t>
      </w:r>
      <w:r>
        <w:rPr>
          <w:rFonts w:ascii="Arial" w:hAnsi="Arial" w:cs="Arial"/>
          <w:color w:val="000000"/>
        </w:rPr>
        <w:t>”</w:t>
      </w:r>
      <w:r>
        <w:rPr>
          <w:rStyle w:val="FootnoteReference"/>
          <w:rFonts w:ascii="Arial" w:hAnsi="Arial" w:cs="Arial"/>
          <w:color w:val="000000"/>
        </w:rPr>
        <w:footnoteReference w:id="16"/>
      </w:r>
      <w:r w:rsidRPr="006D23ED">
        <w:rPr>
          <w:rFonts w:ascii="Arial" w:hAnsi="Arial" w:cs="Arial"/>
          <w:color w:val="000000"/>
        </w:rPr>
        <w:t xml:space="preserve"> </w:t>
      </w:r>
    </w:p>
    <w:p w14:paraId="689C6233" w14:textId="77777777" w:rsidR="004164DB" w:rsidRDefault="004164DB" w:rsidP="004164DB">
      <w:pPr>
        <w:jc w:val="both"/>
        <w:rPr>
          <w:rFonts w:ascii="Arial" w:hAnsi="Arial" w:cs="Arial"/>
        </w:rPr>
      </w:pPr>
    </w:p>
    <w:p w14:paraId="502F1255" w14:textId="1E232647" w:rsidR="004164DB" w:rsidRDefault="004164DB" w:rsidP="004164DB">
      <w:pPr>
        <w:jc w:val="both"/>
        <w:rPr>
          <w:rFonts w:ascii="Arial" w:hAnsi="Arial" w:cs="Arial"/>
        </w:rPr>
      </w:pPr>
      <w:r>
        <w:rPr>
          <w:rFonts w:ascii="Arial" w:hAnsi="Arial" w:cs="Arial"/>
        </w:rPr>
        <w:t xml:space="preserve">Examples </w:t>
      </w:r>
      <w:r w:rsidR="00755C60">
        <w:rPr>
          <w:rFonts w:ascii="Arial" w:hAnsi="Arial" w:cs="Arial"/>
        </w:rPr>
        <w:t xml:space="preserve">of unfair business practices </w:t>
      </w:r>
      <w:r>
        <w:rPr>
          <w:rFonts w:ascii="Arial" w:hAnsi="Arial" w:cs="Arial"/>
        </w:rPr>
        <w:t xml:space="preserve">commonly arise in the banking sector.  The </w:t>
      </w:r>
      <w:proofErr w:type="spellStart"/>
      <w:r>
        <w:rPr>
          <w:rFonts w:ascii="Arial" w:hAnsi="Arial" w:cs="Arial"/>
        </w:rPr>
        <w:t>ASBFEO</w:t>
      </w:r>
      <w:proofErr w:type="spellEnd"/>
      <w:r>
        <w:rPr>
          <w:rFonts w:ascii="Arial" w:hAnsi="Arial" w:cs="Arial"/>
        </w:rPr>
        <w:t xml:space="preserve"> </w:t>
      </w:r>
      <w:r>
        <w:rPr>
          <w:rFonts w:ascii="Arial" w:hAnsi="Arial" w:cs="Arial"/>
          <w:i/>
        </w:rPr>
        <w:t xml:space="preserve">Inquiry into small business lending </w:t>
      </w:r>
      <w:r>
        <w:rPr>
          <w:rFonts w:ascii="Arial" w:hAnsi="Arial" w:cs="Arial"/>
        </w:rPr>
        <w:t>provides excellent examples of small business owners being treated unfairly by the banks, for example in relation to the initial mortgage terms, loan rollovers and in circumstances of (technical) default</w:t>
      </w:r>
      <w:r w:rsidR="00D07506">
        <w:rPr>
          <w:rFonts w:ascii="Arial" w:hAnsi="Arial" w:cs="Arial"/>
        </w:rPr>
        <w:t>.</w:t>
      </w:r>
    </w:p>
    <w:p w14:paraId="10515754" w14:textId="77777777" w:rsidR="00D07506" w:rsidRDefault="00D07506" w:rsidP="004164DB">
      <w:pPr>
        <w:jc w:val="both"/>
        <w:rPr>
          <w:rFonts w:ascii="Arial" w:hAnsi="Arial" w:cs="Arial"/>
        </w:rPr>
      </w:pPr>
    </w:p>
    <w:p w14:paraId="3A1289AE" w14:textId="7426BCB6" w:rsidR="004164DB" w:rsidRDefault="00755C60" w:rsidP="004164DB">
      <w:pPr>
        <w:suppressAutoHyphens/>
        <w:jc w:val="both"/>
        <w:rPr>
          <w:rFonts w:ascii="Arial" w:hAnsi="Arial" w:cs="Arial"/>
        </w:rPr>
      </w:pPr>
      <w:r>
        <w:rPr>
          <w:rFonts w:ascii="Arial" w:hAnsi="Arial" w:cs="Arial"/>
        </w:rPr>
        <w:t xml:space="preserve">Although some of this conduct may be considered ‘unconscionable’, it is often </w:t>
      </w:r>
      <w:r w:rsidR="004164DB">
        <w:rPr>
          <w:rFonts w:ascii="Arial" w:hAnsi="Arial" w:cs="Arial"/>
        </w:rPr>
        <w:t xml:space="preserve">difficult for small business to </w:t>
      </w:r>
      <w:r>
        <w:rPr>
          <w:rFonts w:ascii="Arial" w:hAnsi="Arial" w:cs="Arial"/>
        </w:rPr>
        <w:t>identify this</w:t>
      </w:r>
      <w:r w:rsidR="004164DB">
        <w:rPr>
          <w:rFonts w:ascii="Arial" w:hAnsi="Arial" w:cs="Arial"/>
        </w:rPr>
        <w:t>, especially given that there is “some uncertainty in how the provisions will apply, and whether particular conduct is unconscionable according to the principles used by the courts”</w:t>
      </w:r>
      <w:r w:rsidR="00D07506">
        <w:rPr>
          <w:rStyle w:val="FootnoteReference"/>
          <w:rFonts w:ascii="Arial" w:hAnsi="Arial" w:cs="Arial"/>
        </w:rPr>
        <w:footnoteReference w:id="17"/>
      </w:r>
      <w:r w:rsidR="004164DB">
        <w:rPr>
          <w:rFonts w:ascii="Arial" w:hAnsi="Arial" w:cs="Arial"/>
        </w:rPr>
        <w:t xml:space="preserve">. Commencing an action for unconscionable conduct is likely to be out of the reach of most small business owners in any case. </w:t>
      </w:r>
    </w:p>
    <w:p w14:paraId="50B0CC28" w14:textId="0F1A1907" w:rsidR="00901108" w:rsidRDefault="00901108" w:rsidP="00901108">
      <w:pPr>
        <w:jc w:val="both"/>
        <w:rPr>
          <w:rFonts w:ascii="Arial" w:hAnsi="Arial" w:cs="Arial"/>
        </w:rPr>
      </w:pPr>
    </w:p>
    <w:p w14:paraId="4D125771" w14:textId="3501F056" w:rsidR="00901108" w:rsidRPr="00901108" w:rsidRDefault="00901108" w:rsidP="00901108">
      <w:pPr>
        <w:jc w:val="both"/>
        <w:rPr>
          <w:rFonts w:ascii="Arial" w:hAnsi="Arial" w:cs="Arial"/>
          <w:i/>
          <w:color w:val="0070C0"/>
        </w:rPr>
      </w:pPr>
      <w:r>
        <w:rPr>
          <w:rFonts w:ascii="Arial" w:hAnsi="Arial" w:cs="Arial"/>
          <w:i/>
          <w:color w:val="0070C0"/>
        </w:rPr>
        <w:t xml:space="preserve">Competition </w:t>
      </w:r>
      <w:r w:rsidRPr="00901108">
        <w:rPr>
          <w:rFonts w:ascii="Arial" w:hAnsi="Arial" w:cs="Arial"/>
          <w:i/>
          <w:color w:val="0070C0"/>
        </w:rPr>
        <w:t xml:space="preserve">law provisions </w:t>
      </w:r>
    </w:p>
    <w:p w14:paraId="37275AE6" w14:textId="266DEDAF" w:rsidR="00901108" w:rsidRPr="00901108" w:rsidRDefault="00901108" w:rsidP="00901108">
      <w:pPr>
        <w:jc w:val="both"/>
        <w:rPr>
          <w:rFonts w:ascii="Arial" w:hAnsi="Arial" w:cs="Arial"/>
        </w:rPr>
      </w:pPr>
    </w:p>
    <w:p w14:paraId="3E96086C" w14:textId="392F000D" w:rsidR="00901108" w:rsidRPr="00901108" w:rsidRDefault="00901108" w:rsidP="00901108">
      <w:pPr>
        <w:jc w:val="both"/>
        <w:rPr>
          <w:rFonts w:ascii="Arial" w:hAnsi="Arial" w:cs="Arial"/>
        </w:rPr>
      </w:pPr>
      <w:proofErr w:type="spellStart"/>
      <w:r w:rsidRPr="00901108">
        <w:rPr>
          <w:rFonts w:ascii="Arial" w:hAnsi="Arial" w:cs="Arial"/>
        </w:rPr>
        <w:t>ACCC</w:t>
      </w:r>
      <w:proofErr w:type="spellEnd"/>
      <w:r w:rsidRPr="00901108">
        <w:rPr>
          <w:rFonts w:ascii="Arial" w:hAnsi="Arial" w:cs="Arial"/>
        </w:rPr>
        <w:t xml:space="preserve"> has power to investigate </w:t>
      </w:r>
      <w:proofErr w:type="spellStart"/>
      <w:r w:rsidRPr="00901108">
        <w:rPr>
          <w:rFonts w:ascii="Arial" w:hAnsi="Arial" w:cs="Arial"/>
        </w:rPr>
        <w:t>anti</w:t>
      </w:r>
      <w:r w:rsidR="000B5226">
        <w:rPr>
          <w:rFonts w:ascii="Arial" w:hAnsi="Arial" w:cs="Arial"/>
        </w:rPr>
        <w:t>-</w:t>
      </w:r>
      <w:r w:rsidRPr="00901108">
        <w:rPr>
          <w:rFonts w:ascii="Arial" w:hAnsi="Arial" w:cs="Arial"/>
        </w:rPr>
        <w:t>competitive</w:t>
      </w:r>
      <w:proofErr w:type="spellEnd"/>
      <w:r w:rsidRPr="00901108">
        <w:rPr>
          <w:rFonts w:ascii="Arial" w:hAnsi="Arial" w:cs="Arial"/>
        </w:rPr>
        <w:t xml:space="preserve"> behaviour under the </w:t>
      </w:r>
      <w:r w:rsidRPr="00901108">
        <w:rPr>
          <w:rFonts w:ascii="Arial" w:hAnsi="Arial" w:cs="Arial"/>
          <w:i/>
        </w:rPr>
        <w:t>Competition and Consumer Act 2010</w:t>
      </w:r>
      <w:r w:rsidRPr="00901108">
        <w:rPr>
          <w:rFonts w:ascii="Arial" w:hAnsi="Arial" w:cs="Arial"/>
        </w:rPr>
        <w:t>.  Of particular relevance in this context</w:t>
      </w:r>
      <w:r w:rsidR="000B5226">
        <w:rPr>
          <w:rFonts w:ascii="Arial" w:hAnsi="Arial" w:cs="Arial"/>
        </w:rPr>
        <w:t xml:space="preserve"> are</w:t>
      </w:r>
      <w:r w:rsidRPr="00901108">
        <w:rPr>
          <w:rFonts w:ascii="Arial" w:hAnsi="Arial" w:cs="Arial"/>
        </w:rPr>
        <w:t>:</w:t>
      </w:r>
    </w:p>
    <w:p w14:paraId="748ECE3D" w14:textId="77777777" w:rsidR="00901108" w:rsidRPr="00901108" w:rsidRDefault="00901108" w:rsidP="00901108">
      <w:pPr>
        <w:pStyle w:val="ListParagraph"/>
        <w:rPr>
          <w:rFonts w:ascii="Arial" w:hAnsi="Arial" w:cs="Arial"/>
        </w:rPr>
      </w:pPr>
    </w:p>
    <w:p w14:paraId="0E267623" w14:textId="2B525193" w:rsidR="00901108" w:rsidRDefault="00901108" w:rsidP="00901108">
      <w:pPr>
        <w:pStyle w:val="ListParagraph"/>
        <w:numPr>
          <w:ilvl w:val="0"/>
          <w:numId w:val="28"/>
        </w:numPr>
        <w:jc w:val="both"/>
        <w:rPr>
          <w:rFonts w:ascii="Arial" w:hAnsi="Arial" w:cs="Arial"/>
        </w:rPr>
      </w:pPr>
      <w:r>
        <w:rPr>
          <w:rFonts w:ascii="Arial" w:hAnsi="Arial" w:cs="Arial"/>
        </w:rPr>
        <w:t xml:space="preserve">Misuse of market power (section 46) </w:t>
      </w:r>
    </w:p>
    <w:p w14:paraId="101039CA" w14:textId="5A5D875D" w:rsidR="00901108" w:rsidRDefault="00901108" w:rsidP="00901108">
      <w:pPr>
        <w:pStyle w:val="ListParagraph"/>
        <w:numPr>
          <w:ilvl w:val="0"/>
          <w:numId w:val="28"/>
        </w:numPr>
        <w:jc w:val="both"/>
        <w:rPr>
          <w:rFonts w:ascii="Arial" w:hAnsi="Arial" w:cs="Arial"/>
        </w:rPr>
      </w:pPr>
      <w:r>
        <w:rPr>
          <w:rFonts w:ascii="Arial" w:hAnsi="Arial" w:cs="Arial"/>
        </w:rPr>
        <w:t xml:space="preserve">Concerted practices (section 45) </w:t>
      </w:r>
    </w:p>
    <w:p w14:paraId="467476F8" w14:textId="49CFF697" w:rsidR="00901108" w:rsidRDefault="00901108" w:rsidP="00901108">
      <w:pPr>
        <w:pStyle w:val="ListParagraph"/>
        <w:numPr>
          <w:ilvl w:val="0"/>
          <w:numId w:val="28"/>
        </w:numPr>
        <w:jc w:val="both"/>
        <w:rPr>
          <w:rFonts w:ascii="Arial" w:hAnsi="Arial" w:cs="Arial"/>
        </w:rPr>
      </w:pPr>
      <w:r>
        <w:rPr>
          <w:rFonts w:ascii="Arial" w:hAnsi="Arial" w:cs="Arial"/>
        </w:rPr>
        <w:t xml:space="preserve">Mergers and acquisitions (section 50). </w:t>
      </w:r>
    </w:p>
    <w:p w14:paraId="08C13A28" w14:textId="75757513" w:rsidR="00DA5690" w:rsidRDefault="00DA5690" w:rsidP="00DA5690">
      <w:pPr>
        <w:jc w:val="both"/>
        <w:rPr>
          <w:rFonts w:ascii="Arial" w:hAnsi="Arial" w:cs="Arial"/>
        </w:rPr>
      </w:pPr>
    </w:p>
    <w:p w14:paraId="53198E8E" w14:textId="77777777" w:rsidR="00EE7CE1" w:rsidRDefault="00EE7CE1" w:rsidP="00DA5690">
      <w:pPr>
        <w:jc w:val="both"/>
        <w:rPr>
          <w:rFonts w:ascii="Arial" w:hAnsi="Arial" w:cs="Arial"/>
        </w:rPr>
      </w:pPr>
    </w:p>
    <w:p w14:paraId="5AB62947" w14:textId="79FF7532" w:rsidR="00901108" w:rsidRPr="00A73A2D" w:rsidRDefault="00901108" w:rsidP="00A73A2D">
      <w:pPr>
        <w:pStyle w:val="ListParagraph"/>
        <w:numPr>
          <w:ilvl w:val="0"/>
          <w:numId w:val="38"/>
        </w:numPr>
        <w:jc w:val="both"/>
        <w:rPr>
          <w:rFonts w:ascii="Arial" w:hAnsi="Arial" w:cs="Arial"/>
          <w:color w:val="0070C0"/>
        </w:rPr>
      </w:pPr>
      <w:r w:rsidRPr="00A73A2D">
        <w:rPr>
          <w:rFonts w:ascii="Arial" w:hAnsi="Arial" w:cs="Arial"/>
          <w:i/>
          <w:color w:val="0070C0"/>
        </w:rPr>
        <w:lastRenderedPageBreak/>
        <w:t>Misuse of market power</w:t>
      </w:r>
      <w:r w:rsidRPr="00A73A2D">
        <w:rPr>
          <w:rFonts w:ascii="Arial" w:hAnsi="Arial" w:cs="Arial"/>
          <w:color w:val="0070C0"/>
        </w:rPr>
        <w:t xml:space="preserve"> </w:t>
      </w:r>
    </w:p>
    <w:p w14:paraId="3B7C53C5" w14:textId="77777777" w:rsidR="00901108" w:rsidRPr="00901108" w:rsidRDefault="00901108" w:rsidP="00DA5690">
      <w:pPr>
        <w:jc w:val="both"/>
        <w:rPr>
          <w:rFonts w:ascii="Arial" w:hAnsi="Arial" w:cs="Arial"/>
          <w:color w:val="0070C0"/>
        </w:rPr>
      </w:pPr>
    </w:p>
    <w:p w14:paraId="0436D921" w14:textId="084F2937" w:rsidR="00DA5690" w:rsidRDefault="00DA5690" w:rsidP="00901108">
      <w:pPr>
        <w:jc w:val="both"/>
        <w:rPr>
          <w:rFonts w:ascii="Arial" w:hAnsi="Arial" w:cs="Arial"/>
        </w:rPr>
      </w:pPr>
      <w:r w:rsidRPr="00901108">
        <w:rPr>
          <w:rFonts w:ascii="Arial" w:hAnsi="Arial" w:cs="Arial"/>
        </w:rPr>
        <w:t xml:space="preserve">From 6 November 2017, the </w:t>
      </w:r>
      <w:proofErr w:type="spellStart"/>
      <w:r w:rsidRPr="00901108">
        <w:rPr>
          <w:rFonts w:ascii="Arial" w:hAnsi="Arial" w:cs="Arial"/>
        </w:rPr>
        <w:t>ACCC</w:t>
      </w:r>
      <w:proofErr w:type="spellEnd"/>
      <w:r w:rsidRPr="00901108">
        <w:rPr>
          <w:rFonts w:ascii="Arial" w:hAnsi="Arial" w:cs="Arial"/>
        </w:rPr>
        <w:t xml:space="preserve"> can utilise the amended section 46 (misuse of market power) provision which prohibits a player with substantial market power from using that market power in a way that has the purpose, effect or likely effect of substantially lessening competition. </w:t>
      </w:r>
    </w:p>
    <w:p w14:paraId="5FECD960" w14:textId="1C5C3322" w:rsidR="00901108" w:rsidRDefault="00901108" w:rsidP="00901108">
      <w:pPr>
        <w:jc w:val="both"/>
        <w:rPr>
          <w:rFonts w:ascii="Arial" w:hAnsi="Arial" w:cs="Arial"/>
        </w:rPr>
      </w:pPr>
    </w:p>
    <w:p w14:paraId="60FF2645" w14:textId="0BA3CB58" w:rsidR="00901108" w:rsidRDefault="00901108" w:rsidP="00901108">
      <w:pPr>
        <w:jc w:val="both"/>
        <w:rPr>
          <w:rFonts w:ascii="Arial" w:hAnsi="Arial" w:cs="Arial"/>
        </w:rPr>
      </w:pPr>
      <w:r>
        <w:rPr>
          <w:rFonts w:ascii="Arial" w:hAnsi="Arial" w:cs="Arial"/>
        </w:rPr>
        <w:t xml:space="preserve">The </w:t>
      </w:r>
      <w:proofErr w:type="spellStart"/>
      <w:r>
        <w:rPr>
          <w:rFonts w:ascii="Arial" w:hAnsi="Arial" w:cs="Arial"/>
        </w:rPr>
        <w:t>ACCC</w:t>
      </w:r>
      <w:proofErr w:type="spellEnd"/>
      <w:r>
        <w:rPr>
          <w:rFonts w:ascii="Arial" w:hAnsi="Arial" w:cs="Arial"/>
        </w:rPr>
        <w:t xml:space="preserve"> </w:t>
      </w:r>
      <w:r>
        <w:rPr>
          <w:rFonts w:ascii="Arial" w:hAnsi="Arial" w:cs="Arial"/>
          <w:i/>
        </w:rPr>
        <w:t>Interim guidelines on misuse of market power</w:t>
      </w:r>
      <w:r>
        <w:rPr>
          <w:rFonts w:ascii="Arial" w:hAnsi="Arial" w:cs="Arial"/>
        </w:rPr>
        <w:t xml:space="preserve"> were released for consultation late last year.  The Guidelines set out clear examples of the types of exclusionary behaviour that are prohibited (exclusionary behaviour </w:t>
      </w:r>
      <w:r w:rsidRPr="00901108">
        <w:rPr>
          <w:rFonts w:ascii="Arial" w:hAnsi="Arial" w:cs="Arial"/>
          <w:i/>
        </w:rPr>
        <w:t>excludes</w:t>
      </w:r>
      <w:r>
        <w:rPr>
          <w:rFonts w:ascii="Arial" w:hAnsi="Arial" w:cs="Arial"/>
        </w:rPr>
        <w:t xml:space="preserve"> a competitor from a market) but do not address exploitative practices (where a strong player exploits its market position). The IPA has called for the </w:t>
      </w:r>
      <w:proofErr w:type="spellStart"/>
      <w:r>
        <w:rPr>
          <w:rFonts w:ascii="Arial" w:hAnsi="Arial" w:cs="Arial"/>
        </w:rPr>
        <w:t>ACCC</w:t>
      </w:r>
      <w:proofErr w:type="spellEnd"/>
      <w:r>
        <w:rPr>
          <w:rFonts w:ascii="Arial" w:hAnsi="Arial" w:cs="Arial"/>
        </w:rPr>
        <w:t xml:space="preserve"> to apply section 46 to exploitative practices</w:t>
      </w:r>
      <w:r>
        <w:rPr>
          <w:rStyle w:val="FootnoteReference"/>
          <w:rFonts w:ascii="Arial" w:hAnsi="Arial" w:cs="Arial"/>
        </w:rPr>
        <w:footnoteReference w:id="18"/>
      </w:r>
      <w:r>
        <w:rPr>
          <w:rFonts w:ascii="Arial" w:hAnsi="Arial" w:cs="Arial"/>
        </w:rPr>
        <w:t xml:space="preserve">.  Any behaviour of the ‘big four’ that results in charging high fees or imposing unfair conditions may be exploitative and a misuse of market power. </w:t>
      </w:r>
    </w:p>
    <w:p w14:paraId="6D4D62E5" w14:textId="769F1015" w:rsidR="00DA5690" w:rsidRDefault="00DA5690" w:rsidP="00901108">
      <w:pPr>
        <w:jc w:val="both"/>
        <w:rPr>
          <w:rFonts w:ascii="Arial" w:hAnsi="Arial" w:cs="Arial"/>
        </w:rPr>
      </w:pPr>
    </w:p>
    <w:p w14:paraId="4F38F5D5" w14:textId="17590E2D" w:rsidR="00901108" w:rsidRPr="00A73A2D" w:rsidRDefault="00901108" w:rsidP="00A73A2D">
      <w:pPr>
        <w:pStyle w:val="ListParagraph"/>
        <w:numPr>
          <w:ilvl w:val="0"/>
          <w:numId w:val="38"/>
        </w:numPr>
        <w:jc w:val="both"/>
        <w:rPr>
          <w:rFonts w:ascii="Arial" w:hAnsi="Arial" w:cs="Arial"/>
          <w:i/>
          <w:color w:val="0070C0"/>
        </w:rPr>
      </w:pPr>
      <w:r w:rsidRPr="00A73A2D">
        <w:rPr>
          <w:rFonts w:ascii="Arial" w:hAnsi="Arial" w:cs="Arial"/>
          <w:i/>
          <w:color w:val="0070C0"/>
        </w:rPr>
        <w:t xml:space="preserve">Concerted practices </w:t>
      </w:r>
    </w:p>
    <w:p w14:paraId="0E846D32" w14:textId="77777777" w:rsidR="00901108" w:rsidRPr="00901108" w:rsidRDefault="00901108" w:rsidP="00901108">
      <w:pPr>
        <w:jc w:val="both"/>
        <w:rPr>
          <w:rFonts w:ascii="Arial" w:hAnsi="Arial" w:cs="Arial"/>
          <w:i/>
        </w:rPr>
      </w:pPr>
    </w:p>
    <w:p w14:paraId="39AF880B" w14:textId="77777777" w:rsidR="00901108" w:rsidRDefault="00901108" w:rsidP="00901108">
      <w:pPr>
        <w:jc w:val="both"/>
        <w:rPr>
          <w:rFonts w:ascii="Arial" w:hAnsi="Arial" w:cs="Arial"/>
        </w:rPr>
      </w:pPr>
      <w:r w:rsidRPr="00901108">
        <w:rPr>
          <w:rFonts w:ascii="Arial" w:hAnsi="Arial" w:cs="Arial"/>
        </w:rPr>
        <w:t xml:space="preserve">In addition, from 6 November 2017, the </w:t>
      </w:r>
      <w:proofErr w:type="spellStart"/>
      <w:r w:rsidRPr="00901108">
        <w:rPr>
          <w:rFonts w:ascii="Arial" w:hAnsi="Arial" w:cs="Arial"/>
        </w:rPr>
        <w:t>ACCC</w:t>
      </w:r>
      <w:proofErr w:type="spellEnd"/>
      <w:r w:rsidRPr="00901108">
        <w:rPr>
          <w:rFonts w:ascii="Arial" w:hAnsi="Arial" w:cs="Arial"/>
        </w:rPr>
        <w:t xml:space="preserve"> can </w:t>
      </w:r>
      <w:r>
        <w:rPr>
          <w:rFonts w:ascii="Arial" w:hAnsi="Arial" w:cs="Arial"/>
        </w:rPr>
        <w:t>utilise</w:t>
      </w:r>
      <w:r w:rsidRPr="00901108">
        <w:rPr>
          <w:rFonts w:ascii="Arial" w:hAnsi="Arial" w:cs="Arial"/>
        </w:rPr>
        <w:t xml:space="preserve"> amended section 45 which now applies to ‘concerted practices’</w:t>
      </w:r>
      <w:r>
        <w:rPr>
          <w:rFonts w:ascii="Arial" w:hAnsi="Arial" w:cs="Arial"/>
        </w:rPr>
        <w:t xml:space="preserve">.  A ‘concerted practice’ was defined in the </w:t>
      </w:r>
      <w:r>
        <w:rPr>
          <w:rFonts w:ascii="Arial" w:hAnsi="Arial" w:cs="Arial"/>
          <w:i/>
        </w:rPr>
        <w:t xml:space="preserve">Explanatory Memorandum to the Competition and Consumer Act (Competition Policy Review) Act </w:t>
      </w:r>
      <w:r>
        <w:rPr>
          <w:rFonts w:ascii="Arial" w:hAnsi="Arial" w:cs="Arial"/>
        </w:rPr>
        <w:t>2017 as:</w:t>
      </w:r>
    </w:p>
    <w:p w14:paraId="6E0F4ABC" w14:textId="77777777" w:rsidR="00901108" w:rsidRDefault="00901108" w:rsidP="00901108">
      <w:pPr>
        <w:jc w:val="both"/>
        <w:rPr>
          <w:rFonts w:ascii="Arial" w:hAnsi="Arial" w:cs="Arial"/>
        </w:rPr>
      </w:pPr>
    </w:p>
    <w:p w14:paraId="7C745685" w14:textId="1374E16B" w:rsidR="00901108" w:rsidRDefault="00901108" w:rsidP="00901108">
      <w:pPr>
        <w:ind w:left="720"/>
        <w:jc w:val="both"/>
        <w:rPr>
          <w:rFonts w:ascii="Arial" w:hAnsi="Arial" w:cs="Arial"/>
        </w:rPr>
      </w:pPr>
      <w:r>
        <w:rPr>
          <w:rFonts w:ascii="Arial" w:hAnsi="Arial" w:cs="Arial"/>
        </w:rPr>
        <w:t>“any form of cooperation between two or more firms (or people) or conduct that would be likely to establish such cooperation, where this conduct substitutes, or would be likely to substitute, cooperation in place of the uncertainty of competition.”</w:t>
      </w:r>
    </w:p>
    <w:p w14:paraId="1ED3558B" w14:textId="77777777" w:rsidR="00901108" w:rsidRDefault="00901108" w:rsidP="00901108">
      <w:pPr>
        <w:jc w:val="both"/>
        <w:rPr>
          <w:rFonts w:ascii="Arial" w:hAnsi="Arial" w:cs="Arial"/>
        </w:rPr>
      </w:pPr>
    </w:p>
    <w:p w14:paraId="28261F13" w14:textId="77777777" w:rsidR="00901108" w:rsidRDefault="00901108" w:rsidP="00901108">
      <w:pPr>
        <w:jc w:val="both"/>
        <w:rPr>
          <w:rFonts w:ascii="Arial" w:hAnsi="Arial" w:cs="Arial"/>
        </w:rPr>
      </w:pPr>
      <w:r>
        <w:rPr>
          <w:rFonts w:ascii="Arial" w:hAnsi="Arial" w:cs="Arial"/>
        </w:rPr>
        <w:t xml:space="preserve">This is of particular relevance in oligopolistic markets.  </w:t>
      </w:r>
    </w:p>
    <w:p w14:paraId="0E6B1F19" w14:textId="005BA2E0" w:rsidR="00901108" w:rsidRDefault="007A2962" w:rsidP="007A2962">
      <w:pPr>
        <w:tabs>
          <w:tab w:val="left" w:pos="3707"/>
        </w:tabs>
        <w:jc w:val="both"/>
        <w:rPr>
          <w:rFonts w:ascii="Arial" w:hAnsi="Arial" w:cs="Arial"/>
        </w:rPr>
      </w:pPr>
      <w:r>
        <w:rPr>
          <w:rFonts w:ascii="Arial" w:hAnsi="Arial" w:cs="Arial"/>
        </w:rPr>
        <w:tab/>
      </w:r>
    </w:p>
    <w:p w14:paraId="0F296D77" w14:textId="1B5A46F8" w:rsidR="00901108" w:rsidRDefault="00901108" w:rsidP="00901108">
      <w:pPr>
        <w:jc w:val="both"/>
        <w:rPr>
          <w:rFonts w:ascii="Arial" w:hAnsi="Arial" w:cs="Arial"/>
        </w:rPr>
      </w:pPr>
      <w:r>
        <w:rPr>
          <w:rFonts w:ascii="Arial" w:hAnsi="Arial" w:cs="Arial"/>
        </w:rPr>
        <w:t>The price signal</w:t>
      </w:r>
      <w:r w:rsidR="000B5226">
        <w:rPr>
          <w:rFonts w:ascii="Arial" w:hAnsi="Arial" w:cs="Arial"/>
        </w:rPr>
        <w:t>l</w:t>
      </w:r>
      <w:r>
        <w:rPr>
          <w:rFonts w:ascii="Arial" w:hAnsi="Arial" w:cs="Arial"/>
        </w:rPr>
        <w:t>ing provisions introduced in</w:t>
      </w:r>
      <w:r w:rsidR="00755C60">
        <w:rPr>
          <w:rFonts w:ascii="Arial" w:hAnsi="Arial" w:cs="Arial"/>
        </w:rPr>
        <w:t xml:space="preserve"> 2012 </w:t>
      </w:r>
      <w:r>
        <w:rPr>
          <w:rFonts w:ascii="Arial" w:hAnsi="Arial" w:cs="Arial"/>
        </w:rPr>
        <w:t>which were applicable only to the banking sect</w:t>
      </w:r>
      <w:r w:rsidR="00755C60">
        <w:rPr>
          <w:rFonts w:ascii="Arial" w:hAnsi="Arial" w:cs="Arial"/>
        </w:rPr>
        <w:t xml:space="preserve">or have been removed as they are now </w:t>
      </w:r>
      <w:r>
        <w:rPr>
          <w:rFonts w:ascii="Arial" w:hAnsi="Arial" w:cs="Arial"/>
        </w:rPr>
        <w:t>considered unnecessary with the introduction of a prohibition against concerted practices.</w:t>
      </w:r>
    </w:p>
    <w:p w14:paraId="4C639A74" w14:textId="77777777" w:rsidR="00901108" w:rsidRDefault="00901108" w:rsidP="00901108">
      <w:pPr>
        <w:jc w:val="both"/>
        <w:rPr>
          <w:rFonts w:ascii="Arial" w:hAnsi="Arial" w:cs="Arial"/>
        </w:rPr>
      </w:pPr>
    </w:p>
    <w:p w14:paraId="167EBD59" w14:textId="77777777" w:rsidR="00EE7CE1" w:rsidRDefault="00EE7CE1" w:rsidP="00901108">
      <w:pPr>
        <w:jc w:val="both"/>
        <w:rPr>
          <w:rFonts w:ascii="Arial" w:hAnsi="Arial" w:cs="Arial"/>
        </w:rPr>
      </w:pPr>
    </w:p>
    <w:p w14:paraId="1732B80E" w14:textId="77777777" w:rsidR="00EE7CE1" w:rsidRDefault="00EE7CE1" w:rsidP="00901108">
      <w:pPr>
        <w:jc w:val="both"/>
        <w:rPr>
          <w:rFonts w:ascii="Arial" w:hAnsi="Arial" w:cs="Arial"/>
        </w:rPr>
      </w:pPr>
    </w:p>
    <w:p w14:paraId="0FCBB7D2" w14:textId="77777777" w:rsidR="00EE7CE1" w:rsidRDefault="00EE7CE1" w:rsidP="00901108">
      <w:pPr>
        <w:jc w:val="both"/>
        <w:rPr>
          <w:rFonts w:ascii="Arial" w:hAnsi="Arial" w:cs="Arial"/>
        </w:rPr>
      </w:pPr>
    </w:p>
    <w:p w14:paraId="01D2C123" w14:textId="2ED62F81" w:rsidR="00901108" w:rsidRPr="00A73A2D" w:rsidRDefault="00901108" w:rsidP="00A73A2D">
      <w:pPr>
        <w:pStyle w:val="ListParagraph"/>
        <w:numPr>
          <w:ilvl w:val="0"/>
          <w:numId w:val="38"/>
        </w:numPr>
        <w:jc w:val="both"/>
        <w:rPr>
          <w:rFonts w:ascii="Arial" w:hAnsi="Arial" w:cs="Arial"/>
          <w:i/>
          <w:color w:val="0070C0"/>
        </w:rPr>
      </w:pPr>
      <w:r w:rsidRPr="00A73A2D">
        <w:rPr>
          <w:rFonts w:ascii="Arial" w:hAnsi="Arial" w:cs="Arial"/>
          <w:i/>
          <w:color w:val="0070C0"/>
        </w:rPr>
        <w:lastRenderedPageBreak/>
        <w:t xml:space="preserve">Mergers </w:t>
      </w:r>
    </w:p>
    <w:p w14:paraId="2C6D4E0A" w14:textId="77777777" w:rsidR="00901108" w:rsidRPr="00901108" w:rsidRDefault="00901108" w:rsidP="00901108">
      <w:pPr>
        <w:jc w:val="both"/>
        <w:rPr>
          <w:rFonts w:ascii="Arial" w:hAnsi="Arial" w:cs="Arial"/>
        </w:rPr>
      </w:pPr>
    </w:p>
    <w:p w14:paraId="5BCCCF4D" w14:textId="368D875E" w:rsidR="00A4742C" w:rsidRPr="004164DB" w:rsidRDefault="00901108" w:rsidP="004164DB">
      <w:pPr>
        <w:jc w:val="both"/>
        <w:rPr>
          <w:rFonts w:ascii="Arial" w:hAnsi="Arial" w:cs="Arial"/>
        </w:rPr>
      </w:pPr>
      <w:r>
        <w:rPr>
          <w:rFonts w:ascii="Arial" w:hAnsi="Arial" w:cs="Arial"/>
        </w:rPr>
        <w:t xml:space="preserve">The </w:t>
      </w:r>
      <w:proofErr w:type="spellStart"/>
      <w:r>
        <w:rPr>
          <w:rFonts w:ascii="Arial" w:hAnsi="Arial" w:cs="Arial"/>
        </w:rPr>
        <w:t>ACCC</w:t>
      </w:r>
      <w:proofErr w:type="spellEnd"/>
      <w:r>
        <w:rPr>
          <w:rFonts w:ascii="Arial" w:hAnsi="Arial" w:cs="Arial"/>
        </w:rPr>
        <w:t xml:space="preserve"> continues to have the ability to assess </w:t>
      </w:r>
      <w:proofErr w:type="spellStart"/>
      <w:r>
        <w:rPr>
          <w:rFonts w:ascii="Arial" w:hAnsi="Arial" w:cs="Arial"/>
        </w:rPr>
        <w:t>anti-competitive</w:t>
      </w:r>
      <w:proofErr w:type="spellEnd"/>
      <w:r>
        <w:rPr>
          <w:rFonts w:ascii="Arial" w:hAnsi="Arial" w:cs="Arial"/>
        </w:rPr>
        <w:t xml:space="preserve"> m</w:t>
      </w:r>
      <w:r w:rsidR="00DA5690" w:rsidRPr="00901108">
        <w:rPr>
          <w:rFonts w:ascii="Arial" w:hAnsi="Arial" w:cs="Arial"/>
        </w:rPr>
        <w:t xml:space="preserve">ergers </w:t>
      </w:r>
      <w:r>
        <w:rPr>
          <w:rFonts w:ascii="Arial" w:hAnsi="Arial" w:cs="Arial"/>
        </w:rPr>
        <w:t>and acquisitions under section 50.  Mergers in the post-</w:t>
      </w:r>
      <w:proofErr w:type="spellStart"/>
      <w:r>
        <w:rPr>
          <w:rFonts w:ascii="Arial" w:hAnsi="Arial" w:cs="Arial"/>
        </w:rPr>
        <w:t>GFC</w:t>
      </w:r>
      <w:proofErr w:type="spellEnd"/>
      <w:r>
        <w:rPr>
          <w:rFonts w:ascii="Arial" w:hAnsi="Arial" w:cs="Arial"/>
        </w:rPr>
        <w:t xml:space="preserve"> environment may be assessed more cautiously than in the late </w:t>
      </w:r>
      <w:proofErr w:type="spellStart"/>
      <w:r>
        <w:rPr>
          <w:rFonts w:ascii="Arial" w:hAnsi="Arial" w:cs="Arial"/>
        </w:rPr>
        <w:t>2000s</w:t>
      </w:r>
      <w:proofErr w:type="spellEnd"/>
      <w:r>
        <w:rPr>
          <w:rFonts w:ascii="Arial" w:hAnsi="Arial" w:cs="Arial"/>
        </w:rPr>
        <w:t>.</w:t>
      </w:r>
    </w:p>
    <w:p w14:paraId="4EB414B2" w14:textId="77777777" w:rsidR="00A4742C" w:rsidRDefault="00A4742C" w:rsidP="006564FE"/>
    <w:p w14:paraId="71050384" w14:textId="51906BCC" w:rsidR="006564FE" w:rsidRPr="00EA24E7" w:rsidRDefault="006564FE" w:rsidP="00544BC5">
      <w:pPr>
        <w:pStyle w:val="ListParagraph"/>
        <w:numPr>
          <w:ilvl w:val="0"/>
          <w:numId w:val="36"/>
        </w:numPr>
        <w:rPr>
          <w:rFonts w:ascii="Arial" w:hAnsi="Arial" w:cs="Arial"/>
          <w:b/>
          <w:color w:val="0070C0"/>
        </w:rPr>
      </w:pPr>
      <w:r w:rsidRPr="00EA24E7">
        <w:rPr>
          <w:rFonts w:ascii="Arial" w:hAnsi="Arial" w:cs="Arial"/>
          <w:b/>
          <w:color w:val="0070C0"/>
        </w:rPr>
        <w:t>Issues specific to SMEs</w:t>
      </w:r>
    </w:p>
    <w:p w14:paraId="2C845152" w14:textId="73F8232A" w:rsidR="00EA24E7" w:rsidRDefault="00EA24E7" w:rsidP="00EA24E7">
      <w:pPr>
        <w:rPr>
          <w:b/>
          <w:color w:val="0070C0"/>
        </w:rPr>
      </w:pPr>
    </w:p>
    <w:p w14:paraId="1169F3B4" w14:textId="716A3F41" w:rsidR="00EA24E7" w:rsidRPr="00755C60" w:rsidRDefault="00EA24E7" w:rsidP="00EA24E7">
      <w:pPr>
        <w:rPr>
          <w:rFonts w:ascii="Arial" w:hAnsi="Arial" w:cs="Arial"/>
          <w:i/>
          <w:color w:val="0070C0"/>
        </w:rPr>
      </w:pPr>
      <w:r w:rsidRPr="00755C60">
        <w:rPr>
          <w:rFonts w:ascii="Arial" w:hAnsi="Arial" w:cs="Arial"/>
          <w:i/>
          <w:color w:val="0070C0"/>
        </w:rPr>
        <w:t xml:space="preserve">What is a ‘small business’? </w:t>
      </w:r>
    </w:p>
    <w:p w14:paraId="1002CAB8" w14:textId="77777777" w:rsidR="00EA24E7" w:rsidRPr="00EA24E7" w:rsidRDefault="00EA24E7" w:rsidP="00EA24E7">
      <w:pPr>
        <w:rPr>
          <w:i/>
          <w:color w:val="0070C0"/>
        </w:rPr>
      </w:pPr>
    </w:p>
    <w:p w14:paraId="5F0F79EB" w14:textId="345C3B2A" w:rsidR="00EA24E7" w:rsidRDefault="00EA24E7" w:rsidP="00EA24E7">
      <w:pPr>
        <w:jc w:val="both"/>
        <w:rPr>
          <w:rFonts w:ascii="Arial" w:hAnsi="Arial" w:cs="Arial"/>
        </w:rPr>
      </w:pPr>
      <w:r w:rsidRPr="00EA24E7">
        <w:rPr>
          <w:rFonts w:ascii="Arial" w:hAnsi="Arial" w:cs="Arial"/>
        </w:rPr>
        <w:t>The IPA notes the Productivity Commission</w:t>
      </w:r>
      <w:r>
        <w:rPr>
          <w:rFonts w:ascii="Arial" w:hAnsi="Arial" w:cs="Arial"/>
        </w:rPr>
        <w:t>’s reference to</w:t>
      </w:r>
      <w:r w:rsidRPr="00EA24E7">
        <w:rPr>
          <w:rFonts w:ascii="Arial" w:hAnsi="Arial" w:cs="Arial"/>
        </w:rPr>
        <w:t xml:space="preserve"> </w:t>
      </w:r>
      <w:r>
        <w:rPr>
          <w:rFonts w:ascii="Arial" w:hAnsi="Arial" w:cs="Arial"/>
        </w:rPr>
        <w:t xml:space="preserve">inconsistent definitions of ‘small business’ as between the ABS, </w:t>
      </w:r>
      <w:proofErr w:type="spellStart"/>
      <w:r>
        <w:rPr>
          <w:rFonts w:ascii="Arial" w:hAnsi="Arial" w:cs="Arial"/>
        </w:rPr>
        <w:t>ATO</w:t>
      </w:r>
      <w:proofErr w:type="spellEnd"/>
      <w:r>
        <w:rPr>
          <w:rFonts w:ascii="Arial" w:hAnsi="Arial" w:cs="Arial"/>
        </w:rPr>
        <w:t xml:space="preserve">, APRA, RBA and lenders (page 250). </w:t>
      </w:r>
    </w:p>
    <w:p w14:paraId="2A3D6D8F" w14:textId="11A0E25D" w:rsidR="00EA24E7" w:rsidRDefault="00EA24E7" w:rsidP="00EA24E7">
      <w:pPr>
        <w:rPr>
          <w:rFonts w:ascii="Arial" w:hAnsi="Arial" w:cs="Arial"/>
        </w:rPr>
      </w:pPr>
    </w:p>
    <w:p w14:paraId="779918BE" w14:textId="07987FA2" w:rsidR="00EA24E7" w:rsidRPr="00EA24E7" w:rsidRDefault="00EA24E7" w:rsidP="00EA24E7">
      <w:pPr>
        <w:jc w:val="both"/>
        <w:rPr>
          <w:rFonts w:ascii="Arial" w:hAnsi="Arial" w:cs="Arial"/>
          <w:lang w:val="en-US"/>
        </w:rPr>
      </w:pPr>
      <w:r>
        <w:rPr>
          <w:rFonts w:ascii="Arial" w:hAnsi="Arial" w:cs="Arial"/>
        </w:rPr>
        <w:t>In it</w:t>
      </w:r>
      <w:r w:rsidR="00D07506">
        <w:rPr>
          <w:rFonts w:ascii="Arial" w:hAnsi="Arial" w:cs="Arial"/>
        </w:rPr>
        <w:t>s</w:t>
      </w:r>
      <w:r>
        <w:rPr>
          <w:rFonts w:ascii="Arial" w:hAnsi="Arial" w:cs="Arial"/>
        </w:rPr>
        <w:t xml:space="preserve"> forthcoming </w:t>
      </w:r>
      <w:r w:rsidR="00EE7CE1">
        <w:rPr>
          <w:rFonts w:ascii="Arial" w:hAnsi="Arial" w:cs="Arial"/>
        </w:rPr>
        <w:t xml:space="preserve">Small Business </w:t>
      </w:r>
      <w:r>
        <w:rPr>
          <w:rFonts w:ascii="Arial" w:hAnsi="Arial" w:cs="Arial"/>
        </w:rPr>
        <w:t xml:space="preserve">White Paper </w:t>
      </w:r>
      <w:r w:rsidR="00EE7CE1">
        <w:rPr>
          <w:rFonts w:ascii="Arial" w:hAnsi="Arial" w:cs="Arial"/>
        </w:rPr>
        <w:t>2.0</w:t>
      </w:r>
      <w:r>
        <w:rPr>
          <w:rFonts w:ascii="Arial" w:hAnsi="Arial" w:cs="Arial"/>
        </w:rPr>
        <w:t xml:space="preserve">, the IPA identifies further inconsistent definitions of small business that exist within the </w:t>
      </w:r>
      <w:r w:rsidRPr="00EA24E7">
        <w:rPr>
          <w:rFonts w:ascii="Arial" w:hAnsi="Arial" w:cs="Arial"/>
          <w:i/>
        </w:rPr>
        <w:t>Competition and Consumer Act 2010</w:t>
      </w:r>
      <w:r w:rsidRPr="00EA24E7">
        <w:rPr>
          <w:rFonts w:ascii="Arial" w:hAnsi="Arial" w:cs="Arial"/>
        </w:rPr>
        <w:t>.  Based on extensive definitional work by the IPA</w:t>
      </w:r>
      <w:r w:rsidR="00EE7CE1">
        <w:rPr>
          <w:rFonts w:ascii="Arial" w:hAnsi="Arial" w:cs="Arial"/>
        </w:rPr>
        <w:t xml:space="preserve"> </w:t>
      </w:r>
      <w:r w:rsidRPr="00EA24E7">
        <w:rPr>
          <w:rFonts w:ascii="Arial" w:hAnsi="Arial" w:cs="Arial"/>
        </w:rPr>
        <w:t xml:space="preserve">Deakin SME Research Centre, the IPA </w:t>
      </w:r>
      <w:r w:rsidR="00EE7CE1">
        <w:rPr>
          <w:rFonts w:ascii="Arial" w:hAnsi="Arial" w:cs="Arial"/>
        </w:rPr>
        <w:t>is</w:t>
      </w:r>
      <w:r w:rsidRPr="00EA24E7">
        <w:rPr>
          <w:rFonts w:ascii="Arial" w:hAnsi="Arial" w:cs="Arial"/>
        </w:rPr>
        <w:t xml:space="preserve"> of the view that one definition</w:t>
      </w:r>
      <w:r>
        <w:rPr>
          <w:rFonts w:ascii="Arial" w:hAnsi="Arial" w:cs="Arial"/>
        </w:rPr>
        <w:t xml:space="preserve"> of ‘small business’ should be used as far as possible.  </w:t>
      </w:r>
      <w:r w:rsidRPr="00EA24E7">
        <w:rPr>
          <w:rFonts w:ascii="Arial" w:hAnsi="Arial" w:cs="Arial"/>
        </w:rPr>
        <w:t xml:space="preserve">Ideally, a definition that is consistent with the </w:t>
      </w:r>
      <w:proofErr w:type="spellStart"/>
      <w:r w:rsidRPr="00EA24E7">
        <w:rPr>
          <w:rFonts w:ascii="Arial" w:hAnsi="Arial" w:cs="Arial"/>
        </w:rPr>
        <w:t>ATO</w:t>
      </w:r>
      <w:proofErr w:type="spellEnd"/>
      <w:r w:rsidRPr="00EA24E7">
        <w:rPr>
          <w:rFonts w:ascii="Arial" w:hAnsi="Arial" w:cs="Arial"/>
        </w:rPr>
        <w:t xml:space="preserve"> and ABS commonly used classifications would be helpful to small business.</w:t>
      </w:r>
    </w:p>
    <w:p w14:paraId="36093DC7" w14:textId="18DCF0DE" w:rsidR="006564FE" w:rsidRDefault="006564FE" w:rsidP="006564FE">
      <w:pPr>
        <w:pStyle w:val="ListParagraph"/>
        <w:rPr>
          <w:highlight w:val="yellow"/>
        </w:rPr>
      </w:pPr>
    </w:p>
    <w:p w14:paraId="796B00EA" w14:textId="26CBF949" w:rsidR="00EA24E7" w:rsidRPr="00755C60" w:rsidRDefault="00EA24E7" w:rsidP="00EA24E7">
      <w:pPr>
        <w:rPr>
          <w:rFonts w:ascii="Arial" w:hAnsi="Arial" w:cs="Arial"/>
          <w:i/>
          <w:color w:val="0070C0"/>
        </w:rPr>
      </w:pPr>
      <w:r w:rsidRPr="00755C60">
        <w:rPr>
          <w:rFonts w:ascii="Arial" w:hAnsi="Arial" w:cs="Arial"/>
          <w:i/>
          <w:color w:val="0070C0"/>
        </w:rPr>
        <w:t xml:space="preserve">Better representation for small business </w:t>
      </w:r>
    </w:p>
    <w:p w14:paraId="6F11462B" w14:textId="580429F2" w:rsidR="00EA24E7" w:rsidRDefault="00EA24E7" w:rsidP="00EA24E7">
      <w:pPr>
        <w:rPr>
          <w:b/>
          <w:highlight w:val="yellow"/>
        </w:rPr>
      </w:pPr>
    </w:p>
    <w:p w14:paraId="271CC01C" w14:textId="01492E03" w:rsidR="00755C60" w:rsidRPr="00755C60" w:rsidRDefault="00755C60" w:rsidP="00480318">
      <w:pPr>
        <w:jc w:val="both"/>
        <w:rPr>
          <w:rFonts w:ascii="Arial" w:hAnsi="Arial" w:cs="Arial"/>
        </w:rPr>
      </w:pPr>
      <w:r>
        <w:rPr>
          <w:rFonts w:ascii="Arial" w:hAnsi="Arial" w:cs="Arial"/>
        </w:rPr>
        <w:t>In it</w:t>
      </w:r>
      <w:r w:rsidR="00D07506">
        <w:rPr>
          <w:rFonts w:ascii="Arial" w:hAnsi="Arial" w:cs="Arial"/>
        </w:rPr>
        <w:t>s</w:t>
      </w:r>
      <w:r>
        <w:rPr>
          <w:rFonts w:ascii="Arial" w:hAnsi="Arial" w:cs="Arial"/>
        </w:rPr>
        <w:t xml:space="preserve"> forthcoming </w:t>
      </w:r>
      <w:r w:rsidR="00EE7CE1">
        <w:rPr>
          <w:rFonts w:ascii="Arial" w:hAnsi="Arial" w:cs="Arial"/>
        </w:rPr>
        <w:t xml:space="preserve">Small Business </w:t>
      </w:r>
      <w:r>
        <w:rPr>
          <w:rFonts w:ascii="Arial" w:hAnsi="Arial" w:cs="Arial"/>
        </w:rPr>
        <w:t xml:space="preserve">White Paper </w:t>
      </w:r>
      <w:r w:rsidR="00EE7CE1">
        <w:rPr>
          <w:rFonts w:ascii="Arial" w:hAnsi="Arial" w:cs="Arial"/>
        </w:rPr>
        <w:t>2.0</w:t>
      </w:r>
      <w:r>
        <w:rPr>
          <w:rFonts w:ascii="Arial" w:hAnsi="Arial" w:cs="Arial"/>
        </w:rPr>
        <w:t>, the IPA argues that t</w:t>
      </w:r>
      <w:r w:rsidRPr="00755C60">
        <w:rPr>
          <w:rFonts w:ascii="Arial" w:hAnsi="Arial" w:cs="Arial"/>
        </w:rPr>
        <w:t xml:space="preserve">he small business community will feel better represented and understood by regulators if there is a representative from the small business community holding a significant office. </w:t>
      </w:r>
    </w:p>
    <w:p w14:paraId="1502A7E6" w14:textId="77777777" w:rsidR="00755C60" w:rsidRPr="00755C60" w:rsidRDefault="00755C60" w:rsidP="00755C60">
      <w:pPr>
        <w:jc w:val="both"/>
        <w:rPr>
          <w:rFonts w:ascii="Arial" w:hAnsi="Arial" w:cs="Arial"/>
        </w:rPr>
      </w:pPr>
    </w:p>
    <w:p w14:paraId="21EFDF19" w14:textId="77777777" w:rsidR="00755C60" w:rsidRPr="00755C60" w:rsidRDefault="00755C60" w:rsidP="00755C60">
      <w:pPr>
        <w:jc w:val="both"/>
        <w:rPr>
          <w:rFonts w:ascii="Arial" w:hAnsi="Arial" w:cs="Arial"/>
        </w:rPr>
      </w:pPr>
      <w:r w:rsidRPr="00755C60">
        <w:rPr>
          <w:rFonts w:ascii="Arial" w:hAnsi="Arial" w:cs="Arial"/>
        </w:rPr>
        <w:t xml:space="preserve">Since 2008, one of the two </w:t>
      </w:r>
      <w:proofErr w:type="spellStart"/>
      <w:r w:rsidRPr="00755C60">
        <w:rPr>
          <w:rFonts w:ascii="Arial" w:hAnsi="Arial" w:cs="Arial"/>
        </w:rPr>
        <w:t>ACCC</w:t>
      </w:r>
      <w:proofErr w:type="spellEnd"/>
      <w:r w:rsidRPr="00755C60">
        <w:rPr>
          <w:rFonts w:ascii="Arial" w:hAnsi="Arial" w:cs="Arial"/>
        </w:rPr>
        <w:t xml:space="preserve"> Deputy Chairpersons has been required to have small business expertise (section 10(</w:t>
      </w:r>
      <w:proofErr w:type="spellStart"/>
      <w:r w:rsidRPr="00755C60">
        <w:rPr>
          <w:rFonts w:ascii="Arial" w:hAnsi="Arial" w:cs="Arial"/>
        </w:rPr>
        <w:t>1B</w:t>
      </w:r>
      <w:proofErr w:type="spellEnd"/>
      <w:r w:rsidRPr="00755C60">
        <w:rPr>
          <w:rFonts w:ascii="Arial" w:hAnsi="Arial" w:cs="Arial"/>
        </w:rPr>
        <w:t xml:space="preserve">) </w:t>
      </w:r>
      <w:proofErr w:type="spellStart"/>
      <w:r w:rsidRPr="00755C60">
        <w:rPr>
          <w:rFonts w:ascii="Arial" w:hAnsi="Arial" w:cs="Arial"/>
        </w:rPr>
        <w:t>CCA</w:t>
      </w:r>
      <w:proofErr w:type="spellEnd"/>
      <w:r w:rsidRPr="00755C60">
        <w:rPr>
          <w:rFonts w:ascii="Arial" w:hAnsi="Arial" w:cs="Arial"/>
        </w:rPr>
        <w:t xml:space="preserve">). The introduction of this expertise has resulted in a significant improvement to the focus on, and information available to, small businesses in relation to competition and consumer law. For example, the </w:t>
      </w:r>
      <w:proofErr w:type="spellStart"/>
      <w:r w:rsidRPr="00755C60">
        <w:rPr>
          <w:rFonts w:ascii="Arial" w:hAnsi="Arial" w:cs="Arial"/>
        </w:rPr>
        <w:t>ACCC</w:t>
      </w:r>
      <w:proofErr w:type="spellEnd"/>
      <w:r w:rsidRPr="00755C60">
        <w:rPr>
          <w:rFonts w:ascii="Arial" w:hAnsi="Arial" w:cs="Arial"/>
        </w:rPr>
        <w:t xml:space="preserve"> has published a </w:t>
      </w:r>
      <w:r w:rsidRPr="00755C60">
        <w:rPr>
          <w:rFonts w:ascii="Arial" w:hAnsi="Arial" w:cs="Arial"/>
          <w:i/>
        </w:rPr>
        <w:t>Small Business in Focus</w:t>
      </w:r>
      <w:r w:rsidRPr="00755C60">
        <w:rPr>
          <w:rFonts w:ascii="Arial" w:hAnsi="Arial" w:cs="Arial"/>
        </w:rPr>
        <w:t xml:space="preserve"> report twice yearly since 1 July 2010, a range of publications targeted at small business such as </w:t>
      </w:r>
      <w:r w:rsidRPr="00755C60">
        <w:rPr>
          <w:rFonts w:ascii="Arial" w:hAnsi="Arial" w:cs="Arial"/>
          <w:i/>
          <w:color w:val="363535"/>
          <w:shd w:val="clear" w:color="auto" w:fill="FFFFFF"/>
          <w:lang w:eastAsia="en-GB"/>
        </w:rPr>
        <w:t>Small business &amp; the Competition and Consumer Act</w:t>
      </w:r>
      <w:r w:rsidRPr="00755C60">
        <w:rPr>
          <w:rFonts w:ascii="Arial" w:hAnsi="Arial" w:cs="Arial"/>
          <w:color w:val="363535"/>
          <w:shd w:val="clear" w:color="auto" w:fill="FFFFFF"/>
          <w:lang w:eastAsia="en-GB"/>
        </w:rPr>
        <w:t xml:space="preserve"> (</w:t>
      </w:r>
      <w:hyperlink r:id="rId18" w:history="1">
        <w:r w:rsidRPr="00755C60">
          <w:rPr>
            <w:rStyle w:val="Hyperlink"/>
            <w:rFonts w:ascii="Arial" w:hAnsi="Arial" w:cs="Arial"/>
          </w:rPr>
          <w:t>https://www.accc.gov.au/publications/small-business-the-competition-and-consumer-act</w:t>
        </w:r>
      </w:hyperlink>
      <w:r w:rsidRPr="00755C60">
        <w:rPr>
          <w:rFonts w:ascii="Arial" w:hAnsi="Arial" w:cs="Arial"/>
        </w:rPr>
        <w:t xml:space="preserve">) </w:t>
      </w:r>
      <w:r w:rsidRPr="00755C60">
        <w:rPr>
          <w:rFonts w:ascii="Arial" w:hAnsi="Arial" w:cs="Arial"/>
          <w:color w:val="363535"/>
          <w:shd w:val="clear" w:color="auto" w:fill="FFFFFF"/>
          <w:lang w:eastAsia="en-GB"/>
        </w:rPr>
        <w:t xml:space="preserve">and </w:t>
      </w:r>
      <w:r w:rsidRPr="00755C60">
        <w:rPr>
          <w:rFonts w:ascii="Arial" w:hAnsi="Arial" w:cs="Arial"/>
          <w:i/>
          <w:color w:val="363535"/>
          <w:shd w:val="clear" w:color="auto" w:fill="FFFFFF"/>
          <w:lang w:eastAsia="en-GB"/>
        </w:rPr>
        <w:t>The benefits of working with other small businesses: collective bargaining and collective boycotts</w:t>
      </w:r>
      <w:r w:rsidRPr="00755C60">
        <w:rPr>
          <w:rFonts w:ascii="Arial" w:hAnsi="Arial" w:cs="Arial"/>
          <w:color w:val="363535"/>
          <w:shd w:val="clear" w:color="auto" w:fill="FFFFFF"/>
          <w:lang w:eastAsia="en-GB"/>
        </w:rPr>
        <w:t xml:space="preserve"> (see </w:t>
      </w:r>
      <w:hyperlink r:id="rId19" w:history="1">
        <w:r w:rsidRPr="00755C60">
          <w:rPr>
            <w:rStyle w:val="Hyperlink"/>
            <w:rFonts w:ascii="Arial" w:hAnsi="Arial" w:cs="Arial"/>
          </w:rPr>
          <w:t>https://www.accc.gov.au/publications/the-benefits-of-working-with-other-small-businesses-collective-bargaining-and-collective-boycotts</w:t>
        </w:r>
      </w:hyperlink>
      <w:r w:rsidRPr="00755C60">
        <w:rPr>
          <w:rFonts w:ascii="Arial" w:hAnsi="Arial" w:cs="Arial"/>
        </w:rPr>
        <w:t xml:space="preserve">) </w:t>
      </w:r>
      <w:r w:rsidRPr="00755C60">
        <w:rPr>
          <w:rFonts w:ascii="Arial" w:hAnsi="Arial" w:cs="Arial"/>
          <w:color w:val="363535"/>
          <w:shd w:val="clear" w:color="auto" w:fill="FFFFFF"/>
          <w:lang w:eastAsia="en-GB"/>
        </w:rPr>
        <w:t xml:space="preserve">and has a Small Business and Franchising Consultative Committee chaired by the </w:t>
      </w:r>
      <w:proofErr w:type="spellStart"/>
      <w:r w:rsidRPr="00755C60">
        <w:rPr>
          <w:rFonts w:ascii="Arial" w:hAnsi="Arial" w:cs="Arial"/>
          <w:color w:val="363535"/>
          <w:shd w:val="clear" w:color="auto" w:fill="FFFFFF"/>
          <w:lang w:eastAsia="en-GB"/>
        </w:rPr>
        <w:t>ACCC</w:t>
      </w:r>
      <w:proofErr w:type="spellEnd"/>
      <w:r w:rsidRPr="00755C60">
        <w:rPr>
          <w:rFonts w:ascii="Arial" w:hAnsi="Arial" w:cs="Arial"/>
          <w:color w:val="363535"/>
          <w:shd w:val="clear" w:color="auto" w:fill="FFFFFF"/>
          <w:lang w:eastAsia="en-GB"/>
        </w:rPr>
        <w:t xml:space="preserve"> Deputy Chair responsible for small business. </w:t>
      </w:r>
    </w:p>
    <w:p w14:paraId="0A4E92EF" w14:textId="77777777" w:rsidR="00755C60" w:rsidRPr="00755C60" w:rsidRDefault="00755C60" w:rsidP="00755C60">
      <w:pPr>
        <w:jc w:val="both"/>
        <w:rPr>
          <w:rFonts w:ascii="Arial" w:hAnsi="Arial" w:cs="Arial"/>
        </w:rPr>
      </w:pPr>
    </w:p>
    <w:p w14:paraId="03678DEE" w14:textId="317B2E93" w:rsidR="00755C60" w:rsidRDefault="00755C60" w:rsidP="00755C60">
      <w:pPr>
        <w:jc w:val="both"/>
        <w:rPr>
          <w:rFonts w:ascii="Arial" w:hAnsi="Arial" w:cs="Arial"/>
        </w:rPr>
      </w:pPr>
      <w:r w:rsidRPr="00755C60">
        <w:rPr>
          <w:rFonts w:ascii="Arial" w:hAnsi="Arial" w:cs="Arial"/>
        </w:rPr>
        <w:lastRenderedPageBreak/>
        <w:t>Other regulatory bodies that could benefit from having a similar arrangement</w:t>
      </w:r>
      <w:r w:rsidR="000B5226">
        <w:rPr>
          <w:rFonts w:ascii="Arial" w:hAnsi="Arial" w:cs="Arial"/>
        </w:rPr>
        <w:t xml:space="preserve"> in the</w:t>
      </w:r>
      <w:r w:rsidR="00D07506">
        <w:rPr>
          <w:rFonts w:ascii="Arial" w:hAnsi="Arial" w:cs="Arial"/>
        </w:rPr>
        <w:t xml:space="preserve"> context</w:t>
      </w:r>
      <w:r w:rsidR="000B5226">
        <w:rPr>
          <w:rFonts w:ascii="Arial" w:hAnsi="Arial" w:cs="Arial"/>
        </w:rPr>
        <w:t xml:space="preserve"> of the financial system</w:t>
      </w:r>
      <w:r w:rsidR="00D07506">
        <w:rPr>
          <w:rFonts w:ascii="Arial" w:hAnsi="Arial" w:cs="Arial"/>
        </w:rPr>
        <w:t xml:space="preserve"> </w:t>
      </w:r>
      <w:r w:rsidRPr="00755C60">
        <w:rPr>
          <w:rFonts w:ascii="Arial" w:hAnsi="Arial" w:cs="Arial"/>
        </w:rPr>
        <w:t xml:space="preserve">include </w:t>
      </w:r>
      <w:r w:rsidR="00EE7CE1">
        <w:rPr>
          <w:rFonts w:ascii="Arial" w:hAnsi="Arial" w:cs="Arial"/>
        </w:rPr>
        <w:t>ASIC</w:t>
      </w:r>
      <w:r w:rsidR="00D07506">
        <w:rPr>
          <w:rFonts w:ascii="Arial" w:hAnsi="Arial" w:cs="Arial"/>
        </w:rPr>
        <w:t xml:space="preserve"> and </w:t>
      </w:r>
      <w:r w:rsidRPr="00755C60">
        <w:rPr>
          <w:rFonts w:ascii="Arial" w:hAnsi="Arial" w:cs="Arial"/>
        </w:rPr>
        <w:t>the Reserve Bank of Australia (RBA)</w:t>
      </w:r>
      <w:r w:rsidR="00D07506">
        <w:rPr>
          <w:rFonts w:ascii="Arial" w:hAnsi="Arial" w:cs="Arial"/>
        </w:rPr>
        <w:t xml:space="preserve">.  An SME representative on these bodies would also </w:t>
      </w:r>
      <w:r w:rsidR="000B5226">
        <w:rPr>
          <w:rFonts w:ascii="Arial" w:hAnsi="Arial" w:cs="Arial"/>
        </w:rPr>
        <w:t xml:space="preserve">provide valuable input to </w:t>
      </w:r>
      <w:r w:rsidR="00D07506">
        <w:rPr>
          <w:rFonts w:ascii="Arial" w:hAnsi="Arial" w:cs="Arial"/>
        </w:rPr>
        <w:t>the Council of Financial Regulators</w:t>
      </w:r>
      <w:r w:rsidR="000B5226">
        <w:rPr>
          <w:rFonts w:ascii="Arial" w:hAnsi="Arial" w:cs="Arial"/>
        </w:rPr>
        <w:t xml:space="preserve"> (discussed below)</w:t>
      </w:r>
      <w:r w:rsidR="00D07506">
        <w:rPr>
          <w:rFonts w:ascii="Arial" w:hAnsi="Arial" w:cs="Arial"/>
        </w:rPr>
        <w:t xml:space="preserve">. </w:t>
      </w:r>
    </w:p>
    <w:p w14:paraId="77A33DD8" w14:textId="4C887324" w:rsidR="007A2962" w:rsidRDefault="007A2962" w:rsidP="00755C60">
      <w:pPr>
        <w:jc w:val="both"/>
        <w:rPr>
          <w:rFonts w:ascii="Arial" w:hAnsi="Arial" w:cs="Arial"/>
        </w:rPr>
      </w:pPr>
    </w:p>
    <w:p w14:paraId="1B8F08A7" w14:textId="14B0CD12" w:rsidR="006564FE" w:rsidRPr="00480318" w:rsidRDefault="006564FE" w:rsidP="00544BC5">
      <w:pPr>
        <w:pStyle w:val="ListParagraph"/>
        <w:numPr>
          <w:ilvl w:val="0"/>
          <w:numId w:val="36"/>
        </w:numPr>
        <w:rPr>
          <w:rFonts w:ascii="Arial" w:hAnsi="Arial" w:cs="Arial"/>
          <w:b/>
          <w:color w:val="0070C0"/>
        </w:rPr>
      </w:pPr>
      <w:r w:rsidRPr="00480318">
        <w:rPr>
          <w:rFonts w:ascii="Arial" w:hAnsi="Arial" w:cs="Arial"/>
          <w:b/>
          <w:color w:val="0070C0"/>
        </w:rPr>
        <w:t>Issues specific to Regulators</w:t>
      </w:r>
    </w:p>
    <w:p w14:paraId="594BA8A9" w14:textId="5AD14FC4" w:rsidR="006564FE" w:rsidRDefault="006564FE" w:rsidP="006564FE"/>
    <w:p w14:paraId="4693C1B2" w14:textId="68059553" w:rsidR="00755C60" w:rsidRPr="00755C60" w:rsidRDefault="00755C60" w:rsidP="00755C60">
      <w:pPr>
        <w:rPr>
          <w:rFonts w:ascii="Arial" w:hAnsi="Arial" w:cs="Arial"/>
          <w:i/>
          <w:color w:val="0070C0"/>
        </w:rPr>
      </w:pPr>
      <w:r>
        <w:rPr>
          <w:rFonts w:ascii="Arial" w:hAnsi="Arial" w:cs="Arial"/>
          <w:i/>
          <w:color w:val="0070C0"/>
        </w:rPr>
        <w:t xml:space="preserve">Council of Financial Regulators </w:t>
      </w:r>
      <w:r w:rsidR="00D07506">
        <w:rPr>
          <w:rFonts w:ascii="Arial" w:hAnsi="Arial" w:cs="Arial"/>
          <w:i/>
          <w:color w:val="0070C0"/>
        </w:rPr>
        <w:t xml:space="preserve">(CFR) </w:t>
      </w:r>
    </w:p>
    <w:p w14:paraId="053B1D9F" w14:textId="5C195E64" w:rsidR="00755C60" w:rsidRPr="00480318" w:rsidRDefault="00755C60" w:rsidP="006564FE">
      <w:pPr>
        <w:rPr>
          <w:rFonts w:ascii="Arial" w:hAnsi="Arial" w:cs="Arial"/>
        </w:rPr>
      </w:pPr>
    </w:p>
    <w:p w14:paraId="2E10CD0B" w14:textId="754B5E75" w:rsidR="00D07506" w:rsidRDefault="00D07506" w:rsidP="00480318">
      <w:pPr>
        <w:jc w:val="both"/>
        <w:rPr>
          <w:rFonts w:ascii="Arial" w:hAnsi="Arial" w:cs="Arial"/>
        </w:rPr>
      </w:pPr>
      <w:r w:rsidRPr="00480318">
        <w:rPr>
          <w:rFonts w:ascii="Arial" w:hAnsi="Arial" w:cs="Arial"/>
        </w:rPr>
        <w:t xml:space="preserve">The Productivity Commission </w:t>
      </w:r>
      <w:r>
        <w:rPr>
          <w:rFonts w:ascii="Arial" w:hAnsi="Arial" w:cs="Arial"/>
        </w:rPr>
        <w:t xml:space="preserve">has suggested that an independent body </w:t>
      </w:r>
      <w:r w:rsidR="00EE7CE1">
        <w:rPr>
          <w:rFonts w:ascii="Arial" w:hAnsi="Arial" w:cs="Arial"/>
        </w:rPr>
        <w:t xml:space="preserve">should </w:t>
      </w:r>
      <w:r>
        <w:rPr>
          <w:rFonts w:ascii="Arial" w:hAnsi="Arial" w:cs="Arial"/>
        </w:rPr>
        <w:t>provide an objective competition assessment of proposed interventions</w:t>
      </w:r>
      <w:r w:rsidR="000B5226">
        <w:rPr>
          <w:rFonts w:ascii="Arial" w:hAnsi="Arial" w:cs="Arial"/>
        </w:rPr>
        <w:t xml:space="preserve"> to the CFR</w:t>
      </w:r>
      <w:r>
        <w:rPr>
          <w:rFonts w:ascii="Arial" w:hAnsi="Arial" w:cs="Arial"/>
        </w:rPr>
        <w:t xml:space="preserve">.  The Commission has suggested either the </w:t>
      </w:r>
      <w:proofErr w:type="spellStart"/>
      <w:r>
        <w:rPr>
          <w:rFonts w:ascii="Arial" w:hAnsi="Arial" w:cs="Arial"/>
        </w:rPr>
        <w:t>ACCC</w:t>
      </w:r>
      <w:proofErr w:type="spellEnd"/>
      <w:r>
        <w:rPr>
          <w:rFonts w:ascii="Arial" w:hAnsi="Arial" w:cs="Arial"/>
        </w:rPr>
        <w:t xml:space="preserve"> or ASIC fulfil this role. </w:t>
      </w:r>
    </w:p>
    <w:p w14:paraId="1BE63AA4" w14:textId="024B6300" w:rsidR="00D07506" w:rsidRDefault="00D07506" w:rsidP="00480318">
      <w:pPr>
        <w:jc w:val="both"/>
        <w:rPr>
          <w:rFonts w:ascii="Arial" w:hAnsi="Arial" w:cs="Arial"/>
        </w:rPr>
      </w:pPr>
    </w:p>
    <w:p w14:paraId="21219799" w14:textId="14BCC78C" w:rsidR="00D07506" w:rsidRDefault="00D07506" w:rsidP="00480318">
      <w:pPr>
        <w:jc w:val="both"/>
        <w:rPr>
          <w:rFonts w:ascii="Arial" w:hAnsi="Arial" w:cs="Arial"/>
        </w:rPr>
      </w:pPr>
      <w:r>
        <w:rPr>
          <w:rFonts w:ascii="Arial" w:hAnsi="Arial" w:cs="Arial"/>
        </w:rPr>
        <w:t xml:space="preserve">The IPA believes the </w:t>
      </w:r>
      <w:proofErr w:type="spellStart"/>
      <w:r>
        <w:rPr>
          <w:rFonts w:ascii="Arial" w:hAnsi="Arial" w:cs="Arial"/>
        </w:rPr>
        <w:t>ACCC</w:t>
      </w:r>
      <w:proofErr w:type="spellEnd"/>
      <w:r>
        <w:rPr>
          <w:rFonts w:ascii="Arial" w:hAnsi="Arial" w:cs="Arial"/>
        </w:rPr>
        <w:t xml:space="preserve"> is more suitable to fulfil this role:</w:t>
      </w:r>
    </w:p>
    <w:p w14:paraId="0FED8AA5" w14:textId="4974BA7D" w:rsidR="000B5226" w:rsidRPr="000B5226" w:rsidRDefault="000B5226" w:rsidP="000B5226">
      <w:pPr>
        <w:jc w:val="both"/>
        <w:rPr>
          <w:rFonts w:ascii="Arial" w:hAnsi="Arial" w:cs="Arial"/>
        </w:rPr>
      </w:pPr>
    </w:p>
    <w:p w14:paraId="26EC8946" w14:textId="29A5391B" w:rsidR="000B5226" w:rsidRPr="000B5226" w:rsidRDefault="000B5226" w:rsidP="000B5226">
      <w:pPr>
        <w:pStyle w:val="ListParagraph"/>
        <w:numPr>
          <w:ilvl w:val="0"/>
          <w:numId w:val="29"/>
        </w:numPr>
        <w:suppressAutoHyphens/>
        <w:jc w:val="both"/>
        <w:rPr>
          <w:rFonts w:ascii="Arial" w:hAnsi="Arial" w:cs="Arial"/>
          <w:lang w:val="en-US" w:bidi="en-US"/>
        </w:rPr>
      </w:pPr>
      <w:r>
        <w:rPr>
          <w:rFonts w:ascii="Arial" w:hAnsi="Arial" w:cs="Arial"/>
        </w:rPr>
        <w:t xml:space="preserve">The </w:t>
      </w:r>
      <w:proofErr w:type="spellStart"/>
      <w:r>
        <w:rPr>
          <w:rFonts w:ascii="Arial" w:hAnsi="Arial" w:cs="Arial"/>
        </w:rPr>
        <w:t>ACCC</w:t>
      </w:r>
      <w:proofErr w:type="spellEnd"/>
      <w:r>
        <w:rPr>
          <w:rFonts w:ascii="Arial" w:hAnsi="Arial" w:cs="Arial"/>
        </w:rPr>
        <w:t xml:space="preserve"> </w:t>
      </w:r>
      <w:r w:rsidRPr="000B5226">
        <w:rPr>
          <w:rFonts w:ascii="Arial" w:hAnsi="Arial" w:cs="Arial"/>
        </w:rPr>
        <w:t>has a dedicated Financial Services Unit which “[</w:t>
      </w:r>
      <w:proofErr w:type="spellStart"/>
      <w:r w:rsidRPr="000B5226">
        <w:rPr>
          <w:rFonts w:ascii="Arial" w:hAnsi="Arial" w:cs="Arial"/>
        </w:rPr>
        <w:t>i</w:t>
      </w:r>
      <w:proofErr w:type="spellEnd"/>
      <w:r w:rsidRPr="000B5226">
        <w:rPr>
          <w:rFonts w:ascii="Arial" w:hAnsi="Arial" w:cs="Arial"/>
        </w:rPr>
        <w:t>]n addition to examining anticompetitive conduct, … will proactively identify competition issues in the sector and conduct market studies.</w:t>
      </w:r>
      <w:r>
        <w:rPr>
          <w:rStyle w:val="FootnoteReference"/>
          <w:rFonts w:ascii="Arial" w:hAnsi="Arial" w:cs="Arial"/>
        </w:rPr>
        <w:footnoteReference w:id="19"/>
      </w:r>
      <w:r w:rsidRPr="000B5226">
        <w:rPr>
          <w:rFonts w:ascii="Arial" w:hAnsi="Arial" w:cs="Arial"/>
        </w:rPr>
        <w:t xml:space="preserve">  Th</w:t>
      </w:r>
      <w:r>
        <w:rPr>
          <w:rFonts w:ascii="Arial" w:hAnsi="Arial" w:cs="Arial"/>
        </w:rPr>
        <w:t xml:space="preserve">is places the </w:t>
      </w:r>
      <w:proofErr w:type="spellStart"/>
      <w:r>
        <w:rPr>
          <w:rFonts w:ascii="Arial" w:hAnsi="Arial" w:cs="Arial"/>
        </w:rPr>
        <w:t>ACCC</w:t>
      </w:r>
      <w:proofErr w:type="spellEnd"/>
      <w:r>
        <w:rPr>
          <w:rFonts w:ascii="Arial" w:hAnsi="Arial" w:cs="Arial"/>
        </w:rPr>
        <w:t xml:space="preserve"> in a strong position to provide independent expert advice in relation to a complex industry. The </w:t>
      </w:r>
      <w:proofErr w:type="spellStart"/>
      <w:r w:rsidRPr="000B5226">
        <w:rPr>
          <w:rFonts w:ascii="Arial" w:hAnsi="Arial" w:cs="Arial"/>
        </w:rPr>
        <w:t>ACCC</w:t>
      </w:r>
      <w:proofErr w:type="spellEnd"/>
      <w:r w:rsidRPr="000B5226">
        <w:rPr>
          <w:rFonts w:ascii="Arial" w:hAnsi="Arial" w:cs="Arial"/>
        </w:rPr>
        <w:t xml:space="preserve"> also included </w:t>
      </w:r>
      <w:r w:rsidRPr="000B5226">
        <w:rPr>
          <w:rFonts w:ascii="ArialMT" w:hAnsi="ArialMT"/>
        </w:rPr>
        <w:t xml:space="preserve">“competition issues in the </w:t>
      </w:r>
      <w:r w:rsidRPr="000B5226">
        <w:rPr>
          <w:rFonts w:ascii="Arial" w:hAnsi="Arial" w:cs="Arial"/>
          <w:bCs/>
        </w:rPr>
        <w:t xml:space="preserve">financial services </w:t>
      </w:r>
      <w:r w:rsidRPr="000B5226">
        <w:rPr>
          <w:rFonts w:ascii="ArialMT" w:hAnsi="ArialMT"/>
        </w:rPr>
        <w:t>sector” as one of its 2018 compliance and enforcement priorities</w:t>
      </w:r>
      <w:r>
        <w:rPr>
          <w:rStyle w:val="FootnoteReference"/>
          <w:rFonts w:ascii="ArialMT" w:hAnsi="ArialMT"/>
        </w:rPr>
        <w:footnoteReference w:id="20"/>
      </w:r>
      <w:r w:rsidRPr="000B5226">
        <w:rPr>
          <w:rFonts w:ascii="ArialMT" w:hAnsi="ArialMT"/>
        </w:rPr>
        <w:t>.</w:t>
      </w:r>
    </w:p>
    <w:p w14:paraId="428C897D" w14:textId="77777777" w:rsidR="000B5226" w:rsidRPr="000B5226" w:rsidRDefault="000B5226" w:rsidP="000B5226">
      <w:pPr>
        <w:pStyle w:val="ListParagraph"/>
        <w:suppressAutoHyphens/>
        <w:jc w:val="both"/>
        <w:rPr>
          <w:rFonts w:ascii="Arial" w:hAnsi="Arial" w:cs="Arial"/>
          <w:lang w:val="en-US" w:bidi="en-US"/>
        </w:rPr>
      </w:pPr>
    </w:p>
    <w:p w14:paraId="00C9B7B0" w14:textId="5C614E82" w:rsidR="00D07506" w:rsidRDefault="00D07506" w:rsidP="00480318">
      <w:pPr>
        <w:pStyle w:val="ListParagraph"/>
        <w:numPr>
          <w:ilvl w:val="0"/>
          <w:numId w:val="29"/>
        </w:numPr>
        <w:jc w:val="both"/>
        <w:rPr>
          <w:rFonts w:ascii="Arial" w:hAnsi="Arial" w:cs="Arial"/>
        </w:rPr>
      </w:pPr>
      <w:r>
        <w:rPr>
          <w:rFonts w:ascii="Arial" w:hAnsi="Arial" w:cs="Arial"/>
        </w:rPr>
        <w:t xml:space="preserve">The </w:t>
      </w:r>
      <w:proofErr w:type="spellStart"/>
      <w:r>
        <w:rPr>
          <w:rFonts w:ascii="Arial" w:hAnsi="Arial" w:cs="Arial"/>
        </w:rPr>
        <w:t>ACCC</w:t>
      </w:r>
      <w:proofErr w:type="spellEnd"/>
      <w:r>
        <w:rPr>
          <w:rFonts w:ascii="Arial" w:hAnsi="Arial" w:cs="Arial"/>
        </w:rPr>
        <w:t xml:space="preserve"> has the in-house expertise </w:t>
      </w:r>
      <w:r w:rsidR="000B5226">
        <w:rPr>
          <w:rFonts w:ascii="Arial" w:hAnsi="Arial" w:cs="Arial"/>
        </w:rPr>
        <w:t xml:space="preserve">to fully </w:t>
      </w:r>
      <w:r>
        <w:rPr>
          <w:rFonts w:ascii="Arial" w:hAnsi="Arial" w:cs="Arial"/>
        </w:rPr>
        <w:t xml:space="preserve">evaluate the impact of proposed interventions on competition.  </w:t>
      </w:r>
    </w:p>
    <w:p w14:paraId="5E01DBC1" w14:textId="77777777" w:rsidR="00480318" w:rsidRDefault="00480318" w:rsidP="00480318">
      <w:pPr>
        <w:pStyle w:val="ListParagraph"/>
        <w:jc w:val="both"/>
        <w:rPr>
          <w:rFonts w:ascii="Arial" w:hAnsi="Arial" w:cs="Arial"/>
        </w:rPr>
      </w:pPr>
    </w:p>
    <w:p w14:paraId="17DD6215" w14:textId="102CED55" w:rsidR="000B5226" w:rsidRDefault="000B5226" w:rsidP="000B5226">
      <w:pPr>
        <w:pStyle w:val="ListParagraph"/>
        <w:numPr>
          <w:ilvl w:val="0"/>
          <w:numId w:val="29"/>
        </w:numPr>
        <w:jc w:val="both"/>
        <w:rPr>
          <w:rFonts w:ascii="Arial" w:hAnsi="Arial" w:cs="Arial"/>
        </w:rPr>
      </w:pPr>
      <w:r>
        <w:rPr>
          <w:rFonts w:ascii="Arial" w:hAnsi="Arial" w:cs="Arial"/>
        </w:rPr>
        <w:t xml:space="preserve">The </w:t>
      </w:r>
      <w:proofErr w:type="spellStart"/>
      <w:r>
        <w:rPr>
          <w:rFonts w:ascii="Arial" w:hAnsi="Arial" w:cs="Arial"/>
        </w:rPr>
        <w:t>ACCC</w:t>
      </w:r>
      <w:proofErr w:type="spellEnd"/>
      <w:r>
        <w:rPr>
          <w:rFonts w:ascii="Arial" w:hAnsi="Arial" w:cs="Arial"/>
        </w:rPr>
        <w:t xml:space="preserve"> appears to be better resourced to take on this role.  The IPA has a number of concerns about the resourcing and capabilities of ASIC (discussed below). </w:t>
      </w:r>
    </w:p>
    <w:p w14:paraId="27675E56" w14:textId="65BBAF48" w:rsidR="000B5226" w:rsidRPr="000B5226" w:rsidRDefault="000B5226" w:rsidP="000B5226">
      <w:pPr>
        <w:jc w:val="both"/>
        <w:rPr>
          <w:rFonts w:ascii="Arial" w:hAnsi="Arial" w:cs="Arial"/>
        </w:rPr>
      </w:pPr>
    </w:p>
    <w:p w14:paraId="712F9CDB" w14:textId="3635C6FB" w:rsidR="00D07506" w:rsidRDefault="00D07506" w:rsidP="00480318">
      <w:pPr>
        <w:pStyle w:val="ListParagraph"/>
        <w:numPr>
          <w:ilvl w:val="0"/>
          <w:numId w:val="29"/>
        </w:numPr>
        <w:jc w:val="both"/>
        <w:rPr>
          <w:rFonts w:ascii="Arial" w:hAnsi="Arial" w:cs="Arial"/>
        </w:rPr>
      </w:pPr>
      <w:r>
        <w:rPr>
          <w:rFonts w:ascii="Arial" w:hAnsi="Arial" w:cs="Arial"/>
        </w:rPr>
        <w:t>A</w:t>
      </w:r>
      <w:r w:rsidR="000B5226">
        <w:rPr>
          <w:rFonts w:ascii="Arial" w:hAnsi="Arial" w:cs="Arial"/>
        </w:rPr>
        <w:t xml:space="preserve">lthough </w:t>
      </w:r>
      <w:r>
        <w:rPr>
          <w:rFonts w:ascii="Arial" w:hAnsi="Arial" w:cs="Arial"/>
        </w:rPr>
        <w:t>ASIC has jurisdiction in relation to potential consumer law breaches relating to financial products and services (</w:t>
      </w:r>
      <w:r w:rsidR="000B5226">
        <w:rPr>
          <w:rFonts w:ascii="Arial" w:hAnsi="Arial" w:cs="Arial"/>
        </w:rPr>
        <w:t>including</w:t>
      </w:r>
      <w:r>
        <w:rPr>
          <w:rFonts w:ascii="Arial" w:hAnsi="Arial" w:cs="Arial"/>
        </w:rPr>
        <w:t xml:space="preserve"> misleading and deceptive conduct, unconscionable conduct and unfair contract terms), it does not have jurisdiction in relation to potential competition law breaches.  In the context of a proposed market intervention, it is the </w:t>
      </w:r>
      <w:r w:rsidRPr="000B5226">
        <w:rPr>
          <w:rFonts w:ascii="Arial" w:hAnsi="Arial" w:cs="Arial"/>
          <w:b/>
          <w:i/>
        </w:rPr>
        <w:t>competition</w:t>
      </w:r>
      <w:r>
        <w:rPr>
          <w:rFonts w:ascii="Arial" w:hAnsi="Arial" w:cs="Arial"/>
          <w:i/>
        </w:rPr>
        <w:t xml:space="preserve"> </w:t>
      </w:r>
      <w:r>
        <w:rPr>
          <w:rFonts w:ascii="Arial" w:hAnsi="Arial" w:cs="Arial"/>
        </w:rPr>
        <w:t xml:space="preserve">law issues that </w:t>
      </w:r>
      <w:r w:rsidR="000B5226">
        <w:rPr>
          <w:rFonts w:ascii="Arial" w:hAnsi="Arial" w:cs="Arial"/>
        </w:rPr>
        <w:t xml:space="preserve">are likely to be of greatest relevance, rather than the </w:t>
      </w:r>
      <w:r w:rsidRPr="000B5226">
        <w:rPr>
          <w:rFonts w:ascii="Arial" w:hAnsi="Arial" w:cs="Arial"/>
          <w:i/>
        </w:rPr>
        <w:t>consumer</w:t>
      </w:r>
      <w:r>
        <w:rPr>
          <w:rFonts w:ascii="Arial" w:hAnsi="Arial" w:cs="Arial"/>
        </w:rPr>
        <w:t xml:space="preserve"> law issues.  </w:t>
      </w:r>
    </w:p>
    <w:p w14:paraId="4032E124" w14:textId="0F234F11" w:rsidR="00480318" w:rsidRPr="000B5226" w:rsidRDefault="00480318" w:rsidP="000B5226">
      <w:pPr>
        <w:jc w:val="both"/>
        <w:rPr>
          <w:rFonts w:ascii="Arial" w:hAnsi="Arial" w:cs="Arial"/>
        </w:rPr>
      </w:pPr>
    </w:p>
    <w:p w14:paraId="5A07A116" w14:textId="526F49FE" w:rsidR="00D07506" w:rsidRPr="00480318" w:rsidRDefault="00D07506" w:rsidP="00480318">
      <w:pPr>
        <w:pStyle w:val="ListParagraph"/>
        <w:numPr>
          <w:ilvl w:val="0"/>
          <w:numId w:val="29"/>
        </w:numPr>
        <w:jc w:val="both"/>
        <w:rPr>
          <w:rFonts w:ascii="Arial" w:hAnsi="Arial" w:cs="Arial"/>
        </w:rPr>
      </w:pPr>
      <w:r>
        <w:rPr>
          <w:rFonts w:ascii="Arial" w:hAnsi="Arial" w:cs="Arial"/>
        </w:rPr>
        <w:lastRenderedPageBreak/>
        <w:t xml:space="preserve">The </w:t>
      </w:r>
      <w:proofErr w:type="spellStart"/>
      <w:r>
        <w:rPr>
          <w:rFonts w:ascii="Arial" w:hAnsi="Arial" w:cs="Arial"/>
        </w:rPr>
        <w:t>ACCC</w:t>
      </w:r>
      <w:proofErr w:type="spellEnd"/>
      <w:r>
        <w:rPr>
          <w:rFonts w:ascii="Arial" w:hAnsi="Arial" w:cs="Arial"/>
        </w:rPr>
        <w:t xml:space="preserve"> already has an SME representative</w:t>
      </w:r>
      <w:r w:rsidR="000B5226">
        <w:rPr>
          <w:rFonts w:ascii="Arial" w:hAnsi="Arial" w:cs="Arial"/>
        </w:rPr>
        <w:t xml:space="preserve"> as one of two </w:t>
      </w:r>
      <w:r w:rsidR="00293E5E">
        <w:rPr>
          <w:rFonts w:ascii="Arial" w:hAnsi="Arial" w:cs="Arial"/>
        </w:rPr>
        <w:t>Deputy</w:t>
      </w:r>
      <w:r w:rsidR="000B5226">
        <w:rPr>
          <w:rFonts w:ascii="Arial" w:hAnsi="Arial" w:cs="Arial"/>
        </w:rPr>
        <w:t xml:space="preserve"> Chairpersons.  This ensures</w:t>
      </w:r>
      <w:r>
        <w:rPr>
          <w:rFonts w:ascii="Arial" w:hAnsi="Arial" w:cs="Arial"/>
        </w:rPr>
        <w:t xml:space="preserve"> a valuable contribution to a debate about the potential effects of interventions on SMEs and SME banking issues.   </w:t>
      </w:r>
    </w:p>
    <w:p w14:paraId="75752969" w14:textId="0334E04C" w:rsidR="006564FE" w:rsidRDefault="006564FE" w:rsidP="00755C60"/>
    <w:p w14:paraId="365A5EEE" w14:textId="56ED92C8" w:rsidR="00755C60" w:rsidRDefault="00755C60" w:rsidP="00755C60">
      <w:pPr>
        <w:rPr>
          <w:rFonts w:ascii="Arial" w:hAnsi="Arial" w:cs="Arial"/>
          <w:color w:val="0070C0"/>
        </w:rPr>
      </w:pPr>
      <w:r>
        <w:rPr>
          <w:rFonts w:ascii="Arial" w:hAnsi="Arial" w:cs="Arial"/>
          <w:i/>
          <w:color w:val="0070C0"/>
        </w:rPr>
        <w:t xml:space="preserve">APRA  </w:t>
      </w:r>
    </w:p>
    <w:p w14:paraId="51FBF86A" w14:textId="77777777" w:rsidR="00F82A45" w:rsidRPr="00F82A45" w:rsidRDefault="00F82A45" w:rsidP="00755C60">
      <w:pPr>
        <w:rPr>
          <w:rFonts w:ascii="Arial" w:hAnsi="Arial" w:cs="Arial"/>
          <w:color w:val="0070C0"/>
        </w:rPr>
      </w:pPr>
    </w:p>
    <w:p w14:paraId="7BCBBE23" w14:textId="6C1BDB2A" w:rsidR="00755C60" w:rsidRPr="00F82A45" w:rsidRDefault="00F82A45" w:rsidP="00F82A45">
      <w:pPr>
        <w:jc w:val="both"/>
        <w:rPr>
          <w:rFonts w:ascii="Arial" w:hAnsi="Arial" w:cs="Arial"/>
        </w:rPr>
      </w:pPr>
      <w:r w:rsidRPr="00F82A45">
        <w:rPr>
          <w:rFonts w:ascii="Arial" w:hAnsi="Arial" w:cs="Arial"/>
        </w:rPr>
        <w:t xml:space="preserve">The IPA </w:t>
      </w:r>
      <w:r>
        <w:rPr>
          <w:rFonts w:ascii="Arial" w:hAnsi="Arial" w:cs="Arial"/>
        </w:rPr>
        <w:t xml:space="preserve">notes the comments made in the draft report referring to APRA and the impact on banking risk models resulting from the application of the Basel capital requirements.  Specifically, IPA believes that greater examination is required of the impact on competition of </w:t>
      </w:r>
      <w:proofErr w:type="spellStart"/>
      <w:r>
        <w:rPr>
          <w:rFonts w:ascii="Arial" w:hAnsi="Arial" w:cs="Arial"/>
        </w:rPr>
        <w:t>APRA’s</w:t>
      </w:r>
      <w:proofErr w:type="spellEnd"/>
      <w:r>
        <w:rPr>
          <w:rFonts w:ascii="Arial" w:hAnsi="Arial" w:cs="Arial"/>
        </w:rPr>
        <w:t xml:space="preserve"> </w:t>
      </w:r>
      <w:r w:rsidR="0088271A">
        <w:rPr>
          <w:rFonts w:ascii="Arial" w:hAnsi="Arial" w:cs="Arial"/>
        </w:rPr>
        <w:t xml:space="preserve">objective of making Australia’s banking system ‘unquestionably strong’.  We support any recommendations to rebalance the regulatory pendulum toward consumers of banking and financial service products and away from shareholders of banks and other financial institutions.  </w:t>
      </w:r>
    </w:p>
    <w:p w14:paraId="0BB741D0" w14:textId="37FBCD33" w:rsidR="00D07506" w:rsidRPr="00480318" w:rsidRDefault="00D07506" w:rsidP="00F82A45">
      <w:pPr>
        <w:pStyle w:val="ListParagraph"/>
        <w:ind w:left="1500"/>
        <w:jc w:val="both"/>
        <w:rPr>
          <w:rFonts w:ascii="Arial" w:eastAsia="Times New Roman" w:hAnsi="Arial" w:cs="Arial"/>
          <w:color w:val="000000"/>
          <w:highlight w:val="yellow"/>
        </w:rPr>
      </w:pPr>
    </w:p>
    <w:p w14:paraId="10A188FB" w14:textId="0056530E" w:rsidR="00755C60" w:rsidRPr="00F02ABB" w:rsidRDefault="00755C60" w:rsidP="00755C60">
      <w:r>
        <w:rPr>
          <w:rFonts w:ascii="Arial" w:hAnsi="Arial" w:cs="Arial"/>
          <w:i/>
          <w:color w:val="0070C0"/>
        </w:rPr>
        <w:t>ASIC</w:t>
      </w:r>
    </w:p>
    <w:p w14:paraId="452B269A" w14:textId="77777777" w:rsidR="00D07506" w:rsidRPr="00480318" w:rsidRDefault="00D07506" w:rsidP="00480318">
      <w:pPr>
        <w:rPr>
          <w:rFonts w:ascii="Arial" w:hAnsi="Arial" w:cs="Arial"/>
          <w:highlight w:val="green"/>
        </w:rPr>
      </w:pPr>
    </w:p>
    <w:p w14:paraId="5DB07081" w14:textId="2B96BCF8" w:rsidR="00D07506" w:rsidRPr="00480318" w:rsidRDefault="00D07506" w:rsidP="00480318">
      <w:pPr>
        <w:jc w:val="both"/>
        <w:rPr>
          <w:rFonts w:ascii="Arial" w:hAnsi="Arial" w:cs="Arial"/>
        </w:rPr>
      </w:pPr>
      <w:r w:rsidRPr="00480318">
        <w:rPr>
          <w:rFonts w:ascii="Arial" w:hAnsi="Arial" w:cs="Arial"/>
        </w:rPr>
        <w:t xml:space="preserve">As noted above, the IPA has concerns about the current </w:t>
      </w:r>
      <w:r w:rsidR="00013BBF">
        <w:rPr>
          <w:rFonts w:ascii="Arial" w:hAnsi="Arial" w:cs="Arial"/>
        </w:rPr>
        <w:t xml:space="preserve">capacity </w:t>
      </w:r>
      <w:r w:rsidRPr="00480318">
        <w:rPr>
          <w:rFonts w:ascii="Arial" w:hAnsi="Arial" w:cs="Arial"/>
        </w:rPr>
        <w:t xml:space="preserve">of ASIC which, it believes, is substantially due to being inadequately funded and resourced. </w:t>
      </w:r>
    </w:p>
    <w:p w14:paraId="168281E3" w14:textId="77777777" w:rsidR="00D07506" w:rsidRDefault="00D07506" w:rsidP="00480318">
      <w:pPr>
        <w:ind w:right="264"/>
        <w:jc w:val="both"/>
        <w:rPr>
          <w:rFonts w:ascii="Arial" w:hAnsi="Arial" w:cs="Arial"/>
        </w:rPr>
      </w:pPr>
    </w:p>
    <w:p w14:paraId="23B1D882" w14:textId="5091F3CF" w:rsidR="00A4742C" w:rsidRPr="00480318" w:rsidRDefault="00A4742C" w:rsidP="00480318">
      <w:pPr>
        <w:ind w:right="264"/>
        <w:jc w:val="both"/>
        <w:rPr>
          <w:rFonts w:ascii="Arial" w:hAnsi="Arial" w:cs="Arial"/>
        </w:rPr>
      </w:pPr>
      <w:r w:rsidRPr="00480318">
        <w:rPr>
          <w:rFonts w:ascii="Arial" w:hAnsi="Arial" w:cs="Arial"/>
        </w:rPr>
        <w:t>In 2016-17</w:t>
      </w:r>
      <w:r w:rsidR="000B5226">
        <w:rPr>
          <w:rFonts w:ascii="Arial" w:hAnsi="Arial" w:cs="Arial"/>
        </w:rPr>
        <w:t>,</w:t>
      </w:r>
      <w:r w:rsidRPr="00480318">
        <w:rPr>
          <w:rFonts w:ascii="Arial" w:hAnsi="Arial" w:cs="Arial"/>
        </w:rPr>
        <w:t xml:space="preserve"> ASIC raised $920.24 million for the Commonwealth in fees and charges, an increase of 5% from the previous year.  This was driven by net company growth and fee indexation</w:t>
      </w:r>
      <w:r w:rsidR="000B5226">
        <w:rPr>
          <w:rStyle w:val="FootnoteReference"/>
          <w:rFonts w:ascii="Arial" w:hAnsi="Arial" w:cs="Arial"/>
        </w:rPr>
        <w:footnoteReference w:id="21"/>
      </w:r>
      <w:r w:rsidR="000B5226">
        <w:rPr>
          <w:rFonts w:ascii="Arial" w:hAnsi="Arial" w:cs="Arial"/>
        </w:rPr>
        <w:t xml:space="preserve">. </w:t>
      </w:r>
      <w:r w:rsidRPr="00480318">
        <w:rPr>
          <w:rFonts w:ascii="Arial" w:hAnsi="Arial" w:cs="Arial"/>
        </w:rPr>
        <w:t>The breakdown of ASIC’s total revenue was $801.72 million from fees; and $118.53 million from fines</w:t>
      </w:r>
      <w:r w:rsidR="000B5226">
        <w:rPr>
          <w:rStyle w:val="FootnoteReference"/>
          <w:rFonts w:ascii="Arial" w:hAnsi="Arial" w:cs="Arial"/>
        </w:rPr>
        <w:footnoteReference w:id="22"/>
      </w:r>
      <w:r w:rsidR="000B5226">
        <w:rPr>
          <w:rFonts w:ascii="Arial" w:hAnsi="Arial" w:cs="Arial"/>
        </w:rPr>
        <w:t xml:space="preserve">. </w:t>
      </w:r>
      <w:r w:rsidR="00D07506">
        <w:rPr>
          <w:rFonts w:ascii="Arial" w:hAnsi="Arial" w:cs="Arial"/>
        </w:rPr>
        <w:t xml:space="preserve">This money goes directly to the Commonwealth. </w:t>
      </w:r>
    </w:p>
    <w:p w14:paraId="78CBBF80" w14:textId="77777777" w:rsidR="00A4742C" w:rsidRPr="00480318" w:rsidRDefault="00A4742C" w:rsidP="00480318">
      <w:pPr>
        <w:ind w:right="264"/>
        <w:jc w:val="both"/>
        <w:rPr>
          <w:rFonts w:ascii="Arial" w:hAnsi="Arial" w:cs="Arial"/>
        </w:rPr>
      </w:pPr>
      <w:r w:rsidRPr="00480318">
        <w:rPr>
          <w:rFonts w:ascii="Arial" w:hAnsi="Arial" w:cs="Arial"/>
        </w:rPr>
        <w:t xml:space="preserve">  </w:t>
      </w:r>
    </w:p>
    <w:p w14:paraId="6F2849E2" w14:textId="0AA3F4B6" w:rsidR="00A4742C" w:rsidRPr="00EF77C3" w:rsidRDefault="00D07506" w:rsidP="00815D47">
      <w:pPr>
        <w:jc w:val="both"/>
      </w:pPr>
      <w:r>
        <w:rPr>
          <w:rFonts w:ascii="Arial" w:hAnsi="Arial" w:cs="Arial"/>
        </w:rPr>
        <w:t>In the same year</w:t>
      </w:r>
      <w:r w:rsidR="00A4742C" w:rsidRPr="00480318">
        <w:rPr>
          <w:rFonts w:ascii="Arial" w:hAnsi="Arial" w:cs="Arial"/>
        </w:rPr>
        <w:t xml:space="preserve"> 2016-17, ASIC received approximately $349 million in appropriation revenue ($342 million) and ‘own source’ revenue ($7 million).  ASIC’s expenses were $392.46 million, leaving a deficit of over $43.5 million</w:t>
      </w:r>
      <w:r w:rsidR="000B5226">
        <w:rPr>
          <w:rStyle w:val="FootnoteReference"/>
          <w:rFonts w:ascii="Arial" w:hAnsi="Arial" w:cs="Arial"/>
        </w:rPr>
        <w:footnoteReference w:id="23"/>
      </w:r>
      <w:r w:rsidR="00A4742C" w:rsidRPr="00480318">
        <w:rPr>
          <w:rFonts w:ascii="Arial" w:hAnsi="Arial" w:cs="Arial"/>
        </w:rPr>
        <w:t xml:space="preserve">.  In other words, even though ASIC is making significant income for the Government, it is not even able to cover its own costs from the budget it receives from the Government.  </w:t>
      </w:r>
      <w:r w:rsidR="00013BBF">
        <w:rPr>
          <w:rFonts w:ascii="Arial" w:hAnsi="Arial" w:cs="Arial"/>
        </w:rPr>
        <w:t xml:space="preserve">IPA has previously made submissions to the Government on the inadequate funding of ASIC and </w:t>
      </w:r>
      <w:proofErr w:type="spellStart"/>
      <w:r w:rsidR="00013BBF">
        <w:rPr>
          <w:rFonts w:ascii="Arial" w:hAnsi="Arial" w:cs="Arial"/>
        </w:rPr>
        <w:t>KPI</w:t>
      </w:r>
      <w:proofErr w:type="spellEnd"/>
      <w:r w:rsidR="00013BBF">
        <w:rPr>
          <w:rFonts w:ascii="Arial" w:hAnsi="Arial" w:cs="Arial"/>
        </w:rPr>
        <w:t xml:space="preserve"> metrics of ASIC.  We have referred in those submissions to the 2013 Productivity Commission report on </w:t>
      </w:r>
      <w:r w:rsidR="00013BBF" w:rsidRPr="00013BBF">
        <w:rPr>
          <w:rFonts w:ascii="Arial" w:hAnsi="Arial" w:cs="Arial"/>
          <w:i/>
        </w:rPr>
        <w:t>Regulator Engagement with Small Business</w:t>
      </w:r>
      <w:r w:rsidR="00013BBF">
        <w:rPr>
          <w:rFonts w:ascii="Arial" w:hAnsi="Arial" w:cs="Arial"/>
        </w:rPr>
        <w:t xml:space="preserve">. The IPA has been a long standing advocate of more funding being allocated to ASIC.  </w:t>
      </w:r>
    </w:p>
    <w:sectPr w:rsidR="00A4742C" w:rsidRPr="00EF77C3" w:rsidSect="00B8724A">
      <w:headerReference w:type="even" r:id="rId20"/>
      <w:headerReference w:type="default" r:id="rId21"/>
      <w:footerReference w:type="even" r:id="rId22"/>
      <w:footerReference w:type="default" r:id="rId23"/>
      <w:headerReference w:type="first" r:id="rId24"/>
      <w:footerReference w:type="first" r:id="rId25"/>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5F0CE" w14:textId="77777777" w:rsidR="00237584" w:rsidRDefault="00237584">
      <w:r>
        <w:separator/>
      </w:r>
    </w:p>
  </w:endnote>
  <w:endnote w:type="continuationSeparator" w:id="0">
    <w:p w14:paraId="3C5C4CEE" w14:textId="77777777" w:rsidR="00237584" w:rsidRDefault="0023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utura-Bold">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6B1A" w14:textId="77777777" w:rsidR="00B05183" w:rsidRDefault="00B05183">
    <w:r>
      <w:rPr>
        <w:noProof/>
      </w:rPr>
      <w:drawing>
        <wp:anchor distT="0" distB="0" distL="114300" distR="114300" simplePos="0" relativeHeight="251658240" behindDoc="0" locked="0" layoutInCell="1" allowOverlap="1" wp14:anchorId="4E676B25" wp14:editId="4E676B26">
          <wp:simplePos x="0" y="0"/>
          <wp:positionH relativeFrom="column">
            <wp:posOffset>-914400</wp:posOffset>
          </wp:positionH>
          <wp:positionV relativeFrom="paragraph">
            <wp:posOffset>526415</wp:posOffset>
          </wp:positionV>
          <wp:extent cx="7772400" cy="1231900"/>
          <wp:effectExtent l="19050" t="0" r="0" b="0"/>
          <wp:wrapTight wrapText="bothSides">
            <wp:wrapPolygon edited="0">
              <wp:start x="-53" y="0"/>
              <wp:lineTo x="-53" y="21377"/>
              <wp:lineTo x="21600" y="21377"/>
              <wp:lineTo x="21600" y="0"/>
              <wp:lineTo x="-53" y="0"/>
            </wp:wrapPolygon>
          </wp:wrapTight>
          <wp:docPr id="10" name="Picture 10" descr="Word A4 footer_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A4 footer_white BG"/>
                  <pic:cNvPicPr>
                    <a:picLocks noChangeAspect="1" noChangeArrowheads="1"/>
                  </pic:cNvPicPr>
                </pic:nvPicPr>
                <pic:blipFill>
                  <a:blip r:embed="rId1"/>
                  <a:srcRect/>
                  <a:stretch>
                    <a:fillRect/>
                  </a:stretch>
                </pic:blipFill>
                <pic:spPr bwMode="auto">
                  <a:xfrm>
                    <a:off x="0" y="0"/>
                    <a:ext cx="7772400" cy="12319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6B1D" w14:textId="77777777" w:rsidR="00B05183" w:rsidRDefault="00B051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bottomFromText="2109" w:vertAnchor="page" w:horzAnchor="page" w:tblpX="823" w:tblpY="15821"/>
      <w:tblW w:w="7514" w:type="dxa"/>
      <w:tblLayout w:type="fixed"/>
      <w:tblCellMar>
        <w:left w:w="0" w:type="dxa"/>
        <w:right w:w="0" w:type="dxa"/>
      </w:tblCellMar>
      <w:tblLook w:val="0000" w:firstRow="0" w:lastRow="0" w:firstColumn="0" w:lastColumn="0" w:noHBand="0" w:noVBand="0"/>
    </w:tblPr>
    <w:tblGrid>
      <w:gridCol w:w="865"/>
      <w:gridCol w:w="6649"/>
    </w:tblGrid>
    <w:tr w:rsidR="00B05183" w14:paraId="4E676B20" w14:textId="77777777">
      <w:trPr>
        <w:trHeight w:val="140"/>
      </w:trPr>
      <w:tc>
        <w:tcPr>
          <w:tcW w:w="865" w:type="dxa"/>
        </w:tcPr>
        <w:p w14:paraId="4E676B1E" w14:textId="77777777" w:rsidR="00B05183" w:rsidRPr="005327DB" w:rsidRDefault="00B05183" w:rsidP="00B8724A">
          <w:pPr>
            <w:rPr>
              <w:color w:val="BFBFBF"/>
            </w:rPr>
          </w:pPr>
          <w:r w:rsidRPr="005327DB">
            <w:rPr>
              <w:rFonts w:ascii="Arial Bold" w:hAnsi="Arial Bold"/>
              <w:noProof/>
              <w:color w:val="BFBFBF"/>
            </w:rPr>
            <w:fldChar w:fldCharType="begin"/>
          </w:r>
          <w:r w:rsidRPr="005327DB">
            <w:rPr>
              <w:rFonts w:ascii="Arial Bold" w:hAnsi="Arial Bold"/>
              <w:noProof/>
              <w:color w:val="BFBFBF"/>
            </w:rPr>
            <w:instrText xml:space="preserve"> PAGE </w:instrText>
          </w:r>
          <w:r w:rsidRPr="005327DB">
            <w:rPr>
              <w:rFonts w:ascii="Arial Bold" w:hAnsi="Arial Bold"/>
              <w:noProof/>
              <w:color w:val="BFBFBF"/>
            </w:rPr>
            <w:fldChar w:fldCharType="separate"/>
          </w:r>
          <w:r w:rsidR="00CC3261">
            <w:rPr>
              <w:rFonts w:ascii="Arial Bold" w:hAnsi="Arial Bold"/>
              <w:noProof/>
              <w:color w:val="BFBFBF"/>
            </w:rPr>
            <w:t>14</w:t>
          </w:r>
          <w:r w:rsidRPr="005327DB">
            <w:rPr>
              <w:rFonts w:ascii="Arial Bold" w:hAnsi="Arial Bold"/>
              <w:noProof/>
              <w:color w:val="BFBFBF"/>
            </w:rPr>
            <w:fldChar w:fldCharType="end"/>
          </w:r>
        </w:p>
      </w:tc>
      <w:tc>
        <w:tcPr>
          <w:tcW w:w="6649" w:type="dxa"/>
        </w:tcPr>
        <w:p w14:paraId="4E676B1F" w14:textId="49B00468" w:rsidR="00B05183" w:rsidRPr="003E7572" w:rsidRDefault="00FC3955" w:rsidP="00B8724A">
          <w:pPr>
            <w:rPr>
              <w:rFonts w:ascii="Arial Bold" w:hAnsi="Arial Bold"/>
              <w:color w:val="BFBFBF"/>
            </w:rPr>
          </w:pPr>
          <w:r>
            <w:rPr>
              <w:rFonts w:ascii="Arial Bold" w:hAnsi="Arial Bold"/>
              <w:color w:val="BFBFBF"/>
            </w:rPr>
            <w:t xml:space="preserve">Submission to Productivity Commission on </w:t>
          </w:r>
          <w:r>
            <w:rPr>
              <w:rFonts w:ascii="Arial Bold" w:hAnsi="Arial Bold"/>
              <w:i/>
              <w:color w:val="BFBFBF"/>
            </w:rPr>
            <w:t xml:space="preserve">Competition in </w:t>
          </w:r>
          <w:r w:rsidR="00A4742C">
            <w:rPr>
              <w:rFonts w:ascii="Arial Bold" w:hAnsi="Arial Bold"/>
              <w:i/>
              <w:color w:val="BFBFBF"/>
            </w:rPr>
            <w:t xml:space="preserve">Australian </w:t>
          </w:r>
          <w:r>
            <w:rPr>
              <w:rFonts w:ascii="Arial Bold" w:hAnsi="Arial Bold"/>
              <w:i/>
              <w:color w:val="BFBFBF"/>
            </w:rPr>
            <w:t>Financial S</w:t>
          </w:r>
          <w:r w:rsidR="00A4742C">
            <w:rPr>
              <w:rFonts w:ascii="Arial Bold" w:hAnsi="Arial Bold"/>
              <w:i/>
              <w:color w:val="BFBFBF"/>
            </w:rPr>
            <w:t>ystem</w:t>
          </w:r>
          <w:r>
            <w:rPr>
              <w:rFonts w:ascii="Arial Bold" w:hAnsi="Arial Bold"/>
              <w:i/>
              <w:color w:val="BFBFBF"/>
            </w:rPr>
            <w:t xml:space="preserve"> Draft Report </w:t>
          </w:r>
        </w:p>
      </w:tc>
    </w:tr>
  </w:tbl>
  <w:p w14:paraId="4E676B21" w14:textId="77777777" w:rsidR="00B05183" w:rsidRDefault="00B05183" w:rsidP="00777D80">
    <w:r>
      <w:rPr>
        <w:noProof/>
      </w:rPr>
      <w:drawing>
        <wp:anchor distT="0" distB="0" distL="114300" distR="114300" simplePos="0" relativeHeight="251657216" behindDoc="1" locked="0" layoutInCell="1" allowOverlap="1" wp14:anchorId="4E676B27" wp14:editId="4E676B28">
          <wp:simplePos x="0" y="0"/>
          <wp:positionH relativeFrom="column">
            <wp:posOffset>4841875</wp:posOffset>
          </wp:positionH>
          <wp:positionV relativeFrom="paragraph">
            <wp:posOffset>-547370</wp:posOffset>
          </wp:positionV>
          <wp:extent cx="1311897" cy="666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23_IPACrestfull_2011-Feb_3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H="1" flipV="1">
                    <a:off x="0" y="0"/>
                    <a:ext cx="1311897"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E676B22" w14:textId="77777777" w:rsidR="00B05183" w:rsidRDefault="00B05183" w:rsidP="00B8724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6B24" w14:textId="77777777" w:rsidR="00B05183" w:rsidRDefault="00B051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08852" w14:textId="77777777" w:rsidR="00237584" w:rsidRDefault="00237584">
      <w:r>
        <w:separator/>
      </w:r>
    </w:p>
  </w:footnote>
  <w:footnote w:type="continuationSeparator" w:id="0">
    <w:p w14:paraId="6D974A0A" w14:textId="77777777" w:rsidR="00237584" w:rsidRDefault="00237584">
      <w:r>
        <w:continuationSeparator/>
      </w:r>
    </w:p>
  </w:footnote>
  <w:footnote w:id="1">
    <w:p w14:paraId="2CCCF5F5" w14:textId="03168722" w:rsidR="000B5226" w:rsidRPr="000B5226" w:rsidRDefault="000B5226">
      <w:pPr>
        <w:pStyle w:val="FootnoteText"/>
        <w:rPr>
          <w:rFonts w:ascii="Arial" w:hAnsi="Arial" w:cs="Arial"/>
          <w:sz w:val="16"/>
          <w:szCs w:val="16"/>
          <w:lang w:val="en-AU"/>
        </w:rPr>
      </w:pPr>
      <w:r w:rsidRPr="000B5226">
        <w:rPr>
          <w:rStyle w:val="FootnoteReference"/>
          <w:rFonts w:ascii="Arial" w:hAnsi="Arial" w:cs="Arial"/>
          <w:sz w:val="16"/>
          <w:szCs w:val="16"/>
        </w:rPr>
        <w:footnoteRef/>
      </w:r>
      <w:r w:rsidRPr="000B5226">
        <w:rPr>
          <w:rFonts w:ascii="Arial" w:hAnsi="Arial" w:cs="Arial"/>
          <w:sz w:val="16"/>
          <w:szCs w:val="16"/>
        </w:rPr>
        <w:t xml:space="preserve"> </w:t>
      </w:r>
      <w:r w:rsidRPr="000B5226">
        <w:rPr>
          <w:rFonts w:ascii="Arial" w:hAnsi="Arial" w:cs="Arial"/>
          <w:sz w:val="16"/>
          <w:szCs w:val="16"/>
          <w:lang w:val="en-AU"/>
        </w:rPr>
        <w:t xml:space="preserve">Commonwealth of Australia, 2017. </w:t>
      </w:r>
      <w:r w:rsidRPr="000B5226">
        <w:rPr>
          <w:rFonts w:ascii="Arial" w:hAnsi="Arial" w:cs="Arial"/>
          <w:i/>
          <w:sz w:val="16"/>
          <w:szCs w:val="16"/>
          <w:lang w:val="en-AU"/>
        </w:rPr>
        <w:t>Review into Open Banking: Giving customers choice, convenience and confidence</w:t>
      </w:r>
      <w:r w:rsidRPr="000B5226">
        <w:rPr>
          <w:rFonts w:ascii="Arial" w:hAnsi="Arial" w:cs="Arial"/>
          <w:sz w:val="16"/>
          <w:szCs w:val="16"/>
          <w:lang w:val="en-AU"/>
        </w:rPr>
        <w:t xml:space="preserve">: Canberra. </w:t>
      </w:r>
    </w:p>
  </w:footnote>
  <w:footnote w:id="2">
    <w:p w14:paraId="5426E010" w14:textId="006ADE84" w:rsidR="00D07506" w:rsidRPr="00480318" w:rsidRDefault="00D07506" w:rsidP="00480318">
      <w:pPr>
        <w:autoSpaceDE w:val="0"/>
        <w:autoSpaceDN w:val="0"/>
        <w:adjustRightInd w:val="0"/>
        <w:rPr>
          <w:rFonts w:ascii="Arial" w:hAnsi="Arial" w:cs="Arial"/>
          <w:color w:val="000000"/>
          <w:sz w:val="16"/>
          <w:szCs w:val="16"/>
        </w:rPr>
      </w:pPr>
      <w:r w:rsidRPr="00480318">
        <w:rPr>
          <w:rStyle w:val="FootnoteReference"/>
          <w:rFonts w:ascii="Arial" w:hAnsi="Arial" w:cs="Arial"/>
          <w:sz w:val="16"/>
          <w:szCs w:val="16"/>
        </w:rPr>
        <w:footnoteRef/>
      </w:r>
      <w:r w:rsidRPr="00480318">
        <w:rPr>
          <w:rFonts w:ascii="Arial" w:hAnsi="Arial" w:cs="Arial"/>
          <w:sz w:val="16"/>
          <w:szCs w:val="16"/>
        </w:rPr>
        <w:t xml:space="preserve"> Harris, Peter (2018). </w:t>
      </w:r>
      <w:r w:rsidRPr="00480318">
        <w:rPr>
          <w:rFonts w:ascii="Arial" w:hAnsi="Arial" w:cs="Arial"/>
          <w:color w:val="000000"/>
          <w:sz w:val="16"/>
          <w:szCs w:val="16"/>
        </w:rPr>
        <w:t>Speech to the Committee for Economic Development of Australia (</w:t>
      </w:r>
      <w:proofErr w:type="spellStart"/>
      <w:r w:rsidRPr="00480318">
        <w:rPr>
          <w:rFonts w:ascii="Arial" w:hAnsi="Arial" w:cs="Arial"/>
          <w:color w:val="000000"/>
          <w:sz w:val="16"/>
          <w:szCs w:val="16"/>
        </w:rPr>
        <w:t>CEDA</w:t>
      </w:r>
      <w:proofErr w:type="spellEnd"/>
      <w:r w:rsidRPr="00480318">
        <w:rPr>
          <w:rFonts w:ascii="Arial" w:hAnsi="Arial" w:cs="Arial"/>
          <w:color w:val="000000"/>
          <w:sz w:val="16"/>
          <w:szCs w:val="16"/>
        </w:rPr>
        <w:t>), Melbourne, 26 February.</w:t>
      </w:r>
    </w:p>
  </w:footnote>
  <w:footnote w:id="3">
    <w:p w14:paraId="4E35F0C2" w14:textId="2AA2F74A" w:rsidR="008919BC" w:rsidRPr="00480318" w:rsidRDefault="008919BC" w:rsidP="00D07506">
      <w:pPr>
        <w:pStyle w:val="FootnoteText"/>
        <w:rPr>
          <w:rFonts w:ascii="Arial" w:hAnsi="Arial" w:cs="Arial"/>
          <w:sz w:val="16"/>
          <w:szCs w:val="16"/>
          <w:lang w:val="en-AU"/>
        </w:rPr>
      </w:pPr>
      <w:r w:rsidRPr="00480318">
        <w:rPr>
          <w:rStyle w:val="FootnoteReference"/>
          <w:rFonts w:ascii="Arial" w:hAnsi="Arial" w:cs="Arial"/>
          <w:sz w:val="16"/>
          <w:szCs w:val="16"/>
        </w:rPr>
        <w:footnoteRef/>
      </w:r>
      <w:r w:rsidRPr="00480318">
        <w:rPr>
          <w:rFonts w:ascii="Arial" w:hAnsi="Arial" w:cs="Arial"/>
          <w:sz w:val="16"/>
          <w:szCs w:val="16"/>
        </w:rPr>
        <w:t xml:space="preserve"> For the economic theory, see Dick., A. A. (2007) Market Size, Service Quality, and Competition in Banking. </w:t>
      </w:r>
      <w:r w:rsidRPr="00480318">
        <w:rPr>
          <w:rFonts w:ascii="Arial" w:hAnsi="Arial" w:cs="Arial"/>
          <w:i/>
          <w:sz w:val="16"/>
          <w:szCs w:val="16"/>
        </w:rPr>
        <w:t>Journal of Money, Credit and Banking</w:t>
      </w:r>
      <w:r w:rsidRPr="00480318">
        <w:rPr>
          <w:rFonts w:ascii="Arial" w:hAnsi="Arial" w:cs="Arial"/>
          <w:sz w:val="16"/>
          <w:szCs w:val="16"/>
        </w:rPr>
        <w:t>, Vol. 39, No. 1 (February 2007). For current issues, see Australian Government – Senate: Economics References Committee ‘Competition within the Australian banking sector’ Commonwealth of Australia 2011 (Chapter 4)</w:t>
      </w:r>
    </w:p>
  </w:footnote>
  <w:footnote w:id="4">
    <w:p w14:paraId="3A6752D9" w14:textId="1CF0E409" w:rsidR="00D07506" w:rsidRPr="00480318" w:rsidRDefault="00D07506">
      <w:pPr>
        <w:pStyle w:val="FootnoteText"/>
        <w:rPr>
          <w:rFonts w:ascii="Arial" w:hAnsi="Arial" w:cs="Arial"/>
          <w:sz w:val="16"/>
          <w:szCs w:val="16"/>
          <w:lang w:val="en-AU"/>
        </w:rPr>
      </w:pPr>
      <w:r w:rsidRPr="00480318">
        <w:rPr>
          <w:rStyle w:val="FootnoteReference"/>
          <w:rFonts w:ascii="Arial" w:hAnsi="Arial" w:cs="Arial"/>
          <w:sz w:val="16"/>
          <w:szCs w:val="16"/>
        </w:rPr>
        <w:footnoteRef/>
      </w:r>
      <w:r w:rsidRPr="00480318">
        <w:rPr>
          <w:rFonts w:ascii="Arial" w:hAnsi="Arial" w:cs="Arial"/>
          <w:sz w:val="16"/>
          <w:szCs w:val="16"/>
        </w:rPr>
        <w:t xml:space="preserve"> </w:t>
      </w:r>
      <w:proofErr w:type="spellStart"/>
      <w:r w:rsidRPr="00480318">
        <w:rPr>
          <w:rFonts w:ascii="Arial" w:hAnsi="Arial" w:cs="Arial"/>
          <w:sz w:val="16"/>
          <w:szCs w:val="16"/>
          <w:lang w:val="en-AU"/>
        </w:rPr>
        <w:t>ASBFEO</w:t>
      </w:r>
      <w:proofErr w:type="spellEnd"/>
      <w:r w:rsidRPr="00480318">
        <w:rPr>
          <w:rFonts w:ascii="Arial" w:hAnsi="Arial" w:cs="Arial"/>
          <w:sz w:val="16"/>
          <w:szCs w:val="16"/>
          <w:lang w:val="en-AU"/>
        </w:rPr>
        <w:t>,</w:t>
      </w:r>
      <w:r>
        <w:rPr>
          <w:rFonts w:ascii="Arial" w:hAnsi="Arial" w:cs="Arial"/>
          <w:sz w:val="16"/>
          <w:szCs w:val="16"/>
          <w:lang w:val="en-AU"/>
        </w:rPr>
        <w:t xml:space="preserve"> 2016.</w:t>
      </w:r>
      <w:r w:rsidRPr="00480318">
        <w:rPr>
          <w:rFonts w:ascii="Arial" w:hAnsi="Arial" w:cs="Arial"/>
          <w:sz w:val="16"/>
          <w:szCs w:val="16"/>
          <w:lang w:val="en-AU"/>
        </w:rPr>
        <w:t xml:space="preserve"> </w:t>
      </w:r>
      <w:r w:rsidRPr="00480318">
        <w:rPr>
          <w:rFonts w:ascii="Arial" w:hAnsi="Arial" w:cs="Arial"/>
          <w:i/>
          <w:sz w:val="16"/>
          <w:szCs w:val="16"/>
          <w:lang w:val="en-AU"/>
        </w:rPr>
        <w:t>Inquiry into small business lending</w:t>
      </w:r>
      <w:r w:rsidRPr="00480318">
        <w:rPr>
          <w:rFonts w:ascii="Arial" w:hAnsi="Arial" w:cs="Arial"/>
          <w:sz w:val="16"/>
          <w:szCs w:val="16"/>
          <w:lang w:val="en-AU"/>
        </w:rPr>
        <w:t xml:space="preserve">, </w:t>
      </w:r>
      <w:r>
        <w:rPr>
          <w:rFonts w:ascii="Arial" w:hAnsi="Arial" w:cs="Arial"/>
          <w:sz w:val="16"/>
          <w:szCs w:val="16"/>
          <w:lang w:val="en-AU"/>
        </w:rPr>
        <w:t>Commonwealth of Australia: Canberra, p 33</w:t>
      </w:r>
    </w:p>
  </w:footnote>
  <w:footnote w:id="5">
    <w:p w14:paraId="31B82331" w14:textId="2CD3EEA8" w:rsidR="00A4742C" w:rsidRPr="000B5226" w:rsidRDefault="00A4742C" w:rsidP="00DA5690">
      <w:pPr>
        <w:autoSpaceDE w:val="0"/>
        <w:autoSpaceDN w:val="0"/>
        <w:adjustRightInd w:val="0"/>
        <w:rPr>
          <w:rFonts w:ascii="Arial" w:hAnsi="Arial" w:cs="Arial"/>
          <w:color w:val="000000"/>
          <w:sz w:val="16"/>
          <w:szCs w:val="16"/>
        </w:rPr>
      </w:pPr>
      <w:r w:rsidRPr="00D07506">
        <w:rPr>
          <w:rStyle w:val="FootnoteReference"/>
          <w:rFonts w:ascii="Arial" w:hAnsi="Arial" w:cs="Arial"/>
          <w:sz w:val="16"/>
          <w:szCs w:val="16"/>
        </w:rPr>
        <w:footnoteRef/>
      </w:r>
      <w:r w:rsidRPr="00D07506">
        <w:rPr>
          <w:rFonts w:ascii="Arial" w:hAnsi="Arial" w:cs="Arial"/>
          <w:sz w:val="16"/>
          <w:szCs w:val="16"/>
        </w:rPr>
        <w:t xml:space="preserve"> </w:t>
      </w:r>
      <w:r w:rsidR="00DA5690" w:rsidRPr="00D07506">
        <w:rPr>
          <w:rFonts w:ascii="Arial" w:hAnsi="Arial" w:cs="Arial"/>
          <w:color w:val="000000"/>
          <w:sz w:val="16"/>
          <w:szCs w:val="16"/>
        </w:rPr>
        <w:t>Parliamentary Joint Committee</w:t>
      </w:r>
      <w:r w:rsidR="00D07506">
        <w:rPr>
          <w:rFonts w:ascii="Arial" w:hAnsi="Arial" w:cs="Arial"/>
          <w:color w:val="000000"/>
          <w:sz w:val="16"/>
          <w:szCs w:val="16"/>
        </w:rPr>
        <w:t xml:space="preserve"> (2016)</w:t>
      </w:r>
      <w:r w:rsidR="00DA5690" w:rsidRPr="00D07506">
        <w:rPr>
          <w:rFonts w:ascii="Arial" w:hAnsi="Arial" w:cs="Arial"/>
          <w:color w:val="000000"/>
          <w:sz w:val="16"/>
          <w:szCs w:val="16"/>
        </w:rPr>
        <w:t xml:space="preserve">, </w:t>
      </w:r>
      <w:r w:rsidRPr="00D07506">
        <w:rPr>
          <w:rFonts w:ascii="Arial" w:hAnsi="Arial" w:cs="Arial"/>
          <w:i/>
          <w:color w:val="000000"/>
          <w:sz w:val="16"/>
          <w:szCs w:val="16"/>
        </w:rPr>
        <w:t>Corporations and Financial Services—Impairment of Customer Loans Report</w:t>
      </w:r>
      <w:r w:rsidRPr="00D07506">
        <w:rPr>
          <w:rFonts w:ascii="Arial" w:hAnsi="Arial" w:cs="Arial"/>
          <w:color w:val="000000"/>
          <w:sz w:val="16"/>
          <w:szCs w:val="16"/>
        </w:rPr>
        <w:t xml:space="preserve">, </w:t>
      </w:r>
      <w:r w:rsidR="00D07506" w:rsidRPr="00D07506">
        <w:rPr>
          <w:rFonts w:ascii="Arial" w:hAnsi="Arial" w:cs="Arial"/>
          <w:color w:val="000000"/>
          <w:sz w:val="16"/>
          <w:szCs w:val="16"/>
        </w:rPr>
        <w:t>Commonwealth o</w:t>
      </w:r>
      <w:r w:rsidR="00D07506" w:rsidRPr="000B5226">
        <w:rPr>
          <w:rFonts w:ascii="Arial" w:hAnsi="Arial" w:cs="Arial"/>
          <w:color w:val="000000"/>
          <w:sz w:val="16"/>
          <w:szCs w:val="16"/>
        </w:rPr>
        <w:t xml:space="preserve">f Australia: Canberra </w:t>
      </w:r>
      <w:r w:rsidRPr="000B5226">
        <w:rPr>
          <w:rFonts w:ascii="Arial" w:hAnsi="Arial" w:cs="Arial"/>
          <w:color w:val="000000"/>
          <w:sz w:val="16"/>
          <w:szCs w:val="16"/>
        </w:rPr>
        <w:t xml:space="preserve">p 31 </w:t>
      </w:r>
    </w:p>
  </w:footnote>
  <w:footnote w:id="6">
    <w:p w14:paraId="5512EA4F" w14:textId="51C22145" w:rsidR="00D07506" w:rsidRPr="000B5226" w:rsidRDefault="00D07506">
      <w:pPr>
        <w:pStyle w:val="FootnoteText"/>
        <w:rPr>
          <w:rFonts w:ascii="Arial" w:hAnsi="Arial" w:cs="Arial"/>
          <w:sz w:val="16"/>
          <w:szCs w:val="16"/>
          <w:lang w:val="en-AU"/>
        </w:rPr>
      </w:pPr>
      <w:r w:rsidRPr="000B5226">
        <w:rPr>
          <w:rStyle w:val="FootnoteReference"/>
          <w:rFonts w:ascii="Arial" w:hAnsi="Arial" w:cs="Arial"/>
          <w:sz w:val="16"/>
          <w:szCs w:val="16"/>
        </w:rPr>
        <w:footnoteRef/>
      </w:r>
      <w:r w:rsidRPr="000B5226">
        <w:rPr>
          <w:rFonts w:ascii="Arial" w:hAnsi="Arial" w:cs="Arial"/>
          <w:sz w:val="16"/>
          <w:szCs w:val="16"/>
        </w:rPr>
        <w:t xml:space="preserve"> </w:t>
      </w:r>
      <w:r w:rsidRPr="000B5226">
        <w:rPr>
          <w:rFonts w:ascii="Arial" w:hAnsi="Arial" w:cs="Arial"/>
          <w:sz w:val="16"/>
          <w:szCs w:val="16"/>
          <w:lang w:val="en-AU"/>
        </w:rPr>
        <w:t xml:space="preserve">Ibid, </w:t>
      </w:r>
      <w:r w:rsidR="000B5226">
        <w:rPr>
          <w:rFonts w:ascii="Arial" w:hAnsi="Arial" w:cs="Arial"/>
          <w:sz w:val="16"/>
          <w:szCs w:val="16"/>
          <w:lang w:val="en-AU"/>
        </w:rPr>
        <w:t>n. 4</w:t>
      </w:r>
      <w:r w:rsidRPr="000B5226">
        <w:rPr>
          <w:rFonts w:ascii="Arial" w:hAnsi="Arial" w:cs="Arial"/>
          <w:sz w:val="16"/>
          <w:szCs w:val="16"/>
          <w:lang w:val="en-AU"/>
        </w:rPr>
        <w:t>, p 32</w:t>
      </w:r>
    </w:p>
  </w:footnote>
  <w:footnote w:id="7">
    <w:p w14:paraId="6833A39D" w14:textId="2DD83A2D" w:rsidR="000B5226" w:rsidRPr="000B5226" w:rsidRDefault="000B5226">
      <w:pPr>
        <w:pStyle w:val="FootnoteText"/>
        <w:rPr>
          <w:lang w:val="en-AU"/>
        </w:rPr>
      </w:pPr>
      <w:r w:rsidRPr="000B5226">
        <w:rPr>
          <w:rStyle w:val="FootnoteReference"/>
          <w:sz w:val="16"/>
          <w:szCs w:val="16"/>
        </w:rPr>
        <w:footnoteRef/>
      </w:r>
      <w:r w:rsidRPr="000B5226">
        <w:rPr>
          <w:sz w:val="16"/>
          <w:szCs w:val="16"/>
        </w:rPr>
        <w:t xml:space="preserve"> </w:t>
      </w:r>
      <w:r w:rsidRPr="000B5226">
        <w:rPr>
          <w:rFonts w:ascii="Arial" w:hAnsi="Arial" w:cs="Arial"/>
          <w:sz w:val="16"/>
          <w:szCs w:val="16"/>
        </w:rPr>
        <w:t xml:space="preserve">See </w:t>
      </w:r>
      <w:hyperlink r:id="rId1" w:history="1">
        <w:r w:rsidRPr="000B5226">
          <w:rPr>
            <w:rStyle w:val="Hyperlink"/>
            <w:rFonts w:ascii="Arial" w:hAnsi="Arial" w:cs="Arial"/>
            <w:sz w:val="16"/>
            <w:szCs w:val="16"/>
          </w:rPr>
          <w:t>http://www.asbfeo.gov.au/sites/default/files/030217-ASBFEO_Report.pdf</w:t>
        </w:r>
      </w:hyperlink>
    </w:p>
  </w:footnote>
  <w:footnote w:id="8">
    <w:p w14:paraId="7A534EB3" w14:textId="22550C56" w:rsidR="00DA5690" w:rsidRDefault="00DA5690" w:rsidP="00DA5690">
      <w:pPr>
        <w:pStyle w:val="Heading1"/>
        <w:spacing w:before="0" w:after="0"/>
        <w:rPr>
          <w:rFonts w:ascii="Arial" w:hAnsi="Arial" w:cs="Arial"/>
          <w:b/>
          <w:bCs/>
          <w:color w:val="000000"/>
          <w:sz w:val="16"/>
          <w:szCs w:val="16"/>
        </w:rPr>
      </w:pPr>
      <w:r w:rsidRPr="00D07506">
        <w:rPr>
          <w:rStyle w:val="FootnoteReference"/>
          <w:rFonts w:ascii="Arial" w:hAnsi="Arial" w:cs="Arial"/>
          <w:sz w:val="16"/>
          <w:szCs w:val="16"/>
        </w:rPr>
        <w:footnoteRef/>
      </w:r>
      <w:r w:rsidRPr="00D07506">
        <w:rPr>
          <w:rFonts w:ascii="Arial" w:hAnsi="Arial" w:cs="Arial"/>
          <w:sz w:val="16"/>
          <w:szCs w:val="16"/>
        </w:rPr>
        <w:t xml:space="preserve"> ASIC, Media Releases </w:t>
      </w:r>
      <w:r w:rsidRPr="00D07506">
        <w:rPr>
          <w:rFonts w:ascii="Arial" w:hAnsi="Arial" w:cs="Arial"/>
          <w:color w:val="000000"/>
          <w:sz w:val="16"/>
          <w:szCs w:val="16"/>
        </w:rPr>
        <w:t>17-</w:t>
      </w:r>
      <w:proofErr w:type="spellStart"/>
      <w:r w:rsidRPr="00D07506">
        <w:rPr>
          <w:rFonts w:ascii="Arial" w:hAnsi="Arial" w:cs="Arial"/>
          <w:color w:val="000000"/>
          <w:sz w:val="16"/>
          <w:szCs w:val="16"/>
        </w:rPr>
        <w:t>278MR</w:t>
      </w:r>
      <w:proofErr w:type="spellEnd"/>
      <w:r w:rsidRPr="00D07506">
        <w:rPr>
          <w:rFonts w:ascii="Arial" w:hAnsi="Arial" w:cs="Arial"/>
          <w:color w:val="000000"/>
          <w:sz w:val="16"/>
          <w:szCs w:val="16"/>
        </w:rPr>
        <w:t xml:space="preserve"> “Big four banks change loan</w:t>
      </w:r>
      <w:r w:rsidRPr="00DA5690">
        <w:rPr>
          <w:rFonts w:ascii="Arial" w:hAnsi="Arial" w:cs="Arial"/>
          <w:color w:val="000000"/>
          <w:sz w:val="16"/>
          <w:szCs w:val="16"/>
        </w:rPr>
        <w:t xml:space="preserve"> contracts to eliminate unfair terms</w:t>
      </w:r>
      <w:r>
        <w:rPr>
          <w:rFonts w:ascii="Arial" w:hAnsi="Arial" w:cs="Arial"/>
          <w:color w:val="000000"/>
          <w:sz w:val="16"/>
          <w:szCs w:val="16"/>
        </w:rPr>
        <w:t xml:space="preserve">”, 24 August 2017, </w:t>
      </w:r>
    </w:p>
    <w:p w14:paraId="6639531C" w14:textId="49A124DF" w:rsidR="00DA5690" w:rsidRPr="00DA5690" w:rsidRDefault="00DA5690" w:rsidP="00DA5690">
      <w:pPr>
        <w:pStyle w:val="Heading1"/>
        <w:spacing w:before="0" w:after="0"/>
        <w:rPr>
          <w:rFonts w:ascii="Arial" w:hAnsi="Arial" w:cs="Arial"/>
          <w:b/>
          <w:bCs/>
          <w:color w:val="000000"/>
          <w:sz w:val="16"/>
          <w:szCs w:val="16"/>
        </w:rPr>
      </w:pPr>
      <w:r w:rsidRPr="00DA5690">
        <w:rPr>
          <w:rFonts w:ascii="Arial" w:hAnsi="Arial" w:cs="Arial"/>
          <w:color w:val="000000"/>
          <w:sz w:val="16"/>
          <w:szCs w:val="16"/>
        </w:rPr>
        <w:t>17-</w:t>
      </w:r>
      <w:proofErr w:type="spellStart"/>
      <w:r w:rsidRPr="00DA5690">
        <w:rPr>
          <w:rFonts w:ascii="Arial" w:hAnsi="Arial" w:cs="Arial"/>
          <w:color w:val="000000"/>
          <w:sz w:val="16"/>
          <w:szCs w:val="16"/>
        </w:rPr>
        <w:t>139MR</w:t>
      </w:r>
      <w:proofErr w:type="spellEnd"/>
      <w:r w:rsidRPr="00DA5690">
        <w:rPr>
          <w:rFonts w:ascii="Arial" w:hAnsi="Arial" w:cs="Arial"/>
          <w:color w:val="000000"/>
          <w:sz w:val="16"/>
          <w:szCs w:val="16"/>
        </w:rPr>
        <w:t xml:space="preserve"> </w:t>
      </w:r>
      <w:r>
        <w:rPr>
          <w:rFonts w:ascii="Arial" w:hAnsi="Arial" w:cs="Arial"/>
          <w:color w:val="000000"/>
          <w:sz w:val="16"/>
          <w:szCs w:val="16"/>
        </w:rPr>
        <w:t>“</w:t>
      </w:r>
      <w:r w:rsidRPr="00DA5690">
        <w:rPr>
          <w:rFonts w:ascii="Arial" w:hAnsi="Arial" w:cs="Arial"/>
          <w:color w:val="000000"/>
          <w:sz w:val="16"/>
          <w:szCs w:val="16"/>
        </w:rPr>
        <w:t xml:space="preserve">ASIC and </w:t>
      </w:r>
      <w:proofErr w:type="spellStart"/>
      <w:r w:rsidRPr="00DA5690">
        <w:rPr>
          <w:rFonts w:ascii="Arial" w:hAnsi="Arial" w:cs="Arial"/>
          <w:color w:val="000000"/>
          <w:sz w:val="16"/>
          <w:szCs w:val="16"/>
        </w:rPr>
        <w:t>ASBFEO</w:t>
      </w:r>
      <w:proofErr w:type="spellEnd"/>
      <w:r w:rsidRPr="00DA5690">
        <w:rPr>
          <w:rFonts w:ascii="Arial" w:hAnsi="Arial" w:cs="Arial"/>
          <w:color w:val="000000"/>
          <w:sz w:val="16"/>
          <w:szCs w:val="16"/>
        </w:rPr>
        <w:t xml:space="preserve"> hold banks to account on unfair contract terms</w:t>
      </w:r>
      <w:r>
        <w:rPr>
          <w:rFonts w:ascii="Arial" w:hAnsi="Arial" w:cs="Arial"/>
          <w:color w:val="000000"/>
          <w:sz w:val="16"/>
          <w:szCs w:val="16"/>
        </w:rPr>
        <w:t xml:space="preserve">”, 16 May 2017 and </w:t>
      </w:r>
      <w:r w:rsidRPr="00DA5690">
        <w:rPr>
          <w:rFonts w:ascii="Arial" w:hAnsi="Arial" w:cs="Arial"/>
          <w:color w:val="000000"/>
          <w:sz w:val="16"/>
          <w:szCs w:val="16"/>
        </w:rPr>
        <w:t>17-</w:t>
      </w:r>
      <w:proofErr w:type="spellStart"/>
      <w:r w:rsidRPr="00DA5690">
        <w:rPr>
          <w:rFonts w:ascii="Arial" w:hAnsi="Arial" w:cs="Arial"/>
          <w:color w:val="000000"/>
          <w:sz w:val="16"/>
          <w:szCs w:val="16"/>
        </w:rPr>
        <w:t>056MR</w:t>
      </w:r>
      <w:proofErr w:type="spellEnd"/>
      <w:r w:rsidRPr="00DA5690">
        <w:rPr>
          <w:rFonts w:ascii="Arial" w:hAnsi="Arial" w:cs="Arial"/>
          <w:color w:val="000000"/>
          <w:sz w:val="16"/>
          <w:szCs w:val="16"/>
        </w:rPr>
        <w:t xml:space="preserve"> </w:t>
      </w:r>
      <w:r>
        <w:rPr>
          <w:rFonts w:ascii="Arial" w:hAnsi="Arial" w:cs="Arial"/>
          <w:color w:val="000000"/>
          <w:sz w:val="16"/>
          <w:szCs w:val="16"/>
        </w:rPr>
        <w:t>“</w:t>
      </w:r>
      <w:r w:rsidRPr="00DA5690">
        <w:rPr>
          <w:rFonts w:ascii="Arial" w:hAnsi="Arial" w:cs="Arial"/>
          <w:color w:val="000000"/>
          <w:sz w:val="16"/>
          <w:szCs w:val="16"/>
        </w:rPr>
        <w:t xml:space="preserve">ASIC and </w:t>
      </w:r>
      <w:proofErr w:type="spellStart"/>
      <w:r w:rsidRPr="00DA5690">
        <w:rPr>
          <w:rFonts w:ascii="Arial" w:hAnsi="Arial" w:cs="Arial"/>
          <w:color w:val="000000"/>
          <w:sz w:val="16"/>
          <w:szCs w:val="16"/>
        </w:rPr>
        <w:t>ASBFEO</w:t>
      </w:r>
      <w:proofErr w:type="spellEnd"/>
      <w:r w:rsidRPr="00DA5690">
        <w:rPr>
          <w:rFonts w:ascii="Arial" w:hAnsi="Arial" w:cs="Arial"/>
          <w:color w:val="000000"/>
          <w:sz w:val="16"/>
          <w:szCs w:val="16"/>
        </w:rPr>
        <w:t xml:space="preserve"> join forces to ensure bank lenders meet unfair contract laws</w:t>
      </w:r>
      <w:r>
        <w:rPr>
          <w:rFonts w:ascii="Arial" w:hAnsi="Arial" w:cs="Arial"/>
          <w:color w:val="000000"/>
          <w:sz w:val="16"/>
          <w:szCs w:val="16"/>
        </w:rPr>
        <w:t>”, 9 March 2017.</w:t>
      </w:r>
    </w:p>
    <w:p w14:paraId="403636E8" w14:textId="77777777" w:rsidR="00DA5690" w:rsidRDefault="00DA5690" w:rsidP="00DA5690"/>
    <w:p w14:paraId="4C9875D7" w14:textId="77777777" w:rsidR="00DA5690" w:rsidRPr="00DA5690" w:rsidRDefault="00DA5690" w:rsidP="00DA5690">
      <w:pPr>
        <w:rPr>
          <w:lang w:eastAsia="ar-SA"/>
        </w:rPr>
      </w:pPr>
    </w:p>
    <w:p w14:paraId="3926D55B" w14:textId="55AA2C9C" w:rsidR="00DA5690" w:rsidRPr="00DA5690" w:rsidRDefault="00DA5690">
      <w:pPr>
        <w:pStyle w:val="FootnoteText"/>
        <w:rPr>
          <w:lang w:val="en-AU"/>
        </w:rPr>
      </w:pPr>
    </w:p>
  </w:footnote>
  <w:footnote w:id="9">
    <w:p w14:paraId="7B6B4C18" w14:textId="654F34AB" w:rsidR="00D07506" w:rsidRPr="00480318" w:rsidRDefault="00D07506">
      <w:pPr>
        <w:pStyle w:val="FootnoteText"/>
        <w:rPr>
          <w:rFonts w:ascii="Arial" w:hAnsi="Arial" w:cs="Arial"/>
          <w:sz w:val="16"/>
          <w:szCs w:val="16"/>
          <w:lang w:val="en-AU"/>
        </w:rPr>
      </w:pPr>
      <w:r w:rsidRPr="00480318">
        <w:rPr>
          <w:rStyle w:val="FootnoteReference"/>
          <w:rFonts w:ascii="Arial" w:hAnsi="Arial" w:cs="Arial"/>
          <w:sz w:val="16"/>
          <w:szCs w:val="16"/>
        </w:rPr>
        <w:footnoteRef/>
      </w:r>
      <w:r w:rsidRPr="00480318">
        <w:rPr>
          <w:rFonts w:ascii="Arial" w:hAnsi="Arial" w:cs="Arial"/>
          <w:sz w:val="16"/>
          <w:szCs w:val="16"/>
        </w:rPr>
        <w:t xml:space="preserve"> </w:t>
      </w:r>
      <w:r w:rsidR="00293E5E" w:rsidRPr="00480318">
        <w:rPr>
          <w:rFonts w:ascii="Arial" w:hAnsi="Arial" w:cs="Arial"/>
          <w:sz w:val="16"/>
          <w:szCs w:val="16"/>
        </w:rPr>
        <w:t>Productivity</w:t>
      </w:r>
      <w:r w:rsidRPr="00480318">
        <w:rPr>
          <w:rFonts w:ascii="Arial" w:hAnsi="Arial" w:cs="Arial"/>
          <w:sz w:val="16"/>
          <w:szCs w:val="16"/>
        </w:rPr>
        <w:t xml:space="preserve"> Commission, 2017. </w:t>
      </w:r>
      <w:r w:rsidRPr="00480318">
        <w:rPr>
          <w:rFonts w:ascii="Arial" w:hAnsi="Arial" w:cs="Arial"/>
          <w:i/>
          <w:sz w:val="16"/>
          <w:szCs w:val="16"/>
        </w:rPr>
        <w:t>Data Availability and Use</w:t>
      </w:r>
      <w:r w:rsidRPr="00480318">
        <w:rPr>
          <w:rFonts w:ascii="Arial" w:hAnsi="Arial" w:cs="Arial"/>
          <w:sz w:val="16"/>
          <w:szCs w:val="16"/>
        </w:rPr>
        <w:t>, Commonwealth of Australia: Canberra, p 15</w:t>
      </w:r>
    </w:p>
  </w:footnote>
  <w:footnote w:id="10">
    <w:p w14:paraId="73EE4A9D" w14:textId="65DE64DE" w:rsidR="008919BC" w:rsidRPr="00480318" w:rsidRDefault="008919BC">
      <w:pPr>
        <w:pStyle w:val="FootnoteText"/>
        <w:rPr>
          <w:rFonts w:ascii="Arial" w:hAnsi="Arial" w:cs="Arial"/>
          <w:sz w:val="16"/>
          <w:szCs w:val="16"/>
          <w:lang w:val="en-AU"/>
        </w:rPr>
      </w:pPr>
      <w:r w:rsidRPr="00480318">
        <w:rPr>
          <w:rStyle w:val="FootnoteReference"/>
          <w:rFonts w:ascii="Arial" w:hAnsi="Arial" w:cs="Arial"/>
          <w:sz w:val="16"/>
          <w:szCs w:val="16"/>
        </w:rPr>
        <w:footnoteRef/>
      </w:r>
      <w:r w:rsidRPr="00480318">
        <w:rPr>
          <w:rFonts w:ascii="Arial" w:hAnsi="Arial" w:cs="Arial"/>
          <w:sz w:val="16"/>
          <w:szCs w:val="16"/>
        </w:rPr>
        <w:t xml:space="preserve"> </w:t>
      </w:r>
      <w:r w:rsidRPr="00480318">
        <w:rPr>
          <w:rFonts w:ascii="Arial" w:hAnsi="Arial" w:cs="Arial"/>
          <w:sz w:val="16"/>
          <w:szCs w:val="16"/>
          <w:lang w:val="en-AU"/>
        </w:rPr>
        <w:t xml:space="preserve">Available at </w:t>
      </w:r>
      <w:hyperlink r:id="rId2" w:history="1">
        <w:r w:rsidRPr="00480318">
          <w:rPr>
            <w:rStyle w:val="Hyperlink"/>
            <w:rFonts w:ascii="Arial" w:hAnsi="Arial" w:cs="Arial"/>
            <w:sz w:val="16"/>
            <w:szCs w:val="16"/>
          </w:rPr>
          <w:t>https://www.aph.gov.au/Parliamentary_Business/Committees/Senate/Economics/Completed_inquiries/2010-13/bankingcomp2010/index</w:t>
        </w:r>
      </w:hyperlink>
    </w:p>
  </w:footnote>
  <w:footnote w:id="11">
    <w:p w14:paraId="14D77C0C" w14:textId="4D6507F4" w:rsidR="008919BC" w:rsidRPr="00480318" w:rsidRDefault="008919BC">
      <w:pPr>
        <w:pStyle w:val="FootnoteText"/>
        <w:rPr>
          <w:rFonts w:ascii="Arial" w:hAnsi="Arial" w:cs="Arial"/>
          <w:sz w:val="16"/>
          <w:szCs w:val="16"/>
          <w:lang w:val="en-AU"/>
        </w:rPr>
      </w:pPr>
      <w:r w:rsidRPr="00480318">
        <w:rPr>
          <w:rStyle w:val="FootnoteReference"/>
          <w:rFonts w:ascii="Arial" w:hAnsi="Arial" w:cs="Arial"/>
          <w:sz w:val="16"/>
          <w:szCs w:val="16"/>
        </w:rPr>
        <w:footnoteRef/>
      </w:r>
      <w:r w:rsidRPr="00480318">
        <w:rPr>
          <w:rFonts w:ascii="Arial" w:hAnsi="Arial" w:cs="Arial"/>
          <w:sz w:val="16"/>
          <w:szCs w:val="16"/>
        </w:rPr>
        <w:t xml:space="preserve"> </w:t>
      </w:r>
      <w:r w:rsidRPr="00480318">
        <w:rPr>
          <w:rFonts w:ascii="Arial" w:hAnsi="Arial" w:cs="Arial"/>
          <w:sz w:val="16"/>
          <w:szCs w:val="16"/>
          <w:lang w:val="en-AU"/>
        </w:rPr>
        <w:t>Ibid</w:t>
      </w:r>
      <w:r w:rsidR="000B5226">
        <w:rPr>
          <w:rFonts w:ascii="Arial" w:hAnsi="Arial" w:cs="Arial"/>
          <w:sz w:val="16"/>
          <w:szCs w:val="16"/>
          <w:lang w:val="en-AU"/>
        </w:rPr>
        <w:t xml:space="preserve">, </w:t>
      </w:r>
      <w:proofErr w:type="spellStart"/>
      <w:r w:rsidR="000B5226">
        <w:rPr>
          <w:rFonts w:ascii="Arial" w:hAnsi="Arial" w:cs="Arial"/>
          <w:sz w:val="16"/>
          <w:szCs w:val="16"/>
          <w:lang w:val="en-AU"/>
        </w:rPr>
        <w:t>n.9</w:t>
      </w:r>
      <w:proofErr w:type="spellEnd"/>
      <w:r w:rsidRPr="00480318">
        <w:rPr>
          <w:rFonts w:ascii="Arial" w:hAnsi="Arial" w:cs="Arial"/>
          <w:sz w:val="16"/>
          <w:szCs w:val="16"/>
          <w:lang w:val="en-AU"/>
        </w:rPr>
        <w:t>, pp 63-66</w:t>
      </w:r>
    </w:p>
  </w:footnote>
  <w:footnote w:id="12">
    <w:p w14:paraId="0B9DF805" w14:textId="369CD30B" w:rsidR="00660AED" w:rsidRPr="00D07506" w:rsidRDefault="00660AED" w:rsidP="00660AED">
      <w:pPr>
        <w:pStyle w:val="Heading1"/>
        <w:spacing w:before="0" w:after="0"/>
        <w:rPr>
          <w:rFonts w:ascii="Arial" w:hAnsi="Arial" w:cs="Arial"/>
          <w:b/>
          <w:bCs/>
          <w:color w:val="000000"/>
          <w:sz w:val="16"/>
          <w:szCs w:val="16"/>
        </w:rPr>
      </w:pPr>
      <w:r w:rsidRPr="00D07506">
        <w:rPr>
          <w:rStyle w:val="FootnoteReference"/>
          <w:rFonts w:ascii="Arial" w:hAnsi="Arial" w:cs="Arial"/>
          <w:sz w:val="16"/>
          <w:szCs w:val="16"/>
        </w:rPr>
        <w:footnoteRef/>
      </w:r>
      <w:r w:rsidRPr="00D07506">
        <w:rPr>
          <w:rFonts w:ascii="Arial" w:hAnsi="Arial" w:cs="Arial"/>
          <w:sz w:val="16"/>
          <w:szCs w:val="16"/>
        </w:rPr>
        <w:t xml:space="preserve"> For a recent example of the use of these provisions by ASIC, see ASIC, Media Release </w:t>
      </w:r>
      <w:r w:rsidRPr="00D07506">
        <w:rPr>
          <w:rFonts w:ascii="Arial" w:hAnsi="Arial" w:cs="Arial"/>
          <w:color w:val="000000"/>
          <w:sz w:val="16"/>
          <w:szCs w:val="16"/>
        </w:rPr>
        <w:t>18-</w:t>
      </w:r>
      <w:proofErr w:type="spellStart"/>
      <w:r w:rsidRPr="00D07506">
        <w:rPr>
          <w:rFonts w:ascii="Arial" w:hAnsi="Arial" w:cs="Arial"/>
          <w:color w:val="000000"/>
          <w:sz w:val="16"/>
          <w:szCs w:val="16"/>
        </w:rPr>
        <w:t>061MR</w:t>
      </w:r>
      <w:proofErr w:type="spellEnd"/>
      <w:r w:rsidRPr="00D07506">
        <w:rPr>
          <w:rFonts w:ascii="Arial" w:hAnsi="Arial" w:cs="Arial"/>
          <w:color w:val="000000"/>
          <w:sz w:val="16"/>
          <w:szCs w:val="16"/>
        </w:rPr>
        <w:t xml:space="preserve"> “ASIC takes action against Rio Tinto and its former CEO and CFO for misleading and deceptive conduct”</w:t>
      </w:r>
    </w:p>
  </w:footnote>
  <w:footnote w:id="13">
    <w:p w14:paraId="0192D2B7" w14:textId="7A426BCB" w:rsidR="00D07506" w:rsidRPr="00480318" w:rsidRDefault="00D07506">
      <w:pPr>
        <w:pStyle w:val="FootnoteText"/>
        <w:rPr>
          <w:lang w:val="en-AU"/>
        </w:rPr>
      </w:pPr>
      <w:r w:rsidRPr="00480318">
        <w:rPr>
          <w:rStyle w:val="FootnoteReference"/>
          <w:rFonts w:ascii="Arial" w:hAnsi="Arial" w:cs="Arial"/>
          <w:sz w:val="16"/>
          <w:szCs w:val="16"/>
        </w:rPr>
        <w:footnoteRef/>
      </w:r>
      <w:r w:rsidRPr="00480318">
        <w:rPr>
          <w:rFonts w:ascii="Arial" w:hAnsi="Arial" w:cs="Arial"/>
          <w:sz w:val="16"/>
          <w:szCs w:val="16"/>
        </w:rPr>
        <w:t xml:space="preserve"> </w:t>
      </w:r>
      <w:r w:rsidRPr="00480318">
        <w:rPr>
          <w:rFonts w:ascii="Arial" w:hAnsi="Arial" w:cs="Arial"/>
          <w:sz w:val="16"/>
          <w:szCs w:val="16"/>
          <w:lang w:val="en-AU"/>
        </w:rPr>
        <w:t>C</w:t>
      </w:r>
      <w:r w:rsidR="000B5226">
        <w:rPr>
          <w:rFonts w:ascii="Arial" w:hAnsi="Arial" w:cs="Arial"/>
          <w:sz w:val="16"/>
          <w:szCs w:val="16"/>
          <w:lang w:val="en-AU"/>
        </w:rPr>
        <w:t>ommonwealth of Australia</w:t>
      </w:r>
      <w:r w:rsidRPr="00480318">
        <w:rPr>
          <w:rFonts w:ascii="Arial" w:hAnsi="Arial" w:cs="Arial"/>
          <w:sz w:val="16"/>
          <w:szCs w:val="16"/>
          <w:lang w:val="en-AU"/>
        </w:rPr>
        <w:t xml:space="preserve">, 2017. </w:t>
      </w:r>
      <w:r w:rsidRPr="00480318">
        <w:rPr>
          <w:rFonts w:ascii="Arial" w:hAnsi="Arial" w:cs="Arial"/>
          <w:i/>
          <w:sz w:val="16"/>
          <w:szCs w:val="16"/>
          <w:lang w:val="en-AU"/>
        </w:rPr>
        <w:t>Australian Consumer Law Review Final Report</w:t>
      </w:r>
      <w:r w:rsidRPr="00480318">
        <w:rPr>
          <w:rFonts w:ascii="Arial" w:hAnsi="Arial" w:cs="Arial"/>
          <w:sz w:val="16"/>
          <w:szCs w:val="16"/>
          <w:lang w:val="en-AU"/>
        </w:rPr>
        <w:t>: Canberra, p 53.</w:t>
      </w:r>
    </w:p>
  </w:footnote>
  <w:footnote w:id="14">
    <w:p w14:paraId="2F1BA0C3" w14:textId="58E87D79" w:rsidR="00901108" w:rsidRPr="00D07506" w:rsidRDefault="00901108" w:rsidP="00660AED">
      <w:pPr>
        <w:autoSpaceDE w:val="0"/>
        <w:autoSpaceDN w:val="0"/>
        <w:adjustRightInd w:val="0"/>
        <w:rPr>
          <w:rFonts w:ascii="Arial" w:hAnsi="Arial" w:cs="Arial"/>
          <w:color w:val="000000"/>
          <w:sz w:val="16"/>
          <w:szCs w:val="16"/>
          <w:lang w:val="en-US"/>
        </w:rPr>
      </w:pPr>
      <w:r w:rsidRPr="00901108">
        <w:rPr>
          <w:rStyle w:val="FootnoteReference"/>
          <w:rFonts w:ascii="Arial" w:hAnsi="Arial" w:cs="Arial"/>
          <w:sz w:val="16"/>
          <w:szCs w:val="16"/>
        </w:rPr>
        <w:footnoteRef/>
      </w:r>
      <w:r w:rsidRPr="00901108">
        <w:rPr>
          <w:rFonts w:ascii="Arial" w:hAnsi="Arial" w:cs="Arial"/>
          <w:sz w:val="16"/>
          <w:szCs w:val="16"/>
        </w:rPr>
        <w:t xml:space="preserve"> Legislative and Governance Forum on Consumer Affairs, </w:t>
      </w:r>
      <w:r w:rsidRPr="00901108">
        <w:rPr>
          <w:rFonts w:ascii="Arial" w:hAnsi="Arial" w:cs="Arial"/>
          <w:i/>
          <w:sz w:val="16"/>
          <w:szCs w:val="16"/>
        </w:rPr>
        <w:t>Joint Communique of Meeting of Ministers for Consumer Affairs</w:t>
      </w:r>
      <w:r w:rsidRPr="00901108">
        <w:rPr>
          <w:rFonts w:ascii="Arial" w:hAnsi="Arial" w:cs="Arial"/>
          <w:sz w:val="16"/>
          <w:szCs w:val="16"/>
        </w:rPr>
        <w:t xml:space="preserve">, Melbourne, </w:t>
      </w:r>
      <w:r w:rsidRPr="00D07506">
        <w:rPr>
          <w:rFonts w:ascii="Arial" w:hAnsi="Arial" w:cs="Arial"/>
          <w:sz w:val="16"/>
          <w:szCs w:val="16"/>
        </w:rPr>
        <w:t xml:space="preserve">Victoria, 31 August 2017 </w:t>
      </w:r>
      <w:r w:rsidRPr="00D07506">
        <w:rPr>
          <w:rFonts w:ascii="Arial" w:hAnsi="Arial" w:cs="Arial"/>
          <w:color w:val="000000"/>
          <w:sz w:val="16"/>
          <w:szCs w:val="16"/>
        </w:rPr>
        <w:t xml:space="preserve"> </w:t>
      </w:r>
    </w:p>
  </w:footnote>
  <w:footnote w:id="15">
    <w:p w14:paraId="5F11072D" w14:textId="77777777" w:rsidR="000B5226" w:rsidRPr="007E14CF" w:rsidRDefault="000B5226" w:rsidP="000B5226">
      <w:pPr>
        <w:pStyle w:val="FootnoteText"/>
        <w:rPr>
          <w:rFonts w:cstheme="minorHAnsi"/>
          <w:sz w:val="16"/>
          <w:szCs w:val="16"/>
          <w:lang w:val="en-AU"/>
        </w:rPr>
      </w:pPr>
      <w:r w:rsidRPr="00480318">
        <w:rPr>
          <w:rStyle w:val="FootnoteReference"/>
          <w:rFonts w:ascii="Arial" w:hAnsi="Arial" w:cs="Arial"/>
          <w:sz w:val="16"/>
          <w:szCs w:val="16"/>
        </w:rPr>
        <w:footnoteRef/>
      </w:r>
      <w:r w:rsidRPr="00480318">
        <w:rPr>
          <w:rFonts w:ascii="Arial" w:hAnsi="Arial" w:cs="Arial"/>
          <w:sz w:val="16"/>
          <w:szCs w:val="16"/>
        </w:rPr>
        <w:t xml:space="preserve"> </w:t>
      </w:r>
      <w:r w:rsidRPr="00480318">
        <w:rPr>
          <w:rFonts w:ascii="Arial" w:hAnsi="Arial" w:cs="Arial"/>
          <w:sz w:val="16"/>
          <w:szCs w:val="16"/>
          <w:lang w:val="en-AU"/>
        </w:rPr>
        <w:t xml:space="preserve">IPA, </w:t>
      </w:r>
      <w:r w:rsidRPr="00480318">
        <w:rPr>
          <w:rFonts w:ascii="Arial" w:hAnsi="Arial" w:cs="Arial"/>
          <w:i/>
          <w:sz w:val="16"/>
          <w:szCs w:val="16"/>
          <w:lang w:val="en-AU"/>
        </w:rPr>
        <w:t>Submission to Competition Policy Review</w:t>
      </w:r>
      <w:r w:rsidRPr="00480318">
        <w:rPr>
          <w:rFonts w:ascii="Arial" w:hAnsi="Arial" w:cs="Arial"/>
          <w:sz w:val="16"/>
          <w:szCs w:val="16"/>
          <w:lang w:val="en-AU"/>
        </w:rPr>
        <w:t>, June 2014, p 4</w:t>
      </w:r>
    </w:p>
  </w:footnote>
  <w:footnote w:id="16">
    <w:p w14:paraId="7CB9EE2B" w14:textId="1FD07569" w:rsidR="004164DB" w:rsidRPr="00480318" w:rsidRDefault="004164DB" w:rsidP="004164DB">
      <w:pPr>
        <w:pStyle w:val="FootnoteText"/>
        <w:rPr>
          <w:rFonts w:ascii="Arial" w:hAnsi="Arial" w:cs="Arial"/>
          <w:sz w:val="16"/>
          <w:szCs w:val="16"/>
          <w:lang w:val="en-AU"/>
        </w:rPr>
      </w:pPr>
      <w:r w:rsidRPr="00480318">
        <w:rPr>
          <w:rStyle w:val="FootnoteReference"/>
          <w:rFonts w:ascii="Arial" w:hAnsi="Arial" w:cs="Arial"/>
          <w:sz w:val="16"/>
          <w:szCs w:val="16"/>
        </w:rPr>
        <w:footnoteRef/>
      </w:r>
      <w:r w:rsidRPr="00480318">
        <w:rPr>
          <w:rFonts w:ascii="Arial" w:hAnsi="Arial" w:cs="Arial"/>
          <w:sz w:val="16"/>
          <w:szCs w:val="16"/>
        </w:rPr>
        <w:t xml:space="preserve"> Commonwealth of Australia, </w:t>
      </w:r>
      <w:r w:rsidRPr="00480318">
        <w:rPr>
          <w:rFonts w:ascii="Arial" w:hAnsi="Arial" w:cs="Arial"/>
          <w:i/>
          <w:sz w:val="16"/>
          <w:szCs w:val="16"/>
          <w:lang w:val="en-AU"/>
        </w:rPr>
        <w:t xml:space="preserve">Australian Consumer Law Review Final Report, </w:t>
      </w:r>
      <w:r w:rsidRPr="00480318">
        <w:rPr>
          <w:rFonts w:ascii="Arial" w:hAnsi="Arial" w:cs="Arial"/>
          <w:sz w:val="16"/>
          <w:szCs w:val="16"/>
          <w:lang w:val="en-AU"/>
        </w:rPr>
        <w:t>201</w:t>
      </w:r>
      <w:r w:rsidR="00D07506" w:rsidRPr="00D07506">
        <w:rPr>
          <w:rFonts w:ascii="Arial" w:hAnsi="Arial" w:cs="Arial"/>
          <w:sz w:val="16"/>
          <w:szCs w:val="16"/>
          <w:lang w:val="en-AU"/>
        </w:rPr>
        <w:t>7</w:t>
      </w:r>
      <w:r w:rsidRPr="00480318">
        <w:rPr>
          <w:rFonts w:ascii="Arial" w:hAnsi="Arial" w:cs="Arial"/>
          <w:sz w:val="16"/>
          <w:szCs w:val="16"/>
          <w:lang w:val="en-AU"/>
        </w:rPr>
        <w:t xml:space="preserve">, p 51 </w:t>
      </w:r>
    </w:p>
  </w:footnote>
  <w:footnote w:id="17">
    <w:p w14:paraId="5A78C749" w14:textId="54E307E1" w:rsidR="00D07506" w:rsidRPr="00480318" w:rsidRDefault="00D07506">
      <w:pPr>
        <w:pStyle w:val="FootnoteText"/>
        <w:rPr>
          <w:rFonts w:ascii="Arial" w:hAnsi="Arial" w:cs="Arial"/>
          <w:sz w:val="16"/>
          <w:szCs w:val="16"/>
          <w:lang w:val="en-AU"/>
        </w:rPr>
      </w:pPr>
      <w:r w:rsidRPr="00480318">
        <w:rPr>
          <w:rStyle w:val="FootnoteReference"/>
          <w:rFonts w:ascii="Arial" w:hAnsi="Arial" w:cs="Arial"/>
          <w:sz w:val="16"/>
          <w:szCs w:val="16"/>
        </w:rPr>
        <w:footnoteRef/>
      </w:r>
      <w:r w:rsidRPr="00480318">
        <w:rPr>
          <w:rFonts w:ascii="Arial" w:hAnsi="Arial" w:cs="Arial"/>
          <w:sz w:val="16"/>
          <w:szCs w:val="16"/>
        </w:rPr>
        <w:t xml:space="preserve"> </w:t>
      </w:r>
      <w:r w:rsidRPr="00D07506">
        <w:rPr>
          <w:rFonts w:ascii="Arial" w:hAnsi="Arial" w:cs="Arial"/>
          <w:sz w:val="16"/>
          <w:szCs w:val="16"/>
        </w:rPr>
        <w:t xml:space="preserve">Commonwealth of Australia, </w:t>
      </w:r>
      <w:r w:rsidRPr="00D07506">
        <w:rPr>
          <w:rFonts w:ascii="Arial" w:hAnsi="Arial" w:cs="Arial"/>
          <w:i/>
          <w:sz w:val="16"/>
          <w:szCs w:val="16"/>
          <w:lang w:val="en-AU"/>
        </w:rPr>
        <w:t xml:space="preserve">Australian Consumer Law Review Final Report, </w:t>
      </w:r>
      <w:r w:rsidRPr="00D07506">
        <w:rPr>
          <w:rFonts w:ascii="Arial" w:hAnsi="Arial" w:cs="Arial"/>
          <w:sz w:val="16"/>
          <w:szCs w:val="16"/>
          <w:lang w:val="en-AU"/>
        </w:rPr>
        <w:t>2017, p 49</w:t>
      </w:r>
    </w:p>
  </w:footnote>
  <w:footnote w:id="18">
    <w:p w14:paraId="3E34AAE9" w14:textId="5112686E" w:rsidR="00901108" w:rsidRPr="00901108" w:rsidRDefault="00901108">
      <w:pPr>
        <w:pStyle w:val="FootnoteText"/>
        <w:rPr>
          <w:lang w:val="en-AU"/>
        </w:rPr>
      </w:pPr>
      <w:r w:rsidRPr="00901108">
        <w:rPr>
          <w:rStyle w:val="FootnoteReference"/>
          <w:rFonts w:ascii="Arial" w:hAnsi="Arial" w:cs="Arial"/>
          <w:sz w:val="16"/>
          <w:szCs w:val="16"/>
        </w:rPr>
        <w:footnoteRef/>
      </w:r>
      <w:r w:rsidRPr="00901108">
        <w:rPr>
          <w:rFonts w:ascii="Arial" w:hAnsi="Arial" w:cs="Arial"/>
          <w:sz w:val="16"/>
          <w:szCs w:val="16"/>
        </w:rPr>
        <w:t xml:space="preserve"> </w:t>
      </w:r>
      <w:r w:rsidRPr="00901108">
        <w:rPr>
          <w:rFonts w:ascii="Arial" w:hAnsi="Arial" w:cs="Arial"/>
          <w:sz w:val="16"/>
          <w:szCs w:val="16"/>
          <w:lang w:val="en-AU"/>
        </w:rPr>
        <w:t xml:space="preserve">IPA, </w:t>
      </w:r>
      <w:r w:rsidRPr="00901108">
        <w:rPr>
          <w:rFonts w:ascii="Arial" w:hAnsi="Arial" w:cs="Arial"/>
          <w:i/>
          <w:sz w:val="16"/>
          <w:szCs w:val="16"/>
          <w:lang w:val="en-AU"/>
        </w:rPr>
        <w:t xml:space="preserve">Response to </w:t>
      </w:r>
      <w:proofErr w:type="spellStart"/>
      <w:r w:rsidRPr="00901108">
        <w:rPr>
          <w:rFonts w:ascii="Arial" w:hAnsi="Arial" w:cs="Arial"/>
          <w:i/>
          <w:sz w:val="16"/>
          <w:szCs w:val="16"/>
          <w:lang w:val="en-AU"/>
        </w:rPr>
        <w:t>ACCC</w:t>
      </w:r>
      <w:proofErr w:type="spellEnd"/>
      <w:r w:rsidRPr="00901108">
        <w:rPr>
          <w:rFonts w:ascii="Arial" w:hAnsi="Arial" w:cs="Arial"/>
          <w:i/>
          <w:sz w:val="16"/>
          <w:szCs w:val="16"/>
          <w:lang w:val="en-AU"/>
        </w:rPr>
        <w:t xml:space="preserve"> Guidance and Guidelines</w:t>
      </w:r>
      <w:r w:rsidRPr="00901108">
        <w:rPr>
          <w:rFonts w:ascii="Arial" w:hAnsi="Arial" w:cs="Arial"/>
          <w:sz w:val="16"/>
          <w:szCs w:val="16"/>
          <w:lang w:val="en-AU"/>
        </w:rPr>
        <w:t>, 24 November 2017</w:t>
      </w:r>
    </w:p>
  </w:footnote>
  <w:footnote w:id="19">
    <w:p w14:paraId="5B5B1825" w14:textId="77777777" w:rsidR="000B5226" w:rsidRPr="00901108" w:rsidRDefault="000B5226" w:rsidP="000B5226">
      <w:pPr>
        <w:rPr>
          <w:rFonts w:ascii="Arial" w:hAnsi="Arial" w:cs="Arial"/>
          <w:sz w:val="16"/>
          <w:szCs w:val="16"/>
        </w:rPr>
      </w:pPr>
      <w:r w:rsidRPr="00901108">
        <w:rPr>
          <w:rStyle w:val="FootnoteReference"/>
          <w:rFonts w:ascii="Arial" w:hAnsi="Arial" w:cs="Arial"/>
          <w:sz w:val="16"/>
          <w:szCs w:val="16"/>
        </w:rPr>
        <w:footnoteRef/>
      </w:r>
      <w:r w:rsidRPr="00901108">
        <w:rPr>
          <w:rFonts w:ascii="Arial" w:hAnsi="Arial" w:cs="Arial"/>
          <w:sz w:val="16"/>
          <w:szCs w:val="16"/>
        </w:rPr>
        <w:t xml:space="preserve"> Rod Sims, </w:t>
      </w:r>
      <w:r w:rsidRPr="00901108">
        <w:rPr>
          <w:rFonts w:ascii="Arial" w:hAnsi="Arial" w:cs="Arial"/>
          <w:i/>
          <w:sz w:val="16"/>
          <w:szCs w:val="16"/>
        </w:rPr>
        <w:t xml:space="preserve">Speech to launch </w:t>
      </w:r>
      <w:proofErr w:type="spellStart"/>
      <w:r w:rsidRPr="00901108">
        <w:rPr>
          <w:rFonts w:ascii="Arial" w:hAnsi="Arial" w:cs="Arial"/>
          <w:i/>
          <w:color w:val="363535"/>
          <w:sz w:val="16"/>
          <w:szCs w:val="16"/>
          <w:shd w:val="clear" w:color="auto" w:fill="FFFFFF"/>
        </w:rPr>
        <w:t>ACCC's</w:t>
      </w:r>
      <w:proofErr w:type="spellEnd"/>
      <w:r w:rsidRPr="00901108">
        <w:rPr>
          <w:rFonts w:ascii="Arial" w:hAnsi="Arial" w:cs="Arial"/>
          <w:i/>
          <w:color w:val="363535"/>
          <w:sz w:val="16"/>
          <w:szCs w:val="16"/>
          <w:shd w:val="clear" w:color="auto" w:fill="FFFFFF"/>
        </w:rPr>
        <w:t xml:space="preserve"> 2018 Compliance and Enforcement policy</w:t>
      </w:r>
      <w:r w:rsidRPr="00901108">
        <w:rPr>
          <w:rFonts w:ascii="Arial" w:hAnsi="Arial" w:cs="Arial"/>
          <w:color w:val="363535"/>
          <w:sz w:val="16"/>
          <w:szCs w:val="16"/>
          <w:shd w:val="clear" w:color="auto" w:fill="FFFFFF"/>
        </w:rPr>
        <w:t xml:space="preserve">, </w:t>
      </w:r>
      <w:proofErr w:type="spellStart"/>
      <w:r w:rsidRPr="00901108">
        <w:rPr>
          <w:rFonts w:ascii="Arial" w:hAnsi="Arial" w:cs="Arial"/>
          <w:color w:val="363535"/>
          <w:sz w:val="16"/>
          <w:szCs w:val="16"/>
          <w:shd w:val="clear" w:color="auto" w:fill="FFFFFF"/>
        </w:rPr>
        <w:t>CEDA</w:t>
      </w:r>
      <w:proofErr w:type="spellEnd"/>
      <w:r w:rsidRPr="00901108">
        <w:rPr>
          <w:rFonts w:ascii="Arial" w:hAnsi="Arial" w:cs="Arial"/>
          <w:color w:val="363535"/>
          <w:sz w:val="16"/>
          <w:szCs w:val="16"/>
          <w:shd w:val="clear" w:color="auto" w:fill="FFFFFF"/>
        </w:rPr>
        <w:t>, Sydney, 20 February 2018</w:t>
      </w:r>
    </w:p>
  </w:footnote>
  <w:footnote w:id="20">
    <w:p w14:paraId="39724D8E" w14:textId="453BA480" w:rsidR="000B5226" w:rsidRPr="00901108" w:rsidRDefault="000B5226" w:rsidP="000B5226">
      <w:pPr>
        <w:pStyle w:val="FootnoteText"/>
        <w:rPr>
          <w:rFonts w:ascii="Arial" w:hAnsi="Arial" w:cs="Arial"/>
          <w:sz w:val="16"/>
          <w:szCs w:val="16"/>
          <w:lang w:val="en-AU"/>
        </w:rPr>
      </w:pPr>
      <w:r w:rsidRPr="00901108">
        <w:rPr>
          <w:rStyle w:val="FootnoteReference"/>
          <w:rFonts w:ascii="Arial" w:hAnsi="Arial" w:cs="Arial"/>
          <w:sz w:val="16"/>
          <w:szCs w:val="16"/>
        </w:rPr>
        <w:footnoteRef/>
      </w:r>
      <w:r w:rsidRPr="00901108">
        <w:rPr>
          <w:rFonts w:ascii="Arial" w:hAnsi="Arial" w:cs="Arial"/>
          <w:sz w:val="16"/>
          <w:szCs w:val="16"/>
        </w:rPr>
        <w:t xml:space="preserve"> </w:t>
      </w:r>
      <w:proofErr w:type="spellStart"/>
      <w:r w:rsidRPr="00901108">
        <w:rPr>
          <w:rFonts w:ascii="Arial" w:hAnsi="Arial" w:cs="Arial"/>
          <w:sz w:val="16"/>
          <w:szCs w:val="16"/>
          <w:lang w:val="en-AU"/>
        </w:rPr>
        <w:t>ACCC</w:t>
      </w:r>
      <w:proofErr w:type="spellEnd"/>
      <w:r w:rsidRPr="00901108">
        <w:rPr>
          <w:rFonts w:ascii="Arial" w:hAnsi="Arial" w:cs="Arial"/>
          <w:sz w:val="16"/>
          <w:szCs w:val="16"/>
          <w:lang w:val="en-AU"/>
        </w:rPr>
        <w:t>, 2018 Compliance and Enforcement Policy</w:t>
      </w:r>
      <w:r>
        <w:rPr>
          <w:rFonts w:ascii="Arial" w:hAnsi="Arial" w:cs="Arial"/>
          <w:sz w:val="16"/>
          <w:szCs w:val="16"/>
          <w:lang w:val="en-AU"/>
        </w:rPr>
        <w:t xml:space="preserve">, available at </w:t>
      </w:r>
      <w:hyperlink r:id="rId3" w:history="1">
        <w:r w:rsidRPr="00D0571B">
          <w:rPr>
            <w:rStyle w:val="Hyperlink"/>
            <w:rFonts w:ascii="Arial" w:hAnsi="Arial" w:cs="Arial"/>
            <w:sz w:val="16"/>
            <w:szCs w:val="16"/>
            <w:lang w:val="en-AU"/>
          </w:rPr>
          <w:t>https://www.accc.gov.au/publications/compliance-and-enforcement-policy</w:t>
        </w:r>
      </w:hyperlink>
      <w:r>
        <w:rPr>
          <w:rFonts w:ascii="Arial" w:hAnsi="Arial" w:cs="Arial"/>
          <w:sz w:val="16"/>
          <w:szCs w:val="16"/>
          <w:lang w:val="en-AU"/>
        </w:rPr>
        <w:t xml:space="preserve"> </w:t>
      </w:r>
    </w:p>
  </w:footnote>
  <w:footnote w:id="21">
    <w:p w14:paraId="4DC46D55" w14:textId="02586F30" w:rsidR="000B5226" w:rsidRPr="000B5226" w:rsidRDefault="000B5226">
      <w:pPr>
        <w:pStyle w:val="FootnoteText"/>
        <w:rPr>
          <w:rFonts w:ascii="Arial" w:hAnsi="Arial" w:cs="Arial"/>
          <w:sz w:val="16"/>
          <w:szCs w:val="16"/>
          <w:lang w:val="en-AU"/>
        </w:rPr>
      </w:pPr>
      <w:r w:rsidRPr="000B5226">
        <w:rPr>
          <w:rStyle w:val="FootnoteReference"/>
          <w:rFonts w:ascii="Arial" w:hAnsi="Arial" w:cs="Arial"/>
          <w:sz w:val="16"/>
          <w:szCs w:val="16"/>
        </w:rPr>
        <w:footnoteRef/>
      </w:r>
      <w:r w:rsidRPr="000B5226">
        <w:rPr>
          <w:rFonts w:ascii="Arial" w:hAnsi="Arial" w:cs="Arial"/>
          <w:sz w:val="16"/>
          <w:szCs w:val="16"/>
        </w:rPr>
        <w:t xml:space="preserve"> </w:t>
      </w:r>
      <w:r w:rsidRPr="000B5226">
        <w:rPr>
          <w:rFonts w:ascii="Arial" w:hAnsi="Arial" w:cs="Arial"/>
          <w:sz w:val="16"/>
          <w:szCs w:val="16"/>
          <w:lang w:val="en-AU"/>
        </w:rPr>
        <w:t xml:space="preserve">ASIC, </w:t>
      </w:r>
      <w:r w:rsidRPr="000B5226">
        <w:rPr>
          <w:rFonts w:ascii="Arial" w:hAnsi="Arial" w:cs="Arial"/>
          <w:i/>
          <w:sz w:val="16"/>
          <w:szCs w:val="16"/>
          <w:lang w:val="en-AU"/>
        </w:rPr>
        <w:t>Annual Report 2016-17</w:t>
      </w:r>
      <w:r w:rsidRPr="000B5226">
        <w:rPr>
          <w:rFonts w:ascii="Arial" w:hAnsi="Arial" w:cs="Arial"/>
          <w:sz w:val="16"/>
          <w:szCs w:val="16"/>
          <w:lang w:val="en-AU"/>
        </w:rPr>
        <w:t>, p 26</w:t>
      </w:r>
    </w:p>
  </w:footnote>
  <w:footnote w:id="22">
    <w:p w14:paraId="3FAECE32" w14:textId="5548A276" w:rsidR="000B5226" w:rsidRPr="000B5226" w:rsidRDefault="000B5226">
      <w:pPr>
        <w:pStyle w:val="FootnoteText"/>
        <w:rPr>
          <w:rFonts w:ascii="Arial" w:hAnsi="Arial" w:cs="Arial"/>
          <w:sz w:val="16"/>
          <w:szCs w:val="16"/>
          <w:lang w:val="en-AU"/>
        </w:rPr>
      </w:pPr>
      <w:r w:rsidRPr="000B5226">
        <w:rPr>
          <w:rStyle w:val="FootnoteReference"/>
          <w:rFonts w:ascii="Arial" w:hAnsi="Arial" w:cs="Arial"/>
          <w:sz w:val="16"/>
          <w:szCs w:val="16"/>
        </w:rPr>
        <w:footnoteRef/>
      </w:r>
      <w:r w:rsidRPr="000B5226">
        <w:rPr>
          <w:rFonts w:ascii="Arial" w:hAnsi="Arial" w:cs="Arial"/>
          <w:sz w:val="16"/>
          <w:szCs w:val="16"/>
        </w:rPr>
        <w:t xml:space="preserve"> Id. </w:t>
      </w:r>
      <w:proofErr w:type="spellStart"/>
      <w:r w:rsidRPr="000B5226">
        <w:rPr>
          <w:rFonts w:ascii="Arial" w:hAnsi="Arial" w:cs="Arial"/>
          <w:sz w:val="16"/>
          <w:szCs w:val="16"/>
        </w:rPr>
        <w:t>p139</w:t>
      </w:r>
      <w:proofErr w:type="spellEnd"/>
      <w:r w:rsidRPr="000B5226">
        <w:rPr>
          <w:rFonts w:ascii="Arial" w:hAnsi="Arial" w:cs="Arial"/>
          <w:sz w:val="16"/>
          <w:szCs w:val="16"/>
        </w:rPr>
        <w:t xml:space="preserve"> Table 2.2</w:t>
      </w:r>
    </w:p>
  </w:footnote>
  <w:footnote w:id="23">
    <w:p w14:paraId="4F3666DD" w14:textId="7C82B071" w:rsidR="000B5226" w:rsidRPr="000B5226" w:rsidRDefault="000B5226">
      <w:pPr>
        <w:pStyle w:val="FootnoteText"/>
        <w:rPr>
          <w:lang w:val="en-AU"/>
        </w:rPr>
      </w:pPr>
      <w:r w:rsidRPr="000B5226">
        <w:rPr>
          <w:rStyle w:val="FootnoteReference"/>
          <w:rFonts w:ascii="Arial" w:hAnsi="Arial" w:cs="Arial"/>
          <w:sz w:val="16"/>
          <w:szCs w:val="16"/>
        </w:rPr>
        <w:footnoteRef/>
      </w:r>
      <w:r w:rsidRPr="000B5226">
        <w:rPr>
          <w:rFonts w:ascii="Arial" w:hAnsi="Arial" w:cs="Arial"/>
          <w:sz w:val="16"/>
          <w:szCs w:val="16"/>
        </w:rPr>
        <w:t xml:space="preserve"> </w:t>
      </w:r>
      <w:r w:rsidRPr="000B5226">
        <w:rPr>
          <w:rFonts w:ascii="Arial" w:hAnsi="Arial" w:cs="Arial"/>
          <w:sz w:val="16"/>
          <w:szCs w:val="16"/>
          <w:lang w:val="en-AU"/>
        </w:rPr>
        <w:t>Id, p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FAD27" w14:textId="2850EBD8" w:rsidR="00A73A2D" w:rsidRDefault="00CC3261">
    <w:pPr>
      <w:pStyle w:val="Header"/>
    </w:pPr>
    <w:r>
      <w:rPr>
        <w:noProof/>
      </w:rPr>
      <w:pict w14:anchorId="43747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 style="position:absolute;margin-left:0;margin-top:0;width:479.25pt;height:159.75pt;rotation:315;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019AA" w14:textId="7205F6F2" w:rsidR="00A73A2D" w:rsidRDefault="00CC3261">
    <w:pPr>
      <w:pStyle w:val="Header"/>
    </w:pPr>
    <w:r>
      <w:rPr>
        <w:noProof/>
      </w:rPr>
      <w:pict w14:anchorId="69DF8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margin-left:0;margin-top:0;width:479.25pt;height:159.75pt;rotation:315;z-index:-2516459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6B1B" w14:textId="123C94E3" w:rsidR="00B05183" w:rsidRDefault="00CC3261">
    <w:r>
      <w:rPr>
        <w:noProof/>
      </w:rPr>
      <w:pict w14:anchorId="39288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79.25pt;height:159.75pt;rotation:315;z-index:-25163776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6B1C" w14:textId="727DB83E" w:rsidR="00B05183" w:rsidRDefault="00B0518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6B23" w14:textId="6640B383" w:rsidR="00B05183" w:rsidRDefault="00B051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809000F"/>
    <w:lvl w:ilvl="0">
      <w:start w:val="1"/>
      <w:numFmt w:val="decimal"/>
      <w:lvlText w:val="%1."/>
      <w:lvlJc w:val="left"/>
      <w:pPr>
        <w:ind w:left="360" w:hanging="360"/>
      </w:pPr>
    </w:lvl>
  </w:abstractNum>
  <w:abstractNum w:abstractNumId="2" w15:restartNumberingAfterBreak="0">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4" w15:restartNumberingAfterBreak="0">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5" w15:restartNumberingAfterBreak="0">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9" w15:restartNumberingAfterBreak="0">
    <w:nsid w:val="01A9604E"/>
    <w:multiLevelType w:val="hybridMultilevel"/>
    <w:tmpl w:val="AB789EC2"/>
    <w:lvl w:ilvl="0" w:tplc="FCA4EA9E">
      <w:start w:val="1"/>
      <w:numFmt w:val="lowerRoman"/>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1B47D2B"/>
    <w:multiLevelType w:val="hybridMultilevel"/>
    <w:tmpl w:val="75FE2B8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1" w15:restartNumberingAfterBreak="0">
    <w:nsid w:val="04D62C2F"/>
    <w:multiLevelType w:val="hybridMultilevel"/>
    <w:tmpl w:val="63AACF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8735E3"/>
    <w:multiLevelType w:val="hybridMultilevel"/>
    <w:tmpl w:val="0CEE8018"/>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0F060D0C"/>
    <w:multiLevelType w:val="hybridMultilevel"/>
    <w:tmpl w:val="3ABC9B66"/>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09B2B34"/>
    <w:multiLevelType w:val="hybridMultilevel"/>
    <w:tmpl w:val="661838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07287"/>
    <w:multiLevelType w:val="hybridMultilevel"/>
    <w:tmpl w:val="3ABC9B66"/>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4F76E9"/>
    <w:multiLevelType w:val="multilevel"/>
    <w:tmpl w:val="3ACE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A67147"/>
    <w:multiLevelType w:val="hybridMultilevel"/>
    <w:tmpl w:val="A2A289F8"/>
    <w:lvl w:ilvl="0" w:tplc="3C062256">
      <w:start w:val="1"/>
      <w:numFmt w:val="bullet"/>
      <w:lvlText w:val="• "/>
      <w:lvlJc w:val="left"/>
      <w:pPr>
        <w:ind w:left="720" w:hanging="360"/>
      </w:pPr>
      <w:rPr>
        <w:rFonts w:ascii="NewCenturySchlbk" w:hAnsi="NewCenturySchlbk" w:hint="default"/>
        <w:b w:val="0"/>
        <w:i w:val="0"/>
        <w:strike w:val="0"/>
        <w:color w:val="000000"/>
        <w:sz w:val="2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4513C4"/>
    <w:multiLevelType w:val="hybridMultilevel"/>
    <w:tmpl w:val="1DA6E3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43731"/>
    <w:multiLevelType w:val="hybridMultilevel"/>
    <w:tmpl w:val="09AC7812"/>
    <w:lvl w:ilvl="0" w:tplc="E974B36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B9F1F1C"/>
    <w:multiLevelType w:val="hybridMultilevel"/>
    <w:tmpl w:val="1EFE6414"/>
    <w:lvl w:ilvl="0" w:tplc="42BA3060">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656C82"/>
    <w:multiLevelType w:val="hybridMultilevel"/>
    <w:tmpl w:val="D97E3B72"/>
    <w:lvl w:ilvl="0" w:tplc="718CA1D4">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2C8349A1"/>
    <w:multiLevelType w:val="hybridMultilevel"/>
    <w:tmpl w:val="48348A44"/>
    <w:lvl w:ilvl="0" w:tplc="FCA4EA9E">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6FE6B23"/>
    <w:multiLevelType w:val="hybridMultilevel"/>
    <w:tmpl w:val="E71EF8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AD2C08"/>
    <w:multiLevelType w:val="hybridMultilevel"/>
    <w:tmpl w:val="AB2EAD6A"/>
    <w:lvl w:ilvl="0" w:tplc="3C062256">
      <w:start w:val="1"/>
      <w:numFmt w:val="bullet"/>
      <w:lvlText w:val="• "/>
      <w:lvlJc w:val="left"/>
      <w:pPr>
        <w:ind w:left="720" w:hanging="360"/>
      </w:pPr>
      <w:rPr>
        <w:rFonts w:ascii="NewCenturySchlbk" w:hAnsi="NewCenturySchlbk" w:hint="default"/>
        <w:b w:val="0"/>
        <w:i w:val="0"/>
        <w:strike w:val="0"/>
        <w:color w:val="000000"/>
        <w:sz w:val="20"/>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B56044"/>
    <w:multiLevelType w:val="hybridMultilevel"/>
    <w:tmpl w:val="C74E940E"/>
    <w:lvl w:ilvl="0" w:tplc="68E827B2">
      <w:start w:val="1"/>
      <w:numFmt w:val="decimal"/>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491D84"/>
    <w:multiLevelType w:val="hybridMultilevel"/>
    <w:tmpl w:val="B71EA7E2"/>
    <w:lvl w:ilvl="0" w:tplc="238E7F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3252AE"/>
    <w:multiLevelType w:val="hybridMultilevel"/>
    <w:tmpl w:val="D32273C0"/>
    <w:lvl w:ilvl="0" w:tplc="3C062256">
      <w:start w:val="1"/>
      <w:numFmt w:val="bullet"/>
      <w:lvlText w:val="• "/>
      <w:lvlJc w:val="left"/>
      <w:pPr>
        <w:ind w:left="720" w:hanging="360"/>
      </w:pPr>
      <w:rPr>
        <w:rFonts w:ascii="NewCenturySchlbk" w:hAnsi="NewCenturySchlbk" w:hint="default"/>
        <w:b w:val="0"/>
        <w:i w:val="0"/>
        <w:strike w:val="0"/>
        <w:color w:val="000000"/>
        <w:sz w:val="20"/>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47A85"/>
    <w:multiLevelType w:val="hybridMultilevel"/>
    <w:tmpl w:val="3EE43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14093B"/>
    <w:multiLevelType w:val="hybridMultilevel"/>
    <w:tmpl w:val="C03A0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5F13B2"/>
    <w:multiLevelType w:val="hybridMultilevel"/>
    <w:tmpl w:val="9B66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E102A"/>
    <w:multiLevelType w:val="hybridMultilevel"/>
    <w:tmpl w:val="5AB2BEFE"/>
    <w:lvl w:ilvl="0" w:tplc="518830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5B4629"/>
    <w:multiLevelType w:val="hybridMultilevel"/>
    <w:tmpl w:val="02D63F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83F28BE"/>
    <w:multiLevelType w:val="hybridMultilevel"/>
    <w:tmpl w:val="4A82E23E"/>
    <w:lvl w:ilvl="0" w:tplc="F9608574">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C515EA6"/>
    <w:multiLevelType w:val="hybridMultilevel"/>
    <w:tmpl w:val="731C5C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F6611C6"/>
    <w:multiLevelType w:val="hybridMultilevel"/>
    <w:tmpl w:val="3F2AA97E"/>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F982310"/>
    <w:multiLevelType w:val="hybridMultilevel"/>
    <w:tmpl w:val="AD7867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11650E7"/>
    <w:multiLevelType w:val="hybridMultilevel"/>
    <w:tmpl w:val="47447778"/>
    <w:lvl w:ilvl="0" w:tplc="3B12B564">
      <w:start w:val="1"/>
      <w:numFmt w:val="upp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6154243A"/>
    <w:multiLevelType w:val="hybridMultilevel"/>
    <w:tmpl w:val="23525AA2"/>
    <w:lvl w:ilvl="0" w:tplc="E990C0B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2B80304"/>
    <w:multiLevelType w:val="hybridMultilevel"/>
    <w:tmpl w:val="BFBE85C2"/>
    <w:lvl w:ilvl="0" w:tplc="3C062256">
      <w:start w:val="1"/>
      <w:numFmt w:val="bullet"/>
      <w:lvlText w:val="• "/>
      <w:lvlJc w:val="left"/>
      <w:pPr>
        <w:ind w:left="720" w:hanging="360"/>
      </w:pPr>
      <w:rPr>
        <w:rFonts w:ascii="NewCenturySchlbk" w:hAnsi="NewCenturySchlbk" w:hint="default"/>
        <w:b w:val="0"/>
        <w:i w:val="0"/>
        <w:strike w:val="0"/>
        <w:color w:val="000000"/>
        <w:sz w:val="2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9B7BDC"/>
    <w:multiLevelType w:val="hybridMultilevel"/>
    <w:tmpl w:val="43522806"/>
    <w:lvl w:ilvl="0" w:tplc="908CC5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86F3A6B"/>
    <w:multiLevelType w:val="hybridMultilevel"/>
    <w:tmpl w:val="04FA38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BA431EF"/>
    <w:multiLevelType w:val="hybridMultilevel"/>
    <w:tmpl w:val="3634BE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CFA7D2B"/>
    <w:multiLevelType w:val="hybridMultilevel"/>
    <w:tmpl w:val="7A4412B8"/>
    <w:lvl w:ilvl="0" w:tplc="3C062256">
      <w:start w:val="1"/>
      <w:numFmt w:val="bullet"/>
      <w:lvlText w:val="• "/>
      <w:lvlJc w:val="left"/>
      <w:pPr>
        <w:ind w:left="720" w:hanging="360"/>
      </w:pPr>
      <w:rPr>
        <w:rFonts w:ascii="NewCenturySchlbk" w:hAnsi="NewCenturySchlbk" w:hint="default"/>
        <w:b w:val="0"/>
        <w:i w:val="0"/>
        <w:strike w:val="0"/>
        <w:color w:val="000000"/>
        <w:sz w:val="20"/>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CF6444"/>
    <w:multiLevelType w:val="hybridMultilevel"/>
    <w:tmpl w:val="975E6BFC"/>
    <w:lvl w:ilvl="0" w:tplc="3C062256">
      <w:start w:val="1"/>
      <w:numFmt w:val="bullet"/>
      <w:lvlText w:val="• "/>
      <w:lvlJc w:val="left"/>
      <w:pPr>
        <w:ind w:left="720" w:hanging="360"/>
      </w:pPr>
      <w:rPr>
        <w:rFonts w:ascii="NewCenturySchlbk" w:hAnsi="NewCenturySchlbk" w:hint="default"/>
        <w:b w:val="0"/>
        <w:i w:val="0"/>
        <w:strike w:val="0"/>
        <w:color w:val="000000"/>
        <w:sz w:val="2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D01398"/>
    <w:multiLevelType w:val="hybridMultilevel"/>
    <w:tmpl w:val="35FA3B26"/>
    <w:lvl w:ilvl="0" w:tplc="0809000F">
      <w:start w:val="1"/>
      <w:numFmt w:val="decimal"/>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28640F2"/>
    <w:multiLevelType w:val="hybridMultilevel"/>
    <w:tmpl w:val="DD36E28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AD17912"/>
    <w:multiLevelType w:val="multilevel"/>
    <w:tmpl w:val="084A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D47F69"/>
    <w:multiLevelType w:val="hybridMultilevel"/>
    <w:tmpl w:val="A4B43942"/>
    <w:lvl w:ilvl="0" w:tplc="3C062256">
      <w:start w:val="1"/>
      <w:numFmt w:val="bullet"/>
      <w:lvlText w:val="• "/>
      <w:lvlJc w:val="left"/>
      <w:pPr>
        <w:ind w:left="720" w:hanging="360"/>
      </w:pPr>
      <w:rPr>
        <w:rFonts w:ascii="NewCenturySchlbk" w:hAnsi="NewCenturySchlbk" w:hint="default"/>
        <w:b w:val="0"/>
        <w:i w:val="0"/>
        <w:strike w:val="0"/>
        <w:color w:val="000000"/>
        <w:sz w:val="20"/>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25"/>
  </w:num>
  <w:num w:numId="4">
    <w:abstractNumId w:val="45"/>
  </w:num>
  <w:num w:numId="5">
    <w:abstractNumId w:val="30"/>
  </w:num>
  <w:num w:numId="6">
    <w:abstractNumId w:val="38"/>
  </w:num>
  <w:num w:numId="7">
    <w:abstractNumId w:val="29"/>
  </w:num>
  <w:num w:numId="8">
    <w:abstractNumId w:val="14"/>
  </w:num>
  <w:num w:numId="9">
    <w:abstractNumId w:val="11"/>
  </w:num>
  <w:num w:numId="10">
    <w:abstractNumId w:val="28"/>
  </w:num>
  <w:num w:numId="11">
    <w:abstractNumId w:val="32"/>
  </w:num>
  <w:num w:numId="12">
    <w:abstractNumId w:val="41"/>
  </w:num>
  <w:num w:numId="13">
    <w:abstractNumId w:val="20"/>
  </w:num>
  <w:num w:numId="14">
    <w:abstractNumId w:val="0"/>
  </w:num>
  <w:num w:numId="15">
    <w:abstractNumId w:val="23"/>
  </w:num>
  <w:num w:numId="16">
    <w:abstractNumId w:val="19"/>
  </w:num>
  <w:num w:numId="17">
    <w:abstractNumId w:val="46"/>
  </w:num>
  <w:num w:numId="18">
    <w:abstractNumId w:val="15"/>
  </w:num>
  <w:num w:numId="19">
    <w:abstractNumId w:val="37"/>
  </w:num>
  <w:num w:numId="20">
    <w:abstractNumId w:val="22"/>
  </w:num>
  <w:num w:numId="21">
    <w:abstractNumId w:val="13"/>
  </w:num>
  <w:num w:numId="22">
    <w:abstractNumId w:val="21"/>
  </w:num>
  <w:num w:numId="23">
    <w:abstractNumId w:val="9"/>
  </w:num>
  <w:num w:numId="24">
    <w:abstractNumId w:val="12"/>
  </w:num>
  <w:num w:numId="25">
    <w:abstractNumId w:val="40"/>
  </w:num>
  <w:num w:numId="26">
    <w:abstractNumId w:val="16"/>
  </w:num>
  <w:num w:numId="27">
    <w:abstractNumId w:val="47"/>
  </w:num>
  <w:num w:numId="28">
    <w:abstractNumId w:val="48"/>
  </w:num>
  <w:num w:numId="29">
    <w:abstractNumId w:val="24"/>
  </w:num>
  <w:num w:numId="30">
    <w:abstractNumId w:val="17"/>
  </w:num>
  <w:num w:numId="31">
    <w:abstractNumId w:val="36"/>
  </w:num>
  <w:num w:numId="32">
    <w:abstractNumId w:val="27"/>
  </w:num>
  <w:num w:numId="33">
    <w:abstractNumId w:val="43"/>
  </w:num>
  <w:num w:numId="34">
    <w:abstractNumId w:val="44"/>
  </w:num>
  <w:num w:numId="35">
    <w:abstractNumId w:val="39"/>
  </w:num>
  <w:num w:numId="36">
    <w:abstractNumId w:val="34"/>
  </w:num>
  <w:num w:numId="37">
    <w:abstractNumId w:val="35"/>
  </w:num>
  <w:num w:numId="38">
    <w:abstractNumId w:val="33"/>
  </w:num>
  <w:num w:numId="39">
    <w:abstractNumId w:val="42"/>
  </w:num>
  <w:num w:numId="40">
    <w:abstractNumId w:val="26"/>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defaultTabStop w:val="720"/>
  <w:drawingGridHorizontalSpacing w:val="120"/>
  <w:drawingGridVerticalSpacing w:val="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2E"/>
    <w:rsid w:val="000016BD"/>
    <w:rsid w:val="000052CA"/>
    <w:rsid w:val="00013B5A"/>
    <w:rsid w:val="00013BBF"/>
    <w:rsid w:val="00024A2C"/>
    <w:rsid w:val="00024A59"/>
    <w:rsid w:val="000273EB"/>
    <w:rsid w:val="00031F35"/>
    <w:rsid w:val="000323F8"/>
    <w:rsid w:val="0003253E"/>
    <w:rsid w:val="000327E9"/>
    <w:rsid w:val="00042AAC"/>
    <w:rsid w:val="00042CFB"/>
    <w:rsid w:val="00046DD5"/>
    <w:rsid w:val="00061C67"/>
    <w:rsid w:val="00063676"/>
    <w:rsid w:val="00064F17"/>
    <w:rsid w:val="000655E7"/>
    <w:rsid w:val="00065B9D"/>
    <w:rsid w:val="00071026"/>
    <w:rsid w:val="000732D0"/>
    <w:rsid w:val="0007443D"/>
    <w:rsid w:val="00074A54"/>
    <w:rsid w:val="00082CDC"/>
    <w:rsid w:val="000A2C70"/>
    <w:rsid w:val="000B5226"/>
    <w:rsid w:val="000B5B16"/>
    <w:rsid w:val="000D1217"/>
    <w:rsid w:val="000D3E57"/>
    <w:rsid w:val="000D4353"/>
    <w:rsid w:val="000D4F01"/>
    <w:rsid w:val="00101FBA"/>
    <w:rsid w:val="00114667"/>
    <w:rsid w:val="001317B9"/>
    <w:rsid w:val="00142664"/>
    <w:rsid w:val="0014706F"/>
    <w:rsid w:val="001536EF"/>
    <w:rsid w:val="001538CD"/>
    <w:rsid w:val="00156A5A"/>
    <w:rsid w:val="00161808"/>
    <w:rsid w:val="00180A1E"/>
    <w:rsid w:val="00182CAC"/>
    <w:rsid w:val="00183F63"/>
    <w:rsid w:val="00185ED2"/>
    <w:rsid w:val="00187E8E"/>
    <w:rsid w:val="00192C3A"/>
    <w:rsid w:val="001941DC"/>
    <w:rsid w:val="001A1DA4"/>
    <w:rsid w:val="001A3BE7"/>
    <w:rsid w:val="001B134D"/>
    <w:rsid w:val="001B5798"/>
    <w:rsid w:val="001C0919"/>
    <w:rsid w:val="001C7DDC"/>
    <w:rsid w:val="001D2E2F"/>
    <w:rsid w:val="001E1ADA"/>
    <w:rsid w:val="00203D92"/>
    <w:rsid w:val="002054B6"/>
    <w:rsid w:val="00206355"/>
    <w:rsid w:val="0021131B"/>
    <w:rsid w:val="00212F18"/>
    <w:rsid w:val="002134A0"/>
    <w:rsid w:val="00222B8A"/>
    <w:rsid w:val="00224B72"/>
    <w:rsid w:val="00227043"/>
    <w:rsid w:val="00230A37"/>
    <w:rsid w:val="00231D45"/>
    <w:rsid w:val="00235F58"/>
    <w:rsid w:val="00237584"/>
    <w:rsid w:val="00243C8D"/>
    <w:rsid w:val="00250D70"/>
    <w:rsid w:val="00265F69"/>
    <w:rsid w:val="002670CE"/>
    <w:rsid w:val="00273C76"/>
    <w:rsid w:val="00285893"/>
    <w:rsid w:val="00285C2D"/>
    <w:rsid w:val="00286269"/>
    <w:rsid w:val="00293E5E"/>
    <w:rsid w:val="00296823"/>
    <w:rsid w:val="002B6D28"/>
    <w:rsid w:val="002C7072"/>
    <w:rsid w:val="002D0897"/>
    <w:rsid w:val="002D0A80"/>
    <w:rsid w:val="002F7A43"/>
    <w:rsid w:val="003061C5"/>
    <w:rsid w:val="003066DE"/>
    <w:rsid w:val="003102BA"/>
    <w:rsid w:val="0031349D"/>
    <w:rsid w:val="00325CC8"/>
    <w:rsid w:val="00327895"/>
    <w:rsid w:val="00331294"/>
    <w:rsid w:val="00334B38"/>
    <w:rsid w:val="0035291A"/>
    <w:rsid w:val="00354BC2"/>
    <w:rsid w:val="0036245A"/>
    <w:rsid w:val="0036436F"/>
    <w:rsid w:val="00372AE9"/>
    <w:rsid w:val="003803CF"/>
    <w:rsid w:val="003826DA"/>
    <w:rsid w:val="0039638F"/>
    <w:rsid w:val="0039739D"/>
    <w:rsid w:val="003A12B1"/>
    <w:rsid w:val="003A4222"/>
    <w:rsid w:val="003B4285"/>
    <w:rsid w:val="003B6E3D"/>
    <w:rsid w:val="003D2623"/>
    <w:rsid w:val="003D3EFB"/>
    <w:rsid w:val="003D70DF"/>
    <w:rsid w:val="003E042C"/>
    <w:rsid w:val="003E7572"/>
    <w:rsid w:val="003F1BE2"/>
    <w:rsid w:val="004029DB"/>
    <w:rsid w:val="00411555"/>
    <w:rsid w:val="0041307C"/>
    <w:rsid w:val="004164DB"/>
    <w:rsid w:val="0041662D"/>
    <w:rsid w:val="00446793"/>
    <w:rsid w:val="00460361"/>
    <w:rsid w:val="004611C9"/>
    <w:rsid w:val="00467309"/>
    <w:rsid w:val="00480318"/>
    <w:rsid w:val="00484B16"/>
    <w:rsid w:val="004872A5"/>
    <w:rsid w:val="00493347"/>
    <w:rsid w:val="004A0620"/>
    <w:rsid w:val="004B1714"/>
    <w:rsid w:val="004F021A"/>
    <w:rsid w:val="00525E16"/>
    <w:rsid w:val="00527684"/>
    <w:rsid w:val="00531606"/>
    <w:rsid w:val="00536AC7"/>
    <w:rsid w:val="00544BC5"/>
    <w:rsid w:val="0055337C"/>
    <w:rsid w:val="005737DA"/>
    <w:rsid w:val="00573DC3"/>
    <w:rsid w:val="005777DD"/>
    <w:rsid w:val="00586F6F"/>
    <w:rsid w:val="00597152"/>
    <w:rsid w:val="005B43E9"/>
    <w:rsid w:val="005B5BAD"/>
    <w:rsid w:val="005C013F"/>
    <w:rsid w:val="005C3927"/>
    <w:rsid w:val="005D59F9"/>
    <w:rsid w:val="005F1C15"/>
    <w:rsid w:val="005F7D60"/>
    <w:rsid w:val="00601D88"/>
    <w:rsid w:val="00621290"/>
    <w:rsid w:val="00622058"/>
    <w:rsid w:val="006248D0"/>
    <w:rsid w:val="00627914"/>
    <w:rsid w:val="00656094"/>
    <w:rsid w:val="006564FE"/>
    <w:rsid w:val="00660AED"/>
    <w:rsid w:val="0066756A"/>
    <w:rsid w:val="00672357"/>
    <w:rsid w:val="0067509A"/>
    <w:rsid w:val="006755EC"/>
    <w:rsid w:val="0068253B"/>
    <w:rsid w:val="006A5D2B"/>
    <w:rsid w:val="006B0325"/>
    <w:rsid w:val="006B0ABD"/>
    <w:rsid w:val="006B32B8"/>
    <w:rsid w:val="006C00C0"/>
    <w:rsid w:val="006C7E4D"/>
    <w:rsid w:val="006D23ED"/>
    <w:rsid w:val="006E0E1F"/>
    <w:rsid w:val="006E6B30"/>
    <w:rsid w:val="0070151C"/>
    <w:rsid w:val="00702CFA"/>
    <w:rsid w:val="007035A4"/>
    <w:rsid w:val="00703F2A"/>
    <w:rsid w:val="00710524"/>
    <w:rsid w:val="007122EE"/>
    <w:rsid w:val="0072203F"/>
    <w:rsid w:val="0073066B"/>
    <w:rsid w:val="00742803"/>
    <w:rsid w:val="00743A50"/>
    <w:rsid w:val="00752713"/>
    <w:rsid w:val="00753C49"/>
    <w:rsid w:val="00755771"/>
    <w:rsid w:val="00755B71"/>
    <w:rsid w:val="00755C60"/>
    <w:rsid w:val="007712EC"/>
    <w:rsid w:val="0077513A"/>
    <w:rsid w:val="00777D80"/>
    <w:rsid w:val="00793589"/>
    <w:rsid w:val="00793FC4"/>
    <w:rsid w:val="007A2962"/>
    <w:rsid w:val="007A30AB"/>
    <w:rsid w:val="007A3AFC"/>
    <w:rsid w:val="007A3C02"/>
    <w:rsid w:val="007B106F"/>
    <w:rsid w:val="007B5CD5"/>
    <w:rsid w:val="007C55C2"/>
    <w:rsid w:val="007E0BA6"/>
    <w:rsid w:val="007E14CF"/>
    <w:rsid w:val="007E7BD3"/>
    <w:rsid w:val="007F4A0C"/>
    <w:rsid w:val="0080349F"/>
    <w:rsid w:val="00805827"/>
    <w:rsid w:val="00815712"/>
    <w:rsid w:val="00815D47"/>
    <w:rsid w:val="008217AA"/>
    <w:rsid w:val="0082333B"/>
    <w:rsid w:val="008329F7"/>
    <w:rsid w:val="00837B68"/>
    <w:rsid w:val="00840041"/>
    <w:rsid w:val="0084362B"/>
    <w:rsid w:val="00844000"/>
    <w:rsid w:val="0084644F"/>
    <w:rsid w:val="0084768B"/>
    <w:rsid w:val="00853379"/>
    <w:rsid w:val="00875BF4"/>
    <w:rsid w:val="0088271A"/>
    <w:rsid w:val="008914FA"/>
    <w:rsid w:val="00891900"/>
    <w:rsid w:val="008919BC"/>
    <w:rsid w:val="00892292"/>
    <w:rsid w:val="008A310C"/>
    <w:rsid w:val="008A38B4"/>
    <w:rsid w:val="008B5602"/>
    <w:rsid w:val="008C699C"/>
    <w:rsid w:val="008F299C"/>
    <w:rsid w:val="00901108"/>
    <w:rsid w:val="00915A38"/>
    <w:rsid w:val="009259F2"/>
    <w:rsid w:val="009308DE"/>
    <w:rsid w:val="009336FC"/>
    <w:rsid w:val="00941361"/>
    <w:rsid w:val="00944825"/>
    <w:rsid w:val="00950065"/>
    <w:rsid w:val="009718D2"/>
    <w:rsid w:val="00992CEE"/>
    <w:rsid w:val="0099410B"/>
    <w:rsid w:val="00994166"/>
    <w:rsid w:val="009B0E79"/>
    <w:rsid w:val="009B74AB"/>
    <w:rsid w:val="009C12CD"/>
    <w:rsid w:val="009C62B1"/>
    <w:rsid w:val="009D05DF"/>
    <w:rsid w:val="009D2256"/>
    <w:rsid w:val="009E5BFF"/>
    <w:rsid w:val="009F589B"/>
    <w:rsid w:val="00A21FC0"/>
    <w:rsid w:val="00A406C2"/>
    <w:rsid w:val="00A42C63"/>
    <w:rsid w:val="00A4742C"/>
    <w:rsid w:val="00A47C93"/>
    <w:rsid w:val="00A5239A"/>
    <w:rsid w:val="00A5304E"/>
    <w:rsid w:val="00A63CC7"/>
    <w:rsid w:val="00A73A2D"/>
    <w:rsid w:val="00AA78F4"/>
    <w:rsid w:val="00AB0F8C"/>
    <w:rsid w:val="00AD1124"/>
    <w:rsid w:val="00AE51B6"/>
    <w:rsid w:val="00B05183"/>
    <w:rsid w:val="00B143FE"/>
    <w:rsid w:val="00B2047F"/>
    <w:rsid w:val="00B41DE9"/>
    <w:rsid w:val="00B530C3"/>
    <w:rsid w:val="00B55496"/>
    <w:rsid w:val="00B6239B"/>
    <w:rsid w:val="00B779B7"/>
    <w:rsid w:val="00B77CE3"/>
    <w:rsid w:val="00B81BB5"/>
    <w:rsid w:val="00B82878"/>
    <w:rsid w:val="00B8724A"/>
    <w:rsid w:val="00B90827"/>
    <w:rsid w:val="00B97DB5"/>
    <w:rsid w:val="00BB01D5"/>
    <w:rsid w:val="00BB49F8"/>
    <w:rsid w:val="00BC0089"/>
    <w:rsid w:val="00BD6294"/>
    <w:rsid w:val="00BE58F8"/>
    <w:rsid w:val="00BF1345"/>
    <w:rsid w:val="00BF1AFF"/>
    <w:rsid w:val="00BF5889"/>
    <w:rsid w:val="00BF6471"/>
    <w:rsid w:val="00BF702E"/>
    <w:rsid w:val="00C00B2D"/>
    <w:rsid w:val="00C039F2"/>
    <w:rsid w:val="00C10732"/>
    <w:rsid w:val="00C170D6"/>
    <w:rsid w:val="00C24FF0"/>
    <w:rsid w:val="00C25F56"/>
    <w:rsid w:val="00C312BD"/>
    <w:rsid w:val="00C334FF"/>
    <w:rsid w:val="00C36C2F"/>
    <w:rsid w:val="00C40840"/>
    <w:rsid w:val="00C444E6"/>
    <w:rsid w:val="00C50934"/>
    <w:rsid w:val="00C5552A"/>
    <w:rsid w:val="00C605E7"/>
    <w:rsid w:val="00C66032"/>
    <w:rsid w:val="00C767CD"/>
    <w:rsid w:val="00C82E69"/>
    <w:rsid w:val="00C83EAC"/>
    <w:rsid w:val="00C87DEF"/>
    <w:rsid w:val="00C927D9"/>
    <w:rsid w:val="00C95054"/>
    <w:rsid w:val="00CA16C4"/>
    <w:rsid w:val="00CA3338"/>
    <w:rsid w:val="00CA34A2"/>
    <w:rsid w:val="00CB3E93"/>
    <w:rsid w:val="00CC054D"/>
    <w:rsid w:val="00CC2390"/>
    <w:rsid w:val="00CC3261"/>
    <w:rsid w:val="00CC3E5E"/>
    <w:rsid w:val="00CC44F7"/>
    <w:rsid w:val="00CE14DE"/>
    <w:rsid w:val="00D07141"/>
    <w:rsid w:val="00D07506"/>
    <w:rsid w:val="00D07C82"/>
    <w:rsid w:val="00D15055"/>
    <w:rsid w:val="00D15327"/>
    <w:rsid w:val="00D15BE3"/>
    <w:rsid w:val="00D23E65"/>
    <w:rsid w:val="00D3704C"/>
    <w:rsid w:val="00D43EE8"/>
    <w:rsid w:val="00D44F0E"/>
    <w:rsid w:val="00D567E3"/>
    <w:rsid w:val="00D569B6"/>
    <w:rsid w:val="00D6174E"/>
    <w:rsid w:val="00D74514"/>
    <w:rsid w:val="00D87833"/>
    <w:rsid w:val="00D911E8"/>
    <w:rsid w:val="00D93C6F"/>
    <w:rsid w:val="00D965A4"/>
    <w:rsid w:val="00D97250"/>
    <w:rsid w:val="00DA2E0D"/>
    <w:rsid w:val="00DA3F8E"/>
    <w:rsid w:val="00DA5690"/>
    <w:rsid w:val="00DB0657"/>
    <w:rsid w:val="00DB3B8E"/>
    <w:rsid w:val="00DB4D06"/>
    <w:rsid w:val="00DD3933"/>
    <w:rsid w:val="00DD794F"/>
    <w:rsid w:val="00DE461C"/>
    <w:rsid w:val="00DE5FDC"/>
    <w:rsid w:val="00DF020E"/>
    <w:rsid w:val="00DF33E7"/>
    <w:rsid w:val="00E1289C"/>
    <w:rsid w:val="00E17660"/>
    <w:rsid w:val="00E23596"/>
    <w:rsid w:val="00E31D36"/>
    <w:rsid w:val="00E32710"/>
    <w:rsid w:val="00E375B1"/>
    <w:rsid w:val="00E37605"/>
    <w:rsid w:val="00E5286E"/>
    <w:rsid w:val="00E53189"/>
    <w:rsid w:val="00E67D28"/>
    <w:rsid w:val="00E83A7A"/>
    <w:rsid w:val="00E86984"/>
    <w:rsid w:val="00E8798F"/>
    <w:rsid w:val="00E90439"/>
    <w:rsid w:val="00E94080"/>
    <w:rsid w:val="00EA0FC4"/>
    <w:rsid w:val="00EA24E7"/>
    <w:rsid w:val="00EA7C18"/>
    <w:rsid w:val="00EB715B"/>
    <w:rsid w:val="00EC1465"/>
    <w:rsid w:val="00EC34D3"/>
    <w:rsid w:val="00EE7CE1"/>
    <w:rsid w:val="00EF09D8"/>
    <w:rsid w:val="00EF77C3"/>
    <w:rsid w:val="00F1389C"/>
    <w:rsid w:val="00F24CB5"/>
    <w:rsid w:val="00F3356A"/>
    <w:rsid w:val="00F42DB8"/>
    <w:rsid w:val="00F47CAF"/>
    <w:rsid w:val="00F6041E"/>
    <w:rsid w:val="00F65C6C"/>
    <w:rsid w:val="00F72FA5"/>
    <w:rsid w:val="00F736A4"/>
    <w:rsid w:val="00F772CD"/>
    <w:rsid w:val="00F80A10"/>
    <w:rsid w:val="00F82A45"/>
    <w:rsid w:val="00F85FB4"/>
    <w:rsid w:val="00F971CB"/>
    <w:rsid w:val="00FB40F4"/>
    <w:rsid w:val="00FC3955"/>
    <w:rsid w:val="00FC5672"/>
    <w:rsid w:val="00FE2E3D"/>
    <w:rsid w:val="00FE44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E676AC0"/>
  <w15:docId w15:val="{1E4F40BA-4615-4076-8FD5-85C4A84D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F56"/>
  </w:style>
  <w:style w:type="paragraph" w:styleId="Heading1">
    <w:name w:val="heading 1"/>
    <w:basedOn w:val="Normal"/>
    <w:next w:val="Normal"/>
    <w:link w:val="Heading1Char"/>
    <w:uiPriority w:val="9"/>
    <w:qFormat/>
    <w:rsid w:val="00C25F56"/>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C25F56"/>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25F56"/>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C25F56"/>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C25F56"/>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C25F56"/>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C25F56"/>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C25F56"/>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C25F56"/>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rsid w:val="006927E8"/>
    <w:pPr>
      <w:suppressAutoHyphens/>
      <w:spacing w:before="120" w:after="120"/>
    </w:pPr>
    <w:rPr>
      <w:rFonts w:ascii="Arial" w:hAnsi="Arial" w:cs="Arial"/>
      <w:sz w:val="20"/>
      <w:lang w:val="en-US" w:eastAsia="en-US" w:bidi="en-US"/>
    </w:rPr>
  </w:style>
  <w:style w:type="paragraph" w:customStyle="1" w:styleId="Subhead-Arial12ptbold">
    <w:name w:val="Subhead - Arial 12pt bold"/>
    <w:basedOn w:val="Normal"/>
    <w:rsid w:val="006927E8"/>
    <w:pPr>
      <w:suppressAutoHyphens/>
    </w:pPr>
    <w:rPr>
      <w:rFonts w:ascii="Arial Bold" w:hAnsi="Arial Bold" w:cs="Calibri"/>
      <w:color w:val="272727"/>
      <w:lang w:val="en-US" w:eastAsia="en-US" w:bidi="en-US"/>
    </w:rPr>
  </w:style>
  <w:style w:type="paragraph" w:customStyle="1" w:styleId="TOCheader">
    <w:name w:val="TOC header"/>
    <w:basedOn w:val="BasicParagraph"/>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 w:type="paragraph" w:customStyle="1" w:styleId="TOCsubhead">
    <w:name w:val="TOC subhead"/>
    <w:basedOn w:val="BasicParagraph"/>
    <w:rsid w:val="004E4E1A"/>
    <w:pPr>
      <w:tabs>
        <w:tab w:val="right" w:pos="7938"/>
      </w:tabs>
      <w:spacing w:before="120"/>
    </w:pPr>
    <w:rPr>
      <w:rFonts w:ascii="Arial" w:hAnsi="Arial"/>
      <w:b/>
      <w:sz w:val="20"/>
    </w:rPr>
  </w:style>
  <w:style w:type="paragraph" w:customStyle="1" w:styleId="TOCbody">
    <w:name w:val="TOC body"/>
    <w:basedOn w:val="BasicParagraph"/>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suppressAutoHyphens/>
      <w:autoSpaceDE w:val="0"/>
      <w:autoSpaceDN w:val="0"/>
      <w:adjustRightInd w:val="0"/>
      <w:spacing w:line="320" w:lineRule="atLeast"/>
      <w:textAlignment w:val="center"/>
    </w:pPr>
    <w:rPr>
      <w:rFonts w:ascii="Arial Bold" w:hAnsi="Arial Bold" w:cs="Futura-Bold"/>
      <w:bCs/>
      <w:color w:val="DF6C08"/>
      <w:sz w:val="28"/>
      <w:szCs w:val="28"/>
      <w:lang w:val="en-GB" w:eastAsia="en-US"/>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suppressAutoHyphens/>
    </w:pPr>
    <w:rPr>
      <w:rFonts w:ascii="Calibri" w:hAnsi="Calibri" w:cs="Calibri"/>
      <w:lang w:val="en-US" w:eastAsia="en-US" w:bidi="en-US"/>
    </w:r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suppressAutoHyphens/>
    </w:pPr>
    <w:rPr>
      <w:rFonts w:ascii="Calibri" w:hAnsi="Calibri" w:cs="Calibri"/>
      <w:lang w:val="en-US" w:eastAsia="en-US" w:bidi="en-US"/>
    </w:r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ListParagraph">
    <w:name w:val="List Paragraph"/>
    <w:basedOn w:val="Normal"/>
    <w:uiPriority w:val="34"/>
    <w:qFormat/>
    <w:rsid w:val="00E1289C"/>
    <w:pPr>
      <w:ind w:left="720"/>
      <w:contextualSpacing/>
    </w:pPr>
  </w:style>
  <w:style w:type="paragraph" w:styleId="FootnoteText">
    <w:name w:val="footnote text"/>
    <w:basedOn w:val="Normal"/>
    <w:link w:val="FootnoteTextChar"/>
    <w:uiPriority w:val="99"/>
    <w:unhideWhenUsed/>
    <w:rsid w:val="00E1289C"/>
    <w:rPr>
      <w:rFonts w:eastAsiaTheme="minorHAnsi"/>
      <w:lang w:val="en-GB" w:eastAsia="en-US"/>
    </w:rPr>
  </w:style>
  <w:style w:type="character" w:customStyle="1" w:styleId="FootnoteTextChar">
    <w:name w:val="Footnote Text Char"/>
    <w:basedOn w:val="DefaultParagraphFont"/>
    <w:link w:val="FootnoteText"/>
    <w:uiPriority w:val="99"/>
    <w:rsid w:val="00E1289C"/>
    <w:rPr>
      <w:rFonts w:asciiTheme="minorHAnsi" w:eastAsiaTheme="minorHAnsi" w:hAnsiTheme="minorHAnsi" w:cstheme="minorBidi"/>
      <w:sz w:val="24"/>
      <w:szCs w:val="24"/>
      <w:lang w:val="en-GB" w:eastAsia="en-US"/>
    </w:rPr>
  </w:style>
  <w:style w:type="character" w:styleId="FootnoteReference">
    <w:name w:val="footnote reference"/>
    <w:basedOn w:val="DefaultParagraphFont"/>
    <w:uiPriority w:val="99"/>
    <w:unhideWhenUsed/>
    <w:rsid w:val="00E1289C"/>
    <w:rPr>
      <w:vertAlign w:val="superscript"/>
    </w:rPr>
  </w:style>
  <w:style w:type="paragraph" w:styleId="NormalWeb">
    <w:name w:val="Normal (Web)"/>
    <w:basedOn w:val="Normal"/>
    <w:uiPriority w:val="99"/>
    <w:unhideWhenUsed/>
    <w:rsid w:val="00E1289C"/>
    <w:pPr>
      <w:spacing w:before="100" w:beforeAutospacing="1" w:after="100" w:afterAutospacing="1"/>
    </w:pPr>
    <w:rPr>
      <w:rFonts w:eastAsiaTheme="minorHAnsi"/>
      <w:lang w:val="en-GB" w:eastAsia="en-GB"/>
    </w:rPr>
  </w:style>
  <w:style w:type="character" w:styleId="CommentReference">
    <w:name w:val="annotation reference"/>
    <w:basedOn w:val="DefaultParagraphFont"/>
    <w:uiPriority w:val="99"/>
    <w:semiHidden/>
    <w:unhideWhenUsed/>
    <w:rsid w:val="00E1289C"/>
    <w:rPr>
      <w:sz w:val="18"/>
      <w:szCs w:val="18"/>
    </w:rPr>
  </w:style>
  <w:style w:type="paragraph" w:styleId="CommentText">
    <w:name w:val="annotation text"/>
    <w:basedOn w:val="Normal"/>
    <w:link w:val="CommentTextChar"/>
    <w:uiPriority w:val="99"/>
    <w:semiHidden/>
    <w:unhideWhenUsed/>
    <w:rsid w:val="00E1289C"/>
    <w:rPr>
      <w:rFonts w:eastAsiaTheme="minorHAnsi"/>
      <w:lang w:val="en-GB"/>
    </w:rPr>
  </w:style>
  <w:style w:type="character" w:customStyle="1" w:styleId="CommentTextChar">
    <w:name w:val="Comment Text Char"/>
    <w:basedOn w:val="DefaultParagraphFont"/>
    <w:link w:val="CommentText"/>
    <w:uiPriority w:val="99"/>
    <w:semiHidden/>
    <w:rsid w:val="00E1289C"/>
    <w:rPr>
      <w:rFonts w:asciiTheme="minorHAnsi" w:eastAsiaTheme="minorHAnsi" w:hAnsiTheme="minorHAnsi" w:cstheme="minorBidi"/>
      <w:sz w:val="24"/>
      <w:szCs w:val="24"/>
      <w:lang w:val="en-GB" w:eastAsia="en-US"/>
    </w:rPr>
  </w:style>
  <w:style w:type="paragraph" w:styleId="BalloonText">
    <w:name w:val="Balloon Text"/>
    <w:basedOn w:val="Normal"/>
    <w:link w:val="BalloonTextChar"/>
    <w:semiHidden/>
    <w:unhideWhenUsed/>
    <w:rsid w:val="002F7A43"/>
    <w:rPr>
      <w:sz w:val="18"/>
      <w:szCs w:val="18"/>
    </w:rPr>
  </w:style>
  <w:style w:type="character" w:customStyle="1" w:styleId="BalloonTextChar">
    <w:name w:val="Balloon Text Char"/>
    <w:basedOn w:val="DefaultParagraphFont"/>
    <w:link w:val="BalloonText"/>
    <w:semiHidden/>
    <w:rsid w:val="002F7A43"/>
    <w:rPr>
      <w:sz w:val="18"/>
      <w:szCs w:val="18"/>
      <w:lang w:val="en-US" w:eastAsia="en-US" w:bidi="en-US"/>
    </w:rPr>
  </w:style>
  <w:style w:type="character" w:customStyle="1" w:styleId="UnresolvedMention1">
    <w:name w:val="Unresolved Mention1"/>
    <w:basedOn w:val="DefaultParagraphFont"/>
    <w:rsid w:val="00F6041E"/>
    <w:rPr>
      <w:color w:val="808080"/>
      <w:shd w:val="clear" w:color="auto" w:fill="E6E6E6"/>
    </w:rPr>
  </w:style>
  <w:style w:type="character" w:customStyle="1" w:styleId="apple-converted-space">
    <w:name w:val="apple-converted-space"/>
    <w:basedOn w:val="DefaultParagraphFont"/>
    <w:rsid w:val="004029DB"/>
  </w:style>
  <w:style w:type="character" w:styleId="Strong">
    <w:name w:val="Strong"/>
    <w:basedOn w:val="DefaultParagraphFont"/>
    <w:uiPriority w:val="22"/>
    <w:qFormat/>
    <w:rsid w:val="00C25F56"/>
    <w:rPr>
      <w:b/>
      <w:bCs/>
    </w:rPr>
  </w:style>
  <w:style w:type="character" w:styleId="FollowedHyperlink">
    <w:name w:val="FollowedHyperlink"/>
    <w:basedOn w:val="DefaultParagraphFont"/>
    <w:semiHidden/>
    <w:unhideWhenUsed/>
    <w:rsid w:val="008919BC"/>
    <w:rPr>
      <w:color w:val="800080" w:themeColor="followedHyperlink"/>
      <w:u w:val="single"/>
    </w:rPr>
  </w:style>
  <w:style w:type="character" w:customStyle="1" w:styleId="UnresolvedMention">
    <w:name w:val="Unresolved Mention"/>
    <w:basedOn w:val="DefaultParagraphFont"/>
    <w:uiPriority w:val="99"/>
    <w:semiHidden/>
    <w:unhideWhenUsed/>
    <w:rsid w:val="000B5226"/>
    <w:rPr>
      <w:color w:val="808080"/>
      <w:shd w:val="clear" w:color="auto" w:fill="E6E6E6"/>
    </w:rPr>
  </w:style>
  <w:style w:type="character" w:customStyle="1" w:styleId="Heading1Char">
    <w:name w:val="Heading 1 Char"/>
    <w:basedOn w:val="DefaultParagraphFont"/>
    <w:link w:val="Heading1"/>
    <w:uiPriority w:val="9"/>
    <w:rsid w:val="00C25F56"/>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C25F5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C25F56"/>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C25F56"/>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C25F56"/>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C25F56"/>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C25F56"/>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C25F56"/>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C25F56"/>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25F56"/>
    <w:pPr>
      <w:spacing w:line="240" w:lineRule="auto"/>
    </w:pPr>
    <w:rPr>
      <w:b/>
      <w:bCs/>
      <w:smallCaps/>
      <w:color w:val="1F497D" w:themeColor="text2"/>
    </w:rPr>
  </w:style>
  <w:style w:type="paragraph" w:styleId="Title">
    <w:name w:val="Title"/>
    <w:basedOn w:val="Normal"/>
    <w:next w:val="Normal"/>
    <w:link w:val="TitleChar"/>
    <w:uiPriority w:val="10"/>
    <w:qFormat/>
    <w:rsid w:val="00C25F56"/>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25F56"/>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25F56"/>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25F56"/>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C25F56"/>
    <w:rPr>
      <w:i/>
      <w:iCs/>
    </w:rPr>
  </w:style>
  <w:style w:type="paragraph" w:styleId="NoSpacing">
    <w:name w:val="No Spacing"/>
    <w:uiPriority w:val="1"/>
    <w:qFormat/>
    <w:rsid w:val="00C25F56"/>
    <w:pPr>
      <w:spacing w:after="0" w:line="240" w:lineRule="auto"/>
    </w:pPr>
  </w:style>
  <w:style w:type="paragraph" w:styleId="Quote">
    <w:name w:val="Quote"/>
    <w:basedOn w:val="Normal"/>
    <w:next w:val="Normal"/>
    <w:link w:val="QuoteChar"/>
    <w:uiPriority w:val="29"/>
    <w:qFormat/>
    <w:rsid w:val="00C25F56"/>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25F56"/>
    <w:rPr>
      <w:color w:val="1F497D" w:themeColor="text2"/>
      <w:sz w:val="24"/>
      <w:szCs w:val="24"/>
    </w:rPr>
  </w:style>
  <w:style w:type="paragraph" w:styleId="IntenseQuote">
    <w:name w:val="Intense Quote"/>
    <w:basedOn w:val="Normal"/>
    <w:next w:val="Normal"/>
    <w:link w:val="IntenseQuoteChar"/>
    <w:uiPriority w:val="30"/>
    <w:qFormat/>
    <w:rsid w:val="00C25F56"/>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25F56"/>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25F56"/>
    <w:rPr>
      <w:i/>
      <w:iCs/>
      <w:color w:val="595959" w:themeColor="text1" w:themeTint="A6"/>
    </w:rPr>
  </w:style>
  <w:style w:type="character" w:styleId="IntenseEmphasis">
    <w:name w:val="Intense Emphasis"/>
    <w:basedOn w:val="DefaultParagraphFont"/>
    <w:uiPriority w:val="21"/>
    <w:qFormat/>
    <w:rsid w:val="00C25F56"/>
    <w:rPr>
      <w:b/>
      <w:bCs/>
      <w:i/>
      <w:iCs/>
    </w:rPr>
  </w:style>
  <w:style w:type="character" w:styleId="SubtleReference">
    <w:name w:val="Subtle Reference"/>
    <w:basedOn w:val="DefaultParagraphFont"/>
    <w:uiPriority w:val="31"/>
    <w:qFormat/>
    <w:rsid w:val="00C25F5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25F56"/>
    <w:rPr>
      <w:b/>
      <w:bCs/>
      <w:smallCaps/>
      <w:color w:val="1F497D" w:themeColor="text2"/>
      <w:u w:val="single"/>
    </w:rPr>
  </w:style>
  <w:style w:type="character" w:styleId="BookTitle">
    <w:name w:val="Book Title"/>
    <w:basedOn w:val="DefaultParagraphFont"/>
    <w:uiPriority w:val="33"/>
    <w:qFormat/>
    <w:rsid w:val="00C25F56"/>
    <w:rPr>
      <w:b/>
      <w:bCs/>
      <w:smallCaps/>
      <w:spacing w:val="10"/>
    </w:rPr>
  </w:style>
  <w:style w:type="paragraph" w:styleId="TOCHeading">
    <w:name w:val="TOC Heading"/>
    <w:basedOn w:val="Heading1"/>
    <w:next w:val="Normal"/>
    <w:uiPriority w:val="39"/>
    <w:semiHidden/>
    <w:unhideWhenUsed/>
    <w:qFormat/>
    <w:rsid w:val="00C25F5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276">
      <w:bodyDiv w:val="1"/>
      <w:marLeft w:val="0"/>
      <w:marRight w:val="0"/>
      <w:marTop w:val="0"/>
      <w:marBottom w:val="0"/>
      <w:divBdr>
        <w:top w:val="none" w:sz="0" w:space="0" w:color="auto"/>
        <w:left w:val="none" w:sz="0" w:space="0" w:color="auto"/>
        <w:bottom w:val="none" w:sz="0" w:space="0" w:color="auto"/>
        <w:right w:val="none" w:sz="0" w:space="0" w:color="auto"/>
      </w:divBdr>
      <w:divsChild>
        <w:div w:id="8024065">
          <w:marLeft w:val="0"/>
          <w:marRight w:val="0"/>
          <w:marTop w:val="0"/>
          <w:marBottom w:val="0"/>
          <w:divBdr>
            <w:top w:val="none" w:sz="0" w:space="0" w:color="auto"/>
            <w:left w:val="none" w:sz="0" w:space="0" w:color="auto"/>
            <w:bottom w:val="none" w:sz="0" w:space="0" w:color="auto"/>
            <w:right w:val="none" w:sz="0" w:space="0" w:color="auto"/>
          </w:divBdr>
          <w:divsChild>
            <w:div w:id="313678057">
              <w:marLeft w:val="0"/>
              <w:marRight w:val="0"/>
              <w:marTop w:val="0"/>
              <w:marBottom w:val="0"/>
              <w:divBdr>
                <w:top w:val="none" w:sz="0" w:space="0" w:color="auto"/>
                <w:left w:val="none" w:sz="0" w:space="0" w:color="auto"/>
                <w:bottom w:val="none" w:sz="0" w:space="0" w:color="auto"/>
                <w:right w:val="none" w:sz="0" w:space="0" w:color="auto"/>
              </w:divBdr>
              <w:divsChild>
                <w:div w:id="1084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7331">
      <w:bodyDiv w:val="1"/>
      <w:marLeft w:val="0"/>
      <w:marRight w:val="0"/>
      <w:marTop w:val="0"/>
      <w:marBottom w:val="0"/>
      <w:divBdr>
        <w:top w:val="none" w:sz="0" w:space="0" w:color="auto"/>
        <w:left w:val="none" w:sz="0" w:space="0" w:color="auto"/>
        <w:bottom w:val="none" w:sz="0" w:space="0" w:color="auto"/>
        <w:right w:val="none" w:sz="0" w:space="0" w:color="auto"/>
      </w:divBdr>
    </w:div>
    <w:div w:id="98333656">
      <w:bodyDiv w:val="1"/>
      <w:marLeft w:val="0"/>
      <w:marRight w:val="0"/>
      <w:marTop w:val="0"/>
      <w:marBottom w:val="0"/>
      <w:divBdr>
        <w:top w:val="none" w:sz="0" w:space="0" w:color="auto"/>
        <w:left w:val="none" w:sz="0" w:space="0" w:color="auto"/>
        <w:bottom w:val="none" w:sz="0" w:space="0" w:color="auto"/>
        <w:right w:val="none" w:sz="0" w:space="0" w:color="auto"/>
      </w:divBdr>
    </w:div>
    <w:div w:id="199557937">
      <w:bodyDiv w:val="1"/>
      <w:marLeft w:val="0"/>
      <w:marRight w:val="0"/>
      <w:marTop w:val="0"/>
      <w:marBottom w:val="0"/>
      <w:divBdr>
        <w:top w:val="none" w:sz="0" w:space="0" w:color="auto"/>
        <w:left w:val="none" w:sz="0" w:space="0" w:color="auto"/>
        <w:bottom w:val="none" w:sz="0" w:space="0" w:color="auto"/>
        <w:right w:val="none" w:sz="0" w:space="0" w:color="auto"/>
      </w:divBdr>
    </w:div>
    <w:div w:id="247539243">
      <w:bodyDiv w:val="1"/>
      <w:marLeft w:val="0"/>
      <w:marRight w:val="0"/>
      <w:marTop w:val="0"/>
      <w:marBottom w:val="0"/>
      <w:divBdr>
        <w:top w:val="none" w:sz="0" w:space="0" w:color="auto"/>
        <w:left w:val="none" w:sz="0" w:space="0" w:color="auto"/>
        <w:bottom w:val="none" w:sz="0" w:space="0" w:color="auto"/>
        <w:right w:val="none" w:sz="0" w:space="0" w:color="auto"/>
      </w:divBdr>
    </w:div>
    <w:div w:id="267352459">
      <w:bodyDiv w:val="1"/>
      <w:marLeft w:val="0"/>
      <w:marRight w:val="0"/>
      <w:marTop w:val="0"/>
      <w:marBottom w:val="0"/>
      <w:divBdr>
        <w:top w:val="none" w:sz="0" w:space="0" w:color="auto"/>
        <w:left w:val="none" w:sz="0" w:space="0" w:color="auto"/>
        <w:bottom w:val="none" w:sz="0" w:space="0" w:color="auto"/>
        <w:right w:val="none" w:sz="0" w:space="0" w:color="auto"/>
      </w:divBdr>
    </w:div>
    <w:div w:id="389883420">
      <w:bodyDiv w:val="1"/>
      <w:marLeft w:val="0"/>
      <w:marRight w:val="0"/>
      <w:marTop w:val="0"/>
      <w:marBottom w:val="0"/>
      <w:divBdr>
        <w:top w:val="none" w:sz="0" w:space="0" w:color="auto"/>
        <w:left w:val="none" w:sz="0" w:space="0" w:color="auto"/>
        <w:bottom w:val="none" w:sz="0" w:space="0" w:color="auto"/>
        <w:right w:val="none" w:sz="0" w:space="0" w:color="auto"/>
      </w:divBdr>
    </w:div>
    <w:div w:id="437220471">
      <w:bodyDiv w:val="1"/>
      <w:marLeft w:val="0"/>
      <w:marRight w:val="0"/>
      <w:marTop w:val="0"/>
      <w:marBottom w:val="0"/>
      <w:divBdr>
        <w:top w:val="none" w:sz="0" w:space="0" w:color="auto"/>
        <w:left w:val="none" w:sz="0" w:space="0" w:color="auto"/>
        <w:bottom w:val="none" w:sz="0" w:space="0" w:color="auto"/>
        <w:right w:val="none" w:sz="0" w:space="0" w:color="auto"/>
      </w:divBdr>
    </w:div>
    <w:div w:id="657611673">
      <w:bodyDiv w:val="1"/>
      <w:marLeft w:val="0"/>
      <w:marRight w:val="0"/>
      <w:marTop w:val="0"/>
      <w:marBottom w:val="0"/>
      <w:divBdr>
        <w:top w:val="none" w:sz="0" w:space="0" w:color="auto"/>
        <w:left w:val="none" w:sz="0" w:space="0" w:color="auto"/>
        <w:bottom w:val="none" w:sz="0" w:space="0" w:color="auto"/>
        <w:right w:val="none" w:sz="0" w:space="0" w:color="auto"/>
      </w:divBdr>
    </w:div>
    <w:div w:id="790243206">
      <w:bodyDiv w:val="1"/>
      <w:marLeft w:val="0"/>
      <w:marRight w:val="0"/>
      <w:marTop w:val="0"/>
      <w:marBottom w:val="0"/>
      <w:divBdr>
        <w:top w:val="none" w:sz="0" w:space="0" w:color="auto"/>
        <w:left w:val="none" w:sz="0" w:space="0" w:color="auto"/>
        <w:bottom w:val="none" w:sz="0" w:space="0" w:color="auto"/>
        <w:right w:val="none" w:sz="0" w:space="0" w:color="auto"/>
      </w:divBdr>
    </w:div>
    <w:div w:id="1112555630">
      <w:bodyDiv w:val="1"/>
      <w:marLeft w:val="0"/>
      <w:marRight w:val="0"/>
      <w:marTop w:val="0"/>
      <w:marBottom w:val="0"/>
      <w:divBdr>
        <w:top w:val="none" w:sz="0" w:space="0" w:color="auto"/>
        <w:left w:val="none" w:sz="0" w:space="0" w:color="auto"/>
        <w:bottom w:val="none" w:sz="0" w:space="0" w:color="auto"/>
        <w:right w:val="none" w:sz="0" w:space="0" w:color="auto"/>
      </w:divBdr>
    </w:div>
    <w:div w:id="1146821614">
      <w:bodyDiv w:val="1"/>
      <w:marLeft w:val="0"/>
      <w:marRight w:val="0"/>
      <w:marTop w:val="0"/>
      <w:marBottom w:val="0"/>
      <w:divBdr>
        <w:top w:val="none" w:sz="0" w:space="0" w:color="auto"/>
        <w:left w:val="none" w:sz="0" w:space="0" w:color="auto"/>
        <w:bottom w:val="none" w:sz="0" w:space="0" w:color="auto"/>
        <w:right w:val="none" w:sz="0" w:space="0" w:color="auto"/>
      </w:divBdr>
    </w:div>
    <w:div w:id="1152795303">
      <w:bodyDiv w:val="1"/>
      <w:marLeft w:val="0"/>
      <w:marRight w:val="0"/>
      <w:marTop w:val="0"/>
      <w:marBottom w:val="0"/>
      <w:divBdr>
        <w:top w:val="none" w:sz="0" w:space="0" w:color="auto"/>
        <w:left w:val="none" w:sz="0" w:space="0" w:color="auto"/>
        <w:bottom w:val="none" w:sz="0" w:space="0" w:color="auto"/>
        <w:right w:val="none" w:sz="0" w:space="0" w:color="auto"/>
      </w:divBdr>
    </w:div>
    <w:div w:id="1948732492">
      <w:bodyDiv w:val="1"/>
      <w:marLeft w:val="0"/>
      <w:marRight w:val="0"/>
      <w:marTop w:val="0"/>
      <w:marBottom w:val="0"/>
      <w:divBdr>
        <w:top w:val="none" w:sz="0" w:space="0" w:color="auto"/>
        <w:left w:val="none" w:sz="0" w:space="0" w:color="auto"/>
        <w:bottom w:val="none" w:sz="0" w:space="0" w:color="auto"/>
        <w:right w:val="none" w:sz="0" w:space="0" w:color="auto"/>
      </w:divBdr>
    </w:div>
    <w:div w:id="19785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accc.gov.au/publications/small-business-the-competition-and-consumer-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www.accc.gov.au/publications/the-benefits-of-working-with-other-small-businesses-collective-bargaining-and-collective-boycot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accc.gov.au/publications/compliance-and-enforcement-policy" TargetMode="External"/><Relationship Id="rId2" Type="http://schemas.openxmlformats.org/officeDocument/2006/relationships/hyperlink" Target="https://www.aph.gov.au/Parliamentary_Business/Committees/Senate/Economics/Completed_inquiries/2010-13/bankingcomp2010/index" TargetMode="External"/><Relationship Id="rId1" Type="http://schemas.openxmlformats.org/officeDocument/2006/relationships/hyperlink" Target="http://www.asbfeo.gov.au/sites/default/files/030217-ASBFEO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7D20E8-4517-4385-8B36-0FE13F7461DE}">
  <ds:schemaRefs>
    <ds:schemaRef ds:uri="http://schemas.microsoft.com/sharepoint/v3/contenttype/forms"/>
  </ds:schemaRefs>
</ds:datastoreItem>
</file>

<file path=customXml/itemProps2.xml><?xml version="1.0" encoding="utf-8"?>
<ds:datastoreItem xmlns:ds="http://schemas.openxmlformats.org/officeDocument/2006/customXml" ds:itemID="{67FCD565-3188-450E-923D-AF8CF80E76C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A3EF15D9-DD3B-4695-B084-D3259C0C4D91}">
  <ds:schemaRefs>
    <ds:schemaRef ds:uri="http://schemas.microsoft.com/sharepoint/events"/>
  </ds:schemaRefs>
</ds:datastoreItem>
</file>

<file path=customXml/itemProps4.xml><?xml version="1.0" encoding="utf-8"?>
<ds:datastoreItem xmlns:ds="http://schemas.openxmlformats.org/officeDocument/2006/customXml" ds:itemID="{7DEA88FD-7F24-455F-9DE8-013427FB8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671E5C-FAA5-42C5-9007-14A0D5ABB816}">
  <ds:schemaRefs>
    <ds:schemaRef ds:uri="http://schemas.microsoft.com/office/2006/metadata/customXsn"/>
  </ds:schemaRefs>
</ds:datastoreItem>
</file>

<file path=customXml/itemProps6.xml><?xml version="1.0" encoding="utf-8"?>
<ds:datastoreItem xmlns:ds="http://schemas.openxmlformats.org/officeDocument/2006/customXml" ds:itemID="{B5E133DC-8C37-4E99-A7CB-B0DA0788065B}">
  <ds:schemaRefs>
    <ds:schemaRef ds:uri="Microsoft.SharePoint.Taxonomy.ContentTypeSync"/>
  </ds:schemaRefs>
</ds:datastoreItem>
</file>

<file path=customXml/itemProps7.xml><?xml version="1.0" encoding="utf-8"?>
<ds:datastoreItem xmlns:ds="http://schemas.openxmlformats.org/officeDocument/2006/customXml" ds:itemID="{E456CEB3-D6DE-4787-9D0D-C1C9C3A2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3508</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Submission DR93 - Institute of Public Accountants - Competition in the Australian Financial System - Public inquiry</vt:lpstr>
    </vt:vector>
  </TitlesOfParts>
  <Company>Institute of Public Accountants</Company>
  <LinksUpToDate>false</LinksUpToDate>
  <CharactersWithSpaces>23458</CharactersWithSpaces>
  <SharedDoc>false</SharedDoc>
  <HLinks>
    <vt:vector size="6" baseType="variant">
      <vt:variant>
        <vt:i4>1966206</vt:i4>
      </vt:variant>
      <vt:variant>
        <vt:i4>0</vt:i4>
      </vt:variant>
      <vt:variant>
        <vt:i4>0</vt:i4>
      </vt:variant>
      <vt:variant>
        <vt:i4>5</vt:i4>
      </vt:variant>
      <vt:variant>
        <vt:lpwstr>mailto:natoffice@publicaccountants.org.au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DR93 - Institute of Public Accountants - Competition in the Australian Financial System - Public inquiry</dc:title>
  <dc:subject/>
  <dc:creator>Institute of Public Accountants</dc:creator>
  <cp:keywords/>
  <cp:lastModifiedBy>Pimperl, Mark</cp:lastModifiedBy>
  <cp:revision>4</cp:revision>
  <cp:lastPrinted>2018-03-19T00:14:00Z</cp:lastPrinted>
  <dcterms:created xsi:type="dcterms:W3CDTF">2018-03-21T02:00:00Z</dcterms:created>
  <dcterms:modified xsi:type="dcterms:W3CDTF">2018-03-22T01:40:00Z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