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97D" w:rsidRPr="00E300AE" w:rsidRDefault="002E3C93" w:rsidP="00034A47">
      <w:pPr>
        <w:spacing w:after="0" w:line="240" w:lineRule="auto"/>
        <w:rPr>
          <w:rFonts w:ascii="Arial" w:hAnsi="Arial" w:cs="Arial"/>
        </w:rPr>
      </w:pPr>
      <w:bookmarkStart w:id="0" w:name="_GoBack"/>
      <w:bookmarkEnd w:id="0"/>
      <w:r w:rsidRPr="00E300AE">
        <w:rPr>
          <w:noProof/>
          <w:color w:val="0000FF"/>
          <w:lang w:val="en-AU" w:eastAsia="en-AU"/>
        </w:rPr>
        <w:drawing>
          <wp:anchor distT="0" distB="0" distL="114300" distR="114300" simplePos="0" relativeHeight="251658240" behindDoc="1" locked="0" layoutInCell="1" allowOverlap="1" wp14:anchorId="3D5CB4F3" wp14:editId="2896A3EC">
            <wp:simplePos x="0" y="0"/>
            <wp:positionH relativeFrom="column">
              <wp:posOffset>-801278</wp:posOffset>
            </wp:positionH>
            <wp:positionV relativeFrom="paragraph">
              <wp:posOffset>-838985</wp:posOffset>
            </wp:positionV>
            <wp:extent cx="862103" cy="1074656"/>
            <wp:effectExtent l="0" t="0" r="0" b="0"/>
            <wp:wrapNone/>
            <wp:docPr id="2" name="Picture 2" descr="Image result for aci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ci world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2103" cy="1074656"/>
                    </a:xfrm>
                    <a:prstGeom prst="rect">
                      <a:avLst/>
                    </a:prstGeom>
                    <a:noFill/>
                    <a:ln>
                      <a:noFill/>
                    </a:ln>
                  </pic:spPr>
                </pic:pic>
              </a:graphicData>
            </a:graphic>
          </wp:anchor>
        </w:drawing>
      </w:r>
    </w:p>
    <w:p w:rsidR="002E3C93" w:rsidRPr="00E300AE" w:rsidRDefault="002E3C93" w:rsidP="00034A47">
      <w:pPr>
        <w:spacing w:after="0" w:line="240" w:lineRule="auto"/>
        <w:rPr>
          <w:rFonts w:ascii="Arial" w:hAnsi="Arial" w:cs="Arial"/>
        </w:rPr>
      </w:pPr>
    </w:p>
    <w:p w:rsidR="002E3C93" w:rsidRPr="00E300AE" w:rsidRDefault="002E3C93" w:rsidP="00034A47">
      <w:pPr>
        <w:spacing w:after="0" w:line="240" w:lineRule="auto"/>
        <w:rPr>
          <w:rFonts w:ascii="Arial" w:hAnsi="Arial" w:cs="Arial"/>
        </w:rPr>
      </w:pPr>
    </w:p>
    <w:p w:rsidR="00492D6C" w:rsidRPr="00E300AE" w:rsidRDefault="00492D6C" w:rsidP="00034A47">
      <w:pPr>
        <w:spacing w:after="0" w:line="240" w:lineRule="auto"/>
        <w:rPr>
          <w:rFonts w:ascii="Arial" w:hAnsi="Arial" w:cs="Arial"/>
        </w:rPr>
      </w:pPr>
    </w:p>
    <w:p w:rsidR="00B65039" w:rsidRPr="00E300AE" w:rsidRDefault="00B65039" w:rsidP="00034A4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E300AE">
        <w:rPr>
          <w:rFonts w:ascii="Arial" w:hAnsi="Arial" w:cs="Arial"/>
          <w:b/>
        </w:rPr>
        <w:t xml:space="preserve">AIRPORTS COUNCIL INTERNATIONAL (ACI) WORLD </w:t>
      </w:r>
    </w:p>
    <w:p w:rsidR="002E3C93" w:rsidRPr="00E300AE" w:rsidRDefault="006C1A00" w:rsidP="00034A47">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E300AE">
        <w:rPr>
          <w:rFonts w:ascii="Arial" w:hAnsi="Arial" w:cs="Arial"/>
          <w:b/>
        </w:rPr>
        <w:t>SUBMISSION ON THE</w:t>
      </w:r>
      <w:r w:rsidR="001C5856" w:rsidRPr="00E300AE">
        <w:rPr>
          <w:rFonts w:ascii="Arial" w:hAnsi="Arial" w:cs="Arial"/>
          <w:b/>
        </w:rPr>
        <w:t xml:space="preserve"> PRODUCTIVITY COMMISSION INQUIRY INTO THE ECONOMIC REGULATION OF AIRPORTS IN AUSTRALIA</w:t>
      </w:r>
    </w:p>
    <w:p w:rsidR="002E3C93" w:rsidRPr="00E300AE" w:rsidRDefault="002E3C93" w:rsidP="00034A47">
      <w:pPr>
        <w:spacing w:after="0" w:line="240" w:lineRule="auto"/>
        <w:jc w:val="both"/>
        <w:rPr>
          <w:rFonts w:ascii="Arial" w:hAnsi="Arial" w:cs="Arial"/>
        </w:rPr>
      </w:pPr>
    </w:p>
    <w:p w:rsidR="00C5410B" w:rsidRPr="00E300AE" w:rsidRDefault="00C5410B" w:rsidP="00034A47">
      <w:pPr>
        <w:spacing w:after="0" w:line="240" w:lineRule="auto"/>
        <w:jc w:val="both"/>
        <w:rPr>
          <w:rFonts w:ascii="Arial" w:hAnsi="Arial" w:cs="Arial"/>
        </w:rPr>
      </w:pPr>
    </w:p>
    <w:p w:rsidR="00C5410B" w:rsidRPr="00E300AE" w:rsidRDefault="00C5410B" w:rsidP="00034A47">
      <w:pPr>
        <w:spacing w:after="0" w:line="240" w:lineRule="auto"/>
        <w:jc w:val="both"/>
        <w:rPr>
          <w:rFonts w:ascii="Arial" w:hAnsi="Arial" w:cs="Arial"/>
        </w:rPr>
      </w:pPr>
    </w:p>
    <w:p w:rsidR="00C5410B" w:rsidRPr="00E300AE" w:rsidRDefault="00C5410B" w:rsidP="00034A47">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bookmarkStart w:id="1" w:name="_Toc260816533"/>
      <w:r w:rsidRPr="00E300AE">
        <w:rPr>
          <w:rFonts w:ascii="Arial" w:hAnsi="Arial" w:cs="Arial"/>
          <w:b/>
          <w:u w:val="single"/>
        </w:rPr>
        <w:t>Foreword</w:t>
      </w:r>
      <w:bookmarkEnd w:id="1"/>
    </w:p>
    <w:p w:rsidR="00C5410B" w:rsidRPr="00E300AE" w:rsidRDefault="00C5410B" w:rsidP="00034A47">
      <w:pPr>
        <w:spacing w:after="0" w:line="240" w:lineRule="auto"/>
        <w:jc w:val="both"/>
        <w:rPr>
          <w:rFonts w:ascii="Arial" w:hAnsi="Arial" w:cs="Arial"/>
        </w:rPr>
      </w:pPr>
    </w:p>
    <w:p w:rsidR="00944EC0" w:rsidRPr="00E300AE" w:rsidRDefault="006C1A00" w:rsidP="00034A47">
      <w:pPr>
        <w:pStyle w:val="ListParagraph"/>
        <w:numPr>
          <w:ilvl w:val="1"/>
          <w:numId w:val="21"/>
        </w:numPr>
        <w:spacing w:after="0" w:line="240" w:lineRule="auto"/>
        <w:jc w:val="both"/>
        <w:rPr>
          <w:rFonts w:ascii="Arial" w:hAnsi="Arial" w:cs="Arial"/>
        </w:rPr>
      </w:pPr>
      <w:r w:rsidRPr="00E300AE">
        <w:rPr>
          <w:rFonts w:ascii="Arial" w:hAnsi="Arial" w:cs="Arial"/>
        </w:rPr>
        <w:t>Airports Council International (ACI) World is the global trade association of the world’s airports</w:t>
      </w:r>
      <w:r w:rsidR="00B65039" w:rsidRPr="00E300AE">
        <w:rPr>
          <w:rFonts w:ascii="Arial" w:hAnsi="Arial" w:cs="Arial"/>
        </w:rPr>
        <w:t xml:space="preserve">. </w:t>
      </w:r>
      <w:r w:rsidR="00706615" w:rsidRPr="00E300AE">
        <w:rPr>
          <w:rFonts w:ascii="Arial" w:hAnsi="Arial" w:cs="Arial"/>
        </w:rPr>
        <w:t>As of January 2018, ACI serves 641 members operating 1,953 airports in 176 countries</w:t>
      </w:r>
      <w:r w:rsidRPr="00E300AE">
        <w:rPr>
          <w:rFonts w:ascii="Arial" w:hAnsi="Arial" w:cs="Arial"/>
        </w:rPr>
        <w:t xml:space="preserve">. ACI is a non-profit organization whose prime purpose is to advance the interests of airports and to promote professional excellence in airport management and operations. </w:t>
      </w:r>
    </w:p>
    <w:p w:rsidR="00944EC0" w:rsidRPr="00E300AE" w:rsidRDefault="00944EC0" w:rsidP="00034A47">
      <w:pPr>
        <w:pStyle w:val="ListParagraph"/>
        <w:spacing w:after="0" w:line="240" w:lineRule="auto"/>
        <w:ind w:left="795"/>
        <w:jc w:val="both"/>
        <w:rPr>
          <w:rFonts w:ascii="Arial" w:hAnsi="Arial" w:cs="Arial"/>
        </w:rPr>
      </w:pPr>
    </w:p>
    <w:p w:rsidR="00944EC0" w:rsidRPr="00E300AE" w:rsidRDefault="006C1A00" w:rsidP="00034A47">
      <w:pPr>
        <w:pStyle w:val="ListParagraph"/>
        <w:numPr>
          <w:ilvl w:val="1"/>
          <w:numId w:val="21"/>
        </w:numPr>
        <w:spacing w:after="0" w:line="240" w:lineRule="auto"/>
        <w:jc w:val="both"/>
        <w:rPr>
          <w:rFonts w:ascii="Arial" w:hAnsi="Arial" w:cs="Arial"/>
        </w:rPr>
      </w:pPr>
      <w:r w:rsidRPr="00E300AE">
        <w:rPr>
          <w:rFonts w:ascii="Arial" w:hAnsi="Arial" w:cs="Arial"/>
        </w:rPr>
        <w:t>ACI welcomes the</w:t>
      </w:r>
      <w:r w:rsidR="00132E7F" w:rsidRPr="00E300AE">
        <w:rPr>
          <w:rFonts w:ascii="Arial" w:hAnsi="Arial" w:cs="Arial"/>
        </w:rPr>
        <w:t xml:space="preserve"> </w:t>
      </w:r>
      <w:r w:rsidR="00D7198C" w:rsidRPr="00E300AE">
        <w:rPr>
          <w:rFonts w:ascii="Arial" w:hAnsi="Arial" w:cs="Arial"/>
        </w:rPr>
        <w:t>Australian Productivity</w:t>
      </w:r>
      <w:r w:rsidR="00EC0968" w:rsidRPr="00E300AE">
        <w:rPr>
          <w:rFonts w:ascii="Arial" w:hAnsi="Arial" w:cs="Arial"/>
        </w:rPr>
        <w:t xml:space="preserve"> Commission (</w:t>
      </w:r>
      <w:r w:rsidR="00D7198C" w:rsidRPr="00E300AE">
        <w:rPr>
          <w:rFonts w:ascii="Arial" w:hAnsi="Arial" w:cs="Arial"/>
        </w:rPr>
        <w:t>PC</w:t>
      </w:r>
      <w:r w:rsidR="00EC0968" w:rsidRPr="00E300AE">
        <w:rPr>
          <w:rFonts w:ascii="Arial" w:hAnsi="Arial" w:cs="Arial"/>
        </w:rPr>
        <w:t>)</w:t>
      </w:r>
      <w:r w:rsidR="00546526" w:rsidRPr="00E300AE">
        <w:rPr>
          <w:rFonts w:ascii="Arial" w:hAnsi="Arial" w:cs="Arial"/>
        </w:rPr>
        <w:t xml:space="preserve"> </w:t>
      </w:r>
      <w:r w:rsidR="00D7198C" w:rsidRPr="00E300AE">
        <w:rPr>
          <w:rFonts w:ascii="Arial" w:hAnsi="Arial" w:cs="Arial"/>
        </w:rPr>
        <w:t>inquiry into the economic regulation of airports</w:t>
      </w:r>
      <w:r w:rsidR="00132E7F" w:rsidRPr="00E300AE">
        <w:rPr>
          <w:rFonts w:ascii="Arial" w:hAnsi="Arial" w:cs="Arial"/>
        </w:rPr>
        <w:t>.</w:t>
      </w:r>
      <w:r w:rsidRPr="00E300AE">
        <w:rPr>
          <w:rFonts w:ascii="Arial" w:hAnsi="Arial" w:cs="Arial"/>
        </w:rPr>
        <w:t xml:space="preserve"> </w:t>
      </w:r>
      <w:r w:rsidR="00132E7F" w:rsidRPr="00E300AE">
        <w:rPr>
          <w:rFonts w:ascii="Arial" w:hAnsi="Arial" w:cs="Arial"/>
        </w:rPr>
        <w:t>ACI would like to comment on the following</w:t>
      </w:r>
      <w:r w:rsidR="00D7198C" w:rsidRPr="00E300AE">
        <w:rPr>
          <w:rFonts w:ascii="Arial" w:hAnsi="Arial" w:cs="Arial"/>
        </w:rPr>
        <w:t xml:space="preserve"> </w:t>
      </w:r>
      <w:r w:rsidR="00BF2D29">
        <w:rPr>
          <w:rFonts w:ascii="Arial" w:hAnsi="Arial" w:cs="Arial"/>
        </w:rPr>
        <w:t>four</w:t>
      </w:r>
      <w:r w:rsidR="00BF2D29" w:rsidRPr="00E300AE">
        <w:rPr>
          <w:rFonts w:ascii="Arial" w:hAnsi="Arial" w:cs="Arial"/>
        </w:rPr>
        <w:t xml:space="preserve"> </w:t>
      </w:r>
      <w:r w:rsidR="00D7198C" w:rsidRPr="00E300AE">
        <w:rPr>
          <w:rFonts w:ascii="Arial" w:hAnsi="Arial" w:cs="Arial"/>
        </w:rPr>
        <w:t xml:space="preserve">points identified as potential signals </w:t>
      </w:r>
      <w:r w:rsidR="002038F1" w:rsidRPr="00E300AE">
        <w:rPr>
          <w:rFonts w:ascii="Arial" w:hAnsi="Arial" w:cs="Arial"/>
        </w:rPr>
        <w:t>for</w:t>
      </w:r>
      <w:r w:rsidR="00D7198C" w:rsidRPr="00E300AE">
        <w:rPr>
          <w:rFonts w:ascii="Arial" w:hAnsi="Arial" w:cs="Arial"/>
        </w:rPr>
        <w:t xml:space="preserve"> market power in aeronautical services:</w:t>
      </w:r>
    </w:p>
    <w:p w:rsidR="00D7198C" w:rsidRPr="00E300AE" w:rsidRDefault="00D7198C" w:rsidP="00034A47">
      <w:pPr>
        <w:spacing w:after="0" w:line="240" w:lineRule="auto"/>
        <w:jc w:val="both"/>
        <w:rPr>
          <w:rFonts w:ascii="Arial" w:hAnsi="Arial" w:cs="Arial"/>
        </w:rPr>
      </w:pPr>
    </w:p>
    <w:p w:rsidR="00944EC0" w:rsidRPr="00E300AE" w:rsidRDefault="002038F1" w:rsidP="00376649">
      <w:pPr>
        <w:pStyle w:val="ListParagraph"/>
        <w:numPr>
          <w:ilvl w:val="0"/>
          <w:numId w:val="22"/>
        </w:numPr>
        <w:spacing w:after="0" w:line="240" w:lineRule="auto"/>
        <w:jc w:val="both"/>
        <w:rPr>
          <w:rFonts w:ascii="Arial" w:hAnsi="Arial" w:cs="Arial"/>
        </w:rPr>
      </w:pPr>
      <w:r w:rsidRPr="00E300AE">
        <w:rPr>
          <w:rFonts w:ascii="Arial" w:hAnsi="Arial" w:cs="Arial"/>
        </w:rPr>
        <w:t>Excessive fees or charges for aeronautical services;</w:t>
      </w:r>
    </w:p>
    <w:p w:rsidR="002038F1" w:rsidRPr="003E6AF2" w:rsidRDefault="002038F1" w:rsidP="00436327">
      <w:pPr>
        <w:pStyle w:val="ListParagraph"/>
        <w:numPr>
          <w:ilvl w:val="0"/>
          <w:numId w:val="22"/>
        </w:numPr>
        <w:spacing w:after="0" w:line="240" w:lineRule="auto"/>
        <w:jc w:val="both"/>
        <w:rPr>
          <w:rFonts w:ascii="Arial" w:hAnsi="Arial" w:cs="Arial"/>
        </w:rPr>
      </w:pPr>
      <w:r w:rsidRPr="00E300AE">
        <w:rPr>
          <w:rFonts w:ascii="Arial" w:hAnsi="Arial" w:cs="Arial"/>
        </w:rPr>
        <w:t>Inefficient investment decisions</w:t>
      </w:r>
      <w:r w:rsidR="00BF2D29">
        <w:rPr>
          <w:rFonts w:ascii="Arial" w:hAnsi="Arial" w:cs="Arial"/>
        </w:rPr>
        <w:t xml:space="preserve"> and/or</w:t>
      </w:r>
      <w:r w:rsidRPr="003E6AF2">
        <w:rPr>
          <w:rFonts w:ascii="Arial" w:hAnsi="Arial" w:cs="Arial"/>
        </w:rPr>
        <w:t xml:space="preserve"> operation;</w:t>
      </w:r>
    </w:p>
    <w:p w:rsidR="002038F1" w:rsidRPr="00E300AE" w:rsidRDefault="002038F1" w:rsidP="00376649">
      <w:pPr>
        <w:pStyle w:val="ListParagraph"/>
        <w:numPr>
          <w:ilvl w:val="0"/>
          <w:numId w:val="22"/>
        </w:numPr>
        <w:spacing w:after="0" w:line="240" w:lineRule="auto"/>
        <w:jc w:val="both"/>
        <w:rPr>
          <w:rFonts w:ascii="Arial" w:hAnsi="Arial" w:cs="Arial"/>
        </w:rPr>
      </w:pPr>
      <w:r w:rsidRPr="00E300AE">
        <w:rPr>
          <w:rFonts w:ascii="Arial" w:hAnsi="Arial" w:cs="Arial"/>
        </w:rPr>
        <w:t>Providing services of a low quality or a limited range;</w:t>
      </w:r>
      <w:r w:rsidR="00034A47">
        <w:rPr>
          <w:rFonts w:ascii="Arial" w:hAnsi="Arial" w:cs="Arial"/>
        </w:rPr>
        <w:t xml:space="preserve"> and</w:t>
      </w:r>
    </w:p>
    <w:p w:rsidR="002038F1" w:rsidRPr="00E300AE" w:rsidRDefault="002038F1" w:rsidP="00376649">
      <w:pPr>
        <w:pStyle w:val="ListParagraph"/>
        <w:numPr>
          <w:ilvl w:val="0"/>
          <w:numId w:val="22"/>
        </w:numPr>
        <w:spacing w:after="0" w:line="240" w:lineRule="auto"/>
        <w:jc w:val="both"/>
        <w:rPr>
          <w:rFonts w:ascii="Arial" w:hAnsi="Arial" w:cs="Arial"/>
        </w:rPr>
      </w:pPr>
      <w:r w:rsidRPr="00E300AE">
        <w:rPr>
          <w:rFonts w:ascii="Arial" w:hAnsi="Arial" w:cs="Arial"/>
        </w:rPr>
        <w:t>The man</w:t>
      </w:r>
      <w:r w:rsidR="00066DD6" w:rsidRPr="00E300AE">
        <w:rPr>
          <w:rFonts w:ascii="Arial" w:hAnsi="Arial" w:cs="Arial"/>
        </w:rPr>
        <w:t>n</w:t>
      </w:r>
      <w:r w:rsidRPr="00E300AE">
        <w:rPr>
          <w:rFonts w:ascii="Arial" w:hAnsi="Arial" w:cs="Arial"/>
        </w:rPr>
        <w:t>er in which airports conduct commercial negotiations.</w:t>
      </w:r>
    </w:p>
    <w:p w:rsidR="00492D6C" w:rsidRPr="00E300AE" w:rsidRDefault="00492D6C" w:rsidP="00034A47">
      <w:pPr>
        <w:pStyle w:val="ListParagraph"/>
        <w:spacing w:after="0" w:line="240" w:lineRule="auto"/>
        <w:jc w:val="both"/>
        <w:rPr>
          <w:rFonts w:ascii="Arial" w:hAnsi="Arial" w:cs="Arial"/>
        </w:rPr>
      </w:pPr>
    </w:p>
    <w:p w:rsidR="00944EC0" w:rsidRPr="00E300AE" w:rsidRDefault="00A43A45" w:rsidP="00CC1486">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E300AE">
        <w:rPr>
          <w:rFonts w:ascii="Arial" w:hAnsi="Arial" w:cs="Arial"/>
          <w:b/>
          <w:u w:val="single"/>
        </w:rPr>
        <w:t>Excessive fees or charges for aeronautical services</w:t>
      </w:r>
    </w:p>
    <w:p w:rsidR="00F00865" w:rsidRPr="00E300AE" w:rsidRDefault="00F00865" w:rsidP="00436327">
      <w:pPr>
        <w:spacing w:after="0" w:line="240" w:lineRule="auto"/>
        <w:jc w:val="both"/>
        <w:rPr>
          <w:rFonts w:ascii="Arial" w:hAnsi="Arial" w:cs="Arial"/>
        </w:rPr>
      </w:pPr>
    </w:p>
    <w:p w:rsidR="00A43A45" w:rsidRPr="00E300AE" w:rsidRDefault="00872EF1" w:rsidP="00436327">
      <w:pPr>
        <w:pStyle w:val="ListParagraph"/>
        <w:numPr>
          <w:ilvl w:val="1"/>
          <w:numId w:val="21"/>
        </w:numPr>
        <w:spacing w:after="0" w:line="240" w:lineRule="auto"/>
        <w:jc w:val="both"/>
        <w:rPr>
          <w:rFonts w:ascii="Arial" w:hAnsi="Arial" w:cs="Arial"/>
        </w:rPr>
      </w:pPr>
      <w:r w:rsidRPr="00E300AE">
        <w:rPr>
          <w:rFonts w:ascii="Arial" w:hAnsi="Arial" w:cs="Arial"/>
        </w:rPr>
        <w:t xml:space="preserve">The airport industry in </w:t>
      </w:r>
      <w:r w:rsidR="00A43A45" w:rsidRPr="00E300AE">
        <w:rPr>
          <w:rFonts w:ascii="Arial" w:hAnsi="Arial" w:cs="Arial"/>
        </w:rPr>
        <w:t>Australia</w:t>
      </w:r>
      <w:r w:rsidRPr="00E300AE">
        <w:rPr>
          <w:rFonts w:ascii="Arial" w:hAnsi="Arial" w:cs="Arial"/>
        </w:rPr>
        <w:t xml:space="preserve"> </w:t>
      </w:r>
      <w:r w:rsidR="00D5219F" w:rsidRPr="00E300AE">
        <w:rPr>
          <w:rFonts w:ascii="Arial" w:hAnsi="Arial" w:cs="Arial"/>
        </w:rPr>
        <w:t>is characterized by</w:t>
      </w:r>
      <w:r w:rsidR="00D85E04" w:rsidRPr="00E300AE">
        <w:rPr>
          <w:rFonts w:ascii="Arial" w:hAnsi="Arial" w:cs="Arial"/>
        </w:rPr>
        <w:t xml:space="preserve"> market dynamics and competition </w:t>
      </w:r>
      <w:r w:rsidR="00A43A45" w:rsidRPr="00E300AE">
        <w:rPr>
          <w:rFonts w:ascii="Arial" w:hAnsi="Arial" w:cs="Arial"/>
        </w:rPr>
        <w:t>among</w:t>
      </w:r>
      <w:r w:rsidR="00D85E04" w:rsidRPr="00E300AE">
        <w:rPr>
          <w:rFonts w:ascii="Arial" w:hAnsi="Arial" w:cs="Arial"/>
        </w:rPr>
        <w:t xml:space="preserve"> the largest airports</w:t>
      </w:r>
      <w:r w:rsidR="00A43A45" w:rsidRPr="00E300AE">
        <w:rPr>
          <w:rFonts w:ascii="Arial" w:hAnsi="Arial" w:cs="Arial"/>
        </w:rPr>
        <w:t xml:space="preserve"> as well as significant</w:t>
      </w:r>
      <w:r w:rsidR="00D5219F" w:rsidRPr="00E300AE">
        <w:rPr>
          <w:rFonts w:ascii="Arial" w:hAnsi="Arial" w:cs="Arial"/>
        </w:rPr>
        <w:t xml:space="preserve"> airline buyer power at </w:t>
      </w:r>
      <w:r w:rsidR="00A43A45" w:rsidRPr="00E300AE">
        <w:rPr>
          <w:rFonts w:ascii="Arial" w:hAnsi="Arial" w:cs="Arial"/>
        </w:rPr>
        <w:t>large</w:t>
      </w:r>
      <w:r w:rsidR="00D5219F" w:rsidRPr="00E300AE">
        <w:rPr>
          <w:rFonts w:ascii="Arial" w:hAnsi="Arial" w:cs="Arial"/>
        </w:rPr>
        <w:t xml:space="preserve"> </w:t>
      </w:r>
      <w:r w:rsidR="00A43A45" w:rsidRPr="00E300AE">
        <w:rPr>
          <w:rFonts w:ascii="Arial" w:hAnsi="Arial" w:cs="Arial"/>
        </w:rPr>
        <w:t xml:space="preserve">but especially </w:t>
      </w:r>
      <w:r w:rsidR="00D5219F" w:rsidRPr="00E300AE">
        <w:rPr>
          <w:rFonts w:ascii="Arial" w:hAnsi="Arial" w:cs="Arial"/>
        </w:rPr>
        <w:t>smaller airports. It does not have the structure of a near monopoly</w:t>
      </w:r>
      <w:r w:rsidRPr="00E300AE">
        <w:rPr>
          <w:rFonts w:ascii="Arial" w:hAnsi="Arial" w:cs="Arial"/>
        </w:rPr>
        <w:t>.</w:t>
      </w:r>
      <w:r w:rsidR="00D85E04" w:rsidRPr="00E300AE">
        <w:rPr>
          <w:rFonts w:ascii="Arial" w:hAnsi="Arial" w:cs="Arial"/>
        </w:rPr>
        <w:t xml:space="preserve"> </w:t>
      </w:r>
      <w:r w:rsidRPr="00E300AE">
        <w:rPr>
          <w:rFonts w:ascii="Arial" w:hAnsi="Arial" w:cs="Arial"/>
        </w:rPr>
        <w:t>As such, the airport does not hold significant market power</w:t>
      </w:r>
      <w:r w:rsidR="00D85E04" w:rsidRPr="00E300AE">
        <w:rPr>
          <w:rFonts w:ascii="Arial" w:hAnsi="Arial" w:cs="Arial"/>
        </w:rPr>
        <w:t>.</w:t>
      </w:r>
    </w:p>
    <w:p w:rsidR="00A43A45" w:rsidRPr="00E300AE" w:rsidRDefault="00A43A45" w:rsidP="00436327">
      <w:pPr>
        <w:pStyle w:val="ListParagraph"/>
        <w:spacing w:after="0" w:line="240" w:lineRule="auto"/>
        <w:ind w:left="795"/>
        <w:jc w:val="both"/>
        <w:rPr>
          <w:rFonts w:ascii="Arial" w:hAnsi="Arial" w:cs="Arial"/>
        </w:rPr>
      </w:pPr>
    </w:p>
    <w:p w:rsidR="00A720E5" w:rsidRPr="00E300AE" w:rsidRDefault="00A43A45" w:rsidP="00AC6AC8">
      <w:pPr>
        <w:pStyle w:val="ListParagraph"/>
        <w:numPr>
          <w:ilvl w:val="1"/>
          <w:numId w:val="21"/>
        </w:numPr>
        <w:spacing w:after="0" w:line="240" w:lineRule="auto"/>
        <w:jc w:val="both"/>
        <w:rPr>
          <w:rFonts w:ascii="Arial" w:hAnsi="Arial" w:cs="Arial"/>
        </w:rPr>
      </w:pPr>
      <w:r w:rsidRPr="00E300AE">
        <w:rPr>
          <w:rFonts w:ascii="Arial" w:hAnsi="Arial" w:cs="Arial"/>
        </w:rPr>
        <w:t xml:space="preserve">In order to provide airport </w:t>
      </w:r>
      <w:r w:rsidR="00034A47">
        <w:rPr>
          <w:rFonts w:ascii="Arial" w:hAnsi="Arial" w:cs="Arial"/>
        </w:rPr>
        <w:t xml:space="preserve">facilities and </w:t>
      </w:r>
      <w:r w:rsidRPr="00E300AE">
        <w:rPr>
          <w:rFonts w:ascii="Arial" w:hAnsi="Arial" w:cs="Arial"/>
        </w:rPr>
        <w:t xml:space="preserve">services, airports acquire a number of inputs at market prices. These include capital, labour, energy, materials and other supplies. The final prices for airport services </w:t>
      </w:r>
      <w:r w:rsidR="00F76BA0" w:rsidRPr="00E300AE">
        <w:rPr>
          <w:rFonts w:ascii="Arial" w:hAnsi="Arial" w:cs="Arial"/>
        </w:rPr>
        <w:t xml:space="preserve">reflect prices for the intermediary inputs and </w:t>
      </w:r>
      <w:r w:rsidRPr="00E300AE">
        <w:rPr>
          <w:rFonts w:ascii="Arial" w:hAnsi="Arial" w:cs="Arial"/>
        </w:rPr>
        <w:t xml:space="preserve">are in line with the overall price level in Australia. </w:t>
      </w:r>
    </w:p>
    <w:p w:rsidR="00A720E5" w:rsidRPr="00E300AE" w:rsidRDefault="00A720E5" w:rsidP="00376649">
      <w:pPr>
        <w:pStyle w:val="ListParagraph"/>
        <w:spacing w:after="0" w:line="240" w:lineRule="auto"/>
        <w:rPr>
          <w:rFonts w:ascii="Arial" w:hAnsi="Arial" w:cs="Arial"/>
        </w:rPr>
      </w:pPr>
    </w:p>
    <w:p w:rsidR="00A43A45" w:rsidRPr="00E300AE" w:rsidRDefault="00F76BA0" w:rsidP="00034A47">
      <w:pPr>
        <w:pStyle w:val="ListParagraph"/>
        <w:spacing w:after="0" w:line="240" w:lineRule="auto"/>
        <w:ind w:left="795"/>
        <w:jc w:val="both"/>
        <w:rPr>
          <w:rFonts w:ascii="Arial" w:hAnsi="Arial" w:cs="Arial"/>
        </w:rPr>
      </w:pPr>
      <w:r w:rsidRPr="00E300AE">
        <w:rPr>
          <w:rFonts w:ascii="Arial" w:hAnsi="Arial" w:cs="Arial"/>
        </w:rPr>
        <w:t>Historically, the price level in Australia has been high for several reasons, including low population number</w:t>
      </w:r>
      <w:r w:rsidR="00CA5C2C" w:rsidRPr="00E300AE">
        <w:rPr>
          <w:rFonts w:ascii="Arial" w:hAnsi="Arial" w:cs="Arial"/>
        </w:rPr>
        <w:t>s</w:t>
      </w:r>
      <w:r w:rsidRPr="00E300AE">
        <w:rPr>
          <w:rFonts w:ascii="Arial" w:hAnsi="Arial" w:cs="Arial"/>
        </w:rPr>
        <w:t xml:space="preserve"> as well as low density, remote geographical position</w:t>
      </w:r>
      <w:r w:rsidR="003205EB">
        <w:rPr>
          <w:rFonts w:ascii="Arial" w:hAnsi="Arial" w:cs="Arial"/>
        </w:rPr>
        <w:t xml:space="preserve"> and</w:t>
      </w:r>
      <w:r w:rsidRPr="00E300AE">
        <w:rPr>
          <w:rFonts w:ascii="Arial" w:hAnsi="Arial" w:cs="Arial"/>
        </w:rPr>
        <w:t xml:space="preserve"> various socio-economic factors. The high price level is evident from the comparative price level indices provided by OECD, which are the ratios of purchasing power parities to market exchange rates. At the level of GDP, comparative price levels provide a measure of the differences in the general price levels of countries; the indicator is measured as an index.</w:t>
      </w:r>
    </w:p>
    <w:p w:rsidR="00A43A45" w:rsidRPr="00E300AE" w:rsidRDefault="00A43A45" w:rsidP="00376649">
      <w:pPr>
        <w:pStyle w:val="ListParagraph"/>
        <w:spacing w:after="0" w:line="240" w:lineRule="auto"/>
        <w:rPr>
          <w:rFonts w:ascii="Arial" w:hAnsi="Arial" w:cs="Arial"/>
        </w:rPr>
      </w:pPr>
    </w:p>
    <w:p w:rsidR="00A43A45" w:rsidRPr="00E300AE" w:rsidRDefault="00A43A45" w:rsidP="00034A47">
      <w:pPr>
        <w:spacing w:after="0" w:line="240" w:lineRule="auto"/>
        <w:jc w:val="both"/>
        <w:rPr>
          <w:rFonts w:ascii="Arial" w:hAnsi="Arial" w:cs="Arial"/>
        </w:rPr>
      </w:pPr>
    </w:p>
    <w:p w:rsidR="00A43A45" w:rsidRPr="00E300AE" w:rsidRDefault="00A43A45" w:rsidP="00CC1486">
      <w:pPr>
        <w:pStyle w:val="ListParagraph"/>
        <w:spacing w:after="0" w:line="240" w:lineRule="auto"/>
        <w:ind w:left="795"/>
        <w:jc w:val="both"/>
        <w:rPr>
          <w:rFonts w:ascii="Arial" w:hAnsi="Arial" w:cs="Arial"/>
        </w:rPr>
      </w:pPr>
    </w:p>
    <w:p w:rsidR="0029625D" w:rsidRPr="00E300AE" w:rsidRDefault="002818A7" w:rsidP="00CC1486">
      <w:pPr>
        <w:pStyle w:val="ListParagraph"/>
        <w:spacing w:after="0" w:line="240" w:lineRule="auto"/>
        <w:ind w:left="795"/>
        <w:jc w:val="both"/>
        <w:rPr>
          <w:rFonts w:ascii="Arial" w:hAnsi="Arial" w:cs="Arial"/>
        </w:rPr>
      </w:pPr>
      <w:r w:rsidRPr="00E300AE">
        <w:rPr>
          <w:rFonts w:ascii="Arial" w:hAnsi="Arial" w:cs="Arial"/>
        </w:rPr>
        <w:lastRenderedPageBreak/>
        <w:t>Among the OECD</w:t>
      </w:r>
      <w:r w:rsidRPr="00E300AE">
        <w:rPr>
          <w:rStyle w:val="FootnoteReference"/>
          <w:rFonts w:ascii="Arial" w:hAnsi="Arial" w:cs="Arial"/>
        </w:rPr>
        <w:footnoteReference w:id="1"/>
      </w:r>
      <w:r w:rsidRPr="00E300AE">
        <w:rPr>
          <w:rFonts w:ascii="Arial" w:hAnsi="Arial" w:cs="Arial"/>
        </w:rPr>
        <w:t xml:space="preserve"> countries, </w:t>
      </w:r>
      <w:r w:rsidR="00110F94" w:rsidRPr="00E300AE">
        <w:rPr>
          <w:rFonts w:ascii="Arial" w:hAnsi="Arial" w:cs="Arial"/>
        </w:rPr>
        <w:t xml:space="preserve">Australia ranks as </w:t>
      </w:r>
      <w:r w:rsidR="003205EB">
        <w:rPr>
          <w:rFonts w:ascii="Arial" w:hAnsi="Arial" w:cs="Arial"/>
        </w:rPr>
        <w:t xml:space="preserve">the </w:t>
      </w:r>
      <w:r w:rsidR="00110F94" w:rsidRPr="00E300AE">
        <w:rPr>
          <w:rFonts w:ascii="Arial" w:hAnsi="Arial" w:cs="Arial"/>
        </w:rPr>
        <w:t>fourth most expensive country following Switzerland, Norway and Iceland</w:t>
      </w:r>
      <w:r w:rsidR="00395BE2" w:rsidRPr="00E300AE">
        <w:rPr>
          <w:rFonts w:ascii="Arial" w:hAnsi="Arial" w:cs="Arial"/>
        </w:rPr>
        <w:t>, with a price index of 125 versus the OECD average reference value of 100 and the EU-28 value of 92. In simple terms, Australia, on average, is 25% more expensive than the OECD countries altogether, and is 36% more expensive than Europe. Please refer to Chart 1 below:</w:t>
      </w:r>
    </w:p>
    <w:p w:rsidR="00761FEA" w:rsidRPr="00E300AE" w:rsidRDefault="00761FEA" w:rsidP="00436327">
      <w:pPr>
        <w:pStyle w:val="ListParagraph"/>
        <w:spacing w:after="0" w:line="240" w:lineRule="auto"/>
        <w:ind w:left="795"/>
        <w:jc w:val="both"/>
        <w:rPr>
          <w:rFonts w:ascii="Arial" w:hAnsi="Arial" w:cs="Arial"/>
        </w:rPr>
      </w:pPr>
    </w:p>
    <w:p w:rsidR="00761FEA" w:rsidRPr="00E300AE" w:rsidRDefault="00761FEA" w:rsidP="00436327">
      <w:pPr>
        <w:pStyle w:val="ListParagraph"/>
        <w:spacing w:after="0" w:line="240" w:lineRule="auto"/>
        <w:ind w:left="795"/>
        <w:jc w:val="both"/>
        <w:rPr>
          <w:rFonts w:ascii="Arial" w:hAnsi="Arial" w:cs="Arial"/>
          <w:b/>
        </w:rPr>
      </w:pPr>
      <w:r w:rsidRPr="00E300AE">
        <w:rPr>
          <w:rFonts w:ascii="Arial" w:hAnsi="Arial" w:cs="Arial"/>
          <w:b/>
        </w:rPr>
        <w:t xml:space="preserve">Chart 1: </w:t>
      </w:r>
      <w:r w:rsidR="00322FE4" w:rsidRPr="00E300AE">
        <w:rPr>
          <w:rFonts w:ascii="Arial" w:hAnsi="Arial" w:cs="Arial"/>
          <w:b/>
        </w:rPr>
        <w:t>Price level indices – OECD (2018)</w:t>
      </w:r>
    </w:p>
    <w:p w:rsidR="00395BE2" w:rsidRPr="00E300AE" w:rsidRDefault="00395BE2" w:rsidP="00436327">
      <w:pPr>
        <w:pStyle w:val="ListParagraph"/>
        <w:spacing w:after="0" w:line="240" w:lineRule="auto"/>
        <w:ind w:left="795"/>
        <w:jc w:val="both"/>
        <w:rPr>
          <w:rFonts w:ascii="Arial" w:hAnsi="Arial" w:cs="Arial"/>
        </w:rPr>
      </w:pPr>
    </w:p>
    <w:p w:rsidR="00395BE2" w:rsidRPr="00E300AE" w:rsidRDefault="00761FEA" w:rsidP="00AC6AC8">
      <w:pPr>
        <w:pStyle w:val="ListParagraph"/>
        <w:spacing w:after="0" w:line="240" w:lineRule="auto"/>
        <w:ind w:left="795"/>
        <w:jc w:val="both"/>
        <w:rPr>
          <w:rFonts w:ascii="Arial" w:hAnsi="Arial" w:cs="Arial"/>
        </w:rPr>
      </w:pPr>
      <w:r w:rsidRPr="00E300AE">
        <w:rPr>
          <w:noProof/>
          <w:lang w:val="en-AU" w:eastAsia="en-AU"/>
        </w:rPr>
        <w:drawing>
          <wp:inline distT="0" distB="0" distL="0" distR="0" wp14:anchorId="79CF5F0F" wp14:editId="08C545D6">
            <wp:extent cx="5448300" cy="4676775"/>
            <wp:effectExtent l="0" t="0" r="0" b="9525"/>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CF6401-F5CC-442F-8161-3B96A74A3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7C44" w:rsidRPr="00E300AE" w:rsidRDefault="00B17C44">
      <w:pPr>
        <w:pStyle w:val="ListParagraph"/>
        <w:spacing w:after="0" w:line="240" w:lineRule="auto"/>
        <w:ind w:left="795"/>
        <w:jc w:val="both"/>
        <w:rPr>
          <w:rFonts w:ascii="Arial" w:hAnsi="Arial" w:cs="Arial"/>
        </w:rPr>
      </w:pPr>
    </w:p>
    <w:p w:rsidR="00B17C44" w:rsidRPr="00E300AE" w:rsidRDefault="00B17C44">
      <w:pPr>
        <w:pStyle w:val="ListParagraph"/>
        <w:spacing w:after="0" w:line="240" w:lineRule="auto"/>
        <w:ind w:left="795"/>
        <w:jc w:val="both"/>
        <w:rPr>
          <w:rFonts w:ascii="Arial" w:hAnsi="Arial" w:cs="Arial"/>
          <w:color w:val="808080" w:themeColor="background1" w:themeShade="80"/>
          <w:sz w:val="18"/>
        </w:rPr>
      </w:pPr>
      <w:r w:rsidRPr="00E300AE">
        <w:rPr>
          <w:rFonts w:ascii="Arial" w:hAnsi="Arial" w:cs="Arial"/>
          <w:color w:val="808080" w:themeColor="background1" w:themeShade="80"/>
          <w:sz w:val="18"/>
        </w:rPr>
        <w:t>Source: OECD (2018), Price level indices (indicator). doi: 10.1787/c0266784-en (Accessed on 26 July 2018)</w:t>
      </w:r>
    </w:p>
    <w:p w:rsidR="0029625D" w:rsidRPr="00E300AE" w:rsidRDefault="0029625D">
      <w:pPr>
        <w:pStyle w:val="ListParagraph"/>
        <w:spacing w:after="0" w:line="240" w:lineRule="auto"/>
        <w:ind w:left="795"/>
        <w:jc w:val="both"/>
        <w:rPr>
          <w:rFonts w:ascii="Arial" w:hAnsi="Arial" w:cs="Arial"/>
        </w:rPr>
      </w:pPr>
    </w:p>
    <w:p w:rsidR="0029625D" w:rsidRPr="00E300AE" w:rsidRDefault="0029625D">
      <w:pPr>
        <w:pStyle w:val="ListParagraph"/>
        <w:spacing w:after="0" w:line="240" w:lineRule="auto"/>
        <w:ind w:left="795"/>
        <w:jc w:val="both"/>
        <w:rPr>
          <w:rFonts w:ascii="Arial" w:hAnsi="Arial" w:cs="Arial"/>
        </w:rPr>
      </w:pPr>
    </w:p>
    <w:p w:rsidR="0029625D" w:rsidRPr="00E300AE" w:rsidRDefault="002A0AC2">
      <w:pPr>
        <w:pStyle w:val="ListParagraph"/>
        <w:spacing w:after="0" w:line="240" w:lineRule="auto"/>
        <w:ind w:left="795"/>
        <w:jc w:val="both"/>
        <w:rPr>
          <w:rFonts w:ascii="Arial" w:hAnsi="Arial" w:cs="Arial"/>
        </w:rPr>
      </w:pPr>
      <w:r w:rsidRPr="00E300AE">
        <w:rPr>
          <w:rFonts w:ascii="Arial" w:hAnsi="Arial" w:cs="Arial"/>
        </w:rPr>
        <w:t xml:space="preserve">Additionally, despite the reasonable inflation rates in the last 15 </w:t>
      </w:r>
      <w:r w:rsidR="003303A7" w:rsidRPr="00E300AE">
        <w:rPr>
          <w:rFonts w:ascii="Arial" w:hAnsi="Arial" w:cs="Arial"/>
        </w:rPr>
        <w:t>years -</w:t>
      </w:r>
      <w:r w:rsidRPr="00E300AE">
        <w:rPr>
          <w:rFonts w:ascii="Arial" w:hAnsi="Arial" w:cs="Arial"/>
        </w:rPr>
        <w:t xml:space="preserve"> the period of light-handed oversight – the price level in Australia went up 58% at </w:t>
      </w:r>
      <w:r w:rsidR="003303A7" w:rsidRPr="00E300AE">
        <w:rPr>
          <w:rFonts w:ascii="Arial" w:hAnsi="Arial" w:cs="Arial"/>
        </w:rPr>
        <w:t xml:space="preserve">CAGR of 3.1%. </w:t>
      </w:r>
      <w:r w:rsidR="001F6663" w:rsidRPr="00E300AE">
        <w:rPr>
          <w:rFonts w:ascii="Arial" w:hAnsi="Arial" w:cs="Arial"/>
        </w:rPr>
        <w:t>It is inevitable that increased prices for the key economic inputs result in higher price for final services, though partially offset by efficiency gains.</w:t>
      </w:r>
    </w:p>
    <w:p w:rsidR="0052151F" w:rsidRPr="00E300AE" w:rsidRDefault="0052151F">
      <w:pPr>
        <w:spacing w:after="0" w:line="240" w:lineRule="auto"/>
        <w:jc w:val="both"/>
        <w:rPr>
          <w:rFonts w:ascii="Arial" w:hAnsi="Arial" w:cs="Arial"/>
        </w:rPr>
      </w:pPr>
    </w:p>
    <w:p w:rsidR="0052151F" w:rsidRPr="00E300AE" w:rsidRDefault="0052151F" w:rsidP="000731C9">
      <w:pPr>
        <w:pStyle w:val="ListParagraph"/>
        <w:numPr>
          <w:ilvl w:val="1"/>
          <w:numId w:val="21"/>
        </w:numPr>
        <w:spacing w:after="0" w:line="240" w:lineRule="auto"/>
        <w:jc w:val="both"/>
        <w:rPr>
          <w:rFonts w:ascii="Arial" w:hAnsi="Arial" w:cs="Arial"/>
        </w:rPr>
      </w:pPr>
      <w:r w:rsidRPr="00E300AE">
        <w:rPr>
          <w:rFonts w:ascii="Arial" w:hAnsi="Arial" w:cs="Arial"/>
        </w:rPr>
        <w:lastRenderedPageBreak/>
        <w:t xml:space="preserve">According to the </w:t>
      </w:r>
      <w:r w:rsidR="000731C9" w:rsidRPr="000731C9">
        <w:rPr>
          <w:rFonts w:ascii="Arial" w:hAnsi="Arial" w:cs="Arial"/>
        </w:rPr>
        <w:t>LeighFisher Review of Airport Charges</w:t>
      </w:r>
      <w:r w:rsidRPr="00E300AE">
        <w:rPr>
          <w:rFonts w:ascii="Arial" w:hAnsi="Arial" w:cs="Arial"/>
        </w:rPr>
        <w:t xml:space="preserve">, out of </w:t>
      </w:r>
      <w:r w:rsidR="003205EB">
        <w:rPr>
          <w:rFonts w:ascii="Arial" w:hAnsi="Arial" w:cs="Arial"/>
        </w:rPr>
        <w:t xml:space="preserve">the </w:t>
      </w:r>
      <w:r w:rsidRPr="00E300AE">
        <w:rPr>
          <w:rFonts w:ascii="Arial" w:hAnsi="Arial" w:cs="Arial"/>
        </w:rPr>
        <w:t xml:space="preserve">50 largest international airports in the world, Sydney airport </w:t>
      </w:r>
      <w:r w:rsidR="008314B7" w:rsidRPr="00E300AE">
        <w:rPr>
          <w:rFonts w:ascii="Arial" w:hAnsi="Arial" w:cs="Arial"/>
        </w:rPr>
        <w:t>applies</w:t>
      </w:r>
      <w:r w:rsidRPr="00E300AE">
        <w:rPr>
          <w:rFonts w:ascii="Arial" w:hAnsi="Arial" w:cs="Arial"/>
        </w:rPr>
        <w:t xml:space="preserve"> reasonable level of charges given the general economic context of the country.</w:t>
      </w:r>
      <w:r w:rsidR="008314B7" w:rsidRPr="00E300AE">
        <w:rPr>
          <w:rFonts w:ascii="Arial" w:hAnsi="Arial" w:cs="Arial"/>
        </w:rPr>
        <w:t xml:space="preserve"> </w:t>
      </w:r>
      <w:r w:rsidRPr="00E300AE">
        <w:rPr>
          <w:rFonts w:ascii="Arial" w:hAnsi="Arial" w:cs="Arial"/>
        </w:rPr>
        <w:t xml:space="preserve"> The LeighFisher 2016 Review of Airport Charges details aeronautical charges (landing, parking, infrastructure, passenger service and security and terminal navigation charges) that would be imposed on a sample of eight different aircraft types making one landing and one departure at each of the 50 major international airports. Collectively, these 50 airports handled over 2 billion passengers in 2016 and represented 26.3% of all global passenger traffic. Total charges were expressed in special drawing right units (SDRs) and indexed whereas 100 stands for the most expensive airport, and all other airports progress downward in terms of charges ranking.</w:t>
      </w:r>
    </w:p>
    <w:p w:rsidR="002D6AD6" w:rsidRPr="00E300AE" w:rsidRDefault="002D6AD6">
      <w:pPr>
        <w:pStyle w:val="ListParagraph"/>
        <w:spacing w:after="0" w:line="240" w:lineRule="auto"/>
        <w:jc w:val="both"/>
        <w:rPr>
          <w:rFonts w:ascii="Arial" w:hAnsi="Arial" w:cs="Arial"/>
        </w:rPr>
      </w:pPr>
    </w:p>
    <w:p w:rsidR="00F44143" w:rsidRPr="00E300AE" w:rsidRDefault="002D6AD6">
      <w:pPr>
        <w:pStyle w:val="ListParagraph"/>
        <w:spacing w:after="0" w:line="240" w:lineRule="auto"/>
        <w:jc w:val="both"/>
        <w:rPr>
          <w:rFonts w:ascii="Arial" w:hAnsi="Arial" w:cs="Arial"/>
        </w:rPr>
      </w:pPr>
      <w:r w:rsidRPr="00E300AE">
        <w:rPr>
          <w:rFonts w:ascii="Arial" w:hAnsi="Arial" w:cs="Arial"/>
        </w:rPr>
        <w:t>Among the 50 largest international airports, the charges indices range from 100 (the most expensive) to 23 (the least expensive). Sydney airport has an index of 63</w:t>
      </w:r>
      <w:r w:rsidR="00B17C44" w:rsidRPr="00E300AE">
        <w:rPr>
          <w:rFonts w:ascii="Arial" w:hAnsi="Arial" w:cs="Arial"/>
        </w:rPr>
        <w:t>, above the median of 51</w:t>
      </w:r>
      <w:r w:rsidR="00F44143" w:rsidRPr="00E300AE">
        <w:rPr>
          <w:rFonts w:ascii="Arial" w:hAnsi="Arial" w:cs="Arial"/>
        </w:rPr>
        <w:t>. See Chart 2 below.</w:t>
      </w:r>
    </w:p>
    <w:p w:rsidR="00F44143" w:rsidRPr="00E300AE" w:rsidRDefault="00F44143">
      <w:pPr>
        <w:pStyle w:val="ListParagraph"/>
        <w:spacing w:after="0" w:line="240" w:lineRule="auto"/>
        <w:jc w:val="both"/>
        <w:rPr>
          <w:rFonts w:ascii="Arial" w:hAnsi="Arial" w:cs="Arial"/>
        </w:rPr>
      </w:pPr>
    </w:p>
    <w:p w:rsidR="00F44143" w:rsidRPr="00E300AE" w:rsidRDefault="00F44143">
      <w:pPr>
        <w:pStyle w:val="ListParagraph"/>
        <w:spacing w:after="0" w:line="240" w:lineRule="auto"/>
        <w:jc w:val="both"/>
        <w:rPr>
          <w:rFonts w:ascii="Arial" w:hAnsi="Arial" w:cs="Arial"/>
          <w:b/>
        </w:rPr>
      </w:pPr>
      <w:r w:rsidRPr="00E300AE">
        <w:rPr>
          <w:rFonts w:ascii="Arial" w:hAnsi="Arial" w:cs="Arial"/>
          <w:b/>
        </w:rPr>
        <w:t>Chart 2: Index of charges at 50 major international airports (2016)</w:t>
      </w:r>
    </w:p>
    <w:p w:rsidR="00B17C44" w:rsidRPr="00E300AE" w:rsidRDefault="00B17C44">
      <w:pPr>
        <w:pStyle w:val="ListParagraph"/>
        <w:spacing w:after="0" w:line="240" w:lineRule="auto"/>
        <w:jc w:val="both"/>
        <w:rPr>
          <w:rFonts w:ascii="Arial" w:hAnsi="Arial" w:cs="Arial"/>
          <w:b/>
        </w:rPr>
      </w:pPr>
    </w:p>
    <w:p w:rsidR="00B17C44" w:rsidRPr="00E300AE" w:rsidRDefault="00560639">
      <w:pPr>
        <w:pStyle w:val="ListParagraph"/>
        <w:spacing w:after="0" w:line="240" w:lineRule="auto"/>
        <w:jc w:val="both"/>
        <w:rPr>
          <w:rFonts w:ascii="Arial" w:hAnsi="Arial" w:cs="Arial"/>
          <w:b/>
        </w:rPr>
      </w:pPr>
      <w:r>
        <w:rPr>
          <w:noProof/>
          <w:lang w:val="en-AU" w:eastAsia="en-AU"/>
        </w:rPr>
        <w:drawing>
          <wp:inline distT="0" distB="0" distL="0" distR="0" wp14:anchorId="37F172F1" wp14:editId="577F6D62">
            <wp:extent cx="5486400" cy="4848225"/>
            <wp:effectExtent l="0" t="0" r="0" b="9525"/>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5FF5F8-CE8D-42EA-ACF3-5BA0CC773C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264A" w:rsidRPr="00E300AE" w:rsidRDefault="0070264A">
      <w:pPr>
        <w:spacing w:after="0" w:line="240" w:lineRule="auto"/>
        <w:jc w:val="both"/>
        <w:rPr>
          <w:rFonts w:ascii="Arial" w:hAnsi="Arial" w:cs="Arial"/>
          <w:color w:val="808080" w:themeColor="background1" w:themeShade="80"/>
          <w:sz w:val="18"/>
        </w:rPr>
      </w:pPr>
    </w:p>
    <w:p w:rsidR="0070264A" w:rsidRPr="00E300AE" w:rsidRDefault="0070264A">
      <w:pPr>
        <w:spacing w:after="0" w:line="240" w:lineRule="auto"/>
        <w:ind w:firstLine="720"/>
        <w:jc w:val="both"/>
        <w:rPr>
          <w:rFonts w:ascii="Arial" w:hAnsi="Arial" w:cs="Arial"/>
          <w:color w:val="808080" w:themeColor="background1" w:themeShade="80"/>
          <w:sz w:val="18"/>
        </w:rPr>
      </w:pPr>
      <w:r w:rsidRPr="00E300AE">
        <w:rPr>
          <w:rFonts w:ascii="Arial" w:hAnsi="Arial" w:cs="Arial"/>
          <w:color w:val="808080" w:themeColor="background1" w:themeShade="80"/>
          <w:sz w:val="18"/>
        </w:rPr>
        <w:t>Source: LeighFisher Review of Airport Charges 2016</w:t>
      </w:r>
    </w:p>
    <w:p w:rsidR="00B17C44" w:rsidRPr="00E300AE" w:rsidRDefault="00B17C44">
      <w:pPr>
        <w:pStyle w:val="ListParagraph"/>
        <w:spacing w:after="0" w:line="240" w:lineRule="auto"/>
        <w:jc w:val="both"/>
        <w:rPr>
          <w:rFonts w:ascii="Arial" w:hAnsi="Arial" w:cs="Arial"/>
          <w:b/>
        </w:rPr>
      </w:pPr>
    </w:p>
    <w:p w:rsidR="00034A47" w:rsidRPr="00AE70B4" w:rsidRDefault="009C2A2D" w:rsidP="00AE70B4">
      <w:pPr>
        <w:pStyle w:val="ListParagraph"/>
        <w:spacing w:after="0" w:line="240" w:lineRule="auto"/>
        <w:jc w:val="both"/>
        <w:rPr>
          <w:rFonts w:ascii="Arial" w:hAnsi="Arial" w:cs="Arial"/>
        </w:rPr>
      </w:pPr>
      <w:r w:rsidRPr="00E300AE">
        <w:rPr>
          <w:rFonts w:ascii="Arial" w:hAnsi="Arial" w:cs="Arial"/>
        </w:rPr>
        <w:lastRenderedPageBreak/>
        <w:t>Summarizing the price level vis-à-vis the charges benchmark at high level, we can observe the following pattern (Table 1):</w:t>
      </w:r>
    </w:p>
    <w:p w:rsidR="00034A47" w:rsidRPr="00E300AE" w:rsidRDefault="00034A47">
      <w:pPr>
        <w:pStyle w:val="ListParagraph"/>
        <w:spacing w:after="0" w:line="240" w:lineRule="auto"/>
        <w:jc w:val="both"/>
        <w:rPr>
          <w:rFonts w:ascii="Arial" w:hAnsi="Arial" w:cs="Arial"/>
        </w:rPr>
      </w:pPr>
    </w:p>
    <w:p w:rsidR="009C2A2D" w:rsidRPr="000A4A36" w:rsidRDefault="009C2A2D">
      <w:pPr>
        <w:pStyle w:val="ListParagraph"/>
        <w:spacing w:after="0" w:line="240" w:lineRule="auto"/>
        <w:jc w:val="both"/>
        <w:rPr>
          <w:rFonts w:ascii="Arial" w:hAnsi="Arial" w:cs="Arial"/>
          <w:b/>
          <w:lang w:val="fr-FR"/>
        </w:rPr>
      </w:pPr>
      <w:r w:rsidRPr="000A4A36">
        <w:rPr>
          <w:rFonts w:ascii="Arial" w:hAnsi="Arial" w:cs="Arial"/>
          <w:b/>
          <w:lang w:val="fr-FR"/>
        </w:rPr>
        <w:t>Table 1: Price index vis-à-vis airport charges index</w:t>
      </w:r>
    </w:p>
    <w:p w:rsidR="004C0043" w:rsidRPr="000A4A36" w:rsidRDefault="004C0043">
      <w:pPr>
        <w:pStyle w:val="ListParagraph"/>
        <w:spacing w:after="0" w:line="240" w:lineRule="auto"/>
        <w:jc w:val="both"/>
        <w:rPr>
          <w:rFonts w:ascii="Arial" w:hAnsi="Arial" w:cs="Arial"/>
          <w:b/>
          <w:lang w:val="fr-FR"/>
        </w:rPr>
      </w:pPr>
    </w:p>
    <w:tbl>
      <w:tblPr>
        <w:tblW w:w="7760" w:type="dxa"/>
        <w:tblInd w:w="612" w:type="dxa"/>
        <w:tblLook w:val="04A0" w:firstRow="1" w:lastRow="0" w:firstColumn="1" w:lastColumn="0" w:noHBand="0" w:noVBand="1"/>
      </w:tblPr>
      <w:tblGrid>
        <w:gridCol w:w="1940"/>
        <w:gridCol w:w="1940"/>
        <w:gridCol w:w="1940"/>
        <w:gridCol w:w="1940"/>
      </w:tblGrid>
      <w:tr w:rsidR="004C0043" w:rsidRPr="004C0043" w:rsidTr="00C06D11">
        <w:trPr>
          <w:trHeight w:val="315"/>
        </w:trPr>
        <w:tc>
          <w:tcPr>
            <w:tcW w:w="1940" w:type="dxa"/>
            <w:tcBorders>
              <w:top w:val="single" w:sz="4" w:space="0" w:color="auto"/>
              <w:left w:val="nil"/>
              <w:bottom w:val="double" w:sz="6" w:space="0" w:color="auto"/>
              <w:right w:val="nil"/>
            </w:tcBorders>
            <w:shd w:val="clear" w:color="000000" w:fill="FFFFFF"/>
            <w:noWrap/>
            <w:vAlign w:val="center"/>
            <w:hideMark/>
          </w:tcPr>
          <w:p w:rsidR="004C0043" w:rsidRPr="000A4A36" w:rsidRDefault="004C0043">
            <w:pPr>
              <w:spacing w:after="0" w:line="240" w:lineRule="auto"/>
              <w:jc w:val="center"/>
              <w:rPr>
                <w:rFonts w:ascii="Arial" w:eastAsia="Times New Roman" w:hAnsi="Arial" w:cs="Arial"/>
                <w:b/>
                <w:bCs/>
                <w:color w:val="000000"/>
                <w:lang w:val="fr-FR" w:eastAsia="en-CA"/>
              </w:rPr>
            </w:pPr>
          </w:p>
        </w:tc>
        <w:tc>
          <w:tcPr>
            <w:tcW w:w="1940" w:type="dxa"/>
            <w:tcBorders>
              <w:top w:val="single" w:sz="4" w:space="0" w:color="auto"/>
              <w:left w:val="nil"/>
              <w:bottom w:val="double" w:sz="6" w:space="0" w:color="auto"/>
              <w:right w:val="nil"/>
            </w:tcBorders>
            <w:shd w:val="clear" w:color="000000" w:fill="FFFFFF"/>
            <w:noWrap/>
            <w:vAlign w:val="center"/>
            <w:hideMark/>
          </w:tcPr>
          <w:p w:rsidR="004C0043" w:rsidRPr="004C0043" w:rsidRDefault="004C0043">
            <w:pPr>
              <w:spacing w:after="0" w:line="240" w:lineRule="auto"/>
              <w:jc w:val="center"/>
              <w:rPr>
                <w:rFonts w:ascii="Arial" w:eastAsia="Times New Roman" w:hAnsi="Arial" w:cs="Arial"/>
                <w:b/>
                <w:bCs/>
                <w:color w:val="000000"/>
                <w:lang w:eastAsia="en-CA"/>
              </w:rPr>
            </w:pPr>
            <w:r w:rsidRPr="004C0043">
              <w:rPr>
                <w:rFonts w:ascii="Arial" w:eastAsia="Times New Roman" w:hAnsi="Arial" w:cs="Arial"/>
                <w:b/>
                <w:bCs/>
                <w:color w:val="000000"/>
                <w:lang w:eastAsia="en-CA"/>
              </w:rPr>
              <w:t>Price index</w:t>
            </w:r>
          </w:p>
        </w:tc>
        <w:tc>
          <w:tcPr>
            <w:tcW w:w="1940" w:type="dxa"/>
            <w:tcBorders>
              <w:top w:val="single" w:sz="4" w:space="0" w:color="auto"/>
              <w:left w:val="nil"/>
              <w:bottom w:val="double" w:sz="6" w:space="0" w:color="auto"/>
              <w:right w:val="nil"/>
            </w:tcBorders>
            <w:shd w:val="clear" w:color="000000" w:fill="FFFFFF"/>
            <w:noWrap/>
            <w:vAlign w:val="center"/>
            <w:hideMark/>
          </w:tcPr>
          <w:p w:rsidR="004C0043" w:rsidRPr="004C0043" w:rsidRDefault="00C06D11">
            <w:pPr>
              <w:spacing w:after="0" w:line="240" w:lineRule="auto"/>
              <w:jc w:val="center"/>
              <w:rPr>
                <w:rFonts w:ascii="Arial" w:eastAsia="Times New Roman" w:hAnsi="Arial" w:cs="Arial"/>
                <w:b/>
                <w:bCs/>
                <w:color w:val="000000"/>
                <w:lang w:eastAsia="en-CA"/>
              </w:rPr>
            </w:pPr>
            <w:r w:rsidRPr="00E300AE">
              <w:rPr>
                <w:rFonts w:ascii="Arial" w:eastAsia="Times New Roman" w:hAnsi="Arial" w:cs="Arial"/>
                <w:b/>
                <w:bCs/>
                <w:color w:val="000000"/>
                <w:lang w:eastAsia="en-CA"/>
              </w:rPr>
              <w:t>Airport c</w:t>
            </w:r>
            <w:r w:rsidR="004C0043" w:rsidRPr="004C0043">
              <w:rPr>
                <w:rFonts w:ascii="Arial" w:eastAsia="Times New Roman" w:hAnsi="Arial" w:cs="Arial"/>
                <w:b/>
                <w:bCs/>
                <w:color w:val="000000"/>
                <w:lang w:eastAsia="en-CA"/>
              </w:rPr>
              <w:t>harges index</w:t>
            </w:r>
          </w:p>
        </w:tc>
        <w:tc>
          <w:tcPr>
            <w:tcW w:w="1940" w:type="dxa"/>
            <w:tcBorders>
              <w:top w:val="single" w:sz="4" w:space="0" w:color="auto"/>
              <w:left w:val="nil"/>
              <w:bottom w:val="double" w:sz="6" w:space="0" w:color="auto"/>
              <w:right w:val="nil"/>
            </w:tcBorders>
            <w:shd w:val="clear" w:color="000000" w:fill="FFFFFF"/>
            <w:noWrap/>
            <w:vAlign w:val="center"/>
            <w:hideMark/>
          </w:tcPr>
          <w:p w:rsidR="004C0043" w:rsidRPr="004C0043" w:rsidRDefault="004C0043">
            <w:pPr>
              <w:spacing w:after="0" w:line="240" w:lineRule="auto"/>
              <w:jc w:val="center"/>
              <w:rPr>
                <w:rFonts w:ascii="Arial" w:eastAsia="Times New Roman" w:hAnsi="Arial" w:cs="Arial"/>
                <w:b/>
                <w:bCs/>
                <w:color w:val="000000"/>
                <w:lang w:eastAsia="en-CA"/>
              </w:rPr>
            </w:pPr>
            <w:r w:rsidRPr="004C0043">
              <w:rPr>
                <w:rFonts w:ascii="Arial" w:eastAsia="Times New Roman" w:hAnsi="Arial" w:cs="Arial"/>
                <w:b/>
                <w:bCs/>
                <w:color w:val="000000"/>
                <w:lang w:eastAsia="en-CA"/>
              </w:rPr>
              <w:t>Ratio</w:t>
            </w:r>
          </w:p>
        </w:tc>
      </w:tr>
      <w:tr w:rsidR="004C0043" w:rsidRPr="004C0043" w:rsidTr="004C0043">
        <w:trPr>
          <w:trHeight w:val="300"/>
        </w:trPr>
        <w:tc>
          <w:tcPr>
            <w:tcW w:w="1940" w:type="dxa"/>
            <w:tcBorders>
              <w:top w:val="nil"/>
              <w:left w:val="nil"/>
              <w:bottom w:val="nil"/>
              <w:right w:val="nil"/>
            </w:tcBorders>
            <w:shd w:val="clear" w:color="000000" w:fill="FFFFFF"/>
            <w:noWrap/>
            <w:vAlign w:val="bottom"/>
            <w:hideMark/>
          </w:tcPr>
          <w:p w:rsidR="004C0043" w:rsidRPr="004C0043" w:rsidRDefault="004C0043" w:rsidP="00034A47">
            <w:pPr>
              <w:spacing w:after="0" w:line="240" w:lineRule="auto"/>
              <w:rPr>
                <w:rFonts w:ascii="Arial" w:eastAsia="Times New Roman" w:hAnsi="Arial" w:cs="Arial"/>
                <w:color w:val="000000"/>
                <w:lang w:eastAsia="en-CA"/>
              </w:rPr>
            </w:pPr>
            <w:r w:rsidRPr="004C0043">
              <w:rPr>
                <w:rFonts w:ascii="Arial" w:eastAsia="Times New Roman" w:hAnsi="Arial" w:cs="Arial"/>
                <w:color w:val="000000"/>
                <w:lang w:eastAsia="en-CA"/>
              </w:rPr>
              <w:t>Europe</w:t>
            </w:r>
          </w:p>
        </w:tc>
        <w:tc>
          <w:tcPr>
            <w:tcW w:w="1940" w:type="dxa"/>
            <w:tcBorders>
              <w:top w:val="nil"/>
              <w:left w:val="nil"/>
              <w:bottom w:val="nil"/>
              <w:right w:val="nil"/>
            </w:tcBorders>
            <w:shd w:val="clear" w:color="000000" w:fill="FFFFFF"/>
            <w:noWrap/>
            <w:vAlign w:val="bottom"/>
            <w:hideMark/>
          </w:tcPr>
          <w:p w:rsidR="004C0043" w:rsidRPr="004C0043" w:rsidRDefault="004C0043" w:rsidP="00CC1486">
            <w:pPr>
              <w:spacing w:after="0" w:line="240" w:lineRule="auto"/>
              <w:jc w:val="center"/>
              <w:rPr>
                <w:rFonts w:ascii="Arial" w:eastAsia="Times New Roman" w:hAnsi="Arial" w:cs="Arial"/>
                <w:color w:val="000000"/>
                <w:lang w:eastAsia="en-CA"/>
              </w:rPr>
            </w:pPr>
            <w:r w:rsidRPr="004C0043">
              <w:rPr>
                <w:rFonts w:ascii="Arial" w:eastAsia="Times New Roman" w:hAnsi="Arial" w:cs="Arial"/>
                <w:color w:val="000000"/>
                <w:lang w:eastAsia="en-CA"/>
              </w:rPr>
              <w:t>92</w:t>
            </w:r>
          </w:p>
        </w:tc>
        <w:tc>
          <w:tcPr>
            <w:tcW w:w="1940" w:type="dxa"/>
            <w:tcBorders>
              <w:top w:val="nil"/>
              <w:left w:val="nil"/>
              <w:bottom w:val="nil"/>
              <w:right w:val="nil"/>
            </w:tcBorders>
            <w:shd w:val="clear" w:color="000000" w:fill="FFFFFF"/>
            <w:noWrap/>
            <w:vAlign w:val="bottom"/>
            <w:hideMark/>
          </w:tcPr>
          <w:p w:rsidR="004C0043" w:rsidRPr="004C0043" w:rsidRDefault="004C0043" w:rsidP="008D26A8">
            <w:pPr>
              <w:spacing w:after="0" w:line="240" w:lineRule="auto"/>
              <w:jc w:val="center"/>
              <w:rPr>
                <w:rFonts w:ascii="Arial" w:eastAsia="Times New Roman" w:hAnsi="Arial" w:cs="Arial"/>
                <w:color w:val="000000"/>
                <w:lang w:eastAsia="en-CA"/>
              </w:rPr>
            </w:pPr>
            <w:r w:rsidRPr="004C0043">
              <w:rPr>
                <w:rFonts w:ascii="Arial" w:eastAsia="Times New Roman" w:hAnsi="Arial" w:cs="Arial"/>
                <w:color w:val="000000"/>
                <w:lang w:eastAsia="en-CA"/>
              </w:rPr>
              <w:t>56</w:t>
            </w:r>
          </w:p>
        </w:tc>
        <w:tc>
          <w:tcPr>
            <w:tcW w:w="1940" w:type="dxa"/>
            <w:tcBorders>
              <w:top w:val="nil"/>
              <w:left w:val="nil"/>
              <w:bottom w:val="nil"/>
              <w:right w:val="nil"/>
            </w:tcBorders>
            <w:shd w:val="clear" w:color="000000" w:fill="FFFFFF"/>
            <w:noWrap/>
            <w:vAlign w:val="bottom"/>
            <w:hideMark/>
          </w:tcPr>
          <w:p w:rsidR="004C0043" w:rsidRPr="004C0043" w:rsidRDefault="004C0043" w:rsidP="00436327">
            <w:pPr>
              <w:spacing w:after="0" w:line="240" w:lineRule="auto"/>
              <w:jc w:val="center"/>
              <w:rPr>
                <w:rFonts w:ascii="Arial" w:eastAsia="Times New Roman" w:hAnsi="Arial" w:cs="Arial"/>
                <w:color w:val="000000"/>
                <w:lang w:eastAsia="en-CA"/>
              </w:rPr>
            </w:pPr>
            <w:r w:rsidRPr="004C0043">
              <w:rPr>
                <w:rFonts w:ascii="Arial" w:eastAsia="Times New Roman" w:hAnsi="Arial" w:cs="Arial"/>
                <w:color w:val="000000"/>
                <w:lang w:eastAsia="en-CA"/>
              </w:rPr>
              <w:t xml:space="preserve">0.61 </w:t>
            </w:r>
          </w:p>
        </w:tc>
      </w:tr>
      <w:tr w:rsidR="004C0043" w:rsidRPr="004C0043" w:rsidTr="004C0043">
        <w:trPr>
          <w:trHeight w:val="285"/>
        </w:trPr>
        <w:tc>
          <w:tcPr>
            <w:tcW w:w="1940" w:type="dxa"/>
            <w:tcBorders>
              <w:top w:val="nil"/>
              <w:left w:val="nil"/>
              <w:bottom w:val="nil"/>
              <w:right w:val="nil"/>
            </w:tcBorders>
            <w:shd w:val="clear" w:color="000000" w:fill="FFFFFF"/>
            <w:noWrap/>
            <w:vAlign w:val="bottom"/>
            <w:hideMark/>
          </w:tcPr>
          <w:p w:rsidR="004C0043" w:rsidRPr="004C0043" w:rsidRDefault="004C0043" w:rsidP="00034A47">
            <w:pPr>
              <w:spacing w:after="0" w:line="240" w:lineRule="auto"/>
              <w:rPr>
                <w:rFonts w:ascii="Arial" w:eastAsia="Times New Roman" w:hAnsi="Arial" w:cs="Arial"/>
                <w:color w:val="000000"/>
                <w:lang w:eastAsia="en-CA"/>
              </w:rPr>
            </w:pPr>
            <w:r w:rsidRPr="004C0043">
              <w:rPr>
                <w:rFonts w:ascii="Arial" w:eastAsia="Times New Roman" w:hAnsi="Arial" w:cs="Arial"/>
                <w:color w:val="000000"/>
                <w:lang w:eastAsia="en-CA"/>
              </w:rPr>
              <w:t>USA</w:t>
            </w:r>
          </w:p>
        </w:tc>
        <w:tc>
          <w:tcPr>
            <w:tcW w:w="1940" w:type="dxa"/>
            <w:tcBorders>
              <w:top w:val="nil"/>
              <w:left w:val="nil"/>
              <w:bottom w:val="nil"/>
              <w:right w:val="nil"/>
            </w:tcBorders>
            <w:shd w:val="clear" w:color="000000" w:fill="FFFFFF"/>
            <w:noWrap/>
            <w:vAlign w:val="bottom"/>
            <w:hideMark/>
          </w:tcPr>
          <w:p w:rsidR="004C0043" w:rsidRPr="004C0043" w:rsidRDefault="004C0043" w:rsidP="00CC1486">
            <w:pPr>
              <w:spacing w:after="0" w:line="240" w:lineRule="auto"/>
              <w:jc w:val="center"/>
              <w:rPr>
                <w:rFonts w:ascii="Arial" w:eastAsia="Times New Roman" w:hAnsi="Arial" w:cs="Arial"/>
                <w:color w:val="000000"/>
                <w:lang w:eastAsia="en-CA"/>
              </w:rPr>
            </w:pPr>
            <w:r w:rsidRPr="004C0043">
              <w:rPr>
                <w:rFonts w:ascii="Arial" w:eastAsia="Times New Roman" w:hAnsi="Arial" w:cs="Arial"/>
                <w:color w:val="000000"/>
                <w:lang w:eastAsia="en-CA"/>
              </w:rPr>
              <w:t>114</w:t>
            </w:r>
          </w:p>
        </w:tc>
        <w:tc>
          <w:tcPr>
            <w:tcW w:w="1940" w:type="dxa"/>
            <w:tcBorders>
              <w:top w:val="nil"/>
              <w:left w:val="nil"/>
              <w:bottom w:val="nil"/>
              <w:right w:val="nil"/>
            </w:tcBorders>
            <w:shd w:val="clear" w:color="000000" w:fill="FFFFFF"/>
            <w:noWrap/>
            <w:vAlign w:val="bottom"/>
            <w:hideMark/>
          </w:tcPr>
          <w:p w:rsidR="004C0043" w:rsidRPr="004C0043" w:rsidRDefault="004C0043" w:rsidP="008D26A8">
            <w:pPr>
              <w:spacing w:after="0" w:line="240" w:lineRule="auto"/>
              <w:jc w:val="center"/>
              <w:rPr>
                <w:rFonts w:ascii="Arial" w:eastAsia="Times New Roman" w:hAnsi="Arial" w:cs="Arial"/>
                <w:color w:val="000000"/>
                <w:lang w:eastAsia="en-CA"/>
              </w:rPr>
            </w:pPr>
            <w:r w:rsidRPr="004C0043">
              <w:rPr>
                <w:rFonts w:ascii="Arial" w:eastAsia="Times New Roman" w:hAnsi="Arial" w:cs="Arial"/>
                <w:color w:val="000000"/>
                <w:lang w:eastAsia="en-CA"/>
              </w:rPr>
              <w:t>59</w:t>
            </w:r>
          </w:p>
        </w:tc>
        <w:tc>
          <w:tcPr>
            <w:tcW w:w="1940" w:type="dxa"/>
            <w:tcBorders>
              <w:top w:val="nil"/>
              <w:left w:val="nil"/>
              <w:bottom w:val="nil"/>
              <w:right w:val="nil"/>
            </w:tcBorders>
            <w:shd w:val="clear" w:color="000000" w:fill="FFFFFF"/>
            <w:noWrap/>
            <w:vAlign w:val="bottom"/>
            <w:hideMark/>
          </w:tcPr>
          <w:p w:rsidR="004C0043" w:rsidRPr="004C0043" w:rsidRDefault="004C0043" w:rsidP="00436327">
            <w:pPr>
              <w:spacing w:after="0" w:line="240" w:lineRule="auto"/>
              <w:jc w:val="center"/>
              <w:rPr>
                <w:rFonts w:ascii="Arial" w:eastAsia="Times New Roman" w:hAnsi="Arial" w:cs="Arial"/>
                <w:color w:val="000000"/>
                <w:lang w:eastAsia="en-CA"/>
              </w:rPr>
            </w:pPr>
            <w:r w:rsidRPr="004C0043">
              <w:rPr>
                <w:rFonts w:ascii="Arial" w:eastAsia="Times New Roman" w:hAnsi="Arial" w:cs="Arial"/>
                <w:color w:val="000000"/>
                <w:lang w:eastAsia="en-CA"/>
              </w:rPr>
              <w:t xml:space="preserve">0.52 </w:t>
            </w:r>
          </w:p>
        </w:tc>
      </w:tr>
      <w:tr w:rsidR="004C0043" w:rsidRPr="004C0043" w:rsidTr="004C0043">
        <w:trPr>
          <w:trHeight w:val="285"/>
        </w:trPr>
        <w:tc>
          <w:tcPr>
            <w:tcW w:w="1940" w:type="dxa"/>
            <w:tcBorders>
              <w:top w:val="nil"/>
              <w:left w:val="nil"/>
              <w:bottom w:val="single" w:sz="4" w:space="0" w:color="auto"/>
              <w:right w:val="nil"/>
            </w:tcBorders>
            <w:shd w:val="clear" w:color="000000" w:fill="FFFFFF"/>
            <w:noWrap/>
            <w:vAlign w:val="bottom"/>
            <w:hideMark/>
          </w:tcPr>
          <w:p w:rsidR="004C0043" w:rsidRPr="004C0043" w:rsidRDefault="004C0043" w:rsidP="00034A47">
            <w:pPr>
              <w:spacing w:after="0" w:line="240" w:lineRule="auto"/>
              <w:rPr>
                <w:rFonts w:ascii="Arial" w:eastAsia="Times New Roman" w:hAnsi="Arial" w:cs="Arial"/>
                <w:color w:val="000000"/>
                <w:lang w:eastAsia="en-CA"/>
              </w:rPr>
            </w:pPr>
            <w:r w:rsidRPr="004C0043">
              <w:rPr>
                <w:rFonts w:ascii="Arial" w:eastAsia="Times New Roman" w:hAnsi="Arial" w:cs="Arial"/>
                <w:color w:val="000000"/>
                <w:lang w:eastAsia="en-CA"/>
              </w:rPr>
              <w:t>Australia</w:t>
            </w:r>
          </w:p>
        </w:tc>
        <w:tc>
          <w:tcPr>
            <w:tcW w:w="1940" w:type="dxa"/>
            <w:tcBorders>
              <w:top w:val="nil"/>
              <w:left w:val="nil"/>
              <w:bottom w:val="single" w:sz="4" w:space="0" w:color="auto"/>
              <w:right w:val="nil"/>
            </w:tcBorders>
            <w:shd w:val="clear" w:color="000000" w:fill="FFFFFF"/>
            <w:noWrap/>
            <w:vAlign w:val="bottom"/>
            <w:hideMark/>
          </w:tcPr>
          <w:p w:rsidR="004C0043" w:rsidRPr="004C0043" w:rsidRDefault="004C0043" w:rsidP="00CC1486">
            <w:pPr>
              <w:spacing w:after="0" w:line="240" w:lineRule="auto"/>
              <w:jc w:val="center"/>
              <w:rPr>
                <w:rFonts w:ascii="Arial" w:eastAsia="Times New Roman" w:hAnsi="Arial" w:cs="Arial"/>
                <w:color w:val="000000"/>
                <w:lang w:eastAsia="en-CA"/>
              </w:rPr>
            </w:pPr>
            <w:r w:rsidRPr="004C0043">
              <w:rPr>
                <w:rFonts w:ascii="Arial" w:eastAsia="Times New Roman" w:hAnsi="Arial" w:cs="Arial"/>
                <w:color w:val="000000"/>
                <w:lang w:eastAsia="en-CA"/>
              </w:rPr>
              <w:t>125</w:t>
            </w:r>
          </w:p>
        </w:tc>
        <w:tc>
          <w:tcPr>
            <w:tcW w:w="1940" w:type="dxa"/>
            <w:tcBorders>
              <w:top w:val="nil"/>
              <w:left w:val="nil"/>
              <w:bottom w:val="single" w:sz="4" w:space="0" w:color="auto"/>
              <w:right w:val="nil"/>
            </w:tcBorders>
            <w:shd w:val="clear" w:color="000000" w:fill="FFFFFF"/>
            <w:noWrap/>
            <w:vAlign w:val="bottom"/>
            <w:hideMark/>
          </w:tcPr>
          <w:p w:rsidR="004C0043" w:rsidRPr="004C0043" w:rsidRDefault="004C0043" w:rsidP="008D26A8">
            <w:pPr>
              <w:spacing w:after="0" w:line="240" w:lineRule="auto"/>
              <w:jc w:val="center"/>
              <w:rPr>
                <w:rFonts w:ascii="Arial" w:eastAsia="Times New Roman" w:hAnsi="Arial" w:cs="Arial"/>
                <w:color w:val="000000"/>
                <w:lang w:eastAsia="en-CA"/>
              </w:rPr>
            </w:pPr>
            <w:r w:rsidRPr="004C0043">
              <w:rPr>
                <w:rFonts w:ascii="Arial" w:eastAsia="Times New Roman" w:hAnsi="Arial" w:cs="Arial"/>
                <w:color w:val="000000"/>
                <w:lang w:eastAsia="en-CA"/>
              </w:rPr>
              <w:t>63</w:t>
            </w:r>
          </w:p>
        </w:tc>
        <w:tc>
          <w:tcPr>
            <w:tcW w:w="1940" w:type="dxa"/>
            <w:tcBorders>
              <w:top w:val="nil"/>
              <w:left w:val="nil"/>
              <w:bottom w:val="single" w:sz="4" w:space="0" w:color="auto"/>
              <w:right w:val="nil"/>
            </w:tcBorders>
            <w:shd w:val="clear" w:color="000000" w:fill="FFFFFF"/>
            <w:noWrap/>
            <w:vAlign w:val="bottom"/>
            <w:hideMark/>
          </w:tcPr>
          <w:p w:rsidR="004C0043" w:rsidRPr="004C0043" w:rsidRDefault="004C0043" w:rsidP="00436327">
            <w:pPr>
              <w:spacing w:after="0" w:line="240" w:lineRule="auto"/>
              <w:jc w:val="center"/>
              <w:rPr>
                <w:rFonts w:ascii="Arial" w:eastAsia="Times New Roman" w:hAnsi="Arial" w:cs="Arial"/>
                <w:color w:val="000000"/>
                <w:lang w:eastAsia="en-CA"/>
              </w:rPr>
            </w:pPr>
            <w:r w:rsidRPr="004C0043">
              <w:rPr>
                <w:rFonts w:ascii="Arial" w:eastAsia="Times New Roman" w:hAnsi="Arial" w:cs="Arial"/>
                <w:color w:val="000000"/>
                <w:lang w:eastAsia="en-CA"/>
              </w:rPr>
              <w:t xml:space="preserve">0.50 </w:t>
            </w:r>
          </w:p>
        </w:tc>
      </w:tr>
    </w:tbl>
    <w:p w:rsidR="004C0043" w:rsidRPr="00E300AE" w:rsidRDefault="004C0043" w:rsidP="00034A47">
      <w:pPr>
        <w:pStyle w:val="ListParagraph"/>
        <w:spacing w:after="0" w:line="240" w:lineRule="auto"/>
        <w:jc w:val="both"/>
        <w:rPr>
          <w:rFonts w:ascii="Arial" w:hAnsi="Arial" w:cs="Arial"/>
          <w:b/>
        </w:rPr>
      </w:pPr>
    </w:p>
    <w:p w:rsidR="004C0043" w:rsidRPr="00E300AE" w:rsidRDefault="004C0043" w:rsidP="00CC1486">
      <w:pPr>
        <w:pStyle w:val="ListParagraph"/>
        <w:spacing w:after="0" w:line="240" w:lineRule="auto"/>
        <w:ind w:left="795"/>
        <w:jc w:val="both"/>
        <w:rPr>
          <w:rFonts w:ascii="Arial" w:hAnsi="Arial" w:cs="Arial"/>
          <w:color w:val="808080" w:themeColor="background1" w:themeShade="80"/>
          <w:sz w:val="18"/>
        </w:rPr>
      </w:pPr>
      <w:r w:rsidRPr="00E300AE">
        <w:rPr>
          <w:rFonts w:ascii="Arial" w:hAnsi="Arial" w:cs="Arial"/>
          <w:color w:val="808080" w:themeColor="background1" w:themeShade="80"/>
          <w:sz w:val="18"/>
        </w:rPr>
        <w:t>Source: OECD (2018), Price level indices (indicator); LeighFisher Review of Airport Charges 2016</w:t>
      </w:r>
    </w:p>
    <w:p w:rsidR="004C0043" w:rsidRPr="00E300AE" w:rsidRDefault="004C0043" w:rsidP="008D26A8">
      <w:pPr>
        <w:pStyle w:val="ListParagraph"/>
        <w:spacing w:after="0" w:line="240" w:lineRule="auto"/>
        <w:jc w:val="both"/>
        <w:rPr>
          <w:rFonts w:ascii="Arial" w:hAnsi="Arial" w:cs="Arial"/>
          <w:b/>
        </w:rPr>
      </w:pPr>
    </w:p>
    <w:p w:rsidR="004C0043" w:rsidRPr="00E300AE" w:rsidRDefault="004C0043" w:rsidP="00436327">
      <w:pPr>
        <w:pStyle w:val="ListParagraph"/>
        <w:spacing w:after="0" w:line="240" w:lineRule="auto"/>
        <w:jc w:val="both"/>
        <w:rPr>
          <w:rFonts w:ascii="Arial" w:hAnsi="Arial" w:cs="Arial"/>
        </w:rPr>
      </w:pPr>
      <w:r w:rsidRPr="00E300AE">
        <w:rPr>
          <w:rFonts w:ascii="Arial" w:hAnsi="Arial" w:cs="Arial"/>
        </w:rPr>
        <w:t>It is apparent that there is some correlation between the price level index and airport charges index. Additionally, one can observe that airport charges in Australia are competitive in the context of the general price level, revealed by the lowest ratio (0.50) as compared to Europe (0.61) and USA (0.52).</w:t>
      </w:r>
    </w:p>
    <w:p w:rsidR="00D515F9" w:rsidRPr="00E300AE" w:rsidRDefault="00D515F9" w:rsidP="00436327">
      <w:pPr>
        <w:pStyle w:val="ListParagraph"/>
        <w:spacing w:after="0" w:line="240" w:lineRule="auto"/>
        <w:jc w:val="both"/>
        <w:rPr>
          <w:rFonts w:ascii="Arial" w:hAnsi="Arial" w:cs="Arial"/>
        </w:rPr>
      </w:pPr>
    </w:p>
    <w:p w:rsidR="00616C18" w:rsidRDefault="00616C18" w:rsidP="00436327">
      <w:pPr>
        <w:pStyle w:val="ListParagraph"/>
        <w:numPr>
          <w:ilvl w:val="1"/>
          <w:numId w:val="21"/>
        </w:numPr>
        <w:spacing w:after="0" w:line="240" w:lineRule="auto"/>
        <w:jc w:val="both"/>
        <w:rPr>
          <w:rFonts w:ascii="Arial" w:hAnsi="Arial" w:cs="Arial"/>
        </w:rPr>
      </w:pPr>
      <w:r w:rsidRPr="00E300AE">
        <w:rPr>
          <w:rFonts w:ascii="Arial" w:hAnsi="Arial" w:cs="Arial"/>
        </w:rPr>
        <w:t xml:space="preserve">With regard to the methodology to determine the level of airport charges, ACI supports an overall cost-base approach by which the </w:t>
      </w:r>
      <w:r w:rsidRPr="00E300AE">
        <w:rPr>
          <w:rFonts w:ascii="Arial" w:hAnsi="Arial" w:cs="Arial"/>
          <w:b/>
          <w:u w:val="single"/>
        </w:rPr>
        <w:t>full cost</w:t>
      </w:r>
      <w:r w:rsidRPr="00E300AE">
        <w:rPr>
          <w:rFonts w:ascii="Arial" w:hAnsi="Arial" w:cs="Arial"/>
        </w:rPr>
        <w:t xml:space="preserve"> of providing airport aeronautical facilities and services is recovered from users through aeronautical airport charges. The level of airport charges needs to be sufficient to cover the cost to operate the airport plus the long-term capital investment required to meet the current and anticipated demand. The level and structure of airport charges should be related to the full economic costs of airport operations, including a reasonable return on assets at a sufficient level to reward the airport operator for the risk taken and to ensure the development of appropriate reserves to deal with unforeseen adverse circumstances. The airport charge system should ensure that the airport sector is economically viable to enable it to sustain operations. It should</w:t>
      </w:r>
      <w:r w:rsidR="005E4A4C">
        <w:rPr>
          <w:rFonts w:ascii="Arial" w:hAnsi="Arial" w:cs="Arial"/>
        </w:rPr>
        <w:t xml:space="preserve"> be</w:t>
      </w:r>
      <w:r w:rsidRPr="00E300AE">
        <w:rPr>
          <w:rFonts w:ascii="Arial" w:hAnsi="Arial" w:cs="Arial"/>
        </w:rPr>
        <w:t xml:space="preserve"> </w:t>
      </w:r>
      <w:r w:rsidR="00034A47">
        <w:rPr>
          <w:rFonts w:ascii="Arial" w:hAnsi="Arial" w:cs="Arial"/>
        </w:rPr>
        <w:t>allow</w:t>
      </w:r>
      <w:r w:rsidR="005E4A4C">
        <w:rPr>
          <w:rFonts w:ascii="Arial" w:hAnsi="Arial" w:cs="Arial"/>
        </w:rPr>
        <w:t>ed</w:t>
      </w:r>
      <w:r w:rsidR="00034A47">
        <w:rPr>
          <w:rFonts w:ascii="Arial" w:hAnsi="Arial" w:cs="Arial"/>
        </w:rPr>
        <w:t xml:space="preserve"> to generate</w:t>
      </w:r>
      <w:r w:rsidR="00034A47" w:rsidRPr="00E300AE">
        <w:rPr>
          <w:rFonts w:ascii="Arial" w:hAnsi="Arial" w:cs="Arial"/>
        </w:rPr>
        <w:t xml:space="preserve"> </w:t>
      </w:r>
      <w:r w:rsidRPr="00E300AE">
        <w:rPr>
          <w:rFonts w:ascii="Arial" w:hAnsi="Arial" w:cs="Arial"/>
        </w:rPr>
        <w:t>sufficient</w:t>
      </w:r>
      <w:r w:rsidR="00034A47">
        <w:rPr>
          <w:rFonts w:ascii="Arial" w:hAnsi="Arial" w:cs="Arial"/>
        </w:rPr>
        <w:t xml:space="preserve"> returns to</w:t>
      </w:r>
      <w:r w:rsidRPr="00E300AE">
        <w:rPr>
          <w:rFonts w:ascii="Arial" w:hAnsi="Arial" w:cs="Arial"/>
        </w:rPr>
        <w:t xml:space="preserve"> attract future investors in such projects.</w:t>
      </w:r>
    </w:p>
    <w:p w:rsidR="003C4D3A" w:rsidRDefault="003C4D3A" w:rsidP="003C4D3A">
      <w:pPr>
        <w:pStyle w:val="ListParagraph"/>
        <w:spacing w:after="0" w:line="240" w:lineRule="auto"/>
        <w:ind w:left="795"/>
        <w:jc w:val="both"/>
        <w:rPr>
          <w:rFonts w:ascii="Arial" w:hAnsi="Arial" w:cs="Arial"/>
        </w:rPr>
      </w:pPr>
    </w:p>
    <w:p w:rsidR="003C4D3A" w:rsidRPr="00E300AE" w:rsidRDefault="0051348A" w:rsidP="00436327">
      <w:pPr>
        <w:pStyle w:val="ListParagraph"/>
        <w:numPr>
          <w:ilvl w:val="1"/>
          <w:numId w:val="21"/>
        </w:numPr>
        <w:spacing w:after="0" w:line="240" w:lineRule="auto"/>
        <w:jc w:val="both"/>
        <w:rPr>
          <w:rFonts w:ascii="Arial" w:hAnsi="Arial" w:cs="Arial"/>
        </w:rPr>
      </w:pPr>
      <w:r>
        <w:rPr>
          <w:rFonts w:ascii="Arial" w:hAnsi="Arial" w:cs="Arial"/>
        </w:rPr>
        <w:t xml:space="preserve">Several analyses conducted by ACI suggest that, over time, regardless of the ownership structure and the form of economic regulation adopted, the most important drivers of aeronautical charges have been investment in capital assets and market dynamics. Therefore, ACI urges the Productivity Commission to take a closer look into the level of capital expenditure at the major airports in Australia as well as the oligopolistic nature of the airline market dynamics. </w:t>
      </w:r>
    </w:p>
    <w:p w:rsidR="00440D70" w:rsidRPr="00E300AE" w:rsidRDefault="00440D70" w:rsidP="00376649">
      <w:pPr>
        <w:spacing w:after="0" w:line="240" w:lineRule="auto"/>
        <w:jc w:val="both"/>
        <w:rPr>
          <w:rFonts w:ascii="Arial" w:hAnsi="Arial" w:cs="Arial"/>
        </w:rPr>
      </w:pPr>
    </w:p>
    <w:p w:rsidR="00440D70" w:rsidRPr="00E300AE" w:rsidRDefault="00CC1486" w:rsidP="00376649">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Pr>
          <w:rFonts w:ascii="Arial" w:hAnsi="Arial" w:cs="Arial"/>
          <w:b/>
          <w:u w:val="single"/>
        </w:rPr>
        <w:t>Investment and operation efficiency</w:t>
      </w:r>
    </w:p>
    <w:p w:rsidR="00BC19A3" w:rsidRPr="00E300AE" w:rsidRDefault="00BC19A3" w:rsidP="00376649">
      <w:pPr>
        <w:pStyle w:val="ListParagraph"/>
        <w:spacing w:after="0" w:line="240" w:lineRule="auto"/>
        <w:jc w:val="both"/>
        <w:rPr>
          <w:rFonts w:ascii="Arial" w:hAnsi="Arial" w:cs="Arial"/>
          <w:b/>
          <w:u w:val="single"/>
        </w:rPr>
      </w:pPr>
    </w:p>
    <w:p w:rsidR="00BC19A3" w:rsidRPr="00E300AE" w:rsidRDefault="0069440B" w:rsidP="00376649">
      <w:pPr>
        <w:pStyle w:val="ListParagraph"/>
        <w:numPr>
          <w:ilvl w:val="1"/>
          <w:numId w:val="21"/>
        </w:numPr>
        <w:spacing w:after="0" w:line="240" w:lineRule="auto"/>
        <w:ind w:left="794" w:hanging="437"/>
        <w:jc w:val="both"/>
        <w:rPr>
          <w:rFonts w:ascii="Arial" w:hAnsi="Arial" w:cs="Arial"/>
        </w:rPr>
      </w:pPr>
      <w:r w:rsidRPr="00E300AE">
        <w:rPr>
          <w:rFonts w:ascii="Arial" w:hAnsi="Arial" w:cs="Arial"/>
        </w:rPr>
        <w:t>A</w:t>
      </w:r>
      <w:r w:rsidR="00BC19A3" w:rsidRPr="00E300AE">
        <w:rPr>
          <w:rFonts w:ascii="Arial" w:hAnsi="Arial" w:cs="Arial"/>
        </w:rPr>
        <w:t>irports in Australia invested significant amounts of money</w:t>
      </w:r>
      <w:r w:rsidR="00F84F17" w:rsidRPr="00E300AE">
        <w:rPr>
          <w:rFonts w:ascii="Arial" w:hAnsi="Arial" w:cs="Arial"/>
        </w:rPr>
        <w:t xml:space="preserve"> - $11.5 billion over the last decade </w:t>
      </w:r>
      <w:r w:rsidRPr="00E300AE">
        <w:rPr>
          <w:rFonts w:ascii="Arial" w:hAnsi="Arial" w:cs="Arial"/>
        </w:rPr>
        <w:t>- to</w:t>
      </w:r>
      <w:r w:rsidR="00BC19A3" w:rsidRPr="00E300AE">
        <w:rPr>
          <w:rFonts w:ascii="Arial" w:hAnsi="Arial" w:cs="Arial"/>
        </w:rPr>
        <w:t xml:space="preserve"> support airline efficiency and </w:t>
      </w:r>
      <w:r w:rsidR="00016B39">
        <w:rPr>
          <w:rFonts w:ascii="Arial" w:hAnsi="Arial" w:cs="Arial"/>
        </w:rPr>
        <w:t>airport operations</w:t>
      </w:r>
      <w:r w:rsidR="00BC19A3" w:rsidRPr="00E300AE">
        <w:rPr>
          <w:rFonts w:ascii="Arial" w:hAnsi="Arial" w:cs="Arial"/>
        </w:rPr>
        <w:t>. Three quarters of airport investment over the next 10 years is expected to be on aeronautical improvements. This will enable competition between international carriers to keep airfares low.</w:t>
      </w:r>
    </w:p>
    <w:p w:rsidR="00BC19A3" w:rsidRPr="00E300AE" w:rsidRDefault="00BC19A3" w:rsidP="00376649">
      <w:pPr>
        <w:pStyle w:val="ListParagraph"/>
        <w:spacing w:after="0" w:line="240" w:lineRule="auto"/>
        <w:ind w:left="795"/>
        <w:jc w:val="both"/>
        <w:rPr>
          <w:rFonts w:ascii="Arial" w:hAnsi="Arial" w:cs="Arial"/>
        </w:rPr>
      </w:pPr>
    </w:p>
    <w:p w:rsidR="00F84F17" w:rsidRPr="00E300AE" w:rsidRDefault="00BC19A3" w:rsidP="00376649">
      <w:pPr>
        <w:pStyle w:val="ListParagraph"/>
        <w:spacing w:after="0" w:line="240" w:lineRule="auto"/>
        <w:ind w:left="795"/>
        <w:jc w:val="both"/>
        <w:rPr>
          <w:rFonts w:ascii="Arial" w:hAnsi="Arial" w:cs="Arial"/>
        </w:rPr>
      </w:pPr>
      <w:r w:rsidRPr="00E300AE">
        <w:rPr>
          <w:rFonts w:ascii="Arial" w:hAnsi="Arial" w:cs="Arial"/>
        </w:rPr>
        <w:t xml:space="preserve">As private and commercially-driven organizations, the airport operators in Australia, </w:t>
      </w:r>
      <w:r w:rsidR="00F84F17" w:rsidRPr="00E300AE">
        <w:rPr>
          <w:rFonts w:ascii="Arial" w:hAnsi="Arial" w:cs="Arial"/>
        </w:rPr>
        <w:t>bounded by stakeholder expectations, are committed to efficient investment in order to:</w:t>
      </w:r>
    </w:p>
    <w:p w:rsidR="00F84F17" w:rsidRPr="00E300AE" w:rsidRDefault="00F84F17" w:rsidP="00376649">
      <w:pPr>
        <w:pStyle w:val="ListParagraph"/>
        <w:spacing w:after="0" w:line="240" w:lineRule="auto"/>
        <w:ind w:left="795"/>
        <w:jc w:val="both"/>
        <w:rPr>
          <w:rFonts w:ascii="Arial" w:hAnsi="Arial" w:cs="Arial"/>
        </w:rPr>
      </w:pPr>
    </w:p>
    <w:p w:rsidR="00BC19A3" w:rsidRPr="00E300AE" w:rsidRDefault="00F84F17" w:rsidP="00376649">
      <w:pPr>
        <w:pStyle w:val="ListParagraph"/>
        <w:numPr>
          <w:ilvl w:val="0"/>
          <w:numId w:val="27"/>
        </w:numPr>
        <w:spacing w:after="0" w:line="240" w:lineRule="auto"/>
        <w:jc w:val="both"/>
        <w:rPr>
          <w:rFonts w:ascii="Arial" w:hAnsi="Arial" w:cs="Arial"/>
        </w:rPr>
      </w:pPr>
      <w:r w:rsidRPr="00E300AE">
        <w:rPr>
          <w:rFonts w:ascii="Arial" w:hAnsi="Arial" w:cs="Arial"/>
        </w:rPr>
        <w:t>Ensure access and long-term capacity to its users (airlines) and end-users (passengers);</w:t>
      </w:r>
    </w:p>
    <w:p w:rsidR="00F84F17" w:rsidRPr="00E300AE" w:rsidRDefault="00F84F17" w:rsidP="00376649">
      <w:pPr>
        <w:pStyle w:val="ListParagraph"/>
        <w:numPr>
          <w:ilvl w:val="0"/>
          <w:numId w:val="27"/>
        </w:numPr>
        <w:spacing w:after="0" w:line="240" w:lineRule="auto"/>
        <w:jc w:val="both"/>
        <w:rPr>
          <w:rFonts w:ascii="Arial" w:hAnsi="Arial" w:cs="Arial"/>
        </w:rPr>
      </w:pPr>
      <w:r w:rsidRPr="00E300AE">
        <w:rPr>
          <w:rFonts w:ascii="Arial" w:hAnsi="Arial" w:cs="Arial"/>
        </w:rPr>
        <w:t>Foster airline competition and consumer benefits;</w:t>
      </w:r>
    </w:p>
    <w:p w:rsidR="00F84F17" w:rsidRPr="00E300AE" w:rsidRDefault="00F84F17" w:rsidP="00376649">
      <w:pPr>
        <w:pStyle w:val="ListParagraph"/>
        <w:numPr>
          <w:ilvl w:val="0"/>
          <w:numId w:val="27"/>
        </w:numPr>
        <w:spacing w:after="0" w:line="240" w:lineRule="auto"/>
        <w:jc w:val="both"/>
        <w:rPr>
          <w:rFonts w:ascii="Arial" w:hAnsi="Arial" w:cs="Arial"/>
        </w:rPr>
      </w:pPr>
      <w:r w:rsidRPr="00E300AE">
        <w:rPr>
          <w:rFonts w:ascii="Arial" w:hAnsi="Arial" w:cs="Arial"/>
        </w:rPr>
        <w:t>Offer</w:t>
      </w:r>
      <w:r w:rsidR="002D04E4">
        <w:rPr>
          <w:rFonts w:ascii="Arial" w:hAnsi="Arial" w:cs="Arial"/>
        </w:rPr>
        <w:t xml:space="preserve"> a</w:t>
      </w:r>
      <w:r w:rsidRPr="00E300AE">
        <w:rPr>
          <w:rFonts w:ascii="Arial" w:hAnsi="Arial" w:cs="Arial"/>
        </w:rPr>
        <w:t xml:space="preserve"> high</w:t>
      </w:r>
      <w:r w:rsidR="002D04E4">
        <w:rPr>
          <w:rFonts w:ascii="Arial" w:hAnsi="Arial" w:cs="Arial"/>
        </w:rPr>
        <w:t>-quality</w:t>
      </w:r>
      <w:r w:rsidRPr="00E300AE">
        <w:rPr>
          <w:rFonts w:ascii="Arial" w:hAnsi="Arial" w:cs="Arial"/>
        </w:rPr>
        <w:t xml:space="preserve"> customer experience to make</w:t>
      </w:r>
      <w:r w:rsidR="002D04E4">
        <w:rPr>
          <w:rFonts w:ascii="Arial" w:hAnsi="Arial" w:cs="Arial"/>
        </w:rPr>
        <w:t xml:space="preserve"> the</w:t>
      </w:r>
      <w:r w:rsidRPr="00E300AE">
        <w:rPr>
          <w:rFonts w:ascii="Arial" w:hAnsi="Arial" w:cs="Arial"/>
        </w:rPr>
        <w:t xml:space="preserve"> passenger journey easier and more enjoyable;</w:t>
      </w:r>
    </w:p>
    <w:p w:rsidR="00B44BD8" w:rsidRPr="00B44BD8" w:rsidRDefault="00F84F17" w:rsidP="00376649">
      <w:pPr>
        <w:pStyle w:val="ListParagraph"/>
        <w:numPr>
          <w:ilvl w:val="0"/>
          <w:numId w:val="27"/>
        </w:numPr>
        <w:spacing w:after="0" w:line="240" w:lineRule="auto"/>
        <w:jc w:val="both"/>
        <w:rPr>
          <w:rFonts w:ascii="Arial" w:hAnsi="Arial" w:cs="Arial"/>
        </w:rPr>
      </w:pPr>
      <w:r w:rsidRPr="00E300AE">
        <w:rPr>
          <w:rFonts w:ascii="Arial" w:hAnsi="Arial" w:cs="Arial"/>
        </w:rPr>
        <w:t>Be able to perform day-to-day operations in an economically efficient manner</w:t>
      </w:r>
      <w:r w:rsidR="00C111A4" w:rsidRPr="00E300AE">
        <w:rPr>
          <w:rFonts w:ascii="Arial" w:hAnsi="Arial" w:cs="Arial"/>
        </w:rPr>
        <w:t>.</w:t>
      </w:r>
    </w:p>
    <w:p w:rsidR="00B44BD8" w:rsidRPr="00E300AE" w:rsidRDefault="00B44BD8" w:rsidP="00376649">
      <w:pPr>
        <w:pStyle w:val="ListParagraph"/>
        <w:spacing w:after="0" w:line="240" w:lineRule="auto"/>
        <w:jc w:val="both"/>
        <w:rPr>
          <w:rFonts w:ascii="Arial" w:hAnsi="Arial" w:cs="Arial"/>
          <w:b/>
          <w:u w:val="single"/>
        </w:rPr>
      </w:pPr>
    </w:p>
    <w:p w:rsidR="006E27EF" w:rsidRPr="00AE70B4" w:rsidRDefault="00357ED7" w:rsidP="00AE70B4">
      <w:pPr>
        <w:pStyle w:val="ListParagraph"/>
        <w:numPr>
          <w:ilvl w:val="1"/>
          <w:numId w:val="21"/>
        </w:numPr>
        <w:spacing w:after="0" w:line="240" w:lineRule="auto"/>
        <w:ind w:left="720"/>
        <w:jc w:val="both"/>
        <w:rPr>
          <w:rFonts w:ascii="Arial" w:hAnsi="Arial" w:cs="Arial"/>
        </w:rPr>
      </w:pPr>
      <w:r>
        <w:rPr>
          <w:rFonts w:ascii="Arial" w:hAnsi="Arial" w:cs="Arial"/>
        </w:rPr>
        <w:t>In terms of investment</w:t>
      </w:r>
      <w:r w:rsidR="008D26A8">
        <w:rPr>
          <w:rFonts w:ascii="Arial" w:hAnsi="Arial" w:cs="Arial"/>
        </w:rPr>
        <w:t xml:space="preserve"> effi</w:t>
      </w:r>
      <w:r w:rsidR="002B2D2C">
        <w:rPr>
          <w:rFonts w:ascii="Arial" w:hAnsi="Arial" w:cs="Arial"/>
        </w:rPr>
        <w:t>ci</w:t>
      </w:r>
      <w:r w:rsidR="008D26A8">
        <w:rPr>
          <w:rFonts w:ascii="Arial" w:hAnsi="Arial" w:cs="Arial"/>
        </w:rPr>
        <w:t>ency</w:t>
      </w:r>
      <w:r>
        <w:rPr>
          <w:rFonts w:ascii="Arial" w:hAnsi="Arial" w:cs="Arial"/>
        </w:rPr>
        <w:t>, the Australian airports are one of the leading operators in the world when assessed by CAPEX in relation to total revenue.</w:t>
      </w:r>
      <w:r w:rsidR="00415E28">
        <w:rPr>
          <w:rFonts w:ascii="Arial" w:hAnsi="Arial" w:cs="Arial"/>
        </w:rPr>
        <w:t xml:space="preserve"> Expressed as a percentage of total revenues, capital expenditure at four large airports in Australia ranges from 30% at SYD to 47% at PER. </w:t>
      </w:r>
      <w:r>
        <w:rPr>
          <w:rFonts w:ascii="Arial" w:hAnsi="Arial" w:cs="Arial"/>
        </w:rPr>
        <w:t xml:space="preserve">See Chart </w:t>
      </w:r>
      <w:r w:rsidR="008F3F80">
        <w:rPr>
          <w:rFonts w:ascii="Arial" w:hAnsi="Arial" w:cs="Arial"/>
        </w:rPr>
        <w:t>3</w:t>
      </w:r>
      <w:r>
        <w:rPr>
          <w:rFonts w:ascii="Arial" w:hAnsi="Arial" w:cs="Arial"/>
        </w:rPr>
        <w:t xml:space="preserve"> below:</w:t>
      </w:r>
    </w:p>
    <w:p w:rsidR="006E27EF" w:rsidRDefault="006E27EF" w:rsidP="003E6AF2">
      <w:pPr>
        <w:pStyle w:val="ListParagraph"/>
        <w:spacing w:after="0" w:line="240" w:lineRule="auto"/>
        <w:jc w:val="both"/>
        <w:rPr>
          <w:rFonts w:ascii="Arial" w:hAnsi="Arial" w:cs="Arial"/>
          <w:b/>
        </w:rPr>
      </w:pPr>
    </w:p>
    <w:p w:rsidR="00357ED7" w:rsidRDefault="00357ED7" w:rsidP="003E6AF2">
      <w:pPr>
        <w:pStyle w:val="ListParagraph"/>
        <w:spacing w:after="0" w:line="240" w:lineRule="auto"/>
        <w:jc w:val="both"/>
        <w:rPr>
          <w:rFonts w:ascii="Arial" w:hAnsi="Arial" w:cs="Arial"/>
          <w:b/>
        </w:rPr>
      </w:pPr>
      <w:r w:rsidRPr="00357ED7">
        <w:rPr>
          <w:rFonts w:ascii="Arial" w:hAnsi="Arial" w:cs="Arial"/>
          <w:b/>
        </w:rPr>
        <w:t xml:space="preserve">Chart </w:t>
      </w:r>
      <w:r w:rsidR="008F3F80">
        <w:rPr>
          <w:rFonts w:ascii="Arial" w:hAnsi="Arial" w:cs="Arial"/>
          <w:b/>
        </w:rPr>
        <w:t>3</w:t>
      </w:r>
      <w:r w:rsidRPr="00357ED7">
        <w:rPr>
          <w:rFonts w:ascii="Arial" w:hAnsi="Arial" w:cs="Arial"/>
          <w:b/>
        </w:rPr>
        <w:t>: Capital expenditure as a percentage of total revenue (201</w:t>
      </w:r>
      <w:r w:rsidR="000A4A36">
        <w:rPr>
          <w:rFonts w:ascii="Arial" w:hAnsi="Arial" w:cs="Arial"/>
          <w:b/>
        </w:rPr>
        <w:t>7</w:t>
      </w:r>
      <w:r w:rsidRPr="00357ED7">
        <w:rPr>
          <w:rFonts w:ascii="Arial" w:hAnsi="Arial" w:cs="Arial"/>
          <w:b/>
        </w:rPr>
        <w:t>)</w:t>
      </w:r>
    </w:p>
    <w:p w:rsidR="000A4A36" w:rsidRPr="000A4A36" w:rsidRDefault="000A4A36" w:rsidP="000A4A36">
      <w:pPr>
        <w:spacing w:after="0" w:line="240" w:lineRule="auto"/>
        <w:jc w:val="both"/>
        <w:rPr>
          <w:rFonts w:ascii="Arial" w:hAnsi="Arial" w:cs="Arial"/>
          <w:b/>
        </w:rPr>
      </w:pPr>
    </w:p>
    <w:p w:rsidR="000A4A36" w:rsidRPr="0000522E" w:rsidRDefault="00936A45" w:rsidP="003E6AF2">
      <w:pPr>
        <w:pStyle w:val="ListParagraph"/>
        <w:spacing w:after="0" w:line="240" w:lineRule="auto"/>
        <w:jc w:val="both"/>
        <w:rPr>
          <w:rFonts w:ascii="Arial" w:hAnsi="Arial" w:cs="Arial"/>
          <w:b/>
        </w:rPr>
      </w:pPr>
      <w:r>
        <w:rPr>
          <w:noProof/>
          <w:lang w:val="en-AU" w:eastAsia="en-AU"/>
        </w:rPr>
        <w:drawing>
          <wp:inline distT="0" distB="0" distL="0" distR="0" wp14:anchorId="07FC6A10" wp14:editId="65339B1A">
            <wp:extent cx="5495925" cy="4962525"/>
            <wp:effectExtent l="0" t="0" r="9525" b="952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6C5234-A22B-4367-A5BE-825CB2E940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4A36" w:rsidRDefault="000A4A36" w:rsidP="00034A47">
      <w:pPr>
        <w:spacing w:after="0" w:line="240" w:lineRule="auto"/>
        <w:ind w:left="720"/>
        <w:jc w:val="both"/>
        <w:rPr>
          <w:rFonts w:ascii="Arial" w:hAnsi="Arial" w:cs="Arial"/>
          <w:color w:val="808080" w:themeColor="background1" w:themeShade="80"/>
          <w:sz w:val="18"/>
        </w:rPr>
      </w:pPr>
    </w:p>
    <w:p w:rsidR="0000522E" w:rsidRDefault="0000522E" w:rsidP="00034A47">
      <w:pPr>
        <w:spacing w:after="0" w:line="240" w:lineRule="auto"/>
        <w:ind w:left="720"/>
        <w:jc w:val="both"/>
        <w:rPr>
          <w:rFonts w:ascii="Arial" w:hAnsi="Arial" w:cs="Arial"/>
        </w:rPr>
      </w:pPr>
      <w:r w:rsidRPr="00591F9E">
        <w:rPr>
          <w:rFonts w:ascii="Arial" w:hAnsi="Arial" w:cs="Arial"/>
          <w:color w:val="808080" w:themeColor="background1" w:themeShade="80"/>
          <w:sz w:val="18"/>
        </w:rPr>
        <w:t>Source: LeighFisher Airport Performance Indicators 201</w:t>
      </w:r>
      <w:r w:rsidR="000A4A36">
        <w:rPr>
          <w:rFonts w:ascii="Arial" w:hAnsi="Arial" w:cs="Arial"/>
          <w:color w:val="808080" w:themeColor="background1" w:themeShade="80"/>
          <w:sz w:val="18"/>
        </w:rPr>
        <w:t>7</w:t>
      </w:r>
    </w:p>
    <w:p w:rsidR="00424F7E" w:rsidRDefault="00424F7E" w:rsidP="003E6AF2">
      <w:pPr>
        <w:pStyle w:val="ListParagraph"/>
        <w:spacing w:after="0" w:line="240" w:lineRule="auto"/>
        <w:ind w:left="795"/>
        <w:jc w:val="both"/>
        <w:rPr>
          <w:rFonts w:ascii="Arial" w:hAnsi="Arial" w:cs="Arial"/>
        </w:rPr>
      </w:pPr>
    </w:p>
    <w:p w:rsidR="00D11FF7" w:rsidRDefault="00424F7E" w:rsidP="00CC1486">
      <w:pPr>
        <w:pStyle w:val="ListParagraph"/>
        <w:numPr>
          <w:ilvl w:val="1"/>
          <w:numId w:val="21"/>
        </w:numPr>
        <w:spacing w:after="0" w:line="240" w:lineRule="auto"/>
        <w:jc w:val="both"/>
        <w:rPr>
          <w:rFonts w:ascii="Arial" w:hAnsi="Arial" w:cs="Arial"/>
        </w:rPr>
      </w:pPr>
      <w:r>
        <w:rPr>
          <w:rFonts w:ascii="Arial" w:hAnsi="Arial" w:cs="Arial"/>
        </w:rPr>
        <w:t>In terms of cost</w:t>
      </w:r>
      <w:r w:rsidR="009D7CF0">
        <w:rPr>
          <w:rFonts w:ascii="Arial" w:hAnsi="Arial" w:cs="Arial"/>
        </w:rPr>
        <w:t>s</w:t>
      </w:r>
      <w:r>
        <w:rPr>
          <w:rFonts w:ascii="Arial" w:hAnsi="Arial" w:cs="Arial"/>
        </w:rPr>
        <w:t xml:space="preserve"> </w:t>
      </w:r>
      <w:r w:rsidR="00664EBF">
        <w:rPr>
          <w:rFonts w:ascii="Arial" w:hAnsi="Arial" w:cs="Arial"/>
        </w:rPr>
        <w:t>and revenues</w:t>
      </w:r>
      <w:r w:rsidR="009D7CF0">
        <w:rPr>
          <w:rFonts w:ascii="Arial" w:hAnsi="Arial" w:cs="Arial"/>
        </w:rPr>
        <w:t xml:space="preserve"> </w:t>
      </w:r>
      <w:r>
        <w:rPr>
          <w:rFonts w:ascii="Arial" w:hAnsi="Arial" w:cs="Arial"/>
        </w:rPr>
        <w:t xml:space="preserve">efficiency, </w:t>
      </w:r>
      <w:r w:rsidR="00D11FF7" w:rsidRPr="006B19A8">
        <w:rPr>
          <w:rFonts w:ascii="Arial" w:hAnsi="Arial" w:cs="Arial"/>
        </w:rPr>
        <w:t>Sydney</w:t>
      </w:r>
      <w:r w:rsidR="009F6661">
        <w:rPr>
          <w:rFonts w:ascii="Arial" w:hAnsi="Arial" w:cs="Arial"/>
        </w:rPr>
        <w:t xml:space="preserve">, </w:t>
      </w:r>
      <w:r w:rsidR="00D11FF7" w:rsidRPr="006B19A8">
        <w:rPr>
          <w:rFonts w:ascii="Arial" w:hAnsi="Arial" w:cs="Arial"/>
        </w:rPr>
        <w:t>Melbourne</w:t>
      </w:r>
      <w:r w:rsidR="009F6661">
        <w:rPr>
          <w:rFonts w:ascii="Arial" w:hAnsi="Arial" w:cs="Arial"/>
        </w:rPr>
        <w:t xml:space="preserve"> and Brisbane</w:t>
      </w:r>
      <w:r w:rsidR="00D11FF7" w:rsidRPr="006B19A8">
        <w:rPr>
          <w:rFonts w:ascii="Arial" w:hAnsi="Arial" w:cs="Arial"/>
        </w:rPr>
        <w:t xml:space="preserve"> airports demonstrate high performance and efficiency in the independent </w:t>
      </w:r>
      <w:r w:rsidR="002B567D" w:rsidRPr="006B19A8">
        <w:rPr>
          <w:rFonts w:ascii="Arial" w:hAnsi="Arial" w:cs="Arial"/>
        </w:rPr>
        <w:t>LeighFisher Airport Performance Indicators report year after year, generat</w:t>
      </w:r>
      <w:r>
        <w:rPr>
          <w:rFonts w:ascii="Arial" w:hAnsi="Arial" w:cs="Arial"/>
        </w:rPr>
        <w:t>ing</w:t>
      </w:r>
      <w:r w:rsidR="002B567D" w:rsidRPr="006B19A8">
        <w:rPr>
          <w:rFonts w:ascii="Arial" w:hAnsi="Arial" w:cs="Arial"/>
        </w:rPr>
        <w:t xml:space="preserve"> above-average levels of non-aeronautical revenues (close to 50% with </w:t>
      </w:r>
      <w:r w:rsidR="002D04E4">
        <w:rPr>
          <w:rFonts w:ascii="Arial" w:hAnsi="Arial" w:cs="Arial"/>
        </w:rPr>
        <w:t xml:space="preserve">the </w:t>
      </w:r>
      <w:r w:rsidR="002B567D" w:rsidRPr="006B19A8">
        <w:rPr>
          <w:rFonts w:ascii="Arial" w:hAnsi="Arial" w:cs="Arial"/>
        </w:rPr>
        <w:t>global average being 40%) and reasonable amounts in unit aeronautical revenues (</w:t>
      </w:r>
      <w:r w:rsidR="008113CE" w:rsidRPr="006B19A8">
        <w:rPr>
          <w:rFonts w:ascii="Arial" w:hAnsi="Arial" w:cs="Arial"/>
        </w:rPr>
        <w:t>on</w:t>
      </w:r>
      <w:r w:rsidR="008113CE">
        <w:rPr>
          <w:rFonts w:ascii="Arial" w:hAnsi="Arial" w:cs="Arial"/>
        </w:rPr>
        <w:t xml:space="preserve"> a</w:t>
      </w:r>
      <w:r w:rsidR="008113CE" w:rsidRPr="006B19A8">
        <w:rPr>
          <w:rFonts w:ascii="Arial" w:hAnsi="Arial" w:cs="Arial"/>
        </w:rPr>
        <w:t xml:space="preserve"> per</w:t>
      </w:r>
      <w:r w:rsidR="002B567D" w:rsidRPr="006B19A8">
        <w:rPr>
          <w:rFonts w:ascii="Arial" w:hAnsi="Arial" w:cs="Arial"/>
        </w:rPr>
        <w:t xml:space="preserve">-movement and per-passenger bases). </w:t>
      </w:r>
    </w:p>
    <w:p w:rsidR="00640713" w:rsidRDefault="00640713" w:rsidP="00CC1486">
      <w:pPr>
        <w:pStyle w:val="ListParagraph"/>
        <w:spacing w:after="0" w:line="240" w:lineRule="auto"/>
        <w:ind w:left="795"/>
        <w:jc w:val="both"/>
        <w:rPr>
          <w:rFonts w:ascii="Arial" w:hAnsi="Arial" w:cs="Arial"/>
        </w:rPr>
      </w:pPr>
    </w:p>
    <w:p w:rsidR="001A3595" w:rsidRPr="0051348A" w:rsidRDefault="00640713" w:rsidP="0051348A">
      <w:pPr>
        <w:pStyle w:val="ListParagraph"/>
        <w:numPr>
          <w:ilvl w:val="1"/>
          <w:numId w:val="21"/>
        </w:numPr>
        <w:spacing w:after="0" w:line="240" w:lineRule="auto"/>
        <w:jc w:val="both"/>
        <w:rPr>
          <w:rFonts w:ascii="Arial" w:hAnsi="Arial" w:cs="Arial"/>
        </w:rPr>
      </w:pPr>
      <w:r>
        <w:rPr>
          <w:rFonts w:ascii="Arial" w:hAnsi="Arial" w:cs="Arial"/>
        </w:rPr>
        <w:t xml:space="preserve">From the cost perspective, the four </w:t>
      </w:r>
      <w:r w:rsidR="00D475B1">
        <w:rPr>
          <w:rFonts w:ascii="Arial" w:hAnsi="Arial" w:cs="Arial"/>
        </w:rPr>
        <w:t xml:space="preserve">large airports in Australia – Sydney, Melbourne, Brisbane and Perth rank among the most efficient in terms of total cost on a per-passenger basis in SDR units. See Chart </w:t>
      </w:r>
      <w:r w:rsidR="00CA6632">
        <w:rPr>
          <w:rFonts w:ascii="Arial" w:hAnsi="Arial" w:cs="Arial"/>
        </w:rPr>
        <w:t>5</w:t>
      </w:r>
      <w:r w:rsidR="00D475B1">
        <w:rPr>
          <w:rFonts w:ascii="Arial" w:hAnsi="Arial" w:cs="Arial"/>
        </w:rPr>
        <w:t xml:space="preserve"> below:</w:t>
      </w:r>
    </w:p>
    <w:p w:rsidR="001A3595" w:rsidRDefault="001A3595" w:rsidP="00376649">
      <w:pPr>
        <w:pStyle w:val="ListParagraph"/>
        <w:spacing w:after="0" w:line="240" w:lineRule="auto"/>
        <w:rPr>
          <w:rFonts w:ascii="Arial" w:hAnsi="Arial" w:cs="Arial"/>
          <w:b/>
        </w:rPr>
      </w:pPr>
    </w:p>
    <w:p w:rsidR="00D475B1" w:rsidRPr="00D475B1" w:rsidRDefault="00D475B1" w:rsidP="00376649">
      <w:pPr>
        <w:pStyle w:val="ListParagraph"/>
        <w:spacing w:after="0" w:line="240" w:lineRule="auto"/>
        <w:rPr>
          <w:rFonts w:ascii="Arial" w:hAnsi="Arial" w:cs="Arial"/>
          <w:b/>
        </w:rPr>
      </w:pPr>
      <w:r w:rsidRPr="00D475B1">
        <w:rPr>
          <w:rFonts w:ascii="Arial" w:hAnsi="Arial" w:cs="Arial"/>
          <w:b/>
        </w:rPr>
        <w:t xml:space="preserve">Chart </w:t>
      </w:r>
      <w:r w:rsidR="00450525">
        <w:rPr>
          <w:rFonts w:ascii="Arial" w:hAnsi="Arial" w:cs="Arial"/>
          <w:b/>
        </w:rPr>
        <w:t>4</w:t>
      </w:r>
      <w:r w:rsidRPr="00D475B1">
        <w:rPr>
          <w:rFonts w:ascii="Arial" w:hAnsi="Arial" w:cs="Arial"/>
          <w:b/>
        </w:rPr>
        <w:t>: Total cost per passenger (SDR, 201</w:t>
      </w:r>
      <w:r w:rsidR="0081394A">
        <w:rPr>
          <w:rFonts w:ascii="Arial" w:hAnsi="Arial" w:cs="Arial"/>
          <w:b/>
        </w:rPr>
        <w:t>7</w:t>
      </w:r>
      <w:r w:rsidRPr="00D475B1">
        <w:rPr>
          <w:rFonts w:ascii="Arial" w:hAnsi="Arial" w:cs="Arial"/>
          <w:b/>
        </w:rPr>
        <w:t>)</w:t>
      </w:r>
    </w:p>
    <w:p w:rsidR="00D475B1" w:rsidRPr="006B19A8" w:rsidRDefault="00D475B1" w:rsidP="00034A47">
      <w:pPr>
        <w:pStyle w:val="ListParagraph"/>
        <w:spacing w:after="0" w:line="240" w:lineRule="auto"/>
        <w:jc w:val="both"/>
        <w:rPr>
          <w:rFonts w:ascii="Arial" w:hAnsi="Arial" w:cs="Arial"/>
        </w:rPr>
      </w:pPr>
    </w:p>
    <w:p w:rsidR="002B567D" w:rsidRDefault="005F2974" w:rsidP="00034A47">
      <w:pPr>
        <w:spacing w:after="0" w:line="240" w:lineRule="auto"/>
        <w:ind w:left="720"/>
        <w:jc w:val="both"/>
        <w:rPr>
          <w:rFonts w:ascii="Arial" w:hAnsi="Arial" w:cs="Arial"/>
        </w:rPr>
      </w:pPr>
      <w:r>
        <w:rPr>
          <w:noProof/>
          <w:lang w:val="en-AU" w:eastAsia="en-AU"/>
        </w:rPr>
        <w:drawing>
          <wp:inline distT="0" distB="0" distL="0" distR="0" wp14:anchorId="5B043147" wp14:editId="4AE35951">
            <wp:extent cx="5486400" cy="4752975"/>
            <wp:effectExtent l="0" t="0" r="0" b="9525"/>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9183E6-5AE9-4236-9102-A04AF9BF24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91F9E" w:rsidRDefault="00591F9E" w:rsidP="00CC1486">
      <w:pPr>
        <w:spacing w:after="0" w:line="240" w:lineRule="auto"/>
        <w:ind w:left="720"/>
        <w:jc w:val="both"/>
        <w:rPr>
          <w:rFonts w:ascii="Arial" w:hAnsi="Arial" w:cs="Arial"/>
          <w:color w:val="808080" w:themeColor="background1" w:themeShade="80"/>
          <w:sz w:val="18"/>
        </w:rPr>
      </w:pPr>
    </w:p>
    <w:p w:rsidR="00591F9E" w:rsidRDefault="00591F9E" w:rsidP="00CC1486">
      <w:pPr>
        <w:spacing w:after="0" w:line="240" w:lineRule="auto"/>
        <w:ind w:left="720"/>
        <w:jc w:val="both"/>
        <w:rPr>
          <w:rFonts w:ascii="Arial" w:hAnsi="Arial" w:cs="Arial"/>
        </w:rPr>
      </w:pPr>
      <w:r w:rsidRPr="00591F9E">
        <w:rPr>
          <w:rFonts w:ascii="Arial" w:hAnsi="Arial" w:cs="Arial"/>
          <w:color w:val="808080" w:themeColor="background1" w:themeShade="80"/>
          <w:sz w:val="18"/>
        </w:rPr>
        <w:t>Source: LeighFisher Airport Performance Indicators 201</w:t>
      </w:r>
      <w:r w:rsidR="0081394A">
        <w:rPr>
          <w:rFonts w:ascii="Arial" w:hAnsi="Arial" w:cs="Arial"/>
          <w:color w:val="808080" w:themeColor="background1" w:themeShade="80"/>
          <w:sz w:val="18"/>
        </w:rPr>
        <w:t>7</w:t>
      </w:r>
    </w:p>
    <w:p w:rsidR="002B567D" w:rsidRDefault="002B567D" w:rsidP="00CC1486">
      <w:pPr>
        <w:spacing w:after="0" w:line="240" w:lineRule="auto"/>
        <w:ind w:left="720"/>
        <w:jc w:val="both"/>
        <w:rPr>
          <w:rFonts w:ascii="Arial" w:hAnsi="Arial" w:cs="Arial"/>
        </w:rPr>
      </w:pPr>
    </w:p>
    <w:p w:rsidR="00BF2D29" w:rsidRDefault="00BF2D29" w:rsidP="00BF2D29">
      <w:pPr>
        <w:pStyle w:val="ListParagraph"/>
        <w:numPr>
          <w:ilvl w:val="1"/>
          <w:numId w:val="21"/>
        </w:numPr>
        <w:spacing w:after="0" w:line="240" w:lineRule="auto"/>
        <w:ind w:left="720"/>
        <w:jc w:val="both"/>
        <w:rPr>
          <w:rFonts w:ascii="Arial" w:hAnsi="Arial" w:cs="Arial"/>
        </w:rPr>
      </w:pPr>
      <w:r>
        <w:rPr>
          <w:rFonts w:ascii="Arial" w:hAnsi="Arial" w:cs="Arial"/>
        </w:rPr>
        <w:t>Consequently, the light-handed regulatory regime in Australia has enabled efficient investments in and efficient operations of Australian airports wh</w:t>
      </w:r>
      <w:r w:rsidR="002D04E4">
        <w:rPr>
          <w:rFonts w:ascii="Arial" w:hAnsi="Arial" w:cs="Arial"/>
        </w:rPr>
        <w:t>ich</w:t>
      </w:r>
      <w:r>
        <w:rPr>
          <w:rFonts w:ascii="Arial" w:hAnsi="Arial" w:cs="Arial"/>
        </w:rPr>
        <w:t xml:space="preserve"> do not abuse any significant</w:t>
      </w:r>
      <w:r w:rsidR="005A412E">
        <w:rPr>
          <w:rFonts w:ascii="Arial" w:hAnsi="Arial" w:cs="Arial"/>
        </w:rPr>
        <w:t xml:space="preserve"> residual</w:t>
      </w:r>
      <w:r>
        <w:rPr>
          <w:rFonts w:ascii="Arial" w:hAnsi="Arial" w:cs="Arial"/>
        </w:rPr>
        <w:t xml:space="preserve"> market power they might have as regards capital and operating expenditures. </w:t>
      </w:r>
      <w:r w:rsidR="00475A0A">
        <w:rPr>
          <w:rFonts w:ascii="Arial" w:hAnsi="Arial" w:cs="Arial"/>
        </w:rPr>
        <w:t>Considering</w:t>
      </w:r>
      <w:r>
        <w:rPr>
          <w:rFonts w:ascii="Arial" w:hAnsi="Arial" w:cs="Arial"/>
        </w:rPr>
        <w:t xml:space="preserve"> such success, the light-handed regulatory approach should be preserved.</w:t>
      </w:r>
    </w:p>
    <w:p w:rsidR="00BF2D29" w:rsidRDefault="00BF2D29" w:rsidP="00CC1486">
      <w:pPr>
        <w:spacing w:after="0" w:line="240" w:lineRule="auto"/>
        <w:ind w:left="720"/>
        <w:jc w:val="both"/>
        <w:rPr>
          <w:rFonts w:ascii="Arial" w:hAnsi="Arial" w:cs="Arial"/>
        </w:rPr>
      </w:pPr>
    </w:p>
    <w:p w:rsidR="00BF2D29" w:rsidRDefault="00BF2D29" w:rsidP="00CC1486">
      <w:pPr>
        <w:spacing w:after="0" w:line="240" w:lineRule="auto"/>
        <w:ind w:left="720"/>
        <w:jc w:val="both"/>
        <w:rPr>
          <w:rFonts w:ascii="Arial" w:hAnsi="Arial" w:cs="Arial"/>
        </w:rPr>
      </w:pPr>
    </w:p>
    <w:p w:rsidR="00DF1F50" w:rsidRDefault="00DF1F50" w:rsidP="00CC1486">
      <w:pPr>
        <w:spacing w:after="0" w:line="240" w:lineRule="auto"/>
        <w:ind w:left="720"/>
        <w:jc w:val="both"/>
        <w:rPr>
          <w:rFonts w:ascii="Arial" w:hAnsi="Arial" w:cs="Arial"/>
        </w:rPr>
      </w:pPr>
    </w:p>
    <w:p w:rsidR="00DF1F50" w:rsidRDefault="00DF1F50" w:rsidP="00CC1486">
      <w:pPr>
        <w:spacing w:after="0" w:line="240" w:lineRule="auto"/>
        <w:ind w:left="720"/>
        <w:jc w:val="both"/>
        <w:rPr>
          <w:rFonts w:ascii="Arial" w:hAnsi="Arial" w:cs="Arial"/>
        </w:rPr>
      </w:pPr>
    </w:p>
    <w:p w:rsidR="00DF1F50" w:rsidRDefault="00DF1F50" w:rsidP="00CC1486">
      <w:pPr>
        <w:spacing w:after="0" w:line="240" w:lineRule="auto"/>
        <w:ind w:left="720"/>
        <w:jc w:val="both"/>
        <w:rPr>
          <w:rFonts w:ascii="Arial" w:hAnsi="Arial" w:cs="Arial"/>
        </w:rPr>
      </w:pPr>
    </w:p>
    <w:p w:rsidR="00BE1E17" w:rsidRDefault="00BE1E17" w:rsidP="00376649">
      <w:pPr>
        <w:pStyle w:val="ListParagraph"/>
        <w:spacing w:after="0" w:line="240" w:lineRule="auto"/>
        <w:ind w:left="795"/>
        <w:jc w:val="both"/>
        <w:rPr>
          <w:rFonts w:ascii="Arial" w:hAnsi="Arial" w:cs="Arial"/>
          <w:b/>
        </w:rPr>
      </w:pPr>
      <w:bookmarkStart w:id="2" w:name="_Hlk520814876"/>
    </w:p>
    <w:p w:rsidR="00833FB0" w:rsidRPr="006B19A8" w:rsidRDefault="00833FB0" w:rsidP="00034A47">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Pr>
          <w:rFonts w:ascii="Arial" w:hAnsi="Arial" w:cs="Arial"/>
          <w:b/>
          <w:u w:val="single"/>
        </w:rPr>
        <w:t>Providing services of a low quality or a limited range</w:t>
      </w:r>
    </w:p>
    <w:p w:rsidR="00F07D90" w:rsidRDefault="00F07D90" w:rsidP="00376649">
      <w:pPr>
        <w:pStyle w:val="ListParagraph"/>
        <w:spacing w:after="0" w:line="240" w:lineRule="auto"/>
        <w:ind w:left="795"/>
        <w:jc w:val="both"/>
        <w:rPr>
          <w:rFonts w:ascii="Arial" w:hAnsi="Arial" w:cs="Arial"/>
          <w:b/>
        </w:rPr>
      </w:pPr>
    </w:p>
    <w:p w:rsidR="00436327" w:rsidRDefault="00436327" w:rsidP="00436327">
      <w:pPr>
        <w:pStyle w:val="ListParagraph"/>
        <w:numPr>
          <w:ilvl w:val="1"/>
          <w:numId w:val="21"/>
        </w:numPr>
        <w:spacing w:after="0" w:line="240" w:lineRule="auto"/>
        <w:contextualSpacing w:val="0"/>
        <w:jc w:val="both"/>
        <w:rPr>
          <w:rFonts w:ascii="Arial" w:hAnsi="Arial" w:cs="Arial"/>
        </w:rPr>
      </w:pPr>
      <w:r>
        <w:rPr>
          <w:rFonts w:ascii="Arial" w:hAnsi="Arial" w:cs="Arial"/>
        </w:rPr>
        <w:t xml:space="preserve">Australia’s major airports are committed to provide the highest service quality to airport customers. </w:t>
      </w:r>
      <w:r w:rsidR="001E7F57">
        <w:rPr>
          <w:rFonts w:ascii="Arial" w:hAnsi="Arial" w:cs="Arial"/>
        </w:rPr>
        <w:t>Eight</w:t>
      </w:r>
      <w:r>
        <w:rPr>
          <w:rFonts w:ascii="Arial" w:hAnsi="Arial" w:cs="Arial"/>
        </w:rPr>
        <w:t xml:space="preserve"> of Australia’s </w:t>
      </w:r>
      <w:r w:rsidR="009E61A9">
        <w:rPr>
          <w:rFonts w:ascii="Arial" w:hAnsi="Arial" w:cs="Arial"/>
        </w:rPr>
        <w:t>ten</w:t>
      </w:r>
      <w:r>
        <w:rPr>
          <w:rFonts w:ascii="Arial" w:hAnsi="Arial" w:cs="Arial"/>
        </w:rPr>
        <w:t xml:space="preserve"> busiest airports (</w:t>
      </w:r>
      <w:r w:rsidR="00117935">
        <w:rPr>
          <w:rFonts w:ascii="Arial" w:hAnsi="Arial" w:cs="Arial"/>
        </w:rPr>
        <w:t>by total passenger traffi</w:t>
      </w:r>
      <w:r w:rsidR="00285BA4">
        <w:rPr>
          <w:rFonts w:ascii="Arial" w:hAnsi="Arial" w:cs="Arial"/>
        </w:rPr>
        <w:t>c</w:t>
      </w:r>
      <w:r>
        <w:rPr>
          <w:rFonts w:ascii="Arial" w:hAnsi="Arial" w:cs="Arial"/>
        </w:rPr>
        <w:t>) are part of the global ACI world Airport Service Quality (ASQ) network.</w:t>
      </w:r>
    </w:p>
    <w:p w:rsidR="00436327" w:rsidRDefault="00436327" w:rsidP="00436327">
      <w:pPr>
        <w:pStyle w:val="ListParagraph"/>
        <w:ind w:left="795"/>
        <w:jc w:val="both"/>
        <w:rPr>
          <w:rFonts w:ascii="Arial" w:hAnsi="Arial" w:cs="Arial"/>
        </w:rPr>
      </w:pPr>
    </w:p>
    <w:p w:rsidR="00436327" w:rsidRDefault="00436327" w:rsidP="00436327">
      <w:pPr>
        <w:pStyle w:val="ListParagraph"/>
        <w:numPr>
          <w:ilvl w:val="1"/>
          <w:numId w:val="21"/>
        </w:numPr>
        <w:spacing w:after="0" w:line="240" w:lineRule="auto"/>
        <w:contextualSpacing w:val="0"/>
        <w:jc w:val="both"/>
        <w:rPr>
          <w:rFonts w:ascii="Arial" w:hAnsi="Arial" w:cs="Arial"/>
        </w:rPr>
      </w:pPr>
      <w:r>
        <w:rPr>
          <w:rFonts w:ascii="Arial" w:hAnsi="Arial" w:cs="Arial"/>
        </w:rPr>
        <w:t>The ASQ programme is</w:t>
      </w:r>
      <w:r w:rsidR="00F56534">
        <w:rPr>
          <w:rFonts w:ascii="Arial" w:hAnsi="Arial" w:cs="Arial"/>
        </w:rPr>
        <w:t xml:space="preserve"> a</w:t>
      </w:r>
      <w:r>
        <w:rPr>
          <w:rFonts w:ascii="Arial" w:hAnsi="Arial" w:cs="Arial"/>
        </w:rPr>
        <w:t xml:space="preserve"> worldwide tool to measure service quality and passenger satisfaction towards service quality. With more than 340 airports participating in the programme, ASQ is the only global benchmarking tool to measure passenger satisfaction in real time whilst the passenger is travelling in the airport. </w:t>
      </w:r>
    </w:p>
    <w:p w:rsidR="00436327" w:rsidRDefault="00436327" w:rsidP="00436327">
      <w:pPr>
        <w:pStyle w:val="ListParagraph"/>
        <w:jc w:val="both"/>
        <w:rPr>
          <w:rFonts w:ascii="Arial" w:hAnsi="Arial" w:cs="Arial"/>
        </w:rPr>
      </w:pPr>
    </w:p>
    <w:p w:rsidR="00436327" w:rsidRDefault="00436327" w:rsidP="00436327">
      <w:pPr>
        <w:pStyle w:val="ListParagraph"/>
        <w:numPr>
          <w:ilvl w:val="1"/>
          <w:numId w:val="21"/>
        </w:numPr>
        <w:spacing w:after="0" w:line="240" w:lineRule="auto"/>
        <w:contextualSpacing w:val="0"/>
        <w:jc w:val="both"/>
        <w:rPr>
          <w:rFonts w:ascii="Arial" w:hAnsi="Arial" w:cs="Arial"/>
        </w:rPr>
      </w:pPr>
      <w:r>
        <w:rPr>
          <w:rFonts w:ascii="Arial" w:hAnsi="Arial" w:cs="Arial"/>
        </w:rPr>
        <w:t>While ACI World do</w:t>
      </w:r>
      <w:r w:rsidR="00920556">
        <w:rPr>
          <w:rFonts w:ascii="Arial" w:hAnsi="Arial" w:cs="Arial"/>
        </w:rPr>
        <w:t>es</w:t>
      </w:r>
      <w:r>
        <w:rPr>
          <w:rFonts w:ascii="Arial" w:hAnsi="Arial" w:cs="Arial"/>
        </w:rPr>
        <w:t xml:space="preserve"> not release the ASQ satisfaction score</w:t>
      </w:r>
      <w:r w:rsidR="006A3A9B">
        <w:rPr>
          <w:rFonts w:ascii="Arial" w:hAnsi="Arial" w:cs="Arial"/>
        </w:rPr>
        <w:t>s</w:t>
      </w:r>
      <w:r>
        <w:rPr>
          <w:rFonts w:ascii="Arial" w:hAnsi="Arial" w:cs="Arial"/>
        </w:rPr>
        <w:t xml:space="preserve"> of individual airports in a disaggregated manner, it can be said that Australian airports perform very well in general and at the same level of the world average score of participating airports.</w:t>
      </w:r>
    </w:p>
    <w:p w:rsidR="00436327" w:rsidRDefault="00436327" w:rsidP="00436327">
      <w:pPr>
        <w:pStyle w:val="ListParagraph"/>
        <w:jc w:val="both"/>
        <w:rPr>
          <w:rFonts w:ascii="Arial" w:hAnsi="Arial" w:cs="Arial"/>
        </w:rPr>
      </w:pPr>
    </w:p>
    <w:p w:rsidR="00C17326" w:rsidRPr="005624A0" w:rsidRDefault="00436327" w:rsidP="005624A0">
      <w:pPr>
        <w:pStyle w:val="ListParagraph"/>
        <w:numPr>
          <w:ilvl w:val="1"/>
          <w:numId w:val="21"/>
        </w:numPr>
        <w:spacing w:after="0" w:line="240" w:lineRule="auto"/>
        <w:contextualSpacing w:val="0"/>
        <w:jc w:val="both"/>
        <w:rPr>
          <w:rFonts w:ascii="Arial" w:hAnsi="Arial" w:cs="Arial"/>
        </w:rPr>
      </w:pPr>
      <w:r>
        <w:rPr>
          <w:rFonts w:ascii="Arial" w:hAnsi="Arial" w:cs="Arial"/>
        </w:rPr>
        <w:t>Such dedication and achievement on the service quality front testify to the commitment of the Australian airports to provide the highest level of service quality as well as the widest possible range of services to all stakeholders.</w:t>
      </w:r>
    </w:p>
    <w:bookmarkEnd w:id="2"/>
    <w:p w:rsidR="00C17326" w:rsidRDefault="00C17326" w:rsidP="00376649">
      <w:pPr>
        <w:spacing w:after="0" w:line="240" w:lineRule="auto"/>
        <w:ind w:left="720"/>
        <w:jc w:val="both"/>
        <w:rPr>
          <w:rFonts w:ascii="Arial" w:hAnsi="Arial" w:cs="Arial"/>
        </w:rPr>
      </w:pPr>
    </w:p>
    <w:p w:rsidR="00C17326" w:rsidRDefault="00C17326" w:rsidP="00376649">
      <w:pPr>
        <w:spacing w:after="0" w:line="240" w:lineRule="auto"/>
        <w:ind w:left="720"/>
        <w:jc w:val="both"/>
        <w:rPr>
          <w:rFonts w:ascii="Arial" w:hAnsi="Arial" w:cs="Arial"/>
        </w:rPr>
      </w:pPr>
    </w:p>
    <w:p w:rsidR="00636663" w:rsidRPr="004E5E49" w:rsidRDefault="00636663" w:rsidP="00034A47">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Pr>
          <w:rFonts w:ascii="Arial" w:hAnsi="Arial" w:cs="Arial"/>
          <w:b/>
          <w:u w:val="single"/>
        </w:rPr>
        <w:t>The manner in which airports conduct commercial negotiations</w:t>
      </w:r>
    </w:p>
    <w:p w:rsidR="004E5E49" w:rsidRDefault="004E5E49" w:rsidP="00376649">
      <w:pPr>
        <w:pStyle w:val="ListParagraph"/>
        <w:spacing w:after="0" w:line="240" w:lineRule="auto"/>
        <w:ind w:left="795"/>
        <w:jc w:val="both"/>
        <w:rPr>
          <w:rFonts w:ascii="Arial" w:hAnsi="Arial" w:cs="Arial"/>
        </w:rPr>
      </w:pPr>
    </w:p>
    <w:p w:rsidR="00B8072F" w:rsidRDefault="00DF1F1D" w:rsidP="00034A47">
      <w:pPr>
        <w:pStyle w:val="ListParagraph"/>
        <w:numPr>
          <w:ilvl w:val="1"/>
          <w:numId w:val="21"/>
        </w:numPr>
        <w:spacing w:after="0" w:line="240" w:lineRule="auto"/>
        <w:jc w:val="both"/>
        <w:rPr>
          <w:rFonts w:ascii="Arial" w:hAnsi="Arial" w:cs="Arial"/>
        </w:rPr>
      </w:pPr>
      <w:r w:rsidRPr="004E5E49">
        <w:rPr>
          <w:rFonts w:ascii="Arial" w:hAnsi="Arial" w:cs="Arial"/>
        </w:rPr>
        <w:t>Australian airports</w:t>
      </w:r>
      <w:r w:rsidR="0002303D">
        <w:rPr>
          <w:rFonts w:ascii="Arial" w:hAnsi="Arial" w:cs="Arial"/>
        </w:rPr>
        <w:t>, as well as the entire airport community worldwide,</w:t>
      </w:r>
      <w:r w:rsidRPr="004E5E49">
        <w:rPr>
          <w:rFonts w:ascii="Arial" w:hAnsi="Arial" w:cs="Arial"/>
        </w:rPr>
        <w:t xml:space="preserve"> are committed to ensuring the right level of </w:t>
      </w:r>
      <w:r w:rsidR="004E5E49" w:rsidRPr="004E5E49">
        <w:rPr>
          <w:rFonts w:ascii="Arial" w:hAnsi="Arial" w:cs="Arial"/>
        </w:rPr>
        <w:t>transparency and that consultations</w:t>
      </w:r>
      <w:r w:rsidR="00006A8B">
        <w:rPr>
          <w:rFonts w:ascii="Arial" w:hAnsi="Arial" w:cs="Arial"/>
        </w:rPr>
        <w:t xml:space="preserve"> with aircraft operators</w:t>
      </w:r>
      <w:r w:rsidR="004E5E49" w:rsidRPr="004E5E49">
        <w:rPr>
          <w:rFonts w:ascii="Arial" w:hAnsi="Arial" w:cs="Arial"/>
        </w:rPr>
        <w:t xml:space="preserve"> are carrie</w:t>
      </w:r>
      <w:r w:rsidR="00B8072F">
        <w:rPr>
          <w:rFonts w:ascii="Arial" w:hAnsi="Arial" w:cs="Arial"/>
        </w:rPr>
        <w:t>d</w:t>
      </w:r>
      <w:r w:rsidR="004E5E49" w:rsidRPr="004E5E49">
        <w:rPr>
          <w:rFonts w:ascii="Arial" w:hAnsi="Arial" w:cs="Arial"/>
        </w:rPr>
        <w:t xml:space="preserve"> out in setting charges and capital planning in a structured and meaningful way.</w:t>
      </w:r>
      <w:r w:rsidRPr="004E5E49">
        <w:rPr>
          <w:rFonts w:ascii="Arial" w:hAnsi="Arial" w:cs="Arial"/>
        </w:rPr>
        <w:t xml:space="preserve"> </w:t>
      </w:r>
    </w:p>
    <w:p w:rsidR="00B8072F" w:rsidRDefault="00B8072F" w:rsidP="005A412E">
      <w:pPr>
        <w:pStyle w:val="ListParagraph"/>
        <w:spacing w:after="0" w:line="240" w:lineRule="auto"/>
        <w:ind w:left="795"/>
        <w:jc w:val="both"/>
        <w:rPr>
          <w:rFonts w:ascii="Arial" w:hAnsi="Arial" w:cs="Arial"/>
        </w:rPr>
      </w:pPr>
    </w:p>
    <w:p w:rsidR="00784A5D" w:rsidRDefault="00784A5D" w:rsidP="00AC6AC8">
      <w:pPr>
        <w:pStyle w:val="ListParagraph"/>
        <w:numPr>
          <w:ilvl w:val="1"/>
          <w:numId w:val="21"/>
        </w:numPr>
        <w:spacing w:after="0" w:line="240" w:lineRule="auto"/>
        <w:jc w:val="both"/>
        <w:rPr>
          <w:rFonts w:ascii="Arial" w:hAnsi="Arial" w:cs="Arial"/>
        </w:rPr>
      </w:pPr>
      <w:r w:rsidRPr="004E5E49">
        <w:rPr>
          <w:rFonts w:ascii="Arial" w:hAnsi="Arial" w:cs="Arial"/>
        </w:rPr>
        <w:t>To this end, ACI World</w:t>
      </w:r>
      <w:r w:rsidR="0002303D">
        <w:rPr>
          <w:rFonts w:ascii="Arial" w:hAnsi="Arial" w:cs="Arial"/>
        </w:rPr>
        <w:t xml:space="preserve"> and its</w:t>
      </w:r>
      <w:r w:rsidR="00160517">
        <w:rPr>
          <w:rFonts w:ascii="Arial" w:hAnsi="Arial" w:cs="Arial"/>
        </w:rPr>
        <w:t xml:space="preserve"> entire network of</w:t>
      </w:r>
      <w:r w:rsidR="0002303D">
        <w:rPr>
          <w:rFonts w:ascii="Arial" w:hAnsi="Arial" w:cs="Arial"/>
        </w:rPr>
        <w:t xml:space="preserve"> member airports jointly</w:t>
      </w:r>
      <w:r w:rsidRPr="004E5E49">
        <w:rPr>
          <w:rFonts w:ascii="Arial" w:hAnsi="Arial" w:cs="Arial"/>
        </w:rPr>
        <w:t xml:space="preserve"> developed Recommended Practices on transparency and consultation with the airlines</w:t>
      </w:r>
      <w:r w:rsidR="00C20044" w:rsidRPr="004E5E49">
        <w:rPr>
          <w:rStyle w:val="FootnoteReference"/>
          <w:rFonts w:ascii="Arial" w:hAnsi="Arial" w:cs="Arial"/>
        </w:rPr>
        <w:footnoteReference w:id="2"/>
      </w:r>
      <w:r w:rsidR="00B63948" w:rsidRPr="004E5E49">
        <w:rPr>
          <w:rFonts w:ascii="Arial" w:hAnsi="Arial" w:cs="Arial"/>
        </w:rPr>
        <w:t>.</w:t>
      </w:r>
      <w:r w:rsidR="00AC6AC8">
        <w:rPr>
          <w:rFonts w:ascii="Arial" w:hAnsi="Arial" w:cs="Arial"/>
        </w:rPr>
        <w:t xml:space="preserve"> </w:t>
      </w:r>
      <w:r w:rsidR="00AC6AC8" w:rsidRPr="00AC6AC8">
        <w:rPr>
          <w:rFonts w:ascii="Arial" w:hAnsi="Arial" w:cs="Arial"/>
        </w:rPr>
        <w:t>They demonstrate the commitment of the airport industry</w:t>
      </w:r>
      <w:r w:rsidR="00AC6AC8">
        <w:rPr>
          <w:rFonts w:ascii="Arial" w:hAnsi="Arial" w:cs="Arial"/>
        </w:rPr>
        <w:t xml:space="preserve"> in general, and of the Australian airports in particular,</w:t>
      </w:r>
      <w:r w:rsidR="00AC6AC8" w:rsidRPr="00AC6AC8">
        <w:rPr>
          <w:rFonts w:ascii="Arial" w:hAnsi="Arial" w:cs="Arial"/>
        </w:rPr>
        <w:t xml:space="preserve"> to engage meaningfully with the airlines and build the right level of trust with all stakeholders</w:t>
      </w:r>
      <w:r w:rsidR="00AC6AC8">
        <w:rPr>
          <w:rFonts w:ascii="Arial" w:hAnsi="Arial" w:cs="Arial"/>
        </w:rPr>
        <w:t>.</w:t>
      </w:r>
    </w:p>
    <w:p w:rsidR="0002303D" w:rsidRPr="005624A0" w:rsidRDefault="0002303D" w:rsidP="005624A0">
      <w:pPr>
        <w:spacing w:after="0" w:line="240" w:lineRule="auto"/>
        <w:jc w:val="both"/>
        <w:rPr>
          <w:rFonts w:ascii="Arial" w:hAnsi="Arial" w:cs="Arial"/>
        </w:rPr>
      </w:pPr>
    </w:p>
    <w:p w:rsidR="0002303D" w:rsidRPr="004E5E49" w:rsidRDefault="0002303D" w:rsidP="00CC1486">
      <w:pPr>
        <w:pStyle w:val="ListParagraph"/>
        <w:spacing w:after="0" w:line="240" w:lineRule="auto"/>
        <w:ind w:left="795"/>
        <w:jc w:val="both"/>
        <w:rPr>
          <w:rFonts w:ascii="Arial" w:hAnsi="Arial" w:cs="Arial"/>
        </w:rPr>
      </w:pPr>
    </w:p>
    <w:p w:rsidR="00C05021" w:rsidRPr="004E5E49" w:rsidRDefault="00C05021" w:rsidP="00CC1486">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Pr>
          <w:rFonts w:ascii="Arial" w:hAnsi="Arial" w:cs="Arial"/>
          <w:b/>
          <w:u w:val="single"/>
        </w:rPr>
        <w:t xml:space="preserve">Conclusions and way forward </w:t>
      </w:r>
    </w:p>
    <w:p w:rsidR="00D637CA" w:rsidRPr="004E5E49" w:rsidRDefault="00D637CA" w:rsidP="00CC1486">
      <w:pPr>
        <w:spacing w:after="0" w:line="240" w:lineRule="auto"/>
        <w:jc w:val="both"/>
        <w:rPr>
          <w:rFonts w:ascii="Arial" w:hAnsi="Arial" w:cs="Arial"/>
        </w:rPr>
      </w:pPr>
    </w:p>
    <w:p w:rsidR="004863F8" w:rsidRDefault="00D637CA" w:rsidP="00E52314">
      <w:pPr>
        <w:pStyle w:val="ListParagraph"/>
        <w:numPr>
          <w:ilvl w:val="1"/>
          <w:numId w:val="21"/>
        </w:numPr>
        <w:spacing w:after="0" w:line="240" w:lineRule="auto"/>
        <w:jc w:val="both"/>
        <w:rPr>
          <w:rFonts w:ascii="Arial" w:hAnsi="Arial" w:cs="Arial"/>
        </w:rPr>
      </w:pPr>
      <w:r w:rsidRPr="004E5E49">
        <w:rPr>
          <w:rFonts w:ascii="Arial" w:hAnsi="Arial" w:cs="Arial"/>
        </w:rPr>
        <w:t>Airports in Australia have a significant degree of dependence on two airline groups</w:t>
      </w:r>
      <w:r w:rsidR="00E52314">
        <w:rPr>
          <w:rFonts w:ascii="Arial" w:hAnsi="Arial" w:cs="Arial"/>
        </w:rPr>
        <w:t xml:space="preserve"> – Qantas </w:t>
      </w:r>
      <w:r w:rsidR="004863F8">
        <w:rPr>
          <w:rFonts w:ascii="Arial" w:hAnsi="Arial" w:cs="Arial"/>
        </w:rPr>
        <w:t>G</w:t>
      </w:r>
      <w:r w:rsidR="00E52314">
        <w:rPr>
          <w:rFonts w:ascii="Arial" w:hAnsi="Arial" w:cs="Arial"/>
        </w:rPr>
        <w:t xml:space="preserve">roup and Virgin Australia Holdings. </w:t>
      </w:r>
      <w:r w:rsidR="00E52314" w:rsidRPr="00E52314">
        <w:rPr>
          <w:rFonts w:ascii="Arial" w:hAnsi="Arial" w:cs="Arial"/>
        </w:rPr>
        <w:t>Qantas</w:t>
      </w:r>
      <w:r w:rsidR="004863F8">
        <w:rPr>
          <w:rFonts w:ascii="Arial" w:hAnsi="Arial" w:cs="Arial"/>
        </w:rPr>
        <w:t xml:space="preserve"> Airways</w:t>
      </w:r>
      <w:r w:rsidR="00E52314">
        <w:rPr>
          <w:rFonts w:ascii="Arial" w:hAnsi="Arial" w:cs="Arial"/>
        </w:rPr>
        <w:t xml:space="preserve"> itself </w:t>
      </w:r>
      <w:r w:rsidR="00E52314" w:rsidRPr="00E52314">
        <w:rPr>
          <w:rFonts w:ascii="Arial" w:hAnsi="Arial" w:cs="Arial"/>
        </w:rPr>
        <w:t>as the nation’s leading airline, operat</w:t>
      </w:r>
      <w:r w:rsidR="004863F8">
        <w:rPr>
          <w:rFonts w:ascii="Arial" w:hAnsi="Arial" w:cs="Arial"/>
        </w:rPr>
        <w:t>ed</w:t>
      </w:r>
      <w:r w:rsidR="00E52314" w:rsidRPr="00E52314">
        <w:rPr>
          <w:rFonts w:ascii="Arial" w:hAnsi="Arial" w:cs="Arial"/>
        </w:rPr>
        <w:t xml:space="preserve"> close to 68.5 million seats in 2017, representing 33% of all capacity in Australia</w:t>
      </w:r>
      <w:r w:rsidR="004863F8">
        <w:rPr>
          <w:rFonts w:ascii="Arial" w:hAnsi="Arial" w:cs="Arial"/>
        </w:rPr>
        <w:t>.</w:t>
      </w:r>
      <w:r w:rsidR="00637505">
        <w:rPr>
          <w:rFonts w:ascii="Arial" w:hAnsi="Arial" w:cs="Arial"/>
        </w:rPr>
        <w:t xml:space="preserve"> </w:t>
      </w:r>
      <w:r w:rsidR="004863F8">
        <w:rPr>
          <w:rFonts w:ascii="Arial" w:hAnsi="Arial" w:cs="Arial"/>
        </w:rPr>
        <w:t xml:space="preserve">Jetstar Airways – the subsidiary of Qantas Group – </w:t>
      </w:r>
      <w:r w:rsidR="00637505">
        <w:rPr>
          <w:rFonts w:ascii="Arial" w:hAnsi="Arial" w:cs="Arial"/>
        </w:rPr>
        <w:t xml:space="preserve">is the third largest airline serving the country </w:t>
      </w:r>
      <w:r w:rsidR="004863F8">
        <w:rPr>
          <w:rFonts w:ascii="Arial" w:hAnsi="Arial" w:cs="Arial"/>
        </w:rPr>
        <w:t xml:space="preserve">with 35.3 million seats. </w:t>
      </w:r>
      <w:r w:rsidR="00637505">
        <w:rPr>
          <w:rFonts w:ascii="Arial" w:hAnsi="Arial" w:cs="Arial"/>
        </w:rPr>
        <w:t xml:space="preserve">Consequently, Qantas Group has over 50% market share for air transportation services in Australia. This is followed by Virgin Australia Airlines with 25% market share.  </w:t>
      </w:r>
      <w:r w:rsidR="004863F8">
        <w:rPr>
          <w:rFonts w:ascii="Arial" w:hAnsi="Arial" w:cs="Arial"/>
        </w:rPr>
        <w:t xml:space="preserve">  </w:t>
      </w:r>
    </w:p>
    <w:p w:rsidR="004863F8" w:rsidRDefault="004863F8" w:rsidP="004863F8">
      <w:pPr>
        <w:pStyle w:val="ListParagraph"/>
        <w:spacing w:after="0" w:line="240" w:lineRule="auto"/>
        <w:ind w:left="795"/>
        <w:jc w:val="both"/>
        <w:rPr>
          <w:rFonts w:ascii="Arial" w:hAnsi="Arial" w:cs="Arial"/>
        </w:rPr>
      </w:pPr>
    </w:p>
    <w:p w:rsidR="00D637CA" w:rsidRPr="004E5E49" w:rsidRDefault="00D637CA" w:rsidP="004863F8">
      <w:pPr>
        <w:pStyle w:val="ListParagraph"/>
        <w:spacing w:after="0" w:line="240" w:lineRule="auto"/>
        <w:ind w:left="795"/>
        <w:jc w:val="both"/>
        <w:rPr>
          <w:rFonts w:ascii="Arial" w:hAnsi="Arial" w:cs="Arial"/>
        </w:rPr>
      </w:pPr>
      <w:r w:rsidRPr="004E5E49">
        <w:rPr>
          <w:rFonts w:ascii="Arial" w:hAnsi="Arial" w:cs="Arial"/>
        </w:rPr>
        <w:t>Airlines are consequently able to exercise a potential buyer power that fully offsets or countervails any market power the airport might enjoy. These factors have de facto prevented the airport operator from applying a monopolistic behaviour and setting excessive charges.</w:t>
      </w:r>
    </w:p>
    <w:p w:rsidR="00D637CA" w:rsidRPr="004E5E49" w:rsidRDefault="00D637CA" w:rsidP="008D26A8">
      <w:pPr>
        <w:pStyle w:val="ListParagraph"/>
        <w:spacing w:after="0" w:line="240" w:lineRule="auto"/>
        <w:ind w:left="795"/>
        <w:jc w:val="both"/>
        <w:rPr>
          <w:rFonts w:ascii="Arial" w:hAnsi="Arial" w:cs="Arial"/>
        </w:rPr>
      </w:pPr>
    </w:p>
    <w:p w:rsidR="00D637CA" w:rsidRDefault="00D637CA" w:rsidP="00012F2E">
      <w:pPr>
        <w:pStyle w:val="ListParagraph"/>
        <w:numPr>
          <w:ilvl w:val="1"/>
          <w:numId w:val="21"/>
        </w:numPr>
        <w:spacing w:after="0" w:line="240" w:lineRule="auto"/>
        <w:jc w:val="both"/>
        <w:rPr>
          <w:rFonts w:ascii="Arial" w:hAnsi="Arial" w:cs="Arial"/>
        </w:rPr>
      </w:pPr>
      <w:r w:rsidRPr="004E5E49">
        <w:rPr>
          <w:rFonts w:ascii="Arial" w:hAnsi="Arial" w:cs="Arial"/>
        </w:rPr>
        <w:t xml:space="preserve">Taking into consideration the limited market power of the airport industry in </w:t>
      </w:r>
      <w:r w:rsidR="00FE5A19">
        <w:rPr>
          <w:rFonts w:ascii="Arial" w:hAnsi="Arial" w:cs="Arial"/>
        </w:rPr>
        <w:t>Australia</w:t>
      </w:r>
      <w:r w:rsidRPr="004E5E49">
        <w:rPr>
          <w:rFonts w:ascii="Arial" w:hAnsi="Arial" w:cs="Arial"/>
        </w:rPr>
        <w:t>, ACI’s position is that there are objective reasons</w:t>
      </w:r>
      <w:r w:rsidR="00FE5A19">
        <w:rPr>
          <w:rFonts w:ascii="Arial" w:hAnsi="Arial" w:cs="Arial"/>
        </w:rPr>
        <w:t xml:space="preserve"> to continue</w:t>
      </w:r>
      <w:r w:rsidRPr="004E5E49">
        <w:rPr>
          <w:rFonts w:ascii="Arial" w:hAnsi="Arial" w:cs="Arial"/>
        </w:rPr>
        <w:t xml:space="preserve"> applying a light-handed regulation of airports, considering the disadvantages of the price cap approach in practice and the benefits of facilitating greater negotiation between airports and users. </w:t>
      </w:r>
    </w:p>
    <w:p w:rsidR="004848F8" w:rsidRDefault="004848F8" w:rsidP="004848F8">
      <w:pPr>
        <w:pStyle w:val="ListParagraph"/>
        <w:spacing w:after="0" w:line="240" w:lineRule="auto"/>
        <w:ind w:left="795"/>
        <w:jc w:val="both"/>
        <w:rPr>
          <w:rFonts w:ascii="Arial" w:hAnsi="Arial" w:cs="Arial"/>
        </w:rPr>
      </w:pPr>
    </w:p>
    <w:p w:rsidR="00C31586" w:rsidRDefault="003D0C0A" w:rsidP="003D0C0A">
      <w:pPr>
        <w:pStyle w:val="ListParagraph"/>
        <w:numPr>
          <w:ilvl w:val="1"/>
          <w:numId w:val="21"/>
        </w:numPr>
        <w:spacing w:after="0" w:line="240" w:lineRule="auto"/>
        <w:jc w:val="both"/>
        <w:rPr>
          <w:rFonts w:ascii="Arial" w:hAnsi="Arial" w:cs="Arial"/>
        </w:rPr>
      </w:pPr>
      <w:r>
        <w:rPr>
          <w:rFonts w:ascii="Arial" w:hAnsi="Arial" w:cs="Arial"/>
        </w:rPr>
        <w:t>Airport charges represent a relatively small item in the airlines’ total cost structures, which has remained in the realm of 4% for the last several decades. The most recent independent study on the real determinants of airfares</w:t>
      </w:r>
      <w:r w:rsidR="00BE7FEB">
        <w:rPr>
          <w:rStyle w:val="FootnoteReference"/>
          <w:rFonts w:ascii="Arial" w:hAnsi="Arial" w:cs="Arial"/>
        </w:rPr>
        <w:footnoteReference w:id="3"/>
      </w:r>
      <w:r>
        <w:rPr>
          <w:rFonts w:ascii="Arial" w:hAnsi="Arial" w:cs="Arial"/>
        </w:rPr>
        <w:t xml:space="preserve"> notes </w:t>
      </w:r>
      <w:r w:rsidR="00BE7FEB">
        <w:rPr>
          <w:rFonts w:ascii="Arial" w:hAnsi="Arial" w:cs="Arial"/>
        </w:rPr>
        <w:t>such</w:t>
      </w:r>
      <w:r>
        <w:rPr>
          <w:rFonts w:ascii="Arial" w:hAnsi="Arial" w:cs="Arial"/>
        </w:rPr>
        <w:t xml:space="preserve"> static nature of airport charges, which are set well in advance and do not vary for long periods of time, in contrast with the extremely dynamic pricing techniques used by airlines to set airfares</w:t>
      </w:r>
      <w:r w:rsidR="00BE7FEB">
        <w:rPr>
          <w:rFonts w:ascii="Arial" w:hAnsi="Arial" w:cs="Arial"/>
        </w:rPr>
        <w:t>, resulting in constant and significant ticket price variations reaching up to 700% for the same product</w:t>
      </w:r>
      <w:r>
        <w:rPr>
          <w:rFonts w:ascii="Arial" w:hAnsi="Arial" w:cs="Arial"/>
        </w:rPr>
        <w:t>.</w:t>
      </w:r>
      <w:r w:rsidRPr="003D0C0A">
        <w:rPr>
          <w:rFonts w:ascii="Arial" w:hAnsi="Arial" w:cs="Arial"/>
        </w:rPr>
        <w:t xml:space="preserve"> </w:t>
      </w:r>
      <w:r w:rsidR="00BE7FEB">
        <w:rPr>
          <w:rFonts w:ascii="Arial" w:hAnsi="Arial" w:cs="Arial"/>
        </w:rPr>
        <w:t>It is also found</w:t>
      </w:r>
      <w:r w:rsidRPr="003D0C0A">
        <w:rPr>
          <w:rFonts w:ascii="Arial" w:hAnsi="Arial" w:cs="Arial"/>
        </w:rPr>
        <w:t xml:space="preserve"> that lower airport charges are generally not passed-through to passengers in </w:t>
      </w:r>
      <w:r w:rsidR="00045349">
        <w:rPr>
          <w:rFonts w:ascii="Arial" w:hAnsi="Arial" w:cs="Arial"/>
        </w:rPr>
        <w:t xml:space="preserve">terms of </w:t>
      </w:r>
      <w:r w:rsidRPr="003D0C0A">
        <w:rPr>
          <w:rFonts w:ascii="Arial" w:hAnsi="Arial" w:cs="Arial"/>
        </w:rPr>
        <w:t>lower airfares</w:t>
      </w:r>
      <w:r w:rsidR="00C72589">
        <w:rPr>
          <w:rFonts w:ascii="Arial" w:hAnsi="Arial" w:cs="Arial"/>
        </w:rPr>
        <w:t>.</w:t>
      </w:r>
    </w:p>
    <w:p w:rsidR="00C31586" w:rsidRPr="00C31586" w:rsidRDefault="00C31586" w:rsidP="00C31586">
      <w:pPr>
        <w:pStyle w:val="ListParagraph"/>
        <w:rPr>
          <w:rFonts w:ascii="Arial" w:hAnsi="Arial" w:cs="Arial"/>
        </w:rPr>
      </w:pPr>
    </w:p>
    <w:p w:rsidR="004848F8" w:rsidRPr="003D0C0A" w:rsidRDefault="00C31586" w:rsidP="00C31586">
      <w:pPr>
        <w:pStyle w:val="ListParagraph"/>
        <w:numPr>
          <w:ilvl w:val="1"/>
          <w:numId w:val="21"/>
        </w:numPr>
        <w:spacing w:after="0" w:line="240" w:lineRule="auto"/>
        <w:jc w:val="both"/>
        <w:rPr>
          <w:rFonts w:ascii="Arial" w:hAnsi="Arial" w:cs="Arial"/>
        </w:rPr>
      </w:pPr>
      <w:r>
        <w:rPr>
          <w:rFonts w:ascii="Arial" w:hAnsi="Arial" w:cs="Arial"/>
        </w:rPr>
        <w:t>ACI advocates for regulatory certainty and consistency.</w:t>
      </w:r>
      <w:r w:rsidR="00C72589">
        <w:rPr>
          <w:rFonts w:ascii="Arial" w:hAnsi="Arial" w:cs="Arial"/>
        </w:rPr>
        <w:t xml:space="preserve"> </w:t>
      </w:r>
      <w:r w:rsidRPr="00C31586">
        <w:rPr>
          <w:rFonts w:ascii="Arial" w:hAnsi="Arial" w:cs="Arial"/>
        </w:rPr>
        <w:t>With airports now being sophisticated businesses in their own right, sufficient levels of investment and charges are essential prerequisites if they are to continue to deliver increased capacity, quality and connectivity.</w:t>
      </w:r>
      <w:r>
        <w:rPr>
          <w:rFonts w:ascii="Arial" w:hAnsi="Arial" w:cs="Arial"/>
        </w:rPr>
        <w:t xml:space="preserve"> Therefore, it is in the best interest of all aviation stakeholders to adhere to the current light-handed form of economic oversight. </w:t>
      </w:r>
    </w:p>
    <w:p w:rsidR="00D637CA" w:rsidRPr="003D0C0A" w:rsidRDefault="00D637CA" w:rsidP="003D0C0A">
      <w:pPr>
        <w:spacing w:after="0" w:line="240" w:lineRule="auto"/>
        <w:jc w:val="both"/>
        <w:rPr>
          <w:rFonts w:ascii="Arial" w:hAnsi="Arial" w:cs="Arial"/>
          <w:highlight w:val="green"/>
        </w:rPr>
      </w:pPr>
    </w:p>
    <w:p w:rsidR="00D637CA" w:rsidRPr="00FE5A19" w:rsidRDefault="00D637CA" w:rsidP="00436327">
      <w:pPr>
        <w:pStyle w:val="ListParagraph"/>
        <w:numPr>
          <w:ilvl w:val="1"/>
          <w:numId w:val="21"/>
        </w:numPr>
        <w:spacing w:after="0" w:line="240" w:lineRule="auto"/>
        <w:jc w:val="both"/>
        <w:rPr>
          <w:rFonts w:ascii="Arial" w:hAnsi="Arial" w:cs="Arial"/>
        </w:rPr>
      </w:pPr>
      <w:r w:rsidRPr="00FE5A19">
        <w:rPr>
          <w:rFonts w:ascii="Arial" w:hAnsi="Arial" w:cs="Arial"/>
        </w:rPr>
        <w:t xml:space="preserve">Regulation does not necessarily mean the heavy-handed and intrusive application of detailed controls on individual prices that were put in place since the late 1980s under the price-cap regulation format, which has evolved into an onerous and expensive undertaking almost akin to traditional heavy-handed rate-of-return regulation. </w:t>
      </w:r>
    </w:p>
    <w:p w:rsidR="00D637CA" w:rsidRPr="00E300AE" w:rsidRDefault="00D637CA" w:rsidP="00436327">
      <w:pPr>
        <w:pStyle w:val="ListParagraph"/>
        <w:spacing w:after="0" w:line="240" w:lineRule="auto"/>
        <w:ind w:left="795"/>
        <w:jc w:val="both"/>
        <w:rPr>
          <w:rFonts w:ascii="Arial" w:hAnsi="Arial" w:cs="Arial"/>
          <w:highlight w:val="green"/>
        </w:rPr>
      </w:pPr>
    </w:p>
    <w:p w:rsidR="00D637CA" w:rsidRPr="00FE5A19" w:rsidRDefault="00D637CA" w:rsidP="00436327">
      <w:pPr>
        <w:pStyle w:val="ListParagraph"/>
        <w:numPr>
          <w:ilvl w:val="1"/>
          <w:numId w:val="21"/>
        </w:numPr>
        <w:spacing w:after="0" w:line="240" w:lineRule="auto"/>
        <w:jc w:val="both"/>
        <w:rPr>
          <w:rFonts w:ascii="Arial" w:hAnsi="Arial" w:cs="Arial"/>
        </w:rPr>
      </w:pPr>
      <w:r w:rsidRPr="00FE5A19">
        <w:rPr>
          <w:rFonts w:ascii="Arial" w:hAnsi="Arial" w:cs="Arial"/>
        </w:rPr>
        <w:t xml:space="preserve">Instead, when needed, regulation can be a process involving consultation between airports and airlines, with the regulator acting as a facilitator and/or backstop. Such regulation is less likely to distort or discourage market forces and has much lower administration costs. </w:t>
      </w:r>
      <w:r w:rsidR="00FE5A19" w:rsidRPr="00FE5A19">
        <w:rPr>
          <w:rFonts w:ascii="Arial" w:hAnsi="Arial" w:cs="Arial"/>
        </w:rPr>
        <w:t>Several</w:t>
      </w:r>
      <w:r w:rsidRPr="00FE5A19">
        <w:rPr>
          <w:rFonts w:ascii="Arial" w:hAnsi="Arial" w:cs="Arial"/>
        </w:rPr>
        <w:t xml:space="preserve"> approaches have these characteristics, including:</w:t>
      </w:r>
    </w:p>
    <w:p w:rsidR="00D637CA" w:rsidRPr="00FE5A19" w:rsidRDefault="00D637CA" w:rsidP="00436327">
      <w:pPr>
        <w:pStyle w:val="ListParagraph"/>
        <w:numPr>
          <w:ilvl w:val="0"/>
          <w:numId w:val="23"/>
        </w:numPr>
        <w:spacing w:after="0" w:line="240" w:lineRule="auto"/>
        <w:jc w:val="both"/>
        <w:rPr>
          <w:rFonts w:ascii="Arial" w:hAnsi="Arial" w:cs="Arial"/>
        </w:rPr>
      </w:pPr>
      <w:r w:rsidRPr="00FE5A19">
        <w:rPr>
          <w:rFonts w:ascii="Arial" w:hAnsi="Arial" w:cs="Arial"/>
        </w:rPr>
        <w:t>Consultation, to increase the dialogue with airlines and provide an input for stakeholders into decisions around pricing, investment and other aspects of airport development;</w:t>
      </w:r>
    </w:p>
    <w:p w:rsidR="00D637CA" w:rsidRPr="00FE5A19" w:rsidRDefault="00D637CA" w:rsidP="00AC6AC8">
      <w:pPr>
        <w:pStyle w:val="ListParagraph"/>
        <w:numPr>
          <w:ilvl w:val="0"/>
          <w:numId w:val="23"/>
        </w:numPr>
        <w:autoSpaceDE w:val="0"/>
        <w:autoSpaceDN w:val="0"/>
        <w:adjustRightInd w:val="0"/>
        <w:spacing w:after="0" w:line="240" w:lineRule="auto"/>
        <w:rPr>
          <w:rFonts w:ascii="HelveticaNeue-Roman" w:hAnsi="HelveticaNeue-Roman" w:cs="HelveticaNeue-Roman"/>
        </w:rPr>
      </w:pPr>
      <w:r w:rsidRPr="00FE5A19">
        <w:rPr>
          <w:rFonts w:ascii="HelveticaNeue-Roman" w:hAnsi="HelveticaNeue-Roman" w:cs="HelveticaNeue-Roman"/>
        </w:rPr>
        <w:t>Trigger regulation or price monitoring, where the regulator only intervenes where market power is abused, but the threat of such intervention moderates any attempted market power abuses; or</w:t>
      </w:r>
    </w:p>
    <w:p w:rsidR="004848F8" w:rsidRPr="004848F8" w:rsidRDefault="00D637CA" w:rsidP="004848F8">
      <w:pPr>
        <w:pStyle w:val="ListParagraph"/>
        <w:numPr>
          <w:ilvl w:val="0"/>
          <w:numId w:val="23"/>
        </w:numPr>
        <w:spacing w:after="0" w:line="240" w:lineRule="auto"/>
        <w:jc w:val="both"/>
        <w:rPr>
          <w:rFonts w:ascii="Arial" w:hAnsi="Arial" w:cs="Arial"/>
        </w:rPr>
      </w:pPr>
      <w:r w:rsidRPr="00FE5A19">
        <w:rPr>
          <w:rFonts w:ascii="Arial" w:hAnsi="Arial" w:cs="Arial"/>
        </w:rPr>
        <w:t>Long</w:t>
      </w:r>
      <w:r w:rsidR="00FE5A19">
        <w:rPr>
          <w:rFonts w:ascii="Arial" w:hAnsi="Arial" w:cs="Arial"/>
        </w:rPr>
        <w:t>-</w:t>
      </w:r>
      <w:r w:rsidRPr="00FE5A19">
        <w:rPr>
          <w:rFonts w:ascii="Arial" w:hAnsi="Arial" w:cs="Arial"/>
        </w:rPr>
        <w:t>term contracts with the provision of adjustment tools, to reflect a bilateral agreement between an airport and its customers for establishing the level of airport charges and how they may change over time, eliminating the need for regulation.</w:t>
      </w:r>
    </w:p>
    <w:p w:rsidR="00E91D46" w:rsidRPr="00E300AE" w:rsidRDefault="00E91D46" w:rsidP="004848F8">
      <w:pPr>
        <w:pStyle w:val="ListParagraph"/>
        <w:spacing w:after="0" w:line="240" w:lineRule="auto"/>
        <w:jc w:val="both"/>
        <w:rPr>
          <w:rFonts w:ascii="Arial" w:hAnsi="Arial" w:cs="Arial"/>
        </w:rPr>
      </w:pPr>
    </w:p>
    <w:sectPr w:rsidR="00E91D46" w:rsidRPr="00E300AE">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F48" w:rsidRDefault="000A2F48" w:rsidP="008F459D">
      <w:pPr>
        <w:spacing w:after="0" w:line="240" w:lineRule="auto"/>
      </w:pPr>
      <w:r>
        <w:separator/>
      </w:r>
    </w:p>
  </w:endnote>
  <w:endnote w:type="continuationSeparator" w:id="0">
    <w:p w:rsidR="000A2F48" w:rsidRDefault="000A2F48" w:rsidP="008F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1317261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1A3595" w:rsidRPr="000A4A36" w:rsidRDefault="001A3595">
            <w:pPr>
              <w:pStyle w:val="Footer"/>
              <w:jc w:val="right"/>
              <w:rPr>
                <w:rFonts w:ascii="Arial" w:hAnsi="Arial" w:cs="Arial"/>
              </w:rPr>
            </w:pPr>
            <w:r w:rsidRPr="000A4A36">
              <w:rPr>
                <w:rFonts w:ascii="Arial" w:hAnsi="Arial" w:cs="Arial"/>
              </w:rPr>
              <w:t xml:space="preserve">Page </w:t>
            </w:r>
            <w:r w:rsidRPr="000A4A36">
              <w:rPr>
                <w:rFonts w:ascii="Arial" w:hAnsi="Arial" w:cs="Arial"/>
                <w:b/>
                <w:bCs/>
              </w:rPr>
              <w:fldChar w:fldCharType="begin"/>
            </w:r>
            <w:r w:rsidRPr="000A4A36">
              <w:rPr>
                <w:rFonts w:ascii="Arial" w:hAnsi="Arial" w:cs="Arial"/>
                <w:b/>
                <w:bCs/>
              </w:rPr>
              <w:instrText xml:space="preserve"> PAGE </w:instrText>
            </w:r>
            <w:r w:rsidRPr="000A4A36">
              <w:rPr>
                <w:rFonts w:ascii="Arial" w:hAnsi="Arial" w:cs="Arial"/>
                <w:b/>
                <w:bCs/>
              </w:rPr>
              <w:fldChar w:fldCharType="separate"/>
            </w:r>
            <w:r w:rsidR="005A6BF3">
              <w:rPr>
                <w:rFonts w:ascii="Arial" w:hAnsi="Arial" w:cs="Arial"/>
                <w:b/>
                <w:bCs/>
                <w:noProof/>
              </w:rPr>
              <w:t>1</w:t>
            </w:r>
            <w:r w:rsidRPr="000A4A36">
              <w:rPr>
                <w:rFonts w:ascii="Arial" w:hAnsi="Arial" w:cs="Arial"/>
                <w:b/>
                <w:bCs/>
              </w:rPr>
              <w:fldChar w:fldCharType="end"/>
            </w:r>
            <w:r w:rsidRPr="000A4A36">
              <w:rPr>
                <w:rFonts w:ascii="Arial" w:hAnsi="Arial" w:cs="Arial"/>
              </w:rPr>
              <w:t xml:space="preserve"> of </w:t>
            </w:r>
            <w:r w:rsidRPr="000A4A36">
              <w:rPr>
                <w:rFonts w:ascii="Arial" w:hAnsi="Arial" w:cs="Arial"/>
                <w:b/>
                <w:bCs/>
              </w:rPr>
              <w:fldChar w:fldCharType="begin"/>
            </w:r>
            <w:r w:rsidRPr="000A4A36">
              <w:rPr>
                <w:rFonts w:ascii="Arial" w:hAnsi="Arial" w:cs="Arial"/>
                <w:b/>
                <w:bCs/>
              </w:rPr>
              <w:instrText xml:space="preserve"> NUMPAGES  </w:instrText>
            </w:r>
            <w:r w:rsidRPr="000A4A36">
              <w:rPr>
                <w:rFonts w:ascii="Arial" w:hAnsi="Arial" w:cs="Arial"/>
                <w:b/>
                <w:bCs/>
              </w:rPr>
              <w:fldChar w:fldCharType="separate"/>
            </w:r>
            <w:r w:rsidR="005A6BF3">
              <w:rPr>
                <w:rFonts w:ascii="Arial" w:hAnsi="Arial" w:cs="Arial"/>
                <w:b/>
                <w:bCs/>
                <w:noProof/>
              </w:rPr>
              <w:t>8</w:t>
            </w:r>
            <w:r w:rsidRPr="000A4A36">
              <w:rPr>
                <w:rFonts w:ascii="Arial" w:hAnsi="Arial" w:cs="Arial"/>
                <w:b/>
                <w:bCs/>
              </w:rPr>
              <w:fldChar w:fldCharType="end"/>
            </w:r>
          </w:p>
        </w:sdtContent>
      </w:sdt>
    </w:sdtContent>
  </w:sdt>
  <w:p w:rsidR="001A3595" w:rsidRPr="000A4A36" w:rsidRDefault="001A3595">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F48" w:rsidRDefault="000A2F48" w:rsidP="008F459D">
      <w:pPr>
        <w:spacing w:after="0" w:line="240" w:lineRule="auto"/>
      </w:pPr>
      <w:r>
        <w:separator/>
      </w:r>
    </w:p>
  </w:footnote>
  <w:footnote w:type="continuationSeparator" w:id="0">
    <w:p w:rsidR="000A2F48" w:rsidRDefault="000A2F48" w:rsidP="008F459D">
      <w:pPr>
        <w:spacing w:after="0" w:line="240" w:lineRule="auto"/>
      </w:pPr>
      <w:r>
        <w:continuationSeparator/>
      </w:r>
    </w:p>
  </w:footnote>
  <w:footnote w:id="1">
    <w:p w:rsidR="002818A7" w:rsidRPr="00BE7FEB" w:rsidRDefault="002818A7" w:rsidP="002818A7">
      <w:pPr>
        <w:pStyle w:val="FootnoteText"/>
        <w:jc w:val="both"/>
        <w:rPr>
          <w:rFonts w:ascii="Arial" w:hAnsi="Arial" w:cs="Arial"/>
        </w:rPr>
      </w:pPr>
      <w:r w:rsidRPr="00BE7FEB">
        <w:rPr>
          <w:rStyle w:val="FootnoteReference"/>
          <w:rFonts w:ascii="Arial" w:hAnsi="Arial" w:cs="Arial"/>
        </w:rPr>
        <w:footnoteRef/>
      </w:r>
      <w:r w:rsidRPr="00BE7FEB">
        <w:rPr>
          <w:rFonts w:ascii="Arial" w:hAnsi="Arial" w:cs="Arial"/>
        </w:rPr>
        <w:t xml:space="preserve"> Organisation for Economic Co-operation and Development is an intergovernmental economic organisation with 36-member countries, found in 1961 to stimulate economic progress and world trade. It is a forum of countries committed to the market economy Most OECD members are high-income economies. </w:t>
      </w:r>
    </w:p>
  </w:footnote>
  <w:footnote w:id="2">
    <w:p w:rsidR="00C20044" w:rsidRPr="00BE7FEB" w:rsidRDefault="00C20044" w:rsidP="00D5219F">
      <w:pPr>
        <w:pStyle w:val="FootnoteText"/>
        <w:jc w:val="both"/>
        <w:rPr>
          <w:rFonts w:ascii="Arial" w:hAnsi="Arial" w:cs="Arial"/>
        </w:rPr>
      </w:pPr>
      <w:r w:rsidRPr="00BE7FEB">
        <w:rPr>
          <w:rStyle w:val="FootnoteReference"/>
          <w:rFonts w:ascii="Arial" w:hAnsi="Arial" w:cs="Arial"/>
        </w:rPr>
        <w:footnoteRef/>
      </w:r>
      <w:r w:rsidRPr="00BE7FEB">
        <w:rPr>
          <w:rFonts w:ascii="Arial" w:hAnsi="Arial" w:cs="Arial"/>
        </w:rPr>
        <w:t xml:space="preserve"> The Recommended Practices can be found on the following webpage: </w:t>
      </w:r>
      <w:hyperlink r:id="rId1" w:history="1">
        <w:r w:rsidRPr="00BE7FEB">
          <w:rPr>
            <w:rStyle w:val="Hyperlink"/>
            <w:rFonts w:ascii="Arial" w:hAnsi="Arial" w:cs="Arial"/>
          </w:rPr>
          <w:t>http://www.aci.aero/About-ACI/Priorities/Economics/Documentation</w:t>
        </w:r>
      </w:hyperlink>
      <w:r w:rsidRPr="00BE7FEB">
        <w:rPr>
          <w:rFonts w:ascii="Arial" w:hAnsi="Arial" w:cs="Arial"/>
        </w:rPr>
        <w:t xml:space="preserve">. </w:t>
      </w:r>
    </w:p>
  </w:footnote>
  <w:footnote w:id="3">
    <w:p w:rsidR="00BE7FEB" w:rsidRDefault="00BE7FEB">
      <w:pPr>
        <w:pStyle w:val="FootnoteText"/>
        <w:rPr>
          <w:rFonts w:ascii="Arial" w:hAnsi="Arial" w:cs="Arial"/>
        </w:rPr>
      </w:pPr>
      <w:r w:rsidRPr="00BE7FEB">
        <w:rPr>
          <w:rStyle w:val="FootnoteReference"/>
          <w:rFonts w:ascii="Arial" w:hAnsi="Arial" w:cs="Arial"/>
        </w:rPr>
        <w:footnoteRef/>
      </w:r>
      <w:r w:rsidRPr="00BE7FEB">
        <w:rPr>
          <w:rFonts w:ascii="Arial" w:hAnsi="Arial" w:cs="Arial"/>
        </w:rPr>
        <w:t xml:space="preserve"> </w:t>
      </w:r>
      <w:hyperlink r:id="rId2" w:history="1">
        <w:r w:rsidR="00DB6248" w:rsidRPr="009B16EC">
          <w:rPr>
            <w:rStyle w:val="Hyperlink"/>
            <w:rFonts w:ascii="Arial" w:hAnsi="Arial" w:cs="Arial"/>
          </w:rPr>
          <w:t>https://www.icf.com/resources/reports-and-research/2018/identifying-the-drivers-of-air-fares</w:t>
        </w:r>
      </w:hyperlink>
    </w:p>
    <w:p w:rsidR="00DB6248" w:rsidRPr="00BE7FEB" w:rsidRDefault="00DB6248">
      <w:pPr>
        <w:pStyle w:val="FootnoteText"/>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3C2"/>
    <w:multiLevelType w:val="hybridMultilevel"/>
    <w:tmpl w:val="F57E9844"/>
    <w:lvl w:ilvl="0" w:tplc="C6C2AF9E">
      <w:start w:val="1"/>
      <w:numFmt w:val="decimal"/>
      <w:lvlText w:val="%1."/>
      <w:lvlJc w:val="left"/>
      <w:pPr>
        <w:ind w:left="1155" w:hanging="360"/>
      </w:pPr>
      <w:rPr>
        <w:rFonts w:hint="default"/>
      </w:rPr>
    </w:lvl>
    <w:lvl w:ilvl="1" w:tplc="10090019" w:tentative="1">
      <w:start w:val="1"/>
      <w:numFmt w:val="lowerLetter"/>
      <w:lvlText w:val="%2."/>
      <w:lvlJc w:val="left"/>
      <w:pPr>
        <w:ind w:left="1875" w:hanging="360"/>
      </w:pPr>
    </w:lvl>
    <w:lvl w:ilvl="2" w:tplc="1009001B" w:tentative="1">
      <w:start w:val="1"/>
      <w:numFmt w:val="lowerRoman"/>
      <w:lvlText w:val="%3."/>
      <w:lvlJc w:val="right"/>
      <w:pPr>
        <w:ind w:left="2595" w:hanging="180"/>
      </w:pPr>
    </w:lvl>
    <w:lvl w:ilvl="3" w:tplc="1009000F" w:tentative="1">
      <w:start w:val="1"/>
      <w:numFmt w:val="decimal"/>
      <w:lvlText w:val="%4."/>
      <w:lvlJc w:val="left"/>
      <w:pPr>
        <w:ind w:left="3315" w:hanging="360"/>
      </w:pPr>
    </w:lvl>
    <w:lvl w:ilvl="4" w:tplc="10090019" w:tentative="1">
      <w:start w:val="1"/>
      <w:numFmt w:val="lowerLetter"/>
      <w:lvlText w:val="%5."/>
      <w:lvlJc w:val="left"/>
      <w:pPr>
        <w:ind w:left="4035" w:hanging="360"/>
      </w:pPr>
    </w:lvl>
    <w:lvl w:ilvl="5" w:tplc="1009001B" w:tentative="1">
      <w:start w:val="1"/>
      <w:numFmt w:val="lowerRoman"/>
      <w:lvlText w:val="%6."/>
      <w:lvlJc w:val="right"/>
      <w:pPr>
        <w:ind w:left="4755" w:hanging="180"/>
      </w:pPr>
    </w:lvl>
    <w:lvl w:ilvl="6" w:tplc="1009000F" w:tentative="1">
      <w:start w:val="1"/>
      <w:numFmt w:val="decimal"/>
      <w:lvlText w:val="%7."/>
      <w:lvlJc w:val="left"/>
      <w:pPr>
        <w:ind w:left="5475" w:hanging="360"/>
      </w:pPr>
    </w:lvl>
    <w:lvl w:ilvl="7" w:tplc="10090019" w:tentative="1">
      <w:start w:val="1"/>
      <w:numFmt w:val="lowerLetter"/>
      <w:lvlText w:val="%8."/>
      <w:lvlJc w:val="left"/>
      <w:pPr>
        <w:ind w:left="6195" w:hanging="360"/>
      </w:pPr>
    </w:lvl>
    <w:lvl w:ilvl="8" w:tplc="1009001B" w:tentative="1">
      <w:start w:val="1"/>
      <w:numFmt w:val="lowerRoman"/>
      <w:lvlText w:val="%9."/>
      <w:lvlJc w:val="right"/>
      <w:pPr>
        <w:ind w:left="6915" w:hanging="180"/>
      </w:pPr>
    </w:lvl>
  </w:abstractNum>
  <w:abstractNum w:abstractNumId="1" w15:restartNumberingAfterBreak="0">
    <w:nsid w:val="102C0BFE"/>
    <w:multiLevelType w:val="multilevel"/>
    <w:tmpl w:val="281882E4"/>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3F1EFF"/>
    <w:multiLevelType w:val="hybridMultilevel"/>
    <w:tmpl w:val="C24A0D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D22870"/>
    <w:multiLevelType w:val="hybridMultilevel"/>
    <w:tmpl w:val="1010B1E4"/>
    <w:lvl w:ilvl="0" w:tplc="3D58B788">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D30C0A14">
      <w:start w:val="1"/>
      <w:numFmt w:val="bullet"/>
      <w:lvlText w:val="•"/>
      <w:lvlJc w:val="left"/>
      <w:pPr>
        <w:tabs>
          <w:tab w:val="num" w:pos="2160"/>
        </w:tabs>
        <w:ind w:left="2160" w:hanging="360"/>
      </w:pPr>
      <w:rPr>
        <w:rFonts w:ascii="Arial" w:hAnsi="Arial" w:hint="default"/>
      </w:rPr>
    </w:lvl>
    <w:lvl w:ilvl="3" w:tplc="03508C88">
      <w:start w:val="1"/>
      <w:numFmt w:val="bullet"/>
      <w:lvlText w:val="•"/>
      <w:lvlJc w:val="left"/>
      <w:pPr>
        <w:tabs>
          <w:tab w:val="num" w:pos="2880"/>
        </w:tabs>
        <w:ind w:left="2880" w:hanging="360"/>
      </w:pPr>
      <w:rPr>
        <w:rFonts w:ascii="Arial" w:hAnsi="Arial" w:hint="default"/>
      </w:rPr>
    </w:lvl>
    <w:lvl w:ilvl="4" w:tplc="1009000D">
      <w:start w:val="1"/>
      <w:numFmt w:val="bullet"/>
      <w:lvlText w:val=""/>
      <w:lvlJc w:val="left"/>
      <w:pPr>
        <w:tabs>
          <w:tab w:val="num" w:pos="3600"/>
        </w:tabs>
        <w:ind w:left="3600" w:hanging="360"/>
      </w:pPr>
      <w:rPr>
        <w:rFonts w:ascii="Wingdings" w:hAnsi="Wingdings" w:hint="default"/>
      </w:rPr>
    </w:lvl>
    <w:lvl w:ilvl="5" w:tplc="667617C8" w:tentative="1">
      <w:start w:val="1"/>
      <w:numFmt w:val="bullet"/>
      <w:lvlText w:val="•"/>
      <w:lvlJc w:val="left"/>
      <w:pPr>
        <w:tabs>
          <w:tab w:val="num" w:pos="4320"/>
        </w:tabs>
        <w:ind w:left="4320" w:hanging="360"/>
      </w:pPr>
      <w:rPr>
        <w:rFonts w:ascii="Arial" w:hAnsi="Arial" w:hint="default"/>
      </w:rPr>
    </w:lvl>
    <w:lvl w:ilvl="6" w:tplc="A3D6FC5C" w:tentative="1">
      <w:start w:val="1"/>
      <w:numFmt w:val="bullet"/>
      <w:lvlText w:val="•"/>
      <w:lvlJc w:val="left"/>
      <w:pPr>
        <w:tabs>
          <w:tab w:val="num" w:pos="5040"/>
        </w:tabs>
        <w:ind w:left="5040" w:hanging="360"/>
      </w:pPr>
      <w:rPr>
        <w:rFonts w:ascii="Arial" w:hAnsi="Arial" w:hint="default"/>
      </w:rPr>
    </w:lvl>
    <w:lvl w:ilvl="7" w:tplc="01D0DA5C" w:tentative="1">
      <w:start w:val="1"/>
      <w:numFmt w:val="bullet"/>
      <w:lvlText w:val="•"/>
      <w:lvlJc w:val="left"/>
      <w:pPr>
        <w:tabs>
          <w:tab w:val="num" w:pos="5760"/>
        </w:tabs>
        <w:ind w:left="5760" w:hanging="360"/>
      </w:pPr>
      <w:rPr>
        <w:rFonts w:ascii="Arial" w:hAnsi="Arial" w:hint="default"/>
      </w:rPr>
    </w:lvl>
    <w:lvl w:ilvl="8" w:tplc="A9F0F2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B32AD3"/>
    <w:multiLevelType w:val="multilevel"/>
    <w:tmpl w:val="845E7B6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400D08"/>
    <w:multiLevelType w:val="multilevel"/>
    <w:tmpl w:val="281882E4"/>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39114D"/>
    <w:multiLevelType w:val="multilevel"/>
    <w:tmpl w:val="86C6C800"/>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F649D6"/>
    <w:multiLevelType w:val="hybridMultilevel"/>
    <w:tmpl w:val="9C10B7E6"/>
    <w:lvl w:ilvl="0" w:tplc="3D58B788">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D30C0A14">
      <w:start w:val="1"/>
      <w:numFmt w:val="bullet"/>
      <w:lvlText w:val="•"/>
      <w:lvlJc w:val="left"/>
      <w:pPr>
        <w:tabs>
          <w:tab w:val="num" w:pos="2160"/>
        </w:tabs>
        <w:ind w:left="2160" w:hanging="360"/>
      </w:pPr>
      <w:rPr>
        <w:rFonts w:ascii="Arial" w:hAnsi="Arial" w:hint="default"/>
      </w:rPr>
    </w:lvl>
    <w:lvl w:ilvl="3" w:tplc="03508C88">
      <w:start w:val="1"/>
      <w:numFmt w:val="bullet"/>
      <w:lvlText w:val="•"/>
      <w:lvlJc w:val="left"/>
      <w:pPr>
        <w:tabs>
          <w:tab w:val="num" w:pos="2880"/>
        </w:tabs>
        <w:ind w:left="2880" w:hanging="360"/>
      </w:pPr>
      <w:rPr>
        <w:rFonts w:ascii="Arial" w:hAnsi="Arial" w:hint="default"/>
      </w:rPr>
    </w:lvl>
    <w:lvl w:ilvl="4" w:tplc="1009000D">
      <w:start w:val="1"/>
      <w:numFmt w:val="bullet"/>
      <w:lvlText w:val=""/>
      <w:lvlJc w:val="left"/>
      <w:pPr>
        <w:tabs>
          <w:tab w:val="num" w:pos="3600"/>
        </w:tabs>
        <w:ind w:left="3600" w:hanging="360"/>
      </w:pPr>
      <w:rPr>
        <w:rFonts w:ascii="Wingdings" w:hAnsi="Wingdings" w:hint="default"/>
      </w:rPr>
    </w:lvl>
    <w:lvl w:ilvl="5" w:tplc="667617C8" w:tentative="1">
      <w:start w:val="1"/>
      <w:numFmt w:val="bullet"/>
      <w:lvlText w:val="•"/>
      <w:lvlJc w:val="left"/>
      <w:pPr>
        <w:tabs>
          <w:tab w:val="num" w:pos="4320"/>
        </w:tabs>
        <w:ind w:left="4320" w:hanging="360"/>
      </w:pPr>
      <w:rPr>
        <w:rFonts w:ascii="Arial" w:hAnsi="Arial" w:hint="default"/>
      </w:rPr>
    </w:lvl>
    <w:lvl w:ilvl="6" w:tplc="A3D6FC5C" w:tentative="1">
      <w:start w:val="1"/>
      <w:numFmt w:val="bullet"/>
      <w:lvlText w:val="•"/>
      <w:lvlJc w:val="left"/>
      <w:pPr>
        <w:tabs>
          <w:tab w:val="num" w:pos="5040"/>
        </w:tabs>
        <w:ind w:left="5040" w:hanging="360"/>
      </w:pPr>
      <w:rPr>
        <w:rFonts w:ascii="Arial" w:hAnsi="Arial" w:hint="default"/>
      </w:rPr>
    </w:lvl>
    <w:lvl w:ilvl="7" w:tplc="01D0DA5C" w:tentative="1">
      <w:start w:val="1"/>
      <w:numFmt w:val="bullet"/>
      <w:lvlText w:val="•"/>
      <w:lvlJc w:val="left"/>
      <w:pPr>
        <w:tabs>
          <w:tab w:val="num" w:pos="5760"/>
        </w:tabs>
        <w:ind w:left="5760" w:hanging="360"/>
      </w:pPr>
      <w:rPr>
        <w:rFonts w:ascii="Arial" w:hAnsi="Arial" w:hint="default"/>
      </w:rPr>
    </w:lvl>
    <w:lvl w:ilvl="8" w:tplc="A9F0F2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581AFC"/>
    <w:multiLevelType w:val="hybridMultilevel"/>
    <w:tmpl w:val="3434FA58"/>
    <w:lvl w:ilvl="0" w:tplc="B4C81246">
      <w:start w:val="1"/>
      <w:numFmt w:val="bullet"/>
      <w:lvlText w:val="o"/>
      <w:lvlJc w:val="left"/>
      <w:pPr>
        <w:ind w:left="720" w:hanging="360"/>
      </w:pPr>
      <w:rPr>
        <w:rFonts w:ascii="Courier New" w:hAnsi="Courier New" w:cs="Courier New"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0B486F"/>
    <w:multiLevelType w:val="hybridMultilevel"/>
    <w:tmpl w:val="FE500E58"/>
    <w:lvl w:ilvl="0" w:tplc="3AD45D04">
      <w:start w:val="1"/>
      <w:numFmt w:val="decimal"/>
      <w:lvlText w:val="%1."/>
      <w:lvlJc w:val="left"/>
      <w:pPr>
        <w:ind w:left="1515" w:hanging="360"/>
      </w:pPr>
      <w:rPr>
        <w:rFonts w:hint="default"/>
      </w:rPr>
    </w:lvl>
    <w:lvl w:ilvl="1" w:tplc="10090019" w:tentative="1">
      <w:start w:val="1"/>
      <w:numFmt w:val="lowerLetter"/>
      <w:lvlText w:val="%2."/>
      <w:lvlJc w:val="left"/>
      <w:pPr>
        <w:ind w:left="2235" w:hanging="360"/>
      </w:pPr>
    </w:lvl>
    <w:lvl w:ilvl="2" w:tplc="1009001B" w:tentative="1">
      <w:start w:val="1"/>
      <w:numFmt w:val="lowerRoman"/>
      <w:lvlText w:val="%3."/>
      <w:lvlJc w:val="right"/>
      <w:pPr>
        <w:ind w:left="2955" w:hanging="180"/>
      </w:pPr>
    </w:lvl>
    <w:lvl w:ilvl="3" w:tplc="1009000F" w:tentative="1">
      <w:start w:val="1"/>
      <w:numFmt w:val="decimal"/>
      <w:lvlText w:val="%4."/>
      <w:lvlJc w:val="left"/>
      <w:pPr>
        <w:ind w:left="3675" w:hanging="360"/>
      </w:pPr>
    </w:lvl>
    <w:lvl w:ilvl="4" w:tplc="10090019" w:tentative="1">
      <w:start w:val="1"/>
      <w:numFmt w:val="lowerLetter"/>
      <w:lvlText w:val="%5."/>
      <w:lvlJc w:val="left"/>
      <w:pPr>
        <w:ind w:left="4395" w:hanging="360"/>
      </w:pPr>
    </w:lvl>
    <w:lvl w:ilvl="5" w:tplc="1009001B" w:tentative="1">
      <w:start w:val="1"/>
      <w:numFmt w:val="lowerRoman"/>
      <w:lvlText w:val="%6."/>
      <w:lvlJc w:val="right"/>
      <w:pPr>
        <w:ind w:left="5115" w:hanging="180"/>
      </w:pPr>
    </w:lvl>
    <w:lvl w:ilvl="6" w:tplc="1009000F" w:tentative="1">
      <w:start w:val="1"/>
      <w:numFmt w:val="decimal"/>
      <w:lvlText w:val="%7."/>
      <w:lvlJc w:val="left"/>
      <w:pPr>
        <w:ind w:left="5835" w:hanging="360"/>
      </w:pPr>
    </w:lvl>
    <w:lvl w:ilvl="7" w:tplc="10090019" w:tentative="1">
      <w:start w:val="1"/>
      <w:numFmt w:val="lowerLetter"/>
      <w:lvlText w:val="%8."/>
      <w:lvlJc w:val="left"/>
      <w:pPr>
        <w:ind w:left="6555" w:hanging="360"/>
      </w:pPr>
    </w:lvl>
    <w:lvl w:ilvl="8" w:tplc="1009001B" w:tentative="1">
      <w:start w:val="1"/>
      <w:numFmt w:val="lowerRoman"/>
      <w:lvlText w:val="%9."/>
      <w:lvlJc w:val="right"/>
      <w:pPr>
        <w:ind w:left="7275" w:hanging="180"/>
      </w:pPr>
    </w:lvl>
  </w:abstractNum>
  <w:abstractNum w:abstractNumId="10" w15:restartNumberingAfterBreak="0">
    <w:nsid w:val="22875327"/>
    <w:multiLevelType w:val="hybridMultilevel"/>
    <w:tmpl w:val="69BCBF78"/>
    <w:lvl w:ilvl="0" w:tplc="10090001">
      <w:start w:val="1"/>
      <w:numFmt w:val="bullet"/>
      <w:lvlText w:val=""/>
      <w:lvlJc w:val="left"/>
      <w:pPr>
        <w:ind w:left="1515" w:hanging="360"/>
      </w:pPr>
      <w:rPr>
        <w:rFonts w:ascii="Symbol" w:hAnsi="Symbol" w:hint="default"/>
      </w:rPr>
    </w:lvl>
    <w:lvl w:ilvl="1" w:tplc="10090003" w:tentative="1">
      <w:start w:val="1"/>
      <w:numFmt w:val="bullet"/>
      <w:lvlText w:val="o"/>
      <w:lvlJc w:val="left"/>
      <w:pPr>
        <w:ind w:left="2235" w:hanging="360"/>
      </w:pPr>
      <w:rPr>
        <w:rFonts w:ascii="Courier New" w:hAnsi="Courier New" w:cs="Courier New" w:hint="default"/>
      </w:rPr>
    </w:lvl>
    <w:lvl w:ilvl="2" w:tplc="10090005" w:tentative="1">
      <w:start w:val="1"/>
      <w:numFmt w:val="bullet"/>
      <w:lvlText w:val=""/>
      <w:lvlJc w:val="left"/>
      <w:pPr>
        <w:ind w:left="2955" w:hanging="360"/>
      </w:pPr>
      <w:rPr>
        <w:rFonts w:ascii="Wingdings" w:hAnsi="Wingdings" w:hint="default"/>
      </w:rPr>
    </w:lvl>
    <w:lvl w:ilvl="3" w:tplc="10090001" w:tentative="1">
      <w:start w:val="1"/>
      <w:numFmt w:val="bullet"/>
      <w:lvlText w:val=""/>
      <w:lvlJc w:val="left"/>
      <w:pPr>
        <w:ind w:left="3675" w:hanging="360"/>
      </w:pPr>
      <w:rPr>
        <w:rFonts w:ascii="Symbol" w:hAnsi="Symbol" w:hint="default"/>
      </w:rPr>
    </w:lvl>
    <w:lvl w:ilvl="4" w:tplc="10090003" w:tentative="1">
      <w:start w:val="1"/>
      <w:numFmt w:val="bullet"/>
      <w:lvlText w:val="o"/>
      <w:lvlJc w:val="left"/>
      <w:pPr>
        <w:ind w:left="4395" w:hanging="360"/>
      </w:pPr>
      <w:rPr>
        <w:rFonts w:ascii="Courier New" w:hAnsi="Courier New" w:cs="Courier New" w:hint="default"/>
      </w:rPr>
    </w:lvl>
    <w:lvl w:ilvl="5" w:tplc="10090005" w:tentative="1">
      <w:start w:val="1"/>
      <w:numFmt w:val="bullet"/>
      <w:lvlText w:val=""/>
      <w:lvlJc w:val="left"/>
      <w:pPr>
        <w:ind w:left="5115" w:hanging="360"/>
      </w:pPr>
      <w:rPr>
        <w:rFonts w:ascii="Wingdings" w:hAnsi="Wingdings" w:hint="default"/>
      </w:rPr>
    </w:lvl>
    <w:lvl w:ilvl="6" w:tplc="10090001" w:tentative="1">
      <w:start w:val="1"/>
      <w:numFmt w:val="bullet"/>
      <w:lvlText w:val=""/>
      <w:lvlJc w:val="left"/>
      <w:pPr>
        <w:ind w:left="5835" w:hanging="360"/>
      </w:pPr>
      <w:rPr>
        <w:rFonts w:ascii="Symbol" w:hAnsi="Symbol" w:hint="default"/>
      </w:rPr>
    </w:lvl>
    <w:lvl w:ilvl="7" w:tplc="10090003" w:tentative="1">
      <w:start w:val="1"/>
      <w:numFmt w:val="bullet"/>
      <w:lvlText w:val="o"/>
      <w:lvlJc w:val="left"/>
      <w:pPr>
        <w:ind w:left="6555" w:hanging="360"/>
      </w:pPr>
      <w:rPr>
        <w:rFonts w:ascii="Courier New" w:hAnsi="Courier New" w:cs="Courier New" w:hint="default"/>
      </w:rPr>
    </w:lvl>
    <w:lvl w:ilvl="8" w:tplc="10090005" w:tentative="1">
      <w:start w:val="1"/>
      <w:numFmt w:val="bullet"/>
      <w:lvlText w:val=""/>
      <w:lvlJc w:val="left"/>
      <w:pPr>
        <w:ind w:left="7275" w:hanging="360"/>
      </w:pPr>
      <w:rPr>
        <w:rFonts w:ascii="Wingdings" w:hAnsi="Wingdings" w:hint="default"/>
      </w:rPr>
    </w:lvl>
  </w:abstractNum>
  <w:abstractNum w:abstractNumId="11" w15:restartNumberingAfterBreak="0">
    <w:nsid w:val="24336027"/>
    <w:multiLevelType w:val="multilevel"/>
    <w:tmpl w:val="FF7A972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15529F"/>
    <w:multiLevelType w:val="multilevel"/>
    <w:tmpl w:val="B84A64A2"/>
    <w:lvl w:ilvl="0">
      <w:start w:val="1"/>
      <w:numFmt w:val="decimal"/>
      <w:lvlText w:val="%1."/>
      <w:lvlJc w:val="left"/>
      <w:pPr>
        <w:ind w:left="720" w:hanging="360"/>
      </w:pPr>
      <w:rPr>
        <w:rFonts w:hint="default"/>
        <w:b/>
      </w:rPr>
    </w:lvl>
    <w:lvl w:ilvl="1">
      <w:start w:val="1"/>
      <w:numFmt w:val="bullet"/>
      <w:lvlText w:val=""/>
      <w:lvlJc w:val="left"/>
      <w:pPr>
        <w:ind w:left="795" w:hanging="435"/>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070BA7"/>
    <w:multiLevelType w:val="hybridMultilevel"/>
    <w:tmpl w:val="63DC85B4"/>
    <w:lvl w:ilvl="0" w:tplc="10090001">
      <w:start w:val="1"/>
      <w:numFmt w:val="bullet"/>
      <w:lvlText w:val=""/>
      <w:lvlJc w:val="left"/>
      <w:pPr>
        <w:ind w:left="1515" w:hanging="360"/>
      </w:pPr>
      <w:rPr>
        <w:rFonts w:ascii="Symbol" w:hAnsi="Symbol" w:hint="default"/>
      </w:rPr>
    </w:lvl>
    <w:lvl w:ilvl="1" w:tplc="10090003">
      <w:start w:val="1"/>
      <w:numFmt w:val="bullet"/>
      <w:lvlText w:val="o"/>
      <w:lvlJc w:val="left"/>
      <w:pPr>
        <w:ind w:left="2235" w:hanging="360"/>
      </w:pPr>
      <w:rPr>
        <w:rFonts w:ascii="Courier New" w:hAnsi="Courier New" w:cs="Courier New" w:hint="default"/>
      </w:rPr>
    </w:lvl>
    <w:lvl w:ilvl="2" w:tplc="10090005">
      <w:start w:val="1"/>
      <w:numFmt w:val="bullet"/>
      <w:lvlText w:val=""/>
      <w:lvlJc w:val="left"/>
      <w:pPr>
        <w:ind w:left="2955" w:hanging="360"/>
      </w:pPr>
      <w:rPr>
        <w:rFonts w:ascii="Wingdings" w:hAnsi="Wingdings" w:hint="default"/>
      </w:rPr>
    </w:lvl>
    <w:lvl w:ilvl="3" w:tplc="10090001" w:tentative="1">
      <w:start w:val="1"/>
      <w:numFmt w:val="bullet"/>
      <w:lvlText w:val=""/>
      <w:lvlJc w:val="left"/>
      <w:pPr>
        <w:ind w:left="3675" w:hanging="360"/>
      </w:pPr>
      <w:rPr>
        <w:rFonts w:ascii="Symbol" w:hAnsi="Symbol" w:hint="default"/>
      </w:rPr>
    </w:lvl>
    <w:lvl w:ilvl="4" w:tplc="10090003" w:tentative="1">
      <w:start w:val="1"/>
      <w:numFmt w:val="bullet"/>
      <w:lvlText w:val="o"/>
      <w:lvlJc w:val="left"/>
      <w:pPr>
        <w:ind w:left="4395" w:hanging="360"/>
      </w:pPr>
      <w:rPr>
        <w:rFonts w:ascii="Courier New" w:hAnsi="Courier New" w:cs="Courier New" w:hint="default"/>
      </w:rPr>
    </w:lvl>
    <w:lvl w:ilvl="5" w:tplc="10090005" w:tentative="1">
      <w:start w:val="1"/>
      <w:numFmt w:val="bullet"/>
      <w:lvlText w:val=""/>
      <w:lvlJc w:val="left"/>
      <w:pPr>
        <w:ind w:left="5115" w:hanging="360"/>
      </w:pPr>
      <w:rPr>
        <w:rFonts w:ascii="Wingdings" w:hAnsi="Wingdings" w:hint="default"/>
      </w:rPr>
    </w:lvl>
    <w:lvl w:ilvl="6" w:tplc="10090001" w:tentative="1">
      <w:start w:val="1"/>
      <w:numFmt w:val="bullet"/>
      <w:lvlText w:val=""/>
      <w:lvlJc w:val="left"/>
      <w:pPr>
        <w:ind w:left="5835" w:hanging="360"/>
      </w:pPr>
      <w:rPr>
        <w:rFonts w:ascii="Symbol" w:hAnsi="Symbol" w:hint="default"/>
      </w:rPr>
    </w:lvl>
    <w:lvl w:ilvl="7" w:tplc="10090003" w:tentative="1">
      <w:start w:val="1"/>
      <w:numFmt w:val="bullet"/>
      <w:lvlText w:val="o"/>
      <w:lvlJc w:val="left"/>
      <w:pPr>
        <w:ind w:left="6555" w:hanging="360"/>
      </w:pPr>
      <w:rPr>
        <w:rFonts w:ascii="Courier New" w:hAnsi="Courier New" w:cs="Courier New" w:hint="default"/>
      </w:rPr>
    </w:lvl>
    <w:lvl w:ilvl="8" w:tplc="10090005" w:tentative="1">
      <w:start w:val="1"/>
      <w:numFmt w:val="bullet"/>
      <w:lvlText w:val=""/>
      <w:lvlJc w:val="left"/>
      <w:pPr>
        <w:ind w:left="7275" w:hanging="360"/>
      </w:pPr>
      <w:rPr>
        <w:rFonts w:ascii="Wingdings" w:hAnsi="Wingdings" w:hint="default"/>
      </w:rPr>
    </w:lvl>
  </w:abstractNum>
  <w:abstractNum w:abstractNumId="14" w15:restartNumberingAfterBreak="0">
    <w:nsid w:val="30F5760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840CA"/>
    <w:multiLevelType w:val="multilevel"/>
    <w:tmpl w:val="86C6C800"/>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7E51DB6"/>
    <w:multiLevelType w:val="multilevel"/>
    <w:tmpl w:val="281882E4"/>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7B5DAE"/>
    <w:multiLevelType w:val="hybridMultilevel"/>
    <w:tmpl w:val="4C9A0EA0"/>
    <w:lvl w:ilvl="0" w:tplc="3D58B788">
      <w:start w:val="1"/>
      <w:numFmt w:val="bullet"/>
      <w:lvlText w:val="•"/>
      <w:lvlJc w:val="left"/>
      <w:pPr>
        <w:tabs>
          <w:tab w:val="num" w:pos="720"/>
        </w:tabs>
        <w:ind w:left="720" w:hanging="360"/>
      </w:pPr>
      <w:rPr>
        <w:rFonts w:ascii="Arial" w:hAnsi="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D30C0A14">
      <w:start w:val="1"/>
      <w:numFmt w:val="bullet"/>
      <w:lvlText w:val="•"/>
      <w:lvlJc w:val="left"/>
      <w:pPr>
        <w:tabs>
          <w:tab w:val="num" w:pos="2160"/>
        </w:tabs>
        <w:ind w:left="2160" w:hanging="360"/>
      </w:pPr>
      <w:rPr>
        <w:rFonts w:ascii="Arial" w:hAnsi="Arial" w:hint="default"/>
      </w:rPr>
    </w:lvl>
    <w:lvl w:ilvl="3" w:tplc="03508C88">
      <w:start w:val="1"/>
      <w:numFmt w:val="bullet"/>
      <w:lvlText w:val="•"/>
      <w:lvlJc w:val="left"/>
      <w:pPr>
        <w:tabs>
          <w:tab w:val="num" w:pos="2880"/>
        </w:tabs>
        <w:ind w:left="2880" w:hanging="360"/>
      </w:pPr>
      <w:rPr>
        <w:rFonts w:ascii="Arial" w:hAnsi="Arial" w:hint="default"/>
      </w:rPr>
    </w:lvl>
    <w:lvl w:ilvl="4" w:tplc="1009000D">
      <w:start w:val="1"/>
      <w:numFmt w:val="bullet"/>
      <w:lvlText w:val=""/>
      <w:lvlJc w:val="left"/>
      <w:pPr>
        <w:tabs>
          <w:tab w:val="num" w:pos="3600"/>
        </w:tabs>
        <w:ind w:left="3600" w:hanging="360"/>
      </w:pPr>
      <w:rPr>
        <w:rFonts w:ascii="Wingdings" w:hAnsi="Wingdings" w:hint="default"/>
      </w:rPr>
    </w:lvl>
    <w:lvl w:ilvl="5" w:tplc="667617C8" w:tentative="1">
      <w:start w:val="1"/>
      <w:numFmt w:val="bullet"/>
      <w:lvlText w:val="•"/>
      <w:lvlJc w:val="left"/>
      <w:pPr>
        <w:tabs>
          <w:tab w:val="num" w:pos="4320"/>
        </w:tabs>
        <w:ind w:left="4320" w:hanging="360"/>
      </w:pPr>
      <w:rPr>
        <w:rFonts w:ascii="Arial" w:hAnsi="Arial" w:hint="default"/>
      </w:rPr>
    </w:lvl>
    <w:lvl w:ilvl="6" w:tplc="A3D6FC5C" w:tentative="1">
      <w:start w:val="1"/>
      <w:numFmt w:val="bullet"/>
      <w:lvlText w:val="•"/>
      <w:lvlJc w:val="left"/>
      <w:pPr>
        <w:tabs>
          <w:tab w:val="num" w:pos="5040"/>
        </w:tabs>
        <w:ind w:left="5040" w:hanging="360"/>
      </w:pPr>
      <w:rPr>
        <w:rFonts w:ascii="Arial" w:hAnsi="Arial" w:hint="default"/>
      </w:rPr>
    </w:lvl>
    <w:lvl w:ilvl="7" w:tplc="01D0DA5C" w:tentative="1">
      <w:start w:val="1"/>
      <w:numFmt w:val="bullet"/>
      <w:lvlText w:val="•"/>
      <w:lvlJc w:val="left"/>
      <w:pPr>
        <w:tabs>
          <w:tab w:val="num" w:pos="5760"/>
        </w:tabs>
        <w:ind w:left="5760" w:hanging="360"/>
      </w:pPr>
      <w:rPr>
        <w:rFonts w:ascii="Arial" w:hAnsi="Arial" w:hint="default"/>
      </w:rPr>
    </w:lvl>
    <w:lvl w:ilvl="8" w:tplc="A9F0F2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01043"/>
    <w:multiLevelType w:val="multilevel"/>
    <w:tmpl w:val="5F6C226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C20F98"/>
    <w:multiLevelType w:val="multilevel"/>
    <w:tmpl w:val="5F6C226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9D35D1"/>
    <w:multiLevelType w:val="hybridMultilevel"/>
    <w:tmpl w:val="1FC6491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62C0FC6"/>
    <w:multiLevelType w:val="hybridMultilevel"/>
    <w:tmpl w:val="98CC34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94B4DFB"/>
    <w:multiLevelType w:val="multilevel"/>
    <w:tmpl w:val="5F6C226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A54F5C"/>
    <w:multiLevelType w:val="hybridMultilevel"/>
    <w:tmpl w:val="970C40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FF96373"/>
    <w:multiLevelType w:val="hybridMultilevel"/>
    <w:tmpl w:val="52AE4C44"/>
    <w:lvl w:ilvl="0" w:tplc="1009000F">
      <w:start w:val="1"/>
      <w:numFmt w:val="decimal"/>
      <w:lvlText w:val="%1."/>
      <w:lvlJc w:val="left"/>
      <w:pPr>
        <w:tabs>
          <w:tab w:val="num" w:pos="720"/>
        </w:tabs>
        <w:ind w:left="720" w:hanging="360"/>
      </w:pPr>
      <w:rPr>
        <w:rFont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D30C0A14">
      <w:start w:val="1"/>
      <w:numFmt w:val="bullet"/>
      <w:lvlText w:val="•"/>
      <w:lvlJc w:val="left"/>
      <w:pPr>
        <w:tabs>
          <w:tab w:val="num" w:pos="2160"/>
        </w:tabs>
        <w:ind w:left="2160" w:hanging="360"/>
      </w:pPr>
      <w:rPr>
        <w:rFonts w:ascii="Arial" w:hAnsi="Arial" w:hint="default"/>
      </w:rPr>
    </w:lvl>
    <w:lvl w:ilvl="3" w:tplc="03508C88">
      <w:start w:val="1"/>
      <w:numFmt w:val="bullet"/>
      <w:lvlText w:val="•"/>
      <w:lvlJc w:val="left"/>
      <w:pPr>
        <w:tabs>
          <w:tab w:val="num" w:pos="2880"/>
        </w:tabs>
        <w:ind w:left="2880" w:hanging="360"/>
      </w:pPr>
      <w:rPr>
        <w:rFonts w:ascii="Arial" w:hAnsi="Arial" w:hint="default"/>
      </w:rPr>
    </w:lvl>
    <w:lvl w:ilvl="4" w:tplc="CB6EF1EA">
      <w:start w:val="1"/>
      <w:numFmt w:val="bullet"/>
      <w:lvlText w:val="•"/>
      <w:lvlJc w:val="left"/>
      <w:pPr>
        <w:tabs>
          <w:tab w:val="num" w:pos="3600"/>
        </w:tabs>
        <w:ind w:left="3600" w:hanging="360"/>
      </w:pPr>
      <w:rPr>
        <w:rFonts w:ascii="Arial" w:hAnsi="Arial" w:hint="default"/>
      </w:rPr>
    </w:lvl>
    <w:lvl w:ilvl="5" w:tplc="667617C8" w:tentative="1">
      <w:start w:val="1"/>
      <w:numFmt w:val="bullet"/>
      <w:lvlText w:val="•"/>
      <w:lvlJc w:val="left"/>
      <w:pPr>
        <w:tabs>
          <w:tab w:val="num" w:pos="4320"/>
        </w:tabs>
        <w:ind w:left="4320" w:hanging="360"/>
      </w:pPr>
      <w:rPr>
        <w:rFonts w:ascii="Arial" w:hAnsi="Arial" w:hint="default"/>
      </w:rPr>
    </w:lvl>
    <w:lvl w:ilvl="6" w:tplc="A3D6FC5C" w:tentative="1">
      <w:start w:val="1"/>
      <w:numFmt w:val="bullet"/>
      <w:lvlText w:val="•"/>
      <w:lvlJc w:val="left"/>
      <w:pPr>
        <w:tabs>
          <w:tab w:val="num" w:pos="5040"/>
        </w:tabs>
        <w:ind w:left="5040" w:hanging="360"/>
      </w:pPr>
      <w:rPr>
        <w:rFonts w:ascii="Arial" w:hAnsi="Arial" w:hint="default"/>
      </w:rPr>
    </w:lvl>
    <w:lvl w:ilvl="7" w:tplc="01D0DA5C" w:tentative="1">
      <w:start w:val="1"/>
      <w:numFmt w:val="bullet"/>
      <w:lvlText w:val="•"/>
      <w:lvlJc w:val="left"/>
      <w:pPr>
        <w:tabs>
          <w:tab w:val="num" w:pos="5760"/>
        </w:tabs>
        <w:ind w:left="5760" w:hanging="360"/>
      </w:pPr>
      <w:rPr>
        <w:rFonts w:ascii="Arial" w:hAnsi="Arial" w:hint="default"/>
      </w:rPr>
    </w:lvl>
    <w:lvl w:ilvl="8" w:tplc="A9F0F2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15E741E"/>
    <w:multiLevelType w:val="hybridMultilevel"/>
    <w:tmpl w:val="F0AA5888"/>
    <w:lvl w:ilvl="0" w:tplc="10090001">
      <w:start w:val="1"/>
      <w:numFmt w:val="bullet"/>
      <w:lvlText w:val=""/>
      <w:lvlJc w:val="left"/>
      <w:pPr>
        <w:ind w:left="1515" w:hanging="360"/>
      </w:pPr>
      <w:rPr>
        <w:rFonts w:ascii="Symbol" w:hAnsi="Symbol" w:hint="default"/>
      </w:rPr>
    </w:lvl>
    <w:lvl w:ilvl="1" w:tplc="10090003" w:tentative="1">
      <w:start w:val="1"/>
      <w:numFmt w:val="bullet"/>
      <w:lvlText w:val="o"/>
      <w:lvlJc w:val="left"/>
      <w:pPr>
        <w:ind w:left="2235" w:hanging="360"/>
      </w:pPr>
      <w:rPr>
        <w:rFonts w:ascii="Courier New" w:hAnsi="Courier New" w:cs="Courier New" w:hint="default"/>
      </w:rPr>
    </w:lvl>
    <w:lvl w:ilvl="2" w:tplc="10090005" w:tentative="1">
      <w:start w:val="1"/>
      <w:numFmt w:val="bullet"/>
      <w:lvlText w:val=""/>
      <w:lvlJc w:val="left"/>
      <w:pPr>
        <w:ind w:left="2955" w:hanging="360"/>
      </w:pPr>
      <w:rPr>
        <w:rFonts w:ascii="Wingdings" w:hAnsi="Wingdings" w:hint="default"/>
      </w:rPr>
    </w:lvl>
    <w:lvl w:ilvl="3" w:tplc="10090001" w:tentative="1">
      <w:start w:val="1"/>
      <w:numFmt w:val="bullet"/>
      <w:lvlText w:val=""/>
      <w:lvlJc w:val="left"/>
      <w:pPr>
        <w:ind w:left="3675" w:hanging="360"/>
      </w:pPr>
      <w:rPr>
        <w:rFonts w:ascii="Symbol" w:hAnsi="Symbol" w:hint="default"/>
      </w:rPr>
    </w:lvl>
    <w:lvl w:ilvl="4" w:tplc="10090003" w:tentative="1">
      <w:start w:val="1"/>
      <w:numFmt w:val="bullet"/>
      <w:lvlText w:val="o"/>
      <w:lvlJc w:val="left"/>
      <w:pPr>
        <w:ind w:left="4395" w:hanging="360"/>
      </w:pPr>
      <w:rPr>
        <w:rFonts w:ascii="Courier New" w:hAnsi="Courier New" w:cs="Courier New" w:hint="default"/>
      </w:rPr>
    </w:lvl>
    <w:lvl w:ilvl="5" w:tplc="10090005" w:tentative="1">
      <w:start w:val="1"/>
      <w:numFmt w:val="bullet"/>
      <w:lvlText w:val=""/>
      <w:lvlJc w:val="left"/>
      <w:pPr>
        <w:ind w:left="5115" w:hanging="360"/>
      </w:pPr>
      <w:rPr>
        <w:rFonts w:ascii="Wingdings" w:hAnsi="Wingdings" w:hint="default"/>
      </w:rPr>
    </w:lvl>
    <w:lvl w:ilvl="6" w:tplc="10090001" w:tentative="1">
      <w:start w:val="1"/>
      <w:numFmt w:val="bullet"/>
      <w:lvlText w:val=""/>
      <w:lvlJc w:val="left"/>
      <w:pPr>
        <w:ind w:left="5835" w:hanging="360"/>
      </w:pPr>
      <w:rPr>
        <w:rFonts w:ascii="Symbol" w:hAnsi="Symbol" w:hint="default"/>
      </w:rPr>
    </w:lvl>
    <w:lvl w:ilvl="7" w:tplc="10090003" w:tentative="1">
      <w:start w:val="1"/>
      <w:numFmt w:val="bullet"/>
      <w:lvlText w:val="o"/>
      <w:lvlJc w:val="left"/>
      <w:pPr>
        <w:ind w:left="6555" w:hanging="360"/>
      </w:pPr>
      <w:rPr>
        <w:rFonts w:ascii="Courier New" w:hAnsi="Courier New" w:cs="Courier New" w:hint="default"/>
      </w:rPr>
    </w:lvl>
    <w:lvl w:ilvl="8" w:tplc="10090005" w:tentative="1">
      <w:start w:val="1"/>
      <w:numFmt w:val="bullet"/>
      <w:lvlText w:val=""/>
      <w:lvlJc w:val="left"/>
      <w:pPr>
        <w:ind w:left="7275" w:hanging="360"/>
      </w:pPr>
      <w:rPr>
        <w:rFonts w:ascii="Wingdings" w:hAnsi="Wingdings" w:hint="default"/>
      </w:rPr>
    </w:lvl>
  </w:abstractNum>
  <w:abstractNum w:abstractNumId="26" w15:restartNumberingAfterBreak="0">
    <w:nsid w:val="77E96BF5"/>
    <w:multiLevelType w:val="multilevel"/>
    <w:tmpl w:val="5F6C226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CF4F33"/>
    <w:multiLevelType w:val="hybridMultilevel"/>
    <w:tmpl w:val="D764D8AE"/>
    <w:lvl w:ilvl="0" w:tplc="3E6AD0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5"/>
  </w:num>
  <w:num w:numId="2">
    <w:abstractNumId w:val="4"/>
  </w:num>
  <w:num w:numId="3">
    <w:abstractNumId w:val="14"/>
  </w:num>
  <w:num w:numId="4">
    <w:abstractNumId w:val="11"/>
  </w:num>
  <w:num w:numId="5">
    <w:abstractNumId w:val="21"/>
  </w:num>
  <w:num w:numId="6">
    <w:abstractNumId w:val="22"/>
  </w:num>
  <w:num w:numId="7">
    <w:abstractNumId w:val="19"/>
  </w:num>
  <w:num w:numId="8">
    <w:abstractNumId w:val="18"/>
  </w:num>
  <w:num w:numId="9">
    <w:abstractNumId w:val="24"/>
  </w:num>
  <w:num w:numId="10">
    <w:abstractNumId w:val="13"/>
  </w:num>
  <w:num w:numId="11">
    <w:abstractNumId w:val="7"/>
  </w:num>
  <w:num w:numId="12">
    <w:abstractNumId w:val="17"/>
  </w:num>
  <w:num w:numId="13">
    <w:abstractNumId w:val="8"/>
  </w:num>
  <w:num w:numId="14">
    <w:abstractNumId w:val="3"/>
  </w:num>
  <w:num w:numId="15">
    <w:abstractNumId w:val="2"/>
  </w:num>
  <w:num w:numId="16">
    <w:abstractNumId w:val="26"/>
  </w:num>
  <w:num w:numId="17">
    <w:abstractNumId w:val="23"/>
  </w:num>
  <w:num w:numId="18">
    <w:abstractNumId w:val="5"/>
  </w:num>
  <w:num w:numId="19">
    <w:abstractNumId w:val="1"/>
  </w:num>
  <w:num w:numId="20">
    <w:abstractNumId w:val="16"/>
  </w:num>
  <w:num w:numId="21">
    <w:abstractNumId w:val="6"/>
  </w:num>
  <w:num w:numId="22">
    <w:abstractNumId w:val="10"/>
  </w:num>
  <w:num w:numId="23">
    <w:abstractNumId w:val="25"/>
  </w:num>
  <w:num w:numId="24">
    <w:abstractNumId w:val="12"/>
  </w:num>
  <w:num w:numId="25">
    <w:abstractNumId w:val="20"/>
  </w:num>
  <w:num w:numId="26">
    <w:abstractNumId w:val="0"/>
  </w:num>
  <w:num w:numId="27">
    <w:abstractNumId w:val="9"/>
  </w:num>
  <w:num w:numId="28">
    <w:abstractNumId w:val="27"/>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93"/>
    <w:rsid w:val="0000522E"/>
    <w:rsid w:val="00006A8B"/>
    <w:rsid w:val="00012F2E"/>
    <w:rsid w:val="00016B39"/>
    <w:rsid w:val="0002303D"/>
    <w:rsid w:val="00034A47"/>
    <w:rsid w:val="00045349"/>
    <w:rsid w:val="000664DB"/>
    <w:rsid w:val="00066DD6"/>
    <w:rsid w:val="000731C9"/>
    <w:rsid w:val="00076FBB"/>
    <w:rsid w:val="000814CF"/>
    <w:rsid w:val="00093489"/>
    <w:rsid w:val="000A2F48"/>
    <w:rsid w:val="000A4A36"/>
    <w:rsid w:val="000B4DF3"/>
    <w:rsid w:val="000C6D9B"/>
    <w:rsid w:val="000D7EE9"/>
    <w:rsid w:val="00110F94"/>
    <w:rsid w:val="00117935"/>
    <w:rsid w:val="0012157D"/>
    <w:rsid w:val="001244FA"/>
    <w:rsid w:val="00132E7F"/>
    <w:rsid w:val="0014076E"/>
    <w:rsid w:val="00144F29"/>
    <w:rsid w:val="0015507E"/>
    <w:rsid w:val="00160517"/>
    <w:rsid w:val="001704DC"/>
    <w:rsid w:val="00171FB9"/>
    <w:rsid w:val="001737B3"/>
    <w:rsid w:val="001838EE"/>
    <w:rsid w:val="001867F9"/>
    <w:rsid w:val="001879A9"/>
    <w:rsid w:val="001A3595"/>
    <w:rsid w:val="001C12D6"/>
    <w:rsid w:val="001C5856"/>
    <w:rsid w:val="001D5D03"/>
    <w:rsid w:val="001E2048"/>
    <w:rsid w:val="001E72A5"/>
    <w:rsid w:val="001E7F57"/>
    <w:rsid w:val="001F6663"/>
    <w:rsid w:val="00200075"/>
    <w:rsid w:val="002038F1"/>
    <w:rsid w:val="00210B4B"/>
    <w:rsid w:val="0021596B"/>
    <w:rsid w:val="00222EBE"/>
    <w:rsid w:val="00236BBE"/>
    <w:rsid w:val="002649CE"/>
    <w:rsid w:val="002818A7"/>
    <w:rsid w:val="0028433A"/>
    <w:rsid w:val="00285BA4"/>
    <w:rsid w:val="0029625D"/>
    <w:rsid w:val="002A0AC2"/>
    <w:rsid w:val="002A79B2"/>
    <w:rsid w:val="002B2D2C"/>
    <w:rsid w:val="002B4411"/>
    <w:rsid w:val="002B48CB"/>
    <w:rsid w:val="002B567D"/>
    <w:rsid w:val="002B7C0C"/>
    <w:rsid w:val="002D04C4"/>
    <w:rsid w:val="002D04E4"/>
    <w:rsid w:val="002D46BA"/>
    <w:rsid w:val="002D6AD6"/>
    <w:rsid w:val="002E0644"/>
    <w:rsid w:val="002E2E4D"/>
    <w:rsid w:val="002E31E1"/>
    <w:rsid w:val="002E3C93"/>
    <w:rsid w:val="002E4A06"/>
    <w:rsid w:val="002F2A23"/>
    <w:rsid w:val="003205EB"/>
    <w:rsid w:val="00322FE4"/>
    <w:rsid w:val="003303A7"/>
    <w:rsid w:val="00350C78"/>
    <w:rsid w:val="00357ED7"/>
    <w:rsid w:val="00376649"/>
    <w:rsid w:val="003769B2"/>
    <w:rsid w:val="00377501"/>
    <w:rsid w:val="003831F3"/>
    <w:rsid w:val="00390C8A"/>
    <w:rsid w:val="00395BE2"/>
    <w:rsid w:val="003A269A"/>
    <w:rsid w:val="003C4D3A"/>
    <w:rsid w:val="003D0C0A"/>
    <w:rsid w:val="003E6AF2"/>
    <w:rsid w:val="003F0E77"/>
    <w:rsid w:val="00415E28"/>
    <w:rsid w:val="0042150E"/>
    <w:rsid w:val="00424F7E"/>
    <w:rsid w:val="00425C62"/>
    <w:rsid w:val="00436327"/>
    <w:rsid w:val="00437845"/>
    <w:rsid w:val="00440D70"/>
    <w:rsid w:val="00445265"/>
    <w:rsid w:val="00445D50"/>
    <w:rsid w:val="00450525"/>
    <w:rsid w:val="00471E14"/>
    <w:rsid w:val="00475A0A"/>
    <w:rsid w:val="00480A50"/>
    <w:rsid w:val="004848F8"/>
    <w:rsid w:val="004863F8"/>
    <w:rsid w:val="00492D6C"/>
    <w:rsid w:val="004933AC"/>
    <w:rsid w:val="004A1454"/>
    <w:rsid w:val="004A6EA4"/>
    <w:rsid w:val="004C0043"/>
    <w:rsid w:val="004C0FA6"/>
    <w:rsid w:val="004C35FA"/>
    <w:rsid w:val="004D3B56"/>
    <w:rsid w:val="004E10B4"/>
    <w:rsid w:val="004E5ABC"/>
    <w:rsid w:val="004E5E49"/>
    <w:rsid w:val="004F07A4"/>
    <w:rsid w:val="005071EB"/>
    <w:rsid w:val="0051348A"/>
    <w:rsid w:val="0052151F"/>
    <w:rsid w:val="00546526"/>
    <w:rsid w:val="00560639"/>
    <w:rsid w:val="005624A0"/>
    <w:rsid w:val="0057535F"/>
    <w:rsid w:val="00585542"/>
    <w:rsid w:val="005867DF"/>
    <w:rsid w:val="00590D4C"/>
    <w:rsid w:val="00591F9E"/>
    <w:rsid w:val="005A412E"/>
    <w:rsid w:val="005A4DC8"/>
    <w:rsid w:val="005A6BF3"/>
    <w:rsid w:val="005B6550"/>
    <w:rsid w:val="005C536D"/>
    <w:rsid w:val="005D4701"/>
    <w:rsid w:val="005E4A4C"/>
    <w:rsid w:val="005F2974"/>
    <w:rsid w:val="00616C18"/>
    <w:rsid w:val="0061762F"/>
    <w:rsid w:val="0063364B"/>
    <w:rsid w:val="006344B1"/>
    <w:rsid w:val="00636663"/>
    <w:rsid w:val="00637505"/>
    <w:rsid w:val="00640713"/>
    <w:rsid w:val="006458F7"/>
    <w:rsid w:val="00664EBF"/>
    <w:rsid w:val="006735D4"/>
    <w:rsid w:val="00674FBD"/>
    <w:rsid w:val="006903AB"/>
    <w:rsid w:val="0069440B"/>
    <w:rsid w:val="00694982"/>
    <w:rsid w:val="006A346C"/>
    <w:rsid w:val="006A3A9B"/>
    <w:rsid w:val="006A5400"/>
    <w:rsid w:val="006A5CDE"/>
    <w:rsid w:val="006B19A8"/>
    <w:rsid w:val="006C1A00"/>
    <w:rsid w:val="006C6861"/>
    <w:rsid w:val="006C6AB6"/>
    <w:rsid w:val="006D31A3"/>
    <w:rsid w:val="006D34B8"/>
    <w:rsid w:val="006E0A11"/>
    <w:rsid w:val="006E243E"/>
    <w:rsid w:val="006E27EF"/>
    <w:rsid w:val="006F3AA9"/>
    <w:rsid w:val="006F3C3E"/>
    <w:rsid w:val="006F50CF"/>
    <w:rsid w:val="0070264A"/>
    <w:rsid w:val="00706397"/>
    <w:rsid w:val="00706615"/>
    <w:rsid w:val="007128D0"/>
    <w:rsid w:val="007263FC"/>
    <w:rsid w:val="00727CEE"/>
    <w:rsid w:val="0073280F"/>
    <w:rsid w:val="00750495"/>
    <w:rsid w:val="00754221"/>
    <w:rsid w:val="00761FEA"/>
    <w:rsid w:val="007621A1"/>
    <w:rsid w:val="00784A5D"/>
    <w:rsid w:val="00784DD3"/>
    <w:rsid w:val="007B07B8"/>
    <w:rsid w:val="007B1104"/>
    <w:rsid w:val="007D026B"/>
    <w:rsid w:val="007E27AD"/>
    <w:rsid w:val="008068A5"/>
    <w:rsid w:val="008113CE"/>
    <w:rsid w:val="00813600"/>
    <w:rsid w:val="0081394A"/>
    <w:rsid w:val="00814E62"/>
    <w:rsid w:val="008314B7"/>
    <w:rsid w:val="00833FB0"/>
    <w:rsid w:val="00842373"/>
    <w:rsid w:val="00842D4F"/>
    <w:rsid w:val="00844300"/>
    <w:rsid w:val="00855CEC"/>
    <w:rsid w:val="00872EF1"/>
    <w:rsid w:val="00890F35"/>
    <w:rsid w:val="008A393C"/>
    <w:rsid w:val="008B275B"/>
    <w:rsid w:val="008B4E38"/>
    <w:rsid w:val="008D26A8"/>
    <w:rsid w:val="008E2A0E"/>
    <w:rsid w:val="008E342B"/>
    <w:rsid w:val="008F232A"/>
    <w:rsid w:val="008F3F80"/>
    <w:rsid w:val="008F459D"/>
    <w:rsid w:val="0091080D"/>
    <w:rsid w:val="009145ED"/>
    <w:rsid w:val="00917CCA"/>
    <w:rsid w:val="00920556"/>
    <w:rsid w:val="00936A45"/>
    <w:rsid w:val="009449C9"/>
    <w:rsid w:val="00944EC0"/>
    <w:rsid w:val="00953F72"/>
    <w:rsid w:val="00955726"/>
    <w:rsid w:val="009560C3"/>
    <w:rsid w:val="00961342"/>
    <w:rsid w:val="009C2A2D"/>
    <w:rsid w:val="009C5678"/>
    <w:rsid w:val="009D71D6"/>
    <w:rsid w:val="009D7CF0"/>
    <w:rsid w:val="009E61A9"/>
    <w:rsid w:val="009E6657"/>
    <w:rsid w:val="009F6661"/>
    <w:rsid w:val="00A0197D"/>
    <w:rsid w:val="00A07340"/>
    <w:rsid w:val="00A1352E"/>
    <w:rsid w:val="00A34FA1"/>
    <w:rsid w:val="00A35D51"/>
    <w:rsid w:val="00A42B7C"/>
    <w:rsid w:val="00A43A45"/>
    <w:rsid w:val="00A502C7"/>
    <w:rsid w:val="00A52FC3"/>
    <w:rsid w:val="00A538F3"/>
    <w:rsid w:val="00A55C38"/>
    <w:rsid w:val="00A64CBA"/>
    <w:rsid w:val="00A720E5"/>
    <w:rsid w:val="00AA1C73"/>
    <w:rsid w:val="00AA1D3D"/>
    <w:rsid w:val="00AB0D3F"/>
    <w:rsid w:val="00AC6AC8"/>
    <w:rsid w:val="00AC71B0"/>
    <w:rsid w:val="00AC7A4D"/>
    <w:rsid w:val="00AE70B4"/>
    <w:rsid w:val="00B16362"/>
    <w:rsid w:val="00B17C44"/>
    <w:rsid w:val="00B3340F"/>
    <w:rsid w:val="00B35B0C"/>
    <w:rsid w:val="00B42FFA"/>
    <w:rsid w:val="00B44BD8"/>
    <w:rsid w:val="00B637F1"/>
    <w:rsid w:val="00B63948"/>
    <w:rsid w:val="00B65039"/>
    <w:rsid w:val="00B66564"/>
    <w:rsid w:val="00B66884"/>
    <w:rsid w:val="00B77251"/>
    <w:rsid w:val="00B8072F"/>
    <w:rsid w:val="00B85BD8"/>
    <w:rsid w:val="00B86097"/>
    <w:rsid w:val="00B901F2"/>
    <w:rsid w:val="00BA2C69"/>
    <w:rsid w:val="00BC19A3"/>
    <w:rsid w:val="00BE1068"/>
    <w:rsid w:val="00BE1E17"/>
    <w:rsid w:val="00BE7FEB"/>
    <w:rsid w:val="00BF2D29"/>
    <w:rsid w:val="00BF4127"/>
    <w:rsid w:val="00BF7ACE"/>
    <w:rsid w:val="00C0387D"/>
    <w:rsid w:val="00C04D9A"/>
    <w:rsid w:val="00C05021"/>
    <w:rsid w:val="00C06D11"/>
    <w:rsid w:val="00C111A4"/>
    <w:rsid w:val="00C1274D"/>
    <w:rsid w:val="00C17326"/>
    <w:rsid w:val="00C20044"/>
    <w:rsid w:val="00C31586"/>
    <w:rsid w:val="00C376B0"/>
    <w:rsid w:val="00C42859"/>
    <w:rsid w:val="00C43E5F"/>
    <w:rsid w:val="00C519E8"/>
    <w:rsid w:val="00C5410B"/>
    <w:rsid w:val="00C55A4E"/>
    <w:rsid w:val="00C55F4E"/>
    <w:rsid w:val="00C72589"/>
    <w:rsid w:val="00C7277E"/>
    <w:rsid w:val="00C84581"/>
    <w:rsid w:val="00C915AF"/>
    <w:rsid w:val="00CA5C2C"/>
    <w:rsid w:val="00CA6632"/>
    <w:rsid w:val="00CC1486"/>
    <w:rsid w:val="00CC3797"/>
    <w:rsid w:val="00CF0346"/>
    <w:rsid w:val="00CF45C7"/>
    <w:rsid w:val="00D11FF7"/>
    <w:rsid w:val="00D12E06"/>
    <w:rsid w:val="00D24859"/>
    <w:rsid w:val="00D322A6"/>
    <w:rsid w:val="00D35363"/>
    <w:rsid w:val="00D36455"/>
    <w:rsid w:val="00D475B1"/>
    <w:rsid w:val="00D515F9"/>
    <w:rsid w:val="00D5219F"/>
    <w:rsid w:val="00D637CA"/>
    <w:rsid w:val="00D712D2"/>
    <w:rsid w:val="00D7198C"/>
    <w:rsid w:val="00D73648"/>
    <w:rsid w:val="00D737FC"/>
    <w:rsid w:val="00D77FA7"/>
    <w:rsid w:val="00D85E04"/>
    <w:rsid w:val="00DB6248"/>
    <w:rsid w:val="00DC4EC1"/>
    <w:rsid w:val="00DF1F1D"/>
    <w:rsid w:val="00DF1F50"/>
    <w:rsid w:val="00DF3E4D"/>
    <w:rsid w:val="00E05D1C"/>
    <w:rsid w:val="00E07C90"/>
    <w:rsid w:val="00E300AE"/>
    <w:rsid w:val="00E50943"/>
    <w:rsid w:val="00E52314"/>
    <w:rsid w:val="00E56BA5"/>
    <w:rsid w:val="00E65299"/>
    <w:rsid w:val="00E70F3B"/>
    <w:rsid w:val="00E73889"/>
    <w:rsid w:val="00E76233"/>
    <w:rsid w:val="00E91D46"/>
    <w:rsid w:val="00E93295"/>
    <w:rsid w:val="00EA4E22"/>
    <w:rsid w:val="00EA6674"/>
    <w:rsid w:val="00EB5DAE"/>
    <w:rsid w:val="00EB6426"/>
    <w:rsid w:val="00EB65AD"/>
    <w:rsid w:val="00EB6867"/>
    <w:rsid w:val="00EC0968"/>
    <w:rsid w:val="00EE6C81"/>
    <w:rsid w:val="00EF2444"/>
    <w:rsid w:val="00F00008"/>
    <w:rsid w:val="00F00865"/>
    <w:rsid w:val="00F07D90"/>
    <w:rsid w:val="00F36A35"/>
    <w:rsid w:val="00F40D60"/>
    <w:rsid w:val="00F44143"/>
    <w:rsid w:val="00F520C5"/>
    <w:rsid w:val="00F56534"/>
    <w:rsid w:val="00F5757C"/>
    <w:rsid w:val="00F60BCE"/>
    <w:rsid w:val="00F642E6"/>
    <w:rsid w:val="00F64BFF"/>
    <w:rsid w:val="00F76BA0"/>
    <w:rsid w:val="00F84F17"/>
    <w:rsid w:val="00FA6B11"/>
    <w:rsid w:val="00FB31E7"/>
    <w:rsid w:val="00FD6244"/>
    <w:rsid w:val="00FE5A19"/>
    <w:rsid w:val="00FF0C5B"/>
    <w:rsid w:val="00FF36A7"/>
    <w:rsid w:val="00FF41D5"/>
    <w:rsid w:val="00FF6F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86A897D-7981-4945-9084-AEDCAA2D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80F"/>
  </w:style>
  <w:style w:type="paragraph" w:styleId="Heading1">
    <w:name w:val="heading 1"/>
    <w:basedOn w:val="Normal"/>
    <w:next w:val="Normal"/>
    <w:link w:val="Heading1Char"/>
    <w:uiPriority w:val="9"/>
    <w:qFormat/>
    <w:rsid w:val="0073280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73280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280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3280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73280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3280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3280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3280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3280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80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73280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3280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3280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73280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73280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73280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3280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3280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3280F"/>
    <w:pPr>
      <w:spacing w:line="240" w:lineRule="auto"/>
    </w:pPr>
    <w:rPr>
      <w:b/>
      <w:bCs/>
      <w:smallCaps/>
      <w:color w:val="44546A" w:themeColor="text2"/>
    </w:rPr>
  </w:style>
  <w:style w:type="paragraph" w:styleId="Title">
    <w:name w:val="Title"/>
    <w:basedOn w:val="Normal"/>
    <w:next w:val="Normal"/>
    <w:link w:val="TitleChar"/>
    <w:uiPriority w:val="10"/>
    <w:qFormat/>
    <w:rsid w:val="0073280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3280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3280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3280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73280F"/>
    <w:rPr>
      <w:b/>
      <w:bCs/>
    </w:rPr>
  </w:style>
  <w:style w:type="character" w:styleId="Emphasis">
    <w:name w:val="Emphasis"/>
    <w:basedOn w:val="DefaultParagraphFont"/>
    <w:uiPriority w:val="20"/>
    <w:qFormat/>
    <w:rsid w:val="0073280F"/>
    <w:rPr>
      <w:i/>
      <w:iCs/>
    </w:rPr>
  </w:style>
  <w:style w:type="paragraph" w:styleId="NoSpacing">
    <w:name w:val="No Spacing"/>
    <w:uiPriority w:val="1"/>
    <w:qFormat/>
    <w:rsid w:val="0073280F"/>
    <w:pPr>
      <w:spacing w:after="0" w:line="240" w:lineRule="auto"/>
    </w:pPr>
  </w:style>
  <w:style w:type="paragraph" w:styleId="Quote">
    <w:name w:val="Quote"/>
    <w:basedOn w:val="Normal"/>
    <w:next w:val="Normal"/>
    <w:link w:val="QuoteChar"/>
    <w:uiPriority w:val="29"/>
    <w:qFormat/>
    <w:rsid w:val="0073280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3280F"/>
    <w:rPr>
      <w:color w:val="44546A" w:themeColor="text2"/>
      <w:sz w:val="24"/>
      <w:szCs w:val="24"/>
    </w:rPr>
  </w:style>
  <w:style w:type="paragraph" w:styleId="IntenseQuote">
    <w:name w:val="Intense Quote"/>
    <w:basedOn w:val="Normal"/>
    <w:next w:val="Normal"/>
    <w:link w:val="IntenseQuoteChar"/>
    <w:uiPriority w:val="30"/>
    <w:qFormat/>
    <w:rsid w:val="0073280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3280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3280F"/>
    <w:rPr>
      <w:i/>
      <w:iCs/>
      <w:color w:val="595959" w:themeColor="text1" w:themeTint="A6"/>
    </w:rPr>
  </w:style>
  <w:style w:type="character" w:styleId="IntenseEmphasis">
    <w:name w:val="Intense Emphasis"/>
    <w:basedOn w:val="DefaultParagraphFont"/>
    <w:uiPriority w:val="21"/>
    <w:qFormat/>
    <w:rsid w:val="0073280F"/>
    <w:rPr>
      <w:b/>
      <w:bCs/>
      <w:i/>
      <w:iCs/>
    </w:rPr>
  </w:style>
  <w:style w:type="character" w:styleId="SubtleReference">
    <w:name w:val="Subtle Reference"/>
    <w:basedOn w:val="DefaultParagraphFont"/>
    <w:uiPriority w:val="31"/>
    <w:qFormat/>
    <w:rsid w:val="0073280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3280F"/>
    <w:rPr>
      <w:b/>
      <w:bCs/>
      <w:smallCaps/>
      <w:color w:val="44546A" w:themeColor="text2"/>
      <w:u w:val="single"/>
    </w:rPr>
  </w:style>
  <w:style w:type="character" w:styleId="BookTitle">
    <w:name w:val="Book Title"/>
    <w:basedOn w:val="DefaultParagraphFont"/>
    <w:uiPriority w:val="33"/>
    <w:qFormat/>
    <w:rsid w:val="0073280F"/>
    <w:rPr>
      <w:b/>
      <w:bCs/>
      <w:smallCaps/>
      <w:spacing w:val="10"/>
    </w:rPr>
  </w:style>
  <w:style w:type="paragraph" w:styleId="TOCHeading">
    <w:name w:val="TOC Heading"/>
    <w:basedOn w:val="Heading1"/>
    <w:next w:val="Normal"/>
    <w:uiPriority w:val="39"/>
    <w:unhideWhenUsed/>
    <w:qFormat/>
    <w:rsid w:val="0073280F"/>
    <w:pPr>
      <w:outlineLvl w:val="9"/>
    </w:pPr>
  </w:style>
  <w:style w:type="paragraph" w:styleId="TOC1">
    <w:name w:val="toc 1"/>
    <w:basedOn w:val="Normal"/>
    <w:next w:val="Normal"/>
    <w:autoRedefine/>
    <w:uiPriority w:val="39"/>
    <w:semiHidden/>
    <w:unhideWhenUsed/>
    <w:rsid w:val="00C5410B"/>
    <w:pPr>
      <w:spacing w:after="100"/>
    </w:pPr>
  </w:style>
  <w:style w:type="paragraph" w:styleId="TOC2">
    <w:name w:val="toc 2"/>
    <w:basedOn w:val="Normal"/>
    <w:next w:val="Normal"/>
    <w:autoRedefine/>
    <w:uiPriority w:val="39"/>
    <w:semiHidden/>
    <w:unhideWhenUsed/>
    <w:rsid w:val="00C5410B"/>
    <w:pPr>
      <w:spacing w:after="100"/>
      <w:ind w:left="210"/>
    </w:pPr>
  </w:style>
  <w:style w:type="character" w:styleId="Hyperlink">
    <w:name w:val="Hyperlink"/>
    <w:basedOn w:val="DefaultParagraphFont"/>
    <w:uiPriority w:val="99"/>
    <w:unhideWhenUsed/>
    <w:rsid w:val="00C5410B"/>
    <w:rPr>
      <w:color w:val="0563C1" w:themeColor="hyperlink"/>
      <w:u w:val="single"/>
    </w:rPr>
  </w:style>
  <w:style w:type="paragraph" w:styleId="ListParagraph">
    <w:name w:val="List Paragraph"/>
    <w:basedOn w:val="Normal"/>
    <w:uiPriority w:val="34"/>
    <w:qFormat/>
    <w:rsid w:val="00CF45C7"/>
    <w:pPr>
      <w:ind w:left="720"/>
      <w:contextualSpacing/>
    </w:pPr>
  </w:style>
  <w:style w:type="paragraph" w:styleId="FootnoteText">
    <w:name w:val="footnote text"/>
    <w:basedOn w:val="Normal"/>
    <w:link w:val="FootnoteTextChar"/>
    <w:uiPriority w:val="99"/>
    <w:semiHidden/>
    <w:unhideWhenUsed/>
    <w:rsid w:val="00F642E6"/>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F642E6"/>
    <w:rPr>
      <w:rFonts w:eastAsiaTheme="minorHAnsi"/>
      <w:sz w:val="20"/>
      <w:szCs w:val="20"/>
    </w:rPr>
  </w:style>
  <w:style w:type="character" w:styleId="FootnoteReference">
    <w:name w:val="footnote reference"/>
    <w:basedOn w:val="DefaultParagraphFont"/>
    <w:uiPriority w:val="99"/>
    <w:semiHidden/>
    <w:unhideWhenUsed/>
    <w:rsid w:val="00F642E6"/>
    <w:rPr>
      <w:vertAlign w:val="superscript"/>
    </w:rPr>
  </w:style>
  <w:style w:type="paragraph" w:styleId="BalloonText">
    <w:name w:val="Balloon Text"/>
    <w:basedOn w:val="Normal"/>
    <w:link w:val="BalloonTextChar"/>
    <w:uiPriority w:val="99"/>
    <w:semiHidden/>
    <w:unhideWhenUsed/>
    <w:rsid w:val="001E7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2A5"/>
    <w:rPr>
      <w:rFonts w:ascii="Segoe UI" w:hAnsi="Segoe UI" w:cs="Segoe UI"/>
      <w:sz w:val="18"/>
      <w:szCs w:val="18"/>
    </w:rPr>
  </w:style>
  <w:style w:type="paragraph" w:styleId="Header">
    <w:name w:val="header"/>
    <w:basedOn w:val="Normal"/>
    <w:link w:val="HeaderChar"/>
    <w:uiPriority w:val="99"/>
    <w:unhideWhenUsed/>
    <w:rsid w:val="00390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C8A"/>
  </w:style>
  <w:style w:type="paragraph" w:styleId="Footer">
    <w:name w:val="footer"/>
    <w:basedOn w:val="Normal"/>
    <w:link w:val="FooterChar"/>
    <w:uiPriority w:val="99"/>
    <w:unhideWhenUsed/>
    <w:rsid w:val="00390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C8A"/>
  </w:style>
  <w:style w:type="character" w:styleId="CommentReference">
    <w:name w:val="annotation reference"/>
    <w:basedOn w:val="DefaultParagraphFont"/>
    <w:uiPriority w:val="99"/>
    <w:semiHidden/>
    <w:unhideWhenUsed/>
    <w:rsid w:val="00674FBD"/>
    <w:rPr>
      <w:sz w:val="16"/>
      <w:szCs w:val="16"/>
    </w:rPr>
  </w:style>
  <w:style w:type="paragraph" w:styleId="CommentText">
    <w:name w:val="annotation text"/>
    <w:basedOn w:val="Normal"/>
    <w:link w:val="CommentTextChar"/>
    <w:uiPriority w:val="99"/>
    <w:semiHidden/>
    <w:unhideWhenUsed/>
    <w:rsid w:val="00674FBD"/>
    <w:pPr>
      <w:spacing w:line="240" w:lineRule="auto"/>
    </w:pPr>
    <w:rPr>
      <w:sz w:val="20"/>
      <w:szCs w:val="20"/>
    </w:rPr>
  </w:style>
  <w:style w:type="character" w:customStyle="1" w:styleId="CommentTextChar">
    <w:name w:val="Comment Text Char"/>
    <w:basedOn w:val="DefaultParagraphFont"/>
    <w:link w:val="CommentText"/>
    <w:uiPriority w:val="99"/>
    <w:semiHidden/>
    <w:rsid w:val="00674FBD"/>
    <w:rPr>
      <w:sz w:val="20"/>
      <w:szCs w:val="20"/>
    </w:rPr>
  </w:style>
  <w:style w:type="paragraph" w:styleId="CommentSubject">
    <w:name w:val="annotation subject"/>
    <w:basedOn w:val="CommentText"/>
    <w:next w:val="CommentText"/>
    <w:link w:val="CommentSubjectChar"/>
    <w:uiPriority w:val="99"/>
    <w:semiHidden/>
    <w:unhideWhenUsed/>
    <w:rsid w:val="00674FBD"/>
    <w:rPr>
      <w:b/>
      <w:bCs/>
    </w:rPr>
  </w:style>
  <w:style w:type="character" w:customStyle="1" w:styleId="CommentSubjectChar">
    <w:name w:val="Comment Subject Char"/>
    <w:basedOn w:val="CommentTextChar"/>
    <w:link w:val="CommentSubject"/>
    <w:uiPriority w:val="99"/>
    <w:semiHidden/>
    <w:rsid w:val="00674FBD"/>
    <w:rPr>
      <w:b/>
      <w:bCs/>
      <w:sz w:val="20"/>
      <w:szCs w:val="20"/>
    </w:rPr>
  </w:style>
  <w:style w:type="character" w:styleId="FollowedHyperlink">
    <w:name w:val="FollowedHyperlink"/>
    <w:basedOn w:val="DefaultParagraphFont"/>
    <w:uiPriority w:val="99"/>
    <w:semiHidden/>
    <w:unhideWhenUsed/>
    <w:rsid w:val="00160517"/>
    <w:rPr>
      <w:color w:val="954F72" w:themeColor="followedHyperlink"/>
      <w:u w:val="single"/>
    </w:rPr>
  </w:style>
  <w:style w:type="paragraph" w:styleId="Revision">
    <w:name w:val="Revision"/>
    <w:hidden/>
    <w:uiPriority w:val="99"/>
    <w:semiHidden/>
    <w:rsid w:val="003E6AF2"/>
    <w:pPr>
      <w:spacing w:after="0" w:line="240" w:lineRule="auto"/>
    </w:pPr>
  </w:style>
  <w:style w:type="character" w:customStyle="1" w:styleId="UnresolvedMention">
    <w:name w:val="Unresolved Mention"/>
    <w:basedOn w:val="DefaultParagraphFont"/>
    <w:uiPriority w:val="99"/>
    <w:semiHidden/>
    <w:unhideWhenUsed/>
    <w:rsid w:val="00DB6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9039">
      <w:bodyDiv w:val="1"/>
      <w:marLeft w:val="0"/>
      <w:marRight w:val="0"/>
      <w:marTop w:val="0"/>
      <w:marBottom w:val="0"/>
      <w:divBdr>
        <w:top w:val="none" w:sz="0" w:space="0" w:color="auto"/>
        <w:left w:val="none" w:sz="0" w:space="0" w:color="auto"/>
        <w:bottom w:val="none" w:sz="0" w:space="0" w:color="auto"/>
        <w:right w:val="none" w:sz="0" w:space="0" w:color="auto"/>
      </w:divBdr>
    </w:div>
    <w:div w:id="322123608">
      <w:bodyDiv w:val="1"/>
      <w:marLeft w:val="0"/>
      <w:marRight w:val="0"/>
      <w:marTop w:val="0"/>
      <w:marBottom w:val="0"/>
      <w:divBdr>
        <w:top w:val="none" w:sz="0" w:space="0" w:color="auto"/>
        <w:left w:val="none" w:sz="0" w:space="0" w:color="auto"/>
        <w:bottom w:val="none" w:sz="0" w:space="0" w:color="auto"/>
        <w:right w:val="none" w:sz="0" w:space="0" w:color="auto"/>
      </w:divBdr>
    </w:div>
    <w:div w:id="350841482">
      <w:bodyDiv w:val="1"/>
      <w:marLeft w:val="0"/>
      <w:marRight w:val="0"/>
      <w:marTop w:val="0"/>
      <w:marBottom w:val="0"/>
      <w:divBdr>
        <w:top w:val="none" w:sz="0" w:space="0" w:color="auto"/>
        <w:left w:val="none" w:sz="0" w:space="0" w:color="auto"/>
        <w:bottom w:val="none" w:sz="0" w:space="0" w:color="auto"/>
        <w:right w:val="none" w:sz="0" w:space="0" w:color="auto"/>
      </w:divBdr>
    </w:div>
    <w:div w:id="447743858">
      <w:bodyDiv w:val="1"/>
      <w:marLeft w:val="0"/>
      <w:marRight w:val="0"/>
      <w:marTop w:val="0"/>
      <w:marBottom w:val="0"/>
      <w:divBdr>
        <w:top w:val="none" w:sz="0" w:space="0" w:color="auto"/>
        <w:left w:val="none" w:sz="0" w:space="0" w:color="auto"/>
        <w:bottom w:val="none" w:sz="0" w:space="0" w:color="auto"/>
        <w:right w:val="none" w:sz="0" w:space="0" w:color="auto"/>
      </w:divBdr>
    </w:div>
    <w:div w:id="664940027">
      <w:bodyDiv w:val="1"/>
      <w:marLeft w:val="0"/>
      <w:marRight w:val="0"/>
      <w:marTop w:val="0"/>
      <w:marBottom w:val="0"/>
      <w:divBdr>
        <w:top w:val="none" w:sz="0" w:space="0" w:color="auto"/>
        <w:left w:val="none" w:sz="0" w:space="0" w:color="auto"/>
        <w:bottom w:val="none" w:sz="0" w:space="0" w:color="auto"/>
        <w:right w:val="none" w:sz="0" w:space="0" w:color="auto"/>
      </w:divBdr>
    </w:div>
    <w:div w:id="1414936132">
      <w:bodyDiv w:val="1"/>
      <w:marLeft w:val="0"/>
      <w:marRight w:val="0"/>
      <w:marTop w:val="0"/>
      <w:marBottom w:val="0"/>
      <w:divBdr>
        <w:top w:val="none" w:sz="0" w:space="0" w:color="auto"/>
        <w:left w:val="none" w:sz="0" w:space="0" w:color="auto"/>
        <w:bottom w:val="none" w:sz="0" w:space="0" w:color="auto"/>
        <w:right w:val="none" w:sz="0" w:space="0" w:color="auto"/>
      </w:divBdr>
    </w:div>
    <w:div w:id="1858084198">
      <w:bodyDiv w:val="1"/>
      <w:marLeft w:val="0"/>
      <w:marRight w:val="0"/>
      <w:marTop w:val="0"/>
      <w:marBottom w:val="0"/>
      <w:divBdr>
        <w:top w:val="none" w:sz="0" w:space="0" w:color="auto"/>
        <w:left w:val="none" w:sz="0" w:space="0" w:color="auto"/>
        <w:bottom w:val="none" w:sz="0" w:space="0" w:color="auto"/>
        <w:right w:val="none" w:sz="0" w:space="0" w:color="auto"/>
      </w:divBdr>
    </w:div>
    <w:div w:id="20657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ogle.ca/url?sa=i&amp;rct=j&amp;q=&amp;esrc=s&amp;source=images&amp;cd=&amp;cad=rja&amp;uact=8&amp;ved=0ahUKEwj80qjWip3TAhUhxYMKHUuGBScQjRwIBw&amp;url=https://en.wikipedia.org/wiki/Airports_Council_International&amp;psig=AFQjCNHJEyEtIPVzgEaTqwZNUJrHFuTzog&amp;ust=149202345703345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cf.com/resources/reports-and-research/2018/identifying-the-drivers-of-air-fares" TargetMode="External"/><Relationship Id="rId1" Type="http://schemas.openxmlformats.org/officeDocument/2006/relationships/hyperlink" Target="http://www.aci.aero/About-ACI/Priorities/Economics/Documentat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lio\Downloads\DP_LIVE_25072018174450517.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lio\Downloads\Airport%20Performance%20Indicators%202017.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lio\Downloads\Airport%20Performance%20Indicators%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DP_LIVE_25072018174450517!$G$1</c:f>
              <c:strCache>
                <c:ptCount val="1"/>
                <c:pt idx="0">
                  <c:v>Value</c:v>
                </c:pt>
              </c:strCache>
            </c:strRef>
          </c:tx>
          <c:spPr>
            <a:solidFill>
              <a:schemeClr val="accent1"/>
            </a:solidFill>
            <a:ln>
              <a:noFill/>
            </a:ln>
            <a:effectLst/>
          </c:spPr>
          <c:invertIfNegative val="0"/>
          <c:dPt>
            <c:idx val="3"/>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1-9423-47B3-8D39-9AEB1D97ECFA}"/>
              </c:ext>
            </c:extLst>
          </c:dPt>
          <c:dPt>
            <c:idx val="19"/>
            <c:invertIfNegative val="0"/>
            <c:bubble3D val="0"/>
            <c:spPr>
              <a:solidFill>
                <a:schemeClr val="tx1"/>
              </a:solidFill>
              <a:ln>
                <a:noFill/>
              </a:ln>
              <a:effectLst/>
            </c:spPr>
            <c:extLst xmlns:c16r2="http://schemas.microsoft.com/office/drawing/2015/06/chart">
              <c:ext xmlns:c16="http://schemas.microsoft.com/office/drawing/2014/chart" uri="{C3380CC4-5D6E-409C-BE32-E72D297353CC}">
                <c16:uniqueId val="{00000003-9423-47B3-8D39-9AEB1D97ECFA}"/>
              </c:ext>
            </c:extLst>
          </c:dPt>
          <c:dPt>
            <c:idx val="22"/>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9423-47B3-8D39-9AEB1D97ECFA}"/>
              </c:ext>
            </c:extLst>
          </c:dPt>
          <c:cat>
            <c:strRef>
              <c:f>DP_LIVE_25072018174450517!$A$2:$A$47</c:f>
              <c:strCache>
                <c:ptCount val="46"/>
                <c:pt idx="0">
                  <c:v>Switzerland</c:v>
                </c:pt>
                <c:pt idx="1">
                  <c:v>Norway</c:v>
                </c:pt>
                <c:pt idx="2">
                  <c:v>Iceland</c:v>
                </c:pt>
                <c:pt idx="3">
                  <c:v>Australia</c:v>
                </c:pt>
                <c:pt idx="4">
                  <c:v>Denmark</c:v>
                </c:pt>
                <c:pt idx="5">
                  <c:v>Sweden</c:v>
                </c:pt>
                <c:pt idx="6">
                  <c:v>New Zealand</c:v>
                </c:pt>
                <c:pt idx="7">
                  <c:v>Finland</c:v>
                </c:pt>
                <c:pt idx="8">
                  <c:v>USA</c:v>
                </c:pt>
                <c:pt idx="9">
                  <c:v>Israel</c:v>
                </c:pt>
                <c:pt idx="10">
                  <c:v>Luxembourg</c:v>
                </c:pt>
                <c:pt idx="11">
                  <c:v>Gibraltar</c:v>
                </c:pt>
                <c:pt idx="12">
                  <c:v>Canada</c:v>
                </c:pt>
                <c:pt idx="13">
                  <c:v>Japan</c:v>
                </c:pt>
                <c:pt idx="14">
                  <c:v>Netherlands</c:v>
                </c:pt>
                <c:pt idx="15">
                  <c:v>Ireland</c:v>
                </c:pt>
                <c:pt idx="16">
                  <c:v>Austria</c:v>
                </c:pt>
                <c:pt idx="17">
                  <c:v>Belgium</c:v>
                </c:pt>
                <c:pt idx="18">
                  <c:v>France</c:v>
                </c:pt>
                <c:pt idx="19">
                  <c:v>OECD</c:v>
                </c:pt>
                <c:pt idx="20">
                  <c:v>Germany</c:v>
                </c:pt>
                <c:pt idx="21">
                  <c:v>EA18</c:v>
                </c:pt>
                <c:pt idx="22">
                  <c:v>EU28</c:v>
                </c:pt>
                <c:pt idx="23">
                  <c:v>Italy</c:v>
                </c:pt>
                <c:pt idx="24">
                  <c:v>Korea</c:v>
                </c:pt>
                <c:pt idx="25">
                  <c:v>Spain</c:v>
                </c:pt>
                <c:pt idx="26">
                  <c:v>Greece</c:v>
                </c:pt>
                <c:pt idx="27">
                  <c:v>Slovenia</c:v>
                </c:pt>
                <c:pt idx="28">
                  <c:v>Portugal</c:v>
                </c:pt>
                <c:pt idx="29">
                  <c:v>Chile</c:v>
                </c:pt>
                <c:pt idx="30">
                  <c:v>Estonia</c:v>
                </c:pt>
                <c:pt idx="31">
                  <c:v>Brazil</c:v>
                </c:pt>
                <c:pt idx="32">
                  <c:v>Colombia</c:v>
                </c:pt>
                <c:pt idx="33">
                  <c:v>Slovakia</c:v>
                </c:pt>
                <c:pt idx="34">
                  <c:v>Latvia</c:v>
                </c:pt>
                <c:pt idx="35">
                  <c:v>Czechia</c:v>
                </c:pt>
                <c:pt idx="36">
                  <c:v>China</c:v>
                </c:pt>
                <c:pt idx="37">
                  <c:v>Lithuania</c:v>
                </c:pt>
                <c:pt idx="38">
                  <c:v>Hungary</c:v>
                </c:pt>
                <c:pt idx="39">
                  <c:v>Mexico</c:v>
                </c:pt>
                <c:pt idx="40">
                  <c:v>Poland</c:v>
                </c:pt>
                <c:pt idx="41">
                  <c:v>Turkey</c:v>
                </c:pt>
                <c:pt idx="42">
                  <c:v>South Africa</c:v>
                </c:pt>
                <c:pt idx="43">
                  <c:v>Russia</c:v>
                </c:pt>
                <c:pt idx="44">
                  <c:v>Indonesia</c:v>
                </c:pt>
                <c:pt idx="45">
                  <c:v>India</c:v>
                </c:pt>
              </c:strCache>
            </c:strRef>
          </c:cat>
          <c:val>
            <c:numRef>
              <c:f>DP_LIVE_25072018174450517!$G$2:$G$47</c:f>
              <c:numCache>
                <c:formatCode>General</c:formatCode>
                <c:ptCount val="46"/>
                <c:pt idx="0">
                  <c:v>142</c:v>
                </c:pt>
                <c:pt idx="1">
                  <c:v>137</c:v>
                </c:pt>
                <c:pt idx="2">
                  <c:v>135</c:v>
                </c:pt>
                <c:pt idx="3">
                  <c:v>125</c:v>
                </c:pt>
                <c:pt idx="4">
                  <c:v>124</c:v>
                </c:pt>
                <c:pt idx="5">
                  <c:v>120</c:v>
                </c:pt>
                <c:pt idx="6">
                  <c:v>116</c:v>
                </c:pt>
                <c:pt idx="7">
                  <c:v>114</c:v>
                </c:pt>
                <c:pt idx="8">
                  <c:v>114</c:v>
                </c:pt>
                <c:pt idx="9">
                  <c:v>113</c:v>
                </c:pt>
                <c:pt idx="10">
                  <c:v>112</c:v>
                </c:pt>
                <c:pt idx="11">
                  <c:v>108</c:v>
                </c:pt>
                <c:pt idx="12">
                  <c:v>107</c:v>
                </c:pt>
                <c:pt idx="13">
                  <c:v>105</c:v>
                </c:pt>
                <c:pt idx="14">
                  <c:v>103</c:v>
                </c:pt>
                <c:pt idx="15">
                  <c:v>102</c:v>
                </c:pt>
                <c:pt idx="16">
                  <c:v>101</c:v>
                </c:pt>
                <c:pt idx="17">
                  <c:v>101</c:v>
                </c:pt>
                <c:pt idx="18">
                  <c:v>101</c:v>
                </c:pt>
                <c:pt idx="19">
                  <c:v>100</c:v>
                </c:pt>
                <c:pt idx="20">
                  <c:v>98</c:v>
                </c:pt>
                <c:pt idx="21">
                  <c:v>95</c:v>
                </c:pt>
                <c:pt idx="22">
                  <c:v>92</c:v>
                </c:pt>
                <c:pt idx="23">
                  <c:v>91</c:v>
                </c:pt>
                <c:pt idx="24">
                  <c:v>86</c:v>
                </c:pt>
                <c:pt idx="25">
                  <c:v>83</c:v>
                </c:pt>
                <c:pt idx="26">
                  <c:v>76</c:v>
                </c:pt>
                <c:pt idx="27">
                  <c:v>75</c:v>
                </c:pt>
                <c:pt idx="28">
                  <c:v>74</c:v>
                </c:pt>
                <c:pt idx="29">
                  <c:v>68</c:v>
                </c:pt>
                <c:pt idx="30">
                  <c:v>68</c:v>
                </c:pt>
                <c:pt idx="31">
                  <c:v>65</c:v>
                </c:pt>
                <c:pt idx="32">
                  <c:v>65</c:v>
                </c:pt>
                <c:pt idx="33">
                  <c:v>62</c:v>
                </c:pt>
                <c:pt idx="34">
                  <c:v>62</c:v>
                </c:pt>
                <c:pt idx="35">
                  <c:v>60</c:v>
                </c:pt>
                <c:pt idx="36">
                  <c:v>59</c:v>
                </c:pt>
                <c:pt idx="37">
                  <c:v>59</c:v>
                </c:pt>
                <c:pt idx="38">
                  <c:v>55</c:v>
                </c:pt>
                <c:pt idx="39">
                  <c:v>54</c:v>
                </c:pt>
                <c:pt idx="40">
                  <c:v>51</c:v>
                </c:pt>
                <c:pt idx="41">
                  <c:v>49</c:v>
                </c:pt>
                <c:pt idx="42">
                  <c:v>45</c:v>
                </c:pt>
                <c:pt idx="43">
                  <c:v>40</c:v>
                </c:pt>
                <c:pt idx="44">
                  <c:v>35</c:v>
                </c:pt>
                <c:pt idx="45">
                  <c:v>29</c:v>
                </c:pt>
              </c:numCache>
            </c:numRef>
          </c:val>
          <c:extLst xmlns:c16r2="http://schemas.microsoft.com/office/drawing/2015/06/chart">
            <c:ext xmlns:c16="http://schemas.microsoft.com/office/drawing/2014/chart" uri="{C3380CC4-5D6E-409C-BE32-E72D297353CC}">
              <c16:uniqueId val="{00000006-9423-47B3-8D39-9AEB1D97ECFA}"/>
            </c:ext>
          </c:extLst>
        </c:ser>
        <c:dLbls>
          <c:showLegendKey val="0"/>
          <c:showVal val="0"/>
          <c:showCatName val="0"/>
          <c:showSerName val="0"/>
          <c:showPercent val="0"/>
          <c:showBubbleSize val="0"/>
        </c:dLbls>
        <c:gapWidth val="219"/>
        <c:overlap val="-27"/>
        <c:axId val="376191848"/>
        <c:axId val="376195768"/>
      </c:barChart>
      <c:catAx>
        <c:axId val="376191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6195768"/>
        <c:crosses val="autoZero"/>
        <c:auto val="1"/>
        <c:lblAlgn val="ctr"/>
        <c:lblOffset val="100"/>
        <c:noMultiLvlLbl val="0"/>
      </c:catAx>
      <c:valAx>
        <c:axId val="376195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61918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Word]Sheet1'!$H$1</c:f>
              <c:strCache>
                <c:ptCount val="1"/>
                <c:pt idx="0">
                  <c:v>INDEX</c:v>
                </c:pt>
              </c:strCache>
            </c:strRef>
          </c:tx>
          <c:spPr>
            <a:solidFill>
              <a:srgbClr val="0070C0"/>
            </a:solidFill>
            <a:ln>
              <a:noFill/>
            </a:ln>
            <a:effectLst/>
          </c:spPr>
          <c:invertIfNegative val="0"/>
          <c:dPt>
            <c:idx val="3"/>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1-09BE-4CAD-84D3-56C12B53569D}"/>
              </c:ext>
            </c:extLst>
          </c:dPt>
          <c:dPt>
            <c:idx val="13"/>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09BE-4CAD-84D3-56C12B53569D}"/>
              </c:ext>
            </c:extLst>
          </c:dPt>
          <c:dPt>
            <c:idx val="19"/>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5-09BE-4CAD-84D3-56C12B53569D}"/>
              </c:ext>
            </c:extLst>
          </c:dPt>
          <c:dPt>
            <c:idx val="22"/>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7-09BE-4CAD-84D3-56C12B53569D}"/>
              </c:ext>
            </c:extLst>
          </c:dPt>
          <c:cat>
            <c:strRef>
              <c:f>'[Chart in Microsoft Word]Sheet1'!$E$2:$E$51</c:f>
              <c:strCache>
                <c:ptCount val="50"/>
                <c:pt idx="0">
                  <c:v>EUR</c:v>
                </c:pt>
                <c:pt idx="1">
                  <c:v>NAM</c:v>
                </c:pt>
                <c:pt idx="2">
                  <c:v>EUR</c:v>
                </c:pt>
                <c:pt idx="3">
                  <c:v>NAM</c:v>
                </c:pt>
                <c:pt idx="4">
                  <c:v>ASP</c:v>
                </c:pt>
                <c:pt idx="5">
                  <c:v>EUR</c:v>
                </c:pt>
                <c:pt idx="6">
                  <c:v>NAM</c:v>
                </c:pt>
                <c:pt idx="7">
                  <c:v>EUR</c:v>
                </c:pt>
                <c:pt idx="8">
                  <c:v>EUR</c:v>
                </c:pt>
                <c:pt idx="9">
                  <c:v>EUR</c:v>
                </c:pt>
                <c:pt idx="10">
                  <c:v>EUR</c:v>
                </c:pt>
                <c:pt idx="11">
                  <c:v>ASP</c:v>
                </c:pt>
                <c:pt idx="12">
                  <c:v>ASP</c:v>
                </c:pt>
                <c:pt idx="13">
                  <c:v>Sydney</c:v>
                </c:pt>
                <c:pt idx="14">
                  <c:v>EUR</c:v>
                </c:pt>
                <c:pt idx="15">
                  <c:v>NAM</c:v>
                </c:pt>
                <c:pt idx="16">
                  <c:v>LAC</c:v>
                </c:pt>
                <c:pt idx="17">
                  <c:v>LAC</c:v>
                </c:pt>
                <c:pt idx="18">
                  <c:v>EUR</c:v>
                </c:pt>
                <c:pt idx="19">
                  <c:v>EUR</c:v>
                </c:pt>
                <c:pt idx="20">
                  <c:v>EUR</c:v>
                </c:pt>
                <c:pt idx="21">
                  <c:v>EUR</c:v>
                </c:pt>
                <c:pt idx="22">
                  <c:v>ASP</c:v>
                </c:pt>
                <c:pt idx="23">
                  <c:v>NAM</c:v>
                </c:pt>
                <c:pt idx="24">
                  <c:v>EUR</c:v>
                </c:pt>
                <c:pt idx="25">
                  <c:v>EUR</c:v>
                </c:pt>
                <c:pt idx="26">
                  <c:v>AFR</c:v>
                </c:pt>
                <c:pt idx="27">
                  <c:v>EUR</c:v>
                </c:pt>
                <c:pt idx="28">
                  <c:v>EUR</c:v>
                </c:pt>
                <c:pt idx="29">
                  <c:v>ASP</c:v>
                </c:pt>
                <c:pt idx="30">
                  <c:v>EUR</c:v>
                </c:pt>
                <c:pt idx="31">
                  <c:v>NAM</c:v>
                </c:pt>
                <c:pt idx="32">
                  <c:v>ASP</c:v>
                </c:pt>
                <c:pt idx="33">
                  <c:v>EUR</c:v>
                </c:pt>
                <c:pt idx="34">
                  <c:v>NAM</c:v>
                </c:pt>
                <c:pt idx="35">
                  <c:v>EUR</c:v>
                </c:pt>
                <c:pt idx="36">
                  <c:v>LAC</c:v>
                </c:pt>
                <c:pt idx="37">
                  <c:v>NAM</c:v>
                </c:pt>
                <c:pt idx="38">
                  <c:v>EUR</c:v>
                </c:pt>
                <c:pt idx="39">
                  <c:v>ASP</c:v>
                </c:pt>
                <c:pt idx="40">
                  <c:v>EUR</c:v>
                </c:pt>
                <c:pt idx="41">
                  <c:v>MEA</c:v>
                </c:pt>
                <c:pt idx="42">
                  <c:v>ASP</c:v>
                </c:pt>
                <c:pt idx="43">
                  <c:v>ASP</c:v>
                </c:pt>
                <c:pt idx="44">
                  <c:v>EUR</c:v>
                </c:pt>
                <c:pt idx="45">
                  <c:v>EUR</c:v>
                </c:pt>
                <c:pt idx="46">
                  <c:v>ASP</c:v>
                </c:pt>
                <c:pt idx="47">
                  <c:v>EUR</c:v>
                </c:pt>
                <c:pt idx="48">
                  <c:v>ASP</c:v>
                </c:pt>
                <c:pt idx="49">
                  <c:v>ASP</c:v>
                </c:pt>
              </c:strCache>
            </c:strRef>
          </c:cat>
          <c:val>
            <c:numRef>
              <c:f>'[Chart in Microsoft Word]Sheet1'!$H$2:$H$51</c:f>
              <c:numCache>
                <c:formatCode>0</c:formatCode>
                <c:ptCount val="50"/>
                <c:pt idx="0">
                  <c:v>100</c:v>
                </c:pt>
                <c:pt idx="1">
                  <c:v>91</c:v>
                </c:pt>
                <c:pt idx="2">
                  <c:v>81</c:v>
                </c:pt>
                <c:pt idx="3">
                  <c:v>77</c:v>
                </c:pt>
                <c:pt idx="4">
                  <c:v>76</c:v>
                </c:pt>
                <c:pt idx="5">
                  <c:v>74</c:v>
                </c:pt>
                <c:pt idx="6">
                  <c:v>74</c:v>
                </c:pt>
                <c:pt idx="7">
                  <c:v>72</c:v>
                </c:pt>
                <c:pt idx="8">
                  <c:v>71</c:v>
                </c:pt>
                <c:pt idx="9">
                  <c:v>70</c:v>
                </c:pt>
                <c:pt idx="10">
                  <c:v>69</c:v>
                </c:pt>
                <c:pt idx="11">
                  <c:v>64</c:v>
                </c:pt>
                <c:pt idx="12">
                  <c:v>63</c:v>
                </c:pt>
                <c:pt idx="13">
                  <c:v>63</c:v>
                </c:pt>
                <c:pt idx="14">
                  <c:v>63</c:v>
                </c:pt>
                <c:pt idx="15">
                  <c:v>62</c:v>
                </c:pt>
                <c:pt idx="16">
                  <c:v>62</c:v>
                </c:pt>
                <c:pt idx="17">
                  <c:v>60</c:v>
                </c:pt>
                <c:pt idx="18">
                  <c:v>58</c:v>
                </c:pt>
                <c:pt idx="19">
                  <c:v>57</c:v>
                </c:pt>
                <c:pt idx="20">
                  <c:v>56</c:v>
                </c:pt>
                <c:pt idx="21">
                  <c:v>56</c:v>
                </c:pt>
                <c:pt idx="22">
                  <c:v>54</c:v>
                </c:pt>
                <c:pt idx="23">
                  <c:v>53</c:v>
                </c:pt>
                <c:pt idx="24">
                  <c:v>51</c:v>
                </c:pt>
                <c:pt idx="25">
                  <c:v>50</c:v>
                </c:pt>
                <c:pt idx="26">
                  <c:v>50</c:v>
                </c:pt>
                <c:pt idx="27">
                  <c:v>50</c:v>
                </c:pt>
                <c:pt idx="28">
                  <c:v>49</c:v>
                </c:pt>
                <c:pt idx="29">
                  <c:v>49</c:v>
                </c:pt>
                <c:pt idx="30">
                  <c:v>48</c:v>
                </c:pt>
                <c:pt idx="31">
                  <c:v>48</c:v>
                </c:pt>
                <c:pt idx="32">
                  <c:v>47</c:v>
                </c:pt>
                <c:pt idx="33">
                  <c:v>47</c:v>
                </c:pt>
                <c:pt idx="34">
                  <c:v>47</c:v>
                </c:pt>
                <c:pt idx="35">
                  <c:v>47</c:v>
                </c:pt>
                <c:pt idx="36">
                  <c:v>46</c:v>
                </c:pt>
                <c:pt idx="37">
                  <c:v>43</c:v>
                </c:pt>
                <c:pt idx="38">
                  <c:v>41</c:v>
                </c:pt>
                <c:pt idx="39">
                  <c:v>40</c:v>
                </c:pt>
                <c:pt idx="40">
                  <c:v>37</c:v>
                </c:pt>
                <c:pt idx="41">
                  <c:v>36</c:v>
                </c:pt>
                <c:pt idx="42">
                  <c:v>36</c:v>
                </c:pt>
                <c:pt idx="43">
                  <c:v>36</c:v>
                </c:pt>
                <c:pt idx="44">
                  <c:v>34</c:v>
                </c:pt>
                <c:pt idx="45">
                  <c:v>33</c:v>
                </c:pt>
                <c:pt idx="46">
                  <c:v>31</c:v>
                </c:pt>
                <c:pt idx="47">
                  <c:v>28</c:v>
                </c:pt>
                <c:pt idx="48">
                  <c:v>27</c:v>
                </c:pt>
                <c:pt idx="49">
                  <c:v>23</c:v>
                </c:pt>
              </c:numCache>
            </c:numRef>
          </c:val>
          <c:extLst xmlns:c16r2="http://schemas.microsoft.com/office/drawing/2015/06/chart">
            <c:ext xmlns:c16="http://schemas.microsoft.com/office/drawing/2014/chart" uri="{C3380CC4-5D6E-409C-BE32-E72D297353CC}">
              <c16:uniqueId val="{00000008-09BE-4CAD-84D3-56C12B53569D}"/>
            </c:ext>
          </c:extLst>
        </c:ser>
        <c:dLbls>
          <c:showLegendKey val="0"/>
          <c:showVal val="0"/>
          <c:showCatName val="0"/>
          <c:showSerName val="0"/>
          <c:showPercent val="0"/>
          <c:showBubbleSize val="0"/>
        </c:dLbls>
        <c:gapWidth val="219"/>
        <c:overlap val="-27"/>
        <c:axId val="376193808"/>
        <c:axId val="376192240"/>
      </c:barChart>
      <c:catAx>
        <c:axId val="37619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6192240"/>
        <c:crosses val="autoZero"/>
        <c:auto val="1"/>
        <c:lblAlgn val="ctr"/>
        <c:lblOffset val="100"/>
        <c:noMultiLvlLbl val="0"/>
      </c:catAx>
      <c:valAx>
        <c:axId val="37619224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6193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Sheet4!$B$1</c:f>
              <c:strCache>
                <c:ptCount val="1"/>
                <c:pt idx="0">
                  <c:v>Capex/Turnover (%)</c:v>
                </c:pt>
              </c:strCache>
            </c:strRef>
          </c:tx>
          <c:spPr>
            <a:solidFill>
              <a:srgbClr val="0070C0"/>
            </a:solidFill>
            <a:ln>
              <a:noFill/>
            </a:ln>
            <a:effectLst/>
          </c:spPr>
          <c:invertIfNegative val="0"/>
          <c:dPt>
            <c:idx val="3"/>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1-487C-46E7-BB81-4D036E7272BE}"/>
              </c:ext>
            </c:extLst>
          </c:dPt>
          <c:dPt>
            <c:idx val="4"/>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3-487C-46E7-BB81-4D036E7272BE}"/>
              </c:ext>
            </c:extLst>
          </c:dPt>
          <c:dPt>
            <c:idx val="5"/>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5-487C-46E7-BB81-4D036E7272BE}"/>
              </c:ext>
            </c:extLst>
          </c:dPt>
          <c:dPt>
            <c:idx val="8"/>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7-487C-46E7-BB81-4D036E7272BE}"/>
              </c:ext>
            </c:extLst>
          </c:dPt>
          <c:dPt>
            <c:idx val="11"/>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9-487C-46E7-BB81-4D036E7272BE}"/>
              </c:ext>
            </c:extLst>
          </c:dPt>
          <c:dPt>
            <c:idx val="1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B-487C-46E7-BB81-4D036E7272BE}"/>
              </c:ext>
            </c:extLst>
          </c:dPt>
          <c:dPt>
            <c:idx val="17"/>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D-487C-46E7-BB81-4D036E7272BE}"/>
              </c:ext>
            </c:extLst>
          </c:dPt>
          <c:dPt>
            <c:idx val="19"/>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F-487C-46E7-BB81-4D036E7272BE}"/>
              </c:ext>
            </c:extLst>
          </c:dPt>
          <c:dPt>
            <c:idx val="22"/>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11-487C-46E7-BB81-4D036E7272BE}"/>
              </c:ext>
            </c:extLst>
          </c:dPt>
          <c:dPt>
            <c:idx val="24"/>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13-487C-46E7-BB81-4D036E7272BE}"/>
              </c:ext>
            </c:extLst>
          </c:dPt>
          <c:dPt>
            <c:idx val="32"/>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15-487C-46E7-BB81-4D036E7272BE}"/>
              </c:ext>
            </c:extLst>
          </c:dPt>
          <c:dPt>
            <c:idx val="33"/>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17-487C-46E7-BB81-4D036E7272BE}"/>
              </c:ext>
            </c:extLst>
          </c:dPt>
          <c:dPt>
            <c:idx val="42"/>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19-487C-46E7-BB81-4D036E7272BE}"/>
              </c:ext>
            </c:extLst>
          </c:dPt>
          <c:dPt>
            <c:idx val="46"/>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1B-487C-46E7-BB81-4D036E7272BE}"/>
              </c:ext>
            </c:extLst>
          </c:dPt>
          <c:cat>
            <c:strRef>
              <c:f>Sheet4!$A$2:$A$51</c:f>
              <c:strCache>
                <c:ptCount val="50"/>
                <c:pt idx="0">
                  <c:v>NAM</c:v>
                </c:pt>
                <c:pt idx="1">
                  <c:v>NAM</c:v>
                </c:pt>
                <c:pt idx="2">
                  <c:v>NAM</c:v>
                </c:pt>
                <c:pt idx="3">
                  <c:v>ASP</c:v>
                </c:pt>
                <c:pt idx="4">
                  <c:v>EUR</c:v>
                </c:pt>
                <c:pt idx="5">
                  <c:v>ASP</c:v>
                </c:pt>
                <c:pt idx="6">
                  <c:v>NAM</c:v>
                </c:pt>
                <c:pt idx="7">
                  <c:v>EUR</c:v>
                </c:pt>
                <c:pt idx="8">
                  <c:v>Perth</c:v>
                </c:pt>
                <c:pt idx="9">
                  <c:v>NAM</c:v>
                </c:pt>
                <c:pt idx="10">
                  <c:v>ASP</c:v>
                </c:pt>
                <c:pt idx="11">
                  <c:v>Brisbane</c:v>
                </c:pt>
                <c:pt idx="12">
                  <c:v>Melbourne</c:v>
                </c:pt>
                <c:pt idx="13">
                  <c:v>EUR</c:v>
                </c:pt>
                <c:pt idx="14">
                  <c:v>EUR</c:v>
                </c:pt>
                <c:pt idx="15">
                  <c:v>NAM</c:v>
                </c:pt>
                <c:pt idx="16">
                  <c:v>EUR</c:v>
                </c:pt>
                <c:pt idx="17">
                  <c:v>Sydney</c:v>
                </c:pt>
                <c:pt idx="18">
                  <c:v>ASP</c:v>
                </c:pt>
                <c:pt idx="19">
                  <c:v>EUR</c:v>
                </c:pt>
                <c:pt idx="20">
                  <c:v>EUR</c:v>
                </c:pt>
                <c:pt idx="21">
                  <c:v>LAC</c:v>
                </c:pt>
                <c:pt idx="22">
                  <c:v>EUR</c:v>
                </c:pt>
                <c:pt idx="23">
                  <c:v>ASP</c:v>
                </c:pt>
                <c:pt idx="24">
                  <c:v>EUR</c:v>
                </c:pt>
                <c:pt idx="25">
                  <c:v>EUR</c:v>
                </c:pt>
                <c:pt idx="26">
                  <c:v>AFR</c:v>
                </c:pt>
                <c:pt idx="27">
                  <c:v>EUR</c:v>
                </c:pt>
                <c:pt idx="28">
                  <c:v>EUR</c:v>
                </c:pt>
                <c:pt idx="29">
                  <c:v>ASP</c:v>
                </c:pt>
                <c:pt idx="30">
                  <c:v>EUR</c:v>
                </c:pt>
                <c:pt idx="31">
                  <c:v>EUR</c:v>
                </c:pt>
                <c:pt idx="32">
                  <c:v>LAC</c:v>
                </c:pt>
                <c:pt idx="33">
                  <c:v>EUR</c:v>
                </c:pt>
                <c:pt idx="34">
                  <c:v>AFR</c:v>
                </c:pt>
                <c:pt idx="35">
                  <c:v>NAM</c:v>
                </c:pt>
                <c:pt idx="36">
                  <c:v>ASP</c:v>
                </c:pt>
                <c:pt idx="37">
                  <c:v>EUR</c:v>
                </c:pt>
                <c:pt idx="38">
                  <c:v>NAM</c:v>
                </c:pt>
                <c:pt idx="39">
                  <c:v>NAM</c:v>
                </c:pt>
                <c:pt idx="40">
                  <c:v>ASP</c:v>
                </c:pt>
                <c:pt idx="41">
                  <c:v>EUR</c:v>
                </c:pt>
                <c:pt idx="42">
                  <c:v>EUR</c:v>
                </c:pt>
                <c:pt idx="43">
                  <c:v>NAM</c:v>
                </c:pt>
                <c:pt idx="44">
                  <c:v>ASP</c:v>
                </c:pt>
                <c:pt idx="45">
                  <c:v>AFR</c:v>
                </c:pt>
                <c:pt idx="46">
                  <c:v>EUR</c:v>
                </c:pt>
                <c:pt idx="47">
                  <c:v>EUR</c:v>
                </c:pt>
                <c:pt idx="48">
                  <c:v>EUR</c:v>
                </c:pt>
                <c:pt idx="49">
                  <c:v>ASP</c:v>
                </c:pt>
              </c:strCache>
            </c:strRef>
          </c:cat>
          <c:val>
            <c:numRef>
              <c:f>Sheet4!$B$2:$B$51</c:f>
              <c:numCache>
                <c:formatCode>0%</c:formatCode>
                <c:ptCount val="50"/>
                <c:pt idx="0">
                  <c:v>1.4390000000000001</c:v>
                </c:pt>
                <c:pt idx="1">
                  <c:v>0.77300000000000002</c:v>
                </c:pt>
                <c:pt idx="2">
                  <c:v>0.67200000000000004</c:v>
                </c:pt>
                <c:pt idx="3">
                  <c:v>0.65200000000000002</c:v>
                </c:pt>
                <c:pt idx="4">
                  <c:v>0.622</c:v>
                </c:pt>
                <c:pt idx="5">
                  <c:v>0.57399999999999995</c:v>
                </c:pt>
                <c:pt idx="6">
                  <c:v>0.49099999999999999</c:v>
                </c:pt>
                <c:pt idx="7">
                  <c:v>0.48799999999999999</c:v>
                </c:pt>
                <c:pt idx="8">
                  <c:v>0.47</c:v>
                </c:pt>
                <c:pt idx="9">
                  <c:v>0.45700000000000002</c:v>
                </c:pt>
                <c:pt idx="10">
                  <c:v>0.437</c:v>
                </c:pt>
                <c:pt idx="11">
                  <c:v>0.41099999999999998</c:v>
                </c:pt>
                <c:pt idx="12">
                  <c:v>0.35699999999999998</c:v>
                </c:pt>
                <c:pt idx="13">
                  <c:v>0.35599999999999998</c:v>
                </c:pt>
                <c:pt idx="14">
                  <c:v>0.32700000000000001</c:v>
                </c:pt>
                <c:pt idx="15">
                  <c:v>0.32</c:v>
                </c:pt>
                <c:pt idx="16">
                  <c:v>0.30499999999999999</c:v>
                </c:pt>
                <c:pt idx="17">
                  <c:v>0.30399999999999999</c:v>
                </c:pt>
                <c:pt idx="18">
                  <c:v>0.30099999999999999</c:v>
                </c:pt>
                <c:pt idx="19">
                  <c:v>0.29599999999999999</c:v>
                </c:pt>
                <c:pt idx="20">
                  <c:v>0.28799999999999998</c:v>
                </c:pt>
                <c:pt idx="21">
                  <c:v>0.28199999999999997</c:v>
                </c:pt>
                <c:pt idx="22">
                  <c:v>0.27200000000000002</c:v>
                </c:pt>
                <c:pt idx="23">
                  <c:v>0.224</c:v>
                </c:pt>
                <c:pt idx="24">
                  <c:v>0.22</c:v>
                </c:pt>
                <c:pt idx="25">
                  <c:v>0.21</c:v>
                </c:pt>
                <c:pt idx="26">
                  <c:v>0.19600000000000001</c:v>
                </c:pt>
                <c:pt idx="27">
                  <c:v>0.19600000000000001</c:v>
                </c:pt>
                <c:pt idx="28">
                  <c:v>0.192</c:v>
                </c:pt>
                <c:pt idx="29">
                  <c:v>0.191</c:v>
                </c:pt>
                <c:pt idx="30">
                  <c:v>0.189</c:v>
                </c:pt>
                <c:pt idx="31">
                  <c:v>0.17599999999999999</c:v>
                </c:pt>
                <c:pt idx="32">
                  <c:v>0.159</c:v>
                </c:pt>
                <c:pt idx="33">
                  <c:v>0.158</c:v>
                </c:pt>
                <c:pt idx="34">
                  <c:v>0.14599999999999999</c:v>
                </c:pt>
                <c:pt idx="35">
                  <c:v>0.14599999999999999</c:v>
                </c:pt>
                <c:pt idx="36">
                  <c:v>0.14599999999999999</c:v>
                </c:pt>
                <c:pt idx="37">
                  <c:v>0.14399999999999999</c:v>
                </c:pt>
                <c:pt idx="38">
                  <c:v>0.13500000000000001</c:v>
                </c:pt>
                <c:pt idx="39">
                  <c:v>0.13400000000000001</c:v>
                </c:pt>
                <c:pt idx="40">
                  <c:v>0.13200000000000001</c:v>
                </c:pt>
                <c:pt idx="41">
                  <c:v>0.11700000000000001</c:v>
                </c:pt>
                <c:pt idx="42">
                  <c:v>0.112</c:v>
                </c:pt>
                <c:pt idx="43">
                  <c:v>0.10199999999999999</c:v>
                </c:pt>
                <c:pt idx="44">
                  <c:v>8.7999999999999995E-2</c:v>
                </c:pt>
                <c:pt idx="45">
                  <c:v>8.4000000000000005E-2</c:v>
                </c:pt>
                <c:pt idx="46">
                  <c:v>7.0000000000000007E-2</c:v>
                </c:pt>
                <c:pt idx="47">
                  <c:v>1.9E-2</c:v>
                </c:pt>
                <c:pt idx="48">
                  <c:v>3.0000000000000001E-3</c:v>
                </c:pt>
                <c:pt idx="49">
                  <c:v>0</c:v>
                </c:pt>
              </c:numCache>
            </c:numRef>
          </c:val>
          <c:extLst xmlns:c16r2="http://schemas.microsoft.com/office/drawing/2015/06/chart">
            <c:ext xmlns:c16="http://schemas.microsoft.com/office/drawing/2014/chart" uri="{C3380CC4-5D6E-409C-BE32-E72D297353CC}">
              <c16:uniqueId val="{0000001C-487C-46E7-BB81-4D036E7272BE}"/>
            </c:ext>
          </c:extLst>
        </c:ser>
        <c:dLbls>
          <c:showLegendKey val="0"/>
          <c:showVal val="0"/>
          <c:showCatName val="0"/>
          <c:showSerName val="0"/>
          <c:showPercent val="0"/>
          <c:showBubbleSize val="0"/>
        </c:dLbls>
        <c:gapWidth val="219"/>
        <c:overlap val="-27"/>
        <c:axId val="379420656"/>
        <c:axId val="379416344"/>
      </c:barChart>
      <c:catAx>
        <c:axId val="37942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9416344"/>
        <c:crosses val="autoZero"/>
        <c:auto val="1"/>
        <c:lblAlgn val="ctr"/>
        <c:lblOffset val="100"/>
        <c:noMultiLvlLbl val="0"/>
      </c:catAx>
      <c:valAx>
        <c:axId val="379416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9420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Sheet5!$B$1</c:f>
              <c:strCache>
                <c:ptCount val="1"/>
                <c:pt idx="0">
                  <c:v> Total Costs/Passenger </c:v>
                </c:pt>
              </c:strCache>
            </c:strRef>
          </c:tx>
          <c:spPr>
            <a:solidFill>
              <a:srgbClr val="0070C0"/>
            </a:solidFill>
            <a:ln>
              <a:noFill/>
            </a:ln>
            <a:effectLst/>
          </c:spPr>
          <c:invertIfNegative val="0"/>
          <c:dPt>
            <c:idx val="3"/>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1-DB04-4E9F-A9A2-F69B963F67C4}"/>
              </c:ext>
            </c:extLst>
          </c:dPt>
          <c:dPt>
            <c:idx val="19"/>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3-DB04-4E9F-A9A2-F69B963F67C4}"/>
              </c:ext>
            </c:extLst>
          </c:dPt>
          <c:dPt>
            <c:idx val="22"/>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5-DB04-4E9F-A9A2-F69B963F67C4}"/>
              </c:ext>
            </c:extLst>
          </c:dPt>
          <c:dPt>
            <c:idx val="29"/>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7-DB04-4E9F-A9A2-F69B963F67C4}"/>
              </c:ext>
            </c:extLst>
          </c:dPt>
          <c:dPt>
            <c:idx val="32"/>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9-DB04-4E9F-A9A2-F69B963F67C4}"/>
              </c:ext>
            </c:extLst>
          </c:dPt>
          <c:dPt>
            <c:idx val="33"/>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B-DB04-4E9F-A9A2-F69B963F67C4}"/>
              </c:ext>
            </c:extLst>
          </c:dPt>
          <c:dPt>
            <c:idx val="35"/>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D-DB04-4E9F-A9A2-F69B963F67C4}"/>
              </c:ext>
            </c:extLst>
          </c:dPt>
          <c:dPt>
            <c:idx val="42"/>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F-DB04-4E9F-A9A2-F69B963F67C4}"/>
              </c:ext>
            </c:extLst>
          </c:dPt>
          <c:dPt>
            <c:idx val="44"/>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11-DB04-4E9F-A9A2-F69B963F67C4}"/>
              </c:ext>
            </c:extLst>
          </c:dPt>
          <c:dPt>
            <c:idx val="46"/>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13-DB04-4E9F-A9A2-F69B963F67C4}"/>
              </c:ext>
            </c:extLst>
          </c:dPt>
          <c:cat>
            <c:strRef>
              <c:f>Sheet5!$A$2:$A$51</c:f>
              <c:strCache>
                <c:ptCount val="50"/>
                <c:pt idx="0">
                  <c:v>EUR</c:v>
                </c:pt>
                <c:pt idx="1">
                  <c:v>ASP</c:v>
                </c:pt>
                <c:pt idx="2">
                  <c:v>EUR</c:v>
                </c:pt>
                <c:pt idx="3">
                  <c:v>EUR</c:v>
                </c:pt>
                <c:pt idx="4">
                  <c:v>EUR</c:v>
                </c:pt>
                <c:pt idx="5">
                  <c:v>EUR</c:v>
                </c:pt>
                <c:pt idx="6">
                  <c:v>NAM</c:v>
                </c:pt>
                <c:pt idx="7">
                  <c:v>EUR</c:v>
                </c:pt>
                <c:pt idx="8">
                  <c:v>EUR</c:v>
                </c:pt>
                <c:pt idx="9">
                  <c:v>EUR</c:v>
                </c:pt>
                <c:pt idx="10">
                  <c:v>EUR</c:v>
                </c:pt>
                <c:pt idx="11">
                  <c:v>NAM</c:v>
                </c:pt>
                <c:pt idx="12">
                  <c:v>ASP</c:v>
                </c:pt>
                <c:pt idx="13">
                  <c:v>EUR</c:v>
                </c:pt>
                <c:pt idx="14">
                  <c:v>EUR</c:v>
                </c:pt>
                <c:pt idx="15">
                  <c:v>ASP</c:v>
                </c:pt>
                <c:pt idx="16">
                  <c:v>ASP</c:v>
                </c:pt>
                <c:pt idx="17">
                  <c:v>NAM</c:v>
                </c:pt>
                <c:pt idx="18">
                  <c:v>EUR</c:v>
                </c:pt>
                <c:pt idx="19">
                  <c:v>EUR</c:v>
                </c:pt>
                <c:pt idx="20">
                  <c:v>EUR</c:v>
                </c:pt>
                <c:pt idx="21">
                  <c:v>NAM</c:v>
                </c:pt>
                <c:pt idx="22">
                  <c:v>EUR</c:v>
                </c:pt>
                <c:pt idx="23">
                  <c:v>NAM</c:v>
                </c:pt>
                <c:pt idx="24">
                  <c:v>EUR</c:v>
                </c:pt>
                <c:pt idx="25">
                  <c:v>EUR</c:v>
                </c:pt>
                <c:pt idx="26">
                  <c:v>NAM</c:v>
                </c:pt>
                <c:pt idx="27">
                  <c:v>EUR</c:v>
                </c:pt>
                <c:pt idx="28">
                  <c:v>NAM</c:v>
                </c:pt>
                <c:pt idx="29">
                  <c:v>Perth</c:v>
                </c:pt>
                <c:pt idx="30">
                  <c:v>EUR</c:v>
                </c:pt>
                <c:pt idx="31">
                  <c:v>NAM</c:v>
                </c:pt>
                <c:pt idx="32">
                  <c:v>NAM</c:v>
                </c:pt>
                <c:pt idx="33">
                  <c:v>EUR</c:v>
                </c:pt>
                <c:pt idx="34">
                  <c:v>ASP</c:v>
                </c:pt>
                <c:pt idx="35">
                  <c:v>Sydney</c:v>
                </c:pt>
                <c:pt idx="36">
                  <c:v>EUR</c:v>
                </c:pt>
                <c:pt idx="37">
                  <c:v>AFR</c:v>
                </c:pt>
                <c:pt idx="38">
                  <c:v>NAM</c:v>
                </c:pt>
                <c:pt idx="39">
                  <c:v>AFR</c:v>
                </c:pt>
                <c:pt idx="40">
                  <c:v>LAC</c:v>
                </c:pt>
                <c:pt idx="41">
                  <c:v>ASP</c:v>
                </c:pt>
                <c:pt idx="42">
                  <c:v>Brisbane</c:v>
                </c:pt>
                <c:pt idx="43">
                  <c:v>AFR</c:v>
                </c:pt>
                <c:pt idx="44">
                  <c:v>Melbourne</c:v>
                </c:pt>
                <c:pt idx="45">
                  <c:v>ASP</c:v>
                </c:pt>
                <c:pt idx="46">
                  <c:v>LAC</c:v>
                </c:pt>
                <c:pt idx="47">
                  <c:v>ASP</c:v>
                </c:pt>
                <c:pt idx="48">
                  <c:v>ASP</c:v>
                </c:pt>
                <c:pt idx="49">
                  <c:v>ASP</c:v>
                </c:pt>
              </c:strCache>
            </c:strRef>
          </c:cat>
          <c:val>
            <c:numRef>
              <c:f>Sheet5!$B$2:$B$51</c:f>
              <c:numCache>
                <c:formatCode>_-* #,##0_-;\-* #,##0_-;_-* "-"??_-;_-@_-</c:formatCode>
                <c:ptCount val="50"/>
                <c:pt idx="0">
                  <c:v>26.65</c:v>
                </c:pt>
                <c:pt idx="1">
                  <c:v>26.29</c:v>
                </c:pt>
                <c:pt idx="2">
                  <c:v>18.989999999999998</c:v>
                </c:pt>
                <c:pt idx="3">
                  <c:v>15.31</c:v>
                </c:pt>
                <c:pt idx="4">
                  <c:v>14.38</c:v>
                </c:pt>
                <c:pt idx="5">
                  <c:v>13.58</c:v>
                </c:pt>
                <c:pt idx="6">
                  <c:v>13.32</c:v>
                </c:pt>
                <c:pt idx="7">
                  <c:v>13.19</c:v>
                </c:pt>
                <c:pt idx="8">
                  <c:v>13.04</c:v>
                </c:pt>
                <c:pt idx="9">
                  <c:v>12.22</c:v>
                </c:pt>
                <c:pt idx="10">
                  <c:v>12.15</c:v>
                </c:pt>
                <c:pt idx="11">
                  <c:v>12.14</c:v>
                </c:pt>
                <c:pt idx="12">
                  <c:v>12</c:v>
                </c:pt>
                <c:pt idx="13">
                  <c:v>11.94</c:v>
                </c:pt>
                <c:pt idx="14">
                  <c:v>11.84</c:v>
                </c:pt>
                <c:pt idx="15">
                  <c:v>11.43</c:v>
                </c:pt>
                <c:pt idx="16">
                  <c:v>11.42</c:v>
                </c:pt>
                <c:pt idx="17">
                  <c:v>11.32</c:v>
                </c:pt>
                <c:pt idx="18">
                  <c:v>11.24</c:v>
                </c:pt>
                <c:pt idx="19">
                  <c:v>10.91</c:v>
                </c:pt>
                <c:pt idx="20">
                  <c:v>10.07</c:v>
                </c:pt>
                <c:pt idx="21">
                  <c:v>9.84</c:v>
                </c:pt>
                <c:pt idx="22">
                  <c:v>9.56</c:v>
                </c:pt>
                <c:pt idx="23">
                  <c:v>9.4600000000000009</c:v>
                </c:pt>
                <c:pt idx="24">
                  <c:v>9.31</c:v>
                </c:pt>
                <c:pt idx="25">
                  <c:v>9.26</c:v>
                </c:pt>
                <c:pt idx="26">
                  <c:v>9.2100000000000009</c:v>
                </c:pt>
                <c:pt idx="27">
                  <c:v>9.1199999999999992</c:v>
                </c:pt>
                <c:pt idx="28">
                  <c:v>8.8800000000000008</c:v>
                </c:pt>
                <c:pt idx="29">
                  <c:v>8.74</c:v>
                </c:pt>
                <c:pt idx="30">
                  <c:v>8.1199999999999992</c:v>
                </c:pt>
                <c:pt idx="31">
                  <c:v>8</c:v>
                </c:pt>
                <c:pt idx="32">
                  <c:v>7.73</c:v>
                </c:pt>
                <c:pt idx="33">
                  <c:v>7.65</c:v>
                </c:pt>
                <c:pt idx="34">
                  <c:v>7.13</c:v>
                </c:pt>
                <c:pt idx="35">
                  <c:v>6.96</c:v>
                </c:pt>
                <c:pt idx="36">
                  <c:v>6.85</c:v>
                </c:pt>
                <c:pt idx="37">
                  <c:v>6.41</c:v>
                </c:pt>
                <c:pt idx="38">
                  <c:v>6.21</c:v>
                </c:pt>
                <c:pt idx="39">
                  <c:v>6.08</c:v>
                </c:pt>
                <c:pt idx="40">
                  <c:v>5.99</c:v>
                </c:pt>
                <c:pt idx="41">
                  <c:v>5.87</c:v>
                </c:pt>
                <c:pt idx="42">
                  <c:v>5.85</c:v>
                </c:pt>
                <c:pt idx="43">
                  <c:v>5.68</c:v>
                </c:pt>
                <c:pt idx="44">
                  <c:v>5.63</c:v>
                </c:pt>
                <c:pt idx="45">
                  <c:v>4.3099999999999996</c:v>
                </c:pt>
                <c:pt idx="46">
                  <c:v>4.04</c:v>
                </c:pt>
                <c:pt idx="47">
                  <c:v>3.95</c:v>
                </c:pt>
                <c:pt idx="48">
                  <c:v>3.41</c:v>
                </c:pt>
                <c:pt idx="49">
                  <c:v>3.05</c:v>
                </c:pt>
              </c:numCache>
            </c:numRef>
          </c:val>
          <c:extLst xmlns:c16r2="http://schemas.microsoft.com/office/drawing/2015/06/chart">
            <c:ext xmlns:c16="http://schemas.microsoft.com/office/drawing/2014/chart" uri="{C3380CC4-5D6E-409C-BE32-E72D297353CC}">
              <c16:uniqueId val="{00000014-DB04-4E9F-A9A2-F69B963F67C4}"/>
            </c:ext>
          </c:extLst>
        </c:ser>
        <c:dLbls>
          <c:showLegendKey val="0"/>
          <c:showVal val="0"/>
          <c:showCatName val="0"/>
          <c:showSerName val="0"/>
          <c:showPercent val="0"/>
          <c:showBubbleSize val="0"/>
        </c:dLbls>
        <c:gapWidth val="219"/>
        <c:overlap val="-27"/>
        <c:axId val="379418696"/>
        <c:axId val="379421832"/>
      </c:barChart>
      <c:catAx>
        <c:axId val="379418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9421832"/>
        <c:crosses val="autoZero"/>
        <c:auto val="1"/>
        <c:lblAlgn val="ctr"/>
        <c:lblOffset val="100"/>
        <c:noMultiLvlLbl val="0"/>
      </c:catAx>
      <c:valAx>
        <c:axId val="379421832"/>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94186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5CAAC04014419143920B453979826CE1" ma:contentTypeVersion="0" ma:contentTypeDescription="" ma:contentTypeScope="" ma:versionID="2cb2c1f0be405c3b4e46e7ed483c4f3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PCDOC-755228684-23</_dlc_DocId>
    <_dlc_DocIdUrl xmlns="3f4bcce7-ac1a-4c9d-aa3e-7e77695652db">
      <Url>http://inet.pc.gov.au/pmo/inq/aps/_layouts/15/DocIdRedir.aspx?ID=PCDOC-755228684-23</Url>
      <Description>PCDOC-755228684-23</Description>
    </_dlc_DocIdUrl>
  </documentManagement>
</p:propertie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2F1C6-C024-4F21-9E7F-AF8C5E374EFA}">
  <ds:schemaRefs>
    <ds:schemaRef ds:uri="http://schemas.microsoft.com/sharepoint/v3/contenttype/forms"/>
  </ds:schemaRefs>
</ds:datastoreItem>
</file>

<file path=customXml/itemProps2.xml><?xml version="1.0" encoding="utf-8"?>
<ds:datastoreItem xmlns:ds="http://schemas.openxmlformats.org/officeDocument/2006/customXml" ds:itemID="{ED8C5308-5C44-4D65-8932-D03A141F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842C1-F5D5-468E-BF0C-5D912972F116}">
  <ds:schemaRefs>
    <ds:schemaRef ds:uri="http://schemas.microsoft.com/sharepoint/events"/>
  </ds:schemaRefs>
</ds:datastoreItem>
</file>

<file path=customXml/itemProps4.xml><?xml version="1.0" encoding="utf-8"?>
<ds:datastoreItem xmlns:ds="http://schemas.openxmlformats.org/officeDocument/2006/customXml" ds:itemID="{66F7F8D7-B34A-4090-93A8-759D1F0B5266}">
  <ds:schemaRefs>
    <ds:schemaRef ds:uri="http://schemas.microsoft.com/office/2006/metadata/customXsn"/>
  </ds:schemaRefs>
</ds:datastoreItem>
</file>

<file path=customXml/itemProps5.xml><?xml version="1.0" encoding="utf-8"?>
<ds:datastoreItem xmlns:ds="http://schemas.openxmlformats.org/officeDocument/2006/customXml" ds:itemID="{0D2B5932-84F6-453C-9484-31820E16DE46}">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purl.org/dc/elements/1.1/"/>
    <ds:schemaRef ds:uri="http://schemas.microsoft.com/sharepoint/v3"/>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63129923-BB63-4ACF-9DD6-7015E8F73ADF}">
  <ds:schemaRefs>
    <ds:schemaRef ds:uri="Microsoft.SharePoint.Taxonomy.ContentTypeSync"/>
  </ds:schemaRefs>
</ds:datastoreItem>
</file>

<file path=customXml/itemProps7.xml><?xml version="1.0" encoding="utf-8"?>
<ds:datastoreItem xmlns:ds="http://schemas.openxmlformats.org/officeDocument/2006/customXml" ds:itemID="{FAF3EB27-7EAB-490E-BE3C-AB27155D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Submission 16 - Airports Council International (ACI) World - Economic Regulation of Airports - Public inquiry </vt:lpstr>
    </vt:vector>
  </TitlesOfParts>
  <Company>Airports Council International (ACI) World </Company>
  <LinksUpToDate>false</LinksUpToDate>
  <CharactersWithSpaces>14235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Airports Council International (ACI) World - Economic Regulation of Airports - Public inquiry </dc:title>
  <dc:subject/>
  <dc:creator>Airports Council International (ACI) World </dc:creator>
  <cp:keywords/>
  <dc:description/>
  <cp:lastModifiedBy>Productivity Commission</cp:lastModifiedBy>
  <cp:revision>22</cp:revision>
  <cp:lastPrinted>2018-08-13T11:37:00Z</cp:lastPrinted>
  <dcterms:created xsi:type="dcterms:W3CDTF">2018-08-13T12:23:00Z</dcterms:created>
  <dcterms:modified xsi:type="dcterms:W3CDTF">2018-09-03T23:43:00Z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0x0101007916246811615643A710C6FEAFF56A871105005CAAC04014419143920B453979826CE1</vt:lpwstr>
  </property>
  <property fmtid="{D5CDD505-2E9C-101B-9397-08002B2CF9AE}" pid="3" name="_dlc_DocIdItemGuid">
    <vt:lpwstr>f0c4bcd5-45fb-4e4a-9cf2-1f06892d6d85</vt:lpwstr>
  </property>
  <property fmtid="{D5CDD505-2E9C-101B-9397-08002B2CF9AE}" pid="4" name="Record Tag">
    <vt:lpwstr>139;#Submissions|c6e0dbf8-5444-433c-844d-d567dd519a05</vt:lpwstr>
  </property>
  <property fmtid="{D5CDD505-2E9C-101B-9397-08002B2CF9AE}" pid="5" name="TaxKeyword">
    <vt:lpwstr/>
  </property>
</Properties>
</file>