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7D2A0" w14:textId="77777777" w:rsidR="0048194A" w:rsidRPr="0048194A" w:rsidRDefault="0048194A" w:rsidP="0048194A">
      <w:pPr>
        <w:pStyle w:val="Heading2"/>
        <w:jc w:val="center"/>
        <w:rPr>
          <w:sz w:val="32"/>
          <w:szCs w:val="32"/>
        </w:rPr>
      </w:pPr>
      <w:r w:rsidRPr="0048194A">
        <w:rPr>
          <w:sz w:val="32"/>
          <w:szCs w:val="32"/>
        </w:rPr>
        <w:t xml:space="preserve">Response to </w:t>
      </w:r>
      <w:r w:rsidR="00DA5AA3">
        <w:rPr>
          <w:sz w:val="32"/>
          <w:szCs w:val="32"/>
        </w:rPr>
        <w:t xml:space="preserve">the </w:t>
      </w:r>
      <w:r w:rsidRPr="00DA5AA3">
        <w:rPr>
          <w:noProof/>
          <w:sz w:val="32"/>
          <w:szCs w:val="32"/>
        </w:rPr>
        <w:t>Productivity</w:t>
      </w:r>
      <w:r w:rsidRPr="0048194A">
        <w:rPr>
          <w:sz w:val="32"/>
          <w:szCs w:val="32"/>
        </w:rPr>
        <w:t xml:space="preserve"> Commission </w:t>
      </w:r>
    </w:p>
    <w:p w14:paraId="35A80E74" w14:textId="77777777" w:rsidR="00DB6507" w:rsidRDefault="0048194A" w:rsidP="0048194A">
      <w:pPr>
        <w:pStyle w:val="Heading2"/>
        <w:jc w:val="center"/>
        <w:rPr>
          <w:sz w:val="32"/>
          <w:szCs w:val="32"/>
        </w:rPr>
      </w:pPr>
      <w:r w:rsidRPr="0048194A">
        <w:rPr>
          <w:sz w:val="32"/>
          <w:szCs w:val="32"/>
        </w:rPr>
        <w:t xml:space="preserve">MDBP 5 Year Assessment </w:t>
      </w:r>
      <w:r w:rsidR="002E6761">
        <w:rPr>
          <w:sz w:val="32"/>
          <w:szCs w:val="32"/>
        </w:rPr>
        <w:t xml:space="preserve">Draft </w:t>
      </w:r>
      <w:r w:rsidRPr="0048194A">
        <w:rPr>
          <w:sz w:val="32"/>
          <w:szCs w:val="32"/>
        </w:rPr>
        <w:t>Report</w:t>
      </w:r>
    </w:p>
    <w:p w14:paraId="0B3F592D" w14:textId="77777777" w:rsidR="0048194A" w:rsidRDefault="0048194A" w:rsidP="0048194A"/>
    <w:p w14:paraId="184CCF71" w14:textId="77777777" w:rsidR="0048194A" w:rsidRPr="00040A0C" w:rsidRDefault="00A7035A" w:rsidP="0048194A">
      <w:r w:rsidRPr="00040A0C">
        <w:t>The</w:t>
      </w:r>
      <w:r w:rsidR="001133D9" w:rsidRPr="00040A0C">
        <w:t xml:space="preserve"> following observations </w:t>
      </w:r>
      <w:r w:rsidRPr="00040A0C">
        <w:rPr>
          <w:noProof/>
        </w:rPr>
        <w:t>are offered</w:t>
      </w:r>
      <w:r w:rsidRPr="00040A0C">
        <w:t xml:space="preserve"> </w:t>
      </w:r>
      <w:r w:rsidR="001133D9" w:rsidRPr="00040A0C">
        <w:t>in</w:t>
      </w:r>
      <w:r w:rsidR="002D5E28" w:rsidRPr="00040A0C">
        <w:t xml:space="preserve"> response to</w:t>
      </w:r>
      <w:r w:rsidR="0048194A" w:rsidRPr="00040A0C">
        <w:t xml:space="preserve"> the Productivity Commission Draft Report on the Five-year Assessment of the Murray Darling Basin Plan.</w:t>
      </w:r>
    </w:p>
    <w:p w14:paraId="55BEEF73" w14:textId="77777777" w:rsidR="0048194A" w:rsidRPr="006A3DCC" w:rsidRDefault="003E68BB" w:rsidP="0048194A">
      <w:pPr>
        <w:rPr>
          <w:b/>
          <w:sz w:val="28"/>
          <w:szCs w:val="28"/>
        </w:rPr>
      </w:pPr>
      <w:r w:rsidRPr="006A3DCC">
        <w:rPr>
          <w:b/>
          <w:sz w:val="28"/>
          <w:szCs w:val="28"/>
        </w:rPr>
        <w:t xml:space="preserve">Management of the Coorong, Lower Lakes and Murray Mouth </w:t>
      </w:r>
    </w:p>
    <w:p w14:paraId="18F500F9" w14:textId="77777777" w:rsidR="006A3DCC" w:rsidRPr="006A3DCC" w:rsidRDefault="006A3DCC" w:rsidP="003E68BB">
      <w:pPr>
        <w:rPr>
          <w:b/>
          <w:sz w:val="24"/>
          <w:szCs w:val="24"/>
        </w:rPr>
      </w:pPr>
      <w:r>
        <w:rPr>
          <w:b/>
          <w:sz w:val="24"/>
          <w:szCs w:val="24"/>
        </w:rPr>
        <w:t>South East Drainage Scheme</w:t>
      </w:r>
    </w:p>
    <w:p w14:paraId="0A32FD0B" w14:textId="77777777" w:rsidR="002D5E28" w:rsidRPr="00040A0C" w:rsidRDefault="003E68BB" w:rsidP="003E68BB">
      <w:r w:rsidRPr="00040A0C">
        <w:t>In the context of the Terms of Reference, in particular “t</w:t>
      </w:r>
      <w:bookmarkStart w:id="0" w:name="_GoBack"/>
      <w:bookmarkEnd w:id="0"/>
      <w:r w:rsidRPr="00040A0C">
        <w:t>o support delivery of the objectives and outcomes identified in Chapter 5 of the Basin Plan”</w:t>
      </w:r>
      <w:r w:rsidR="002D5E28" w:rsidRPr="00040A0C">
        <w:t>,</w:t>
      </w:r>
      <w:r w:rsidRPr="00040A0C">
        <w:t xml:space="preserve"> </w:t>
      </w:r>
      <w:r w:rsidR="002D5E28" w:rsidRPr="00040A0C">
        <w:t>I note</w:t>
      </w:r>
      <w:r w:rsidRPr="00040A0C">
        <w:t xml:space="preserve"> that </w:t>
      </w:r>
      <w:r w:rsidR="002D5E28" w:rsidRPr="00040A0C">
        <w:t xml:space="preserve">there is </w:t>
      </w:r>
      <w:r w:rsidRPr="00040A0C">
        <w:rPr>
          <w:noProof/>
        </w:rPr>
        <w:t>very</w:t>
      </w:r>
      <w:r w:rsidRPr="00040A0C">
        <w:t xml:space="preserve"> little discussion </w:t>
      </w:r>
      <w:r w:rsidR="00A61CFB" w:rsidRPr="00040A0C">
        <w:rPr>
          <w:noProof/>
        </w:rPr>
        <w:t xml:space="preserve">of </w:t>
      </w:r>
      <w:r w:rsidR="002D5E28" w:rsidRPr="00040A0C">
        <w:t xml:space="preserve">the </w:t>
      </w:r>
      <w:r w:rsidRPr="00040A0C">
        <w:t xml:space="preserve">water quality of </w:t>
      </w:r>
      <w:r w:rsidR="001133D9" w:rsidRPr="00040A0C">
        <w:t xml:space="preserve">the </w:t>
      </w:r>
      <w:proofErr w:type="spellStart"/>
      <w:r w:rsidRPr="00040A0C">
        <w:t>Ramsar</w:t>
      </w:r>
      <w:proofErr w:type="spellEnd"/>
      <w:r w:rsidRPr="00040A0C">
        <w:t xml:space="preserve"> wetlands.  </w:t>
      </w:r>
    </w:p>
    <w:p w14:paraId="61224564" w14:textId="77777777" w:rsidR="003E68BB" w:rsidRPr="00040A0C" w:rsidRDefault="003E68BB" w:rsidP="003E68BB">
      <w:r w:rsidRPr="00040A0C">
        <w:t>The management of</w:t>
      </w:r>
      <w:r w:rsidR="00655577" w:rsidRPr="00040A0C">
        <w:t xml:space="preserve"> these wetlands</w:t>
      </w:r>
      <w:r w:rsidR="002D5E28" w:rsidRPr="00040A0C">
        <w:t>,</w:t>
      </w:r>
      <w:r w:rsidR="00655577" w:rsidRPr="00040A0C">
        <w:t xml:space="preserve"> encompassing </w:t>
      </w:r>
      <w:r w:rsidR="00DB64BB" w:rsidRPr="00040A0C">
        <w:t>the area of</w:t>
      </w:r>
      <w:r w:rsidRPr="00040A0C">
        <w:t xml:space="preserve"> the Coorong, Lower</w:t>
      </w:r>
      <w:r w:rsidR="00A61CFB" w:rsidRPr="00040A0C">
        <w:t xml:space="preserve"> Lakes and Murray Mouth (CLLMM), </w:t>
      </w:r>
      <w:r w:rsidRPr="00040A0C">
        <w:t>is largely under the control of the SA government, as is the South East Drainage Scheme.</w:t>
      </w:r>
    </w:p>
    <w:p w14:paraId="7ACD0895" w14:textId="77777777" w:rsidR="00A7035A" w:rsidRPr="00040A0C" w:rsidRDefault="00A7035A" w:rsidP="00A7035A">
      <w:r w:rsidRPr="00040A0C">
        <w:t xml:space="preserve">However, the </w:t>
      </w:r>
      <w:r w:rsidRPr="00040A0C">
        <w:rPr>
          <w:noProof/>
        </w:rPr>
        <w:t>south-east</w:t>
      </w:r>
      <w:r w:rsidRPr="00040A0C">
        <w:t xml:space="preserve"> of South Australia, while geographically within the catchment of the Basin, </w:t>
      </w:r>
      <w:r w:rsidR="00C90DA9" w:rsidRPr="00040A0C">
        <w:t xml:space="preserve"> </w:t>
      </w:r>
      <w:r w:rsidRPr="00040A0C">
        <w:t xml:space="preserve">has been excluded from management </w:t>
      </w:r>
      <w:r w:rsidR="001723E0" w:rsidRPr="00040A0C">
        <w:t xml:space="preserve">within the Plan </w:t>
      </w:r>
      <w:r w:rsidRPr="00040A0C">
        <w:t>to avoid accountability for the loss of freshwater under the Plan.</w:t>
      </w:r>
    </w:p>
    <w:p w14:paraId="26CF349E" w14:textId="77777777" w:rsidR="003E69E6" w:rsidRPr="00040A0C" w:rsidRDefault="003E69E6" w:rsidP="00A7035A">
      <w:r w:rsidRPr="00040A0C">
        <w:t>Under the South East Drainage Scheme, l</w:t>
      </w:r>
      <w:r w:rsidR="00A7035A" w:rsidRPr="00040A0C">
        <w:t xml:space="preserve">arge areas of the </w:t>
      </w:r>
      <w:r w:rsidR="00A7035A" w:rsidRPr="00040A0C">
        <w:rPr>
          <w:noProof/>
        </w:rPr>
        <w:t>south-east</w:t>
      </w:r>
      <w:r w:rsidR="00A7035A" w:rsidRPr="00040A0C">
        <w:t xml:space="preserve"> are being drained to improve farmland with </w:t>
      </w:r>
      <w:r w:rsidRPr="00040A0C">
        <w:t>the</w:t>
      </w:r>
      <w:r w:rsidR="00A7035A" w:rsidRPr="00040A0C">
        <w:t xml:space="preserve"> water </w:t>
      </w:r>
      <w:r w:rsidRPr="00040A0C">
        <w:t xml:space="preserve">diverted away from the Coorong and channelled directly to the </w:t>
      </w:r>
      <w:r w:rsidRPr="00040A0C">
        <w:rPr>
          <w:noProof/>
        </w:rPr>
        <w:t>sea</w:t>
      </w:r>
      <w:r w:rsidR="00A7035A" w:rsidRPr="00040A0C">
        <w:t xml:space="preserve">. </w:t>
      </w:r>
      <w:r w:rsidR="001723E0" w:rsidRPr="00040A0C">
        <w:t xml:space="preserve">This loss of fresh water to the Coorong is </w:t>
      </w:r>
      <w:r w:rsidR="002E6761" w:rsidRPr="00040A0C">
        <w:t>a</w:t>
      </w:r>
      <w:r w:rsidR="001723E0" w:rsidRPr="00040A0C">
        <w:t xml:space="preserve"> major contributor to its deterioration. </w:t>
      </w:r>
    </w:p>
    <w:p w14:paraId="762247DE" w14:textId="77777777" w:rsidR="00A7035A" w:rsidRPr="00040A0C" w:rsidRDefault="003E69E6" w:rsidP="00A7035A">
      <w:r w:rsidRPr="00040A0C">
        <w:t xml:space="preserve">The South East Flows Restoration Project, </w:t>
      </w:r>
      <w:r w:rsidRPr="00040A0C">
        <w:rPr>
          <w:noProof/>
        </w:rPr>
        <w:t>a partial</w:t>
      </w:r>
      <w:r w:rsidRPr="00040A0C">
        <w:t xml:space="preserve"> mitigation of the environmental consequences of the South East Drainage Scheme, is expected to increase the flow of fresh</w:t>
      </w:r>
      <w:r w:rsidR="001723E0" w:rsidRPr="00040A0C">
        <w:t xml:space="preserve"> </w:t>
      </w:r>
      <w:r w:rsidRPr="00040A0C">
        <w:t xml:space="preserve">water to the Coorong by 26GL. </w:t>
      </w:r>
      <w:r w:rsidRPr="00040A0C">
        <w:rPr>
          <w:noProof/>
        </w:rPr>
        <w:t>This</w:t>
      </w:r>
      <w:r w:rsidRPr="00040A0C">
        <w:t xml:space="preserve"> </w:t>
      </w:r>
      <w:r w:rsidR="00A7035A" w:rsidRPr="00040A0C">
        <w:t xml:space="preserve">is insufficient to </w:t>
      </w:r>
      <w:r w:rsidRPr="00040A0C">
        <w:t>offset</w:t>
      </w:r>
      <w:r w:rsidR="00A7035A" w:rsidRPr="00040A0C">
        <w:t xml:space="preserve"> the reduction </w:t>
      </w:r>
      <w:r w:rsidRPr="00040A0C">
        <w:t>in</w:t>
      </w:r>
      <w:r w:rsidR="00A7035A" w:rsidRPr="00040A0C">
        <w:t xml:space="preserve"> water quality </w:t>
      </w:r>
      <w:r w:rsidRPr="00040A0C">
        <w:t>in the Coorong arising from</w:t>
      </w:r>
      <w:r w:rsidR="00A7035A" w:rsidRPr="00040A0C">
        <w:t xml:space="preserve"> the diversion of natural freshwater flows.</w:t>
      </w:r>
    </w:p>
    <w:p w14:paraId="1C2C11E0" w14:textId="77777777" w:rsidR="003E69E6" w:rsidRPr="00040A0C" w:rsidRDefault="003E69E6" w:rsidP="003E69E6">
      <w:r w:rsidRPr="00040A0C">
        <w:rPr>
          <w:noProof/>
        </w:rPr>
        <w:t>This</w:t>
      </w:r>
      <w:r w:rsidRPr="00040A0C">
        <w:t xml:space="preserve"> is occurring at the same time as upstream rural communities are forced to relinquish water </w:t>
      </w:r>
      <w:r w:rsidR="001723E0" w:rsidRPr="00040A0C">
        <w:t>with the objective of restoring</w:t>
      </w:r>
      <w:r w:rsidRPr="00040A0C">
        <w:t xml:space="preserve"> water quality in the Coorong. </w:t>
      </w:r>
    </w:p>
    <w:p w14:paraId="61B68C86" w14:textId="77777777" w:rsidR="00A7035A" w:rsidRPr="00040A0C" w:rsidRDefault="00A7035A" w:rsidP="00A7035A">
      <w:r w:rsidRPr="00040A0C">
        <w:t xml:space="preserve">For as long as the Basin Plan objectives dictate that consideration must </w:t>
      </w:r>
      <w:r w:rsidRPr="00040A0C">
        <w:rPr>
          <w:noProof/>
        </w:rPr>
        <w:t>be given</w:t>
      </w:r>
      <w:r w:rsidRPr="00040A0C">
        <w:t xml:space="preserve"> to the water quality of </w:t>
      </w:r>
      <w:proofErr w:type="spellStart"/>
      <w:r w:rsidRPr="00040A0C">
        <w:t>Ramsar</w:t>
      </w:r>
      <w:proofErr w:type="spellEnd"/>
      <w:r w:rsidRPr="00040A0C">
        <w:t xml:space="preserve"> wetlands within the Plan area, the continuing consequences of the South East Drainage Scheme cannot </w:t>
      </w:r>
      <w:r w:rsidRPr="00040A0C">
        <w:rPr>
          <w:noProof/>
        </w:rPr>
        <w:t>be conveniently ignored</w:t>
      </w:r>
      <w:r w:rsidRPr="00040A0C">
        <w:t xml:space="preserve">.  </w:t>
      </w:r>
    </w:p>
    <w:p w14:paraId="3339DBD4" w14:textId="77777777" w:rsidR="00A7035A" w:rsidRPr="00040A0C" w:rsidRDefault="00A7035A" w:rsidP="00A7035A">
      <w:r w:rsidRPr="00040A0C">
        <w:lastRenderedPageBreak/>
        <w:t>The Commission should make recommendations accordingly.</w:t>
      </w:r>
    </w:p>
    <w:p w14:paraId="4DB3241D" w14:textId="77777777" w:rsidR="0048194A" w:rsidRPr="006A3DCC" w:rsidRDefault="009F0441" w:rsidP="0048194A">
      <w:pPr>
        <w:rPr>
          <w:b/>
          <w:sz w:val="24"/>
          <w:szCs w:val="24"/>
        </w:rPr>
      </w:pPr>
      <w:r>
        <w:rPr>
          <w:b/>
          <w:sz w:val="24"/>
          <w:szCs w:val="24"/>
        </w:rPr>
        <w:t xml:space="preserve">Barrages </w:t>
      </w:r>
      <w:r w:rsidR="00610C41">
        <w:rPr>
          <w:b/>
          <w:sz w:val="24"/>
          <w:szCs w:val="24"/>
        </w:rPr>
        <w:t xml:space="preserve">and Murray Mouth </w:t>
      </w:r>
      <w:r w:rsidR="006A3DCC">
        <w:rPr>
          <w:b/>
          <w:sz w:val="24"/>
          <w:szCs w:val="24"/>
        </w:rPr>
        <w:t>management</w:t>
      </w:r>
      <w:r>
        <w:rPr>
          <w:b/>
          <w:sz w:val="24"/>
          <w:szCs w:val="24"/>
        </w:rPr>
        <w:t xml:space="preserve"> </w:t>
      </w:r>
    </w:p>
    <w:p w14:paraId="6C7D4D0A" w14:textId="77777777" w:rsidR="00BA2F4A" w:rsidRPr="00040A0C" w:rsidRDefault="000F0EBB" w:rsidP="0048194A">
      <w:r w:rsidRPr="00040A0C">
        <w:t xml:space="preserve">The five massive barrages which stretch for 7.6 km across the natural estuary openings to the Murray Mouth </w:t>
      </w:r>
      <w:r w:rsidR="006216C3" w:rsidRPr="00040A0C">
        <w:t xml:space="preserve">radically changed the natural environment of the Lower Lakes and </w:t>
      </w:r>
      <w:r w:rsidR="003E69E6" w:rsidRPr="00040A0C">
        <w:t>impact of</w:t>
      </w:r>
      <w:r w:rsidR="006216C3" w:rsidRPr="00040A0C">
        <w:t xml:space="preserve"> tidal </w:t>
      </w:r>
      <w:r w:rsidR="003E69E6" w:rsidRPr="00040A0C">
        <w:t>flows</w:t>
      </w:r>
      <w:r w:rsidR="006216C3" w:rsidRPr="00040A0C">
        <w:t xml:space="preserve"> on the lakes and Coorong.  </w:t>
      </w:r>
    </w:p>
    <w:p w14:paraId="1E01770A" w14:textId="77777777" w:rsidR="002F637F" w:rsidRPr="00040A0C" w:rsidRDefault="006216C3" w:rsidP="0048194A">
      <w:r w:rsidRPr="00040A0C">
        <w:t xml:space="preserve">Because </w:t>
      </w:r>
      <w:r w:rsidR="00BA2F4A" w:rsidRPr="00040A0C">
        <w:t xml:space="preserve">of substantially reduced tidal scouring, </w:t>
      </w:r>
      <w:r w:rsidRPr="00040A0C">
        <w:t xml:space="preserve">Bird Island began to form in front of the Murray Mouth </w:t>
      </w:r>
      <w:r w:rsidR="002F637F" w:rsidRPr="00040A0C">
        <w:t xml:space="preserve">immediately </w:t>
      </w:r>
      <w:r w:rsidRPr="00040A0C">
        <w:t>after the completion of the barrages</w:t>
      </w:r>
      <w:r w:rsidR="003E064F" w:rsidRPr="00040A0C">
        <w:t xml:space="preserve"> in 1940</w:t>
      </w:r>
      <w:r w:rsidRPr="00040A0C">
        <w:t>.</w:t>
      </w:r>
      <w:r w:rsidR="00BA2F4A" w:rsidRPr="00040A0C">
        <w:t xml:space="preserve"> </w:t>
      </w:r>
      <w:r w:rsidR="002F637F" w:rsidRPr="00040A0C">
        <w:t>Bird Island is a significant</w:t>
      </w:r>
      <w:r w:rsidR="0015553A" w:rsidRPr="00040A0C">
        <w:t xml:space="preserve"> and </w:t>
      </w:r>
      <w:r w:rsidR="009A4BA4" w:rsidRPr="00040A0C">
        <w:t>growing</w:t>
      </w:r>
      <w:r w:rsidR="002F637F" w:rsidRPr="00040A0C">
        <w:t xml:space="preserve"> threat to the objective of keeping the Murray Mouth open.</w:t>
      </w:r>
    </w:p>
    <w:p w14:paraId="39407E98" w14:textId="77777777" w:rsidR="002F637F" w:rsidRPr="00040A0C" w:rsidRDefault="00BA2F4A" w:rsidP="0048194A">
      <w:r w:rsidRPr="00040A0C">
        <w:t xml:space="preserve">Despite </w:t>
      </w:r>
      <w:r w:rsidR="003E064F" w:rsidRPr="00040A0C">
        <w:t xml:space="preserve">the barrages </w:t>
      </w:r>
      <w:r w:rsidRPr="00040A0C">
        <w:t>being</w:t>
      </w:r>
      <w:r w:rsidR="003E064F" w:rsidRPr="00040A0C">
        <w:t xml:space="preserve"> a primary driver of the environmental condition of the lakes, Coorong and Murray Mouth, t</w:t>
      </w:r>
      <w:r w:rsidR="006216C3" w:rsidRPr="00040A0C">
        <w:t>here is almost no discussion of the</w:t>
      </w:r>
      <w:r w:rsidR="009A4BA4" w:rsidRPr="00040A0C">
        <w:t>se</w:t>
      </w:r>
      <w:r w:rsidR="006216C3" w:rsidRPr="00040A0C">
        <w:t xml:space="preserve"> effect</w:t>
      </w:r>
      <w:r w:rsidR="009A4BA4" w:rsidRPr="00040A0C">
        <w:t xml:space="preserve">s </w:t>
      </w:r>
      <w:r w:rsidR="006216C3" w:rsidRPr="00040A0C">
        <w:t xml:space="preserve">in the Basin Plan or the Commission’s </w:t>
      </w:r>
      <w:r w:rsidRPr="00040A0C">
        <w:t xml:space="preserve">draft </w:t>
      </w:r>
      <w:r w:rsidR="006216C3" w:rsidRPr="00040A0C">
        <w:t xml:space="preserve">assessment of the implementation of the Plan. </w:t>
      </w:r>
      <w:r w:rsidR="002E6761" w:rsidRPr="00040A0C">
        <w:t>Similarly, t</w:t>
      </w:r>
      <w:r w:rsidR="00FA42C0" w:rsidRPr="00040A0C">
        <w:t xml:space="preserve">here is no </w:t>
      </w:r>
      <w:r w:rsidR="008024B8" w:rsidRPr="00040A0C">
        <w:t xml:space="preserve">mention of Bird Island in </w:t>
      </w:r>
      <w:r w:rsidR="00FA42C0" w:rsidRPr="00040A0C">
        <w:t xml:space="preserve">either </w:t>
      </w:r>
      <w:r w:rsidR="00B70079" w:rsidRPr="00040A0C">
        <w:t xml:space="preserve">the </w:t>
      </w:r>
      <w:r w:rsidR="008024B8" w:rsidRPr="00040A0C">
        <w:t>Commission</w:t>
      </w:r>
      <w:r w:rsidR="0015553A" w:rsidRPr="00040A0C">
        <w:t>’s</w:t>
      </w:r>
      <w:r w:rsidR="008024B8" w:rsidRPr="00040A0C">
        <w:t xml:space="preserve"> </w:t>
      </w:r>
      <w:r w:rsidR="00FA42C0" w:rsidRPr="00040A0C">
        <w:t xml:space="preserve">draft </w:t>
      </w:r>
      <w:r w:rsidR="008024B8" w:rsidRPr="00040A0C">
        <w:t>report or the Basin Plan.</w:t>
      </w:r>
    </w:p>
    <w:p w14:paraId="7A455D64" w14:textId="77777777" w:rsidR="0023390A" w:rsidRPr="00040A0C" w:rsidRDefault="009F0441" w:rsidP="0048194A">
      <w:r w:rsidRPr="00040A0C">
        <w:t xml:space="preserve">A </w:t>
      </w:r>
      <w:r w:rsidR="00FA42C0" w:rsidRPr="00040A0C">
        <w:t>key</w:t>
      </w:r>
      <w:r w:rsidRPr="00040A0C">
        <w:t xml:space="preserve"> rationale for </w:t>
      </w:r>
      <w:r w:rsidR="00100DD1" w:rsidRPr="00040A0C">
        <w:t>greater</w:t>
      </w:r>
      <w:r w:rsidRPr="00040A0C">
        <w:t xml:space="preserve"> flows down the Murray is to keep the Murray Mouth open nine years out of ten and to maintain sufficient flows over the barrages </w:t>
      </w:r>
      <w:r w:rsidR="00604C08" w:rsidRPr="00040A0C">
        <w:t>to preserve the quality of water in the Coorong.</w:t>
      </w:r>
      <w:r w:rsidR="0015553A" w:rsidRPr="00040A0C">
        <w:t xml:space="preserve">  </w:t>
      </w:r>
      <w:r w:rsidR="00FA42C0" w:rsidRPr="00040A0C">
        <w:rPr>
          <w:noProof/>
        </w:rPr>
        <w:t>This</w:t>
      </w:r>
      <w:r w:rsidR="00FA42C0" w:rsidRPr="00040A0C">
        <w:t xml:space="preserve"> is a fundamentally flawed aspiration and should </w:t>
      </w:r>
      <w:r w:rsidR="00FA42C0" w:rsidRPr="00040A0C">
        <w:rPr>
          <w:noProof/>
        </w:rPr>
        <w:t>be challenged</w:t>
      </w:r>
      <w:r w:rsidR="00FA42C0" w:rsidRPr="00040A0C">
        <w:t>.</w:t>
      </w:r>
      <w:r w:rsidR="002E6761" w:rsidRPr="00040A0C">
        <w:t xml:space="preserve"> It is not possible to maintain water quality in the Coorong in this way. </w:t>
      </w:r>
    </w:p>
    <w:p w14:paraId="521CACCE" w14:textId="77777777" w:rsidR="00604C08" w:rsidRPr="00040A0C" w:rsidRDefault="00604C08" w:rsidP="00604C08">
      <w:r w:rsidRPr="00040A0C">
        <w:t xml:space="preserve">During Spring 2016 there were major floods in the Murrumbidgee, Murray and Goulburn rivers which saw flows to SA </w:t>
      </w:r>
      <w:r w:rsidR="00DA5AA3" w:rsidRPr="00040A0C">
        <w:rPr>
          <w:noProof/>
        </w:rPr>
        <w:t>of more than</w:t>
      </w:r>
      <w:r w:rsidRPr="00040A0C">
        <w:t xml:space="preserve"> 60,000ML per day for over five weeks, peaking at 94,246ML on November 30. From November 30 until December 18, flows across the SA border exceeded 65,000ML per day.  Major floods in Victorian catchments are required to produce flows of 90,000ML at the SA border, wh</w:t>
      </w:r>
      <w:r w:rsidR="0099727E" w:rsidRPr="00040A0C">
        <w:t>ich is what occurred in</w:t>
      </w:r>
      <w:r w:rsidRPr="00040A0C">
        <w:t xml:space="preserve"> 2016</w:t>
      </w:r>
      <w:r w:rsidR="0099727E" w:rsidRPr="00040A0C">
        <w:t xml:space="preserve"> and to a lesser extent in 2011</w:t>
      </w:r>
      <w:r w:rsidRPr="00040A0C">
        <w:t>.</w:t>
      </w:r>
    </w:p>
    <w:p w14:paraId="311E2ED5" w14:textId="77777777" w:rsidR="0099727E" w:rsidRPr="00040A0C" w:rsidRDefault="00604C08" w:rsidP="00604C08">
      <w:r w:rsidRPr="00040A0C">
        <w:t>However, on January 9</w:t>
      </w:r>
      <w:r w:rsidR="00DA5AA3" w:rsidRPr="00040A0C">
        <w:t>, 2017,</w:t>
      </w:r>
      <w:r w:rsidRPr="00040A0C">
        <w:t xml:space="preserve"> the SA government resumed dredging of the Murray Mouth. The five weeks of high flows had failed to clear </w:t>
      </w:r>
      <w:r w:rsidRPr="00040A0C">
        <w:rPr>
          <w:noProof/>
        </w:rPr>
        <w:t>sandbars</w:t>
      </w:r>
      <w:r w:rsidRPr="00040A0C">
        <w:t xml:space="preserve"> at the Murray Mouth. </w:t>
      </w:r>
    </w:p>
    <w:p w14:paraId="6DF76C9B" w14:textId="77777777" w:rsidR="00604C08" w:rsidRPr="00040A0C" w:rsidRDefault="00100DD1" w:rsidP="00604C08">
      <w:r w:rsidRPr="00040A0C">
        <w:t xml:space="preserve">From </w:t>
      </w:r>
      <w:r w:rsidRPr="00040A0C">
        <w:rPr>
          <w:noProof/>
        </w:rPr>
        <w:t>this</w:t>
      </w:r>
      <w:r w:rsidRPr="00040A0C">
        <w:t xml:space="preserve"> it is clear that</w:t>
      </w:r>
      <w:r w:rsidR="00604C08" w:rsidRPr="00040A0C">
        <w:t xml:space="preserve"> planned flows at the SA border of 80,000ML</w:t>
      </w:r>
      <w:r w:rsidR="000F0EBB" w:rsidRPr="00040A0C">
        <w:t>, as per the Basin Plan,</w:t>
      </w:r>
      <w:r w:rsidR="00604C08" w:rsidRPr="00040A0C">
        <w:t xml:space="preserve"> will not clear the Murray Mouth while the barrages remain in place</w:t>
      </w:r>
      <w:r w:rsidR="000F0EBB" w:rsidRPr="00040A0C">
        <w:t>.</w:t>
      </w:r>
    </w:p>
    <w:p w14:paraId="480E5E3C" w14:textId="77777777" w:rsidR="003E064F" w:rsidRPr="00040A0C" w:rsidRDefault="00100DD1" w:rsidP="00604C08">
      <w:r w:rsidRPr="00040A0C">
        <w:t>Equally, r</w:t>
      </w:r>
      <w:r w:rsidR="003E064F" w:rsidRPr="00040A0C">
        <w:t xml:space="preserve">eductions in water usage of either 2750 GL or 3200 GL will not </w:t>
      </w:r>
      <w:r w:rsidRPr="00040A0C">
        <w:t>keep</w:t>
      </w:r>
      <w:r w:rsidR="003E064F" w:rsidRPr="00040A0C">
        <w:t xml:space="preserve"> the Murray Mouth open nine years out of ten while </w:t>
      </w:r>
      <w:r w:rsidRPr="00040A0C">
        <w:rPr>
          <w:noProof/>
        </w:rPr>
        <w:t>natural</w:t>
      </w:r>
      <w:r w:rsidRPr="00040A0C">
        <w:t xml:space="preserve"> tidal action is prevented by t</w:t>
      </w:r>
      <w:r w:rsidR="003E064F" w:rsidRPr="00040A0C">
        <w:t>he barrage</w:t>
      </w:r>
      <w:r w:rsidRPr="00040A0C">
        <w:t xml:space="preserve">s. </w:t>
      </w:r>
      <w:r w:rsidR="003E064F" w:rsidRPr="00040A0C">
        <w:t xml:space="preserve">Either this objective should </w:t>
      </w:r>
      <w:r w:rsidR="003E064F" w:rsidRPr="00040A0C">
        <w:rPr>
          <w:noProof/>
        </w:rPr>
        <w:t>be abandoned</w:t>
      </w:r>
      <w:r w:rsidR="003E064F" w:rsidRPr="00040A0C">
        <w:t xml:space="preserve">, or the barrages permanently opened and a new lock constructed </w:t>
      </w:r>
      <w:r w:rsidR="00FA42C0" w:rsidRPr="00040A0C">
        <w:t>near</w:t>
      </w:r>
      <w:r w:rsidR="003E064F" w:rsidRPr="00040A0C">
        <w:t xml:space="preserve"> Wellington</w:t>
      </w:r>
      <w:r w:rsidRPr="00040A0C">
        <w:t xml:space="preserve"> to protect </w:t>
      </w:r>
      <w:r w:rsidRPr="00040A0C">
        <w:rPr>
          <w:noProof/>
        </w:rPr>
        <w:t>fresh water</w:t>
      </w:r>
      <w:r w:rsidRPr="00040A0C">
        <w:t xml:space="preserve"> supplies to Adelaide and irrigators</w:t>
      </w:r>
      <w:r w:rsidR="003E064F" w:rsidRPr="00040A0C">
        <w:t xml:space="preserve">. </w:t>
      </w:r>
    </w:p>
    <w:p w14:paraId="6A41FB3C" w14:textId="77777777" w:rsidR="00610C41" w:rsidRPr="00040A0C" w:rsidRDefault="00100DD1" w:rsidP="00604C08">
      <w:r w:rsidRPr="00040A0C">
        <w:t>Without a</w:t>
      </w:r>
      <w:r w:rsidR="00610C41" w:rsidRPr="00040A0C">
        <w:t xml:space="preserve"> detailed assessment</w:t>
      </w:r>
      <w:r w:rsidRPr="00040A0C">
        <w:t xml:space="preserve"> of the effects of the barrages, the assessment of the Plan is incomplete. Quite simply, t</w:t>
      </w:r>
      <w:r w:rsidR="00610C41" w:rsidRPr="00040A0C">
        <w:t xml:space="preserve">he environmental water quality objectives of the Plan and the outcomes of Schedule 5 of the Plan </w:t>
      </w:r>
      <w:r w:rsidR="008E7BEB" w:rsidRPr="00040A0C">
        <w:t>will not</w:t>
      </w:r>
      <w:r w:rsidR="00610C41" w:rsidRPr="00040A0C">
        <w:t xml:space="preserve"> </w:t>
      </w:r>
      <w:r w:rsidR="00610C41" w:rsidRPr="00040A0C">
        <w:rPr>
          <w:noProof/>
        </w:rPr>
        <w:t>be achieved</w:t>
      </w:r>
      <w:r w:rsidR="00610C41" w:rsidRPr="00040A0C">
        <w:t>.</w:t>
      </w:r>
    </w:p>
    <w:p w14:paraId="00502C08" w14:textId="77777777" w:rsidR="00610C41" w:rsidRPr="00091974" w:rsidRDefault="00610C41" w:rsidP="0048194A">
      <w:pPr>
        <w:rPr>
          <w:b/>
          <w:sz w:val="28"/>
          <w:szCs w:val="28"/>
        </w:rPr>
      </w:pPr>
      <w:r w:rsidRPr="00091974">
        <w:rPr>
          <w:b/>
          <w:sz w:val="28"/>
          <w:szCs w:val="28"/>
        </w:rPr>
        <w:t xml:space="preserve">Constraints Management Strategy and recovery of </w:t>
      </w:r>
      <w:r w:rsidR="00091974" w:rsidRPr="00091974">
        <w:rPr>
          <w:b/>
          <w:sz w:val="28"/>
          <w:szCs w:val="28"/>
        </w:rPr>
        <w:t>an additional 450 GL of water</w:t>
      </w:r>
    </w:p>
    <w:p w14:paraId="1EB5CC5B" w14:textId="77777777" w:rsidR="00150A24" w:rsidRPr="00040A0C" w:rsidRDefault="00150A24" w:rsidP="00091974">
      <w:r w:rsidRPr="00040A0C">
        <w:t>Unless it can be reasonably expected to deliver Schedule 5 enhanced environmental outcomes, a</w:t>
      </w:r>
      <w:r w:rsidR="008E7BEB" w:rsidRPr="00040A0C">
        <w:t>dditional w</w:t>
      </w:r>
      <w:r w:rsidR="00091974" w:rsidRPr="00040A0C">
        <w:t xml:space="preserve">ater should not </w:t>
      </w:r>
      <w:r w:rsidR="00091974" w:rsidRPr="00040A0C">
        <w:rPr>
          <w:noProof/>
        </w:rPr>
        <w:t>be recovered</w:t>
      </w:r>
      <w:r w:rsidR="008E7BEB" w:rsidRPr="00040A0C">
        <w:t xml:space="preserve"> under the Plan</w:t>
      </w:r>
      <w:r w:rsidR="00091974" w:rsidRPr="00040A0C">
        <w:t>.</w:t>
      </w:r>
      <w:r w:rsidRPr="00040A0C">
        <w:t xml:space="preserve"> </w:t>
      </w:r>
      <w:r w:rsidRPr="00040A0C">
        <w:rPr>
          <w:noProof/>
        </w:rPr>
        <w:t>This</w:t>
      </w:r>
      <w:r w:rsidRPr="00040A0C">
        <w:t xml:space="preserve"> </w:t>
      </w:r>
      <w:r w:rsidR="00FA42C0" w:rsidRPr="00040A0C">
        <w:t>needs to</w:t>
      </w:r>
      <w:r w:rsidRPr="00040A0C">
        <w:t xml:space="preserve"> be made clear in the final report. </w:t>
      </w:r>
    </w:p>
    <w:p w14:paraId="3F6D814C" w14:textId="77777777" w:rsidR="00091974" w:rsidRPr="00040A0C" w:rsidRDefault="00150A24" w:rsidP="00091974">
      <w:r w:rsidRPr="00040A0C">
        <w:t>As it stands</w:t>
      </w:r>
      <w:r w:rsidR="00091974" w:rsidRPr="00040A0C">
        <w:t xml:space="preserve">, water recovery plans are </w:t>
      </w:r>
      <w:r w:rsidR="008807AB" w:rsidRPr="00040A0C">
        <w:t>at odds</w:t>
      </w:r>
      <w:r w:rsidR="00091974" w:rsidRPr="00040A0C">
        <w:t xml:space="preserve"> with</w:t>
      </w:r>
      <w:r w:rsidR="008E7BEB" w:rsidRPr="00040A0C">
        <w:t xml:space="preserve"> </w:t>
      </w:r>
      <w:r w:rsidR="00091974" w:rsidRPr="00040A0C">
        <w:t xml:space="preserve">the ability of the Constraints Management Strategy to deliver that water in such a manner as to achieve </w:t>
      </w:r>
      <w:r w:rsidR="00660F1B" w:rsidRPr="00040A0C">
        <w:t xml:space="preserve">most </w:t>
      </w:r>
      <w:r w:rsidR="00091974" w:rsidRPr="00040A0C">
        <w:t xml:space="preserve">Schedule 5 outcomes.  It is </w:t>
      </w:r>
      <w:r w:rsidR="008807AB" w:rsidRPr="00040A0C">
        <w:t xml:space="preserve">inconceivable </w:t>
      </w:r>
      <w:r w:rsidR="00091974" w:rsidRPr="00040A0C">
        <w:lastRenderedPageBreak/>
        <w:t>that the current Constraints Management Strategy</w:t>
      </w:r>
      <w:r w:rsidR="008E7BEB" w:rsidRPr="00040A0C">
        <w:t xml:space="preserve"> (CMS)</w:t>
      </w:r>
      <w:r w:rsidR="00091974" w:rsidRPr="00040A0C">
        <w:t xml:space="preserve"> will achieve expectations, or that it would be largely operational by 2024.</w:t>
      </w:r>
    </w:p>
    <w:p w14:paraId="67061859" w14:textId="77777777" w:rsidR="00091974" w:rsidRPr="00040A0C" w:rsidRDefault="00091974" w:rsidP="00091974">
      <w:r w:rsidRPr="00040A0C">
        <w:t xml:space="preserve">It is also not plausible that </w:t>
      </w:r>
      <w:r w:rsidR="008E7BEB" w:rsidRPr="00040A0C">
        <w:t xml:space="preserve">all </w:t>
      </w:r>
      <w:r w:rsidRPr="00040A0C">
        <w:t xml:space="preserve">constraints can </w:t>
      </w:r>
      <w:r w:rsidRPr="00040A0C">
        <w:rPr>
          <w:noProof/>
        </w:rPr>
        <w:t>be removed</w:t>
      </w:r>
      <w:r w:rsidRPr="00040A0C">
        <w:t xml:space="preserve"> with</w:t>
      </w:r>
      <w:r w:rsidR="008807AB" w:rsidRPr="00040A0C">
        <w:t>in</w:t>
      </w:r>
      <w:r w:rsidRPr="00040A0C">
        <w:t xml:space="preserve"> the funding available in the Water for the Environment Special Account.  The Commission has already indicated </w:t>
      </w:r>
      <w:r w:rsidR="00150A24" w:rsidRPr="00040A0C">
        <w:t xml:space="preserve">that </w:t>
      </w:r>
      <w:r w:rsidR="001F3B9F" w:rsidRPr="00040A0C">
        <w:t xml:space="preserve">implementation of the strategy may exceed the current budget amount by </w:t>
      </w:r>
      <w:r w:rsidR="003B1BF9" w:rsidRPr="00040A0C">
        <w:t xml:space="preserve">about </w:t>
      </w:r>
      <w:r w:rsidR="001F3B9F" w:rsidRPr="00040A0C">
        <w:t xml:space="preserve">$500 million.  </w:t>
      </w:r>
      <w:r w:rsidR="001F3B9F" w:rsidRPr="00040A0C">
        <w:rPr>
          <w:noProof/>
        </w:rPr>
        <w:t>This</w:t>
      </w:r>
      <w:r w:rsidR="001F3B9F" w:rsidRPr="00040A0C">
        <w:t xml:space="preserve"> </w:t>
      </w:r>
      <w:r w:rsidR="008807AB" w:rsidRPr="00040A0C">
        <w:rPr>
          <w:noProof/>
        </w:rPr>
        <w:t>corresponds with</w:t>
      </w:r>
      <w:r w:rsidR="001F3B9F" w:rsidRPr="00040A0C">
        <w:t xml:space="preserve"> the </w:t>
      </w:r>
      <w:r w:rsidR="001F3B9F" w:rsidRPr="00040A0C">
        <w:rPr>
          <w:noProof/>
        </w:rPr>
        <w:t>long</w:t>
      </w:r>
      <w:r w:rsidR="00DA5AA3" w:rsidRPr="00040A0C">
        <w:rPr>
          <w:noProof/>
        </w:rPr>
        <w:t>-</w:t>
      </w:r>
      <w:r w:rsidR="001F3B9F" w:rsidRPr="00040A0C">
        <w:rPr>
          <w:noProof/>
        </w:rPr>
        <w:t>held</w:t>
      </w:r>
      <w:r w:rsidR="001F3B9F" w:rsidRPr="00040A0C">
        <w:t xml:space="preserve"> concerns of landholders, communities and local governments</w:t>
      </w:r>
      <w:r w:rsidR="008807AB" w:rsidRPr="00040A0C">
        <w:t>, commencing</w:t>
      </w:r>
      <w:r w:rsidR="001F3B9F" w:rsidRPr="00040A0C">
        <w:t xml:space="preserve"> when the CMS was first released.</w:t>
      </w:r>
    </w:p>
    <w:p w14:paraId="6FE10311" w14:textId="77777777" w:rsidR="008807AB" w:rsidRPr="00040A0C" w:rsidRDefault="00594652" w:rsidP="00594652">
      <w:r w:rsidRPr="00040A0C">
        <w:rPr>
          <w:noProof/>
        </w:rPr>
        <w:t>There are many uncertainties surrounding</w:t>
      </w:r>
      <w:r w:rsidRPr="00040A0C">
        <w:t xml:space="preserve"> the efficient recovery of additional water and the ability to achieve the enhanced environmental outcomes in Schedule 5, as well as many unresolved issues with the implementation of the CMS.  </w:t>
      </w:r>
    </w:p>
    <w:p w14:paraId="263FA33B" w14:textId="77777777" w:rsidR="008807AB" w:rsidRPr="00040A0C" w:rsidRDefault="008807AB" w:rsidP="008807AB">
      <w:r w:rsidRPr="00040A0C">
        <w:t xml:space="preserve">Most of the Schedule 5 outcomes contained within the Basin Plan could not </w:t>
      </w:r>
      <w:r w:rsidRPr="00040A0C">
        <w:rPr>
          <w:noProof/>
        </w:rPr>
        <w:t>be achieved</w:t>
      </w:r>
      <w:r w:rsidRPr="00040A0C">
        <w:t xml:space="preserve"> by securing the additional 450GL of water even if all of the CMS </w:t>
      </w:r>
      <w:r w:rsidRPr="00040A0C">
        <w:rPr>
          <w:noProof/>
        </w:rPr>
        <w:t>was implemented</w:t>
      </w:r>
      <w:r w:rsidRPr="00040A0C">
        <w:t xml:space="preserve"> successfully. </w:t>
      </w:r>
    </w:p>
    <w:p w14:paraId="7265D23E" w14:textId="77777777" w:rsidR="008807AB" w:rsidRPr="00040A0C" w:rsidRDefault="008807AB" w:rsidP="008807AB">
      <w:r w:rsidRPr="00040A0C">
        <w:t xml:space="preserve">The outcomes should be reviewed to determine whether they could ever </w:t>
      </w:r>
      <w:r w:rsidRPr="00040A0C">
        <w:rPr>
          <w:noProof/>
        </w:rPr>
        <w:t>be achieved</w:t>
      </w:r>
      <w:r w:rsidRPr="00040A0C">
        <w:t xml:space="preserve"> and, if so, at what cost and environmental benefit.</w:t>
      </w:r>
    </w:p>
    <w:p w14:paraId="473F7D20" w14:textId="77777777" w:rsidR="00150A24" w:rsidRPr="00040A0C" w:rsidRDefault="00150A24" w:rsidP="002C56C4">
      <w:r w:rsidRPr="00040A0C">
        <w:t xml:space="preserve">I endorse the </w:t>
      </w:r>
      <w:r w:rsidR="002C56C4" w:rsidRPr="00040A0C">
        <w:t>Commission</w:t>
      </w:r>
      <w:r w:rsidRPr="00040A0C">
        <w:t>’s</w:t>
      </w:r>
      <w:r w:rsidR="002C56C4" w:rsidRPr="00040A0C">
        <w:t xml:space="preserve"> </w:t>
      </w:r>
      <w:r w:rsidR="00DA5AA3" w:rsidRPr="00040A0C">
        <w:t xml:space="preserve">draft </w:t>
      </w:r>
      <w:r w:rsidR="002C56C4" w:rsidRPr="00040A0C">
        <w:t xml:space="preserve">recommendation 5.3 for a </w:t>
      </w:r>
      <w:r w:rsidR="002C56C4" w:rsidRPr="00040A0C">
        <w:rPr>
          <w:noProof/>
        </w:rPr>
        <w:t>cost</w:t>
      </w:r>
      <w:r w:rsidR="00DA5AA3" w:rsidRPr="00040A0C">
        <w:rPr>
          <w:noProof/>
        </w:rPr>
        <w:t>-</w:t>
      </w:r>
      <w:r w:rsidR="002C56C4" w:rsidRPr="00040A0C">
        <w:rPr>
          <w:noProof/>
        </w:rPr>
        <w:t>benefit</w:t>
      </w:r>
      <w:r w:rsidR="002C56C4" w:rsidRPr="00040A0C">
        <w:t xml:space="preserve"> analysis of pursuing the enhanced environmental outcomes in Schedule </w:t>
      </w:r>
      <w:r w:rsidR="002C56C4" w:rsidRPr="00040A0C">
        <w:rPr>
          <w:noProof/>
        </w:rPr>
        <w:t>5</w:t>
      </w:r>
      <w:r w:rsidR="00DA5AA3" w:rsidRPr="00040A0C">
        <w:rPr>
          <w:noProof/>
        </w:rPr>
        <w:t>,</w:t>
      </w:r>
      <w:r w:rsidR="002C56C4" w:rsidRPr="00040A0C">
        <w:t xml:space="preserve"> and in particular the benefits and costs of other approaches to achieving those environmental outcomes.  </w:t>
      </w:r>
    </w:p>
    <w:p w14:paraId="69AFFDFA" w14:textId="77777777" w:rsidR="002C56C4" w:rsidRPr="00040A0C" w:rsidRDefault="002C56C4" w:rsidP="002C56C4">
      <w:r w:rsidRPr="00040A0C">
        <w:t xml:space="preserve">The failure of the government or the MDBA to undertake </w:t>
      </w:r>
      <w:r w:rsidRPr="00040A0C">
        <w:rPr>
          <w:noProof/>
        </w:rPr>
        <w:t>cost</w:t>
      </w:r>
      <w:r w:rsidR="00DA5AA3" w:rsidRPr="00040A0C">
        <w:rPr>
          <w:noProof/>
        </w:rPr>
        <w:t>-</w:t>
      </w:r>
      <w:r w:rsidRPr="00040A0C">
        <w:rPr>
          <w:noProof/>
        </w:rPr>
        <w:t>benefit</w:t>
      </w:r>
      <w:r w:rsidRPr="00040A0C">
        <w:t xml:space="preserve"> analysis on many facets of the Basin Plan </w:t>
      </w:r>
      <w:r w:rsidR="008807AB" w:rsidRPr="00040A0C">
        <w:t xml:space="preserve">is not something that should </w:t>
      </w:r>
      <w:r w:rsidR="008807AB" w:rsidRPr="00040A0C">
        <w:rPr>
          <w:noProof/>
        </w:rPr>
        <w:t>be repeated</w:t>
      </w:r>
      <w:r w:rsidR="008807AB" w:rsidRPr="00040A0C">
        <w:t>.</w:t>
      </w:r>
    </w:p>
    <w:p w14:paraId="1FAF595B" w14:textId="77777777" w:rsidR="00181806" w:rsidRPr="00737321" w:rsidRDefault="00737321" w:rsidP="00091974">
      <w:pPr>
        <w:rPr>
          <w:b/>
          <w:sz w:val="28"/>
          <w:szCs w:val="28"/>
        </w:rPr>
      </w:pPr>
      <w:r w:rsidRPr="00737321">
        <w:rPr>
          <w:b/>
          <w:sz w:val="28"/>
          <w:szCs w:val="28"/>
        </w:rPr>
        <w:t>Reporting, monitoring and evaluation</w:t>
      </w:r>
    </w:p>
    <w:p w14:paraId="2503C35D" w14:textId="77777777" w:rsidR="006F2B19" w:rsidRPr="00040A0C" w:rsidRDefault="00737321" w:rsidP="0048194A">
      <w:r w:rsidRPr="00040A0C">
        <w:t>In my submission to the Commission</w:t>
      </w:r>
      <w:r w:rsidR="00416632" w:rsidRPr="00040A0C">
        <w:t xml:space="preserve">’s assessment of the Basin </w:t>
      </w:r>
      <w:r w:rsidR="00416632" w:rsidRPr="00040A0C">
        <w:rPr>
          <w:noProof/>
        </w:rPr>
        <w:t>Plan</w:t>
      </w:r>
      <w:r w:rsidR="00DA5AA3" w:rsidRPr="00040A0C">
        <w:rPr>
          <w:noProof/>
        </w:rPr>
        <w:t>,</w:t>
      </w:r>
      <w:r w:rsidR="00416632" w:rsidRPr="00040A0C">
        <w:t xml:space="preserve"> I outlined my concerns about the meagre monitoring of environmental outcomes a</w:t>
      </w:r>
      <w:r w:rsidR="006F2B19" w:rsidRPr="00040A0C">
        <w:t xml:space="preserve">s </w:t>
      </w:r>
      <w:r w:rsidR="00416632" w:rsidRPr="00040A0C">
        <w:t>the Plan</w:t>
      </w:r>
      <w:r w:rsidR="006F2B19" w:rsidRPr="00040A0C">
        <w:t xml:space="preserve"> </w:t>
      </w:r>
      <w:r w:rsidR="006F2B19" w:rsidRPr="00040A0C">
        <w:rPr>
          <w:noProof/>
        </w:rPr>
        <w:t>is implemented</w:t>
      </w:r>
      <w:r w:rsidR="00416632" w:rsidRPr="00040A0C">
        <w:t>. The whole point of the Plan is to preserve environmental values in the basin</w:t>
      </w:r>
      <w:r w:rsidR="006F2B19" w:rsidRPr="00040A0C">
        <w:t xml:space="preserve">, </w:t>
      </w:r>
      <w:r w:rsidR="008807AB" w:rsidRPr="00040A0C">
        <w:t xml:space="preserve">for which taxpayers are paying </w:t>
      </w:r>
      <w:r w:rsidR="00416632" w:rsidRPr="00040A0C">
        <w:t xml:space="preserve">$13 billion.  </w:t>
      </w:r>
    </w:p>
    <w:p w14:paraId="1C6A8F51" w14:textId="77777777" w:rsidR="00416632" w:rsidRPr="00040A0C" w:rsidRDefault="00416632" w:rsidP="0048194A">
      <w:r w:rsidRPr="00040A0C">
        <w:t xml:space="preserve">We must know that we are getting planned outcomes, and if not, why not.  </w:t>
      </w:r>
    </w:p>
    <w:p w14:paraId="3F08E9AC" w14:textId="77777777" w:rsidR="0048194A" w:rsidRPr="00040A0C" w:rsidRDefault="008807AB" w:rsidP="0048194A">
      <w:r w:rsidRPr="00040A0C">
        <w:t>My</w:t>
      </w:r>
      <w:r w:rsidR="00416632" w:rsidRPr="00040A0C">
        <w:t xml:space="preserve"> concerns over monitoring and evaluation</w:t>
      </w:r>
      <w:r w:rsidR="0030280D" w:rsidRPr="00040A0C">
        <w:t xml:space="preserve"> of</w:t>
      </w:r>
      <w:r w:rsidR="00416632" w:rsidRPr="00040A0C">
        <w:t xml:space="preserve"> </w:t>
      </w:r>
      <w:r w:rsidR="00416632" w:rsidRPr="00040A0C">
        <w:rPr>
          <w:noProof/>
        </w:rPr>
        <w:t>implementation</w:t>
      </w:r>
      <w:r w:rsidR="00416632" w:rsidRPr="00040A0C">
        <w:t xml:space="preserve"> </w:t>
      </w:r>
      <w:r w:rsidR="0030280D" w:rsidRPr="00040A0C">
        <w:t>of the Plan now includes</w:t>
      </w:r>
      <w:r w:rsidR="00416632" w:rsidRPr="00040A0C">
        <w:t xml:space="preserve"> areas other than the environment in light of apparent ‘tick the box’ </w:t>
      </w:r>
      <w:r w:rsidR="00660F1B" w:rsidRPr="00040A0C">
        <w:t>monitoring and reporting uncovered by the Commission.  I support draft recommendations 13.2 and 13.3.</w:t>
      </w:r>
    </w:p>
    <w:p w14:paraId="53F93DC1" w14:textId="77777777" w:rsidR="003B1BF9" w:rsidRPr="00040A0C" w:rsidRDefault="003B1BF9" w:rsidP="0048194A"/>
    <w:p w14:paraId="1BC2FFE3" w14:textId="77777777" w:rsidR="003B1BF9" w:rsidRPr="00040A0C" w:rsidRDefault="003B1BF9" w:rsidP="0048194A">
      <w:r w:rsidRPr="00040A0C">
        <w:t>Senator David Leyonhjelm</w:t>
      </w:r>
    </w:p>
    <w:p w14:paraId="22DF7B16" w14:textId="77777777" w:rsidR="0048194A" w:rsidRPr="00040A0C" w:rsidRDefault="0048194A" w:rsidP="0048194A"/>
    <w:sectPr w:rsidR="0048194A" w:rsidRPr="00040A0C" w:rsidSect="00B25ABE">
      <w:headerReference w:type="default" r:id="rId13"/>
      <w:headerReference w:type="first" r:id="rId14"/>
      <w:footerReference w:type="first" r:id="rId15"/>
      <w:pgSz w:w="11906" w:h="16838" w:code="9"/>
      <w:pgMar w:top="845" w:right="1276" w:bottom="1077" w:left="1418"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0C658" w14:textId="77777777" w:rsidR="005E7AF6" w:rsidRDefault="005E7AF6" w:rsidP="00062906">
      <w:pPr>
        <w:spacing w:after="0" w:line="240" w:lineRule="auto"/>
      </w:pPr>
      <w:r>
        <w:separator/>
      </w:r>
    </w:p>
  </w:endnote>
  <w:endnote w:type="continuationSeparator" w:id="0">
    <w:p w14:paraId="0AD98EA8" w14:textId="77777777" w:rsidR="005E7AF6" w:rsidRDefault="005E7AF6" w:rsidP="0006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579"/>
    </w:tblGrid>
    <w:tr w:rsidR="00D46E84" w14:paraId="33AD72B2" w14:textId="77777777" w:rsidTr="00940EA3">
      <w:tc>
        <w:tcPr>
          <w:tcW w:w="4714" w:type="dxa"/>
        </w:tcPr>
        <w:p w14:paraId="5C5A8E8A" w14:textId="77777777" w:rsidR="00D46E84" w:rsidRDefault="00D46E84" w:rsidP="00DB6507">
          <w:pPr>
            <w:contextualSpacing/>
            <w:rPr>
              <w:rFonts w:ascii="Cambria" w:hAnsi="Cambria"/>
              <w:color w:val="808080" w:themeColor="background1" w:themeShade="80"/>
              <w:sz w:val="18"/>
            </w:rPr>
          </w:pPr>
        </w:p>
        <w:p w14:paraId="191B1FC6" w14:textId="77777777" w:rsidR="00D46E84" w:rsidRPr="009C0293" w:rsidRDefault="00D46E84" w:rsidP="00DB6507">
          <w:pPr>
            <w:contextualSpacing/>
            <w:rPr>
              <w:rFonts w:ascii="Cambria" w:hAnsi="Cambria"/>
              <w:color w:val="808080" w:themeColor="background1" w:themeShade="80"/>
              <w:sz w:val="18"/>
            </w:rPr>
          </w:pPr>
          <w:r w:rsidRPr="009C0293">
            <w:rPr>
              <w:rFonts w:ascii="Cambria" w:hAnsi="Cambria"/>
              <w:color w:val="808080" w:themeColor="background1" w:themeShade="80"/>
              <w:sz w:val="18"/>
            </w:rPr>
            <w:t>Parliament House</w:t>
          </w:r>
        </w:p>
        <w:p w14:paraId="409EA806" w14:textId="77777777" w:rsidR="00D46E84" w:rsidRPr="009C0293" w:rsidRDefault="00D46E84" w:rsidP="00DB6507">
          <w:pPr>
            <w:contextualSpacing/>
            <w:rPr>
              <w:rFonts w:ascii="Cambria" w:hAnsi="Cambria"/>
              <w:color w:val="808080" w:themeColor="background1" w:themeShade="80"/>
              <w:sz w:val="18"/>
            </w:rPr>
          </w:pPr>
          <w:r w:rsidRPr="009C0293">
            <w:rPr>
              <w:rFonts w:ascii="Cambria" w:hAnsi="Cambria"/>
              <w:color w:val="808080" w:themeColor="background1" w:themeShade="80"/>
              <w:sz w:val="18"/>
            </w:rPr>
            <w:t>CANBERRA ACT 2600</w:t>
          </w:r>
        </w:p>
        <w:p w14:paraId="21A0D7C1" w14:textId="77777777" w:rsidR="00D46E84" w:rsidRPr="009C0293" w:rsidRDefault="00D46E84" w:rsidP="00DB6507">
          <w:pPr>
            <w:contextualSpacing/>
            <w:rPr>
              <w:rFonts w:ascii="Cambria" w:hAnsi="Cambria"/>
              <w:color w:val="808080" w:themeColor="background1" w:themeShade="80"/>
              <w:sz w:val="18"/>
            </w:rPr>
          </w:pPr>
          <w:r w:rsidRPr="009C0293">
            <w:rPr>
              <w:rFonts w:ascii="Cambria" w:hAnsi="Cambria"/>
              <w:color w:val="808080" w:themeColor="background1" w:themeShade="80"/>
              <w:sz w:val="18"/>
            </w:rPr>
            <w:t>Tel: (02) 6277 3054</w:t>
          </w:r>
        </w:p>
        <w:p w14:paraId="3281DE55" w14:textId="77777777" w:rsidR="00D46E84" w:rsidRPr="009C0293" w:rsidRDefault="00D46E84" w:rsidP="00DB6507">
          <w:pPr>
            <w:contextualSpacing/>
            <w:rPr>
              <w:rFonts w:ascii="Cambria" w:hAnsi="Cambria"/>
              <w:color w:val="808080" w:themeColor="background1" w:themeShade="80"/>
              <w:sz w:val="18"/>
            </w:rPr>
          </w:pPr>
          <w:r w:rsidRPr="009C0293">
            <w:rPr>
              <w:rFonts w:ascii="Cambria" w:hAnsi="Cambria"/>
              <w:color w:val="808080" w:themeColor="background1" w:themeShade="80"/>
              <w:sz w:val="18"/>
            </w:rPr>
            <w:t>Fax: (02) 6277 5945</w:t>
          </w:r>
        </w:p>
        <w:p w14:paraId="3B3B26D7" w14:textId="77777777" w:rsidR="00D46E84" w:rsidRDefault="00D46E84" w:rsidP="00DB6507">
          <w:pPr>
            <w:contextualSpacing/>
          </w:pPr>
          <w:r w:rsidRPr="009C0293">
            <w:rPr>
              <w:rFonts w:ascii="Cambria" w:hAnsi="Cambria"/>
              <w:color w:val="808080" w:themeColor="background1" w:themeShade="80"/>
              <w:sz w:val="18"/>
            </w:rPr>
            <w:t xml:space="preserve">Email: </w:t>
          </w:r>
          <w:hyperlink r:id="rId1" w:history="1">
            <w:r w:rsidRPr="009C0293">
              <w:rPr>
                <w:rStyle w:val="Hyperlink"/>
                <w:rFonts w:ascii="Cambria" w:hAnsi="Cambria"/>
                <w:color w:val="808080" w:themeColor="background1" w:themeShade="80"/>
                <w:sz w:val="18"/>
                <w:u w:val="none"/>
              </w:rPr>
              <w:t>senator.leyonhjelm@aph.gov.au</w:t>
            </w:r>
          </w:hyperlink>
        </w:p>
      </w:tc>
      <w:tc>
        <w:tcPr>
          <w:tcW w:w="4714" w:type="dxa"/>
        </w:tcPr>
        <w:p w14:paraId="674DD647" w14:textId="77777777" w:rsidR="00D46E84" w:rsidRDefault="00D46E84">
          <w:pPr>
            <w:contextualSpacing/>
            <w:jc w:val="right"/>
            <w:rPr>
              <w:rFonts w:ascii="Cambria" w:hAnsi="Cambria"/>
              <w:color w:val="808080" w:themeColor="background1" w:themeShade="80"/>
              <w:sz w:val="18"/>
            </w:rPr>
          </w:pPr>
        </w:p>
        <w:p w14:paraId="30224945" w14:textId="77777777" w:rsidR="00D46E84" w:rsidRDefault="00D46E84">
          <w:pPr>
            <w:contextualSpacing/>
            <w:jc w:val="right"/>
            <w:rPr>
              <w:rFonts w:ascii="Cambria" w:hAnsi="Cambria"/>
              <w:color w:val="808080" w:themeColor="background1" w:themeShade="80"/>
              <w:sz w:val="18"/>
            </w:rPr>
          </w:pPr>
          <w:r>
            <w:rPr>
              <w:rFonts w:ascii="Cambria" w:hAnsi="Cambria"/>
              <w:color w:val="808080" w:themeColor="background1" w:themeShade="80"/>
              <w:sz w:val="18"/>
            </w:rPr>
            <w:t>PO Box 636</w:t>
          </w:r>
        </w:p>
        <w:p w14:paraId="2E61AFFD" w14:textId="77777777" w:rsidR="00D46E84" w:rsidRDefault="00D46E84">
          <w:pPr>
            <w:contextualSpacing/>
            <w:jc w:val="right"/>
            <w:rPr>
              <w:rFonts w:ascii="Cambria" w:hAnsi="Cambria"/>
              <w:color w:val="808080" w:themeColor="background1" w:themeShade="80"/>
              <w:sz w:val="18"/>
            </w:rPr>
          </w:pPr>
          <w:r>
            <w:rPr>
              <w:rFonts w:ascii="Cambria" w:hAnsi="Cambria"/>
              <w:color w:val="808080" w:themeColor="background1" w:themeShade="80"/>
              <w:sz w:val="18"/>
            </w:rPr>
            <w:t>DRUMMOYNE NSW 1470</w:t>
          </w:r>
        </w:p>
        <w:p w14:paraId="74A9412B" w14:textId="77777777" w:rsidR="00D46E84" w:rsidRDefault="00D46E84">
          <w:pPr>
            <w:contextualSpacing/>
            <w:jc w:val="right"/>
            <w:rPr>
              <w:rFonts w:ascii="Cambria" w:hAnsi="Cambria"/>
              <w:color w:val="808080" w:themeColor="background1" w:themeShade="80"/>
              <w:sz w:val="18"/>
            </w:rPr>
          </w:pPr>
          <w:r>
            <w:rPr>
              <w:rFonts w:ascii="Cambria" w:hAnsi="Cambria"/>
              <w:color w:val="808080" w:themeColor="background1" w:themeShade="80"/>
              <w:sz w:val="18"/>
            </w:rPr>
            <w:t>Tel: (02) 9719 1078</w:t>
          </w:r>
        </w:p>
        <w:p w14:paraId="1C35FAAC" w14:textId="77777777" w:rsidR="00D46E84" w:rsidRDefault="00D46E84">
          <w:pPr>
            <w:contextualSpacing/>
            <w:jc w:val="right"/>
            <w:rPr>
              <w:rFonts w:ascii="Cambria" w:hAnsi="Cambria"/>
              <w:color w:val="808080" w:themeColor="background1" w:themeShade="80"/>
              <w:sz w:val="10"/>
            </w:rPr>
          </w:pPr>
          <w:r>
            <w:rPr>
              <w:rFonts w:ascii="Cambria" w:hAnsi="Cambria"/>
              <w:color w:val="808080" w:themeColor="background1" w:themeShade="80"/>
              <w:sz w:val="18"/>
            </w:rPr>
            <w:t>Fax: (02) 9181 5462</w:t>
          </w:r>
        </w:p>
        <w:p w14:paraId="5DDE4943" w14:textId="77777777" w:rsidR="00D46E84" w:rsidRDefault="00D46E84">
          <w:pPr>
            <w:pStyle w:val="Footer"/>
            <w:jc w:val="right"/>
          </w:pPr>
          <w:r>
            <w:rPr>
              <w:rFonts w:ascii="Cambria" w:hAnsi="Cambria"/>
              <w:color w:val="808080" w:themeColor="background1" w:themeShade="80"/>
              <w:sz w:val="18"/>
            </w:rPr>
            <w:t>Toll Free: 1300 884 092</w:t>
          </w:r>
        </w:p>
      </w:tc>
    </w:tr>
  </w:tbl>
  <w:p w14:paraId="2015EAF6" w14:textId="77777777" w:rsidR="00DB6507" w:rsidRPr="00B25ABE" w:rsidRDefault="00DB6507" w:rsidP="006C698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55430" w14:textId="77777777" w:rsidR="005E7AF6" w:rsidRDefault="005E7AF6" w:rsidP="00062906">
      <w:pPr>
        <w:spacing w:after="0" w:line="240" w:lineRule="auto"/>
      </w:pPr>
      <w:r>
        <w:separator/>
      </w:r>
    </w:p>
  </w:footnote>
  <w:footnote w:type="continuationSeparator" w:id="0">
    <w:p w14:paraId="00732D92" w14:textId="77777777" w:rsidR="005E7AF6" w:rsidRDefault="005E7AF6" w:rsidP="00062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8B58" w14:textId="77777777" w:rsidR="00214FFC" w:rsidRDefault="00214FFC" w:rsidP="00A57DE6">
    <w:pPr>
      <w:pStyle w:val="Header"/>
      <w:ind w:hanging="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18D9D" w14:textId="77777777" w:rsidR="00214FFC" w:rsidRDefault="00214FFC">
    <w:pPr>
      <w:pStyle w:val="Header"/>
    </w:pPr>
  </w:p>
  <w:p w14:paraId="2DD2A2DE" w14:textId="77777777" w:rsidR="00214FFC" w:rsidRDefault="00214FFC">
    <w:pPr>
      <w:pStyle w:val="Header"/>
    </w:pPr>
  </w:p>
  <w:p w14:paraId="04BEE888" w14:textId="77777777" w:rsidR="006C2E6B" w:rsidRDefault="006C2E6B">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601"/>
    </w:tblGrid>
    <w:tr w:rsidR="00214FFC" w14:paraId="7BBE4209" w14:textId="77777777" w:rsidTr="006C2E6B">
      <w:tc>
        <w:tcPr>
          <w:tcW w:w="4714" w:type="dxa"/>
        </w:tcPr>
        <w:p w14:paraId="2AEB60A1" w14:textId="77777777" w:rsidR="00214FFC" w:rsidRDefault="00214FFC" w:rsidP="001348B9">
          <w:pPr>
            <w:pStyle w:val="Header"/>
            <w:jc w:val="both"/>
          </w:pPr>
          <w:r>
            <w:rPr>
              <w:noProof/>
              <w:lang w:eastAsia="en-AU"/>
            </w:rPr>
            <w:drawing>
              <wp:inline distT="0" distB="0" distL="0" distR="0" wp14:anchorId="6CC3871D" wp14:editId="24234DB6">
                <wp:extent cx="1323975" cy="96977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TIF"/>
                        <pic:cNvPicPr/>
                      </pic:nvPicPr>
                      <pic:blipFill>
                        <a:blip r:embed="rId1" cstate="print">
                          <a:duotone>
                            <a:schemeClr val="bg2">
                              <a:shade val="45000"/>
                              <a:satMod val="135000"/>
                            </a:schemeClr>
                            <a:prstClr val="white"/>
                          </a:duoton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32796" cy="976236"/>
                        </a:xfrm>
                        <a:prstGeom prst="rect">
                          <a:avLst/>
                        </a:prstGeom>
                      </pic:spPr>
                    </pic:pic>
                  </a:graphicData>
                </a:graphic>
              </wp:inline>
            </w:drawing>
          </w:r>
        </w:p>
      </w:tc>
      <w:tc>
        <w:tcPr>
          <w:tcW w:w="4714" w:type="dxa"/>
        </w:tcPr>
        <w:p w14:paraId="22E6D54F" w14:textId="77777777" w:rsidR="007D5829" w:rsidRPr="009C0293" w:rsidRDefault="007D5829" w:rsidP="007D5829">
          <w:pPr>
            <w:spacing w:before="120" w:line="360" w:lineRule="auto"/>
            <w:contextualSpacing/>
            <w:jc w:val="right"/>
            <w:rPr>
              <w:rFonts w:ascii="Cambria" w:hAnsi="Cambria"/>
              <w:color w:val="808080" w:themeColor="background1" w:themeShade="80"/>
              <w:sz w:val="32"/>
            </w:rPr>
          </w:pPr>
          <w:r w:rsidRPr="009C0293">
            <w:rPr>
              <w:rFonts w:ascii="Cambria" w:hAnsi="Cambria"/>
              <w:color w:val="808080" w:themeColor="background1" w:themeShade="80"/>
              <w:sz w:val="32"/>
            </w:rPr>
            <w:t>AUSTRALIAN SENATE</w:t>
          </w:r>
        </w:p>
        <w:p w14:paraId="0C9202DB" w14:textId="77777777" w:rsidR="007D5829" w:rsidRPr="009C0293" w:rsidRDefault="007D5829" w:rsidP="007D5829">
          <w:pPr>
            <w:contextualSpacing/>
            <w:jc w:val="right"/>
            <w:rPr>
              <w:rFonts w:ascii="Cambria" w:hAnsi="Cambria"/>
              <w:b/>
              <w:color w:val="808080" w:themeColor="background1" w:themeShade="80"/>
              <w:sz w:val="20"/>
            </w:rPr>
          </w:pPr>
          <w:r w:rsidRPr="009C0293">
            <w:rPr>
              <w:rFonts w:ascii="Cambria" w:hAnsi="Cambria"/>
              <w:b/>
              <w:color w:val="808080" w:themeColor="background1" w:themeShade="80"/>
              <w:sz w:val="20"/>
            </w:rPr>
            <w:t>David Leyonhjelm</w:t>
          </w:r>
        </w:p>
        <w:p w14:paraId="58844627" w14:textId="77777777" w:rsidR="007D5829" w:rsidRPr="009C0293" w:rsidRDefault="007D5829" w:rsidP="007D5829">
          <w:pPr>
            <w:contextualSpacing/>
            <w:jc w:val="right"/>
            <w:rPr>
              <w:rFonts w:ascii="Cambria" w:hAnsi="Cambria"/>
              <w:color w:val="808080" w:themeColor="background1" w:themeShade="80"/>
              <w:sz w:val="14"/>
            </w:rPr>
          </w:pPr>
          <w:r w:rsidRPr="009C0293">
            <w:rPr>
              <w:rFonts w:ascii="Cambria" w:hAnsi="Cambria"/>
              <w:color w:val="808080" w:themeColor="background1" w:themeShade="80"/>
              <w:sz w:val="14"/>
            </w:rPr>
            <w:t>BVSc LLB MBA</w:t>
          </w:r>
        </w:p>
        <w:p w14:paraId="658421A7" w14:textId="77777777" w:rsidR="007D5829" w:rsidRPr="009C0293" w:rsidRDefault="007D5829" w:rsidP="007D5829">
          <w:pPr>
            <w:contextualSpacing/>
            <w:jc w:val="right"/>
            <w:rPr>
              <w:rFonts w:ascii="Cambria" w:hAnsi="Cambria"/>
              <w:color w:val="808080" w:themeColor="background1" w:themeShade="80"/>
              <w:sz w:val="20"/>
            </w:rPr>
          </w:pPr>
          <w:r w:rsidRPr="009C0293">
            <w:rPr>
              <w:rFonts w:ascii="Cambria" w:hAnsi="Cambria"/>
              <w:color w:val="808080" w:themeColor="background1" w:themeShade="80"/>
              <w:sz w:val="20"/>
            </w:rPr>
            <w:t>Liberal Democrats Senator for NSW</w:t>
          </w:r>
        </w:p>
        <w:p w14:paraId="190BFB8E" w14:textId="77777777" w:rsidR="006C2E6B" w:rsidRDefault="006C2E6B" w:rsidP="001348B9">
          <w:pPr>
            <w:pStyle w:val="Header"/>
            <w:jc w:val="right"/>
          </w:pPr>
        </w:p>
      </w:tc>
    </w:tr>
  </w:tbl>
  <w:p w14:paraId="4CF8501A" w14:textId="77777777" w:rsidR="00214FFC" w:rsidRDefault="00214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wMDM3NzMwM7AwMjNW0lEKTi0uzszPAykwrgUA4D3U0iwAAAA="/>
  </w:docVars>
  <w:rsids>
    <w:rsidRoot w:val="0026261C"/>
    <w:rsid w:val="00040A0C"/>
    <w:rsid w:val="00062906"/>
    <w:rsid w:val="00083F02"/>
    <w:rsid w:val="00091974"/>
    <w:rsid w:val="000A3B5F"/>
    <w:rsid w:val="000B483D"/>
    <w:rsid w:val="000D6DF4"/>
    <w:rsid w:val="000F0EBB"/>
    <w:rsid w:val="000F4799"/>
    <w:rsid w:val="00100DD1"/>
    <w:rsid w:val="001133D9"/>
    <w:rsid w:val="00120DAE"/>
    <w:rsid w:val="00150A24"/>
    <w:rsid w:val="0015553A"/>
    <w:rsid w:val="001574F2"/>
    <w:rsid w:val="001723E0"/>
    <w:rsid w:val="00181806"/>
    <w:rsid w:val="001858A3"/>
    <w:rsid w:val="001918FE"/>
    <w:rsid w:val="001F3B9F"/>
    <w:rsid w:val="00214FFC"/>
    <w:rsid w:val="0023390A"/>
    <w:rsid w:val="0026261C"/>
    <w:rsid w:val="00284E47"/>
    <w:rsid w:val="002C56C4"/>
    <w:rsid w:val="002C7D01"/>
    <w:rsid w:val="002D5E28"/>
    <w:rsid w:val="002E6761"/>
    <w:rsid w:val="002F637F"/>
    <w:rsid w:val="0030280D"/>
    <w:rsid w:val="003223A1"/>
    <w:rsid w:val="00391595"/>
    <w:rsid w:val="00395B60"/>
    <w:rsid w:val="003B1BF9"/>
    <w:rsid w:val="003C3C96"/>
    <w:rsid w:val="003E064F"/>
    <w:rsid w:val="003E68BB"/>
    <w:rsid w:val="003E69E6"/>
    <w:rsid w:val="003E7691"/>
    <w:rsid w:val="003F5A08"/>
    <w:rsid w:val="00416632"/>
    <w:rsid w:val="0048194A"/>
    <w:rsid w:val="004D7DAE"/>
    <w:rsid w:val="0050650F"/>
    <w:rsid w:val="00594652"/>
    <w:rsid w:val="005B0FA6"/>
    <w:rsid w:val="005E7AF6"/>
    <w:rsid w:val="00604C08"/>
    <w:rsid w:val="006066B9"/>
    <w:rsid w:val="00610C41"/>
    <w:rsid w:val="006216C3"/>
    <w:rsid w:val="00655577"/>
    <w:rsid w:val="00660F1B"/>
    <w:rsid w:val="00667D50"/>
    <w:rsid w:val="006A3DCC"/>
    <w:rsid w:val="006C2E6B"/>
    <w:rsid w:val="006C6984"/>
    <w:rsid w:val="006D215C"/>
    <w:rsid w:val="006F2B19"/>
    <w:rsid w:val="007308C0"/>
    <w:rsid w:val="00737321"/>
    <w:rsid w:val="00754142"/>
    <w:rsid w:val="00762891"/>
    <w:rsid w:val="007A78B9"/>
    <w:rsid w:val="007D5829"/>
    <w:rsid w:val="00800087"/>
    <w:rsid w:val="008024B8"/>
    <w:rsid w:val="0085480C"/>
    <w:rsid w:val="008807AB"/>
    <w:rsid w:val="008A4615"/>
    <w:rsid w:val="008E7BEB"/>
    <w:rsid w:val="00940EA3"/>
    <w:rsid w:val="00971BAC"/>
    <w:rsid w:val="0099727E"/>
    <w:rsid w:val="009A4BA4"/>
    <w:rsid w:val="009C0293"/>
    <w:rsid w:val="009F0441"/>
    <w:rsid w:val="00A07155"/>
    <w:rsid w:val="00A57DE6"/>
    <w:rsid w:val="00A61CFB"/>
    <w:rsid w:val="00A7035A"/>
    <w:rsid w:val="00B04455"/>
    <w:rsid w:val="00B25ABE"/>
    <w:rsid w:val="00B35831"/>
    <w:rsid w:val="00B70079"/>
    <w:rsid w:val="00BA2F4A"/>
    <w:rsid w:val="00BE2FB9"/>
    <w:rsid w:val="00BE69C8"/>
    <w:rsid w:val="00BF60F1"/>
    <w:rsid w:val="00C21CAF"/>
    <w:rsid w:val="00C90DA9"/>
    <w:rsid w:val="00CE36B2"/>
    <w:rsid w:val="00CF4F62"/>
    <w:rsid w:val="00D02C72"/>
    <w:rsid w:val="00D3578E"/>
    <w:rsid w:val="00D467AB"/>
    <w:rsid w:val="00D46E84"/>
    <w:rsid w:val="00DA5AA3"/>
    <w:rsid w:val="00DB10AC"/>
    <w:rsid w:val="00DB64BB"/>
    <w:rsid w:val="00DB6507"/>
    <w:rsid w:val="00E03580"/>
    <w:rsid w:val="00E84AD3"/>
    <w:rsid w:val="00F027DE"/>
    <w:rsid w:val="00FA4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68A949"/>
  <w15:docId w15:val="{39AB83DA-1E3D-4538-A633-665D3CBB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8B9"/>
  </w:style>
  <w:style w:type="paragraph" w:styleId="Heading2">
    <w:name w:val="heading 2"/>
    <w:basedOn w:val="Normal"/>
    <w:next w:val="Normal"/>
    <w:link w:val="Heading2Char"/>
    <w:uiPriority w:val="9"/>
    <w:unhideWhenUsed/>
    <w:qFormat/>
    <w:rsid w:val="004819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61C"/>
    <w:rPr>
      <w:rFonts w:ascii="Tahoma" w:hAnsi="Tahoma" w:cs="Tahoma"/>
      <w:sz w:val="16"/>
      <w:szCs w:val="16"/>
    </w:rPr>
  </w:style>
  <w:style w:type="paragraph" w:styleId="Header">
    <w:name w:val="header"/>
    <w:basedOn w:val="Normal"/>
    <w:link w:val="HeaderChar"/>
    <w:uiPriority w:val="99"/>
    <w:unhideWhenUsed/>
    <w:rsid w:val="0006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906"/>
  </w:style>
  <w:style w:type="paragraph" w:styleId="Footer">
    <w:name w:val="footer"/>
    <w:basedOn w:val="Normal"/>
    <w:link w:val="FooterChar"/>
    <w:uiPriority w:val="99"/>
    <w:unhideWhenUsed/>
    <w:rsid w:val="0006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906"/>
  </w:style>
  <w:style w:type="character" w:styleId="Hyperlink">
    <w:name w:val="Hyperlink"/>
    <w:basedOn w:val="DefaultParagraphFont"/>
    <w:uiPriority w:val="99"/>
    <w:unhideWhenUsed/>
    <w:rsid w:val="00062906"/>
    <w:rPr>
      <w:color w:val="0000FF" w:themeColor="hyperlink"/>
      <w:u w:val="single"/>
    </w:rPr>
  </w:style>
  <w:style w:type="character" w:styleId="FollowedHyperlink">
    <w:name w:val="FollowedHyperlink"/>
    <w:basedOn w:val="DefaultParagraphFont"/>
    <w:uiPriority w:val="99"/>
    <w:semiHidden/>
    <w:unhideWhenUsed/>
    <w:rsid w:val="00A07155"/>
    <w:rPr>
      <w:color w:val="800080" w:themeColor="followedHyperlink"/>
      <w:u w:val="single"/>
    </w:rPr>
  </w:style>
  <w:style w:type="table" w:styleId="TableGrid">
    <w:name w:val="Table Grid"/>
    <w:basedOn w:val="TableNormal"/>
    <w:uiPriority w:val="59"/>
    <w:rsid w:val="00214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94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1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enator.leyonhjelm@aph.gov.au"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PCDOC-679391099-146</_dlc_DocId>
    <_dlc_DocIdUrl xmlns="3f4bcce7-ac1a-4c9d-aa3e-7e77695652db">
      <Url>http://inet.pc.gov.au/pmo/inq/mdbp/_layouts/15/DocIdRedir.aspx?ID=PCDOC-679391099-146</Url>
      <Description>PCDOC-679391099-146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B94B-D13F-4215-937C-09E1666FD797}">
  <ds:schemaRefs>
    <ds:schemaRef ds:uri="Microsoft.SharePoint.Taxonomy.ContentTypeSync"/>
  </ds:schemaRefs>
</ds:datastoreItem>
</file>

<file path=customXml/itemProps2.xml><?xml version="1.0" encoding="utf-8"?>
<ds:datastoreItem xmlns:ds="http://schemas.openxmlformats.org/officeDocument/2006/customXml" ds:itemID="{28B888C9-A35D-4942-9A28-B35E6D6E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283E6-823B-45ED-B6BB-64918BD7BDF4}">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3f4bcce7-ac1a-4c9d-aa3e-7e77695652db"/>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9952D8F-003A-4A92-A040-BEA2B0C5C224}">
  <ds:schemaRefs>
    <ds:schemaRef ds:uri="http://schemas.microsoft.com/sharepoint/v3/contenttype/forms"/>
  </ds:schemaRefs>
</ds:datastoreItem>
</file>

<file path=customXml/itemProps5.xml><?xml version="1.0" encoding="utf-8"?>
<ds:datastoreItem xmlns:ds="http://schemas.openxmlformats.org/officeDocument/2006/customXml" ds:itemID="{C011B92C-9759-4496-8A08-BF6F13E7C3BD}">
  <ds:schemaRefs>
    <ds:schemaRef ds:uri="http://schemas.microsoft.com/sharepoint/events"/>
  </ds:schemaRefs>
</ds:datastoreItem>
</file>

<file path=customXml/itemProps6.xml><?xml version="1.0" encoding="utf-8"?>
<ds:datastoreItem xmlns:ds="http://schemas.openxmlformats.org/officeDocument/2006/customXml" ds:itemID="{BD7753EF-0733-49E8-A89F-DF067524964D}">
  <ds:schemaRefs>
    <ds:schemaRef ds:uri="http://schemas.microsoft.com/office/2006/metadata/customXsn"/>
  </ds:schemaRefs>
</ds:datastoreItem>
</file>

<file path=customXml/itemProps7.xml><?xml version="1.0" encoding="utf-8"?>
<ds:datastoreItem xmlns:ds="http://schemas.openxmlformats.org/officeDocument/2006/customXml" ds:itemID="{FE0B56A3-62CF-45E5-B688-991795F7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DR97 - Senator David Leyonhjelm - Murray-Darling Basin Plan: Five-year assessment - Puiblic inquiry</vt:lpstr>
    </vt:vector>
  </TitlesOfParts>
  <Company>Senator David Leyonhjelm</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DR97 - Senator David Leyonhjelm - Murray-Darling Basin Plan: Five-year assessment - Puiblic inquiry</dc:title>
  <dc:creator>Senator David Leyonhjelm</dc:creator>
  <cp:keywords/>
  <cp:lastModifiedBy>Productivity Commission</cp:lastModifiedBy>
  <cp:revision>3</cp:revision>
  <cp:lastPrinted>2014-11-04T22:47:00Z</cp:lastPrinted>
  <dcterms:created xsi:type="dcterms:W3CDTF">2018-10-09T03:25:00Z</dcterms:created>
  <dcterms:modified xsi:type="dcterms:W3CDTF">2018-10-10T01:33:00Z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24377608-9111-4823-a291-5f677c11c0d3</vt:lpwstr>
  </property>
</Properties>
</file>