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B9A14" w14:textId="77777777" w:rsidR="00947733" w:rsidRPr="00E42CCF" w:rsidRDefault="00947733" w:rsidP="00947733">
      <w:pPr>
        <w:tabs>
          <w:tab w:val="center" w:pos="4513"/>
          <w:tab w:val="right" w:pos="9026"/>
        </w:tabs>
        <w:spacing w:after="0" w:line="276" w:lineRule="auto"/>
        <w:jc w:val="right"/>
        <w:rPr>
          <w:rFonts w:ascii="Arial" w:eastAsia="Arial" w:hAnsi="Arial" w:cs="Arial"/>
          <w:sz w:val="16"/>
          <w:szCs w:val="16"/>
          <w:lang w:val="en" w:eastAsia="en-AU"/>
        </w:rPr>
      </w:pPr>
      <w:bookmarkStart w:id="0" w:name="_GoBack"/>
      <w:bookmarkEnd w:id="0"/>
      <w:r w:rsidRPr="00E42CCF">
        <w:rPr>
          <w:rFonts w:ascii="Arial" w:eastAsia="Arial" w:hAnsi="Arial" w:cs="Arial"/>
          <w:noProof/>
          <w:lang w:eastAsia="en-AU"/>
        </w:rPr>
        <w:drawing>
          <wp:anchor distT="0" distB="0" distL="0" distR="0" simplePos="0" relativeHeight="251659264" behindDoc="0" locked="0" layoutInCell="1" hidden="0" allowOverlap="1" wp14:anchorId="31BD8051" wp14:editId="4DF067AF">
            <wp:simplePos x="0" y="0"/>
            <wp:positionH relativeFrom="margin">
              <wp:align>left</wp:align>
            </wp:positionH>
            <wp:positionV relativeFrom="paragraph">
              <wp:posOffset>86995</wp:posOffset>
            </wp:positionV>
            <wp:extent cx="2271395" cy="117094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271395" cy="1170940"/>
                    </a:xfrm>
                    <a:prstGeom prst="rect">
                      <a:avLst/>
                    </a:prstGeom>
                    <a:ln/>
                  </pic:spPr>
                </pic:pic>
              </a:graphicData>
            </a:graphic>
          </wp:anchor>
        </w:drawing>
      </w:r>
    </w:p>
    <w:p w14:paraId="17B2AABD" w14:textId="77777777" w:rsidR="00947733" w:rsidRPr="00E42CCF" w:rsidRDefault="00947733" w:rsidP="00947733">
      <w:pPr>
        <w:tabs>
          <w:tab w:val="center" w:pos="4513"/>
          <w:tab w:val="right" w:pos="9026"/>
        </w:tabs>
        <w:spacing w:after="0" w:line="276" w:lineRule="auto"/>
        <w:jc w:val="right"/>
        <w:rPr>
          <w:rFonts w:ascii="Arial" w:eastAsia="Arial" w:hAnsi="Arial" w:cs="Arial"/>
          <w:sz w:val="16"/>
          <w:szCs w:val="16"/>
          <w:lang w:val="en" w:eastAsia="en-AU"/>
        </w:rPr>
      </w:pPr>
      <w:r w:rsidRPr="00E42CCF">
        <w:rPr>
          <w:rFonts w:ascii="Arial" w:eastAsia="Arial" w:hAnsi="Arial" w:cs="Arial"/>
          <w:sz w:val="16"/>
          <w:szCs w:val="16"/>
          <w:lang w:val="en" w:eastAsia="en-AU"/>
        </w:rPr>
        <w:t>Health and wellbeing for</w:t>
      </w:r>
    </w:p>
    <w:p w14:paraId="3C4CD45A" w14:textId="77777777" w:rsidR="00947733" w:rsidRPr="00E42CCF" w:rsidRDefault="00947733" w:rsidP="00947733">
      <w:pPr>
        <w:tabs>
          <w:tab w:val="center" w:pos="4513"/>
          <w:tab w:val="right" w:pos="9026"/>
        </w:tabs>
        <w:spacing w:after="0" w:line="276" w:lineRule="auto"/>
        <w:jc w:val="right"/>
        <w:rPr>
          <w:rFonts w:ascii="Arial" w:eastAsia="Arial" w:hAnsi="Arial" w:cs="Arial"/>
          <w:sz w:val="16"/>
          <w:szCs w:val="16"/>
          <w:lang w:val="en" w:eastAsia="en-AU"/>
        </w:rPr>
      </w:pPr>
      <w:r w:rsidRPr="00E42CCF">
        <w:rPr>
          <w:rFonts w:ascii="Arial" w:eastAsia="Arial" w:hAnsi="Arial" w:cs="Arial"/>
          <w:sz w:val="16"/>
          <w:szCs w:val="16"/>
          <w:lang w:val="en" w:eastAsia="en-AU"/>
        </w:rPr>
        <w:t>lesbian, gay, bisexual, trans, intersex [LGBTI]</w:t>
      </w:r>
    </w:p>
    <w:p w14:paraId="6A7B434E" w14:textId="77777777" w:rsidR="00947733" w:rsidRPr="00E42CCF" w:rsidRDefault="00947733" w:rsidP="00947733">
      <w:pPr>
        <w:tabs>
          <w:tab w:val="center" w:pos="4513"/>
          <w:tab w:val="right" w:pos="9026"/>
        </w:tabs>
        <w:spacing w:after="0" w:line="276" w:lineRule="auto"/>
        <w:jc w:val="right"/>
        <w:rPr>
          <w:rFonts w:ascii="Arial" w:eastAsia="Arial" w:hAnsi="Arial" w:cs="Arial"/>
          <w:sz w:val="16"/>
          <w:szCs w:val="16"/>
          <w:lang w:val="en" w:eastAsia="en-AU"/>
        </w:rPr>
      </w:pPr>
      <w:r w:rsidRPr="00E42CCF">
        <w:rPr>
          <w:rFonts w:ascii="Arial" w:eastAsia="Arial" w:hAnsi="Arial" w:cs="Arial"/>
          <w:sz w:val="16"/>
          <w:szCs w:val="16"/>
          <w:lang w:val="en" w:eastAsia="en-AU"/>
        </w:rPr>
        <w:t>people and sexuality, genders, and bodily</w:t>
      </w:r>
    </w:p>
    <w:p w14:paraId="15D1F389" w14:textId="77777777" w:rsidR="00947733" w:rsidRPr="00E42CCF" w:rsidRDefault="00947733" w:rsidP="00947733">
      <w:pPr>
        <w:tabs>
          <w:tab w:val="center" w:pos="4513"/>
          <w:tab w:val="right" w:pos="9026"/>
        </w:tabs>
        <w:spacing w:after="0" w:line="276" w:lineRule="auto"/>
        <w:jc w:val="right"/>
        <w:rPr>
          <w:rFonts w:ascii="Arial" w:eastAsia="Arial" w:hAnsi="Arial" w:cs="Arial"/>
          <w:sz w:val="16"/>
          <w:szCs w:val="16"/>
          <w:lang w:val="en" w:eastAsia="en-AU"/>
        </w:rPr>
      </w:pPr>
      <w:r w:rsidRPr="00E42CCF">
        <w:rPr>
          <w:rFonts w:ascii="Arial" w:eastAsia="Arial" w:hAnsi="Arial" w:cs="Arial"/>
          <w:sz w:val="16"/>
          <w:szCs w:val="16"/>
          <w:lang w:val="en" w:eastAsia="en-AU"/>
        </w:rPr>
        <w:t>diverse people and communities</w:t>
      </w:r>
    </w:p>
    <w:p w14:paraId="32788D56" w14:textId="77777777" w:rsidR="00947733" w:rsidRPr="00E42CCF" w:rsidRDefault="00947733" w:rsidP="00947733">
      <w:pPr>
        <w:tabs>
          <w:tab w:val="center" w:pos="4513"/>
          <w:tab w:val="right" w:pos="9026"/>
        </w:tabs>
        <w:spacing w:after="0" w:line="276" w:lineRule="auto"/>
        <w:jc w:val="right"/>
        <w:rPr>
          <w:rFonts w:ascii="Arial" w:eastAsia="Arial" w:hAnsi="Arial" w:cs="Arial"/>
          <w:sz w:val="16"/>
          <w:szCs w:val="16"/>
          <w:lang w:val="en" w:eastAsia="en-AU"/>
        </w:rPr>
      </w:pPr>
      <w:r w:rsidRPr="00E42CCF">
        <w:rPr>
          <w:rFonts w:ascii="Arial" w:eastAsia="Arial" w:hAnsi="Arial" w:cs="Arial"/>
          <w:sz w:val="16"/>
          <w:szCs w:val="16"/>
          <w:lang w:val="en" w:eastAsia="en-AU"/>
        </w:rPr>
        <w:t>throughout Australia</w:t>
      </w:r>
    </w:p>
    <w:p w14:paraId="55D2E96B" w14:textId="77777777" w:rsidR="00947733" w:rsidRPr="00E42CCF" w:rsidRDefault="00947733" w:rsidP="00947733">
      <w:pPr>
        <w:tabs>
          <w:tab w:val="center" w:pos="4513"/>
          <w:tab w:val="right" w:pos="9026"/>
        </w:tabs>
        <w:spacing w:after="0" w:line="276" w:lineRule="auto"/>
        <w:jc w:val="right"/>
        <w:rPr>
          <w:rFonts w:ascii="Arial" w:eastAsia="Arial" w:hAnsi="Arial" w:cs="Arial"/>
          <w:sz w:val="16"/>
          <w:szCs w:val="16"/>
          <w:lang w:val="en" w:eastAsia="en-AU"/>
        </w:rPr>
      </w:pPr>
      <w:r w:rsidRPr="00E42CCF">
        <w:rPr>
          <w:rFonts w:ascii="Arial" w:eastAsia="Arial" w:hAnsi="Arial" w:cs="Arial"/>
          <w:sz w:val="16"/>
          <w:szCs w:val="16"/>
          <w:lang w:val="en" w:eastAsia="en-AU"/>
        </w:rPr>
        <w:t xml:space="preserve"> </w:t>
      </w:r>
    </w:p>
    <w:p w14:paraId="17518B29" w14:textId="77777777" w:rsidR="00947733" w:rsidRPr="00E42CCF" w:rsidRDefault="00947733" w:rsidP="00947733">
      <w:pPr>
        <w:tabs>
          <w:tab w:val="center" w:pos="4513"/>
          <w:tab w:val="right" w:pos="9026"/>
        </w:tabs>
        <w:spacing w:after="0" w:line="276" w:lineRule="auto"/>
        <w:jc w:val="right"/>
        <w:rPr>
          <w:rFonts w:ascii="Arial" w:eastAsia="Arial" w:hAnsi="Arial" w:cs="Arial"/>
          <w:color w:val="1155CC"/>
          <w:sz w:val="16"/>
          <w:szCs w:val="16"/>
          <w:u w:val="single"/>
          <w:lang w:val="en" w:eastAsia="en-AU"/>
        </w:rPr>
      </w:pPr>
      <w:r w:rsidRPr="00E42CCF">
        <w:rPr>
          <w:rFonts w:ascii="Arial" w:eastAsia="Arial" w:hAnsi="Arial" w:cs="Arial"/>
          <w:lang w:val="en" w:eastAsia="en-AU"/>
        </w:rPr>
        <w:fldChar w:fldCharType="begin"/>
      </w:r>
      <w:r w:rsidRPr="00E42CCF">
        <w:rPr>
          <w:rFonts w:ascii="Arial" w:eastAsia="Arial" w:hAnsi="Arial" w:cs="Arial"/>
          <w:lang w:val="en" w:eastAsia="en-AU"/>
        </w:rPr>
        <w:instrText xml:space="preserve"> HYPERLINK "http://www.lgbtihealth.org.au/" </w:instrText>
      </w:r>
      <w:r w:rsidRPr="00E42CCF">
        <w:rPr>
          <w:rFonts w:ascii="Arial" w:eastAsia="Arial" w:hAnsi="Arial" w:cs="Arial"/>
          <w:lang w:val="en" w:eastAsia="en-AU"/>
        </w:rPr>
        <w:fldChar w:fldCharType="separate"/>
      </w:r>
      <w:r w:rsidRPr="00E42CCF">
        <w:rPr>
          <w:rFonts w:ascii="Arial" w:eastAsia="Arial" w:hAnsi="Arial" w:cs="Arial"/>
          <w:color w:val="1155CC"/>
          <w:sz w:val="16"/>
          <w:szCs w:val="16"/>
          <w:u w:val="single"/>
          <w:lang w:val="en" w:eastAsia="en-AU"/>
        </w:rPr>
        <w:t>www.lgbtihealth.org.au</w:t>
      </w:r>
    </w:p>
    <w:p w14:paraId="2E545CD7" w14:textId="77777777" w:rsidR="00947733" w:rsidRPr="00E42CCF" w:rsidRDefault="00947733" w:rsidP="00947733">
      <w:pPr>
        <w:tabs>
          <w:tab w:val="center" w:pos="4513"/>
          <w:tab w:val="right" w:pos="9026"/>
        </w:tabs>
        <w:spacing w:after="0" w:line="276" w:lineRule="auto"/>
        <w:jc w:val="right"/>
        <w:rPr>
          <w:rFonts w:ascii="Arial" w:eastAsia="Arial" w:hAnsi="Arial" w:cs="Arial"/>
          <w:sz w:val="16"/>
          <w:szCs w:val="16"/>
          <w:lang w:val="en" w:eastAsia="en-AU"/>
        </w:rPr>
      </w:pPr>
      <w:r w:rsidRPr="00E42CCF">
        <w:rPr>
          <w:rFonts w:ascii="Arial" w:eastAsia="Arial" w:hAnsi="Arial" w:cs="Arial"/>
          <w:lang w:val="en" w:eastAsia="en-AU"/>
        </w:rPr>
        <w:fldChar w:fldCharType="end"/>
      </w:r>
      <w:r w:rsidRPr="00E42CCF">
        <w:rPr>
          <w:rFonts w:ascii="Arial" w:eastAsia="Arial" w:hAnsi="Arial" w:cs="Arial"/>
          <w:sz w:val="16"/>
          <w:szCs w:val="16"/>
          <w:lang w:val="en" w:eastAsia="en-AU"/>
        </w:rPr>
        <w:t>info@lgbtihealth.org.au</w:t>
      </w:r>
    </w:p>
    <w:p w14:paraId="757A7FBD" w14:textId="77777777" w:rsidR="00947733" w:rsidRPr="00E42CCF" w:rsidRDefault="00947733" w:rsidP="00947733">
      <w:pPr>
        <w:tabs>
          <w:tab w:val="center" w:pos="4513"/>
          <w:tab w:val="right" w:pos="9026"/>
        </w:tabs>
        <w:spacing w:after="0" w:line="276" w:lineRule="auto"/>
        <w:jc w:val="right"/>
        <w:rPr>
          <w:rFonts w:ascii="Arial" w:eastAsia="Arial" w:hAnsi="Arial" w:cs="Arial"/>
          <w:sz w:val="16"/>
          <w:szCs w:val="16"/>
          <w:lang w:val="en" w:eastAsia="en-AU"/>
        </w:rPr>
      </w:pPr>
      <w:r w:rsidRPr="00E42CCF">
        <w:rPr>
          <w:rFonts w:ascii="Arial" w:eastAsia="Arial" w:hAnsi="Arial" w:cs="Arial"/>
          <w:sz w:val="16"/>
          <w:szCs w:val="16"/>
          <w:lang w:val="en" w:eastAsia="en-AU"/>
        </w:rPr>
        <w:t>(02) 8568 1123</w:t>
      </w:r>
    </w:p>
    <w:p w14:paraId="77837B7B" w14:textId="77777777" w:rsidR="00947733" w:rsidRPr="00E42CCF" w:rsidRDefault="00947733" w:rsidP="00947733">
      <w:pPr>
        <w:spacing w:after="0"/>
      </w:pPr>
    </w:p>
    <w:p w14:paraId="499A0602" w14:textId="77777777" w:rsidR="00947733" w:rsidRPr="00E42CCF" w:rsidRDefault="00947733" w:rsidP="00EE4607">
      <w:pPr>
        <w:spacing w:after="0" w:line="276" w:lineRule="auto"/>
      </w:pPr>
    </w:p>
    <w:p w14:paraId="3FB779C3" w14:textId="180962AB" w:rsidR="00947733" w:rsidRDefault="00947733" w:rsidP="00EE4607">
      <w:pPr>
        <w:spacing w:after="0" w:line="276" w:lineRule="auto"/>
      </w:pPr>
    </w:p>
    <w:p w14:paraId="3B1B0BCB" w14:textId="17A04423" w:rsidR="00901E21" w:rsidRDefault="00901E21" w:rsidP="00EE4607">
      <w:pPr>
        <w:spacing w:after="0" w:line="276" w:lineRule="auto"/>
      </w:pPr>
    </w:p>
    <w:p w14:paraId="7A62C0F0" w14:textId="3990A94E" w:rsidR="00901E21" w:rsidRDefault="00901E21" w:rsidP="00EE4607">
      <w:pPr>
        <w:spacing w:after="0" w:line="276" w:lineRule="auto"/>
      </w:pPr>
    </w:p>
    <w:p w14:paraId="088DE23B" w14:textId="77777777" w:rsidR="00901E21" w:rsidRPr="00901E21" w:rsidRDefault="00321428" w:rsidP="00901E21">
      <w:pPr>
        <w:spacing w:after="0" w:line="360" w:lineRule="auto"/>
        <w:rPr>
          <w:rFonts w:ascii="Calibri" w:eastAsia="Calibri" w:hAnsi="Calibri" w:cs="Calibri"/>
        </w:rPr>
      </w:pPr>
      <w:r>
        <w:rPr>
          <w:rFonts w:ascii="Calibri" w:eastAsia="Times New Roman" w:hAnsi="Calibri" w:cs="Calibri"/>
          <w:b/>
          <w:bCs/>
          <w:color w:val="000000"/>
          <w:szCs w:val="24"/>
          <w:lang w:eastAsia="en-AU"/>
        </w:rPr>
        <w:pict w14:anchorId="28DD15A6">
          <v:rect id="_x0000_i1025" style="width:0;height:1.5pt" o:hralign="center" o:hrstd="t" o:hr="t" fillcolor="#a0a0a0" stroked="f"/>
        </w:pict>
      </w:r>
    </w:p>
    <w:p w14:paraId="462CB29F" w14:textId="30841D01" w:rsidR="00901E21" w:rsidRPr="00901E21" w:rsidRDefault="00321AA4" w:rsidP="00901E21">
      <w:pPr>
        <w:spacing w:before="200" w:after="0" w:line="360" w:lineRule="auto"/>
        <w:rPr>
          <w:rFonts w:ascii="Calibri" w:eastAsia="Calibri" w:hAnsi="Calibri" w:cs="Calibri"/>
          <w:sz w:val="26"/>
          <w:szCs w:val="26"/>
        </w:rPr>
      </w:pPr>
      <w:r>
        <w:rPr>
          <w:rFonts w:ascii="Calibri" w:eastAsia="Calibri" w:hAnsi="Calibri" w:cs="Calibri"/>
          <w:sz w:val="26"/>
          <w:szCs w:val="26"/>
        </w:rPr>
        <w:t>National LGBTI Health Alliance s</w:t>
      </w:r>
      <w:r w:rsidR="00901E21" w:rsidRPr="00901E21">
        <w:rPr>
          <w:rFonts w:ascii="Calibri" w:eastAsia="Calibri" w:hAnsi="Calibri" w:cs="Calibri"/>
          <w:sz w:val="26"/>
          <w:szCs w:val="26"/>
        </w:rPr>
        <w:t xml:space="preserve">ubmission to the Productivity Commission’s </w:t>
      </w:r>
      <w:r w:rsidR="00901E21">
        <w:rPr>
          <w:rFonts w:ascii="Calibri" w:eastAsia="Calibri" w:hAnsi="Calibri" w:cs="Calibri"/>
          <w:sz w:val="26"/>
          <w:szCs w:val="26"/>
        </w:rPr>
        <w:t>draft report on mental health</w:t>
      </w:r>
      <w:r w:rsidR="00901E21" w:rsidRPr="00901E21">
        <w:rPr>
          <w:rFonts w:ascii="Calibri" w:eastAsia="Calibri" w:hAnsi="Calibri" w:cs="Calibri"/>
          <w:sz w:val="26"/>
          <w:szCs w:val="26"/>
        </w:rPr>
        <w:t xml:space="preserve"> </w:t>
      </w:r>
    </w:p>
    <w:p w14:paraId="3BCD58A6" w14:textId="77777777" w:rsidR="00901E21" w:rsidRPr="00901E21" w:rsidRDefault="00321428" w:rsidP="00901E21">
      <w:pPr>
        <w:spacing w:after="0"/>
        <w:rPr>
          <w:rFonts w:ascii="Calibri" w:hAnsi="Calibri" w:cs="Times New Roman"/>
          <w:color w:val="9966FF"/>
          <w:szCs w:val="24"/>
        </w:rPr>
      </w:pPr>
      <w:r>
        <w:rPr>
          <w:rFonts w:ascii="Calibri" w:hAnsi="Calibri" w:cs="Times New Roman"/>
          <w:color w:val="9966FF"/>
          <w:szCs w:val="24"/>
        </w:rPr>
        <w:pict w14:anchorId="44944E55">
          <v:rect id="_x0000_i1026" style="width:0;height:1.5pt" o:hralign="center" o:hrstd="t" o:hr="t" fillcolor="#a0a0a0" stroked="f"/>
        </w:pict>
      </w:r>
    </w:p>
    <w:p w14:paraId="5EEE7479" w14:textId="5B8ADF53" w:rsidR="00901E21" w:rsidRDefault="00901E21" w:rsidP="00EE4607">
      <w:pPr>
        <w:spacing w:after="0" w:line="276" w:lineRule="auto"/>
        <w:rPr>
          <w:rFonts w:eastAsia="Times New Roman" w:cstheme="minorHAnsi"/>
          <w:b/>
          <w:bCs/>
          <w:color w:val="000000"/>
          <w:lang w:eastAsia="en-AU"/>
        </w:rPr>
      </w:pPr>
    </w:p>
    <w:p w14:paraId="79A6541B" w14:textId="77777777" w:rsidR="00321AA4" w:rsidRDefault="00321AA4" w:rsidP="00EE4607">
      <w:pPr>
        <w:spacing w:after="0" w:line="276" w:lineRule="auto"/>
      </w:pPr>
    </w:p>
    <w:p w14:paraId="34C578CF" w14:textId="77777777" w:rsidR="00214718" w:rsidRPr="00214718" w:rsidRDefault="00214718" w:rsidP="00214718">
      <w:pPr>
        <w:spacing w:after="0" w:line="276" w:lineRule="auto"/>
      </w:pPr>
      <w:r w:rsidRPr="00214718">
        <w:t>23 January 2020</w:t>
      </w:r>
    </w:p>
    <w:p w14:paraId="310FB553" w14:textId="42ABF75C" w:rsidR="00901E21" w:rsidRDefault="00901E21" w:rsidP="00EE4607">
      <w:pPr>
        <w:spacing w:after="0" w:line="276" w:lineRule="auto"/>
      </w:pPr>
    </w:p>
    <w:p w14:paraId="145223D6" w14:textId="77777777" w:rsidR="006516C8" w:rsidRDefault="006516C8" w:rsidP="00353B22">
      <w:pPr>
        <w:spacing w:after="0" w:line="276" w:lineRule="auto"/>
        <w:rPr>
          <w:b/>
          <w:bCs/>
          <w:lang w:val="en"/>
        </w:rPr>
      </w:pPr>
    </w:p>
    <w:p w14:paraId="3503EBB0" w14:textId="23266DE1" w:rsidR="00353B22" w:rsidRPr="00353B22" w:rsidRDefault="00353B22" w:rsidP="00353B22">
      <w:pPr>
        <w:spacing w:after="0" w:line="276" w:lineRule="auto"/>
        <w:rPr>
          <w:b/>
          <w:bCs/>
          <w:lang w:val="en"/>
        </w:rPr>
      </w:pPr>
      <w:r w:rsidRPr="00353B22">
        <w:rPr>
          <w:b/>
          <w:bCs/>
          <w:lang w:val="en"/>
        </w:rPr>
        <w:t>About the National LGBTI Health Alliance</w:t>
      </w:r>
    </w:p>
    <w:p w14:paraId="72759BB3" w14:textId="77777777" w:rsidR="00353B22" w:rsidRPr="00353B22" w:rsidRDefault="00353B22" w:rsidP="00353B22">
      <w:pPr>
        <w:spacing w:after="0" w:line="276" w:lineRule="auto"/>
        <w:rPr>
          <w:b/>
          <w:bCs/>
          <w:lang w:val="en"/>
        </w:rPr>
      </w:pPr>
    </w:p>
    <w:p w14:paraId="24E30DED" w14:textId="77777777" w:rsidR="00353B22" w:rsidRPr="00353B22" w:rsidRDefault="00353B22" w:rsidP="00353B22">
      <w:pPr>
        <w:spacing w:after="0" w:line="276" w:lineRule="auto"/>
        <w:rPr>
          <w:lang w:val="en"/>
        </w:rPr>
      </w:pPr>
      <w:r w:rsidRPr="00353B22">
        <w:rPr>
          <w:lang w:val="en"/>
        </w:rPr>
        <w:t xml:space="preserve">The National LGBTI Health Alliance (the Alliance) is the national peak health organisation in Australia for organisations and individuals that provide health-related programs, services and research focused on lesbian, gay, bisexual, transgender, and intersex people (LGBTI) and other sexuality, gender, and bodily diverse people and communities. </w:t>
      </w:r>
      <w:r w:rsidRPr="00353B22">
        <w:t>Our mission is to provide a national focus to improve health outcomes for LGBTI people through policy, advocacy, representation, research evidence, capacity building and national coordination.</w:t>
      </w:r>
    </w:p>
    <w:p w14:paraId="30CDF160" w14:textId="17B2513C" w:rsidR="00947733" w:rsidRDefault="00947733" w:rsidP="00EE4607">
      <w:pPr>
        <w:spacing w:after="0" w:line="276" w:lineRule="auto"/>
        <w:rPr>
          <w:b/>
          <w:bCs/>
        </w:rPr>
      </w:pPr>
    </w:p>
    <w:p w14:paraId="2EE31D00" w14:textId="59DC574C" w:rsidR="00353B22" w:rsidRDefault="00353B22" w:rsidP="00EE4607">
      <w:pPr>
        <w:spacing w:after="0" w:line="276" w:lineRule="auto"/>
        <w:rPr>
          <w:b/>
          <w:bCs/>
        </w:rPr>
      </w:pPr>
    </w:p>
    <w:p w14:paraId="750DF7B1" w14:textId="33E42F85" w:rsidR="00353B22" w:rsidRDefault="00353B22" w:rsidP="00EE4607">
      <w:pPr>
        <w:spacing w:after="0" w:line="276" w:lineRule="auto"/>
        <w:rPr>
          <w:b/>
          <w:bCs/>
        </w:rPr>
      </w:pPr>
    </w:p>
    <w:p w14:paraId="75377340" w14:textId="618CD424" w:rsidR="00353B22" w:rsidRDefault="00353B22" w:rsidP="00EE4607">
      <w:pPr>
        <w:spacing w:after="0" w:line="276" w:lineRule="auto"/>
        <w:rPr>
          <w:b/>
          <w:bCs/>
        </w:rPr>
      </w:pPr>
    </w:p>
    <w:p w14:paraId="72B34516" w14:textId="626E5F4A" w:rsidR="00A47067" w:rsidRDefault="00A47067" w:rsidP="00EE4607">
      <w:pPr>
        <w:spacing w:after="0" w:line="276" w:lineRule="auto"/>
        <w:rPr>
          <w:b/>
          <w:bCs/>
        </w:rPr>
      </w:pPr>
    </w:p>
    <w:p w14:paraId="3F4A954A" w14:textId="2B4E17F1" w:rsidR="00A47067" w:rsidRDefault="00A47067" w:rsidP="00EE4607">
      <w:pPr>
        <w:spacing w:after="0" w:line="276" w:lineRule="auto"/>
        <w:rPr>
          <w:b/>
          <w:bCs/>
        </w:rPr>
      </w:pPr>
    </w:p>
    <w:p w14:paraId="6DF94D24" w14:textId="77777777" w:rsidR="00A47067" w:rsidRDefault="00A47067" w:rsidP="00EE4607">
      <w:pPr>
        <w:spacing w:after="0" w:line="276" w:lineRule="auto"/>
        <w:rPr>
          <w:b/>
          <w:bCs/>
        </w:rPr>
      </w:pPr>
    </w:p>
    <w:p w14:paraId="408C4CC6" w14:textId="77777777" w:rsidR="00181458" w:rsidRPr="00181458" w:rsidRDefault="00181458" w:rsidP="00181458">
      <w:pPr>
        <w:spacing w:after="0" w:line="276" w:lineRule="auto"/>
        <w:rPr>
          <w:b/>
          <w:bCs/>
        </w:rPr>
      </w:pPr>
      <w:r w:rsidRPr="00181458">
        <w:rPr>
          <w:b/>
          <w:bCs/>
        </w:rPr>
        <w:t>Contact</w:t>
      </w:r>
    </w:p>
    <w:p w14:paraId="616A0C6A" w14:textId="77777777" w:rsidR="00181458" w:rsidRPr="00181458" w:rsidRDefault="00181458" w:rsidP="00181458">
      <w:pPr>
        <w:spacing w:after="0" w:line="276" w:lineRule="auto"/>
      </w:pPr>
      <w:r w:rsidRPr="00181458">
        <w:t>Nicky Bath</w:t>
      </w:r>
    </w:p>
    <w:p w14:paraId="3C6B1919" w14:textId="77777777" w:rsidR="00181458" w:rsidRPr="00181458" w:rsidRDefault="00181458" w:rsidP="00181458">
      <w:pPr>
        <w:spacing w:after="0" w:line="276" w:lineRule="auto"/>
      </w:pPr>
      <w:r w:rsidRPr="00181458">
        <w:t>Executive Director</w:t>
      </w:r>
    </w:p>
    <w:p w14:paraId="73AE9EB5" w14:textId="77777777" w:rsidR="00181458" w:rsidRPr="00181458" w:rsidRDefault="00181458" w:rsidP="00181458">
      <w:pPr>
        <w:spacing w:after="0" w:line="276" w:lineRule="auto"/>
      </w:pPr>
      <w:r w:rsidRPr="00181458">
        <w:t>222 King Street</w:t>
      </w:r>
    </w:p>
    <w:p w14:paraId="0D0B82AA" w14:textId="77777777" w:rsidR="00181458" w:rsidRPr="00181458" w:rsidRDefault="00181458" w:rsidP="00181458">
      <w:pPr>
        <w:spacing w:after="0" w:line="276" w:lineRule="auto"/>
      </w:pPr>
      <w:r w:rsidRPr="00181458">
        <w:t>NEWTOWN NSW 2042</w:t>
      </w:r>
    </w:p>
    <w:p w14:paraId="0DA05F72" w14:textId="77777777" w:rsidR="00181458" w:rsidRPr="00181458" w:rsidRDefault="00181458" w:rsidP="00181458">
      <w:pPr>
        <w:spacing w:after="0" w:line="276" w:lineRule="auto"/>
        <w:rPr>
          <w:b/>
          <w:bCs/>
        </w:rPr>
      </w:pPr>
      <w:r w:rsidRPr="00181458">
        <w:rPr>
          <w:b/>
          <w:bCs/>
        </w:rPr>
        <w:t xml:space="preserve"> </w:t>
      </w:r>
    </w:p>
    <w:p w14:paraId="5970FF01" w14:textId="77777777" w:rsidR="00321AA4" w:rsidRDefault="00181458" w:rsidP="00EE4607">
      <w:pPr>
        <w:spacing w:after="0" w:line="276" w:lineRule="auto"/>
      </w:pPr>
      <w:r w:rsidRPr="00181458">
        <w:rPr>
          <w:b/>
          <w:bCs/>
        </w:rPr>
        <w:t xml:space="preserve">W: </w:t>
      </w:r>
      <w:r w:rsidRPr="00181458">
        <w:t>lgbtihealth.org.au</w:t>
      </w:r>
    </w:p>
    <w:p w14:paraId="6BB4D6DD" w14:textId="77777777" w:rsidR="002B4751" w:rsidRDefault="002B4751" w:rsidP="00EE4607">
      <w:pPr>
        <w:spacing w:after="0" w:line="276" w:lineRule="auto"/>
        <w:rPr>
          <w:b/>
          <w:bCs/>
        </w:rPr>
      </w:pPr>
    </w:p>
    <w:p w14:paraId="577204EB" w14:textId="77777777" w:rsidR="006516C8" w:rsidRDefault="006516C8" w:rsidP="00EE4607">
      <w:pPr>
        <w:spacing w:after="0" w:line="276" w:lineRule="auto"/>
        <w:rPr>
          <w:b/>
          <w:bCs/>
        </w:rPr>
      </w:pPr>
    </w:p>
    <w:p w14:paraId="3CD3DF17" w14:textId="2E358D14" w:rsidR="00353B22" w:rsidRDefault="00353B22" w:rsidP="00EE4607">
      <w:pPr>
        <w:spacing w:after="0" w:line="276" w:lineRule="auto"/>
        <w:rPr>
          <w:b/>
          <w:bCs/>
        </w:rPr>
      </w:pPr>
      <w:r>
        <w:rPr>
          <w:b/>
          <w:bCs/>
        </w:rPr>
        <w:lastRenderedPageBreak/>
        <w:t>Introduction</w:t>
      </w:r>
    </w:p>
    <w:p w14:paraId="51234B64" w14:textId="77777777" w:rsidR="00353B22" w:rsidRPr="00E42CCF" w:rsidRDefault="00353B22" w:rsidP="00EE4607">
      <w:pPr>
        <w:spacing w:after="0" w:line="276" w:lineRule="auto"/>
        <w:rPr>
          <w:b/>
          <w:bCs/>
        </w:rPr>
      </w:pPr>
    </w:p>
    <w:p w14:paraId="48C2785B" w14:textId="1E145AFA" w:rsidR="00947733" w:rsidRPr="008741FA" w:rsidRDefault="00947733" w:rsidP="00EE4607">
      <w:pPr>
        <w:spacing w:after="0" w:line="276" w:lineRule="auto"/>
        <w:rPr>
          <w:lang w:val="en"/>
        </w:rPr>
      </w:pPr>
      <w:r w:rsidRPr="00E42CCF">
        <w:rPr>
          <w:lang w:val="en"/>
        </w:rPr>
        <w:t xml:space="preserve">The </w:t>
      </w:r>
      <w:r w:rsidR="00F11837">
        <w:rPr>
          <w:lang w:val="en"/>
        </w:rPr>
        <w:t>Alliance</w:t>
      </w:r>
      <w:r w:rsidRPr="00E42CCF">
        <w:rPr>
          <w:lang w:val="en"/>
        </w:rPr>
        <w:t xml:space="preserve"> welcomes the opportunity to provide a written </w:t>
      </w:r>
      <w:r w:rsidR="008741FA">
        <w:rPr>
          <w:lang w:val="en"/>
        </w:rPr>
        <w:t>submission</w:t>
      </w:r>
      <w:r w:rsidR="001476EC">
        <w:rPr>
          <w:lang w:val="en"/>
        </w:rPr>
        <w:t xml:space="preserve"> to the Productivity Commission’s draft inquiry report on mental health</w:t>
      </w:r>
      <w:r w:rsidRPr="00E42CCF">
        <w:rPr>
          <w:lang w:val="en"/>
        </w:rPr>
        <w:t xml:space="preserve">. </w:t>
      </w:r>
      <w:r w:rsidR="00F25766">
        <w:rPr>
          <w:lang w:val="en"/>
        </w:rPr>
        <w:t>Ou</w:t>
      </w:r>
      <w:r w:rsidR="008741FA">
        <w:rPr>
          <w:lang w:val="en"/>
        </w:rPr>
        <w:t xml:space="preserve">r </w:t>
      </w:r>
      <w:r w:rsidR="00F25766">
        <w:rPr>
          <w:lang w:val="en"/>
        </w:rPr>
        <w:t xml:space="preserve">response </w:t>
      </w:r>
      <w:r>
        <w:t xml:space="preserve">will build upon </w:t>
      </w:r>
      <w:r w:rsidR="00B767EF">
        <w:t>our</w:t>
      </w:r>
      <w:r>
        <w:t xml:space="preserve"> initial submission</w:t>
      </w:r>
      <w:r w:rsidR="00F45D2E">
        <w:t xml:space="preserve"> </w:t>
      </w:r>
      <w:r w:rsidR="00D05842">
        <w:t xml:space="preserve">(Submission </w:t>
      </w:r>
      <w:r w:rsidR="006F6154">
        <w:t xml:space="preserve">no. </w:t>
      </w:r>
      <w:r w:rsidR="00D05842">
        <w:t>494</w:t>
      </w:r>
      <w:r w:rsidR="002A15FF">
        <w:t>)</w:t>
      </w:r>
      <w:r w:rsidR="00D83EFE">
        <w:t xml:space="preserve">, with an analysis of the Commission’s </w:t>
      </w:r>
      <w:r w:rsidR="00D83EFE">
        <w:rPr>
          <w:lang w:val="en"/>
        </w:rPr>
        <w:t>r</w:t>
      </w:r>
      <w:r w:rsidR="00341DA0">
        <w:rPr>
          <w:lang w:val="en"/>
        </w:rPr>
        <w:t xml:space="preserve">ecommendations </w:t>
      </w:r>
      <w:r w:rsidR="00B54D19">
        <w:rPr>
          <w:lang w:val="en"/>
        </w:rPr>
        <w:t xml:space="preserve">within the following </w:t>
      </w:r>
      <w:r w:rsidR="00B40892">
        <w:rPr>
          <w:lang w:val="en"/>
        </w:rPr>
        <w:t xml:space="preserve">topic </w:t>
      </w:r>
      <w:r w:rsidR="00B54D19">
        <w:rPr>
          <w:lang w:val="en"/>
        </w:rPr>
        <w:t>areas:</w:t>
      </w:r>
      <w:r w:rsidR="00A0723B">
        <w:t xml:space="preserve"> </w:t>
      </w:r>
      <w:r w:rsidR="00965652" w:rsidRPr="00965652">
        <w:t>the</w:t>
      </w:r>
      <w:r w:rsidR="00EF02AD">
        <w:t xml:space="preserve"> </w:t>
      </w:r>
      <w:r w:rsidR="003035B1">
        <w:t>causal factors of mental ill health among LGBTI people</w:t>
      </w:r>
      <w:r w:rsidR="00965652">
        <w:t>,</w:t>
      </w:r>
      <w:r w:rsidR="00965652" w:rsidRPr="00965652">
        <w:t xml:space="preserve"> </w:t>
      </w:r>
      <w:r w:rsidR="00A0723B">
        <w:t xml:space="preserve">access barriers to crucial support services, </w:t>
      </w:r>
      <w:r w:rsidR="00F83DDE">
        <w:t xml:space="preserve">person-centred and trauma-informed </w:t>
      </w:r>
      <w:r w:rsidR="0083785D">
        <w:t xml:space="preserve">care initiatives, </w:t>
      </w:r>
      <w:r w:rsidR="00A0723B">
        <w:t xml:space="preserve">data collection, </w:t>
      </w:r>
      <w:r w:rsidR="00965652" w:rsidRPr="00965652">
        <w:t>early intervention</w:t>
      </w:r>
      <w:r w:rsidR="005E480A">
        <w:t>, promotion and</w:t>
      </w:r>
      <w:r w:rsidR="00965652" w:rsidRPr="00965652">
        <w:t xml:space="preserve"> prevention</w:t>
      </w:r>
      <w:r w:rsidR="00965652">
        <w:t xml:space="preserve">, </w:t>
      </w:r>
      <w:r w:rsidR="008E76CC">
        <w:t>workforce development</w:t>
      </w:r>
      <w:r w:rsidR="00965652">
        <w:t xml:space="preserve">, </w:t>
      </w:r>
      <w:r w:rsidR="00897E4D">
        <w:t xml:space="preserve">and </w:t>
      </w:r>
      <w:r w:rsidR="0083785D">
        <w:t xml:space="preserve">national </w:t>
      </w:r>
      <w:r w:rsidR="00902FA6">
        <w:t xml:space="preserve">coordination and investment in LGBTI health. </w:t>
      </w:r>
    </w:p>
    <w:p w14:paraId="28FB5269" w14:textId="5FEE0834" w:rsidR="00947733" w:rsidRPr="00330F30" w:rsidRDefault="00947733" w:rsidP="00EE4607">
      <w:pPr>
        <w:spacing w:after="0" w:line="276" w:lineRule="auto"/>
        <w:rPr>
          <w:color w:val="FF0000"/>
        </w:rPr>
      </w:pPr>
    </w:p>
    <w:p w14:paraId="4C954A1B" w14:textId="32FB199C" w:rsidR="00947733" w:rsidRDefault="00947733" w:rsidP="00EE4607">
      <w:pPr>
        <w:spacing w:after="0" w:line="276" w:lineRule="auto"/>
        <w:rPr>
          <w:b/>
          <w:bCs/>
        </w:rPr>
      </w:pPr>
      <w:r w:rsidRPr="00E42CCF">
        <w:rPr>
          <w:b/>
          <w:bCs/>
        </w:rPr>
        <w:t xml:space="preserve">The Alliance’s </w:t>
      </w:r>
      <w:r w:rsidR="00325149">
        <w:rPr>
          <w:b/>
          <w:bCs/>
        </w:rPr>
        <w:t>position</w:t>
      </w:r>
    </w:p>
    <w:p w14:paraId="24B2A55E" w14:textId="747EC20A" w:rsidR="009B0EA9" w:rsidRDefault="009B0EA9" w:rsidP="00EE4607">
      <w:pPr>
        <w:spacing w:after="0" w:line="276" w:lineRule="auto"/>
        <w:rPr>
          <w:b/>
          <w:bCs/>
        </w:rPr>
      </w:pPr>
    </w:p>
    <w:p w14:paraId="24F60F9C" w14:textId="1165A01D" w:rsidR="009B0EA9" w:rsidRDefault="009B0EA9" w:rsidP="00EE4607">
      <w:pPr>
        <w:spacing w:after="0" w:line="276" w:lineRule="auto"/>
        <w:rPr>
          <w:lang w:val="en"/>
        </w:rPr>
      </w:pPr>
      <w:r w:rsidRPr="009B0EA9">
        <w:rPr>
          <w:lang w:val="en"/>
        </w:rPr>
        <w:t xml:space="preserve">We welcome the release of the Productivity Commission’s draft report, and its recognition that LGBTI people </w:t>
      </w:r>
      <w:r w:rsidR="00381117" w:rsidRPr="005A4F70">
        <w:rPr>
          <w:bCs/>
        </w:rPr>
        <w:t xml:space="preserve">are more likely than the general population to face stigma and discrimination, and that we are highlighted as a population group </w:t>
      </w:r>
      <w:r w:rsidR="005044D6">
        <w:rPr>
          <w:bCs/>
        </w:rPr>
        <w:t>at higher</w:t>
      </w:r>
      <w:r w:rsidR="00381117" w:rsidRPr="005A4F70">
        <w:rPr>
          <w:bCs/>
        </w:rPr>
        <w:t xml:space="preserve"> risk of </w:t>
      </w:r>
      <w:r w:rsidR="00381117" w:rsidRPr="005A4F70">
        <w:t xml:space="preserve">poor </w:t>
      </w:r>
      <w:r w:rsidR="00381117" w:rsidRPr="005A4F70">
        <w:rPr>
          <w:bCs/>
        </w:rPr>
        <w:t xml:space="preserve">mental health and suicidal behaviours. </w:t>
      </w:r>
      <w:r w:rsidRPr="009B0EA9">
        <w:rPr>
          <w:lang w:val="en"/>
        </w:rPr>
        <w:t xml:space="preserve">It’s also reassuring to see the Commission recognising the need to improve access to appropriate services, and to have a well-trained workforce to provide high quality and culturally safe services for </w:t>
      </w:r>
      <w:r w:rsidR="0048467C">
        <w:rPr>
          <w:lang w:val="en"/>
        </w:rPr>
        <w:t xml:space="preserve">all Australians. However, </w:t>
      </w:r>
      <w:r w:rsidR="0004506F">
        <w:rPr>
          <w:lang w:val="en"/>
        </w:rPr>
        <w:t xml:space="preserve">we believe </w:t>
      </w:r>
      <w:r w:rsidR="001668F2">
        <w:rPr>
          <w:lang w:val="en"/>
        </w:rPr>
        <w:t xml:space="preserve">further consideration needs to be given </w:t>
      </w:r>
      <w:r w:rsidR="0004506F">
        <w:rPr>
          <w:lang w:val="en"/>
        </w:rPr>
        <w:t>to</w:t>
      </w:r>
      <w:r w:rsidR="001668F2">
        <w:rPr>
          <w:lang w:val="en"/>
        </w:rPr>
        <w:t xml:space="preserve"> </w:t>
      </w:r>
      <w:r w:rsidR="0004506F">
        <w:rPr>
          <w:lang w:val="en"/>
        </w:rPr>
        <w:t>addressing</w:t>
      </w:r>
      <w:r w:rsidR="00D015DC">
        <w:rPr>
          <w:lang w:val="en"/>
        </w:rPr>
        <w:t xml:space="preserve"> t</w:t>
      </w:r>
      <w:r w:rsidR="0004506F">
        <w:rPr>
          <w:lang w:val="en"/>
        </w:rPr>
        <w:t>he ro</w:t>
      </w:r>
      <w:r w:rsidR="00D015DC">
        <w:rPr>
          <w:lang w:val="en"/>
        </w:rPr>
        <w:t xml:space="preserve">ot causes of mental ill health among LGBTI populations and </w:t>
      </w:r>
      <w:r w:rsidR="00A02C4D">
        <w:rPr>
          <w:lang w:val="en"/>
        </w:rPr>
        <w:t xml:space="preserve">the access </w:t>
      </w:r>
      <w:r w:rsidR="00486C19">
        <w:rPr>
          <w:lang w:val="en"/>
        </w:rPr>
        <w:t>barriers</w:t>
      </w:r>
      <w:r w:rsidR="00A02C4D">
        <w:rPr>
          <w:lang w:val="en"/>
        </w:rPr>
        <w:t xml:space="preserve"> they </w:t>
      </w:r>
      <w:r w:rsidR="00C62432">
        <w:rPr>
          <w:lang w:val="en"/>
        </w:rPr>
        <w:t>face</w:t>
      </w:r>
      <w:r w:rsidR="00A570E7">
        <w:rPr>
          <w:lang w:val="en"/>
        </w:rPr>
        <w:t xml:space="preserve"> with</w:t>
      </w:r>
      <w:r w:rsidR="00C62432">
        <w:rPr>
          <w:lang w:val="en"/>
        </w:rPr>
        <w:t>in</w:t>
      </w:r>
      <w:r w:rsidR="00A570E7">
        <w:rPr>
          <w:lang w:val="en"/>
        </w:rPr>
        <w:t xml:space="preserve"> the mental health system</w:t>
      </w:r>
      <w:r w:rsidR="00850066">
        <w:rPr>
          <w:lang w:val="en"/>
        </w:rPr>
        <w:t xml:space="preserve">, when </w:t>
      </w:r>
      <w:r w:rsidR="001F6A1C">
        <w:rPr>
          <w:lang w:val="en"/>
        </w:rPr>
        <w:t>developing recommendations for the final report.</w:t>
      </w:r>
    </w:p>
    <w:p w14:paraId="5015F4E3" w14:textId="77777777" w:rsidR="00381117" w:rsidRPr="009B0EA9" w:rsidRDefault="00381117" w:rsidP="00EE4607">
      <w:pPr>
        <w:spacing w:after="0" w:line="276" w:lineRule="auto"/>
        <w:rPr>
          <w:lang w:val="en"/>
        </w:rPr>
      </w:pPr>
    </w:p>
    <w:p w14:paraId="4497AEF1" w14:textId="2D375062" w:rsidR="005A4F70" w:rsidRDefault="00381117" w:rsidP="00EE4607">
      <w:pPr>
        <w:spacing w:after="0" w:line="276" w:lineRule="auto"/>
        <w:rPr>
          <w:bCs/>
        </w:rPr>
      </w:pPr>
      <w:r>
        <w:t xml:space="preserve">The Alliance believes a dismantling of the structural drivers that contribute to the poor mental health of LGBTI people is crucial in order </w:t>
      </w:r>
      <w:r w:rsidR="005A4F70" w:rsidRPr="005A4F70">
        <w:rPr>
          <w:bCs/>
        </w:rPr>
        <w:t xml:space="preserve">to foster </w:t>
      </w:r>
      <w:r w:rsidR="005A4F70" w:rsidRPr="005A4F70">
        <w:t>social</w:t>
      </w:r>
      <w:r w:rsidR="005A4F70" w:rsidRPr="005A4F70">
        <w:rPr>
          <w:bCs/>
        </w:rPr>
        <w:t xml:space="preserve"> inclusion </w:t>
      </w:r>
      <w:r w:rsidR="005A4F70" w:rsidRPr="005A4F70">
        <w:t>of</w:t>
      </w:r>
      <w:r w:rsidR="005A4F70" w:rsidRPr="005A4F70">
        <w:rPr>
          <w:bCs/>
        </w:rPr>
        <w:t xml:space="preserve"> LGBTI people </w:t>
      </w:r>
      <w:r w:rsidR="005A4F70" w:rsidRPr="005A4F70">
        <w:t>into</w:t>
      </w:r>
      <w:r w:rsidR="005A4F70" w:rsidRPr="005A4F70">
        <w:rPr>
          <w:bCs/>
        </w:rPr>
        <w:t xml:space="preserve"> the fabric of Australian society </w:t>
      </w:r>
      <w:r w:rsidR="005A4F70" w:rsidRPr="005A4F70">
        <w:t>by</w:t>
      </w:r>
      <w:r w:rsidR="005A4F70" w:rsidRPr="005A4F70">
        <w:rPr>
          <w:bCs/>
        </w:rPr>
        <w:t xml:space="preserve"> reducing discrimination, eliminating violence and removing legal barriers that affect </w:t>
      </w:r>
      <w:r w:rsidR="005A4F70" w:rsidRPr="005A4F70">
        <w:t>our</w:t>
      </w:r>
      <w:r w:rsidR="005A4F70" w:rsidRPr="005A4F70">
        <w:rPr>
          <w:bCs/>
        </w:rPr>
        <w:t xml:space="preserve"> ability to experience connection. </w:t>
      </w:r>
      <w:r w:rsidR="00205964">
        <w:rPr>
          <w:bCs/>
        </w:rPr>
        <w:t xml:space="preserve">This </w:t>
      </w:r>
      <w:r w:rsidR="00205964" w:rsidRPr="00205964">
        <w:rPr>
          <w:bCs/>
        </w:rPr>
        <w:t>will inevitably lead to an increase in their economic and workforce participation and enhance productivity and economic growth overall</w:t>
      </w:r>
      <w:r w:rsidR="006535D0">
        <w:rPr>
          <w:bCs/>
        </w:rPr>
        <w:t>.</w:t>
      </w:r>
    </w:p>
    <w:p w14:paraId="025FA762" w14:textId="2AA4FD38" w:rsidR="003B1CB1" w:rsidRDefault="003B1CB1" w:rsidP="00EE4607">
      <w:pPr>
        <w:spacing w:after="0" w:line="276" w:lineRule="auto"/>
        <w:rPr>
          <w:bCs/>
        </w:rPr>
      </w:pPr>
    </w:p>
    <w:p w14:paraId="776B0BB9" w14:textId="77777777" w:rsidR="003B1CB1" w:rsidRPr="003B1CB1" w:rsidRDefault="003B1CB1" w:rsidP="003B1CB1">
      <w:pPr>
        <w:spacing w:after="0" w:line="276" w:lineRule="auto"/>
        <w:rPr>
          <w:b/>
          <w:bCs/>
        </w:rPr>
      </w:pPr>
      <w:r w:rsidRPr="003B1CB1">
        <w:rPr>
          <w:b/>
          <w:bCs/>
        </w:rPr>
        <w:t xml:space="preserve">Addressing the root causes of mental health issues for LGBTI people </w:t>
      </w:r>
    </w:p>
    <w:p w14:paraId="60ADC1A0" w14:textId="77777777" w:rsidR="003B1CB1" w:rsidRPr="003B1CB1" w:rsidRDefault="003B1CB1" w:rsidP="003B1CB1">
      <w:pPr>
        <w:spacing w:after="0" w:line="276" w:lineRule="auto"/>
        <w:rPr>
          <w:b/>
          <w:bCs/>
        </w:rPr>
      </w:pPr>
    </w:p>
    <w:p w14:paraId="04E9F610" w14:textId="70266FB9" w:rsidR="003B1CB1" w:rsidRPr="003B1CB1" w:rsidRDefault="003B1CB1" w:rsidP="003B1CB1">
      <w:pPr>
        <w:spacing w:after="0" w:line="276" w:lineRule="auto"/>
        <w:rPr>
          <w:bCs/>
        </w:rPr>
      </w:pPr>
      <w:r w:rsidRPr="003B1CB1">
        <w:rPr>
          <w:bCs/>
        </w:rPr>
        <w:t>The Alliance commends the Productivity Commission for rightly acknowledg</w:t>
      </w:r>
      <w:r w:rsidR="007F3C42">
        <w:rPr>
          <w:bCs/>
        </w:rPr>
        <w:t>ing</w:t>
      </w:r>
      <w:r w:rsidRPr="003B1CB1">
        <w:rPr>
          <w:bCs/>
        </w:rPr>
        <w:t xml:space="preserve"> the importance of addressing the social determinants of mental health and taking a broad view to include housing, employment, justice</w:t>
      </w:r>
      <w:r w:rsidR="00F5744D">
        <w:rPr>
          <w:bCs/>
        </w:rPr>
        <w:t xml:space="preserve">, </w:t>
      </w:r>
      <w:r w:rsidRPr="003B1CB1">
        <w:rPr>
          <w:bCs/>
        </w:rPr>
        <w:t>income support</w:t>
      </w:r>
      <w:r w:rsidR="00290781">
        <w:rPr>
          <w:bCs/>
        </w:rPr>
        <w:t xml:space="preserve"> and social inclusion</w:t>
      </w:r>
      <w:r w:rsidRPr="003B1CB1">
        <w:rPr>
          <w:bCs/>
        </w:rPr>
        <w:t xml:space="preserve">. However, much more needs to be done to eliminate discrimination and stigma against LGBTI people in an effort to improve their overall mental health and wellbeing. The high prevalence of mental health disorders and suicidality can be attributed to the impact of Minority Stress - the chronic stressors that LGBTI people are uniquely exposed to as a result of sexuality, gender and bodily diversity being socially stigmatised. This includes experiences of discrimination, social exclusion, harassment and physical violence. </w:t>
      </w:r>
    </w:p>
    <w:p w14:paraId="1E917C9C" w14:textId="77777777" w:rsidR="003B1CB1" w:rsidRPr="003B1CB1" w:rsidRDefault="003B1CB1" w:rsidP="003B1CB1">
      <w:pPr>
        <w:spacing w:after="0" w:line="276" w:lineRule="auto"/>
        <w:rPr>
          <w:bCs/>
        </w:rPr>
      </w:pPr>
    </w:p>
    <w:p w14:paraId="5F50630D" w14:textId="0193A5E6" w:rsidR="00027660" w:rsidRDefault="003B1CB1" w:rsidP="00A04D97">
      <w:pPr>
        <w:spacing w:after="0" w:line="276" w:lineRule="auto"/>
        <w:rPr>
          <w:bCs/>
        </w:rPr>
      </w:pPr>
      <w:r w:rsidRPr="003B1CB1">
        <w:rPr>
          <w:bCs/>
        </w:rPr>
        <w:t>Actual and perceived instances of discrimination and stigma devalues LGBTI people. One example of how th</w:t>
      </w:r>
      <w:r w:rsidR="0035551B">
        <w:rPr>
          <w:bCs/>
        </w:rPr>
        <w:t>ese factors</w:t>
      </w:r>
      <w:r w:rsidR="00B02653">
        <w:rPr>
          <w:bCs/>
        </w:rPr>
        <w:t xml:space="preserve"> adversely</w:t>
      </w:r>
      <w:r w:rsidRPr="003B1CB1">
        <w:rPr>
          <w:bCs/>
        </w:rPr>
        <w:t xml:space="preserve"> impact on mental health is the recent national debate on marriage equality. </w:t>
      </w:r>
      <w:r w:rsidR="00CB0B47">
        <w:rPr>
          <w:bCs/>
        </w:rPr>
        <w:t xml:space="preserve">Research has </w:t>
      </w:r>
      <w:r w:rsidR="00EA0F56">
        <w:rPr>
          <w:bCs/>
        </w:rPr>
        <w:t>found</w:t>
      </w:r>
      <w:r w:rsidR="00B066FE">
        <w:rPr>
          <w:bCs/>
        </w:rPr>
        <w:t xml:space="preserve"> that the</w:t>
      </w:r>
      <w:r w:rsidR="00833FA8">
        <w:rPr>
          <w:bCs/>
        </w:rPr>
        <w:t xml:space="preserve"> debate </w:t>
      </w:r>
      <w:r w:rsidR="00027660" w:rsidRPr="00027660">
        <w:rPr>
          <w:bCs/>
        </w:rPr>
        <w:t>represented an acute external minority stress event that had</w:t>
      </w:r>
      <w:r w:rsidR="007C57F2">
        <w:rPr>
          <w:bCs/>
        </w:rPr>
        <w:t xml:space="preserve"> a</w:t>
      </w:r>
      <w:r w:rsidR="00027660" w:rsidRPr="00027660">
        <w:rPr>
          <w:bCs/>
        </w:rPr>
        <w:t xml:space="preserve"> </w:t>
      </w:r>
      <w:r w:rsidR="00833FA8">
        <w:rPr>
          <w:bCs/>
        </w:rPr>
        <w:t xml:space="preserve">deleterious impact </w:t>
      </w:r>
      <w:r w:rsidR="00027660" w:rsidRPr="00027660">
        <w:rPr>
          <w:bCs/>
        </w:rPr>
        <w:t xml:space="preserve">on </w:t>
      </w:r>
      <w:r w:rsidR="00833FA8">
        <w:rPr>
          <w:bCs/>
        </w:rPr>
        <w:t xml:space="preserve">the </w:t>
      </w:r>
      <w:r w:rsidR="00027660" w:rsidRPr="00027660">
        <w:rPr>
          <w:bCs/>
        </w:rPr>
        <w:t>mental health of LGBTI people and their allies.</w:t>
      </w:r>
      <w:r w:rsidR="007C57F2">
        <w:rPr>
          <w:bCs/>
        </w:rPr>
        <w:t xml:space="preserve"> </w:t>
      </w:r>
      <w:r w:rsidR="00CB0B47">
        <w:rPr>
          <w:bCs/>
        </w:rPr>
        <w:t xml:space="preserve">Most notably, </w:t>
      </w:r>
      <w:r w:rsidR="00B066FE">
        <w:rPr>
          <w:bCs/>
        </w:rPr>
        <w:t xml:space="preserve">frequent exposure to negative media messages </w:t>
      </w:r>
      <w:r w:rsidR="00EA0F56">
        <w:rPr>
          <w:bCs/>
        </w:rPr>
        <w:t xml:space="preserve">was found to </w:t>
      </w:r>
      <w:r w:rsidR="00220DFF">
        <w:rPr>
          <w:bCs/>
        </w:rPr>
        <w:t xml:space="preserve">be associated with an increase in </w:t>
      </w:r>
      <w:r w:rsidR="00220DFF">
        <w:rPr>
          <w:bCs/>
        </w:rPr>
        <w:lastRenderedPageBreak/>
        <w:t>psychological distress.</w:t>
      </w:r>
      <w:r w:rsidR="0092312E">
        <w:rPr>
          <w:rStyle w:val="FootnoteReference"/>
          <w:bCs/>
        </w:rPr>
        <w:footnoteReference w:id="1"/>
      </w:r>
      <w:r w:rsidR="00220DFF">
        <w:rPr>
          <w:bCs/>
        </w:rPr>
        <w:t xml:space="preserve"> </w:t>
      </w:r>
      <w:r w:rsidR="00A846AD">
        <w:rPr>
          <w:bCs/>
        </w:rPr>
        <w:t xml:space="preserve">Furthermore, </w:t>
      </w:r>
      <w:r w:rsidR="000A1290">
        <w:rPr>
          <w:bCs/>
        </w:rPr>
        <w:t xml:space="preserve">research findings have highlighted the role </w:t>
      </w:r>
      <w:r w:rsidR="00A005C1">
        <w:rPr>
          <w:bCs/>
        </w:rPr>
        <w:t xml:space="preserve">of </w:t>
      </w:r>
      <w:r w:rsidR="00734332">
        <w:rPr>
          <w:bCs/>
        </w:rPr>
        <w:t xml:space="preserve">personal and </w:t>
      </w:r>
      <w:r w:rsidR="0034580C">
        <w:rPr>
          <w:bCs/>
        </w:rPr>
        <w:t>public</w:t>
      </w:r>
      <w:r w:rsidR="00505B06">
        <w:rPr>
          <w:bCs/>
        </w:rPr>
        <w:t xml:space="preserve"> </w:t>
      </w:r>
      <w:r w:rsidR="00A04D97" w:rsidRPr="00A04D97">
        <w:rPr>
          <w:bCs/>
        </w:rPr>
        <w:t>support as</w:t>
      </w:r>
      <w:r w:rsidR="00A04D97">
        <w:rPr>
          <w:bCs/>
        </w:rPr>
        <w:t xml:space="preserve"> </w:t>
      </w:r>
      <w:r w:rsidR="00A04D97" w:rsidRPr="00A04D97">
        <w:rPr>
          <w:bCs/>
        </w:rPr>
        <w:t>protective factor</w:t>
      </w:r>
      <w:r w:rsidR="00C84E44">
        <w:rPr>
          <w:bCs/>
        </w:rPr>
        <w:t>s</w:t>
      </w:r>
      <w:r w:rsidR="00A04D97" w:rsidRPr="00A04D97">
        <w:rPr>
          <w:bCs/>
        </w:rPr>
        <w:t xml:space="preserve"> against the mental health consequences</w:t>
      </w:r>
      <w:r w:rsidR="006B2FDD">
        <w:rPr>
          <w:bCs/>
        </w:rPr>
        <w:t xml:space="preserve"> </w:t>
      </w:r>
      <w:r w:rsidR="00A04D97" w:rsidRPr="00A04D97">
        <w:rPr>
          <w:bCs/>
        </w:rPr>
        <w:t>of stigma.</w:t>
      </w:r>
      <w:r w:rsidR="003E1CB6">
        <w:rPr>
          <w:rStyle w:val="FootnoteReference"/>
          <w:bCs/>
        </w:rPr>
        <w:footnoteReference w:id="2"/>
      </w:r>
      <w:r w:rsidR="00D23293">
        <w:rPr>
          <w:bCs/>
        </w:rPr>
        <w:t xml:space="preserve"> </w:t>
      </w:r>
      <w:r w:rsidR="00D23293" w:rsidRPr="00641EF6">
        <w:rPr>
          <w:bCs/>
        </w:rPr>
        <w:t xml:space="preserve">Despite this evidence, the government </w:t>
      </w:r>
      <w:r w:rsidR="00B75AAE" w:rsidRPr="00641EF6">
        <w:rPr>
          <w:bCs/>
        </w:rPr>
        <w:t xml:space="preserve">continues </w:t>
      </w:r>
      <w:r w:rsidR="00E1678B" w:rsidRPr="00641EF6">
        <w:rPr>
          <w:bCs/>
        </w:rPr>
        <w:t xml:space="preserve">to </w:t>
      </w:r>
      <w:r w:rsidR="009A3467" w:rsidRPr="00641EF6">
        <w:rPr>
          <w:bCs/>
        </w:rPr>
        <w:t>p</w:t>
      </w:r>
      <w:r w:rsidR="00E1678B" w:rsidRPr="00641EF6">
        <w:rPr>
          <w:bCs/>
        </w:rPr>
        <w:t xml:space="preserve">ersist with debates </w:t>
      </w:r>
      <w:r w:rsidR="00641EF6">
        <w:rPr>
          <w:bCs/>
        </w:rPr>
        <w:t>relating</w:t>
      </w:r>
      <w:r w:rsidR="005F1C04">
        <w:rPr>
          <w:bCs/>
        </w:rPr>
        <w:t xml:space="preserve"> to</w:t>
      </w:r>
      <w:r w:rsidR="00E1678B" w:rsidRPr="00641EF6">
        <w:rPr>
          <w:bCs/>
        </w:rPr>
        <w:t xml:space="preserve"> the lives of </w:t>
      </w:r>
      <w:r w:rsidR="000632CA" w:rsidRPr="00641EF6">
        <w:rPr>
          <w:bCs/>
        </w:rPr>
        <w:t>LGBTI people</w:t>
      </w:r>
      <w:r w:rsidR="00E1678B" w:rsidRPr="00641EF6">
        <w:rPr>
          <w:bCs/>
        </w:rPr>
        <w:t xml:space="preserve">, most notably </w:t>
      </w:r>
      <w:r w:rsidR="00221EEE">
        <w:rPr>
          <w:bCs/>
        </w:rPr>
        <w:t xml:space="preserve">around the issue of </w:t>
      </w:r>
      <w:r w:rsidR="00E1678B" w:rsidRPr="00641EF6">
        <w:rPr>
          <w:bCs/>
        </w:rPr>
        <w:t>religious freedom.</w:t>
      </w:r>
    </w:p>
    <w:p w14:paraId="42DA3636" w14:textId="0F3CADF4" w:rsidR="003B1CB1" w:rsidRDefault="003B1CB1" w:rsidP="003B1CB1">
      <w:pPr>
        <w:spacing w:after="0" w:line="276" w:lineRule="auto"/>
        <w:rPr>
          <w:bCs/>
        </w:rPr>
      </w:pPr>
    </w:p>
    <w:tbl>
      <w:tblPr>
        <w:tblStyle w:val="TableGrid"/>
        <w:tblW w:w="0" w:type="auto"/>
        <w:tblLook w:val="04A0" w:firstRow="1" w:lastRow="0" w:firstColumn="1" w:lastColumn="0" w:noHBand="0" w:noVBand="1"/>
      </w:tblPr>
      <w:tblGrid>
        <w:gridCol w:w="9016"/>
      </w:tblGrid>
      <w:tr w:rsidR="00986C98" w14:paraId="0FC66343" w14:textId="77777777" w:rsidTr="002B5E89">
        <w:tc>
          <w:tcPr>
            <w:tcW w:w="9016" w:type="dxa"/>
            <w:shd w:val="clear" w:color="auto" w:fill="D9E2F3" w:themeFill="accent1" w:themeFillTint="33"/>
          </w:tcPr>
          <w:p w14:paraId="452AA345" w14:textId="69168B82" w:rsidR="00986C98" w:rsidRPr="00787BE6" w:rsidRDefault="00986C98" w:rsidP="002B5E89">
            <w:pPr>
              <w:spacing w:line="276" w:lineRule="auto"/>
              <w:rPr>
                <w:b/>
                <w:szCs w:val="22"/>
              </w:rPr>
            </w:pPr>
            <w:r w:rsidRPr="00BF6852">
              <w:rPr>
                <w:b/>
                <w:szCs w:val="22"/>
              </w:rPr>
              <w:t>Recommendation</w:t>
            </w:r>
            <w:r>
              <w:rPr>
                <w:b/>
                <w:szCs w:val="22"/>
              </w:rPr>
              <w:t xml:space="preserve">: </w:t>
            </w:r>
            <w:r w:rsidRPr="00986C98">
              <w:rPr>
                <w:bCs/>
                <w:szCs w:val="22"/>
              </w:rPr>
              <w:t xml:space="preserve">Further consideration in the final report of the </w:t>
            </w:r>
            <w:r w:rsidR="000632CA">
              <w:rPr>
                <w:bCs/>
                <w:szCs w:val="22"/>
              </w:rPr>
              <w:t xml:space="preserve">negative </w:t>
            </w:r>
            <w:r w:rsidRPr="00986C98">
              <w:rPr>
                <w:bCs/>
                <w:szCs w:val="22"/>
              </w:rPr>
              <w:t>impact of prolonged national debates and legislative processes on the mental health and wellbeing of LGBTI people</w:t>
            </w:r>
            <w:r>
              <w:rPr>
                <w:bCs/>
                <w:szCs w:val="22"/>
              </w:rPr>
              <w:t>.</w:t>
            </w:r>
          </w:p>
        </w:tc>
      </w:tr>
    </w:tbl>
    <w:p w14:paraId="7B5937A5" w14:textId="77777777" w:rsidR="00291460" w:rsidRPr="005A4F70" w:rsidRDefault="00291460" w:rsidP="00EE4607">
      <w:pPr>
        <w:spacing w:after="0" w:line="276" w:lineRule="auto"/>
        <w:rPr>
          <w:bCs/>
        </w:rPr>
      </w:pPr>
    </w:p>
    <w:p w14:paraId="11421055" w14:textId="12484A03" w:rsidR="005A4F70" w:rsidRDefault="005A4F70" w:rsidP="00EE4607">
      <w:pPr>
        <w:spacing w:after="0" w:line="276" w:lineRule="auto"/>
        <w:rPr>
          <w:rFonts w:ascii="Calibri" w:hAnsi="Calibri" w:cs="Times New Roman"/>
          <w:b/>
          <w:bCs/>
          <w:szCs w:val="24"/>
        </w:rPr>
      </w:pPr>
      <w:r w:rsidRPr="005A4F70">
        <w:rPr>
          <w:rFonts w:ascii="Calibri" w:hAnsi="Calibri" w:cs="Times New Roman"/>
          <w:b/>
          <w:bCs/>
          <w:szCs w:val="24"/>
        </w:rPr>
        <w:t>Access barriers in receiving welcoming, equitable and inclusive healthcare</w:t>
      </w:r>
      <w:r w:rsidR="002C0235">
        <w:rPr>
          <w:rFonts w:ascii="Calibri" w:hAnsi="Calibri" w:cs="Times New Roman"/>
          <w:b/>
          <w:bCs/>
          <w:szCs w:val="24"/>
        </w:rPr>
        <w:t xml:space="preserve"> services</w:t>
      </w:r>
    </w:p>
    <w:p w14:paraId="7A4C12D4" w14:textId="537B42A1" w:rsidR="00F52841" w:rsidRDefault="00F52841" w:rsidP="00EE4607">
      <w:pPr>
        <w:spacing w:after="0" w:line="276" w:lineRule="auto"/>
        <w:rPr>
          <w:rFonts w:ascii="Calibri" w:hAnsi="Calibri" w:cs="Times New Roman"/>
          <w:b/>
          <w:bCs/>
          <w:szCs w:val="24"/>
        </w:rPr>
      </w:pPr>
    </w:p>
    <w:p w14:paraId="7BDA9DE9" w14:textId="0591DF57" w:rsidR="005A4F70" w:rsidRPr="005A4F70" w:rsidRDefault="00F52841" w:rsidP="00EE4607">
      <w:pPr>
        <w:spacing w:after="0" w:line="276" w:lineRule="auto"/>
        <w:rPr>
          <w:rFonts w:ascii="Calibri" w:hAnsi="Calibri" w:cs="Times New Roman"/>
          <w:szCs w:val="24"/>
        </w:rPr>
      </w:pPr>
      <w:r w:rsidRPr="00F52841">
        <w:rPr>
          <w:rFonts w:ascii="Calibri" w:hAnsi="Calibri" w:cs="Times New Roman"/>
          <w:szCs w:val="24"/>
        </w:rPr>
        <w:t xml:space="preserve">LGBTI people </w:t>
      </w:r>
      <w:r w:rsidR="008632D0">
        <w:rPr>
          <w:rFonts w:ascii="Calibri" w:hAnsi="Calibri" w:cs="Times New Roman"/>
          <w:szCs w:val="24"/>
        </w:rPr>
        <w:t xml:space="preserve">deserve </w:t>
      </w:r>
      <w:r w:rsidRPr="00F52841">
        <w:rPr>
          <w:rFonts w:ascii="Calibri" w:hAnsi="Calibri" w:cs="Times New Roman"/>
          <w:szCs w:val="24"/>
        </w:rPr>
        <w:t>equitable access to mental health and suicide prevention services and receive support that is appropriate to their experience and responsive to their needs.</w:t>
      </w:r>
      <w:r w:rsidR="008632D0">
        <w:rPr>
          <w:rFonts w:ascii="Calibri" w:hAnsi="Calibri" w:cs="Times New Roman"/>
          <w:szCs w:val="24"/>
        </w:rPr>
        <w:t xml:space="preserve"> However, </w:t>
      </w:r>
      <w:r w:rsidR="005A4F70" w:rsidRPr="005A4F70">
        <w:rPr>
          <w:rFonts w:ascii="Calibri" w:hAnsi="Calibri" w:cs="Times New Roman"/>
          <w:szCs w:val="24"/>
        </w:rPr>
        <w:t xml:space="preserve">Australian and international research has shown that LGBTI people underutilise health services and delay seeking support due to actual or anticipated discrimination or stigma from service providers. For example, in Private Lives 2, </w:t>
      </w:r>
      <w:r w:rsidR="005A4F70" w:rsidRPr="005A4F70">
        <w:t>34% of LGBT Australians reported “usually or occasionally” hiding their sexual orientation or gender identity when accessing services to avoid possible discrimination and abuse.</w:t>
      </w:r>
      <w:r w:rsidR="005A4F70" w:rsidRPr="005A4F70">
        <w:rPr>
          <w:rFonts w:ascii="Calibri" w:hAnsi="Calibri" w:cs="Times New Roman"/>
          <w:szCs w:val="24"/>
          <w:vertAlign w:val="superscript"/>
        </w:rPr>
        <w:footnoteReference w:id="3"/>
      </w:r>
      <w:r w:rsidR="005A4F70" w:rsidRPr="005A4F70">
        <w:t xml:space="preserve"> </w:t>
      </w:r>
    </w:p>
    <w:p w14:paraId="0CE8E517" w14:textId="77777777" w:rsidR="005A4F70" w:rsidRPr="005A4F70" w:rsidRDefault="005A4F70" w:rsidP="00EE4607">
      <w:pPr>
        <w:spacing w:after="0" w:line="276" w:lineRule="auto"/>
      </w:pPr>
    </w:p>
    <w:p w14:paraId="5DA95721" w14:textId="77777777" w:rsidR="005A4F70" w:rsidRPr="005A4F70" w:rsidRDefault="005A4F70" w:rsidP="00EE4607">
      <w:pPr>
        <w:spacing w:after="0" w:line="276" w:lineRule="auto"/>
      </w:pPr>
      <w:r w:rsidRPr="005A4F70">
        <w:t>The Trans Pathways study found that 42.1%</w:t>
      </w:r>
      <w:r w:rsidRPr="005A4F70">
        <w:rPr>
          <w:b/>
          <w:bCs/>
        </w:rPr>
        <w:t xml:space="preserve"> </w:t>
      </w:r>
      <w:r w:rsidRPr="005A4F70">
        <w:t>of trans young people encountered mental health and other medical services who “did not understand, respect or have previous experience with gender diverse people.” Further, 60.1%</w:t>
      </w:r>
      <w:r w:rsidRPr="005A4F70">
        <w:rPr>
          <w:b/>
          <w:bCs/>
        </w:rPr>
        <w:t xml:space="preserve"> </w:t>
      </w:r>
      <w:r w:rsidRPr="005A4F70">
        <w:t>of study participants experienced feelings of isolation from these services, which was found to be linked to higher rates of self-harm, suicidal thoughts, suicide attempts, and diagnoses of PTSD and anxiety.</w:t>
      </w:r>
      <w:r w:rsidRPr="005A4F70">
        <w:rPr>
          <w:vertAlign w:val="superscript"/>
        </w:rPr>
        <w:footnoteReference w:id="4"/>
      </w:r>
    </w:p>
    <w:p w14:paraId="44807A89" w14:textId="77777777" w:rsidR="005A4F70" w:rsidRPr="005A4F70" w:rsidRDefault="005A4F70" w:rsidP="00EE4607">
      <w:pPr>
        <w:spacing w:after="0" w:line="276" w:lineRule="auto"/>
      </w:pPr>
    </w:p>
    <w:p w14:paraId="0FE9A2AE" w14:textId="47D1E5DE" w:rsidR="005A4F70" w:rsidRDefault="005A4F70" w:rsidP="00EE4607">
      <w:pPr>
        <w:spacing w:after="0" w:line="276" w:lineRule="auto"/>
      </w:pPr>
      <w:r w:rsidRPr="005A4F70">
        <w:t>In 2014, the From Blues to Rainbows report asked 188 trans and gender diverse young people their reasons for not seeing a health care professional. Among the reasons were fears that they wouldn’t be understood (33%), the language used by health professionals made them feel uncomfortable or angry (23%), and negative past experiences (30%).</w:t>
      </w:r>
      <w:r w:rsidRPr="005A4F70">
        <w:rPr>
          <w:vertAlign w:val="superscript"/>
        </w:rPr>
        <w:footnoteReference w:id="5"/>
      </w:r>
    </w:p>
    <w:p w14:paraId="5A6C4033" w14:textId="77777777" w:rsidR="00A0723B" w:rsidRPr="005A4F70" w:rsidRDefault="00A0723B" w:rsidP="00EE4607">
      <w:pPr>
        <w:spacing w:after="0" w:line="276" w:lineRule="auto"/>
      </w:pPr>
    </w:p>
    <w:p w14:paraId="11129693" w14:textId="77777777" w:rsidR="005A4F70" w:rsidRPr="005A4F70" w:rsidRDefault="005A4F70" w:rsidP="00EE4607">
      <w:pPr>
        <w:spacing w:after="0" w:line="276" w:lineRule="auto"/>
        <w:rPr>
          <w:rFonts w:ascii="Calibri" w:hAnsi="Calibri" w:cs="Times New Roman"/>
          <w:szCs w:val="24"/>
        </w:rPr>
      </w:pPr>
      <w:r w:rsidRPr="005A4F70">
        <w:rPr>
          <w:rFonts w:ascii="Calibri" w:hAnsi="Calibri" w:cs="Times New Roman"/>
          <w:szCs w:val="24"/>
        </w:rPr>
        <w:t>Further, the Australian Human Rights Commission’s Resilient Individuals Report found that nearly 25% of respondents in the online consultation reported being refused a service of some kind on the basis of their sexual orientation, gender identity and/or intersex status.</w:t>
      </w:r>
      <w:r w:rsidRPr="005A4F70">
        <w:rPr>
          <w:rFonts w:ascii="Calibri" w:hAnsi="Calibri" w:cs="Times New Roman"/>
          <w:szCs w:val="24"/>
          <w:vertAlign w:val="superscript"/>
        </w:rPr>
        <w:footnoteReference w:id="6"/>
      </w:r>
    </w:p>
    <w:p w14:paraId="11274312" w14:textId="77777777" w:rsidR="005A4F70" w:rsidRPr="005A4F70" w:rsidRDefault="005A4F70" w:rsidP="00EE4607">
      <w:pPr>
        <w:spacing w:after="0" w:line="276" w:lineRule="auto"/>
        <w:rPr>
          <w:rFonts w:ascii="Calibri" w:hAnsi="Calibri" w:cs="Times New Roman"/>
          <w:szCs w:val="24"/>
        </w:rPr>
      </w:pPr>
    </w:p>
    <w:p w14:paraId="2A44CFD3" w14:textId="77777777" w:rsidR="005A4F70" w:rsidRPr="005A4F70" w:rsidRDefault="005A4F70" w:rsidP="00EE4607">
      <w:pPr>
        <w:spacing w:after="0" w:line="276" w:lineRule="auto"/>
        <w:rPr>
          <w:rFonts w:ascii="Calibri" w:hAnsi="Calibri" w:cs="Times New Roman"/>
          <w:szCs w:val="24"/>
        </w:rPr>
      </w:pPr>
      <w:r w:rsidRPr="005A4F70">
        <w:rPr>
          <w:rFonts w:ascii="Calibri" w:hAnsi="Calibri" w:cs="Times New Roman"/>
          <w:szCs w:val="24"/>
        </w:rPr>
        <w:lastRenderedPageBreak/>
        <w:t>It is important to note that people born with variations in sex characteristics have experienced trauma and stigmatisation in healthcare and this may limit their utilisation of necessary health and medical services. Schützmann and others (2009) reported an Australian study as showing rates of psychological distress similar to “a comparison group of chronic somatically ill persons”, thus showing “markedly increased distress” in people born with variations in sex characteristics.</w:t>
      </w:r>
      <w:r w:rsidRPr="005A4F70">
        <w:rPr>
          <w:rFonts w:ascii="Calibri" w:hAnsi="Calibri" w:cs="Times New Roman"/>
          <w:szCs w:val="24"/>
          <w:vertAlign w:val="superscript"/>
        </w:rPr>
        <w:footnoteReference w:id="7"/>
      </w:r>
    </w:p>
    <w:p w14:paraId="2CE593AA" w14:textId="77777777" w:rsidR="005A4F70" w:rsidRPr="005A4F70" w:rsidRDefault="005A4F70" w:rsidP="00EE4607">
      <w:pPr>
        <w:spacing w:after="0" w:line="276" w:lineRule="auto"/>
        <w:rPr>
          <w:rFonts w:ascii="Calibri" w:hAnsi="Calibri" w:cs="Times New Roman"/>
          <w:szCs w:val="24"/>
        </w:rPr>
      </w:pPr>
    </w:p>
    <w:p w14:paraId="7E5EBB91" w14:textId="7A636254" w:rsidR="005A4F70" w:rsidRDefault="005A4F70" w:rsidP="00EE4607">
      <w:pPr>
        <w:spacing w:after="0" w:line="276" w:lineRule="auto"/>
        <w:rPr>
          <w:rFonts w:ascii="Calibri" w:hAnsi="Calibri" w:cs="Times New Roman"/>
          <w:szCs w:val="24"/>
          <w:lang w:val="en"/>
        </w:rPr>
      </w:pPr>
      <w:r w:rsidRPr="005A4F70">
        <w:rPr>
          <w:rFonts w:ascii="Calibri" w:hAnsi="Calibri" w:cs="Times New Roman"/>
          <w:szCs w:val="24"/>
          <w:lang w:val="en"/>
        </w:rPr>
        <w:t>The SWASH Survey, a biennial study of lesbian, bisexual and queer women showed that those respondents who were out to their regular GP were more likely to be very satisfied (49%) than those who were not out (30%).</w:t>
      </w:r>
      <w:r w:rsidRPr="005A4F70">
        <w:rPr>
          <w:rFonts w:ascii="Calibri" w:hAnsi="Calibri" w:cs="Times New Roman"/>
          <w:szCs w:val="24"/>
          <w:vertAlign w:val="superscript"/>
          <w:lang w:val="en"/>
        </w:rPr>
        <w:footnoteReference w:id="8"/>
      </w:r>
      <w:r w:rsidRPr="005A4F70">
        <w:rPr>
          <w:rFonts w:ascii="Calibri" w:hAnsi="Calibri" w:cs="Times New Roman"/>
          <w:szCs w:val="24"/>
          <w:lang w:val="en"/>
        </w:rPr>
        <w:t xml:space="preserve"> That is, disclosing sexuality appeared to be associated with a more positive relationship with their GP or health service.</w:t>
      </w:r>
    </w:p>
    <w:p w14:paraId="51C0258E" w14:textId="536D87EF" w:rsidR="008143D5" w:rsidRDefault="008143D5" w:rsidP="00EE4607">
      <w:pPr>
        <w:spacing w:after="0" w:line="276" w:lineRule="auto"/>
        <w:rPr>
          <w:rFonts w:ascii="Calibri" w:hAnsi="Calibri" w:cs="Times New Roman"/>
          <w:szCs w:val="24"/>
          <w:lang w:val="en"/>
        </w:rPr>
      </w:pPr>
    </w:p>
    <w:p w14:paraId="2C04C360" w14:textId="5A079B45" w:rsidR="008143D5" w:rsidRDefault="00EC37B0" w:rsidP="00EE4607">
      <w:pPr>
        <w:spacing w:after="0" w:line="276" w:lineRule="auto"/>
        <w:rPr>
          <w:rFonts w:ascii="Calibri" w:hAnsi="Calibri" w:cs="Times New Roman"/>
          <w:szCs w:val="24"/>
          <w:lang w:val="en"/>
        </w:rPr>
      </w:pPr>
      <w:r>
        <w:rPr>
          <w:rFonts w:ascii="Calibri" w:hAnsi="Calibri" w:cs="Times New Roman"/>
          <w:szCs w:val="24"/>
          <w:lang w:val="en"/>
        </w:rPr>
        <w:t xml:space="preserve">Religious exemptions in the </w:t>
      </w:r>
      <w:r w:rsidRPr="00C67B41">
        <w:rPr>
          <w:rFonts w:ascii="Calibri" w:hAnsi="Calibri" w:cs="Times New Roman"/>
          <w:i/>
          <w:iCs/>
          <w:szCs w:val="24"/>
          <w:lang w:val="en"/>
        </w:rPr>
        <w:t>Sex Discrimination Act 1984</w:t>
      </w:r>
      <w:r>
        <w:rPr>
          <w:rFonts w:ascii="Calibri" w:hAnsi="Calibri" w:cs="Times New Roman"/>
          <w:szCs w:val="24"/>
          <w:lang w:val="en"/>
        </w:rPr>
        <w:t xml:space="preserve"> (the Act)</w:t>
      </w:r>
      <w:r w:rsidR="009B3D7F">
        <w:rPr>
          <w:rFonts w:ascii="Calibri" w:hAnsi="Calibri" w:cs="Times New Roman"/>
          <w:szCs w:val="24"/>
          <w:lang w:val="en"/>
        </w:rPr>
        <w:t xml:space="preserve"> allow religious bodies to </w:t>
      </w:r>
      <w:r w:rsidR="0017307A">
        <w:rPr>
          <w:rFonts w:ascii="Calibri" w:hAnsi="Calibri" w:cs="Times New Roman"/>
          <w:szCs w:val="24"/>
          <w:lang w:val="en"/>
        </w:rPr>
        <w:t xml:space="preserve">lawfully </w:t>
      </w:r>
      <w:r w:rsidR="009B3D7F">
        <w:rPr>
          <w:rFonts w:ascii="Calibri" w:hAnsi="Calibri" w:cs="Times New Roman"/>
          <w:szCs w:val="24"/>
          <w:lang w:val="en"/>
        </w:rPr>
        <w:t>discriminate against LGBTI people</w:t>
      </w:r>
      <w:r w:rsidR="007E3856">
        <w:rPr>
          <w:rFonts w:ascii="Calibri" w:hAnsi="Calibri" w:cs="Times New Roman"/>
          <w:szCs w:val="24"/>
          <w:lang w:val="en"/>
        </w:rPr>
        <w:t xml:space="preserve"> in the provision of</w:t>
      </w:r>
      <w:r w:rsidR="00511B49">
        <w:rPr>
          <w:rFonts w:ascii="Calibri" w:hAnsi="Calibri" w:cs="Times New Roman"/>
          <w:szCs w:val="24"/>
          <w:lang w:val="en"/>
        </w:rPr>
        <w:t xml:space="preserve"> government-funded social s</w:t>
      </w:r>
      <w:r w:rsidR="007362A1">
        <w:rPr>
          <w:rFonts w:ascii="Calibri" w:hAnsi="Calibri" w:cs="Times New Roman"/>
          <w:szCs w:val="24"/>
          <w:lang w:val="en"/>
        </w:rPr>
        <w:t>ervices</w:t>
      </w:r>
      <w:r w:rsidR="009101D2">
        <w:rPr>
          <w:rFonts w:ascii="Calibri" w:hAnsi="Calibri" w:cs="Times New Roman"/>
          <w:szCs w:val="24"/>
          <w:lang w:val="en"/>
        </w:rPr>
        <w:t xml:space="preserve">, such as </w:t>
      </w:r>
      <w:r w:rsidR="007362A1" w:rsidRPr="007362A1">
        <w:rPr>
          <w:rFonts w:ascii="Calibri" w:hAnsi="Calibri" w:cs="Times New Roman"/>
          <w:szCs w:val="24"/>
        </w:rPr>
        <w:t xml:space="preserve">housing, welfare, disability and health. </w:t>
      </w:r>
      <w:r w:rsidR="0023293A">
        <w:rPr>
          <w:rFonts w:ascii="Calibri" w:hAnsi="Calibri" w:cs="Times New Roman"/>
          <w:szCs w:val="24"/>
          <w:lang w:val="en"/>
        </w:rPr>
        <w:t>There is an urgent need to reform these e</w:t>
      </w:r>
      <w:r w:rsidR="009101D2">
        <w:rPr>
          <w:rFonts w:ascii="Calibri" w:hAnsi="Calibri" w:cs="Times New Roman"/>
          <w:szCs w:val="24"/>
          <w:lang w:val="en"/>
        </w:rPr>
        <w:t>x</w:t>
      </w:r>
      <w:r w:rsidR="0023293A">
        <w:rPr>
          <w:rFonts w:ascii="Calibri" w:hAnsi="Calibri" w:cs="Times New Roman"/>
          <w:szCs w:val="24"/>
          <w:lang w:val="en"/>
        </w:rPr>
        <w:t>emptions</w:t>
      </w:r>
      <w:r w:rsidR="005F0D6A">
        <w:rPr>
          <w:rFonts w:ascii="Calibri" w:hAnsi="Calibri" w:cs="Times New Roman"/>
          <w:szCs w:val="24"/>
          <w:lang w:val="en"/>
        </w:rPr>
        <w:t>, which have harmful mental health effects</w:t>
      </w:r>
      <w:r w:rsidR="0023293A">
        <w:rPr>
          <w:rFonts w:ascii="Calibri" w:hAnsi="Calibri" w:cs="Times New Roman"/>
          <w:szCs w:val="24"/>
          <w:lang w:val="en"/>
        </w:rPr>
        <w:t xml:space="preserve"> on LGBTI people. </w:t>
      </w:r>
    </w:p>
    <w:p w14:paraId="6CED32F4" w14:textId="62C8AC28" w:rsidR="00E1623B" w:rsidRDefault="00E1623B" w:rsidP="00EE4607">
      <w:pPr>
        <w:spacing w:after="0" w:line="276" w:lineRule="auto"/>
        <w:rPr>
          <w:rFonts w:ascii="Calibri" w:hAnsi="Calibri" w:cs="Times New Roman"/>
          <w:szCs w:val="24"/>
          <w:lang w:val="en"/>
        </w:rPr>
      </w:pPr>
    </w:p>
    <w:p w14:paraId="582FE5B0" w14:textId="6196B4A9" w:rsidR="00317E3A" w:rsidRDefault="00DB27E6" w:rsidP="00317E3A">
      <w:pPr>
        <w:spacing w:after="0"/>
      </w:pPr>
      <w:r>
        <w:rPr>
          <w:rFonts w:ascii="Calibri" w:hAnsi="Calibri" w:cs="Times New Roman"/>
          <w:szCs w:val="24"/>
          <w:lang w:val="en"/>
        </w:rPr>
        <w:t>In addition</w:t>
      </w:r>
      <w:r w:rsidR="00E1623B">
        <w:rPr>
          <w:rFonts w:ascii="Calibri" w:hAnsi="Calibri" w:cs="Times New Roman"/>
          <w:szCs w:val="24"/>
          <w:lang w:val="en"/>
        </w:rPr>
        <w:t>, t</w:t>
      </w:r>
      <w:r w:rsidR="00E1623B">
        <w:t>he government’s proposed Religious Discrimination Bill entrenches discriminatory access barriers to healthcare for LGBTI people, by allowing healthcare practitioners to conscientiously object</w:t>
      </w:r>
      <w:r w:rsidR="00DB4248">
        <w:t>,</w:t>
      </w:r>
      <w:r w:rsidR="00E1623B">
        <w:t xml:space="preserve"> </w:t>
      </w:r>
      <w:r w:rsidR="00E93AE2">
        <w:t>on religious grounds</w:t>
      </w:r>
      <w:r w:rsidR="00DB4248">
        <w:t>,</w:t>
      </w:r>
      <w:r w:rsidR="00E93AE2">
        <w:t xml:space="preserve"> </w:t>
      </w:r>
      <w:r w:rsidR="00E1623B">
        <w:t>to providing much needed healthcare</w:t>
      </w:r>
      <w:r w:rsidR="0011690F">
        <w:t xml:space="preserve"> services</w:t>
      </w:r>
      <w:r w:rsidR="008D2099">
        <w:t>/procedures</w:t>
      </w:r>
      <w:r w:rsidR="00E1623B">
        <w:t xml:space="preserve"> to our communities. </w:t>
      </w:r>
      <w:r w:rsidR="00982607">
        <w:rPr>
          <w:lang w:val="en"/>
        </w:rPr>
        <w:t>The Alliance</w:t>
      </w:r>
      <w:r w:rsidR="00982607" w:rsidRPr="00982607">
        <w:rPr>
          <w:lang w:val="en"/>
        </w:rPr>
        <w:t xml:space="preserve"> </w:t>
      </w:r>
      <w:r w:rsidR="00B94CEE">
        <w:rPr>
          <w:lang w:val="en"/>
        </w:rPr>
        <w:t>is</w:t>
      </w:r>
      <w:r w:rsidR="00982607" w:rsidRPr="00982607">
        <w:rPr>
          <w:lang w:val="en"/>
        </w:rPr>
        <w:t xml:space="preserve"> concerned that the</w:t>
      </w:r>
      <w:r w:rsidR="004C65A0">
        <w:rPr>
          <w:lang w:val="en"/>
        </w:rPr>
        <w:t>se</w:t>
      </w:r>
      <w:r w:rsidR="00982607" w:rsidRPr="00982607">
        <w:rPr>
          <w:lang w:val="en"/>
        </w:rPr>
        <w:t xml:space="preserve"> healthcare provisions have the real likelihood of adding to the determinants that already place LGBTI people at a higher risk of suicide than their non-LGBTI counterparts</w:t>
      </w:r>
      <w:r w:rsidR="00B94CEE">
        <w:rPr>
          <w:lang w:val="en"/>
        </w:rPr>
        <w:t xml:space="preserve">, and in the process </w:t>
      </w:r>
      <w:r w:rsidR="00B94CEE" w:rsidRPr="00B94CEE">
        <w:rPr>
          <w:lang w:val="en"/>
        </w:rPr>
        <w:t xml:space="preserve">deterring government efforts to reach its ambitious goal of ‘zero-suicides’ in Australia as well as the other priorities that </w:t>
      </w:r>
      <w:r w:rsidR="008E78CF">
        <w:rPr>
          <w:lang w:val="en"/>
        </w:rPr>
        <w:t>are</w:t>
      </w:r>
      <w:r w:rsidR="00B94CEE" w:rsidRPr="00B94CEE">
        <w:rPr>
          <w:lang w:val="en"/>
        </w:rPr>
        <w:t xml:space="preserve"> outlined in numerous health and wellbeing national Strategies</w:t>
      </w:r>
      <w:r w:rsidR="008D6C1D">
        <w:t>.</w:t>
      </w:r>
    </w:p>
    <w:p w14:paraId="458F6654" w14:textId="29557763" w:rsidR="00291460" w:rsidRDefault="00291460" w:rsidP="00317E3A">
      <w:pPr>
        <w:spacing w:after="0"/>
      </w:pPr>
    </w:p>
    <w:tbl>
      <w:tblPr>
        <w:tblStyle w:val="TableGrid"/>
        <w:tblW w:w="0" w:type="auto"/>
        <w:tblLook w:val="04A0" w:firstRow="1" w:lastRow="0" w:firstColumn="1" w:lastColumn="0" w:noHBand="0" w:noVBand="1"/>
      </w:tblPr>
      <w:tblGrid>
        <w:gridCol w:w="9016"/>
      </w:tblGrid>
      <w:tr w:rsidR="00291460" w14:paraId="5F5E6397" w14:textId="77777777" w:rsidTr="002B5E89">
        <w:tc>
          <w:tcPr>
            <w:tcW w:w="9016" w:type="dxa"/>
            <w:shd w:val="clear" w:color="auto" w:fill="D9E2F3" w:themeFill="accent1" w:themeFillTint="33"/>
          </w:tcPr>
          <w:p w14:paraId="569CFB37" w14:textId="1F371D1B" w:rsidR="00291460" w:rsidRPr="00787BE6" w:rsidRDefault="00291460" w:rsidP="002B5E89">
            <w:pPr>
              <w:spacing w:line="276" w:lineRule="auto"/>
              <w:rPr>
                <w:b/>
                <w:szCs w:val="22"/>
              </w:rPr>
            </w:pPr>
            <w:r w:rsidRPr="00BF6852">
              <w:rPr>
                <w:b/>
                <w:szCs w:val="22"/>
              </w:rPr>
              <w:t>Recommendation</w:t>
            </w:r>
            <w:r w:rsidR="00787BE6">
              <w:rPr>
                <w:b/>
                <w:szCs w:val="22"/>
              </w:rPr>
              <w:t xml:space="preserve">: </w:t>
            </w:r>
            <w:r w:rsidR="00787BE6" w:rsidRPr="00787BE6">
              <w:rPr>
                <w:bCs/>
                <w:szCs w:val="22"/>
              </w:rPr>
              <w:t>Mental health and suicide prevention programmes and services are adequately resourced and supported to proactively and strategically increase their accessibility to LGBTI people and communities.</w:t>
            </w:r>
            <w:r w:rsidR="002651D5">
              <w:rPr>
                <w:bCs/>
                <w:szCs w:val="22"/>
              </w:rPr>
              <w:t xml:space="preserve"> </w:t>
            </w:r>
          </w:p>
        </w:tc>
      </w:tr>
    </w:tbl>
    <w:p w14:paraId="3B185BC1" w14:textId="3E903A1B" w:rsidR="00317E3A" w:rsidRDefault="00317E3A" w:rsidP="00317E3A">
      <w:pPr>
        <w:spacing w:after="0"/>
      </w:pPr>
    </w:p>
    <w:tbl>
      <w:tblPr>
        <w:tblStyle w:val="TableGrid"/>
        <w:tblW w:w="0" w:type="auto"/>
        <w:tblLook w:val="04A0" w:firstRow="1" w:lastRow="0" w:firstColumn="1" w:lastColumn="0" w:noHBand="0" w:noVBand="1"/>
      </w:tblPr>
      <w:tblGrid>
        <w:gridCol w:w="9016"/>
      </w:tblGrid>
      <w:tr w:rsidR="0007624D" w14:paraId="7F7F4149" w14:textId="77777777" w:rsidTr="002B5E89">
        <w:tc>
          <w:tcPr>
            <w:tcW w:w="9016" w:type="dxa"/>
            <w:shd w:val="clear" w:color="auto" w:fill="D9E2F3" w:themeFill="accent1" w:themeFillTint="33"/>
          </w:tcPr>
          <w:p w14:paraId="480EEBF7" w14:textId="697193CF" w:rsidR="0007624D" w:rsidRPr="0007624D" w:rsidRDefault="0007624D" w:rsidP="002B5E89">
            <w:pPr>
              <w:spacing w:line="276" w:lineRule="auto"/>
              <w:rPr>
                <w:b/>
              </w:rPr>
            </w:pPr>
            <w:r w:rsidRPr="00BF6852">
              <w:rPr>
                <w:b/>
                <w:szCs w:val="22"/>
              </w:rPr>
              <w:t>Recommendation</w:t>
            </w:r>
            <w:r>
              <w:rPr>
                <w:b/>
                <w:szCs w:val="22"/>
              </w:rPr>
              <w:t xml:space="preserve">: </w:t>
            </w:r>
            <w:r w:rsidRPr="0007624D">
              <w:rPr>
                <w:bCs/>
              </w:rPr>
              <w:t>Develop and resource mental health and suicide prevention initiatives</w:t>
            </w:r>
            <w:r w:rsidR="00E9313A">
              <w:rPr>
                <w:bCs/>
              </w:rPr>
              <w:t xml:space="preserve"> within LGBTI health organisation</w:t>
            </w:r>
            <w:r w:rsidR="00642C6A">
              <w:rPr>
                <w:bCs/>
              </w:rPr>
              <w:t>s</w:t>
            </w:r>
            <w:r w:rsidRPr="0007624D">
              <w:rPr>
                <w:bCs/>
              </w:rPr>
              <w:t xml:space="preserve"> that specifically target LGBTI populations, and where available to be implemented and delivered by LGBTI peer-based organisations or agencies that have a core mission of providing programmes and services to LGBTI people and communities.</w:t>
            </w:r>
          </w:p>
        </w:tc>
      </w:tr>
    </w:tbl>
    <w:p w14:paraId="29299853" w14:textId="3BC56478" w:rsidR="005C137D" w:rsidRDefault="005C137D" w:rsidP="00EE4607">
      <w:pPr>
        <w:spacing w:after="0" w:line="276" w:lineRule="auto"/>
        <w:rPr>
          <w:rFonts w:ascii="Calibri" w:hAnsi="Calibri" w:cs="Times New Roman"/>
          <w:szCs w:val="24"/>
          <w:lang w:val="en"/>
        </w:rPr>
      </w:pPr>
    </w:p>
    <w:tbl>
      <w:tblPr>
        <w:tblStyle w:val="TableGrid"/>
        <w:tblW w:w="0" w:type="auto"/>
        <w:tblLook w:val="04A0" w:firstRow="1" w:lastRow="0" w:firstColumn="1" w:lastColumn="0" w:noHBand="0" w:noVBand="1"/>
      </w:tblPr>
      <w:tblGrid>
        <w:gridCol w:w="9016"/>
      </w:tblGrid>
      <w:tr w:rsidR="00E127CD" w14:paraId="0EDF0C86" w14:textId="77777777" w:rsidTr="002B5E89">
        <w:tc>
          <w:tcPr>
            <w:tcW w:w="9016" w:type="dxa"/>
            <w:shd w:val="clear" w:color="auto" w:fill="D9E2F3" w:themeFill="accent1" w:themeFillTint="33"/>
          </w:tcPr>
          <w:p w14:paraId="29431DE8" w14:textId="098645A3" w:rsidR="00E127CD" w:rsidRPr="00E127CD" w:rsidRDefault="00E127CD" w:rsidP="002B5E89">
            <w:pPr>
              <w:spacing w:line="276" w:lineRule="auto"/>
              <w:rPr>
                <w:b/>
              </w:rPr>
            </w:pPr>
            <w:r w:rsidRPr="00BF6852">
              <w:rPr>
                <w:b/>
                <w:szCs w:val="22"/>
              </w:rPr>
              <w:t>Recommendation</w:t>
            </w:r>
            <w:r>
              <w:rPr>
                <w:b/>
                <w:szCs w:val="22"/>
              </w:rPr>
              <w:t xml:space="preserve">: </w:t>
            </w:r>
            <w:r w:rsidRPr="00E127CD">
              <w:rPr>
                <w:bCs/>
              </w:rPr>
              <w:t xml:space="preserve">Exemptions for religious-based organisations that deliver Commonwealth funded mental health and suicide prevention programs under </w:t>
            </w:r>
            <w:r w:rsidRPr="00E127CD">
              <w:rPr>
                <w:bCs/>
                <w:i/>
                <w:iCs/>
              </w:rPr>
              <w:t>Sex Discrimination Act</w:t>
            </w:r>
            <w:r w:rsidRPr="00E127CD">
              <w:rPr>
                <w:bCs/>
              </w:rPr>
              <w:t xml:space="preserve"> to be removed.</w:t>
            </w:r>
          </w:p>
        </w:tc>
      </w:tr>
    </w:tbl>
    <w:p w14:paraId="43503DDB" w14:textId="77777777" w:rsidR="007A6063" w:rsidRDefault="007A6063" w:rsidP="00EE4607">
      <w:pPr>
        <w:spacing w:after="0" w:line="276" w:lineRule="auto"/>
        <w:rPr>
          <w:rFonts w:ascii="Calibri" w:hAnsi="Calibri" w:cs="Times New Roman"/>
          <w:szCs w:val="24"/>
        </w:rPr>
      </w:pPr>
    </w:p>
    <w:p w14:paraId="1AE77BAB" w14:textId="29A71F76" w:rsidR="00FB50B3" w:rsidRPr="00FB50B3" w:rsidRDefault="00FB50B3" w:rsidP="00FB50B3">
      <w:pPr>
        <w:spacing w:after="0" w:line="276" w:lineRule="auto"/>
        <w:rPr>
          <w:rFonts w:ascii="Calibri" w:hAnsi="Calibri" w:cs="Times New Roman"/>
          <w:b/>
          <w:bCs/>
          <w:szCs w:val="24"/>
        </w:rPr>
      </w:pPr>
      <w:r w:rsidRPr="00FB50B3">
        <w:rPr>
          <w:rFonts w:ascii="Calibri" w:hAnsi="Calibri" w:cs="Times New Roman"/>
          <w:b/>
          <w:bCs/>
          <w:szCs w:val="24"/>
        </w:rPr>
        <w:t>Support</w:t>
      </w:r>
      <w:r w:rsidR="003A700B">
        <w:rPr>
          <w:rFonts w:ascii="Calibri" w:hAnsi="Calibri" w:cs="Times New Roman"/>
          <w:b/>
          <w:bCs/>
          <w:szCs w:val="24"/>
        </w:rPr>
        <w:t>ing</w:t>
      </w:r>
      <w:r w:rsidRPr="00FB50B3">
        <w:rPr>
          <w:rFonts w:ascii="Calibri" w:hAnsi="Calibri" w:cs="Times New Roman"/>
          <w:b/>
          <w:bCs/>
          <w:szCs w:val="24"/>
        </w:rPr>
        <w:t xml:space="preserve"> workforce development</w:t>
      </w:r>
    </w:p>
    <w:p w14:paraId="3D800538" w14:textId="77777777" w:rsidR="00FB50B3" w:rsidRPr="00FB50B3" w:rsidRDefault="00FB50B3" w:rsidP="00FB50B3">
      <w:pPr>
        <w:spacing w:after="0" w:line="276" w:lineRule="auto"/>
        <w:rPr>
          <w:rFonts w:ascii="Calibri" w:hAnsi="Calibri" w:cs="Times New Roman"/>
          <w:b/>
          <w:bCs/>
          <w:szCs w:val="24"/>
        </w:rPr>
      </w:pPr>
    </w:p>
    <w:p w14:paraId="42A91F73" w14:textId="773B8DF9" w:rsidR="00927D3B" w:rsidRDefault="0025127F" w:rsidP="00EE4607">
      <w:pPr>
        <w:spacing w:after="0" w:line="276" w:lineRule="auto"/>
        <w:rPr>
          <w:rFonts w:ascii="Calibri" w:hAnsi="Calibri" w:cs="Times New Roman"/>
          <w:szCs w:val="24"/>
        </w:rPr>
      </w:pPr>
      <w:r w:rsidRPr="0025127F">
        <w:rPr>
          <w:rFonts w:ascii="Calibri" w:hAnsi="Calibri" w:cs="Times New Roman"/>
          <w:szCs w:val="24"/>
        </w:rPr>
        <w:t xml:space="preserve">Poor mental health outcomes for LGBTI people are compounded by being turned away from a service because of the lack of knowledge, skills and confidence from service providers including </w:t>
      </w:r>
      <w:r w:rsidRPr="0025127F">
        <w:rPr>
          <w:rFonts w:ascii="Calibri" w:hAnsi="Calibri" w:cs="Times New Roman"/>
          <w:szCs w:val="24"/>
        </w:rPr>
        <w:lastRenderedPageBreak/>
        <w:t xml:space="preserve">those who actively refuse to engage with potential LGBTI clients. </w:t>
      </w:r>
      <w:r w:rsidR="00FB50B3" w:rsidRPr="00FB50B3">
        <w:rPr>
          <w:rFonts w:ascii="Calibri" w:hAnsi="Calibri" w:cs="Times New Roman"/>
          <w:szCs w:val="24"/>
        </w:rPr>
        <w:t>The Alliance acknowledges the Productivity Commission’s recommendations to increase the mental health workforce</w:t>
      </w:r>
      <w:r w:rsidR="00606D19">
        <w:rPr>
          <w:rFonts w:ascii="Calibri" w:hAnsi="Calibri" w:cs="Times New Roman"/>
          <w:szCs w:val="24"/>
        </w:rPr>
        <w:t xml:space="preserve">. For this to be a successful investment, </w:t>
      </w:r>
      <w:r w:rsidR="003A0DE3" w:rsidRPr="00606D19">
        <w:rPr>
          <w:rFonts w:ascii="Calibri" w:hAnsi="Calibri" w:cs="Times New Roman"/>
          <w:szCs w:val="24"/>
        </w:rPr>
        <w:t>more needs to be done to ensure the mental health and suicide prevention sectors paid and volunteer workforces are</w:t>
      </w:r>
      <w:r w:rsidR="003A0DE3" w:rsidRPr="003A0DE3">
        <w:rPr>
          <w:rFonts w:ascii="Calibri" w:hAnsi="Calibri" w:cs="Times New Roman"/>
          <w:szCs w:val="24"/>
        </w:rPr>
        <w:t xml:space="preserve"> knowledgeable regarding LGBTI people and communities, and </w:t>
      </w:r>
      <w:r w:rsidR="005E3004">
        <w:rPr>
          <w:rFonts w:ascii="Calibri" w:hAnsi="Calibri" w:cs="Times New Roman"/>
          <w:szCs w:val="24"/>
        </w:rPr>
        <w:t>are</w:t>
      </w:r>
      <w:r w:rsidR="003A0DE3" w:rsidRPr="003A0DE3">
        <w:rPr>
          <w:rFonts w:ascii="Calibri" w:hAnsi="Calibri" w:cs="Times New Roman"/>
          <w:szCs w:val="24"/>
        </w:rPr>
        <w:t xml:space="preserve"> skilled, confident, and competent in responding to their support needs.</w:t>
      </w:r>
      <w:r w:rsidR="003A0DE3">
        <w:rPr>
          <w:rFonts w:ascii="Calibri" w:hAnsi="Calibri" w:cs="Times New Roman"/>
          <w:szCs w:val="24"/>
        </w:rPr>
        <w:t xml:space="preserve"> </w:t>
      </w:r>
      <w:r w:rsidR="00E379F7">
        <w:rPr>
          <w:rFonts w:ascii="Calibri" w:hAnsi="Calibri" w:cs="Times New Roman"/>
          <w:szCs w:val="24"/>
        </w:rPr>
        <w:t xml:space="preserve">This will ensure that </w:t>
      </w:r>
      <w:r w:rsidR="00BD1DC9">
        <w:rPr>
          <w:rFonts w:ascii="Calibri" w:hAnsi="Calibri" w:cs="Times New Roman"/>
          <w:szCs w:val="24"/>
        </w:rPr>
        <w:t>LGBTI people have access to mainstream services and treatment pathways that are inclusive and culturally safe</w:t>
      </w:r>
      <w:r w:rsidR="001E0711">
        <w:rPr>
          <w:rFonts w:ascii="Calibri" w:hAnsi="Calibri" w:cs="Times New Roman"/>
          <w:szCs w:val="24"/>
        </w:rPr>
        <w:t>.</w:t>
      </w:r>
    </w:p>
    <w:p w14:paraId="4656088B" w14:textId="6D928519" w:rsidR="00E127CD" w:rsidRDefault="00E127CD" w:rsidP="00EE4607">
      <w:pPr>
        <w:spacing w:after="0" w:line="276" w:lineRule="auto"/>
        <w:rPr>
          <w:rFonts w:ascii="Calibri" w:hAnsi="Calibri" w:cs="Times New Roman"/>
          <w:szCs w:val="24"/>
        </w:rPr>
      </w:pPr>
    </w:p>
    <w:tbl>
      <w:tblPr>
        <w:tblStyle w:val="TableGrid"/>
        <w:tblW w:w="0" w:type="auto"/>
        <w:tblLook w:val="04A0" w:firstRow="1" w:lastRow="0" w:firstColumn="1" w:lastColumn="0" w:noHBand="0" w:noVBand="1"/>
      </w:tblPr>
      <w:tblGrid>
        <w:gridCol w:w="9016"/>
      </w:tblGrid>
      <w:tr w:rsidR="00E127CD" w14:paraId="56229B12" w14:textId="77777777" w:rsidTr="002B5E89">
        <w:tc>
          <w:tcPr>
            <w:tcW w:w="9016" w:type="dxa"/>
            <w:shd w:val="clear" w:color="auto" w:fill="D9E2F3" w:themeFill="accent1" w:themeFillTint="33"/>
          </w:tcPr>
          <w:p w14:paraId="77C4DB6B" w14:textId="3E10122C" w:rsidR="00E127CD" w:rsidRPr="00787BE6" w:rsidRDefault="00E127CD" w:rsidP="002B5E89">
            <w:pPr>
              <w:spacing w:line="276" w:lineRule="auto"/>
              <w:rPr>
                <w:b/>
                <w:szCs w:val="22"/>
              </w:rPr>
            </w:pPr>
            <w:r w:rsidRPr="00BF6852">
              <w:rPr>
                <w:b/>
                <w:szCs w:val="22"/>
              </w:rPr>
              <w:t>Recommendation</w:t>
            </w:r>
            <w:r>
              <w:rPr>
                <w:b/>
                <w:szCs w:val="22"/>
              </w:rPr>
              <w:t xml:space="preserve">: </w:t>
            </w:r>
            <w:r w:rsidRPr="00E127CD">
              <w:rPr>
                <w:bCs/>
                <w:szCs w:val="22"/>
              </w:rPr>
              <w:t>National coordination and implementation of education, training and professional development on LGBTI populations within the mental health and suicide prevention workforce.</w:t>
            </w:r>
          </w:p>
        </w:tc>
      </w:tr>
    </w:tbl>
    <w:p w14:paraId="290910A9" w14:textId="77777777" w:rsidR="00E127CD" w:rsidRDefault="00E127CD" w:rsidP="00EE4607">
      <w:pPr>
        <w:spacing w:after="0" w:line="276" w:lineRule="auto"/>
        <w:rPr>
          <w:rFonts w:ascii="Calibri" w:hAnsi="Calibri" w:cs="Times New Roman"/>
          <w:szCs w:val="24"/>
        </w:rPr>
      </w:pPr>
    </w:p>
    <w:tbl>
      <w:tblPr>
        <w:tblStyle w:val="TableGrid"/>
        <w:tblW w:w="0" w:type="auto"/>
        <w:tblLook w:val="04A0" w:firstRow="1" w:lastRow="0" w:firstColumn="1" w:lastColumn="0" w:noHBand="0" w:noVBand="1"/>
      </w:tblPr>
      <w:tblGrid>
        <w:gridCol w:w="9016"/>
      </w:tblGrid>
      <w:tr w:rsidR="00E127CD" w14:paraId="02699042" w14:textId="77777777" w:rsidTr="002B5E89">
        <w:tc>
          <w:tcPr>
            <w:tcW w:w="9016" w:type="dxa"/>
            <w:shd w:val="clear" w:color="auto" w:fill="D9E2F3" w:themeFill="accent1" w:themeFillTint="33"/>
          </w:tcPr>
          <w:p w14:paraId="534B14CB" w14:textId="70848C99" w:rsidR="00E127CD" w:rsidRPr="00E127CD" w:rsidRDefault="00E127CD" w:rsidP="002B5E89">
            <w:pPr>
              <w:spacing w:line="276" w:lineRule="auto"/>
              <w:rPr>
                <w:bCs/>
              </w:rPr>
            </w:pPr>
            <w:r w:rsidRPr="00BF6852">
              <w:rPr>
                <w:b/>
                <w:szCs w:val="22"/>
              </w:rPr>
              <w:t>Recommendation</w:t>
            </w:r>
            <w:r>
              <w:rPr>
                <w:b/>
                <w:szCs w:val="22"/>
              </w:rPr>
              <w:t xml:space="preserve">: </w:t>
            </w:r>
            <w:r w:rsidRPr="00E127CD">
              <w:rPr>
                <w:bCs/>
              </w:rPr>
              <w:t xml:space="preserve">Cultural safety </w:t>
            </w:r>
            <w:r w:rsidR="00FA53EC">
              <w:rPr>
                <w:bCs/>
              </w:rPr>
              <w:t xml:space="preserve">and inclusive practice </w:t>
            </w:r>
            <w:r w:rsidRPr="00E127CD">
              <w:rPr>
                <w:bCs/>
              </w:rPr>
              <w:t xml:space="preserve">applied across the entire mental health service system. </w:t>
            </w:r>
          </w:p>
        </w:tc>
      </w:tr>
    </w:tbl>
    <w:p w14:paraId="4248EB07" w14:textId="77777777" w:rsidR="00F35D5C" w:rsidRDefault="00F35D5C" w:rsidP="00EE4607">
      <w:pPr>
        <w:spacing w:after="0" w:line="276" w:lineRule="auto"/>
        <w:rPr>
          <w:rFonts w:ascii="Calibri" w:hAnsi="Calibri" w:cs="Times New Roman"/>
          <w:szCs w:val="24"/>
        </w:rPr>
      </w:pPr>
    </w:p>
    <w:p w14:paraId="45347A8D" w14:textId="77777777" w:rsidR="0015457C" w:rsidRPr="0015457C" w:rsidRDefault="0015457C" w:rsidP="0015457C">
      <w:pPr>
        <w:spacing w:after="0" w:line="276" w:lineRule="auto"/>
        <w:rPr>
          <w:rFonts w:ascii="Calibri" w:hAnsi="Calibri" w:cs="Times New Roman"/>
          <w:b/>
          <w:bCs/>
          <w:szCs w:val="24"/>
        </w:rPr>
      </w:pPr>
      <w:r w:rsidRPr="0015457C">
        <w:rPr>
          <w:rFonts w:ascii="Calibri" w:hAnsi="Calibri" w:cs="Times New Roman"/>
          <w:b/>
          <w:bCs/>
          <w:szCs w:val="24"/>
        </w:rPr>
        <w:t>Promote a person-centred and trauma-informed model of care</w:t>
      </w:r>
    </w:p>
    <w:p w14:paraId="35C158E4" w14:textId="40819484" w:rsidR="00AB7858" w:rsidRDefault="00AB7858" w:rsidP="00EE4607">
      <w:pPr>
        <w:spacing w:after="0" w:line="276" w:lineRule="auto"/>
        <w:rPr>
          <w:rFonts w:ascii="Calibri" w:hAnsi="Calibri" w:cs="Times New Roman"/>
          <w:b/>
          <w:bCs/>
          <w:szCs w:val="24"/>
        </w:rPr>
      </w:pPr>
    </w:p>
    <w:p w14:paraId="5982D683" w14:textId="78110C4D" w:rsidR="00AB7858" w:rsidRPr="00AB7858" w:rsidRDefault="00952854" w:rsidP="00AB7858">
      <w:pPr>
        <w:spacing w:after="0" w:line="276" w:lineRule="auto"/>
        <w:rPr>
          <w:rFonts w:ascii="Calibri" w:hAnsi="Calibri" w:cs="Times New Roman"/>
          <w:szCs w:val="24"/>
        </w:rPr>
      </w:pPr>
      <w:r>
        <w:rPr>
          <w:rFonts w:ascii="Calibri" w:hAnsi="Calibri" w:cs="Times New Roman"/>
          <w:szCs w:val="24"/>
        </w:rPr>
        <w:t>The Alliance</w:t>
      </w:r>
      <w:r w:rsidR="00C4325C">
        <w:rPr>
          <w:rFonts w:ascii="Calibri" w:hAnsi="Calibri" w:cs="Times New Roman"/>
          <w:szCs w:val="24"/>
        </w:rPr>
        <w:t xml:space="preserve"> agrees with the Commission</w:t>
      </w:r>
      <w:r w:rsidR="0005585C">
        <w:rPr>
          <w:rFonts w:ascii="Calibri" w:hAnsi="Calibri" w:cs="Times New Roman"/>
          <w:szCs w:val="24"/>
        </w:rPr>
        <w:t xml:space="preserve">’s contention </w:t>
      </w:r>
      <w:r w:rsidR="00C4325C">
        <w:rPr>
          <w:rFonts w:ascii="Calibri" w:hAnsi="Calibri" w:cs="Times New Roman"/>
          <w:szCs w:val="24"/>
        </w:rPr>
        <w:t xml:space="preserve">that the implementation of a person-centred care consistently across the mental health system will </w:t>
      </w:r>
      <w:r w:rsidR="005C444C">
        <w:rPr>
          <w:rFonts w:ascii="Calibri" w:hAnsi="Calibri" w:cs="Times New Roman"/>
          <w:szCs w:val="24"/>
        </w:rPr>
        <w:t>require</w:t>
      </w:r>
      <w:r w:rsidR="00C4325C">
        <w:rPr>
          <w:rFonts w:ascii="Calibri" w:hAnsi="Calibri" w:cs="Times New Roman"/>
          <w:szCs w:val="24"/>
        </w:rPr>
        <w:t xml:space="preserve"> a significant cultural shift.</w:t>
      </w:r>
      <w:r w:rsidR="0015457C">
        <w:rPr>
          <w:rFonts w:ascii="Calibri" w:hAnsi="Calibri" w:cs="Times New Roman"/>
          <w:szCs w:val="24"/>
        </w:rPr>
        <w:t xml:space="preserve"> Nonetheless,</w:t>
      </w:r>
      <w:r w:rsidR="00C4325C">
        <w:rPr>
          <w:rFonts w:ascii="Calibri" w:hAnsi="Calibri" w:cs="Times New Roman"/>
          <w:szCs w:val="24"/>
        </w:rPr>
        <w:t xml:space="preserve"> </w:t>
      </w:r>
      <w:r w:rsidR="0015457C">
        <w:rPr>
          <w:rFonts w:ascii="Calibri" w:hAnsi="Calibri" w:cs="Times New Roman"/>
          <w:szCs w:val="24"/>
        </w:rPr>
        <w:t>a</w:t>
      </w:r>
      <w:r w:rsidR="00AB7858" w:rsidRPr="00AB7858">
        <w:rPr>
          <w:rFonts w:ascii="Calibri" w:hAnsi="Calibri" w:cs="Times New Roman"/>
          <w:szCs w:val="24"/>
        </w:rPr>
        <w:t xml:space="preserve"> person-centred mental health system approach is fundamental, where services are organised around the needs of people, rather than people having to organise themselves around the system. It recognises the importance of </w:t>
      </w:r>
      <w:r w:rsidR="00DD0653">
        <w:rPr>
          <w:rFonts w:ascii="Calibri" w:hAnsi="Calibri" w:cs="Times New Roman"/>
          <w:szCs w:val="24"/>
        </w:rPr>
        <w:t>the range of social determinants of health</w:t>
      </w:r>
      <w:r w:rsidR="00AB7858" w:rsidRPr="00AB7858">
        <w:rPr>
          <w:rFonts w:ascii="Calibri" w:hAnsi="Calibri" w:cs="Times New Roman"/>
          <w:szCs w:val="24"/>
        </w:rPr>
        <w:t xml:space="preserve"> such as housing, justice, employment and education, and emphasises cost-effective, community-based care. </w:t>
      </w:r>
    </w:p>
    <w:p w14:paraId="0B6C4CFD" w14:textId="77777777" w:rsidR="00AB7858" w:rsidRPr="00AB7858" w:rsidRDefault="00AB7858" w:rsidP="00AB7858">
      <w:pPr>
        <w:spacing w:after="0" w:line="276" w:lineRule="auto"/>
        <w:rPr>
          <w:rFonts w:ascii="Calibri" w:hAnsi="Calibri" w:cs="Times New Roman"/>
          <w:szCs w:val="24"/>
        </w:rPr>
      </w:pPr>
    </w:p>
    <w:p w14:paraId="54D240E1" w14:textId="10198C21" w:rsidR="00AB7858" w:rsidRPr="00AB7858" w:rsidRDefault="00DA609E" w:rsidP="00AB7858">
      <w:pPr>
        <w:spacing w:after="0" w:line="276" w:lineRule="auto"/>
        <w:rPr>
          <w:rFonts w:ascii="Calibri" w:hAnsi="Calibri" w:cs="Times New Roman"/>
          <w:szCs w:val="24"/>
        </w:rPr>
      </w:pPr>
      <w:r>
        <w:rPr>
          <w:rFonts w:ascii="Calibri" w:hAnsi="Calibri" w:cs="Times New Roman"/>
          <w:szCs w:val="24"/>
        </w:rPr>
        <w:t>A person</w:t>
      </w:r>
      <w:r w:rsidR="00AB7858" w:rsidRPr="00AB7858">
        <w:rPr>
          <w:rFonts w:ascii="Calibri" w:hAnsi="Calibri" w:cs="Times New Roman"/>
          <w:szCs w:val="24"/>
        </w:rPr>
        <w:t xml:space="preserve">-centred approach to </w:t>
      </w:r>
      <w:r w:rsidR="005C444C">
        <w:rPr>
          <w:rFonts w:ascii="Calibri" w:hAnsi="Calibri" w:cs="Times New Roman"/>
          <w:szCs w:val="24"/>
        </w:rPr>
        <w:t xml:space="preserve">mental health </w:t>
      </w:r>
      <w:r w:rsidR="00AB7858" w:rsidRPr="00AB7858">
        <w:rPr>
          <w:rFonts w:ascii="Calibri" w:hAnsi="Calibri" w:cs="Times New Roman"/>
          <w:szCs w:val="24"/>
        </w:rPr>
        <w:t xml:space="preserve">services </w:t>
      </w:r>
      <w:r w:rsidR="000823E7">
        <w:rPr>
          <w:rFonts w:ascii="Calibri" w:hAnsi="Calibri" w:cs="Times New Roman"/>
          <w:szCs w:val="24"/>
        </w:rPr>
        <w:t xml:space="preserve">must </w:t>
      </w:r>
      <w:r w:rsidR="00AB7858" w:rsidRPr="00AB7858">
        <w:rPr>
          <w:rFonts w:ascii="Calibri" w:hAnsi="Calibri" w:cs="Times New Roman"/>
          <w:szCs w:val="24"/>
        </w:rPr>
        <w:t xml:space="preserve">provide timely access to clinical and non-clinical services mental health and suicide prevention support to LGBTI people and communities to be delivered via integrated, multi-disciplinary services that are tailored to meet the individual needs of LGBTI people and their families. This </w:t>
      </w:r>
      <w:r w:rsidR="00196EB0">
        <w:rPr>
          <w:rFonts w:ascii="Calibri" w:hAnsi="Calibri" w:cs="Times New Roman"/>
          <w:szCs w:val="24"/>
        </w:rPr>
        <w:t>would</w:t>
      </w:r>
      <w:r w:rsidR="00AB7858" w:rsidRPr="00AB7858">
        <w:rPr>
          <w:rFonts w:ascii="Calibri" w:hAnsi="Calibri" w:cs="Times New Roman"/>
          <w:szCs w:val="24"/>
        </w:rPr>
        <w:t xml:space="preserve"> include hospital based, community based, physical health, sexual health, employment, justice, drug and alcohol, homelessness, social inclusion, bereavement, and domestic and family violence services.</w:t>
      </w:r>
      <w:r w:rsidR="00832032">
        <w:rPr>
          <w:rFonts w:ascii="Calibri" w:hAnsi="Calibri" w:cs="Times New Roman"/>
          <w:szCs w:val="24"/>
        </w:rPr>
        <w:t xml:space="preserve"> </w:t>
      </w:r>
    </w:p>
    <w:p w14:paraId="210FCFB5" w14:textId="77777777" w:rsidR="00AB7858" w:rsidRPr="00AB7858" w:rsidRDefault="00AB7858" w:rsidP="00AB7858">
      <w:pPr>
        <w:spacing w:after="0" w:line="276" w:lineRule="auto"/>
        <w:rPr>
          <w:rFonts w:ascii="Calibri" w:hAnsi="Calibri" w:cs="Times New Roman"/>
          <w:szCs w:val="24"/>
        </w:rPr>
      </w:pPr>
    </w:p>
    <w:p w14:paraId="76A00FAB" w14:textId="5A19A7BC" w:rsidR="00AB7858" w:rsidRPr="00AB7858" w:rsidRDefault="00DA609E" w:rsidP="00AB7858">
      <w:pPr>
        <w:spacing w:after="0" w:line="276" w:lineRule="auto"/>
        <w:rPr>
          <w:rFonts w:ascii="Calibri" w:hAnsi="Calibri" w:cs="Times New Roman"/>
          <w:szCs w:val="24"/>
        </w:rPr>
      </w:pPr>
      <w:r>
        <w:rPr>
          <w:rFonts w:ascii="Calibri" w:hAnsi="Calibri" w:cs="Times New Roman"/>
          <w:szCs w:val="24"/>
        </w:rPr>
        <w:t xml:space="preserve">Furthermore, </w:t>
      </w:r>
      <w:r w:rsidR="005606E2">
        <w:rPr>
          <w:rFonts w:ascii="Calibri" w:hAnsi="Calibri" w:cs="Times New Roman"/>
          <w:szCs w:val="24"/>
        </w:rPr>
        <w:t xml:space="preserve">it is essential that </w:t>
      </w:r>
      <w:r>
        <w:rPr>
          <w:rFonts w:ascii="Calibri" w:hAnsi="Calibri" w:cs="Times New Roman"/>
          <w:szCs w:val="24"/>
        </w:rPr>
        <w:t>p</w:t>
      </w:r>
      <w:r w:rsidR="00AB7858" w:rsidRPr="00AB7858">
        <w:rPr>
          <w:rFonts w:ascii="Calibri" w:hAnsi="Calibri" w:cs="Times New Roman"/>
          <w:szCs w:val="24"/>
        </w:rPr>
        <w:t>erson-centred approach initiatives acknowledge and respond to the specific and individual needs of people and communities within LGBTI populations</w:t>
      </w:r>
      <w:r w:rsidR="003750A2">
        <w:rPr>
          <w:rFonts w:ascii="Calibri" w:hAnsi="Calibri" w:cs="Times New Roman"/>
          <w:szCs w:val="24"/>
        </w:rPr>
        <w:t>. This includes</w:t>
      </w:r>
      <w:r w:rsidR="00AB7858" w:rsidRPr="00AB7858">
        <w:rPr>
          <w:rFonts w:ascii="Calibri" w:hAnsi="Calibri" w:cs="Times New Roman"/>
          <w:szCs w:val="24"/>
        </w:rPr>
        <w:t xml:space="preserve"> </w:t>
      </w:r>
      <w:r w:rsidR="003750A2">
        <w:rPr>
          <w:rFonts w:ascii="Calibri" w:hAnsi="Calibri" w:cs="Times New Roman"/>
          <w:szCs w:val="24"/>
        </w:rPr>
        <w:t>a</w:t>
      </w:r>
      <w:r w:rsidR="00AB7858" w:rsidRPr="00AB7858">
        <w:rPr>
          <w:rFonts w:ascii="Calibri" w:hAnsi="Calibri" w:cs="Times New Roman"/>
          <w:szCs w:val="24"/>
        </w:rPr>
        <w:t xml:space="preserve"> recognition that different approaches will be required for different individuals and population groups including </w:t>
      </w:r>
      <w:r w:rsidR="005C444C">
        <w:rPr>
          <w:rFonts w:ascii="Calibri" w:hAnsi="Calibri" w:cs="Times New Roman"/>
          <w:szCs w:val="24"/>
        </w:rPr>
        <w:t>b</w:t>
      </w:r>
      <w:r w:rsidR="00AB7858" w:rsidRPr="00AB7858">
        <w:rPr>
          <w:rFonts w:ascii="Calibri" w:hAnsi="Calibri" w:cs="Times New Roman"/>
          <w:szCs w:val="24"/>
        </w:rPr>
        <w:t xml:space="preserve">isexual people, </w:t>
      </w:r>
      <w:r w:rsidR="005C444C">
        <w:rPr>
          <w:rFonts w:ascii="Calibri" w:hAnsi="Calibri" w:cs="Times New Roman"/>
          <w:szCs w:val="24"/>
        </w:rPr>
        <w:t>t</w:t>
      </w:r>
      <w:r w:rsidR="00AB7858" w:rsidRPr="00AB7858">
        <w:rPr>
          <w:rFonts w:ascii="Calibri" w:hAnsi="Calibri" w:cs="Times New Roman"/>
          <w:szCs w:val="24"/>
        </w:rPr>
        <w:t>rans</w:t>
      </w:r>
      <w:r w:rsidR="005C444C">
        <w:rPr>
          <w:rFonts w:ascii="Calibri" w:hAnsi="Calibri" w:cs="Times New Roman"/>
          <w:szCs w:val="24"/>
        </w:rPr>
        <w:t xml:space="preserve"> and gender diverse</w:t>
      </w:r>
      <w:r w:rsidR="00AB7858" w:rsidRPr="00AB7858">
        <w:rPr>
          <w:rFonts w:ascii="Calibri" w:hAnsi="Calibri" w:cs="Times New Roman"/>
          <w:szCs w:val="24"/>
        </w:rPr>
        <w:t xml:space="preserve"> people</w:t>
      </w:r>
      <w:r w:rsidR="005C444C">
        <w:rPr>
          <w:rFonts w:ascii="Calibri" w:hAnsi="Calibri" w:cs="Times New Roman"/>
          <w:szCs w:val="24"/>
        </w:rPr>
        <w:t>,</w:t>
      </w:r>
      <w:r w:rsidR="00AB7858" w:rsidRPr="00AB7858">
        <w:rPr>
          <w:rFonts w:ascii="Calibri" w:hAnsi="Calibri" w:cs="Times New Roman"/>
          <w:szCs w:val="24"/>
        </w:rPr>
        <w:t xml:space="preserve"> </w:t>
      </w:r>
      <w:r w:rsidR="005C444C">
        <w:rPr>
          <w:rFonts w:ascii="Calibri" w:hAnsi="Calibri" w:cs="Times New Roman"/>
          <w:szCs w:val="24"/>
        </w:rPr>
        <w:t>intersex people</w:t>
      </w:r>
      <w:r w:rsidR="00AB7858" w:rsidRPr="00AB7858">
        <w:rPr>
          <w:rFonts w:ascii="Calibri" w:hAnsi="Calibri" w:cs="Times New Roman"/>
          <w:szCs w:val="24"/>
        </w:rPr>
        <w:t xml:space="preserve">, Aboriginal and Torres Strait Islander </w:t>
      </w:r>
      <w:r w:rsidR="005C444C">
        <w:rPr>
          <w:rFonts w:ascii="Calibri" w:hAnsi="Calibri" w:cs="Times New Roman"/>
          <w:szCs w:val="24"/>
        </w:rPr>
        <w:t>p</w:t>
      </w:r>
      <w:r w:rsidR="00AB7858" w:rsidRPr="00AB7858">
        <w:rPr>
          <w:rFonts w:ascii="Calibri" w:hAnsi="Calibri" w:cs="Times New Roman"/>
          <w:szCs w:val="24"/>
        </w:rPr>
        <w:t>eople, culturally and linguistically diverse people, people with disabilities, people living in rural, regional and remote locations, children and young people, and older people.</w:t>
      </w:r>
    </w:p>
    <w:p w14:paraId="758606CF" w14:textId="75811E2D" w:rsidR="00AB7858" w:rsidRDefault="00AB7858" w:rsidP="00AB7858">
      <w:pPr>
        <w:spacing w:after="0" w:line="276" w:lineRule="auto"/>
        <w:rPr>
          <w:rFonts w:ascii="Calibri" w:hAnsi="Calibri" w:cs="Times New Roman"/>
          <w:szCs w:val="24"/>
        </w:rPr>
      </w:pPr>
    </w:p>
    <w:p w14:paraId="756F8920" w14:textId="320E2CCB" w:rsidR="00EA2DCE" w:rsidRDefault="00EA2DCE" w:rsidP="00AB7858">
      <w:pPr>
        <w:spacing w:after="0" w:line="276" w:lineRule="auto"/>
        <w:rPr>
          <w:rFonts w:ascii="Calibri" w:hAnsi="Calibri" w:cs="Times New Roman"/>
          <w:szCs w:val="24"/>
        </w:rPr>
      </w:pPr>
      <w:r w:rsidRPr="00EA2DCE">
        <w:rPr>
          <w:rFonts w:ascii="Calibri" w:hAnsi="Calibri" w:cs="Times New Roman"/>
          <w:szCs w:val="24"/>
        </w:rPr>
        <w:t xml:space="preserve">The biomedical model of mental health </w:t>
      </w:r>
      <w:r w:rsidR="00277B4F">
        <w:rPr>
          <w:rFonts w:ascii="Calibri" w:hAnsi="Calibri" w:cs="Times New Roman"/>
          <w:szCs w:val="24"/>
        </w:rPr>
        <w:t>pri</w:t>
      </w:r>
      <w:r w:rsidR="002D2C6C">
        <w:rPr>
          <w:rFonts w:ascii="Calibri" w:hAnsi="Calibri" w:cs="Times New Roman"/>
          <w:szCs w:val="24"/>
        </w:rPr>
        <w:t>oritises</w:t>
      </w:r>
      <w:r w:rsidRPr="00EA2DCE">
        <w:rPr>
          <w:rFonts w:ascii="Calibri" w:hAnsi="Calibri" w:cs="Times New Roman"/>
          <w:szCs w:val="24"/>
        </w:rPr>
        <w:t xml:space="preserve"> diagnosis and pharmaceutical treatment options, and often fails to identify and treat trauma or the broader psychosocial needs of the individual. The biomedical model has, and continues to be, a source of significant trauma for LGBTI people, who have had their sexualities, genders, and bodies pathologised and dehumanised in the healthcare context; their bodily integrity, physical autonomy and right to self-determination violated; been verbally, physical, and sexually abused within treatment services; and been subjected to harmful conversion therapy practices.</w:t>
      </w:r>
    </w:p>
    <w:p w14:paraId="5483548B" w14:textId="77777777" w:rsidR="00EA2DCE" w:rsidRPr="00AB7858" w:rsidRDefault="00EA2DCE" w:rsidP="00AB7858">
      <w:pPr>
        <w:spacing w:after="0" w:line="276" w:lineRule="auto"/>
        <w:rPr>
          <w:rFonts w:ascii="Calibri" w:hAnsi="Calibri" w:cs="Times New Roman"/>
          <w:szCs w:val="24"/>
        </w:rPr>
      </w:pPr>
    </w:p>
    <w:p w14:paraId="72639D75" w14:textId="2FCAE57C" w:rsidR="000D00BD" w:rsidRDefault="002D632E" w:rsidP="00AB7858">
      <w:pPr>
        <w:spacing w:after="0" w:line="276" w:lineRule="auto"/>
        <w:rPr>
          <w:rFonts w:ascii="Calibri" w:hAnsi="Calibri" w:cs="Times New Roman"/>
          <w:szCs w:val="24"/>
        </w:rPr>
      </w:pPr>
      <w:r>
        <w:rPr>
          <w:rFonts w:ascii="Calibri" w:hAnsi="Calibri" w:cs="Times New Roman"/>
          <w:szCs w:val="24"/>
        </w:rPr>
        <w:lastRenderedPageBreak/>
        <w:t>T</w:t>
      </w:r>
      <w:r w:rsidR="009C4F2D">
        <w:rPr>
          <w:rFonts w:ascii="Calibri" w:hAnsi="Calibri" w:cs="Times New Roman"/>
          <w:szCs w:val="24"/>
        </w:rPr>
        <w:t>hus, the</w:t>
      </w:r>
      <w:r>
        <w:rPr>
          <w:rFonts w:ascii="Calibri" w:hAnsi="Calibri" w:cs="Times New Roman"/>
          <w:szCs w:val="24"/>
        </w:rPr>
        <w:t xml:space="preserve"> Alliance </w:t>
      </w:r>
      <w:r w:rsidR="003B386A">
        <w:rPr>
          <w:rFonts w:ascii="Calibri" w:hAnsi="Calibri" w:cs="Times New Roman"/>
          <w:szCs w:val="24"/>
        </w:rPr>
        <w:t xml:space="preserve">believes that a trauma-informed approach </w:t>
      </w:r>
      <w:r w:rsidR="007D1488">
        <w:rPr>
          <w:rFonts w:ascii="Calibri" w:hAnsi="Calibri" w:cs="Times New Roman"/>
          <w:szCs w:val="24"/>
        </w:rPr>
        <w:t>that focuses on cultural safety</w:t>
      </w:r>
      <w:r w:rsidR="00F435A2">
        <w:rPr>
          <w:rFonts w:ascii="Calibri" w:hAnsi="Calibri" w:cs="Times New Roman"/>
          <w:szCs w:val="24"/>
        </w:rPr>
        <w:t>, alongside person-centred approaches,</w:t>
      </w:r>
      <w:r w:rsidR="00E01EDA">
        <w:rPr>
          <w:rFonts w:ascii="Calibri" w:hAnsi="Calibri" w:cs="Times New Roman"/>
          <w:szCs w:val="24"/>
        </w:rPr>
        <w:t xml:space="preserve"> </w:t>
      </w:r>
      <w:r w:rsidR="008E2506">
        <w:rPr>
          <w:rFonts w:ascii="Calibri" w:hAnsi="Calibri" w:cs="Times New Roman"/>
          <w:szCs w:val="24"/>
        </w:rPr>
        <w:t xml:space="preserve">is needed </w:t>
      </w:r>
      <w:r w:rsidR="00E01EDA">
        <w:rPr>
          <w:rFonts w:ascii="Calibri" w:hAnsi="Calibri" w:cs="Times New Roman"/>
          <w:szCs w:val="24"/>
        </w:rPr>
        <w:t xml:space="preserve">for all interventions </w:t>
      </w:r>
      <w:r w:rsidR="00F435A2">
        <w:rPr>
          <w:rFonts w:ascii="Calibri" w:hAnsi="Calibri" w:cs="Times New Roman"/>
          <w:szCs w:val="24"/>
        </w:rPr>
        <w:t>involving</w:t>
      </w:r>
      <w:r w:rsidR="00E01EDA">
        <w:rPr>
          <w:rFonts w:ascii="Calibri" w:hAnsi="Calibri" w:cs="Times New Roman"/>
          <w:szCs w:val="24"/>
        </w:rPr>
        <w:t xml:space="preserve"> LGBTI mental health</w:t>
      </w:r>
      <w:r w:rsidR="009371F5">
        <w:rPr>
          <w:rFonts w:ascii="Calibri" w:hAnsi="Calibri" w:cs="Times New Roman"/>
          <w:szCs w:val="24"/>
        </w:rPr>
        <w:t xml:space="preserve">. </w:t>
      </w:r>
      <w:r w:rsidR="00F435A2">
        <w:rPr>
          <w:rFonts w:ascii="Calibri" w:hAnsi="Calibri" w:cs="Times New Roman"/>
          <w:szCs w:val="24"/>
        </w:rPr>
        <w:t>Trauma</w:t>
      </w:r>
      <w:r w:rsidR="00E01EDA">
        <w:rPr>
          <w:rFonts w:ascii="Calibri" w:hAnsi="Calibri" w:cs="Times New Roman"/>
          <w:szCs w:val="24"/>
        </w:rPr>
        <w:t>-informed care</w:t>
      </w:r>
      <w:r w:rsidR="00F435A2">
        <w:rPr>
          <w:rFonts w:ascii="Calibri" w:hAnsi="Calibri" w:cs="Times New Roman"/>
          <w:szCs w:val="24"/>
        </w:rPr>
        <w:t xml:space="preserve"> is based on</w:t>
      </w:r>
      <w:r w:rsidR="003B386A">
        <w:rPr>
          <w:rFonts w:ascii="Calibri" w:hAnsi="Calibri" w:cs="Times New Roman"/>
          <w:szCs w:val="24"/>
        </w:rPr>
        <w:t xml:space="preserve"> principles of </w:t>
      </w:r>
      <w:r w:rsidR="003B386A" w:rsidRPr="003B386A">
        <w:rPr>
          <w:rFonts w:ascii="Calibri" w:hAnsi="Calibri" w:cs="Times New Roman"/>
          <w:szCs w:val="24"/>
        </w:rPr>
        <w:t>safety, choice, collaboration, trustworthiness and empowerment</w:t>
      </w:r>
      <w:r w:rsidR="00F435A2">
        <w:rPr>
          <w:rFonts w:ascii="Calibri" w:hAnsi="Calibri" w:cs="Times New Roman"/>
          <w:szCs w:val="24"/>
        </w:rPr>
        <w:t xml:space="preserve">, and </w:t>
      </w:r>
      <w:r w:rsidR="009371F5">
        <w:rPr>
          <w:rFonts w:ascii="Calibri" w:hAnsi="Calibri" w:cs="Times New Roman"/>
          <w:szCs w:val="24"/>
        </w:rPr>
        <w:t xml:space="preserve">will </w:t>
      </w:r>
      <w:r w:rsidR="00AB7858" w:rsidRPr="00AB7858">
        <w:rPr>
          <w:rFonts w:ascii="Calibri" w:hAnsi="Calibri" w:cs="Times New Roman"/>
          <w:szCs w:val="24"/>
        </w:rPr>
        <w:t xml:space="preserve">allow for recognition of past and ongoing traumas, </w:t>
      </w:r>
      <w:r w:rsidR="005952D1">
        <w:rPr>
          <w:rFonts w:ascii="Calibri" w:hAnsi="Calibri" w:cs="Times New Roman"/>
          <w:szCs w:val="24"/>
        </w:rPr>
        <w:t>and</w:t>
      </w:r>
      <w:r w:rsidR="007434DF">
        <w:rPr>
          <w:rFonts w:ascii="Calibri" w:hAnsi="Calibri" w:cs="Times New Roman"/>
          <w:szCs w:val="24"/>
        </w:rPr>
        <w:t xml:space="preserve"> address the </w:t>
      </w:r>
      <w:r w:rsidR="00C27338">
        <w:rPr>
          <w:rFonts w:ascii="Calibri" w:hAnsi="Calibri" w:cs="Times New Roman"/>
          <w:szCs w:val="24"/>
        </w:rPr>
        <w:t>cumulative</w:t>
      </w:r>
      <w:r w:rsidR="007434DF">
        <w:rPr>
          <w:rFonts w:ascii="Calibri" w:hAnsi="Calibri" w:cs="Times New Roman"/>
          <w:szCs w:val="24"/>
        </w:rPr>
        <w:t xml:space="preserve"> impact of discrimination, marginalisation</w:t>
      </w:r>
      <w:r w:rsidR="00C27338">
        <w:rPr>
          <w:rFonts w:ascii="Calibri" w:hAnsi="Calibri" w:cs="Times New Roman"/>
          <w:szCs w:val="24"/>
        </w:rPr>
        <w:t xml:space="preserve"> </w:t>
      </w:r>
      <w:r w:rsidR="007434DF">
        <w:rPr>
          <w:rFonts w:ascii="Calibri" w:hAnsi="Calibri" w:cs="Times New Roman"/>
          <w:szCs w:val="24"/>
        </w:rPr>
        <w:t xml:space="preserve">and </w:t>
      </w:r>
      <w:r w:rsidR="0087312A">
        <w:rPr>
          <w:rFonts w:ascii="Calibri" w:hAnsi="Calibri" w:cs="Times New Roman"/>
          <w:szCs w:val="24"/>
        </w:rPr>
        <w:t xml:space="preserve">violence upon LGBTI </w:t>
      </w:r>
      <w:r w:rsidR="00C27338">
        <w:rPr>
          <w:rFonts w:ascii="Calibri" w:hAnsi="Calibri" w:cs="Times New Roman"/>
          <w:szCs w:val="24"/>
        </w:rPr>
        <w:t>individuals</w:t>
      </w:r>
      <w:r w:rsidR="00F435A2">
        <w:rPr>
          <w:rFonts w:ascii="Calibri" w:hAnsi="Calibri" w:cs="Times New Roman"/>
          <w:szCs w:val="24"/>
        </w:rPr>
        <w:t>.</w:t>
      </w:r>
    </w:p>
    <w:p w14:paraId="30C30F5C" w14:textId="77777777" w:rsidR="00E127CD" w:rsidRDefault="00E127CD" w:rsidP="00AB7858">
      <w:pPr>
        <w:spacing w:after="0" w:line="276" w:lineRule="auto"/>
        <w:rPr>
          <w:rFonts w:ascii="Calibri" w:hAnsi="Calibri" w:cs="Times New Roman"/>
          <w:szCs w:val="24"/>
        </w:rPr>
      </w:pPr>
    </w:p>
    <w:tbl>
      <w:tblPr>
        <w:tblStyle w:val="TableGrid"/>
        <w:tblW w:w="0" w:type="auto"/>
        <w:tblLook w:val="04A0" w:firstRow="1" w:lastRow="0" w:firstColumn="1" w:lastColumn="0" w:noHBand="0" w:noVBand="1"/>
      </w:tblPr>
      <w:tblGrid>
        <w:gridCol w:w="9016"/>
      </w:tblGrid>
      <w:tr w:rsidR="00E127CD" w14:paraId="1C905679" w14:textId="77777777" w:rsidTr="002B5E89">
        <w:tc>
          <w:tcPr>
            <w:tcW w:w="9016" w:type="dxa"/>
            <w:shd w:val="clear" w:color="auto" w:fill="D9E2F3" w:themeFill="accent1" w:themeFillTint="33"/>
          </w:tcPr>
          <w:p w14:paraId="07888CDB" w14:textId="659673C3" w:rsidR="00E127CD" w:rsidRPr="00E127CD" w:rsidRDefault="00E127CD" w:rsidP="002B5E89">
            <w:pPr>
              <w:spacing w:line="276" w:lineRule="auto"/>
              <w:rPr>
                <w:bCs/>
              </w:rPr>
            </w:pPr>
            <w:r w:rsidRPr="00BF6852">
              <w:rPr>
                <w:b/>
                <w:szCs w:val="22"/>
              </w:rPr>
              <w:t>Recommendation</w:t>
            </w:r>
            <w:r>
              <w:rPr>
                <w:b/>
                <w:szCs w:val="22"/>
              </w:rPr>
              <w:t xml:space="preserve">: </w:t>
            </w:r>
            <w:r w:rsidRPr="00E127CD">
              <w:rPr>
                <w:bCs/>
              </w:rPr>
              <w:t>Adopt affirmative and responsive trauma-informed, person-centred care initiatives across the mental health sector</w:t>
            </w:r>
            <w:r>
              <w:rPr>
                <w:bCs/>
              </w:rPr>
              <w:t>.</w:t>
            </w:r>
          </w:p>
        </w:tc>
      </w:tr>
    </w:tbl>
    <w:p w14:paraId="08DBAEC1" w14:textId="05C898C9" w:rsidR="00090D55" w:rsidRPr="00E127CD" w:rsidRDefault="00090D55" w:rsidP="00EE4607">
      <w:pPr>
        <w:spacing w:after="0" w:line="276" w:lineRule="auto"/>
        <w:rPr>
          <w:rFonts w:ascii="Calibri" w:hAnsi="Calibri" w:cs="Times New Roman"/>
          <w:szCs w:val="24"/>
        </w:rPr>
      </w:pPr>
    </w:p>
    <w:p w14:paraId="382F58EA" w14:textId="17D2FA21" w:rsidR="002E6F96" w:rsidRDefault="002E6F96" w:rsidP="00EE4607">
      <w:pPr>
        <w:spacing w:after="0" w:line="276" w:lineRule="auto"/>
        <w:rPr>
          <w:rFonts w:ascii="Calibri" w:hAnsi="Calibri" w:cs="Times New Roman"/>
          <w:b/>
          <w:bCs/>
          <w:szCs w:val="24"/>
        </w:rPr>
      </w:pPr>
      <w:r>
        <w:rPr>
          <w:rFonts w:ascii="Calibri" w:hAnsi="Calibri" w:cs="Times New Roman"/>
          <w:b/>
          <w:bCs/>
          <w:szCs w:val="24"/>
        </w:rPr>
        <w:t>P</w:t>
      </w:r>
      <w:r w:rsidRPr="002E6F96">
        <w:rPr>
          <w:rFonts w:ascii="Calibri" w:hAnsi="Calibri" w:cs="Times New Roman"/>
          <w:b/>
          <w:bCs/>
          <w:szCs w:val="24"/>
        </w:rPr>
        <w:t>rovid</w:t>
      </w:r>
      <w:r>
        <w:rPr>
          <w:rFonts w:ascii="Calibri" w:hAnsi="Calibri" w:cs="Times New Roman"/>
          <w:b/>
          <w:bCs/>
          <w:szCs w:val="24"/>
        </w:rPr>
        <w:t>ing</w:t>
      </w:r>
      <w:r w:rsidRPr="002E6F96">
        <w:rPr>
          <w:rFonts w:ascii="Calibri" w:hAnsi="Calibri" w:cs="Times New Roman"/>
          <w:b/>
          <w:bCs/>
          <w:szCs w:val="24"/>
        </w:rPr>
        <w:t xml:space="preserve"> integrated, comprehensive support services and programs</w:t>
      </w:r>
    </w:p>
    <w:p w14:paraId="4F6D27E9" w14:textId="7187B3A9" w:rsidR="002E6F96" w:rsidRDefault="002E6F96" w:rsidP="00EE4607">
      <w:pPr>
        <w:spacing w:after="0" w:line="276" w:lineRule="auto"/>
        <w:rPr>
          <w:rFonts w:ascii="Calibri" w:hAnsi="Calibri" w:cs="Times New Roman"/>
          <w:b/>
          <w:bCs/>
          <w:szCs w:val="24"/>
        </w:rPr>
      </w:pPr>
    </w:p>
    <w:p w14:paraId="7E0460F6" w14:textId="629F7A39" w:rsidR="004852D8" w:rsidRDefault="004852D8" w:rsidP="00EE4607">
      <w:pPr>
        <w:spacing w:after="0" w:line="276" w:lineRule="auto"/>
        <w:rPr>
          <w:rFonts w:ascii="Calibri" w:hAnsi="Calibri" w:cs="Times New Roman"/>
          <w:szCs w:val="24"/>
        </w:rPr>
      </w:pPr>
      <w:r w:rsidRPr="004852D8">
        <w:rPr>
          <w:rFonts w:ascii="Calibri" w:hAnsi="Calibri" w:cs="Times New Roman"/>
          <w:szCs w:val="24"/>
        </w:rPr>
        <w:t xml:space="preserve">The </w:t>
      </w:r>
      <w:r>
        <w:rPr>
          <w:rFonts w:ascii="Calibri" w:hAnsi="Calibri" w:cs="Times New Roman"/>
          <w:szCs w:val="24"/>
        </w:rPr>
        <w:t xml:space="preserve">Productivity Commission’s </w:t>
      </w:r>
      <w:r w:rsidR="00185D19">
        <w:rPr>
          <w:rFonts w:ascii="Calibri" w:hAnsi="Calibri" w:cs="Times New Roman"/>
          <w:szCs w:val="24"/>
        </w:rPr>
        <w:t xml:space="preserve">focus on </w:t>
      </w:r>
      <w:r>
        <w:rPr>
          <w:rFonts w:ascii="Calibri" w:hAnsi="Calibri" w:cs="Times New Roman"/>
          <w:szCs w:val="24"/>
        </w:rPr>
        <w:t>respon</w:t>
      </w:r>
      <w:r w:rsidR="00185D19">
        <w:rPr>
          <w:rFonts w:ascii="Calibri" w:hAnsi="Calibri" w:cs="Times New Roman"/>
          <w:szCs w:val="24"/>
        </w:rPr>
        <w:t>ding</w:t>
      </w:r>
      <w:r>
        <w:rPr>
          <w:rFonts w:ascii="Calibri" w:hAnsi="Calibri" w:cs="Times New Roman"/>
          <w:szCs w:val="24"/>
        </w:rPr>
        <w:t xml:space="preserve"> to a fragmenting mental health care system is welcome</w:t>
      </w:r>
      <w:r w:rsidR="00F25CC8">
        <w:rPr>
          <w:rFonts w:ascii="Calibri" w:hAnsi="Calibri" w:cs="Times New Roman"/>
          <w:szCs w:val="24"/>
        </w:rPr>
        <w:t xml:space="preserve">. The Alliance would like to take this opportunity to </w:t>
      </w:r>
      <w:r w:rsidR="00B93F0E">
        <w:rPr>
          <w:rFonts w:ascii="Calibri" w:hAnsi="Calibri" w:cs="Times New Roman"/>
          <w:szCs w:val="24"/>
        </w:rPr>
        <w:t>emphasise</w:t>
      </w:r>
      <w:r w:rsidR="00D72C8C">
        <w:rPr>
          <w:rFonts w:ascii="Calibri" w:hAnsi="Calibri" w:cs="Times New Roman"/>
          <w:szCs w:val="24"/>
        </w:rPr>
        <w:t xml:space="preserve"> </w:t>
      </w:r>
      <w:r w:rsidR="00176CD3">
        <w:rPr>
          <w:rFonts w:ascii="Calibri" w:hAnsi="Calibri" w:cs="Times New Roman"/>
          <w:szCs w:val="24"/>
        </w:rPr>
        <w:t xml:space="preserve">its support for </w:t>
      </w:r>
      <w:r w:rsidR="00933BE5">
        <w:rPr>
          <w:rFonts w:ascii="Calibri" w:hAnsi="Calibri" w:cs="Times New Roman"/>
          <w:szCs w:val="24"/>
        </w:rPr>
        <w:t>employing</w:t>
      </w:r>
      <w:r w:rsidR="00176CD3">
        <w:rPr>
          <w:rFonts w:ascii="Calibri" w:hAnsi="Calibri" w:cs="Times New Roman"/>
          <w:szCs w:val="24"/>
        </w:rPr>
        <w:t xml:space="preserve"> a </w:t>
      </w:r>
      <w:r w:rsidR="009F068B">
        <w:rPr>
          <w:rFonts w:ascii="Calibri" w:hAnsi="Calibri" w:cs="Times New Roman"/>
          <w:szCs w:val="24"/>
        </w:rPr>
        <w:t>‘</w:t>
      </w:r>
      <w:r w:rsidR="00176CD3">
        <w:rPr>
          <w:rFonts w:ascii="Calibri" w:hAnsi="Calibri" w:cs="Times New Roman"/>
          <w:szCs w:val="24"/>
        </w:rPr>
        <w:t xml:space="preserve">no wrong </w:t>
      </w:r>
      <w:r w:rsidR="00514485">
        <w:rPr>
          <w:rFonts w:ascii="Calibri" w:hAnsi="Calibri" w:cs="Times New Roman"/>
          <w:szCs w:val="24"/>
        </w:rPr>
        <w:t>door</w:t>
      </w:r>
      <w:r w:rsidR="009F068B">
        <w:rPr>
          <w:rFonts w:ascii="Calibri" w:hAnsi="Calibri" w:cs="Times New Roman"/>
          <w:szCs w:val="24"/>
        </w:rPr>
        <w:t>’</w:t>
      </w:r>
      <w:r w:rsidR="00514485">
        <w:rPr>
          <w:rFonts w:ascii="Calibri" w:hAnsi="Calibri" w:cs="Times New Roman"/>
          <w:szCs w:val="24"/>
        </w:rPr>
        <w:t xml:space="preserve"> approach </w:t>
      </w:r>
      <w:r w:rsidR="00903E62">
        <w:rPr>
          <w:rFonts w:ascii="Calibri" w:hAnsi="Calibri" w:cs="Times New Roman"/>
          <w:szCs w:val="24"/>
        </w:rPr>
        <w:t xml:space="preserve">in the context of </w:t>
      </w:r>
      <w:r w:rsidR="001231A9">
        <w:rPr>
          <w:rFonts w:ascii="Calibri" w:hAnsi="Calibri" w:cs="Times New Roman"/>
          <w:szCs w:val="24"/>
        </w:rPr>
        <w:t xml:space="preserve">providing </w:t>
      </w:r>
      <w:r w:rsidR="00903E62">
        <w:rPr>
          <w:rFonts w:ascii="Calibri" w:hAnsi="Calibri" w:cs="Times New Roman"/>
          <w:szCs w:val="24"/>
        </w:rPr>
        <w:t>integrated</w:t>
      </w:r>
      <w:r w:rsidR="009520C4">
        <w:rPr>
          <w:rFonts w:ascii="Calibri" w:hAnsi="Calibri" w:cs="Times New Roman"/>
          <w:szCs w:val="24"/>
        </w:rPr>
        <w:t>, comprehensive support services and programs. This will</w:t>
      </w:r>
      <w:r w:rsidR="00C850A3">
        <w:rPr>
          <w:rFonts w:ascii="Calibri" w:hAnsi="Calibri" w:cs="Times New Roman"/>
          <w:szCs w:val="24"/>
        </w:rPr>
        <w:t xml:space="preserve"> help</w:t>
      </w:r>
      <w:r w:rsidR="000015F6">
        <w:rPr>
          <w:rFonts w:ascii="Calibri" w:hAnsi="Calibri" w:cs="Times New Roman"/>
          <w:szCs w:val="24"/>
        </w:rPr>
        <w:t xml:space="preserve"> to ensure LGBTI people </w:t>
      </w:r>
      <w:r w:rsidR="00EA58C4">
        <w:rPr>
          <w:rFonts w:ascii="Calibri" w:hAnsi="Calibri" w:cs="Times New Roman"/>
          <w:szCs w:val="24"/>
        </w:rPr>
        <w:t>have</w:t>
      </w:r>
      <w:r w:rsidR="000015F6">
        <w:rPr>
          <w:rFonts w:ascii="Calibri" w:hAnsi="Calibri" w:cs="Times New Roman"/>
          <w:szCs w:val="24"/>
        </w:rPr>
        <w:t xml:space="preserve"> access </w:t>
      </w:r>
      <w:r w:rsidR="006D33E0">
        <w:rPr>
          <w:rFonts w:ascii="Calibri" w:hAnsi="Calibri" w:cs="Times New Roman"/>
          <w:szCs w:val="24"/>
        </w:rPr>
        <w:t xml:space="preserve">to a </w:t>
      </w:r>
      <w:r w:rsidR="00A24656">
        <w:rPr>
          <w:rFonts w:ascii="Calibri" w:hAnsi="Calibri" w:cs="Times New Roman"/>
          <w:szCs w:val="24"/>
        </w:rPr>
        <w:t xml:space="preserve">tailored combination </w:t>
      </w:r>
      <w:r w:rsidR="00FA208D">
        <w:rPr>
          <w:rFonts w:ascii="Calibri" w:hAnsi="Calibri" w:cs="Times New Roman"/>
          <w:szCs w:val="24"/>
        </w:rPr>
        <w:t xml:space="preserve">of supports </w:t>
      </w:r>
      <w:r w:rsidR="00C850A3">
        <w:rPr>
          <w:rFonts w:ascii="Calibri" w:hAnsi="Calibri" w:cs="Times New Roman"/>
          <w:szCs w:val="24"/>
        </w:rPr>
        <w:t xml:space="preserve">when they first ask for assistance. </w:t>
      </w:r>
    </w:p>
    <w:p w14:paraId="650A17C9" w14:textId="77777777" w:rsidR="00FA2968" w:rsidRPr="004852D8" w:rsidRDefault="00FA2968" w:rsidP="00EE4607">
      <w:pPr>
        <w:spacing w:after="0" w:line="276" w:lineRule="auto"/>
        <w:rPr>
          <w:rFonts w:ascii="Calibri" w:hAnsi="Calibri" w:cs="Times New Roman"/>
          <w:szCs w:val="24"/>
        </w:rPr>
      </w:pPr>
    </w:p>
    <w:p w14:paraId="376D5C97" w14:textId="7AA88689" w:rsidR="00230BFF" w:rsidRDefault="00B95355" w:rsidP="00EE4607">
      <w:pPr>
        <w:spacing w:after="0" w:line="276" w:lineRule="auto"/>
        <w:rPr>
          <w:rFonts w:ascii="Calibri" w:hAnsi="Calibri" w:cs="Times New Roman"/>
          <w:szCs w:val="24"/>
        </w:rPr>
      </w:pPr>
      <w:r w:rsidRPr="00B95355">
        <w:rPr>
          <w:rFonts w:ascii="Calibri" w:hAnsi="Calibri" w:cs="Times New Roman"/>
          <w:szCs w:val="24"/>
        </w:rPr>
        <w:t>A ‘no wrong door’ approach</w:t>
      </w:r>
      <w:r w:rsidR="00425CCB">
        <w:rPr>
          <w:rFonts w:ascii="Calibri" w:hAnsi="Calibri" w:cs="Times New Roman"/>
          <w:szCs w:val="24"/>
        </w:rPr>
        <w:t xml:space="preserve"> that </w:t>
      </w:r>
      <w:r w:rsidR="00170BFE">
        <w:rPr>
          <w:rFonts w:ascii="Calibri" w:hAnsi="Calibri" w:cs="Times New Roman"/>
          <w:szCs w:val="24"/>
        </w:rPr>
        <w:t>offers</w:t>
      </w:r>
      <w:r w:rsidR="004837F6">
        <w:rPr>
          <w:rFonts w:ascii="Calibri" w:hAnsi="Calibri" w:cs="Times New Roman"/>
          <w:szCs w:val="24"/>
        </w:rPr>
        <w:t xml:space="preserve"> LGBTI people with mental health issues</w:t>
      </w:r>
      <w:r w:rsidR="00612771">
        <w:rPr>
          <w:rFonts w:ascii="Calibri" w:hAnsi="Calibri" w:cs="Times New Roman"/>
          <w:szCs w:val="24"/>
        </w:rPr>
        <w:t xml:space="preserve"> and their carers </w:t>
      </w:r>
      <w:r w:rsidR="00170BFE">
        <w:rPr>
          <w:rFonts w:ascii="Calibri" w:hAnsi="Calibri" w:cs="Times New Roman"/>
          <w:szCs w:val="24"/>
        </w:rPr>
        <w:t xml:space="preserve">appropriate assessment, treatment and/or referral </w:t>
      </w:r>
      <w:r w:rsidR="00256ED9">
        <w:rPr>
          <w:rFonts w:ascii="Calibri" w:hAnsi="Calibri" w:cs="Times New Roman"/>
          <w:szCs w:val="24"/>
        </w:rPr>
        <w:t xml:space="preserve">at the first service entry point </w:t>
      </w:r>
      <w:r w:rsidRPr="00B95355">
        <w:rPr>
          <w:rFonts w:ascii="Calibri" w:hAnsi="Calibri" w:cs="Times New Roman"/>
          <w:szCs w:val="24"/>
        </w:rPr>
        <w:t xml:space="preserve">will reduce access barriers and enhance support for LGBTI people who are already subject to marginalisation and stigma. </w:t>
      </w:r>
      <w:r w:rsidR="0047064B">
        <w:rPr>
          <w:rFonts w:ascii="Calibri" w:hAnsi="Calibri" w:cs="Times New Roman"/>
          <w:szCs w:val="24"/>
        </w:rPr>
        <w:t xml:space="preserve">This will also ensure LGBTI people </w:t>
      </w:r>
      <w:r w:rsidR="000720CF" w:rsidRPr="000720CF">
        <w:rPr>
          <w:rFonts w:ascii="Calibri" w:hAnsi="Calibri" w:cs="Times New Roman"/>
          <w:szCs w:val="24"/>
        </w:rPr>
        <w:t>have timely access to the supports and services they need, and prevent issues escalating to the point of crisis</w:t>
      </w:r>
      <w:r w:rsidR="0047064B">
        <w:rPr>
          <w:rFonts w:ascii="Calibri" w:hAnsi="Calibri" w:cs="Times New Roman"/>
          <w:szCs w:val="24"/>
        </w:rPr>
        <w:t>.</w:t>
      </w:r>
      <w:r w:rsidR="000720CF" w:rsidRPr="000720CF">
        <w:rPr>
          <w:rFonts w:ascii="Calibri" w:hAnsi="Calibri" w:cs="Times New Roman"/>
          <w:szCs w:val="24"/>
        </w:rPr>
        <w:t xml:space="preserve"> </w:t>
      </w:r>
      <w:r w:rsidRPr="00B95355">
        <w:rPr>
          <w:rFonts w:ascii="Calibri" w:hAnsi="Calibri" w:cs="Times New Roman"/>
          <w:szCs w:val="24"/>
        </w:rPr>
        <w:t xml:space="preserve">This is crucial in addressing the disproportionately poorer </w:t>
      </w:r>
      <w:r w:rsidR="00FE22D6">
        <w:rPr>
          <w:rFonts w:ascii="Calibri" w:hAnsi="Calibri" w:cs="Times New Roman"/>
          <w:szCs w:val="24"/>
        </w:rPr>
        <w:t xml:space="preserve">mental </w:t>
      </w:r>
      <w:r w:rsidRPr="00B95355">
        <w:rPr>
          <w:rFonts w:ascii="Calibri" w:hAnsi="Calibri" w:cs="Times New Roman"/>
          <w:szCs w:val="24"/>
        </w:rPr>
        <w:t xml:space="preserve">health outcomes that LGBTI people </w:t>
      </w:r>
      <w:r w:rsidR="00EF4BBB">
        <w:rPr>
          <w:rFonts w:ascii="Calibri" w:hAnsi="Calibri" w:cs="Times New Roman"/>
          <w:szCs w:val="24"/>
        </w:rPr>
        <w:t xml:space="preserve">already </w:t>
      </w:r>
      <w:r w:rsidRPr="00B95355">
        <w:rPr>
          <w:rFonts w:ascii="Calibri" w:hAnsi="Calibri" w:cs="Times New Roman"/>
          <w:szCs w:val="24"/>
        </w:rPr>
        <w:t xml:space="preserve">experience. </w:t>
      </w:r>
      <w:r w:rsidR="005F6FD6">
        <w:rPr>
          <w:rFonts w:ascii="Calibri" w:hAnsi="Calibri" w:cs="Times New Roman"/>
          <w:szCs w:val="24"/>
        </w:rPr>
        <w:t xml:space="preserve">Furthermore, </w:t>
      </w:r>
      <w:r w:rsidR="00D853D4">
        <w:rPr>
          <w:rFonts w:ascii="Calibri" w:hAnsi="Calibri" w:cs="Times New Roman"/>
          <w:szCs w:val="24"/>
        </w:rPr>
        <w:t xml:space="preserve">to enable </w:t>
      </w:r>
      <w:r w:rsidR="005F6FD6">
        <w:rPr>
          <w:rFonts w:ascii="Calibri" w:hAnsi="Calibri" w:cs="Times New Roman"/>
          <w:szCs w:val="24"/>
        </w:rPr>
        <w:t xml:space="preserve">‘no wrong door’ </w:t>
      </w:r>
      <w:r w:rsidR="00877A86">
        <w:rPr>
          <w:rFonts w:ascii="Calibri" w:hAnsi="Calibri" w:cs="Times New Roman"/>
          <w:szCs w:val="24"/>
        </w:rPr>
        <w:t xml:space="preserve">principles </w:t>
      </w:r>
      <w:r w:rsidR="007365B5">
        <w:rPr>
          <w:rFonts w:ascii="Calibri" w:hAnsi="Calibri" w:cs="Times New Roman"/>
          <w:szCs w:val="24"/>
        </w:rPr>
        <w:t>to be effectively implemented</w:t>
      </w:r>
      <w:r w:rsidR="00D853D4">
        <w:rPr>
          <w:rFonts w:ascii="Calibri" w:hAnsi="Calibri" w:cs="Times New Roman"/>
          <w:szCs w:val="24"/>
        </w:rPr>
        <w:t xml:space="preserve">, staff </w:t>
      </w:r>
      <w:r w:rsidR="006A411F">
        <w:rPr>
          <w:rFonts w:ascii="Calibri" w:hAnsi="Calibri" w:cs="Times New Roman"/>
          <w:szCs w:val="24"/>
        </w:rPr>
        <w:t xml:space="preserve">must be culturally competent with working with LGBTI people so that </w:t>
      </w:r>
      <w:r w:rsidR="007365B5">
        <w:rPr>
          <w:rFonts w:ascii="Calibri" w:hAnsi="Calibri" w:cs="Times New Roman"/>
          <w:szCs w:val="24"/>
        </w:rPr>
        <w:t>their</w:t>
      </w:r>
      <w:r w:rsidR="00FE3D1D">
        <w:rPr>
          <w:rFonts w:ascii="Calibri" w:hAnsi="Calibri" w:cs="Times New Roman"/>
          <w:szCs w:val="24"/>
        </w:rPr>
        <w:t xml:space="preserve"> journey</w:t>
      </w:r>
      <w:r w:rsidR="006D6E14">
        <w:rPr>
          <w:rFonts w:ascii="Calibri" w:hAnsi="Calibri" w:cs="Times New Roman"/>
          <w:szCs w:val="24"/>
        </w:rPr>
        <w:t xml:space="preserve"> through the mental health system</w:t>
      </w:r>
      <w:r w:rsidR="00FE3D1D">
        <w:rPr>
          <w:rFonts w:ascii="Calibri" w:hAnsi="Calibri" w:cs="Times New Roman"/>
          <w:szCs w:val="24"/>
        </w:rPr>
        <w:t xml:space="preserve"> is safe and supported.</w:t>
      </w:r>
    </w:p>
    <w:p w14:paraId="215F112B" w14:textId="77777777" w:rsidR="004B2222" w:rsidRDefault="004B2222" w:rsidP="00EE4607">
      <w:pPr>
        <w:spacing w:after="0" w:line="276" w:lineRule="auto"/>
        <w:rPr>
          <w:rFonts w:ascii="Calibri" w:hAnsi="Calibri" w:cs="Times New Roman"/>
          <w:szCs w:val="24"/>
        </w:rPr>
      </w:pPr>
    </w:p>
    <w:tbl>
      <w:tblPr>
        <w:tblStyle w:val="TableGrid"/>
        <w:tblW w:w="0" w:type="auto"/>
        <w:tblLook w:val="04A0" w:firstRow="1" w:lastRow="0" w:firstColumn="1" w:lastColumn="0" w:noHBand="0" w:noVBand="1"/>
      </w:tblPr>
      <w:tblGrid>
        <w:gridCol w:w="9016"/>
      </w:tblGrid>
      <w:tr w:rsidR="00405CAD" w14:paraId="681AD9C2" w14:textId="77777777" w:rsidTr="002B5E89">
        <w:tc>
          <w:tcPr>
            <w:tcW w:w="9016" w:type="dxa"/>
            <w:shd w:val="clear" w:color="auto" w:fill="D9E2F3" w:themeFill="accent1" w:themeFillTint="33"/>
          </w:tcPr>
          <w:p w14:paraId="254F23BD" w14:textId="36D4E6A3" w:rsidR="00405CAD" w:rsidRPr="00E127CD" w:rsidRDefault="00405CAD" w:rsidP="002B5E89">
            <w:pPr>
              <w:spacing w:line="276" w:lineRule="auto"/>
              <w:rPr>
                <w:bCs/>
              </w:rPr>
            </w:pPr>
            <w:r w:rsidRPr="00BF6852">
              <w:rPr>
                <w:b/>
                <w:szCs w:val="22"/>
              </w:rPr>
              <w:t>Recommendation</w:t>
            </w:r>
            <w:r>
              <w:rPr>
                <w:b/>
                <w:szCs w:val="22"/>
              </w:rPr>
              <w:t xml:space="preserve">: </w:t>
            </w:r>
            <w:r>
              <w:rPr>
                <w:bCs/>
              </w:rPr>
              <w:t xml:space="preserve">Employ </w:t>
            </w:r>
            <w:r w:rsidR="00F079CE">
              <w:rPr>
                <w:bCs/>
              </w:rPr>
              <w:t xml:space="preserve">‘no wrong door’ approach principles across the mental health care system to ensure LGTBI people </w:t>
            </w:r>
            <w:r w:rsidR="00381996">
              <w:rPr>
                <w:bCs/>
              </w:rPr>
              <w:t xml:space="preserve">have equitable access to the supports the </w:t>
            </w:r>
            <w:r w:rsidR="00A83E90">
              <w:rPr>
                <w:bCs/>
              </w:rPr>
              <w:t>need and</w:t>
            </w:r>
            <w:r w:rsidR="00C72A91">
              <w:rPr>
                <w:bCs/>
              </w:rPr>
              <w:t xml:space="preserve"> remain in the mental health system.</w:t>
            </w:r>
          </w:p>
        </w:tc>
      </w:tr>
    </w:tbl>
    <w:p w14:paraId="35652725" w14:textId="77777777" w:rsidR="007D6162" w:rsidRPr="007D6162" w:rsidRDefault="007D6162" w:rsidP="00EE4607">
      <w:pPr>
        <w:spacing w:after="0" w:line="276" w:lineRule="auto"/>
        <w:rPr>
          <w:rFonts w:ascii="Calibri" w:hAnsi="Calibri" w:cs="Times New Roman"/>
          <w:szCs w:val="24"/>
        </w:rPr>
      </w:pPr>
    </w:p>
    <w:p w14:paraId="557BEA65" w14:textId="514B14B0" w:rsidR="0018497F" w:rsidRDefault="007B77CF" w:rsidP="00EE4607">
      <w:pPr>
        <w:spacing w:after="0" w:line="276" w:lineRule="auto"/>
        <w:rPr>
          <w:rFonts w:ascii="Calibri" w:hAnsi="Calibri" w:cs="Times New Roman"/>
          <w:b/>
          <w:bCs/>
          <w:szCs w:val="24"/>
        </w:rPr>
      </w:pPr>
      <w:r>
        <w:rPr>
          <w:rFonts w:ascii="Calibri" w:hAnsi="Calibri" w:cs="Times New Roman"/>
          <w:b/>
          <w:bCs/>
          <w:szCs w:val="24"/>
        </w:rPr>
        <w:t>Early intervention, prevention and promotion</w:t>
      </w:r>
    </w:p>
    <w:p w14:paraId="3A7DA3B7" w14:textId="7EDF188A" w:rsidR="00334339" w:rsidRDefault="00334339" w:rsidP="00EE4607">
      <w:pPr>
        <w:spacing w:after="0" w:line="276" w:lineRule="auto"/>
        <w:rPr>
          <w:rFonts w:ascii="Calibri" w:hAnsi="Calibri" w:cs="Times New Roman"/>
          <w:b/>
          <w:bCs/>
          <w:szCs w:val="24"/>
        </w:rPr>
      </w:pPr>
    </w:p>
    <w:p w14:paraId="7703480E" w14:textId="0ACF93EB" w:rsidR="00301C97" w:rsidRDefault="00DA73A0" w:rsidP="00EE4607">
      <w:pPr>
        <w:spacing w:after="0" w:line="276" w:lineRule="auto"/>
        <w:rPr>
          <w:rFonts w:ascii="Calibri" w:hAnsi="Calibri" w:cs="Times New Roman"/>
          <w:szCs w:val="24"/>
          <w:lang w:val="en"/>
        </w:rPr>
      </w:pPr>
      <w:r>
        <w:rPr>
          <w:rFonts w:ascii="Calibri" w:hAnsi="Calibri" w:cs="Times New Roman"/>
          <w:szCs w:val="24"/>
        </w:rPr>
        <w:t xml:space="preserve">The Alliance recognises the </w:t>
      </w:r>
      <w:r w:rsidR="0084678F" w:rsidRPr="0084678F">
        <w:rPr>
          <w:rFonts w:ascii="Calibri" w:hAnsi="Calibri" w:cs="Times New Roman"/>
          <w:szCs w:val="24"/>
        </w:rPr>
        <w:t>Commission</w:t>
      </w:r>
      <w:r w:rsidR="0084678F">
        <w:rPr>
          <w:rFonts w:ascii="Calibri" w:hAnsi="Calibri" w:cs="Times New Roman"/>
          <w:szCs w:val="24"/>
        </w:rPr>
        <w:t xml:space="preserve">’s </w:t>
      </w:r>
      <w:r w:rsidR="003F4FCD">
        <w:rPr>
          <w:rFonts w:ascii="Calibri" w:hAnsi="Calibri" w:cs="Times New Roman"/>
          <w:szCs w:val="24"/>
        </w:rPr>
        <w:t>recommendations to ensure</w:t>
      </w:r>
      <w:r w:rsidR="009766CC" w:rsidRPr="009766CC">
        <w:rPr>
          <w:rFonts w:ascii="Calibri" w:hAnsi="Calibri" w:cs="Times New Roman"/>
          <w:szCs w:val="24"/>
        </w:rPr>
        <w:t xml:space="preserve"> schools and universities a</w:t>
      </w:r>
      <w:r w:rsidR="003F4FCD">
        <w:rPr>
          <w:rFonts w:ascii="Calibri" w:hAnsi="Calibri" w:cs="Times New Roman"/>
          <w:szCs w:val="24"/>
        </w:rPr>
        <w:t>re a</w:t>
      </w:r>
      <w:r w:rsidR="009766CC" w:rsidRPr="009766CC">
        <w:rPr>
          <w:rFonts w:ascii="Calibri" w:hAnsi="Calibri" w:cs="Times New Roman"/>
          <w:szCs w:val="24"/>
        </w:rPr>
        <w:t xml:space="preserve"> focus of early intervention mental health care</w:t>
      </w:r>
      <w:r w:rsidR="009B11FF">
        <w:rPr>
          <w:rFonts w:ascii="Calibri" w:hAnsi="Calibri" w:cs="Times New Roman"/>
          <w:szCs w:val="24"/>
        </w:rPr>
        <w:t xml:space="preserve">, </w:t>
      </w:r>
      <w:r w:rsidR="00185F24">
        <w:rPr>
          <w:rFonts w:ascii="Calibri" w:hAnsi="Calibri" w:cs="Times New Roman"/>
          <w:szCs w:val="24"/>
        </w:rPr>
        <w:t>which includes</w:t>
      </w:r>
      <w:r w:rsidR="009B11FF">
        <w:rPr>
          <w:rFonts w:ascii="Calibri" w:hAnsi="Calibri" w:cs="Times New Roman"/>
          <w:szCs w:val="24"/>
        </w:rPr>
        <w:t xml:space="preserve"> </w:t>
      </w:r>
      <w:r w:rsidR="00E54242">
        <w:rPr>
          <w:rFonts w:ascii="Calibri" w:hAnsi="Calibri" w:cs="Times New Roman"/>
          <w:szCs w:val="24"/>
        </w:rPr>
        <w:t>each school employing a</w:t>
      </w:r>
      <w:r w:rsidR="008C377D">
        <w:rPr>
          <w:rFonts w:ascii="Calibri" w:hAnsi="Calibri" w:cs="Times New Roman"/>
          <w:szCs w:val="24"/>
        </w:rPr>
        <w:t xml:space="preserve"> dedicated</w:t>
      </w:r>
      <w:r w:rsidR="00E54242">
        <w:rPr>
          <w:rFonts w:ascii="Calibri" w:hAnsi="Calibri" w:cs="Times New Roman"/>
          <w:szCs w:val="24"/>
        </w:rPr>
        <w:t xml:space="preserve"> school wellbeing leader who will oversee activities to support mental health in schools. </w:t>
      </w:r>
      <w:r w:rsidR="00334339" w:rsidRPr="00FE3D1D">
        <w:rPr>
          <w:rFonts w:ascii="Calibri" w:hAnsi="Calibri" w:cs="Times New Roman"/>
          <w:szCs w:val="24"/>
          <w:lang w:val="en"/>
        </w:rPr>
        <w:t>Research has consistently demonstrated that young LGBT experience minority stress in</w:t>
      </w:r>
      <w:r w:rsidR="00FE3D1D">
        <w:rPr>
          <w:rFonts w:ascii="Calibri" w:hAnsi="Calibri" w:cs="Times New Roman"/>
          <w:szCs w:val="24"/>
          <w:lang w:val="en"/>
        </w:rPr>
        <w:t xml:space="preserve"> a</w:t>
      </w:r>
      <w:r w:rsidR="00334339" w:rsidRPr="00FE3D1D">
        <w:rPr>
          <w:rFonts w:ascii="Calibri" w:hAnsi="Calibri" w:cs="Times New Roman"/>
          <w:szCs w:val="24"/>
          <w:lang w:val="en"/>
        </w:rPr>
        <w:t xml:space="preserve"> different way to older LGBT people</w:t>
      </w:r>
      <w:r w:rsidR="003334EE" w:rsidRPr="00FE3D1D">
        <w:rPr>
          <w:rFonts w:ascii="Calibri" w:hAnsi="Calibri" w:cs="Times New Roman"/>
          <w:szCs w:val="24"/>
          <w:lang w:val="en"/>
        </w:rPr>
        <w:t>.</w:t>
      </w:r>
      <w:r w:rsidR="00334339" w:rsidRPr="00FE3D1D">
        <w:rPr>
          <w:rFonts w:ascii="Calibri" w:hAnsi="Calibri" w:cs="Times New Roman"/>
          <w:szCs w:val="24"/>
          <w:lang w:val="en"/>
        </w:rPr>
        <w:t xml:space="preserve"> </w:t>
      </w:r>
      <w:r w:rsidR="000D4D98">
        <w:rPr>
          <w:rFonts w:ascii="Calibri" w:hAnsi="Calibri" w:cs="Times New Roman"/>
          <w:szCs w:val="24"/>
          <w:lang w:val="en"/>
        </w:rPr>
        <w:t>This is in r</w:t>
      </w:r>
      <w:r w:rsidR="005E1B7C" w:rsidRPr="00FE3D1D">
        <w:rPr>
          <w:rFonts w:ascii="Calibri" w:hAnsi="Calibri" w:cs="Times New Roman"/>
          <w:szCs w:val="24"/>
          <w:lang w:val="en"/>
        </w:rPr>
        <w:t>ecogni</w:t>
      </w:r>
      <w:r w:rsidR="0069742E">
        <w:rPr>
          <w:rFonts w:ascii="Calibri" w:hAnsi="Calibri" w:cs="Times New Roman"/>
          <w:szCs w:val="24"/>
          <w:lang w:val="en"/>
        </w:rPr>
        <w:t>tion of the fact</w:t>
      </w:r>
      <w:r w:rsidR="005E1B7C" w:rsidRPr="00FE3D1D">
        <w:rPr>
          <w:rFonts w:ascii="Calibri" w:hAnsi="Calibri" w:cs="Times New Roman"/>
          <w:szCs w:val="24"/>
          <w:lang w:val="en"/>
        </w:rPr>
        <w:t xml:space="preserve"> that </w:t>
      </w:r>
      <w:r w:rsidR="00334339" w:rsidRPr="00334339">
        <w:rPr>
          <w:rFonts w:ascii="Calibri" w:hAnsi="Calibri" w:cs="Times New Roman"/>
          <w:szCs w:val="24"/>
          <w:lang w:val="en"/>
        </w:rPr>
        <w:t>some young LGBT people face rejection from parents when disclosing their sexuality or gender identity</w:t>
      </w:r>
      <w:r w:rsidR="00183835">
        <w:rPr>
          <w:rFonts w:ascii="Calibri" w:hAnsi="Calibri" w:cs="Times New Roman"/>
          <w:szCs w:val="24"/>
          <w:lang w:val="en"/>
        </w:rPr>
        <w:t>,</w:t>
      </w:r>
      <w:r w:rsidR="005E1B7C">
        <w:rPr>
          <w:rFonts w:ascii="Calibri" w:hAnsi="Calibri" w:cs="Times New Roman"/>
          <w:szCs w:val="24"/>
          <w:lang w:val="en"/>
        </w:rPr>
        <w:t xml:space="preserve"> </w:t>
      </w:r>
      <w:r w:rsidR="00334339" w:rsidRPr="00334339">
        <w:rPr>
          <w:rFonts w:ascii="Calibri" w:hAnsi="Calibri" w:cs="Times New Roman"/>
          <w:szCs w:val="24"/>
          <w:lang w:val="en"/>
        </w:rPr>
        <w:t>placing them at greater risk of homelessness</w:t>
      </w:r>
      <w:r w:rsidR="00334339">
        <w:rPr>
          <w:rFonts w:ascii="Calibri" w:hAnsi="Calibri" w:cs="Times New Roman"/>
          <w:szCs w:val="24"/>
          <w:lang w:val="en"/>
        </w:rPr>
        <w:t xml:space="preserve"> and suicide</w:t>
      </w:r>
      <w:r w:rsidR="00334339" w:rsidRPr="00334339">
        <w:rPr>
          <w:rFonts w:ascii="Calibri" w:hAnsi="Calibri" w:cs="Times New Roman"/>
          <w:szCs w:val="24"/>
          <w:lang w:val="en"/>
        </w:rPr>
        <w:t xml:space="preserve">. </w:t>
      </w:r>
      <w:r w:rsidR="005E1B7C">
        <w:rPr>
          <w:rFonts w:ascii="Calibri" w:hAnsi="Calibri" w:cs="Times New Roman"/>
          <w:szCs w:val="24"/>
          <w:lang w:val="en"/>
        </w:rPr>
        <w:t>Fostering</w:t>
      </w:r>
      <w:r w:rsidR="00334339" w:rsidRPr="00334339">
        <w:rPr>
          <w:rFonts w:ascii="Calibri" w:hAnsi="Calibri" w:cs="Times New Roman"/>
          <w:szCs w:val="24"/>
          <w:lang w:val="en"/>
        </w:rPr>
        <w:t xml:space="preserve"> a safe and supportive school environment is incredibly important, as for some young LGBT people, </w:t>
      </w:r>
      <w:r w:rsidR="00F125C6">
        <w:rPr>
          <w:rFonts w:ascii="Calibri" w:hAnsi="Calibri" w:cs="Times New Roman"/>
          <w:szCs w:val="24"/>
          <w:lang w:val="en"/>
        </w:rPr>
        <w:t xml:space="preserve">school </w:t>
      </w:r>
      <w:r w:rsidR="003B4164">
        <w:rPr>
          <w:rFonts w:ascii="Calibri" w:hAnsi="Calibri" w:cs="Times New Roman"/>
          <w:szCs w:val="24"/>
          <w:lang w:val="en"/>
        </w:rPr>
        <w:t>staff</w:t>
      </w:r>
      <w:r w:rsidR="00334339" w:rsidRPr="00334339">
        <w:rPr>
          <w:rFonts w:ascii="Calibri" w:hAnsi="Calibri" w:cs="Times New Roman"/>
          <w:szCs w:val="24"/>
          <w:lang w:val="en"/>
        </w:rPr>
        <w:t xml:space="preserve"> could be their only support network. </w:t>
      </w:r>
    </w:p>
    <w:p w14:paraId="41423A02" w14:textId="620C3E33" w:rsidR="00301C97" w:rsidRDefault="00301C97" w:rsidP="00EE4607">
      <w:pPr>
        <w:spacing w:after="0" w:line="276" w:lineRule="auto"/>
        <w:rPr>
          <w:rFonts w:ascii="Calibri" w:hAnsi="Calibri" w:cs="Times New Roman"/>
          <w:szCs w:val="24"/>
          <w:lang w:val="en"/>
        </w:rPr>
      </w:pPr>
    </w:p>
    <w:p w14:paraId="33E26645" w14:textId="54D21557" w:rsidR="00E44271" w:rsidRDefault="003E791D" w:rsidP="00E44271">
      <w:pPr>
        <w:spacing w:after="0" w:line="276" w:lineRule="auto"/>
        <w:rPr>
          <w:rFonts w:ascii="Calibri" w:hAnsi="Calibri" w:cs="Times New Roman"/>
          <w:szCs w:val="24"/>
          <w:lang w:val="en"/>
        </w:rPr>
      </w:pPr>
      <w:r>
        <w:rPr>
          <w:rFonts w:ascii="Calibri" w:hAnsi="Calibri" w:cs="Times New Roman"/>
          <w:szCs w:val="24"/>
          <w:lang w:val="en"/>
        </w:rPr>
        <w:t>Therefore, i</w:t>
      </w:r>
      <w:r w:rsidR="00FE4788">
        <w:rPr>
          <w:rFonts w:ascii="Calibri" w:hAnsi="Calibri" w:cs="Times New Roman"/>
          <w:szCs w:val="24"/>
          <w:lang w:val="en"/>
        </w:rPr>
        <w:t xml:space="preserve">t is imperative that wellbeing leaders </w:t>
      </w:r>
      <w:r w:rsidR="007E0EE8">
        <w:rPr>
          <w:rFonts w:ascii="Calibri" w:hAnsi="Calibri" w:cs="Times New Roman"/>
          <w:szCs w:val="24"/>
          <w:lang w:val="en"/>
        </w:rPr>
        <w:t xml:space="preserve">in schools </w:t>
      </w:r>
      <w:r w:rsidR="00CC743E">
        <w:rPr>
          <w:rFonts w:ascii="Calibri" w:hAnsi="Calibri" w:cs="Times New Roman"/>
          <w:szCs w:val="24"/>
          <w:lang w:val="en"/>
        </w:rPr>
        <w:t>undertake mandatory LGBTI-inclusivity training</w:t>
      </w:r>
      <w:r w:rsidR="006B4FDE">
        <w:rPr>
          <w:rFonts w:ascii="Calibri" w:hAnsi="Calibri" w:cs="Times New Roman"/>
          <w:szCs w:val="24"/>
          <w:lang w:val="en"/>
        </w:rPr>
        <w:t xml:space="preserve">. </w:t>
      </w:r>
      <w:r w:rsidR="003D2CC6">
        <w:rPr>
          <w:rFonts w:ascii="Calibri" w:hAnsi="Calibri" w:cs="Times New Roman"/>
          <w:szCs w:val="24"/>
          <w:lang w:val="en"/>
        </w:rPr>
        <w:t>This will ensure that</w:t>
      </w:r>
      <w:r>
        <w:rPr>
          <w:rFonts w:ascii="Calibri" w:hAnsi="Calibri" w:cs="Times New Roman"/>
          <w:szCs w:val="24"/>
          <w:lang w:val="en"/>
        </w:rPr>
        <w:t xml:space="preserve"> a deep </w:t>
      </w:r>
      <w:r w:rsidR="006B4FDE">
        <w:rPr>
          <w:rFonts w:ascii="Calibri" w:hAnsi="Calibri" w:cs="Times New Roman"/>
          <w:szCs w:val="24"/>
          <w:lang w:val="en"/>
        </w:rPr>
        <w:t>knowledge and understanding of the individual needs of young LGBTI people are</w:t>
      </w:r>
      <w:r w:rsidR="006708CE">
        <w:rPr>
          <w:rFonts w:ascii="Calibri" w:hAnsi="Calibri" w:cs="Times New Roman"/>
          <w:szCs w:val="24"/>
          <w:lang w:val="en"/>
        </w:rPr>
        <w:t xml:space="preserve"> considered when</w:t>
      </w:r>
      <w:r w:rsidR="00414823">
        <w:rPr>
          <w:rFonts w:ascii="Calibri" w:hAnsi="Calibri" w:cs="Times New Roman"/>
          <w:szCs w:val="24"/>
          <w:lang w:val="en"/>
        </w:rPr>
        <w:t xml:space="preserve"> overseeing school wellbeing policies, coordinating with other service </w:t>
      </w:r>
      <w:r w:rsidR="00226715">
        <w:rPr>
          <w:rFonts w:ascii="Calibri" w:hAnsi="Calibri" w:cs="Times New Roman"/>
          <w:szCs w:val="24"/>
          <w:lang w:val="en"/>
        </w:rPr>
        <w:t>providers</w:t>
      </w:r>
      <w:r w:rsidR="00414823">
        <w:rPr>
          <w:rFonts w:ascii="Calibri" w:hAnsi="Calibri" w:cs="Times New Roman"/>
          <w:szCs w:val="24"/>
          <w:lang w:val="en"/>
        </w:rPr>
        <w:t xml:space="preserve"> and </w:t>
      </w:r>
      <w:r w:rsidR="00226715">
        <w:rPr>
          <w:rFonts w:ascii="Calibri" w:hAnsi="Calibri" w:cs="Times New Roman"/>
          <w:szCs w:val="24"/>
          <w:lang w:val="en"/>
        </w:rPr>
        <w:t>assisting</w:t>
      </w:r>
      <w:r w:rsidR="00414823">
        <w:rPr>
          <w:rFonts w:ascii="Calibri" w:hAnsi="Calibri" w:cs="Times New Roman"/>
          <w:szCs w:val="24"/>
          <w:lang w:val="en"/>
        </w:rPr>
        <w:t xml:space="preserve"> teachers and students to access the support they need. </w:t>
      </w:r>
      <w:r w:rsidR="004F3273">
        <w:rPr>
          <w:rFonts w:ascii="Calibri" w:hAnsi="Calibri" w:cs="Times New Roman"/>
          <w:szCs w:val="24"/>
          <w:lang w:val="en"/>
        </w:rPr>
        <w:t xml:space="preserve"> </w:t>
      </w:r>
    </w:p>
    <w:p w14:paraId="1A899455" w14:textId="2B0C3FAC" w:rsidR="00707135" w:rsidRDefault="00707135" w:rsidP="00E44271">
      <w:pPr>
        <w:spacing w:after="0" w:line="276" w:lineRule="auto"/>
        <w:rPr>
          <w:rFonts w:ascii="Calibri" w:hAnsi="Calibri" w:cs="Times New Roman"/>
          <w:szCs w:val="24"/>
          <w:lang w:val="en"/>
        </w:rPr>
      </w:pPr>
    </w:p>
    <w:p w14:paraId="1C5621E1" w14:textId="5DB83533" w:rsidR="00AE40B7" w:rsidRDefault="00707135" w:rsidP="00E44271">
      <w:pPr>
        <w:spacing w:after="0" w:line="276" w:lineRule="auto"/>
        <w:rPr>
          <w:rFonts w:ascii="Calibri" w:hAnsi="Calibri" w:cs="Times New Roman"/>
          <w:szCs w:val="24"/>
          <w:lang w:val="en"/>
        </w:rPr>
      </w:pPr>
      <w:r>
        <w:rPr>
          <w:rFonts w:ascii="Calibri" w:hAnsi="Calibri" w:cs="Times New Roman"/>
          <w:szCs w:val="24"/>
          <w:lang w:val="en"/>
        </w:rPr>
        <w:t xml:space="preserve">Additionally, </w:t>
      </w:r>
      <w:r w:rsidR="004F5BF1">
        <w:rPr>
          <w:rFonts w:ascii="Calibri" w:hAnsi="Calibri" w:cs="Times New Roman"/>
          <w:szCs w:val="24"/>
          <w:lang w:val="en"/>
        </w:rPr>
        <w:t xml:space="preserve">it is important to reiterate the </w:t>
      </w:r>
      <w:r w:rsidR="005334A5">
        <w:rPr>
          <w:rFonts w:ascii="Calibri" w:hAnsi="Calibri" w:cs="Times New Roman"/>
          <w:szCs w:val="24"/>
          <w:lang w:val="en"/>
        </w:rPr>
        <w:t xml:space="preserve">role that </w:t>
      </w:r>
      <w:r w:rsidR="004B7362">
        <w:rPr>
          <w:rFonts w:ascii="Calibri" w:hAnsi="Calibri" w:cs="Times New Roman"/>
          <w:szCs w:val="24"/>
          <w:lang w:val="en"/>
        </w:rPr>
        <w:t>heteronormativity</w:t>
      </w:r>
      <w:r w:rsidR="005334A5">
        <w:rPr>
          <w:rFonts w:ascii="Calibri" w:hAnsi="Calibri" w:cs="Times New Roman"/>
          <w:szCs w:val="24"/>
          <w:lang w:val="en"/>
        </w:rPr>
        <w:t xml:space="preserve"> and </w:t>
      </w:r>
      <w:r w:rsidR="004B7362">
        <w:rPr>
          <w:rFonts w:ascii="Calibri" w:hAnsi="Calibri" w:cs="Times New Roman"/>
          <w:szCs w:val="24"/>
          <w:lang w:val="en"/>
        </w:rPr>
        <w:t>cisnormativity</w:t>
      </w:r>
      <w:r w:rsidR="005334A5">
        <w:rPr>
          <w:rFonts w:ascii="Calibri" w:hAnsi="Calibri" w:cs="Times New Roman"/>
          <w:szCs w:val="24"/>
          <w:lang w:val="en"/>
        </w:rPr>
        <w:t xml:space="preserve"> play i</w:t>
      </w:r>
      <w:r w:rsidR="004B7362">
        <w:rPr>
          <w:rFonts w:ascii="Calibri" w:hAnsi="Calibri" w:cs="Times New Roman"/>
          <w:szCs w:val="24"/>
          <w:lang w:val="en"/>
        </w:rPr>
        <w:t>n</w:t>
      </w:r>
      <w:r w:rsidR="005334A5">
        <w:rPr>
          <w:rFonts w:ascii="Calibri" w:hAnsi="Calibri" w:cs="Times New Roman"/>
          <w:szCs w:val="24"/>
          <w:lang w:val="en"/>
        </w:rPr>
        <w:t xml:space="preserve"> </w:t>
      </w:r>
      <w:r w:rsidR="004B7362">
        <w:rPr>
          <w:rFonts w:ascii="Calibri" w:hAnsi="Calibri" w:cs="Times New Roman"/>
          <w:szCs w:val="24"/>
          <w:lang w:val="en"/>
        </w:rPr>
        <w:t>d</w:t>
      </w:r>
      <w:r w:rsidR="005334A5">
        <w:rPr>
          <w:rFonts w:ascii="Calibri" w:hAnsi="Calibri" w:cs="Times New Roman"/>
          <w:szCs w:val="24"/>
          <w:lang w:val="en"/>
        </w:rPr>
        <w:t xml:space="preserve">riving </w:t>
      </w:r>
      <w:r w:rsidR="004B7362">
        <w:rPr>
          <w:rFonts w:ascii="Calibri" w:hAnsi="Calibri" w:cs="Times New Roman"/>
          <w:szCs w:val="24"/>
          <w:lang w:val="en"/>
        </w:rPr>
        <w:t>discrimination, stigma, abuse and violence against LGBTI people</w:t>
      </w:r>
      <w:r w:rsidR="003E2110">
        <w:rPr>
          <w:rFonts w:ascii="Calibri" w:hAnsi="Calibri" w:cs="Times New Roman"/>
          <w:szCs w:val="24"/>
          <w:lang w:val="en"/>
        </w:rPr>
        <w:t xml:space="preserve"> more broadly</w:t>
      </w:r>
      <w:r w:rsidR="004B7362">
        <w:rPr>
          <w:rFonts w:ascii="Calibri" w:hAnsi="Calibri" w:cs="Times New Roman"/>
          <w:szCs w:val="24"/>
          <w:lang w:val="en"/>
        </w:rPr>
        <w:t xml:space="preserve">. </w:t>
      </w:r>
      <w:r w:rsidR="00B904D7">
        <w:rPr>
          <w:rFonts w:ascii="Calibri" w:hAnsi="Calibri" w:cs="Times New Roman"/>
          <w:szCs w:val="24"/>
          <w:lang w:val="en"/>
        </w:rPr>
        <w:t xml:space="preserve">A core function of </w:t>
      </w:r>
      <w:r w:rsidR="00B833A7">
        <w:rPr>
          <w:rFonts w:ascii="Calibri" w:hAnsi="Calibri" w:cs="Times New Roman"/>
          <w:szCs w:val="24"/>
          <w:lang w:val="en"/>
        </w:rPr>
        <w:t xml:space="preserve">heteronormative and </w:t>
      </w:r>
      <w:r w:rsidR="002E49C6">
        <w:rPr>
          <w:rFonts w:ascii="Calibri" w:hAnsi="Calibri" w:cs="Times New Roman"/>
          <w:szCs w:val="24"/>
          <w:lang w:val="en"/>
        </w:rPr>
        <w:t>cisnormative</w:t>
      </w:r>
      <w:r w:rsidR="00B833A7">
        <w:rPr>
          <w:rFonts w:ascii="Calibri" w:hAnsi="Calibri" w:cs="Times New Roman"/>
          <w:szCs w:val="24"/>
          <w:lang w:val="en"/>
        </w:rPr>
        <w:t xml:space="preserve"> culture is to </w:t>
      </w:r>
      <w:r w:rsidR="002E49C6">
        <w:rPr>
          <w:rFonts w:ascii="Calibri" w:hAnsi="Calibri" w:cs="Times New Roman"/>
          <w:szCs w:val="24"/>
          <w:lang w:val="en"/>
        </w:rPr>
        <w:t>position</w:t>
      </w:r>
      <w:r w:rsidR="00B833A7">
        <w:rPr>
          <w:rFonts w:ascii="Calibri" w:hAnsi="Calibri" w:cs="Times New Roman"/>
          <w:szCs w:val="24"/>
          <w:lang w:val="en"/>
        </w:rPr>
        <w:t xml:space="preserve"> </w:t>
      </w:r>
      <w:r w:rsidR="002E49C6">
        <w:rPr>
          <w:rFonts w:ascii="Calibri" w:hAnsi="Calibri" w:cs="Times New Roman"/>
          <w:szCs w:val="24"/>
          <w:lang w:val="en"/>
        </w:rPr>
        <w:t>sexuality, gender and/or bodily people as a minority group and render them invisible or invalid</w:t>
      </w:r>
      <w:r w:rsidR="002E49C6" w:rsidRPr="0026188C">
        <w:rPr>
          <w:rFonts w:ascii="Calibri" w:hAnsi="Calibri" w:cs="Times New Roman"/>
          <w:szCs w:val="24"/>
          <w:lang w:val="en"/>
        </w:rPr>
        <w:t>.</w:t>
      </w:r>
      <w:r w:rsidR="00B904D7" w:rsidRPr="0026188C">
        <w:rPr>
          <w:rFonts w:ascii="Calibri" w:hAnsi="Calibri" w:cs="Times New Roman"/>
          <w:szCs w:val="24"/>
          <w:lang w:val="en"/>
        </w:rPr>
        <w:t xml:space="preserve"> </w:t>
      </w:r>
      <w:r w:rsidR="001416E2" w:rsidRPr="0026188C">
        <w:rPr>
          <w:rFonts w:ascii="Calibri" w:hAnsi="Calibri" w:cs="Times New Roman"/>
          <w:szCs w:val="24"/>
          <w:lang w:val="en"/>
        </w:rPr>
        <w:t xml:space="preserve">Evidence-based </w:t>
      </w:r>
      <w:r w:rsidR="00A26FDB" w:rsidRPr="0026188C">
        <w:rPr>
          <w:rFonts w:ascii="Calibri" w:hAnsi="Calibri" w:cs="Times New Roman"/>
          <w:szCs w:val="24"/>
          <w:lang w:val="en"/>
        </w:rPr>
        <w:t>initiative</w:t>
      </w:r>
      <w:r w:rsidR="001416E2" w:rsidRPr="0026188C">
        <w:rPr>
          <w:rFonts w:ascii="Calibri" w:hAnsi="Calibri" w:cs="Times New Roman"/>
          <w:szCs w:val="24"/>
          <w:lang w:val="en"/>
        </w:rPr>
        <w:t xml:space="preserve">s </w:t>
      </w:r>
      <w:r w:rsidR="00ED11E4" w:rsidRPr="0026188C">
        <w:rPr>
          <w:rFonts w:ascii="Calibri" w:hAnsi="Calibri" w:cs="Times New Roman"/>
          <w:szCs w:val="24"/>
          <w:lang w:val="en"/>
        </w:rPr>
        <w:t xml:space="preserve">to reduce </w:t>
      </w:r>
      <w:r w:rsidR="000E12F6" w:rsidRPr="0026188C">
        <w:rPr>
          <w:rFonts w:ascii="Calibri" w:hAnsi="Calibri" w:cs="Times New Roman"/>
          <w:szCs w:val="24"/>
          <w:lang w:val="en"/>
        </w:rPr>
        <w:t>heterosexism and challenge ri</w:t>
      </w:r>
      <w:r w:rsidR="00430252" w:rsidRPr="0026188C">
        <w:rPr>
          <w:rFonts w:ascii="Calibri" w:hAnsi="Calibri" w:cs="Times New Roman"/>
          <w:szCs w:val="24"/>
          <w:lang w:val="en"/>
        </w:rPr>
        <w:t>gid</w:t>
      </w:r>
      <w:r w:rsidR="00A52B89" w:rsidRPr="0026188C">
        <w:rPr>
          <w:rFonts w:ascii="Calibri" w:hAnsi="Calibri" w:cs="Times New Roman"/>
          <w:szCs w:val="24"/>
          <w:lang w:val="en"/>
        </w:rPr>
        <w:t xml:space="preserve"> </w:t>
      </w:r>
      <w:r w:rsidR="00F149EB" w:rsidRPr="0026188C">
        <w:rPr>
          <w:rFonts w:ascii="Calibri" w:hAnsi="Calibri" w:cs="Times New Roman"/>
          <w:szCs w:val="24"/>
          <w:lang w:val="en"/>
        </w:rPr>
        <w:t xml:space="preserve">social </w:t>
      </w:r>
      <w:r w:rsidR="00A52B89" w:rsidRPr="0026188C">
        <w:rPr>
          <w:rFonts w:ascii="Calibri" w:hAnsi="Calibri" w:cs="Times New Roman"/>
          <w:szCs w:val="24"/>
          <w:lang w:val="en"/>
        </w:rPr>
        <w:t xml:space="preserve">norms around </w:t>
      </w:r>
      <w:r w:rsidR="00F149EB" w:rsidRPr="0026188C">
        <w:rPr>
          <w:rFonts w:ascii="Calibri" w:hAnsi="Calibri" w:cs="Times New Roman"/>
          <w:szCs w:val="24"/>
          <w:lang w:val="en"/>
        </w:rPr>
        <w:t>genders and bodies</w:t>
      </w:r>
      <w:r w:rsidR="00A67635" w:rsidRPr="0026188C">
        <w:rPr>
          <w:rFonts w:ascii="Calibri" w:hAnsi="Calibri" w:cs="Times New Roman"/>
          <w:szCs w:val="24"/>
          <w:lang w:val="en"/>
        </w:rPr>
        <w:t xml:space="preserve"> w</w:t>
      </w:r>
      <w:r w:rsidR="008012F7" w:rsidRPr="0026188C">
        <w:rPr>
          <w:rFonts w:ascii="Calibri" w:hAnsi="Calibri" w:cs="Times New Roman"/>
          <w:szCs w:val="24"/>
          <w:lang w:val="en"/>
        </w:rPr>
        <w:t>ill</w:t>
      </w:r>
      <w:r w:rsidR="00A67635" w:rsidRPr="0026188C">
        <w:rPr>
          <w:rFonts w:ascii="Calibri" w:hAnsi="Calibri" w:cs="Times New Roman"/>
          <w:szCs w:val="24"/>
          <w:lang w:val="en"/>
        </w:rPr>
        <w:t xml:space="preserve"> </w:t>
      </w:r>
      <w:r w:rsidR="00EE5A7A" w:rsidRPr="0026188C">
        <w:rPr>
          <w:rFonts w:ascii="Calibri" w:hAnsi="Calibri" w:cs="Times New Roman"/>
          <w:szCs w:val="24"/>
          <w:lang w:val="en"/>
        </w:rPr>
        <w:t>enable services to be more responsive</w:t>
      </w:r>
      <w:r w:rsidR="00692A3D" w:rsidRPr="0026188C">
        <w:rPr>
          <w:rFonts w:ascii="Calibri" w:hAnsi="Calibri" w:cs="Times New Roman"/>
          <w:szCs w:val="24"/>
          <w:lang w:val="en"/>
        </w:rPr>
        <w:t>,</w:t>
      </w:r>
      <w:r w:rsidR="00EE5A7A" w:rsidRPr="0026188C">
        <w:rPr>
          <w:rFonts w:ascii="Calibri" w:hAnsi="Calibri" w:cs="Times New Roman"/>
          <w:szCs w:val="24"/>
          <w:lang w:val="en"/>
        </w:rPr>
        <w:t xml:space="preserve"> and</w:t>
      </w:r>
      <w:r w:rsidR="00692A3D" w:rsidRPr="0026188C">
        <w:rPr>
          <w:rFonts w:ascii="Calibri" w:hAnsi="Calibri" w:cs="Times New Roman"/>
          <w:szCs w:val="24"/>
          <w:lang w:val="en"/>
        </w:rPr>
        <w:t xml:space="preserve"> result in</w:t>
      </w:r>
      <w:r w:rsidR="00EE5A7A" w:rsidRPr="0026188C">
        <w:rPr>
          <w:rFonts w:ascii="Calibri" w:hAnsi="Calibri" w:cs="Times New Roman"/>
          <w:szCs w:val="24"/>
          <w:lang w:val="en"/>
        </w:rPr>
        <w:t xml:space="preserve"> </w:t>
      </w:r>
      <w:r w:rsidR="00955E1B">
        <w:rPr>
          <w:rFonts w:ascii="Calibri" w:hAnsi="Calibri" w:cs="Times New Roman"/>
          <w:szCs w:val="24"/>
          <w:lang w:val="en"/>
        </w:rPr>
        <w:t xml:space="preserve">LGBTI </w:t>
      </w:r>
      <w:r w:rsidR="003F6069" w:rsidRPr="0026188C">
        <w:rPr>
          <w:rFonts w:ascii="Calibri" w:hAnsi="Calibri" w:cs="Times New Roman"/>
          <w:szCs w:val="24"/>
          <w:lang w:val="en"/>
        </w:rPr>
        <w:t>individuals</w:t>
      </w:r>
      <w:r w:rsidR="00692A3D" w:rsidRPr="0026188C">
        <w:rPr>
          <w:rFonts w:ascii="Calibri" w:hAnsi="Calibri" w:cs="Times New Roman"/>
          <w:szCs w:val="24"/>
          <w:lang w:val="en"/>
        </w:rPr>
        <w:t xml:space="preserve"> being</w:t>
      </w:r>
      <w:r w:rsidR="003F6069" w:rsidRPr="0026188C">
        <w:rPr>
          <w:rFonts w:ascii="Calibri" w:hAnsi="Calibri" w:cs="Times New Roman"/>
          <w:szCs w:val="24"/>
          <w:lang w:val="en"/>
        </w:rPr>
        <w:t xml:space="preserve"> more likely to seek early intervention and o</w:t>
      </w:r>
      <w:r w:rsidR="00692A3D" w:rsidRPr="0026188C">
        <w:rPr>
          <w:rFonts w:ascii="Calibri" w:hAnsi="Calibri" w:cs="Times New Roman"/>
          <w:szCs w:val="24"/>
          <w:lang w:val="en"/>
        </w:rPr>
        <w:t>p</w:t>
      </w:r>
      <w:r w:rsidR="003F6069" w:rsidRPr="0026188C">
        <w:rPr>
          <w:rFonts w:ascii="Calibri" w:hAnsi="Calibri" w:cs="Times New Roman"/>
          <w:szCs w:val="24"/>
          <w:lang w:val="en"/>
        </w:rPr>
        <w:t>en to prevention programs</w:t>
      </w:r>
      <w:r w:rsidR="00DD0752" w:rsidRPr="0026188C">
        <w:rPr>
          <w:rFonts w:ascii="Calibri" w:hAnsi="Calibri" w:cs="Times New Roman"/>
          <w:szCs w:val="24"/>
          <w:lang w:val="en"/>
        </w:rPr>
        <w:t>.</w:t>
      </w:r>
      <w:r w:rsidR="00DD0752">
        <w:rPr>
          <w:rFonts w:ascii="Calibri" w:hAnsi="Calibri" w:cs="Times New Roman"/>
          <w:szCs w:val="24"/>
          <w:lang w:val="en"/>
        </w:rPr>
        <w:t xml:space="preserve"> </w:t>
      </w:r>
      <w:r w:rsidR="00313572">
        <w:rPr>
          <w:rFonts w:ascii="Calibri" w:hAnsi="Calibri" w:cs="Times New Roman"/>
          <w:szCs w:val="24"/>
          <w:lang w:val="en"/>
        </w:rPr>
        <w:t xml:space="preserve">This </w:t>
      </w:r>
      <w:r w:rsidR="00AE326E">
        <w:rPr>
          <w:rFonts w:ascii="Calibri" w:hAnsi="Calibri" w:cs="Times New Roman"/>
          <w:szCs w:val="24"/>
          <w:lang w:val="en"/>
        </w:rPr>
        <w:t xml:space="preserve">includes </w:t>
      </w:r>
      <w:r w:rsidR="007C3209">
        <w:rPr>
          <w:rFonts w:ascii="Calibri" w:hAnsi="Calibri" w:cs="Times New Roman"/>
          <w:szCs w:val="24"/>
          <w:lang w:val="en"/>
        </w:rPr>
        <w:t>capacity building</w:t>
      </w:r>
      <w:r w:rsidR="00905D66">
        <w:rPr>
          <w:rFonts w:ascii="Calibri" w:hAnsi="Calibri" w:cs="Times New Roman"/>
          <w:szCs w:val="24"/>
          <w:lang w:val="en"/>
        </w:rPr>
        <w:t xml:space="preserve"> </w:t>
      </w:r>
      <w:r w:rsidR="007C3209">
        <w:rPr>
          <w:rFonts w:ascii="Calibri" w:hAnsi="Calibri" w:cs="Times New Roman"/>
          <w:szCs w:val="24"/>
          <w:lang w:val="en"/>
        </w:rPr>
        <w:t>initiatives</w:t>
      </w:r>
      <w:r w:rsidR="00905D66">
        <w:rPr>
          <w:rFonts w:ascii="Calibri" w:hAnsi="Calibri" w:cs="Times New Roman"/>
          <w:szCs w:val="24"/>
          <w:lang w:val="en"/>
        </w:rPr>
        <w:t xml:space="preserve"> </w:t>
      </w:r>
      <w:r w:rsidR="00D8591D">
        <w:rPr>
          <w:rFonts w:ascii="Calibri" w:hAnsi="Calibri" w:cs="Times New Roman"/>
          <w:szCs w:val="24"/>
          <w:lang w:val="en"/>
        </w:rPr>
        <w:t>developed and implemented by LGBTI people</w:t>
      </w:r>
      <w:r w:rsidR="0040473E">
        <w:rPr>
          <w:rFonts w:ascii="Calibri" w:hAnsi="Calibri" w:cs="Times New Roman"/>
          <w:szCs w:val="24"/>
          <w:lang w:val="en"/>
        </w:rPr>
        <w:t xml:space="preserve"> that promote resilience</w:t>
      </w:r>
      <w:r w:rsidR="00C346FD">
        <w:rPr>
          <w:rFonts w:ascii="Calibri" w:hAnsi="Calibri" w:cs="Times New Roman"/>
          <w:szCs w:val="24"/>
          <w:lang w:val="en"/>
        </w:rPr>
        <w:t>,</w:t>
      </w:r>
      <w:r w:rsidR="0081589F">
        <w:rPr>
          <w:rFonts w:ascii="Calibri" w:hAnsi="Calibri" w:cs="Times New Roman"/>
          <w:szCs w:val="24"/>
          <w:lang w:val="en"/>
        </w:rPr>
        <w:t xml:space="preserve"> healthy social networks and</w:t>
      </w:r>
      <w:r w:rsidR="00C346FD">
        <w:rPr>
          <w:rFonts w:ascii="Calibri" w:hAnsi="Calibri" w:cs="Times New Roman"/>
          <w:szCs w:val="24"/>
          <w:lang w:val="en"/>
        </w:rPr>
        <w:t xml:space="preserve"> supportive relationships</w:t>
      </w:r>
      <w:r w:rsidR="007C3209">
        <w:rPr>
          <w:rFonts w:ascii="Calibri" w:hAnsi="Calibri" w:cs="Times New Roman"/>
          <w:szCs w:val="24"/>
          <w:lang w:val="en"/>
        </w:rPr>
        <w:t xml:space="preserve"> among their communities.</w:t>
      </w:r>
      <w:r w:rsidR="0035499A">
        <w:rPr>
          <w:rFonts w:ascii="Calibri" w:hAnsi="Calibri" w:cs="Times New Roman"/>
          <w:szCs w:val="24"/>
          <w:lang w:val="en"/>
        </w:rPr>
        <w:t xml:space="preserve"> </w:t>
      </w:r>
      <w:r w:rsidR="00ED4D74" w:rsidRPr="00ED4D74">
        <w:rPr>
          <w:rFonts w:ascii="Calibri" w:hAnsi="Calibri" w:cs="Times New Roman"/>
          <w:szCs w:val="24"/>
          <w:lang w:val="en"/>
        </w:rPr>
        <w:t>This will inevitably have a preventative impact on the mental health and wellbeing of LGBTI people.</w:t>
      </w:r>
    </w:p>
    <w:p w14:paraId="50123E62" w14:textId="66F0155C" w:rsidR="00E127CD" w:rsidRDefault="00E127CD" w:rsidP="00E44271">
      <w:pPr>
        <w:spacing w:after="0" w:line="276" w:lineRule="auto"/>
        <w:rPr>
          <w:rFonts w:ascii="Calibri" w:hAnsi="Calibri" w:cs="Times New Roman"/>
          <w:szCs w:val="24"/>
          <w:lang w:val="en"/>
        </w:rPr>
      </w:pPr>
    </w:p>
    <w:tbl>
      <w:tblPr>
        <w:tblStyle w:val="TableGrid"/>
        <w:tblW w:w="0" w:type="auto"/>
        <w:tblLook w:val="04A0" w:firstRow="1" w:lastRow="0" w:firstColumn="1" w:lastColumn="0" w:noHBand="0" w:noVBand="1"/>
      </w:tblPr>
      <w:tblGrid>
        <w:gridCol w:w="9016"/>
      </w:tblGrid>
      <w:tr w:rsidR="00E127CD" w14:paraId="6F9D90D3" w14:textId="77777777" w:rsidTr="002B5E89">
        <w:tc>
          <w:tcPr>
            <w:tcW w:w="9016" w:type="dxa"/>
            <w:shd w:val="clear" w:color="auto" w:fill="D9E2F3" w:themeFill="accent1" w:themeFillTint="33"/>
          </w:tcPr>
          <w:p w14:paraId="25C0C6F6" w14:textId="323D221E" w:rsidR="00E127CD" w:rsidRPr="00E127CD" w:rsidRDefault="00E127CD" w:rsidP="002B5E89">
            <w:pPr>
              <w:spacing w:line="276" w:lineRule="auto"/>
              <w:rPr>
                <w:bCs/>
              </w:rPr>
            </w:pPr>
            <w:r w:rsidRPr="00BF6852">
              <w:rPr>
                <w:b/>
                <w:szCs w:val="22"/>
              </w:rPr>
              <w:t>Recommendation</w:t>
            </w:r>
            <w:r>
              <w:rPr>
                <w:b/>
                <w:szCs w:val="22"/>
              </w:rPr>
              <w:t xml:space="preserve">: </w:t>
            </w:r>
            <w:r w:rsidRPr="00E127CD">
              <w:rPr>
                <w:bCs/>
                <w:lang w:val="en-US"/>
              </w:rPr>
              <w:t>Training in LGBTI-inclusivity to be mandated for all wellbeing leaders in schools.</w:t>
            </w:r>
          </w:p>
        </w:tc>
      </w:tr>
    </w:tbl>
    <w:p w14:paraId="23704982" w14:textId="18C7923C" w:rsidR="00E127CD" w:rsidRDefault="00E127CD" w:rsidP="00E44271">
      <w:pPr>
        <w:spacing w:after="0" w:line="276" w:lineRule="auto"/>
        <w:rPr>
          <w:rFonts w:ascii="Calibri" w:hAnsi="Calibri" w:cs="Times New Roman"/>
          <w:szCs w:val="24"/>
          <w:lang w:val="en"/>
        </w:rPr>
      </w:pPr>
    </w:p>
    <w:tbl>
      <w:tblPr>
        <w:tblStyle w:val="TableGrid"/>
        <w:tblW w:w="0" w:type="auto"/>
        <w:tblLook w:val="04A0" w:firstRow="1" w:lastRow="0" w:firstColumn="1" w:lastColumn="0" w:noHBand="0" w:noVBand="1"/>
      </w:tblPr>
      <w:tblGrid>
        <w:gridCol w:w="9016"/>
      </w:tblGrid>
      <w:tr w:rsidR="00E127CD" w14:paraId="61021C8C" w14:textId="77777777" w:rsidTr="002B5E89">
        <w:tc>
          <w:tcPr>
            <w:tcW w:w="9016" w:type="dxa"/>
            <w:shd w:val="clear" w:color="auto" w:fill="D9E2F3" w:themeFill="accent1" w:themeFillTint="33"/>
          </w:tcPr>
          <w:p w14:paraId="789AAD95" w14:textId="51A05ABA" w:rsidR="00E127CD" w:rsidRPr="00E127CD" w:rsidRDefault="00E127CD" w:rsidP="002B5E89">
            <w:pPr>
              <w:spacing w:line="276" w:lineRule="auto"/>
              <w:rPr>
                <w:bCs/>
                <w:lang w:val="en-US"/>
              </w:rPr>
            </w:pPr>
            <w:r w:rsidRPr="00BF6852">
              <w:rPr>
                <w:b/>
                <w:szCs w:val="22"/>
              </w:rPr>
              <w:t>Recommendation</w:t>
            </w:r>
            <w:r>
              <w:rPr>
                <w:b/>
                <w:szCs w:val="22"/>
              </w:rPr>
              <w:t xml:space="preserve">: </w:t>
            </w:r>
            <w:r w:rsidRPr="00E127CD">
              <w:rPr>
                <w:bCs/>
                <w:lang w:val="en-US"/>
              </w:rPr>
              <w:t xml:space="preserve">Invest in </w:t>
            </w:r>
            <w:r w:rsidR="0067366F">
              <w:rPr>
                <w:bCs/>
                <w:lang w:val="en-US"/>
              </w:rPr>
              <w:t xml:space="preserve">education campaigns that promote the inclusion of </w:t>
            </w:r>
            <w:r w:rsidR="0073101F">
              <w:rPr>
                <w:bCs/>
                <w:lang w:val="en-US"/>
              </w:rPr>
              <w:t>LGBTI</w:t>
            </w:r>
            <w:r w:rsidR="0067366F">
              <w:rPr>
                <w:bCs/>
                <w:lang w:val="en-US"/>
              </w:rPr>
              <w:t xml:space="preserve"> people in </w:t>
            </w:r>
            <w:r w:rsidR="0073101F">
              <w:rPr>
                <w:bCs/>
                <w:lang w:val="en-US"/>
              </w:rPr>
              <w:t>society</w:t>
            </w:r>
            <w:r w:rsidR="00803075">
              <w:rPr>
                <w:bCs/>
                <w:lang w:val="en-US"/>
              </w:rPr>
              <w:t xml:space="preserve"> more broadly. </w:t>
            </w:r>
          </w:p>
        </w:tc>
      </w:tr>
    </w:tbl>
    <w:p w14:paraId="51ECC845" w14:textId="644E641C" w:rsidR="00AC6F05" w:rsidRDefault="00AC6F05" w:rsidP="00E00009">
      <w:pPr>
        <w:spacing w:after="0" w:line="276" w:lineRule="auto"/>
        <w:rPr>
          <w:rFonts w:ascii="Calibri" w:hAnsi="Calibri" w:cs="Times New Roman"/>
          <w:szCs w:val="24"/>
        </w:rPr>
      </w:pPr>
    </w:p>
    <w:tbl>
      <w:tblPr>
        <w:tblStyle w:val="TableGrid"/>
        <w:tblW w:w="0" w:type="auto"/>
        <w:tblLook w:val="04A0" w:firstRow="1" w:lastRow="0" w:firstColumn="1" w:lastColumn="0" w:noHBand="0" w:noVBand="1"/>
      </w:tblPr>
      <w:tblGrid>
        <w:gridCol w:w="9016"/>
      </w:tblGrid>
      <w:tr w:rsidR="00E127CD" w14:paraId="0674CE09" w14:textId="77777777" w:rsidTr="00E127CD">
        <w:trPr>
          <w:trHeight w:val="323"/>
        </w:trPr>
        <w:tc>
          <w:tcPr>
            <w:tcW w:w="9016" w:type="dxa"/>
            <w:shd w:val="clear" w:color="auto" w:fill="D9E2F3" w:themeFill="accent1" w:themeFillTint="33"/>
          </w:tcPr>
          <w:p w14:paraId="66D4A2C2" w14:textId="49A9D68F" w:rsidR="00E127CD" w:rsidRPr="00E127CD" w:rsidRDefault="00E127CD" w:rsidP="002B5E89">
            <w:pPr>
              <w:spacing w:line="276" w:lineRule="auto"/>
              <w:rPr>
                <w:bCs/>
                <w:lang w:val="en-US"/>
              </w:rPr>
            </w:pPr>
            <w:bookmarkStart w:id="1" w:name="_Hlk30427834"/>
            <w:r w:rsidRPr="00BF6852">
              <w:rPr>
                <w:b/>
                <w:szCs w:val="22"/>
              </w:rPr>
              <w:t>Recommendation</w:t>
            </w:r>
            <w:r>
              <w:rPr>
                <w:b/>
                <w:szCs w:val="22"/>
              </w:rPr>
              <w:t xml:space="preserve">: </w:t>
            </w:r>
            <w:r w:rsidRPr="00E127CD">
              <w:rPr>
                <w:bCs/>
              </w:rPr>
              <w:t>Invest in community capacity building initiatives to be developed and implemented with LGBTI people and communities, to increase their capacity to identify and respond to mental health needs of people in their communities</w:t>
            </w:r>
            <w:r>
              <w:rPr>
                <w:bCs/>
              </w:rPr>
              <w:t>.</w:t>
            </w:r>
          </w:p>
        </w:tc>
      </w:tr>
      <w:bookmarkEnd w:id="1"/>
    </w:tbl>
    <w:p w14:paraId="3A34FA8E" w14:textId="7B958836" w:rsidR="00D01394" w:rsidRDefault="00D01394" w:rsidP="00AA5C99">
      <w:pPr>
        <w:spacing w:after="0" w:line="276" w:lineRule="auto"/>
      </w:pPr>
    </w:p>
    <w:tbl>
      <w:tblPr>
        <w:tblStyle w:val="TableGrid"/>
        <w:tblW w:w="0" w:type="auto"/>
        <w:tblLook w:val="04A0" w:firstRow="1" w:lastRow="0" w:firstColumn="1" w:lastColumn="0" w:noHBand="0" w:noVBand="1"/>
      </w:tblPr>
      <w:tblGrid>
        <w:gridCol w:w="9016"/>
      </w:tblGrid>
      <w:tr w:rsidR="00E127CD" w14:paraId="75AEAFFE" w14:textId="77777777" w:rsidTr="002B5E89">
        <w:trPr>
          <w:trHeight w:val="323"/>
        </w:trPr>
        <w:tc>
          <w:tcPr>
            <w:tcW w:w="9016" w:type="dxa"/>
            <w:shd w:val="clear" w:color="auto" w:fill="D9E2F3" w:themeFill="accent1" w:themeFillTint="33"/>
          </w:tcPr>
          <w:p w14:paraId="3A554E6E" w14:textId="39F98A0E" w:rsidR="00E127CD" w:rsidRPr="00E127CD" w:rsidRDefault="00E127CD" w:rsidP="002B5E89">
            <w:pPr>
              <w:spacing w:line="276" w:lineRule="auto"/>
              <w:rPr>
                <w:bCs/>
                <w:lang w:val="en-US"/>
              </w:rPr>
            </w:pPr>
            <w:bookmarkStart w:id="2" w:name="_Hlk30427860"/>
            <w:r w:rsidRPr="00BF6852">
              <w:rPr>
                <w:b/>
                <w:szCs w:val="22"/>
              </w:rPr>
              <w:t>Recommendation</w:t>
            </w:r>
            <w:r>
              <w:rPr>
                <w:b/>
                <w:szCs w:val="22"/>
              </w:rPr>
              <w:t xml:space="preserve">: </w:t>
            </w:r>
            <w:r w:rsidRPr="00E127CD">
              <w:rPr>
                <w:bCs/>
                <w:szCs w:val="22"/>
              </w:rPr>
              <w:t>Invest in evidence-based promotion, prevention and early intervention initiatives and primary mental health care supporting the prevention, early detection and treatment of mental health problems experienced by LGBTI people and communities.</w:t>
            </w:r>
          </w:p>
        </w:tc>
      </w:tr>
      <w:bookmarkEnd w:id="2"/>
    </w:tbl>
    <w:p w14:paraId="13D403FC" w14:textId="77777777" w:rsidR="00AE40B7" w:rsidRDefault="00AE40B7" w:rsidP="00EE4607">
      <w:pPr>
        <w:spacing w:after="0" w:line="276" w:lineRule="auto"/>
        <w:rPr>
          <w:rFonts w:ascii="Calibri" w:hAnsi="Calibri" w:cs="Times New Roman"/>
          <w:b/>
          <w:bCs/>
          <w:szCs w:val="24"/>
        </w:rPr>
      </w:pPr>
    </w:p>
    <w:p w14:paraId="1E072992" w14:textId="7B5BF9C2" w:rsidR="00AE40B7" w:rsidRDefault="00454187" w:rsidP="00EE4607">
      <w:pPr>
        <w:spacing w:after="0" w:line="276" w:lineRule="auto"/>
        <w:rPr>
          <w:rFonts w:ascii="Calibri" w:hAnsi="Calibri" w:cs="Times New Roman"/>
          <w:b/>
          <w:bCs/>
          <w:szCs w:val="24"/>
        </w:rPr>
      </w:pPr>
      <w:r>
        <w:rPr>
          <w:rFonts w:ascii="Calibri" w:hAnsi="Calibri" w:cs="Times New Roman"/>
          <w:b/>
          <w:bCs/>
          <w:szCs w:val="24"/>
        </w:rPr>
        <w:t xml:space="preserve">Community-controlled </w:t>
      </w:r>
      <w:r w:rsidR="002406F4">
        <w:rPr>
          <w:rFonts w:ascii="Calibri" w:hAnsi="Calibri" w:cs="Times New Roman"/>
          <w:b/>
          <w:bCs/>
          <w:szCs w:val="24"/>
        </w:rPr>
        <w:t>services for LGBTI people</w:t>
      </w:r>
    </w:p>
    <w:p w14:paraId="12898BCE" w14:textId="77777777" w:rsidR="001B1392" w:rsidRDefault="001B1392" w:rsidP="00EE4607">
      <w:pPr>
        <w:spacing w:after="0" w:line="276" w:lineRule="auto"/>
        <w:rPr>
          <w:rFonts w:ascii="Calibri" w:hAnsi="Calibri" w:cs="Times New Roman"/>
          <w:b/>
          <w:bCs/>
          <w:szCs w:val="24"/>
        </w:rPr>
      </w:pPr>
    </w:p>
    <w:p w14:paraId="4AB2B02B" w14:textId="550438E2" w:rsidR="00C82E97" w:rsidRPr="00AE40B7" w:rsidRDefault="006E7CE0" w:rsidP="00EE4607">
      <w:pPr>
        <w:spacing w:after="0" w:line="276" w:lineRule="auto"/>
        <w:rPr>
          <w:rFonts w:ascii="Calibri" w:hAnsi="Calibri" w:cs="Times New Roman"/>
          <w:b/>
          <w:bCs/>
          <w:szCs w:val="24"/>
        </w:rPr>
      </w:pPr>
      <w:r w:rsidRPr="006E7CE0">
        <w:rPr>
          <w:rFonts w:ascii="Calibri" w:hAnsi="Calibri" w:cs="Times New Roman"/>
          <w:szCs w:val="24"/>
        </w:rPr>
        <w:t xml:space="preserve">Community-controlled organisations that are governed and operated by and for </w:t>
      </w:r>
      <w:r w:rsidR="00C82E97">
        <w:rPr>
          <w:rFonts w:ascii="Calibri" w:hAnsi="Calibri" w:cs="Times New Roman"/>
          <w:szCs w:val="24"/>
        </w:rPr>
        <w:t>affected communities</w:t>
      </w:r>
      <w:r w:rsidRPr="006E7CE0">
        <w:rPr>
          <w:rFonts w:ascii="Calibri" w:hAnsi="Calibri" w:cs="Times New Roman"/>
          <w:szCs w:val="24"/>
        </w:rPr>
        <w:t xml:space="preserve"> are often best placed to provide </w:t>
      </w:r>
      <w:r w:rsidR="00214C03">
        <w:rPr>
          <w:rFonts w:ascii="Calibri" w:hAnsi="Calibri" w:cs="Times New Roman"/>
          <w:szCs w:val="24"/>
        </w:rPr>
        <w:t xml:space="preserve">trusted, safe and </w:t>
      </w:r>
      <w:r w:rsidRPr="006E7CE0">
        <w:rPr>
          <w:rFonts w:ascii="Calibri" w:hAnsi="Calibri" w:cs="Times New Roman"/>
          <w:szCs w:val="24"/>
        </w:rPr>
        <w:t>affirmative services in potentially sensitive areas of service provision for example, sexual health, drug and alcohol and mental health.</w:t>
      </w:r>
      <w:r>
        <w:rPr>
          <w:rFonts w:ascii="Calibri" w:hAnsi="Calibri" w:cs="Times New Roman"/>
          <w:szCs w:val="24"/>
        </w:rPr>
        <w:t xml:space="preserve"> </w:t>
      </w:r>
    </w:p>
    <w:p w14:paraId="1B88A7E3" w14:textId="23E31EFA" w:rsidR="0066700E" w:rsidRDefault="00732EC9" w:rsidP="00EE4607">
      <w:pPr>
        <w:spacing w:after="0" w:line="276" w:lineRule="auto"/>
        <w:rPr>
          <w:rFonts w:ascii="Calibri" w:hAnsi="Calibri" w:cs="Times New Roman"/>
          <w:szCs w:val="24"/>
        </w:rPr>
      </w:pPr>
      <w:r>
        <w:rPr>
          <w:rFonts w:ascii="Calibri" w:hAnsi="Calibri" w:cs="Times New Roman"/>
          <w:szCs w:val="24"/>
        </w:rPr>
        <w:t xml:space="preserve">Currently, there is a critical lack of </w:t>
      </w:r>
      <w:r w:rsidRPr="002768DB">
        <w:rPr>
          <w:rFonts w:ascii="Calibri" w:hAnsi="Calibri" w:cs="Times New Roman"/>
          <w:szCs w:val="24"/>
        </w:rPr>
        <w:t>LGBTI community-controlled mental health services</w:t>
      </w:r>
      <w:r w:rsidR="00E5514C" w:rsidRPr="002768DB">
        <w:rPr>
          <w:rFonts w:ascii="Calibri" w:hAnsi="Calibri" w:cs="Times New Roman"/>
          <w:szCs w:val="24"/>
        </w:rPr>
        <w:t xml:space="preserve">, </w:t>
      </w:r>
      <w:r w:rsidR="007700FF" w:rsidRPr="002768DB">
        <w:rPr>
          <w:rFonts w:ascii="Calibri" w:hAnsi="Calibri" w:cs="Times New Roman"/>
          <w:szCs w:val="24"/>
        </w:rPr>
        <w:t>despite LGBTI</w:t>
      </w:r>
      <w:r w:rsidR="005B7ADC" w:rsidRPr="002768DB">
        <w:rPr>
          <w:rFonts w:ascii="Calibri" w:hAnsi="Calibri" w:cs="Times New Roman"/>
          <w:szCs w:val="24"/>
        </w:rPr>
        <w:t xml:space="preserve"> </w:t>
      </w:r>
      <w:r w:rsidR="007700FF" w:rsidRPr="002768DB">
        <w:rPr>
          <w:rFonts w:ascii="Calibri" w:hAnsi="Calibri" w:cs="Times New Roman"/>
          <w:szCs w:val="24"/>
        </w:rPr>
        <w:t>health services</w:t>
      </w:r>
      <w:r w:rsidR="00DF004C">
        <w:rPr>
          <w:rFonts w:ascii="Calibri" w:hAnsi="Calibri" w:cs="Times New Roman"/>
          <w:szCs w:val="24"/>
        </w:rPr>
        <w:t xml:space="preserve"> currently established</w:t>
      </w:r>
      <w:r w:rsidR="007700FF" w:rsidRPr="002768DB">
        <w:rPr>
          <w:rFonts w:ascii="Calibri" w:hAnsi="Calibri" w:cs="Times New Roman"/>
          <w:szCs w:val="24"/>
        </w:rPr>
        <w:t xml:space="preserve"> in each jurisdiction. These </w:t>
      </w:r>
      <w:r w:rsidR="007700FF">
        <w:rPr>
          <w:rFonts w:ascii="Calibri" w:hAnsi="Calibri" w:cs="Times New Roman"/>
          <w:szCs w:val="24"/>
        </w:rPr>
        <w:t xml:space="preserve">services are </w:t>
      </w:r>
      <w:r w:rsidR="00AF6013">
        <w:rPr>
          <w:rFonts w:ascii="Calibri" w:hAnsi="Calibri" w:cs="Times New Roman"/>
          <w:szCs w:val="24"/>
        </w:rPr>
        <w:t>best placed to provide services</w:t>
      </w:r>
      <w:r w:rsidR="00B625E2">
        <w:rPr>
          <w:rFonts w:ascii="Calibri" w:hAnsi="Calibri" w:cs="Times New Roman"/>
          <w:szCs w:val="24"/>
        </w:rPr>
        <w:t xml:space="preserve"> that are for </w:t>
      </w:r>
      <w:r w:rsidR="00621BBD">
        <w:rPr>
          <w:rFonts w:ascii="Calibri" w:hAnsi="Calibri" w:cs="Times New Roman"/>
          <w:szCs w:val="24"/>
        </w:rPr>
        <w:t xml:space="preserve">LGBTI </w:t>
      </w:r>
      <w:r w:rsidR="00B625E2">
        <w:rPr>
          <w:rFonts w:ascii="Calibri" w:hAnsi="Calibri" w:cs="Times New Roman"/>
          <w:szCs w:val="24"/>
        </w:rPr>
        <w:t>communit</w:t>
      </w:r>
      <w:r w:rsidR="00621BBD">
        <w:rPr>
          <w:rFonts w:ascii="Calibri" w:hAnsi="Calibri" w:cs="Times New Roman"/>
          <w:szCs w:val="24"/>
        </w:rPr>
        <w:t>ies</w:t>
      </w:r>
      <w:r w:rsidR="00B625E2">
        <w:rPr>
          <w:rFonts w:ascii="Calibri" w:hAnsi="Calibri" w:cs="Times New Roman"/>
          <w:szCs w:val="24"/>
        </w:rPr>
        <w:t xml:space="preserve">. </w:t>
      </w:r>
      <w:r w:rsidR="00501A5C">
        <w:rPr>
          <w:rFonts w:ascii="Calibri" w:hAnsi="Calibri" w:cs="Times New Roman"/>
          <w:szCs w:val="24"/>
        </w:rPr>
        <w:t xml:space="preserve">LGBTI people report </w:t>
      </w:r>
      <w:r w:rsidR="00031D0A">
        <w:rPr>
          <w:rFonts w:ascii="Calibri" w:hAnsi="Calibri" w:cs="Times New Roman"/>
          <w:szCs w:val="24"/>
        </w:rPr>
        <w:t xml:space="preserve">feeling better supported </w:t>
      </w:r>
      <w:r w:rsidR="00AC75D6">
        <w:rPr>
          <w:rFonts w:ascii="Calibri" w:hAnsi="Calibri" w:cs="Times New Roman"/>
          <w:szCs w:val="24"/>
        </w:rPr>
        <w:t>by practitioners who have a deep and profound understanding of their distinct health needs, experiences and histories.</w:t>
      </w:r>
      <w:r w:rsidR="00214C03" w:rsidRPr="00214C03">
        <w:rPr>
          <w:rFonts w:ascii="Calibri" w:hAnsi="Calibri" w:cs="Times New Roman"/>
          <w:szCs w:val="24"/>
          <w:vertAlign w:val="superscript"/>
        </w:rPr>
        <w:footnoteReference w:id="9"/>
      </w:r>
      <w:r w:rsidR="00621BBD" w:rsidRPr="00621BBD">
        <w:rPr>
          <w:rFonts w:ascii="Calibri" w:hAnsi="Calibri" w:cs="Times New Roman"/>
          <w:szCs w:val="24"/>
        </w:rPr>
        <w:t xml:space="preserve"> </w:t>
      </w:r>
      <w:r w:rsidR="008D16F8">
        <w:rPr>
          <w:rFonts w:ascii="Calibri" w:hAnsi="Calibri" w:cs="Times New Roman"/>
          <w:szCs w:val="24"/>
        </w:rPr>
        <w:t xml:space="preserve">Specific investment </w:t>
      </w:r>
      <w:r w:rsidR="00CE4ED6">
        <w:rPr>
          <w:rFonts w:ascii="Calibri" w:hAnsi="Calibri" w:cs="Times New Roman"/>
          <w:szCs w:val="24"/>
        </w:rPr>
        <w:t>in these services will enable them to t</w:t>
      </w:r>
      <w:r w:rsidR="00621BBD" w:rsidRPr="00621BBD">
        <w:rPr>
          <w:rFonts w:ascii="Calibri" w:hAnsi="Calibri" w:cs="Times New Roman"/>
          <w:szCs w:val="24"/>
        </w:rPr>
        <w:t>ruly fulfil their role</w:t>
      </w:r>
      <w:r w:rsidR="000A2253">
        <w:rPr>
          <w:rFonts w:ascii="Calibri" w:hAnsi="Calibri" w:cs="Times New Roman"/>
          <w:szCs w:val="24"/>
        </w:rPr>
        <w:t>.</w:t>
      </w:r>
    </w:p>
    <w:p w14:paraId="483199B3" w14:textId="3E734D38" w:rsidR="00DA0F92" w:rsidRDefault="00DA0F92" w:rsidP="00EE4607">
      <w:pPr>
        <w:spacing w:after="0" w:line="276" w:lineRule="auto"/>
        <w:rPr>
          <w:rFonts w:ascii="Calibri" w:hAnsi="Calibri" w:cs="Times New Roman"/>
          <w:szCs w:val="24"/>
        </w:rPr>
      </w:pPr>
    </w:p>
    <w:p w14:paraId="68662A71" w14:textId="4D991910" w:rsidR="00284CE9" w:rsidRDefault="00FC291C" w:rsidP="00EE4607">
      <w:pPr>
        <w:spacing w:after="0" w:line="276" w:lineRule="auto"/>
        <w:rPr>
          <w:rFonts w:ascii="Calibri" w:hAnsi="Calibri" w:cs="Times New Roman"/>
          <w:szCs w:val="24"/>
        </w:rPr>
      </w:pPr>
      <w:r>
        <w:rPr>
          <w:rFonts w:ascii="Calibri" w:hAnsi="Calibri" w:cs="Times New Roman"/>
          <w:szCs w:val="24"/>
        </w:rPr>
        <w:t xml:space="preserve">The Alliance </w:t>
      </w:r>
      <w:r w:rsidR="004566C8">
        <w:rPr>
          <w:rFonts w:ascii="Calibri" w:hAnsi="Calibri" w:cs="Times New Roman"/>
          <w:szCs w:val="24"/>
        </w:rPr>
        <w:t xml:space="preserve">respectfully asks </w:t>
      </w:r>
      <w:r w:rsidR="001E1F75">
        <w:rPr>
          <w:rFonts w:ascii="Calibri" w:hAnsi="Calibri" w:cs="Times New Roman"/>
          <w:szCs w:val="24"/>
        </w:rPr>
        <w:t xml:space="preserve">the </w:t>
      </w:r>
      <w:r w:rsidR="00966C52">
        <w:rPr>
          <w:rFonts w:ascii="Calibri" w:hAnsi="Calibri" w:cs="Times New Roman"/>
          <w:szCs w:val="24"/>
        </w:rPr>
        <w:t>C</w:t>
      </w:r>
      <w:r w:rsidR="001E1F75">
        <w:rPr>
          <w:rFonts w:ascii="Calibri" w:hAnsi="Calibri" w:cs="Times New Roman"/>
          <w:szCs w:val="24"/>
        </w:rPr>
        <w:t xml:space="preserve">ommission </w:t>
      </w:r>
      <w:r w:rsidR="004566C8">
        <w:rPr>
          <w:rFonts w:ascii="Calibri" w:hAnsi="Calibri" w:cs="Times New Roman"/>
          <w:szCs w:val="24"/>
        </w:rPr>
        <w:t>t</w:t>
      </w:r>
      <w:r w:rsidR="00966C52">
        <w:rPr>
          <w:rFonts w:ascii="Calibri" w:hAnsi="Calibri" w:cs="Times New Roman"/>
          <w:szCs w:val="24"/>
        </w:rPr>
        <w:t>o give</w:t>
      </w:r>
      <w:r w:rsidR="004566C8">
        <w:rPr>
          <w:rFonts w:ascii="Calibri" w:hAnsi="Calibri" w:cs="Times New Roman"/>
          <w:szCs w:val="24"/>
        </w:rPr>
        <w:t xml:space="preserve"> further consideration t</w:t>
      </w:r>
      <w:r w:rsidR="00432BEE">
        <w:rPr>
          <w:rFonts w:ascii="Calibri" w:hAnsi="Calibri" w:cs="Times New Roman"/>
          <w:szCs w:val="24"/>
        </w:rPr>
        <w:t xml:space="preserve">o building </w:t>
      </w:r>
      <w:r w:rsidR="006506FB">
        <w:rPr>
          <w:rFonts w:ascii="Calibri" w:hAnsi="Calibri" w:cs="Times New Roman"/>
          <w:szCs w:val="24"/>
        </w:rPr>
        <w:t xml:space="preserve">a </w:t>
      </w:r>
      <w:r w:rsidR="00284CE9" w:rsidRPr="00284CE9">
        <w:rPr>
          <w:rFonts w:ascii="Calibri" w:hAnsi="Calibri" w:cs="Times New Roman"/>
          <w:szCs w:val="24"/>
        </w:rPr>
        <w:t>mixed model of mental health service delivery that provides access to community-controlled, specialist LGBTI services in addition to</w:t>
      </w:r>
      <w:r w:rsidR="00983967">
        <w:rPr>
          <w:rFonts w:ascii="Calibri" w:hAnsi="Calibri" w:cs="Times New Roman"/>
          <w:szCs w:val="24"/>
        </w:rPr>
        <w:t xml:space="preserve"> culturally safe</w:t>
      </w:r>
      <w:r w:rsidR="00284CE9" w:rsidRPr="00284CE9">
        <w:rPr>
          <w:rFonts w:ascii="Calibri" w:hAnsi="Calibri" w:cs="Times New Roman"/>
          <w:szCs w:val="24"/>
        </w:rPr>
        <w:t xml:space="preserve"> mainstream services </w:t>
      </w:r>
      <w:r w:rsidR="001E1F75">
        <w:rPr>
          <w:rFonts w:ascii="Calibri" w:hAnsi="Calibri" w:cs="Times New Roman"/>
          <w:szCs w:val="24"/>
        </w:rPr>
        <w:t xml:space="preserve">when developing </w:t>
      </w:r>
      <w:r w:rsidR="003A2036">
        <w:rPr>
          <w:rFonts w:ascii="Calibri" w:hAnsi="Calibri" w:cs="Times New Roman"/>
          <w:szCs w:val="24"/>
        </w:rPr>
        <w:t>recommendations</w:t>
      </w:r>
      <w:r w:rsidR="001E1F75">
        <w:rPr>
          <w:rFonts w:ascii="Calibri" w:hAnsi="Calibri" w:cs="Times New Roman"/>
          <w:szCs w:val="24"/>
        </w:rPr>
        <w:t xml:space="preserve"> in its final report</w:t>
      </w:r>
      <w:r w:rsidR="003A2036">
        <w:rPr>
          <w:rFonts w:ascii="Calibri" w:hAnsi="Calibri" w:cs="Times New Roman"/>
          <w:szCs w:val="24"/>
        </w:rPr>
        <w:t xml:space="preserve">. This will ensure that a </w:t>
      </w:r>
      <w:r w:rsidR="001E1F75">
        <w:rPr>
          <w:rFonts w:ascii="Calibri" w:hAnsi="Calibri" w:cs="Times New Roman"/>
          <w:szCs w:val="24"/>
        </w:rPr>
        <w:t>‘</w:t>
      </w:r>
      <w:r w:rsidR="003A2036">
        <w:rPr>
          <w:rFonts w:ascii="Calibri" w:hAnsi="Calibri" w:cs="Times New Roman"/>
          <w:szCs w:val="24"/>
        </w:rPr>
        <w:t>no</w:t>
      </w:r>
      <w:r w:rsidR="001E1F75">
        <w:rPr>
          <w:rFonts w:ascii="Calibri" w:hAnsi="Calibri" w:cs="Times New Roman"/>
          <w:szCs w:val="24"/>
        </w:rPr>
        <w:t xml:space="preserve"> wrong door </w:t>
      </w:r>
      <w:r w:rsidR="00284CE9" w:rsidRPr="00284CE9">
        <w:rPr>
          <w:rFonts w:ascii="Calibri" w:hAnsi="Calibri" w:cs="Times New Roman"/>
          <w:szCs w:val="24"/>
        </w:rPr>
        <w:t>approach</w:t>
      </w:r>
      <w:r w:rsidR="001E1F75">
        <w:rPr>
          <w:rFonts w:ascii="Calibri" w:hAnsi="Calibri" w:cs="Times New Roman"/>
          <w:szCs w:val="24"/>
        </w:rPr>
        <w:t>’</w:t>
      </w:r>
      <w:r w:rsidR="00983967">
        <w:rPr>
          <w:rFonts w:ascii="Calibri" w:hAnsi="Calibri" w:cs="Times New Roman"/>
          <w:szCs w:val="24"/>
        </w:rPr>
        <w:t xml:space="preserve"> </w:t>
      </w:r>
      <w:r w:rsidR="00BF0890">
        <w:rPr>
          <w:rFonts w:ascii="Calibri" w:hAnsi="Calibri" w:cs="Times New Roman"/>
          <w:szCs w:val="24"/>
        </w:rPr>
        <w:t>is applied across the mental health care system</w:t>
      </w:r>
      <w:r w:rsidR="00B845E6">
        <w:rPr>
          <w:rFonts w:ascii="Calibri" w:hAnsi="Calibri" w:cs="Times New Roman"/>
          <w:szCs w:val="24"/>
        </w:rPr>
        <w:t xml:space="preserve"> </w:t>
      </w:r>
      <w:r w:rsidR="00B845E6" w:rsidRPr="00A02132">
        <w:rPr>
          <w:rFonts w:ascii="Calibri" w:hAnsi="Calibri" w:cs="Times New Roman"/>
          <w:szCs w:val="24"/>
        </w:rPr>
        <w:t xml:space="preserve">and </w:t>
      </w:r>
      <w:r w:rsidR="003D2781">
        <w:rPr>
          <w:rFonts w:ascii="Calibri" w:hAnsi="Calibri" w:cs="Times New Roman"/>
          <w:szCs w:val="24"/>
        </w:rPr>
        <w:t>enable</w:t>
      </w:r>
      <w:r w:rsidR="00331103">
        <w:rPr>
          <w:rFonts w:ascii="Calibri" w:hAnsi="Calibri" w:cs="Times New Roman"/>
          <w:szCs w:val="24"/>
        </w:rPr>
        <w:t xml:space="preserve"> </w:t>
      </w:r>
      <w:r w:rsidR="009B0374" w:rsidRPr="00A02132">
        <w:rPr>
          <w:rFonts w:ascii="Calibri" w:hAnsi="Calibri" w:cs="Times New Roman"/>
          <w:szCs w:val="24"/>
        </w:rPr>
        <w:t>LGBTI</w:t>
      </w:r>
      <w:r w:rsidR="00B845E6" w:rsidRPr="00A02132">
        <w:rPr>
          <w:rFonts w:ascii="Calibri" w:hAnsi="Calibri" w:cs="Times New Roman"/>
          <w:szCs w:val="24"/>
        </w:rPr>
        <w:t xml:space="preserve"> </w:t>
      </w:r>
      <w:r w:rsidR="009B0374" w:rsidRPr="00A02132">
        <w:rPr>
          <w:rFonts w:ascii="Calibri" w:hAnsi="Calibri" w:cs="Times New Roman"/>
          <w:szCs w:val="24"/>
        </w:rPr>
        <w:t xml:space="preserve">people </w:t>
      </w:r>
      <w:r w:rsidR="003D2781">
        <w:rPr>
          <w:rFonts w:ascii="Calibri" w:hAnsi="Calibri" w:cs="Times New Roman"/>
          <w:szCs w:val="24"/>
        </w:rPr>
        <w:t>to choose</w:t>
      </w:r>
      <w:r w:rsidR="00331103">
        <w:rPr>
          <w:rFonts w:ascii="Calibri" w:hAnsi="Calibri" w:cs="Times New Roman"/>
          <w:szCs w:val="24"/>
        </w:rPr>
        <w:t xml:space="preserve"> and </w:t>
      </w:r>
      <w:r w:rsidR="003D2781">
        <w:rPr>
          <w:rFonts w:ascii="Calibri" w:hAnsi="Calibri" w:cs="Times New Roman"/>
          <w:szCs w:val="24"/>
        </w:rPr>
        <w:t xml:space="preserve">have </w:t>
      </w:r>
      <w:r w:rsidR="00331103">
        <w:rPr>
          <w:rFonts w:ascii="Calibri" w:hAnsi="Calibri" w:cs="Times New Roman"/>
          <w:szCs w:val="24"/>
        </w:rPr>
        <w:t xml:space="preserve">control </w:t>
      </w:r>
      <w:r w:rsidR="00A02132" w:rsidRPr="00A02132">
        <w:rPr>
          <w:rFonts w:ascii="Calibri" w:hAnsi="Calibri" w:cs="Times New Roman"/>
          <w:szCs w:val="24"/>
        </w:rPr>
        <w:t>over</w:t>
      </w:r>
      <w:r w:rsidR="000757CC" w:rsidRPr="00A02132">
        <w:rPr>
          <w:rFonts w:ascii="Calibri" w:hAnsi="Calibri" w:cs="Times New Roman"/>
          <w:szCs w:val="24"/>
        </w:rPr>
        <w:t xml:space="preserve"> what services they access.</w:t>
      </w:r>
    </w:p>
    <w:p w14:paraId="661E201F" w14:textId="2CC33462" w:rsidR="00E127CD" w:rsidRDefault="00E127CD" w:rsidP="00EE4607">
      <w:pPr>
        <w:spacing w:after="0" w:line="276" w:lineRule="auto"/>
        <w:rPr>
          <w:rFonts w:ascii="Calibri" w:hAnsi="Calibri" w:cs="Times New Roman"/>
          <w:szCs w:val="24"/>
        </w:rPr>
      </w:pPr>
    </w:p>
    <w:tbl>
      <w:tblPr>
        <w:tblStyle w:val="TableGrid"/>
        <w:tblW w:w="0" w:type="auto"/>
        <w:tblLook w:val="04A0" w:firstRow="1" w:lastRow="0" w:firstColumn="1" w:lastColumn="0" w:noHBand="0" w:noVBand="1"/>
      </w:tblPr>
      <w:tblGrid>
        <w:gridCol w:w="9016"/>
      </w:tblGrid>
      <w:tr w:rsidR="00E127CD" w14:paraId="27F51182" w14:textId="77777777" w:rsidTr="002B5E89">
        <w:trPr>
          <w:trHeight w:val="323"/>
        </w:trPr>
        <w:tc>
          <w:tcPr>
            <w:tcW w:w="9016" w:type="dxa"/>
            <w:shd w:val="clear" w:color="auto" w:fill="D9E2F3" w:themeFill="accent1" w:themeFillTint="33"/>
          </w:tcPr>
          <w:p w14:paraId="67D315B8" w14:textId="0E66151D" w:rsidR="00E127CD" w:rsidRPr="00E127CD" w:rsidRDefault="00E127CD" w:rsidP="002B5E89">
            <w:pPr>
              <w:spacing w:line="276" w:lineRule="auto"/>
              <w:rPr>
                <w:bCs/>
              </w:rPr>
            </w:pPr>
            <w:r w:rsidRPr="00BF6852">
              <w:rPr>
                <w:b/>
                <w:szCs w:val="22"/>
              </w:rPr>
              <w:t>Recommendation</w:t>
            </w:r>
            <w:r>
              <w:rPr>
                <w:b/>
                <w:szCs w:val="22"/>
              </w:rPr>
              <w:t xml:space="preserve">: </w:t>
            </w:r>
            <w:r w:rsidRPr="00E127CD">
              <w:rPr>
                <w:bCs/>
              </w:rPr>
              <w:t xml:space="preserve">Increased investment in community-controlled LGBTI mental health and wraparound support services to enhance capacity, meet demand and expand geographical reach. These include in-person, phone-based and bed-based services.  </w:t>
            </w:r>
          </w:p>
        </w:tc>
      </w:tr>
    </w:tbl>
    <w:p w14:paraId="3884D899" w14:textId="77777777" w:rsidR="00760533" w:rsidRDefault="00760533" w:rsidP="00EE4607">
      <w:pPr>
        <w:spacing w:after="0" w:line="276" w:lineRule="auto"/>
        <w:rPr>
          <w:rFonts w:ascii="Calibri" w:hAnsi="Calibri" w:cs="Times New Roman"/>
          <w:szCs w:val="24"/>
        </w:rPr>
      </w:pPr>
    </w:p>
    <w:p w14:paraId="2B97C3DF" w14:textId="7592F5EC" w:rsidR="00760533" w:rsidRDefault="00760533" w:rsidP="00EE4607">
      <w:pPr>
        <w:spacing w:after="0" w:line="276" w:lineRule="auto"/>
        <w:rPr>
          <w:rFonts w:ascii="Calibri" w:hAnsi="Calibri" w:cs="Times New Roman"/>
          <w:b/>
          <w:bCs/>
          <w:szCs w:val="24"/>
        </w:rPr>
      </w:pPr>
      <w:r w:rsidRPr="00B95355">
        <w:rPr>
          <w:rFonts w:ascii="Calibri" w:hAnsi="Calibri" w:cs="Times New Roman"/>
          <w:b/>
          <w:bCs/>
          <w:szCs w:val="24"/>
        </w:rPr>
        <w:t xml:space="preserve">Improvements </w:t>
      </w:r>
      <w:r w:rsidR="00A0723B">
        <w:rPr>
          <w:rFonts w:ascii="Calibri" w:hAnsi="Calibri" w:cs="Times New Roman"/>
          <w:b/>
          <w:bCs/>
          <w:szCs w:val="24"/>
        </w:rPr>
        <w:t xml:space="preserve">to </w:t>
      </w:r>
      <w:r w:rsidRPr="00B95355">
        <w:rPr>
          <w:rFonts w:ascii="Calibri" w:hAnsi="Calibri" w:cs="Times New Roman"/>
          <w:b/>
          <w:bCs/>
          <w:szCs w:val="24"/>
        </w:rPr>
        <w:t xml:space="preserve">data collection </w:t>
      </w:r>
      <w:r w:rsidR="00E9452C">
        <w:rPr>
          <w:rFonts w:ascii="Calibri" w:hAnsi="Calibri" w:cs="Times New Roman"/>
          <w:b/>
          <w:bCs/>
          <w:szCs w:val="24"/>
        </w:rPr>
        <w:t xml:space="preserve">on LGBTI populations </w:t>
      </w:r>
    </w:p>
    <w:p w14:paraId="4D863B52" w14:textId="319E8A2A" w:rsidR="00A0723B" w:rsidRDefault="00A0723B" w:rsidP="00EE4607">
      <w:pPr>
        <w:spacing w:after="0" w:line="276" w:lineRule="auto"/>
        <w:rPr>
          <w:rFonts w:ascii="Calibri" w:hAnsi="Calibri" w:cs="Times New Roman"/>
          <w:b/>
          <w:bCs/>
          <w:szCs w:val="24"/>
        </w:rPr>
      </w:pPr>
    </w:p>
    <w:p w14:paraId="0B580C0B" w14:textId="428F61A9" w:rsidR="00A0723B" w:rsidRPr="00A0723B" w:rsidRDefault="00A0723B" w:rsidP="00EE4607">
      <w:pPr>
        <w:spacing w:after="0" w:line="276" w:lineRule="auto"/>
        <w:rPr>
          <w:rFonts w:ascii="Calibri" w:hAnsi="Calibri" w:cs="Times New Roman"/>
          <w:szCs w:val="24"/>
          <w:lang w:val="en"/>
        </w:rPr>
      </w:pPr>
      <w:r w:rsidRPr="00A0723B">
        <w:rPr>
          <w:rFonts w:ascii="Calibri" w:hAnsi="Calibri" w:cs="Times New Roman"/>
          <w:szCs w:val="24"/>
          <w:lang w:val="en"/>
        </w:rPr>
        <w:t>We note the draft report’s recommendation for routine data collection, and its acknowledgement that significant knowledge gaps remain. One of those gaps is the Census. Currently the Census does not capture data on sexual orientation, gender identity and intersex status of the Australian population. Their exclusion means that vital data indicators will remain excluded from important data sets that are used across community, primary and tertiary health care services and programs.</w:t>
      </w:r>
    </w:p>
    <w:p w14:paraId="4BD2C20F" w14:textId="70756538" w:rsidR="00A0723B" w:rsidRPr="00F67D8F" w:rsidRDefault="00A0723B" w:rsidP="00EE4607">
      <w:pPr>
        <w:spacing w:after="0" w:line="276" w:lineRule="auto"/>
        <w:rPr>
          <w:rFonts w:ascii="Calibri" w:hAnsi="Calibri" w:cs="Times New Roman"/>
          <w:szCs w:val="24"/>
          <w:lang w:val="en"/>
        </w:rPr>
      </w:pPr>
      <w:r w:rsidRPr="00A0723B">
        <w:rPr>
          <w:rFonts w:ascii="Calibri" w:hAnsi="Calibri" w:cs="Times New Roman"/>
          <w:szCs w:val="24"/>
          <w:lang w:val="en"/>
        </w:rPr>
        <w:t>Asking appropriate questions on sexual orientation, gender identity and intersex status in the Census is crucial in fostering an evidence-informed environment for health and economic policy service planning and understanding health and social service utilisation.</w:t>
      </w:r>
      <w:r w:rsidR="003553A0">
        <w:rPr>
          <w:rFonts w:ascii="Calibri" w:hAnsi="Calibri" w:cs="Times New Roman"/>
          <w:szCs w:val="24"/>
          <w:lang w:val="en"/>
        </w:rPr>
        <w:t xml:space="preserve"> </w:t>
      </w:r>
      <w:r w:rsidR="003553A0" w:rsidRPr="00AF772E">
        <w:rPr>
          <w:rFonts w:ascii="Calibri" w:hAnsi="Calibri" w:cs="Times New Roman"/>
          <w:szCs w:val="24"/>
          <w:lang w:val="en"/>
        </w:rPr>
        <w:t xml:space="preserve">It is impossible for governments to truly meet the needs of the population if they do not </w:t>
      </w:r>
      <w:r w:rsidR="00526B97">
        <w:rPr>
          <w:rFonts w:ascii="Calibri" w:hAnsi="Calibri" w:cs="Times New Roman"/>
          <w:szCs w:val="24"/>
          <w:lang w:val="en"/>
        </w:rPr>
        <w:t xml:space="preserve">capture clear </w:t>
      </w:r>
      <w:r w:rsidR="002B4959">
        <w:rPr>
          <w:rFonts w:ascii="Calibri" w:hAnsi="Calibri" w:cs="Times New Roman"/>
          <w:szCs w:val="24"/>
          <w:lang w:val="en"/>
        </w:rPr>
        <w:t>demographic</w:t>
      </w:r>
      <w:r w:rsidR="00526B97">
        <w:rPr>
          <w:rFonts w:ascii="Calibri" w:hAnsi="Calibri" w:cs="Times New Roman"/>
          <w:szCs w:val="24"/>
          <w:lang w:val="en"/>
        </w:rPr>
        <w:t xml:space="preserve"> data</w:t>
      </w:r>
      <w:r w:rsidR="003553A0" w:rsidRPr="00AF772E">
        <w:rPr>
          <w:rFonts w:ascii="Calibri" w:hAnsi="Calibri" w:cs="Times New Roman"/>
          <w:szCs w:val="24"/>
          <w:lang w:val="en"/>
        </w:rPr>
        <w:t>. This means that we</w:t>
      </w:r>
      <w:r w:rsidR="00AB4DB8" w:rsidRPr="00AF772E">
        <w:rPr>
          <w:rFonts w:ascii="Calibri" w:hAnsi="Calibri" w:cs="Times New Roman"/>
          <w:szCs w:val="24"/>
          <w:lang w:val="en"/>
        </w:rPr>
        <w:t xml:space="preserve"> are</w:t>
      </w:r>
      <w:r w:rsidR="003553A0" w:rsidRPr="00AF772E">
        <w:rPr>
          <w:rFonts w:ascii="Calibri" w:hAnsi="Calibri" w:cs="Times New Roman"/>
          <w:szCs w:val="24"/>
          <w:lang w:val="en"/>
        </w:rPr>
        <w:t xml:space="preserve"> constantly on the back foot when it comes to service planning</w:t>
      </w:r>
      <w:r w:rsidR="00AB4DB8" w:rsidRPr="00AF772E">
        <w:rPr>
          <w:rFonts w:ascii="Calibri" w:hAnsi="Calibri" w:cs="Times New Roman"/>
          <w:szCs w:val="24"/>
          <w:lang w:val="en"/>
        </w:rPr>
        <w:t>.</w:t>
      </w:r>
      <w:r w:rsidRPr="00A0723B">
        <w:rPr>
          <w:rFonts w:ascii="Calibri" w:hAnsi="Calibri" w:cs="Times New Roman"/>
          <w:szCs w:val="24"/>
          <w:lang w:val="en"/>
        </w:rPr>
        <w:t xml:space="preserve"> </w:t>
      </w:r>
      <w:r w:rsidR="009E3A0B">
        <w:rPr>
          <w:rFonts w:ascii="Calibri" w:hAnsi="Calibri" w:cs="Times New Roman"/>
          <w:szCs w:val="24"/>
          <w:lang w:val="en"/>
        </w:rPr>
        <w:t>Access to data</w:t>
      </w:r>
      <w:r w:rsidRPr="00A0723B">
        <w:rPr>
          <w:rFonts w:ascii="Calibri" w:hAnsi="Calibri" w:cs="Times New Roman"/>
          <w:szCs w:val="24"/>
          <w:lang w:val="en"/>
        </w:rPr>
        <w:t xml:space="preserve"> is essential </w:t>
      </w:r>
      <w:r w:rsidR="00AC7554">
        <w:rPr>
          <w:rFonts w:ascii="Calibri" w:hAnsi="Calibri" w:cs="Times New Roman"/>
          <w:szCs w:val="24"/>
          <w:lang w:val="en"/>
        </w:rPr>
        <w:t xml:space="preserve">to better </w:t>
      </w:r>
      <w:r w:rsidRPr="00A0723B">
        <w:rPr>
          <w:rFonts w:ascii="Calibri" w:hAnsi="Calibri" w:cs="Times New Roman"/>
          <w:szCs w:val="24"/>
          <w:lang w:val="en"/>
        </w:rPr>
        <w:t>manag</w:t>
      </w:r>
      <w:r w:rsidR="00AC7554">
        <w:rPr>
          <w:rFonts w:ascii="Calibri" w:hAnsi="Calibri" w:cs="Times New Roman"/>
          <w:szCs w:val="24"/>
          <w:lang w:val="en"/>
        </w:rPr>
        <w:t xml:space="preserve">ing </w:t>
      </w:r>
      <w:r w:rsidRPr="00A0723B">
        <w:rPr>
          <w:rFonts w:ascii="Calibri" w:hAnsi="Calibri" w:cs="Times New Roman"/>
          <w:szCs w:val="24"/>
          <w:lang w:val="en"/>
        </w:rPr>
        <w:t xml:space="preserve">the mental health of LGBTI people and communities. </w:t>
      </w:r>
    </w:p>
    <w:p w14:paraId="55779AD1" w14:textId="77777777" w:rsidR="00AC7554" w:rsidRDefault="00AC7554" w:rsidP="00EE4607">
      <w:pPr>
        <w:spacing w:after="0" w:line="276" w:lineRule="auto"/>
        <w:rPr>
          <w:rFonts w:ascii="Calibri" w:hAnsi="Calibri" w:cs="Times New Roman"/>
          <w:szCs w:val="24"/>
          <w:lang w:val="en"/>
        </w:rPr>
      </w:pPr>
    </w:p>
    <w:p w14:paraId="01E9D808" w14:textId="4ACC99D6" w:rsidR="00317E3A" w:rsidRDefault="0036163C" w:rsidP="00317E3A">
      <w:pPr>
        <w:spacing w:after="0" w:line="276" w:lineRule="auto"/>
        <w:rPr>
          <w:rFonts w:ascii="Calibri" w:hAnsi="Calibri" w:cs="Times New Roman"/>
          <w:szCs w:val="24"/>
          <w:lang w:val="en"/>
        </w:rPr>
      </w:pPr>
      <w:r>
        <w:rPr>
          <w:rFonts w:ascii="Calibri" w:hAnsi="Calibri" w:cs="Times New Roman"/>
          <w:szCs w:val="24"/>
          <w:lang w:val="en"/>
        </w:rPr>
        <w:t xml:space="preserve">Furthermore, </w:t>
      </w:r>
      <w:r w:rsidR="00F05140">
        <w:rPr>
          <w:rFonts w:ascii="Calibri" w:hAnsi="Calibri" w:cs="Times New Roman"/>
          <w:szCs w:val="24"/>
          <w:lang w:val="en"/>
        </w:rPr>
        <w:t xml:space="preserve">it </w:t>
      </w:r>
      <w:r w:rsidR="00F26D63">
        <w:rPr>
          <w:rFonts w:ascii="Calibri" w:hAnsi="Calibri" w:cs="Times New Roman"/>
          <w:szCs w:val="24"/>
          <w:lang w:val="en"/>
        </w:rPr>
        <w:t xml:space="preserve">is vital that a </w:t>
      </w:r>
      <w:r w:rsidR="00105893">
        <w:rPr>
          <w:rFonts w:ascii="Calibri" w:hAnsi="Calibri" w:cs="Times New Roman"/>
          <w:szCs w:val="24"/>
          <w:lang w:val="en"/>
        </w:rPr>
        <w:t>consistent</w:t>
      </w:r>
      <w:r w:rsidR="00F26D63">
        <w:rPr>
          <w:rFonts w:ascii="Calibri" w:hAnsi="Calibri" w:cs="Times New Roman"/>
          <w:szCs w:val="24"/>
          <w:lang w:val="en"/>
        </w:rPr>
        <w:t xml:space="preserve"> data set that </w:t>
      </w:r>
      <w:r w:rsidR="00654649">
        <w:rPr>
          <w:rFonts w:ascii="Calibri" w:hAnsi="Calibri" w:cs="Times New Roman"/>
          <w:szCs w:val="24"/>
          <w:lang w:val="en"/>
        </w:rPr>
        <w:t>app</w:t>
      </w:r>
      <w:r w:rsidR="00451F8A">
        <w:rPr>
          <w:rFonts w:ascii="Calibri" w:hAnsi="Calibri" w:cs="Times New Roman"/>
          <w:szCs w:val="24"/>
          <w:lang w:val="en"/>
        </w:rPr>
        <w:t xml:space="preserve">ropriately </w:t>
      </w:r>
      <w:r w:rsidR="00F26D63">
        <w:rPr>
          <w:rFonts w:ascii="Calibri" w:hAnsi="Calibri" w:cs="Times New Roman"/>
          <w:szCs w:val="24"/>
          <w:lang w:val="en"/>
        </w:rPr>
        <w:t>captures LGBTI people i</w:t>
      </w:r>
      <w:r w:rsidR="008C529D">
        <w:rPr>
          <w:rFonts w:ascii="Calibri" w:hAnsi="Calibri" w:cs="Times New Roman"/>
          <w:szCs w:val="24"/>
          <w:lang w:val="en"/>
        </w:rPr>
        <w:t>s</w:t>
      </w:r>
      <w:r w:rsidR="00F26D63">
        <w:rPr>
          <w:rFonts w:ascii="Calibri" w:hAnsi="Calibri" w:cs="Times New Roman"/>
          <w:szCs w:val="24"/>
          <w:lang w:val="en"/>
        </w:rPr>
        <w:t xml:space="preserve"> embedded in suicide registers </w:t>
      </w:r>
      <w:r w:rsidR="00E44BC1">
        <w:rPr>
          <w:rFonts w:ascii="Calibri" w:hAnsi="Calibri" w:cs="Times New Roman"/>
          <w:szCs w:val="24"/>
          <w:lang w:val="en"/>
        </w:rPr>
        <w:t>across the jurisdictions. This</w:t>
      </w:r>
      <w:r w:rsidR="00353A57">
        <w:rPr>
          <w:rFonts w:ascii="Calibri" w:hAnsi="Calibri" w:cs="Times New Roman"/>
          <w:szCs w:val="24"/>
          <w:lang w:val="en"/>
        </w:rPr>
        <w:t xml:space="preserve"> must be supported by appropr</w:t>
      </w:r>
      <w:r w:rsidR="008C529D">
        <w:rPr>
          <w:rFonts w:ascii="Calibri" w:hAnsi="Calibri" w:cs="Times New Roman"/>
          <w:szCs w:val="24"/>
          <w:lang w:val="en"/>
        </w:rPr>
        <w:t xml:space="preserve">iate training and systems development to ensure </w:t>
      </w:r>
      <w:r w:rsidR="00520F6D">
        <w:rPr>
          <w:rFonts w:ascii="Calibri" w:hAnsi="Calibri" w:cs="Times New Roman"/>
          <w:szCs w:val="24"/>
          <w:lang w:val="en"/>
        </w:rPr>
        <w:t>these questions</w:t>
      </w:r>
      <w:r w:rsidR="0077114F">
        <w:rPr>
          <w:rFonts w:ascii="Calibri" w:hAnsi="Calibri" w:cs="Times New Roman"/>
          <w:szCs w:val="24"/>
          <w:lang w:val="en"/>
        </w:rPr>
        <w:t xml:space="preserve"> are asked sensitively and the information collected is </w:t>
      </w:r>
      <w:r w:rsidR="00EB610B">
        <w:rPr>
          <w:rFonts w:ascii="Calibri" w:hAnsi="Calibri" w:cs="Times New Roman"/>
          <w:szCs w:val="24"/>
          <w:lang w:val="en"/>
        </w:rPr>
        <w:t xml:space="preserve">treated with appropriate confidentiality. </w:t>
      </w:r>
      <w:r w:rsidR="00834128">
        <w:rPr>
          <w:rFonts w:ascii="Calibri" w:hAnsi="Calibri" w:cs="Times New Roman"/>
          <w:szCs w:val="24"/>
          <w:lang w:val="en"/>
        </w:rPr>
        <w:t>The federal government’s welcomed focus on working towards zero suicides relies on good data. Data linkage, and access to coroner</w:t>
      </w:r>
      <w:r w:rsidR="008714D6">
        <w:rPr>
          <w:rFonts w:ascii="Calibri" w:hAnsi="Calibri" w:cs="Times New Roman"/>
          <w:szCs w:val="24"/>
          <w:lang w:val="en"/>
        </w:rPr>
        <w:t>’</w:t>
      </w:r>
      <w:r w:rsidR="00834128">
        <w:rPr>
          <w:rFonts w:ascii="Calibri" w:hAnsi="Calibri" w:cs="Times New Roman"/>
          <w:szCs w:val="24"/>
          <w:lang w:val="en"/>
        </w:rPr>
        <w:t xml:space="preserve">s data </w:t>
      </w:r>
      <w:r w:rsidR="002D3EE8">
        <w:rPr>
          <w:rFonts w:ascii="Calibri" w:hAnsi="Calibri" w:cs="Times New Roman"/>
          <w:szCs w:val="24"/>
          <w:lang w:val="en"/>
        </w:rPr>
        <w:t>is essential to reducing the numbe</w:t>
      </w:r>
      <w:r w:rsidR="008714D6">
        <w:rPr>
          <w:rFonts w:ascii="Calibri" w:hAnsi="Calibri" w:cs="Times New Roman"/>
          <w:szCs w:val="24"/>
          <w:lang w:val="en"/>
        </w:rPr>
        <w:t xml:space="preserve">r of suicide attempts in LGBTI communities. </w:t>
      </w:r>
    </w:p>
    <w:p w14:paraId="4E13939E" w14:textId="77777777" w:rsidR="00317E3A" w:rsidRDefault="00317E3A" w:rsidP="00317E3A">
      <w:pPr>
        <w:spacing w:after="0" w:line="276" w:lineRule="auto"/>
        <w:rPr>
          <w:rFonts w:ascii="Calibri" w:hAnsi="Calibri" w:cs="Times New Roman"/>
          <w:szCs w:val="24"/>
          <w:lang w:val="en"/>
        </w:rPr>
      </w:pPr>
    </w:p>
    <w:p w14:paraId="43398C05" w14:textId="031169C6" w:rsidR="00317E3A" w:rsidRPr="00317E3A" w:rsidRDefault="00317E3A" w:rsidP="00317E3A">
      <w:pPr>
        <w:spacing w:after="0" w:line="276" w:lineRule="auto"/>
        <w:rPr>
          <w:rFonts w:ascii="Calibri" w:hAnsi="Calibri" w:cs="Times New Roman"/>
          <w:szCs w:val="24"/>
        </w:rPr>
      </w:pPr>
      <w:r w:rsidRPr="00317E3A">
        <w:rPr>
          <w:rFonts w:ascii="Calibri" w:hAnsi="Calibri" w:cs="Times New Roman"/>
          <w:szCs w:val="24"/>
        </w:rPr>
        <w:t>Establishing an evidence base about LGBTI populations that adequately represents their histories, lives, experiences, identities, relationships and accurate recording of deaths by suicide is fundamental to enabling targeted responses to the mental health care needs of LGBTI people.</w:t>
      </w:r>
    </w:p>
    <w:p w14:paraId="741EEB75" w14:textId="58CCFA50" w:rsidR="00FA37B0" w:rsidRPr="00F67D8F" w:rsidRDefault="00FA37B0" w:rsidP="00EE4607">
      <w:pPr>
        <w:spacing w:after="0" w:line="276" w:lineRule="auto"/>
        <w:rPr>
          <w:rFonts w:ascii="Calibri" w:hAnsi="Calibri" w:cs="Times New Roman"/>
          <w:b/>
          <w:bCs/>
          <w:szCs w:val="24"/>
        </w:rPr>
      </w:pPr>
    </w:p>
    <w:tbl>
      <w:tblPr>
        <w:tblStyle w:val="TableGrid"/>
        <w:tblW w:w="0" w:type="auto"/>
        <w:tblLook w:val="04A0" w:firstRow="1" w:lastRow="0" w:firstColumn="1" w:lastColumn="0" w:noHBand="0" w:noVBand="1"/>
      </w:tblPr>
      <w:tblGrid>
        <w:gridCol w:w="9016"/>
      </w:tblGrid>
      <w:tr w:rsidR="00E127CD" w14:paraId="1AE09EE3" w14:textId="77777777" w:rsidTr="002B5E89">
        <w:trPr>
          <w:trHeight w:val="323"/>
        </w:trPr>
        <w:tc>
          <w:tcPr>
            <w:tcW w:w="9016" w:type="dxa"/>
            <w:shd w:val="clear" w:color="auto" w:fill="D9E2F3" w:themeFill="accent1" w:themeFillTint="33"/>
          </w:tcPr>
          <w:p w14:paraId="56872D45" w14:textId="7C55A1F1" w:rsidR="00E127CD" w:rsidRPr="00E127CD" w:rsidRDefault="00E127CD" w:rsidP="002B5E89">
            <w:pPr>
              <w:spacing w:line="276" w:lineRule="auto"/>
              <w:rPr>
                <w:bCs/>
              </w:rPr>
            </w:pPr>
            <w:r w:rsidRPr="00BF6852">
              <w:rPr>
                <w:b/>
                <w:szCs w:val="22"/>
              </w:rPr>
              <w:t>Recommendation</w:t>
            </w:r>
            <w:r>
              <w:rPr>
                <w:b/>
                <w:szCs w:val="22"/>
              </w:rPr>
              <w:t xml:space="preserve">: </w:t>
            </w:r>
            <w:r w:rsidRPr="00E127CD">
              <w:rPr>
                <w:bCs/>
              </w:rPr>
              <w:t>The Australian Bureau of Statistics to appropriately collect data on the sexual orientation, gender identity and variations in sex characteristics of the Australian population in the national Census</w:t>
            </w:r>
            <w:r>
              <w:rPr>
                <w:bCs/>
              </w:rPr>
              <w:t>.</w:t>
            </w:r>
          </w:p>
        </w:tc>
      </w:tr>
    </w:tbl>
    <w:p w14:paraId="2CCC8FD3" w14:textId="3A20427D" w:rsidR="00E127CD" w:rsidRDefault="00E127CD" w:rsidP="00EE4607">
      <w:pPr>
        <w:spacing w:after="0" w:line="276" w:lineRule="auto"/>
        <w:rPr>
          <w:rFonts w:ascii="Calibri" w:hAnsi="Calibri" w:cs="Times New Roman"/>
          <w:szCs w:val="24"/>
        </w:rPr>
      </w:pPr>
    </w:p>
    <w:tbl>
      <w:tblPr>
        <w:tblStyle w:val="TableGrid"/>
        <w:tblW w:w="0" w:type="auto"/>
        <w:tblLook w:val="04A0" w:firstRow="1" w:lastRow="0" w:firstColumn="1" w:lastColumn="0" w:noHBand="0" w:noVBand="1"/>
      </w:tblPr>
      <w:tblGrid>
        <w:gridCol w:w="9016"/>
      </w:tblGrid>
      <w:tr w:rsidR="00E127CD" w14:paraId="28B27267" w14:textId="77777777" w:rsidTr="002B5E89">
        <w:trPr>
          <w:trHeight w:val="323"/>
        </w:trPr>
        <w:tc>
          <w:tcPr>
            <w:tcW w:w="9016" w:type="dxa"/>
            <w:shd w:val="clear" w:color="auto" w:fill="D9E2F3" w:themeFill="accent1" w:themeFillTint="33"/>
          </w:tcPr>
          <w:p w14:paraId="553D38A2" w14:textId="5E05A5F4" w:rsidR="00E127CD" w:rsidRPr="00E127CD" w:rsidRDefault="00E127CD" w:rsidP="002B5E89">
            <w:pPr>
              <w:spacing w:line="276" w:lineRule="auto"/>
              <w:rPr>
                <w:bCs/>
              </w:rPr>
            </w:pPr>
            <w:r w:rsidRPr="00BF6852">
              <w:rPr>
                <w:b/>
                <w:szCs w:val="22"/>
              </w:rPr>
              <w:t>Recommendation</w:t>
            </w:r>
            <w:r>
              <w:rPr>
                <w:b/>
                <w:szCs w:val="22"/>
              </w:rPr>
              <w:t xml:space="preserve">: </w:t>
            </w:r>
            <w:r w:rsidRPr="00E127CD">
              <w:rPr>
                <w:bCs/>
              </w:rPr>
              <w:t xml:space="preserve">A consistent data set that captures sexuality, gender, intersex status and relationships included </w:t>
            </w:r>
            <w:r w:rsidR="004C41B3">
              <w:rPr>
                <w:bCs/>
              </w:rPr>
              <w:t xml:space="preserve">across health </w:t>
            </w:r>
            <w:r w:rsidR="009D4484">
              <w:rPr>
                <w:bCs/>
              </w:rPr>
              <w:t>and social wellbeing services</w:t>
            </w:r>
            <w:r w:rsidRPr="00E127CD">
              <w:rPr>
                <w:bCs/>
              </w:rPr>
              <w:t xml:space="preserve"> </w:t>
            </w:r>
            <w:r w:rsidR="00F4151A">
              <w:rPr>
                <w:bCs/>
              </w:rPr>
              <w:t xml:space="preserve">and </w:t>
            </w:r>
            <w:r w:rsidRPr="00E127CD">
              <w:rPr>
                <w:bCs/>
              </w:rPr>
              <w:t>suicide registers.</w:t>
            </w:r>
          </w:p>
        </w:tc>
      </w:tr>
    </w:tbl>
    <w:p w14:paraId="27602044" w14:textId="2DC2A1A1" w:rsidR="00A0723B" w:rsidRDefault="00A0723B" w:rsidP="00EE4607">
      <w:pPr>
        <w:spacing w:after="0" w:line="276" w:lineRule="auto"/>
        <w:rPr>
          <w:rFonts w:ascii="Calibri" w:hAnsi="Calibri" w:cs="Times New Roman"/>
          <w:b/>
          <w:bCs/>
          <w:szCs w:val="24"/>
        </w:rPr>
      </w:pPr>
    </w:p>
    <w:p w14:paraId="57EEB0EA" w14:textId="0B6CCA44" w:rsidR="00A0723B" w:rsidRPr="0018497F" w:rsidRDefault="00A0723B" w:rsidP="00EE4607">
      <w:pPr>
        <w:spacing w:after="0" w:line="276" w:lineRule="auto"/>
        <w:rPr>
          <w:rFonts w:ascii="Calibri" w:hAnsi="Calibri" w:cs="Times New Roman"/>
          <w:b/>
          <w:bCs/>
          <w:szCs w:val="24"/>
          <w:lang w:val="en"/>
        </w:rPr>
      </w:pPr>
      <w:r w:rsidRPr="00A0723B">
        <w:rPr>
          <w:rFonts w:ascii="Calibri" w:hAnsi="Calibri" w:cs="Times New Roman"/>
          <w:b/>
          <w:bCs/>
          <w:szCs w:val="24"/>
          <w:lang w:val="en"/>
        </w:rPr>
        <w:t>National coordination and investment</w:t>
      </w:r>
    </w:p>
    <w:p w14:paraId="1F7DF5D9" w14:textId="77777777" w:rsidR="00A0723B" w:rsidRPr="00A0723B" w:rsidRDefault="00A0723B" w:rsidP="00EE4607">
      <w:pPr>
        <w:spacing w:after="0" w:line="276" w:lineRule="auto"/>
        <w:rPr>
          <w:rFonts w:ascii="Calibri" w:hAnsi="Calibri" w:cs="Times New Roman"/>
          <w:b/>
          <w:bCs/>
          <w:szCs w:val="24"/>
          <w:lang w:val="en"/>
        </w:rPr>
      </w:pPr>
    </w:p>
    <w:p w14:paraId="5C4EE02F" w14:textId="2C6E862B" w:rsidR="00A0723B" w:rsidRDefault="00A0723B" w:rsidP="00EE4607">
      <w:pPr>
        <w:spacing w:after="0" w:line="276" w:lineRule="auto"/>
        <w:rPr>
          <w:rFonts w:ascii="Calibri" w:hAnsi="Calibri" w:cs="Times New Roman"/>
          <w:szCs w:val="24"/>
          <w:lang w:val="en"/>
        </w:rPr>
      </w:pPr>
      <w:r w:rsidRPr="00A0723B">
        <w:rPr>
          <w:rFonts w:ascii="Calibri" w:hAnsi="Calibri" w:cs="Times New Roman"/>
          <w:szCs w:val="24"/>
          <w:lang w:val="en"/>
        </w:rPr>
        <w:t xml:space="preserve">Currently there is no national coordination of goals and targets outlined in national health and wellbeing strategies where </w:t>
      </w:r>
      <w:r w:rsidR="00473E2D">
        <w:rPr>
          <w:rFonts w:ascii="Calibri" w:hAnsi="Calibri" w:cs="Times New Roman"/>
          <w:szCs w:val="24"/>
          <w:lang w:val="en"/>
        </w:rPr>
        <w:t>LGBTI people</w:t>
      </w:r>
      <w:r w:rsidRPr="00A0723B">
        <w:rPr>
          <w:rFonts w:ascii="Calibri" w:hAnsi="Calibri" w:cs="Times New Roman"/>
          <w:szCs w:val="24"/>
          <w:lang w:val="en"/>
        </w:rPr>
        <w:t xml:space="preserve"> are identified as a priority population. </w:t>
      </w:r>
      <w:r w:rsidR="009D4484">
        <w:rPr>
          <w:rFonts w:ascii="Calibri" w:hAnsi="Calibri" w:cs="Times New Roman"/>
          <w:szCs w:val="24"/>
          <w:lang w:val="en"/>
        </w:rPr>
        <w:t>A</w:t>
      </w:r>
      <w:r w:rsidR="009D4484" w:rsidRPr="009D4484">
        <w:rPr>
          <w:rFonts w:ascii="Calibri" w:hAnsi="Calibri" w:cs="Times New Roman"/>
          <w:szCs w:val="24"/>
          <w:lang w:val="en"/>
        </w:rPr>
        <w:t xml:space="preserve"> national coordinated approach to LGBTI health </w:t>
      </w:r>
      <w:r w:rsidR="009D4484">
        <w:rPr>
          <w:rFonts w:ascii="Calibri" w:hAnsi="Calibri" w:cs="Times New Roman"/>
          <w:szCs w:val="24"/>
          <w:lang w:val="en"/>
        </w:rPr>
        <w:t>will</w:t>
      </w:r>
      <w:r w:rsidR="009D4484" w:rsidRPr="009D4484">
        <w:rPr>
          <w:rFonts w:ascii="Calibri" w:hAnsi="Calibri" w:cs="Times New Roman"/>
          <w:szCs w:val="24"/>
          <w:lang w:val="en"/>
        </w:rPr>
        <w:t xml:space="preserve"> ensure that money is better invested into our communities to effectively respond to the significant mental health disparities we experience. </w:t>
      </w:r>
      <w:r w:rsidR="0044363D">
        <w:rPr>
          <w:rFonts w:ascii="Calibri" w:hAnsi="Calibri" w:cs="Times New Roman"/>
          <w:szCs w:val="24"/>
          <w:lang w:val="en"/>
        </w:rPr>
        <w:t xml:space="preserve">It is important that </w:t>
      </w:r>
      <w:r w:rsidRPr="00A0723B">
        <w:rPr>
          <w:rFonts w:ascii="Calibri" w:hAnsi="Calibri" w:cs="Times New Roman"/>
          <w:szCs w:val="24"/>
          <w:lang w:val="en"/>
        </w:rPr>
        <w:t xml:space="preserve">LGBTI </w:t>
      </w:r>
      <w:r>
        <w:rPr>
          <w:rFonts w:ascii="Calibri" w:hAnsi="Calibri" w:cs="Times New Roman"/>
          <w:szCs w:val="24"/>
          <w:lang w:val="en"/>
        </w:rPr>
        <w:t xml:space="preserve">health </w:t>
      </w:r>
      <w:r w:rsidRPr="00A0723B">
        <w:rPr>
          <w:rFonts w:ascii="Calibri" w:hAnsi="Calibri" w:cs="Times New Roman"/>
          <w:szCs w:val="24"/>
          <w:lang w:val="en"/>
        </w:rPr>
        <w:t>research</w:t>
      </w:r>
      <w:r w:rsidR="0044363D">
        <w:rPr>
          <w:rFonts w:ascii="Calibri" w:hAnsi="Calibri" w:cs="Times New Roman"/>
          <w:szCs w:val="24"/>
          <w:lang w:val="en"/>
        </w:rPr>
        <w:t xml:space="preserve"> is included in this national approach, as </w:t>
      </w:r>
      <w:r w:rsidRPr="00A0723B">
        <w:rPr>
          <w:rFonts w:ascii="Calibri" w:hAnsi="Calibri" w:cs="Times New Roman"/>
          <w:szCs w:val="24"/>
          <w:lang w:val="en"/>
        </w:rPr>
        <w:t xml:space="preserve">we </w:t>
      </w:r>
      <w:r w:rsidR="00473E2D">
        <w:rPr>
          <w:rFonts w:ascii="Calibri" w:hAnsi="Calibri" w:cs="Times New Roman"/>
          <w:szCs w:val="24"/>
          <w:lang w:val="en"/>
        </w:rPr>
        <w:t xml:space="preserve">currently </w:t>
      </w:r>
      <w:r w:rsidRPr="00A0723B">
        <w:rPr>
          <w:rFonts w:ascii="Calibri" w:hAnsi="Calibri" w:cs="Times New Roman"/>
          <w:szCs w:val="24"/>
          <w:lang w:val="en"/>
        </w:rPr>
        <w:t xml:space="preserve">have a siloed approach. The Alliance is attempting to bring all LGBTI health researchers together and our capacity to do this is hampered without the resources to do this. Other peak bodies are able to </w:t>
      </w:r>
      <w:r w:rsidRPr="00A0723B">
        <w:rPr>
          <w:rFonts w:ascii="Calibri" w:hAnsi="Calibri" w:cs="Times New Roman"/>
          <w:szCs w:val="24"/>
          <w:lang w:val="en"/>
        </w:rPr>
        <w:lastRenderedPageBreak/>
        <w:t>undertake this important work as well as other important national peak functions because of core funding. Peak funding for the Alliance would enable us to undertake much needed national coordination in LGBTI health as well as meet the demands of members, governments and other stakeholders that rightly reach out to the Alliance as the national LGBTI health peak body.</w:t>
      </w:r>
    </w:p>
    <w:p w14:paraId="1A2FFB30" w14:textId="3DC4254C" w:rsidR="00E127CD" w:rsidRDefault="00E127CD" w:rsidP="00EE4607">
      <w:pPr>
        <w:spacing w:after="0" w:line="276" w:lineRule="auto"/>
        <w:rPr>
          <w:rFonts w:ascii="Calibri" w:hAnsi="Calibri" w:cs="Times New Roman"/>
          <w:szCs w:val="24"/>
          <w:lang w:val="en"/>
        </w:rPr>
      </w:pPr>
    </w:p>
    <w:tbl>
      <w:tblPr>
        <w:tblStyle w:val="TableGrid"/>
        <w:tblW w:w="0" w:type="auto"/>
        <w:tblLook w:val="04A0" w:firstRow="1" w:lastRow="0" w:firstColumn="1" w:lastColumn="0" w:noHBand="0" w:noVBand="1"/>
      </w:tblPr>
      <w:tblGrid>
        <w:gridCol w:w="9016"/>
      </w:tblGrid>
      <w:tr w:rsidR="00E127CD" w14:paraId="19971E37" w14:textId="77777777" w:rsidTr="002B5E89">
        <w:trPr>
          <w:trHeight w:val="323"/>
        </w:trPr>
        <w:tc>
          <w:tcPr>
            <w:tcW w:w="9016" w:type="dxa"/>
            <w:shd w:val="clear" w:color="auto" w:fill="D9E2F3" w:themeFill="accent1" w:themeFillTint="33"/>
          </w:tcPr>
          <w:p w14:paraId="74E1E83B" w14:textId="2CBBD2CA" w:rsidR="00E127CD" w:rsidRPr="00E127CD" w:rsidRDefault="00E127CD" w:rsidP="002B5E89">
            <w:pPr>
              <w:spacing w:line="276" w:lineRule="auto"/>
              <w:rPr>
                <w:bCs/>
              </w:rPr>
            </w:pPr>
            <w:r w:rsidRPr="00BF6852">
              <w:rPr>
                <w:b/>
                <w:szCs w:val="22"/>
              </w:rPr>
              <w:t>Recommendation</w:t>
            </w:r>
            <w:r>
              <w:rPr>
                <w:b/>
                <w:szCs w:val="22"/>
              </w:rPr>
              <w:t xml:space="preserve">: </w:t>
            </w:r>
            <w:r w:rsidRPr="00E127CD">
              <w:rPr>
                <w:szCs w:val="22"/>
                <w:lang w:val="en-US"/>
              </w:rPr>
              <w:t>The National LGBTI Health Alliance is incorporated into the Health Peak and Advisory Bodies Programme to fully execute its peak role and be able to contribute, engage and participate at the national level to improve the health outcomes for LGBTI communities.</w:t>
            </w:r>
          </w:p>
        </w:tc>
      </w:tr>
    </w:tbl>
    <w:p w14:paraId="141BA110" w14:textId="77777777" w:rsidR="00585AA9" w:rsidRDefault="00585AA9" w:rsidP="00EE4607">
      <w:pPr>
        <w:spacing w:after="0" w:line="276" w:lineRule="auto"/>
        <w:rPr>
          <w:lang w:val="en"/>
        </w:rPr>
      </w:pPr>
    </w:p>
    <w:p w14:paraId="7DAA119A" w14:textId="7E9A09C1" w:rsidR="00585AA9" w:rsidRDefault="00585AA9" w:rsidP="00EE4607">
      <w:pPr>
        <w:spacing w:after="0" w:line="276" w:lineRule="auto"/>
        <w:rPr>
          <w:b/>
          <w:bCs/>
          <w:lang w:val="en"/>
        </w:rPr>
      </w:pPr>
      <w:r w:rsidRPr="00585AA9">
        <w:rPr>
          <w:b/>
          <w:bCs/>
          <w:lang w:val="en"/>
        </w:rPr>
        <w:t xml:space="preserve">Conclusion </w:t>
      </w:r>
    </w:p>
    <w:p w14:paraId="76752F84" w14:textId="77777777" w:rsidR="00585AA9" w:rsidRPr="00585AA9" w:rsidRDefault="00585AA9" w:rsidP="00EE4607">
      <w:pPr>
        <w:spacing w:after="0" w:line="276" w:lineRule="auto"/>
        <w:rPr>
          <w:b/>
          <w:bCs/>
          <w:lang w:val="en"/>
        </w:rPr>
      </w:pPr>
    </w:p>
    <w:p w14:paraId="0CA60915" w14:textId="512676FB" w:rsidR="00A30615" w:rsidRPr="007B752D" w:rsidRDefault="00A30615" w:rsidP="00EE4607">
      <w:pPr>
        <w:spacing w:after="0" w:line="276" w:lineRule="auto"/>
      </w:pPr>
      <w:r w:rsidRPr="00C76903">
        <w:rPr>
          <w:lang w:val="en"/>
        </w:rPr>
        <w:t xml:space="preserve">The Alliance would like to thank the </w:t>
      </w:r>
      <w:r>
        <w:rPr>
          <w:lang w:val="en"/>
        </w:rPr>
        <w:t>Productivity Commission</w:t>
      </w:r>
      <w:r w:rsidRPr="00C76903">
        <w:rPr>
          <w:lang w:val="en"/>
        </w:rPr>
        <w:t xml:space="preserve"> for the opportunity to </w:t>
      </w:r>
      <w:r>
        <w:rPr>
          <w:lang w:val="en"/>
        </w:rPr>
        <w:t>provide feedback on its draft inquiry report on mental health, and for taking into consideration our key recommendations.</w:t>
      </w:r>
      <w:r w:rsidRPr="00C76903">
        <w:rPr>
          <w:lang w:val="en"/>
        </w:rPr>
        <w:t xml:space="preserve"> If you require any further information, please do not hesitate to contact myself on (02) 8568 1123 or via email at nicky.bath@lgbtihealth.org.au</w:t>
      </w:r>
      <w:r>
        <w:rPr>
          <w:lang w:val="en"/>
        </w:rPr>
        <w:t xml:space="preserve"> or the Policy and Research Coordinator Daniel Comensoli on (02) 8568 1132 or daniel.comensoli@lgbtihealth.org.au.</w:t>
      </w:r>
    </w:p>
    <w:p w14:paraId="58B727D8" w14:textId="77777777" w:rsidR="00A30615" w:rsidRDefault="00A30615" w:rsidP="00EE4607">
      <w:pPr>
        <w:spacing w:after="0" w:line="276" w:lineRule="auto"/>
      </w:pPr>
    </w:p>
    <w:p w14:paraId="38EFE024" w14:textId="77777777" w:rsidR="00CC5A88" w:rsidRDefault="00CC5A88"/>
    <w:sectPr w:rsidR="00CC5A88" w:rsidSect="00A30615">
      <w:headerReference w:type="even" r:id="rId14"/>
      <w:headerReference w:type="default" r:id="rId15"/>
      <w:footerReference w:type="even" r:id="rId16"/>
      <w:footerReference w:type="default" r:id="rId17"/>
      <w:headerReference w:type="first" r:id="rId18"/>
      <w:footerReference w:type="first" r:id="rId19"/>
      <w:pgSz w:w="11906" w:h="16838"/>
      <w:pgMar w:top="576" w:right="1440" w:bottom="576" w:left="1440" w:header="706"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9C171" w14:textId="77777777" w:rsidR="00BF2957" w:rsidRDefault="00BF2957" w:rsidP="005A4F70">
      <w:pPr>
        <w:spacing w:after="0" w:line="240" w:lineRule="auto"/>
      </w:pPr>
      <w:r>
        <w:separator/>
      </w:r>
    </w:p>
  </w:endnote>
  <w:endnote w:type="continuationSeparator" w:id="0">
    <w:p w14:paraId="4080FEF1" w14:textId="77777777" w:rsidR="00BF2957" w:rsidRDefault="00BF2957" w:rsidP="005A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4FC22" w14:textId="77777777" w:rsidR="0025604E" w:rsidRDefault="002560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EC356" w14:textId="77777777" w:rsidR="00A30615" w:rsidRDefault="00A30615" w:rsidP="00A30615">
    <w:pPr>
      <w:pBdr>
        <w:top w:val="nil"/>
        <w:left w:val="nil"/>
        <w:bottom w:val="single" w:sz="6" w:space="1" w:color="000000"/>
        <w:right w:val="nil"/>
        <w:between w:val="nil"/>
      </w:pBdr>
      <w:tabs>
        <w:tab w:val="center" w:pos="4513"/>
        <w:tab w:val="right" w:pos="9026"/>
      </w:tabs>
      <w:rPr>
        <w:color w:val="000000"/>
      </w:rPr>
    </w:pPr>
  </w:p>
  <w:p w14:paraId="1243772B" w14:textId="179DA3DF" w:rsidR="00A30615" w:rsidRPr="00A30615" w:rsidRDefault="00A30615" w:rsidP="00A30615">
    <w:pPr>
      <w:pBdr>
        <w:top w:val="nil"/>
        <w:left w:val="nil"/>
        <w:bottom w:val="nil"/>
        <w:right w:val="nil"/>
        <w:between w:val="nil"/>
      </w:pBdr>
      <w:tabs>
        <w:tab w:val="center" w:pos="4513"/>
        <w:tab w:val="right" w:pos="9026"/>
      </w:tabs>
      <w:jc w:val="center"/>
      <w:rPr>
        <w:i/>
        <w:color w:val="000000"/>
      </w:rPr>
    </w:pPr>
    <w:r>
      <w:rPr>
        <w:i/>
        <w:color w:val="000000"/>
      </w:rPr>
      <w:t>Working together for health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87C41" w14:textId="77777777" w:rsidR="0025604E" w:rsidRDefault="00256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71C4B" w14:textId="77777777" w:rsidR="00BF2957" w:rsidRDefault="00BF2957" w:rsidP="005A4F70">
      <w:pPr>
        <w:spacing w:after="0" w:line="240" w:lineRule="auto"/>
      </w:pPr>
      <w:r>
        <w:separator/>
      </w:r>
    </w:p>
  </w:footnote>
  <w:footnote w:type="continuationSeparator" w:id="0">
    <w:p w14:paraId="2D3B1965" w14:textId="77777777" w:rsidR="00BF2957" w:rsidRDefault="00BF2957" w:rsidP="005A4F70">
      <w:pPr>
        <w:spacing w:after="0" w:line="240" w:lineRule="auto"/>
      </w:pPr>
      <w:r>
        <w:continuationSeparator/>
      </w:r>
    </w:p>
  </w:footnote>
  <w:footnote w:id="1">
    <w:p w14:paraId="59459D35" w14:textId="1434EBA4" w:rsidR="0092312E" w:rsidRPr="00D07CAA" w:rsidRDefault="0092312E" w:rsidP="0092312E">
      <w:pPr>
        <w:pStyle w:val="FootnoteText"/>
        <w:rPr>
          <w:sz w:val="18"/>
          <w:szCs w:val="18"/>
          <w:lang w:val="en-AU"/>
        </w:rPr>
      </w:pPr>
      <w:r w:rsidRPr="00D07CAA">
        <w:rPr>
          <w:rStyle w:val="FootnoteReference"/>
          <w:sz w:val="18"/>
          <w:szCs w:val="18"/>
        </w:rPr>
        <w:footnoteRef/>
      </w:r>
      <w:r w:rsidRPr="00D07CAA">
        <w:rPr>
          <w:sz w:val="18"/>
          <w:szCs w:val="18"/>
        </w:rPr>
        <w:t xml:space="preserve"> </w:t>
      </w:r>
      <w:r w:rsidRPr="00D07CAA">
        <w:rPr>
          <w:sz w:val="18"/>
          <w:szCs w:val="18"/>
          <w:lang w:val="en-AU"/>
        </w:rPr>
        <w:t xml:space="preserve">Ecker, S., Riggle, EDB., </w:t>
      </w:r>
      <w:r w:rsidRPr="0092312E">
        <w:rPr>
          <w:sz w:val="18"/>
          <w:szCs w:val="18"/>
          <w:lang w:val="en-AU"/>
        </w:rPr>
        <w:t>Rostosky</w:t>
      </w:r>
      <w:r w:rsidRPr="00D07CAA">
        <w:rPr>
          <w:sz w:val="18"/>
          <w:szCs w:val="18"/>
          <w:lang w:val="en-AU"/>
        </w:rPr>
        <w:t>,</w:t>
      </w:r>
      <w:r w:rsidRPr="0092312E">
        <w:rPr>
          <w:sz w:val="18"/>
          <w:szCs w:val="18"/>
          <w:lang w:val="en-AU"/>
        </w:rPr>
        <w:t xml:space="preserve"> SS</w:t>
      </w:r>
      <w:r w:rsidRPr="00D07CAA">
        <w:rPr>
          <w:sz w:val="18"/>
          <w:szCs w:val="18"/>
          <w:lang w:val="en-AU"/>
        </w:rPr>
        <w:t>.</w:t>
      </w:r>
      <w:r w:rsidRPr="0092312E">
        <w:rPr>
          <w:sz w:val="18"/>
          <w:szCs w:val="18"/>
          <w:lang w:val="en-AU"/>
        </w:rPr>
        <w:t>, Byrnes</w:t>
      </w:r>
      <w:r w:rsidRPr="00D07CAA">
        <w:rPr>
          <w:sz w:val="18"/>
          <w:szCs w:val="18"/>
          <w:lang w:val="en-AU"/>
        </w:rPr>
        <w:t>,</w:t>
      </w:r>
      <w:r w:rsidRPr="0092312E">
        <w:rPr>
          <w:sz w:val="18"/>
          <w:szCs w:val="18"/>
          <w:lang w:val="en-AU"/>
        </w:rPr>
        <w:t xml:space="preserve"> JM. Impact of the Australian</w:t>
      </w:r>
      <w:r w:rsidRPr="00D07CAA">
        <w:rPr>
          <w:sz w:val="18"/>
          <w:szCs w:val="18"/>
          <w:lang w:val="en-AU"/>
        </w:rPr>
        <w:t xml:space="preserve"> </w:t>
      </w:r>
      <w:r w:rsidRPr="0092312E">
        <w:rPr>
          <w:sz w:val="18"/>
          <w:szCs w:val="18"/>
          <w:lang w:val="en-AU"/>
        </w:rPr>
        <w:t>marriage equality postal survey and debate on psychological</w:t>
      </w:r>
      <w:r w:rsidRPr="00D07CAA">
        <w:rPr>
          <w:sz w:val="18"/>
          <w:szCs w:val="18"/>
          <w:lang w:val="en-AU"/>
        </w:rPr>
        <w:t xml:space="preserve"> </w:t>
      </w:r>
      <w:r w:rsidRPr="0092312E">
        <w:rPr>
          <w:sz w:val="18"/>
          <w:szCs w:val="18"/>
          <w:lang w:val="en-AU"/>
        </w:rPr>
        <w:t>distress among lesbian, gay, bisexual, transgender,</w:t>
      </w:r>
      <w:r w:rsidRPr="00D07CAA">
        <w:rPr>
          <w:sz w:val="18"/>
          <w:szCs w:val="18"/>
          <w:lang w:val="en-AU"/>
        </w:rPr>
        <w:t xml:space="preserve"> </w:t>
      </w:r>
      <w:r w:rsidRPr="0092312E">
        <w:rPr>
          <w:sz w:val="18"/>
          <w:szCs w:val="18"/>
          <w:lang w:val="en-AU"/>
        </w:rPr>
        <w:t>intersex and queer/questioning people and</w:t>
      </w:r>
      <w:r w:rsidRPr="00D07CAA">
        <w:rPr>
          <w:sz w:val="18"/>
          <w:szCs w:val="18"/>
          <w:lang w:val="en-AU"/>
        </w:rPr>
        <w:t xml:space="preserve"> </w:t>
      </w:r>
      <w:r w:rsidRPr="0092312E">
        <w:rPr>
          <w:sz w:val="18"/>
          <w:szCs w:val="18"/>
          <w:lang w:val="en-AU"/>
        </w:rPr>
        <w:t xml:space="preserve">allies. </w:t>
      </w:r>
      <w:r w:rsidRPr="0092312E">
        <w:rPr>
          <w:i/>
          <w:iCs/>
          <w:sz w:val="18"/>
          <w:szCs w:val="18"/>
          <w:lang w:val="en-AU"/>
        </w:rPr>
        <w:t>Aust J Psychol</w:t>
      </w:r>
      <w:r w:rsidRPr="0092312E">
        <w:rPr>
          <w:sz w:val="18"/>
          <w:szCs w:val="18"/>
          <w:lang w:val="en-AU"/>
        </w:rPr>
        <w:t>. 2019;1–11. https://doi.org/10.</w:t>
      </w:r>
      <w:r w:rsidRPr="00D07CAA">
        <w:rPr>
          <w:sz w:val="18"/>
          <w:szCs w:val="18"/>
          <w:lang w:val="en-AU"/>
        </w:rPr>
        <w:t>1111/ajpy.12245</w:t>
      </w:r>
    </w:p>
  </w:footnote>
  <w:footnote w:id="2">
    <w:p w14:paraId="6CF1FA84" w14:textId="6CF6972B" w:rsidR="003E1CB6" w:rsidRPr="00D07CAA" w:rsidRDefault="003E1CB6" w:rsidP="00A13416">
      <w:pPr>
        <w:pStyle w:val="FootnoteText"/>
        <w:rPr>
          <w:sz w:val="18"/>
          <w:szCs w:val="18"/>
          <w:lang w:val="en-AU"/>
        </w:rPr>
      </w:pPr>
      <w:r w:rsidRPr="00D07CAA">
        <w:rPr>
          <w:rStyle w:val="FootnoteReference"/>
          <w:sz w:val="18"/>
          <w:szCs w:val="18"/>
        </w:rPr>
        <w:footnoteRef/>
      </w:r>
      <w:r w:rsidRPr="00D07CAA">
        <w:rPr>
          <w:sz w:val="18"/>
          <w:szCs w:val="18"/>
        </w:rPr>
        <w:t xml:space="preserve"> </w:t>
      </w:r>
      <w:r w:rsidR="00A13416" w:rsidRPr="00D07CAA">
        <w:rPr>
          <w:sz w:val="18"/>
          <w:szCs w:val="18"/>
          <w:lang w:val="en-AU"/>
        </w:rPr>
        <w:t xml:space="preserve">Verrelli, S., White, FA., </w:t>
      </w:r>
      <w:r w:rsidR="00A13416" w:rsidRPr="00A13416">
        <w:rPr>
          <w:sz w:val="18"/>
          <w:szCs w:val="18"/>
          <w:lang w:val="en-AU"/>
        </w:rPr>
        <w:t>Harvey</w:t>
      </w:r>
      <w:r w:rsidR="00A13416" w:rsidRPr="00D07CAA">
        <w:rPr>
          <w:sz w:val="18"/>
          <w:szCs w:val="18"/>
          <w:lang w:val="en-AU"/>
        </w:rPr>
        <w:t>,</w:t>
      </w:r>
      <w:r w:rsidR="00A13416" w:rsidRPr="00A13416">
        <w:rPr>
          <w:sz w:val="18"/>
          <w:szCs w:val="18"/>
          <w:lang w:val="en-AU"/>
        </w:rPr>
        <w:t xml:space="preserve"> LJ</w:t>
      </w:r>
      <w:r w:rsidR="00A13416" w:rsidRPr="00D07CAA">
        <w:rPr>
          <w:sz w:val="18"/>
          <w:szCs w:val="18"/>
          <w:lang w:val="en-AU"/>
        </w:rPr>
        <w:t>,</w:t>
      </w:r>
      <w:r w:rsidR="00A13416" w:rsidRPr="00A13416">
        <w:rPr>
          <w:sz w:val="18"/>
          <w:szCs w:val="18"/>
          <w:lang w:val="en-AU"/>
        </w:rPr>
        <w:t>, Pulciani</w:t>
      </w:r>
      <w:r w:rsidR="00A13416" w:rsidRPr="00D07CAA">
        <w:rPr>
          <w:sz w:val="18"/>
          <w:szCs w:val="18"/>
          <w:lang w:val="en-AU"/>
        </w:rPr>
        <w:t>,</w:t>
      </w:r>
      <w:r w:rsidR="00A13416" w:rsidRPr="00A13416">
        <w:rPr>
          <w:sz w:val="18"/>
          <w:szCs w:val="18"/>
          <w:lang w:val="en-AU"/>
        </w:rPr>
        <w:t xml:space="preserve"> MR. Minority stress, social support,</w:t>
      </w:r>
      <w:r w:rsidR="00A13416" w:rsidRPr="00D07CAA">
        <w:rPr>
          <w:sz w:val="18"/>
          <w:szCs w:val="18"/>
          <w:lang w:val="en-AU"/>
        </w:rPr>
        <w:t xml:space="preserve"> </w:t>
      </w:r>
      <w:r w:rsidR="00A13416" w:rsidRPr="00A13416">
        <w:rPr>
          <w:sz w:val="18"/>
          <w:szCs w:val="18"/>
          <w:lang w:val="en-AU"/>
        </w:rPr>
        <w:t>and the mental health of lesbian, gay, and bisexual</w:t>
      </w:r>
      <w:r w:rsidR="00A13416" w:rsidRPr="00D07CAA">
        <w:rPr>
          <w:sz w:val="18"/>
          <w:szCs w:val="18"/>
          <w:lang w:val="en-AU"/>
        </w:rPr>
        <w:t xml:space="preserve"> </w:t>
      </w:r>
      <w:r w:rsidR="00A13416" w:rsidRPr="00A13416">
        <w:rPr>
          <w:sz w:val="18"/>
          <w:szCs w:val="18"/>
          <w:lang w:val="en-AU"/>
        </w:rPr>
        <w:t>Australians during the Australian Marriage Law</w:t>
      </w:r>
      <w:r w:rsidR="00A13416" w:rsidRPr="00D07CAA">
        <w:rPr>
          <w:sz w:val="18"/>
          <w:szCs w:val="18"/>
          <w:lang w:val="en-AU"/>
        </w:rPr>
        <w:t xml:space="preserve"> </w:t>
      </w:r>
      <w:r w:rsidR="00A13416" w:rsidRPr="00A13416">
        <w:rPr>
          <w:sz w:val="18"/>
          <w:szCs w:val="18"/>
          <w:lang w:val="en-AU"/>
        </w:rPr>
        <w:t xml:space="preserve">Postal Survey. </w:t>
      </w:r>
      <w:r w:rsidR="00A13416" w:rsidRPr="00A13416">
        <w:rPr>
          <w:i/>
          <w:iCs/>
          <w:sz w:val="18"/>
          <w:szCs w:val="18"/>
          <w:lang w:val="en-AU"/>
        </w:rPr>
        <w:t>Aust Psychol</w:t>
      </w:r>
      <w:r w:rsidR="00A13416" w:rsidRPr="00A13416">
        <w:rPr>
          <w:sz w:val="18"/>
          <w:szCs w:val="18"/>
          <w:lang w:val="en-AU"/>
        </w:rPr>
        <w:t>. 2019;1–11. https://doi.</w:t>
      </w:r>
      <w:r w:rsidR="00A13416" w:rsidRPr="00D07CAA">
        <w:rPr>
          <w:sz w:val="18"/>
          <w:szCs w:val="18"/>
          <w:lang w:val="en-AU"/>
        </w:rPr>
        <w:t>org/10.1111/ap.12380</w:t>
      </w:r>
    </w:p>
  </w:footnote>
  <w:footnote w:id="3">
    <w:p w14:paraId="72CC5B18" w14:textId="77777777" w:rsidR="005A4F70" w:rsidRPr="00D07CAA" w:rsidRDefault="005A4F70" w:rsidP="005A4F70">
      <w:pPr>
        <w:pStyle w:val="FootnoteText"/>
        <w:rPr>
          <w:sz w:val="18"/>
          <w:szCs w:val="18"/>
          <w:lang w:val="en-AU"/>
        </w:rPr>
      </w:pPr>
      <w:r w:rsidRPr="00D07CAA">
        <w:rPr>
          <w:rStyle w:val="FootnoteReference"/>
          <w:sz w:val="18"/>
          <w:szCs w:val="18"/>
        </w:rPr>
        <w:footnoteRef/>
      </w:r>
      <w:r w:rsidRPr="00D07CAA">
        <w:rPr>
          <w:sz w:val="18"/>
          <w:szCs w:val="18"/>
        </w:rPr>
        <w:t xml:space="preserve"> </w:t>
      </w:r>
      <w:r w:rsidRPr="00D07CAA">
        <w:rPr>
          <w:sz w:val="18"/>
          <w:szCs w:val="18"/>
          <w:lang w:val="en-AU"/>
        </w:rPr>
        <w:t>Leonard, W., Pitts, M., Mitchell, A., Lyons, A., Smith, A., Patel, S., et al. (2012). “Private Lives 2: The second national survey of the health and wellbeing of gay, lesbian, bisexual and transgender (GLBT) Australians.” Monograph Series Number 86. Melbourne: Australian Research Centre in Sex, Health and Society, La Trobe University.</w:t>
      </w:r>
    </w:p>
  </w:footnote>
  <w:footnote w:id="4">
    <w:p w14:paraId="24CF8E4C" w14:textId="77777777" w:rsidR="005A4F70" w:rsidRPr="00D07CAA" w:rsidRDefault="005A4F70" w:rsidP="005A4F70">
      <w:pPr>
        <w:pStyle w:val="FootnoteText"/>
        <w:rPr>
          <w:sz w:val="18"/>
          <w:szCs w:val="18"/>
          <w:lang w:val="en-AU"/>
        </w:rPr>
      </w:pPr>
      <w:r w:rsidRPr="00D07CAA">
        <w:rPr>
          <w:rStyle w:val="FootnoteReference"/>
          <w:sz w:val="18"/>
          <w:szCs w:val="18"/>
        </w:rPr>
        <w:footnoteRef/>
      </w:r>
      <w:r w:rsidRPr="00D07CAA">
        <w:rPr>
          <w:sz w:val="18"/>
          <w:szCs w:val="18"/>
        </w:rPr>
        <w:t xml:space="preserve"> </w:t>
      </w:r>
      <w:r w:rsidRPr="00D07CAA">
        <w:rPr>
          <w:sz w:val="18"/>
          <w:szCs w:val="18"/>
          <w:lang w:val="en-AU"/>
        </w:rPr>
        <w:t>Strauss, P., Cook, A., Winter, S., Watson, V., Wright Toussaint, D., et al. (2017). “Trans Pathways: the mental health experiences and care pathways of trans young people. Summary of results.” Perth: Telethon Kids Institute.</w:t>
      </w:r>
    </w:p>
  </w:footnote>
  <w:footnote w:id="5">
    <w:p w14:paraId="1EDE0A70" w14:textId="2E2B197D" w:rsidR="005A4F70" w:rsidRPr="00D07CAA" w:rsidRDefault="005A4F70" w:rsidP="005A4F70">
      <w:pPr>
        <w:pStyle w:val="FootnoteText"/>
        <w:rPr>
          <w:sz w:val="18"/>
          <w:szCs w:val="18"/>
          <w:lang w:val="en-GB"/>
        </w:rPr>
      </w:pPr>
      <w:r w:rsidRPr="00D07CAA">
        <w:rPr>
          <w:rStyle w:val="FootnoteReference"/>
          <w:sz w:val="18"/>
          <w:szCs w:val="18"/>
        </w:rPr>
        <w:footnoteRef/>
      </w:r>
      <w:r w:rsidRPr="00D07CAA">
        <w:rPr>
          <w:sz w:val="18"/>
          <w:szCs w:val="18"/>
        </w:rPr>
        <w:t xml:space="preserve"> Smith, E., Jones, T., Ward, R., Dixon, J., Mitchell, A., and Hiller, L. (2014). “From Blues to Rainbows: Mental health and wellbeing of gender diverse and transgender young people in Australia”</w:t>
      </w:r>
      <w:r w:rsidRPr="00D07CAA">
        <w:rPr>
          <w:i/>
          <w:sz w:val="18"/>
          <w:szCs w:val="18"/>
        </w:rPr>
        <w:t xml:space="preserve">, </w:t>
      </w:r>
      <w:r w:rsidRPr="00D07CAA">
        <w:rPr>
          <w:sz w:val="18"/>
          <w:szCs w:val="18"/>
        </w:rPr>
        <w:t>Melbourne: The Australian Research Centre in Sex, Health and Society, La Trobe University</w:t>
      </w:r>
      <w:r w:rsidRPr="00D07CAA">
        <w:rPr>
          <w:sz w:val="18"/>
          <w:szCs w:val="18"/>
          <w:lang w:val="en-GB"/>
        </w:rPr>
        <w:t>.</w:t>
      </w:r>
    </w:p>
  </w:footnote>
  <w:footnote w:id="6">
    <w:p w14:paraId="474327C1" w14:textId="77777777" w:rsidR="005A4F70" w:rsidRPr="00D07CAA" w:rsidRDefault="005A4F70" w:rsidP="005A4F70">
      <w:pPr>
        <w:pStyle w:val="FootnoteText"/>
        <w:rPr>
          <w:sz w:val="18"/>
          <w:szCs w:val="18"/>
          <w:lang w:val="en-AU"/>
        </w:rPr>
      </w:pPr>
      <w:r w:rsidRPr="00D07CAA">
        <w:rPr>
          <w:rStyle w:val="FootnoteReference"/>
          <w:sz w:val="18"/>
          <w:szCs w:val="18"/>
        </w:rPr>
        <w:footnoteRef/>
      </w:r>
      <w:r w:rsidRPr="00D07CAA">
        <w:rPr>
          <w:sz w:val="18"/>
          <w:szCs w:val="18"/>
        </w:rPr>
        <w:t xml:space="preserve"> </w:t>
      </w:r>
      <w:r w:rsidRPr="00D07CAA">
        <w:rPr>
          <w:sz w:val="18"/>
          <w:szCs w:val="18"/>
          <w:lang w:val="en-AU"/>
        </w:rPr>
        <w:t>Australian Human Rights Commission, (2015). “Resilient Individuals: Sexual Orientation, Gender Identity and Intersex Rights.” Available from: https://www.humanrights.gov.au/sites/default/files/document/publication/SOGII%20Rights%20Report%202015_Web_Version.pdf</w:t>
      </w:r>
    </w:p>
  </w:footnote>
  <w:footnote w:id="7">
    <w:p w14:paraId="7658F25F" w14:textId="77777777" w:rsidR="005A4F70" w:rsidRPr="00D07CAA" w:rsidRDefault="005A4F70" w:rsidP="005A4F70">
      <w:pPr>
        <w:pStyle w:val="FootnoteText"/>
        <w:rPr>
          <w:sz w:val="18"/>
          <w:szCs w:val="18"/>
          <w:lang w:val="en-AU"/>
        </w:rPr>
      </w:pPr>
      <w:r w:rsidRPr="00D07CAA">
        <w:rPr>
          <w:rStyle w:val="FootnoteReference"/>
          <w:sz w:val="18"/>
          <w:szCs w:val="18"/>
        </w:rPr>
        <w:footnoteRef/>
      </w:r>
      <w:r w:rsidRPr="00D07CAA">
        <w:rPr>
          <w:sz w:val="18"/>
          <w:szCs w:val="18"/>
        </w:rPr>
        <w:t xml:space="preserve"> </w:t>
      </w:r>
      <w:r w:rsidRPr="00D07CAA">
        <w:rPr>
          <w:sz w:val="18"/>
          <w:szCs w:val="18"/>
          <w:lang w:val="en-AU"/>
        </w:rPr>
        <w:t xml:space="preserve">Schützmann, K., Brinkmann, L., Schacht, M. et al. Arch Sex Behav (2009). “Psychological Distress, Self-Harming Behavior, and Suicidal Tendencies in Adults with Disorders of Sex Development.” </w:t>
      </w:r>
      <w:r w:rsidRPr="00D07CAA">
        <w:rPr>
          <w:i/>
          <w:iCs/>
          <w:sz w:val="18"/>
          <w:szCs w:val="18"/>
          <w:lang w:val="en-AU"/>
        </w:rPr>
        <w:t>Archives of Sexual Behavior</w:t>
      </w:r>
      <w:r w:rsidRPr="00D07CAA">
        <w:rPr>
          <w:sz w:val="18"/>
          <w:szCs w:val="18"/>
          <w:lang w:val="en-AU"/>
        </w:rPr>
        <w:t>. 38:1. pg. 16–33.</w:t>
      </w:r>
    </w:p>
  </w:footnote>
  <w:footnote w:id="8">
    <w:p w14:paraId="4D572FDB" w14:textId="77777777" w:rsidR="005A4F70" w:rsidRPr="00FC1094" w:rsidRDefault="005A4F70" w:rsidP="005A4F70">
      <w:pPr>
        <w:pStyle w:val="FootnoteText"/>
        <w:rPr>
          <w:sz w:val="18"/>
          <w:szCs w:val="18"/>
          <w:lang w:val="en-AU"/>
        </w:rPr>
      </w:pPr>
      <w:r w:rsidRPr="00D07CAA">
        <w:rPr>
          <w:rStyle w:val="FootnoteReference"/>
          <w:sz w:val="18"/>
          <w:szCs w:val="18"/>
        </w:rPr>
        <w:footnoteRef/>
      </w:r>
      <w:r w:rsidRPr="00D07CAA">
        <w:rPr>
          <w:sz w:val="18"/>
          <w:szCs w:val="18"/>
        </w:rPr>
        <w:t xml:space="preserve"> </w:t>
      </w:r>
      <w:r w:rsidRPr="00D07CAA">
        <w:rPr>
          <w:sz w:val="18"/>
          <w:szCs w:val="18"/>
          <w:lang w:val="en-AU"/>
        </w:rPr>
        <w:t>Mooney-Somers, J., Deacon, R.M., Scott, P., Price, K., and Parkhill, N. (2018). “</w:t>
      </w:r>
      <w:r w:rsidRPr="00D07CAA">
        <w:rPr>
          <w:iCs/>
          <w:sz w:val="18"/>
          <w:szCs w:val="18"/>
          <w:lang w:val="en-AU"/>
        </w:rPr>
        <w:t>Women in contact with the Sydney LGBTQ communities: Report of the SWASH Lesbian, Bisexual and Queer Women’s Health Survey 2014, 2016, 2018”</w:t>
      </w:r>
      <w:r w:rsidRPr="00D07CAA">
        <w:rPr>
          <w:sz w:val="18"/>
          <w:szCs w:val="18"/>
          <w:lang w:val="en-AU"/>
        </w:rPr>
        <w:t>, Sydney: Sydney Health Ethics, University of Sydney.</w:t>
      </w:r>
    </w:p>
  </w:footnote>
  <w:footnote w:id="9">
    <w:p w14:paraId="32BF3CDA" w14:textId="77777777" w:rsidR="00214C03" w:rsidRPr="009D337D" w:rsidRDefault="00214C03" w:rsidP="00214C03">
      <w:pPr>
        <w:pStyle w:val="FootnoteText"/>
        <w:rPr>
          <w:lang w:val="en-AU"/>
        </w:rPr>
      </w:pPr>
      <w:r>
        <w:rPr>
          <w:rStyle w:val="FootnoteReference"/>
        </w:rPr>
        <w:footnoteRef/>
      </w:r>
      <w:r>
        <w:t xml:space="preserve"> </w:t>
      </w:r>
      <w:r w:rsidRPr="009D337D">
        <w:rPr>
          <w:sz w:val="18"/>
          <w:szCs w:val="18"/>
          <w:lang w:val="en-AU"/>
        </w:rPr>
        <w:t>Leonard</w:t>
      </w:r>
      <w:r>
        <w:rPr>
          <w:sz w:val="18"/>
          <w:szCs w:val="18"/>
          <w:lang w:val="en-AU"/>
        </w:rPr>
        <w:t>, W.,</w:t>
      </w:r>
      <w:r w:rsidRPr="009D337D">
        <w:rPr>
          <w:sz w:val="18"/>
          <w:szCs w:val="18"/>
          <w:lang w:val="en-AU"/>
        </w:rPr>
        <w:t xml:space="preserve"> and Metcalf,</w:t>
      </w:r>
      <w:r>
        <w:rPr>
          <w:sz w:val="18"/>
          <w:szCs w:val="18"/>
          <w:lang w:val="en-AU"/>
        </w:rPr>
        <w:t xml:space="preserve"> A., (2014).</w:t>
      </w:r>
      <w:r w:rsidRPr="009D337D">
        <w:rPr>
          <w:sz w:val="18"/>
          <w:szCs w:val="18"/>
          <w:lang w:val="en-AU"/>
        </w:rPr>
        <w:t xml:space="preserve"> ‘Going upstream: A framework for promoting the mental health of lesbian, gay, bisexual, transgender and intersex (LGBTI) people’</w:t>
      </w:r>
      <w:r>
        <w:rPr>
          <w:sz w:val="18"/>
          <w:szCs w:val="18"/>
          <w:lang w:val="en-AU"/>
        </w:rPr>
        <w:t xml:space="preserve">. </w:t>
      </w:r>
      <w:r w:rsidRPr="009D337D">
        <w:rPr>
          <w:sz w:val="18"/>
          <w:szCs w:val="18"/>
          <w:lang w:val="en-AU"/>
        </w:rPr>
        <w:t>(National LGBTI Health Alliance</w:t>
      </w:r>
      <w:r>
        <w:rPr>
          <w:sz w:val="18"/>
          <w:szCs w:val="18"/>
          <w:lang w:val="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115B" w14:textId="0B08F506" w:rsidR="0025604E" w:rsidRDefault="00256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C807B" w14:textId="71ACA79E" w:rsidR="0025604E" w:rsidRDefault="002560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1EE6F" w14:textId="595E2046" w:rsidR="0025604E" w:rsidRDefault="002560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81CBD"/>
    <w:multiLevelType w:val="hybridMultilevel"/>
    <w:tmpl w:val="0E76045C"/>
    <w:lvl w:ilvl="0" w:tplc="88C2026C">
      <w:start w:val="1"/>
      <w:numFmt w:val="lowerLetter"/>
      <w:lvlText w:val="(%1)"/>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FC05B5"/>
    <w:multiLevelType w:val="hybridMultilevel"/>
    <w:tmpl w:val="65E8D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4F30B8"/>
    <w:multiLevelType w:val="hybridMultilevel"/>
    <w:tmpl w:val="135AB9E0"/>
    <w:lvl w:ilvl="0" w:tplc="CF0EE8DE">
      <w:start w:val="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33"/>
    <w:rsid w:val="000015F6"/>
    <w:rsid w:val="00007F29"/>
    <w:rsid w:val="00011F11"/>
    <w:rsid w:val="00014F48"/>
    <w:rsid w:val="0002760F"/>
    <w:rsid w:val="00027660"/>
    <w:rsid w:val="00031D0A"/>
    <w:rsid w:val="00035691"/>
    <w:rsid w:val="00040ACF"/>
    <w:rsid w:val="00042174"/>
    <w:rsid w:val="0004506F"/>
    <w:rsid w:val="0005098B"/>
    <w:rsid w:val="0005343B"/>
    <w:rsid w:val="0005513A"/>
    <w:rsid w:val="0005585C"/>
    <w:rsid w:val="00057AA7"/>
    <w:rsid w:val="000632CA"/>
    <w:rsid w:val="00065864"/>
    <w:rsid w:val="000720CF"/>
    <w:rsid w:val="000757CC"/>
    <w:rsid w:val="0007624D"/>
    <w:rsid w:val="000774A1"/>
    <w:rsid w:val="000823E7"/>
    <w:rsid w:val="00090D55"/>
    <w:rsid w:val="000931E5"/>
    <w:rsid w:val="000A1290"/>
    <w:rsid w:val="000A2253"/>
    <w:rsid w:val="000A3828"/>
    <w:rsid w:val="000B35D4"/>
    <w:rsid w:val="000B6550"/>
    <w:rsid w:val="000C43C7"/>
    <w:rsid w:val="000D00BD"/>
    <w:rsid w:val="000D265B"/>
    <w:rsid w:val="000D4D98"/>
    <w:rsid w:val="000D785B"/>
    <w:rsid w:val="000D7F5B"/>
    <w:rsid w:val="000E12F6"/>
    <w:rsid w:val="000E1E25"/>
    <w:rsid w:val="000E5AD0"/>
    <w:rsid w:val="000F0C77"/>
    <w:rsid w:val="000F37EC"/>
    <w:rsid w:val="00105893"/>
    <w:rsid w:val="001060F7"/>
    <w:rsid w:val="0011690F"/>
    <w:rsid w:val="00116A28"/>
    <w:rsid w:val="001231A9"/>
    <w:rsid w:val="00126CB3"/>
    <w:rsid w:val="001270F7"/>
    <w:rsid w:val="0013153A"/>
    <w:rsid w:val="001416E2"/>
    <w:rsid w:val="00146128"/>
    <w:rsid w:val="001476EC"/>
    <w:rsid w:val="0015457C"/>
    <w:rsid w:val="001551A7"/>
    <w:rsid w:val="001579F9"/>
    <w:rsid w:val="00161479"/>
    <w:rsid w:val="001656AD"/>
    <w:rsid w:val="001668F2"/>
    <w:rsid w:val="00170B13"/>
    <w:rsid w:val="00170BFE"/>
    <w:rsid w:val="0017307A"/>
    <w:rsid w:val="00176CD3"/>
    <w:rsid w:val="00181458"/>
    <w:rsid w:val="00183223"/>
    <w:rsid w:val="00183835"/>
    <w:rsid w:val="0018497F"/>
    <w:rsid w:val="00185D19"/>
    <w:rsid w:val="00185F24"/>
    <w:rsid w:val="00193CC2"/>
    <w:rsid w:val="00194C50"/>
    <w:rsid w:val="00196EB0"/>
    <w:rsid w:val="001A79AE"/>
    <w:rsid w:val="001B1392"/>
    <w:rsid w:val="001B3060"/>
    <w:rsid w:val="001D1103"/>
    <w:rsid w:val="001E0711"/>
    <w:rsid w:val="001E1458"/>
    <w:rsid w:val="001E1F75"/>
    <w:rsid w:val="001F3084"/>
    <w:rsid w:val="001F5D1A"/>
    <w:rsid w:val="001F6A1C"/>
    <w:rsid w:val="001F7DE1"/>
    <w:rsid w:val="002047F7"/>
    <w:rsid w:val="00205964"/>
    <w:rsid w:val="0021332A"/>
    <w:rsid w:val="00214718"/>
    <w:rsid w:val="00214C03"/>
    <w:rsid w:val="00217813"/>
    <w:rsid w:val="00220DFF"/>
    <w:rsid w:val="00221EAD"/>
    <w:rsid w:val="00221EEE"/>
    <w:rsid w:val="00226715"/>
    <w:rsid w:val="00230BFF"/>
    <w:rsid w:val="0023293A"/>
    <w:rsid w:val="00236C5C"/>
    <w:rsid w:val="002406F4"/>
    <w:rsid w:val="0025127F"/>
    <w:rsid w:val="002535C9"/>
    <w:rsid w:val="0025604E"/>
    <w:rsid w:val="00256ED9"/>
    <w:rsid w:val="0026096D"/>
    <w:rsid w:val="0026188C"/>
    <w:rsid w:val="002620EB"/>
    <w:rsid w:val="00264642"/>
    <w:rsid w:val="002651D5"/>
    <w:rsid w:val="0026556A"/>
    <w:rsid w:val="002768DB"/>
    <w:rsid w:val="00277B4F"/>
    <w:rsid w:val="00282AA7"/>
    <w:rsid w:val="00284CE9"/>
    <w:rsid w:val="00290781"/>
    <w:rsid w:val="00291460"/>
    <w:rsid w:val="00297412"/>
    <w:rsid w:val="002A0709"/>
    <w:rsid w:val="002A15FF"/>
    <w:rsid w:val="002A39DC"/>
    <w:rsid w:val="002A6CA8"/>
    <w:rsid w:val="002A779F"/>
    <w:rsid w:val="002A7F31"/>
    <w:rsid w:val="002B0D68"/>
    <w:rsid w:val="002B216E"/>
    <w:rsid w:val="002B2AF4"/>
    <w:rsid w:val="002B4751"/>
    <w:rsid w:val="002B4959"/>
    <w:rsid w:val="002B7CE7"/>
    <w:rsid w:val="002C0235"/>
    <w:rsid w:val="002C3FCB"/>
    <w:rsid w:val="002C7E6B"/>
    <w:rsid w:val="002D2C6C"/>
    <w:rsid w:val="002D3EE8"/>
    <w:rsid w:val="002D5D5A"/>
    <w:rsid w:val="002D632E"/>
    <w:rsid w:val="002E49C6"/>
    <w:rsid w:val="002E4C82"/>
    <w:rsid w:val="002E6F96"/>
    <w:rsid w:val="002E7459"/>
    <w:rsid w:val="002F0F90"/>
    <w:rsid w:val="002F5316"/>
    <w:rsid w:val="00301428"/>
    <w:rsid w:val="00301C97"/>
    <w:rsid w:val="003035B1"/>
    <w:rsid w:val="00313572"/>
    <w:rsid w:val="00317E3A"/>
    <w:rsid w:val="003201A8"/>
    <w:rsid w:val="00321428"/>
    <w:rsid w:val="00321AA4"/>
    <w:rsid w:val="00325149"/>
    <w:rsid w:val="00326661"/>
    <w:rsid w:val="00330F30"/>
    <w:rsid w:val="00331103"/>
    <w:rsid w:val="003334EE"/>
    <w:rsid w:val="00334339"/>
    <w:rsid w:val="0033583D"/>
    <w:rsid w:val="003359BB"/>
    <w:rsid w:val="00341DA0"/>
    <w:rsid w:val="0034580C"/>
    <w:rsid w:val="00353A57"/>
    <w:rsid w:val="00353B22"/>
    <w:rsid w:val="0035499A"/>
    <w:rsid w:val="003553A0"/>
    <w:rsid w:val="0035551B"/>
    <w:rsid w:val="0036163C"/>
    <w:rsid w:val="0036471D"/>
    <w:rsid w:val="00370B67"/>
    <w:rsid w:val="003731C0"/>
    <w:rsid w:val="003750A2"/>
    <w:rsid w:val="00375546"/>
    <w:rsid w:val="0037779B"/>
    <w:rsid w:val="00381117"/>
    <w:rsid w:val="00381996"/>
    <w:rsid w:val="00383186"/>
    <w:rsid w:val="00393DCF"/>
    <w:rsid w:val="003970E4"/>
    <w:rsid w:val="003A0DE3"/>
    <w:rsid w:val="003A2036"/>
    <w:rsid w:val="003A700B"/>
    <w:rsid w:val="003B1CB1"/>
    <w:rsid w:val="003B2425"/>
    <w:rsid w:val="003B386A"/>
    <w:rsid w:val="003B4164"/>
    <w:rsid w:val="003B62CD"/>
    <w:rsid w:val="003D218A"/>
    <w:rsid w:val="003D2781"/>
    <w:rsid w:val="003D2CC6"/>
    <w:rsid w:val="003D571B"/>
    <w:rsid w:val="003E1CB6"/>
    <w:rsid w:val="003E2110"/>
    <w:rsid w:val="003E791D"/>
    <w:rsid w:val="003F4FCD"/>
    <w:rsid w:val="003F6069"/>
    <w:rsid w:val="0040473E"/>
    <w:rsid w:val="00405CAD"/>
    <w:rsid w:val="00414823"/>
    <w:rsid w:val="00420076"/>
    <w:rsid w:val="00425CCB"/>
    <w:rsid w:val="00430252"/>
    <w:rsid w:val="00431102"/>
    <w:rsid w:val="00432BEE"/>
    <w:rsid w:val="004333AD"/>
    <w:rsid w:val="004336A0"/>
    <w:rsid w:val="00437641"/>
    <w:rsid w:val="0044363D"/>
    <w:rsid w:val="00444557"/>
    <w:rsid w:val="00451F8A"/>
    <w:rsid w:val="00454187"/>
    <w:rsid w:val="004566C8"/>
    <w:rsid w:val="0046604B"/>
    <w:rsid w:val="0047064B"/>
    <w:rsid w:val="00473E2D"/>
    <w:rsid w:val="004837F6"/>
    <w:rsid w:val="0048467C"/>
    <w:rsid w:val="004852D8"/>
    <w:rsid w:val="00486C19"/>
    <w:rsid w:val="00487C75"/>
    <w:rsid w:val="00496A43"/>
    <w:rsid w:val="00497A3B"/>
    <w:rsid w:val="00497BC2"/>
    <w:rsid w:val="004A1544"/>
    <w:rsid w:val="004A1A3A"/>
    <w:rsid w:val="004A7C31"/>
    <w:rsid w:val="004B1F4B"/>
    <w:rsid w:val="004B2222"/>
    <w:rsid w:val="004B7362"/>
    <w:rsid w:val="004C1919"/>
    <w:rsid w:val="004C41B3"/>
    <w:rsid w:val="004C47A7"/>
    <w:rsid w:val="004C4FAC"/>
    <w:rsid w:val="004C65A0"/>
    <w:rsid w:val="004D359F"/>
    <w:rsid w:val="004D5DA6"/>
    <w:rsid w:val="004D6F6A"/>
    <w:rsid w:val="004E7017"/>
    <w:rsid w:val="004F16A9"/>
    <w:rsid w:val="004F2D72"/>
    <w:rsid w:val="004F3273"/>
    <w:rsid w:val="004F5BF1"/>
    <w:rsid w:val="005014A9"/>
    <w:rsid w:val="00501A5C"/>
    <w:rsid w:val="005030C1"/>
    <w:rsid w:val="005044D6"/>
    <w:rsid w:val="00505B06"/>
    <w:rsid w:val="0051049A"/>
    <w:rsid w:val="00511198"/>
    <w:rsid w:val="00511B49"/>
    <w:rsid w:val="00511C32"/>
    <w:rsid w:val="00514485"/>
    <w:rsid w:val="00520F6D"/>
    <w:rsid w:val="00522B99"/>
    <w:rsid w:val="00526B97"/>
    <w:rsid w:val="00531C35"/>
    <w:rsid w:val="00532126"/>
    <w:rsid w:val="005334A5"/>
    <w:rsid w:val="00540D4D"/>
    <w:rsid w:val="0054127A"/>
    <w:rsid w:val="0054186F"/>
    <w:rsid w:val="00551F52"/>
    <w:rsid w:val="005545F7"/>
    <w:rsid w:val="005606E2"/>
    <w:rsid w:val="00562B0A"/>
    <w:rsid w:val="005646BB"/>
    <w:rsid w:val="00565364"/>
    <w:rsid w:val="00575419"/>
    <w:rsid w:val="00584B65"/>
    <w:rsid w:val="00585AA9"/>
    <w:rsid w:val="00592400"/>
    <w:rsid w:val="005952D1"/>
    <w:rsid w:val="005A2FF6"/>
    <w:rsid w:val="005A4F70"/>
    <w:rsid w:val="005B0247"/>
    <w:rsid w:val="005B05FF"/>
    <w:rsid w:val="005B29B7"/>
    <w:rsid w:val="005B4840"/>
    <w:rsid w:val="005B4A42"/>
    <w:rsid w:val="005B7ADC"/>
    <w:rsid w:val="005C137D"/>
    <w:rsid w:val="005C444C"/>
    <w:rsid w:val="005C6F93"/>
    <w:rsid w:val="005C7D10"/>
    <w:rsid w:val="005D20F3"/>
    <w:rsid w:val="005D6BA6"/>
    <w:rsid w:val="005E0448"/>
    <w:rsid w:val="005E1830"/>
    <w:rsid w:val="005E1B7C"/>
    <w:rsid w:val="005E3004"/>
    <w:rsid w:val="005E480A"/>
    <w:rsid w:val="005F0D6A"/>
    <w:rsid w:val="005F1C04"/>
    <w:rsid w:val="005F6FD6"/>
    <w:rsid w:val="005F72FE"/>
    <w:rsid w:val="00601EBF"/>
    <w:rsid w:val="00606D19"/>
    <w:rsid w:val="00612771"/>
    <w:rsid w:val="00621BBD"/>
    <w:rsid w:val="006257C4"/>
    <w:rsid w:val="00632757"/>
    <w:rsid w:val="00635ADF"/>
    <w:rsid w:val="00641EF6"/>
    <w:rsid w:val="00642C6A"/>
    <w:rsid w:val="006506FB"/>
    <w:rsid w:val="006516C8"/>
    <w:rsid w:val="006535D0"/>
    <w:rsid w:val="00654649"/>
    <w:rsid w:val="006620DF"/>
    <w:rsid w:val="0066700E"/>
    <w:rsid w:val="006708CE"/>
    <w:rsid w:val="0067366F"/>
    <w:rsid w:val="006748C1"/>
    <w:rsid w:val="00675750"/>
    <w:rsid w:val="006853C0"/>
    <w:rsid w:val="00692A3D"/>
    <w:rsid w:val="0069742E"/>
    <w:rsid w:val="006A411F"/>
    <w:rsid w:val="006A4B0D"/>
    <w:rsid w:val="006A74C6"/>
    <w:rsid w:val="006B0122"/>
    <w:rsid w:val="006B2AFC"/>
    <w:rsid w:val="006B2FDD"/>
    <w:rsid w:val="006B405A"/>
    <w:rsid w:val="006B4FDE"/>
    <w:rsid w:val="006B55A2"/>
    <w:rsid w:val="006B5664"/>
    <w:rsid w:val="006D2974"/>
    <w:rsid w:val="006D33E0"/>
    <w:rsid w:val="006D656B"/>
    <w:rsid w:val="006D6E14"/>
    <w:rsid w:val="006E1E15"/>
    <w:rsid w:val="006E7CE0"/>
    <w:rsid w:val="006F3810"/>
    <w:rsid w:val="006F6154"/>
    <w:rsid w:val="006F6B06"/>
    <w:rsid w:val="006F6FE7"/>
    <w:rsid w:val="00701392"/>
    <w:rsid w:val="00704957"/>
    <w:rsid w:val="00707135"/>
    <w:rsid w:val="00711411"/>
    <w:rsid w:val="00720E9B"/>
    <w:rsid w:val="0073101F"/>
    <w:rsid w:val="00732EC9"/>
    <w:rsid w:val="00734332"/>
    <w:rsid w:val="00735A81"/>
    <w:rsid w:val="007362A1"/>
    <w:rsid w:val="007365B5"/>
    <w:rsid w:val="007434DF"/>
    <w:rsid w:val="00757B25"/>
    <w:rsid w:val="00760533"/>
    <w:rsid w:val="007700FF"/>
    <w:rsid w:val="0077114F"/>
    <w:rsid w:val="0077133F"/>
    <w:rsid w:val="00782F65"/>
    <w:rsid w:val="0078428E"/>
    <w:rsid w:val="00787BE6"/>
    <w:rsid w:val="00793CF8"/>
    <w:rsid w:val="00797B8A"/>
    <w:rsid w:val="007A0C50"/>
    <w:rsid w:val="007A6063"/>
    <w:rsid w:val="007B10F5"/>
    <w:rsid w:val="007B14AE"/>
    <w:rsid w:val="007B67EF"/>
    <w:rsid w:val="007B77CF"/>
    <w:rsid w:val="007C3209"/>
    <w:rsid w:val="007C4700"/>
    <w:rsid w:val="007C57F2"/>
    <w:rsid w:val="007C623E"/>
    <w:rsid w:val="007C67B3"/>
    <w:rsid w:val="007D1488"/>
    <w:rsid w:val="007D6162"/>
    <w:rsid w:val="007E0EE8"/>
    <w:rsid w:val="007E2280"/>
    <w:rsid w:val="007E3856"/>
    <w:rsid w:val="007E68A4"/>
    <w:rsid w:val="007E72CC"/>
    <w:rsid w:val="007E7EE8"/>
    <w:rsid w:val="007F2182"/>
    <w:rsid w:val="007F3C42"/>
    <w:rsid w:val="007F60AC"/>
    <w:rsid w:val="008012F7"/>
    <w:rsid w:val="00803075"/>
    <w:rsid w:val="00813E64"/>
    <w:rsid w:val="00814307"/>
    <w:rsid w:val="008143D5"/>
    <w:rsid w:val="00814987"/>
    <w:rsid w:val="0081589F"/>
    <w:rsid w:val="00817E69"/>
    <w:rsid w:val="00823E55"/>
    <w:rsid w:val="00832032"/>
    <w:rsid w:val="00833FA8"/>
    <w:rsid w:val="00834128"/>
    <w:rsid w:val="0083759A"/>
    <w:rsid w:val="0083785D"/>
    <w:rsid w:val="0084015F"/>
    <w:rsid w:val="008407BF"/>
    <w:rsid w:val="00843865"/>
    <w:rsid w:val="00844FA0"/>
    <w:rsid w:val="0084678F"/>
    <w:rsid w:val="00850066"/>
    <w:rsid w:val="0085604F"/>
    <w:rsid w:val="008626F8"/>
    <w:rsid w:val="008632D0"/>
    <w:rsid w:val="008642B5"/>
    <w:rsid w:val="008714D6"/>
    <w:rsid w:val="00871784"/>
    <w:rsid w:val="0087312A"/>
    <w:rsid w:val="008736D2"/>
    <w:rsid w:val="008741FA"/>
    <w:rsid w:val="00874378"/>
    <w:rsid w:val="008750B8"/>
    <w:rsid w:val="00875B85"/>
    <w:rsid w:val="00877A86"/>
    <w:rsid w:val="00881823"/>
    <w:rsid w:val="008835F2"/>
    <w:rsid w:val="00897E4D"/>
    <w:rsid w:val="008A52B3"/>
    <w:rsid w:val="008A7450"/>
    <w:rsid w:val="008A7689"/>
    <w:rsid w:val="008C377D"/>
    <w:rsid w:val="008C4538"/>
    <w:rsid w:val="008C529D"/>
    <w:rsid w:val="008D16F8"/>
    <w:rsid w:val="008D2099"/>
    <w:rsid w:val="008D6C1D"/>
    <w:rsid w:val="008D735B"/>
    <w:rsid w:val="008E2506"/>
    <w:rsid w:val="008E255E"/>
    <w:rsid w:val="008E76CC"/>
    <w:rsid w:val="008E78CF"/>
    <w:rsid w:val="008F1196"/>
    <w:rsid w:val="008F29E1"/>
    <w:rsid w:val="008F3859"/>
    <w:rsid w:val="008F72FA"/>
    <w:rsid w:val="00901E21"/>
    <w:rsid w:val="00902FA6"/>
    <w:rsid w:val="00903E62"/>
    <w:rsid w:val="00905D66"/>
    <w:rsid w:val="009101D2"/>
    <w:rsid w:val="009147A3"/>
    <w:rsid w:val="0092312E"/>
    <w:rsid w:val="0092595D"/>
    <w:rsid w:val="00927D3B"/>
    <w:rsid w:val="00933BE5"/>
    <w:rsid w:val="009371F5"/>
    <w:rsid w:val="00947733"/>
    <w:rsid w:val="009509B5"/>
    <w:rsid w:val="009515BD"/>
    <w:rsid w:val="009520C4"/>
    <w:rsid w:val="00952854"/>
    <w:rsid w:val="00955E1B"/>
    <w:rsid w:val="00965652"/>
    <w:rsid w:val="00966C52"/>
    <w:rsid w:val="00975B6F"/>
    <w:rsid w:val="009766CC"/>
    <w:rsid w:val="00980798"/>
    <w:rsid w:val="00982607"/>
    <w:rsid w:val="0098296D"/>
    <w:rsid w:val="00983967"/>
    <w:rsid w:val="00986C98"/>
    <w:rsid w:val="00996019"/>
    <w:rsid w:val="00997633"/>
    <w:rsid w:val="0099788E"/>
    <w:rsid w:val="009A23BB"/>
    <w:rsid w:val="009A3467"/>
    <w:rsid w:val="009B01CF"/>
    <w:rsid w:val="009B0374"/>
    <w:rsid w:val="009B0EA9"/>
    <w:rsid w:val="009B11FF"/>
    <w:rsid w:val="009B3D7F"/>
    <w:rsid w:val="009B5677"/>
    <w:rsid w:val="009C08F6"/>
    <w:rsid w:val="009C4F2D"/>
    <w:rsid w:val="009D2B7B"/>
    <w:rsid w:val="009D337D"/>
    <w:rsid w:val="009D4484"/>
    <w:rsid w:val="009E3A0B"/>
    <w:rsid w:val="009F068B"/>
    <w:rsid w:val="009F166E"/>
    <w:rsid w:val="00A005C1"/>
    <w:rsid w:val="00A01FC8"/>
    <w:rsid w:val="00A02132"/>
    <w:rsid w:val="00A02C4D"/>
    <w:rsid w:val="00A04D97"/>
    <w:rsid w:val="00A056BD"/>
    <w:rsid w:val="00A0723B"/>
    <w:rsid w:val="00A13416"/>
    <w:rsid w:val="00A163F7"/>
    <w:rsid w:val="00A17216"/>
    <w:rsid w:val="00A20EE9"/>
    <w:rsid w:val="00A2153F"/>
    <w:rsid w:val="00A225E3"/>
    <w:rsid w:val="00A24656"/>
    <w:rsid w:val="00A26FDB"/>
    <w:rsid w:val="00A30615"/>
    <w:rsid w:val="00A32B3A"/>
    <w:rsid w:val="00A453C6"/>
    <w:rsid w:val="00A465B9"/>
    <w:rsid w:val="00A47067"/>
    <w:rsid w:val="00A52B89"/>
    <w:rsid w:val="00A570E7"/>
    <w:rsid w:val="00A67635"/>
    <w:rsid w:val="00A7350A"/>
    <w:rsid w:val="00A73A67"/>
    <w:rsid w:val="00A83E90"/>
    <w:rsid w:val="00A846AD"/>
    <w:rsid w:val="00A93295"/>
    <w:rsid w:val="00AA023A"/>
    <w:rsid w:val="00AA26CE"/>
    <w:rsid w:val="00AA5C99"/>
    <w:rsid w:val="00AB0752"/>
    <w:rsid w:val="00AB3715"/>
    <w:rsid w:val="00AB4DB8"/>
    <w:rsid w:val="00AB7858"/>
    <w:rsid w:val="00AC6F05"/>
    <w:rsid w:val="00AC7554"/>
    <w:rsid w:val="00AC75D6"/>
    <w:rsid w:val="00AD1C2F"/>
    <w:rsid w:val="00AD3349"/>
    <w:rsid w:val="00AD63B2"/>
    <w:rsid w:val="00AE326E"/>
    <w:rsid w:val="00AE40B7"/>
    <w:rsid w:val="00AF2015"/>
    <w:rsid w:val="00AF6013"/>
    <w:rsid w:val="00AF772E"/>
    <w:rsid w:val="00B00A86"/>
    <w:rsid w:val="00B02653"/>
    <w:rsid w:val="00B034B0"/>
    <w:rsid w:val="00B066FE"/>
    <w:rsid w:val="00B10D74"/>
    <w:rsid w:val="00B1540E"/>
    <w:rsid w:val="00B213CB"/>
    <w:rsid w:val="00B35F3F"/>
    <w:rsid w:val="00B40892"/>
    <w:rsid w:val="00B54D19"/>
    <w:rsid w:val="00B57F85"/>
    <w:rsid w:val="00B625E2"/>
    <w:rsid w:val="00B72EAD"/>
    <w:rsid w:val="00B74EBE"/>
    <w:rsid w:val="00B75AAE"/>
    <w:rsid w:val="00B767EF"/>
    <w:rsid w:val="00B833A7"/>
    <w:rsid w:val="00B845E6"/>
    <w:rsid w:val="00B85376"/>
    <w:rsid w:val="00B87860"/>
    <w:rsid w:val="00B904D7"/>
    <w:rsid w:val="00B91043"/>
    <w:rsid w:val="00B93F0E"/>
    <w:rsid w:val="00B941DF"/>
    <w:rsid w:val="00B94CEE"/>
    <w:rsid w:val="00B95355"/>
    <w:rsid w:val="00B95937"/>
    <w:rsid w:val="00BA196E"/>
    <w:rsid w:val="00BC0E14"/>
    <w:rsid w:val="00BC2B52"/>
    <w:rsid w:val="00BC5FA4"/>
    <w:rsid w:val="00BD1DC9"/>
    <w:rsid w:val="00BD748C"/>
    <w:rsid w:val="00BE5945"/>
    <w:rsid w:val="00BF011B"/>
    <w:rsid w:val="00BF0890"/>
    <w:rsid w:val="00BF2957"/>
    <w:rsid w:val="00C01068"/>
    <w:rsid w:val="00C115A7"/>
    <w:rsid w:val="00C1404F"/>
    <w:rsid w:val="00C27338"/>
    <w:rsid w:val="00C33714"/>
    <w:rsid w:val="00C346FD"/>
    <w:rsid w:val="00C4227E"/>
    <w:rsid w:val="00C4325C"/>
    <w:rsid w:val="00C45BF5"/>
    <w:rsid w:val="00C50895"/>
    <w:rsid w:val="00C5456F"/>
    <w:rsid w:val="00C55254"/>
    <w:rsid w:val="00C6132B"/>
    <w:rsid w:val="00C62432"/>
    <w:rsid w:val="00C64063"/>
    <w:rsid w:val="00C64A7D"/>
    <w:rsid w:val="00C67B41"/>
    <w:rsid w:val="00C72A91"/>
    <w:rsid w:val="00C82E97"/>
    <w:rsid w:val="00C83ADB"/>
    <w:rsid w:val="00C84E44"/>
    <w:rsid w:val="00C850A3"/>
    <w:rsid w:val="00C850E7"/>
    <w:rsid w:val="00C86F8F"/>
    <w:rsid w:val="00C945CF"/>
    <w:rsid w:val="00C9636C"/>
    <w:rsid w:val="00C9643C"/>
    <w:rsid w:val="00CA36D5"/>
    <w:rsid w:val="00CB0B47"/>
    <w:rsid w:val="00CC2BCD"/>
    <w:rsid w:val="00CC4056"/>
    <w:rsid w:val="00CC5A88"/>
    <w:rsid w:val="00CC743E"/>
    <w:rsid w:val="00CD59ED"/>
    <w:rsid w:val="00CE0CDC"/>
    <w:rsid w:val="00CE152E"/>
    <w:rsid w:val="00CE3E93"/>
    <w:rsid w:val="00CE3F16"/>
    <w:rsid w:val="00CE4693"/>
    <w:rsid w:val="00CE4ED6"/>
    <w:rsid w:val="00CF1BE4"/>
    <w:rsid w:val="00CF621F"/>
    <w:rsid w:val="00D01394"/>
    <w:rsid w:val="00D015DC"/>
    <w:rsid w:val="00D02409"/>
    <w:rsid w:val="00D03594"/>
    <w:rsid w:val="00D05842"/>
    <w:rsid w:val="00D07CAA"/>
    <w:rsid w:val="00D07E2B"/>
    <w:rsid w:val="00D14AFD"/>
    <w:rsid w:val="00D21C84"/>
    <w:rsid w:val="00D23293"/>
    <w:rsid w:val="00D37807"/>
    <w:rsid w:val="00D419D4"/>
    <w:rsid w:val="00D45681"/>
    <w:rsid w:val="00D60B8D"/>
    <w:rsid w:val="00D72152"/>
    <w:rsid w:val="00D72C8C"/>
    <w:rsid w:val="00D755DE"/>
    <w:rsid w:val="00D77D10"/>
    <w:rsid w:val="00D83EFE"/>
    <w:rsid w:val="00D853D4"/>
    <w:rsid w:val="00D8591D"/>
    <w:rsid w:val="00D861A0"/>
    <w:rsid w:val="00DA0F92"/>
    <w:rsid w:val="00DA609E"/>
    <w:rsid w:val="00DA73A0"/>
    <w:rsid w:val="00DB27E6"/>
    <w:rsid w:val="00DB4248"/>
    <w:rsid w:val="00DB5AFF"/>
    <w:rsid w:val="00DC007B"/>
    <w:rsid w:val="00DC1652"/>
    <w:rsid w:val="00DC1F4E"/>
    <w:rsid w:val="00DC7970"/>
    <w:rsid w:val="00DD0653"/>
    <w:rsid w:val="00DD0752"/>
    <w:rsid w:val="00DD4128"/>
    <w:rsid w:val="00DE2CF7"/>
    <w:rsid w:val="00DF004C"/>
    <w:rsid w:val="00DF2F8E"/>
    <w:rsid w:val="00E00009"/>
    <w:rsid w:val="00E01EDA"/>
    <w:rsid w:val="00E03741"/>
    <w:rsid w:val="00E046AD"/>
    <w:rsid w:val="00E11A33"/>
    <w:rsid w:val="00E127CD"/>
    <w:rsid w:val="00E1281C"/>
    <w:rsid w:val="00E128D0"/>
    <w:rsid w:val="00E12ABB"/>
    <w:rsid w:val="00E15407"/>
    <w:rsid w:val="00E1623B"/>
    <w:rsid w:val="00E1678B"/>
    <w:rsid w:val="00E22337"/>
    <w:rsid w:val="00E2288F"/>
    <w:rsid w:val="00E271DF"/>
    <w:rsid w:val="00E327CB"/>
    <w:rsid w:val="00E379F7"/>
    <w:rsid w:val="00E44271"/>
    <w:rsid w:val="00E44BC1"/>
    <w:rsid w:val="00E4567A"/>
    <w:rsid w:val="00E54242"/>
    <w:rsid w:val="00E5514C"/>
    <w:rsid w:val="00E741C1"/>
    <w:rsid w:val="00E76541"/>
    <w:rsid w:val="00E854BD"/>
    <w:rsid w:val="00E9313A"/>
    <w:rsid w:val="00E93AE2"/>
    <w:rsid w:val="00E9452C"/>
    <w:rsid w:val="00E95D05"/>
    <w:rsid w:val="00E97554"/>
    <w:rsid w:val="00EA0F56"/>
    <w:rsid w:val="00EA2DCE"/>
    <w:rsid w:val="00EA58C4"/>
    <w:rsid w:val="00EB610B"/>
    <w:rsid w:val="00EC2312"/>
    <w:rsid w:val="00EC37B0"/>
    <w:rsid w:val="00ED11E4"/>
    <w:rsid w:val="00ED4D74"/>
    <w:rsid w:val="00ED63F5"/>
    <w:rsid w:val="00EE4193"/>
    <w:rsid w:val="00EE4607"/>
    <w:rsid w:val="00EE5A7A"/>
    <w:rsid w:val="00EF02AD"/>
    <w:rsid w:val="00EF4BBB"/>
    <w:rsid w:val="00EF6F50"/>
    <w:rsid w:val="00F005CF"/>
    <w:rsid w:val="00F02250"/>
    <w:rsid w:val="00F03D7F"/>
    <w:rsid w:val="00F05140"/>
    <w:rsid w:val="00F079CE"/>
    <w:rsid w:val="00F10A3A"/>
    <w:rsid w:val="00F11837"/>
    <w:rsid w:val="00F125C6"/>
    <w:rsid w:val="00F149EB"/>
    <w:rsid w:val="00F247D5"/>
    <w:rsid w:val="00F25766"/>
    <w:rsid w:val="00F25CC8"/>
    <w:rsid w:val="00F26D63"/>
    <w:rsid w:val="00F35588"/>
    <w:rsid w:val="00F35D5C"/>
    <w:rsid w:val="00F4151A"/>
    <w:rsid w:val="00F435A2"/>
    <w:rsid w:val="00F45D2E"/>
    <w:rsid w:val="00F50E82"/>
    <w:rsid w:val="00F52841"/>
    <w:rsid w:val="00F5744D"/>
    <w:rsid w:val="00F66043"/>
    <w:rsid w:val="00F67C77"/>
    <w:rsid w:val="00F67D8F"/>
    <w:rsid w:val="00F76761"/>
    <w:rsid w:val="00F80806"/>
    <w:rsid w:val="00F81EDD"/>
    <w:rsid w:val="00F83DDE"/>
    <w:rsid w:val="00F85A1B"/>
    <w:rsid w:val="00F97701"/>
    <w:rsid w:val="00FA208D"/>
    <w:rsid w:val="00FA2968"/>
    <w:rsid w:val="00FA335D"/>
    <w:rsid w:val="00FA35B2"/>
    <w:rsid w:val="00FA37B0"/>
    <w:rsid w:val="00FA53EC"/>
    <w:rsid w:val="00FB2301"/>
    <w:rsid w:val="00FB50B3"/>
    <w:rsid w:val="00FC291C"/>
    <w:rsid w:val="00FC3FF7"/>
    <w:rsid w:val="00FD4E2E"/>
    <w:rsid w:val="00FD554E"/>
    <w:rsid w:val="00FD56A4"/>
    <w:rsid w:val="00FE22D6"/>
    <w:rsid w:val="00FE2AEA"/>
    <w:rsid w:val="00FE2D97"/>
    <w:rsid w:val="00FE3D1D"/>
    <w:rsid w:val="00FE4788"/>
    <w:rsid w:val="00FF7B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969342"/>
  <w15:chartTrackingRefBased/>
  <w15:docId w15:val="{1E979385-B369-4350-8C97-FDE7B0F9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733"/>
    <w:pPr>
      <w:ind w:left="720"/>
      <w:contextualSpacing/>
    </w:pPr>
  </w:style>
  <w:style w:type="character" w:styleId="Hyperlink">
    <w:name w:val="Hyperlink"/>
    <w:basedOn w:val="DefaultParagraphFont"/>
    <w:uiPriority w:val="99"/>
    <w:unhideWhenUsed/>
    <w:rsid w:val="00947733"/>
    <w:rPr>
      <w:color w:val="0563C1" w:themeColor="hyperlink"/>
      <w:u w:val="single"/>
    </w:rPr>
  </w:style>
  <w:style w:type="character" w:customStyle="1" w:styleId="UnresolvedMention">
    <w:name w:val="Unresolved Mention"/>
    <w:basedOn w:val="DefaultParagraphFont"/>
    <w:uiPriority w:val="99"/>
    <w:semiHidden/>
    <w:unhideWhenUsed/>
    <w:rsid w:val="00947733"/>
    <w:rPr>
      <w:color w:val="605E5C"/>
      <w:shd w:val="clear" w:color="auto" w:fill="E1DFDD"/>
    </w:rPr>
  </w:style>
  <w:style w:type="paragraph" w:styleId="FootnoteText">
    <w:name w:val="footnote text"/>
    <w:basedOn w:val="Normal"/>
    <w:link w:val="FootnoteTextChar"/>
    <w:unhideWhenUsed/>
    <w:rsid w:val="005A4F70"/>
    <w:pPr>
      <w:spacing w:after="0" w:line="240" w:lineRule="auto"/>
    </w:pPr>
    <w:rPr>
      <w:sz w:val="20"/>
      <w:szCs w:val="20"/>
      <w:lang w:val="en-US"/>
    </w:rPr>
  </w:style>
  <w:style w:type="character" w:customStyle="1" w:styleId="FootnoteTextChar">
    <w:name w:val="Footnote Text Char"/>
    <w:basedOn w:val="DefaultParagraphFont"/>
    <w:link w:val="FootnoteText"/>
    <w:rsid w:val="005A4F70"/>
    <w:rPr>
      <w:sz w:val="20"/>
      <w:szCs w:val="20"/>
      <w:lang w:val="en-US"/>
    </w:rPr>
  </w:style>
  <w:style w:type="character" w:styleId="FootnoteReference">
    <w:name w:val="footnote reference"/>
    <w:basedOn w:val="DefaultParagraphFont"/>
    <w:unhideWhenUsed/>
    <w:rsid w:val="005A4F70"/>
    <w:rPr>
      <w:vertAlign w:val="superscript"/>
    </w:rPr>
  </w:style>
  <w:style w:type="paragraph" w:styleId="Header">
    <w:name w:val="header"/>
    <w:basedOn w:val="Normal"/>
    <w:link w:val="HeaderChar"/>
    <w:uiPriority w:val="99"/>
    <w:unhideWhenUsed/>
    <w:rsid w:val="00A30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615"/>
  </w:style>
  <w:style w:type="paragraph" w:styleId="Footer">
    <w:name w:val="footer"/>
    <w:basedOn w:val="Normal"/>
    <w:link w:val="FooterChar"/>
    <w:uiPriority w:val="99"/>
    <w:unhideWhenUsed/>
    <w:rsid w:val="00A30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615"/>
  </w:style>
  <w:style w:type="paragraph" w:styleId="BalloonText">
    <w:name w:val="Balloon Text"/>
    <w:basedOn w:val="Normal"/>
    <w:link w:val="BalloonTextChar"/>
    <w:uiPriority w:val="99"/>
    <w:semiHidden/>
    <w:unhideWhenUsed/>
    <w:rsid w:val="00FA3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7B0"/>
    <w:rPr>
      <w:rFonts w:ascii="Segoe UI" w:hAnsi="Segoe UI" w:cs="Segoe UI"/>
      <w:sz w:val="18"/>
      <w:szCs w:val="18"/>
    </w:rPr>
  </w:style>
  <w:style w:type="table" w:styleId="TableGrid">
    <w:name w:val="Table Grid"/>
    <w:basedOn w:val="TableNormal"/>
    <w:uiPriority w:val="39"/>
    <w:rsid w:val="00291460"/>
    <w:pPr>
      <w:spacing w:after="0" w:line="240" w:lineRule="auto"/>
    </w:pPr>
    <w:rPr>
      <w:rFonts w:ascii="Calibri"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PCDOC-1378080517-1154</_dlc_DocId>
    <_dlc_DocIdUrl xmlns="3f4bcce7-ac1a-4c9d-aa3e-7e77695652db">
      <Url>http://inet.pc.gov.au/pmo/inq/mentalhealth/_layouts/15/DocIdRedir.aspx?ID=PCDOC-1378080517-1154</Url>
      <Description>PCDOC-1378080517-1154</Description>
    </_dlc_DocIdUrl>
  </documentManagement>
</p:propertie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F213F0D1-527A-4C9E-96CE-658D1DC93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A9034-93BA-49D8-9D28-AED125583549}">
  <ds:schemaRefs>
    <ds:schemaRef ds:uri="http://schemas.microsoft.com/sharepoint/events"/>
  </ds:schemaRefs>
</ds:datastoreItem>
</file>

<file path=customXml/itemProps3.xml><?xml version="1.0" encoding="utf-8"?>
<ds:datastoreItem xmlns:ds="http://schemas.openxmlformats.org/officeDocument/2006/customXml" ds:itemID="{13261B19-4425-42DB-90B1-BBC7DCB8D70F}">
  <ds:schemaRefs>
    <ds:schemaRef ds:uri="http://schemas.microsoft.com/sharepoint/v3/contenttype/forms"/>
  </ds:schemaRefs>
</ds:datastoreItem>
</file>

<file path=customXml/itemProps4.xml><?xml version="1.0" encoding="utf-8"?>
<ds:datastoreItem xmlns:ds="http://schemas.openxmlformats.org/officeDocument/2006/customXml" ds:itemID="{83DE0647-C64D-44AD-A3B7-1C235727767C}">
  <ds:schemaRefs>
    <ds:schemaRef ds:uri="http://schemas.microsoft.com/office/2006/metadata/customXsn"/>
  </ds:schemaRefs>
</ds:datastoreItem>
</file>

<file path=customXml/itemProps5.xml><?xml version="1.0" encoding="utf-8"?>
<ds:datastoreItem xmlns:ds="http://schemas.openxmlformats.org/officeDocument/2006/customXml" ds:itemID="{2E4FC55F-649D-46C1-8ED0-2C7C04932A0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f4bcce7-ac1a-4c9d-aa3e-7e77695652db"/>
    <ds:schemaRef ds:uri="http://www.w3.org/XML/1998/namespace"/>
  </ds:schemaRefs>
</ds:datastoreItem>
</file>

<file path=customXml/itemProps6.xml><?xml version="1.0" encoding="utf-8"?>
<ds:datastoreItem xmlns:ds="http://schemas.openxmlformats.org/officeDocument/2006/customXml" ds:itemID="{4CB75A40-0DEC-4AC1-B0B8-671DCC19D9B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84CCED3A.dotm</Template>
  <TotalTime>5123</TotalTime>
  <Pages>9</Pages>
  <Words>3505</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Submission 888 - National LGBTI Health Alliance - Mental Health - Public inquiry</vt:lpstr>
    </vt:vector>
  </TitlesOfParts>
  <Company>National LGBTI Health Alliance</Company>
  <LinksUpToDate>false</LinksUpToDate>
  <CharactersWithSpaces>23438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888 - National LGBTI Health Alliance - Mental Health - Public inquiry</dc:title>
  <dc:subject/>
  <dc:creator>National LGBTI Health Alliance</dc:creator>
  <cp:keywords/>
  <dc:description/>
  <cp:lastModifiedBy>Productivity Commission</cp:lastModifiedBy>
  <cp:revision>725</cp:revision>
  <cp:lastPrinted>2020-01-20T05:09:00Z</cp:lastPrinted>
  <dcterms:created xsi:type="dcterms:W3CDTF">2020-01-14T23:46:00Z</dcterms:created>
  <dcterms:modified xsi:type="dcterms:W3CDTF">2020-02-06T03:26:00Z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1f958439-9a23-4300-b2e4-2b7b77605d7f</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