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8E27" w14:textId="55C90C0F" w:rsidR="000E4D1C" w:rsidRDefault="000E4D1C" w:rsidP="00AD14D0">
      <w:pPr>
        <w:spacing w:before="120" w:after="120" w:line="276" w:lineRule="auto"/>
      </w:pPr>
      <w:r w:rsidRPr="00B82F5C">
        <w:t xml:space="preserve">Dear </w:t>
      </w:r>
      <w:r>
        <w:t>Mr Brennan, Dr Roberts, and Ms Siegel-Brown</w:t>
      </w:r>
    </w:p>
    <w:p w14:paraId="38946398" w14:textId="126BFE19" w:rsidR="00BA4A67" w:rsidRPr="00B82F5C" w:rsidRDefault="00BA4A67" w:rsidP="000E4D1C">
      <w:pPr>
        <w:spacing w:after="120"/>
      </w:pPr>
      <w:r>
        <w:rPr>
          <w:rFonts w:ascii="Calibri" w:hAnsi="Calibri" w:cstheme="majorBidi"/>
          <w:b/>
          <w:bCs/>
          <w:color w:val="0F294A"/>
          <w:sz w:val="24"/>
          <w:szCs w:val="26"/>
        </w:rPr>
        <w:t>S</w:t>
      </w:r>
      <w:r w:rsidRPr="000E4D1C">
        <w:rPr>
          <w:rFonts w:ascii="Calibri" w:hAnsi="Calibri" w:cstheme="majorBidi"/>
          <w:b/>
          <w:bCs/>
          <w:color w:val="0F294A"/>
          <w:sz w:val="24"/>
          <w:szCs w:val="26"/>
        </w:rPr>
        <w:t>ubmission</w:t>
      </w:r>
      <w:r>
        <w:rPr>
          <w:rFonts w:ascii="Calibri" w:hAnsi="Calibri" w:cstheme="majorBidi"/>
          <w:b/>
          <w:bCs/>
          <w:color w:val="0F294A"/>
          <w:sz w:val="24"/>
          <w:szCs w:val="26"/>
        </w:rPr>
        <w:t xml:space="preserve"> to the Productivity Commission</w:t>
      </w:r>
      <w:r w:rsidR="00687B84">
        <w:rPr>
          <w:rFonts w:ascii="Calibri" w:hAnsi="Calibri" w:cstheme="majorBidi"/>
          <w:b/>
          <w:bCs/>
          <w:color w:val="0F294A"/>
          <w:sz w:val="24"/>
          <w:szCs w:val="26"/>
        </w:rPr>
        <w:t>’s</w:t>
      </w:r>
      <w:r>
        <w:rPr>
          <w:rFonts w:ascii="Calibri" w:hAnsi="Calibri" w:cstheme="majorBidi"/>
          <w:b/>
          <w:bCs/>
          <w:color w:val="0F294A"/>
          <w:sz w:val="24"/>
          <w:szCs w:val="26"/>
        </w:rPr>
        <w:t xml:space="preserve"> </w:t>
      </w:r>
      <w:r w:rsidRPr="00AD14D0">
        <w:rPr>
          <w:rFonts w:ascii="Calibri" w:hAnsi="Calibri" w:cstheme="majorBidi"/>
          <w:b/>
          <w:bCs/>
          <w:i/>
          <w:iCs/>
          <w:color w:val="0F294A"/>
          <w:sz w:val="24"/>
          <w:szCs w:val="26"/>
        </w:rPr>
        <w:t>Review of the National School Reform Agreement</w:t>
      </w:r>
    </w:p>
    <w:p w14:paraId="3E8538B9" w14:textId="14B7106E" w:rsidR="000E4D1C" w:rsidRPr="00B82F5C" w:rsidRDefault="000E4D1C" w:rsidP="000E4D1C">
      <w:pPr>
        <w:spacing w:after="120"/>
      </w:pPr>
      <w:r w:rsidRPr="003712CB">
        <w:t>The National School Resourcing Board (</w:t>
      </w:r>
      <w:r w:rsidR="007F713A">
        <w:t>‘the Board’</w:t>
      </w:r>
      <w:r w:rsidRPr="003712CB">
        <w:t>)</w:t>
      </w:r>
      <w:r>
        <w:t xml:space="preserve"> welcomes the opportunity to make a submission to the Productivity Commission’s review of the National School Reform Agreement.</w:t>
      </w:r>
    </w:p>
    <w:p w14:paraId="17DDE0C9" w14:textId="24DEDC45" w:rsidR="000E4D1C" w:rsidRPr="006E7974" w:rsidRDefault="000E4D1C" w:rsidP="000E4D1C">
      <w:pPr>
        <w:spacing w:after="120"/>
      </w:pPr>
      <w:r>
        <w:t xml:space="preserve">The Board is </w:t>
      </w:r>
      <w:r w:rsidRPr="00B82F5C">
        <w:t xml:space="preserve">pleased that </w:t>
      </w:r>
      <w:r w:rsidR="00687B84">
        <w:t>all</w:t>
      </w:r>
      <w:r>
        <w:t xml:space="preserve"> Australian </w:t>
      </w:r>
      <w:r w:rsidR="00687B84">
        <w:t>g</w:t>
      </w:r>
      <w:r>
        <w:t xml:space="preserve">overnments have acknowledged the </w:t>
      </w:r>
      <w:r w:rsidRPr="006E7974">
        <w:t xml:space="preserve">importance of nationally consistent data by including the enhancement of the national evidence base </w:t>
      </w:r>
      <w:r w:rsidR="00406A89">
        <w:t>within</w:t>
      </w:r>
      <w:r w:rsidR="00406A89" w:rsidRPr="006E7974">
        <w:t xml:space="preserve"> </w:t>
      </w:r>
      <w:r w:rsidRPr="006E7974">
        <w:t xml:space="preserve">the </w:t>
      </w:r>
      <w:r w:rsidR="00406A89">
        <w:t>n</w:t>
      </w:r>
      <w:r w:rsidRPr="006E7974">
        <w:t xml:space="preserve">ational </w:t>
      </w:r>
      <w:r w:rsidR="00406A89">
        <w:t>p</w:t>
      </w:r>
      <w:r w:rsidRPr="006E7974">
        <w:t xml:space="preserve">olicy </w:t>
      </w:r>
      <w:r w:rsidR="00406A89">
        <w:t>i</w:t>
      </w:r>
      <w:r w:rsidRPr="006E7974">
        <w:t>nitiative</w:t>
      </w:r>
      <w:r w:rsidR="00DC42D4">
        <w:t xml:space="preserve"> (NPI)</w:t>
      </w:r>
      <w:r w:rsidR="00406A89">
        <w:t xml:space="preserve"> C(iii</w:t>
      </w:r>
      <w:r w:rsidR="00406A89" w:rsidRPr="00AD14D0">
        <w:rPr>
          <w:i/>
          <w:iCs/>
        </w:rPr>
        <w:t>)</w:t>
      </w:r>
      <w:r w:rsidR="00406A89">
        <w:t xml:space="preserve"> </w:t>
      </w:r>
      <w:r w:rsidR="00406A89">
        <w:rPr>
          <w:i/>
          <w:iCs/>
        </w:rPr>
        <w:t>Improving national data quality</w:t>
      </w:r>
      <w:r w:rsidRPr="006E7974">
        <w:t xml:space="preserve"> under the current National School Reform Agreement. </w:t>
      </w:r>
    </w:p>
    <w:p w14:paraId="541BBA56" w14:textId="66116F64" w:rsidR="00E81391" w:rsidRPr="00267286" w:rsidRDefault="000E4D1C" w:rsidP="005251B4">
      <w:pPr>
        <w:pStyle w:val="CommentText"/>
        <w:rPr>
          <w:sz w:val="22"/>
          <w:szCs w:val="22"/>
        </w:rPr>
      </w:pPr>
      <w:r w:rsidRPr="006E7974">
        <w:rPr>
          <w:sz w:val="22"/>
          <w:szCs w:val="22"/>
        </w:rPr>
        <w:t xml:space="preserve">The </w:t>
      </w:r>
      <w:r w:rsidR="007F713A" w:rsidRPr="006E7974">
        <w:rPr>
          <w:sz w:val="22"/>
          <w:szCs w:val="22"/>
        </w:rPr>
        <w:t>Board</w:t>
      </w:r>
      <w:r w:rsidRPr="006E7974">
        <w:rPr>
          <w:sz w:val="22"/>
          <w:szCs w:val="22"/>
        </w:rPr>
        <w:t xml:space="preserve"> plays a significant role in ensuring public confidence in the </w:t>
      </w:r>
      <w:r w:rsidR="00406A89">
        <w:rPr>
          <w:sz w:val="22"/>
          <w:szCs w:val="22"/>
        </w:rPr>
        <w:t xml:space="preserve">Commonwealth schools </w:t>
      </w:r>
      <w:r w:rsidRPr="006E7974">
        <w:rPr>
          <w:sz w:val="22"/>
          <w:szCs w:val="22"/>
        </w:rPr>
        <w:t xml:space="preserve">funding model </w:t>
      </w:r>
      <w:r w:rsidR="00295C7D" w:rsidRPr="006E7974">
        <w:rPr>
          <w:sz w:val="22"/>
          <w:szCs w:val="22"/>
        </w:rPr>
        <w:t xml:space="preserve">by </w:t>
      </w:r>
      <w:r w:rsidR="00406A89">
        <w:rPr>
          <w:sz w:val="22"/>
          <w:szCs w:val="22"/>
        </w:rPr>
        <w:t xml:space="preserve">conducting </w:t>
      </w:r>
      <w:r w:rsidR="00267286" w:rsidRPr="00267286">
        <w:rPr>
          <w:sz w:val="22"/>
          <w:szCs w:val="22"/>
        </w:rPr>
        <w:t xml:space="preserve">independent </w:t>
      </w:r>
      <w:r w:rsidR="00406A89" w:rsidRPr="00267286">
        <w:rPr>
          <w:sz w:val="22"/>
          <w:szCs w:val="22"/>
        </w:rPr>
        <w:t xml:space="preserve">reviews of various aspects of the model as well as providing independent oversight of funding arrangements, including </w:t>
      </w:r>
      <w:r w:rsidR="00295C7D" w:rsidRPr="00267286">
        <w:rPr>
          <w:sz w:val="22"/>
          <w:szCs w:val="22"/>
        </w:rPr>
        <w:t xml:space="preserve">assessing whether jurisdictions </w:t>
      </w:r>
      <w:r w:rsidR="00267286" w:rsidRPr="00267286">
        <w:rPr>
          <w:sz w:val="22"/>
          <w:szCs w:val="22"/>
        </w:rPr>
        <w:t xml:space="preserve">and schooling systems </w:t>
      </w:r>
      <w:r w:rsidR="00295C7D" w:rsidRPr="00267286">
        <w:rPr>
          <w:sz w:val="22"/>
          <w:szCs w:val="22"/>
        </w:rPr>
        <w:t xml:space="preserve">are </w:t>
      </w:r>
      <w:r w:rsidRPr="00267286">
        <w:rPr>
          <w:sz w:val="22"/>
          <w:szCs w:val="22"/>
        </w:rPr>
        <w:t>meeting their school funding obligations</w:t>
      </w:r>
      <w:r w:rsidR="00695ACA" w:rsidRPr="00267286">
        <w:rPr>
          <w:sz w:val="22"/>
          <w:szCs w:val="22"/>
        </w:rPr>
        <w:t xml:space="preserve">. </w:t>
      </w:r>
      <w:r w:rsidR="00582296" w:rsidRPr="00267286">
        <w:rPr>
          <w:sz w:val="22"/>
          <w:szCs w:val="22"/>
        </w:rPr>
        <w:t>Proper resourcing of Australian schools is essential if governments are to meet the National School Reform Agreement’s overarching objective of providing a high-quality and equitable education for all students.</w:t>
      </w:r>
    </w:p>
    <w:p w14:paraId="36052EC0" w14:textId="59CFA961" w:rsidR="000E4D1C" w:rsidRPr="006E7974" w:rsidRDefault="007A19F8" w:rsidP="005251B4">
      <w:pPr>
        <w:pStyle w:val="CommentText"/>
      </w:pPr>
      <w:r w:rsidRPr="00267286">
        <w:rPr>
          <w:sz w:val="22"/>
          <w:szCs w:val="22"/>
        </w:rPr>
        <w:t>In</w:t>
      </w:r>
      <w:r w:rsidR="00582296" w:rsidRPr="00267286">
        <w:rPr>
          <w:sz w:val="22"/>
          <w:szCs w:val="22"/>
        </w:rPr>
        <w:t xml:space="preserve"> the course of</w:t>
      </w:r>
      <w:r w:rsidRPr="00267286">
        <w:rPr>
          <w:sz w:val="22"/>
          <w:szCs w:val="22"/>
        </w:rPr>
        <w:t xml:space="preserve"> its work</w:t>
      </w:r>
      <w:r w:rsidR="00295C7D" w:rsidRPr="00267286">
        <w:rPr>
          <w:sz w:val="22"/>
          <w:szCs w:val="22"/>
        </w:rPr>
        <w:t xml:space="preserve">, the Board </w:t>
      </w:r>
      <w:r w:rsidRPr="00267286">
        <w:rPr>
          <w:sz w:val="22"/>
          <w:szCs w:val="22"/>
        </w:rPr>
        <w:t xml:space="preserve">has become acutely aware of the </w:t>
      </w:r>
      <w:r w:rsidR="0080374C" w:rsidRPr="00267286">
        <w:rPr>
          <w:sz w:val="22"/>
          <w:szCs w:val="22"/>
        </w:rPr>
        <w:t xml:space="preserve">types of data on schools and students that are </w:t>
      </w:r>
      <w:r w:rsidR="00582296" w:rsidRPr="00267286">
        <w:rPr>
          <w:sz w:val="22"/>
          <w:szCs w:val="22"/>
        </w:rPr>
        <w:t xml:space="preserve">currently made </w:t>
      </w:r>
      <w:r w:rsidR="0080374C" w:rsidRPr="00267286">
        <w:rPr>
          <w:sz w:val="22"/>
          <w:szCs w:val="22"/>
        </w:rPr>
        <w:t>available and</w:t>
      </w:r>
      <w:r w:rsidR="00695ACA" w:rsidRPr="00267286">
        <w:rPr>
          <w:sz w:val="22"/>
          <w:szCs w:val="22"/>
        </w:rPr>
        <w:t>, more particularly,</w:t>
      </w:r>
      <w:r w:rsidR="0080374C" w:rsidRPr="00267286">
        <w:rPr>
          <w:sz w:val="22"/>
          <w:szCs w:val="22"/>
        </w:rPr>
        <w:t xml:space="preserve"> the types that are not. The lack of certain types of data</w:t>
      </w:r>
      <w:r w:rsidR="00582296" w:rsidRPr="00267286">
        <w:rPr>
          <w:sz w:val="22"/>
          <w:szCs w:val="22"/>
        </w:rPr>
        <w:t xml:space="preserve"> in the national evidence base</w:t>
      </w:r>
      <w:r w:rsidR="0080374C" w:rsidRPr="00267286">
        <w:rPr>
          <w:sz w:val="22"/>
          <w:szCs w:val="22"/>
        </w:rPr>
        <w:t xml:space="preserve"> has limited the</w:t>
      </w:r>
      <w:r w:rsidR="00582296" w:rsidRPr="00267286">
        <w:rPr>
          <w:sz w:val="22"/>
          <w:szCs w:val="22"/>
        </w:rPr>
        <w:t xml:space="preserve"> capacity of not just the</w:t>
      </w:r>
      <w:r w:rsidR="0080374C" w:rsidRPr="00267286">
        <w:rPr>
          <w:sz w:val="22"/>
          <w:szCs w:val="22"/>
        </w:rPr>
        <w:t xml:space="preserve"> Board</w:t>
      </w:r>
      <w:r w:rsidR="00582296" w:rsidRPr="00267286">
        <w:rPr>
          <w:sz w:val="22"/>
          <w:szCs w:val="22"/>
        </w:rPr>
        <w:t xml:space="preserve"> but also </w:t>
      </w:r>
      <w:r w:rsidR="00E81391" w:rsidRPr="00267286">
        <w:rPr>
          <w:sz w:val="22"/>
          <w:szCs w:val="22"/>
        </w:rPr>
        <w:t xml:space="preserve">of </w:t>
      </w:r>
      <w:r w:rsidR="00582296" w:rsidRPr="00267286">
        <w:rPr>
          <w:sz w:val="22"/>
          <w:szCs w:val="22"/>
        </w:rPr>
        <w:t xml:space="preserve">other agencies </w:t>
      </w:r>
      <w:r w:rsidR="00E81391" w:rsidRPr="00267286">
        <w:rPr>
          <w:sz w:val="22"/>
          <w:szCs w:val="22"/>
        </w:rPr>
        <w:t>and</w:t>
      </w:r>
      <w:r w:rsidR="00582296" w:rsidRPr="00267286">
        <w:rPr>
          <w:sz w:val="22"/>
          <w:szCs w:val="22"/>
        </w:rPr>
        <w:t xml:space="preserve"> governments</w:t>
      </w:r>
      <w:r w:rsidR="0080374C" w:rsidRPr="00267286">
        <w:rPr>
          <w:sz w:val="22"/>
          <w:szCs w:val="22"/>
        </w:rPr>
        <w:t xml:space="preserve"> </w:t>
      </w:r>
      <w:r w:rsidR="00295C7D" w:rsidRPr="00267286">
        <w:rPr>
          <w:sz w:val="22"/>
          <w:szCs w:val="22"/>
        </w:rPr>
        <w:t>to</w:t>
      </w:r>
      <w:r w:rsidR="00582296" w:rsidRPr="00267286">
        <w:rPr>
          <w:sz w:val="22"/>
          <w:szCs w:val="22"/>
        </w:rPr>
        <w:t xml:space="preserve"> accuratel</w:t>
      </w:r>
      <w:r w:rsidR="00E81391" w:rsidRPr="00267286">
        <w:rPr>
          <w:sz w:val="22"/>
          <w:szCs w:val="22"/>
        </w:rPr>
        <w:t>y</w:t>
      </w:r>
      <w:r w:rsidR="00295C7D" w:rsidRPr="00267286">
        <w:rPr>
          <w:sz w:val="22"/>
          <w:szCs w:val="22"/>
        </w:rPr>
        <w:t xml:space="preserve"> </w:t>
      </w:r>
      <w:r w:rsidR="0080374C" w:rsidRPr="00267286">
        <w:rPr>
          <w:sz w:val="22"/>
          <w:szCs w:val="22"/>
        </w:rPr>
        <w:t>assess the effectiveness of school resourcing</w:t>
      </w:r>
      <w:r w:rsidR="00267286" w:rsidRPr="00267286">
        <w:rPr>
          <w:sz w:val="22"/>
          <w:szCs w:val="22"/>
        </w:rPr>
        <w:t xml:space="preserve"> to improve the educational experience</w:t>
      </w:r>
      <w:r w:rsidR="00D165AA" w:rsidRPr="00267286">
        <w:rPr>
          <w:sz w:val="22"/>
          <w:szCs w:val="22"/>
        </w:rPr>
        <w:t>.</w:t>
      </w:r>
      <w:r w:rsidR="000E4D1C" w:rsidRPr="006E7974">
        <w:rPr>
          <w:sz w:val="22"/>
          <w:szCs w:val="22"/>
        </w:rPr>
        <w:t xml:space="preserve"> </w:t>
      </w:r>
    </w:p>
    <w:p w14:paraId="7FDF4A45" w14:textId="5BA2CAC9" w:rsidR="000E4D1C" w:rsidRPr="006E7974" w:rsidRDefault="000F698C" w:rsidP="000E4D1C">
      <w:r>
        <w:t>T</w:t>
      </w:r>
      <w:r w:rsidR="007F713A" w:rsidRPr="006E7974">
        <w:t>he Board</w:t>
      </w:r>
      <w:r>
        <w:t xml:space="preserve"> supports remedying current</w:t>
      </w:r>
      <w:r w:rsidR="007F713A" w:rsidRPr="006E7974">
        <w:t xml:space="preserve"> </w:t>
      </w:r>
      <w:r w:rsidR="000E4D1C" w:rsidRPr="006E7974">
        <w:t xml:space="preserve">shortcomings in the national evidence base </w:t>
      </w:r>
      <w:r>
        <w:t>by expanding the school</w:t>
      </w:r>
      <w:r w:rsidR="00932427">
        <w:t xml:space="preserve"> </w:t>
      </w:r>
      <w:r>
        <w:t>level data that states and territories</w:t>
      </w:r>
      <w:r w:rsidR="00267286">
        <w:t xml:space="preserve"> and school systems</w:t>
      </w:r>
      <w:r>
        <w:t xml:space="preserve"> currently make available </w:t>
      </w:r>
      <w:r w:rsidR="006D1BC8">
        <w:t xml:space="preserve">to include greater detail </w:t>
      </w:r>
      <w:r w:rsidR="00267286">
        <w:t xml:space="preserve">on the </w:t>
      </w:r>
      <w:r w:rsidR="006D1BC8">
        <w:t>school funding</w:t>
      </w:r>
      <w:r w:rsidR="00267286">
        <w:t xml:space="preserve"> allocated by governments and systems</w:t>
      </w:r>
      <w:r w:rsidR="006D1BC8">
        <w:t xml:space="preserve"> </w:t>
      </w:r>
      <w:r w:rsidR="003C0376">
        <w:t xml:space="preserve">as well as </w:t>
      </w:r>
      <w:r w:rsidR="006D1BC8">
        <w:t>expenditure</w:t>
      </w:r>
      <w:r w:rsidR="00267286">
        <w:t xml:space="preserve"> at the school level</w:t>
      </w:r>
      <w:r w:rsidR="003C0376">
        <w:t>, including</w:t>
      </w:r>
      <w:r w:rsidR="00267286">
        <w:t xml:space="preserve"> enhanced ability to trace the source and application of fund</w:t>
      </w:r>
      <w:r w:rsidR="003C0376">
        <w:t>ing</w:t>
      </w:r>
      <w:r w:rsidR="00267286">
        <w:t xml:space="preserve"> overall and for specific groups (such as </w:t>
      </w:r>
      <w:r w:rsidR="003C0376">
        <w:t>s</w:t>
      </w:r>
      <w:r w:rsidR="00267286">
        <w:t xml:space="preserve">tudents with disability and </w:t>
      </w:r>
      <w:r w:rsidR="003C0376">
        <w:t>Indigenous</w:t>
      </w:r>
      <w:r w:rsidR="00267286">
        <w:t xml:space="preserve"> students). It is important</w:t>
      </w:r>
      <w:r w:rsidR="003C0376">
        <w:t xml:space="preserve"> for the Board’s work for it</w:t>
      </w:r>
      <w:r w:rsidR="00267286">
        <w:t xml:space="preserve"> to</w:t>
      </w:r>
      <w:r w:rsidR="003C0376">
        <w:t xml:space="preserve"> be able to</w:t>
      </w:r>
      <w:r w:rsidR="00267286">
        <w:t xml:space="preserve"> access improved data </w:t>
      </w:r>
      <w:r w:rsidR="003C0376">
        <w:t>to analyse</w:t>
      </w:r>
      <w:r w:rsidR="00267286">
        <w:t xml:space="preserve"> the intersection of funding decisions with student wellbeing and improve</w:t>
      </w:r>
      <w:r w:rsidR="00D3410B">
        <w:t>ments in</w:t>
      </w:r>
      <w:r w:rsidR="00267286">
        <w:t xml:space="preserve"> educational opportunities and outcomes</w:t>
      </w:r>
      <w:r w:rsidR="006D1BC8">
        <w:t>.</w:t>
      </w:r>
    </w:p>
    <w:p w14:paraId="63A898F0" w14:textId="6D25B374" w:rsidR="00673384" w:rsidRDefault="006D1BC8" w:rsidP="0054098F">
      <w:pPr>
        <w:spacing w:after="120" w:line="240" w:lineRule="auto"/>
      </w:pPr>
      <w:r>
        <w:t xml:space="preserve">Thank you for taking the time to consider this important issue. </w:t>
      </w:r>
      <w:r w:rsidR="00673384">
        <w:t>The Board would welcome the opportunity to meet with you to further discuss these issues.</w:t>
      </w:r>
    </w:p>
    <w:p w14:paraId="42FE4380" w14:textId="77777777" w:rsidR="008629EE" w:rsidRDefault="008629EE" w:rsidP="0054098F">
      <w:pPr>
        <w:spacing w:after="120" w:line="240" w:lineRule="auto"/>
      </w:pPr>
    </w:p>
    <w:p w14:paraId="10965AE2" w14:textId="23CEEC78" w:rsidR="006D1BC8" w:rsidRDefault="006D1BC8" w:rsidP="0054098F">
      <w:pPr>
        <w:spacing w:after="120" w:line="240" w:lineRule="auto"/>
      </w:pPr>
      <w:r>
        <w:t>Yours sincerely</w:t>
      </w:r>
    </w:p>
    <w:p w14:paraId="12E4017D" w14:textId="5019E25D" w:rsidR="006D1BC8" w:rsidRDefault="006D1BC8" w:rsidP="0054098F">
      <w:pPr>
        <w:spacing w:after="120" w:line="240" w:lineRule="auto"/>
      </w:pPr>
    </w:p>
    <w:p w14:paraId="0C0DEE58" w14:textId="0D7D504F" w:rsidR="006D1BC8" w:rsidRDefault="006D1BC8" w:rsidP="0054098F">
      <w:pPr>
        <w:spacing w:after="120" w:line="240" w:lineRule="auto"/>
      </w:pPr>
    </w:p>
    <w:p w14:paraId="34C1B725" w14:textId="77777777" w:rsidR="00B54E2A" w:rsidRDefault="00B54E2A" w:rsidP="0054098F">
      <w:pPr>
        <w:spacing w:after="120" w:line="240" w:lineRule="auto"/>
      </w:pPr>
    </w:p>
    <w:p w14:paraId="4A32CEEF" w14:textId="77777777" w:rsidR="00B54E2A" w:rsidRDefault="00B54E2A" w:rsidP="0054098F">
      <w:pPr>
        <w:spacing w:after="120" w:line="240" w:lineRule="auto"/>
      </w:pPr>
    </w:p>
    <w:p w14:paraId="1B7E8BDE" w14:textId="3C0FEE39" w:rsidR="006D1BC8" w:rsidRDefault="006D1BC8" w:rsidP="0054098F">
      <w:pPr>
        <w:spacing w:after="120" w:line="240" w:lineRule="auto"/>
      </w:pPr>
      <w:r>
        <w:t>Mr Michael Chaney AO</w:t>
      </w:r>
    </w:p>
    <w:p w14:paraId="3B49C4CB" w14:textId="2DA436CE" w:rsidR="006D1BC8" w:rsidRDefault="006D1BC8" w:rsidP="0054098F">
      <w:pPr>
        <w:spacing w:after="120" w:line="240" w:lineRule="auto"/>
      </w:pPr>
      <w:r>
        <w:t>Chair, National School Resourcing Board</w:t>
      </w:r>
    </w:p>
    <w:p w14:paraId="0FD7466B" w14:textId="1F23D0DA" w:rsidR="006D1BC8" w:rsidRDefault="00B54E2A" w:rsidP="0054098F">
      <w:pPr>
        <w:spacing w:after="120" w:line="240" w:lineRule="auto"/>
      </w:pPr>
      <w:r>
        <w:t>16 J</w:t>
      </w:r>
      <w:r w:rsidR="006D1BC8">
        <w:t>une 2022</w:t>
      </w:r>
    </w:p>
    <w:p w14:paraId="2D6535E2" w14:textId="77777777" w:rsidR="00C469CD" w:rsidRDefault="00C469CD">
      <w:pPr>
        <w:rPr>
          <w:b/>
        </w:rPr>
        <w:sectPr w:rsidR="00C469CD" w:rsidSect="00AD14D0">
          <w:headerReference w:type="even" r:id="rId11"/>
          <w:headerReference w:type="default" r:id="rId12"/>
          <w:footerReference w:type="even" r:id="rId13"/>
          <w:footerReference w:type="default" r:id="rId14"/>
          <w:headerReference w:type="first" r:id="rId15"/>
          <w:footerReference w:type="first" r:id="rId16"/>
          <w:pgSz w:w="11906" w:h="16838"/>
          <w:pgMar w:top="2050" w:right="1440" w:bottom="1440" w:left="1440" w:header="0" w:footer="708" w:gutter="0"/>
          <w:cols w:space="708"/>
          <w:titlePg/>
          <w:docGrid w:linePitch="360"/>
        </w:sectPr>
      </w:pPr>
    </w:p>
    <w:p w14:paraId="2160F6C9" w14:textId="75955859" w:rsidR="00673384" w:rsidRPr="00BD36DF" w:rsidRDefault="00673384" w:rsidP="00BD36DF">
      <w:pPr>
        <w:pStyle w:val="Heading1"/>
        <w:rPr>
          <w:b/>
          <w:bCs/>
        </w:rPr>
      </w:pPr>
      <w:r w:rsidRPr="00BD36DF">
        <w:rPr>
          <w:b/>
          <w:bCs/>
        </w:rPr>
        <w:lastRenderedPageBreak/>
        <w:t>Submission from the National School Resourcing Board</w:t>
      </w:r>
    </w:p>
    <w:p w14:paraId="0CE05127" w14:textId="3B39543A" w:rsidR="000E4D1C" w:rsidRPr="00AD14D0" w:rsidRDefault="000E4D1C" w:rsidP="00AD14D0">
      <w:pPr>
        <w:pStyle w:val="Heading2"/>
        <w:spacing w:after="160"/>
        <w:rPr>
          <w:b/>
          <w:bCs/>
        </w:rPr>
      </w:pPr>
      <w:r w:rsidRPr="00AD14D0">
        <w:rPr>
          <w:b/>
          <w:bCs/>
        </w:rPr>
        <w:t>Background</w:t>
      </w:r>
    </w:p>
    <w:p w14:paraId="1495EF35" w14:textId="52CE4946" w:rsidR="000E4D1C" w:rsidRPr="009F55A7" w:rsidRDefault="000E4D1C" w:rsidP="000E4D1C">
      <w:pPr>
        <w:spacing w:after="120"/>
      </w:pPr>
      <w:r>
        <w:t xml:space="preserve">The National School Resourcing Board </w:t>
      </w:r>
      <w:r w:rsidR="003358DA">
        <w:t xml:space="preserve">(‘the Board’) </w:t>
      </w:r>
      <w:r>
        <w:t>was e</w:t>
      </w:r>
      <w:r w:rsidRPr="009F55A7">
        <w:t>stablished</w:t>
      </w:r>
      <w:r>
        <w:t xml:space="preserve"> </w:t>
      </w:r>
      <w:r w:rsidRPr="009F55A7">
        <w:t xml:space="preserve">under s.128 of the </w:t>
      </w:r>
      <w:r w:rsidRPr="00AD14D0">
        <w:rPr>
          <w:i/>
          <w:iCs/>
        </w:rPr>
        <w:t>Australian Education Act 2013</w:t>
      </w:r>
      <w:r w:rsidRPr="009F55A7">
        <w:t xml:space="preserve"> </w:t>
      </w:r>
      <w:r w:rsidR="003358DA">
        <w:t>(</w:t>
      </w:r>
      <w:proofErr w:type="spellStart"/>
      <w:r w:rsidR="003358DA">
        <w:t>Cth</w:t>
      </w:r>
      <w:proofErr w:type="spellEnd"/>
      <w:r w:rsidR="003358DA">
        <w:t xml:space="preserve">) </w:t>
      </w:r>
      <w:r w:rsidRPr="009F55A7">
        <w:t xml:space="preserve">to provide greater independent oversight of, and advice regarding, Commonwealth funding to </w:t>
      </w:r>
      <w:r w:rsidR="003358DA">
        <w:t xml:space="preserve">Australian </w:t>
      </w:r>
      <w:r w:rsidRPr="009F55A7">
        <w:t>schools.</w:t>
      </w:r>
    </w:p>
    <w:p w14:paraId="570673E8" w14:textId="3FB371AB" w:rsidR="000E4D1C" w:rsidRPr="009F55A7" w:rsidRDefault="000E4D1C" w:rsidP="000E4D1C">
      <w:pPr>
        <w:spacing w:after="120"/>
      </w:pPr>
      <w:r w:rsidRPr="009F55A7">
        <w:t>In line with recommendations from the 2011 Review of Funding for Schooling led by Mr David Gonski AC, the Board’s reviews help ensure</w:t>
      </w:r>
      <w:r w:rsidR="004F5E27">
        <w:t xml:space="preserve"> both</w:t>
      </w:r>
      <w:r w:rsidRPr="009F55A7">
        <w:t xml:space="preserve"> public confidence in the funding model and that jurisdictions</w:t>
      </w:r>
      <w:r w:rsidR="00D3410B" w:rsidRPr="00D3410B">
        <w:t xml:space="preserve"> </w:t>
      </w:r>
      <w:r w:rsidR="00D3410B">
        <w:t>and school systems</w:t>
      </w:r>
      <w:r w:rsidRPr="009F55A7">
        <w:t xml:space="preserve"> meet their school funding obligations.</w:t>
      </w:r>
    </w:p>
    <w:p w14:paraId="2D997934" w14:textId="051C4A79" w:rsidR="000E4D1C" w:rsidRPr="009F55A7" w:rsidRDefault="000E4D1C" w:rsidP="000E4D1C">
      <w:pPr>
        <w:spacing w:after="120"/>
      </w:pPr>
      <w:r w:rsidRPr="009F55A7">
        <w:t>The Board has eight members with expertise in education and public policy, finance and governance structures, and legislative frameworks.</w:t>
      </w:r>
      <w:r>
        <w:t xml:space="preserve"> </w:t>
      </w:r>
      <w:r w:rsidRPr="009F55A7">
        <w:t>Members are nominated by the Commonwealth, states and territories, and the non-government sector (National Catholic Education Commission and Independent Schools Australia).</w:t>
      </w:r>
      <w:r w:rsidR="00D3410B">
        <w:t xml:space="preserve"> All members are appointed by the Australian Government Minister for Education.</w:t>
      </w:r>
    </w:p>
    <w:p w14:paraId="73CB8545" w14:textId="77777777" w:rsidR="000E4D1C" w:rsidRPr="00C1656B" w:rsidRDefault="000E4D1C" w:rsidP="00AD14D0">
      <w:pPr>
        <w:pStyle w:val="Heading2"/>
        <w:spacing w:after="160"/>
        <w:rPr>
          <w:b/>
          <w:bCs/>
        </w:rPr>
      </w:pPr>
      <w:r w:rsidRPr="00C1656B">
        <w:rPr>
          <w:b/>
          <w:bCs/>
        </w:rPr>
        <w:t>Overview of the submission</w:t>
      </w:r>
    </w:p>
    <w:p w14:paraId="05AAA306" w14:textId="489103A9" w:rsidR="00DB2BE1" w:rsidRDefault="000E4D1C" w:rsidP="000E4D1C">
      <w:r>
        <w:t xml:space="preserve">Enhancements to the national evidence base are of particular interest to the Board. </w:t>
      </w:r>
      <w:r w:rsidR="007F067A">
        <w:t>We note the progress made in the implementation of a national unique student identifier (USI) and the establishment of the national evidence institute</w:t>
      </w:r>
      <w:r w:rsidR="00DB2BE1">
        <w:t xml:space="preserve"> –</w:t>
      </w:r>
      <w:r w:rsidR="007F067A">
        <w:t xml:space="preserve"> the Australian Education Research Organisation (AERO)</w:t>
      </w:r>
      <w:r w:rsidR="00DB2BE1">
        <w:t xml:space="preserve"> –</w:t>
      </w:r>
      <w:r w:rsidR="007F067A">
        <w:t xml:space="preserve"> to inform teacher practice, system improvement and policy development. We also note that there are several projects underway to enhance the national evidence base around school readiness, student wellbeing and post-school destinations</w:t>
      </w:r>
      <w:r w:rsidR="00DB2BE1">
        <w:t xml:space="preserve"> in line with </w:t>
      </w:r>
      <w:r w:rsidR="00DC42D4">
        <w:t>NPI</w:t>
      </w:r>
      <w:r w:rsidR="00DB2BE1">
        <w:t xml:space="preserve"> C(iii)</w:t>
      </w:r>
      <w:r w:rsidR="007F067A">
        <w:t>.</w:t>
      </w:r>
      <w:r w:rsidR="00DB2BE1">
        <w:rPr>
          <w:rStyle w:val="EndnoteReference"/>
        </w:rPr>
        <w:endnoteReference w:id="1"/>
      </w:r>
      <w:r w:rsidR="006761B1">
        <w:t xml:space="preserve"> The Board supports all efforts to expand the national evidence base to provide consistent, reliable information on schooling.</w:t>
      </w:r>
      <w:r w:rsidR="007F067A">
        <w:t xml:space="preserve"> </w:t>
      </w:r>
    </w:p>
    <w:p w14:paraId="519D639F" w14:textId="0100935B" w:rsidR="000E4D1C" w:rsidRDefault="000E4D1C" w:rsidP="000E4D1C">
      <w:r>
        <w:t xml:space="preserve">According to the </w:t>
      </w:r>
      <w:r w:rsidR="00DB2BE1">
        <w:t xml:space="preserve">most recently published </w:t>
      </w:r>
      <w:r w:rsidR="00DB2BE1" w:rsidRPr="00061747">
        <w:rPr>
          <w:i/>
          <w:iCs/>
        </w:rPr>
        <w:t>National School Reform Agreement: 2020 Annual Report on progress in implementing the national policy initiatives</w:t>
      </w:r>
      <w:r>
        <w:t xml:space="preserve">, Education </w:t>
      </w:r>
      <w:r w:rsidR="00295C7D">
        <w:t xml:space="preserve">Ministers </w:t>
      </w:r>
      <w:r>
        <w:t>may “consider strategic opportunities to enhance the national evidence base, including options for measures of child development status at school entry, student learning gain, general capabilities, post-school destination information, attainment, retention, wellbeing, post-school outcomes</w:t>
      </w:r>
      <w:r w:rsidR="009037BE">
        <w:t>.</w:t>
      </w:r>
      <w:r>
        <w:t>”</w:t>
      </w:r>
      <w:r w:rsidR="00DB2BE1">
        <w:rPr>
          <w:rStyle w:val="EndnoteReference"/>
        </w:rPr>
        <w:endnoteReference w:id="2"/>
      </w:r>
      <w:r>
        <w:t xml:space="preserve"> </w:t>
      </w:r>
    </w:p>
    <w:p w14:paraId="10D4AAFB" w14:textId="60900BB4" w:rsidR="005759ED" w:rsidRDefault="00523C7E" w:rsidP="000E4D1C">
      <w:r>
        <w:t xml:space="preserve">While the enhancements and work </w:t>
      </w:r>
      <w:r w:rsidR="00CB42E1">
        <w:t xml:space="preserve">undertaken </w:t>
      </w:r>
      <w:r>
        <w:t>to date are important initiatives, the focus has been limited to national frameworks and approaches</w:t>
      </w:r>
      <w:r w:rsidR="00454A11">
        <w:t xml:space="preserve"> and</w:t>
      </w:r>
      <w:r>
        <w:t xml:space="preserve"> </w:t>
      </w:r>
      <w:r w:rsidR="00932427">
        <w:t>data related to rather</w:t>
      </w:r>
      <w:r w:rsidR="00932427" w:rsidDel="00932427">
        <w:t xml:space="preserve"> </w:t>
      </w:r>
      <w:r>
        <w:t xml:space="preserve">narrow </w:t>
      </w:r>
      <w:r w:rsidR="00932427">
        <w:t xml:space="preserve">measures of </w:t>
      </w:r>
      <w:r>
        <w:t>student outcome</w:t>
      </w:r>
      <w:r w:rsidR="00932427">
        <w:t>s</w:t>
      </w:r>
      <w:r>
        <w:t>. There</w:t>
      </w:r>
      <w:r w:rsidRPr="00523C7E">
        <w:t xml:space="preserve"> </w:t>
      </w:r>
      <w:r>
        <w:t xml:space="preserve">are no initiatives </w:t>
      </w:r>
      <w:r w:rsidR="00CB42E1">
        <w:t xml:space="preserve">to </w:t>
      </w:r>
      <w:r>
        <w:t>enhanc</w:t>
      </w:r>
      <w:r w:rsidR="00CB42E1">
        <w:t>e</w:t>
      </w:r>
      <w:r>
        <w:t xml:space="preserve"> the national evidence base in relation to wider issues </w:t>
      </w:r>
      <w:r w:rsidR="00CB42E1">
        <w:t xml:space="preserve">such as the </w:t>
      </w:r>
      <w:r>
        <w:t>resourcing</w:t>
      </w:r>
      <w:r w:rsidR="00CB42E1">
        <w:t xml:space="preserve"> mechanisms</w:t>
      </w:r>
      <w:r>
        <w:t xml:space="preserve"> that have a less direct but still significant impact on school outcomes.</w:t>
      </w:r>
      <w:r w:rsidR="00454A11">
        <w:t xml:space="preserve"> Similarly, there has been no focus on broadening the national evidence base to consider </w:t>
      </w:r>
      <w:r w:rsidR="005759ED">
        <w:t xml:space="preserve">reporting the broader contextual factors that are known to </w:t>
      </w:r>
      <w:r w:rsidR="00CB42E1">
        <w:t xml:space="preserve">influence </w:t>
      </w:r>
      <w:r w:rsidR="005759ED">
        <w:t xml:space="preserve">student outcomes. </w:t>
      </w:r>
      <w:r w:rsidR="00CB42E1">
        <w:t xml:space="preserve">In particular, it </w:t>
      </w:r>
      <w:r w:rsidR="005759ED">
        <w:t>is well known that socioeconomic status</w:t>
      </w:r>
      <w:r w:rsidR="00C75056">
        <w:t xml:space="preserve"> is a strong driver of student academic performance and broader wellbeing outcomes</w:t>
      </w:r>
      <w:r w:rsidR="005759ED">
        <w:t xml:space="preserve">, </w:t>
      </w:r>
      <w:r w:rsidR="00C75056">
        <w:t>particularly at the</w:t>
      </w:r>
      <w:r w:rsidR="005759ED">
        <w:t xml:space="preserve"> school</w:t>
      </w:r>
      <w:r w:rsidR="00C75056">
        <w:t xml:space="preserve"> </w:t>
      </w:r>
      <w:r w:rsidR="005759ED">
        <w:t>level</w:t>
      </w:r>
      <w:r w:rsidR="00C75056">
        <w:t xml:space="preserve">, explaining a significant </w:t>
      </w:r>
      <w:r w:rsidR="00E767B2">
        <w:t>percentage of the variation in performance between schools and students</w:t>
      </w:r>
      <w:r w:rsidR="00C75056">
        <w:t>.</w:t>
      </w:r>
      <w:r w:rsidR="00E767B2">
        <w:rPr>
          <w:rStyle w:val="EndnoteReference"/>
        </w:rPr>
        <w:endnoteReference w:id="3"/>
      </w:r>
    </w:p>
    <w:p w14:paraId="1E03ACC5" w14:textId="37B03894" w:rsidR="000E4D1C" w:rsidRDefault="00AA1D3C" w:rsidP="000E4D1C">
      <w:r>
        <w:t xml:space="preserve">Given the considerable empirical evidence demonstrating the significant impact of school-level socioeconomic status on student outcomes, there </w:t>
      </w:r>
      <w:r w:rsidR="00CB42E1">
        <w:t>is</w:t>
      </w:r>
      <w:r>
        <w:t xml:space="preserve"> a clear alignment between </w:t>
      </w:r>
      <w:r w:rsidR="00CB42E1">
        <w:t xml:space="preserve">the Board’s </w:t>
      </w:r>
      <w:r>
        <w:t xml:space="preserve">ongoing remit and work in the schools funding space and the Commission’s expressed interest in “the key policy and external drivers of student outcomes related to academic achievement, engagement, and </w:t>
      </w:r>
      <w:r>
        <w:lastRenderedPageBreak/>
        <w:t>skill acquisition over the past decade” as well as its stated interest in “whether the NSRA is measuring the ‘right’ outcomes, using the ‘right’ metrics.”</w:t>
      </w:r>
      <w:r>
        <w:rPr>
          <w:rStyle w:val="EndnoteReference"/>
        </w:rPr>
        <w:endnoteReference w:id="4"/>
      </w:r>
      <w:r w:rsidR="001B586B">
        <w:t xml:space="preserve"> </w:t>
      </w:r>
      <w:r w:rsidR="00523C7E">
        <w:t>The Board considers that there is a strategic opportunity to improve the collection of data around school funding so that potential links between resourcing and student outcomes, both academic and wellbeing, can be better examined to inform sound policy development.</w:t>
      </w:r>
    </w:p>
    <w:p w14:paraId="41C83919" w14:textId="77777777" w:rsidR="002B32E6" w:rsidRPr="00AD14D0" w:rsidRDefault="002B32E6" w:rsidP="00C1656B">
      <w:pPr>
        <w:pStyle w:val="Heading2"/>
        <w:spacing w:after="160"/>
        <w:rPr>
          <w:b/>
          <w:bCs/>
        </w:rPr>
      </w:pPr>
      <w:r w:rsidRPr="00AD14D0">
        <w:rPr>
          <w:b/>
          <w:bCs/>
        </w:rPr>
        <w:t>The Board’s work</w:t>
      </w:r>
    </w:p>
    <w:p w14:paraId="664AA5D1" w14:textId="446AB12E" w:rsidR="002B32E6" w:rsidRPr="005251B4" w:rsidRDefault="002B32E6" w:rsidP="002B32E6">
      <w:pPr>
        <w:pStyle w:val="CommentText"/>
        <w:rPr>
          <w:sz w:val="22"/>
          <w:szCs w:val="22"/>
        </w:rPr>
      </w:pPr>
      <w:r w:rsidRPr="005251B4">
        <w:rPr>
          <w:sz w:val="22"/>
          <w:szCs w:val="22"/>
        </w:rPr>
        <w:t xml:space="preserve">Through its reviews on different aspects of school funding, the Board has become </w:t>
      </w:r>
      <w:r w:rsidR="005F386D">
        <w:rPr>
          <w:sz w:val="22"/>
          <w:szCs w:val="22"/>
        </w:rPr>
        <w:t xml:space="preserve">acutely </w:t>
      </w:r>
      <w:r w:rsidRPr="005251B4">
        <w:rPr>
          <w:sz w:val="22"/>
          <w:szCs w:val="22"/>
        </w:rPr>
        <w:t xml:space="preserve">aware of the paucity of information on school-level </w:t>
      </w:r>
      <w:r w:rsidR="00D3410B">
        <w:rPr>
          <w:sz w:val="22"/>
          <w:szCs w:val="22"/>
        </w:rPr>
        <w:t xml:space="preserve">funding and </w:t>
      </w:r>
      <w:r w:rsidRPr="005251B4">
        <w:rPr>
          <w:sz w:val="22"/>
          <w:szCs w:val="22"/>
        </w:rPr>
        <w:t>expenditure</w:t>
      </w:r>
      <w:r w:rsidR="00D3410B">
        <w:rPr>
          <w:sz w:val="22"/>
          <w:szCs w:val="22"/>
        </w:rPr>
        <w:t xml:space="preserve">, specifically where schools are funded through </w:t>
      </w:r>
      <w:r w:rsidR="005F386D">
        <w:rPr>
          <w:sz w:val="22"/>
          <w:szCs w:val="22"/>
        </w:rPr>
        <w:t xml:space="preserve">specific </w:t>
      </w:r>
      <w:r w:rsidR="00D3410B">
        <w:rPr>
          <w:sz w:val="22"/>
          <w:szCs w:val="22"/>
        </w:rPr>
        <w:t>systems (whether state and territory or non-government schools)</w:t>
      </w:r>
      <w:r w:rsidRPr="005251B4">
        <w:rPr>
          <w:sz w:val="22"/>
          <w:szCs w:val="22"/>
        </w:rPr>
        <w:t xml:space="preserve">. </w:t>
      </w:r>
      <w:r w:rsidR="00DD22FC">
        <w:rPr>
          <w:sz w:val="22"/>
          <w:szCs w:val="22"/>
        </w:rPr>
        <w:t xml:space="preserve">While aggregate </w:t>
      </w:r>
      <w:r w:rsidR="009A5352">
        <w:rPr>
          <w:sz w:val="22"/>
          <w:szCs w:val="22"/>
        </w:rPr>
        <w:t>estimates</w:t>
      </w:r>
      <w:r w:rsidR="00DD22FC">
        <w:rPr>
          <w:sz w:val="22"/>
          <w:szCs w:val="22"/>
        </w:rPr>
        <w:t xml:space="preserve"> per school are provided </w:t>
      </w:r>
      <w:r w:rsidR="009A5352">
        <w:rPr>
          <w:sz w:val="22"/>
          <w:szCs w:val="22"/>
        </w:rPr>
        <w:t xml:space="preserve">and available </w:t>
      </w:r>
      <w:r w:rsidR="00DD22FC">
        <w:rPr>
          <w:sz w:val="22"/>
          <w:szCs w:val="22"/>
        </w:rPr>
        <w:t xml:space="preserve">on allocations, there are no </w:t>
      </w:r>
      <w:r w:rsidR="009A5352">
        <w:rPr>
          <w:sz w:val="22"/>
          <w:szCs w:val="22"/>
        </w:rPr>
        <w:t xml:space="preserve">itemised estimates of </w:t>
      </w:r>
      <w:r w:rsidR="00D3410B">
        <w:rPr>
          <w:sz w:val="22"/>
          <w:szCs w:val="22"/>
        </w:rPr>
        <w:t xml:space="preserve">funding </w:t>
      </w:r>
      <w:r w:rsidR="009A5352">
        <w:rPr>
          <w:sz w:val="22"/>
          <w:szCs w:val="22"/>
        </w:rPr>
        <w:t>allocations or of expenditure.</w:t>
      </w:r>
    </w:p>
    <w:p w14:paraId="14D86545" w14:textId="7B922846" w:rsidR="002B32E6" w:rsidRPr="005251B4" w:rsidRDefault="002B32E6" w:rsidP="002B32E6">
      <w:pPr>
        <w:pStyle w:val="CommentText"/>
        <w:rPr>
          <w:sz w:val="22"/>
          <w:szCs w:val="22"/>
        </w:rPr>
      </w:pPr>
      <w:r w:rsidRPr="005251B4">
        <w:rPr>
          <w:sz w:val="22"/>
          <w:szCs w:val="22"/>
        </w:rPr>
        <w:t>The Productivity Commission notes in its call for submissions that “the nationally agreed reforms set out in the NSRA were, in part, a response to evidence that simply providing more funding does not in itself improve student outcomes. The OECD has found that for high-income countries like Australia it matters more how money is spent, than how much is spent (DESE 2021h, p. 1)”</w:t>
      </w:r>
      <w:r w:rsidR="005251B4">
        <w:rPr>
          <w:sz w:val="22"/>
          <w:szCs w:val="22"/>
        </w:rPr>
        <w:t>.</w:t>
      </w:r>
      <w:r w:rsidR="005251B4">
        <w:rPr>
          <w:rStyle w:val="EndnoteReference"/>
          <w:sz w:val="22"/>
          <w:szCs w:val="22"/>
        </w:rPr>
        <w:endnoteReference w:id="5"/>
      </w:r>
      <w:r w:rsidRPr="005251B4">
        <w:rPr>
          <w:sz w:val="22"/>
          <w:szCs w:val="22"/>
        </w:rPr>
        <w:t xml:space="preserve"> </w:t>
      </w:r>
    </w:p>
    <w:p w14:paraId="6B4FD875" w14:textId="76FAA146" w:rsidR="001D79F0" w:rsidRDefault="002B32E6" w:rsidP="002B32E6">
      <w:pPr>
        <w:pStyle w:val="CommentText"/>
        <w:rPr>
          <w:sz w:val="22"/>
          <w:szCs w:val="22"/>
        </w:rPr>
      </w:pPr>
      <w:r w:rsidRPr="005251B4">
        <w:rPr>
          <w:sz w:val="22"/>
          <w:szCs w:val="22"/>
        </w:rPr>
        <w:t xml:space="preserve">The Board </w:t>
      </w:r>
      <w:r w:rsidR="00D3410B">
        <w:rPr>
          <w:sz w:val="22"/>
          <w:szCs w:val="22"/>
        </w:rPr>
        <w:t>acknowledges</w:t>
      </w:r>
      <w:r w:rsidR="00D3410B" w:rsidRPr="005251B4" w:rsidDel="00D3410B">
        <w:rPr>
          <w:sz w:val="22"/>
          <w:szCs w:val="22"/>
        </w:rPr>
        <w:t xml:space="preserve"> </w:t>
      </w:r>
      <w:r w:rsidRPr="005251B4">
        <w:rPr>
          <w:sz w:val="22"/>
          <w:szCs w:val="22"/>
        </w:rPr>
        <w:t xml:space="preserve">this </w:t>
      </w:r>
      <w:proofErr w:type="gramStart"/>
      <w:r w:rsidRPr="005251B4">
        <w:rPr>
          <w:sz w:val="22"/>
          <w:szCs w:val="22"/>
        </w:rPr>
        <w:t>view</w:t>
      </w:r>
      <w:r w:rsidR="001D79F0">
        <w:rPr>
          <w:sz w:val="22"/>
          <w:szCs w:val="22"/>
        </w:rPr>
        <w:t xml:space="preserve">, </w:t>
      </w:r>
      <w:r w:rsidR="00D3410B">
        <w:rPr>
          <w:sz w:val="22"/>
          <w:szCs w:val="22"/>
        </w:rPr>
        <w:t>but</w:t>
      </w:r>
      <w:proofErr w:type="gramEnd"/>
      <w:r w:rsidR="00D3410B">
        <w:rPr>
          <w:sz w:val="22"/>
          <w:szCs w:val="22"/>
        </w:rPr>
        <w:t xml:space="preserve"> notes the paucity of evidence available to make cogent policy decisions. In Australia,</w:t>
      </w:r>
      <w:r w:rsidR="0079046C" w:rsidRPr="0079046C">
        <w:rPr>
          <w:sz w:val="22"/>
          <w:szCs w:val="22"/>
        </w:rPr>
        <w:t xml:space="preserve"> </w:t>
      </w:r>
      <w:r w:rsidR="005F386D">
        <w:rPr>
          <w:sz w:val="22"/>
          <w:szCs w:val="22"/>
        </w:rPr>
        <w:t xml:space="preserve">information on </w:t>
      </w:r>
      <w:r w:rsidR="0079046C">
        <w:rPr>
          <w:sz w:val="22"/>
          <w:szCs w:val="22"/>
        </w:rPr>
        <w:t>both the quantum of the</w:t>
      </w:r>
      <w:r w:rsidR="00D3410B">
        <w:rPr>
          <w:sz w:val="22"/>
          <w:szCs w:val="22"/>
        </w:rPr>
        <w:t xml:space="preserve"> specific funding</w:t>
      </w:r>
      <w:r w:rsidR="0079046C" w:rsidRPr="0079046C">
        <w:rPr>
          <w:sz w:val="22"/>
          <w:szCs w:val="22"/>
        </w:rPr>
        <w:t xml:space="preserve"> </w:t>
      </w:r>
      <w:r w:rsidR="0079046C">
        <w:rPr>
          <w:sz w:val="22"/>
          <w:szCs w:val="22"/>
        </w:rPr>
        <w:t>that is made</w:t>
      </w:r>
      <w:r w:rsidR="00D3410B">
        <w:rPr>
          <w:sz w:val="22"/>
          <w:szCs w:val="22"/>
        </w:rPr>
        <w:t xml:space="preserve"> available </w:t>
      </w:r>
      <w:r w:rsidR="0079046C">
        <w:rPr>
          <w:sz w:val="22"/>
          <w:szCs w:val="22"/>
        </w:rPr>
        <w:t xml:space="preserve">both to systems </w:t>
      </w:r>
      <w:r w:rsidR="00D3410B">
        <w:rPr>
          <w:sz w:val="22"/>
          <w:szCs w:val="22"/>
        </w:rPr>
        <w:t xml:space="preserve">overall and to individual schools </w:t>
      </w:r>
      <w:r w:rsidR="0079046C">
        <w:rPr>
          <w:sz w:val="22"/>
          <w:szCs w:val="22"/>
        </w:rPr>
        <w:t xml:space="preserve">in order </w:t>
      </w:r>
      <w:r w:rsidR="00D3410B">
        <w:rPr>
          <w:sz w:val="22"/>
          <w:szCs w:val="22"/>
        </w:rPr>
        <w:t xml:space="preserve">to support the needs of different </w:t>
      </w:r>
      <w:r w:rsidR="0079046C">
        <w:rPr>
          <w:sz w:val="22"/>
          <w:szCs w:val="22"/>
        </w:rPr>
        <w:t xml:space="preserve">student </w:t>
      </w:r>
      <w:r w:rsidR="00D3410B">
        <w:rPr>
          <w:sz w:val="22"/>
          <w:szCs w:val="22"/>
        </w:rPr>
        <w:t>cohorts as well as the impact, quality and equity of spending is important</w:t>
      </w:r>
      <w:r w:rsidR="0079046C">
        <w:rPr>
          <w:sz w:val="22"/>
          <w:szCs w:val="22"/>
        </w:rPr>
        <w:t>, although the Board</w:t>
      </w:r>
      <w:r w:rsidR="00D3410B">
        <w:rPr>
          <w:sz w:val="22"/>
          <w:szCs w:val="22"/>
        </w:rPr>
        <w:t xml:space="preserve"> </w:t>
      </w:r>
      <w:r w:rsidR="001D79F0">
        <w:rPr>
          <w:sz w:val="22"/>
          <w:szCs w:val="22"/>
        </w:rPr>
        <w:t>not</w:t>
      </w:r>
      <w:r w:rsidR="0079046C">
        <w:rPr>
          <w:sz w:val="22"/>
          <w:szCs w:val="22"/>
        </w:rPr>
        <w:t>ed</w:t>
      </w:r>
      <w:r w:rsidR="001D79F0">
        <w:rPr>
          <w:sz w:val="22"/>
          <w:szCs w:val="22"/>
        </w:rPr>
        <w:t xml:space="preserve"> that evidence from the OECD’s Programme for International Student Assessment has repeatedly shown that the wealth of a country only impacts on average student achievement for low and middle income countries.</w:t>
      </w:r>
      <w:r w:rsidR="00072A3C">
        <w:rPr>
          <w:sz w:val="22"/>
          <w:szCs w:val="22"/>
        </w:rPr>
        <w:t xml:space="preserve"> In countries like Australia, targeting of resource allocation as well as </w:t>
      </w:r>
      <w:r w:rsidR="005F386D">
        <w:rPr>
          <w:sz w:val="22"/>
          <w:szCs w:val="22"/>
        </w:rPr>
        <w:t xml:space="preserve">the </w:t>
      </w:r>
      <w:r w:rsidR="00072A3C">
        <w:rPr>
          <w:sz w:val="22"/>
          <w:szCs w:val="22"/>
        </w:rPr>
        <w:t xml:space="preserve">overall quantum of funding is important, particularly for socio-economic disadvantaged segments of the population </w:t>
      </w:r>
      <w:r w:rsidR="0079046C">
        <w:rPr>
          <w:sz w:val="22"/>
          <w:szCs w:val="22"/>
        </w:rPr>
        <w:t>that</w:t>
      </w:r>
      <w:r w:rsidR="005F386D">
        <w:rPr>
          <w:sz w:val="22"/>
          <w:szCs w:val="22"/>
        </w:rPr>
        <w:t xml:space="preserve"> </w:t>
      </w:r>
      <w:r w:rsidR="00072A3C">
        <w:rPr>
          <w:sz w:val="22"/>
          <w:szCs w:val="22"/>
        </w:rPr>
        <w:t xml:space="preserve">rely totally on government outlays to support high quality, effective schools. </w:t>
      </w:r>
      <w:r w:rsidR="001D79F0">
        <w:rPr>
          <w:sz w:val="22"/>
          <w:szCs w:val="22"/>
        </w:rPr>
        <w:t xml:space="preserve"> </w:t>
      </w:r>
      <w:r w:rsidR="0079046C" w:rsidRPr="00141C3C">
        <w:rPr>
          <w:sz w:val="22"/>
          <w:szCs w:val="22"/>
        </w:rPr>
        <w:t xml:space="preserve">The OECD’s report </w:t>
      </w:r>
      <w:r w:rsidR="0079046C">
        <w:rPr>
          <w:sz w:val="22"/>
          <w:szCs w:val="22"/>
        </w:rPr>
        <w:t>finds</w:t>
      </w:r>
      <w:r w:rsidR="0079046C" w:rsidRPr="00141C3C">
        <w:rPr>
          <w:sz w:val="22"/>
          <w:szCs w:val="22"/>
        </w:rPr>
        <w:t xml:space="preserve"> that </w:t>
      </w:r>
      <w:r w:rsidR="001D79F0">
        <w:rPr>
          <w:sz w:val="22"/>
          <w:szCs w:val="22"/>
        </w:rPr>
        <w:t>for high income countries (above a threshold of USD 20,000 per capita) the cumulative expenditure on education is unrelated to student performance.</w:t>
      </w:r>
      <w:r w:rsidR="009040BE">
        <w:rPr>
          <w:rStyle w:val="EndnoteReference"/>
          <w:sz w:val="22"/>
          <w:szCs w:val="22"/>
        </w:rPr>
        <w:endnoteReference w:id="6"/>
      </w:r>
      <w:r w:rsidRPr="005251B4">
        <w:rPr>
          <w:sz w:val="22"/>
          <w:szCs w:val="22"/>
        </w:rPr>
        <w:t xml:space="preserve"> </w:t>
      </w:r>
      <w:r w:rsidR="001D79F0">
        <w:rPr>
          <w:sz w:val="22"/>
          <w:szCs w:val="22"/>
        </w:rPr>
        <w:t xml:space="preserve">Instead, </w:t>
      </w:r>
      <w:r w:rsidR="0079046C">
        <w:rPr>
          <w:sz w:val="22"/>
          <w:szCs w:val="22"/>
        </w:rPr>
        <w:t>the OECD argues that international evidence supports the view that</w:t>
      </w:r>
      <w:r w:rsidR="005F386D">
        <w:rPr>
          <w:sz w:val="22"/>
          <w:szCs w:val="22"/>
        </w:rPr>
        <w:t xml:space="preserve"> </w:t>
      </w:r>
      <w:r w:rsidR="001D79F0">
        <w:rPr>
          <w:sz w:val="22"/>
          <w:szCs w:val="22"/>
        </w:rPr>
        <w:t>top performance in high income countries is more closely related to how money is invested in teachers.</w:t>
      </w:r>
      <w:r w:rsidR="001D79F0">
        <w:rPr>
          <w:rStyle w:val="EndnoteReference"/>
          <w:sz w:val="22"/>
          <w:szCs w:val="22"/>
        </w:rPr>
        <w:endnoteReference w:id="7"/>
      </w:r>
    </w:p>
    <w:p w14:paraId="33612C45" w14:textId="51886EF6" w:rsidR="002B5A59" w:rsidRDefault="001D79F0" w:rsidP="002B32E6">
      <w:pPr>
        <w:pStyle w:val="CommentText"/>
        <w:rPr>
          <w:sz w:val="22"/>
          <w:szCs w:val="22"/>
        </w:rPr>
      </w:pPr>
      <w:r>
        <w:rPr>
          <w:sz w:val="22"/>
          <w:szCs w:val="22"/>
        </w:rPr>
        <w:t>T</w:t>
      </w:r>
      <w:r w:rsidR="002B32E6" w:rsidRPr="005251B4">
        <w:rPr>
          <w:sz w:val="22"/>
          <w:szCs w:val="22"/>
        </w:rPr>
        <w:t>he simple reality</w:t>
      </w:r>
      <w:r>
        <w:rPr>
          <w:sz w:val="22"/>
          <w:szCs w:val="22"/>
        </w:rPr>
        <w:t xml:space="preserve"> is</w:t>
      </w:r>
      <w:r w:rsidR="002B32E6" w:rsidRPr="005251B4">
        <w:rPr>
          <w:sz w:val="22"/>
          <w:szCs w:val="22"/>
        </w:rPr>
        <w:t xml:space="preserve"> that there is no </w:t>
      </w:r>
      <w:r w:rsidR="002B5A59">
        <w:rPr>
          <w:sz w:val="22"/>
          <w:szCs w:val="22"/>
        </w:rPr>
        <w:t xml:space="preserve">consistent </w:t>
      </w:r>
      <w:r w:rsidR="00F437FC">
        <w:rPr>
          <w:sz w:val="22"/>
          <w:szCs w:val="22"/>
        </w:rPr>
        <w:t xml:space="preserve">transparent </w:t>
      </w:r>
      <w:r w:rsidR="002B32E6" w:rsidRPr="005251B4">
        <w:rPr>
          <w:sz w:val="22"/>
          <w:szCs w:val="22"/>
        </w:rPr>
        <w:t xml:space="preserve">information </w:t>
      </w:r>
      <w:r>
        <w:rPr>
          <w:sz w:val="22"/>
          <w:szCs w:val="22"/>
        </w:rPr>
        <w:t xml:space="preserve">currently </w:t>
      </w:r>
      <w:r w:rsidR="002B32E6" w:rsidRPr="005251B4">
        <w:rPr>
          <w:sz w:val="22"/>
          <w:szCs w:val="22"/>
        </w:rPr>
        <w:t xml:space="preserve">provided </w:t>
      </w:r>
      <w:r w:rsidR="002B5A59">
        <w:rPr>
          <w:sz w:val="22"/>
          <w:szCs w:val="22"/>
        </w:rPr>
        <w:t>by Australian governments</w:t>
      </w:r>
      <w:r w:rsidR="002B5A59" w:rsidRPr="005251B4">
        <w:rPr>
          <w:sz w:val="22"/>
          <w:szCs w:val="22"/>
        </w:rPr>
        <w:t xml:space="preserve"> </w:t>
      </w:r>
      <w:r w:rsidR="005F386D">
        <w:rPr>
          <w:sz w:val="22"/>
          <w:szCs w:val="22"/>
        </w:rPr>
        <w:t>or by</w:t>
      </w:r>
      <w:r w:rsidR="00F437FC">
        <w:rPr>
          <w:sz w:val="22"/>
          <w:szCs w:val="22"/>
        </w:rPr>
        <w:t xml:space="preserve"> the non-government sector </w:t>
      </w:r>
      <w:r w:rsidR="002B32E6" w:rsidRPr="005251B4">
        <w:rPr>
          <w:sz w:val="22"/>
          <w:szCs w:val="22"/>
        </w:rPr>
        <w:t xml:space="preserve">that can be used to assess how school funding is being spent, or even how much funding each school actually receives. </w:t>
      </w:r>
      <w:r w:rsidR="002B5A59">
        <w:rPr>
          <w:sz w:val="22"/>
          <w:szCs w:val="22"/>
        </w:rPr>
        <w:t xml:space="preserve">In order to gain a proper understanding of how resourcing impacts student outcomes, </w:t>
      </w:r>
      <w:r w:rsidR="00A269F4">
        <w:rPr>
          <w:sz w:val="22"/>
          <w:szCs w:val="22"/>
        </w:rPr>
        <w:t xml:space="preserve">school </w:t>
      </w:r>
      <w:r w:rsidR="002B5A59">
        <w:rPr>
          <w:sz w:val="22"/>
          <w:szCs w:val="22"/>
        </w:rPr>
        <w:t xml:space="preserve">systems would need to be required to share the more detailed school-level income and expenditure data that </w:t>
      </w:r>
      <w:r w:rsidR="00F437FC">
        <w:rPr>
          <w:sz w:val="22"/>
          <w:szCs w:val="22"/>
        </w:rPr>
        <w:t xml:space="preserve">are </w:t>
      </w:r>
      <w:r w:rsidR="005F386D">
        <w:rPr>
          <w:sz w:val="22"/>
          <w:szCs w:val="22"/>
        </w:rPr>
        <w:t xml:space="preserve">currently </w:t>
      </w:r>
      <w:r w:rsidR="00F437FC">
        <w:rPr>
          <w:sz w:val="22"/>
          <w:szCs w:val="22"/>
        </w:rPr>
        <w:t>not accessible in a transparent</w:t>
      </w:r>
      <w:r w:rsidR="005F386D">
        <w:rPr>
          <w:sz w:val="22"/>
          <w:szCs w:val="22"/>
        </w:rPr>
        <w:t xml:space="preserve"> or consistent</w:t>
      </w:r>
      <w:r w:rsidR="00F437FC">
        <w:rPr>
          <w:sz w:val="22"/>
          <w:szCs w:val="22"/>
        </w:rPr>
        <w:t xml:space="preserve"> way</w:t>
      </w:r>
      <w:r w:rsidR="002B5A59">
        <w:rPr>
          <w:sz w:val="22"/>
          <w:szCs w:val="22"/>
        </w:rPr>
        <w:t>.</w:t>
      </w:r>
    </w:p>
    <w:p w14:paraId="7F4725D9" w14:textId="0AFB5C36" w:rsidR="009A5352" w:rsidRPr="005251B4" w:rsidRDefault="002B5A59" w:rsidP="002B32E6">
      <w:pPr>
        <w:pStyle w:val="CommentText"/>
        <w:rPr>
          <w:sz w:val="22"/>
          <w:szCs w:val="22"/>
        </w:rPr>
      </w:pPr>
      <w:r>
        <w:rPr>
          <w:sz w:val="22"/>
          <w:szCs w:val="22"/>
        </w:rPr>
        <w:t xml:space="preserve">For these reasons, </w:t>
      </w:r>
      <w:r w:rsidR="009A5352">
        <w:rPr>
          <w:sz w:val="22"/>
          <w:szCs w:val="22"/>
        </w:rPr>
        <w:t>the Board’s view</w:t>
      </w:r>
      <w:r>
        <w:rPr>
          <w:sz w:val="22"/>
          <w:szCs w:val="22"/>
        </w:rPr>
        <w:t xml:space="preserve"> is that</w:t>
      </w:r>
      <w:r w:rsidR="009A5352">
        <w:rPr>
          <w:sz w:val="22"/>
          <w:szCs w:val="22"/>
        </w:rPr>
        <w:t xml:space="preserve"> the l</w:t>
      </w:r>
      <w:r w:rsidR="009A5352" w:rsidRPr="00B7284F">
        <w:rPr>
          <w:sz w:val="22"/>
          <w:szCs w:val="22"/>
        </w:rPr>
        <w:t>ack of</w:t>
      </w:r>
      <w:r>
        <w:rPr>
          <w:sz w:val="22"/>
          <w:szCs w:val="22"/>
        </w:rPr>
        <w:t xml:space="preserve"> detailed school funding</w:t>
      </w:r>
      <w:r w:rsidR="009A5352" w:rsidRPr="00B7284F">
        <w:rPr>
          <w:sz w:val="22"/>
          <w:szCs w:val="22"/>
        </w:rPr>
        <w:t xml:space="preserve"> data is a major shortfall in the current national evidence base on schooling.</w:t>
      </w:r>
    </w:p>
    <w:p w14:paraId="3B4359A5" w14:textId="114BEB5F" w:rsidR="000E4D1C" w:rsidRPr="00C1656B" w:rsidRDefault="000E4D1C" w:rsidP="00AD14D0">
      <w:pPr>
        <w:pStyle w:val="Heading2"/>
        <w:spacing w:after="160"/>
        <w:rPr>
          <w:b/>
          <w:bCs/>
        </w:rPr>
      </w:pPr>
      <w:r w:rsidRPr="005420B5">
        <w:rPr>
          <w:b/>
          <w:bCs/>
        </w:rPr>
        <w:t>School funding, accountability and data</w:t>
      </w:r>
      <w:r w:rsidR="00AE4EA6">
        <w:rPr>
          <w:b/>
          <w:bCs/>
        </w:rPr>
        <w:t xml:space="preserve"> - w</w:t>
      </w:r>
      <w:r w:rsidR="00AE4EA6" w:rsidRPr="00C1656B">
        <w:rPr>
          <w:b/>
          <w:bCs/>
        </w:rPr>
        <w:t>hat is the value in knowing how schools spend their funding?</w:t>
      </w:r>
    </w:p>
    <w:p w14:paraId="37401C53" w14:textId="49A78D77" w:rsidR="006A2621" w:rsidRDefault="006A2621" w:rsidP="00C02183">
      <w:r>
        <w:t>It is important that the national education evidence base address</w:t>
      </w:r>
      <w:r w:rsidR="005F386D">
        <w:t>es</w:t>
      </w:r>
      <w:r>
        <w:t xml:space="preserve"> not only student and school outcomes but also the inputs that are responsible for driving those outcomes, including the allocation </w:t>
      </w:r>
      <w:r w:rsidR="00F437FC">
        <w:t xml:space="preserve">and expenditure </w:t>
      </w:r>
      <w:r>
        <w:t>of school funding. As the ANAO observes “when an entity has large data sets, organising these into data analytics platforms will support informed decision making and policy development.”</w:t>
      </w:r>
      <w:r>
        <w:rPr>
          <w:rStyle w:val="EndnoteReference"/>
        </w:rPr>
        <w:endnoteReference w:id="8"/>
      </w:r>
      <w:r>
        <w:t xml:space="preserve"> Allocating funding to ensure that the national evidence base includes</w:t>
      </w:r>
      <w:r w:rsidR="005F386D">
        <w:t xml:space="preserve"> the</w:t>
      </w:r>
      <w:r>
        <w:t xml:space="preserve"> reporting</w:t>
      </w:r>
      <w:r w:rsidRPr="00EA0C06">
        <w:t xml:space="preserve"> </w:t>
      </w:r>
      <w:r w:rsidR="005F386D">
        <w:lastRenderedPageBreak/>
        <w:t xml:space="preserve">of </w:t>
      </w:r>
      <w:r w:rsidRPr="00EA0C06">
        <w:t>consistent school-level expenditure data on a regular basis would create a valuable data asset</w:t>
      </w:r>
      <w:r>
        <w:t xml:space="preserve"> and thus </w:t>
      </w:r>
      <w:r w:rsidRPr="00EA0C06">
        <w:t>be money well spent.</w:t>
      </w:r>
      <w:r>
        <w:t xml:space="preserve"> The Board understands from its work that most states and territories already have school level financial data, meaning the challenge is to make it available in a national evidence base.</w:t>
      </w:r>
    </w:p>
    <w:p w14:paraId="21D2EC61" w14:textId="6C1E09FD" w:rsidR="000E4D1C" w:rsidRDefault="000E4D1C" w:rsidP="00C02183">
      <w:pPr>
        <w:rPr>
          <w:rFonts w:cstheme="minorHAnsi"/>
        </w:rPr>
      </w:pPr>
      <w:r>
        <w:rPr>
          <w:rFonts w:cstheme="minorHAnsi"/>
        </w:rPr>
        <w:t xml:space="preserve">In its report, </w:t>
      </w:r>
      <w:r>
        <w:rPr>
          <w:rFonts w:cstheme="minorHAnsi"/>
          <w:i/>
          <w:iCs/>
        </w:rPr>
        <w:t>The Funding of School Education:  Connecting Resources and Learning</w:t>
      </w:r>
      <w:r>
        <w:rPr>
          <w:rFonts w:cstheme="minorHAnsi"/>
        </w:rPr>
        <w:t>, the OECD provides analysis and policy options to assist governments in achieving their education policy objectives through the efficient and equitable use of financial resources. The OECD suggests that</w:t>
      </w:r>
      <w:r w:rsidR="00F6357C">
        <w:rPr>
          <w:rFonts w:cstheme="minorHAnsi"/>
        </w:rPr>
        <w:t>,</w:t>
      </w:r>
      <w:r>
        <w:rPr>
          <w:rFonts w:cstheme="minorHAnsi"/>
        </w:rPr>
        <w:t xml:space="preserve"> r</w:t>
      </w:r>
      <w:r w:rsidRPr="007301C8">
        <w:rPr>
          <w:rFonts w:cstheme="minorHAnsi"/>
        </w:rPr>
        <w:t>egardless of the allocation mechanism, the method used to identify differential resource needs should be subject to periodical reviews and based on national research, reliable data and transparent criteria.</w:t>
      </w:r>
      <w:r>
        <w:rPr>
          <w:rStyle w:val="EndnoteReference"/>
          <w:rFonts w:cstheme="minorHAnsi"/>
        </w:rPr>
        <w:endnoteReference w:id="9"/>
      </w:r>
    </w:p>
    <w:p w14:paraId="33C30C1F" w14:textId="2C85DD38" w:rsidR="000E4D1C" w:rsidRPr="00D00025" w:rsidRDefault="000E4D1C" w:rsidP="00C02183">
      <w:pPr>
        <w:spacing w:after="100" w:afterAutospacing="1"/>
        <w:rPr>
          <w:rFonts w:cstheme="minorHAnsi"/>
        </w:rPr>
      </w:pPr>
      <w:r>
        <w:rPr>
          <w:rFonts w:cstheme="minorHAnsi"/>
        </w:rPr>
        <w:t>Evaluating</w:t>
      </w:r>
      <w:r w:rsidRPr="00D00025">
        <w:rPr>
          <w:rFonts w:cstheme="minorHAnsi"/>
        </w:rPr>
        <w:t xml:space="preserve"> and monitoring of school funding </w:t>
      </w:r>
      <w:r w:rsidR="005F386D">
        <w:rPr>
          <w:rFonts w:cstheme="minorHAnsi"/>
        </w:rPr>
        <w:t>should</w:t>
      </w:r>
      <w:r w:rsidR="005F386D" w:rsidRPr="00D00025">
        <w:rPr>
          <w:rFonts w:cstheme="minorHAnsi"/>
        </w:rPr>
        <w:t xml:space="preserve"> </w:t>
      </w:r>
      <w:r w:rsidRPr="00D00025">
        <w:rPr>
          <w:rFonts w:cstheme="minorHAnsi"/>
        </w:rPr>
        <w:t>serve to hold decision makers accountable, make the use of resources transparent</w:t>
      </w:r>
      <w:r w:rsidR="009C39E1">
        <w:rPr>
          <w:rFonts w:cstheme="minorHAnsi"/>
        </w:rPr>
        <w:t>,</w:t>
      </w:r>
      <w:r w:rsidRPr="00D00025">
        <w:rPr>
          <w:rFonts w:cstheme="minorHAnsi"/>
        </w:rPr>
        <w:t xml:space="preserve"> and ensure that available resources are used efficiently and equitably. The effectiveness of these activities depends on reliable data and information management as well as adequate indicator frameworks and benchmarking systems. Rather than focusing on compliance alone, systems should develop capacity to relate inputs to associated educational processes and outcomes while bearing in mind the challenges involved in evaluating efficiency and outcomes in the area of education. Policies and programs should be subject to impact evaluations and their results should be used to inform strategic budget planning processes.</w:t>
      </w:r>
      <w:r>
        <w:rPr>
          <w:rStyle w:val="EndnoteReference"/>
          <w:rFonts w:cstheme="minorHAnsi"/>
        </w:rPr>
        <w:endnoteReference w:id="10"/>
      </w:r>
    </w:p>
    <w:p w14:paraId="145533B2" w14:textId="459EE39C" w:rsidR="000E4D1C" w:rsidRDefault="000E4D1C" w:rsidP="000E4D1C">
      <w:r>
        <w:t>In their 2015 analysis</w:t>
      </w:r>
      <w:r>
        <w:rPr>
          <w:rStyle w:val="EndnoteReference"/>
        </w:rPr>
        <w:endnoteReference w:id="11"/>
      </w:r>
      <w:r>
        <w:t xml:space="preserve">, Hanushek and </w:t>
      </w:r>
      <w:proofErr w:type="spellStart"/>
      <w:r>
        <w:t>Woessman</w:t>
      </w:r>
      <w:proofErr w:type="spellEnd"/>
      <w:r>
        <w:t xml:space="preserve"> found that </w:t>
      </w:r>
      <w:r w:rsidR="00DD298B">
        <w:t xml:space="preserve">investing </w:t>
      </w:r>
      <w:r>
        <w:t xml:space="preserve">money alone </w:t>
      </w:r>
      <w:r w:rsidR="00DD298B">
        <w:t>only impact</w:t>
      </w:r>
      <w:r w:rsidR="009C39E1">
        <w:t>ed</w:t>
      </w:r>
      <w:r w:rsidR="00DD298B">
        <w:t xml:space="preserve"> the quality of learning outcomes</w:t>
      </w:r>
      <w:r>
        <w:t xml:space="preserve"> </w:t>
      </w:r>
      <w:r w:rsidR="00DD298B">
        <w:t>for students</w:t>
      </w:r>
      <w:r>
        <w:t xml:space="preserve"> up to a point. In fact, </w:t>
      </w:r>
      <w:r w:rsidR="00DD298B">
        <w:t>for</w:t>
      </w:r>
      <w:r>
        <w:t xml:space="preserve"> countries </w:t>
      </w:r>
      <w:r w:rsidR="00DD298B">
        <w:t xml:space="preserve">like Australia </w:t>
      </w:r>
      <w:r>
        <w:t>that invest at least USD 50 000 per student between the age</w:t>
      </w:r>
      <w:r w:rsidR="00DD298B">
        <w:t>s</w:t>
      </w:r>
      <w:r>
        <w:t xml:space="preserve"> of 6 and 15 the data showed </w:t>
      </w:r>
      <w:r w:rsidR="00DD298B">
        <w:t>no</w:t>
      </w:r>
      <w:r>
        <w:t xml:space="preserve"> relationship between</w:t>
      </w:r>
      <w:r w:rsidR="00E55461">
        <w:t xml:space="preserve"> cumulative</w:t>
      </w:r>
      <w:r>
        <w:t xml:space="preserve"> </w:t>
      </w:r>
      <w:r w:rsidR="00DD298B">
        <w:t>fund</w:t>
      </w:r>
      <w:r>
        <w:t>ing and the quality of</w:t>
      </w:r>
      <w:r w:rsidR="00DD298B">
        <w:t xml:space="preserve"> students’</w:t>
      </w:r>
      <w:r>
        <w:t xml:space="preserve"> learning outcomes:  two countries with similarly high </w:t>
      </w:r>
      <w:r w:rsidR="00DD298B">
        <w:t>fu</w:t>
      </w:r>
      <w:r>
        <w:t>nding levels could produce very, very different results</w:t>
      </w:r>
      <w:r w:rsidR="00DD298B">
        <w:t xml:space="preserve"> for their students</w:t>
      </w:r>
      <w:r>
        <w:t>.</w:t>
      </w:r>
    </w:p>
    <w:p w14:paraId="23ACE1AC" w14:textId="417D77A7" w:rsidR="000E4D1C" w:rsidRDefault="00DD298B" w:rsidP="000E4D1C">
      <w:r>
        <w:t xml:space="preserve">This important analysis </w:t>
      </w:r>
      <w:r w:rsidR="00AE4EA6">
        <w:t>again confirms</w:t>
      </w:r>
      <w:r w:rsidR="000E4D1C">
        <w:t xml:space="preserve"> that for </w:t>
      </w:r>
      <w:r>
        <w:t xml:space="preserve">Australia – where </w:t>
      </w:r>
      <w:r w:rsidR="000E4D1C">
        <w:t>essential level</w:t>
      </w:r>
      <w:r>
        <w:t>s</w:t>
      </w:r>
      <w:r w:rsidR="000E4D1C">
        <w:t xml:space="preserve"> of funding</w:t>
      </w:r>
      <w:r w:rsidR="00AE4EA6">
        <w:t xml:space="preserve"> are already assured</w:t>
      </w:r>
      <w:r>
        <w:t xml:space="preserve"> – </w:t>
      </w:r>
      <w:r w:rsidR="00AE4EA6">
        <w:t>the focus for schools and governments should centre on</w:t>
      </w:r>
      <w:r w:rsidR="000E4D1C">
        <w:t xml:space="preserve"> </w:t>
      </w:r>
      <w:r w:rsidR="000E4D1C" w:rsidRPr="00DA2B6F">
        <w:rPr>
          <w:b/>
          <w:bCs/>
        </w:rPr>
        <w:t>how</w:t>
      </w:r>
      <w:r w:rsidR="000E4D1C">
        <w:t xml:space="preserve"> </w:t>
      </w:r>
      <w:r w:rsidR="00AE4EA6">
        <w:t xml:space="preserve">to best </w:t>
      </w:r>
      <w:r w:rsidR="000E4D1C">
        <w:t>spen</w:t>
      </w:r>
      <w:r w:rsidR="00AE4EA6">
        <w:t>d</w:t>
      </w:r>
      <w:r w:rsidR="000E4D1C">
        <w:t xml:space="preserve"> resources. For example, </w:t>
      </w:r>
      <w:r w:rsidR="00AE4EA6">
        <w:t xml:space="preserve">Hanushek and </w:t>
      </w:r>
      <w:proofErr w:type="spellStart"/>
      <w:r w:rsidR="00AE4EA6">
        <w:t>Woessman</w:t>
      </w:r>
      <w:proofErr w:type="spellEnd"/>
      <w:r w:rsidR="00AE4EA6">
        <w:t xml:space="preserve"> noted that </w:t>
      </w:r>
      <w:r w:rsidR="000E4D1C">
        <w:t xml:space="preserve">whenever high-performing education systems had to make a choice between a smaller class </w:t>
      </w:r>
      <w:r w:rsidR="00AE4EA6">
        <w:t xml:space="preserve">size or </w:t>
      </w:r>
      <w:r w:rsidR="000E4D1C">
        <w:t xml:space="preserve">a </w:t>
      </w:r>
      <w:proofErr w:type="gramStart"/>
      <w:r w:rsidR="000E4D1C">
        <w:t>better</w:t>
      </w:r>
      <w:r w:rsidR="00AE4EA6">
        <w:t xml:space="preserve"> quality</w:t>
      </w:r>
      <w:proofErr w:type="gramEnd"/>
      <w:r w:rsidR="000E4D1C">
        <w:t xml:space="preserve"> teacher, they opted for the latter. </w:t>
      </w:r>
      <w:r w:rsidR="00AE4EA6">
        <w:t>They also</w:t>
      </w:r>
      <w:r w:rsidR="000E4D1C">
        <w:t xml:space="preserve"> commented on the striking asymmetry in the relationship between skills and money: </w:t>
      </w:r>
      <w:r w:rsidR="00AE4EA6">
        <w:t>w</w:t>
      </w:r>
      <w:r w:rsidR="000E4D1C">
        <w:t>hile improved skills consistently generate more money for individuals and nations, improved skills do not automatically require</w:t>
      </w:r>
      <w:r w:rsidR="00AE4EA6">
        <w:t xml:space="preserve"> nations to spend</w:t>
      </w:r>
      <w:r w:rsidR="000E4D1C">
        <w:t xml:space="preserve"> more money.</w:t>
      </w:r>
    </w:p>
    <w:p w14:paraId="2BD6A019" w14:textId="370DFC86" w:rsidR="00637402" w:rsidRPr="00637402" w:rsidRDefault="00A269F4" w:rsidP="00637402">
      <w:r>
        <w:t xml:space="preserve">Other analysis </w:t>
      </w:r>
      <w:r w:rsidR="00637402">
        <w:t>suggests</w:t>
      </w:r>
      <w:r>
        <w:t xml:space="preserve"> that there may be benefits from re</w:t>
      </w:r>
      <w:r w:rsidR="00637402">
        <w:t xml:space="preserve">-distributing funding so that more support is provided for students from lower SES backgrounds. For example, in </w:t>
      </w:r>
      <w:r w:rsidR="00637402" w:rsidRPr="00637402">
        <w:t xml:space="preserve">their 2015 analysis in the United States on the effects of school spending on educational and economic outcomes, </w:t>
      </w:r>
      <w:proofErr w:type="spellStart"/>
      <w:r w:rsidR="00637402" w:rsidRPr="00637402">
        <w:t>Kirabo</w:t>
      </w:r>
      <w:proofErr w:type="spellEnd"/>
      <w:r w:rsidR="00637402" w:rsidRPr="00637402">
        <w:t xml:space="preserve"> et al. found that US</w:t>
      </w:r>
      <w:r w:rsidR="00637402">
        <w:t>A</w:t>
      </w:r>
      <w:r w:rsidR="00637402" w:rsidRPr="00637402">
        <w:t xml:space="preserve"> schools spending 10 percent more per</w:t>
      </w:r>
      <w:r w:rsidR="00637402">
        <w:t xml:space="preserve"> </w:t>
      </w:r>
      <w:r w:rsidR="00637402" w:rsidRPr="00637402">
        <w:t>pupil each year for all twelve years of school</w:t>
      </w:r>
      <w:r w:rsidR="00637402">
        <w:t>ing</w:t>
      </w:r>
      <w:r w:rsidR="00637402" w:rsidRPr="00637402">
        <w:t xml:space="preserve"> led to “0.27 more completed years of education, 7.25 per</w:t>
      </w:r>
      <w:r w:rsidR="00637402">
        <w:t xml:space="preserve"> </w:t>
      </w:r>
      <w:r w:rsidR="00637402" w:rsidRPr="00637402">
        <w:t>cent higher wages, and a 3.67</w:t>
      </w:r>
      <w:r w:rsidR="00637402">
        <w:t> </w:t>
      </w:r>
      <w:r w:rsidR="00637402" w:rsidRPr="00637402">
        <w:t>percentage</w:t>
      </w:r>
      <w:r w:rsidR="00637402">
        <w:t xml:space="preserve"> </w:t>
      </w:r>
      <w:r w:rsidR="00637402" w:rsidRPr="00637402">
        <w:t>point reduction in the annual incidence of adult poverty”.</w:t>
      </w:r>
      <w:r w:rsidR="00637402">
        <w:rPr>
          <w:rStyle w:val="EndnoteReference"/>
        </w:rPr>
        <w:endnoteReference w:id="12"/>
      </w:r>
      <w:r w:rsidR="00637402" w:rsidRPr="00637402">
        <w:t xml:space="preserve"> They also reported that the effects were much more pronounced for children from low-income families. The gains in student outcomes associated with increased spending were associated with sizable differences in measured school quality</w:t>
      </w:r>
      <w:r w:rsidR="00637402">
        <w:t xml:space="preserve"> -</w:t>
      </w:r>
      <w:r w:rsidR="00637402" w:rsidRPr="00637402">
        <w:t xml:space="preserve"> including reductions in student-to-teacher ratios, increases in teacher salaries, and longer school years.  </w:t>
      </w:r>
    </w:p>
    <w:p w14:paraId="05640F39" w14:textId="5739DE8C" w:rsidR="00A269F4" w:rsidRDefault="00637402" w:rsidP="00637402">
      <w:r w:rsidRPr="00637402">
        <w:lastRenderedPageBreak/>
        <w:t xml:space="preserve">The US analysis was made possible by the availability of school-level data on income, expenditure and </w:t>
      </w:r>
      <w:r>
        <w:t xml:space="preserve">classroom </w:t>
      </w:r>
      <w:r w:rsidRPr="00637402">
        <w:t xml:space="preserve">practice. The problem in Australia is that data that can link funding, </w:t>
      </w:r>
      <w:r>
        <w:t xml:space="preserve">classroom </w:t>
      </w:r>
      <w:r w:rsidRPr="00637402">
        <w:t>practice</w:t>
      </w:r>
      <w:r>
        <w:t>s</w:t>
      </w:r>
      <w:r w:rsidRPr="00637402">
        <w:t xml:space="preserve"> and school outcomes are not made </w:t>
      </w:r>
      <w:r>
        <w:t xml:space="preserve">publicly </w:t>
      </w:r>
      <w:r w:rsidRPr="00637402">
        <w:t xml:space="preserve">available, </w:t>
      </w:r>
      <w:r>
        <w:t>al</w:t>
      </w:r>
      <w:r w:rsidRPr="00637402">
        <w:t>though they do exist.</w:t>
      </w:r>
    </w:p>
    <w:p w14:paraId="3A5A4B31" w14:textId="68FC62CC" w:rsidR="000E4D1C" w:rsidRDefault="000E4D1C" w:rsidP="000E4D1C">
      <w:r>
        <w:t>In the Deloitte Access Economics</w:t>
      </w:r>
      <w:r w:rsidR="00376C78">
        <w:t xml:space="preserve"> (DAE)</w:t>
      </w:r>
      <w:r>
        <w:t xml:space="preserve"> analysis commissioned by the Australian Government Department of Education and Training in 2016</w:t>
      </w:r>
      <w:r>
        <w:rPr>
          <w:rStyle w:val="EndnoteReference"/>
        </w:rPr>
        <w:endnoteReference w:id="13"/>
      </w:r>
      <w:r>
        <w:t xml:space="preserve">, school level analysis demonstrated significant differences </w:t>
      </w:r>
      <w:r w:rsidR="00AE4EA6">
        <w:t xml:space="preserve">between </w:t>
      </w:r>
      <w:r>
        <w:t xml:space="preserve">Australian schools </w:t>
      </w:r>
      <w:r w:rsidR="00AE4EA6">
        <w:t>in terms of</w:t>
      </w:r>
      <w:r>
        <w:t xml:space="preserve"> student </w:t>
      </w:r>
      <w:r w:rsidRPr="00EF66B8">
        <w:t>performance</w:t>
      </w:r>
      <w:r w:rsidR="00EF66B8" w:rsidRPr="00EF66B8">
        <w:t xml:space="preserve"> after controlling for some context factors</w:t>
      </w:r>
      <w:r>
        <w:t>. This implie</w:t>
      </w:r>
      <w:r w:rsidR="00AE4EA6">
        <w:t>s</w:t>
      </w:r>
      <w:r>
        <w:t xml:space="preserve"> that some schools </w:t>
      </w:r>
      <w:r w:rsidR="00AE4EA6">
        <w:t>a</w:t>
      </w:r>
      <w:r>
        <w:t xml:space="preserve">re engaging in pedagogical practices that provide an advantage to their students. </w:t>
      </w:r>
      <w:r w:rsidR="00376C78">
        <w:t xml:space="preserve">DAE </w:t>
      </w:r>
      <w:r>
        <w:t xml:space="preserve">suggested that by identifying what these practices </w:t>
      </w:r>
      <w:proofErr w:type="gramStart"/>
      <w:r>
        <w:t>were, and</w:t>
      </w:r>
      <w:proofErr w:type="gramEnd"/>
      <w:r>
        <w:t xml:space="preserve"> using the appropriate policy levers to target them</w:t>
      </w:r>
      <w:r w:rsidR="00A25542">
        <w:t xml:space="preserve"> (including funding appropriations)</w:t>
      </w:r>
      <w:r>
        <w:t xml:space="preserve">, there was scope </w:t>
      </w:r>
      <w:r w:rsidR="00AE4EA6">
        <w:t xml:space="preserve">for Australian governments </w:t>
      </w:r>
      <w:r>
        <w:t>to i</w:t>
      </w:r>
      <w:r w:rsidR="00AE4EA6">
        <w:t>mprove student outcomes</w:t>
      </w:r>
      <w:r>
        <w:t xml:space="preserve">. </w:t>
      </w:r>
    </w:p>
    <w:p w14:paraId="25729C2E" w14:textId="64D11CFA" w:rsidR="005214E1" w:rsidRDefault="005214E1" w:rsidP="000E4D1C">
      <w:r>
        <w:t>Information and data on the interventions being employed in Australian schools</w:t>
      </w:r>
      <w:r w:rsidDel="007627EF">
        <w:t xml:space="preserve"> </w:t>
      </w:r>
      <w:r>
        <w:t xml:space="preserve">would also be useful to </w:t>
      </w:r>
      <w:r w:rsidR="005A2B41">
        <w:t xml:space="preserve">Australian researchers and should be included in </w:t>
      </w:r>
      <w:r>
        <w:t xml:space="preserve">the national evidence base. </w:t>
      </w:r>
      <w:r w:rsidR="006C18C7">
        <w:t xml:space="preserve">It would be </w:t>
      </w:r>
      <w:r w:rsidR="00AE3BAE">
        <w:t>valuable</w:t>
      </w:r>
      <w:r w:rsidR="006C18C7">
        <w:t xml:space="preserve"> to be able to link </w:t>
      </w:r>
      <w:r w:rsidR="00AE3BAE">
        <w:t>the employment of specific</w:t>
      </w:r>
      <w:r w:rsidR="006C18C7">
        <w:t xml:space="preserve"> interventions to the </w:t>
      </w:r>
      <w:r w:rsidR="00AE3BAE">
        <w:t xml:space="preserve">educational outcomes of students – especially those from disadvantaged backgrounds. </w:t>
      </w:r>
      <w:r>
        <w:t xml:space="preserve">Work on the national evidence base could be enhanced by the NPIs following the United Kingdom’s Education Endowment Fund’s </w:t>
      </w:r>
      <w:r w:rsidR="00533A88">
        <w:t xml:space="preserve">(EEF) </w:t>
      </w:r>
      <w:r>
        <w:t xml:space="preserve">example by providing funding for high-quality, independent evaluations of promising programs and interventions using predominantly randomised control trial </w:t>
      </w:r>
      <w:r w:rsidR="00533A88">
        <w:t xml:space="preserve">(RCT) </w:t>
      </w:r>
      <w:r>
        <w:t xml:space="preserve">designs. </w:t>
      </w:r>
    </w:p>
    <w:p w14:paraId="5517A3EA" w14:textId="45517FA8" w:rsidR="00533A88" w:rsidRDefault="005214E1" w:rsidP="000E4D1C">
      <w:r>
        <w:t xml:space="preserve">While </w:t>
      </w:r>
      <w:r w:rsidR="00533A88">
        <w:t>the EEF experienced some initial resistance from the education research community to the use of RCTs, in the past ten years it has commissioned approximately 19 per cent of all known RCTs in education globally. The EEF has achieved this through:</w:t>
      </w:r>
    </w:p>
    <w:p w14:paraId="789BEEF9" w14:textId="4713274E" w:rsidR="00533A88" w:rsidRDefault="00533A88" w:rsidP="00533A88">
      <w:pPr>
        <w:pStyle w:val="ListParagraph"/>
        <w:numPr>
          <w:ilvl w:val="0"/>
          <w:numId w:val="19"/>
        </w:numPr>
      </w:pPr>
      <w:r>
        <w:t>independent evaluation by appointing a panel of evaluators through a competitive tender process</w:t>
      </w:r>
    </w:p>
    <w:p w14:paraId="44D7A331" w14:textId="4485E2BF" w:rsidR="00533A88" w:rsidRDefault="00A82A95" w:rsidP="00533A88">
      <w:pPr>
        <w:pStyle w:val="ListParagraph"/>
        <w:numPr>
          <w:ilvl w:val="0"/>
          <w:numId w:val="19"/>
        </w:numPr>
      </w:pPr>
      <w:r>
        <w:t>reporting transparency – requiring a prespecified protocol and statistical analysis plan to be published on its website for every trial</w:t>
      </w:r>
    </w:p>
    <w:p w14:paraId="5F589087" w14:textId="14A94B0B" w:rsidR="00A82A95" w:rsidRDefault="00A82A95" w:rsidP="00533A88">
      <w:pPr>
        <w:pStyle w:val="ListParagraph"/>
        <w:numPr>
          <w:ilvl w:val="0"/>
          <w:numId w:val="19"/>
        </w:numPr>
      </w:pPr>
      <w:r>
        <w:t xml:space="preserve">data archiving and reproducibility – creating a data archive </w:t>
      </w:r>
      <w:r w:rsidR="006C18C7">
        <w:t>to enable checking of the reproducibility of evaluator estimates, track long-term outcomes and support secondary research and reanalysis across trials</w:t>
      </w:r>
    </w:p>
    <w:p w14:paraId="3DB09A45" w14:textId="5A4AA935" w:rsidR="006C18C7" w:rsidRDefault="006C18C7" w:rsidP="00533A88">
      <w:pPr>
        <w:pStyle w:val="ListParagraph"/>
        <w:numPr>
          <w:ilvl w:val="0"/>
          <w:numId w:val="19"/>
        </w:numPr>
      </w:pPr>
      <w:r>
        <w:t>evaluation design – paying particular attention to implementation and process evaluation (IPE) and measurement of outcomes.</w:t>
      </w:r>
    </w:p>
    <w:p w14:paraId="0FB7A9B4" w14:textId="35672A84" w:rsidR="006C18C7" w:rsidRDefault="006C18C7" w:rsidP="006C18C7">
      <w:r>
        <w:t xml:space="preserve">Through these efforts, the EEF has generated a large body of evidence </w:t>
      </w:r>
      <w:r w:rsidR="006D548C">
        <w:t xml:space="preserve">available to government and researchers </w:t>
      </w:r>
      <w:r>
        <w:t xml:space="preserve">to help identify what does and does not work in </w:t>
      </w:r>
      <w:r w:rsidR="00A25542">
        <w:t xml:space="preserve">the United Kingdom’s </w:t>
      </w:r>
      <w:r>
        <w:t>schools. These trials are part of a range of evidence generated by the EEF, including the Teaching and Learning Toolkit (which is based on meta analyses combining studies of varying quality,</w:t>
      </w:r>
      <w:r w:rsidR="009C39E1">
        <w:t xml:space="preserve"> and undertaken</w:t>
      </w:r>
      <w:r>
        <w:t xml:space="preserve"> on different ages, subjects and countries).</w:t>
      </w:r>
      <w:r>
        <w:rPr>
          <w:rStyle w:val="EndnoteReference"/>
        </w:rPr>
        <w:endnoteReference w:id="14"/>
      </w:r>
      <w:r w:rsidR="006D548C">
        <w:t xml:space="preserve"> </w:t>
      </w:r>
      <w:r>
        <w:t>The Board notes that Australia’s AERO creates evidence-based resources and information for education practices</w:t>
      </w:r>
      <w:r w:rsidR="006D548C">
        <w:t xml:space="preserve"> and suggests</w:t>
      </w:r>
      <w:r>
        <w:t xml:space="preserve"> </w:t>
      </w:r>
      <w:r w:rsidR="006D548C">
        <w:t>the Commission consider what the value might be if the AERO</w:t>
      </w:r>
      <w:r>
        <w:t xml:space="preserve"> remit</w:t>
      </w:r>
      <w:r w:rsidR="006D548C">
        <w:t xml:space="preserve"> was</w:t>
      </w:r>
      <w:r>
        <w:t xml:space="preserve"> expanded</w:t>
      </w:r>
      <w:r w:rsidR="00AE3BAE">
        <w:t>, with appropriate funding,</w:t>
      </w:r>
      <w:r>
        <w:t xml:space="preserve"> to place more emphasis on </w:t>
      </w:r>
      <w:r w:rsidR="00AE3BAE">
        <w:t xml:space="preserve">the value of </w:t>
      </w:r>
      <w:r>
        <w:t>RCTs</w:t>
      </w:r>
      <w:r w:rsidR="00AE3BAE">
        <w:t xml:space="preserve"> to the national evidence base</w:t>
      </w:r>
      <w:r>
        <w:t>.</w:t>
      </w:r>
    </w:p>
    <w:p w14:paraId="441F1527" w14:textId="511C8AED" w:rsidR="000E4D1C" w:rsidRPr="00C1656B" w:rsidRDefault="005420B5" w:rsidP="00AD14D0">
      <w:pPr>
        <w:pStyle w:val="Heading2"/>
        <w:spacing w:after="160"/>
        <w:rPr>
          <w:b/>
          <w:bCs/>
        </w:rPr>
      </w:pPr>
      <w:r>
        <w:rPr>
          <w:b/>
          <w:bCs/>
        </w:rPr>
        <w:t>The current unavailability of d</w:t>
      </w:r>
      <w:r w:rsidR="000E4D1C" w:rsidRPr="00C1656B">
        <w:rPr>
          <w:b/>
          <w:bCs/>
        </w:rPr>
        <w:t xml:space="preserve">ata </w:t>
      </w:r>
      <w:r>
        <w:rPr>
          <w:b/>
          <w:bCs/>
        </w:rPr>
        <w:t>limits</w:t>
      </w:r>
      <w:r w:rsidR="000E4D1C" w:rsidRPr="00C1656B">
        <w:rPr>
          <w:b/>
          <w:bCs/>
        </w:rPr>
        <w:t xml:space="preserve"> the Board’s </w:t>
      </w:r>
      <w:r>
        <w:rPr>
          <w:b/>
          <w:bCs/>
        </w:rPr>
        <w:t xml:space="preserve">ability to conduct </w:t>
      </w:r>
      <w:r w:rsidR="000E4D1C" w:rsidRPr="00C1656B">
        <w:rPr>
          <w:b/>
          <w:bCs/>
        </w:rPr>
        <w:t>review</w:t>
      </w:r>
      <w:r>
        <w:rPr>
          <w:b/>
          <w:bCs/>
        </w:rPr>
        <w:t>s</w:t>
      </w:r>
    </w:p>
    <w:p w14:paraId="4A4BFB6C" w14:textId="45A3ACC0" w:rsidR="00AF1BA6" w:rsidRDefault="00AF1BA6" w:rsidP="00AF1BA6">
      <w:r>
        <w:t>The historic Gonski Review of funding for schooling</w:t>
      </w:r>
      <w:r w:rsidRPr="00F2008F">
        <w:t xml:space="preserve"> </w:t>
      </w:r>
      <w:r>
        <w:t xml:space="preserve">also </w:t>
      </w:r>
      <w:r w:rsidRPr="00F2008F">
        <w:t>stressed the need for an equitable school funding system</w:t>
      </w:r>
      <w:r>
        <w:t xml:space="preserve">, noting that “the effectiveness of the schooling resource standard rests on confidence in the independence and transparency of the process for setting the per student </w:t>
      </w:r>
      <w:r>
        <w:lastRenderedPageBreak/>
        <w:t>amounts and loadings”.</w:t>
      </w:r>
      <w:r>
        <w:rPr>
          <w:rStyle w:val="EndnoteReference"/>
        </w:rPr>
        <w:endnoteReference w:id="15"/>
      </w:r>
      <w:r>
        <w:t xml:space="preserve"> The review panel recommended the establishment of an independent </w:t>
      </w:r>
      <w:r w:rsidRPr="00C3350A">
        <w:t>National School Reso</w:t>
      </w:r>
      <w:r w:rsidRPr="00824F1A">
        <w:t>urcing Body</w:t>
      </w:r>
      <w:r>
        <w:t xml:space="preserve"> that would have responsibility for researching and providing advice on how to best measure school effectiveness. In particular, the Review noted that in order for a National School Resourcing Body to provide this function it would require “significant improvements in the collection of nationally comparable data”.</w:t>
      </w:r>
      <w:r w:rsidR="00D923D8">
        <w:rPr>
          <w:rStyle w:val="EndnoteReference"/>
        </w:rPr>
        <w:endnoteReference w:id="16"/>
      </w:r>
      <w:r>
        <w:t xml:space="preserve"> While the Board was established as part of the Commonwealth’s response to the Gonski Review, it is limited in performing this critical independent research and analysis role because of the lack of comparable data between the government and non-government school sectors.</w:t>
      </w:r>
    </w:p>
    <w:p w14:paraId="380D57EE" w14:textId="18CFC302" w:rsidR="005420B5" w:rsidRDefault="005420B5" w:rsidP="007F713A">
      <w:r>
        <w:t xml:space="preserve">Currently, </w:t>
      </w:r>
      <w:r w:rsidRPr="007F713A">
        <w:t xml:space="preserve">ACARA’s My School is the only Australia-wide financial data source available to the Board </w:t>
      </w:r>
      <w:r>
        <w:t>that covers</w:t>
      </w:r>
      <w:r w:rsidRPr="007F713A">
        <w:t xml:space="preserve"> </w:t>
      </w:r>
      <w:r>
        <w:t xml:space="preserve">all </w:t>
      </w:r>
      <w:r w:rsidRPr="007F713A">
        <w:t>school</w:t>
      </w:r>
      <w:r>
        <w:t xml:space="preserve"> sector</w:t>
      </w:r>
      <w:r w:rsidRPr="007F713A">
        <w:t>s</w:t>
      </w:r>
      <w:r>
        <w:t xml:space="preserve">. However, this data is limited to very </w:t>
      </w:r>
      <w:r w:rsidRPr="007F713A">
        <w:t>high-level information relating to the ongoing operating costs of schools, capital expenditure</w:t>
      </w:r>
      <w:r w:rsidR="009C39E1">
        <w:t>,</w:t>
      </w:r>
      <w:r w:rsidRPr="007F713A">
        <w:t xml:space="preserve"> and deductions for income used to invest in capital infrastructure</w:t>
      </w:r>
      <w:r>
        <w:t>. Th</w:t>
      </w:r>
      <w:r w:rsidR="008D47E2">
        <w:t>e lack of detailed school level information on different areas of expenditure</w:t>
      </w:r>
      <w:r>
        <w:t xml:space="preserve"> severely limits the usefulness of the data not only for the Board but for any Australian researcher. </w:t>
      </w:r>
    </w:p>
    <w:p w14:paraId="5141AAFB" w14:textId="7298144B" w:rsidR="005420B5" w:rsidRDefault="005420B5" w:rsidP="007F713A">
      <w:r>
        <w:t xml:space="preserve">The Board has sought </w:t>
      </w:r>
      <w:r w:rsidRPr="007F713A">
        <w:t>school-level income and expenditure data from all</w:t>
      </w:r>
      <w:r>
        <w:t xml:space="preserve"> jurisdictions for the purpose of its Review of Regional Schooling Resource Standards Loadings</w:t>
      </w:r>
      <w:r w:rsidR="00C27C49">
        <w:t xml:space="preserve">. The data provided by several states has proved highly valuable for the Board’s analysis, however the results of the review can currently </w:t>
      </w:r>
      <w:r w:rsidR="00C27C49" w:rsidRPr="007F713A">
        <w:t xml:space="preserve">only be regarded as indicative given the lack of data from </w:t>
      </w:r>
      <w:r w:rsidR="009C39E1">
        <w:t>all</w:t>
      </w:r>
      <w:r w:rsidR="009C39E1" w:rsidRPr="007F713A">
        <w:t xml:space="preserve"> </w:t>
      </w:r>
      <w:r w:rsidR="00C27C49">
        <w:t xml:space="preserve">jurisdictions. This is an example of the way in which expanding the data reported in the national evidence base would help research and analysis, as geolocation is another </w:t>
      </w:r>
      <w:proofErr w:type="spellStart"/>
      <w:r w:rsidR="00C27C49">
        <w:t>well known</w:t>
      </w:r>
      <w:proofErr w:type="spellEnd"/>
      <w:r w:rsidR="00C27C49">
        <w:t xml:space="preserve"> factor that impacts student outcomes.</w:t>
      </w:r>
    </w:p>
    <w:p w14:paraId="05D4FAD4" w14:textId="72883838" w:rsidR="000E4D1C" w:rsidRPr="001E6334" w:rsidRDefault="000E4D1C" w:rsidP="000E4D1C">
      <w:pPr>
        <w:spacing w:before="100" w:beforeAutospacing="1" w:after="100" w:afterAutospacing="1"/>
        <w:rPr>
          <w:rFonts w:cstheme="minorHAnsi"/>
        </w:rPr>
      </w:pPr>
      <w:r w:rsidRPr="001E6334">
        <w:rPr>
          <w:rFonts w:cstheme="minorHAnsi"/>
        </w:rPr>
        <w:t>Th</w:t>
      </w:r>
      <w:r w:rsidR="00C27C49">
        <w:rPr>
          <w:rFonts w:cstheme="minorHAnsi"/>
        </w:rPr>
        <w:t xml:space="preserve">e </w:t>
      </w:r>
      <w:r w:rsidRPr="001E6334">
        <w:rPr>
          <w:rFonts w:cstheme="minorHAnsi"/>
        </w:rPr>
        <w:t>screenshot</w:t>
      </w:r>
      <w:r w:rsidR="009D2543" w:rsidRPr="009D2543">
        <w:rPr>
          <w:rFonts w:cstheme="minorHAnsi"/>
        </w:rPr>
        <w:t xml:space="preserve"> </w:t>
      </w:r>
      <w:r w:rsidR="009D2543">
        <w:rPr>
          <w:rFonts w:cstheme="minorHAnsi"/>
        </w:rPr>
        <w:t>provided below</w:t>
      </w:r>
      <w:r w:rsidRPr="001E6334">
        <w:rPr>
          <w:rFonts w:cstheme="minorHAnsi"/>
        </w:rPr>
        <w:t xml:space="preserve"> depict</w:t>
      </w:r>
      <w:r>
        <w:rPr>
          <w:rFonts w:cstheme="minorHAnsi"/>
        </w:rPr>
        <w:t xml:space="preserve">s the </w:t>
      </w:r>
      <w:proofErr w:type="spellStart"/>
      <w:r w:rsidRPr="001E6334">
        <w:rPr>
          <w:rFonts w:cstheme="minorHAnsi"/>
        </w:rPr>
        <w:t>MySchool</w:t>
      </w:r>
      <w:proofErr w:type="spellEnd"/>
      <w:r w:rsidRPr="001E6334">
        <w:rPr>
          <w:rFonts w:cstheme="minorHAnsi"/>
        </w:rPr>
        <w:t xml:space="preserve"> Finance screen </w:t>
      </w:r>
      <w:r>
        <w:rPr>
          <w:rFonts w:cstheme="minorHAnsi"/>
        </w:rPr>
        <w:t>for a random</w:t>
      </w:r>
      <w:r w:rsidR="009D2543">
        <w:rPr>
          <w:rFonts w:cstheme="minorHAnsi"/>
        </w:rPr>
        <w:t>ly chosen</w:t>
      </w:r>
      <w:r>
        <w:rPr>
          <w:rFonts w:cstheme="minorHAnsi"/>
        </w:rPr>
        <w:t xml:space="preserve"> Australian government school. The high</w:t>
      </w:r>
      <w:r w:rsidR="009D2543">
        <w:rPr>
          <w:rFonts w:cstheme="minorHAnsi"/>
        </w:rPr>
        <w:t>-</w:t>
      </w:r>
      <w:r>
        <w:rPr>
          <w:rFonts w:cstheme="minorHAnsi"/>
        </w:rPr>
        <w:t>level data items include:</w:t>
      </w:r>
    </w:p>
    <w:p w14:paraId="56A7428C" w14:textId="7075BED9" w:rsidR="000E4D1C" w:rsidRPr="001E6334" w:rsidRDefault="000E4D1C" w:rsidP="000E4D1C">
      <w:pPr>
        <w:numPr>
          <w:ilvl w:val="0"/>
          <w:numId w:val="16"/>
        </w:numPr>
        <w:spacing w:before="100" w:beforeAutospacing="1" w:after="100" w:afterAutospacing="1" w:line="240" w:lineRule="auto"/>
        <w:rPr>
          <w:rFonts w:cstheme="minorHAnsi"/>
        </w:rPr>
      </w:pPr>
      <w:r w:rsidRPr="001E6334">
        <w:rPr>
          <w:rFonts w:cstheme="minorHAnsi"/>
          <w:b/>
          <w:bCs/>
        </w:rPr>
        <w:t>Income</w:t>
      </w:r>
      <w:r w:rsidRPr="001E6334">
        <w:rPr>
          <w:rFonts w:cstheme="minorHAnsi"/>
        </w:rPr>
        <w:t>:  A</w:t>
      </w:r>
      <w:r>
        <w:rPr>
          <w:rFonts w:cstheme="minorHAnsi"/>
        </w:rPr>
        <w:t>ustralian Government</w:t>
      </w:r>
      <w:r w:rsidRPr="001E6334">
        <w:rPr>
          <w:rFonts w:cstheme="minorHAnsi"/>
        </w:rPr>
        <w:t xml:space="preserve"> and State</w:t>
      </w:r>
      <w:r w:rsidR="007C3C2A">
        <w:rPr>
          <w:rFonts w:cstheme="minorHAnsi"/>
        </w:rPr>
        <w:t>/</w:t>
      </w:r>
      <w:r w:rsidRPr="001E6334">
        <w:rPr>
          <w:rFonts w:cstheme="minorHAnsi"/>
        </w:rPr>
        <w:t xml:space="preserve">Territory recurrent funding; </w:t>
      </w:r>
      <w:r w:rsidR="007C3C2A">
        <w:rPr>
          <w:rFonts w:cstheme="minorHAnsi"/>
        </w:rPr>
        <w:t xml:space="preserve">Fees, charges and </w:t>
      </w:r>
      <w:r w:rsidRPr="001E6334">
        <w:rPr>
          <w:rFonts w:cstheme="minorHAnsi"/>
        </w:rPr>
        <w:t>parental contributions; Other private sources</w:t>
      </w:r>
    </w:p>
    <w:p w14:paraId="69B0E327" w14:textId="501D2DA5" w:rsidR="000E4D1C" w:rsidRPr="002037D7" w:rsidRDefault="000E4D1C" w:rsidP="000E4D1C">
      <w:pPr>
        <w:numPr>
          <w:ilvl w:val="0"/>
          <w:numId w:val="16"/>
        </w:numPr>
        <w:spacing w:before="100" w:beforeAutospacing="1" w:after="100" w:afterAutospacing="1" w:line="240" w:lineRule="auto"/>
        <w:rPr>
          <w:rFonts w:cstheme="minorHAnsi"/>
        </w:rPr>
      </w:pPr>
      <w:r w:rsidRPr="001E6334">
        <w:rPr>
          <w:rFonts w:cstheme="minorHAnsi"/>
          <w:b/>
          <w:bCs/>
        </w:rPr>
        <w:t>Deductions</w:t>
      </w:r>
      <w:r w:rsidRPr="002037D7">
        <w:rPr>
          <w:rFonts w:cstheme="minorHAnsi"/>
        </w:rPr>
        <w:t>:  Income allocated to capital projects;</w:t>
      </w:r>
      <w:r w:rsidR="007C3C2A">
        <w:rPr>
          <w:rFonts w:cstheme="minorHAnsi"/>
        </w:rPr>
        <w:t xml:space="preserve"> Income allocated to</w:t>
      </w:r>
      <w:r w:rsidRPr="002037D7">
        <w:rPr>
          <w:rFonts w:cstheme="minorHAnsi"/>
        </w:rPr>
        <w:t xml:space="preserve"> future capital projects; </w:t>
      </w:r>
      <w:r w:rsidR="007C3C2A">
        <w:rPr>
          <w:rFonts w:cstheme="minorHAnsi"/>
        </w:rPr>
        <w:t xml:space="preserve">Income allocated to </w:t>
      </w:r>
      <w:r w:rsidRPr="002037D7">
        <w:rPr>
          <w:rFonts w:cstheme="minorHAnsi"/>
        </w:rPr>
        <w:t>debt servicing</w:t>
      </w:r>
      <w:r w:rsidRPr="002037D7">
        <w:rPr>
          <w:rFonts w:cstheme="minorHAnsi"/>
          <w:b/>
          <w:bCs/>
        </w:rPr>
        <w:t xml:space="preserve"> </w:t>
      </w:r>
    </w:p>
    <w:p w14:paraId="42073765" w14:textId="3879CAD5" w:rsidR="000E4D1C" w:rsidRPr="002037D7" w:rsidRDefault="000E4D1C" w:rsidP="000E4D1C">
      <w:pPr>
        <w:numPr>
          <w:ilvl w:val="0"/>
          <w:numId w:val="16"/>
        </w:numPr>
        <w:spacing w:before="100" w:beforeAutospacing="1" w:after="100" w:afterAutospacing="1" w:line="240" w:lineRule="auto"/>
        <w:rPr>
          <w:rFonts w:cstheme="minorHAnsi"/>
        </w:rPr>
      </w:pPr>
      <w:r w:rsidRPr="001E6334">
        <w:rPr>
          <w:rFonts w:cstheme="minorHAnsi"/>
          <w:b/>
          <w:bCs/>
        </w:rPr>
        <w:t>Capital expenditure</w:t>
      </w:r>
      <w:r w:rsidRPr="002037D7">
        <w:rPr>
          <w:rFonts w:cstheme="minorHAnsi"/>
        </w:rPr>
        <w:t xml:space="preserve">:  </w:t>
      </w:r>
      <w:proofErr w:type="gramStart"/>
      <w:r w:rsidRPr="002037D7">
        <w:rPr>
          <w:rFonts w:cstheme="minorHAnsi"/>
        </w:rPr>
        <w:t>New</w:t>
      </w:r>
      <w:proofErr w:type="gramEnd"/>
      <w:r w:rsidRPr="002037D7">
        <w:rPr>
          <w:rFonts w:cstheme="minorHAnsi"/>
        </w:rPr>
        <w:t xml:space="preserve"> </w:t>
      </w:r>
      <w:r w:rsidR="007C3C2A">
        <w:rPr>
          <w:rFonts w:cstheme="minorHAnsi"/>
        </w:rPr>
        <w:t>s</w:t>
      </w:r>
      <w:r w:rsidR="007C3C2A" w:rsidRPr="002037D7">
        <w:rPr>
          <w:rFonts w:cstheme="minorHAnsi"/>
        </w:rPr>
        <w:t xml:space="preserve">chool </w:t>
      </w:r>
      <w:r w:rsidR="007C3C2A">
        <w:rPr>
          <w:rFonts w:cstheme="minorHAnsi"/>
        </w:rPr>
        <w:t>l</w:t>
      </w:r>
      <w:r w:rsidR="007C3C2A" w:rsidRPr="002037D7">
        <w:rPr>
          <w:rFonts w:cstheme="minorHAnsi"/>
        </w:rPr>
        <w:t xml:space="preserve">oans </w:t>
      </w:r>
      <w:r w:rsidRPr="002037D7">
        <w:rPr>
          <w:rFonts w:cstheme="minorHAnsi"/>
        </w:rPr>
        <w:t>(non-gov</w:t>
      </w:r>
      <w:r w:rsidR="007C3C2A">
        <w:rPr>
          <w:rFonts w:cstheme="minorHAnsi"/>
        </w:rPr>
        <w:t>ernment schools</w:t>
      </w:r>
      <w:r w:rsidRPr="002037D7">
        <w:rPr>
          <w:rFonts w:cstheme="minorHAnsi"/>
        </w:rPr>
        <w:t xml:space="preserve"> only); </w:t>
      </w:r>
      <w:r w:rsidR="007C3C2A">
        <w:rPr>
          <w:rFonts w:cstheme="minorHAnsi"/>
        </w:rPr>
        <w:t>Income a</w:t>
      </w:r>
      <w:r w:rsidRPr="002037D7">
        <w:rPr>
          <w:rFonts w:cstheme="minorHAnsi"/>
        </w:rPr>
        <w:t>llocated to current capital projects; Other private sources</w:t>
      </w:r>
      <w:r w:rsidR="007C3C2A">
        <w:rPr>
          <w:rFonts w:cstheme="minorHAnsi"/>
        </w:rPr>
        <w:t>.</w:t>
      </w:r>
    </w:p>
    <w:p w14:paraId="29E4EA92" w14:textId="77777777" w:rsidR="000E4D1C" w:rsidRDefault="000E4D1C" w:rsidP="000E4D1C">
      <w:pPr>
        <w:spacing w:before="100" w:beforeAutospacing="1" w:after="100" w:afterAutospacing="1"/>
        <w:rPr>
          <w:rFonts w:cstheme="minorHAnsi"/>
        </w:rPr>
      </w:pPr>
      <w:r w:rsidRPr="001E6334">
        <w:rPr>
          <w:rFonts w:cstheme="minorHAnsi"/>
          <w:noProof/>
        </w:rPr>
        <w:lastRenderedPageBreak/>
        <w:drawing>
          <wp:inline distT="0" distB="0" distL="0" distR="0" wp14:anchorId="599E3A5D" wp14:editId="2631F1F4">
            <wp:extent cx="5731510" cy="2734310"/>
            <wp:effectExtent l="0" t="0" r="2540" b="8890"/>
            <wp:docPr id="6" name="Picture 5">
              <a:extLst xmlns:a="http://schemas.openxmlformats.org/drawingml/2006/main">
                <a:ext uri="{FF2B5EF4-FFF2-40B4-BE49-F238E27FC236}">
                  <a16:creationId xmlns:a16="http://schemas.microsoft.com/office/drawing/2014/main" id="{9D2BB556-E666-4F38-862F-267BC253C6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D2BB556-E666-4F38-862F-267BC253C626}"/>
                        </a:ext>
                      </a:extLst>
                    </pic:cNvPr>
                    <pic:cNvPicPr>
                      <a:picLocks noChangeAspect="1"/>
                    </pic:cNvPicPr>
                  </pic:nvPicPr>
                  <pic:blipFill>
                    <a:blip r:embed="rId17"/>
                    <a:stretch>
                      <a:fillRect/>
                    </a:stretch>
                  </pic:blipFill>
                  <pic:spPr>
                    <a:xfrm>
                      <a:off x="0" y="0"/>
                      <a:ext cx="5731510" cy="2734310"/>
                    </a:xfrm>
                    <a:prstGeom prst="rect">
                      <a:avLst/>
                    </a:prstGeom>
                  </pic:spPr>
                </pic:pic>
              </a:graphicData>
            </a:graphic>
          </wp:inline>
        </w:drawing>
      </w:r>
    </w:p>
    <w:p w14:paraId="4E07A473" w14:textId="77777777" w:rsidR="000E4D1C" w:rsidRDefault="000E4D1C" w:rsidP="000E4D1C">
      <w:pPr>
        <w:keepNext/>
        <w:spacing w:before="100" w:beforeAutospacing="1" w:after="100" w:afterAutospacing="1"/>
      </w:pPr>
      <w:r w:rsidRPr="001E6334">
        <w:rPr>
          <w:rFonts w:cstheme="minorHAnsi"/>
          <w:noProof/>
        </w:rPr>
        <w:drawing>
          <wp:inline distT="0" distB="0" distL="0" distR="0" wp14:anchorId="651BF441" wp14:editId="7C7660EA">
            <wp:extent cx="5731510" cy="1570355"/>
            <wp:effectExtent l="0" t="0" r="2540" b="0"/>
            <wp:docPr id="7" name="Picture 6">
              <a:extLst xmlns:a="http://schemas.openxmlformats.org/drawingml/2006/main">
                <a:ext uri="{FF2B5EF4-FFF2-40B4-BE49-F238E27FC236}">
                  <a16:creationId xmlns:a16="http://schemas.microsoft.com/office/drawing/2014/main" id="{F9E9EE9B-9BCE-4500-B188-4DC4652A3B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9E9EE9B-9BCE-4500-B188-4DC4652A3B9F}"/>
                        </a:ext>
                      </a:extLst>
                    </pic:cNvPr>
                    <pic:cNvPicPr>
                      <a:picLocks noChangeAspect="1"/>
                    </pic:cNvPicPr>
                  </pic:nvPicPr>
                  <pic:blipFill>
                    <a:blip r:embed="rId18"/>
                    <a:stretch>
                      <a:fillRect/>
                    </a:stretch>
                  </pic:blipFill>
                  <pic:spPr>
                    <a:xfrm>
                      <a:off x="0" y="0"/>
                      <a:ext cx="5731510" cy="1570355"/>
                    </a:xfrm>
                    <a:prstGeom prst="rect">
                      <a:avLst/>
                    </a:prstGeom>
                  </pic:spPr>
                </pic:pic>
              </a:graphicData>
            </a:graphic>
          </wp:inline>
        </w:drawing>
      </w:r>
    </w:p>
    <w:p w14:paraId="163CBF93" w14:textId="06C389DE" w:rsidR="000E4D1C" w:rsidRPr="00837289" w:rsidRDefault="000E4D1C" w:rsidP="00600E15">
      <w:pPr>
        <w:pStyle w:val="Caption"/>
        <w:spacing w:after="120"/>
        <w:rPr>
          <w:rFonts w:cstheme="minorHAnsi"/>
          <w:i w:val="0"/>
          <w:iCs w:val="0"/>
        </w:rPr>
      </w:pPr>
      <w:r>
        <w:t xml:space="preserve">Source:  </w:t>
      </w:r>
      <w:r>
        <w:rPr>
          <w:i w:val="0"/>
          <w:iCs w:val="0"/>
        </w:rPr>
        <w:t>Screenshot of random secondary</w:t>
      </w:r>
      <w:r w:rsidR="00C27C49">
        <w:rPr>
          <w:i w:val="0"/>
          <w:iCs w:val="0"/>
        </w:rPr>
        <w:t xml:space="preserve"> government</w:t>
      </w:r>
      <w:r>
        <w:rPr>
          <w:i w:val="0"/>
          <w:iCs w:val="0"/>
        </w:rPr>
        <w:t xml:space="preserve"> school, </w:t>
      </w:r>
      <w:proofErr w:type="spellStart"/>
      <w:r>
        <w:rPr>
          <w:i w:val="0"/>
          <w:iCs w:val="0"/>
        </w:rPr>
        <w:t>MySchool</w:t>
      </w:r>
      <w:proofErr w:type="spellEnd"/>
      <w:r>
        <w:rPr>
          <w:i w:val="0"/>
          <w:iCs w:val="0"/>
        </w:rPr>
        <w:t>, 2022</w:t>
      </w:r>
    </w:p>
    <w:p w14:paraId="0411F284" w14:textId="17C92246" w:rsidR="00101DD5" w:rsidRDefault="000E4D1C" w:rsidP="00AD14D0">
      <w:pPr>
        <w:rPr>
          <w:rFonts w:cstheme="minorHAnsi"/>
        </w:rPr>
      </w:pPr>
      <w:r>
        <w:rPr>
          <w:rFonts w:cstheme="minorHAnsi"/>
        </w:rPr>
        <w:t xml:space="preserve">The Australian Government Department of Education Skills and Employment (DESE) </w:t>
      </w:r>
      <w:r w:rsidRPr="002037D7">
        <w:rPr>
          <w:rFonts w:cstheme="minorHAnsi"/>
        </w:rPr>
        <w:t xml:space="preserve">collects Financial Questionnaire (FQ) data for all </w:t>
      </w:r>
      <w:r w:rsidRPr="00910AD2">
        <w:rPr>
          <w:rFonts w:cstheme="minorHAnsi"/>
          <w:b/>
          <w:bCs/>
        </w:rPr>
        <w:t>non-government schools</w:t>
      </w:r>
      <w:r w:rsidR="00101DD5">
        <w:rPr>
          <w:rFonts w:cstheme="minorHAnsi"/>
        </w:rPr>
        <w:t>. T</w:t>
      </w:r>
      <w:r w:rsidR="00DD2A3C">
        <w:rPr>
          <w:rFonts w:cstheme="minorHAnsi"/>
        </w:rPr>
        <w:t>his includes</w:t>
      </w:r>
      <w:r w:rsidR="00101DD5">
        <w:rPr>
          <w:rFonts w:cstheme="minorHAnsi"/>
        </w:rPr>
        <w:t xml:space="preserve"> but is not limited to, </w:t>
      </w:r>
      <w:r w:rsidR="009B71D3">
        <w:rPr>
          <w:rFonts w:cstheme="minorHAnsi"/>
        </w:rPr>
        <w:t>line-item</w:t>
      </w:r>
      <w:r w:rsidR="00101DD5">
        <w:rPr>
          <w:rFonts w:cstheme="minorHAnsi"/>
        </w:rPr>
        <w:t xml:space="preserve"> breakdowns of all:</w:t>
      </w:r>
      <w:r w:rsidR="00DD2A3C">
        <w:rPr>
          <w:rFonts w:cstheme="minorHAnsi"/>
        </w:rPr>
        <w:t xml:space="preserve"> </w:t>
      </w:r>
    </w:p>
    <w:p w14:paraId="1A10B2BE" w14:textId="77777777" w:rsidR="00101DD5" w:rsidRDefault="00DD2A3C" w:rsidP="00101DD5">
      <w:pPr>
        <w:pStyle w:val="ListParagraph"/>
        <w:numPr>
          <w:ilvl w:val="0"/>
          <w:numId w:val="18"/>
        </w:numPr>
        <w:spacing w:after="120" w:line="240" w:lineRule="auto"/>
        <w:rPr>
          <w:rFonts w:cstheme="minorHAnsi"/>
        </w:rPr>
      </w:pPr>
      <w:r>
        <w:rPr>
          <w:rFonts w:cstheme="minorHAnsi"/>
        </w:rPr>
        <w:t>sources of school income (including all grants, gifts and allowances)</w:t>
      </w:r>
    </w:p>
    <w:p w14:paraId="465AA828" w14:textId="77777777" w:rsidR="00101DD5" w:rsidRDefault="00DD2A3C" w:rsidP="00101DD5">
      <w:pPr>
        <w:pStyle w:val="ListParagraph"/>
        <w:numPr>
          <w:ilvl w:val="0"/>
          <w:numId w:val="18"/>
        </w:numPr>
        <w:spacing w:after="120" w:line="240" w:lineRule="auto"/>
        <w:rPr>
          <w:rFonts w:cstheme="minorHAnsi"/>
        </w:rPr>
      </w:pPr>
      <w:r>
        <w:rPr>
          <w:rFonts w:cstheme="minorHAnsi"/>
        </w:rPr>
        <w:t xml:space="preserve">recurrent expenditure (including salaries, wages, allowances, administrative </w:t>
      </w:r>
      <w:r w:rsidR="00101DD5">
        <w:rPr>
          <w:rFonts w:cstheme="minorHAnsi"/>
        </w:rPr>
        <w:t xml:space="preserve">and operating </w:t>
      </w:r>
      <w:r>
        <w:rPr>
          <w:rFonts w:cstheme="minorHAnsi"/>
        </w:rPr>
        <w:t>expenses and costs for interest, depreciation and amortisation)</w:t>
      </w:r>
    </w:p>
    <w:p w14:paraId="3FA3F4E9" w14:textId="1EFD8AEA" w:rsidR="00101DD5" w:rsidRDefault="00DD2A3C" w:rsidP="00101DD5">
      <w:pPr>
        <w:pStyle w:val="ListParagraph"/>
        <w:numPr>
          <w:ilvl w:val="0"/>
          <w:numId w:val="18"/>
        </w:numPr>
        <w:spacing w:after="120" w:line="240" w:lineRule="auto"/>
        <w:rPr>
          <w:rFonts w:cstheme="minorHAnsi"/>
        </w:rPr>
      </w:pPr>
      <w:r>
        <w:rPr>
          <w:rFonts w:cstheme="minorHAnsi"/>
        </w:rPr>
        <w:t>staff-related expenses (such as insurances, redundancy payments and fringed benefits tax)</w:t>
      </w:r>
    </w:p>
    <w:p w14:paraId="41362015" w14:textId="77777777" w:rsidR="00101DD5" w:rsidRDefault="00DD2A3C" w:rsidP="00101DD5">
      <w:pPr>
        <w:pStyle w:val="ListParagraph"/>
        <w:numPr>
          <w:ilvl w:val="0"/>
          <w:numId w:val="18"/>
        </w:numPr>
        <w:spacing w:after="120" w:line="240" w:lineRule="auto"/>
        <w:rPr>
          <w:rFonts w:cstheme="minorHAnsi"/>
        </w:rPr>
      </w:pPr>
      <w:r>
        <w:rPr>
          <w:rFonts w:cstheme="minorHAnsi"/>
        </w:rPr>
        <w:t>employer contributions for superannuation</w:t>
      </w:r>
    </w:p>
    <w:p w14:paraId="7759F5D1" w14:textId="77777777" w:rsidR="00101DD5" w:rsidRDefault="00101DD5" w:rsidP="00101DD5">
      <w:pPr>
        <w:pStyle w:val="ListParagraph"/>
        <w:numPr>
          <w:ilvl w:val="0"/>
          <w:numId w:val="18"/>
        </w:numPr>
        <w:spacing w:after="120" w:line="240" w:lineRule="auto"/>
        <w:rPr>
          <w:rFonts w:cstheme="minorHAnsi"/>
        </w:rPr>
      </w:pPr>
      <w:r>
        <w:rPr>
          <w:rFonts w:cstheme="minorHAnsi"/>
        </w:rPr>
        <w:t>any government capital grants</w:t>
      </w:r>
    </w:p>
    <w:p w14:paraId="57CC7804" w14:textId="77777777" w:rsidR="00101DD5" w:rsidRDefault="00101DD5" w:rsidP="00101DD5">
      <w:pPr>
        <w:pStyle w:val="ListParagraph"/>
        <w:numPr>
          <w:ilvl w:val="0"/>
          <w:numId w:val="18"/>
        </w:numPr>
        <w:spacing w:after="120" w:line="240" w:lineRule="auto"/>
        <w:rPr>
          <w:rFonts w:cstheme="minorHAnsi"/>
        </w:rPr>
      </w:pPr>
      <w:r>
        <w:rPr>
          <w:rFonts w:cstheme="minorHAnsi"/>
        </w:rPr>
        <w:t>capital funds from international students and fees and levies allocated for capital purposes</w:t>
      </w:r>
    </w:p>
    <w:p w14:paraId="51CFB11A" w14:textId="77777777" w:rsidR="00101DD5" w:rsidRDefault="00101DD5" w:rsidP="00101DD5">
      <w:pPr>
        <w:pStyle w:val="ListParagraph"/>
        <w:numPr>
          <w:ilvl w:val="0"/>
          <w:numId w:val="18"/>
        </w:numPr>
        <w:spacing w:after="120" w:line="240" w:lineRule="auto"/>
        <w:rPr>
          <w:rFonts w:cstheme="minorHAnsi"/>
        </w:rPr>
      </w:pPr>
      <w:r>
        <w:rPr>
          <w:rFonts w:cstheme="minorHAnsi"/>
        </w:rPr>
        <w:t>other capital income (such as gains on sales of buildings or other investments)</w:t>
      </w:r>
    </w:p>
    <w:p w14:paraId="1BBA4826" w14:textId="77777777" w:rsidR="00101DD5" w:rsidRDefault="00101DD5" w:rsidP="00101DD5">
      <w:pPr>
        <w:pStyle w:val="ListParagraph"/>
        <w:numPr>
          <w:ilvl w:val="0"/>
          <w:numId w:val="18"/>
        </w:numPr>
        <w:spacing w:after="120" w:line="240" w:lineRule="auto"/>
        <w:rPr>
          <w:rFonts w:cstheme="minorHAnsi"/>
        </w:rPr>
      </w:pPr>
      <w:r>
        <w:rPr>
          <w:rFonts w:cstheme="minorHAnsi"/>
        </w:rPr>
        <w:t>capital expenditure (with some limited exclusions)</w:t>
      </w:r>
    </w:p>
    <w:p w14:paraId="54C9D4BF" w14:textId="77777777" w:rsidR="00101DD5" w:rsidRDefault="00101DD5" w:rsidP="00101DD5">
      <w:pPr>
        <w:pStyle w:val="ListParagraph"/>
        <w:numPr>
          <w:ilvl w:val="0"/>
          <w:numId w:val="18"/>
        </w:numPr>
        <w:spacing w:after="120" w:line="240" w:lineRule="auto"/>
        <w:rPr>
          <w:rFonts w:cstheme="minorHAnsi"/>
        </w:rPr>
      </w:pPr>
      <w:r>
        <w:rPr>
          <w:rFonts w:cstheme="minorHAnsi"/>
        </w:rPr>
        <w:t>trading activity and loans</w:t>
      </w:r>
    </w:p>
    <w:p w14:paraId="7EF75A3C" w14:textId="77777777" w:rsidR="009B71D3" w:rsidRDefault="00101DD5" w:rsidP="00101DD5">
      <w:pPr>
        <w:pStyle w:val="ListParagraph"/>
        <w:numPr>
          <w:ilvl w:val="0"/>
          <w:numId w:val="18"/>
        </w:numPr>
        <w:spacing w:after="120" w:line="240" w:lineRule="auto"/>
        <w:rPr>
          <w:rFonts w:cstheme="minorHAnsi"/>
        </w:rPr>
      </w:pPr>
      <w:r>
        <w:rPr>
          <w:rFonts w:cstheme="minorHAnsi"/>
        </w:rPr>
        <w:t>general financial information (such as current assets and cash and cash equivalents)</w:t>
      </w:r>
    </w:p>
    <w:p w14:paraId="49E6F35E" w14:textId="1A3194BA" w:rsidR="00101DD5" w:rsidRDefault="009B71D3" w:rsidP="009B71D3">
      <w:pPr>
        <w:pStyle w:val="ListParagraph"/>
        <w:numPr>
          <w:ilvl w:val="0"/>
          <w:numId w:val="18"/>
        </w:numPr>
        <w:spacing w:after="120" w:line="240" w:lineRule="auto"/>
        <w:rPr>
          <w:rFonts w:cstheme="minorHAnsi"/>
        </w:rPr>
      </w:pPr>
      <w:r>
        <w:rPr>
          <w:rFonts w:cstheme="minorHAnsi"/>
        </w:rPr>
        <w:t>current and non-current liabilities</w:t>
      </w:r>
      <w:r w:rsidR="000E4D1C" w:rsidRPr="00AD14D0">
        <w:rPr>
          <w:rFonts w:cstheme="minorHAnsi"/>
        </w:rPr>
        <w:t>.</w:t>
      </w:r>
      <w:r w:rsidR="000E4D1C">
        <w:rPr>
          <w:rFonts w:cstheme="minorHAnsi"/>
        </w:rPr>
        <w:t xml:space="preserve"> </w:t>
      </w:r>
    </w:p>
    <w:p w14:paraId="2571C719" w14:textId="63B7E7DD" w:rsidR="000E4D1C" w:rsidRPr="002037D7" w:rsidRDefault="00DD2A3C" w:rsidP="00AD14D0">
      <w:pPr>
        <w:rPr>
          <w:rFonts w:cstheme="minorHAnsi"/>
        </w:rPr>
      </w:pPr>
      <w:r>
        <w:rPr>
          <w:rFonts w:cstheme="minorHAnsi"/>
        </w:rPr>
        <w:t xml:space="preserve">The high-level financial information that is reported via </w:t>
      </w:r>
      <w:proofErr w:type="spellStart"/>
      <w:r>
        <w:rPr>
          <w:rFonts w:cstheme="minorHAnsi"/>
        </w:rPr>
        <w:t>MySchool</w:t>
      </w:r>
      <w:proofErr w:type="spellEnd"/>
      <w:r>
        <w:rPr>
          <w:rFonts w:cstheme="minorHAnsi"/>
        </w:rPr>
        <w:t xml:space="preserve"> is drawn from the FQ data but does not represent the breadth or depth of the whole of the FQ, which is not made publicly available for the purpose of research and analysis by bodies such as the Board. </w:t>
      </w:r>
      <w:r w:rsidR="000E4D1C" w:rsidRPr="002037D7">
        <w:rPr>
          <w:rFonts w:cstheme="minorHAnsi"/>
        </w:rPr>
        <w:t>Th</w:t>
      </w:r>
      <w:r w:rsidR="009B71D3">
        <w:rPr>
          <w:rFonts w:cstheme="minorHAnsi"/>
        </w:rPr>
        <w:t>e FQ</w:t>
      </w:r>
      <w:r w:rsidR="000E4D1C" w:rsidRPr="002037D7">
        <w:rPr>
          <w:rFonts w:cstheme="minorHAnsi"/>
        </w:rPr>
        <w:t xml:space="preserve"> exercise </w:t>
      </w:r>
      <w:r w:rsidR="009B71D3">
        <w:rPr>
          <w:rFonts w:cstheme="minorHAnsi"/>
        </w:rPr>
        <w:t xml:space="preserve">not only </w:t>
      </w:r>
      <w:r w:rsidR="000E4D1C">
        <w:rPr>
          <w:rFonts w:cstheme="minorHAnsi"/>
        </w:rPr>
        <w:lastRenderedPageBreak/>
        <w:t>contributes the</w:t>
      </w:r>
      <w:r w:rsidR="000E4D1C" w:rsidRPr="002037D7">
        <w:rPr>
          <w:rFonts w:cstheme="minorHAnsi"/>
        </w:rPr>
        <w:t xml:space="preserve"> non-government sector component of the </w:t>
      </w:r>
      <w:proofErr w:type="spellStart"/>
      <w:r w:rsidR="000E4D1C" w:rsidRPr="002037D7">
        <w:rPr>
          <w:rFonts w:cstheme="minorHAnsi"/>
        </w:rPr>
        <w:t>MySchool</w:t>
      </w:r>
      <w:proofErr w:type="spellEnd"/>
      <w:r w:rsidR="000E4D1C" w:rsidRPr="002037D7">
        <w:rPr>
          <w:rFonts w:cstheme="minorHAnsi"/>
        </w:rPr>
        <w:t xml:space="preserve"> Financial data, but </w:t>
      </w:r>
      <w:r w:rsidR="00C27C49">
        <w:rPr>
          <w:rFonts w:cstheme="minorHAnsi"/>
        </w:rPr>
        <w:t xml:space="preserve">also </w:t>
      </w:r>
      <w:r w:rsidR="000E4D1C" w:rsidRPr="002037D7">
        <w:rPr>
          <w:rFonts w:cstheme="minorHAnsi"/>
        </w:rPr>
        <w:t xml:space="preserve">addresses other requirements </w:t>
      </w:r>
      <w:r w:rsidR="00C27C49">
        <w:rPr>
          <w:rFonts w:cstheme="minorHAnsi"/>
        </w:rPr>
        <w:t xml:space="preserve">such as </w:t>
      </w:r>
      <w:r w:rsidR="000E4D1C" w:rsidRPr="002037D7">
        <w:rPr>
          <w:rFonts w:cstheme="minorHAnsi"/>
        </w:rPr>
        <w:t>monitoring ongoing income and expenditure for school</w:t>
      </w:r>
      <w:r w:rsidR="00C27C49">
        <w:rPr>
          <w:rFonts w:cstheme="minorHAnsi"/>
        </w:rPr>
        <w:t>s and</w:t>
      </w:r>
      <w:r w:rsidR="000E4D1C" w:rsidRPr="002037D7">
        <w:rPr>
          <w:rFonts w:cstheme="minorHAnsi"/>
        </w:rPr>
        <w:t xml:space="preserve"> system</w:t>
      </w:r>
      <w:r w:rsidR="00C27C49">
        <w:rPr>
          <w:rFonts w:cstheme="minorHAnsi"/>
        </w:rPr>
        <w:t xml:space="preserve">s and </w:t>
      </w:r>
      <w:r w:rsidR="000E4D1C" w:rsidRPr="002037D7">
        <w:rPr>
          <w:rFonts w:cstheme="minorHAnsi"/>
        </w:rPr>
        <w:t>satisfying Australian Charities and Not-for-profits Commission (ACNC) financial reporting requirements</w:t>
      </w:r>
      <w:r w:rsidR="00C27C49">
        <w:rPr>
          <w:rFonts w:cstheme="minorHAnsi"/>
        </w:rPr>
        <w:t>.</w:t>
      </w:r>
    </w:p>
    <w:p w14:paraId="18EFD9E2" w14:textId="3F71D464" w:rsidR="000E4D1C" w:rsidRPr="00DC42D4" w:rsidRDefault="007B4B9A" w:rsidP="000E4D1C">
      <w:pPr>
        <w:rPr>
          <w:rFonts w:cstheme="minorHAnsi"/>
        </w:rPr>
      </w:pPr>
      <w:r>
        <w:rPr>
          <w:rFonts w:cstheme="minorHAnsi"/>
        </w:rPr>
        <w:t xml:space="preserve">The Board would see value in the Commission </w:t>
      </w:r>
      <w:r w:rsidR="00DC42D4">
        <w:rPr>
          <w:rFonts w:cstheme="minorHAnsi"/>
        </w:rPr>
        <w:t>exploring as part of its assessment of the NPIs whether it is possible to</w:t>
      </w:r>
      <w:r w:rsidR="00DC42D4" w:rsidRPr="00DC42D4">
        <w:t xml:space="preserve"> </w:t>
      </w:r>
      <w:r w:rsidR="00DC42D4">
        <w:t xml:space="preserve">achieve this same level of consistency and transparency for the eight organisations which comprise the </w:t>
      </w:r>
      <w:r w:rsidR="00DC42D4" w:rsidRPr="00910AD2">
        <w:rPr>
          <w:b/>
          <w:bCs/>
        </w:rPr>
        <w:t>government sector</w:t>
      </w:r>
      <w:r w:rsidR="00DC42D4">
        <w:t xml:space="preserve"> as it has been for the non-government sector.</w:t>
      </w:r>
    </w:p>
    <w:p w14:paraId="448677BC" w14:textId="77777777" w:rsidR="000E4D1C" w:rsidRPr="00C1656B" w:rsidRDefault="000E4D1C" w:rsidP="00AD14D0">
      <w:pPr>
        <w:pStyle w:val="Heading2"/>
        <w:spacing w:after="160"/>
        <w:rPr>
          <w:b/>
          <w:bCs/>
        </w:rPr>
      </w:pPr>
      <w:r w:rsidRPr="00C1656B">
        <w:rPr>
          <w:b/>
          <w:bCs/>
        </w:rPr>
        <w:t>How to enhance the national education evidence base</w:t>
      </w:r>
    </w:p>
    <w:p w14:paraId="75AC4FD2" w14:textId="33FCF9A2" w:rsidR="000E4D1C" w:rsidRDefault="000E4D1C" w:rsidP="000E4D1C">
      <w:r>
        <w:t>The Board supports and encourages continued development and enhancement of the national evidence base</w:t>
      </w:r>
      <w:r w:rsidR="00C634DA">
        <w:t>, particularly through</w:t>
      </w:r>
      <w:r w:rsidR="00487BF4">
        <w:t xml:space="preserve"> the following </w:t>
      </w:r>
      <w:r w:rsidR="009670CA" w:rsidRPr="00395E46">
        <w:rPr>
          <w:b/>
          <w:bCs/>
          <w:i/>
          <w:iCs/>
        </w:rPr>
        <w:t>possible</w:t>
      </w:r>
      <w:r w:rsidR="009670CA">
        <w:t xml:space="preserve"> </w:t>
      </w:r>
      <w:r w:rsidR="00487BF4">
        <w:t>avenues</w:t>
      </w:r>
      <w:r>
        <w:t>:</w:t>
      </w:r>
    </w:p>
    <w:p w14:paraId="1357F3AF" w14:textId="214703A5" w:rsidR="009670CA" w:rsidRDefault="009670CA" w:rsidP="009670CA">
      <w:pPr>
        <w:pStyle w:val="ListParagraph"/>
        <w:numPr>
          <w:ilvl w:val="0"/>
          <w:numId w:val="18"/>
        </w:numPr>
        <w:spacing w:after="120" w:line="240" w:lineRule="auto"/>
      </w:pPr>
      <w:r>
        <w:t xml:space="preserve">New </w:t>
      </w:r>
      <w:proofErr w:type="spellStart"/>
      <w:r>
        <w:t>bilaterals</w:t>
      </w:r>
      <w:proofErr w:type="spellEnd"/>
      <w:r>
        <w:t xml:space="preserve"> related to the new </w:t>
      </w:r>
      <w:r w:rsidRPr="006F6E3B">
        <w:t xml:space="preserve">National School Reform Agreement </w:t>
      </w:r>
      <w:r w:rsidR="00227E9E">
        <w:t xml:space="preserve">should </w:t>
      </w:r>
      <w:r w:rsidRPr="006F6E3B">
        <w:t>include clauses related to provision of data</w:t>
      </w:r>
      <w:r>
        <w:t xml:space="preserve">. Having more detailed information at a school level on how funding is being used will help better assess the relationship between school resources and student outcomes as well </w:t>
      </w:r>
      <w:r w:rsidRPr="00904ECA">
        <w:t>as support the National School Resourcing Board in its independent oversight of Commonwealth school funding arrangements.</w:t>
      </w:r>
    </w:p>
    <w:p w14:paraId="21187B13" w14:textId="77777777" w:rsidR="003B0770" w:rsidRDefault="00227E9E" w:rsidP="00227E9E">
      <w:pPr>
        <w:pStyle w:val="ListParagraph"/>
        <w:numPr>
          <w:ilvl w:val="0"/>
          <w:numId w:val="18"/>
        </w:numPr>
        <w:spacing w:after="120" w:line="240" w:lineRule="auto"/>
      </w:pPr>
      <w:bookmarkStart w:id="0" w:name="_Hlk106189882"/>
      <w:r>
        <w:t xml:space="preserve">Any clauses related to data in the new bilateral agreements should require that more granular level data be provided than is currently required to allow more substantial and useful research to be undertaken. </w:t>
      </w:r>
    </w:p>
    <w:p w14:paraId="6E7F1409" w14:textId="46CFB414" w:rsidR="000E4D1C" w:rsidRDefault="003B0770" w:rsidP="00D232C7">
      <w:pPr>
        <w:pStyle w:val="ListParagraph"/>
        <w:numPr>
          <w:ilvl w:val="1"/>
          <w:numId w:val="18"/>
        </w:numPr>
        <w:spacing w:after="120" w:line="240" w:lineRule="auto"/>
      </w:pPr>
      <w:r>
        <w:t>At a practical level this</w:t>
      </w:r>
      <w:r w:rsidR="00227E9E">
        <w:t xml:space="preserve"> could </w:t>
      </w:r>
      <w:r>
        <w:t>be achieved</w:t>
      </w:r>
      <w:r w:rsidR="00234506">
        <w:t xml:space="preserve"> by</w:t>
      </w:r>
      <w:r w:rsidR="00227E9E">
        <w:t xml:space="preserve"> t</w:t>
      </w:r>
      <w:r w:rsidR="000E4D1C">
        <w:t>he Australian Government work</w:t>
      </w:r>
      <w:r w:rsidR="00227E9E">
        <w:t>ing</w:t>
      </w:r>
      <w:r w:rsidR="000E4D1C">
        <w:t xml:space="preserve"> with states and territories to agree a </w:t>
      </w:r>
      <w:r w:rsidR="00DC42D4">
        <w:t>targeted</w:t>
      </w:r>
      <w:r w:rsidR="00227E9E" w:rsidRPr="00227E9E">
        <w:t xml:space="preserve"> </w:t>
      </w:r>
      <w:r w:rsidR="005A557A">
        <w:t>q</w:t>
      </w:r>
      <w:r w:rsidR="000E4D1C">
        <w:t xml:space="preserve">uestionnaire for the government sector to allow for provision of meaningful data around school-level </w:t>
      </w:r>
      <w:r w:rsidR="00DC42D4">
        <w:t xml:space="preserve">income and </w:t>
      </w:r>
      <w:r w:rsidR="000E4D1C">
        <w:t>expenditure</w:t>
      </w:r>
      <w:r w:rsidR="00D232C7">
        <w:t xml:space="preserve"> – </w:t>
      </w:r>
      <w:r w:rsidR="00227E9E">
        <w:t>what is currently collected for the non-government sector</w:t>
      </w:r>
      <w:r w:rsidR="00D232C7">
        <w:t xml:space="preserve"> through the Financial Questionnaire tool</w:t>
      </w:r>
      <w:r w:rsidR="00234506">
        <w:t xml:space="preserve"> could serve as a broad point of reference for a more targeted questionnaire for the government sector</w:t>
      </w:r>
      <w:r w:rsidR="000E4D1C">
        <w:t xml:space="preserve">. </w:t>
      </w:r>
      <w:bookmarkEnd w:id="0"/>
    </w:p>
    <w:sectPr w:rsidR="000E4D1C" w:rsidSect="00C469CD">
      <w:footerReference w:type="first" r:id="rId19"/>
      <w:pgSz w:w="11906" w:h="16838"/>
      <w:pgMar w:top="2050" w:right="1440" w:bottom="1440" w:left="1440" w:header="0"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6BF9" w14:textId="77777777" w:rsidR="00535476" w:rsidRDefault="00535476" w:rsidP="00174B44">
      <w:pPr>
        <w:spacing w:after="0" w:line="240" w:lineRule="auto"/>
      </w:pPr>
      <w:r>
        <w:separator/>
      </w:r>
    </w:p>
  </w:endnote>
  <w:endnote w:type="continuationSeparator" w:id="0">
    <w:p w14:paraId="6F51C0B0" w14:textId="77777777" w:rsidR="00535476" w:rsidRDefault="00535476" w:rsidP="00174B44">
      <w:pPr>
        <w:spacing w:after="0" w:line="240" w:lineRule="auto"/>
      </w:pPr>
      <w:r>
        <w:continuationSeparator/>
      </w:r>
    </w:p>
  </w:endnote>
  <w:endnote w:id="1">
    <w:p w14:paraId="6D9BC964" w14:textId="51A35573" w:rsidR="00DB2BE1" w:rsidRDefault="00DB2BE1">
      <w:pPr>
        <w:pStyle w:val="EndnoteText"/>
      </w:pPr>
      <w:r>
        <w:rPr>
          <w:rStyle w:val="EndnoteReference"/>
        </w:rPr>
        <w:endnoteRef/>
      </w:r>
      <w:r>
        <w:t xml:space="preserve"> </w:t>
      </w:r>
      <w:r w:rsidRPr="00AD14D0">
        <w:rPr>
          <w:sz w:val="18"/>
          <w:szCs w:val="18"/>
        </w:rPr>
        <w:t>NPI C(iii) – Improving national data quality, consistency and collection to improve the national evidence base and improve policy</w:t>
      </w:r>
    </w:p>
  </w:endnote>
  <w:endnote w:id="2">
    <w:p w14:paraId="2976BE6F" w14:textId="74830BA8" w:rsidR="00DB2BE1" w:rsidRDefault="00DB2BE1">
      <w:pPr>
        <w:pStyle w:val="EndnoteText"/>
      </w:pPr>
      <w:r>
        <w:rPr>
          <w:rStyle w:val="EndnoteReference"/>
        </w:rPr>
        <w:endnoteRef/>
      </w:r>
      <w:r>
        <w:t xml:space="preserve"> </w:t>
      </w:r>
      <w:r w:rsidRPr="00600E15">
        <w:rPr>
          <w:sz w:val="18"/>
          <w:szCs w:val="18"/>
        </w:rPr>
        <w:t xml:space="preserve">DESE, 2021, </w:t>
      </w:r>
      <w:r w:rsidRPr="00600E15">
        <w:rPr>
          <w:i/>
          <w:iCs/>
          <w:sz w:val="18"/>
          <w:szCs w:val="18"/>
        </w:rPr>
        <w:t>National School Reform Agreement:  2020 Annual Report on progress in implementing the national policy initiatives</w:t>
      </w:r>
      <w:r w:rsidRPr="00600E15">
        <w:rPr>
          <w:sz w:val="18"/>
          <w:szCs w:val="18"/>
        </w:rPr>
        <w:t xml:space="preserve"> at </w:t>
      </w:r>
      <w:hyperlink r:id="rId1" w:history="1">
        <w:r w:rsidR="005A5595" w:rsidRPr="00A805C3">
          <w:rPr>
            <w:rStyle w:val="Hyperlink"/>
            <w:sz w:val="18"/>
            <w:szCs w:val="18"/>
          </w:rPr>
          <w:t>https://www.dese.gov.au/download/12568/national-school-reform-agreement-2020-annual-report-progress-implementing-national-policy/23709/document/pdf/en</w:t>
        </w:r>
      </w:hyperlink>
      <w:r w:rsidR="005A5595">
        <w:rPr>
          <w:sz w:val="18"/>
          <w:szCs w:val="18"/>
        </w:rPr>
        <w:t xml:space="preserve"> </w:t>
      </w:r>
    </w:p>
  </w:endnote>
  <w:endnote w:id="3">
    <w:p w14:paraId="6A121271" w14:textId="539B1DA9" w:rsidR="00E767B2" w:rsidRPr="005420B5" w:rsidRDefault="00E767B2">
      <w:pPr>
        <w:pStyle w:val="EndnoteText"/>
      </w:pPr>
      <w:r>
        <w:rPr>
          <w:rStyle w:val="EndnoteReference"/>
        </w:rPr>
        <w:endnoteRef/>
      </w:r>
      <w:r>
        <w:t xml:space="preserve"> </w:t>
      </w:r>
      <w:r w:rsidRPr="00AD14D0">
        <w:rPr>
          <w:sz w:val="18"/>
          <w:szCs w:val="18"/>
        </w:rPr>
        <w:t xml:space="preserve">Section 2.1 </w:t>
      </w:r>
      <w:r w:rsidRPr="00AD14D0">
        <w:rPr>
          <w:i/>
          <w:iCs/>
          <w:sz w:val="18"/>
          <w:szCs w:val="18"/>
        </w:rPr>
        <w:t>The factors which contribute to student outcomes – a brief literature review</w:t>
      </w:r>
      <w:r w:rsidRPr="00AD14D0">
        <w:rPr>
          <w:sz w:val="18"/>
          <w:szCs w:val="18"/>
        </w:rPr>
        <w:t xml:space="preserve">, Deloitte Access Economics, </w:t>
      </w:r>
      <w:r w:rsidRPr="00AD14D0">
        <w:rPr>
          <w:i/>
          <w:iCs/>
          <w:sz w:val="18"/>
          <w:szCs w:val="18"/>
        </w:rPr>
        <w:t>School quality in Australia: Exploring the drivers of student outcomes and the links to practice and school quality</w:t>
      </w:r>
      <w:r w:rsidRPr="00AD14D0">
        <w:rPr>
          <w:sz w:val="18"/>
          <w:szCs w:val="18"/>
        </w:rPr>
        <w:t xml:space="preserve">, at </w:t>
      </w:r>
      <w:hyperlink r:id="rId2" w:history="1">
        <w:r w:rsidRPr="00AD14D0">
          <w:rPr>
            <w:rStyle w:val="Hyperlink"/>
            <w:sz w:val="18"/>
            <w:szCs w:val="18"/>
          </w:rPr>
          <w:t>https://www.dese.gov.au/quality-schools-package/resources/school-quality-australia-exploring-drivers-student-outcomes-and-links-practice-and-schooling-quality</w:t>
        </w:r>
      </w:hyperlink>
      <w:r>
        <w:t xml:space="preserve"> </w:t>
      </w:r>
    </w:p>
  </w:endnote>
  <w:endnote w:id="4">
    <w:p w14:paraId="7F224B44" w14:textId="627629FD" w:rsidR="00AA1D3C" w:rsidRDefault="00AA1D3C">
      <w:pPr>
        <w:pStyle w:val="EndnoteText"/>
      </w:pPr>
      <w:r>
        <w:rPr>
          <w:rStyle w:val="EndnoteReference"/>
        </w:rPr>
        <w:endnoteRef/>
      </w:r>
      <w:r>
        <w:t xml:space="preserve"> </w:t>
      </w:r>
      <w:r w:rsidRPr="00D91037">
        <w:rPr>
          <w:sz w:val="18"/>
          <w:szCs w:val="18"/>
        </w:rPr>
        <w:t xml:space="preserve">p.7, Productivity Commission, 2022, </w:t>
      </w:r>
      <w:r w:rsidRPr="00D91037">
        <w:rPr>
          <w:i/>
          <w:iCs/>
          <w:sz w:val="18"/>
          <w:szCs w:val="18"/>
        </w:rPr>
        <w:t>Review of the National School Reform Agreement</w:t>
      </w:r>
      <w:r w:rsidRPr="00D91037">
        <w:rPr>
          <w:sz w:val="18"/>
          <w:szCs w:val="18"/>
        </w:rPr>
        <w:t xml:space="preserve"> - </w:t>
      </w:r>
      <w:r w:rsidRPr="00D91037">
        <w:rPr>
          <w:i/>
          <w:iCs/>
          <w:sz w:val="18"/>
          <w:szCs w:val="18"/>
        </w:rPr>
        <w:t>Call for Submissions</w:t>
      </w:r>
      <w:r w:rsidRPr="00D91037">
        <w:rPr>
          <w:sz w:val="18"/>
          <w:szCs w:val="18"/>
        </w:rPr>
        <w:t xml:space="preserve"> at </w:t>
      </w:r>
      <w:hyperlink r:id="rId3" w:history="1">
        <w:r w:rsidRPr="00FC324B">
          <w:rPr>
            <w:rStyle w:val="Hyperlink"/>
            <w:sz w:val="18"/>
            <w:szCs w:val="18"/>
          </w:rPr>
          <w:t>https://www.pc.gov.au/inquiries/current/school-agreement/call-for-submissions</w:t>
        </w:r>
      </w:hyperlink>
      <w:r>
        <w:rPr>
          <w:sz w:val="18"/>
          <w:szCs w:val="18"/>
        </w:rPr>
        <w:t xml:space="preserve"> </w:t>
      </w:r>
    </w:p>
  </w:endnote>
  <w:endnote w:id="5">
    <w:p w14:paraId="31FAD658" w14:textId="5B6E25AD" w:rsidR="005251B4" w:rsidRPr="00D91037" w:rsidRDefault="005251B4">
      <w:pPr>
        <w:pStyle w:val="EndnoteText"/>
        <w:rPr>
          <w:i/>
          <w:iCs/>
          <w:sz w:val="18"/>
          <w:szCs w:val="18"/>
        </w:rPr>
      </w:pPr>
      <w:r w:rsidRPr="00D91037">
        <w:rPr>
          <w:rStyle w:val="EndnoteReference"/>
          <w:sz w:val="18"/>
          <w:szCs w:val="18"/>
        </w:rPr>
        <w:endnoteRef/>
      </w:r>
      <w:r w:rsidRPr="00D91037">
        <w:rPr>
          <w:sz w:val="18"/>
          <w:szCs w:val="18"/>
        </w:rPr>
        <w:t xml:space="preserve"> </w:t>
      </w:r>
      <w:r w:rsidR="001B586B">
        <w:rPr>
          <w:sz w:val="18"/>
          <w:szCs w:val="18"/>
        </w:rPr>
        <w:t>Ibid</w:t>
      </w:r>
    </w:p>
  </w:endnote>
  <w:endnote w:id="6">
    <w:p w14:paraId="113D84DA" w14:textId="282AB0F1" w:rsidR="009040BE" w:rsidRDefault="009040BE" w:rsidP="005420B5">
      <w:pPr>
        <w:pStyle w:val="EndnoteText"/>
      </w:pPr>
      <w:r>
        <w:rPr>
          <w:rStyle w:val="EndnoteReference"/>
        </w:rPr>
        <w:endnoteRef/>
      </w:r>
      <w:r>
        <w:t xml:space="preserve"> </w:t>
      </w:r>
      <w:r w:rsidRPr="00AD14D0">
        <w:rPr>
          <w:sz w:val="18"/>
          <w:szCs w:val="18"/>
        </w:rPr>
        <w:t xml:space="preserve">Note that although this analysis of funding vs student performance was limited to the impact on reading literacy only, OECD research has continuously shown strong evidence that a student’s performance in other key domains such as mathematical and scientific literacy is clearly linked to their reading ability. The Board therefore considers it valid to assert that the government’s focus should be on </w:t>
      </w:r>
      <w:r w:rsidRPr="00AD14D0">
        <w:rPr>
          <w:i/>
          <w:iCs/>
          <w:sz w:val="18"/>
          <w:szCs w:val="18"/>
        </w:rPr>
        <w:t>how</w:t>
      </w:r>
      <w:r w:rsidRPr="00AD14D0">
        <w:rPr>
          <w:sz w:val="18"/>
          <w:szCs w:val="18"/>
        </w:rPr>
        <w:t xml:space="preserve"> funding is best spent to improve student and school outcomes rather than </w:t>
      </w:r>
      <w:r w:rsidRPr="00AD14D0">
        <w:rPr>
          <w:i/>
          <w:iCs/>
          <w:sz w:val="18"/>
          <w:szCs w:val="18"/>
        </w:rPr>
        <w:t>how much</w:t>
      </w:r>
      <w:r w:rsidRPr="00AD14D0">
        <w:rPr>
          <w:sz w:val="18"/>
          <w:szCs w:val="18"/>
        </w:rPr>
        <w:t xml:space="preserve"> funding is given.</w:t>
      </w:r>
    </w:p>
  </w:endnote>
  <w:endnote w:id="7">
    <w:p w14:paraId="6D8892D1" w14:textId="4285F4A9" w:rsidR="001D79F0" w:rsidRPr="00AD14D0" w:rsidRDefault="001D79F0">
      <w:pPr>
        <w:pStyle w:val="EndnoteText"/>
        <w:rPr>
          <w:sz w:val="18"/>
          <w:szCs w:val="18"/>
        </w:rPr>
      </w:pPr>
      <w:r>
        <w:rPr>
          <w:rStyle w:val="EndnoteReference"/>
        </w:rPr>
        <w:endnoteRef/>
      </w:r>
      <w:r>
        <w:t xml:space="preserve"> </w:t>
      </w:r>
      <w:r w:rsidRPr="00AD14D0">
        <w:rPr>
          <w:sz w:val="18"/>
          <w:szCs w:val="18"/>
        </w:rPr>
        <w:t xml:space="preserve">OECD, 2012, PISA in Focus #13, </w:t>
      </w:r>
      <w:r w:rsidRPr="00AD14D0">
        <w:rPr>
          <w:i/>
          <w:iCs/>
          <w:sz w:val="18"/>
          <w:szCs w:val="18"/>
        </w:rPr>
        <w:t>Does money buy strong performance in PISA?</w:t>
      </w:r>
      <w:r w:rsidRPr="00AD14D0">
        <w:rPr>
          <w:sz w:val="18"/>
          <w:szCs w:val="18"/>
        </w:rPr>
        <w:t xml:space="preserve"> at </w:t>
      </w:r>
      <w:hyperlink r:id="rId4" w:history="1">
        <w:r w:rsidRPr="00AD14D0">
          <w:rPr>
            <w:rStyle w:val="Hyperlink"/>
            <w:sz w:val="18"/>
            <w:szCs w:val="18"/>
          </w:rPr>
          <w:t>https://www.oecd-ilibrary.org/education/does-money-buy-strong-performance-in-pisa_5k9fhmfzc4xx-en</w:t>
        </w:r>
      </w:hyperlink>
      <w:r w:rsidRPr="00AD14D0">
        <w:rPr>
          <w:sz w:val="18"/>
          <w:szCs w:val="18"/>
        </w:rPr>
        <w:t xml:space="preserve"> </w:t>
      </w:r>
    </w:p>
  </w:endnote>
  <w:endnote w:id="8">
    <w:p w14:paraId="1FD092DE" w14:textId="346E2586" w:rsidR="006A2621" w:rsidRPr="00600E15" w:rsidRDefault="006A2621" w:rsidP="006A2621">
      <w:pPr>
        <w:pStyle w:val="EndnoteText"/>
        <w:rPr>
          <w:sz w:val="18"/>
          <w:szCs w:val="18"/>
        </w:rPr>
      </w:pPr>
      <w:r w:rsidRPr="00600E15">
        <w:rPr>
          <w:rStyle w:val="EndnoteReference"/>
          <w:sz w:val="18"/>
          <w:szCs w:val="18"/>
        </w:rPr>
        <w:endnoteRef/>
      </w:r>
      <w:r w:rsidRPr="00600E15">
        <w:rPr>
          <w:sz w:val="18"/>
          <w:szCs w:val="18"/>
        </w:rPr>
        <w:t xml:space="preserve"> </w:t>
      </w:r>
      <w:r w:rsidR="00A42AE6">
        <w:rPr>
          <w:sz w:val="18"/>
          <w:szCs w:val="18"/>
        </w:rPr>
        <w:t>p</w:t>
      </w:r>
      <w:r w:rsidRPr="00600E15">
        <w:rPr>
          <w:sz w:val="18"/>
          <w:szCs w:val="18"/>
        </w:rPr>
        <w:t xml:space="preserve">.13, 2021, Australian National Audit Office, </w:t>
      </w:r>
      <w:r w:rsidRPr="00600E15">
        <w:rPr>
          <w:i/>
          <w:iCs/>
          <w:sz w:val="18"/>
          <w:szCs w:val="18"/>
        </w:rPr>
        <w:t xml:space="preserve">Monitoring the Impact of Government School Funding – Follow-up, </w:t>
      </w:r>
      <w:r w:rsidRPr="00600E15">
        <w:rPr>
          <w:sz w:val="18"/>
          <w:szCs w:val="18"/>
        </w:rPr>
        <w:t xml:space="preserve">Auditor-General Report No. 37 2020-21 Performance Audit at </w:t>
      </w:r>
      <w:hyperlink r:id="rId5" w:history="1">
        <w:r w:rsidRPr="00600E15">
          <w:rPr>
            <w:rStyle w:val="Hyperlink"/>
            <w:sz w:val="18"/>
            <w:szCs w:val="18"/>
          </w:rPr>
          <w:t>https://www.anao.gov.au/sites/default/files/Auditor-General_Report_2020-21_37.pdf</w:t>
        </w:r>
      </w:hyperlink>
    </w:p>
  </w:endnote>
  <w:endnote w:id="9">
    <w:p w14:paraId="6470E226" w14:textId="77777777" w:rsidR="000E4D1C" w:rsidRPr="00600E15" w:rsidRDefault="000E4D1C" w:rsidP="000E4D1C">
      <w:pPr>
        <w:pStyle w:val="EndnoteText"/>
        <w:rPr>
          <w:i/>
          <w:iCs/>
          <w:sz w:val="18"/>
          <w:szCs w:val="18"/>
        </w:rPr>
      </w:pPr>
      <w:r w:rsidRPr="00600E15">
        <w:rPr>
          <w:rStyle w:val="EndnoteReference"/>
          <w:sz w:val="18"/>
          <w:szCs w:val="18"/>
        </w:rPr>
        <w:endnoteRef/>
      </w:r>
      <w:r w:rsidRPr="00600E15">
        <w:rPr>
          <w:sz w:val="18"/>
          <w:szCs w:val="18"/>
        </w:rPr>
        <w:t xml:space="preserve"> OECD, 2017, </w:t>
      </w:r>
      <w:r w:rsidRPr="00600E15">
        <w:rPr>
          <w:i/>
          <w:iCs/>
          <w:sz w:val="18"/>
          <w:szCs w:val="18"/>
        </w:rPr>
        <w:t>The Funding of School Education – Connecting Resources and Learning, Summary in English</w:t>
      </w:r>
      <w:r w:rsidRPr="00600E15">
        <w:rPr>
          <w:sz w:val="18"/>
          <w:szCs w:val="18"/>
        </w:rPr>
        <w:t xml:space="preserve">, at </w:t>
      </w:r>
      <w:hyperlink r:id="rId6" w:history="1">
        <w:r w:rsidRPr="00600E15">
          <w:rPr>
            <w:rStyle w:val="Hyperlink"/>
            <w:sz w:val="18"/>
            <w:szCs w:val="18"/>
          </w:rPr>
          <w:t>https://www.oecd-ilibrary.org/sites/d5849abb-en/index.html?itemId=/content/component/d5849abb-en</w:t>
        </w:r>
      </w:hyperlink>
    </w:p>
  </w:endnote>
  <w:endnote w:id="10">
    <w:p w14:paraId="59A0B06F" w14:textId="77777777" w:rsidR="000E4D1C" w:rsidRPr="00600E15" w:rsidRDefault="000E4D1C" w:rsidP="000E4D1C">
      <w:pPr>
        <w:pStyle w:val="EndnoteText"/>
        <w:rPr>
          <w:i/>
          <w:iCs/>
          <w:sz w:val="18"/>
          <w:szCs w:val="18"/>
        </w:rPr>
      </w:pPr>
      <w:r w:rsidRPr="00600E15">
        <w:rPr>
          <w:rStyle w:val="EndnoteReference"/>
          <w:sz w:val="18"/>
          <w:szCs w:val="18"/>
        </w:rPr>
        <w:endnoteRef/>
      </w:r>
      <w:r w:rsidRPr="00600E15">
        <w:rPr>
          <w:sz w:val="18"/>
          <w:szCs w:val="18"/>
        </w:rPr>
        <w:t xml:space="preserve"> OECD, 2017</w:t>
      </w:r>
      <w:r w:rsidRPr="00600E15">
        <w:rPr>
          <w:i/>
          <w:iCs/>
          <w:sz w:val="18"/>
          <w:szCs w:val="18"/>
        </w:rPr>
        <w:t>, The Funding of School Education – Connecting Resources and Learning, Summary in English</w:t>
      </w:r>
      <w:r w:rsidRPr="00600E15">
        <w:rPr>
          <w:sz w:val="18"/>
          <w:szCs w:val="18"/>
        </w:rPr>
        <w:t xml:space="preserve">, at </w:t>
      </w:r>
      <w:hyperlink r:id="rId7" w:history="1">
        <w:r w:rsidRPr="00600E15">
          <w:rPr>
            <w:rStyle w:val="Hyperlink"/>
            <w:sz w:val="18"/>
            <w:szCs w:val="18"/>
          </w:rPr>
          <w:t>https://www.oecd-ilibrary.org/sites/d5849abb-en/index.html?itemId=/content/component/d5849abb-en</w:t>
        </w:r>
      </w:hyperlink>
    </w:p>
  </w:endnote>
  <w:endnote w:id="11">
    <w:p w14:paraId="049D69FF" w14:textId="00A261EC" w:rsidR="000E4D1C" w:rsidRPr="00600E15" w:rsidRDefault="000E4D1C" w:rsidP="000E4D1C">
      <w:pPr>
        <w:pStyle w:val="EndnoteText"/>
        <w:rPr>
          <w:sz w:val="18"/>
          <w:szCs w:val="18"/>
        </w:rPr>
      </w:pPr>
      <w:r w:rsidRPr="00600E15">
        <w:rPr>
          <w:rStyle w:val="EndnoteReference"/>
          <w:sz w:val="18"/>
          <w:szCs w:val="18"/>
        </w:rPr>
        <w:endnoteRef/>
      </w:r>
      <w:r w:rsidRPr="00600E15">
        <w:rPr>
          <w:sz w:val="18"/>
          <w:szCs w:val="18"/>
        </w:rPr>
        <w:t xml:space="preserve"> p.12, Hanushek E &amp; Woessman L, 2015, </w:t>
      </w:r>
      <w:r w:rsidRPr="00600E15">
        <w:rPr>
          <w:i/>
          <w:iCs/>
          <w:sz w:val="18"/>
          <w:szCs w:val="18"/>
        </w:rPr>
        <w:t>Universal Basic Skills</w:t>
      </w:r>
      <w:r w:rsidRPr="00600E15">
        <w:rPr>
          <w:sz w:val="18"/>
          <w:szCs w:val="18"/>
        </w:rPr>
        <w:t xml:space="preserve">, OECD at </w:t>
      </w:r>
      <w:hyperlink r:id="rId8" w:history="1">
        <w:r w:rsidRPr="00600E15">
          <w:rPr>
            <w:rStyle w:val="Hyperlink"/>
            <w:sz w:val="18"/>
            <w:szCs w:val="18"/>
          </w:rPr>
          <w:t>https://doi.org/10.1787/9789264234833-en</w:t>
        </w:r>
      </w:hyperlink>
    </w:p>
  </w:endnote>
  <w:endnote w:id="12">
    <w:p w14:paraId="6530A6EC" w14:textId="260F687D" w:rsidR="00637402" w:rsidRPr="00637402" w:rsidRDefault="00637402">
      <w:pPr>
        <w:pStyle w:val="EndnoteText"/>
        <w:rPr>
          <w:sz w:val="18"/>
          <w:szCs w:val="18"/>
        </w:rPr>
      </w:pPr>
      <w:r w:rsidRPr="00637402">
        <w:rPr>
          <w:rStyle w:val="EndnoteReference"/>
          <w:sz w:val="18"/>
          <w:szCs w:val="18"/>
        </w:rPr>
        <w:endnoteRef/>
      </w:r>
      <w:r w:rsidRPr="00637402">
        <w:rPr>
          <w:sz w:val="18"/>
          <w:szCs w:val="18"/>
        </w:rPr>
        <w:t xml:space="preserve"> </w:t>
      </w:r>
      <w:r w:rsidR="002F6745">
        <w:rPr>
          <w:sz w:val="18"/>
          <w:szCs w:val="18"/>
        </w:rPr>
        <w:t>C. Kirabo Jackson, R. Johnson and C. Persico</w:t>
      </w:r>
      <w:r>
        <w:rPr>
          <w:sz w:val="18"/>
          <w:szCs w:val="18"/>
        </w:rPr>
        <w:t xml:space="preserve">, 2015, </w:t>
      </w:r>
      <w:r w:rsidR="002F6745" w:rsidRPr="002F6745">
        <w:rPr>
          <w:i/>
          <w:iCs/>
          <w:sz w:val="18"/>
          <w:szCs w:val="18"/>
        </w:rPr>
        <w:t xml:space="preserve">National Bureau of Economic Research </w:t>
      </w:r>
      <w:r>
        <w:rPr>
          <w:i/>
          <w:iCs/>
          <w:sz w:val="18"/>
          <w:szCs w:val="18"/>
        </w:rPr>
        <w:t xml:space="preserve">Working Paper 20847 </w:t>
      </w:r>
      <w:r w:rsidR="002F6745">
        <w:rPr>
          <w:i/>
          <w:iCs/>
          <w:sz w:val="18"/>
          <w:szCs w:val="18"/>
        </w:rPr>
        <w:t>–</w:t>
      </w:r>
      <w:r>
        <w:rPr>
          <w:i/>
          <w:iCs/>
          <w:sz w:val="18"/>
          <w:szCs w:val="18"/>
        </w:rPr>
        <w:t xml:space="preserve"> </w:t>
      </w:r>
      <w:r w:rsidR="002F6745">
        <w:rPr>
          <w:i/>
          <w:iCs/>
          <w:sz w:val="18"/>
          <w:szCs w:val="18"/>
        </w:rPr>
        <w:t>The effects of school spending on educational and economic outcomes: evidence from school finance reforms</w:t>
      </w:r>
      <w:r w:rsidR="002F6745">
        <w:rPr>
          <w:sz w:val="18"/>
          <w:szCs w:val="18"/>
        </w:rPr>
        <w:t xml:space="preserve">, </w:t>
      </w:r>
      <w:r>
        <w:rPr>
          <w:sz w:val="18"/>
          <w:szCs w:val="18"/>
        </w:rPr>
        <w:t xml:space="preserve"> </w:t>
      </w:r>
      <w:hyperlink r:id="rId9" w:history="1">
        <w:r w:rsidRPr="00637402">
          <w:rPr>
            <w:rStyle w:val="Hyperlink"/>
            <w:sz w:val="18"/>
            <w:szCs w:val="18"/>
          </w:rPr>
          <w:t>https://www.nber.org/system/files/working_papers/w20847/w20847.pdf</w:t>
        </w:r>
      </w:hyperlink>
    </w:p>
  </w:endnote>
  <w:endnote w:id="13">
    <w:p w14:paraId="25F7FCAF" w14:textId="77777777" w:rsidR="000E4D1C" w:rsidRPr="00600E15" w:rsidRDefault="000E4D1C" w:rsidP="00C02183">
      <w:pPr>
        <w:spacing w:after="0"/>
        <w:rPr>
          <w:sz w:val="18"/>
          <w:szCs w:val="18"/>
        </w:rPr>
      </w:pPr>
      <w:r w:rsidRPr="00600E15">
        <w:rPr>
          <w:rStyle w:val="EndnoteReference"/>
          <w:sz w:val="18"/>
          <w:szCs w:val="18"/>
        </w:rPr>
        <w:endnoteRef/>
      </w:r>
      <w:r w:rsidRPr="00600E15">
        <w:rPr>
          <w:sz w:val="18"/>
          <w:szCs w:val="18"/>
        </w:rPr>
        <w:t xml:space="preserve"> p.xiv, Deloitte Access Economics, 2016 The economic impact of improving school quality, AG DET at </w:t>
      </w:r>
      <w:hyperlink r:id="rId10" w:history="1">
        <w:r w:rsidRPr="00600E15">
          <w:rPr>
            <w:rStyle w:val="Hyperlink"/>
            <w:sz w:val="18"/>
            <w:szCs w:val="18"/>
          </w:rPr>
          <w:t>https://www.dese.gov.au/download/3942/economic-impact-improving-school-quality/5819/document/docx/en</w:t>
        </w:r>
      </w:hyperlink>
    </w:p>
  </w:endnote>
  <w:endnote w:id="14">
    <w:p w14:paraId="333B98EC" w14:textId="3C5A9C4E" w:rsidR="005251B4" w:rsidRPr="00533A88" w:rsidRDefault="006C18C7" w:rsidP="006C18C7">
      <w:pPr>
        <w:pStyle w:val="EndnoteText"/>
      </w:pPr>
      <w:r w:rsidRPr="00600E15">
        <w:rPr>
          <w:rStyle w:val="EndnoteReference"/>
          <w:sz w:val="18"/>
          <w:szCs w:val="18"/>
        </w:rPr>
        <w:endnoteRef/>
      </w:r>
      <w:r w:rsidRPr="00600E15">
        <w:rPr>
          <w:sz w:val="18"/>
          <w:szCs w:val="18"/>
        </w:rPr>
        <w:t xml:space="preserve"> Edovald, T &amp; Nevill, C, 2020, </w:t>
      </w:r>
      <w:r w:rsidRPr="00600E15">
        <w:rPr>
          <w:i/>
          <w:iCs/>
          <w:sz w:val="18"/>
          <w:szCs w:val="18"/>
        </w:rPr>
        <w:t xml:space="preserve">Working Out What Works:  The Case of the Education Endowment Foundation in England, </w:t>
      </w:r>
      <w:r w:rsidRPr="00600E15">
        <w:rPr>
          <w:sz w:val="18"/>
          <w:szCs w:val="18"/>
        </w:rPr>
        <w:t xml:space="preserve">ECNU Review of Education, at </w:t>
      </w:r>
      <w:hyperlink r:id="rId11" w:history="1">
        <w:r w:rsidR="005251B4" w:rsidRPr="006640AD">
          <w:rPr>
            <w:rStyle w:val="Hyperlink"/>
            <w:sz w:val="18"/>
            <w:szCs w:val="18"/>
          </w:rPr>
          <w:t>https://doi.org/10.1177%2F2096531120913039</w:t>
        </w:r>
      </w:hyperlink>
    </w:p>
  </w:endnote>
  <w:endnote w:id="15">
    <w:p w14:paraId="76C3A441" w14:textId="77777777" w:rsidR="00AF1BA6" w:rsidRPr="00C3350A" w:rsidRDefault="00AF1BA6" w:rsidP="00AF1BA6">
      <w:pPr>
        <w:pStyle w:val="EndnoteText"/>
      </w:pPr>
      <w:r>
        <w:rPr>
          <w:rStyle w:val="EndnoteReference"/>
        </w:rPr>
        <w:endnoteRef/>
      </w:r>
      <w:r>
        <w:t xml:space="preserve"> p.xviii, Gonski, D et al, 2011, </w:t>
      </w:r>
      <w:r>
        <w:rPr>
          <w:i/>
          <w:iCs/>
        </w:rPr>
        <w:t>Review of Funding for Schooling: Final Report</w:t>
      </w:r>
      <w:r>
        <w:t xml:space="preserve">, </w:t>
      </w:r>
      <w:hyperlink r:id="rId12" w:history="1">
        <w:r w:rsidRPr="006B0678">
          <w:rPr>
            <w:rStyle w:val="Hyperlink"/>
          </w:rPr>
          <w:t>https://www.dese.gov.au/school-funding/resources/review-funding-schooling-final-report-december-2011</w:t>
        </w:r>
      </w:hyperlink>
      <w:r>
        <w:t xml:space="preserve"> </w:t>
      </w:r>
    </w:p>
  </w:endnote>
  <w:endnote w:id="16">
    <w:p w14:paraId="3327117A" w14:textId="7056A02B" w:rsidR="00D923D8" w:rsidRDefault="00D923D8">
      <w:pPr>
        <w:pStyle w:val="EndnoteText"/>
      </w:pPr>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37BB" w14:textId="77777777" w:rsidR="005A5595" w:rsidRDefault="005A5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106685"/>
      <w:docPartObj>
        <w:docPartGallery w:val="Page Numbers (Bottom of Page)"/>
        <w:docPartUnique/>
      </w:docPartObj>
    </w:sdtPr>
    <w:sdtEndPr/>
    <w:sdtContent>
      <w:sdt>
        <w:sdtPr>
          <w:id w:val="2115636404"/>
          <w:docPartObj>
            <w:docPartGallery w:val="Page Numbers (Top of Page)"/>
            <w:docPartUnique/>
          </w:docPartObj>
        </w:sdtPr>
        <w:sdtEndPr/>
        <w:sdtContent>
          <w:p w14:paraId="4309F224" w14:textId="24BB86BB" w:rsidR="009D553D" w:rsidRDefault="00D84C95" w:rsidP="00D84C95">
            <w:pPr>
              <w:pStyle w:val="Footer"/>
              <w:jc w:val="center"/>
            </w:pPr>
            <w:r w:rsidRPr="00D84C95">
              <w:rPr>
                <w:sz w:val="18"/>
                <w:szCs w:val="18"/>
              </w:rPr>
              <w:t xml:space="preserve">Page </w:t>
            </w:r>
            <w:r w:rsidRPr="00D84C95">
              <w:rPr>
                <w:sz w:val="18"/>
                <w:szCs w:val="18"/>
              </w:rPr>
              <w:fldChar w:fldCharType="begin"/>
            </w:r>
            <w:r w:rsidRPr="00D84C95">
              <w:rPr>
                <w:sz w:val="18"/>
                <w:szCs w:val="18"/>
              </w:rPr>
              <w:instrText xml:space="preserve"> PAGE </w:instrText>
            </w:r>
            <w:r w:rsidRPr="00D84C95">
              <w:rPr>
                <w:sz w:val="18"/>
                <w:szCs w:val="18"/>
              </w:rPr>
              <w:fldChar w:fldCharType="separate"/>
            </w:r>
            <w:r w:rsidRPr="00D84C95">
              <w:rPr>
                <w:noProof/>
                <w:sz w:val="18"/>
                <w:szCs w:val="18"/>
              </w:rPr>
              <w:t>2</w:t>
            </w:r>
            <w:r w:rsidRPr="00D84C95">
              <w:rPr>
                <w:sz w:val="18"/>
                <w:szCs w:val="18"/>
              </w:rPr>
              <w:fldChar w:fldCharType="end"/>
            </w:r>
            <w:r w:rsidRPr="00D84C95">
              <w:rPr>
                <w:sz w:val="18"/>
                <w:szCs w:val="18"/>
              </w:rPr>
              <w:t xml:space="preserve"> of </w:t>
            </w:r>
            <w:r w:rsidR="0025314E">
              <w:rPr>
                <w:sz w:val="18"/>
                <w:szCs w:val="18"/>
              </w:rPr>
              <w:t>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3E31" w14:textId="6ADBAEBC" w:rsidR="009C6F61" w:rsidRPr="009C6F61" w:rsidRDefault="009C6F61" w:rsidP="009C6F61">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2234257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544723DE" w14:textId="55D1C06E" w:rsidR="00C469CD" w:rsidRPr="009C6F61" w:rsidRDefault="00C469CD" w:rsidP="00C469CD">
            <w:pPr>
              <w:pStyle w:val="Footer"/>
              <w:jc w:val="center"/>
              <w:rPr>
                <w:sz w:val="18"/>
                <w:szCs w:val="18"/>
              </w:rPr>
            </w:pPr>
            <w:r w:rsidRPr="00C469CD">
              <w:rPr>
                <w:sz w:val="18"/>
                <w:szCs w:val="18"/>
              </w:rPr>
              <w:t xml:space="preserve">Page </w:t>
            </w:r>
            <w:r w:rsidRPr="00C469CD">
              <w:rPr>
                <w:sz w:val="18"/>
                <w:szCs w:val="18"/>
              </w:rPr>
              <w:fldChar w:fldCharType="begin"/>
            </w:r>
            <w:r w:rsidRPr="00C469CD">
              <w:rPr>
                <w:sz w:val="18"/>
                <w:szCs w:val="18"/>
              </w:rPr>
              <w:instrText xml:space="preserve"> PAGE </w:instrText>
            </w:r>
            <w:r w:rsidRPr="00C469CD">
              <w:rPr>
                <w:sz w:val="18"/>
                <w:szCs w:val="18"/>
              </w:rPr>
              <w:fldChar w:fldCharType="separate"/>
            </w:r>
            <w:r w:rsidRPr="00C469CD">
              <w:rPr>
                <w:noProof/>
                <w:sz w:val="18"/>
                <w:szCs w:val="18"/>
              </w:rPr>
              <w:t>2</w:t>
            </w:r>
            <w:r w:rsidRPr="00C469CD">
              <w:rPr>
                <w:sz w:val="18"/>
                <w:szCs w:val="18"/>
              </w:rPr>
              <w:fldChar w:fldCharType="end"/>
            </w:r>
            <w:r w:rsidRPr="00C469CD">
              <w:rPr>
                <w:sz w:val="18"/>
                <w:szCs w:val="18"/>
              </w:rPr>
              <w:t xml:space="preserve"> of </w:t>
            </w:r>
            <w:r w:rsidR="0025314E">
              <w:rPr>
                <w:sz w:val="18"/>
                <w:szCs w:val="18"/>
              </w:rPr>
              <w:t>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315B3" w14:textId="77777777" w:rsidR="00535476" w:rsidRDefault="00535476" w:rsidP="00174B44">
      <w:pPr>
        <w:spacing w:after="0" w:line="240" w:lineRule="auto"/>
      </w:pPr>
      <w:r>
        <w:separator/>
      </w:r>
    </w:p>
  </w:footnote>
  <w:footnote w:type="continuationSeparator" w:id="0">
    <w:p w14:paraId="3CD0073B" w14:textId="77777777" w:rsidR="00535476" w:rsidRDefault="00535476" w:rsidP="00174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D6DE" w14:textId="77777777" w:rsidR="005A5595" w:rsidRDefault="005A5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BC57" w14:textId="5DE68A5B" w:rsidR="00EE2F02" w:rsidRPr="00EE2F02" w:rsidRDefault="00F935E2" w:rsidP="00AD14D0">
    <w:pPr>
      <w:pStyle w:val="Header"/>
      <w:ind w:left="-1418"/>
    </w:pPr>
    <w:r>
      <w:rPr>
        <w:noProof/>
        <w:lang w:eastAsia="en-AU"/>
      </w:rPr>
      <w:drawing>
        <wp:inline distT="0" distB="0" distL="0" distR="0" wp14:anchorId="50D95C09" wp14:editId="6853E49A">
          <wp:extent cx="7545496" cy="1190625"/>
          <wp:effectExtent l="0" t="0" r="0" b="0"/>
          <wp:docPr id="61" name="Picture 61" descr="National School Resourcing 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130 - SCH - Pre-Budget announcement factsheets and social media tiles\ED17-0130 - SCH - Quality Schools, Quality Outcomes Factsheet Template\links\ED17-0130 - SCH -Quality Schools Template_Head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5496" cy="1190625"/>
                  </a:xfrm>
                  <a:prstGeom prst="rect">
                    <a:avLst/>
                  </a:prstGeom>
                  <a:noFill/>
                  <a:ln>
                    <a:noFill/>
                  </a:ln>
                </pic:spPr>
              </pic:pic>
            </a:graphicData>
          </a:graphic>
        </wp:inline>
      </w:drawing>
    </w:r>
    <w:r w:rsidR="009C6F61">
      <w:rPr>
        <w:noProof/>
        <w:lang w:eastAsia="en-AU"/>
      </w:rPr>
      <mc:AlternateContent>
        <mc:Choice Requires="wps">
          <w:drawing>
            <wp:anchor distT="0" distB="0" distL="114300" distR="114300" simplePos="0" relativeHeight="251656704" behindDoc="0" locked="0" layoutInCell="1" allowOverlap="1" wp14:anchorId="141D62D4" wp14:editId="4E9F4645">
              <wp:simplePos x="0" y="0"/>
              <wp:positionH relativeFrom="page">
                <wp:posOffset>9524</wp:posOffset>
              </wp:positionH>
              <wp:positionV relativeFrom="paragraph">
                <wp:posOffset>-421005</wp:posOffset>
              </wp:positionV>
              <wp:extent cx="7534275" cy="474980"/>
              <wp:effectExtent l="0" t="0" r="9525" b="1270"/>
              <wp:wrapNone/>
              <wp:docPr id="5" name="Rectangle 5"/>
              <wp:cNvGraphicFramePr/>
              <a:graphic xmlns:a="http://schemas.openxmlformats.org/drawingml/2006/main">
                <a:graphicData uri="http://schemas.microsoft.com/office/word/2010/wordprocessingShape">
                  <wps:wsp>
                    <wps:cNvSpPr/>
                    <wps:spPr>
                      <a:xfrm>
                        <a:off x="0" y="0"/>
                        <a:ext cx="7534275" cy="4749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3A3CFB" w14:textId="6DE93CDE" w:rsidR="00EE2F02" w:rsidRPr="006F4CF2" w:rsidRDefault="00EE2F02" w:rsidP="00EE2F02">
                          <w:pPr>
                            <w:tabs>
                              <w:tab w:val="right" w:pos="11199"/>
                            </w:tabs>
                            <w:spacing w:after="0"/>
                            <w:ind w:left="284"/>
                            <w:rPr>
                              <w:rFonts w:cstheme="minorHAnsi"/>
                              <w:b/>
                              <w:color w:val="0F294A"/>
                            </w:rPr>
                          </w:pPr>
                          <w:r w:rsidRPr="006F4CF2">
                            <w:rPr>
                              <w:rFonts w:cstheme="minorHAnsi"/>
                              <w:b/>
                              <w:color w:val="0F294A"/>
                            </w:rPr>
                            <w:t>Board meeting—XX Month 2019</w:t>
                          </w:r>
                          <w:r w:rsidRPr="006F4CF2">
                            <w:rPr>
                              <w:rFonts w:cstheme="minorHAnsi"/>
                              <w:b/>
                              <w:color w:val="0F294A"/>
                            </w:rPr>
                            <w:tab/>
                            <w:t>Attachment XA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41D62D4" id="Rectangle 5" o:spid="_x0000_s1026" style="position:absolute;left:0;text-align:left;margin-left:.75pt;margin-top:-33.15pt;width:593.25pt;height:37.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" fillcolor="white [3212]" stroked="f" strokeweight="1pt">
              <v:textbox>
                <w:txbxContent>
                  <w:p w14:paraId="613A3CFB" w14:textId="6DE93CDE" w:rsidR="00EE2F02" w:rsidRPr="006F4CF2" w:rsidRDefault="00EE2F02" w:rsidP="00EE2F02">
                    <w:pPr>
                      <w:tabs>
                        <w:tab w:val="right" w:pos="11199"/>
                      </w:tabs>
                      <w:spacing w:after="0"/>
                      <w:ind w:left="284"/>
                      <w:rPr>
                        <w:rFonts w:cstheme="minorHAnsi"/>
                        <w:b/>
                        <w:color w:val="0F294A"/>
                      </w:rPr>
                    </w:pPr>
                    <w:r w:rsidRPr="006F4CF2">
                      <w:rPr>
                        <w:rFonts w:cstheme="minorHAnsi"/>
                        <w:b/>
                        <w:color w:val="0F294A"/>
                      </w:rPr>
                      <w:t>Board meeting—XX Month 2019</w:t>
                    </w:r>
                    <w:r w:rsidRPr="006F4CF2">
                      <w:rPr>
                        <w:rFonts w:cstheme="minorHAnsi"/>
                        <w:b/>
                        <w:color w:val="0F294A"/>
                      </w:rPr>
                      <w:tab/>
                      <w:t>Attachment XA</w:t>
                    </w:r>
                  </w:p>
                </w:txbxContent>
              </v:textbox>
              <w10:wrap anchorx="page"/>
            </v:rect>
          </w:pict>
        </mc:Fallback>
      </mc:AlternateContent>
    </w:r>
    <w:r w:rsidR="009C6F61">
      <w:rPr>
        <w:noProof/>
        <w:lang w:eastAsia="en-AU"/>
      </w:rPr>
      <mc:AlternateContent>
        <mc:Choice Requires="wps">
          <w:drawing>
            <wp:anchor distT="0" distB="0" distL="114300" distR="114300" simplePos="0" relativeHeight="251657728" behindDoc="0" locked="0" layoutInCell="1" allowOverlap="1" wp14:anchorId="17131CA7" wp14:editId="5FDD9913">
              <wp:simplePos x="0" y="0"/>
              <wp:positionH relativeFrom="page">
                <wp:posOffset>9524</wp:posOffset>
              </wp:positionH>
              <wp:positionV relativeFrom="paragraph">
                <wp:posOffset>-430530</wp:posOffset>
              </wp:positionV>
              <wp:extent cx="7534275" cy="474980"/>
              <wp:effectExtent l="0" t="0" r="9525" b="1270"/>
              <wp:wrapNone/>
              <wp:docPr id="2" name="Rectangle 2"/>
              <wp:cNvGraphicFramePr/>
              <a:graphic xmlns:a="http://schemas.openxmlformats.org/drawingml/2006/main">
                <a:graphicData uri="http://schemas.microsoft.com/office/word/2010/wordprocessingShape">
                  <wps:wsp>
                    <wps:cNvSpPr/>
                    <wps:spPr>
                      <a:xfrm>
                        <a:off x="0" y="0"/>
                        <a:ext cx="7534275" cy="4749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453A0F" w14:textId="0157D3D1" w:rsidR="009C6F61" w:rsidRPr="006F4CF2" w:rsidRDefault="009C6F61" w:rsidP="00EE2F02">
                          <w:pPr>
                            <w:tabs>
                              <w:tab w:val="right" w:pos="11199"/>
                            </w:tabs>
                            <w:spacing w:after="0"/>
                            <w:ind w:left="284"/>
                            <w:rPr>
                              <w:rFonts w:cstheme="minorHAnsi"/>
                              <w:b/>
                              <w:color w:val="0F294A"/>
                            </w:rPr>
                          </w:pPr>
                          <w:r w:rsidRPr="006F4CF2">
                            <w:rPr>
                              <w:rFonts w:cstheme="minorHAnsi"/>
                              <w:b/>
                              <w:color w:val="0F294A"/>
                            </w:rPr>
                            <w:t>Board</w:t>
                          </w:r>
                          <w:r w:rsidR="001448B7">
                            <w:rPr>
                              <w:rFonts w:cstheme="minorHAnsi"/>
                              <w:b/>
                              <w:color w:val="0F294A"/>
                            </w:rPr>
                            <w:t xml:space="preserve"> meeting—</w:t>
                          </w:r>
                          <w:r w:rsidR="00592699">
                            <w:rPr>
                              <w:rFonts w:cstheme="minorHAnsi"/>
                              <w:b/>
                              <w:color w:val="0F294A"/>
                            </w:rPr>
                            <w:t>24</w:t>
                          </w:r>
                          <w:r w:rsidRPr="006F4CF2">
                            <w:rPr>
                              <w:rFonts w:cstheme="minorHAnsi"/>
                              <w:b/>
                              <w:color w:val="0F294A"/>
                            </w:rPr>
                            <w:t xml:space="preserve"> </w:t>
                          </w:r>
                          <w:r w:rsidR="00592699">
                            <w:rPr>
                              <w:rFonts w:cstheme="minorHAnsi"/>
                              <w:b/>
                              <w:color w:val="0F294A"/>
                            </w:rPr>
                            <w:t>May</w:t>
                          </w:r>
                          <w:r w:rsidR="001448B7">
                            <w:rPr>
                              <w:rFonts w:cstheme="minorHAnsi"/>
                              <w:b/>
                              <w:color w:val="0F294A"/>
                            </w:rPr>
                            <w:t xml:space="preserve"> 20</w:t>
                          </w:r>
                          <w:r w:rsidR="00592699">
                            <w:rPr>
                              <w:rFonts w:cstheme="minorHAnsi"/>
                              <w:b/>
                              <w:color w:val="0F294A"/>
                            </w:rPr>
                            <w:t>22</w:t>
                          </w:r>
                          <w:r w:rsidR="001448B7">
                            <w:rPr>
                              <w:rFonts w:cstheme="minorHAnsi"/>
                              <w:b/>
                              <w:color w:val="0F294A"/>
                            </w:rPr>
                            <w:tab/>
                            <w:t xml:space="preserve">Attachment </w:t>
                          </w:r>
                          <w:r w:rsidR="00592699">
                            <w:rPr>
                              <w:rFonts w:cstheme="minorHAnsi"/>
                              <w:b/>
                              <w:color w:val="0F294A"/>
                            </w:rPr>
                            <w:t>5B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7131CA7" id="Rectangle 2" o:spid="_x0000_s1027" style="position:absolute;left:0;text-align:left;margin-left:.75pt;margin-top:-33.9pt;width:593.25pt;height:3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" fillcolor="white [3212]" stroked="f" strokeweight="1pt">
              <v:textbox>
                <w:txbxContent>
                  <w:p w14:paraId="11453A0F" w14:textId="0157D3D1" w:rsidR="009C6F61" w:rsidRPr="006F4CF2" w:rsidRDefault="009C6F61" w:rsidP="00EE2F02">
                    <w:pPr>
                      <w:tabs>
                        <w:tab w:val="right" w:pos="11199"/>
                      </w:tabs>
                      <w:spacing w:after="0"/>
                      <w:ind w:left="284"/>
                      <w:rPr>
                        <w:rFonts w:cstheme="minorHAnsi"/>
                        <w:b/>
                        <w:color w:val="0F294A"/>
                      </w:rPr>
                    </w:pPr>
                    <w:r w:rsidRPr="006F4CF2">
                      <w:rPr>
                        <w:rFonts w:cstheme="minorHAnsi"/>
                        <w:b/>
                        <w:color w:val="0F294A"/>
                      </w:rPr>
                      <w:t>Board</w:t>
                    </w:r>
                    <w:r w:rsidR="001448B7">
                      <w:rPr>
                        <w:rFonts w:cstheme="minorHAnsi"/>
                        <w:b/>
                        <w:color w:val="0F294A"/>
                      </w:rPr>
                      <w:t xml:space="preserve"> meeting—</w:t>
                    </w:r>
                    <w:r w:rsidR="00592699">
                      <w:rPr>
                        <w:rFonts w:cstheme="minorHAnsi"/>
                        <w:b/>
                        <w:color w:val="0F294A"/>
                      </w:rPr>
                      <w:t>24</w:t>
                    </w:r>
                    <w:r w:rsidRPr="006F4CF2">
                      <w:rPr>
                        <w:rFonts w:cstheme="minorHAnsi"/>
                        <w:b/>
                        <w:color w:val="0F294A"/>
                      </w:rPr>
                      <w:t xml:space="preserve"> </w:t>
                    </w:r>
                    <w:r w:rsidR="00592699">
                      <w:rPr>
                        <w:rFonts w:cstheme="minorHAnsi"/>
                        <w:b/>
                        <w:color w:val="0F294A"/>
                      </w:rPr>
                      <w:t>May</w:t>
                    </w:r>
                    <w:r w:rsidR="001448B7">
                      <w:rPr>
                        <w:rFonts w:cstheme="minorHAnsi"/>
                        <w:b/>
                        <w:color w:val="0F294A"/>
                      </w:rPr>
                      <w:t xml:space="preserve"> 20</w:t>
                    </w:r>
                    <w:r w:rsidR="00592699">
                      <w:rPr>
                        <w:rFonts w:cstheme="minorHAnsi"/>
                        <w:b/>
                        <w:color w:val="0F294A"/>
                      </w:rPr>
                      <w:t>22</w:t>
                    </w:r>
                    <w:r w:rsidR="001448B7">
                      <w:rPr>
                        <w:rFonts w:cstheme="minorHAnsi"/>
                        <w:b/>
                        <w:color w:val="0F294A"/>
                      </w:rPr>
                      <w:tab/>
                      <w:t xml:space="preserve">Attachment </w:t>
                    </w:r>
                    <w:r w:rsidR="00592699">
                      <w:rPr>
                        <w:rFonts w:cstheme="minorHAnsi"/>
                        <w:b/>
                        <w:color w:val="0F294A"/>
                      </w:rPr>
                      <w:t>5B</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FFA1" w14:textId="6E45163D" w:rsidR="009C6F61" w:rsidRDefault="009F3752" w:rsidP="00AD14D0">
    <w:pPr>
      <w:pStyle w:val="Header"/>
      <w:ind w:hanging="1418"/>
    </w:pPr>
    <w:r>
      <w:rPr>
        <w:noProof/>
        <w:lang w:eastAsia="en-AU"/>
      </w:rPr>
      <w:drawing>
        <wp:inline distT="0" distB="0" distL="0" distR="0" wp14:anchorId="5493057C" wp14:editId="33207E59">
          <wp:extent cx="7537450" cy="1189623"/>
          <wp:effectExtent l="0" t="0" r="6350" b="0"/>
          <wp:docPr id="60" name="Picture 60" descr="National School Resourcing 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130 - SCH - Pre-Budget announcement factsheets and social media tiles\ED17-0130 - SCH - Quality Schools, Quality Outcomes Factsheet Template\links\ED17-0130 - SCH -Quality Schools Template_Head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40249" cy="12058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58C0"/>
    <w:multiLevelType w:val="hybridMultilevel"/>
    <w:tmpl w:val="1C461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5D2F57"/>
    <w:multiLevelType w:val="hybridMultilevel"/>
    <w:tmpl w:val="AACE3A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48130A3"/>
    <w:multiLevelType w:val="hybridMultilevel"/>
    <w:tmpl w:val="959E5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FE177D0"/>
    <w:multiLevelType w:val="hybridMultilevel"/>
    <w:tmpl w:val="58E267C4"/>
    <w:lvl w:ilvl="0" w:tplc="2F845500">
      <w:start w:val="1"/>
      <w:numFmt w:val="bullet"/>
      <w:lvlText w:val="•"/>
      <w:lvlJc w:val="left"/>
      <w:pPr>
        <w:tabs>
          <w:tab w:val="num" w:pos="720"/>
        </w:tabs>
        <w:ind w:left="720" w:hanging="360"/>
      </w:pPr>
      <w:rPr>
        <w:rFonts w:ascii="Arial" w:hAnsi="Arial" w:hint="default"/>
      </w:rPr>
    </w:lvl>
    <w:lvl w:ilvl="1" w:tplc="3EF80B62" w:tentative="1">
      <w:start w:val="1"/>
      <w:numFmt w:val="bullet"/>
      <w:lvlText w:val="•"/>
      <w:lvlJc w:val="left"/>
      <w:pPr>
        <w:tabs>
          <w:tab w:val="num" w:pos="1440"/>
        </w:tabs>
        <w:ind w:left="1440" w:hanging="360"/>
      </w:pPr>
      <w:rPr>
        <w:rFonts w:ascii="Arial" w:hAnsi="Arial" w:hint="default"/>
      </w:rPr>
    </w:lvl>
    <w:lvl w:ilvl="2" w:tplc="032C1A00" w:tentative="1">
      <w:start w:val="1"/>
      <w:numFmt w:val="bullet"/>
      <w:lvlText w:val="•"/>
      <w:lvlJc w:val="left"/>
      <w:pPr>
        <w:tabs>
          <w:tab w:val="num" w:pos="2160"/>
        </w:tabs>
        <w:ind w:left="2160" w:hanging="360"/>
      </w:pPr>
      <w:rPr>
        <w:rFonts w:ascii="Arial" w:hAnsi="Arial" w:hint="default"/>
      </w:rPr>
    </w:lvl>
    <w:lvl w:ilvl="3" w:tplc="B4D031E0" w:tentative="1">
      <w:start w:val="1"/>
      <w:numFmt w:val="bullet"/>
      <w:lvlText w:val="•"/>
      <w:lvlJc w:val="left"/>
      <w:pPr>
        <w:tabs>
          <w:tab w:val="num" w:pos="2880"/>
        </w:tabs>
        <w:ind w:left="2880" w:hanging="360"/>
      </w:pPr>
      <w:rPr>
        <w:rFonts w:ascii="Arial" w:hAnsi="Arial" w:hint="default"/>
      </w:rPr>
    </w:lvl>
    <w:lvl w:ilvl="4" w:tplc="D9D44B30" w:tentative="1">
      <w:start w:val="1"/>
      <w:numFmt w:val="bullet"/>
      <w:lvlText w:val="•"/>
      <w:lvlJc w:val="left"/>
      <w:pPr>
        <w:tabs>
          <w:tab w:val="num" w:pos="3600"/>
        </w:tabs>
        <w:ind w:left="3600" w:hanging="360"/>
      </w:pPr>
      <w:rPr>
        <w:rFonts w:ascii="Arial" w:hAnsi="Arial" w:hint="default"/>
      </w:rPr>
    </w:lvl>
    <w:lvl w:ilvl="5" w:tplc="BE3A7194" w:tentative="1">
      <w:start w:val="1"/>
      <w:numFmt w:val="bullet"/>
      <w:lvlText w:val="•"/>
      <w:lvlJc w:val="left"/>
      <w:pPr>
        <w:tabs>
          <w:tab w:val="num" w:pos="4320"/>
        </w:tabs>
        <w:ind w:left="4320" w:hanging="360"/>
      </w:pPr>
      <w:rPr>
        <w:rFonts w:ascii="Arial" w:hAnsi="Arial" w:hint="default"/>
      </w:rPr>
    </w:lvl>
    <w:lvl w:ilvl="6" w:tplc="CA5A52A4" w:tentative="1">
      <w:start w:val="1"/>
      <w:numFmt w:val="bullet"/>
      <w:lvlText w:val="•"/>
      <w:lvlJc w:val="left"/>
      <w:pPr>
        <w:tabs>
          <w:tab w:val="num" w:pos="5040"/>
        </w:tabs>
        <w:ind w:left="5040" w:hanging="360"/>
      </w:pPr>
      <w:rPr>
        <w:rFonts w:ascii="Arial" w:hAnsi="Arial" w:hint="default"/>
      </w:rPr>
    </w:lvl>
    <w:lvl w:ilvl="7" w:tplc="ED86E918" w:tentative="1">
      <w:start w:val="1"/>
      <w:numFmt w:val="bullet"/>
      <w:lvlText w:val="•"/>
      <w:lvlJc w:val="left"/>
      <w:pPr>
        <w:tabs>
          <w:tab w:val="num" w:pos="5760"/>
        </w:tabs>
        <w:ind w:left="5760" w:hanging="360"/>
      </w:pPr>
      <w:rPr>
        <w:rFonts w:ascii="Arial" w:hAnsi="Arial" w:hint="default"/>
      </w:rPr>
    </w:lvl>
    <w:lvl w:ilvl="8" w:tplc="BA38A1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8B715E"/>
    <w:multiLevelType w:val="hybridMultilevel"/>
    <w:tmpl w:val="028039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1053F0"/>
    <w:multiLevelType w:val="hybridMultilevel"/>
    <w:tmpl w:val="0CCEB11A"/>
    <w:lvl w:ilvl="0" w:tplc="8E8ADEA6">
      <w:numFmt w:val="bullet"/>
      <w:lvlText w:val="-"/>
      <w:lvlJc w:val="left"/>
      <w:pPr>
        <w:ind w:left="720" w:hanging="360"/>
      </w:pPr>
      <w:rPr>
        <w:rFonts w:ascii="Calibri" w:eastAsia="Calibr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632080"/>
    <w:multiLevelType w:val="hybridMultilevel"/>
    <w:tmpl w:val="ACA85AC6"/>
    <w:lvl w:ilvl="0" w:tplc="4C0A85E2">
      <w:start w:val="2019"/>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B73210"/>
    <w:multiLevelType w:val="multilevel"/>
    <w:tmpl w:val="F1ACD268"/>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705378D0"/>
    <w:multiLevelType w:val="hybridMultilevel"/>
    <w:tmpl w:val="100CDA46"/>
    <w:lvl w:ilvl="0" w:tplc="51C69692">
      <w:start w:val="1"/>
      <w:numFmt w:val="bullet"/>
      <w:lvlText w:val="•"/>
      <w:lvlJc w:val="left"/>
      <w:pPr>
        <w:tabs>
          <w:tab w:val="num" w:pos="720"/>
        </w:tabs>
        <w:ind w:left="720" w:hanging="360"/>
      </w:pPr>
      <w:rPr>
        <w:rFonts w:ascii="Arial" w:hAnsi="Arial" w:hint="default"/>
      </w:rPr>
    </w:lvl>
    <w:lvl w:ilvl="1" w:tplc="CBDE8210" w:tentative="1">
      <w:start w:val="1"/>
      <w:numFmt w:val="bullet"/>
      <w:lvlText w:val="•"/>
      <w:lvlJc w:val="left"/>
      <w:pPr>
        <w:tabs>
          <w:tab w:val="num" w:pos="1440"/>
        </w:tabs>
        <w:ind w:left="1440" w:hanging="360"/>
      </w:pPr>
      <w:rPr>
        <w:rFonts w:ascii="Arial" w:hAnsi="Arial" w:hint="default"/>
      </w:rPr>
    </w:lvl>
    <w:lvl w:ilvl="2" w:tplc="FD565B96" w:tentative="1">
      <w:start w:val="1"/>
      <w:numFmt w:val="bullet"/>
      <w:lvlText w:val="•"/>
      <w:lvlJc w:val="left"/>
      <w:pPr>
        <w:tabs>
          <w:tab w:val="num" w:pos="2160"/>
        </w:tabs>
        <w:ind w:left="2160" w:hanging="360"/>
      </w:pPr>
      <w:rPr>
        <w:rFonts w:ascii="Arial" w:hAnsi="Arial" w:hint="default"/>
      </w:rPr>
    </w:lvl>
    <w:lvl w:ilvl="3" w:tplc="149626F8" w:tentative="1">
      <w:start w:val="1"/>
      <w:numFmt w:val="bullet"/>
      <w:lvlText w:val="•"/>
      <w:lvlJc w:val="left"/>
      <w:pPr>
        <w:tabs>
          <w:tab w:val="num" w:pos="2880"/>
        </w:tabs>
        <w:ind w:left="2880" w:hanging="360"/>
      </w:pPr>
      <w:rPr>
        <w:rFonts w:ascii="Arial" w:hAnsi="Arial" w:hint="default"/>
      </w:rPr>
    </w:lvl>
    <w:lvl w:ilvl="4" w:tplc="71705912" w:tentative="1">
      <w:start w:val="1"/>
      <w:numFmt w:val="bullet"/>
      <w:lvlText w:val="•"/>
      <w:lvlJc w:val="left"/>
      <w:pPr>
        <w:tabs>
          <w:tab w:val="num" w:pos="3600"/>
        </w:tabs>
        <w:ind w:left="3600" w:hanging="360"/>
      </w:pPr>
      <w:rPr>
        <w:rFonts w:ascii="Arial" w:hAnsi="Arial" w:hint="default"/>
      </w:rPr>
    </w:lvl>
    <w:lvl w:ilvl="5" w:tplc="62AA9EF4" w:tentative="1">
      <w:start w:val="1"/>
      <w:numFmt w:val="bullet"/>
      <w:lvlText w:val="•"/>
      <w:lvlJc w:val="left"/>
      <w:pPr>
        <w:tabs>
          <w:tab w:val="num" w:pos="4320"/>
        </w:tabs>
        <w:ind w:left="4320" w:hanging="360"/>
      </w:pPr>
      <w:rPr>
        <w:rFonts w:ascii="Arial" w:hAnsi="Arial" w:hint="default"/>
      </w:rPr>
    </w:lvl>
    <w:lvl w:ilvl="6" w:tplc="89527402" w:tentative="1">
      <w:start w:val="1"/>
      <w:numFmt w:val="bullet"/>
      <w:lvlText w:val="•"/>
      <w:lvlJc w:val="left"/>
      <w:pPr>
        <w:tabs>
          <w:tab w:val="num" w:pos="5040"/>
        </w:tabs>
        <w:ind w:left="5040" w:hanging="360"/>
      </w:pPr>
      <w:rPr>
        <w:rFonts w:ascii="Arial" w:hAnsi="Arial" w:hint="default"/>
      </w:rPr>
    </w:lvl>
    <w:lvl w:ilvl="7" w:tplc="075EF134" w:tentative="1">
      <w:start w:val="1"/>
      <w:numFmt w:val="bullet"/>
      <w:lvlText w:val="•"/>
      <w:lvlJc w:val="left"/>
      <w:pPr>
        <w:tabs>
          <w:tab w:val="num" w:pos="5760"/>
        </w:tabs>
        <w:ind w:left="5760" w:hanging="360"/>
      </w:pPr>
      <w:rPr>
        <w:rFonts w:ascii="Arial" w:hAnsi="Arial" w:hint="default"/>
      </w:rPr>
    </w:lvl>
    <w:lvl w:ilvl="8" w:tplc="F9C2350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2"/>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8"/>
  </w:num>
  <w:num w:numId="17">
    <w:abstractNumId w:val="3"/>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59"/>
    <w:rsid w:val="00000986"/>
    <w:rsid w:val="00004D9B"/>
    <w:rsid w:val="0001482A"/>
    <w:rsid w:val="000340DC"/>
    <w:rsid w:val="00052742"/>
    <w:rsid w:val="000541FF"/>
    <w:rsid w:val="00060887"/>
    <w:rsid w:val="00072A3C"/>
    <w:rsid w:val="00085D71"/>
    <w:rsid w:val="000950E1"/>
    <w:rsid w:val="000A4D65"/>
    <w:rsid w:val="000A7F4F"/>
    <w:rsid w:val="000C0563"/>
    <w:rsid w:val="000C2477"/>
    <w:rsid w:val="000C485F"/>
    <w:rsid w:val="000E4D1C"/>
    <w:rsid w:val="000F698C"/>
    <w:rsid w:val="00101C75"/>
    <w:rsid w:val="00101DD5"/>
    <w:rsid w:val="00120C04"/>
    <w:rsid w:val="00134872"/>
    <w:rsid w:val="00141C3C"/>
    <w:rsid w:val="001448B7"/>
    <w:rsid w:val="00146CE1"/>
    <w:rsid w:val="00160244"/>
    <w:rsid w:val="00174B44"/>
    <w:rsid w:val="001826AF"/>
    <w:rsid w:val="0019120C"/>
    <w:rsid w:val="001B586B"/>
    <w:rsid w:val="001D79F0"/>
    <w:rsid w:val="001E51D2"/>
    <w:rsid w:val="001F23D5"/>
    <w:rsid w:val="002060AF"/>
    <w:rsid w:val="00227E9E"/>
    <w:rsid w:val="00234506"/>
    <w:rsid w:val="002356E1"/>
    <w:rsid w:val="00250AE1"/>
    <w:rsid w:val="002526BD"/>
    <w:rsid w:val="00252A34"/>
    <w:rsid w:val="0025314E"/>
    <w:rsid w:val="00267286"/>
    <w:rsid w:val="002715A8"/>
    <w:rsid w:val="00295C7D"/>
    <w:rsid w:val="002A3BD1"/>
    <w:rsid w:val="002B03F8"/>
    <w:rsid w:val="002B32E6"/>
    <w:rsid w:val="002B5A59"/>
    <w:rsid w:val="002C0519"/>
    <w:rsid w:val="002D07C9"/>
    <w:rsid w:val="002E74B6"/>
    <w:rsid w:val="002F6745"/>
    <w:rsid w:val="00317A1A"/>
    <w:rsid w:val="003358DA"/>
    <w:rsid w:val="00346252"/>
    <w:rsid w:val="00350383"/>
    <w:rsid w:val="00352363"/>
    <w:rsid w:val="00356737"/>
    <w:rsid w:val="00363EB0"/>
    <w:rsid w:val="00376C78"/>
    <w:rsid w:val="00395E46"/>
    <w:rsid w:val="003B0770"/>
    <w:rsid w:val="003C0376"/>
    <w:rsid w:val="003C4B7F"/>
    <w:rsid w:val="003D1209"/>
    <w:rsid w:val="003D7003"/>
    <w:rsid w:val="003E3C15"/>
    <w:rsid w:val="003E4930"/>
    <w:rsid w:val="003F34EF"/>
    <w:rsid w:val="003F4BCB"/>
    <w:rsid w:val="00406A89"/>
    <w:rsid w:val="00412D31"/>
    <w:rsid w:val="00431D86"/>
    <w:rsid w:val="00454A11"/>
    <w:rsid w:val="00455DCE"/>
    <w:rsid w:val="00475233"/>
    <w:rsid w:val="00487BF4"/>
    <w:rsid w:val="004A4E07"/>
    <w:rsid w:val="004C3B72"/>
    <w:rsid w:val="004C6291"/>
    <w:rsid w:val="004D07F1"/>
    <w:rsid w:val="004F0AA1"/>
    <w:rsid w:val="004F5369"/>
    <w:rsid w:val="004F5E27"/>
    <w:rsid w:val="0050306D"/>
    <w:rsid w:val="005042FD"/>
    <w:rsid w:val="005214E1"/>
    <w:rsid w:val="00523C7E"/>
    <w:rsid w:val="005251B4"/>
    <w:rsid w:val="00533A88"/>
    <w:rsid w:val="00535476"/>
    <w:rsid w:val="00535CFE"/>
    <w:rsid w:val="0053615C"/>
    <w:rsid w:val="005372E8"/>
    <w:rsid w:val="0054098F"/>
    <w:rsid w:val="00541C8E"/>
    <w:rsid w:val="005420B5"/>
    <w:rsid w:val="00542226"/>
    <w:rsid w:val="00574909"/>
    <w:rsid w:val="005759ED"/>
    <w:rsid w:val="00582296"/>
    <w:rsid w:val="00592699"/>
    <w:rsid w:val="00596B4B"/>
    <w:rsid w:val="005A2B41"/>
    <w:rsid w:val="005A40DE"/>
    <w:rsid w:val="005A557A"/>
    <w:rsid w:val="005A5595"/>
    <w:rsid w:val="005B7FBE"/>
    <w:rsid w:val="005C05A6"/>
    <w:rsid w:val="005D5B66"/>
    <w:rsid w:val="005E4B77"/>
    <w:rsid w:val="005F386D"/>
    <w:rsid w:val="00600E15"/>
    <w:rsid w:val="00603D54"/>
    <w:rsid w:val="006331BA"/>
    <w:rsid w:val="0063405F"/>
    <w:rsid w:val="00637402"/>
    <w:rsid w:val="00651D9B"/>
    <w:rsid w:val="00663A2E"/>
    <w:rsid w:val="006712C8"/>
    <w:rsid w:val="00671354"/>
    <w:rsid w:val="00673384"/>
    <w:rsid w:val="006761B1"/>
    <w:rsid w:val="00687B84"/>
    <w:rsid w:val="00695ACA"/>
    <w:rsid w:val="006A2621"/>
    <w:rsid w:val="006C18C7"/>
    <w:rsid w:val="006D1BC8"/>
    <w:rsid w:val="006D548C"/>
    <w:rsid w:val="006E5C8A"/>
    <w:rsid w:val="006E7974"/>
    <w:rsid w:val="006F4CF2"/>
    <w:rsid w:val="007043DB"/>
    <w:rsid w:val="00722E32"/>
    <w:rsid w:val="00724BAB"/>
    <w:rsid w:val="007407F4"/>
    <w:rsid w:val="007627EF"/>
    <w:rsid w:val="0079046C"/>
    <w:rsid w:val="007A19F8"/>
    <w:rsid w:val="007A53A9"/>
    <w:rsid w:val="007A7D8D"/>
    <w:rsid w:val="007B4B9A"/>
    <w:rsid w:val="007C0757"/>
    <w:rsid w:val="007C3C2A"/>
    <w:rsid w:val="007E1C8E"/>
    <w:rsid w:val="007F067A"/>
    <w:rsid w:val="007F713A"/>
    <w:rsid w:val="0080374C"/>
    <w:rsid w:val="00817ABC"/>
    <w:rsid w:val="008216B9"/>
    <w:rsid w:val="00824214"/>
    <w:rsid w:val="00831926"/>
    <w:rsid w:val="008363C5"/>
    <w:rsid w:val="008629EE"/>
    <w:rsid w:val="0086491C"/>
    <w:rsid w:val="00864C31"/>
    <w:rsid w:val="008855A1"/>
    <w:rsid w:val="008953F0"/>
    <w:rsid w:val="008A3BA7"/>
    <w:rsid w:val="008D47E2"/>
    <w:rsid w:val="008D7D72"/>
    <w:rsid w:val="009037BE"/>
    <w:rsid w:val="009040BE"/>
    <w:rsid w:val="00904ECA"/>
    <w:rsid w:val="00905C53"/>
    <w:rsid w:val="00910AD2"/>
    <w:rsid w:val="00932427"/>
    <w:rsid w:val="009442C5"/>
    <w:rsid w:val="009670CA"/>
    <w:rsid w:val="00967D2F"/>
    <w:rsid w:val="0097561A"/>
    <w:rsid w:val="00984C36"/>
    <w:rsid w:val="00995E05"/>
    <w:rsid w:val="009A16A6"/>
    <w:rsid w:val="009A5352"/>
    <w:rsid w:val="009B6F84"/>
    <w:rsid w:val="009B71D3"/>
    <w:rsid w:val="009C39E1"/>
    <w:rsid w:val="009C6F61"/>
    <w:rsid w:val="009D2543"/>
    <w:rsid w:val="009D553D"/>
    <w:rsid w:val="009F3752"/>
    <w:rsid w:val="00A205A3"/>
    <w:rsid w:val="00A25542"/>
    <w:rsid w:val="00A269F4"/>
    <w:rsid w:val="00A42AE6"/>
    <w:rsid w:val="00A5505D"/>
    <w:rsid w:val="00A56BAB"/>
    <w:rsid w:val="00A61B3B"/>
    <w:rsid w:val="00A71C94"/>
    <w:rsid w:val="00A82A95"/>
    <w:rsid w:val="00AA1D3C"/>
    <w:rsid w:val="00AA7679"/>
    <w:rsid w:val="00AC64C8"/>
    <w:rsid w:val="00AC69BF"/>
    <w:rsid w:val="00AD14D0"/>
    <w:rsid w:val="00AE3BAE"/>
    <w:rsid w:val="00AE4EA6"/>
    <w:rsid w:val="00AF1BA6"/>
    <w:rsid w:val="00B11945"/>
    <w:rsid w:val="00B119F4"/>
    <w:rsid w:val="00B35C1B"/>
    <w:rsid w:val="00B37981"/>
    <w:rsid w:val="00B4796C"/>
    <w:rsid w:val="00B54E2A"/>
    <w:rsid w:val="00B63270"/>
    <w:rsid w:val="00BA263E"/>
    <w:rsid w:val="00BA4A67"/>
    <w:rsid w:val="00BC43F2"/>
    <w:rsid w:val="00BC49E7"/>
    <w:rsid w:val="00BD36DF"/>
    <w:rsid w:val="00BF4EB0"/>
    <w:rsid w:val="00BF682B"/>
    <w:rsid w:val="00C02183"/>
    <w:rsid w:val="00C07509"/>
    <w:rsid w:val="00C1656B"/>
    <w:rsid w:val="00C20CFA"/>
    <w:rsid w:val="00C27C49"/>
    <w:rsid w:val="00C45C6E"/>
    <w:rsid w:val="00C469CD"/>
    <w:rsid w:val="00C6086F"/>
    <w:rsid w:val="00C634DA"/>
    <w:rsid w:val="00C75056"/>
    <w:rsid w:val="00CA4A00"/>
    <w:rsid w:val="00CA7265"/>
    <w:rsid w:val="00CB42E1"/>
    <w:rsid w:val="00CB737E"/>
    <w:rsid w:val="00CC44FB"/>
    <w:rsid w:val="00CC45FD"/>
    <w:rsid w:val="00CD04EA"/>
    <w:rsid w:val="00CE17D2"/>
    <w:rsid w:val="00CF7145"/>
    <w:rsid w:val="00D165AA"/>
    <w:rsid w:val="00D22567"/>
    <w:rsid w:val="00D232C7"/>
    <w:rsid w:val="00D3410B"/>
    <w:rsid w:val="00D670D5"/>
    <w:rsid w:val="00D84C95"/>
    <w:rsid w:val="00D878C8"/>
    <w:rsid w:val="00D91037"/>
    <w:rsid w:val="00D923D8"/>
    <w:rsid w:val="00D95C56"/>
    <w:rsid w:val="00DA438F"/>
    <w:rsid w:val="00DB2BE1"/>
    <w:rsid w:val="00DC42D4"/>
    <w:rsid w:val="00DD1438"/>
    <w:rsid w:val="00DD22FC"/>
    <w:rsid w:val="00DD298B"/>
    <w:rsid w:val="00DD2A3C"/>
    <w:rsid w:val="00DF4461"/>
    <w:rsid w:val="00DF7284"/>
    <w:rsid w:val="00DF7472"/>
    <w:rsid w:val="00E1353F"/>
    <w:rsid w:val="00E2074B"/>
    <w:rsid w:val="00E304DF"/>
    <w:rsid w:val="00E3434B"/>
    <w:rsid w:val="00E43F84"/>
    <w:rsid w:val="00E525E8"/>
    <w:rsid w:val="00E535CD"/>
    <w:rsid w:val="00E55461"/>
    <w:rsid w:val="00E56940"/>
    <w:rsid w:val="00E6543C"/>
    <w:rsid w:val="00E767B2"/>
    <w:rsid w:val="00E81391"/>
    <w:rsid w:val="00E968AC"/>
    <w:rsid w:val="00EC08EB"/>
    <w:rsid w:val="00ED000D"/>
    <w:rsid w:val="00ED1059"/>
    <w:rsid w:val="00EE01EE"/>
    <w:rsid w:val="00EE2F02"/>
    <w:rsid w:val="00EF66B8"/>
    <w:rsid w:val="00F0484F"/>
    <w:rsid w:val="00F073D1"/>
    <w:rsid w:val="00F15254"/>
    <w:rsid w:val="00F2475F"/>
    <w:rsid w:val="00F32E8F"/>
    <w:rsid w:val="00F437FC"/>
    <w:rsid w:val="00F46F64"/>
    <w:rsid w:val="00F6269C"/>
    <w:rsid w:val="00F6357C"/>
    <w:rsid w:val="00F748CD"/>
    <w:rsid w:val="00F935E2"/>
    <w:rsid w:val="00FA5494"/>
    <w:rsid w:val="00FE6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1694DB"/>
  <w15:chartTrackingRefBased/>
  <w15:docId w15:val="{AA5DBD87-BB14-4F4D-B358-B1A4CD7D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F8"/>
  </w:style>
  <w:style w:type="paragraph" w:styleId="Heading1">
    <w:name w:val="heading 1"/>
    <w:basedOn w:val="Normal"/>
    <w:next w:val="Normal"/>
    <w:link w:val="Heading1Char"/>
    <w:uiPriority w:val="9"/>
    <w:qFormat/>
    <w:rsid w:val="000541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4A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B44"/>
  </w:style>
  <w:style w:type="paragraph" w:styleId="Footer">
    <w:name w:val="footer"/>
    <w:basedOn w:val="Normal"/>
    <w:link w:val="FooterChar"/>
    <w:uiPriority w:val="99"/>
    <w:unhideWhenUsed/>
    <w:rsid w:val="00174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B44"/>
  </w:style>
  <w:style w:type="character" w:styleId="Hyperlink">
    <w:name w:val="Hyperlink"/>
    <w:basedOn w:val="DefaultParagraphFont"/>
    <w:uiPriority w:val="99"/>
    <w:unhideWhenUsed/>
    <w:rsid w:val="00A205A3"/>
    <w:rPr>
      <w:color w:val="0563C1" w:themeColor="hyperlink"/>
      <w:u w:val="single"/>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D878C8"/>
    <w:pPr>
      <w:ind w:left="720"/>
      <w:contextualSpacing/>
    </w:pPr>
  </w:style>
  <w:style w:type="character" w:styleId="FollowedHyperlink">
    <w:name w:val="FollowedHyperlink"/>
    <w:basedOn w:val="DefaultParagraphFont"/>
    <w:uiPriority w:val="99"/>
    <w:semiHidden/>
    <w:unhideWhenUsed/>
    <w:rsid w:val="00D22567"/>
    <w:rPr>
      <w:color w:val="954F72" w:themeColor="followedHyperlink"/>
      <w:u w:val="single"/>
    </w:rPr>
  </w:style>
  <w:style w:type="character" w:styleId="CommentReference">
    <w:name w:val="annotation reference"/>
    <w:basedOn w:val="DefaultParagraphFont"/>
    <w:uiPriority w:val="99"/>
    <w:semiHidden/>
    <w:unhideWhenUsed/>
    <w:rsid w:val="00D22567"/>
    <w:rPr>
      <w:sz w:val="16"/>
      <w:szCs w:val="16"/>
    </w:rPr>
  </w:style>
  <w:style w:type="paragraph" w:styleId="CommentText">
    <w:name w:val="annotation text"/>
    <w:basedOn w:val="Normal"/>
    <w:link w:val="CommentTextChar"/>
    <w:uiPriority w:val="99"/>
    <w:unhideWhenUsed/>
    <w:rsid w:val="00D22567"/>
    <w:pPr>
      <w:spacing w:line="240" w:lineRule="auto"/>
    </w:pPr>
    <w:rPr>
      <w:sz w:val="20"/>
      <w:szCs w:val="20"/>
    </w:rPr>
  </w:style>
  <w:style w:type="character" w:customStyle="1" w:styleId="CommentTextChar">
    <w:name w:val="Comment Text Char"/>
    <w:basedOn w:val="DefaultParagraphFont"/>
    <w:link w:val="CommentText"/>
    <w:uiPriority w:val="99"/>
    <w:rsid w:val="00D22567"/>
    <w:rPr>
      <w:sz w:val="20"/>
      <w:szCs w:val="20"/>
    </w:rPr>
  </w:style>
  <w:style w:type="paragraph" w:styleId="CommentSubject">
    <w:name w:val="annotation subject"/>
    <w:basedOn w:val="CommentText"/>
    <w:next w:val="CommentText"/>
    <w:link w:val="CommentSubjectChar"/>
    <w:uiPriority w:val="99"/>
    <w:semiHidden/>
    <w:unhideWhenUsed/>
    <w:rsid w:val="00D22567"/>
    <w:rPr>
      <w:b/>
      <w:bCs/>
    </w:rPr>
  </w:style>
  <w:style w:type="character" w:customStyle="1" w:styleId="CommentSubjectChar">
    <w:name w:val="Comment Subject Char"/>
    <w:basedOn w:val="CommentTextChar"/>
    <w:link w:val="CommentSubject"/>
    <w:uiPriority w:val="99"/>
    <w:semiHidden/>
    <w:rsid w:val="00D22567"/>
    <w:rPr>
      <w:b/>
      <w:bCs/>
      <w:sz w:val="20"/>
      <w:szCs w:val="20"/>
    </w:rPr>
  </w:style>
  <w:style w:type="paragraph" w:styleId="BalloonText">
    <w:name w:val="Balloon Text"/>
    <w:basedOn w:val="Normal"/>
    <w:link w:val="BalloonTextChar"/>
    <w:uiPriority w:val="99"/>
    <w:semiHidden/>
    <w:unhideWhenUsed/>
    <w:rsid w:val="00D22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567"/>
    <w:rPr>
      <w:rFonts w:ascii="Segoe UI" w:hAnsi="Segoe UI" w:cs="Segoe UI"/>
      <w:sz w:val="18"/>
      <w:szCs w:val="18"/>
    </w:rPr>
  </w:style>
  <w:style w:type="character" w:customStyle="1" w:styleId="Heading2Char">
    <w:name w:val="Heading 2 Char"/>
    <w:basedOn w:val="DefaultParagraphFont"/>
    <w:link w:val="Heading2"/>
    <w:uiPriority w:val="9"/>
    <w:rsid w:val="00CA4A00"/>
    <w:rPr>
      <w:rFonts w:asciiTheme="majorHAnsi" w:eastAsiaTheme="majorEastAsia" w:hAnsiTheme="majorHAnsi" w:cstheme="majorBidi"/>
      <w:color w:val="2E74B5" w:themeColor="accent1" w:themeShade="BF"/>
      <w:sz w:val="26"/>
      <w:szCs w:val="26"/>
    </w:rPr>
  </w:style>
  <w:style w:type="character" w:styleId="Emphasis">
    <w:name w:val="Emphasis"/>
    <w:uiPriority w:val="20"/>
    <w:qFormat/>
    <w:rsid w:val="004C6291"/>
    <w:rPr>
      <w:b w:val="0"/>
      <w:bCs/>
      <w:i/>
      <w:iCs/>
      <w:spacing w:val="0"/>
      <w:bdr w:val="none" w:sz="0" w:space="0" w:color="auto"/>
      <w:shd w:val="clear" w:color="auto" w:fill="auto"/>
    </w:rPr>
  </w:style>
  <w:style w:type="paragraph" w:customStyle="1" w:styleId="instructions">
    <w:name w:val="instructions"/>
    <w:basedOn w:val="Normal"/>
    <w:next w:val="Normal"/>
    <w:qFormat/>
    <w:rsid w:val="004C6291"/>
    <w:pPr>
      <w:spacing w:before="200" w:after="200" w:line="240" w:lineRule="auto"/>
    </w:pPr>
    <w:rPr>
      <w:rFonts w:ascii="Calibri" w:eastAsiaTheme="minorEastAsia" w:hAnsi="Calibri"/>
      <w:i/>
      <w:noProof/>
      <w:color w:val="9CC2E5" w:themeColor="accent1" w:themeTint="99"/>
    </w:rPr>
  </w:style>
  <w:style w:type="paragraph" w:styleId="ListBullet">
    <w:name w:val="List Bullet"/>
    <w:basedOn w:val="Normal"/>
    <w:uiPriority w:val="99"/>
    <w:rsid w:val="00D95C56"/>
    <w:pPr>
      <w:numPr>
        <w:numId w:val="4"/>
      </w:numPr>
      <w:spacing w:before="120" w:after="200" w:line="320" w:lineRule="exact"/>
      <w:contextualSpacing/>
    </w:pPr>
    <w:rPr>
      <w:rFonts w:ascii="Calibri" w:eastAsiaTheme="minorEastAsia" w:hAnsi="Calibri"/>
      <w:noProof/>
    </w:rPr>
  </w:style>
  <w:style w:type="paragraph" w:styleId="ListBullet2">
    <w:name w:val="List Bullet 2"/>
    <w:basedOn w:val="Normal"/>
    <w:uiPriority w:val="99"/>
    <w:rsid w:val="00D95C56"/>
    <w:pPr>
      <w:numPr>
        <w:ilvl w:val="1"/>
        <w:numId w:val="4"/>
      </w:numPr>
      <w:spacing w:before="200" w:after="200" w:line="240" w:lineRule="auto"/>
      <w:contextualSpacing/>
    </w:pPr>
    <w:rPr>
      <w:rFonts w:ascii="Calibri" w:eastAsiaTheme="minorEastAsia" w:hAnsi="Calibri"/>
      <w:noProof/>
    </w:rPr>
  </w:style>
  <w:style w:type="table" w:styleId="TableGrid">
    <w:name w:val="Table Grid"/>
    <w:basedOn w:val="TableNormal"/>
    <w:uiPriority w:val="39"/>
    <w:rsid w:val="00CD0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ardTable">
    <w:name w:val="BoardTable"/>
    <w:basedOn w:val="TableNormal"/>
    <w:uiPriority w:val="99"/>
    <w:rsid w:val="00346252"/>
    <w:pPr>
      <w:spacing w:after="0" w:line="240" w:lineRule="auto"/>
    </w:pPr>
    <w:tblPr>
      <w:tblStyleRowBandSize w:val="1"/>
      <w:tblBorders>
        <w:bottom w:val="single" w:sz="4" w:space="0" w:color="32375D"/>
      </w:tblBorders>
    </w:tblPr>
    <w:tblStylePr w:type="firstRow">
      <w:rPr>
        <w:b/>
        <w:color w:val="FFFFFF" w:themeColor="background1"/>
      </w:rPr>
      <w:tblPr/>
      <w:tcPr>
        <w:shd w:val="clear" w:color="auto" w:fill="32375D"/>
      </w:tcPr>
    </w:tblStylePr>
    <w:tblStylePr w:type="band1Horz">
      <w:tblPr/>
      <w:tcPr>
        <w:shd w:val="clear" w:color="auto" w:fill="FFFFFF" w:themeFill="background1"/>
      </w:tcPr>
    </w:tblStylePr>
    <w:tblStylePr w:type="band2Horz">
      <w:tblPr/>
      <w:tcPr>
        <w:shd w:val="clear" w:color="auto" w:fill="D7E0F1"/>
      </w:tcPr>
    </w:tblStylePr>
  </w:style>
  <w:style w:type="table" w:customStyle="1" w:styleId="HELPTableStyle21">
    <w:name w:val="HELP_Table Style 21"/>
    <w:basedOn w:val="TableNormal"/>
    <w:next w:val="TableGrid"/>
    <w:rsid w:val="001448B7"/>
    <w:pPr>
      <w:spacing w:after="0" w:line="240" w:lineRule="auto"/>
    </w:pPr>
    <w:rPr>
      <w:rFonts w:eastAsiaTheme="minorEastAsia"/>
    </w:rPr>
    <w:tblPr>
      <w:tblStyleRowBandSize w:val="1"/>
      <w:tblBorders>
        <w:bottom w:val="single" w:sz="12" w:space="0" w:color="1E3D6B"/>
      </w:tblBorders>
      <w:tblCellMar>
        <w:top w:w="28" w:type="dxa"/>
        <w:bottom w:w="28" w:type="dxa"/>
      </w:tblCellMar>
    </w:tblPr>
    <w:tblStylePr w:type="firstRow">
      <w:pPr>
        <w:wordWrap/>
        <w:jc w:val="left"/>
      </w:pPr>
      <w:rPr>
        <w:b w:val="0"/>
        <w:color w:val="E7E6E6" w:themeColor="background2"/>
      </w:rPr>
      <w:tblPr/>
      <w:tcPr>
        <w:shd w:val="clear" w:color="auto" w:fill="1A2A48"/>
      </w:tcPr>
    </w:tblStylePr>
    <w:tblStylePr w:type="lastRow">
      <w:tblPr/>
      <w:tcPr>
        <w:tcBorders>
          <w:top w:val="nil"/>
          <w:left w:val="nil"/>
          <w:bottom w:val="single" w:sz="12" w:space="0" w:color="1A2A48"/>
          <w:right w:val="nil"/>
          <w:insideH w:val="nil"/>
          <w:insideV w:val="nil"/>
          <w:tl2br w:val="nil"/>
          <w:tr2bl w:val="nil"/>
        </w:tcBorders>
      </w:tcPr>
    </w:tblStylePr>
    <w:tblStylePr w:type="firstCol">
      <w:pPr>
        <w:jc w:val="left"/>
      </w:pPr>
      <w:tblPr/>
      <w:tcPr>
        <w:vAlign w:val="center"/>
      </w:tcPr>
    </w:tblStylePr>
    <w:tblStylePr w:type="band2Horz">
      <w:rPr>
        <w:color w:val="000000" w:themeColor="text1"/>
      </w:rPr>
      <w:tblPr/>
      <w:tcPr>
        <w:tcBorders>
          <w:top w:val="nil"/>
          <w:left w:val="nil"/>
          <w:bottom w:val="nil"/>
          <w:right w:val="nil"/>
          <w:insideH w:val="nil"/>
          <w:insideV w:val="nil"/>
          <w:tl2br w:val="nil"/>
          <w:tr2bl w:val="nil"/>
        </w:tcBorders>
        <w:shd w:val="clear" w:color="auto" w:fill="D7E0F1"/>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qFormat/>
    <w:locked/>
    <w:rsid w:val="000E4D1C"/>
  </w:style>
  <w:style w:type="paragraph" w:customStyle="1" w:styleId="Headingtwo">
    <w:name w:val="Heading two"/>
    <w:basedOn w:val="Normal"/>
    <w:link w:val="HeadingtwoChar"/>
    <w:qFormat/>
    <w:rsid w:val="000E4D1C"/>
    <w:pPr>
      <w:spacing w:after="120" w:line="240" w:lineRule="auto"/>
    </w:pPr>
    <w:rPr>
      <w:rFonts w:ascii="Calibri" w:eastAsia="Times New Roman" w:hAnsi="Calibri" w:cstheme="minorHAnsi"/>
      <w:color w:val="2F5496" w:themeColor="accent5" w:themeShade="BF"/>
      <w:sz w:val="28"/>
      <w:szCs w:val="24"/>
      <w:lang w:eastAsia="en-AU"/>
    </w:rPr>
  </w:style>
  <w:style w:type="character" w:customStyle="1" w:styleId="HeadingtwoChar">
    <w:name w:val="Heading two Char"/>
    <w:basedOn w:val="DefaultParagraphFont"/>
    <w:link w:val="Headingtwo"/>
    <w:rsid w:val="000E4D1C"/>
    <w:rPr>
      <w:rFonts w:ascii="Calibri" w:eastAsia="Times New Roman" w:hAnsi="Calibri" w:cstheme="minorHAnsi"/>
      <w:color w:val="2F5496" w:themeColor="accent5" w:themeShade="BF"/>
      <w:sz w:val="28"/>
      <w:szCs w:val="24"/>
      <w:lang w:eastAsia="en-AU"/>
    </w:rPr>
  </w:style>
  <w:style w:type="paragraph" w:styleId="EndnoteText">
    <w:name w:val="endnote text"/>
    <w:basedOn w:val="Normal"/>
    <w:link w:val="EndnoteTextChar"/>
    <w:uiPriority w:val="99"/>
    <w:semiHidden/>
    <w:unhideWhenUsed/>
    <w:rsid w:val="000E4D1C"/>
    <w:pPr>
      <w:spacing w:after="0" w:line="240" w:lineRule="auto"/>
    </w:pPr>
    <w:rPr>
      <w:rFonts w:ascii="Calibri" w:eastAsiaTheme="minorEastAsia" w:hAnsi="Calibri"/>
      <w:sz w:val="20"/>
      <w:szCs w:val="20"/>
    </w:rPr>
  </w:style>
  <w:style w:type="character" w:customStyle="1" w:styleId="EndnoteTextChar">
    <w:name w:val="Endnote Text Char"/>
    <w:basedOn w:val="DefaultParagraphFont"/>
    <w:link w:val="EndnoteText"/>
    <w:uiPriority w:val="99"/>
    <w:semiHidden/>
    <w:rsid w:val="000E4D1C"/>
    <w:rPr>
      <w:rFonts w:ascii="Calibri" w:eastAsiaTheme="minorEastAsia" w:hAnsi="Calibri"/>
      <w:sz w:val="20"/>
      <w:szCs w:val="20"/>
    </w:rPr>
  </w:style>
  <w:style w:type="character" w:styleId="EndnoteReference">
    <w:name w:val="endnote reference"/>
    <w:basedOn w:val="DefaultParagraphFont"/>
    <w:uiPriority w:val="99"/>
    <w:semiHidden/>
    <w:unhideWhenUsed/>
    <w:rsid w:val="000E4D1C"/>
    <w:rPr>
      <w:vertAlign w:val="superscript"/>
    </w:rPr>
  </w:style>
  <w:style w:type="paragraph" w:styleId="Caption">
    <w:name w:val="caption"/>
    <w:basedOn w:val="Normal"/>
    <w:next w:val="Normal"/>
    <w:uiPriority w:val="35"/>
    <w:unhideWhenUsed/>
    <w:qFormat/>
    <w:rsid w:val="000E4D1C"/>
    <w:pPr>
      <w:spacing w:after="200" w:line="240" w:lineRule="auto"/>
    </w:pPr>
    <w:rPr>
      <w:rFonts w:ascii="Calibri" w:eastAsiaTheme="minorEastAsia" w:hAnsi="Calibri"/>
      <w:i/>
      <w:iCs/>
      <w:color w:val="44546A" w:themeColor="text2"/>
      <w:sz w:val="18"/>
      <w:szCs w:val="18"/>
    </w:rPr>
  </w:style>
  <w:style w:type="paragraph" w:styleId="Revision">
    <w:name w:val="Revision"/>
    <w:hidden/>
    <w:uiPriority w:val="99"/>
    <w:semiHidden/>
    <w:rsid w:val="00CB737E"/>
    <w:pPr>
      <w:spacing w:after="0" w:line="240" w:lineRule="auto"/>
    </w:pPr>
  </w:style>
  <w:style w:type="character" w:styleId="UnresolvedMention">
    <w:name w:val="Unresolved Mention"/>
    <w:basedOn w:val="DefaultParagraphFont"/>
    <w:uiPriority w:val="99"/>
    <w:semiHidden/>
    <w:unhideWhenUsed/>
    <w:rsid w:val="005251B4"/>
    <w:rPr>
      <w:color w:val="605E5C"/>
      <w:shd w:val="clear" w:color="auto" w:fill="E1DFDD"/>
    </w:rPr>
  </w:style>
  <w:style w:type="character" w:customStyle="1" w:styleId="Heading1Char">
    <w:name w:val="Heading 1 Char"/>
    <w:basedOn w:val="DefaultParagraphFont"/>
    <w:link w:val="Heading1"/>
    <w:uiPriority w:val="9"/>
    <w:rsid w:val="000541F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5470">
      <w:bodyDiv w:val="1"/>
      <w:marLeft w:val="0"/>
      <w:marRight w:val="0"/>
      <w:marTop w:val="0"/>
      <w:marBottom w:val="0"/>
      <w:divBdr>
        <w:top w:val="none" w:sz="0" w:space="0" w:color="auto"/>
        <w:left w:val="none" w:sz="0" w:space="0" w:color="auto"/>
        <w:bottom w:val="none" w:sz="0" w:space="0" w:color="auto"/>
        <w:right w:val="none" w:sz="0" w:space="0" w:color="auto"/>
      </w:divBdr>
    </w:div>
    <w:div w:id="1349520710">
      <w:bodyDiv w:val="1"/>
      <w:marLeft w:val="0"/>
      <w:marRight w:val="0"/>
      <w:marTop w:val="0"/>
      <w:marBottom w:val="0"/>
      <w:divBdr>
        <w:top w:val="none" w:sz="0" w:space="0" w:color="auto"/>
        <w:left w:val="none" w:sz="0" w:space="0" w:color="auto"/>
        <w:bottom w:val="none" w:sz="0" w:space="0" w:color="auto"/>
        <w:right w:val="none" w:sz="0" w:space="0" w:color="auto"/>
      </w:divBdr>
    </w:div>
    <w:div w:id="1401558872">
      <w:bodyDiv w:val="1"/>
      <w:marLeft w:val="0"/>
      <w:marRight w:val="0"/>
      <w:marTop w:val="0"/>
      <w:marBottom w:val="0"/>
      <w:divBdr>
        <w:top w:val="none" w:sz="0" w:space="0" w:color="auto"/>
        <w:left w:val="none" w:sz="0" w:space="0" w:color="auto"/>
        <w:bottom w:val="none" w:sz="0" w:space="0" w:color="auto"/>
        <w:right w:val="none" w:sz="0" w:space="0" w:color="auto"/>
      </w:divBdr>
    </w:div>
    <w:div w:id="18372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doi.org/10.1787/9789264234833-en" TargetMode="External"/><Relationship Id="rId3" Type="http://schemas.openxmlformats.org/officeDocument/2006/relationships/hyperlink" Target="https://www.pc.gov.au/inquiries/current/school-agreement/call-for-submissions" TargetMode="External"/><Relationship Id="rId7" Type="http://schemas.openxmlformats.org/officeDocument/2006/relationships/hyperlink" Target="https://www.oecd-ilibrary.org/sites/d5849abb-en/index.html?itemId=/content/component/d5849abb-en" TargetMode="External"/><Relationship Id="rId12" Type="http://schemas.openxmlformats.org/officeDocument/2006/relationships/hyperlink" Target="https://www.dese.gov.au/school-funding/resources/review-funding-schooling-final-report-december-2011" TargetMode="External"/><Relationship Id="rId2" Type="http://schemas.openxmlformats.org/officeDocument/2006/relationships/hyperlink" Target="https://www.dese.gov.au/quality-schools-package/resources/school-quality-australia-exploring-drivers-student-outcomes-and-links-practice-and-schooling-quality" TargetMode="External"/><Relationship Id="rId1" Type="http://schemas.openxmlformats.org/officeDocument/2006/relationships/hyperlink" Target="https://www.dese.gov.au/download/12568/national-school-reform-agreement-2020-annual-report-progress-implementing-national-policy/23709/document/pdf/en" TargetMode="External"/><Relationship Id="rId6" Type="http://schemas.openxmlformats.org/officeDocument/2006/relationships/hyperlink" Target="https://www.oecd-ilibrary.org/sites/d5849abb-en/index.html?itemId=/content/component/d5849abb-en" TargetMode="External"/><Relationship Id="rId11" Type="http://schemas.openxmlformats.org/officeDocument/2006/relationships/hyperlink" Target="https://doi.org/10.1177%2F2096531120913039" TargetMode="External"/><Relationship Id="rId5" Type="http://schemas.openxmlformats.org/officeDocument/2006/relationships/hyperlink" Target="https://www.anao.gov.au/sites/default/files/Auditor-General_Report_2020-21_37.pdf" TargetMode="External"/><Relationship Id="rId10" Type="http://schemas.openxmlformats.org/officeDocument/2006/relationships/hyperlink" Target="https://www.dese.gov.au/download/3942/economic-impact-improving-school-quality/5819/document/docx/en" TargetMode="External"/><Relationship Id="rId4" Type="http://schemas.openxmlformats.org/officeDocument/2006/relationships/hyperlink" Target="https://www.oecd-ilibrary.org/education/does-money-buy-strong-performance-in-pisa_5k9fhmfzc4xx-en" TargetMode="External"/><Relationship Id="rId9" Type="http://schemas.openxmlformats.org/officeDocument/2006/relationships/hyperlink" Target="https://www.nber.org/system/files/working_papers/w20847/w2084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2d1e3ab41a975cbf23396220de364355">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ba734a2c7161c4af6b9278660b1a4b70"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0A323-9F4A-4AAD-B23A-57D7C4596913}">
  <ds:schemaRefs>
    <ds:schemaRef ds:uri="http://purl.org/dc/elements/1.1/"/>
    <ds:schemaRef ds:uri="http://schemas.microsoft.com/office/2006/documentManagement/types"/>
    <ds:schemaRef ds:uri="http://schemas.microsoft.com/office/2006/metadata/properties"/>
    <ds:schemaRef ds:uri="8863fef4-a928-4b42-80f7-22702e616c5c"/>
    <ds:schemaRef ds:uri="http://schemas.openxmlformats.org/package/2006/metadata/core-properties"/>
    <ds:schemaRef ds:uri="52167780-d458-4e20-a521-cd369a511d6e"/>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5688E160-1A97-4BE5-B71E-3E98A445FFB4}">
  <ds:schemaRefs>
    <ds:schemaRef ds:uri="http://schemas.microsoft.com/sharepoint/v3/contenttype/forms"/>
  </ds:schemaRefs>
</ds:datastoreItem>
</file>

<file path=customXml/itemProps3.xml><?xml version="1.0" encoding="utf-8"?>
<ds:datastoreItem xmlns:ds="http://schemas.openxmlformats.org/officeDocument/2006/customXml" ds:itemID="{3414E321-3E18-42EF-A0E6-393F811C6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AA8A16-48DE-4A96-8DF2-2E2EAE41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3345</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Submission 22 - National School Resourcing Board - National School Reform Agreement - Commissioned study</vt:lpstr>
    </vt:vector>
  </TitlesOfParts>
  <Company>National School Resourcing Board</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22 - National School Resourcing Board - National School Reform Agreement - Commissioned study</dc:title>
  <dc:subject/>
  <dc:creator>National School Resourcing Board</dc:creator>
  <cp:keywords/>
  <dc:description/>
  <cp:lastModifiedBy>Alston, Chris</cp:lastModifiedBy>
  <cp:revision>3</cp:revision>
  <cp:lastPrinted>2022-05-18T00:43:00Z</cp:lastPrinted>
  <dcterms:created xsi:type="dcterms:W3CDTF">2022-06-21T01:46:00Z</dcterms:created>
  <dcterms:modified xsi:type="dcterms:W3CDTF">2022-06-21T04:17:00Z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2022-05-10T06:32:08Z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38fa241e-7441-4c41-bed8-16b74d3f16cd</vt:lpwstr>
  </property>
  <property fmtid="{D5CDD505-2E9C-101B-9397-08002B2CF9AE}" pid="8" name="MSIP_Label_79d889eb-932f-4752-8739-64d25806ef64_ContentBits">
    <vt:lpwstr>0</vt:lpwstr>
  </property>
  <property fmtid="{D5CDD505-2E9C-101B-9397-08002B2CF9AE}" pid="9" name="ContentTypeId">
    <vt:lpwstr>0x010100BA39D53A6EC3464A8EC21955720B744F</vt:lpwstr>
  </property>
  <property fmtid="{D5CDD505-2E9C-101B-9397-08002B2CF9AE}" pid="10" name="RevIMBCS">
    <vt:lpwstr>1;#Unclassified|3955eeb1-2d18-4582-aeb2-00144ec3aaf5</vt:lpwstr>
  </property>
</Properties>
</file>