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959" w:rsidRPr="00C407ED" w:rsidRDefault="00E41959" w:rsidP="00E41959">
      <w:pPr>
        <w:jc w:val="center"/>
        <w:rPr>
          <w:rFonts w:cs="Arial"/>
          <w:lang w:val="en-US"/>
        </w:rPr>
      </w:pPr>
      <w:bookmarkStart w:id="0" w:name="_GoBack"/>
      <w:bookmarkEnd w:id="0"/>
    </w:p>
    <w:p w:rsidR="00E41959" w:rsidRPr="00C407ED" w:rsidRDefault="00E41959" w:rsidP="00E41959">
      <w:pPr>
        <w:jc w:val="center"/>
        <w:rPr>
          <w:rFonts w:cs="Arial"/>
          <w:lang w:val="en-US"/>
        </w:rPr>
      </w:pPr>
    </w:p>
    <w:p w:rsidR="00E41959" w:rsidRPr="00AB6E10" w:rsidRDefault="00E41959" w:rsidP="00E41959">
      <w:pPr>
        <w:jc w:val="center"/>
        <w:rPr>
          <w:rFonts w:cs="Arial"/>
          <w:b/>
          <w:sz w:val="24"/>
          <w:lang w:val="en-US"/>
        </w:rPr>
      </w:pPr>
      <w:r w:rsidRPr="00AB6E10">
        <w:rPr>
          <w:rFonts w:cs="Arial"/>
          <w:b/>
          <w:sz w:val="24"/>
          <w:lang w:val="en-US"/>
        </w:rPr>
        <w:t>Australian Government Productivity Commission</w:t>
      </w:r>
    </w:p>
    <w:p w:rsidR="00E41959" w:rsidRPr="00C407ED" w:rsidRDefault="00E41959" w:rsidP="00E41959">
      <w:pPr>
        <w:jc w:val="center"/>
        <w:rPr>
          <w:rFonts w:cs="Arial"/>
          <w:b/>
          <w:lang w:val="en-US"/>
        </w:rPr>
      </w:pPr>
    </w:p>
    <w:p w:rsidR="00E41959" w:rsidRPr="00C407ED" w:rsidRDefault="00E41959" w:rsidP="00E41959">
      <w:pPr>
        <w:jc w:val="center"/>
        <w:rPr>
          <w:rFonts w:cs="Arial"/>
          <w:b/>
          <w:sz w:val="24"/>
          <w:lang w:val="en-US"/>
        </w:rPr>
      </w:pPr>
      <w:r w:rsidRPr="00C407ED">
        <w:rPr>
          <w:rFonts w:cs="Arial"/>
          <w:b/>
          <w:sz w:val="24"/>
          <w:lang w:val="en-US"/>
        </w:rPr>
        <w:t>Inquiry into the National Education Evidence Base</w:t>
      </w:r>
    </w:p>
    <w:p w:rsidR="00E41959" w:rsidRPr="00C407ED" w:rsidRDefault="00E41959" w:rsidP="00E41959">
      <w:pPr>
        <w:jc w:val="center"/>
        <w:rPr>
          <w:rFonts w:cs="Arial"/>
          <w:b/>
          <w:sz w:val="24"/>
          <w:lang w:val="en-US"/>
        </w:rPr>
      </w:pPr>
    </w:p>
    <w:p w:rsidR="00E41959" w:rsidRPr="00C407ED" w:rsidRDefault="00E41959" w:rsidP="00E41959">
      <w:pPr>
        <w:jc w:val="center"/>
        <w:rPr>
          <w:rFonts w:cs="Arial"/>
          <w:b/>
          <w:sz w:val="24"/>
          <w:lang w:val="en-US"/>
        </w:rPr>
      </w:pPr>
    </w:p>
    <w:p w:rsidR="00E41959" w:rsidRPr="00C407ED" w:rsidRDefault="00E41959" w:rsidP="00E41959">
      <w:pPr>
        <w:jc w:val="center"/>
        <w:rPr>
          <w:rFonts w:cs="Arial"/>
          <w:b/>
          <w:sz w:val="28"/>
          <w:lang w:val="en-US"/>
        </w:rPr>
      </w:pPr>
      <w:r w:rsidRPr="00C407ED">
        <w:rPr>
          <w:rFonts w:cs="Arial"/>
          <w:b/>
          <w:sz w:val="28"/>
          <w:lang w:val="en-US"/>
        </w:rPr>
        <w:t>Northern Territory Government submission</w:t>
      </w:r>
    </w:p>
    <w:p w:rsidR="00E41959" w:rsidRPr="00C407ED" w:rsidRDefault="00E41959" w:rsidP="00E41959">
      <w:pPr>
        <w:jc w:val="center"/>
        <w:rPr>
          <w:rFonts w:cs="Arial"/>
          <w:b/>
          <w:sz w:val="24"/>
          <w:lang w:val="en-US"/>
        </w:rPr>
      </w:pPr>
    </w:p>
    <w:p w:rsidR="00E41959" w:rsidRPr="00C407ED" w:rsidRDefault="00E41959" w:rsidP="00E41959">
      <w:pPr>
        <w:jc w:val="center"/>
        <w:rPr>
          <w:rFonts w:cs="Arial"/>
          <w:b/>
          <w:sz w:val="24"/>
          <w:lang w:val="en-US"/>
        </w:rPr>
      </w:pPr>
      <w:r w:rsidRPr="00C407ED">
        <w:rPr>
          <w:rFonts w:cs="Arial"/>
          <w:b/>
          <w:sz w:val="24"/>
          <w:lang w:val="en-US"/>
        </w:rPr>
        <w:t>June 2016</w:t>
      </w:r>
    </w:p>
    <w:p w:rsidR="00E41959" w:rsidRPr="00C407ED" w:rsidRDefault="00E41959" w:rsidP="00E41959">
      <w:pPr>
        <w:jc w:val="center"/>
        <w:rPr>
          <w:rFonts w:cs="Arial"/>
          <w:b/>
          <w:sz w:val="24"/>
          <w:lang w:val="en-US"/>
        </w:rPr>
      </w:pPr>
    </w:p>
    <w:p w:rsidR="00670DC1" w:rsidRPr="00670DC1" w:rsidRDefault="00806CAF" w:rsidP="00670DC1">
      <w:pPr>
        <w:tabs>
          <w:tab w:val="right" w:pos="9044"/>
        </w:tabs>
        <w:autoSpaceDE w:val="0"/>
        <w:autoSpaceDN w:val="0"/>
        <w:adjustRightInd w:val="0"/>
        <w:spacing w:before="120"/>
        <w:rPr>
          <w:rFonts w:cs="Arial"/>
          <w:b/>
          <w:sz w:val="28"/>
        </w:rPr>
      </w:pPr>
      <w:r>
        <w:rPr>
          <w:rFonts w:cs="Arial"/>
          <w:b/>
          <w:sz w:val="28"/>
        </w:rPr>
        <w:t>Executive s</w:t>
      </w:r>
      <w:r w:rsidR="00670DC1">
        <w:rPr>
          <w:rFonts w:cs="Arial"/>
          <w:b/>
          <w:sz w:val="28"/>
        </w:rPr>
        <w:t xml:space="preserve">ummary </w:t>
      </w:r>
    </w:p>
    <w:p w:rsidR="00CE7735" w:rsidRDefault="00E41959" w:rsidP="00CE7735">
      <w:pPr>
        <w:autoSpaceDE w:val="0"/>
        <w:autoSpaceDN w:val="0"/>
        <w:adjustRightInd w:val="0"/>
        <w:spacing w:before="120"/>
        <w:rPr>
          <w:rFonts w:cs="Arial"/>
          <w:sz w:val="24"/>
        </w:rPr>
      </w:pPr>
      <w:r w:rsidRPr="00C407ED">
        <w:rPr>
          <w:rFonts w:cs="Arial"/>
          <w:sz w:val="24"/>
        </w:rPr>
        <w:t xml:space="preserve">The Northern Territory </w:t>
      </w:r>
      <w:r w:rsidR="00C407ED">
        <w:rPr>
          <w:rFonts w:cs="Arial"/>
          <w:sz w:val="24"/>
        </w:rPr>
        <w:t>Government</w:t>
      </w:r>
      <w:r w:rsidRPr="00C407ED">
        <w:rPr>
          <w:rFonts w:cs="Arial"/>
          <w:sz w:val="24"/>
        </w:rPr>
        <w:t xml:space="preserve"> welcomes the opportunity to provide a submission to the</w:t>
      </w:r>
      <w:r w:rsidR="00C407ED">
        <w:rPr>
          <w:rFonts w:cs="Arial"/>
          <w:sz w:val="24"/>
        </w:rPr>
        <w:t xml:space="preserve"> Productivity Commission</w:t>
      </w:r>
      <w:r w:rsidRPr="00C407ED">
        <w:rPr>
          <w:rFonts w:cs="Arial"/>
          <w:sz w:val="24"/>
        </w:rPr>
        <w:t xml:space="preserve"> Inquiry into the National Education Evidence Base</w:t>
      </w:r>
      <w:r w:rsidR="00C407ED">
        <w:rPr>
          <w:rFonts w:cs="Arial"/>
          <w:sz w:val="24"/>
        </w:rPr>
        <w:t>. The i</w:t>
      </w:r>
      <w:r w:rsidRPr="00C407ED">
        <w:rPr>
          <w:rFonts w:cs="Arial"/>
          <w:sz w:val="24"/>
        </w:rPr>
        <w:t>nquiry provides a timely opportunity to reflect on the national education evidence base and the challenges associated with sourcing and reporting comprehensive and consistent data to underpin and inform policy development and educ</w:t>
      </w:r>
      <w:r w:rsidR="007B17FC">
        <w:rPr>
          <w:rFonts w:cs="Arial"/>
          <w:sz w:val="24"/>
        </w:rPr>
        <w:t>ational outcomes for children.</w:t>
      </w:r>
    </w:p>
    <w:p w:rsidR="00E41959" w:rsidRDefault="00CE7735" w:rsidP="00E41959">
      <w:pPr>
        <w:autoSpaceDE w:val="0"/>
        <w:autoSpaceDN w:val="0"/>
        <w:adjustRightInd w:val="0"/>
        <w:spacing w:before="120"/>
        <w:rPr>
          <w:rFonts w:cs="Arial"/>
          <w:sz w:val="24"/>
        </w:rPr>
      </w:pPr>
      <w:r w:rsidRPr="00C407ED">
        <w:rPr>
          <w:rFonts w:cs="Arial"/>
          <w:sz w:val="24"/>
        </w:rPr>
        <w:t>The</w:t>
      </w:r>
      <w:r>
        <w:rPr>
          <w:rFonts w:cs="Arial"/>
          <w:sz w:val="24"/>
        </w:rPr>
        <w:t xml:space="preserve"> Northern Territory’s</w:t>
      </w:r>
      <w:r w:rsidRPr="00C407ED">
        <w:rPr>
          <w:rFonts w:cs="Arial"/>
          <w:sz w:val="24"/>
        </w:rPr>
        <w:t xml:space="preserve"> submission </w:t>
      </w:r>
      <w:r>
        <w:rPr>
          <w:rFonts w:cs="Arial"/>
          <w:sz w:val="24"/>
        </w:rPr>
        <w:t>covers</w:t>
      </w:r>
      <w:r w:rsidRPr="00C407ED">
        <w:rPr>
          <w:rFonts w:cs="Arial"/>
          <w:sz w:val="24"/>
        </w:rPr>
        <w:t xml:space="preserve"> three </w:t>
      </w:r>
      <w:r>
        <w:rPr>
          <w:rFonts w:cs="Arial"/>
          <w:sz w:val="24"/>
        </w:rPr>
        <w:t xml:space="preserve">key areas considered important to </w:t>
      </w:r>
      <w:r w:rsidR="00806CAF">
        <w:rPr>
          <w:rFonts w:cs="Arial"/>
          <w:sz w:val="24"/>
        </w:rPr>
        <w:t xml:space="preserve">the </w:t>
      </w:r>
      <w:r>
        <w:rPr>
          <w:rFonts w:cs="Arial"/>
          <w:sz w:val="24"/>
        </w:rPr>
        <w:t>development of the national education evidence base</w:t>
      </w:r>
      <w:r w:rsidR="0051061D">
        <w:rPr>
          <w:rFonts w:cs="Arial"/>
          <w:sz w:val="24"/>
        </w:rPr>
        <w:t xml:space="preserve">: </w:t>
      </w:r>
      <w:r>
        <w:rPr>
          <w:rFonts w:cs="Arial"/>
          <w:sz w:val="24"/>
        </w:rPr>
        <w:t>the strategic collection of education data</w:t>
      </w:r>
      <w:r w:rsidR="0051061D">
        <w:rPr>
          <w:rFonts w:cs="Arial"/>
          <w:sz w:val="24"/>
        </w:rPr>
        <w:t>;</w:t>
      </w:r>
      <w:r w:rsidRPr="00C407ED">
        <w:rPr>
          <w:rFonts w:cs="Arial"/>
          <w:sz w:val="24"/>
        </w:rPr>
        <w:t xml:space="preserve"> governance</w:t>
      </w:r>
      <w:r w:rsidR="0051061D">
        <w:rPr>
          <w:rFonts w:cs="Arial"/>
          <w:sz w:val="24"/>
        </w:rPr>
        <w:t xml:space="preserve"> of national data systems;</w:t>
      </w:r>
      <w:r>
        <w:rPr>
          <w:rFonts w:cs="Arial"/>
          <w:sz w:val="24"/>
        </w:rPr>
        <w:t xml:space="preserve"> and </w:t>
      </w:r>
      <w:r w:rsidR="00AB6E10">
        <w:rPr>
          <w:rFonts w:cs="Arial"/>
          <w:sz w:val="24"/>
        </w:rPr>
        <w:t xml:space="preserve">the </w:t>
      </w:r>
      <w:r>
        <w:rPr>
          <w:rFonts w:cs="Arial"/>
          <w:sz w:val="24"/>
        </w:rPr>
        <w:t>capacity</w:t>
      </w:r>
      <w:r w:rsidR="00AB6E10">
        <w:rPr>
          <w:rFonts w:cs="Arial"/>
          <w:sz w:val="24"/>
        </w:rPr>
        <w:t xml:space="preserve"> of all education systems to contribute and</w:t>
      </w:r>
      <w:r w:rsidR="0051061D">
        <w:rPr>
          <w:rFonts w:cs="Arial"/>
          <w:sz w:val="24"/>
        </w:rPr>
        <w:t xml:space="preserve"> engage at an appropriate level</w:t>
      </w:r>
      <w:r w:rsidRPr="00C407ED">
        <w:rPr>
          <w:rFonts w:cs="Arial"/>
          <w:sz w:val="24"/>
        </w:rPr>
        <w:t>.</w:t>
      </w:r>
    </w:p>
    <w:p w:rsidR="00212EFB" w:rsidRDefault="00670DC1" w:rsidP="00212EFB">
      <w:pPr>
        <w:tabs>
          <w:tab w:val="right" w:pos="9044"/>
        </w:tabs>
        <w:autoSpaceDE w:val="0"/>
        <w:autoSpaceDN w:val="0"/>
        <w:adjustRightInd w:val="0"/>
        <w:spacing w:before="120"/>
        <w:rPr>
          <w:rFonts w:cs="Arial"/>
          <w:sz w:val="24"/>
        </w:rPr>
      </w:pPr>
      <w:r>
        <w:rPr>
          <w:rFonts w:cs="Arial"/>
          <w:sz w:val="24"/>
        </w:rPr>
        <w:t xml:space="preserve">As detailed </w:t>
      </w:r>
      <w:r w:rsidR="008D7E65">
        <w:rPr>
          <w:rFonts w:cs="Arial"/>
          <w:sz w:val="24"/>
        </w:rPr>
        <w:t>below</w:t>
      </w:r>
      <w:r>
        <w:rPr>
          <w:rFonts w:cs="Arial"/>
          <w:sz w:val="24"/>
        </w:rPr>
        <w:t>, t</w:t>
      </w:r>
      <w:r w:rsidR="00212EFB">
        <w:rPr>
          <w:rFonts w:cs="Arial"/>
          <w:sz w:val="24"/>
        </w:rPr>
        <w:t>he No</w:t>
      </w:r>
      <w:r w:rsidR="00806CAF">
        <w:rPr>
          <w:rFonts w:cs="Arial"/>
          <w:sz w:val="24"/>
        </w:rPr>
        <w:t xml:space="preserve">rthern Territory considers </w:t>
      </w:r>
      <w:r w:rsidR="00212EFB">
        <w:rPr>
          <w:rFonts w:cs="Arial"/>
          <w:sz w:val="24"/>
        </w:rPr>
        <w:t>there are opportunities to take a more strategic approach to data reform and development of the national</w:t>
      </w:r>
      <w:r w:rsidR="00806CAF">
        <w:rPr>
          <w:rFonts w:cs="Arial"/>
          <w:sz w:val="24"/>
        </w:rPr>
        <w:t xml:space="preserve"> education evidence base. Opportunities </w:t>
      </w:r>
      <w:r w:rsidR="00212EFB">
        <w:rPr>
          <w:rFonts w:cs="Arial"/>
          <w:sz w:val="24"/>
        </w:rPr>
        <w:t xml:space="preserve">include the development of a National Data Strategy and National Data Agreement between school sectors and jurisdictions, to provide a strong and coherent national reform direction. National approaches should also focus on capacity building and ensuring the efficacy of data. Alongside this, strengthening research standards and practice in the education sector will support continued development of a high quality evidence base. </w:t>
      </w:r>
    </w:p>
    <w:p w:rsidR="00E41959" w:rsidRPr="00C407ED" w:rsidRDefault="00E41959" w:rsidP="00E41959">
      <w:pPr>
        <w:tabs>
          <w:tab w:val="right" w:pos="9044"/>
        </w:tabs>
        <w:autoSpaceDE w:val="0"/>
        <w:autoSpaceDN w:val="0"/>
        <w:adjustRightInd w:val="0"/>
        <w:spacing w:before="120"/>
        <w:rPr>
          <w:rFonts w:cs="Arial"/>
          <w:b/>
          <w:sz w:val="28"/>
        </w:rPr>
      </w:pPr>
      <w:r w:rsidRPr="00C407ED">
        <w:rPr>
          <w:rFonts w:cs="Arial"/>
          <w:b/>
          <w:sz w:val="28"/>
        </w:rPr>
        <w:t>Strategic collection of education data</w:t>
      </w:r>
    </w:p>
    <w:p w:rsidR="00E41959" w:rsidRPr="00C407ED" w:rsidRDefault="00E41959" w:rsidP="00E41959">
      <w:pPr>
        <w:autoSpaceDE w:val="0"/>
        <w:autoSpaceDN w:val="0"/>
        <w:adjustRightInd w:val="0"/>
        <w:spacing w:before="120"/>
        <w:rPr>
          <w:rFonts w:cs="Arial"/>
          <w:sz w:val="24"/>
        </w:rPr>
      </w:pPr>
      <w:r w:rsidRPr="00C407ED">
        <w:rPr>
          <w:rFonts w:cs="Arial"/>
          <w:sz w:val="24"/>
        </w:rPr>
        <w:t xml:space="preserve">A vast amount of </w:t>
      </w:r>
      <w:r w:rsidR="00AB6E10">
        <w:rPr>
          <w:rFonts w:cs="Arial"/>
          <w:sz w:val="24"/>
        </w:rPr>
        <w:t xml:space="preserve">education-related </w:t>
      </w:r>
      <w:r w:rsidRPr="00C407ED">
        <w:rPr>
          <w:rFonts w:cs="Arial"/>
          <w:sz w:val="24"/>
        </w:rPr>
        <w:t xml:space="preserve">data is currently collected by states, territories and education systems, however not all this data is currently used to inform teaching practice </w:t>
      </w:r>
      <w:r w:rsidR="00EE05A9">
        <w:rPr>
          <w:rFonts w:cs="Arial"/>
          <w:sz w:val="24"/>
        </w:rPr>
        <w:t>and/</w:t>
      </w:r>
      <w:r w:rsidRPr="00C407ED">
        <w:rPr>
          <w:rFonts w:cs="Arial"/>
          <w:sz w:val="24"/>
        </w:rPr>
        <w:t xml:space="preserve">or </w:t>
      </w:r>
      <w:r w:rsidR="00466410">
        <w:rPr>
          <w:rFonts w:cs="Arial"/>
          <w:sz w:val="24"/>
        </w:rPr>
        <w:t xml:space="preserve">system and </w:t>
      </w:r>
      <w:r w:rsidRPr="00C407ED">
        <w:rPr>
          <w:rFonts w:cs="Arial"/>
          <w:sz w:val="24"/>
        </w:rPr>
        <w:t xml:space="preserve">policy development. </w:t>
      </w:r>
      <w:r w:rsidRPr="00C407ED">
        <w:rPr>
          <w:rFonts w:eastAsiaTheme="minorHAnsi" w:cs="Arial"/>
          <w:color w:val="000000"/>
          <w:sz w:val="24"/>
          <w:lang w:eastAsia="en-US"/>
        </w:rPr>
        <w:t xml:space="preserve">Despite considerable resources dedicated to data collection and analysis in recent years, </w:t>
      </w:r>
      <w:r w:rsidRPr="00C407ED">
        <w:rPr>
          <w:rFonts w:cs="Arial"/>
          <w:sz w:val="24"/>
        </w:rPr>
        <w:t>there remains significant scope to improve data</w:t>
      </w:r>
      <w:r w:rsidR="00466410">
        <w:rPr>
          <w:rFonts w:cs="Arial"/>
          <w:sz w:val="24"/>
        </w:rPr>
        <w:t xml:space="preserve"> </w:t>
      </w:r>
      <w:r w:rsidRPr="00C407ED">
        <w:rPr>
          <w:rFonts w:cs="Arial"/>
          <w:sz w:val="24"/>
        </w:rPr>
        <w:t>quality, access,</w:t>
      </w:r>
      <w:r w:rsidR="0051061D">
        <w:rPr>
          <w:rFonts w:cs="Arial"/>
          <w:sz w:val="24"/>
        </w:rPr>
        <w:t xml:space="preserve"> efficacy and relevance for end </w:t>
      </w:r>
      <w:r w:rsidRPr="00C407ED">
        <w:rPr>
          <w:rFonts w:cs="Arial"/>
          <w:sz w:val="24"/>
        </w:rPr>
        <w:t xml:space="preserve">users. </w:t>
      </w:r>
    </w:p>
    <w:p w:rsidR="00EE05A9" w:rsidRDefault="00E41959" w:rsidP="00E41959">
      <w:pPr>
        <w:autoSpaceDE w:val="0"/>
        <w:autoSpaceDN w:val="0"/>
        <w:adjustRightInd w:val="0"/>
        <w:spacing w:before="120"/>
        <w:rPr>
          <w:rFonts w:cs="Arial"/>
          <w:sz w:val="24"/>
        </w:rPr>
      </w:pPr>
      <w:r w:rsidRPr="00C407ED">
        <w:rPr>
          <w:rFonts w:eastAsiaTheme="minorHAnsi" w:cs="Arial"/>
          <w:color w:val="000000"/>
          <w:sz w:val="24"/>
          <w:lang w:eastAsia="en-US"/>
        </w:rPr>
        <w:t xml:space="preserve">In considering </w:t>
      </w:r>
      <w:r w:rsidR="0051061D">
        <w:rPr>
          <w:rFonts w:eastAsiaTheme="minorHAnsi" w:cs="Arial"/>
          <w:color w:val="000000"/>
          <w:sz w:val="24"/>
          <w:lang w:eastAsia="en-US"/>
        </w:rPr>
        <w:t>further development of the</w:t>
      </w:r>
      <w:r w:rsidRPr="00C407ED">
        <w:rPr>
          <w:rFonts w:eastAsiaTheme="minorHAnsi" w:cs="Arial"/>
          <w:color w:val="000000"/>
          <w:sz w:val="24"/>
          <w:lang w:eastAsia="en-US"/>
        </w:rPr>
        <w:t xml:space="preserve"> national evidence base</w:t>
      </w:r>
      <w:r w:rsidR="0051061D">
        <w:rPr>
          <w:rFonts w:eastAsiaTheme="minorHAnsi" w:cs="Arial"/>
          <w:color w:val="000000"/>
          <w:sz w:val="24"/>
          <w:lang w:eastAsia="en-US"/>
        </w:rPr>
        <w:t xml:space="preserve"> for school and early childhood education</w:t>
      </w:r>
      <w:r w:rsidRPr="00C407ED">
        <w:rPr>
          <w:rFonts w:eastAsiaTheme="minorHAnsi" w:cs="Arial"/>
          <w:color w:val="000000"/>
          <w:sz w:val="24"/>
          <w:lang w:eastAsia="en-US"/>
        </w:rPr>
        <w:t>, there is a need to consider what</w:t>
      </w:r>
      <w:r w:rsidR="00EE05A9">
        <w:rPr>
          <w:rFonts w:eastAsiaTheme="minorHAnsi" w:cs="Arial"/>
          <w:color w:val="000000"/>
          <w:sz w:val="24"/>
          <w:lang w:eastAsia="en-US"/>
        </w:rPr>
        <w:t xml:space="preserve"> such an evidence base</w:t>
      </w:r>
      <w:r w:rsidRPr="00C407ED">
        <w:rPr>
          <w:rFonts w:eastAsiaTheme="minorHAnsi" w:cs="Arial"/>
          <w:color w:val="000000"/>
          <w:sz w:val="24"/>
          <w:lang w:eastAsia="en-US"/>
        </w:rPr>
        <w:t xml:space="preserve"> will be used for, how it will be governed and accessed, and </w:t>
      </w:r>
      <w:r w:rsidR="00AB6E10">
        <w:rPr>
          <w:rFonts w:eastAsiaTheme="minorHAnsi" w:cs="Arial"/>
          <w:color w:val="000000"/>
          <w:sz w:val="24"/>
          <w:lang w:eastAsia="en-US"/>
        </w:rPr>
        <w:t>its strategic objectives</w:t>
      </w:r>
      <w:r w:rsidRPr="00C407ED">
        <w:rPr>
          <w:rFonts w:eastAsiaTheme="minorHAnsi" w:cs="Arial"/>
          <w:color w:val="000000"/>
          <w:sz w:val="24"/>
          <w:lang w:eastAsia="en-US"/>
        </w:rPr>
        <w:t xml:space="preserve">. </w:t>
      </w:r>
      <w:r w:rsidR="00AB6E10">
        <w:rPr>
          <w:rFonts w:cs="Arial"/>
          <w:sz w:val="24"/>
        </w:rPr>
        <w:t>L</w:t>
      </w:r>
      <w:r w:rsidRPr="00C407ED">
        <w:rPr>
          <w:rFonts w:cs="Arial"/>
          <w:sz w:val="24"/>
        </w:rPr>
        <w:t xml:space="preserve">ack </w:t>
      </w:r>
      <w:r w:rsidRPr="005C13A9">
        <w:rPr>
          <w:rFonts w:cs="Arial"/>
          <w:sz w:val="24"/>
        </w:rPr>
        <w:t xml:space="preserve">of </w:t>
      </w:r>
      <w:r w:rsidR="00AB6E10" w:rsidRPr="005C13A9">
        <w:rPr>
          <w:rFonts w:cs="Arial"/>
          <w:sz w:val="24"/>
        </w:rPr>
        <w:t xml:space="preserve">a </w:t>
      </w:r>
      <w:r w:rsidRPr="005C13A9">
        <w:rPr>
          <w:rFonts w:cs="Arial"/>
          <w:sz w:val="24"/>
        </w:rPr>
        <w:t>collective u</w:t>
      </w:r>
      <w:r w:rsidR="0051061D">
        <w:rPr>
          <w:rFonts w:cs="Arial"/>
          <w:sz w:val="24"/>
        </w:rPr>
        <w:t xml:space="preserve">nderstanding and definition of </w:t>
      </w:r>
      <w:r w:rsidRPr="005C13A9">
        <w:rPr>
          <w:rFonts w:cs="Arial"/>
          <w:sz w:val="24"/>
        </w:rPr>
        <w:t xml:space="preserve"> national </w:t>
      </w:r>
      <w:r w:rsidR="005C13A9" w:rsidRPr="005C13A9">
        <w:rPr>
          <w:rFonts w:cs="Arial"/>
          <w:sz w:val="24"/>
        </w:rPr>
        <w:t>data priorities</w:t>
      </w:r>
      <w:r w:rsidRPr="005C13A9">
        <w:rPr>
          <w:rFonts w:cs="Arial"/>
          <w:sz w:val="24"/>
        </w:rPr>
        <w:t xml:space="preserve"> means that</w:t>
      </w:r>
      <w:r w:rsidR="005C13A9" w:rsidRPr="005C13A9">
        <w:rPr>
          <w:rFonts w:cs="Arial"/>
          <w:sz w:val="24"/>
        </w:rPr>
        <w:t>,</w:t>
      </w:r>
      <w:r w:rsidRPr="005C13A9">
        <w:rPr>
          <w:rFonts w:cs="Arial"/>
          <w:sz w:val="24"/>
        </w:rPr>
        <w:t xml:space="preserve"> in many cases</w:t>
      </w:r>
      <w:r w:rsidR="005C13A9" w:rsidRPr="005C13A9">
        <w:rPr>
          <w:rFonts w:cs="Arial"/>
          <w:sz w:val="24"/>
        </w:rPr>
        <w:t xml:space="preserve">, </w:t>
      </w:r>
      <w:r w:rsidRPr="005C13A9">
        <w:rPr>
          <w:rFonts w:cs="Arial"/>
          <w:sz w:val="24"/>
        </w:rPr>
        <w:t>national data projects are guided by</w:t>
      </w:r>
      <w:r w:rsidR="005C13A9" w:rsidRPr="005C13A9">
        <w:rPr>
          <w:rFonts w:cs="Arial"/>
          <w:sz w:val="24"/>
        </w:rPr>
        <w:t xml:space="preserve"> or responsive to</w:t>
      </w:r>
      <w:r w:rsidRPr="005C13A9">
        <w:rPr>
          <w:rFonts w:cs="Arial"/>
          <w:sz w:val="24"/>
        </w:rPr>
        <w:t xml:space="preserve"> </w:t>
      </w:r>
      <w:r w:rsidR="005C13A9" w:rsidRPr="005C13A9">
        <w:rPr>
          <w:rFonts w:cs="Arial"/>
          <w:sz w:val="24"/>
        </w:rPr>
        <w:t xml:space="preserve">a range of </w:t>
      </w:r>
      <w:r w:rsidR="005C13A9">
        <w:rPr>
          <w:rFonts w:cs="Arial"/>
          <w:sz w:val="24"/>
        </w:rPr>
        <w:t xml:space="preserve">education </w:t>
      </w:r>
      <w:r w:rsidR="008328DF">
        <w:rPr>
          <w:rFonts w:cs="Arial"/>
          <w:sz w:val="24"/>
        </w:rPr>
        <w:t>policies and strategies</w:t>
      </w:r>
      <w:r w:rsidRPr="005C13A9">
        <w:rPr>
          <w:rFonts w:cs="Arial"/>
          <w:sz w:val="24"/>
        </w:rPr>
        <w:t xml:space="preserve"> (such as </w:t>
      </w:r>
      <w:r w:rsidR="008328DF">
        <w:rPr>
          <w:rFonts w:cs="Arial"/>
          <w:sz w:val="24"/>
        </w:rPr>
        <w:t>in the areas of school attendance or workforce development</w:t>
      </w:r>
      <w:r w:rsidRPr="005C13A9">
        <w:rPr>
          <w:rFonts w:cs="Arial"/>
          <w:sz w:val="24"/>
        </w:rPr>
        <w:t>)</w:t>
      </w:r>
      <w:r w:rsidR="005C13A9" w:rsidRPr="005C13A9">
        <w:rPr>
          <w:rFonts w:cs="Arial"/>
          <w:sz w:val="24"/>
        </w:rPr>
        <w:t xml:space="preserve"> without an overarching data-specific framework</w:t>
      </w:r>
      <w:r w:rsidRPr="005C13A9">
        <w:rPr>
          <w:rFonts w:cs="Arial"/>
          <w:sz w:val="24"/>
        </w:rPr>
        <w:t>.</w:t>
      </w:r>
      <w:r w:rsidRPr="00C407ED">
        <w:rPr>
          <w:rFonts w:cs="Arial"/>
          <w:sz w:val="24"/>
        </w:rPr>
        <w:t xml:space="preserve"> </w:t>
      </w:r>
    </w:p>
    <w:p w:rsidR="00E41959" w:rsidRPr="00C407ED" w:rsidRDefault="00E41959" w:rsidP="00E41959">
      <w:pPr>
        <w:autoSpaceDE w:val="0"/>
        <w:autoSpaceDN w:val="0"/>
        <w:adjustRightInd w:val="0"/>
        <w:spacing w:before="120"/>
        <w:rPr>
          <w:rFonts w:eastAsiaTheme="minorHAnsi" w:cs="Arial"/>
          <w:color w:val="000000"/>
          <w:sz w:val="24"/>
          <w:lang w:eastAsia="en-US"/>
        </w:rPr>
      </w:pPr>
      <w:r w:rsidRPr="00C407ED">
        <w:rPr>
          <w:rFonts w:cs="Arial"/>
          <w:sz w:val="24"/>
        </w:rPr>
        <w:lastRenderedPageBreak/>
        <w:t xml:space="preserve">There is a need to consider and identify </w:t>
      </w:r>
      <w:r w:rsidR="00AB6E10">
        <w:rPr>
          <w:rFonts w:cs="Arial"/>
          <w:sz w:val="24"/>
        </w:rPr>
        <w:t xml:space="preserve">specific </w:t>
      </w:r>
      <w:r w:rsidRPr="00C407ED">
        <w:rPr>
          <w:rFonts w:cs="Arial"/>
          <w:sz w:val="24"/>
        </w:rPr>
        <w:t>national data priorities</w:t>
      </w:r>
      <w:r w:rsidR="001F7ACF">
        <w:rPr>
          <w:rFonts w:cs="Arial"/>
          <w:sz w:val="24"/>
        </w:rPr>
        <w:t>,</w:t>
      </w:r>
      <w:r w:rsidR="00AB6E10">
        <w:rPr>
          <w:rFonts w:cs="Arial"/>
          <w:sz w:val="24"/>
        </w:rPr>
        <w:t xml:space="preserve"> </w:t>
      </w:r>
      <w:r w:rsidR="0051061D">
        <w:rPr>
          <w:rFonts w:cs="Arial"/>
          <w:sz w:val="24"/>
        </w:rPr>
        <w:t>aligned with</w:t>
      </w:r>
      <w:r w:rsidR="001F7ACF">
        <w:rPr>
          <w:rFonts w:cs="Arial"/>
          <w:sz w:val="24"/>
        </w:rPr>
        <w:t xml:space="preserve"> national policies and strategies</w:t>
      </w:r>
      <w:r w:rsidRPr="00C407ED">
        <w:rPr>
          <w:rFonts w:cs="Arial"/>
          <w:sz w:val="24"/>
        </w:rPr>
        <w:t>, including consideration of any new data or linkage required, while being cognisant of the differing requirements and circumstances of systems and jurisdictions.</w:t>
      </w:r>
    </w:p>
    <w:p w:rsidR="00466410" w:rsidRDefault="00466410" w:rsidP="00E41959">
      <w:pPr>
        <w:autoSpaceDE w:val="0"/>
        <w:autoSpaceDN w:val="0"/>
        <w:adjustRightInd w:val="0"/>
        <w:spacing w:before="120"/>
        <w:rPr>
          <w:rFonts w:cs="Arial"/>
          <w:sz w:val="24"/>
        </w:rPr>
      </w:pPr>
      <w:r>
        <w:rPr>
          <w:rFonts w:eastAsiaTheme="minorHAnsi" w:cs="Arial"/>
          <w:color w:val="000000"/>
          <w:sz w:val="24"/>
          <w:u w:val="single"/>
          <w:lang w:eastAsia="en-US"/>
        </w:rPr>
        <w:t>Northern Territory</w:t>
      </w:r>
      <w:r w:rsidR="00806CAF">
        <w:rPr>
          <w:rFonts w:eastAsiaTheme="minorHAnsi" w:cs="Arial"/>
          <w:color w:val="000000"/>
          <w:sz w:val="24"/>
          <w:u w:val="single"/>
          <w:lang w:eastAsia="en-US"/>
        </w:rPr>
        <w:t xml:space="preserve"> c</w:t>
      </w:r>
      <w:r w:rsidR="00DE6D39">
        <w:rPr>
          <w:rFonts w:eastAsiaTheme="minorHAnsi" w:cs="Arial"/>
          <w:color w:val="000000"/>
          <w:sz w:val="24"/>
          <w:u w:val="single"/>
          <w:lang w:eastAsia="en-US"/>
        </w:rPr>
        <w:t xml:space="preserve">ontext </w:t>
      </w:r>
    </w:p>
    <w:p w:rsidR="00CE7735" w:rsidRDefault="00AB6E10" w:rsidP="00AB6E10">
      <w:pPr>
        <w:autoSpaceDE w:val="0"/>
        <w:autoSpaceDN w:val="0"/>
        <w:adjustRightInd w:val="0"/>
        <w:spacing w:before="120"/>
        <w:rPr>
          <w:rFonts w:cs="Arial"/>
          <w:sz w:val="24"/>
        </w:rPr>
      </w:pPr>
      <w:r>
        <w:rPr>
          <w:rFonts w:cs="Arial"/>
          <w:sz w:val="24"/>
        </w:rPr>
        <w:t>T</w:t>
      </w:r>
      <w:r w:rsidR="00CE7735" w:rsidRPr="00C407ED">
        <w:rPr>
          <w:rFonts w:cs="Arial"/>
          <w:sz w:val="24"/>
        </w:rPr>
        <w:t>here are a number of unique con</w:t>
      </w:r>
      <w:r w:rsidR="00806CAF">
        <w:rPr>
          <w:rFonts w:cs="Arial"/>
          <w:sz w:val="24"/>
        </w:rPr>
        <w:t>textual factors that</w:t>
      </w:r>
      <w:r w:rsidR="00CE7735" w:rsidRPr="00C407ED">
        <w:rPr>
          <w:rFonts w:cs="Arial"/>
          <w:sz w:val="24"/>
        </w:rPr>
        <w:t xml:space="preserve"> influence </w:t>
      </w:r>
      <w:r w:rsidR="00DE6D39">
        <w:rPr>
          <w:rFonts w:cs="Arial"/>
          <w:sz w:val="24"/>
        </w:rPr>
        <w:t xml:space="preserve">student achievement and data quality, and </w:t>
      </w:r>
      <w:r w:rsidR="00CE7735" w:rsidRPr="00C407ED">
        <w:rPr>
          <w:rFonts w:cs="Arial"/>
          <w:sz w:val="24"/>
        </w:rPr>
        <w:t>the development of a robust evidence base</w:t>
      </w:r>
      <w:r w:rsidR="00CE7735">
        <w:rPr>
          <w:rFonts w:cs="Arial"/>
          <w:sz w:val="24"/>
        </w:rPr>
        <w:t xml:space="preserve"> in</w:t>
      </w:r>
      <w:r w:rsidR="00CE7735" w:rsidRPr="00C407ED">
        <w:rPr>
          <w:rFonts w:cs="Arial"/>
          <w:sz w:val="24"/>
        </w:rPr>
        <w:t xml:space="preserve"> the </w:t>
      </w:r>
      <w:r w:rsidR="00CE7735">
        <w:rPr>
          <w:rFonts w:cs="Arial"/>
          <w:sz w:val="24"/>
        </w:rPr>
        <w:t>Northern Territory</w:t>
      </w:r>
      <w:r w:rsidR="00CE7735" w:rsidRPr="00C407ED">
        <w:rPr>
          <w:rFonts w:cs="Arial"/>
          <w:sz w:val="24"/>
        </w:rPr>
        <w:t xml:space="preserve">. </w:t>
      </w:r>
    </w:p>
    <w:p w:rsidR="004B7AF1" w:rsidRPr="004B7AF1" w:rsidRDefault="00E41959" w:rsidP="00E41959">
      <w:pPr>
        <w:tabs>
          <w:tab w:val="right" w:pos="9044"/>
        </w:tabs>
        <w:autoSpaceDE w:val="0"/>
        <w:autoSpaceDN w:val="0"/>
        <w:adjustRightInd w:val="0"/>
        <w:spacing w:before="120"/>
        <w:rPr>
          <w:rFonts w:cs="Arial"/>
          <w:sz w:val="24"/>
        </w:rPr>
      </w:pPr>
      <w:r w:rsidRPr="004B7AF1">
        <w:rPr>
          <w:rFonts w:cs="Arial"/>
          <w:sz w:val="24"/>
        </w:rPr>
        <w:t xml:space="preserve">The </w:t>
      </w:r>
      <w:r w:rsidR="00DE6D39" w:rsidRPr="004B7AF1">
        <w:rPr>
          <w:rFonts w:cs="Arial"/>
          <w:sz w:val="24"/>
        </w:rPr>
        <w:t>Northern Territory</w:t>
      </w:r>
      <w:r w:rsidRPr="004B7AF1">
        <w:rPr>
          <w:rFonts w:cs="Arial"/>
          <w:sz w:val="24"/>
        </w:rPr>
        <w:t xml:space="preserve"> has one of the most socio-economically disadvantaged and geographically dispersed populations in Australia. </w:t>
      </w:r>
      <w:r w:rsidR="004B7AF1" w:rsidRPr="004B7AF1">
        <w:rPr>
          <w:rFonts w:cs="Arial"/>
          <w:sz w:val="24"/>
        </w:rPr>
        <w:t xml:space="preserve">Australian Early Development Census (AEDC) results for 2015 continue to show high levels of vulnerability among children in the </w:t>
      </w:r>
      <w:r w:rsidR="00806CAF">
        <w:rPr>
          <w:rFonts w:cs="Arial"/>
          <w:sz w:val="24"/>
        </w:rPr>
        <w:t xml:space="preserve">Northern </w:t>
      </w:r>
      <w:r w:rsidR="004B7AF1" w:rsidRPr="004B7AF1">
        <w:rPr>
          <w:rFonts w:cs="Arial"/>
          <w:sz w:val="24"/>
        </w:rPr>
        <w:t xml:space="preserve">Territory, with 37 per cent of children developmentally vulnerable on one or more domains, compared with 22 per cent nationally. </w:t>
      </w:r>
    </w:p>
    <w:p w:rsidR="00DE6D39" w:rsidRDefault="00DE6D39" w:rsidP="00E41959">
      <w:pPr>
        <w:tabs>
          <w:tab w:val="right" w:pos="9044"/>
        </w:tabs>
        <w:autoSpaceDE w:val="0"/>
        <w:autoSpaceDN w:val="0"/>
        <w:adjustRightInd w:val="0"/>
        <w:spacing w:before="120"/>
        <w:rPr>
          <w:rFonts w:cs="Arial"/>
          <w:sz w:val="24"/>
        </w:rPr>
      </w:pPr>
      <w:r w:rsidRPr="004B7AF1">
        <w:rPr>
          <w:rFonts w:cs="Arial"/>
          <w:sz w:val="24"/>
        </w:rPr>
        <w:t xml:space="preserve">In </w:t>
      </w:r>
      <w:r w:rsidR="004B7AF1" w:rsidRPr="004B7AF1">
        <w:rPr>
          <w:rFonts w:cs="Arial"/>
          <w:sz w:val="24"/>
        </w:rPr>
        <w:t>2015</w:t>
      </w:r>
      <w:r w:rsidRPr="004B7AF1">
        <w:rPr>
          <w:rFonts w:cs="Arial"/>
          <w:sz w:val="24"/>
        </w:rPr>
        <w:t>,</w:t>
      </w:r>
      <w:r w:rsidR="004B7AF1" w:rsidRPr="004B7AF1">
        <w:rPr>
          <w:rFonts w:cs="Arial"/>
          <w:sz w:val="24"/>
        </w:rPr>
        <w:t xml:space="preserve"> the average</w:t>
      </w:r>
      <w:r w:rsidRPr="004B7AF1">
        <w:rPr>
          <w:rFonts w:cs="Arial"/>
          <w:sz w:val="24"/>
        </w:rPr>
        <w:t xml:space="preserve"> Index of Community Socio-Educational Advantage (ICSEA) </w:t>
      </w:r>
      <w:r w:rsidR="00E41959" w:rsidRPr="004B7AF1">
        <w:rPr>
          <w:rFonts w:cs="Arial"/>
          <w:sz w:val="24"/>
        </w:rPr>
        <w:t xml:space="preserve">scores </w:t>
      </w:r>
      <w:r w:rsidR="004B7AF1" w:rsidRPr="004B7AF1">
        <w:rPr>
          <w:rFonts w:cs="Arial"/>
          <w:sz w:val="24"/>
        </w:rPr>
        <w:t>for Northern Territory Government schools was 758 compared to the national average of 1000.</w:t>
      </w:r>
      <w:r w:rsidR="00E41959" w:rsidRPr="004B7AF1">
        <w:rPr>
          <w:rFonts w:cs="Arial"/>
          <w:sz w:val="24"/>
        </w:rPr>
        <w:t xml:space="preserve"> Around 44 per cent of </w:t>
      </w:r>
      <w:r w:rsidRPr="004B7AF1">
        <w:rPr>
          <w:rFonts w:cs="Arial"/>
          <w:sz w:val="24"/>
        </w:rPr>
        <w:t>Northern Territory school</w:t>
      </w:r>
      <w:r w:rsidR="00E41959" w:rsidRPr="004B7AF1">
        <w:rPr>
          <w:rFonts w:cs="Arial"/>
          <w:sz w:val="24"/>
        </w:rPr>
        <w:t xml:space="preserve"> students live in remote or very remote communities</w:t>
      </w:r>
      <w:r w:rsidR="004B7AF1" w:rsidRPr="004B7AF1">
        <w:rPr>
          <w:rFonts w:cs="Arial"/>
          <w:sz w:val="24"/>
        </w:rPr>
        <w:t>, compared to 2 per cent nationally</w:t>
      </w:r>
      <w:r w:rsidR="00E41959" w:rsidRPr="004B7AF1">
        <w:rPr>
          <w:rFonts w:cs="Arial"/>
          <w:sz w:val="24"/>
        </w:rPr>
        <w:t>, with a clear correlation between levels of remoteness and lo</w:t>
      </w:r>
      <w:r w:rsidR="000C638F" w:rsidRPr="004B7AF1">
        <w:rPr>
          <w:rFonts w:cs="Arial"/>
          <w:sz w:val="24"/>
        </w:rPr>
        <w:t>w student attendance</w:t>
      </w:r>
      <w:r w:rsidR="000C638F">
        <w:rPr>
          <w:rFonts w:cs="Arial"/>
          <w:sz w:val="24"/>
        </w:rPr>
        <w:t xml:space="preserve">. Additionally, </w:t>
      </w:r>
      <w:r>
        <w:rPr>
          <w:rFonts w:cs="Arial"/>
          <w:sz w:val="24"/>
        </w:rPr>
        <w:t>o</w:t>
      </w:r>
      <w:r w:rsidR="004B7AF1">
        <w:rPr>
          <w:rFonts w:cs="Arial"/>
          <w:sz w:val="24"/>
        </w:rPr>
        <w:t>ver one</w:t>
      </w:r>
      <w:r w:rsidR="00E41959" w:rsidRPr="00C407ED">
        <w:rPr>
          <w:rFonts w:cs="Arial"/>
          <w:sz w:val="24"/>
        </w:rPr>
        <w:t xml:space="preserve"> third of students spea</w:t>
      </w:r>
      <w:r w:rsidR="00806CAF">
        <w:rPr>
          <w:rFonts w:cs="Arial"/>
          <w:sz w:val="24"/>
        </w:rPr>
        <w:t>k English as a second language —</w:t>
      </w:r>
      <w:r w:rsidR="00E41959" w:rsidRPr="00C407ED">
        <w:rPr>
          <w:rFonts w:cs="Arial"/>
          <w:sz w:val="24"/>
        </w:rPr>
        <w:t xml:space="preserve"> the highest percentage in the country. </w:t>
      </w:r>
    </w:p>
    <w:p w:rsidR="00E41959" w:rsidRPr="000003AA" w:rsidRDefault="00EC38CE" w:rsidP="00E41959">
      <w:pPr>
        <w:tabs>
          <w:tab w:val="right" w:pos="9044"/>
        </w:tabs>
        <w:autoSpaceDE w:val="0"/>
        <w:autoSpaceDN w:val="0"/>
        <w:adjustRightInd w:val="0"/>
        <w:spacing w:before="120"/>
        <w:rPr>
          <w:rFonts w:cs="Arial"/>
          <w:sz w:val="24"/>
        </w:rPr>
      </w:pPr>
      <w:r>
        <w:rPr>
          <w:rFonts w:cs="Arial"/>
          <w:sz w:val="24"/>
        </w:rPr>
        <w:t>This unique context</w:t>
      </w:r>
      <w:r w:rsidR="00E41959" w:rsidRPr="00C407ED">
        <w:rPr>
          <w:rFonts w:cs="Arial"/>
          <w:sz w:val="24"/>
        </w:rPr>
        <w:t xml:space="preserve"> results in significant challenges</w:t>
      </w:r>
      <w:r>
        <w:rPr>
          <w:rFonts w:cs="Arial"/>
          <w:sz w:val="24"/>
        </w:rPr>
        <w:t xml:space="preserve"> for the Northern Territory in further </w:t>
      </w:r>
      <w:r w:rsidRPr="000003AA">
        <w:rPr>
          <w:rFonts w:cs="Arial"/>
          <w:sz w:val="24"/>
        </w:rPr>
        <w:t>developing the education evidence base</w:t>
      </w:r>
      <w:r w:rsidR="00E41959" w:rsidRPr="000003AA">
        <w:rPr>
          <w:rFonts w:cs="Arial"/>
          <w:sz w:val="24"/>
        </w:rPr>
        <w:t xml:space="preserve"> including: </w:t>
      </w:r>
    </w:p>
    <w:p w:rsidR="00E41959" w:rsidRPr="007F36AC" w:rsidRDefault="00E41959" w:rsidP="00806CAF">
      <w:pPr>
        <w:pStyle w:val="ListParagraph"/>
        <w:numPr>
          <w:ilvl w:val="0"/>
          <w:numId w:val="22"/>
        </w:numPr>
        <w:tabs>
          <w:tab w:val="right" w:pos="9044"/>
        </w:tabs>
        <w:autoSpaceDE w:val="0"/>
        <w:autoSpaceDN w:val="0"/>
        <w:adjustRightInd w:val="0"/>
        <w:spacing w:before="120"/>
        <w:ind w:left="567" w:hanging="567"/>
        <w:rPr>
          <w:rFonts w:ascii="Lato" w:hAnsi="Lato" w:cs="Arial"/>
          <w:sz w:val="24"/>
        </w:rPr>
      </w:pPr>
      <w:r w:rsidRPr="007F36AC">
        <w:rPr>
          <w:rFonts w:ascii="Lato" w:hAnsi="Lato" w:cs="Arial"/>
          <w:sz w:val="24"/>
        </w:rPr>
        <w:t xml:space="preserve">development of a </w:t>
      </w:r>
      <w:r w:rsidRPr="007F36AC">
        <w:rPr>
          <w:rFonts w:ascii="Lato" w:hAnsi="Lato" w:cs="Arial"/>
          <w:color w:val="000000"/>
          <w:sz w:val="24"/>
        </w:rPr>
        <w:t xml:space="preserve">robust evidence base that is applicable to local contexts, </w:t>
      </w:r>
      <w:r w:rsidR="00DB4881" w:rsidRPr="007F36AC">
        <w:rPr>
          <w:rFonts w:ascii="Lato" w:hAnsi="Lato" w:cs="Arial"/>
          <w:color w:val="000000"/>
          <w:sz w:val="24"/>
        </w:rPr>
        <w:t xml:space="preserve">due to </w:t>
      </w:r>
      <w:r w:rsidR="005F50D4" w:rsidRPr="007F36AC">
        <w:rPr>
          <w:rFonts w:ascii="Lato" w:hAnsi="Lato" w:cs="Arial"/>
          <w:color w:val="000000"/>
          <w:sz w:val="24"/>
        </w:rPr>
        <w:t>small student numbers</w:t>
      </w:r>
      <w:r w:rsidR="00DB4881" w:rsidRPr="007F36AC">
        <w:rPr>
          <w:rFonts w:ascii="Lato" w:hAnsi="Lato" w:cs="Arial"/>
          <w:color w:val="000000"/>
          <w:sz w:val="24"/>
        </w:rPr>
        <w:t xml:space="preserve"> </w:t>
      </w:r>
      <w:r w:rsidR="005F50D4" w:rsidRPr="007F36AC">
        <w:rPr>
          <w:rFonts w:ascii="Lato" w:hAnsi="Lato" w:cs="Arial"/>
          <w:color w:val="000000"/>
          <w:sz w:val="24"/>
        </w:rPr>
        <w:t>and</w:t>
      </w:r>
      <w:r w:rsidRPr="007F36AC">
        <w:rPr>
          <w:rFonts w:ascii="Lato" w:hAnsi="Lato" w:cs="Arial"/>
          <w:color w:val="000000"/>
          <w:sz w:val="24"/>
        </w:rPr>
        <w:t xml:space="preserve"> highly mobile student populations</w:t>
      </w:r>
      <w:r w:rsidR="005F50D4" w:rsidRPr="007F36AC">
        <w:rPr>
          <w:rFonts w:ascii="Lato" w:hAnsi="Lato" w:cs="Arial"/>
          <w:color w:val="000000"/>
          <w:sz w:val="24"/>
        </w:rPr>
        <w:t xml:space="preserve"> in remote areas</w:t>
      </w:r>
    </w:p>
    <w:p w:rsidR="00E41959" w:rsidRPr="007F36AC" w:rsidRDefault="00E41959" w:rsidP="00806CAF">
      <w:pPr>
        <w:pStyle w:val="ListParagraph"/>
        <w:numPr>
          <w:ilvl w:val="0"/>
          <w:numId w:val="22"/>
        </w:numPr>
        <w:tabs>
          <w:tab w:val="right" w:pos="9044"/>
        </w:tabs>
        <w:autoSpaceDE w:val="0"/>
        <w:autoSpaceDN w:val="0"/>
        <w:adjustRightInd w:val="0"/>
        <w:spacing w:before="120"/>
        <w:ind w:left="567" w:hanging="567"/>
        <w:rPr>
          <w:rFonts w:ascii="Lato" w:hAnsi="Lato" w:cs="Arial"/>
          <w:sz w:val="24"/>
        </w:rPr>
      </w:pPr>
      <w:r w:rsidRPr="007F36AC">
        <w:rPr>
          <w:rFonts w:ascii="Lato" w:hAnsi="Lato" w:cs="Arial"/>
          <w:color w:val="000000"/>
          <w:sz w:val="24"/>
        </w:rPr>
        <w:t>accessibility</w:t>
      </w:r>
      <w:r w:rsidR="00FC006B">
        <w:rPr>
          <w:rFonts w:ascii="Lato" w:hAnsi="Lato" w:cs="Arial"/>
          <w:color w:val="000000"/>
          <w:sz w:val="24"/>
        </w:rPr>
        <w:t xml:space="preserve"> and analysis</w:t>
      </w:r>
      <w:r w:rsidRPr="007F36AC">
        <w:rPr>
          <w:rFonts w:ascii="Lato" w:hAnsi="Lato" w:cs="Arial"/>
          <w:color w:val="000000"/>
          <w:sz w:val="24"/>
        </w:rPr>
        <w:t xml:space="preserve"> of data to inform education</w:t>
      </w:r>
      <w:r w:rsidRPr="007F36AC">
        <w:rPr>
          <w:rFonts w:ascii="Lato" w:hAnsi="Lato" w:cs="Arial"/>
          <w:sz w:val="24"/>
        </w:rPr>
        <w:t xml:space="preserve"> policies, programs and curriculum focused on the diverse learner</w:t>
      </w:r>
      <w:r w:rsidRPr="007F36AC">
        <w:rPr>
          <w:rFonts w:ascii="Lato" w:hAnsi="Lato" w:cs="Arial"/>
          <w:color w:val="000000"/>
          <w:sz w:val="24"/>
        </w:rPr>
        <w:t xml:space="preserve"> needs</w:t>
      </w:r>
      <w:r w:rsidR="00187B82">
        <w:rPr>
          <w:rFonts w:ascii="Lato" w:hAnsi="Lato" w:cs="Arial"/>
          <w:color w:val="000000"/>
          <w:sz w:val="24"/>
        </w:rPr>
        <w:t xml:space="preserve"> of students in the Northern Territory</w:t>
      </w:r>
      <w:r w:rsidRPr="007F36AC">
        <w:rPr>
          <w:rFonts w:ascii="Lato" w:hAnsi="Lato" w:cs="Arial"/>
          <w:color w:val="000000"/>
          <w:sz w:val="24"/>
        </w:rPr>
        <w:t>.</w:t>
      </w:r>
    </w:p>
    <w:p w:rsidR="00E41959" w:rsidRPr="000003AA" w:rsidRDefault="00E41959" w:rsidP="00C407ED">
      <w:pPr>
        <w:autoSpaceDE w:val="0"/>
        <w:autoSpaceDN w:val="0"/>
        <w:adjustRightInd w:val="0"/>
        <w:spacing w:before="120"/>
        <w:rPr>
          <w:rFonts w:eastAsiaTheme="minorHAnsi" w:cs="Arial"/>
          <w:color w:val="000000"/>
          <w:sz w:val="24"/>
        </w:rPr>
      </w:pPr>
      <w:r w:rsidRPr="000003AA">
        <w:rPr>
          <w:rFonts w:eastAsiaTheme="minorHAnsi" w:cs="Arial"/>
          <w:color w:val="000000"/>
          <w:sz w:val="24"/>
        </w:rPr>
        <w:t xml:space="preserve">The </w:t>
      </w:r>
      <w:r w:rsidR="00DE6D39" w:rsidRPr="000003AA">
        <w:rPr>
          <w:rFonts w:eastAsiaTheme="minorHAnsi" w:cs="Arial"/>
          <w:color w:val="000000"/>
          <w:sz w:val="24"/>
        </w:rPr>
        <w:t>Northern Territory</w:t>
      </w:r>
      <w:r w:rsidRPr="000003AA">
        <w:rPr>
          <w:rFonts w:eastAsiaTheme="minorHAnsi" w:cs="Arial"/>
          <w:color w:val="000000"/>
          <w:sz w:val="24"/>
        </w:rPr>
        <w:t xml:space="preserve"> has found that national assessments and data collections are unable to accurately measure progress for very disadvantaged students. Building on John Hattie’s ‘Visible Lea</w:t>
      </w:r>
      <w:r w:rsidR="00AB6E10" w:rsidRPr="000003AA">
        <w:rPr>
          <w:rFonts w:eastAsiaTheme="minorHAnsi" w:cs="Arial"/>
          <w:color w:val="000000"/>
          <w:sz w:val="24"/>
        </w:rPr>
        <w:t>r</w:t>
      </w:r>
      <w:r w:rsidRPr="000003AA">
        <w:rPr>
          <w:rFonts w:eastAsiaTheme="minorHAnsi" w:cs="Arial"/>
          <w:color w:val="000000"/>
          <w:sz w:val="24"/>
        </w:rPr>
        <w:t>ning</w:t>
      </w:r>
      <w:r w:rsidR="00806CAF">
        <w:rPr>
          <w:rFonts w:eastAsiaTheme="minorHAnsi" w:cs="Arial"/>
          <w:color w:val="000000"/>
          <w:sz w:val="24"/>
        </w:rPr>
        <w:t>’ approach to measuring the effe</w:t>
      </w:r>
      <w:r w:rsidRPr="000003AA">
        <w:rPr>
          <w:rFonts w:eastAsiaTheme="minorHAnsi" w:cs="Arial"/>
          <w:color w:val="000000"/>
          <w:sz w:val="24"/>
        </w:rPr>
        <w:t>ct</w:t>
      </w:r>
      <w:r w:rsidR="00806CAF">
        <w:rPr>
          <w:rFonts w:eastAsiaTheme="minorHAnsi" w:cs="Arial"/>
          <w:color w:val="000000"/>
          <w:sz w:val="24"/>
        </w:rPr>
        <w:t>s</w:t>
      </w:r>
      <w:r w:rsidRPr="000003AA">
        <w:rPr>
          <w:rFonts w:eastAsiaTheme="minorHAnsi" w:cs="Arial"/>
          <w:color w:val="000000"/>
          <w:sz w:val="24"/>
        </w:rPr>
        <w:t xml:space="preserve"> of teaching and focusing on student progress rather than achievement, the </w:t>
      </w:r>
      <w:r w:rsidR="00C069B1" w:rsidRPr="000003AA">
        <w:rPr>
          <w:rFonts w:eastAsiaTheme="minorHAnsi" w:cs="Arial"/>
          <w:color w:val="000000"/>
          <w:sz w:val="24"/>
        </w:rPr>
        <w:t>Northern Territory Department of Education</w:t>
      </w:r>
      <w:r w:rsidRPr="000003AA">
        <w:rPr>
          <w:rFonts w:eastAsiaTheme="minorHAnsi" w:cs="Arial"/>
          <w:color w:val="000000"/>
          <w:sz w:val="24"/>
        </w:rPr>
        <w:t xml:space="preserve"> has implemented</w:t>
      </w:r>
      <w:r w:rsidR="00806CAF">
        <w:rPr>
          <w:rFonts w:eastAsiaTheme="minorHAnsi" w:cs="Arial"/>
          <w:color w:val="000000"/>
          <w:sz w:val="24"/>
        </w:rPr>
        <w:t xml:space="preserve"> Progressive Achievement Tests (PAT</w:t>
      </w:r>
      <w:r w:rsidRPr="000003AA">
        <w:rPr>
          <w:rFonts w:eastAsiaTheme="minorHAnsi" w:cs="Arial"/>
          <w:color w:val="000000"/>
          <w:sz w:val="24"/>
        </w:rPr>
        <w:t>) in order to develop a more accurate data picture of student learning in disadvantaged communities.</w:t>
      </w:r>
    </w:p>
    <w:p w:rsidR="00E41959" w:rsidRPr="000003AA" w:rsidRDefault="00E41959" w:rsidP="000D78C5">
      <w:pPr>
        <w:shd w:val="clear" w:color="auto" w:fill="F2F2F2" w:themeFill="background1" w:themeFillShade="F2"/>
        <w:tabs>
          <w:tab w:val="right" w:pos="9044"/>
        </w:tabs>
        <w:autoSpaceDE w:val="0"/>
        <w:autoSpaceDN w:val="0"/>
        <w:adjustRightInd w:val="0"/>
        <w:spacing w:before="120"/>
        <w:rPr>
          <w:rFonts w:cs="Arial"/>
          <w:sz w:val="24"/>
        </w:rPr>
      </w:pPr>
      <w:r w:rsidRPr="000003AA">
        <w:rPr>
          <w:rFonts w:cs="Arial"/>
          <w:i/>
          <w:sz w:val="24"/>
        </w:rPr>
        <w:t xml:space="preserve">Case study: PAT testing in the </w:t>
      </w:r>
      <w:r w:rsidR="00C069B1" w:rsidRPr="000003AA">
        <w:rPr>
          <w:rFonts w:cs="Arial"/>
          <w:i/>
          <w:sz w:val="24"/>
        </w:rPr>
        <w:t>Northern Territory</w:t>
      </w:r>
      <w:r w:rsidRPr="000003AA">
        <w:rPr>
          <w:rFonts w:cs="Arial"/>
          <w:i/>
          <w:sz w:val="24"/>
        </w:rPr>
        <w:t xml:space="preserve"> </w:t>
      </w:r>
    </w:p>
    <w:p w:rsidR="00E41959" w:rsidRPr="00C407ED" w:rsidRDefault="00E41959" w:rsidP="000D78C5">
      <w:pPr>
        <w:shd w:val="clear" w:color="auto" w:fill="F2F2F2" w:themeFill="background1" w:themeFillShade="F2"/>
        <w:tabs>
          <w:tab w:val="right" w:pos="9044"/>
        </w:tabs>
        <w:autoSpaceDE w:val="0"/>
        <w:autoSpaceDN w:val="0"/>
        <w:adjustRightInd w:val="0"/>
        <w:spacing w:before="120"/>
        <w:rPr>
          <w:rFonts w:cs="Arial"/>
          <w:sz w:val="24"/>
        </w:rPr>
      </w:pPr>
      <w:r w:rsidRPr="000003AA">
        <w:rPr>
          <w:rFonts w:cs="Arial"/>
          <w:sz w:val="24"/>
        </w:rPr>
        <w:t xml:space="preserve">The </w:t>
      </w:r>
      <w:r w:rsidR="00C069B1" w:rsidRPr="000003AA">
        <w:rPr>
          <w:rFonts w:cs="Arial"/>
          <w:sz w:val="24"/>
        </w:rPr>
        <w:t>Northern Territory</w:t>
      </w:r>
      <w:r w:rsidRPr="000003AA">
        <w:rPr>
          <w:rFonts w:cs="Arial"/>
          <w:sz w:val="24"/>
        </w:rPr>
        <w:t xml:space="preserve"> has a significant number of small remote schools with high student mobility and low attendance. </w:t>
      </w:r>
      <w:r w:rsidR="00BD6309">
        <w:rPr>
          <w:rFonts w:cs="Arial"/>
          <w:sz w:val="24"/>
        </w:rPr>
        <w:t xml:space="preserve">For many remote students, achieving NAPLAN year level norms </w:t>
      </w:r>
      <w:r w:rsidR="004255C9">
        <w:rPr>
          <w:rFonts w:cs="Arial"/>
          <w:sz w:val="24"/>
        </w:rPr>
        <w:t>is</w:t>
      </w:r>
      <w:r w:rsidR="00BD6309">
        <w:rPr>
          <w:rFonts w:cs="Arial"/>
          <w:sz w:val="24"/>
        </w:rPr>
        <w:t xml:space="preserve"> </w:t>
      </w:r>
      <w:r w:rsidRPr="000003AA">
        <w:rPr>
          <w:rFonts w:cs="Arial"/>
          <w:sz w:val="24"/>
        </w:rPr>
        <w:t>out of reach, resulting in an inaccurate measure of achievement and low student engagement in national tests. This makes collecting quality</w:t>
      </w:r>
      <w:r w:rsidRPr="00C407ED">
        <w:rPr>
          <w:rFonts w:cs="Arial"/>
          <w:sz w:val="24"/>
        </w:rPr>
        <w:t xml:space="preserve"> achievement data for the very remote Indigenous cohort difficult, as matched sample sizes are very small and data collected is volatile.</w:t>
      </w:r>
    </w:p>
    <w:p w:rsidR="00E41959" w:rsidRPr="00C407ED" w:rsidRDefault="00E41959" w:rsidP="000D78C5">
      <w:pPr>
        <w:shd w:val="clear" w:color="auto" w:fill="F2F2F2" w:themeFill="background1" w:themeFillShade="F2"/>
        <w:tabs>
          <w:tab w:val="right" w:pos="9044"/>
        </w:tabs>
        <w:autoSpaceDE w:val="0"/>
        <w:autoSpaceDN w:val="0"/>
        <w:adjustRightInd w:val="0"/>
        <w:spacing w:before="120"/>
        <w:rPr>
          <w:rFonts w:cs="Arial"/>
          <w:sz w:val="24"/>
        </w:rPr>
      </w:pPr>
      <w:r w:rsidRPr="00C407ED">
        <w:rPr>
          <w:rFonts w:cs="Arial"/>
          <w:sz w:val="24"/>
        </w:rPr>
        <w:t xml:space="preserve">In 2015, the </w:t>
      </w:r>
      <w:r w:rsidR="00C069B1">
        <w:rPr>
          <w:rFonts w:cs="Arial"/>
          <w:sz w:val="24"/>
        </w:rPr>
        <w:t>Northern Territory</w:t>
      </w:r>
      <w:r w:rsidRPr="00C407ED">
        <w:rPr>
          <w:rFonts w:cs="Arial"/>
          <w:sz w:val="24"/>
        </w:rPr>
        <w:t xml:space="preserve"> introduced PAT testing across all </w:t>
      </w:r>
      <w:r w:rsidR="00C069B1">
        <w:rPr>
          <w:rFonts w:cs="Arial"/>
          <w:sz w:val="24"/>
        </w:rPr>
        <w:t>Northern Territory</w:t>
      </w:r>
      <w:r w:rsidRPr="00C407ED">
        <w:rPr>
          <w:rFonts w:cs="Arial"/>
          <w:sz w:val="24"/>
        </w:rPr>
        <w:t xml:space="preserve"> </w:t>
      </w:r>
      <w:r w:rsidR="00C069B1">
        <w:rPr>
          <w:rFonts w:cs="Arial"/>
          <w:sz w:val="24"/>
        </w:rPr>
        <w:t xml:space="preserve">government </w:t>
      </w:r>
      <w:r w:rsidRPr="00C407ED">
        <w:rPr>
          <w:rFonts w:cs="Arial"/>
          <w:sz w:val="24"/>
        </w:rPr>
        <w:t>schools, which allows testing at each year level</w:t>
      </w:r>
      <w:r w:rsidR="00EC38CE">
        <w:rPr>
          <w:rFonts w:cs="Arial"/>
          <w:sz w:val="24"/>
        </w:rPr>
        <w:t xml:space="preserve"> twice per year, as well as</w:t>
      </w:r>
      <w:r w:rsidRPr="00C407ED">
        <w:rPr>
          <w:rFonts w:cs="Arial"/>
          <w:sz w:val="24"/>
        </w:rPr>
        <w:t xml:space="preserve"> </w:t>
      </w:r>
      <w:r w:rsidR="00806CAF">
        <w:rPr>
          <w:rFonts w:cs="Arial"/>
          <w:sz w:val="24"/>
        </w:rPr>
        <w:t>targeted test levels —</w:t>
      </w:r>
      <w:r w:rsidRPr="00C407ED">
        <w:rPr>
          <w:rFonts w:cs="Arial"/>
          <w:sz w:val="24"/>
        </w:rPr>
        <w:t xml:space="preserve"> aligning tests with student ability rather than year level. This has resulted in more students being tested, more students matched for gain measurement, and a big</w:t>
      </w:r>
      <w:r w:rsidR="00EC38CE">
        <w:rPr>
          <w:rFonts w:cs="Arial"/>
          <w:sz w:val="24"/>
        </w:rPr>
        <w:t>ger sample size to measure long-</w:t>
      </w:r>
      <w:r w:rsidRPr="00C407ED">
        <w:rPr>
          <w:rFonts w:cs="Arial"/>
          <w:sz w:val="24"/>
        </w:rPr>
        <w:t xml:space="preserve">term trends. </w:t>
      </w:r>
    </w:p>
    <w:p w:rsidR="00E41959" w:rsidRPr="00C407ED" w:rsidRDefault="00E41959" w:rsidP="000D78C5">
      <w:pPr>
        <w:shd w:val="clear" w:color="auto" w:fill="F2F2F2" w:themeFill="background1" w:themeFillShade="F2"/>
        <w:tabs>
          <w:tab w:val="right" w:pos="9044"/>
        </w:tabs>
        <w:autoSpaceDE w:val="0"/>
        <w:autoSpaceDN w:val="0"/>
        <w:adjustRightInd w:val="0"/>
        <w:spacing w:before="120"/>
        <w:rPr>
          <w:rFonts w:cs="Arial"/>
          <w:sz w:val="24"/>
        </w:rPr>
      </w:pPr>
      <w:r w:rsidRPr="00C407ED">
        <w:rPr>
          <w:rFonts w:cs="Arial"/>
          <w:sz w:val="24"/>
        </w:rPr>
        <w:lastRenderedPageBreak/>
        <w:t xml:space="preserve">PAT testing allows teachers to measure student progress and adjust </w:t>
      </w:r>
      <w:r w:rsidR="00EC38CE">
        <w:rPr>
          <w:rFonts w:cs="Arial"/>
          <w:sz w:val="24"/>
        </w:rPr>
        <w:t xml:space="preserve">their </w:t>
      </w:r>
      <w:r w:rsidRPr="00C407ED">
        <w:rPr>
          <w:rFonts w:cs="Arial"/>
          <w:sz w:val="24"/>
        </w:rPr>
        <w:t xml:space="preserve">practice to meet student need. Teachers, parents and schools have ready access to the test results, which enables detailed conversations with parents </w:t>
      </w:r>
      <w:r w:rsidR="00EC38CE">
        <w:rPr>
          <w:rFonts w:cs="Arial"/>
          <w:sz w:val="24"/>
        </w:rPr>
        <w:t>about</w:t>
      </w:r>
      <w:r w:rsidRPr="00C407ED">
        <w:rPr>
          <w:rFonts w:cs="Arial"/>
          <w:sz w:val="24"/>
        </w:rPr>
        <w:t xml:space="preserve"> students’ learning needs. PAT testing will also allow the department to progressively build a reliable and accurate measure of student achievement and progress for the highly disadvantaged student population.</w:t>
      </w:r>
    </w:p>
    <w:p w:rsidR="00E41959" w:rsidRPr="00C407ED" w:rsidRDefault="00E41959" w:rsidP="00E41959">
      <w:pPr>
        <w:tabs>
          <w:tab w:val="right" w:pos="9044"/>
        </w:tabs>
        <w:autoSpaceDE w:val="0"/>
        <w:autoSpaceDN w:val="0"/>
        <w:adjustRightInd w:val="0"/>
        <w:spacing w:before="120"/>
        <w:rPr>
          <w:rFonts w:cs="Arial"/>
          <w:sz w:val="24"/>
          <w:u w:val="single"/>
        </w:rPr>
      </w:pPr>
      <w:r w:rsidRPr="00C407ED">
        <w:rPr>
          <w:rFonts w:cs="Arial"/>
          <w:sz w:val="24"/>
          <w:u w:val="single"/>
        </w:rPr>
        <w:t>Recommendation</w:t>
      </w:r>
    </w:p>
    <w:p w:rsidR="00E41959" w:rsidRPr="00C407ED" w:rsidRDefault="00E41959" w:rsidP="00E41959">
      <w:pPr>
        <w:autoSpaceDE w:val="0"/>
        <w:autoSpaceDN w:val="0"/>
        <w:adjustRightInd w:val="0"/>
        <w:spacing w:before="120"/>
        <w:rPr>
          <w:rFonts w:cs="Arial"/>
          <w:sz w:val="24"/>
        </w:rPr>
      </w:pPr>
      <w:r w:rsidRPr="00C407ED">
        <w:rPr>
          <w:rFonts w:cs="Arial"/>
          <w:sz w:val="24"/>
        </w:rPr>
        <w:t xml:space="preserve">In considering the information required to </w:t>
      </w:r>
      <w:r w:rsidR="006E3354">
        <w:rPr>
          <w:rFonts w:cs="Arial"/>
          <w:sz w:val="24"/>
        </w:rPr>
        <w:t>further develop a</w:t>
      </w:r>
      <w:r w:rsidRPr="00C407ED">
        <w:rPr>
          <w:rFonts w:cs="Arial"/>
          <w:sz w:val="24"/>
        </w:rPr>
        <w:t xml:space="preserve"> comprehensive</w:t>
      </w:r>
      <w:r w:rsidR="006E3354">
        <w:rPr>
          <w:rFonts w:cs="Arial"/>
          <w:sz w:val="24"/>
        </w:rPr>
        <w:t>,</w:t>
      </w:r>
      <w:r w:rsidRPr="00C407ED">
        <w:rPr>
          <w:rFonts w:cs="Arial"/>
          <w:sz w:val="24"/>
        </w:rPr>
        <w:t xml:space="preserve"> </w:t>
      </w:r>
      <w:r w:rsidR="006E3354">
        <w:rPr>
          <w:rFonts w:cs="Arial"/>
          <w:sz w:val="24"/>
        </w:rPr>
        <w:t xml:space="preserve">national </w:t>
      </w:r>
      <w:r w:rsidRPr="00C407ED">
        <w:rPr>
          <w:rFonts w:cs="Arial"/>
          <w:sz w:val="24"/>
        </w:rPr>
        <w:t xml:space="preserve">evidence base, the </w:t>
      </w:r>
      <w:r w:rsidR="00C069B1">
        <w:rPr>
          <w:rFonts w:cs="Arial"/>
          <w:sz w:val="24"/>
        </w:rPr>
        <w:t>Northern Territory</w:t>
      </w:r>
      <w:r w:rsidRPr="00C407ED">
        <w:rPr>
          <w:rFonts w:cs="Arial"/>
          <w:sz w:val="24"/>
        </w:rPr>
        <w:t xml:space="preserve"> recommends the development of a </w:t>
      </w:r>
      <w:r w:rsidR="00806CAF">
        <w:rPr>
          <w:rFonts w:cs="Arial"/>
          <w:sz w:val="24"/>
        </w:rPr>
        <w:t>national d</w:t>
      </w:r>
      <w:r w:rsidRPr="00C069B1">
        <w:rPr>
          <w:rFonts w:cs="Arial"/>
          <w:sz w:val="24"/>
        </w:rPr>
        <w:t xml:space="preserve">ata </w:t>
      </w:r>
      <w:r w:rsidR="00806CAF">
        <w:rPr>
          <w:rFonts w:cs="Arial"/>
          <w:sz w:val="24"/>
        </w:rPr>
        <w:t>s</w:t>
      </w:r>
      <w:r w:rsidRPr="00C069B1">
        <w:rPr>
          <w:rFonts w:cs="Arial"/>
          <w:sz w:val="24"/>
        </w:rPr>
        <w:t>trategy</w:t>
      </w:r>
      <w:r w:rsidRPr="00C407ED">
        <w:rPr>
          <w:rFonts w:cs="Arial"/>
          <w:sz w:val="24"/>
        </w:rPr>
        <w:t xml:space="preserve"> through </w:t>
      </w:r>
      <w:r w:rsidR="006E3354">
        <w:rPr>
          <w:rFonts w:cs="Arial"/>
          <w:sz w:val="24"/>
        </w:rPr>
        <w:t>the</w:t>
      </w:r>
      <w:r w:rsidR="00CB2B6B">
        <w:rPr>
          <w:rFonts w:cs="Arial"/>
          <w:sz w:val="24"/>
        </w:rPr>
        <w:t xml:space="preserve"> Council of Australian Governments (COAG)</w:t>
      </w:r>
      <w:r w:rsidR="006E3354">
        <w:rPr>
          <w:rFonts w:cs="Arial"/>
          <w:sz w:val="24"/>
        </w:rPr>
        <w:t xml:space="preserve"> </w:t>
      </w:r>
      <w:r w:rsidR="00CB2B6B">
        <w:rPr>
          <w:rFonts w:cs="Arial"/>
          <w:sz w:val="24"/>
        </w:rPr>
        <w:t>Education Council.</w:t>
      </w:r>
    </w:p>
    <w:p w:rsidR="006D70F7" w:rsidRDefault="00AB6E10" w:rsidP="00E41959">
      <w:pPr>
        <w:autoSpaceDE w:val="0"/>
        <w:autoSpaceDN w:val="0"/>
        <w:adjustRightInd w:val="0"/>
        <w:spacing w:before="120"/>
        <w:rPr>
          <w:rFonts w:cs="Arial"/>
          <w:sz w:val="24"/>
        </w:rPr>
      </w:pPr>
      <w:r>
        <w:rPr>
          <w:rFonts w:cs="Arial"/>
          <w:sz w:val="24"/>
        </w:rPr>
        <w:t>A</w:t>
      </w:r>
      <w:r w:rsidR="00806CAF">
        <w:rPr>
          <w:rFonts w:cs="Arial"/>
          <w:sz w:val="24"/>
        </w:rPr>
        <w:t xml:space="preserve"> national data s</w:t>
      </w:r>
      <w:r w:rsidR="00E41959" w:rsidRPr="00C407ED">
        <w:rPr>
          <w:rFonts w:cs="Arial"/>
          <w:sz w:val="24"/>
        </w:rPr>
        <w:t>trategy would identify strategic goals and outline clear priorities for education data reform and analysis across jurisdict</w:t>
      </w:r>
      <w:r w:rsidR="00E12CA9">
        <w:rPr>
          <w:rFonts w:cs="Arial"/>
          <w:sz w:val="24"/>
        </w:rPr>
        <w:t>ions</w:t>
      </w:r>
      <w:r w:rsidR="00497CF0">
        <w:rPr>
          <w:rFonts w:cs="Arial"/>
          <w:sz w:val="24"/>
        </w:rPr>
        <w:t xml:space="preserve">, while </w:t>
      </w:r>
      <w:r w:rsidR="00E12CA9">
        <w:rPr>
          <w:rFonts w:cs="Arial"/>
          <w:sz w:val="24"/>
        </w:rPr>
        <w:t>retain</w:t>
      </w:r>
      <w:r w:rsidR="00497CF0">
        <w:rPr>
          <w:rFonts w:cs="Arial"/>
          <w:sz w:val="24"/>
        </w:rPr>
        <w:t>ing</w:t>
      </w:r>
      <w:r w:rsidR="00E12CA9">
        <w:rPr>
          <w:rFonts w:cs="Arial"/>
          <w:sz w:val="24"/>
        </w:rPr>
        <w:t xml:space="preserve"> </w:t>
      </w:r>
      <w:r w:rsidR="006D70F7">
        <w:rPr>
          <w:rFonts w:cs="Arial"/>
          <w:sz w:val="24"/>
        </w:rPr>
        <w:t xml:space="preserve">the </w:t>
      </w:r>
      <w:r w:rsidR="00E41959" w:rsidRPr="00C407ED">
        <w:rPr>
          <w:rFonts w:cs="Arial"/>
          <w:sz w:val="24"/>
        </w:rPr>
        <w:t xml:space="preserve">flexibility to </w:t>
      </w:r>
      <w:r w:rsidR="006D70F7">
        <w:rPr>
          <w:rFonts w:cs="Arial"/>
          <w:sz w:val="24"/>
        </w:rPr>
        <w:t>for</w:t>
      </w:r>
      <w:r w:rsidR="00E41959" w:rsidRPr="00C407ED">
        <w:rPr>
          <w:rFonts w:cs="Arial"/>
          <w:sz w:val="24"/>
        </w:rPr>
        <w:t xml:space="preserve"> local and system level requirements and priorities</w:t>
      </w:r>
      <w:r w:rsidR="006D70F7">
        <w:rPr>
          <w:rFonts w:cs="Arial"/>
          <w:sz w:val="24"/>
        </w:rPr>
        <w:t xml:space="preserve"> to be met</w:t>
      </w:r>
      <w:r w:rsidR="00497CF0">
        <w:rPr>
          <w:rFonts w:cs="Arial"/>
          <w:sz w:val="24"/>
        </w:rPr>
        <w:t>.</w:t>
      </w:r>
      <w:r w:rsidR="00E41959" w:rsidRPr="00C407ED">
        <w:rPr>
          <w:rFonts w:cs="Arial"/>
          <w:sz w:val="24"/>
        </w:rPr>
        <w:t xml:space="preserve"> </w:t>
      </w:r>
      <w:r w:rsidR="006D70F7">
        <w:rPr>
          <w:rFonts w:cs="Arial"/>
          <w:sz w:val="24"/>
        </w:rPr>
        <w:t>A national strategy</w:t>
      </w:r>
      <w:r w:rsidR="00E41959" w:rsidRPr="00C407ED">
        <w:rPr>
          <w:rFonts w:cs="Arial"/>
          <w:sz w:val="24"/>
        </w:rPr>
        <w:t xml:space="preserve"> would also reduc</w:t>
      </w:r>
      <w:r w:rsidR="006D70F7">
        <w:rPr>
          <w:rFonts w:cs="Arial"/>
          <w:sz w:val="24"/>
        </w:rPr>
        <w:t>e overlap and focus investment in this area.</w:t>
      </w:r>
    </w:p>
    <w:p w:rsidR="00E41959" w:rsidRPr="00C407ED" w:rsidRDefault="006D70F7" w:rsidP="00E41959">
      <w:pPr>
        <w:autoSpaceDE w:val="0"/>
        <w:autoSpaceDN w:val="0"/>
        <w:adjustRightInd w:val="0"/>
        <w:spacing w:before="120"/>
        <w:rPr>
          <w:rFonts w:cs="Arial"/>
          <w:sz w:val="24"/>
        </w:rPr>
      </w:pPr>
      <w:r>
        <w:rPr>
          <w:rFonts w:cs="Arial"/>
          <w:sz w:val="24"/>
        </w:rPr>
        <w:t>Data reforms that benefit end users</w:t>
      </w:r>
      <w:r w:rsidR="00806CAF">
        <w:rPr>
          <w:rFonts w:cs="Arial"/>
          <w:sz w:val="24"/>
        </w:rPr>
        <w:t xml:space="preserve"> — </w:t>
      </w:r>
      <w:r w:rsidR="00E41959" w:rsidRPr="00C407ED">
        <w:rPr>
          <w:rFonts w:cs="Arial"/>
          <w:sz w:val="24"/>
        </w:rPr>
        <w:t>schools, teac</w:t>
      </w:r>
      <w:r>
        <w:rPr>
          <w:rFonts w:cs="Arial"/>
          <w:sz w:val="24"/>
        </w:rPr>
        <w:t>hers, parents</w:t>
      </w:r>
      <w:r w:rsidR="001D4134">
        <w:rPr>
          <w:rFonts w:cs="Arial"/>
          <w:sz w:val="24"/>
        </w:rPr>
        <w:t>/carers</w:t>
      </w:r>
      <w:r w:rsidR="00806CAF">
        <w:rPr>
          <w:rFonts w:cs="Arial"/>
          <w:sz w:val="24"/>
        </w:rPr>
        <w:t xml:space="preserve"> and the community —</w:t>
      </w:r>
      <w:r>
        <w:rPr>
          <w:rFonts w:cs="Arial"/>
          <w:sz w:val="24"/>
        </w:rPr>
        <w:t xml:space="preserve"> should be given priority under a national strategy,</w:t>
      </w:r>
      <w:r w:rsidR="00E41959" w:rsidRPr="00C407ED">
        <w:rPr>
          <w:rFonts w:cs="Arial"/>
          <w:sz w:val="24"/>
        </w:rPr>
        <w:t xml:space="preserve"> as a way to ensure data collections support teaching practice and improved educational outcomes within the classroom.</w:t>
      </w:r>
    </w:p>
    <w:p w:rsidR="00E41959" w:rsidRPr="00C407ED" w:rsidRDefault="00E41959" w:rsidP="00C407ED">
      <w:pPr>
        <w:spacing w:before="240" w:after="200" w:line="276" w:lineRule="auto"/>
        <w:rPr>
          <w:rFonts w:cs="Arial"/>
          <w:b/>
          <w:sz w:val="28"/>
        </w:rPr>
      </w:pPr>
      <w:r w:rsidRPr="00C407ED">
        <w:rPr>
          <w:rFonts w:cs="Arial"/>
          <w:b/>
          <w:sz w:val="28"/>
        </w:rPr>
        <w:t>Governance</w:t>
      </w:r>
    </w:p>
    <w:p w:rsidR="00E41959" w:rsidRPr="00C407ED" w:rsidRDefault="00E41959" w:rsidP="00E41959">
      <w:pPr>
        <w:autoSpaceDE w:val="0"/>
        <w:autoSpaceDN w:val="0"/>
        <w:adjustRightInd w:val="0"/>
        <w:spacing w:before="120"/>
        <w:rPr>
          <w:rFonts w:eastAsiaTheme="minorHAnsi" w:cs="Arial"/>
          <w:color w:val="000000"/>
          <w:sz w:val="24"/>
          <w:lang w:eastAsia="en-US"/>
        </w:rPr>
      </w:pPr>
      <w:r w:rsidRPr="00C407ED">
        <w:rPr>
          <w:rFonts w:eastAsiaTheme="minorHAnsi" w:cs="Arial"/>
          <w:color w:val="000000"/>
          <w:sz w:val="24"/>
          <w:lang w:eastAsia="en-US"/>
        </w:rPr>
        <w:t xml:space="preserve">Clear governance arrangements around data collection, analysis and reporting are vital to their impact and usability. </w:t>
      </w:r>
      <w:r w:rsidR="00C65FAF" w:rsidRPr="00C407ED">
        <w:rPr>
          <w:rFonts w:eastAsiaTheme="minorHAnsi" w:cs="Arial"/>
          <w:color w:val="000000"/>
          <w:sz w:val="24"/>
          <w:lang w:eastAsia="en-US"/>
        </w:rPr>
        <w:t>Many of the current challenge</w:t>
      </w:r>
      <w:r w:rsidR="00C65FAF">
        <w:rPr>
          <w:rFonts w:eastAsiaTheme="minorHAnsi" w:cs="Arial"/>
          <w:color w:val="000000"/>
          <w:sz w:val="24"/>
          <w:lang w:eastAsia="en-US"/>
        </w:rPr>
        <w:t xml:space="preserve">s and </w:t>
      </w:r>
      <w:r w:rsidR="00C65FAF" w:rsidRPr="00C407ED">
        <w:rPr>
          <w:rFonts w:eastAsiaTheme="minorHAnsi" w:cs="Arial"/>
          <w:color w:val="000000"/>
          <w:sz w:val="24"/>
          <w:lang w:eastAsia="en-US"/>
        </w:rPr>
        <w:t xml:space="preserve">barriers </w:t>
      </w:r>
      <w:r w:rsidR="00C65FAF">
        <w:rPr>
          <w:rFonts w:eastAsiaTheme="minorHAnsi" w:cs="Arial"/>
          <w:color w:val="000000"/>
          <w:sz w:val="24"/>
          <w:lang w:eastAsia="en-US"/>
        </w:rPr>
        <w:t xml:space="preserve">to developing a national </w:t>
      </w:r>
      <w:r w:rsidR="00C65FAF" w:rsidRPr="00C407ED">
        <w:rPr>
          <w:rFonts w:eastAsiaTheme="minorHAnsi" w:cs="Arial"/>
          <w:color w:val="000000"/>
          <w:sz w:val="24"/>
          <w:lang w:eastAsia="en-US"/>
        </w:rPr>
        <w:t>education evidence base stem from the lack of clear national governance arrangements between jurisdictions and education systems.</w:t>
      </w:r>
    </w:p>
    <w:p w:rsidR="00E41959" w:rsidRPr="00C407ED" w:rsidRDefault="00806CAF" w:rsidP="00E41959">
      <w:pPr>
        <w:autoSpaceDE w:val="0"/>
        <w:autoSpaceDN w:val="0"/>
        <w:adjustRightInd w:val="0"/>
        <w:spacing w:before="120"/>
        <w:rPr>
          <w:rFonts w:eastAsiaTheme="minorHAnsi" w:cs="Arial"/>
          <w:color w:val="000000"/>
          <w:sz w:val="24"/>
          <w:u w:val="single"/>
          <w:lang w:eastAsia="en-US"/>
        </w:rPr>
      </w:pPr>
      <w:r>
        <w:rPr>
          <w:rFonts w:eastAsiaTheme="minorHAnsi" w:cs="Arial"/>
          <w:color w:val="000000"/>
          <w:sz w:val="24"/>
          <w:u w:val="single"/>
          <w:lang w:eastAsia="en-US"/>
        </w:rPr>
        <w:t>National data c</w:t>
      </w:r>
      <w:r w:rsidR="00E41959" w:rsidRPr="00C407ED">
        <w:rPr>
          <w:rFonts w:eastAsiaTheme="minorHAnsi" w:cs="Arial"/>
          <w:color w:val="000000"/>
          <w:sz w:val="24"/>
          <w:u w:val="single"/>
          <w:lang w:eastAsia="en-US"/>
        </w:rPr>
        <w:t xml:space="preserve">ollections </w:t>
      </w:r>
    </w:p>
    <w:p w:rsidR="00E41959" w:rsidRPr="00C407ED" w:rsidRDefault="00E41959" w:rsidP="00E41959">
      <w:pPr>
        <w:autoSpaceDE w:val="0"/>
        <w:autoSpaceDN w:val="0"/>
        <w:adjustRightInd w:val="0"/>
        <w:spacing w:before="120"/>
        <w:rPr>
          <w:rFonts w:cs="Arial"/>
          <w:sz w:val="24"/>
        </w:rPr>
      </w:pPr>
      <w:r w:rsidRPr="00C407ED">
        <w:rPr>
          <w:rFonts w:cs="Arial"/>
          <w:sz w:val="24"/>
        </w:rPr>
        <w:t xml:space="preserve">The </w:t>
      </w:r>
      <w:r w:rsidR="00C069B1">
        <w:rPr>
          <w:rFonts w:cs="Arial"/>
          <w:sz w:val="24"/>
        </w:rPr>
        <w:t>Northern Territory</w:t>
      </w:r>
      <w:r w:rsidRPr="00C407ED">
        <w:rPr>
          <w:rFonts w:cs="Arial"/>
          <w:sz w:val="24"/>
        </w:rPr>
        <w:t xml:space="preserve"> </w:t>
      </w:r>
      <w:r w:rsidR="00C069B1">
        <w:rPr>
          <w:rFonts w:cs="Arial"/>
          <w:sz w:val="24"/>
        </w:rPr>
        <w:t xml:space="preserve">Department of Education </w:t>
      </w:r>
      <w:r w:rsidRPr="00C407ED">
        <w:rPr>
          <w:rFonts w:cs="Arial"/>
          <w:sz w:val="24"/>
        </w:rPr>
        <w:t>participates in a number of national data collections throughout the year, including supplying data to the Australian Bureau of Statistics, the Productivity Commission and the Australian Curriculum, Assessment an</w:t>
      </w:r>
      <w:r w:rsidR="00C069B1">
        <w:rPr>
          <w:rFonts w:cs="Arial"/>
          <w:sz w:val="24"/>
        </w:rPr>
        <w:t xml:space="preserve">d Reporting Authority (ACARA). </w:t>
      </w:r>
      <w:r w:rsidRPr="00C407ED">
        <w:rPr>
          <w:rFonts w:cs="Arial"/>
          <w:sz w:val="24"/>
        </w:rPr>
        <w:t xml:space="preserve">In </w:t>
      </w:r>
      <w:r w:rsidR="001D4134">
        <w:rPr>
          <w:rFonts w:cs="Arial"/>
          <w:sz w:val="24"/>
        </w:rPr>
        <w:t>reviewing</w:t>
      </w:r>
      <w:r w:rsidRPr="00C407ED">
        <w:rPr>
          <w:rFonts w:cs="Arial"/>
          <w:sz w:val="24"/>
        </w:rPr>
        <w:t xml:space="preserve"> the effectiveness of national data holdings there is a need to consider the current scope, definitions, business rules, timeframes, reporting purposes of existing </w:t>
      </w:r>
      <w:r w:rsidR="001D4134">
        <w:rPr>
          <w:rFonts w:cs="Arial"/>
          <w:sz w:val="24"/>
        </w:rPr>
        <w:t xml:space="preserve">national </w:t>
      </w:r>
      <w:r w:rsidRPr="00C407ED">
        <w:rPr>
          <w:rFonts w:cs="Arial"/>
          <w:sz w:val="24"/>
        </w:rPr>
        <w:t>data collections.</w:t>
      </w:r>
    </w:p>
    <w:p w:rsidR="00C069B1" w:rsidRDefault="00E41959" w:rsidP="00E41959">
      <w:pPr>
        <w:autoSpaceDE w:val="0"/>
        <w:autoSpaceDN w:val="0"/>
        <w:adjustRightInd w:val="0"/>
        <w:spacing w:before="120"/>
        <w:rPr>
          <w:rFonts w:cs="Arial"/>
          <w:sz w:val="24"/>
        </w:rPr>
      </w:pPr>
      <w:r w:rsidRPr="00C407ED">
        <w:rPr>
          <w:rFonts w:cs="Arial"/>
          <w:sz w:val="24"/>
        </w:rPr>
        <w:t xml:space="preserve">Data provided to national data collection authorities is often similar in nature; however the business rules surrounding both the initial data capture and final reporting of data can vary greatly. This places a large administrative burden on jurisdictions, and can result in published data varying dependent on the publisher. For example, published figures on school funding differ between the Productivity Commission’s </w:t>
      </w:r>
      <w:r w:rsidR="00C069B1">
        <w:rPr>
          <w:rFonts w:cs="Arial"/>
          <w:sz w:val="24"/>
        </w:rPr>
        <w:t xml:space="preserve">annual </w:t>
      </w:r>
      <w:r w:rsidRPr="00C407ED">
        <w:rPr>
          <w:rFonts w:cs="Arial"/>
          <w:sz w:val="24"/>
        </w:rPr>
        <w:t>Report on Government Services Report and ACARA’s MySchool website. The</w:t>
      </w:r>
      <w:r w:rsidR="00806CAF">
        <w:rPr>
          <w:rFonts w:cs="Arial"/>
          <w:sz w:val="24"/>
        </w:rPr>
        <w:t xml:space="preserve">se variances also affect </w:t>
      </w:r>
      <w:r w:rsidR="00C069B1">
        <w:rPr>
          <w:rFonts w:cs="Arial"/>
          <w:sz w:val="24"/>
        </w:rPr>
        <w:t>the consistency of data</w:t>
      </w:r>
      <w:r w:rsidRPr="00C407ED">
        <w:rPr>
          <w:rFonts w:cs="Arial"/>
          <w:sz w:val="24"/>
        </w:rPr>
        <w:t xml:space="preserve"> to support analysis and policy development, as well as end-user </w:t>
      </w:r>
      <w:r w:rsidR="00806CAF">
        <w:rPr>
          <w:rFonts w:cs="Arial"/>
          <w:sz w:val="24"/>
        </w:rPr>
        <w:t>accessibility and transparency —</w:t>
      </w:r>
      <w:r w:rsidRPr="00C407ED">
        <w:rPr>
          <w:rFonts w:cs="Arial"/>
          <w:sz w:val="24"/>
        </w:rPr>
        <w:t xml:space="preserve"> particularly for the community.</w:t>
      </w:r>
    </w:p>
    <w:p w:rsidR="00F52557" w:rsidRPr="00C407ED" w:rsidRDefault="00F52557" w:rsidP="00E41959">
      <w:pPr>
        <w:autoSpaceDE w:val="0"/>
        <w:autoSpaceDN w:val="0"/>
        <w:adjustRightInd w:val="0"/>
        <w:spacing w:before="120"/>
        <w:rPr>
          <w:rFonts w:cs="Arial"/>
          <w:sz w:val="24"/>
        </w:rPr>
      </w:pPr>
    </w:p>
    <w:p w:rsidR="00E41959" w:rsidRPr="00C407ED" w:rsidRDefault="00E41959" w:rsidP="00E41959">
      <w:pPr>
        <w:autoSpaceDE w:val="0"/>
        <w:autoSpaceDN w:val="0"/>
        <w:adjustRightInd w:val="0"/>
        <w:spacing w:before="120"/>
        <w:rPr>
          <w:rFonts w:cs="Arial"/>
          <w:sz w:val="24"/>
          <w:u w:val="single"/>
        </w:rPr>
      </w:pPr>
      <w:r w:rsidRPr="00C407ED">
        <w:rPr>
          <w:rFonts w:cs="Arial"/>
          <w:sz w:val="24"/>
          <w:u w:val="single"/>
        </w:rPr>
        <w:t>Data Strategy Group</w:t>
      </w:r>
    </w:p>
    <w:p w:rsidR="00E41959" w:rsidRPr="00C407ED" w:rsidRDefault="00E41959" w:rsidP="00E41959">
      <w:pPr>
        <w:autoSpaceDE w:val="0"/>
        <w:autoSpaceDN w:val="0"/>
        <w:adjustRightInd w:val="0"/>
        <w:spacing w:before="120"/>
        <w:rPr>
          <w:rFonts w:cs="Arial"/>
          <w:sz w:val="24"/>
        </w:rPr>
      </w:pPr>
      <w:r w:rsidRPr="00C407ED">
        <w:rPr>
          <w:rFonts w:cs="Arial"/>
          <w:sz w:val="24"/>
        </w:rPr>
        <w:t>The Data Strategy Group (DSG) is a working group of the Austr</w:t>
      </w:r>
      <w:r w:rsidR="00805847">
        <w:rPr>
          <w:rFonts w:cs="Arial"/>
          <w:sz w:val="24"/>
        </w:rPr>
        <w:t>alian Education Senior Official</w:t>
      </w:r>
      <w:r w:rsidRPr="00C407ED">
        <w:rPr>
          <w:rFonts w:cs="Arial"/>
          <w:sz w:val="24"/>
        </w:rPr>
        <w:t xml:space="preserve">s Committee (AESOC) comprising senior officials from all jurisdictions and the non-government </w:t>
      </w:r>
      <w:r w:rsidRPr="00C407ED">
        <w:rPr>
          <w:rFonts w:cs="Arial"/>
          <w:sz w:val="24"/>
        </w:rPr>
        <w:lastRenderedPageBreak/>
        <w:t xml:space="preserve">education sector </w:t>
      </w:r>
      <w:r w:rsidR="00805847">
        <w:rPr>
          <w:rFonts w:cs="Arial"/>
          <w:sz w:val="24"/>
        </w:rPr>
        <w:t xml:space="preserve">responsible </w:t>
      </w:r>
      <w:r w:rsidRPr="00C407ED">
        <w:rPr>
          <w:rFonts w:cs="Arial"/>
          <w:sz w:val="24"/>
        </w:rPr>
        <w:t xml:space="preserve">for data strategy. DSG’s Terms of Reference include a strategic and advisory role regarding the national education evidence base; however in practice national data governance arrangements are fragmented and overlapping, and DSG’s work plan is focused on technical issues rather than strategic objectives. </w:t>
      </w:r>
    </w:p>
    <w:p w:rsidR="00805847" w:rsidRDefault="00E41959" w:rsidP="00E41959">
      <w:pPr>
        <w:autoSpaceDE w:val="0"/>
        <w:autoSpaceDN w:val="0"/>
        <w:adjustRightInd w:val="0"/>
        <w:spacing w:before="120"/>
        <w:rPr>
          <w:rFonts w:cs="Arial"/>
          <w:sz w:val="24"/>
        </w:rPr>
      </w:pPr>
      <w:r w:rsidRPr="00C407ED">
        <w:rPr>
          <w:rFonts w:cs="Arial"/>
          <w:sz w:val="24"/>
        </w:rPr>
        <w:t>For example, DSG advances projects such as the National Schools Interoperability Program and developing nationally consistent processes for data sharing. However</w:t>
      </w:r>
      <w:r w:rsidR="00AB6E10">
        <w:rPr>
          <w:rFonts w:cs="Arial"/>
          <w:sz w:val="24"/>
        </w:rPr>
        <w:t>,</w:t>
      </w:r>
      <w:r w:rsidRPr="00C407ED">
        <w:rPr>
          <w:rFonts w:cs="Arial"/>
          <w:sz w:val="24"/>
        </w:rPr>
        <w:t xml:space="preserve"> NAPLAN data, a key plank in the national evidence base, is managed and published by ACARA. DSG and ACARA both report to Ministers via AESOC as required. As such, no single body has a detailed understanding of, or strategic vision for, national education data in its entirety. </w:t>
      </w:r>
    </w:p>
    <w:p w:rsidR="00E41959" w:rsidRPr="00C407ED" w:rsidRDefault="00E41959" w:rsidP="00E41959">
      <w:pPr>
        <w:autoSpaceDE w:val="0"/>
        <w:autoSpaceDN w:val="0"/>
        <w:adjustRightInd w:val="0"/>
        <w:spacing w:before="120"/>
        <w:rPr>
          <w:rFonts w:cs="Arial"/>
          <w:sz w:val="24"/>
        </w:rPr>
      </w:pPr>
      <w:r w:rsidRPr="00C407ED">
        <w:rPr>
          <w:rFonts w:cs="Arial"/>
          <w:sz w:val="24"/>
        </w:rPr>
        <w:t>Additionally,</w:t>
      </w:r>
      <w:r w:rsidRPr="00C407ED">
        <w:rPr>
          <w:rFonts w:cs="Arial"/>
          <w:i/>
          <w:sz w:val="24"/>
        </w:rPr>
        <w:t xml:space="preserve"> </w:t>
      </w:r>
      <w:r w:rsidRPr="00C407ED">
        <w:rPr>
          <w:rFonts w:cs="Arial"/>
          <w:sz w:val="24"/>
        </w:rPr>
        <w:t xml:space="preserve">due to this fragmented approach and lack of national direction, the work of DSG is often </w:t>
      </w:r>
      <w:r w:rsidR="00805847">
        <w:rPr>
          <w:rFonts w:cs="Arial"/>
          <w:sz w:val="24"/>
        </w:rPr>
        <w:t>reactive</w:t>
      </w:r>
      <w:r w:rsidR="00734FCB">
        <w:rPr>
          <w:rFonts w:cs="Arial"/>
          <w:sz w:val="24"/>
        </w:rPr>
        <w:t xml:space="preserve"> rather than strategic;</w:t>
      </w:r>
      <w:r w:rsidRPr="00C407ED">
        <w:rPr>
          <w:rFonts w:cs="Arial"/>
          <w:sz w:val="24"/>
        </w:rPr>
        <w:t xml:space="preserve"> </w:t>
      </w:r>
      <w:r w:rsidR="00805847">
        <w:rPr>
          <w:rFonts w:cs="Arial"/>
          <w:sz w:val="24"/>
        </w:rPr>
        <w:t>responding</w:t>
      </w:r>
      <w:r w:rsidRPr="00C407ED">
        <w:rPr>
          <w:rFonts w:cs="Arial"/>
          <w:sz w:val="24"/>
        </w:rPr>
        <w:t xml:space="preserve"> to the data requirements of a range of education an</w:t>
      </w:r>
      <w:r w:rsidR="00C069B1">
        <w:rPr>
          <w:rFonts w:cs="Arial"/>
          <w:sz w:val="24"/>
        </w:rPr>
        <w:t xml:space="preserve">d social policies. </w:t>
      </w:r>
      <w:r w:rsidR="00806CAF">
        <w:rPr>
          <w:rFonts w:cs="Arial"/>
          <w:sz w:val="24"/>
        </w:rPr>
        <w:t>A national data s</w:t>
      </w:r>
      <w:r w:rsidRPr="00C407ED">
        <w:rPr>
          <w:rFonts w:cs="Arial"/>
          <w:sz w:val="24"/>
        </w:rPr>
        <w:t>trategy would enable DSG to strategically respond to requests in line with agreed priorities.</w:t>
      </w:r>
    </w:p>
    <w:p w:rsidR="00E41959" w:rsidRPr="00C407ED" w:rsidRDefault="00E41959" w:rsidP="00E41959">
      <w:pPr>
        <w:tabs>
          <w:tab w:val="right" w:pos="9044"/>
        </w:tabs>
        <w:autoSpaceDE w:val="0"/>
        <w:autoSpaceDN w:val="0"/>
        <w:adjustRightInd w:val="0"/>
        <w:spacing w:before="120"/>
        <w:rPr>
          <w:rFonts w:cs="Arial"/>
          <w:sz w:val="24"/>
          <w:u w:val="single"/>
        </w:rPr>
      </w:pPr>
      <w:r w:rsidRPr="00C407ED">
        <w:rPr>
          <w:rFonts w:cs="Arial"/>
          <w:sz w:val="24"/>
          <w:u w:val="single"/>
        </w:rPr>
        <w:t>Quality</w:t>
      </w:r>
    </w:p>
    <w:p w:rsidR="00E41959" w:rsidRPr="00C407ED" w:rsidRDefault="000C638F" w:rsidP="00E41959">
      <w:pPr>
        <w:tabs>
          <w:tab w:val="right" w:pos="9044"/>
        </w:tabs>
        <w:autoSpaceDE w:val="0"/>
        <w:autoSpaceDN w:val="0"/>
        <w:adjustRightInd w:val="0"/>
        <w:spacing w:before="120"/>
        <w:rPr>
          <w:rFonts w:cs="Arial"/>
          <w:sz w:val="24"/>
        </w:rPr>
      </w:pPr>
      <w:r>
        <w:rPr>
          <w:rFonts w:cs="Arial"/>
          <w:sz w:val="24"/>
        </w:rPr>
        <w:t>In</w:t>
      </w:r>
      <w:r w:rsidR="00E41959" w:rsidRPr="00C407ED">
        <w:rPr>
          <w:rFonts w:cs="Arial"/>
          <w:sz w:val="24"/>
        </w:rPr>
        <w:t xml:space="preserve"> developing a national data strategy</w:t>
      </w:r>
      <w:r>
        <w:rPr>
          <w:rFonts w:cs="Arial"/>
          <w:sz w:val="24"/>
        </w:rPr>
        <w:t xml:space="preserve"> and a more strategic approach to national data reform</w:t>
      </w:r>
      <w:r w:rsidR="00E41959" w:rsidRPr="00C407ED">
        <w:rPr>
          <w:rFonts w:cs="Arial"/>
          <w:sz w:val="24"/>
        </w:rPr>
        <w:t>, research standards and investment in education research</w:t>
      </w:r>
      <w:r>
        <w:rPr>
          <w:rFonts w:cs="Arial"/>
          <w:sz w:val="24"/>
        </w:rPr>
        <w:t xml:space="preserve"> should be considered.</w:t>
      </w:r>
      <w:r w:rsidR="00E41959" w:rsidRPr="00C407ED">
        <w:rPr>
          <w:rFonts w:cs="Arial"/>
          <w:sz w:val="24"/>
        </w:rPr>
        <w:t xml:space="preserve"> </w:t>
      </w:r>
      <w:r>
        <w:rPr>
          <w:rFonts w:cs="Arial"/>
          <w:sz w:val="24"/>
        </w:rPr>
        <w:t>The nature of e</w:t>
      </w:r>
      <w:r w:rsidR="00E41959" w:rsidRPr="00C407ED">
        <w:rPr>
          <w:rFonts w:cs="Arial"/>
          <w:sz w:val="24"/>
        </w:rPr>
        <w:t xml:space="preserve">ducation research </w:t>
      </w:r>
      <w:r>
        <w:rPr>
          <w:rFonts w:cs="Arial"/>
          <w:sz w:val="24"/>
        </w:rPr>
        <w:t xml:space="preserve">and its quality can be </w:t>
      </w:r>
      <w:r w:rsidR="00E41959" w:rsidRPr="00C407ED">
        <w:rPr>
          <w:rFonts w:cs="Arial"/>
          <w:sz w:val="24"/>
        </w:rPr>
        <w:t xml:space="preserve">variable and </w:t>
      </w:r>
      <w:r w:rsidR="00806CAF">
        <w:rPr>
          <w:rFonts w:cs="Arial"/>
          <w:sz w:val="24"/>
        </w:rPr>
        <w:t>there are no well</w:t>
      </w:r>
      <w:r w:rsidR="00806CAF">
        <w:rPr>
          <w:rFonts w:cs="Arial"/>
          <w:sz w:val="24"/>
        </w:rPr>
        <w:noBreakHyphen/>
      </w:r>
      <w:r>
        <w:rPr>
          <w:rFonts w:cs="Arial"/>
          <w:sz w:val="24"/>
        </w:rPr>
        <w:t>established</w:t>
      </w:r>
      <w:r w:rsidR="00E41959" w:rsidRPr="00C407ED">
        <w:rPr>
          <w:rFonts w:cs="Arial"/>
          <w:sz w:val="24"/>
        </w:rPr>
        <w:t xml:space="preserve"> quality standards</w:t>
      </w:r>
      <w:r w:rsidR="007F4613">
        <w:rPr>
          <w:rFonts w:cs="Arial"/>
          <w:sz w:val="24"/>
        </w:rPr>
        <w:t xml:space="preserve"> or procedures</w:t>
      </w:r>
      <w:r w:rsidR="00E41959" w:rsidRPr="00C407ED">
        <w:rPr>
          <w:rFonts w:cs="Arial"/>
          <w:sz w:val="24"/>
        </w:rPr>
        <w:t>.</w:t>
      </w:r>
      <w:r>
        <w:rPr>
          <w:rFonts w:cs="Arial"/>
          <w:sz w:val="24"/>
        </w:rPr>
        <w:t xml:space="preserve"> In pa</w:t>
      </w:r>
      <w:r w:rsidR="00806CAF">
        <w:rPr>
          <w:rFonts w:cs="Arial"/>
          <w:sz w:val="24"/>
        </w:rPr>
        <w:t>rticular, there is limited high</w:t>
      </w:r>
      <w:r w:rsidR="00806CAF">
        <w:rPr>
          <w:rFonts w:cs="Arial"/>
          <w:sz w:val="24"/>
        </w:rPr>
        <w:noBreakHyphen/>
      </w:r>
      <w:r>
        <w:rPr>
          <w:rFonts w:cs="Arial"/>
          <w:sz w:val="24"/>
        </w:rPr>
        <w:t xml:space="preserve">quality evidence regarding education interventions and their effectiveness and impact on students’ educational outcomes in different </w:t>
      </w:r>
      <w:r w:rsidR="00D471DA">
        <w:rPr>
          <w:rFonts w:cs="Arial"/>
          <w:sz w:val="24"/>
        </w:rPr>
        <w:t xml:space="preserve">Australian </w:t>
      </w:r>
      <w:r>
        <w:rPr>
          <w:rFonts w:cs="Arial"/>
          <w:sz w:val="24"/>
        </w:rPr>
        <w:t xml:space="preserve">contexts. </w:t>
      </w:r>
    </w:p>
    <w:p w:rsidR="00E41959" w:rsidRPr="00C407ED" w:rsidRDefault="000C638F" w:rsidP="00E41959">
      <w:pPr>
        <w:tabs>
          <w:tab w:val="right" w:pos="9044"/>
        </w:tabs>
        <w:autoSpaceDE w:val="0"/>
        <w:autoSpaceDN w:val="0"/>
        <w:adjustRightInd w:val="0"/>
        <w:spacing w:before="120"/>
        <w:rPr>
          <w:rFonts w:cs="Arial"/>
          <w:sz w:val="24"/>
        </w:rPr>
      </w:pPr>
      <w:r>
        <w:rPr>
          <w:rFonts w:cs="Arial"/>
          <w:sz w:val="24"/>
        </w:rPr>
        <w:t>In reviewing research standards, c</w:t>
      </w:r>
      <w:r w:rsidR="00E41959" w:rsidRPr="00C407ED">
        <w:rPr>
          <w:rFonts w:cs="Arial"/>
          <w:sz w:val="24"/>
        </w:rPr>
        <w:t xml:space="preserve">onsideration </w:t>
      </w:r>
      <w:r w:rsidR="00351D1C">
        <w:rPr>
          <w:rFonts w:cs="Arial"/>
          <w:sz w:val="24"/>
        </w:rPr>
        <w:t>could</w:t>
      </w:r>
      <w:r w:rsidR="00E41959" w:rsidRPr="00C407ED">
        <w:rPr>
          <w:rFonts w:cs="Arial"/>
          <w:sz w:val="24"/>
        </w:rPr>
        <w:t xml:space="preserve"> be given to </w:t>
      </w:r>
      <w:r>
        <w:rPr>
          <w:rFonts w:cs="Arial"/>
          <w:sz w:val="24"/>
        </w:rPr>
        <w:t>establish</w:t>
      </w:r>
      <w:r w:rsidR="00351D1C">
        <w:rPr>
          <w:rFonts w:cs="Arial"/>
          <w:sz w:val="24"/>
        </w:rPr>
        <w:t>ing</w:t>
      </w:r>
      <w:r w:rsidR="00E41959" w:rsidRPr="00C407ED">
        <w:rPr>
          <w:rFonts w:cs="Arial"/>
          <w:sz w:val="24"/>
        </w:rPr>
        <w:t xml:space="preserve"> a </w:t>
      </w:r>
      <w:r w:rsidR="00E41959" w:rsidRPr="00C33CD2">
        <w:rPr>
          <w:rFonts w:cs="Arial"/>
          <w:sz w:val="24"/>
        </w:rPr>
        <w:t>national expert body</w:t>
      </w:r>
      <w:r w:rsidR="0047580F">
        <w:rPr>
          <w:rFonts w:cs="Arial"/>
          <w:sz w:val="24"/>
        </w:rPr>
        <w:t xml:space="preserve"> for the education sector</w:t>
      </w:r>
      <w:r w:rsidR="00E41959" w:rsidRPr="00C407ED">
        <w:rPr>
          <w:rFonts w:cs="Arial"/>
          <w:sz w:val="24"/>
        </w:rPr>
        <w:t xml:space="preserve">, such as the </w:t>
      </w:r>
      <w:r w:rsidR="00806CAF">
        <w:rPr>
          <w:rFonts w:cs="Arial"/>
          <w:sz w:val="24"/>
        </w:rPr>
        <w:t xml:space="preserve">health sector’s </w:t>
      </w:r>
      <w:r w:rsidR="00E41959" w:rsidRPr="00C407ED">
        <w:rPr>
          <w:rFonts w:cs="Arial"/>
          <w:sz w:val="24"/>
        </w:rPr>
        <w:t>National Health and M</w:t>
      </w:r>
      <w:r w:rsidR="00806CAF">
        <w:rPr>
          <w:rFonts w:cs="Arial"/>
          <w:sz w:val="24"/>
        </w:rPr>
        <w:t>edical Research Council</w:t>
      </w:r>
      <w:r w:rsidR="00E41959" w:rsidRPr="00C407ED">
        <w:rPr>
          <w:rFonts w:cs="Arial"/>
          <w:sz w:val="24"/>
        </w:rPr>
        <w:t xml:space="preserve">. An expert body could provide research standards, strategic direction and co-ordinated investment in quality education </w:t>
      </w:r>
      <w:r w:rsidR="00351D1C">
        <w:rPr>
          <w:rFonts w:cs="Arial"/>
          <w:sz w:val="24"/>
        </w:rPr>
        <w:t xml:space="preserve">and early childhood </w:t>
      </w:r>
      <w:r w:rsidR="00E41959" w:rsidRPr="00C407ED">
        <w:rPr>
          <w:rFonts w:cs="Arial"/>
          <w:sz w:val="24"/>
        </w:rPr>
        <w:t xml:space="preserve">data </w:t>
      </w:r>
      <w:r w:rsidR="00AB6E10">
        <w:rPr>
          <w:rFonts w:cs="Arial"/>
          <w:sz w:val="24"/>
        </w:rPr>
        <w:t xml:space="preserve">collection and research, and </w:t>
      </w:r>
      <w:r w:rsidR="00E41959" w:rsidRPr="00C407ED">
        <w:rPr>
          <w:rFonts w:cs="Arial"/>
          <w:sz w:val="24"/>
        </w:rPr>
        <w:t xml:space="preserve">support the analysis of data and research into educational practice. </w:t>
      </w:r>
      <w:r w:rsidR="00362C5F">
        <w:rPr>
          <w:rFonts w:cs="Arial"/>
          <w:sz w:val="24"/>
        </w:rPr>
        <w:t xml:space="preserve">This role potentially could be fulfilled by an existing </w:t>
      </w:r>
      <w:r w:rsidR="00B404C3">
        <w:rPr>
          <w:rFonts w:cs="Arial"/>
          <w:sz w:val="24"/>
        </w:rPr>
        <w:t>education body</w:t>
      </w:r>
      <w:r w:rsidR="00362C5F">
        <w:rPr>
          <w:rFonts w:cs="Arial"/>
          <w:sz w:val="24"/>
        </w:rPr>
        <w:t>.</w:t>
      </w:r>
    </w:p>
    <w:p w:rsidR="00E41959" w:rsidRPr="00C407ED" w:rsidRDefault="00E41959" w:rsidP="00C407ED">
      <w:pPr>
        <w:tabs>
          <w:tab w:val="right" w:pos="9044"/>
        </w:tabs>
        <w:autoSpaceDE w:val="0"/>
        <w:autoSpaceDN w:val="0"/>
        <w:adjustRightInd w:val="0"/>
        <w:spacing w:before="120"/>
        <w:rPr>
          <w:rFonts w:cs="Arial"/>
          <w:sz w:val="24"/>
        </w:rPr>
      </w:pPr>
      <w:r w:rsidRPr="00C407ED">
        <w:rPr>
          <w:rFonts w:cs="Arial"/>
          <w:sz w:val="24"/>
        </w:rPr>
        <w:t>Improvement of research standards in line with other sectors, involvement of professional organisations and adequate funding of quality research could be defined and included under a national strategy. A national expert body could evaluate the purpose of data collection and research to ensure alignment with nationa</w:t>
      </w:r>
      <w:r w:rsidR="00351D1C">
        <w:rPr>
          <w:rFonts w:cs="Arial"/>
          <w:sz w:val="24"/>
        </w:rPr>
        <w:t xml:space="preserve">l strategy, and ensure that end </w:t>
      </w:r>
      <w:r w:rsidRPr="00C407ED">
        <w:rPr>
          <w:rFonts w:cs="Arial"/>
          <w:sz w:val="24"/>
        </w:rPr>
        <w:t xml:space="preserve">users are consulted and engaged in scoping and trialling projects aimed to support them. </w:t>
      </w:r>
    </w:p>
    <w:p w:rsidR="00E41959" w:rsidRPr="00C407ED" w:rsidRDefault="001925CF" w:rsidP="00C33CD2">
      <w:pPr>
        <w:spacing w:before="120" w:after="200" w:line="276" w:lineRule="auto"/>
        <w:rPr>
          <w:rFonts w:cs="Arial"/>
          <w:sz w:val="24"/>
          <w:u w:val="single"/>
        </w:rPr>
      </w:pPr>
      <w:r>
        <w:rPr>
          <w:rFonts w:cs="Arial"/>
          <w:sz w:val="24"/>
          <w:u w:val="single"/>
        </w:rPr>
        <w:t>Data sharing and l</w:t>
      </w:r>
      <w:r w:rsidR="00E41959" w:rsidRPr="00C407ED">
        <w:rPr>
          <w:rFonts w:cs="Arial"/>
          <w:sz w:val="24"/>
          <w:u w:val="single"/>
        </w:rPr>
        <w:t>inkage</w:t>
      </w:r>
    </w:p>
    <w:p w:rsidR="00E41959" w:rsidRPr="00C407ED" w:rsidRDefault="00E41959" w:rsidP="00E41959">
      <w:pPr>
        <w:autoSpaceDE w:val="0"/>
        <w:autoSpaceDN w:val="0"/>
        <w:adjustRightInd w:val="0"/>
        <w:spacing w:before="120"/>
        <w:rPr>
          <w:rFonts w:eastAsiaTheme="minorHAnsi" w:cs="Arial"/>
          <w:color w:val="000000"/>
          <w:sz w:val="24"/>
          <w:lang w:eastAsia="en-US"/>
        </w:rPr>
      </w:pPr>
      <w:r w:rsidRPr="00C407ED">
        <w:rPr>
          <w:rFonts w:eastAsiaTheme="minorHAnsi" w:cs="Arial"/>
          <w:color w:val="000000"/>
          <w:sz w:val="24"/>
          <w:lang w:eastAsia="en-US"/>
        </w:rPr>
        <w:t>The sharing of dat</w:t>
      </w:r>
      <w:r w:rsidR="00C33CD2">
        <w:rPr>
          <w:rFonts w:eastAsiaTheme="minorHAnsi" w:cs="Arial"/>
          <w:color w:val="000000"/>
          <w:sz w:val="24"/>
          <w:lang w:eastAsia="en-US"/>
        </w:rPr>
        <w:t>a across agencies and sectors</w:t>
      </w:r>
      <w:r w:rsidR="00AB6E10">
        <w:rPr>
          <w:rFonts w:eastAsiaTheme="minorHAnsi" w:cs="Arial"/>
          <w:color w:val="000000"/>
          <w:sz w:val="24"/>
          <w:lang w:eastAsia="en-US"/>
        </w:rPr>
        <w:t>,</w:t>
      </w:r>
      <w:r w:rsidRPr="00C407ED">
        <w:rPr>
          <w:rFonts w:eastAsiaTheme="minorHAnsi" w:cs="Arial"/>
          <w:color w:val="000000"/>
          <w:sz w:val="24"/>
          <w:lang w:eastAsia="en-US"/>
        </w:rPr>
        <w:t xml:space="preserve"> and </w:t>
      </w:r>
      <w:r w:rsidR="00AB6E10">
        <w:rPr>
          <w:rFonts w:eastAsiaTheme="minorHAnsi" w:cs="Arial"/>
          <w:color w:val="000000"/>
          <w:sz w:val="24"/>
          <w:lang w:eastAsia="en-US"/>
        </w:rPr>
        <w:t xml:space="preserve">the </w:t>
      </w:r>
      <w:r w:rsidRPr="00C407ED">
        <w:rPr>
          <w:rFonts w:eastAsiaTheme="minorHAnsi" w:cs="Arial"/>
          <w:color w:val="000000"/>
          <w:sz w:val="24"/>
          <w:lang w:eastAsia="en-US"/>
        </w:rPr>
        <w:t>addition of co</w:t>
      </w:r>
      <w:r w:rsidR="0001055C">
        <w:rPr>
          <w:rFonts w:eastAsiaTheme="minorHAnsi" w:cs="Arial"/>
          <w:color w:val="000000"/>
          <w:sz w:val="24"/>
          <w:lang w:eastAsia="en-US"/>
        </w:rPr>
        <w:t>mple</w:t>
      </w:r>
      <w:r w:rsidR="00C33CD2">
        <w:rPr>
          <w:rFonts w:eastAsiaTheme="minorHAnsi" w:cs="Arial"/>
          <w:color w:val="000000"/>
          <w:sz w:val="24"/>
          <w:lang w:eastAsia="en-US"/>
        </w:rPr>
        <w:t>mentary non-education data</w:t>
      </w:r>
      <w:r w:rsidR="0001055C">
        <w:rPr>
          <w:rFonts w:eastAsiaTheme="minorHAnsi" w:cs="Arial"/>
          <w:color w:val="000000"/>
          <w:sz w:val="24"/>
          <w:lang w:eastAsia="en-US"/>
        </w:rPr>
        <w:t>,</w:t>
      </w:r>
      <w:r w:rsidRPr="00C407ED">
        <w:rPr>
          <w:rFonts w:eastAsiaTheme="minorHAnsi" w:cs="Arial"/>
          <w:color w:val="000000"/>
          <w:sz w:val="24"/>
          <w:lang w:eastAsia="en-US"/>
        </w:rPr>
        <w:t xml:space="preserve"> is a current focus for the </w:t>
      </w:r>
      <w:r w:rsidR="00C069B1">
        <w:rPr>
          <w:rFonts w:eastAsiaTheme="minorHAnsi" w:cs="Arial"/>
          <w:color w:val="000000"/>
          <w:sz w:val="24"/>
          <w:lang w:eastAsia="en-US"/>
        </w:rPr>
        <w:t>Northern Territory</w:t>
      </w:r>
      <w:r w:rsidRPr="00C407ED">
        <w:rPr>
          <w:rFonts w:eastAsiaTheme="minorHAnsi" w:cs="Arial"/>
          <w:color w:val="000000"/>
          <w:sz w:val="24"/>
          <w:lang w:eastAsia="en-US"/>
        </w:rPr>
        <w:t xml:space="preserve">. One of the key data linkage projects being progressed is the Child Development and Education Research Partnership project, led by Menzies School of Health Research, </w:t>
      </w:r>
      <w:r w:rsidR="0001055C">
        <w:rPr>
          <w:rFonts w:eastAsiaTheme="minorHAnsi" w:cs="Arial"/>
          <w:color w:val="000000"/>
          <w:sz w:val="24"/>
          <w:lang w:eastAsia="en-US"/>
        </w:rPr>
        <w:t>which has linked</w:t>
      </w:r>
      <w:r w:rsidRPr="00C407ED">
        <w:rPr>
          <w:rFonts w:eastAsiaTheme="minorHAnsi" w:cs="Arial"/>
          <w:color w:val="000000"/>
          <w:sz w:val="24"/>
          <w:lang w:eastAsia="en-US"/>
        </w:rPr>
        <w:t xml:space="preserve"> early childhood, health, </w:t>
      </w:r>
      <w:r w:rsidR="00C33CD2">
        <w:rPr>
          <w:rFonts w:eastAsiaTheme="minorHAnsi" w:cs="Arial"/>
          <w:color w:val="000000"/>
          <w:sz w:val="24"/>
          <w:lang w:eastAsia="en-US"/>
        </w:rPr>
        <w:t xml:space="preserve">and </w:t>
      </w:r>
      <w:r w:rsidRPr="00C407ED">
        <w:rPr>
          <w:rFonts w:eastAsiaTheme="minorHAnsi" w:cs="Arial"/>
          <w:color w:val="000000"/>
          <w:sz w:val="24"/>
          <w:lang w:eastAsia="en-US"/>
        </w:rPr>
        <w:t xml:space="preserve">student </w:t>
      </w:r>
      <w:r w:rsidR="00C33CD2">
        <w:rPr>
          <w:rFonts w:eastAsiaTheme="minorHAnsi" w:cs="Arial"/>
          <w:color w:val="000000"/>
          <w:sz w:val="24"/>
          <w:lang w:eastAsia="en-US"/>
        </w:rPr>
        <w:t xml:space="preserve">education </w:t>
      </w:r>
      <w:r w:rsidRPr="00C407ED">
        <w:rPr>
          <w:rFonts w:eastAsiaTheme="minorHAnsi" w:cs="Arial"/>
          <w:color w:val="000000"/>
          <w:sz w:val="24"/>
          <w:lang w:eastAsia="en-US"/>
        </w:rPr>
        <w:t>outcome</w:t>
      </w:r>
      <w:r w:rsidR="00C33CD2">
        <w:rPr>
          <w:rFonts w:eastAsiaTheme="minorHAnsi" w:cs="Arial"/>
          <w:color w:val="000000"/>
          <w:sz w:val="24"/>
          <w:lang w:eastAsia="en-US"/>
        </w:rPr>
        <w:t>s data</w:t>
      </w:r>
      <w:r w:rsidR="00A37B0B">
        <w:rPr>
          <w:rFonts w:eastAsiaTheme="minorHAnsi" w:cs="Arial"/>
          <w:color w:val="000000"/>
          <w:sz w:val="24"/>
          <w:lang w:eastAsia="en-US"/>
        </w:rPr>
        <w:t xml:space="preserve"> to</w:t>
      </w:r>
      <w:r w:rsidR="007C7D7B">
        <w:rPr>
          <w:rFonts w:eastAsiaTheme="minorHAnsi" w:cs="Arial"/>
          <w:color w:val="000000"/>
          <w:sz w:val="24"/>
          <w:lang w:eastAsia="en-US"/>
        </w:rPr>
        <w:t xml:space="preserve"> enable</w:t>
      </w:r>
      <w:r w:rsidR="00A37B0B">
        <w:rPr>
          <w:rFonts w:eastAsiaTheme="minorHAnsi" w:cs="Arial"/>
          <w:color w:val="000000"/>
          <w:sz w:val="24"/>
          <w:lang w:eastAsia="en-US"/>
        </w:rPr>
        <w:t xml:space="preserve"> analys</w:t>
      </w:r>
      <w:r w:rsidR="007C7D7B">
        <w:rPr>
          <w:rFonts w:eastAsiaTheme="minorHAnsi" w:cs="Arial"/>
          <w:color w:val="000000"/>
          <w:sz w:val="24"/>
          <w:lang w:eastAsia="en-US"/>
        </w:rPr>
        <w:t>is</w:t>
      </w:r>
      <w:r w:rsidR="0001055C">
        <w:rPr>
          <w:rFonts w:eastAsiaTheme="minorHAnsi" w:cs="Arial"/>
          <w:color w:val="000000"/>
          <w:sz w:val="24"/>
          <w:lang w:eastAsia="en-US"/>
        </w:rPr>
        <w:t xml:space="preserve"> </w:t>
      </w:r>
      <w:r w:rsidR="007C7D7B">
        <w:rPr>
          <w:rFonts w:eastAsiaTheme="minorHAnsi" w:cs="Arial"/>
          <w:color w:val="000000"/>
          <w:sz w:val="24"/>
          <w:lang w:eastAsia="en-US"/>
        </w:rPr>
        <w:t xml:space="preserve">of </w:t>
      </w:r>
      <w:r w:rsidR="0001055C">
        <w:rPr>
          <w:rFonts w:eastAsiaTheme="minorHAnsi" w:cs="Arial"/>
          <w:color w:val="000000"/>
          <w:sz w:val="24"/>
          <w:lang w:eastAsia="en-US"/>
        </w:rPr>
        <w:t xml:space="preserve">population </w:t>
      </w:r>
      <w:r w:rsidR="00A37B0B">
        <w:rPr>
          <w:rFonts w:eastAsiaTheme="minorHAnsi" w:cs="Arial"/>
          <w:color w:val="000000"/>
          <w:sz w:val="24"/>
          <w:lang w:eastAsia="en-US"/>
        </w:rPr>
        <w:t xml:space="preserve">level </w:t>
      </w:r>
      <w:r w:rsidR="007C7D7B">
        <w:rPr>
          <w:rFonts w:eastAsiaTheme="minorHAnsi" w:cs="Arial"/>
          <w:color w:val="000000"/>
          <w:sz w:val="24"/>
          <w:lang w:eastAsia="en-US"/>
        </w:rPr>
        <w:t xml:space="preserve">outcomes, and inform future program design and implementation. </w:t>
      </w:r>
    </w:p>
    <w:p w:rsidR="00E41959" w:rsidRPr="00C407ED" w:rsidRDefault="005C7563" w:rsidP="00E41959">
      <w:pPr>
        <w:autoSpaceDE w:val="0"/>
        <w:autoSpaceDN w:val="0"/>
        <w:adjustRightInd w:val="0"/>
        <w:spacing w:before="120"/>
        <w:rPr>
          <w:rFonts w:eastAsiaTheme="minorHAnsi" w:cs="Arial"/>
          <w:color w:val="000000"/>
          <w:sz w:val="24"/>
          <w:lang w:eastAsia="en-US"/>
        </w:rPr>
      </w:pPr>
      <w:r>
        <w:rPr>
          <w:rFonts w:eastAsiaTheme="minorHAnsi" w:cs="Arial"/>
          <w:color w:val="000000"/>
          <w:sz w:val="24"/>
          <w:lang w:eastAsia="en-US"/>
        </w:rPr>
        <w:t>Although</w:t>
      </w:r>
      <w:r w:rsidR="00E41959" w:rsidRPr="00C407ED">
        <w:rPr>
          <w:rFonts w:eastAsiaTheme="minorHAnsi" w:cs="Arial"/>
          <w:color w:val="000000"/>
          <w:sz w:val="24"/>
          <w:lang w:eastAsia="en-US"/>
        </w:rPr>
        <w:t xml:space="preserve"> data linkage is an important step in effectively using data sets already collected to analyse student outcomes and factors which may affect outcomes, there are also a number of limitations and risks assoc</w:t>
      </w:r>
      <w:r>
        <w:rPr>
          <w:rFonts w:eastAsiaTheme="minorHAnsi" w:cs="Arial"/>
          <w:color w:val="000000"/>
          <w:sz w:val="24"/>
          <w:lang w:eastAsia="en-US"/>
        </w:rPr>
        <w:t>iated with this approach</w:t>
      </w:r>
      <w:r w:rsidR="00E41959" w:rsidRPr="00C407ED">
        <w:rPr>
          <w:rFonts w:eastAsiaTheme="minorHAnsi" w:cs="Arial"/>
          <w:color w:val="000000"/>
          <w:sz w:val="24"/>
          <w:lang w:eastAsia="en-US"/>
        </w:rPr>
        <w:t xml:space="preserve">. </w:t>
      </w:r>
    </w:p>
    <w:p w:rsidR="00E41959" w:rsidRPr="00C407ED" w:rsidRDefault="00E41959" w:rsidP="00C407ED">
      <w:pPr>
        <w:autoSpaceDE w:val="0"/>
        <w:autoSpaceDN w:val="0"/>
        <w:adjustRightInd w:val="0"/>
        <w:spacing w:before="120"/>
        <w:rPr>
          <w:rFonts w:eastAsiaTheme="minorHAnsi" w:cs="Arial"/>
          <w:color w:val="000000"/>
          <w:sz w:val="24"/>
          <w:lang w:eastAsia="en-US"/>
        </w:rPr>
      </w:pPr>
      <w:r w:rsidRPr="00C407ED">
        <w:rPr>
          <w:rFonts w:eastAsiaTheme="minorHAnsi" w:cs="Arial"/>
          <w:color w:val="000000"/>
          <w:sz w:val="24"/>
          <w:lang w:eastAsia="en-US"/>
        </w:rPr>
        <w:lastRenderedPageBreak/>
        <w:t>These include privacy and data usage issues (particularly when linking data across different jurisdictions)</w:t>
      </w:r>
      <w:r w:rsidR="005C7563">
        <w:rPr>
          <w:rFonts w:eastAsiaTheme="minorHAnsi" w:cs="Arial"/>
          <w:color w:val="000000"/>
          <w:sz w:val="24"/>
          <w:lang w:eastAsia="en-US"/>
        </w:rPr>
        <w:t>,</w:t>
      </w:r>
      <w:r w:rsidRPr="00C407ED">
        <w:rPr>
          <w:rFonts w:eastAsiaTheme="minorHAnsi" w:cs="Arial"/>
          <w:color w:val="000000"/>
          <w:sz w:val="24"/>
          <w:lang w:eastAsia="en-US"/>
        </w:rPr>
        <w:t xml:space="preserve"> custodianship, access, future use and legislative barriers. The next step in progressing data linkage is determining nationally consistent arrangements and processes to address these issues.</w:t>
      </w:r>
    </w:p>
    <w:p w:rsidR="00E41959" w:rsidRPr="00C407ED" w:rsidRDefault="00866CEE" w:rsidP="000D78C5">
      <w:pPr>
        <w:shd w:val="clear" w:color="auto" w:fill="F2F2F2" w:themeFill="background1" w:themeFillShade="F2"/>
        <w:tabs>
          <w:tab w:val="right" w:pos="9044"/>
        </w:tabs>
        <w:autoSpaceDE w:val="0"/>
        <w:autoSpaceDN w:val="0"/>
        <w:adjustRightInd w:val="0"/>
        <w:spacing w:before="120"/>
        <w:rPr>
          <w:rFonts w:cs="Arial"/>
          <w:i/>
          <w:sz w:val="24"/>
        </w:rPr>
      </w:pPr>
      <w:r>
        <w:rPr>
          <w:rFonts w:cs="Arial"/>
          <w:i/>
          <w:sz w:val="24"/>
        </w:rPr>
        <w:t>C</w:t>
      </w:r>
      <w:r w:rsidR="00E41959" w:rsidRPr="00C407ED">
        <w:rPr>
          <w:rFonts w:cs="Arial"/>
          <w:i/>
          <w:sz w:val="24"/>
        </w:rPr>
        <w:t xml:space="preserve">ase study: Trans-Border </w:t>
      </w:r>
      <w:r>
        <w:rPr>
          <w:rFonts w:cs="Arial"/>
          <w:i/>
          <w:sz w:val="24"/>
        </w:rPr>
        <w:t xml:space="preserve">Attendance </w:t>
      </w:r>
      <w:r w:rsidR="00E41959" w:rsidRPr="00C407ED">
        <w:rPr>
          <w:rFonts w:cs="Arial"/>
          <w:i/>
          <w:sz w:val="24"/>
        </w:rPr>
        <w:t>Strategy</w:t>
      </w:r>
    </w:p>
    <w:p w:rsidR="007B34DA" w:rsidRDefault="00E41959" w:rsidP="000D78C5">
      <w:pPr>
        <w:shd w:val="clear" w:color="auto" w:fill="F2F2F2" w:themeFill="background1" w:themeFillShade="F2"/>
        <w:autoSpaceDE w:val="0"/>
        <w:autoSpaceDN w:val="0"/>
        <w:adjustRightInd w:val="0"/>
        <w:spacing w:before="120"/>
        <w:rPr>
          <w:rFonts w:cs="Arial"/>
          <w:sz w:val="24"/>
        </w:rPr>
      </w:pPr>
      <w:r w:rsidRPr="00C407ED">
        <w:rPr>
          <w:rFonts w:cs="Arial"/>
          <w:sz w:val="24"/>
        </w:rPr>
        <w:t xml:space="preserve">An example of the </w:t>
      </w:r>
      <w:r w:rsidR="00B97A5A">
        <w:rPr>
          <w:rFonts w:cs="Arial"/>
          <w:sz w:val="24"/>
        </w:rPr>
        <w:t>challenges</w:t>
      </w:r>
      <w:r w:rsidRPr="00C407ED">
        <w:rPr>
          <w:rFonts w:cs="Arial"/>
          <w:sz w:val="24"/>
        </w:rPr>
        <w:t xml:space="preserve"> fac</w:t>
      </w:r>
      <w:r w:rsidR="00C33CD2">
        <w:rPr>
          <w:rFonts w:cs="Arial"/>
          <w:sz w:val="24"/>
        </w:rPr>
        <w:t>ed in sharing educational data</w:t>
      </w:r>
      <w:r w:rsidR="00B97A5A">
        <w:rPr>
          <w:rFonts w:cs="Arial"/>
          <w:sz w:val="24"/>
        </w:rPr>
        <w:t xml:space="preserve"> between sectors and jurisdictions</w:t>
      </w:r>
      <w:r w:rsidRPr="00C407ED">
        <w:rPr>
          <w:rFonts w:cs="Arial"/>
          <w:sz w:val="24"/>
        </w:rPr>
        <w:t xml:space="preserve"> is the Trans-Border Attendance Strategy</w:t>
      </w:r>
      <w:r w:rsidR="00B97A5A">
        <w:rPr>
          <w:rFonts w:cs="Arial"/>
          <w:sz w:val="24"/>
        </w:rPr>
        <w:t>. The strategy</w:t>
      </w:r>
      <w:r w:rsidRPr="00C407ED">
        <w:rPr>
          <w:rFonts w:cs="Arial"/>
          <w:sz w:val="24"/>
        </w:rPr>
        <w:t xml:space="preserve"> was </w:t>
      </w:r>
      <w:r w:rsidR="00B97A5A">
        <w:rPr>
          <w:rFonts w:cs="Arial"/>
          <w:sz w:val="24"/>
        </w:rPr>
        <w:t>funded by Education Council</w:t>
      </w:r>
      <w:r w:rsidRPr="00C407ED">
        <w:rPr>
          <w:rFonts w:cs="Arial"/>
          <w:sz w:val="24"/>
        </w:rPr>
        <w:t xml:space="preserve"> to enable the sharing of enrolment information for highly mobile students across the state borders of South Australia, Western Australia and the Northern Territory. </w:t>
      </w:r>
    </w:p>
    <w:p w:rsidR="00E41959" w:rsidRPr="00C407ED" w:rsidRDefault="00E41959" w:rsidP="000D78C5">
      <w:pPr>
        <w:shd w:val="clear" w:color="auto" w:fill="F2F2F2" w:themeFill="background1" w:themeFillShade="F2"/>
        <w:autoSpaceDE w:val="0"/>
        <w:autoSpaceDN w:val="0"/>
        <w:adjustRightInd w:val="0"/>
        <w:spacing w:before="120"/>
        <w:rPr>
          <w:rFonts w:cs="Arial"/>
          <w:sz w:val="24"/>
        </w:rPr>
      </w:pPr>
      <w:r w:rsidRPr="00C407ED">
        <w:rPr>
          <w:rFonts w:cs="Arial"/>
          <w:sz w:val="24"/>
        </w:rPr>
        <w:t>The project initially enjoyed considerable interest from</w:t>
      </w:r>
      <w:r w:rsidR="00B97A5A">
        <w:rPr>
          <w:rFonts w:cs="Arial"/>
          <w:sz w:val="24"/>
        </w:rPr>
        <w:t xml:space="preserve"> other</w:t>
      </w:r>
      <w:r w:rsidRPr="00C407ED">
        <w:rPr>
          <w:rFonts w:cs="Arial"/>
          <w:sz w:val="24"/>
        </w:rPr>
        <w:t xml:space="preserve"> jurisdictions </w:t>
      </w:r>
      <w:r w:rsidR="00B97A5A">
        <w:rPr>
          <w:rFonts w:cs="Arial"/>
          <w:sz w:val="24"/>
        </w:rPr>
        <w:t>wanting</w:t>
      </w:r>
      <w:r w:rsidRPr="00C407ED">
        <w:rPr>
          <w:rFonts w:cs="Arial"/>
          <w:sz w:val="24"/>
        </w:rPr>
        <w:t xml:space="preserve"> to </w:t>
      </w:r>
      <w:r w:rsidR="00B97A5A">
        <w:rPr>
          <w:rFonts w:cs="Arial"/>
          <w:sz w:val="24"/>
        </w:rPr>
        <w:t>be involved</w:t>
      </w:r>
      <w:r w:rsidRPr="00C407ED">
        <w:rPr>
          <w:rFonts w:cs="Arial"/>
          <w:sz w:val="24"/>
        </w:rPr>
        <w:t>, however the project was hampered by issues with uptake and usability of the data platform</w:t>
      </w:r>
      <w:r w:rsidR="007B34DA">
        <w:rPr>
          <w:rFonts w:cs="Arial"/>
          <w:sz w:val="24"/>
        </w:rPr>
        <w:t xml:space="preserve"> by schools</w:t>
      </w:r>
      <w:r w:rsidR="00B97A5A">
        <w:rPr>
          <w:rFonts w:cs="Arial"/>
          <w:sz w:val="24"/>
        </w:rPr>
        <w:t xml:space="preserve">. These issues were </w:t>
      </w:r>
      <w:r w:rsidRPr="00C407ED">
        <w:rPr>
          <w:rFonts w:cs="Arial"/>
          <w:sz w:val="24"/>
        </w:rPr>
        <w:t xml:space="preserve">compounded by </w:t>
      </w:r>
      <w:r w:rsidR="007B34DA">
        <w:rPr>
          <w:rFonts w:cs="Arial"/>
          <w:sz w:val="24"/>
        </w:rPr>
        <w:t>legislative barriers in some jurisdictions</w:t>
      </w:r>
      <w:r w:rsidR="00B97A5A">
        <w:rPr>
          <w:rFonts w:cs="Arial"/>
          <w:sz w:val="24"/>
        </w:rPr>
        <w:t xml:space="preserve"> in relation to the sharing of data</w:t>
      </w:r>
      <w:r w:rsidR="007B34DA">
        <w:rPr>
          <w:rFonts w:cs="Arial"/>
          <w:sz w:val="24"/>
        </w:rPr>
        <w:t xml:space="preserve">. </w:t>
      </w:r>
      <w:r w:rsidRPr="00C407ED">
        <w:rPr>
          <w:rFonts w:cs="Arial"/>
          <w:sz w:val="24"/>
        </w:rPr>
        <w:t>Expansion of the strategy has been halted and ongoing participation of existing jurisdictions remains uncertain.</w:t>
      </w:r>
    </w:p>
    <w:p w:rsidR="00E41959" w:rsidRPr="00C407ED" w:rsidRDefault="002B3C0F" w:rsidP="000D78C5">
      <w:pPr>
        <w:shd w:val="clear" w:color="auto" w:fill="F2F2F2" w:themeFill="background1" w:themeFillShade="F2"/>
        <w:autoSpaceDE w:val="0"/>
        <w:autoSpaceDN w:val="0"/>
        <w:adjustRightInd w:val="0"/>
        <w:spacing w:before="120"/>
        <w:rPr>
          <w:rFonts w:cs="Arial"/>
          <w:sz w:val="24"/>
        </w:rPr>
      </w:pPr>
      <w:r w:rsidRPr="002B3C0F">
        <w:rPr>
          <w:rFonts w:cs="Arial"/>
          <w:sz w:val="24"/>
        </w:rPr>
        <w:t>Along with the</w:t>
      </w:r>
      <w:r w:rsidR="00B97A5A" w:rsidRPr="002B3C0F">
        <w:rPr>
          <w:rFonts w:cs="Arial"/>
          <w:sz w:val="24"/>
        </w:rPr>
        <w:t xml:space="preserve"> legislative issues</w:t>
      </w:r>
      <w:r w:rsidRPr="002B3C0F">
        <w:rPr>
          <w:rFonts w:cs="Arial"/>
          <w:sz w:val="24"/>
        </w:rPr>
        <w:t xml:space="preserve"> that can arise</w:t>
      </w:r>
      <w:r w:rsidR="00B97A5A" w:rsidRPr="002B3C0F">
        <w:rPr>
          <w:rFonts w:cs="Arial"/>
          <w:sz w:val="24"/>
        </w:rPr>
        <w:t xml:space="preserve"> </w:t>
      </w:r>
      <w:r>
        <w:rPr>
          <w:rFonts w:cs="Arial"/>
          <w:sz w:val="24"/>
        </w:rPr>
        <w:t>in</w:t>
      </w:r>
      <w:r w:rsidR="00B97A5A" w:rsidRPr="002B3C0F">
        <w:rPr>
          <w:rFonts w:cs="Arial"/>
          <w:sz w:val="24"/>
        </w:rPr>
        <w:t xml:space="preserve"> sharing</w:t>
      </w:r>
      <w:r>
        <w:rPr>
          <w:rFonts w:cs="Arial"/>
          <w:sz w:val="24"/>
        </w:rPr>
        <w:t xml:space="preserve"> data</w:t>
      </w:r>
      <w:r w:rsidR="00B97A5A" w:rsidRPr="002B3C0F">
        <w:rPr>
          <w:rFonts w:cs="Arial"/>
          <w:sz w:val="24"/>
        </w:rPr>
        <w:t xml:space="preserve"> between jurisdictions and</w:t>
      </w:r>
      <w:r w:rsidR="004C6434" w:rsidRPr="002B3C0F">
        <w:rPr>
          <w:rFonts w:cs="Arial"/>
          <w:sz w:val="24"/>
        </w:rPr>
        <w:t xml:space="preserve"> school sectors</w:t>
      </w:r>
      <w:r w:rsidR="000003AA" w:rsidRPr="002B3C0F">
        <w:rPr>
          <w:rFonts w:cs="Arial"/>
          <w:sz w:val="24"/>
        </w:rPr>
        <w:t>, t</w:t>
      </w:r>
      <w:r w:rsidR="00E41959" w:rsidRPr="002B3C0F">
        <w:rPr>
          <w:rFonts w:cs="Arial"/>
          <w:sz w:val="24"/>
        </w:rPr>
        <w:t>his project highlights the</w:t>
      </w:r>
      <w:r w:rsidR="00E41959" w:rsidRPr="000003AA">
        <w:rPr>
          <w:rFonts w:cs="Arial"/>
          <w:sz w:val="24"/>
        </w:rPr>
        <w:t xml:space="preserve"> importance of ensuring data </w:t>
      </w:r>
      <w:r w:rsidR="004C6434" w:rsidRPr="000003AA">
        <w:rPr>
          <w:rFonts w:cs="Arial"/>
          <w:sz w:val="24"/>
        </w:rPr>
        <w:t>projects of this kind</w:t>
      </w:r>
      <w:r w:rsidR="00E41959" w:rsidRPr="000003AA">
        <w:rPr>
          <w:rFonts w:cs="Arial"/>
          <w:sz w:val="24"/>
        </w:rPr>
        <w:t xml:space="preserve"> designed to</w:t>
      </w:r>
      <w:r w:rsidR="00E41959" w:rsidRPr="00C407ED">
        <w:rPr>
          <w:rFonts w:cs="Arial"/>
          <w:sz w:val="24"/>
        </w:rPr>
        <w:t xml:space="preserve"> be valuable and accessible </w:t>
      </w:r>
      <w:r w:rsidR="004C6434">
        <w:rPr>
          <w:rFonts w:cs="Arial"/>
          <w:sz w:val="24"/>
        </w:rPr>
        <w:t>for</w:t>
      </w:r>
      <w:r w:rsidR="00E41959" w:rsidRPr="00C407ED">
        <w:rPr>
          <w:rFonts w:cs="Arial"/>
          <w:sz w:val="24"/>
        </w:rPr>
        <w:t xml:space="preserve"> schools</w:t>
      </w:r>
      <w:r w:rsidR="004C6434">
        <w:rPr>
          <w:rFonts w:cs="Arial"/>
          <w:sz w:val="24"/>
        </w:rPr>
        <w:t>.</w:t>
      </w:r>
    </w:p>
    <w:p w:rsidR="00E41959" w:rsidRPr="00C407ED" w:rsidRDefault="00E41959" w:rsidP="00E41959">
      <w:pPr>
        <w:tabs>
          <w:tab w:val="right" w:pos="9044"/>
        </w:tabs>
        <w:autoSpaceDE w:val="0"/>
        <w:autoSpaceDN w:val="0"/>
        <w:adjustRightInd w:val="0"/>
        <w:spacing w:before="120"/>
        <w:rPr>
          <w:rFonts w:cs="Arial"/>
          <w:sz w:val="24"/>
          <w:u w:val="single"/>
        </w:rPr>
      </w:pPr>
      <w:r w:rsidRPr="00C407ED">
        <w:rPr>
          <w:rFonts w:cs="Arial"/>
          <w:sz w:val="24"/>
          <w:u w:val="single"/>
        </w:rPr>
        <w:t>Recommendation</w:t>
      </w:r>
    </w:p>
    <w:p w:rsidR="00E41959" w:rsidRPr="00C407ED" w:rsidRDefault="004C6434" w:rsidP="00E41959">
      <w:pPr>
        <w:autoSpaceDE w:val="0"/>
        <w:autoSpaceDN w:val="0"/>
        <w:adjustRightInd w:val="0"/>
        <w:spacing w:before="120"/>
        <w:rPr>
          <w:rFonts w:cs="Arial"/>
          <w:sz w:val="24"/>
        </w:rPr>
      </w:pPr>
      <w:r>
        <w:rPr>
          <w:rFonts w:cs="Arial"/>
          <w:sz w:val="24"/>
        </w:rPr>
        <w:t>T</w:t>
      </w:r>
      <w:r w:rsidR="00E41959" w:rsidRPr="00C407ED">
        <w:rPr>
          <w:rFonts w:cs="Arial"/>
          <w:sz w:val="24"/>
        </w:rPr>
        <w:t xml:space="preserve">he </w:t>
      </w:r>
      <w:r w:rsidR="00C069B1">
        <w:rPr>
          <w:rFonts w:cs="Arial"/>
          <w:sz w:val="24"/>
        </w:rPr>
        <w:t>Northern Territory</w:t>
      </w:r>
      <w:r w:rsidR="00E41959" w:rsidRPr="00C407ED">
        <w:rPr>
          <w:rFonts w:cs="Arial"/>
          <w:sz w:val="24"/>
        </w:rPr>
        <w:t xml:space="preserve"> recommends development of a </w:t>
      </w:r>
      <w:r w:rsidR="001925CF">
        <w:rPr>
          <w:rFonts w:cs="Arial"/>
          <w:sz w:val="24"/>
        </w:rPr>
        <w:t>national data a</w:t>
      </w:r>
      <w:r w:rsidR="00E41959" w:rsidRPr="00C33CD2">
        <w:rPr>
          <w:rFonts w:cs="Arial"/>
          <w:sz w:val="24"/>
        </w:rPr>
        <w:t>greement</w:t>
      </w:r>
      <w:r w:rsidR="00E41959" w:rsidRPr="00C407ED">
        <w:rPr>
          <w:rFonts w:cs="Arial"/>
          <w:b/>
          <w:sz w:val="24"/>
        </w:rPr>
        <w:t xml:space="preserve"> </w:t>
      </w:r>
      <w:r w:rsidR="001925CF">
        <w:rPr>
          <w:rFonts w:cs="Arial"/>
          <w:sz w:val="24"/>
        </w:rPr>
        <w:t>that</w:t>
      </w:r>
      <w:r w:rsidR="00E41959" w:rsidRPr="00C407ED">
        <w:rPr>
          <w:rFonts w:cs="Arial"/>
          <w:sz w:val="24"/>
        </w:rPr>
        <w:t>:</w:t>
      </w:r>
    </w:p>
    <w:p w:rsidR="00E41959" w:rsidRPr="00C407ED" w:rsidRDefault="004C6434" w:rsidP="001925CF">
      <w:pPr>
        <w:pStyle w:val="ListParagraph"/>
        <w:numPr>
          <w:ilvl w:val="0"/>
          <w:numId w:val="24"/>
        </w:numPr>
        <w:autoSpaceDE w:val="0"/>
        <w:autoSpaceDN w:val="0"/>
        <w:adjustRightInd w:val="0"/>
        <w:spacing w:before="120"/>
        <w:ind w:left="567" w:hanging="567"/>
        <w:rPr>
          <w:rFonts w:ascii="Lato" w:hAnsi="Lato" w:cs="Arial"/>
          <w:sz w:val="24"/>
        </w:rPr>
      </w:pPr>
      <w:r>
        <w:rPr>
          <w:rFonts w:ascii="Lato" w:hAnsi="Lato" w:cs="Arial"/>
          <w:sz w:val="24"/>
        </w:rPr>
        <w:t xml:space="preserve">details national </w:t>
      </w:r>
      <w:r w:rsidR="00E41959" w:rsidRPr="00C407ED">
        <w:rPr>
          <w:rFonts w:ascii="Lato" w:hAnsi="Lato" w:cs="Arial"/>
          <w:sz w:val="24"/>
        </w:rPr>
        <w:t>data captu</w:t>
      </w:r>
      <w:r>
        <w:rPr>
          <w:rFonts w:ascii="Lato" w:hAnsi="Lato" w:cs="Arial"/>
          <w:sz w:val="24"/>
        </w:rPr>
        <w:t>re and reporting business rules</w:t>
      </w:r>
    </w:p>
    <w:p w:rsidR="00E41959" w:rsidRDefault="004C6434" w:rsidP="001925CF">
      <w:pPr>
        <w:pStyle w:val="ListParagraph"/>
        <w:numPr>
          <w:ilvl w:val="0"/>
          <w:numId w:val="24"/>
        </w:numPr>
        <w:autoSpaceDE w:val="0"/>
        <w:autoSpaceDN w:val="0"/>
        <w:adjustRightInd w:val="0"/>
        <w:spacing w:before="120"/>
        <w:ind w:left="567" w:hanging="567"/>
        <w:rPr>
          <w:rFonts w:ascii="Lato" w:hAnsi="Lato" w:cs="Arial"/>
          <w:sz w:val="24"/>
        </w:rPr>
      </w:pPr>
      <w:r>
        <w:rPr>
          <w:rFonts w:ascii="Lato" w:hAnsi="Lato" w:cs="Arial"/>
          <w:sz w:val="24"/>
        </w:rPr>
        <w:t>clarifies and streamlines</w:t>
      </w:r>
      <w:r w:rsidR="00E41959" w:rsidRPr="00C407ED">
        <w:rPr>
          <w:rFonts w:ascii="Lato" w:hAnsi="Lato" w:cs="Arial"/>
          <w:sz w:val="24"/>
        </w:rPr>
        <w:t xml:space="preserve"> national govern</w:t>
      </w:r>
      <w:r>
        <w:rPr>
          <w:rFonts w:ascii="Lato" w:hAnsi="Lato" w:cs="Arial"/>
          <w:sz w:val="24"/>
        </w:rPr>
        <w:t>ance and reporting arrangements</w:t>
      </w:r>
    </w:p>
    <w:p w:rsidR="0047580F" w:rsidRPr="0047580F" w:rsidRDefault="0047580F" w:rsidP="001925CF">
      <w:pPr>
        <w:pStyle w:val="ListParagraph"/>
        <w:numPr>
          <w:ilvl w:val="0"/>
          <w:numId w:val="24"/>
        </w:numPr>
        <w:autoSpaceDE w:val="0"/>
        <w:autoSpaceDN w:val="0"/>
        <w:adjustRightInd w:val="0"/>
        <w:spacing w:before="120"/>
        <w:ind w:left="567" w:hanging="567"/>
        <w:rPr>
          <w:rFonts w:ascii="Lato" w:hAnsi="Lato" w:cs="Arial"/>
          <w:sz w:val="24"/>
        </w:rPr>
      </w:pPr>
      <w:r>
        <w:rPr>
          <w:rFonts w:ascii="Lato" w:hAnsi="Lato" w:cs="Arial"/>
          <w:sz w:val="24"/>
        </w:rPr>
        <w:t>links to other key human service data platforms to further encourage meaningful, joined-up information and evidence on end-users, communities, and trends</w:t>
      </w:r>
    </w:p>
    <w:p w:rsidR="00E41959" w:rsidRPr="00C407ED" w:rsidRDefault="004C6434" w:rsidP="001925CF">
      <w:pPr>
        <w:pStyle w:val="ListParagraph"/>
        <w:numPr>
          <w:ilvl w:val="0"/>
          <w:numId w:val="24"/>
        </w:numPr>
        <w:autoSpaceDE w:val="0"/>
        <w:autoSpaceDN w:val="0"/>
        <w:adjustRightInd w:val="0"/>
        <w:spacing w:before="120"/>
        <w:ind w:left="567" w:hanging="567"/>
        <w:rPr>
          <w:rFonts w:ascii="Lato" w:hAnsi="Lato" w:cs="Arial"/>
          <w:sz w:val="24"/>
        </w:rPr>
      </w:pPr>
      <w:r>
        <w:rPr>
          <w:rFonts w:ascii="Lato" w:hAnsi="Lato" w:cs="Arial"/>
          <w:sz w:val="24"/>
        </w:rPr>
        <w:t>outlines requirements and/or reforms to enable</w:t>
      </w:r>
      <w:r w:rsidR="00E41959" w:rsidRPr="00C407ED">
        <w:rPr>
          <w:rFonts w:ascii="Lato" w:hAnsi="Lato" w:cs="Arial"/>
          <w:sz w:val="24"/>
        </w:rPr>
        <w:t xml:space="preserve"> national data sharing</w:t>
      </w:r>
      <w:r>
        <w:rPr>
          <w:rFonts w:ascii="Lato" w:hAnsi="Lato" w:cs="Arial"/>
          <w:sz w:val="24"/>
        </w:rPr>
        <w:t xml:space="preserve"> and linkage activities between school sectors and jurisdictions.</w:t>
      </w:r>
    </w:p>
    <w:p w:rsidR="00B60749" w:rsidRDefault="00E41959" w:rsidP="00E41959">
      <w:pPr>
        <w:autoSpaceDE w:val="0"/>
        <w:autoSpaceDN w:val="0"/>
        <w:adjustRightInd w:val="0"/>
        <w:spacing w:before="120"/>
        <w:rPr>
          <w:rFonts w:cs="Arial"/>
          <w:sz w:val="24"/>
        </w:rPr>
      </w:pPr>
      <w:r w:rsidRPr="00C407ED">
        <w:rPr>
          <w:rFonts w:cs="Arial"/>
          <w:sz w:val="24"/>
        </w:rPr>
        <w:t xml:space="preserve">The </w:t>
      </w:r>
      <w:r w:rsidR="00C069B1">
        <w:rPr>
          <w:rFonts w:cs="Arial"/>
          <w:sz w:val="24"/>
        </w:rPr>
        <w:t>Northern Territory</w:t>
      </w:r>
      <w:r w:rsidRPr="00C407ED">
        <w:rPr>
          <w:rFonts w:cs="Arial"/>
          <w:sz w:val="24"/>
        </w:rPr>
        <w:t xml:space="preserve"> also recommends investigation into the development of a </w:t>
      </w:r>
      <w:r w:rsidRPr="00C33CD2">
        <w:rPr>
          <w:rFonts w:cs="Arial"/>
          <w:sz w:val="24"/>
        </w:rPr>
        <w:t>national expert body on educational research and data</w:t>
      </w:r>
      <w:r w:rsidR="001925CF">
        <w:rPr>
          <w:rFonts w:cs="Arial"/>
          <w:sz w:val="24"/>
        </w:rPr>
        <w:t xml:space="preserve"> that</w:t>
      </w:r>
      <w:r w:rsidRPr="00C407ED">
        <w:rPr>
          <w:rFonts w:cs="Arial"/>
          <w:sz w:val="24"/>
        </w:rPr>
        <w:t xml:space="preserve"> could address research standards and quality issues from a consultative and strategic position. This expert body c</w:t>
      </w:r>
      <w:r w:rsidR="00F722CD">
        <w:rPr>
          <w:rFonts w:cs="Arial"/>
          <w:sz w:val="24"/>
        </w:rPr>
        <w:t>ould act as a research clearing</w:t>
      </w:r>
      <w:r w:rsidRPr="00C407ED">
        <w:rPr>
          <w:rFonts w:cs="Arial"/>
          <w:sz w:val="24"/>
        </w:rPr>
        <w:t>house, utilising the expertise of and engaging with professional associations and research institutions.</w:t>
      </w:r>
    </w:p>
    <w:p w:rsidR="00E54BC8" w:rsidRDefault="00E54BC8" w:rsidP="00E41959">
      <w:pPr>
        <w:autoSpaceDE w:val="0"/>
        <w:autoSpaceDN w:val="0"/>
        <w:adjustRightInd w:val="0"/>
        <w:spacing w:before="120"/>
        <w:rPr>
          <w:rFonts w:cs="Arial"/>
          <w:sz w:val="24"/>
        </w:rPr>
      </w:pPr>
    </w:p>
    <w:p w:rsidR="00E54BC8" w:rsidRDefault="00E54BC8" w:rsidP="00E41959">
      <w:pPr>
        <w:autoSpaceDE w:val="0"/>
        <w:autoSpaceDN w:val="0"/>
        <w:adjustRightInd w:val="0"/>
        <w:spacing w:before="120"/>
        <w:rPr>
          <w:rFonts w:cs="Arial"/>
          <w:sz w:val="24"/>
        </w:rPr>
      </w:pPr>
    </w:p>
    <w:p w:rsidR="00E54BC8" w:rsidRPr="00C407ED" w:rsidRDefault="00E54BC8" w:rsidP="00E41959">
      <w:pPr>
        <w:autoSpaceDE w:val="0"/>
        <w:autoSpaceDN w:val="0"/>
        <w:adjustRightInd w:val="0"/>
        <w:spacing w:before="120"/>
        <w:rPr>
          <w:rFonts w:cs="Arial"/>
          <w:sz w:val="24"/>
        </w:rPr>
      </w:pPr>
    </w:p>
    <w:p w:rsidR="00E41959" w:rsidRPr="00C407ED" w:rsidRDefault="00E41959" w:rsidP="00C407ED">
      <w:pPr>
        <w:spacing w:before="240" w:after="200" w:line="276" w:lineRule="auto"/>
        <w:rPr>
          <w:rFonts w:cs="Arial"/>
          <w:b/>
          <w:sz w:val="28"/>
        </w:rPr>
      </w:pPr>
      <w:r w:rsidRPr="00C407ED">
        <w:rPr>
          <w:rFonts w:cs="Arial"/>
          <w:b/>
          <w:sz w:val="28"/>
        </w:rPr>
        <w:t>Capacity</w:t>
      </w:r>
    </w:p>
    <w:p w:rsidR="00355688" w:rsidRDefault="00E41959" w:rsidP="00E41959">
      <w:pPr>
        <w:tabs>
          <w:tab w:val="right" w:pos="9044"/>
        </w:tabs>
        <w:autoSpaceDE w:val="0"/>
        <w:autoSpaceDN w:val="0"/>
        <w:adjustRightInd w:val="0"/>
        <w:spacing w:before="120"/>
        <w:rPr>
          <w:rFonts w:cs="Arial"/>
          <w:sz w:val="24"/>
        </w:rPr>
      </w:pPr>
      <w:r w:rsidRPr="00C407ED">
        <w:rPr>
          <w:rFonts w:cs="Arial"/>
          <w:sz w:val="24"/>
        </w:rPr>
        <w:t>A national education evidence base is only as useful as the quality of data it contai</w:t>
      </w:r>
      <w:r w:rsidR="00D16178">
        <w:rPr>
          <w:rFonts w:cs="Arial"/>
          <w:sz w:val="24"/>
        </w:rPr>
        <w:t xml:space="preserve">ns and its accessibility to end </w:t>
      </w:r>
      <w:r w:rsidRPr="00C407ED">
        <w:rPr>
          <w:rFonts w:cs="Arial"/>
          <w:sz w:val="24"/>
        </w:rPr>
        <w:t xml:space="preserve">users. The capacity and capability of </w:t>
      </w:r>
      <w:r w:rsidR="00AB6E10">
        <w:rPr>
          <w:rFonts w:cs="Arial"/>
          <w:sz w:val="24"/>
        </w:rPr>
        <w:t xml:space="preserve">all education systems </w:t>
      </w:r>
      <w:r w:rsidRPr="00C407ED">
        <w:rPr>
          <w:rFonts w:cs="Arial"/>
          <w:sz w:val="24"/>
        </w:rPr>
        <w:t>to keep pace with the evolving demands and technologies required to contribute effectively to a national evidence base need to be considered</w:t>
      </w:r>
      <w:r w:rsidR="00AB6E10">
        <w:rPr>
          <w:rFonts w:cs="Arial"/>
          <w:sz w:val="24"/>
        </w:rPr>
        <w:t xml:space="preserve">. </w:t>
      </w:r>
    </w:p>
    <w:p w:rsidR="00E41959" w:rsidRPr="00C407ED" w:rsidRDefault="00AB6E10" w:rsidP="00E41959">
      <w:pPr>
        <w:tabs>
          <w:tab w:val="right" w:pos="9044"/>
        </w:tabs>
        <w:autoSpaceDE w:val="0"/>
        <w:autoSpaceDN w:val="0"/>
        <w:adjustRightInd w:val="0"/>
        <w:spacing w:before="120"/>
        <w:rPr>
          <w:rFonts w:cs="Arial"/>
          <w:sz w:val="24"/>
        </w:rPr>
      </w:pPr>
      <w:r>
        <w:rPr>
          <w:rFonts w:cs="Arial"/>
          <w:sz w:val="24"/>
        </w:rPr>
        <w:lastRenderedPageBreak/>
        <w:t>In addition,</w:t>
      </w:r>
      <w:r w:rsidR="00E41959" w:rsidRPr="00C407ED">
        <w:rPr>
          <w:rFonts w:cs="Arial"/>
          <w:sz w:val="24"/>
        </w:rPr>
        <w:t xml:space="preserve"> a clear understanding of who is using the data</w:t>
      </w:r>
      <w:r w:rsidR="00355688">
        <w:rPr>
          <w:rFonts w:cs="Arial"/>
          <w:sz w:val="24"/>
        </w:rPr>
        <w:t xml:space="preserve"> and for what purpose,</w:t>
      </w:r>
      <w:r w:rsidR="00E41959" w:rsidRPr="00C407ED">
        <w:rPr>
          <w:rFonts w:cs="Arial"/>
          <w:sz w:val="24"/>
        </w:rPr>
        <w:t xml:space="preserve"> and the best way to </w:t>
      </w:r>
      <w:r w:rsidR="003526F0">
        <w:rPr>
          <w:rFonts w:cs="Arial"/>
          <w:sz w:val="24"/>
        </w:rPr>
        <w:t>present</w:t>
      </w:r>
      <w:r w:rsidR="00E41959" w:rsidRPr="00C407ED">
        <w:rPr>
          <w:rFonts w:cs="Arial"/>
          <w:sz w:val="24"/>
        </w:rPr>
        <w:t xml:space="preserve"> </w:t>
      </w:r>
      <w:r w:rsidR="00355688">
        <w:rPr>
          <w:rFonts w:cs="Arial"/>
          <w:sz w:val="24"/>
        </w:rPr>
        <w:t xml:space="preserve">data to support end </w:t>
      </w:r>
      <w:r w:rsidR="00E41959" w:rsidRPr="00C407ED">
        <w:rPr>
          <w:rFonts w:cs="Arial"/>
          <w:sz w:val="24"/>
        </w:rPr>
        <w:t>user requirements</w:t>
      </w:r>
      <w:r w:rsidR="003526F0">
        <w:rPr>
          <w:rFonts w:cs="Arial"/>
          <w:sz w:val="24"/>
        </w:rPr>
        <w:t>,</w:t>
      </w:r>
      <w:r w:rsidR="005C13A9">
        <w:rPr>
          <w:rFonts w:cs="Arial"/>
          <w:sz w:val="24"/>
        </w:rPr>
        <w:t xml:space="preserve"> is a vital aspect of any national evidence base</w:t>
      </w:r>
      <w:r w:rsidR="00E41959" w:rsidRPr="00C407ED">
        <w:rPr>
          <w:rFonts w:cs="Arial"/>
          <w:sz w:val="24"/>
        </w:rPr>
        <w:t>.</w:t>
      </w:r>
    </w:p>
    <w:p w:rsidR="00E41959" w:rsidRPr="00C407ED" w:rsidRDefault="00E41959" w:rsidP="00E41959">
      <w:pPr>
        <w:tabs>
          <w:tab w:val="right" w:pos="9044"/>
        </w:tabs>
        <w:autoSpaceDE w:val="0"/>
        <w:autoSpaceDN w:val="0"/>
        <w:adjustRightInd w:val="0"/>
        <w:spacing w:before="120"/>
        <w:rPr>
          <w:rFonts w:cs="Arial"/>
          <w:sz w:val="24"/>
        </w:rPr>
      </w:pPr>
      <w:r w:rsidRPr="00C407ED">
        <w:rPr>
          <w:rFonts w:cs="Arial"/>
          <w:sz w:val="24"/>
        </w:rPr>
        <w:t xml:space="preserve">There is variable capacity </w:t>
      </w:r>
      <w:r w:rsidR="00233348">
        <w:rPr>
          <w:rFonts w:cs="Arial"/>
          <w:sz w:val="24"/>
        </w:rPr>
        <w:t>within</w:t>
      </w:r>
      <w:r w:rsidRPr="00C407ED">
        <w:rPr>
          <w:rFonts w:cs="Arial"/>
          <w:sz w:val="24"/>
        </w:rPr>
        <w:t xml:space="preserve"> current data collections to accurately measure what needs to be measured (t</w:t>
      </w:r>
      <w:r w:rsidR="003526F0">
        <w:rPr>
          <w:rFonts w:cs="Arial"/>
          <w:sz w:val="24"/>
        </w:rPr>
        <w:t>hat is, student learning growth</w:t>
      </w:r>
      <w:r w:rsidR="00233348">
        <w:rPr>
          <w:rFonts w:cs="Arial"/>
          <w:sz w:val="24"/>
        </w:rPr>
        <w:t xml:space="preserve">, not only </w:t>
      </w:r>
      <w:r w:rsidR="005C13A9">
        <w:rPr>
          <w:rFonts w:cs="Arial"/>
          <w:sz w:val="24"/>
        </w:rPr>
        <w:t>achievement). T</w:t>
      </w:r>
      <w:r w:rsidRPr="00C407ED">
        <w:rPr>
          <w:rFonts w:cs="Arial"/>
          <w:sz w:val="24"/>
        </w:rPr>
        <w:t>he data needs of systems and jurisdictions vary</w:t>
      </w:r>
      <w:r w:rsidR="005C13A9">
        <w:rPr>
          <w:rFonts w:cs="Arial"/>
          <w:sz w:val="24"/>
        </w:rPr>
        <w:t xml:space="preserve">, as does </w:t>
      </w:r>
      <w:r w:rsidRPr="00C407ED">
        <w:rPr>
          <w:rFonts w:cs="Arial"/>
          <w:sz w:val="24"/>
        </w:rPr>
        <w:t>capacity to keep pace w</w:t>
      </w:r>
      <w:r w:rsidR="00C33CD2">
        <w:rPr>
          <w:rFonts w:cs="Arial"/>
          <w:sz w:val="24"/>
        </w:rPr>
        <w:t>ith developments in technology</w:t>
      </w:r>
      <w:r w:rsidRPr="00C407ED">
        <w:rPr>
          <w:rFonts w:cs="Arial"/>
          <w:sz w:val="24"/>
        </w:rPr>
        <w:t>. At a national level there needs to be a clear focus and articulated rationale regarding technological requirements, what will be measured,</w:t>
      </w:r>
      <w:r w:rsidR="00233348">
        <w:rPr>
          <w:rFonts w:cs="Arial"/>
          <w:sz w:val="24"/>
        </w:rPr>
        <w:t xml:space="preserve"> and what will not be measured,</w:t>
      </w:r>
      <w:r w:rsidRPr="00C407ED">
        <w:rPr>
          <w:rFonts w:cs="Arial"/>
          <w:sz w:val="24"/>
        </w:rPr>
        <w:t xml:space="preserve"> as continual additions to data collections is unsustainable.</w:t>
      </w:r>
    </w:p>
    <w:p w:rsidR="00E41959" w:rsidRPr="00C407ED" w:rsidRDefault="00E41959" w:rsidP="00E41959">
      <w:pPr>
        <w:tabs>
          <w:tab w:val="right" w:pos="9044"/>
        </w:tabs>
        <w:autoSpaceDE w:val="0"/>
        <w:autoSpaceDN w:val="0"/>
        <w:adjustRightInd w:val="0"/>
        <w:spacing w:before="120"/>
        <w:rPr>
          <w:rFonts w:cs="Arial"/>
          <w:sz w:val="24"/>
          <w:u w:val="single"/>
        </w:rPr>
      </w:pPr>
      <w:r w:rsidRPr="00C407ED">
        <w:rPr>
          <w:rFonts w:cs="Arial"/>
          <w:sz w:val="24"/>
          <w:u w:val="single"/>
        </w:rPr>
        <w:t>Recommendation</w:t>
      </w:r>
    </w:p>
    <w:p w:rsidR="005E41D0" w:rsidRDefault="00AB58D2" w:rsidP="00C407ED">
      <w:pPr>
        <w:autoSpaceDE w:val="0"/>
        <w:autoSpaceDN w:val="0"/>
        <w:adjustRightInd w:val="0"/>
        <w:spacing w:before="120"/>
        <w:rPr>
          <w:rFonts w:cs="Arial"/>
          <w:sz w:val="24"/>
        </w:rPr>
      </w:pPr>
      <w:r>
        <w:rPr>
          <w:rFonts w:cs="Arial"/>
          <w:sz w:val="24"/>
        </w:rPr>
        <w:t>Given the significant amount of system performance and population-level data</w:t>
      </w:r>
      <w:r w:rsidR="00A3666F">
        <w:rPr>
          <w:rFonts w:cs="Arial"/>
          <w:sz w:val="24"/>
        </w:rPr>
        <w:t xml:space="preserve"> already being</w:t>
      </w:r>
      <w:r>
        <w:rPr>
          <w:rFonts w:cs="Arial"/>
          <w:sz w:val="24"/>
        </w:rPr>
        <w:t xml:space="preserve"> reported at the national level, t</w:t>
      </w:r>
      <w:r w:rsidR="00E41959" w:rsidRPr="00C407ED">
        <w:rPr>
          <w:rFonts w:cs="Arial"/>
          <w:sz w:val="24"/>
        </w:rPr>
        <w:t xml:space="preserve">he </w:t>
      </w:r>
      <w:r w:rsidR="00C069B1">
        <w:rPr>
          <w:rFonts w:cs="Arial"/>
          <w:sz w:val="24"/>
        </w:rPr>
        <w:t>Northern Territory</w:t>
      </w:r>
      <w:r w:rsidR="001925CF">
        <w:rPr>
          <w:rFonts w:cs="Arial"/>
          <w:sz w:val="24"/>
        </w:rPr>
        <w:t xml:space="preserve"> recommends that medium</w:t>
      </w:r>
      <w:r w:rsidR="001925CF">
        <w:rPr>
          <w:rFonts w:cs="Arial"/>
          <w:sz w:val="24"/>
        </w:rPr>
        <w:noBreakHyphen/>
      </w:r>
      <w:r w:rsidR="00E41959" w:rsidRPr="00C407ED">
        <w:rPr>
          <w:rFonts w:cs="Arial"/>
          <w:sz w:val="24"/>
        </w:rPr>
        <w:t>term data collection</w:t>
      </w:r>
      <w:r w:rsidR="00C33CD2">
        <w:rPr>
          <w:rFonts w:cs="Arial"/>
          <w:sz w:val="24"/>
        </w:rPr>
        <w:t xml:space="preserve"> and reform</w:t>
      </w:r>
      <w:r w:rsidR="00E41959" w:rsidRPr="00C407ED">
        <w:rPr>
          <w:rFonts w:cs="Arial"/>
          <w:sz w:val="24"/>
        </w:rPr>
        <w:t xml:space="preserve"> focuses on</w:t>
      </w:r>
      <w:r w:rsidR="00C33CD2">
        <w:rPr>
          <w:rFonts w:cs="Arial"/>
          <w:sz w:val="24"/>
        </w:rPr>
        <w:t xml:space="preserve"> delivering</w:t>
      </w:r>
      <w:r w:rsidR="00E41959" w:rsidRPr="00C407ED">
        <w:rPr>
          <w:rFonts w:cs="Arial"/>
          <w:sz w:val="24"/>
        </w:rPr>
        <w:t xml:space="preserve"> benefit</w:t>
      </w:r>
      <w:r w:rsidR="00C33CD2">
        <w:rPr>
          <w:rFonts w:cs="Arial"/>
          <w:sz w:val="24"/>
        </w:rPr>
        <w:t>s</w:t>
      </w:r>
      <w:r w:rsidR="00E41959" w:rsidRPr="00C407ED">
        <w:rPr>
          <w:rFonts w:cs="Arial"/>
          <w:sz w:val="24"/>
        </w:rPr>
        <w:t xml:space="preserve"> to schools</w:t>
      </w:r>
      <w:r w:rsidR="00C33CD2">
        <w:rPr>
          <w:rFonts w:cs="Arial"/>
          <w:sz w:val="24"/>
        </w:rPr>
        <w:t>, teaching and learning</w:t>
      </w:r>
      <w:r>
        <w:rPr>
          <w:rFonts w:cs="Arial"/>
          <w:sz w:val="24"/>
        </w:rPr>
        <w:t>.</w:t>
      </w:r>
      <w:r w:rsidR="005E41D0">
        <w:rPr>
          <w:rFonts w:cs="Arial"/>
          <w:sz w:val="24"/>
        </w:rPr>
        <w:t xml:space="preserve"> </w:t>
      </w:r>
    </w:p>
    <w:p w:rsidR="00E41959" w:rsidRDefault="005E41D0" w:rsidP="00C407ED">
      <w:pPr>
        <w:autoSpaceDE w:val="0"/>
        <w:autoSpaceDN w:val="0"/>
        <w:adjustRightInd w:val="0"/>
        <w:spacing w:before="120"/>
        <w:rPr>
          <w:rFonts w:cs="Arial"/>
          <w:sz w:val="24"/>
        </w:rPr>
      </w:pPr>
      <w:r>
        <w:rPr>
          <w:rFonts w:cs="Arial"/>
          <w:sz w:val="24"/>
        </w:rPr>
        <w:t>A</w:t>
      </w:r>
      <w:r w:rsidR="001925CF">
        <w:rPr>
          <w:rFonts w:cs="Arial"/>
          <w:sz w:val="24"/>
        </w:rPr>
        <w:t>s part of the proposed national data s</w:t>
      </w:r>
      <w:r>
        <w:rPr>
          <w:rFonts w:cs="Arial"/>
          <w:sz w:val="24"/>
        </w:rPr>
        <w:t>trategy, j</w:t>
      </w:r>
      <w:r w:rsidR="00E41959" w:rsidRPr="00C407ED">
        <w:rPr>
          <w:rFonts w:cs="Arial"/>
          <w:sz w:val="24"/>
        </w:rPr>
        <w:t xml:space="preserve">urisdictions and systems should </w:t>
      </w:r>
      <w:r w:rsidR="006517B7">
        <w:rPr>
          <w:rFonts w:cs="Arial"/>
          <w:sz w:val="24"/>
        </w:rPr>
        <w:t xml:space="preserve">also </w:t>
      </w:r>
      <w:r w:rsidR="00E41959" w:rsidRPr="00C407ED">
        <w:rPr>
          <w:rFonts w:cs="Arial"/>
          <w:sz w:val="24"/>
        </w:rPr>
        <w:t xml:space="preserve">consider how </w:t>
      </w:r>
      <w:r>
        <w:rPr>
          <w:rFonts w:cs="Arial"/>
          <w:sz w:val="24"/>
        </w:rPr>
        <w:t>analytical</w:t>
      </w:r>
      <w:r w:rsidR="00E41959" w:rsidRPr="00C33CD2">
        <w:rPr>
          <w:rFonts w:cs="Arial"/>
          <w:sz w:val="24"/>
        </w:rPr>
        <w:t xml:space="preserve"> </w:t>
      </w:r>
      <w:r>
        <w:rPr>
          <w:rFonts w:cs="Arial"/>
          <w:sz w:val="24"/>
        </w:rPr>
        <w:t>capacity for systems and schools can be further developed at</w:t>
      </w:r>
      <w:r w:rsidR="00D30D5D">
        <w:rPr>
          <w:rFonts w:cs="Arial"/>
          <w:sz w:val="24"/>
        </w:rPr>
        <w:t xml:space="preserve"> the national level to support teaching and learning outcomes. </w:t>
      </w:r>
    </w:p>
    <w:p w:rsidR="00212EFB" w:rsidRPr="00212EFB" w:rsidRDefault="00212EFB" w:rsidP="00C407ED">
      <w:pPr>
        <w:autoSpaceDE w:val="0"/>
        <w:autoSpaceDN w:val="0"/>
        <w:adjustRightInd w:val="0"/>
        <w:spacing w:before="120"/>
        <w:rPr>
          <w:rFonts w:cs="Arial"/>
          <w:b/>
          <w:sz w:val="28"/>
          <w:szCs w:val="28"/>
        </w:rPr>
      </w:pPr>
      <w:r w:rsidRPr="00212EFB">
        <w:rPr>
          <w:rFonts w:cs="Arial"/>
          <w:b/>
          <w:sz w:val="28"/>
          <w:szCs w:val="28"/>
        </w:rPr>
        <w:t>Conclusion</w:t>
      </w:r>
    </w:p>
    <w:p w:rsidR="00212EFB" w:rsidRDefault="00212EFB" w:rsidP="00212EFB">
      <w:pPr>
        <w:tabs>
          <w:tab w:val="right" w:pos="9044"/>
        </w:tabs>
        <w:autoSpaceDE w:val="0"/>
        <w:autoSpaceDN w:val="0"/>
        <w:adjustRightInd w:val="0"/>
        <w:spacing w:before="120"/>
        <w:rPr>
          <w:rFonts w:cs="Arial"/>
          <w:sz w:val="24"/>
        </w:rPr>
      </w:pPr>
      <w:r>
        <w:rPr>
          <w:rFonts w:cs="Arial"/>
          <w:sz w:val="24"/>
        </w:rPr>
        <w:t>T</w:t>
      </w:r>
      <w:r w:rsidRPr="00C407ED">
        <w:rPr>
          <w:rFonts w:cs="Arial"/>
          <w:sz w:val="24"/>
        </w:rPr>
        <w:t xml:space="preserve">he </w:t>
      </w:r>
      <w:r>
        <w:rPr>
          <w:rFonts w:cs="Arial"/>
          <w:sz w:val="24"/>
        </w:rPr>
        <w:t>Northern Territory</w:t>
      </w:r>
      <w:r w:rsidRPr="00C407ED">
        <w:rPr>
          <w:rFonts w:cs="Arial"/>
          <w:sz w:val="24"/>
        </w:rPr>
        <w:t xml:space="preserve"> supports greater strategic focus on the na</w:t>
      </w:r>
      <w:r>
        <w:rPr>
          <w:rFonts w:cs="Arial"/>
          <w:sz w:val="24"/>
        </w:rPr>
        <w:t xml:space="preserve">tional education evidence base, </w:t>
      </w:r>
      <w:r w:rsidRPr="00C407ED">
        <w:rPr>
          <w:rFonts w:cs="Arial"/>
          <w:sz w:val="24"/>
        </w:rPr>
        <w:t>to strengthen data practice and techniques to supp</w:t>
      </w:r>
      <w:r>
        <w:rPr>
          <w:rFonts w:cs="Arial"/>
          <w:sz w:val="24"/>
        </w:rPr>
        <w:t>ort policy and decision making. This can be achieve</w:t>
      </w:r>
      <w:r w:rsidR="001925CF">
        <w:rPr>
          <w:rFonts w:cs="Arial"/>
          <w:sz w:val="24"/>
        </w:rPr>
        <w:t>d through the development of a national data strategy and a</w:t>
      </w:r>
      <w:r>
        <w:rPr>
          <w:rFonts w:cs="Arial"/>
          <w:sz w:val="24"/>
        </w:rPr>
        <w:t xml:space="preserve">greement to define priorities and processes, alongside the strengthening of research standards within the education sector. National </w:t>
      </w:r>
      <w:r w:rsidR="00B72EEB">
        <w:rPr>
          <w:rFonts w:cs="Arial"/>
          <w:sz w:val="24"/>
        </w:rPr>
        <w:t xml:space="preserve">data reform </w:t>
      </w:r>
      <w:r>
        <w:rPr>
          <w:rFonts w:cs="Arial"/>
          <w:sz w:val="24"/>
        </w:rPr>
        <w:t>priorities should focus on c</w:t>
      </w:r>
      <w:r w:rsidR="00B72EEB">
        <w:rPr>
          <w:rFonts w:cs="Arial"/>
          <w:sz w:val="24"/>
        </w:rPr>
        <w:t xml:space="preserve">apacity building across systems, as well as those which will deliver the greatest benefits to schools and support effective teaching and learning practice. </w:t>
      </w:r>
    </w:p>
    <w:p w:rsidR="00212EFB" w:rsidRPr="00C407ED" w:rsidRDefault="00212EFB" w:rsidP="00212EFB">
      <w:pPr>
        <w:tabs>
          <w:tab w:val="right" w:pos="9044"/>
        </w:tabs>
        <w:autoSpaceDE w:val="0"/>
        <w:autoSpaceDN w:val="0"/>
        <w:adjustRightInd w:val="0"/>
        <w:spacing w:before="120"/>
        <w:rPr>
          <w:rFonts w:cs="Arial"/>
          <w:sz w:val="24"/>
        </w:rPr>
      </w:pPr>
      <w:r>
        <w:rPr>
          <w:rFonts w:cs="Arial"/>
          <w:sz w:val="24"/>
        </w:rPr>
        <w:t>The Northern Territory Government</w:t>
      </w:r>
      <w:r w:rsidRPr="00C407ED">
        <w:rPr>
          <w:rFonts w:cs="Arial"/>
          <w:sz w:val="24"/>
        </w:rPr>
        <w:t xml:space="preserve"> looks forward to a continued dialogue with the Australian Government</w:t>
      </w:r>
      <w:r>
        <w:rPr>
          <w:rFonts w:cs="Arial"/>
          <w:sz w:val="24"/>
        </w:rPr>
        <w:t>, states, territories and other school sectors</w:t>
      </w:r>
      <w:r w:rsidRPr="00C407ED">
        <w:rPr>
          <w:rFonts w:cs="Arial"/>
          <w:sz w:val="24"/>
        </w:rPr>
        <w:t xml:space="preserve"> regarding </w:t>
      </w:r>
      <w:r>
        <w:rPr>
          <w:rFonts w:cs="Arial"/>
          <w:sz w:val="24"/>
        </w:rPr>
        <w:t xml:space="preserve">further development of the </w:t>
      </w:r>
      <w:r w:rsidRPr="00C407ED">
        <w:rPr>
          <w:rFonts w:cs="Arial"/>
          <w:sz w:val="24"/>
        </w:rPr>
        <w:t>national education</w:t>
      </w:r>
      <w:r>
        <w:rPr>
          <w:rFonts w:cs="Arial"/>
          <w:sz w:val="24"/>
        </w:rPr>
        <w:t xml:space="preserve"> and early childhood</w:t>
      </w:r>
      <w:r w:rsidRPr="00C407ED">
        <w:rPr>
          <w:rFonts w:cs="Arial"/>
          <w:sz w:val="24"/>
        </w:rPr>
        <w:t xml:space="preserve"> evidence base. </w:t>
      </w:r>
    </w:p>
    <w:p w:rsidR="00FB1D9B" w:rsidRPr="00C407ED" w:rsidRDefault="00FB1D9B" w:rsidP="00E64AD4">
      <w:pPr>
        <w:tabs>
          <w:tab w:val="right" w:pos="9044"/>
        </w:tabs>
        <w:autoSpaceDE w:val="0"/>
        <w:autoSpaceDN w:val="0"/>
        <w:adjustRightInd w:val="0"/>
        <w:rPr>
          <w:rFonts w:cs="Arial"/>
          <w:sz w:val="24"/>
        </w:rPr>
      </w:pPr>
    </w:p>
    <w:sectPr w:rsidR="00FB1D9B" w:rsidRPr="00C407ED" w:rsidSect="00662677">
      <w:headerReference w:type="default" r:id="rId14"/>
      <w:headerReference w:type="first" r:id="rId15"/>
      <w:footerReference w:type="first" r:id="rId16"/>
      <w:type w:val="continuous"/>
      <w:pgSz w:w="11906" w:h="16838" w:code="9"/>
      <w:pgMar w:top="1985" w:right="851" w:bottom="1134" w:left="1758" w:header="284" w:footer="567"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44" w:rsidRDefault="00EF5944">
      <w:r>
        <w:separator/>
      </w:r>
    </w:p>
  </w:endnote>
  <w:endnote w:type="continuationSeparator" w:id="0">
    <w:p w:rsidR="00EF5944" w:rsidRDefault="00EF5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ato">
    <w:altName w:val="Calibri"/>
    <w:charset w:val="00"/>
    <w:family w:val="swiss"/>
    <w:pitch w:val="variable"/>
    <w:sig w:usb0="00000001"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Lato Regular">
    <w:altName w:val="Calibri"/>
    <w:charset w:val="00"/>
    <w:family w:val="auto"/>
    <w:pitch w:val="variable"/>
    <w:sig w:usb0="00000003" w:usb1="00000000" w:usb2="00000000" w:usb3="00000000" w:csb0="00000001" w:csb1="00000000"/>
  </w:font>
  <w:font w:name="Lato Black">
    <w:altName w:val="Calibri"/>
    <w:charset w:val="00"/>
    <w:family w:val="swiss"/>
    <w:pitch w:val="variable"/>
    <w:sig w:usb0="00000001" w:usb1="5000ECFF" w:usb2="00000021"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3F0" w:rsidRDefault="00F923F0" w:rsidP="00662677">
    <w:pPr>
      <w:pStyle w:val="Footer"/>
      <w:tabs>
        <w:tab w:val="clear" w:pos="4153"/>
        <w:tab w:val="clear" w:pos="8306"/>
        <w:tab w:val="right" w:pos="9356"/>
      </w:tabs>
    </w:pPr>
    <w:r>
      <w:rPr>
        <w:color w:val="003D7D"/>
        <w:sz w:val="28"/>
      </w:rPr>
      <w:tab/>
      <w:t>www.education.nt.gov.au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44" w:rsidRDefault="00EF5944">
      <w:r>
        <w:separator/>
      </w:r>
    </w:p>
  </w:footnote>
  <w:footnote w:type="continuationSeparator" w:id="0">
    <w:p w:rsidR="00EF5944" w:rsidRDefault="00EF5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3F0" w:rsidRDefault="00F923F0">
    <w:pPr>
      <w:pStyle w:val="Header"/>
      <w:jc w:val="center"/>
    </w:pPr>
  </w:p>
  <w:p w:rsidR="00F923F0" w:rsidRDefault="00F923F0">
    <w:pPr>
      <w:pStyle w:val="Header"/>
      <w:jc w:val="center"/>
    </w:pPr>
  </w:p>
  <w:p w:rsidR="00F923F0" w:rsidRDefault="00F923F0">
    <w:pPr>
      <w:pStyle w:val="Header"/>
      <w:jc w:val="center"/>
    </w:pPr>
    <w:r>
      <w:fldChar w:fldCharType="begin"/>
    </w:r>
    <w:r>
      <w:instrText xml:space="preserve"> PAGE </w:instrText>
    </w:r>
    <w:r>
      <w:fldChar w:fldCharType="separate"/>
    </w:r>
    <w:r w:rsidR="003B007F">
      <w:rPr>
        <w:noProof/>
      </w:rPr>
      <w:t>- 6 -</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3F0" w:rsidRDefault="00F923F0">
    <w:pPr>
      <w:pStyle w:val="Header"/>
    </w:pPr>
    <w:r>
      <w:rPr>
        <w:noProof/>
      </w:rPr>
      <w:drawing>
        <wp:anchor distT="114300" distB="114300" distL="114300" distR="114300" simplePos="0" relativeHeight="251659264" behindDoc="1" locked="0" layoutInCell="1" allowOverlap="1" wp14:anchorId="458F9F09" wp14:editId="31D50026">
          <wp:simplePos x="0" y="0"/>
          <wp:positionH relativeFrom="margin">
            <wp:posOffset>3909060</wp:posOffset>
          </wp:positionH>
          <wp:positionV relativeFrom="page">
            <wp:posOffset>0</wp:posOffset>
          </wp:positionV>
          <wp:extent cx="704850" cy="11049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53739083" wp14:editId="137BE236">
              <wp:simplePos x="0" y="0"/>
              <wp:positionH relativeFrom="page">
                <wp:posOffset>5761355</wp:posOffset>
              </wp:positionH>
              <wp:positionV relativeFrom="page">
                <wp:posOffset>701675</wp:posOffset>
              </wp:positionV>
              <wp:extent cx="1574800" cy="327025"/>
              <wp:effectExtent l="0" t="0" r="6350" b="15875"/>
              <wp:wrapTight wrapText="bothSides">
                <wp:wrapPolygon edited="0">
                  <wp:start x="0" y="0"/>
                  <wp:lineTo x="0" y="21390"/>
                  <wp:lineTo x="21426" y="21390"/>
                  <wp:lineTo x="21426"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4800" cy="327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23F0" w:rsidRDefault="00F923F0" w:rsidP="00F923F0">
                          <w:pPr>
                            <w:pStyle w:val="Departmentof"/>
                          </w:pPr>
                          <w:r>
                            <w:t>Department of</w:t>
                          </w:r>
                        </w:p>
                        <w:p w:rsidR="00F923F0" w:rsidRDefault="00F923F0" w:rsidP="00F923F0">
                          <w:pPr>
                            <w:pStyle w:val="Departmentname"/>
                          </w:pPr>
                          <w:r>
                            <w:t>Education</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53.65pt;margin-top:55.25pt;width:124pt;height:2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" filled="f" stroked="f">
              <v:textbox inset="0,0,0,0">
                <w:txbxContent>
                  <w:p w:rsidR="00F923F0" w:rsidRDefault="00F923F0" w:rsidP="00F923F0">
                    <w:pPr>
                      <w:pStyle w:val="Departmentof"/>
                    </w:pPr>
                    <w:r>
                      <w:t>Department of</w:t>
                    </w:r>
                  </w:p>
                  <w:p w:rsidR="00F923F0" w:rsidRDefault="00F923F0" w:rsidP="00F923F0">
                    <w:pPr>
                      <w:pStyle w:val="Departmentname"/>
                    </w:pPr>
                    <w:r>
                      <w:t>Education</w:t>
                    </w:r>
                  </w:p>
                </w:txbxContent>
              </v:textbox>
              <w10:wrap type="tight" anchorx="page" anchory="page"/>
            </v:shape>
          </w:pict>
        </mc:Fallback>
      </mc:AlternateContent>
    </w:r>
    <w:r>
      <w:rPr>
        <w:noProof/>
      </w:rPr>
      <w:drawing>
        <wp:anchor distT="114300" distB="114300" distL="114300" distR="114300" simplePos="0" relativeHeight="251660288" behindDoc="1" locked="0" layoutInCell="0" allowOverlap="1" wp14:anchorId="12A1E552" wp14:editId="67E73B00">
          <wp:simplePos x="0" y="0"/>
          <wp:positionH relativeFrom="margin">
            <wp:posOffset>-742315</wp:posOffset>
          </wp:positionH>
          <wp:positionV relativeFrom="margin">
            <wp:posOffset>-869950</wp:posOffset>
          </wp:positionV>
          <wp:extent cx="2169160" cy="701040"/>
          <wp:effectExtent l="0" t="0" r="0" b="381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69160" cy="701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F4535"/>
    <w:multiLevelType w:val="hybridMultilevel"/>
    <w:tmpl w:val="7BB4474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6D42B1A"/>
    <w:multiLevelType w:val="hybridMultilevel"/>
    <w:tmpl w:val="89E0E6B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0E1885"/>
    <w:multiLevelType w:val="hybridMultilevel"/>
    <w:tmpl w:val="319A6978"/>
    <w:lvl w:ilvl="0" w:tplc="EEAE538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F57A37"/>
    <w:multiLevelType w:val="hybridMultilevel"/>
    <w:tmpl w:val="B6E4ED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6149AD"/>
    <w:multiLevelType w:val="hybridMultilevel"/>
    <w:tmpl w:val="5902F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E640CF2"/>
    <w:multiLevelType w:val="hybridMultilevel"/>
    <w:tmpl w:val="92B2396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1E50069"/>
    <w:multiLevelType w:val="hybridMultilevel"/>
    <w:tmpl w:val="DFAC885C"/>
    <w:lvl w:ilvl="0" w:tplc="D5ACD1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53A6B76"/>
    <w:multiLevelType w:val="hybridMultilevel"/>
    <w:tmpl w:val="F86CD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B0179F0"/>
    <w:multiLevelType w:val="hybridMultilevel"/>
    <w:tmpl w:val="74A0A3BE"/>
    <w:lvl w:ilvl="0" w:tplc="0C090003">
      <w:start w:val="1"/>
      <w:numFmt w:val="bullet"/>
      <w:lvlText w:val="o"/>
      <w:lvlJc w:val="left"/>
      <w:pPr>
        <w:ind w:left="796" w:hanging="360"/>
      </w:pPr>
      <w:rPr>
        <w:rFonts w:ascii="Courier New" w:hAnsi="Courier New" w:cs="Courier New"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9">
    <w:nsid w:val="2CAE5D21"/>
    <w:multiLevelType w:val="hybridMultilevel"/>
    <w:tmpl w:val="091236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D457638"/>
    <w:multiLevelType w:val="hybridMultilevel"/>
    <w:tmpl w:val="11126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10304F8"/>
    <w:multiLevelType w:val="hybridMultilevel"/>
    <w:tmpl w:val="AB706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1350445"/>
    <w:multiLevelType w:val="hybridMultilevel"/>
    <w:tmpl w:val="E04438E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45C66F41"/>
    <w:multiLevelType w:val="hybridMultilevel"/>
    <w:tmpl w:val="CDC0E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92722BD"/>
    <w:multiLevelType w:val="hybridMultilevel"/>
    <w:tmpl w:val="BB5C3E5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5BC31DA4"/>
    <w:multiLevelType w:val="hybridMultilevel"/>
    <w:tmpl w:val="0E0674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360"/>
      </w:pPr>
      <w:rPr>
        <w:rFonts w:ascii="Symbol" w:hAnsi="Symbo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5DC102B2"/>
    <w:multiLevelType w:val="hybridMultilevel"/>
    <w:tmpl w:val="0AB6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DF43438"/>
    <w:multiLevelType w:val="hybridMultilevel"/>
    <w:tmpl w:val="B3D0C8C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5FCD168F"/>
    <w:multiLevelType w:val="hybridMultilevel"/>
    <w:tmpl w:val="653E7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61E71FED"/>
    <w:multiLevelType w:val="hybridMultilevel"/>
    <w:tmpl w:val="FBAC9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3FE54C5"/>
    <w:multiLevelType w:val="hybridMultilevel"/>
    <w:tmpl w:val="882C6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8D638B1"/>
    <w:multiLevelType w:val="hybridMultilevel"/>
    <w:tmpl w:val="8CE83AC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6F0848A3"/>
    <w:multiLevelType w:val="hybridMultilevel"/>
    <w:tmpl w:val="6B621B2C"/>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95E4D77"/>
    <w:multiLevelType w:val="hybridMultilevel"/>
    <w:tmpl w:val="78C6A854"/>
    <w:lvl w:ilvl="0" w:tplc="0C090001">
      <w:start w:val="1"/>
      <w:numFmt w:val="bullet"/>
      <w:lvlText w:val=""/>
      <w:lvlJc w:val="left"/>
      <w:pPr>
        <w:ind w:left="796" w:hanging="360"/>
      </w:pPr>
      <w:rPr>
        <w:rFonts w:ascii="Symbol" w:hAnsi="Symbol" w:hint="default"/>
      </w:rPr>
    </w:lvl>
    <w:lvl w:ilvl="1" w:tplc="0C090003" w:tentative="1">
      <w:start w:val="1"/>
      <w:numFmt w:val="bullet"/>
      <w:lvlText w:val="o"/>
      <w:lvlJc w:val="left"/>
      <w:pPr>
        <w:ind w:left="1516" w:hanging="360"/>
      </w:pPr>
      <w:rPr>
        <w:rFonts w:ascii="Courier New" w:hAnsi="Courier New" w:cs="Courier New" w:hint="default"/>
      </w:rPr>
    </w:lvl>
    <w:lvl w:ilvl="2" w:tplc="0C090005" w:tentative="1">
      <w:start w:val="1"/>
      <w:numFmt w:val="bullet"/>
      <w:lvlText w:val=""/>
      <w:lvlJc w:val="left"/>
      <w:pPr>
        <w:ind w:left="2236" w:hanging="360"/>
      </w:pPr>
      <w:rPr>
        <w:rFonts w:ascii="Wingdings" w:hAnsi="Wingdings" w:hint="default"/>
      </w:rPr>
    </w:lvl>
    <w:lvl w:ilvl="3" w:tplc="0C090001" w:tentative="1">
      <w:start w:val="1"/>
      <w:numFmt w:val="bullet"/>
      <w:lvlText w:val=""/>
      <w:lvlJc w:val="left"/>
      <w:pPr>
        <w:ind w:left="2956" w:hanging="360"/>
      </w:pPr>
      <w:rPr>
        <w:rFonts w:ascii="Symbol" w:hAnsi="Symbol" w:hint="default"/>
      </w:rPr>
    </w:lvl>
    <w:lvl w:ilvl="4" w:tplc="0C090003" w:tentative="1">
      <w:start w:val="1"/>
      <w:numFmt w:val="bullet"/>
      <w:lvlText w:val="o"/>
      <w:lvlJc w:val="left"/>
      <w:pPr>
        <w:ind w:left="3676" w:hanging="360"/>
      </w:pPr>
      <w:rPr>
        <w:rFonts w:ascii="Courier New" w:hAnsi="Courier New" w:cs="Courier New" w:hint="default"/>
      </w:rPr>
    </w:lvl>
    <w:lvl w:ilvl="5" w:tplc="0C090005" w:tentative="1">
      <w:start w:val="1"/>
      <w:numFmt w:val="bullet"/>
      <w:lvlText w:val=""/>
      <w:lvlJc w:val="left"/>
      <w:pPr>
        <w:ind w:left="4396" w:hanging="360"/>
      </w:pPr>
      <w:rPr>
        <w:rFonts w:ascii="Wingdings" w:hAnsi="Wingdings" w:hint="default"/>
      </w:rPr>
    </w:lvl>
    <w:lvl w:ilvl="6" w:tplc="0C090001" w:tentative="1">
      <w:start w:val="1"/>
      <w:numFmt w:val="bullet"/>
      <w:lvlText w:val=""/>
      <w:lvlJc w:val="left"/>
      <w:pPr>
        <w:ind w:left="5116" w:hanging="360"/>
      </w:pPr>
      <w:rPr>
        <w:rFonts w:ascii="Symbol" w:hAnsi="Symbol" w:hint="default"/>
      </w:rPr>
    </w:lvl>
    <w:lvl w:ilvl="7" w:tplc="0C090003" w:tentative="1">
      <w:start w:val="1"/>
      <w:numFmt w:val="bullet"/>
      <w:lvlText w:val="o"/>
      <w:lvlJc w:val="left"/>
      <w:pPr>
        <w:ind w:left="5836" w:hanging="360"/>
      </w:pPr>
      <w:rPr>
        <w:rFonts w:ascii="Courier New" w:hAnsi="Courier New" w:cs="Courier New" w:hint="default"/>
      </w:rPr>
    </w:lvl>
    <w:lvl w:ilvl="8" w:tplc="0C090005" w:tentative="1">
      <w:start w:val="1"/>
      <w:numFmt w:val="bullet"/>
      <w:lvlText w:val=""/>
      <w:lvlJc w:val="left"/>
      <w:pPr>
        <w:ind w:left="6556" w:hanging="360"/>
      </w:pPr>
      <w:rPr>
        <w:rFonts w:ascii="Wingdings" w:hAnsi="Wingdings" w:hint="default"/>
      </w:rPr>
    </w:lvl>
  </w:abstractNum>
  <w:abstractNum w:abstractNumId="24">
    <w:nsid w:val="79C13D19"/>
    <w:multiLevelType w:val="hybridMultilevel"/>
    <w:tmpl w:val="354AB14E"/>
    <w:lvl w:ilvl="0" w:tplc="0C090001">
      <w:start w:val="1"/>
      <w:numFmt w:val="bullet"/>
      <w:lvlText w:val=""/>
      <w:lvlJc w:val="left"/>
      <w:pPr>
        <w:ind w:left="436" w:hanging="360"/>
      </w:pPr>
      <w:rPr>
        <w:rFonts w:ascii="Symbol" w:hAnsi="Symbol" w:hint="default"/>
      </w:rPr>
    </w:lvl>
    <w:lvl w:ilvl="1" w:tplc="0C090003" w:tentative="1">
      <w:start w:val="1"/>
      <w:numFmt w:val="bullet"/>
      <w:lvlText w:val="o"/>
      <w:lvlJc w:val="left"/>
      <w:pPr>
        <w:ind w:left="1156" w:hanging="360"/>
      </w:pPr>
      <w:rPr>
        <w:rFonts w:ascii="Courier New" w:hAnsi="Courier New" w:cs="Courier New" w:hint="default"/>
      </w:rPr>
    </w:lvl>
    <w:lvl w:ilvl="2" w:tplc="0C090005" w:tentative="1">
      <w:start w:val="1"/>
      <w:numFmt w:val="bullet"/>
      <w:lvlText w:val=""/>
      <w:lvlJc w:val="left"/>
      <w:pPr>
        <w:ind w:left="1876" w:hanging="360"/>
      </w:pPr>
      <w:rPr>
        <w:rFonts w:ascii="Wingdings" w:hAnsi="Wingdings"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num w:numId="1">
    <w:abstractNumId w:val="17"/>
  </w:num>
  <w:num w:numId="2">
    <w:abstractNumId w:val="15"/>
  </w:num>
  <w:num w:numId="3">
    <w:abstractNumId w:val="1"/>
  </w:num>
  <w:num w:numId="4">
    <w:abstractNumId w:val="7"/>
  </w:num>
  <w:num w:numId="5">
    <w:abstractNumId w:val="16"/>
  </w:num>
  <w:num w:numId="6">
    <w:abstractNumId w:val="12"/>
  </w:num>
  <w:num w:numId="7">
    <w:abstractNumId w:val="5"/>
  </w:num>
  <w:num w:numId="8">
    <w:abstractNumId w:val="21"/>
  </w:num>
  <w:num w:numId="9">
    <w:abstractNumId w:val="14"/>
  </w:num>
  <w:num w:numId="10">
    <w:abstractNumId w:val="0"/>
  </w:num>
  <w:num w:numId="11">
    <w:abstractNumId w:val="20"/>
  </w:num>
  <w:num w:numId="12">
    <w:abstractNumId w:val="22"/>
  </w:num>
  <w:num w:numId="13">
    <w:abstractNumId w:val="9"/>
  </w:num>
  <w:num w:numId="14">
    <w:abstractNumId w:val="18"/>
  </w:num>
  <w:num w:numId="15">
    <w:abstractNumId w:val="23"/>
  </w:num>
  <w:num w:numId="16">
    <w:abstractNumId w:val="24"/>
  </w:num>
  <w:num w:numId="17">
    <w:abstractNumId w:val="8"/>
  </w:num>
  <w:num w:numId="18">
    <w:abstractNumId w:val="6"/>
  </w:num>
  <w:num w:numId="19">
    <w:abstractNumId w:val="19"/>
  </w:num>
  <w:num w:numId="20">
    <w:abstractNumId w:val="2"/>
  </w:num>
  <w:num w:numId="21">
    <w:abstractNumId w:val="3"/>
  </w:num>
  <w:num w:numId="22">
    <w:abstractNumId w:val="11"/>
  </w:num>
  <w:num w:numId="23">
    <w:abstractNumId w:val="4"/>
  </w:num>
  <w:num w:numId="24">
    <w:abstractNumId w:val="10"/>
  </w:num>
  <w:num w:numId="25">
    <w:abstractNumId w:val="13"/>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D4"/>
    <w:rsid w:val="000003AA"/>
    <w:rsid w:val="00001D83"/>
    <w:rsid w:val="0001055C"/>
    <w:rsid w:val="00010F40"/>
    <w:rsid w:val="00012D9E"/>
    <w:rsid w:val="00012ED0"/>
    <w:rsid w:val="00014F86"/>
    <w:rsid w:val="00017BAC"/>
    <w:rsid w:val="00025256"/>
    <w:rsid w:val="00027B8F"/>
    <w:rsid w:val="0003497C"/>
    <w:rsid w:val="00046D49"/>
    <w:rsid w:val="00051C60"/>
    <w:rsid w:val="00052EDD"/>
    <w:rsid w:val="000541F4"/>
    <w:rsid w:val="00060CBD"/>
    <w:rsid w:val="000713C1"/>
    <w:rsid w:val="0007667C"/>
    <w:rsid w:val="00077168"/>
    <w:rsid w:val="00090A3F"/>
    <w:rsid w:val="00092361"/>
    <w:rsid w:val="00094C75"/>
    <w:rsid w:val="000A230E"/>
    <w:rsid w:val="000B39D6"/>
    <w:rsid w:val="000B7446"/>
    <w:rsid w:val="000C3095"/>
    <w:rsid w:val="000C55CD"/>
    <w:rsid w:val="000C638F"/>
    <w:rsid w:val="000D6949"/>
    <w:rsid w:val="000D78C5"/>
    <w:rsid w:val="000E0BE7"/>
    <w:rsid w:val="000E1CA0"/>
    <w:rsid w:val="000E4B92"/>
    <w:rsid w:val="001048C0"/>
    <w:rsid w:val="00112159"/>
    <w:rsid w:val="00121E42"/>
    <w:rsid w:val="00130057"/>
    <w:rsid w:val="0013022E"/>
    <w:rsid w:val="001320C7"/>
    <w:rsid w:val="00135924"/>
    <w:rsid w:val="001573F9"/>
    <w:rsid w:val="00161252"/>
    <w:rsid w:val="00162990"/>
    <w:rsid w:val="00174673"/>
    <w:rsid w:val="00187B82"/>
    <w:rsid w:val="00187E1A"/>
    <w:rsid w:val="00190BCA"/>
    <w:rsid w:val="001925CF"/>
    <w:rsid w:val="00194E97"/>
    <w:rsid w:val="001B1830"/>
    <w:rsid w:val="001B7CD5"/>
    <w:rsid w:val="001C24EB"/>
    <w:rsid w:val="001D3B61"/>
    <w:rsid w:val="001D4134"/>
    <w:rsid w:val="001D66EC"/>
    <w:rsid w:val="001E0FFD"/>
    <w:rsid w:val="001F0BCF"/>
    <w:rsid w:val="001F7ACF"/>
    <w:rsid w:val="00205908"/>
    <w:rsid w:val="00212EFB"/>
    <w:rsid w:val="0021757F"/>
    <w:rsid w:val="002243E5"/>
    <w:rsid w:val="00224AF7"/>
    <w:rsid w:val="00233348"/>
    <w:rsid w:val="0023593F"/>
    <w:rsid w:val="00252A9C"/>
    <w:rsid w:val="002665AB"/>
    <w:rsid w:val="0028529E"/>
    <w:rsid w:val="00291E75"/>
    <w:rsid w:val="00296F51"/>
    <w:rsid w:val="002A717D"/>
    <w:rsid w:val="002B12FC"/>
    <w:rsid w:val="002B3C0F"/>
    <w:rsid w:val="002B49E2"/>
    <w:rsid w:val="002B5D76"/>
    <w:rsid w:val="002D0B93"/>
    <w:rsid w:val="002D669D"/>
    <w:rsid w:val="0030183D"/>
    <w:rsid w:val="00322971"/>
    <w:rsid w:val="00330184"/>
    <w:rsid w:val="00335B11"/>
    <w:rsid w:val="00335B50"/>
    <w:rsid w:val="00342FF0"/>
    <w:rsid w:val="00351D1C"/>
    <w:rsid w:val="003526F0"/>
    <w:rsid w:val="00353325"/>
    <w:rsid w:val="00353B3E"/>
    <w:rsid w:val="00355688"/>
    <w:rsid w:val="00362C5F"/>
    <w:rsid w:val="00366CA4"/>
    <w:rsid w:val="0037741A"/>
    <w:rsid w:val="003A0751"/>
    <w:rsid w:val="003A509A"/>
    <w:rsid w:val="003A6AC5"/>
    <w:rsid w:val="003A7A3E"/>
    <w:rsid w:val="003B007F"/>
    <w:rsid w:val="003C2336"/>
    <w:rsid w:val="003C2CAF"/>
    <w:rsid w:val="003C6DB0"/>
    <w:rsid w:val="003D7087"/>
    <w:rsid w:val="003F3639"/>
    <w:rsid w:val="004015C1"/>
    <w:rsid w:val="004103F7"/>
    <w:rsid w:val="004218B4"/>
    <w:rsid w:val="004222E0"/>
    <w:rsid w:val="00424E23"/>
    <w:rsid w:val="004255C9"/>
    <w:rsid w:val="00434789"/>
    <w:rsid w:val="00436BF6"/>
    <w:rsid w:val="00441983"/>
    <w:rsid w:val="00443FA0"/>
    <w:rsid w:val="00447932"/>
    <w:rsid w:val="004538AC"/>
    <w:rsid w:val="00462BE6"/>
    <w:rsid w:val="004658ED"/>
    <w:rsid w:val="00466410"/>
    <w:rsid w:val="0047580F"/>
    <w:rsid w:val="004928D6"/>
    <w:rsid w:val="00497CF0"/>
    <w:rsid w:val="004A0F79"/>
    <w:rsid w:val="004A1243"/>
    <w:rsid w:val="004B6D4A"/>
    <w:rsid w:val="004B7AF1"/>
    <w:rsid w:val="004C6434"/>
    <w:rsid w:val="004C7842"/>
    <w:rsid w:val="004C784E"/>
    <w:rsid w:val="004D698B"/>
    <w:rsid w:val="004F4586"/>
    <w:rsid w:val="0050072C"/>
    <w:rsid w:val="005023E5"/>
    <w:rsid w:val="00505D44"/>
    <w:rsid w:val="0051061D"/>
    <w:rsid w:val="005178B2"/>
    <w:rsid w:val="005215A8"/>
    <w:rsid w:val="00522F7A"/>
    <w:rsid w:val="00525660"/>
    <w:rsid w:val="005315B5"/>
    <w:rsid w:val="0053173B"/>
    <w:rsid w:val="00533DBE"/>
    <w:rsid w:val="005529A0"/>
    <w:rsid w:val="0055413F"/>
    <w:rsid w:val="00554E0D"/>
    <w:rsid w:val="0057087F"/>
    <w:rsid w:val="005725BA"/>
    <w:rsid w:val="00573D54"/>
    <w:rsid w:val="00574F36"/>
    <w:rsid w:val="00587217"/>
    <w:rsid w:val="005B54ED"/>
    <w:rsid w:val="005C13A9"/>
    <w:rsid w:val="005C1E14"/>
    <w:rsid w:val="005C6195"/>
    <w:rsid w:val="005C62EA"/>
    <w:rsid w:val="005C6C36"/>
    <w:rsid w:val="005C7563"/>
    <w:rsid w:val="005D7766"/>
    <w:rsid w:val="005E05C2"/>
    <w:rsid w:val="005E107D"/>
    <w:rsid w:val="005E29EF"/>
    <w:rsid w:val="005E318A"/>
    <w:rsid w:val="005E41D0"/>
    <w:rsid w:val="005E5045"/>
    <w:rsid w:val="005E7430"/>
    <w:rsid w:val="005F0F4F"/>
    <w:rsid w:val="005F50D4"/>
    <w:rsid w:val="00604A61"/>
    <w:rsid w:val="00607E41"/>
    <w:rsid w:val="00612052"/>
    <w:rsid w:val="00613340"/>
    <w:rsid w:val="00615A3F"/>
    <w:rsid w:val="006256D8"/>
    <w:rsid w:val="00630DD9"/>
    <w:rsid w:val="00631809"/>
    <w:rsid w:val="00637CE0"/>
    <w:rsid w:val="006517B7"/>
    <w:rsid w:val="00651A3F"/>
    <w:rsid w:val="00662677"/>
    <w:rsid w:val="00662B10"/>
    <w:rsid w:val="00665DAF"/>
    <w:rsid w:val="00665DBB"/>
    <w:rsid w:val="00666F03"/>
    <w:rsid w:val="00670DC1"/>
    <w:rsid w:val="006875E2"/>
    <w:rsid w:val="00697AB0"/>
    <w:rsid w:val="006A5236"/>
    <w:rsid w:val="006B18AD"/>
    <w:rsid w:val="006B20A5"/>
    <w:rsid w:val="006B3D7E"/>
    <w:rsid w:val="006C2DE8"/>
    <w:rsid w:val="006D1EC0"/>
    <w:rsid w:val="006D70F7"/>
    <w:rsid w:val="006E2802"/>
    <w:rsid w:val="006E3354"/>
    <w:rsid w:val="006E7903"/>
    <w:rsid w:val="007036C6"/>
    <w:rsid w:val="0071552E"/>
    <w:rsid w:val="00731260"/>
    <w:rsid w:val="00731956"/>
    <w:rsid w:val="00734FCB"/>
    <w:rsid w:val="00743422"/>
    <w:rsid w:val="00745103"/>
    <w:rsid w:val="0076030F"/>
    <w:rsid w:val="00763151"/>
    <w:rsid w:val="00764ED8"/>
    <w:rsid w:val="0076581F"/>
    <w:rsid w:val="00766373"/>
    <w:rsid w:val="0077023D"/>
    <w:rsid w:val="00787D25"/>
    <w:rsid w:val="0079028F"/>
    <w:rsid w:val="0079717B"/>
    <w:rsid w:val="007977EE"/>
    <w:rsid w:val="007B17FC"/>
    <w:rsid w:val="007B34DA"/>
    <w:rsid w:val="007C039A"/>
    <w:rsid w:val="007C7D7B"/>
    <w:rsid w:val="007F1E1B"/>
    <w:rsid w:val="007F1EA3"/>
    <w:rsid w:val="007F36AC"/>
    <w:rsid w:val="007F4613"/>
    <w:rsid w:val="00800294"/>
    <w:rsid w:val="008024DC"/>
    <w:rsid w:val="00805847"/>
    <w:rsid w:val="00806CAF"/>
    <w:rsid w:val="00820DC7"/>
    <w:rsid w:val="008328DF"/>
    <w:rsid w:val="0083356C"/>
    <w:rsid w:val="00833E7A"/>
    <w:rsid w:val="00837A9A"/>
    <w:rsid w:val="00842C88"/>
    <w:rsid w:val="0084789D"/>
    <w:rsid w:val="008509BE"/>
    <w:rsid w:val="00854A8A"/>
    <w:rsid w:val="00861507"/>
    <w:rsid w:val="00866CEE"/>
    <w:rsid w:val="008675A4"/>
    <w:rsid w:val="0087469E"/>
    <w:rsid w:val="00876E43"/>
    <w:rsid w:val="00882AD0"/>
    <w:rsid w:val="00887E79"/>
    <w:rsid w:val="00891CFB"/>
    <w:rsid w:val="008B62FF"/>
    <w:rsid w:val="008C3767"/>
    <w:rsid w:val="008C65C6"/>
    <w:rsid w:val="008D7E65"/>
    <w:rsid w:val="008E3D5C"/>
    <w:rsid w:val="009028AE"/>
    <w:rsid w:val="0090470D"/>
    <w:rsid w:val="009111FA"/>
    <w:rsid w:val="00916A86"/>
    <w:rsid w:val="00921525"/>
    <w:rsid w:val="009302F3"/>
    <w:rsid w:val="00942933"/>
    <w:rsid w:val="00942AEE"/>
    <w:rsid w:val="009464BE"/>
    <w:rsid w:val="00946593"/>
    <w:rsid w:val="0095530F"/>
    <w:rsid w:val="00955880"/>
    <w:rsid w:val="00976C41"/>
    <w:rsid w:val="00982B12"/>
    <w:rsid w:val="00994265"/>
    <w:rsid w:val="00996FAD"/>
    <w:rsid w:val="0099724F"/>
    <w:rsid w:val="009A10C1"/>
    <w:rsid w:val="009B0BE0"/>
    <w:rsid w:val="009B3BA7"/>
    <w:rsid w:val="009C16AE"/>
    <w:rsid w:val="009D0333"/>
    <w:rsid w:val="009E1706"/>
    <w:rsid w:val="009F6A57"/>
    <w:rsid w:val="00A02DC0"/>
    <w:rsid w:val="00A155EE"/>
    <w:rsid w:val="00A15A39"/>
    <w:rsid w:val="00A270B4"/>
    <w:rsid w:val="00A3666F"/>
    <w:rsid w:val="00A37B0B"/>
    <w:rsid w:val="00A47B27"/>
    <w:rsid w:val="00A51F7B"/>
    <w:rsid w:val="00A60380"/>
    <w:rsid w:val="00A626E6"/>
    <w:rsid w:val="00A635BC"/>
    <w:rsid w:val="00A755FF"/>
    <w:rsid w:val="00A75F64"/>
    <w:rsid w:val="00A8100C"/>
    <w:rsid w:val="00AA51EF"/>
    <w:rsid w:val="00AB3BC7"/>
    <w:rsid w:val="00AB58D2"/>
    <w:rsid w:val="00AB6E10"/>
    <w:rsid w:val="00AC307B"/>
    <w:rsid w:val="00AD7B4E"/>
    <w:rsid w:val="00AF1202"/>
    <w:rsid w:val="00AF1F4A"/>
    <w:rsid w:val="00B0659B"/>
    <w:rsid w:val="00B404C3"/>
    <w:rsid w:val="00B440A3"/>
    <w:rsid w:val="00B51A6F"/>
    <w:rsid w:val="00B550A4"/>
    <w:rsid w:val="00B60749"/>
    <w:rsid w:val="00B63E06"/>
    <w:rsid w:val="00B64B32"/>
    <w:rsid w:val="00B65962"/>
    <w:rsid w:val="00B72EEB"/>
    <w:rsid w:val="00B73011"/>
    <w:rsid w:val="00B74ECD"/>
    <w:rsid w:val="00B75DC8"/>
    <w:rsid w:val="00B8013D"/>
    <w:rsid w:val="00B81676"/>
    <w:rsid w:val="00B82340"/>
    <w:rsid w:val="00B872A5"/>
    <w:rsid w:val="00B97A5A"/>
    <w:rsid w:val="00BB7C20"/>
    <w:rsid w:val="00BC177B"/>
    <w:rsid w:val="00BD154B"/>
    <w:rsid w:val="00BD1961"/>
    <w:rsid w:val="00BD3016"/>
    <w:rsid w:val="00BD6309"/>
    <w:rsid w:val="00C05DEB"/>
    <w:rsid w:val="00C069B1"/>
    <w:rsid w:val="00C14563"/>
    <w:rsid w:val="00C16395"/>
    <w:rsid w:val="00C231A8"/>
    <w:rsid w:val="00C33CD2"/>
    <w:rsid w:val="00C407ED"/>
    <w:rsid w:val="00C5133B"/>
    <w:rsid w:val="00C5501C"/>
    <w:rsid w:val="00C65FAF"/>
    <w:rsid w:val="00C66CDD"/>
    <w:rsid w:val="00C8153C"/>
    <w:rsid w:val="00C853EF"/>
    <w:rsid w:val="00C92D20"/>
    <w:rsid w:val="00C96359"/>
    <w:rsid w:val="00CA2A74"/>
    <w:rsid w:val="00CB06B1"/>
    <w:rsid w:val="00CB2B6B"/>
    <w:rsid w:val="00CC2D78"/>
    <w:rsid w:val="00CD3296"/>
    <w:rsid w:val="00CD4484"/>
    <w:rsid w:val="00CE5C92"/>
    <w:rsid w:val="00CE6A05"/>
    <w:rsid w:val="00CE7735"/>
    <w:rsid w:val="00D16178"/>
    <w:rsid w:val="00D17D7D"/>
    <w:rsid w:val="00D3073A"/>
    <w:rsid w:val="00D30D5D"/>
    <w:rsid w:val="00D344A4"/>
    <w:rsid w:val="00D45D36"/>
    <w:rsid w:val="00D471DA"/>
    <w:rsid w:val="00D5389E"/>
    <w:rsid w:val="00D63CF3"/>
    <w:rsid w:val="00D739A8"/>
    <w:rsid w:val="00D75B97"/>
    <w:rsid w:val="00D94697"/>
    <w:rsid w:val="00DA7E9F"/>
    <w:rsid w:val="00DB18AA"/>
    <w:rsid w:val="00DB4881"/>
    <w:rsid w:val="00DC508B"/>
    <w:rsid w:val="00DC7FB7"/>
    <w:rsid w:val="00DD0FD3"/>
    <w:rsid w:val="00DD7B9E"/>
    <w:rsid w:val="00DE10A9"/>
    <w:rsid w:val="00DE1875"/>
    <w:rsid w:val="00DE21A0"/>
    <w:rsid w:val="00DE6D39"/>
    <w:rsid w:val="00DF03D9"/>
    <w:rsid w:val="00DF1049"/>
    <w:rsid w:val="00DF5665"/>
    <w:rsid w:val="00E0496A"/>
    <w:rsid w:val="00E12CA9"/>
    <w:rsid w:val="00E220BC"/>
    <w:rsid w:val="00E259A1"/>
    <w:rsid w:val="00E332A1"/>
    <w:rsid w:val="00E41959"/>
    <w:rsid w:val="00E51587"/>
    <w:rsid w:val="00E54226"/>
    <w:rsid w:val="00E54BC8"/>
    <w:rsid w:val="00E57859"/>
    <w:rsid w:val="00E62540"/>
    <w:rsid w:val="00E64AD4"/>
    <w:rsid w:val="00E7056B"/>
    <w:rsid w:val="00E71866"/>
    <w:rsid w:val="00E7253D"/>
    <w:rsid w:val="00E77582"/>
    <w:rsid w:val="00E775DB"/>
    <w:rsid w:val="00E868C2"/>
    <w:rsid w:val="00E95C78"/>
    <w:rsid w:val="00EA0712"/>
    <w:rsid w:val="00EA2940"/>
    <w:rsid w:val="00EA511C"/>
    <w:rsid w:val="00EC38CE"/>
    <w:rsid w:val="00ED329C"/>
    <w:rsid w:val="00ED7005"/>
    <w:rsid w:val="00EE0321"/>
    <w:rsid w:val="00EE05A9"/>
    <w:rsid w:val="00EE6412"/>
    <w:rsid w:val="00EF2110"/>
    <w:rsid w:val="00EF3D4F"/>
    <w:rsid w:val="00EF5623"/>
    <w:rsid w:val="00EF5944"/>
    <w:rsid w:val="00F05603"/>
    <w:rsid w:val="00F1478D"/>
    <w:rsid w:val="00F31A6F"/>
    <w:rsid w:val="00F52557"/>
    <w:rsid w:val="00F63024"/>
    <w:rsid w:val="00F722CD"/>
    <w:rsid w:val="00F730DC"/>
    <w:rsid w:val="00F923F0"/>
    <w:rsid w:val="00F94583"/>
    <w:rsid w:val="00F95619"/>
    <w:rsid w:val="00FA4B45"/>
    <w:rsid w:val="00FA7784"/>
    <w:rsid w:val="00FB057E"/>
    <w:rsid w:val="00FB1D9B"/>
    <w:rsid w:val="00FB24A2"/>
    <w:rsid w:val="00FC006B"/>
    <w:rsid w:val="00FC3F8A"/>
    <w:rsid w:val="00FC5D28"/>
    <w:rsid w:val="00FD46E5"/>
    <w:rsid w:val="00FD6935"/>
    <w:rsid w:val="00FD6DBB"/>
    <w:rsid w:val="00FE0673"/>
    <w:rsid w:val="00FE4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59"/>
    <w:rPr>
      <w:rFonts w:ascii="Lato" w:hAnsi="Lato"/>
      <w:sz w:val="22"/>
      <w:szCs w:val="24"/>
    </w:rPr>
  </w:style>
  <w:style w:type="paragraph" w:styleId="Heading1">
    <w:name w:val="heading 1"/>
    <w:basedOn w:val="Normal"/>
    <w:next w:val="Normal"/>
    <w:link w:val="Heading1Char"/>
    <w:qFormat/>
    <w:rsid w:val="00697AB0"/>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qFormat/>
    <w:rsid w:val="005215A8"/>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pPr>
      <w:tabs>
        <w:tab w:val="center" w:pos="4153"/>
        <w:tab w:val="right" w:pos="8306"/>
      </w:tabs>
    </w:pPr>
  </w:style>
  <w:style w:type="paragraph" w:customStyle="1" w:styleId="Contactdetails">
    <w:name w:val="Contact details"/>
    <w:basedOn w:val="Normal"/>
    <w:pPr>
      <w:autoSpaceDE w:val="0"/>
      <w:autoSpaceDN w:val="0"/>
      <w:adjustRightInd w:val="0"/>
      <w:spacing w:line="240" w:lineRule="atLeast"/>
      <w:jc w:val="right"/>
      <w:textAlignment w:val="center"/>
    </w:pPr>
    <w:rPr>
      <w:color w:val="000000"/>
      <w:sz w:val="16"/>
      <w:szCs w:val="16"/>
    </w:rPr>
  </w:style>
  <w:style w:type="paragraph" w:styleId="BalloonText">
    <w:name w:val="Balloon Text"/>
    <w:basedOn w:val="Normal"/>
    <w:semiHidden/>
    <w:rPr>
      <w:rFonts w:ascii="Tahoma" w:hAnsi="Tahoma" w:cs="Tahoma"/>
      <w:sz w:val="16"/>
      <w:szCs w:val="16"/>
    </w:rPr>
  </w:style>
  <w:style w:type="paragraph" w:customStyle="1" w:styleId="AgencyName">
    <w:name w:val="AgencyName"/>
    <w:basedOn w:val="Normal"/>
    <w:pPr>
      <w:spacing w:after="120"/>
    </w:pPr>
    <w:rPr>
      <w:spacing w:val="8"/>
      <w:sz w:val="26"/>
      <w:szCs w:val="26"/>
    </w:rPr>
  </w:style>
  <w:style w:type="paragraph" w:customStyle="1" w:styleId="WebAddress">
    <w:name w:val="WebAddress"/>
    <w:basedOn w:val="AgencyName"/>
    <w:pPr>
      <w:jc w:val="right"/>
    </w:pPr>
    <w:rPr>
      <w:sz w:val="28"/>
      <w:szCs w:val="28"/>
    </w:rPr>
  </w:style>
  <w:style w:type="paragraph" w:customStyle="1" w:styleId="AgencyNameBold">
    <w:name w:val="AgencyNameBold"/>
    <w:basedOn w:val="AgencyName"/>
    <w:rPr>
      <w:b/>
      <w:bCs/>
      <w:spacing w:val="16"/>
    </w:rPr>
  </w:style>
  <w:style w:type="character" w:customStyle="1" w:styleId="AgencyNameChar">
    <w:name w:val="AgencyName Char"/>
    <w:rPr>
      <w:rFonts w:ascii="Arial" w:hAnsi="Arial"/>
      <w:spacing w:val="8"/>
      <w:sz w:val="26"/>
      <w:szCs w:val="26"/>
      <w:lang w:val="en-AU" w:eastAsia="en-AU" w:bidi="ar-SA"/>
    </w:rPr>
  </w:style>
  <w:style w:type="character" w:customStyle="1" w:styleId="AgencyNameBoldChar">
    <w:name w:val="AgencyNameBold Char"/>
    <w:rPr>
      <w:rFonts w:ascii="Arial" w:hAnsi="Arial"/>
      <w:b/>
      <w:bCs/>
      <w:spacing w:val="16"/>
      <w:sz w:val="26"/>
      <w:szCs w:val="26"/>
      <w:lang w:val="en-AU" w:eastAsia="en-AU" w:bidi="ar-SA"/>
    </w:rPr>
  </w:style>
  <w:style w:type="paragraph" w:customStyle="1" w:styleId="Letterdate">
    <w:name w:val="Letter date"/>
    <w:basedOn w:val="Normal"/>
    <w:link w:val="LetterdateChar"/>
    <w:qFormat/>
    <w:rsid w:val="005215A8"/>
    <w:pPr>
      <w:spacing w:before="600" w:after="600"/>
    </w:pPr>
  </w:style>
  <w:style w:type="paragraph" w:customStyle="1" w:styleId="Sendersname">
    <w:name w:val="Sender's name"/>
    <w:basedOn w:val="Normal"/>
    <w:link w:val="SendersnameChar"/>
    <w:qFormat/>
    <w:rsid w:val="00662677"/>
    <w:pPr>
      <w:spacing w:before="840"/>
    </w:pPr>
    <w:rPr>
      <w:rFonts w:cs="Arial"/>
      <w:b/>
    </w:rPr>
  </w:style>
  <w:style w:type="character" w:customStyle="1" w:styleId="LetterdateChar">
    <w:name w:val="Letter date Char"/>
    <w:basedOn w:val="DefaultParagraphFont"/>
    <w:link w:val="Letterdate"/>
    <w:rsid w:val="005215A8"/>
    <w:rPr>
      <w:rFonts w:ascii="Lato" w:hAnsi="Lato"/>
      <w:sz w:val="22"/>
      <w:szCs w:val="24"/>
    </w:rPr>
  </w:style>
  <w:style w:type="character" w:customStyle="1" w:styleId="SendersnameChar">
    <w:name w:val="Sender's name Char"/>
    <w:basedOn w:val="DefaultParagraphFont"/>
    <w:link w:val="Sendersname"/>
    <w:rsid w:val="00662677"/>
    <w:rPr>
      <w:rFonts w:ascii="Arial" w:hAnsi="Arial" w:cs="Arial"/>
      <w:b/>
      <w:sz w:val="22"/>
      <w:szCs w:val="24"/>
    </w:rPr>
  </w:style>
  <w:style w:type="paragraph" w:customStyle="1" w:styleId="Departmentof">
    <w:name w:val="Department of"/>
    <w:basedOn w:val="Normal"/>
    <w:rsid w:val="00C92D20"/>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C92D20"/>
    <w:rPr>
      <w:rFonts w:ascii="Lato Black" w:hAnsi="Lato Black" w:cs="Lato Black"/>
    </w:rPr>
  </w:style>
  <w:style w:type="character" w:customStyle="1" w:styleId="Heading1Char">
    <w:name w:val="Heading 1 Char"/>
    <w:basedOn w:val="DefaultParagraphFont"/>
    <w:link w:val="Heading1"/>
    <w:rsid w:val="00697AB0"/>
    <w:rPr>
      <w:rFonts w:ascii="Lato" w:eastAsiaTheme="majorEastAsia" w:hAnsi="Lato" w:cstheme="majorBidi"/>
      <w:b/>
      <w:bCs/>
      <w:color w:val="365F91" w:themeColor="accent1" w:themeShade="BF"/>
      <w:sz w:val="28"/>
      <w:szCs w:val="28"/>
    </w:rPr>
  </w:style>
  <w:style w:type="character" w:styleId="Strong">
    <w:name w:val="Strong"/>
    <w:basedOn w:val="DefaultParagraphFont"/>
    <w:qFormat/>
    <w:rsid w:val="005215A8"/>
    <w:rPr>
      <w:rFonts w:ascii="Lato" w:hAnsi="Lato"/>
      <w:b/>
      <w:bCs/>
    </w:rPr>
  </w:style>
  <w:style w:type="character" w:styleId="Emphasis">
    <w:name w:val="Emphasis"/>
    <w:basedOn w:val="DefaultParagraphFont"/>
    <w:qFormat/>
    <w:rsid w:val="00697AB0"/>
    <w:rPr>
      <w:rFonts w:ascii="Lato" w:hAnsi="Lato"/>
      <w:i/>
      <w:iCs/>
    </w:rPr>
  </w:style>
  <w:style w:type="paragraph" w:styleId="Subtitle">
    <w:name w:val="Subtitle"/>
    <w:basedOn w:val="Normal"/>
    <w:next w:val="Normal"/>
    <w:link w:val="SubtitleChar"/>
    <w:qFormat/>
    <w:rsid w:val="00697AB0"/>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rsid w:val="00697AB0"/>
    <w:rPr>
      <w:rFonts w:ascii="Lato" w:eastAsiaTheme="majorEastAsia" w:hAnsi="Lato" w:cstheme="majorBidi"/>
      <w:i/>
      <w:iCs/>
      <w:color w:val="4F81BD" w:themeColor="accent1"/>
      <w:spacing w:val="15"/>
      <w:sz w:val="24"/>
      <w:szCs w:val="24"/>
    </w:rPr>
  </w:style>
  <w:style w:type="character" w:styleId="Hyperlink">
    <w:name w:val="Hyperlink"/>
    <w:basedOn w:val="DefaultParagraphFont"/>
    <w:unhideWhenUsed/>
    <w:rsid w:val="008C3767"/>
    <w:rPr>
      <w:color w:val="0000FF" w:themeColor="hyperlink"/>
      <w:u w:val="single"/>
    </w:rPr>
  </w:style>
  <w:style w:type="paragraph" w:customStyle="1" w:styleId="Default">
    <w:name w:val="Default"/>
    <w:rsid w:val="00833E7A"/>
    <w:pPr>
      <w:autoSpaceDE w:val="0"/>
      <w:autoSpaceDN w:val="0"/>
      <w:adjustRightInd w:val="0"/>
    </w:pPr>
    <w:rPr>
      <w:rFonts w:eastAsiaTheme="minorHAnsi"/>
      <w:color w:val="000000"/>
      <w:sz w:val="24"/>
      <w:szCs w:val="24"/>
      <w:lang w:eastAsia="en-US"/>
    </w:rPr>
  </w:style>
  <w:style w:type="paragraph" w:styleId="ListParagraph">
    <w:name w:val="List Paragraph"/>
    <w:basedOn w:val="Normal"/>
    <w:link w:val="ListParagraphChar"/>
    <w:uiPriority w:val="34"/>
    <w:qFormat/>
    <w:rsid w:val="006A5236"/>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basedOn w:val="DefaultParagraphFont"/>
    <w:link w:val="ListParagraph"/>
    <w:uiPriority w:val="34"/>
    <w:locked/>
    <w:rsid w:val="006A5236"/>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0C55CD"/>
    <w:rPr>
      <w:rFonts w:ascii="Calibri" w:eastAsiaTheme="minorHAnsi" w:hAnsi="Calibri" w:cs="Calibri"/>
      <w:szCs w:val="22"/>
      <w:lang w:eastAsia="en-US"/>
    </w:rPr>
  </w:style>
  <w:style w:type="character" w:customStyle="1" w:styleId="PlainTextChar">
    <w:name w:val="Plain Text Char"/>
    <w:basedOn w:val="DefaultParagraphFont"/>
    <w:link w:val="PlainText"/>
    <w:uiPriority w:val="99"/>
    <w:rsid w:val="000C55CD"/>
    <w:rPr>
      <w:rFonts w:ascii="Calibri" w:eastAsiaTheme="minorHAnsi" w:hAnsi="Calibri" w:cs="Calibri"/>
      <w:sz w:val="22"/>
      <w:szCs w:val="22"/>
      <w:lang w:eastAsia="en-US"/>
    </w:rPr>
  </w:style>
  <w:style w:type="paragraph" w:styleId="FootnoteText">
    <w:name w:val="footnote text"/>
    <w:basedOn w:val="Normal"/>
    <w:link w:val="FootnoteTextChar"/>
    <w:uiPriority w:val="99"/>
    <w:semiHidden/>
    <w:unhideWhenUsed/>
    <w:rsid w:val="000C55C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C55C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C55CD"/>
    <w:rPr>
      <w:vertAlign w:val="superscript"/>
    </w:rPr>
  </w:style>
  <w:style w:type="table" w:styleId="TableGrid">
    <w:name w:val="Table Grid"/>
    <w:basedOn w:val="TableNormal"/>
    <w:rsid w:val="00E419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959"/>
    <w:rPr>
      <w:rFonts w:ascii="Lato" w:hAnsi="Lato"/>
      <w:sz w:val="22"/>
      <w:szCs w:val="24"/>
    </w:rPr>
  </w:style>
  <w:style w:type="paragraph" w:styleId="Heading1">
    <w:name w:val="heading 1"/>
    <w:basedOn w:val="Normal"/>
    <w:next w:val="Normal"/>
    <w:link w:val="Heading1Char"/>
    <w:qFormat/>
    <w:rsid w:val="00697AB0"/>
    <w:pPr>
      <w:keepNext/>
      <w:keepLines/>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qFormat/>
    <w:rsid w:val="005215A8"/>
    <w:pPr>
      <w:keepNext/>
      <w:spacing w:before="240" w:after="60"/>
      <w:outlineLvl w:val="1"/>
    </w:pPr>
    <w:rPr>
      <w:rFonts w:cs="Arial"/>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pPr>
      <w:tabs>
        <w:tab w:val="center" w:pos="4153"/>
        <w:tab w:val="right" w:pos="8306"/>
      </w:tabs>
    </w:pPr>
  </w:style>
  <w:style w:type="paragraph" w:customStyle="1" w:styleId="Contactdetails">
    <w:name w:val="Contact details"/>
    <w:basedOn w:val="Normal"/>
    <w:pPr>
      <w:autoSpaceDE w:val="0"/>
      <w:autoSpaceDN w:val="0"/>
      <w:adjustRightInd w:val="0"/>
      <w:spacing w:line="240" w:lineRule="atLeast"/>
      <w:jc w:val="right"/>
      <w:textAlignment w:val="center"/>
    </w:pPr>
    <w:rPr>
      <w:color w:val="000000"/>
      <w:sz w:val="16"/>
      <w:szCs w:val="16"/>
    </w:rPr>
  </w:style>
  <w:style w:type="paragraph" w:styleId="BalloonText">
    <w:name w:val="Balloon Text"/>
    <w:basedOn w:val="Normal"/>
    <w:semiHidden/>
    <w:rPr>
      <w:rFonts w:ascii="Tahoma" w:hAnsi="Tahoma" w:cs="Tahoma"/>
      <w:sz w:val="16"/>
      <w:szCs w:val="16"/>
    </w:rPr>
  </w:style>
  <w:style w:type="paragraph" w:customStyle="1" w:styleId="AgencyName">
    <w:name w:val="AgencyName"/>
    <w:basedOn w:val="Normal"/>
    <w:pPr>
      <w:spacing w:after="120"/>
    </w:pPr>
    <w:rPr>
      <w:spacing w:val="8"/>
      <w:sz w:val="26"/>
      <w:szCs w:val="26"/>
    </w:rPr>
  </w:style>
  <w:style w:type="paragraph" w:customStyle="1" w:styleId="WebAddress">
    <w:name w:val="WebAddress"/>
    <w:basedOn w:val="AgencyName"/>
    <w:pPr>
      <w:jc w:val="right"/>
    </w:pPr>
    <w:rPr>
      <w:sz w:val="28"/>
      <w:szCs w:val="28"/>
    </w:rPr>
  </w:style>
  <w:style w:type="paragraph" w:customStyle="1" w:styleId="AgencyNameBold">
    <w:name w:val="AgencyNameBold"/>
    <w:basedOn w:val="AgencyName"/>
    <w:rPr>
      <w:b/>
      <w:bCs/>
      <w:spacing w:val="16"/>
    </w:rPr>
  </w:style>
  <w:style w:type="character" w:customStyle="1" w:styleId="AgencyNameChar">
    <w:name w:val="AgencyName Char"/>
    <w:rPr>
      <w:rFonts w:ascii="Arial" w:hAnsi="Arial"/>
      <w:spacing w:val="8"/>
      <w:sz w:val="26"/>
      <w:szCs w:val="26"/>
      <w:lang w:val="en-AU" w:eastAsia="en-AU" w:bidi="ar-SA"/>
    </w:rPr>
  </w:style>
  <w:style w:type="character" w:customStyle="1" w:styleId="AgencyNameBoldChar">
    <w:name w:val="AgencyNameBold Char"/>
    <w:rPr>
      <w:rFonts w:ascii="Arial" w:hAnsi="Arial"/>
      <w:b/>
      <w:bCs/>
      <w:spacing w:val="16"/>
      <w:sz w:val="26"/>
      <w:szCs w:val="26"/>
      <w:lang w:val="en-AU" w:eastAsia="en-AU" w:bidi="ar-SA"/>
    </w:rPr>
  </w:style>
  <w:style w:type="paragraph" w:customStyle="1" w:styleId="Letterdate">
    <w:name w:val="Letter date"/>
    <w:basedOn w:val="Normal"/>
    <w:link w:val="LetterdateChar"/>
    <w:qFormat/>
    <w:rsid w:val="005215A8"/>
    <w:pPr>
      <w:spacing w:before="600" w:after="600"/>
    </w:pPr>
  </w:style>
  <w:style w:type="paragraph" w:customStyle="1" w:styleId="Sendersname">
    <w:name w:val="Sender's name"/>
    <w:basedOn w:val="Normal"/>
    <w:link w:val="SendersnameChar"/>
    <w:qFormat/>
    <w:rsid w:val="00662677"/>
    <w:pPr>
      <w:spacing w:before="840"/>
    </w:pPr>
    <w:rPr>
      <w:rFonts w:cs="Arial"/>
      <w:b/>
    </w:rPr>
  </w:style>
  <w:style w:type="character" w:customStyle="1" w:styleId="LetterdateChar">
    <w:name w:val="Letter date Char"/>
    <w:basedOn w:val="DefaultParagraphFont"/>
    <w:link w:val="Letterdate"/>
    <w:rsid w:val="005215A8"/>
    <w:rPr>
      <w:rFonts w:ascii="Lato" w:hAnsi="Lato"/>
      <w:sz w:val="22"/>
      <w:szCs w:val="24"/>
    </w:rPr>
  </w:style>
  <w:style w:type="character" w:customStyle="1" w:styleId="SendersnameChar">
    <w:name w:val="Sender's name Char"/>
    <w:basedOn w:val="DefaultParagraphFont"/>
    <w:link w:val="Sendersname"/>
    <w:rsid w:val="00662677"/>
    <w:rPr>
      <w:rFonts w:ascii="Arial" w:hAnsi="Arial" w:cs="Arial"/>
      <w:b/>
      <w:sz w:val="22"/>
      <w:szCs w:val="24"/>
    </w:rPr>
  </w:style>
  <w:style w:type="paragraph" w:customStyle="1" w:styleId="Departmentof">
    <w:name w:val="Department of"/>
    <w:basedOn w:val="Normal"/>
    <w:rsid w:val="00C92D20"/>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C92D20"/>
    <w:rPr>
      <w:rFonts w:ascii="Lato Black" w:hAnsi="Lato Black" w:cs="Lato Black"/>
    </w:rPr>
  </w:style>
  <w:style w:type="character" w:customStyle="1" w:styleId="Heading1Char">
    <w:name w:val="Heading 1 Char"/>
    <w:basedOn w:val="DefaultParagraphFont"/>
    <w:link w:val="Heading1"/>
    <w:rsid w:val="00697AB0"/>
    <w:rPr>
      <w:rFonts w:ascii="Lato" w:eastAsiaTheme="majorEastAsia" w:hAnsi="Lato" w:cstheme="majorBidi"/>
      <w:b/>
      <w:bCs/>
      <w:color w:val="365F91" w:themeColor="accent1" w:themeShade="BF"/>
      <w:sz w:val="28"/>
      <w:szCs w:val="28"/>
    </w:rPr>
  </w:style>
  <w:style w:type="character" w:styleId="Strong">
    <w:name w:val="Strong"/>
    <w:basedOn w:val="DefaultParagraphFont"/>
    <w:qFormat/>
    <w:rsid w:val="005215A8"/>
    <w:rPr>
      <w:rFonts w:ascii="Lato" w:hAnsi="Lato"/>
      <w:b/>
      <w:bCs/>
    </w:rPr>
  </w:style>
  <w:style w:type="character" w:styleId="Emphasis">
    <w:name w:val="Emphasis"/>
    <w:basedOn w:val="DefaultParagraphFont"/>
    <w:qFormat/>
    <w:rsid w:val="00697AB0"/>
    <w:rPr>
      <w:rFonts w:ascii="Lato" w:hAnsi="Lato"/>
      <w:i/>
      <w:iCs/>
    </w:rPr>
  </w:style>
  <w:style w:type="paragraph" w:styleId="Subtitle">
    <w:name w:val="Subtitle"/>
    <w:basedOn w:val="Normal"/>
    <w:next w:val="Normal"/>
    <w:link w:val="SubtitleChar"/>
    <w:qFormat/>
    <w:rsid w:val="00697AB0"/>
    <w:pPr>
      <w:numPr>
        <w:ilvl w:val="1"/>
      </w:numPr>
    </w:pPr>
    <w:rPr>
      <w:rFonts w:eastAsiaTheme="majorEastAsia" w:cstheme="majorBidi"/>
      <w:i/>
      <w:iCs/>
      <w:color w:val="4F81BD" w:themeColor="accent1"/>
      <w:spacing w:val="15"/>
      <w:sz w:val="24"/>
    </w:rPr>
  </w:style>
  <w:style w:type="character" w:customStyle="1" w:styleId="SubtitleChar">
    <w:name w:val="Subtitle Char"/>
    <w:basedOn w:val="DefaultParagraphFont"/>
    <w:link w:val="Subtitle"/>
    <w:rsid w:val="00697AB0"/>
    <w:rPr>
      <w:rFonts w:ascii="Lato" w:eastAsiaTheme="majorEastAsia" w:hAnsi="Lato" w:cstheme="majorBidi"/>
      <w:i/>
      <w:iCs/>
      <w:color w:val="4F81BD" w:themeColor="accent1"/>
      <w:spacing w:val="15"/>
      <w:sz w:val="24"/>
      <w:szCs w:val="24"/>
    </w:rPr>
  </w:style>
  <w:style w:type="character" w:styleId="Hyperlink">
    <w:name w:val="Hyperlink"/>
    <w:basedOn w:val="DefaultParagraphFont"/>
    <w:unhideWhenUsed/>
    <w:rsid w:val="008C3767"/>
    <w:rPr>
      <w:color w:val="0000FF" w:themeColor="hyperlink"/>
      <w:u w:val="single"/>
    </w:rPr>
  </w:style>
  <w:style w:type="paragraph" w:customStyle="1" w:styleId="Default">
    <w:name w:val="Default"/>
    <w:rsid w:val="00833E7A"/>
    <w:pPr>
      <w:autoSpaceDE w:val="0"/>
      <w:autoSpaceDN w:val="0"/>
      <w:adjustRightInd w:val="0"/>
    </w:pPr>
    <w:rPr>
      <w:rFonts w:eastAsiaTheme="minorHAnsi"/>
      <w:color w:val="000000"/>
      <w:sz w:val="24"/>
      <w:szCs w:val="24"/>
      <w:lang w:eastAsia="en-US"/>
    </w:rPr>
  </w:style>
  <w:style w:type="paragraph" w:styleId="ListParagraph">
    <w:name w:val="List Paragraph"/>
    <w:basedOn w:val="Normal"/>
    <w:link w:val="ListParagraphChar"/>
    <w:uiPriority w:val="34"/>
    <w:qFormat/>
    <w:rsid w:val="006A5236"/>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basedOn w:val="DefaultParagraphFont"/>
    <w:link w:val="ListParagraph"/>
    <w:uiPriority w:val="34"/>
    <w:locked/>
    <w:rsid w:val="006A5236"/>
    <w:rPr>
      <w:rFonts w:asciiTheme="minorHAnsi" w:eastAsiaTheme="minorHAnsi" w:hAnsiTheme="minorHAnsi" w:cstheme="minorBidi"/>
      <w:sz w:val="22"/>
      <w:szCs w:val="22"/>
      <w:lang w:eastAsia="en-US"/>
    </w:rPr>
  </w:style>
  <w:style w:type="paragraph" w:styleId="PlainText">
    <w:name w:val="Plain Text"/>
    <w:basedOn w:val="Normal"/>
    <w:link w:val="PlainTextChar"/>
    <w:uiPriority w:val="99"/>
    <w:unhideWhenUsed/>
    <w:rsid w:val="000C55CD"/>
    <w:rPr>
      <w:rFonts w:ascii="Calibri" w:eastAsiaTheme="minorHAnsi" w:hAnsi="Calibri" w:cs="Calibri"/>
      <w:szCs w:val="22"/>
      <w:lang w:eastAsia="en-US"/>
    </w:rPr>
  </w:style>
  <w:style w:type="character" w:customStyle="1" w:styleId="PlainTextChar">
    <w:name w:val="Plain Text Char"/>
    <w:basedOn w:val="DefaultParagraphFont"/>
    <w:link w:val="PlainText"/>
    <w:uiPriority w:val="99"/>
    <w:rsid w:val="000C55CD"/>
    <w:rPr>
      <w:rFonts w:ascii="Calibri" w:eastAsiaTheme="minorHAnsi" w:hAnsi="Calibri" w:cs="Calibri"/>
      <w:sz w:val="22"/>
      <w:szCs w:val="22"/>
      <w:lang w:eastAsia="en-US"/>
    </w:rPr>
  </w:style>
  <w:style w:type="paragraph" w:styleId="FootnoteText">
    <w:name w:val="footnote text"/>
    <w:basedOn w:val="Normal"/>
    <w:link w:val="FootnoteTextChar"/>
    <w:uiPriority w:val="99"/>
    <w:semiHidden/>
    <w:unhideWhenUsed/>
    <w:rsid w:val="000C55CD"/>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0C55C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0C55CD"/>
    <w:rPr>
      <w:vertAlign w:val="superscript"/>
    </w:rPr>
  </w:style>
  <w:style w:type="table" w:styleId="TableGrid">
    <w:name w:val="Table Grid"/>
    <w:basedOn w:val="TableNormal"/>
    <w:rsid w:val="00E4195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59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ECS%20General\Letterhead-ChiefExecutive-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Value>4018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4416ba8163337d6cbc0566f28813a360">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0da5c63-8548-4ac8-9616-83b0f373280e" ContentTypeId="0x0101007916246811615643A710C6FEAFF56A871105"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D09784CB-37E1-4B32-A5F5-3AA4E70087D2}">
  <ds:schemaRefs>
    <ds:schemaRef ds:uri="http://schemas.microsoft.com/sharepoint/v3/contenttype/forms"/>
  </ds:schemaRefs>
</ds:datastoreItem>
</file>

<file path=customXml/itemProps2.xml><?xml version="1.0" encoding="utf-8"?>
<ds:datastoreItem xmlns:ds="http://schemas.openxmlformats.org/officeDocument/2006/customXml" ds:itemID="{76B8BEE5-4606-4642-A7D2-333BD27BF17F}">
  <ds:schemaRefs>
    <ds:schemaRef ds:uri="http://purl.org/dc/dcmitype/"/>
    <ds:schemaRef ds:uri="http://schemas.microsoft.com/office/2006/documentManagement/types"/>
    <ds:schemaRef ds:uri="8044c801-d84b-4ee1-a77e-678f8dcdee17"/>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3f4bcce7-ac1a-4c9d-aa3e-7e77695652db"/>
    <ds:schemaRef ds:uri="http://schemas.microsoft.com/office/2006/metadata/properties"/>
  </ds:schemaRefs>
</ds:datastoreItem>
</file>

<file path=customXml/itemProps3.xml><?xml version="1.0" encoding="utf-8"?>
<ds:datastoreItem xmlns:ds="http://schemas.openxmlformats.org/officeDocument/2006/customXml" ds:itemID="{3EB878FA-4314-472B-9D09-B88F40793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4A7733-94E8-46C5-8C4B-9EB8EDB77BFC}">
  <ds:schemaRefs>
    <ds:schemaRef ds:uri="Microsoft.SharePoint.Taxonomy.ContentTypeSync"/>
  </ds:schemaRefs>
</ds:datastoreItem>
</file>

<file path=customXml/itemProps5.xml><?xml version="1.0" encoding="utf-8"?>
<ds:datastoreItem xmlns:ds="http://schemas.openxmlformats.org/officeDocument/2006/customXml" ds:itemID="{70A12A9B-46D3-427A-BD55-883EBE9B1E72}">
  <ds:schemaRefs>
    <ds:schemaRef ds:uri="http://schemas.microsoft.com/office/2006/metadata/customXsn"/>
  </ds:schemaRefs>
</ds:datastoreItem>
</file>

<file path=customXml/itemProps6.xml><?xml version="1.0" encoding="utf-8"?>
<ds:datastoreItem xmlns:ds="http://schemas.openxmlformats.org/officeDocument/2006/customXml" ds:itemID="{47407C3B-BD46-4EFF-9850-51C4D4C9BB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Letterhead-ChiefExecutive-Template.dotm</Template>
  <TotalTime>1</TotalTime>
  <Pages>6</Pages>
  <Words>2420</Words>
  <Characters>14424</Characters>
  <Application>Microsoft Office Word</Application>
  <DocSecurity>0</DocSecurity>
  <Lines>228</Lines>
  <Paragraphs>76</Paragraphs>
  <ScaleCrop>false</ScaleCrop>
  <HeadingPairs>
    <vt:vector size="2" baseType="variant">
      <vt:variant>
        <vt:lpstr>Title</vt:lpstr>
      </vt:variant>
      <vt:variant>
        <vt:i4>1</vt:i4>
      </vt:variant>
    </vt:vector>
  </HeadingPairs>
  <TitlesOfParts>
    <vt:vector size="1" baseType="lpstr">
      <vt:lpstr>Submission 77 - Northern Territory Government - Education Evidence Base - Public inquiry</vt:lpstr>
    </vt:vector>
  </TitlesOfParts>
  <Company>Northern Territory Government</Company>
  <LinksUpToDate>false</LinksUpToDate>
  <CharactersWithSpaces>16768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77 - Northern Territory Government - Education Evidence Base - Public inquiry</dc:title>
  <dc:creator>Northern Territory Government</dc:creator>
  <cp:keywords/>
  <cp:lastModifiedBy>Productivity Commission</cp:lastModifiedBy>
  <cp:revision>3</cp:revision>
  <dcterms:created xsi:type="dcterms:W3CDTF">2016-06-21T02:07:00Z</dcterms:created>
  <dcterms:modified xsi:type="dcterms:W3CDTF">2016-06-22T23:15:00Z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c401844703f64372bb0e85d87d761fe6">
    <vt:lpwstr>Reference Only|923c7a19-3b10-4b1a-aa53-490b73d512fc</vt:lpwstr>
  </property>
  <property fmtid="{D5CDD505-2E9C-101B-9397-08002B2CF9AE}" pid="4" name="Order">
    <vt:r8>8500</vt:r8>
  </property>
  <property fmtid="{D5CDD505-2E9C-101B-9397-08002B2CF9AE}" pid="5" name="TaxKeyword">
    <vt:lpwstr>4018;#Ken Davies|a7bc8d44-5378-49ed-a70d-9cf90d0249bf</vt:lpwstr>
  </property>
  <property fmtid="{D5CDD505-2E9C-101B-9397-08002B2CF9AE}" pid="6" name="Record Tag">
    <vt:lpwstr>139;#Submissions|c6e0dbf8-5444-433c-844d-d567dd519a05</vt:lpwstr>
  </property>
  <property fmtid="{D5CDD505-2E9C-101B-9397-08002B2CF9AE}" pid="7" name="Retain">
    <vt:lpwstr>138;#Reference Only|923c7a19-3b10-4b1a-aa53-490b73d512fc</vt:lpwstr>
  </property>
</Properties>
</file>