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FE" w:rsidRPr="00880EFE" w:rsidRDefault="00880EFE" w:rsidP="00880EFE">
      <w:pPr>
        <w:pStyle w:val="NormalWeb"/>
        <w:spacing w:before="0" w:beforeAutospacing="0" w:after="120" w:afterAutospacing="0"/>
        <w:rPr>
          <w:rFonts w:asciiTheme="minorHAnsi" w:hAnsiTheme="minorHAnsi"/>
        </w:rPr>
      </w:pPr>
      <w:bookmarkStart w:id="0" w:name="_GoBack"/>
      <w:bookmarkEnd w:id="0"/>
      <w:r w:rsidRPr="00880EFE">
        <w:rPr>
          <w:rFonts w:asciiTheme="minorHAnsi" w:hAnsiTheme="minorHAnsi" w:cs="Arial"/>
          <w:b/>
          <w:bCs/>
          <w:sz w:val="24"/>
          <w:szCs w:val="24"/>
        </w:rPr>
        <w:t xml:space="preserve">Submission </w:t>
      </w:r>
      <w:r w:rsidR="00433AB6">
        <w:rPr>
          <w:rFonts w:asciiTheme="minorHAnsi" w:hAnsiTheme="minorHAnsi" w:cs="Arial"/>
          <w:b/>
          <w:bCs/>
          <w:sz w:val="24"/>
          <w:szCs w:val="24"/>
        </w:rPr>
        <w:t>to</w:t>
      </w:r>
      <w:r w:rsidRPr="00880EFE">
        <w:rPr>
          <w:rFonts w:asciiTheme="minorHAnsi" w:hAnsiTheme="minorHAnsi" w:cs="Arial"/>
          <w:b/>
          <w:bCs/>
          <w:sz w:val="24"/>
          <w:szCs w:val="24"/>
        </w:rPr>
        <w:t xml:space="preserve"> the Productivity Commission </w:t>
      </w:r>
      <w:r w:rsidR="00433AB6">
        <w:rPr>
          <w:rFonts w:asciiTheme="minorHAnsi" w:hAnsiTheme="minorHAnsi" w:cs="Arial"/>
          <w:b/>
          <w:bCs/>
          <w:sz w:val="24"/>
          <w:szCs w:val="24"/>
        </w:rPr>
        <w:t xml:space="preserve">on its </w:t>
      </w:r>
      <w:r w:rsidRPr="00880EFE">
        <w:rPr>
          <w:rFonts w:asciiTheme="minorHAnsi" w:hAnsiTheme="minorHAnsi" w:cs="Arial"/>
          <w:b/>
          <w:bCs/>
          <w:sz w:val="24"/>
          <w:szCs w:val="24"/>
        </w:rPr>
        <w:t xml:space="preserve">Draft Report on Marine Fisheries and Agriculture (October 2016) </w:t>
      </w:r>
    </w:p>
    <w:p w:rsidR="00880EFE" w:rsidRDefault="00880EFE" w:rsidP="00880EFE">
      <w:pPr>
        <w:pStyle w:val="NormalWeb"/>
        <w:spacing w:before="0" w:beforeAutospacing="0" w:after="120" w:afterAutospacing="0"/>
        <w:rPr>
          <w:rFonts w:asciiTheme="minorHAnsi" w:hAnsiTheme="minorHAnsi"/>
          <w:sz w:val="24"/>
          <w:szCs w:val="24"/>
        </w:rPr>
      </w:pPr>
      <w:r w:rsidRPr="00880EFE">
        <w:rPr>
          <w:rFonts w:asciiTheme="minorHAnsi" w:hAnsiTheme="minorHAnsi"/>
          <w:sz w:val="24"/>
          <w:szCs w:val="24"/>
        </w:rPr>
        <w:t>Dr Robert Gale</w:t>
      </w:r>
      <w:r w:rsidR="005307F3">
        <w:rPr>
          <w:rFonts w:asciiTheme="minorHAnsi" w:hAnsiTheme="minorHAnsi"/>
          <w:sz w:val="24"/>
          <w:szCs w:val="24"/>
        </w:rPr>
        <w:t xml:space="preserve">, </w:t>
      </w:r>
      <w:proofErr w:type="spellStart"/>
      <w:r w:rsidRPr="00880EFE">
        <w:rPr>
          <w:rFonts w:asciiTheme="minorHAnsi" w:hAnsiTheme="minorHAnsi"/>
          <w:sz w:val="24"/>
          <w:szCs w:val="24"/>
        </w:rPr>
        <w:t>GeoTrends</w:t>
      </w:r>
      <w:proofErr w:type="spellEnd"/>
      <w:r w:rsidRPr="00880EFE">
        <w:rPr>
          <w:rFonts w:asciiTheme="minorHAnsi" w:hAnsiTheme="minorHAnsi"/>
          <w:sz w:val="24"/>
          <w:szCs w:val="24"/>
        </w:rPr>
        <w:t xml:space="preserve"> Sus</w:t>
      </w:r>
      <w:r>
        <w:rPr>
          <w:rFonts w:asciiTheme="minorHAnsi" w:hAnsiTheme="minorHAnsi"/>
          <w:sz w:val="24"/>
          <w:szCs w:val="24"/>
        </w:rPr>
        <w:t>tainability Consulting Pty Ltd.</w:t>
      </w:r>
      <w:r w:rsidRPr="00880EFE">
        <w:rPr>
          <w:rFonts w:asciiTheme="minorHAnsi" w:hAnsiTheme="minorHAnsi"/>
          <w:sz w:val="24"/>
          <w:szCs w:val="24"/>
        </w:rPr>
        <w:t>, Cairns, Q</w:t>
      </w:r>
      <w:r>
        <w:rPr>
          <w:rFonts w:asciiTheme="minorHAnsi" w:hAnsiTheme="minorHAnsi"/>
          <w:sz w:val="24"/>
          <w:szCs w:val="24"/>
        </w:rPr>
        <w:t>LD</w:t>
      </w:r>
    </w:p>
    <w:p w:rsidR="00A41C3A" w:rsidRDefault="00880EFE" w:rsidP="005307F3">
      <w:pPr>
        <w:pStyle w:val="NormalWeb"/>
        <w:spacing w:before="0" w:beforeAutospacing="0" w:after="120" w:afterAutospacing="0"/>
        <w:rPr>
          <w:rFonts w:asciiTheme="minorHAnsi" w:hAnsiTheme="minorHAnsi"/>
          <w:sz w:val="24"/>
          <w:szCs w:val="24"/>
        </w:rPr>
      </w:pPr>
      <w:r w:rsidRPr="00880EFE">
        <w:rPr>
          <w:rFonts w:asciiTheme="minorHAnsi" w:hAnsiTheme="minorHAnsi"/>
          <w:sz w:val="24"/>
          <w:szCs w:val="24"/>
        </w:rPr>
        <w:t xml:space="preserve">21 October 2016 </w:t>
      </w:r>
    </w:p>
    <w:p w:rsidR="005307F3" w:rsidRPr="005307F3" w:rsidRDefault="005307F3" w:rsidP="005307F3">
      <w:pPr>
        <w:pStyle w:val="NormalWeb"/>
        <w:spacing w:before="0" w:beforeAutospacing="0" w:after="120" w:afterAutospacing="0"/>
        <w:rPr>
          <w:rFonts w:asciiTheme="minorHAnsi" w:hAnsiTheme="minorHAnsi"/>
          <w:sz w:val="24"/>
          <w:szCs w:val="24"/>
        </w:rPr>
      </w:pPr>
    </w:p>
    <w:p w:rsidR="00A41C3A" w:rsidRPr="00A41C3A" w:rsidRDefault="00A41C3A" w:rsidP="00A41C3A">
      <w:pPr>
        <w:spacing w:after="120"/>
        <w:rPr>
          <w:b/>
        </w:rPr>
      </w:pPr>
      <w:r w:rsidRPr="00A41C3A">
        <w:rPr>
          <w:b/>
        </w:rPr>
        <w:t>Introduction</w:t>
      </w:r>
    </w:p>
    <w:p w:rsidR="00B90C89" w:rsidRDefault="00B90C89" w:rsidP="00A41C3A">
      <w:pPr>
        <w:spacing w:after="120"/>
      </w:pPr>
      <w:r>
        <w:t xml:space="preserve">The quota determination process for setting catch limits involving Individual Transferable Quotas (ITQs) is advocated in the Productivity Commission’s </w:t>
      </w:r>
      <w:r w:rsidRPr="00EC11FC">
        <w:rPr>
          <w:i/>
        </w:rPr>
        <w:t>Marine Fisheries and Aquaculture Draft Report: Overview and Draft Recommendations</w:t>
      </w:r>
      <w:r>
        <w:t>.</w:t>
      </w:r>
      <w:r w:rsidR="00433AB6">
        <w:t xml:space="preserve"> </w:t>
      </w:r>
    </w:p>
    <w:p w:rsidR="00433AB6" w:rsidRDefault="00FE1C7F" w:rsidP="00A41C3A">
      <w:pPr>
        <w:spacing w:after="120"/>
      </w:pPr>
      <w:r>
        <w:t xml:space="preserve">In this brief I reflect on my public sector experience with ITQs. </w:t>
      </w:r>
      <w:r w:rsidR="000E1AE7">
        <w:t>My aim is to make the point that the</w:t>
      </w:r>
      <w:r w:rsidR="00B90C89">
        <w:t xml:space="preserve"> ITQ approach </w:t>
      </w:r>
      <w:r w:rsidR="00880EFE">
        <w:t>for selected high value species</w:t>
      </w:r>
      <w:r w:rsidR="00D30930">
        <w:t xml:space="preserve"> can be a sensible</w:t>
      </w:r>
      <w:r w:rsidR="00B90C89">
        <w:t xml:space="preserve"> regulatory </w:t>
      </w:r>
      <w:r w:rsidR="00D30930">
        <w:t>choice</w:t>
      </w:r>
      <w:r>
        <w:t xml:space="preserve"> </w:t>
      </w:r>
      <w:r w:rsidR="00D30930">
        <w:t>when it is implemented as an</w:t>
      </w:r>
      <w:r>
        <w:t xml:space="preserve"> economic incentive</w:t>
      </w:r>
      <w:r w:rsidR="00ED4A61">
        <w:t xml:space="preserve"> within an ecosystems-based sustainability framework</w:t>
      </w:r>
      <w:r w:rsidR="000E1AE7">
        <w:t>. However, it is essential to take into account</w:t>
      </w:r>
      <w:r>
        <w:t xml:space="preserve"> </w:t>
      </w:r>
      <w:r w:rsidR="000E1AE7">
        <w:t xml:space="preserve">the very important qualifiers provided by </w:t>
      </w:r>
      <w:proofErr w:type="spellStart"/>
      <w:r w:rsidR="000E1AE7">
        <w:t>Sumaila</w:t>
      </w:r>
      <w:proofErr w:type="spellEnd"/>
      <w:r>
        <w:t xml:space="preserve"> (2010) </w:t>
      </w:r>
      <w:r w:rsidR="000E1AE7">
        <w:t xml:space="preserve">in a </w:t>
      </w:r>
      <w:r>
        <w:t>short paper, A Cautionary Note on Individual Transferable Quotas,</w:t>
      </w:r>
      <w:r>
        <w:rPr>
          <w:rStyle w:val="FootnoteReference"/>
        </w:rPr>
        <w:footnoteReference w:id="1"/>
      </w:r>
      <w:r>
        <w:t xml:space="preserve"> which I </w:t>
      </w:r>
      <w:r w:rsidR="00765913">
        <w:t>recommend to the Commission.</w:t>
      </w:r>
      <w:r w:rsidR="00880EFE">
        <w:t xml:space="preserve"> </w:t>
      </w:r>
    </w:p>
    <w:p w:rsidR="00433AB6" w:rsidRDefault="000E1AE7" w:rsidP="00A41C3A">
      <w:pPr>
        <w:spacing w:after="120"/>
      </w:pPr>
      <w:r>
        <w:t xml:space="preserve">A second aim is </w:t>
      </w:r>
      <w:r w:rsidR="00FE1C7F">
        <w:t xml:space="preserve">to make the case that public administrators at the operational level can be hampered by the absence of a harvest strategy as well as by executive decisions that limit the potential for innovation and productivity improvement. </w:t>
      </w:r>
      <w:r w:rsidR="00B54CBA">
        <w:t xml:space="preserve">My public sector experience suggests that more could be done to improve the </w:t>
      </w:r>
      <w:r w:rsidR="00FE1C7F">
        <w:t>produc</w:t>
      </w:r>
      <w:r w:rsidR="00765913">
        <w:t xml:space="preserve">tivity of public administrators in supporting </w:t>
      </w:r>
      <w:r w:rsidR="00880EFE">
        <w:t>an</w:t>
      </w:r>
      <w:r w:rsidR="00D10BD1">
        <w:t xml:space="preserve"> ITQ determination. </w:t>
      </w:r>
    </w:p>
    <w:p w:rsidR="00071BAC" w:rsidRDefault="00071BAC" w:rsidP="00A41C3A">
      <w:pPr>
        <w:spacing w:after="120"/>
      </w:pPr>
    </w:p>
    <w:p w:rsidR="00A41C3A" w:rsidRPr="00A41C3A" w:rsidRDefault="00A41C3A" w:rsidP="00A41C3A">
      <w:pPr>
        <w:spacing w:after="120"/>
        <w:rPr>
          <w:b/>
        </w:rPr>
      </w:pPr>
      <w:r w:rsidRPr="00A41C3A">
        <w:rPr>
          <w:b/>
        </w:rPr>
        <w:t>Background</w:t>
      </w:r>
    </w:p>
    <w:p w:rsidR="00D16C8D" w:rsidRDefault="00B116E4" w:rsidP="00A41C3A">
      <w:pPr>
        <w:spacing w:after="120"/>
      </w:pPr>
      <w:r>
        <w:t>There</w:t>
      </w:r>
      <w:r w:rsidR="00AC6E19">
        <w:t xml:space="preserve"> are three different markets in each of the NSW Abalone and Lobster </w:t>
      </w:r>
      <w:r>
        <w:t xml:space="preserve">ITQ </w:t>
      </w:r>
      <w:r w:rsidR="000423EC">
        <w:t>commercial f</w:t>
      </w:r>
      <w:r w:rsidR="00AC6E19">
        <w:t>isheries</w:t>
      </w:r>
      <w:r w:rsidR="00D16C8D">
        <w:t xml:space="preserve">. </w:t>
      </w:r>
      <w:r w:rsidR="00AC6E19">
        <w:t xml:space="preserve">One market </w:t>
      </w:r>
      <w:r w:rsidR="00D16C8D">
        <w:t xml:space="preserve">is for shares of each fishery, that is, </w:t>
      </w:r>
      <w:r w:rsidR="00AC6E19">
        <w:t xml:space="preserve">shares in the access </w:t>
      </w:r>
      <w:r w:rsidR="00D16C8D">
        <w:t xml:space="preserve">to the fishery resource itself. This market represents an </w:t>
      </w:r>
      <w:r w:rsidR="00D16C8D" w:rsidRPr="00D16C8D">
        <w:t>investment</w:t>
      </w:r>
      <w:r w:rsidR="00D16C8D">
        <w:t xml:space="preserve"> in the fishery </w:t>
      </w:r>
      <w:r w:rsidR="00AC6E19">
        <w:t xml:space="preserve">analogous to </w:t>
      </w:r>
      <w:r w:rsidR="00B91754">
        <w:t xml:space="preserve">an investment in </w:t>
      </w:r>
      <w:r w:rsidR="00AC6E19">
        <w:t>sh</w:t>
      </w:r>
      <w:r w:rsidR="007745B3">
        <w:t>ares of a stock listed compa</w:t>
      </w:r>
      <w:r w:rsidR="00D16C8D">
        <w:t>ny</w:t>
      </w:r>
      <w:r w:rsidR="007745B3">
        <w:t>. S</w:t>
      </w:r>
      <w:r w:rsidR="00AC6E19">
        <w:t xml:space="preserve">hares of </w:t>
      </w:r>
      <w:r w:rsidR="00D16C8D">
        <w:t>each</w:t>
      </w:r>
      <w:r w:rsidR="00AC6E19">
        <w:t xml:space="preserve"> fishery can be bought and sold</w:t>
      </w:r>
      <w:r w:rsidR="00D16C8D">
        <w:t xml:space="preserve">, leading to a capital investment in the fishery. Share price and annual share turnover can thus be an indicator of confidence or weakness in the fishery. </w:t>
      </w:r>
    </w:p>
    <w:p w:rsidR="00313551" w:rsidRDefault="007745B3" w:rsidP="00A41C3A">
      <w:pPr>
        <w:spacing w:after="120"/>
      </w:pPr>
      <w:r>
        <w:t>T</w:t>
      </w:r>
      <w:r w:rsidR="00D16C8D">
        <w:t xml:space="preserve">he second market is for quota, that is, the allocated amount of catch. This market provides a return on investment </w:t>
      </w:r>
      <w:r>
        <w:t xml:space="preserve">perhaps </w:t>
      </w:r>
      <w:r w:rsidR="00AC6E19">
        <w:t xml:space="preserve">analogous to a dividend paid by the </w:t>
      </w:r>
      <w:r w:rsidR="000423EC">
        <w:t xml:space="preserve">‘share managed </w:t>
      </w:r>
      <w:r w:rsidR="00AC6E19">
        <w:t>fishery</w:t>
      </w:r>
      <w:r w:rsidR="000423EC">
        <w:t>’</w:t>
      </w:r>
      <w:r w:rsidR="00AC6E19">
        <w:t xml:space="preserve"> depending on </w:t>
      </w:r>
      <w:r w:rsidR="00D16C8D">
        <w:t xml:space="preserve">how well </w:t>
      </w:r>
      <w:r w:rsidR="000423EC">
        <w:t>it</w:t>
      </w:r>
      <w:r w:rsidR="00D16C8D">
        <w:t xml:space="preserve"> is managed</w:t>
      </w:r>
      <w:r>
        <w:t>.</w:t>
      </w:r>
      <w:r w:rsidR="00AC6E19">
        <w:t xml:space="preserve"> Quota can be bought or sold </w:t>
      </w:r>
      <w:r>
        <w:t xml:space="preserve">creating a second market </w:t>
      </w:r>
      <w:r w:rsidR="00D16C8D">
        <w:t>for</w:t>
      </w:r>
      <w:r w:rsidR="000423EC">
        <w:t xml:space="preserve"> shareholder’</w:t>
      </w:r>
      <w:r w:rsidR="00D16C8D">
        <w:t xml:space="preserve"> trades. </w:t>
      </w:r>
    </w:p>
    <w:p w:rsidR="00D16C8D" w:rsidRDefault="00D16C8D" w:rsidP="00A41C3A">
      <w:pPr>
        <w:spacing w:after="120"/>
      </w:pPr>
      <w:r>
        <w:t>I</w:t>
      </w:r>
      <w:r w:rsidR="007745B3">
        <w:t>n addition, quota can be</w:t>
      </w:r>
      <w:r w:rsidR="00AC6E19">
        <w:t xml:space="preserve"> leas</w:t>
      </w:r>
      <w:r w:rsidR="007745B3">
        <w:t>ed</w:t>
      </w:r>
      <w:r>
        <w:t xml:space="preserve"> </w:t>
      </w:r>
      <w:r w:rsidR="00313551">
        <w:t xml:space="preserve">to other endorsed shareholders </w:t>
      </w:r>
      <w:r>
        <w:t>creating</w:t>
      </w:r>
      <w:r w:rsidR="007745B3">
        <w:t xml:space="preserve"> a third</w:t>
      </w:r>
      <w:r>
        <w:t xml:space="preserve"> market for </w:t>
      </w:r>
      <w:r w:rsidR="00B116E4">
        <w:t>shareholders</w:t>
      </w:r>
      <w:r>
        <w:t xml:space="preserve">. </w:t>
      </w:r>
    </w:p>
    <w:p w:rsidR="00071BAC" w:rsidRDefault="00D16C8D" w:rsidP="00A41C3A">
      <w:pPr>
        <w:spacing w:after="120"/>
      </w:pPr>
      <w:r>
        <w:t>Share</w:t>
      </w:r>
      <w:r w:rsidR="000423EC">
        <w:t>holders</w:t>
      </w:r>
      <w:r w:rsidR="00B116E4">
        <w:t xml:space="preserve"> thus </w:t>
      </w:r>
      <w:r w:rsidR="00313551">
        <w:t xml:space="preserve">have three markets to consider. They can buy or sell shares, buy or sell quota or </w:t>
      </w:r>
      <w:r w:rsidR="000423EC">
        <w:t>the</w:t>
      </w:r>
      <w:r w:rsidR="00B116E4">
        <w:t>y</w:t>
      </w:r>
      <w:r w:rsidR="000423EC">
        <w:t xml:space="preserve"> can </w:t>
      </w:r>
      <w:r w:rsidR="00313551">
        <w:t xml:space="preserve">lease quota. </w:t>
      </w:r>
      <w:r w:rsidR="007745B3">
        <w:t xml:space="preserve">The more </w:t>
      </w:r>
      <w:r>
        <w:t xml:space="preserve">investment </w:t>
      </w:r>
      <w:r w:rsidR="00313551">
        <w:t xml:space="preserve">a shareholder makes </w:t>
      </w:r>
      <w:r>
        <w:t xml:space="preserve">in the fishery </w:t>
      </w:r>
      <w:r w:rsidR="00AC6E19">
        <w:t xml:space="preserve">the </w:t>
      </w:r>
      <w:r>
        <w:t>greater</w:t>
      </w:r>
      <w:r w:rsidR="00AC6E19">
        <w:t xml:space="preserve"> </w:t>
      </w:r>
      <w:r w:rsidR="00313551">
        <w:t>t</w:t>
      </w:r>
      <w:r w:rsidR="000423EC">
        <w:t>he allocation of quota.</w:t>
      </w:r>
      <w:r w:rsidR="00A41C3A">
        <w:t xml:space="preserve"> </w:t>
      </w:r>
      <w:r w:rsidR="00B116E4">
        <w:t xml:space="preserve">Shareholders must </w:t>
      </w:r>
      <w:r w:rsidR="00B116E4">
        <w:lastRenderedPageBreak/>
        <w:t>nevertheless have a minimum number of shares in the fishery for an endorsement to fish.</w:t>
      </w:r>
      <w:r w:rsidR="00071BAC">
        <w:t xml:space="preserve"> </w:t>
      </w:r>
    </w:p>
    <w:p w:rsidR="00B116E4" w:rsidRDefault="00A41C3A" w:rsidP="00A41C3A">
      <w:pPr>
        <w:spacing w:after="120"/>
      </w:pPr>
      <w:r>
        <w:t>The overall quota allocation is provided annually by an independent Total Allowable Catch Committee (TACC) through a determination for each fishery</w:t>
      </w:r>
      <w:r w:rsidR="00B116E4">
        <w:t xml:space="preserve"> </w:t>
      </w:r>
      <w:r>
        <w:t xml:space="preserve">involving shareholder and stakeholder </w:t>
      </w:r>
      <w:r w:rsidR="00B116E4">
        <w:t>consultations</w:t>
      </w:r>
      <w:r>
        <w:t>, and subject to Ministerial approval.</w:t>
      </w:r>
      <w:r w:rsidR="00765913">
        <w:t xml:space="preserve"> </w:t>
      </w:r>
    </w:p>
    <w:p w:rsidR="00B91754" w:rsidRPr="00B116E4" w:rsidRDefault="00B91754" w:rsidP="00A41C3A">
      <w:pPr>
        <w:spacing w:after="120"/>
      </w:pPr>
    </w:p>
    <w:p w:rsidR="00A41C3A" w:rsidRPr="00A41C3A" w:rsidRDefault="00A41C3A" w:rsidP="00A41C3A">
      <w:pPr>
        <w:spacing w:after="120"/>
        <w:rPr>
          <w:b/>
        </w:rPr>
      </w:pPr>
      <w:r w:rsidRPr="00A41C3A">
        <w:rPr>
          <w:b/>
        </w:rPr>
        <w:t xml:space="preserve">The Total Allowable Catch Committee </w:t>
      </w:r>
      <w:r w:rsidR="005C3225">
        <w:rPr>
          <w:b/>
        </w:rPr>
        <w:t>Process</w:t>
      </w:r>
    </w:p>
    <w:p w:rsidR="005C3225" w:rsidRDefault="00A41C3A" w:rsidP="008555AC">
      <w:pPr>
        <w:spacing w:after="120"/>
      </w:pPr>
      <w:r>
        <w:t>The NSW TACC consists of three independent experts (research/ stock assessm</w:t>
      </w:r>
      <w:r w:rsidR="00E7394F">
        <w:t>ent, management and economics)</w:t>
      </w:r>
      <w:r w:rsidR="00B116E4">
        <w:t>. An open forum process is conducted by the Committee</w:t>
      </w:r>
      <w:r w:rsidR="00E7394F">
        <w:t xml:space="preserve"> </w:t>
      </w:r>
      <w:r w:rsidR="00B116E4">
        <w:t xml:space="preserve">as part of a consultation </w:t>
      </w:r>
      <w:r w:rsidR="00E7394F">
        <w:t xml:space="preserve">with public </w:t>
      </w:r>
      <w:r w:rsidR="009D4925">
        <w:t xml:space="preserve">administrators, </w:t>
      </w:r>
      <w:r w:rsidR="00E7394F">
        <w:t xml:space="preserve">shareholders and interested parties. </w:t>
      </w:r>
    </w:p>
    <w:p w:rsidR="005C3225" w:rsidRDefault="005C3225" w:rsidP="008555AC">
      <w:pPr>
        <w:spacing w:after="120"/>
      </w:pPr>
      <w:r>
        <w:t>Commentary</w:t>
      </w:r>
    </w:p>
    <w:p w:rsidR="005C3225" w:rsidRDefault="00420C4A" w:rsidP="008555AC">
      <w:pPr>
        <w:pStyle w:val="ListParagraph"/>
        <w:numPr>
          <w:ilvl w:val="0"/>
          <w:numId w:val="2"/>
        </w:numPr>
        <w:spacing w:after="120"/>
      </w:pPr>
      <w:r>
        <w:t xml:space="preserve">In so far as the ITQ works well to reduce fishing pressure through adaptive management, the public policy and administrative </w:t>
      </w:r>
      <w:r w:rsidR="00071BAC">
        <w:t>cost</w:t>
      </w:r>
      <w:r>
        <w:t xml:space="preserve"> required to guide decision making </w:t>
      </w:r>
      <w:r w:rsidR="00E7394F">
        <w:t xml:space="preserve">through the TACC process </w:t>
      </w:r>
      <w:r w:rsidR="000E1AE7">
        <w:t>may</w:t>
      </w:r>
      <w:r w:rsidR="00071BAC">
        <w:t xml:space="preserve"> exceed</w:t>
      </w:r>
      <w:r>
        <w:t xml:space="preserve"> the direct economic value of catch </w:t>
      </w:r>
      <w:r w:rsidR="008555AC">
        <w:t>of</w:t>
      </w:r>
      <w:r>
        <w:t xml:space="preserve"> the two mentioned fisheries. At least four categories of costs need to be critically appraised</w:t>
      </w:r>
      <w:r w:rsidR="00E7394F">
        <w:t xml:space="preserve"> and reported on by public sector staff</w:t>
      </w:r>
      <w:r>
        <w:t xml:space="preserve">: </w:t>
      </w:r>
      <w:r w:rsidR="008555AC">
        <w:t xml:space="preserve">research/ </w:t>
      </w:r>
      <w:r>
        <w:t xml:space="preserve">stock assessment; compliance; management; and economic appraisal. </w:t>
      </w:r>
      <w:r w:rsidR="00E7394F">
        <w:t xml:space="preserve">The precise costs of doing this are not </w:t>
      </w:r>
      <w:r w:rsidR="00B54CBA">
        <w:t>usually</w:t>
      </w:r>
      <w:r w:rsidR="00E7394F">
        <w:t xml:space="preserve"> recorded</w:t>
      </w:r>
      <w:r w:rsidR="00551E1E">
        <w:t xml:space="preserve"> </w:t>
      </w:r>
      <w:r w:rsidR="00B54CBA">
        <w:t>by</w:t>
      </w:r>
      <w:r w:rsidR="00551E1E">
        <w:t xml:space="preserve"> public sector administrations</w:t>
      </w:r>
      <w:r w:rsidR="00E7394F">
        <w:t>. A fuller cost accounting method woul</w:t>
      </w:r>
      <w:r w:rsidR="008555AC">
        <w:t>d breakdown costs (often rolled up in</w:t>
      </w:r>
      <w:r w:rsidR="00E7394F">
        <w:t xml:space="preserve"> salaries and overhead)</w:t>
      </w:r>
      <w:r w:rsidR="008555AC">
        <w:t>,</w:t>
      </w:r>
      <w:r w:rsidR="00E7394F">
        <w:t xml:space="preserve"> or at leas</w:t>
      </w:r>
      <w:r w:rsidR="008555AC">
        <w:t>t</w:t>
      </w:r>
      <w:r w:rsidR="00E7394F">
        <w:t xml:space="preserve"> benchmark a </w:t>
      </w:r>
      <w:r w:rsidR="008555AC">
        <w:t>method</w:t>
      </w:r>
      <w:r w:rsidR="00B54CBA">
        <w:t xml:space="preserve"> of tracking costs accurately), and in the longer term make the ITQ more viable as an approach to sustainable fishing. </w:t>
      </w:r>
    </w:p>
    <w:p w:rsidR="00457475" w:rsidRDefault="00B54CBA" w:rsidP="00220676">
      <w:pPr>
        <w:pStyle w:val="ListParagraph"/>
        <w:numPr>
          <w:ilvl w:val="0"/>
          <w:numId w:val="2"/>
        </w:numPr>
        <w:spacing w:after="120"/>
      </w:pPr>
      <w:r>
        <w:t>More specifically, m</w:t>
      </w:r>
      <w:r w:rsidR="00551E1E">
        <w:t>easuring</w:t>
      </w:r>
      <w:r w:rsidR="008555AC">
        <w:t xml:space="preserve"> the costs of the ITQ determination process </w:t>
      </w:r>
      <w:r w:rsidR="00551E1E">
        <w:t>would be</w:t>
      </w:r>
      <w:r w:rsidR="008555AC">
        <w:t xml:space="preserve"> a step towards controlling costs and understanding how innovation around data collection, interpretation and developing expertise in setting catch limits in the public sector could better support ITQ public administration. This would assist public </w:t>
      </w:r>
      <w:r w:rsidR="005C3225">
        <w:t>administrators</w:t>
      </w:r>
      <w:r w:rsidR="008555AC">
        <w:t xml:space="preserve"> in delivering an ITQ determination that is proportional to the </w:t>
      </w:r>
      <w:r w:rsidR="00457475">
        <w:t>community value of the fishery.</w:t>
      </w:r>
    </w:p>
    <w:p w:rsidR="005C3225" w:rsidRDefault="00551E1E" w:rsidP="00220676">
      <w:pPr>
        <w:pStyle w:val="ListParagraph"/>
        <w:numPr>
          <w:ilvl w:val="0"/>
          <w:numId w:val="2"/>
        </w:numPr>
        <w:spacing w:after="120"/>
      </w:pPr>
      <w:r>
        <w:t>Because</w:t>
      </w:r>
      <w:r w:rsidR="008555AC">
        <w:t xml:space="preserve"> many community values are difficult to measure, </w:t>
      </w:r>
      <w:r>
        <w:t>it is not practical to allocate fishing resources to the highest value uses across multiple competing parties. It is more practical to accept some non-economic values in the allocation decision</w:t>
      </w:r>
      <w:r w:rsidR="00B54CBA">
        <w:t xml:space="preserve"> – part of overall </w:t>
      </w:r>
      <w:r w:rsidR="00B54CBA" w:rsidRPr="00071BAC">
        <w:rPr>
          <w:i/>
        </w:rPr>
        <w:t>governance</w:t>
      </w:r>
      <w:r w:rsidR="00B54CBA">
        <w:t xml:space="preserve"> –</w:t>
      </w:r>
      <w:r>
        <w:t xml:space="preserve"> because most ‘uneconomic’ fisheries cannot be </w:t>
      </w:r>
      <w:r w:rsidR="00B54CBA">
        <w:t>closed</w:t>
      </w:r>
      <w:r>
        <w:t xml:space="preserve"> given the social and econom</w:t>
      </w:r>
      <w:r w:rsidR="00B54CBA">
        <w:t>ic impact on participants (</w:t>
      </w:r>
      <w:r>
        <w:t>lifestyle fishers still provide community benefits</w:t>
      </w:r>
      <w:r w:rsidR="00B54CBA">
        <w:t xml:space="preserve">; commercial fishers may have debts to </w:t>
      </w:r>
      <w:r w:rsidR="005C3225">
        <w:t>re</w:t>
      </w:r>
      <w:r w:rsidR="00B54CBA">
        <w:t>pay</w:t>
      </w:r>
      <w:r w:rsidR="00457475">
        <w:t xml:space="preserve">) (see also key points made by </w:t>
      </w:r>
      <w:proofErr w:type="spellStart"/>
      <w:r w:rsidR="00457475">
        <w:t>Sumaila</w:t>
      </w:r>
      <w:proofErr w:type="spellEnd"/>
      <w:r w:rsidR="00457475">
        <w:t xml:space="preserve"> (2010)</w:t>
      </w:r>
      <w:r w:rsidR="00F45ADD">
        <w:t>)</w:t>
      </w:r>
      <w:r w:rsidR="00457475">
        <w:t>.</w:t>
      </w:r>
    </w:p>
    <w:p w:rsidR="00457475" w:rsidRDefault="00220676" w:rsidP="00457475">
      <w:pPr>
        <w:pStyle w:val="ListParagraph"/>
        <w:numPr>
          <w:ilvl w:val="0"/>
          <w:numId w:val="2"/>
        </w:numPr>
        <w:spacing w:after="120"/>
      </w:pPr>
      <w:r>
        <w:t xml:space="preserve">Providing economic advice to the TACC can be constrained by an absence of information on what issues are driving or stalling the sale of shares and quota and the leasing of quota; and what if any policy setting could be changed to provide better signals to shareholders.  This difficulty is further compounded by the significant efforts required in stock assessment research conducted by fisheries scientists. A standard </w:t>
      </w:r>
      <w:r w:rsidR="005C3225">
        <w:t xml:space="preserve">of reporting </w:t>
      </w:r>
      <w:r>
        <w:t xml:space="preserve">needs to be developed to communicate the stock assessment information </w:t>
      </w:r>
      <w:r w:rsidR="004F40D7">
        <w:t>for policy makers (</w:t>
      </w:r>
      <w:r w:rsidR="00F45ADD">
        <w:t xml:space="preserve">i.e., </w:t>
      </w:r>
      <w:r w:rsidR="005C3225">
        <w:t>s</w:t>
      </w:r>
      <w:r w:rsidR="004F40D7">
        <w:t xml:space="preserve">ummary for </w:t>
      </w:r>
      <w:r w:rsidR="005C3225">
        <w:t>p</w:t>
      </w:r>
      <w:r w:rsidR="004F40D7">
        <w:t xml:space="preserve">olicy </w:t>
      </w:r>
      <w:r w:rsidR="005C3225">
        <w:t>m</w:t>
      </w:r>
      <w:r w:rsidR="004F40D7">
        <w:t>akers). Although summaries are already provided there is no ‘standard’ for wha</w:t>
      </w:r>
      <w:r w:rsidR="009D4925">
        <w:t xml:space="preserve">t needs to be reported and how, </w:t>
      </w:r>
      <w:r w:rsidR="00071BAC">
        <w:t xml:space="preserve">and </w:t>
      </w:r>
      <w:r w:rsidR="00071BAC">
        <w:lastRenderedPageBreak/>
        <w:t>no guidelines to</w:t>
      </w:r>
      <w:r w:rsidR="009D4925">
        <w:t xml:space="preserve"> </w:t>
      </w:r>
      <w:r w:rsidR="00711F16">
        <w:t>advise</w:t>
      </w:r>
      <w:r w:rsidR="009D4925">
        <w:t xml:space="preserve"> fisheries scientists in public administration roles </w:t>
      </w:r>
      <w:r w:rsidR="00711F16">
        <w:t>how to communicate technical information</w:t>
      </w:r>
      <w:r w:rsidR="009D4925">
        <w:t xml:space="preserve">.  </w:t>
      </w:r>
      <w:r w:rsidR="00457475">
        <w:t xml:space="preserve">A harvest strategy might address this issue. </w:t>
      </w:r>
    </w:p>
    <w:p w:rsidR="005C3225" w:rsidRDefault="005C3225" w:rsidP="008555AC">
      <w:pPr>
        <w:pStyle w:val="ListParagraph"/>
        <w:numPr>
          <w:ilvl w:val="0"/>
          <w:numId w:val="2"/>
        </w:numPr>
        <w:spacing w:after="120"/>
      </w:pPr>
      <w:r>
        <w:t xml:space="preserve">Public administrators need to place more attention </w:t>
      </w:r>
      <w:r w:rsidR="0060290B">
        <w:t>to</w:t>
      </w:r>
      <w:r>
        <w:t xml:space="preserve"> the geographic scale of </w:t>
      </w:r>
      <w:r w:rsidR="0060290B">
        <w:t xml:space="preserve">policy settings based on fisheries research. The formidable cost of collecting independent information needs to be considered given </w:t>
      </w:r>
      <w:r w:rsidR="00457475">
        <w:t>new electronic data collection</w:t>
      </w:r>
      <w:r w:rsidR="0060290B">
        <w:t xml:space="preserve"> technologies</w:t>
      </w:r>
      <w:r w:rsidR="00457475">
        <w:t xml:space="preserve"> (GIS; smart phone applications)</w:t>
      </w:r>
      <w:r w:rsidR="0060290B">
        <w:t xml:space="preserve">. </w:t>
      </w:r>
      <w:r w:rsidR="004D65B8">
        <w:t>F</w:t>
      </w:r>
      <w:r w:rsidR="0060290B">
        <w:t>ishers could have a role in collecting and reporting geographic/spatial data in lieu of other subsidies</w:t>
      </w:r>
      <w:r w:rsidR="00457475">
        <w:t xml:space="preserve">. Compensation could be provided for accurate and timely data collection to fishers </w:t>
      </w:r>
      <w:r w:rsidR="00F45ADD">
        <w:t xml:space="preserve">as </w:t>
      </w:r>
      <w:r w:rsidR="00457475">
        <w:t xml:space="preserve">shareholder managers of the resource. </w:t>
      </w:r>
    </w:p>
    <w:p w:rsidR="00551E1E" w:rsidRDefault="00551E1E" w:rsidP="008555AC">
      <w:pPr>
        <w:pStyle w:val="ListParagraph"/>
        <w:numPr>
          <w:ilvl w:val="0"/>
          <w:numId w:val="2"/>
        </w:numPr>
        <w:spacing w:after="120"/>
      </w:pPr>
      <w:r>
        <w:t xml:space="preserve">On the matter of </w:t>
      </w:r>
      <w:r w:rsidR="00084876">
        <w:t xml:space="preserve">valuing access to fishing sectors, the public sector needs much better information than can be obtained from willingness to pay studies. Stakeholders want a deliberative economics through consultative processes rather than experts purporting to know something from constructed proxy values. </w:t>
      </w:r>
    </w:p>
    <w:p w:rsidR="00071BAC" w:rsidRDefault="00457475" w:rsidP="00071BAC">
      <w:pPr>
        <w:pStyle w:val="ListParagraph"/>
        <w:numPr>
          <w:ilvl w:val="0"/>
          <w:numId w:val="2"/>
        </w:numPr>
        <w:spacing w:after="120"/>
      </w:pPr>
      <w:r>
        <w:t xml:space="preserve">The ITQ should not be implemented as an enduring property right. </w:t>
      </w:r>
      <w:r w:rsidR="00F45ADD">
        <w:t xml:space="preserve">Public administrators should include a sunset clause as part of governance arrangements (see </w:t>
      </w:r>
      <w:proofErr w:type="spellStart"/>
      <w:r w:rsidR="00F45ADD">
        <w:t>Sumaila</w:t>
      </w:r>
      <w:proofErr w:type="spellEnd"/>
      <w:r w:rsidR="00F45ADD">
        <w:t xml:space="preserve"> (2010) on this point). </w:t>
      </w:r>
    </w:p>
    <w:p w:rsidR="008555AC" w:rsidRDefault="008555AC" w:rsidP="008555AC">
      <w:pPr>
        <w:spacing w:after="120"/>
      </w:pPr>
    </w:p>
    <w:p w:rsidR="005C3225" w:rsidRPr="0056217E" w:rsidRDefault="00D970DD" w:rsidP="005C3225">
      <w:pPr>
        <w:rPr>
          <w:b/>
        </w:rPr>
      </w:pPr>
      <w:r>
        <w:rPr>
          <w:b/>
        </w:rPr>
        <w:t>Discussion</w:t>
      </w:r>
      <w:r w:rsidR="005C3225" w:rsidRPr="0056217E">
        <w:rPr>
          <w:b/>
        </w:rPr>
        <w:t xml:space="preserve"> and </w:t>
      </w:r>
      <w:r w:rsidR="00D357EF">
        <w:rPr>
          <w:b/>
        </w:rPr>
        <w:t>Recommendations</w:t>
      </w:r>
    </w:p>
    <w:p w:rsidR="005C3225" w:rsidRDefault="005C3225" w:rsidP="005C3225"/>
    <w:p w:rsidR="00D357EF" w:rsidRDefault="00D970DD" w:rsidP="007D1C48">
      <w:pPr>
        <w:spacing w:after="120"/>
      </w:pPr>
      <w:r>
        <w:t>Public sector administrators need to consid</w:t>
      </w:r>
      <w:r w:rsidR="00807CE7">
        <w:t xml:space="preserve">er the </w:t>
      </w:r>
      <w:r w:rsidR="00807CE7" w:rsidRPr="004D65B8">
        <w:rPr>
          <w:i/>
        </w:rPr>
        <w:t>governance</w:t>
      </w:r>
      <w:r w:rsidR="00807CE7">
        <w:t xml:space="preserve"> of a fishery and actors involved, </w:t>
      </w:r>
      <w:r>
        <w:t xml:space="preserve">not just stock assessment and economic returns. </w:t>
      </w:r>
      <w:r w:rsidR="007D1C48">
        <w:t>Productivity in a</w:t>
      </w:r>
      <w:r>
        <w:t xml:space="preserve">daptive management is not </w:t>
      </w:r>
      <w:r w:rsidR="00807CE7">
        <w:t xml:space="preserve">just about the </w:t>
      </w:r>
      <w:proofErr w:type="spellStart"/>
      <w:r w:rsidR="00807CE7">
        <w:t>behavour</w:t>
      </w:r>
      <w:proofErr w:type="spellEnd"/>
      <w:r w:rsidR="00807CE7">
        <w:t xml:space="preserve"> of </w:t>
      </w:r>
      <w:r>
        <w:t xml:space="preserve">harvesters in the ocean, it also needs to be about innovation in public </w:t>
      </w:r>
      <w:r w:rsidR="007D1C48">
        <w:t>administration</w:t>
      </w:r>
      <w:r>
        <w:t xml:space="preserve">. Too many layers of departmental management often prevent this innovation. An ‘operations room’ for a given fishery consisting of public administrators working as a team in stock assessment, fisheries management, compliance and economics </w:t>
      </w:r>
      <w:r w:rsidR="007D1C48">
        <w:t>would</w:t>
      </w:r>
      <w:r>
        <w:t xml:space="preserve"> breakdown departmental silos. The operations team would </w:t>
      </w:r>
      <w:r w:rsidR="004D65B8">
        <w:t xml:space="preserve">need to </w:t>
      </w:r>
      <w:r>
        <w:t xml:space="preserve">have authority to contract for information from different sections of the responsible department (for </w:t>
      </w:r>
      <w:r w:rsidR="007D1C48">
        <w:t>stock assessment</w:t>
      </w:r>
      <w:r>
        <w:t xml:space="preserve">, economics, compliance, and management) and to set the ‘reporting standard’ around which this information is to be framed. </w:t>
      </w:r>
      <w:r w:rsidR="00D10BD1">
        <w:t>The team</w:t>
      </w:r>
      <w:r>
        <w:t xml:space="preserve"> would then prepare summary </w:t>
      </w:r>
      <w:r w:rsidR="00D357EF">
        <w:t>information for a TACC process.</w:t>
      </w:r>
    </w:p>
    <w:p w:rsidR="00D30930" w:rsidRDefault="00D30930" w:rsidP="007D1C48">
      <w:pPr>
        <w:spacing w:after="120"/>
      </w:pPr>
    </w:p>
    <w:p w:rsidR="00D970DD" w:rsidRPr="00D30930" w:rsidRDefault="00D30930" w:rsidP="007D1C48">
      <w:pPr>
        <w:spacing w:after="120"/>
        <w:rPr>
          <w:b/>
        </w:rPr>
      </w:pPr>
      <w:r w:rsidRPr="00D30930">
        <w:rPr>
          <w:b/>
        </w:rPr>
        <w:t>RECOMMENDATIONS TO THE PRODUCTIVITY COMMISSION:</w:t>
      </w:r>
    </w:p>
    <w:p w:rsidR="0009006C" w:rsidRPr="00AE560B" w:rsidRDefault="00AE560B" w:rsidP="00C54BE6">
      <w:pPr>
        <w:pStyle w:val="ListParagraph"/>
        <w:numPr>
          <w:ilvl w:val="0"/>
          <w:numId w:val="7"/>
        </w:numPr>
        <w:spacing w:after="120"/>
      </w:pPr>
      <w:r>
        <w:t xml:space="preserve">Promote more integrated decision making </w:t>
      </w:r>
    </w:p>
    <w:p w:rsidR="00D357EF" w:rsidRDefault="00C54BE6" w:rsidP="0009006C">
      <w:pPr>
        <w:pStyle w:val="ListParagraph"/>
        <w:numPr>
          <w:ilvl w:val="1"/>
          <w:numId w:val="8"/>
        </w:numPr>
        <w:spacing w:after="120"/>
      </w:pPr>
      <w:r w:rsidRPr="00AE560B">
        <w:t>The</w:t>
      </w:r>
      <w:r w:rsidR="00D357EF" w:rsidRPr="00AE560B">
        <w:t xml:space="preserve"> </w:t>
      </w:r>
      <w:r w:rsidR="005307F3" w:rsidRPr="00AE560B">
        <w:t>productivity of public administrators</w:t>
      </w:r>
      <w:r w:rsidR="005C3225" w:rsidRPr="00AE560B">
        <w:t xml:space="preserve"> in implementing an ITQ can be hampered by </w:t>
      </w:r>
      <w:r w:rsidR="00D357EF" w:rsidRPr="00AE560B">
        <w:t>departmental silos working in isolation</w:t>
      </w:r>
      <w:r w:rsidR="00AE560B">
        <w:t xml:space="preserve">; an ‘operations room’ for team collaboration may help to overcome this. </w:t>
      </w:r>
    </w:p>
    <w:p w:rsidR="0009006C" w:rsidRPr="00AE560B" w:rsidRDefault="0009006C" w:rsidP="00C54BE6">
      <w:pPr>
        <w:pStyle w:val="ListParagraph"/>
        <w:numPr>
          <w:ilvl w:val="0"/>
          <w:numId w:val="7"/>
        </w:numPr>
        <w:spacing w:after="120"/>
      </w:pPr>
      <w:r w:rsidRPr="00AE560B">
        <w:t>Evaluate the policy relevance of geographic scale</w:t>
      </w:r>
    </w:p>
    <w:p w:rsidR="00D357EF" w:rsidRPr="00AE560B" w:rsidRDefault="0009006C" w:rsidP="0009006C">
      <w:pPr>
        <w:pStyle w:val="ListParagraph"/>
        <w:numPr>
          <w:ilvl w:val="0"/>
          <w:numId w:val="10"/>
        </w:numPr>
        <w:spacing w:after="120"/>
      </w:pPr>
      <w:r w:rsidRPr="00AE560B">
        <w:t>P</w:t>
      </w:r>
      <w:r w:rsidR="00D357EF" w:rsidRPr="00AE560B">
        <w:t xml:space="preserve">olicy settings at one scale </w:t>
      </w:r>
      <w:r w:rsidRPr="00AE560B">
        <w:t xml:space="preserve">(say offshore) </w:t>
      </w:r>
      <w:r w:rsidR="00D357EF" w:rsidRPr="00AE560B">
        <w:t xml:space="preserve">may not be relevant to </w:t>
      </w:r>
      <w:r w:rsidRPr="00AE560B">
        <w:t>policy setting</w:t>
      </w:r>
      <w:r w:rsidR="00AE560B">
        <w:t>s</w:t>
      </w:r>
      <w:r w:rsidRPr="00AE560B">
        <w:t xml:space="preserve"> at another scale (say inshore)</w:t>
      </w:r>
      <w:r w:rsidR="00AE560B">
        <w:t xml:space="preserve">. Need to consider scale in policy development. </w:t>
      </w:r>
    </w:p>
    <w:p w:rsidR="00450E47" w:rsidRPr="00AE560B" w:rsidRDefault="00450E47" w:rsidP="00C54BE6">
      <w:pPr>
        <w:pStyle w:val="ListParagraph"/>
        <w:numPr>
          <w:ilvl w:val="0"/>
          <w:numId w:val="7"/>
        </w:numPr>
        <w:spacing w:after="120"/>
      </w:pPr>
      <w:r w:rsidRPr="00AE560B">
        <w:t>Endorse the need for reporting standards</w:t>
      </w:r>
    </w:p>
    <w:p w:rsidR="00D357EF" w:rsidRPr="00AE560B" w:rsidRDefault="00D357EF" w:rsidP="00D357EF">
      <w:pPr>
        <w:pStyle w:val="ListParagraph"/>
        <w:numPr>
          <w:ilvl w:val="0"/>
          <w:numId w:val="11"/>
        </w:numPr>
        <w:spacing w:after="120"/>
      </w:pPr>
      <w:r w:rsidRPr="00AE560B">
        <w:t>The</w:t>
      </w:r>
      <w:r w:rsidR="00450E47" w:rsidRPr="00AE560B">
        <w:t>re is a</w:t>
      </w:r>
      <w:r w:rsidRPr="00AE560B">
        <w:t xml:space="preserve"> need for</w:t>
      </w:r>
      <w:r w:rsidR="00807CE7" w:rsidRPr="00AE560B">
        <w:t xml:space="preserve"> </w:t>
      </w:r>
      <w:r w:rsidRPr="00AE560B">
        <w:t xml:space="preserve">(internal) </w:t>
      </w:r>
      <w:r w:rsidR="00807CE7" w:rsidRPr="00AE560B">
        <w:t xml:space="preserve">reporting standards </w:t>
      </w:r>
      <w:r w:rsidR="00450E47" w:rsidRPr="00AE560B">
        <w:t xml:space="preserve">to streamline the technical information </w:t>
      </w:r>
      <w:r w:rsidR="00807CE7" w:rsidRPr="00AE560B">
        <w:t>on which decisions are based</w:t>
      </w:r>
      <w:r w:rsidR="00450E47" w:rsidRPr="00AE560B">
        <w:t xml:space="preserve">. This </w:t>
      </w:r>
      <w:r w:rsidRPr="00AE560B">
        <w:t xml:space="preserve">could be developed through </w:t>
      </w:r>
      <w:r w:rsidR="00807CE7" w:rsidRPr="00AE560B">
        <w:t>software tools</w:t>
      </w:r>
      <w:r w:rsidR="005307F3" w:rsidRPr="00AE560B">
        <w:t xml:space="preserve"> </w:t>
      </w:r>
      <w:r w:rsidRPr="00AE560B">
        <w:t>and</w:t>
      </w:r>
      <w:r w:rsidR="005307F3" w:rsidRPr="00AE560B">
        <w:t xml:space="preserve"> decision support systems</w:t>
      </w:r>
      <w:r w:rsidRPr="00AE560B">
        <w:t xml:space="preserve">. </w:t>
      </w:r>
      <w:r w:rsidRPr="00AE560B">
        <w:lastRenderedPageBreak/>
        <w:t xml:space="preserve">Public sector administrators would benefit from a ‘standard’ </w:t>
      </w:r>
      <w:r w:rsidR="00AE560B">
        <w:t xml:space="preserve">and streamlined </w:t>
      </w:r>
      <w:r w:rsidRPr="00AE560B">
        <w:t>approach to data collection for fisheries quota determinations, that is, an agreed approach to reporting stock, economic,</w:t>
      </w:r>
      <w:r w:rsidR="00450E47" w:rsidRPr="00AE560B">
        <w:t xml:space="preserve"> compliance and management data/information. </w:t>
      </w:r>
    </w:p>
    <w:p w:rsidR="00450E47" w:rsidRPr="00AE560B" w:rsidRDefault="00450E47" w:rsidP="00C54BE6">
      <w:pPr>
        <w:pStyle w:val="ListParagraph"/>
        <w:numPr>
          <w:ilvl w:val="0"/>
          <w:numId w:val="7"/>
        </w:numPr>
        <w:spacing w:after="120"/>
      </w:pPr>
      <w:r w:rsidRPr="00AE560B">
        <w:t>Promote new data collection technologies</w:t>
      </w:r>
    </w:p>
    <w:p w:rsidR="00D357EF" w:rsidRPr="00AE560B" w:rsidRDefault="00711F16" w:rsidP="00450E47">
      <w:pPr>
        <w:pStyle w:val="ListParagraph"/>
        <w:numPr>
          <w:ilvl w:val="0"/>
          <w:numId w:val="12"/>
        </w:numPr>
        <w:spacing w:after="120"/>
      </w:pPr>
      <w:r w:rsidRPr="00AE560B">
        <w:t xml:space="preserve">GIS and </w:t>
      </w:r>
      <w:r w:rsidR="005307F3" w:rsidRPr="00AE560B">
        <w:t>smart phone applications for data collection</w:t>
      </w:r>
      <w:r w:rsidR="00450E47" w:rsidRPr="00AE560B">
        <w:t xml:space="preserve"> could reduce the cost of data collection and information compilation</w:t>
      </w:r>
    </w:p>
    <w:p w:rsidR="00450E47" w:rsidRPr="00AE560B" w:rsidRDefault="00450E47" w:rsidP="00C54BE6">
      <w:pPr>
        <w:pStyle w:val="ListParagraph"/>
        <w:numPr>
          <w:ilvl w:val="0"/>
          <w:numId w:val="7"/>
        </w:numPr>
        <w:spacing w:after="120"/>
      </w:pPr>
      <w:r w:rsidRPr="00AE560B">
        <w:t>Secure more engagement in fisheries management from ITQ fishers</w:t>
      </w:r>
    </w:p>
    <w:p w:rsidR="00807CE7" w:rsidRPr="00AE560B" w:rsidRDefault="00450E47" w:rsidP="00450E47">
      <w:pPr>
        <w:pStyle w:val="ListParagraph"/>
        <w:numPr>
          <w:ilvl w:val="0"/>
          <w:numId w:val="13"/>
        </w:numPr>
        <w:spacing w:after="120"/>
      </w:pPr>
      <w:r w:rsidRPr="00AE560B">
        <w:t xml:space="preserve">Pay </w:t>
      </w:r>
      <w:r w:rsidR="00AE560B">
        <w:t xml:space="preserve">fishers </w:t>
      </w:r>
      <w:r w:rsidRPr="00AE560B">
        <w:t>for data collection or waive other fees (c</w:t>
      </w:r>
      <w:r w:rsidR="00D357EF" w:rsidRPr="00AE560B">
        <w:t xml:space="preserve">ollecting </w:t>
      </w:r>
      <w:r w:rsidRPr="00AE560B">
        <w:t>data</w:t>
      </w:r>
      <w:r w:rsidR="00D357EF" w:rsidRPr="00AE560B">
        <w:t xml:space="preserve"> at a lower cost is likely best placed in the hands of fishers (through GPS and other reporting technologies). </w:t>
      </w:r>
      <w:r w:rsidRPr="00AE560B">
        <w:t>C</w:t>
      </w:r>
      <w:r w:rsidR="00D357EF" w:rsidRPr="00AE560B">
        <w:t xml:space="preserve">ommercial fishers </w:t>
      </w:r>
      <w:r w:rsidRPr="00AE560B">
        <w:t>could be paid to</w:t>
      </w:r>
      <w:r w:rsidR="00D357EF" w:rsidRPr="00AE560B">
        <w:t xml:space="preserve"> report </w:t>
      </w:r>
      <w:r w:rsidRPr="00AE560B">
        <w:t xml:space="preserve">GPS </w:t>
      </w:r>
      <w:r w:rsidR="00D357EF" w:rsidRPr="00AE560B">
        <w:t xml:space="preserve">data on catch </w:t>
      </w:r>
      <w:r w:rsidRPr="00AE560B">
        <w:t>as well as</w:t>
      </w:r>
      <w:r w:rsidR="00D357EF" w:rsidRPr="00AE560B">
        <w:t xml:space="preserve"> </w:t>
      </w:r>
      <w:r w:rsidRPr="00AE560B">
        <w:t xml:space="preserve">for </w:t>
      </w:r>
      <w:r w:rsidR="00D357EF" w:rsidRPr="00AE560B">
        <w:t xml:space="preserve">economic </w:t>
      </w:r>
      <w:r w:rsidRPr="00AE560B">
        <w:t>data</w:t>
      </w:r>
      <w:r w:rsidR="00D357EF" w:rsidRPr="00AE560B">
        <w:t xml:space="preserve"> </w:t>
      </w:r>
      <w:r w:rsidRPr="00AE560B">
        <w:t>on</w:t>
      </w:r>
      <w:r w:rsidR="00D357EF" w:rsidRPr="00AE560B">
        <w:t xml:space="preserve"> share trades, quota purchases </w:t>
      </w:r>
      <w:r w:rsidRPr="00AE560B">
        <w:t>and</w:t>
      </w:r>
      <w:r w:rsidR="00D357EF" w:rsidRPr="00AE560B">
        <w:t xml:space="preserve"> leases. </w:t>
      </w:r>
    </w:p>
    <w:p w:rsidR="00D30930" w:rsidRPr="00AE560B" w:rsidRDefault="00D30930" w:rsidP="00D30930">
      <w:pPr>
        <w:pStyle w:val="ListParagraph"/>
        <w:numPr>
          <w:ilvl w:val="0"/>
          <w:numId w:val="7"/>
        </w:numPr>
        <w:spacing w:after="120"/>
      </w:pPr>
      <w:r w:rsidRPr="00AE560B">
        <w:t>Promote Fuller Cost Accounting in Public Administration</w:t>
      </w:r>
    </w:p>
    <w:p w:rsidR="00D30930" w:rsidRPr="00AE560B" w:rsidRDefault="00D30930" w:rsidP="00D30930">
      <w:pPr>
        <w:pStyle w:val="ListParagraph"/>
        <w:numPr>
          <w:ilvl w:val="0"/>
          <w:numId w:val="15"/>
        </w:numPr>
        <w:spacing w:after="120"/>
      </w:pPr>
      <w:r w:rsidRPr="00AE560B">
        <w:t>ITQs require significant administrative resources. Public administrators should understand the cost of delivery. F</w:t>
      </w:r>
      <w:r w:rsidR="005C3225" w:rsidRPr="00AE560B">
        <w:t xml:space="preserve">uller cost accounting </w:t>
      </w:r>
      <w:r w:rsidRPr="00AE560B">
        <w:t>is one method to help identify costs and drive efficiencies</w:t>
      </w:r>
      <w:r w:rsidR="004D65B8">
        <w:t xml:space="preserve"> within departments. </w:t>
      </w:r>
    </w:p>
    <w:p w:rsidR="00D30930" w:rsidRPr="00AE560B" w:rsidRDefault="00D30930" w:rsidP="00D30930">
      <w:pPr>
        <w:spacing w:after="120"/>
      </w:pPr>
    </w:p>
    <w:p w:rsidR="00D30930" w:rsidRPr="00AE560B" w:rsidRDefault="00D30930" w:rsidP="00D30930">
      <w:pPr>
        <w:spacing w:after="60"/>
      </w:pPr>
      <w:proofErr w:type="spellStart"/>
      <w:r w:rsidRPr="00AE560B">
        <w:t>Dr</w:t>
      </w:r>
      <w:proofErr w:type="spellEnd"/>
      <w:r w:rsidRPr="00AE560B">
        <w:t xml:space="preserve"> Robert Gale</w:t>
      </w:r>
    </w:p>
    <w:p w:rsidR="00D30930" w:rsidRPr="00D30930" w:rsidRDefault="00D30930" w:rsidP="00D30930">
      <w:pPr>
        <w:spacing w:after="60"/>
      </w:pPr>
      <w:proofErr w:type="spellStart"/>
      <w:r w:rsidRPr="00D30930">
        <w:t>GeoTrends</w:t>
      </w:r>
      <w:proofErr w:type="spellEnd"/>
      <w:r w:rsidRPr="00D30930">
        <w:t xml:space="preserve"> Sustainability Consulting Pty Ltd</w:t>
      </w:r>
    </w:p>
    <w:p w:rsidR="00D30930" w:rsidRPr="00D30930" w:rsidRDefault="00D30930" w:rsidP="00D30930">
      <w:pPr>
        <w:spacing w:after="60"/>
      </w:pPr>
      <w:r w:rsidRPr="00D30930">
        <w:t>Cairns</w:t>
      </w:r>
    </w:p>
    <w:p w:rsidR="0056217E" w:rsidRDefault="0056217E" w:rsidP="00D970DD">
      <w:pPr>
        <w:spacing w:after="120"/>
      </w:pPr>
    </w:p>
    <w:p w:rsidR="00AC6E19" w:rsidRDefault="00AC6E19" w:rsidP="00D970DD">
      <w:pPr>
        <w:spacing w:after="120"/>
      </w:pPr>
    </w:p>
    <w:sectPr w:rsidR="00AC6E19" w:rsidSect="00D970DD">
      <w:footerReference w:type="even" r:id="rId8"/>
      <w:foot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AC" w:rsidRDefault="00071BAC" w:rsidP="00FE1C7F">
      <w:r>
        <w:separator/>
      </w:r>
    </w:p>
  </w:endnote>
  <w:endnote w:type="continuationSeparator" w:id="0">
    <w:p w:rsidR="00071BAC" w:rsidRDefault="00071BAC" w:rsidP="00FE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AC" w:rsidRDefault="00071BAC" w:rsidP="00D97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1BAC" w:rsidRDefault="00071BAC" w:rsidP="00D970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AC" w:rsidRDefault="00071BAC" w:rsidP="00D97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4DA4">
      <w:rPr>
        <w:rStyle w:val="PageNumber"/>
        <w:noProof/>
      </w:rPr>
      <w:t>2</w:t>
    </w:r>
    <w:r>
      <w:rPr>
        <w:rStyle w:val="PageNumber"/>
      </w:rPr>
      <w:fldChar w:fldCharType="end"/>
    </w:r>
  </w:p>
  <w:p w:rsidR="00071BAC" w:rsidRDefault="00071BAC" w:rsidP="00D970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AC" w:rsidRDefault="00071BAC" w:rsidP="00FE1C7F">
      <w:r>
        <w:separator/>
      </w:r>
    </w:p>
  </w:footnote>
  <w:footnote w:type="continuationSeparator" w:id="0">
    <w:p w:rsidR="00071BAC" w:rsidRDefault="00071BAC" w:rsidP="00FE1C7F">
      <w:r>
        <w:continuationSeparator/>
      </w:r>
    </w:p>
  </w:footnote>
  <w:footnote w:id="1">
    <w:p w:rsidR="00071BAC" w:rsidRDefault="00071BAC" w:rsidP="00FE1C7F">
      <w:pPr>
        <w:pStyle w:val="FootnoteText"/>
      </w:pPr>
      <w:r>
        <w:rPr>
          <w:rStyle w:val="FootnoteReference"/>
        </w:rPr>
        <w:footnoteRef/>
      </w:r>
      <w:r>
        <w:t xml:space="preserve"> </w:t>
      </w:r>
      <w:proofErr w:type="spellStart"/>
      <w:r w:rsidRPr="00FE1C7F">
        <w:rPr>
          <w:rFonts w:ascii="Verdana" w:hAnsi="Verdana" w:cs="Verdana"/>
          <w:sz w:val="18"/>
          <w:szCs w:val="18"/>
        </w:rPr>
        <w:t>Sumaila</w:t>
      </w:r>
      <w:proofErr w:type="spellEnd"/>
      <w:r w:rsidRPr="00FE1C7F">
        <w:rPr>
          <w:rFonts w:ascii="Verdana" w:hAnsi="Verdana" w:cs="Verdana"/>
          <w:sz w:val="18"/>
          <w:szCs w:val="18"/>
        </w:rPr>
        <w:t xml:space="preserve">, U. R. 2010. A cautionary note on individual transferable quotas. </w:t>
      </w:r>
      <w:r w:rsidRPr="00FE1C7F">
        <w:rPr>
          <w:rFonts w:ascii="Verdana" w:hAnsi="Verdana" w:cs="Verdana"/>
          <w:i/>
          <w:iCs/>
          <w:sz w:val="18"/>
          <w:szCs w:val="18"/>
        </w:rPr>
        <w:t>Ecology and Society</w:t>
      </w:r>
      <w:r w:rsidRPr="00FE1C7F">
        <w:rPr>
          <w:rFonts w:ascii="Verdana" w:hAnsi="Verdana" w:cs="Verdana"/>
          <w:sz w:val="18"/>
          <w:szCs w:val="18"/>
        </w:rPr>
        <w:t xml:space="preserve"> </w:t>
      </w:r>
      <w:r w:rsidRPr="00FE1C7F">
        <w:rPr>
          <w:rFonts w:ascii="Verdana" w:hAnsi="Verdana" w:cs="Verdana"/>
          <w:b/>
          <w:bCs/>
          <w:sz w:val="18"/>
          <w:szCs w:val="18"/>
        </w:rPr>
        <w:t>15</w:t>
      </w:r>
      <w:r w:rsidRPr="00FE1C7F">
        <w:rPr>
          <w:rFonts w:ascii="Verdana" w:hAnsi="Verdana" w:cs="Verdana"/>
          <w:sz w:val="18"/>
          <w:szCs w:val="18"/>
        </w:rPr>
        <w:t>(3): 36. [online] URL: http://www.ecologyandsociety.org/vol15/iss3/art36/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730"/>
    <w:multiLevelType w:val="hybridMultilevel"/>
    <w:tmpl w:val="A47A566C"/>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86D32"/>
    <w:multiLevelType w:val="hybridMultilevel"/>
    <w:tmpl w:val="AEAC6860"/>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9005F5"/>
    <w:multiLevelType w:val="hybridMultilevel"/>
    <w:tmpl w:val="94C8592E"/>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B21230"/>
    <w:multiLevelType w:val="hybridMultilevel"/>
    <w:tmpl w:val="D966BD2E"/>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2E6455"/>
    <w:multiLevelType w:val="hybridMultilevel"/>
    <w:tmpl w:val="B96CD896"/>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131820"/>
    <w:multiLevelType w:val="hybridMultilevel"/>
    <w:tmpl w:val="7860700E"/>
    <w:lvl w:ilvl="0" w:tplc="04090001">
      <w:start w:val="1"/>
      <w:numFmt w:val="bullet"/>
      <w:lvlText w:val=""/>
      <w:lvlJc w:val="left"/>
      <w:pPr>
        <w:ind w:left="360" w:hanging="360"/>
      </w:pPr>
      <w:rPr>
        <w:rFonts w:ascii="Symbol" w:hAnsi="Symbol" w:hint="default"/>
      </w:rPr>
    </w:lvl>
    <w:lvl w:ilvl="1" w:tplc="167CE8B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592309"/>
    <w:multiLevelType w:val="hybridMultilevel"/>
    <w:tmpl w:val="774AC380"/>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1C1220"/>
    <w:multiLevelType w:val="hybridMultilevel"/>
    <w:tmpl w:val="1298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052D7C"/>
    <w:multiLevelType w:val="hybridMultilevel"/>
    <w:tmpl w:val="2F80B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556002"/>
    <w:multiLevelType w:val="hybridMultilevel"/>
    <w:tmpl w:val="DF60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302DB"/>
    <w:multiLevelType w:val="hybridMultilevel"/>
    <w:tmpl w:val="70781F10"/>
    <w:lvl w:ilvl="0" w:tplc="167CE8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493605"/>
    <w:multiLevelType w:val="hybridMultilevel"/>
    <w:tmpl w:val="1B9EB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F458D8"/>
    <w:multiLevelType w:val="hybridMultilevel"/>
    <w:tmpl w:val="5B80B2E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3967A1"/>
    <w:multiLevelType w:val="hybridMultilevel"/>
    <w:tmpl w:val="CF0CA614"/>
    <w:lvl w:ilvl="0" w:tplc="0409000F">
      <w:start w:val="1"/>
      <w:numFmt w:val="decimal"/>
      <w:lvlText w:val="%1."/>
      <w:lvlJc w:val="left"/>
      <w:pPr>
        <w:ind w:left="360" w:hanging="360"/>
      </w:pPr>
      <w:rPr>
        <w:rFonts w:hint="default"/>
      </w:rPr>
    </w:lvl>
    <w:lvl w:ilvl="1" w:tplc="167CE8B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853692"/>
    <w:multiLevelType w:val="hybridMultilevel"/>
    <w:tmpl w:val="965E18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9"/>
  </w:num>
  <w:num w:numId="4">
    <w:abstractNumId w:val="8"/>
  </w:num>
  <w:num w:numId="5">
    <w:abstractNumId w:val="12"/>
  </w:num>
  <w:num w:numId="6">
    <w:abstractNumId w:val="5"/>
  </w:num>
  <w:num w:numId="7">
    <w:abstractNumId w:val="14"/>
  </w:num>
  <w:num w:numId="8">
    <w:abstractNumId w:val="13"/>
  </w:num>
  <w:num w:numId="9">
    <w:abstractNumId w:val="0"/>
  </w:num>
  <w:num w:numId="10">
    <w:abstractNumId w:val="6"/>
  </w:num>
  <w:num w:numId="11">
    <w:abstractNumId w:val="2"/>
  </w:num>
  <w:num w:numId="12">
    <w:abstractNumId w:val="4"/>
  </w:num>
  <w:num w:numId="13">
    <w:abstractNumId w:val="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E19"/>
    <w:rsid w:val="000423EC"/>
    <w:rsid w:val="00071BAC"/>
    <w:rsid w:val="00084876"/>
    <w:rsid w:val="0009006C"/>
    <w:rsid w:val="000E1AE7"/>
    <w:rsid w:val="001719C4"/>
    <w:rsid w:val="00220676"/>
    <w:rsid w:val="00313551"/>
    <w:rsid w:val="00373978"/>
    <w:rsid w:val="00420C4A"/>
    <w:rsid w:val="00433AB6"/>
    <w:rsid w:val="00450E47"/>
    <w:rsid w:val="00457475"/>
    <w:rsid w:val="004D65B8"/>
    <w:rsid w:val="004F40D7"/>
    <w:rsid w:val="005307F3"/>
    <w:rsid w:val="00551E1E"/>
    <w:rsid w:val="0056217E"/>
    <w:rsid w:val="005C3225"/>
    <w:rsid w:val="0060290B"/>
    <w:rsid w:val="00695268"/>
    <w:rsid w:val="00711F16"/>
    <w:rsid w:val="00764DA4"/>
    <w:rsid w:val="00765913"/>
    <w:rsid w:val="007745B3"/>
    <w:rsid w:val="007D1C48"/>
    <w:rsid w:val="00807CE7"/>
    <w:rsid w:val="008555AC"/>
    <w:rsid w:val="00880EFE"/>
    <w:rsid w:val="009A5BE1"/>
    <w:rsid w:val="009D4925"/>
    <w:rsid w:val="00A41C3A"/>
    <w:rsid w:val="00AC6E19"/>
    <w:rsid w:val="00AE560B"/>
    <w:rsid w:val="00B116E4"/>
    <w:rsid w:val="00B54CBA"/>
    <w:rsid w:val="00B90C89"/>
    <w:rsid w:val="00B91754"/>
    <w:rsid w:val="00BC009B"/>
    <w:rsid w:val="00C54BE6"/>
    <w:rsid w:val="00CC245D"/>
    <w:rsid w:val="00CE1D9D"/>
    <w:rsid w:val="00D10BD1"/>
    <w:rsid w:val="00D16C8D"/>
    <w:rsid w:val="00D30930"/>
    <w:rsid w:val="00D357EF"/>
    <w:rsid w:val="00D970DD"/>
    <w:rsid w:val="00E7394F"/>
    <w:rsid w:val="00EC11FC"/>
    <w:rsid w:val="00ED4A61"/>
    <w:rsid w:val="00F45ADD"/>
    <w:rsid w:val="00FE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E19"/>
    <w:pPr>
      <w:ind w:left="720"/>
      <w:contextualSpacing/>
    </w:pPr>
  </w:style>
  <w:style w:type="paragraph" w:styleId="FootnoteText">
    <w:name w:val="footnote text"/>
    <w:basedOn w:val="Normal"/>
    <w:link w:val="FootnoteTextChar"/>
    <w:uiPriority w:val="99"/>
    <w:unhideWhenUsed/>
    <w:rsid w:val="00FE1C7F"/>
  </w:style>
  <w:style w:type="character" w:customStyle="1" w:styleId="FootnoteTextChar">
    <w:name w:val="Footnote Text Char"/>
    <w:basedOn w:val="DefaultParagraphFont"/>
    <w:link w:val="FootnoteText"/>
    <w:uiPriority w:val="99"/>
    <w:rsid w:val="00FE1C7F"/>
  </w:style>
  <w:style w:type="character" w:styleId="FootnoteReference">
    <w:name w:val="footnote reference"/>
    <w:basedOn w:val="DefaultParagraphFont"/>
    <w:uiPriority w:val="99"/>
    <w:unhideWhenUsed/>
    <w:rsid w:val="00FE1C7F"/>
    <w:rPr>
      <w:vertAlign w:val="superscript"/>
    </w:rPr>
  </w:style>
  <w:style w:type="character" w:styleId="Hyperlink">
    <w:name w:val="Hyperlink"/>
    <w:basedOn w:val="DefaultParagraphFont"/>
    <w:uiPriority w:val="99"/>
    <w:unhideWhenUsed/>
    <w:rsid w:val="00FE1C7F"/>
    <w:rPr>
      <w:color w:val="0000FF" w:themeColor="hyperlink"/>
      <w:u w:val="single"/>
    </w:rPr>
  </w:style>
  <w:style w:type="paragraph" w:styleId="Footer">
    <w:name w:val="footer"/>
    <w:basedOn w:val="Normal"/>
    <w:link w:val="FooterChar"/>
    <w:uiPriority w:val="99"/>
    <w:unhideWhenUsed/>
    <w:rsid w:val="00D970DD"/>
    <w:pPr>
      <w:tabs>
        <w:tab w:val="center" w:pos="4320"/>
        <w:tab w:val="right" w:pos="8640"/>
      </w:tabs>
    </w:pPr>
  </w:style>
  <w:style w:type="character" w:customStyle="1" w:styleId="FooterChar">
    <w:name w:val="Footer Char"/>
    <w:basedOn w:val="DefaultParagraphFont"/>
    <w:link w:val="Footer"/>
    <w:uiPriority w:val="99"/>
    <w:rsid w:val="00D970DD"/>
  </w:style>
  <w:style w:type="character" w:styleId="PageNumber">
    <w:name w:val="page number"/>
    <w:basedOn w:val="DefaultParagraphFont"/>
    <w:uiPriority w:val="99"/>
    <w:semiHidden/>
    <w:unhideWhenUsed/>
    <w:rsid w:val="00D970DD"/>
  </w:style>
  <w:style w:type="paragraph" w:styleId="NormalWeb">
    <w:name w:val="Normal (Web)"/>
    <w:basedOn w:val="Normal"/>
    <w:uiPriority w:val="99"/>
    <w:unhideWhenUsed/>
    <w:rsid w:val="00880EFE"/>
    <w:pPr>
      <w:spacing w:before="100" w:beforeAutospacing="1" w:after="100" w:afterAutospacing="1"/>
    </w:pPr>
    <w:rPr>
      <w:rFonts w:ascii="Times" w:hAnsi="Times"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E19"/>
    <w:pPr>
      <w:ind w:left="720"/>
      <w:contextualSpacing/>
    </w:pPr>
  </w:style>
  <w:style w:type="paragraph" w:styleId="FootnoteText">
    <w:name w:val="footnote text"/>
    <w:basedOn w:val="Normal"/>
    <w:link w:val="FootnoteTextChar"/>
    <w:uiPriority w:val="99"/>
    <w:unhideWhenUsed/>
    <w:rsid w:val="00FE1C7F"/>
  </w:style>
  <w:style w:type="character" w:customStyle="1" w:styleId="FootnoteTextChar">
    <w:name w:val="Footnote Text Char"/>
    <w:basedOn w:val="DefaultParagraphFont"/>
    <w:link w:val="FootnoteText"/>
    <w:uiPriority w:val="99"/>
    <w:rsid w:val="00FE1C7F"/>
  </w:style>
  <w:style w:type="character" w:styleId="FootnoteReference">
    <w:name w:val="footnote reference"/>
    <w:basedOn w:val="DefaultParagraphFont"/>
    <w:uiPriority w:val="99"/>
    <w:unhideWhenUsed/>
    <w:rsid w:val="00FE1C7F"/>
    <w:rPr>
      <w:vertAlign w:val="superscript"/>
    </w:rPr>
  </w:style>
  <w:style w:type="character" w:styleId="Hyperlink">
    <w:name w:val="Hyperlink"/>
    <w:basedOn w:val="DefaultParagraphFont"/>
    <w:uiPriority w:val="99"/>
    <w:unhideWhenUsed/>
    <w:rsid w:val="00FE1C7F"/>
    <w:rPr>
      <w:color w:val="0000FF" w:themeColor="hyperlink"/>
      <w:u w:val="single"/>
    </w:rPr>
  </w:style>
  <w:style w:type="paragraph" w:styleId="Footer">
    <w:name w:val="footer"/>
    <w:basedOn w:val="Normal"/>
    <w:link w:val="FooterChar"/>
    <w:uiPriority w:val="99"/>
    <w:unhideWhenUsed/>
    <w:rsid w:val="00D970DD"/>
    <w:pPr>
      <w:tabs>
        <w:tab w:val="center" w:pos="4320"/>
        <w:tab w:val="right" w:pos="8640"/>
      </w:tabs>
    </w:pPr>
  </w:style>
  <w:style w:type="character" w:customStyle="1" w:styleId="FooterChar">
    <w:name w:val="Footer Char"/>
    <w:basedOn w:val="DefaultParagraphFont"/>
    <w:link w:val="Footer"/>
    <w:uiPriority w:val="99"/>
    <w:rsid w:val="00D970DD"/>
  </w:style>
  <w:style w:type="character" w:styleId="PageNumber">
    <w:name w:val="page number"/>
    <w:basedOn w:val="DefaultParagraphFont"/>
    <w:uiPriority w:val="99"/>
    <w:semiHidden/>
    <w:unhideWhenUsed/>
    <w:rsid w:val="00D970DD"/>
  </w:style>
  <w:style w:type="paragraph" w:styleId="NormalWeb">
    <w:name w:val="Normal (Web)"/>
    <w:basedOn w:val="Normal"/>
    <w:uiPriority w:val="99"/>
    <w:unhideWhenUsed/>
    <w:rsid w:val="00880EFE"/>
    <w:pPr>
      <w:spacing w:before="100" w:beforeAutospacing="1" w:after="100" w:afterAutospacing="1"/>
    </w:pPr>
    <w:rPr>
      <w:rFonts w:ascii="Times" w:hAnsi="Times"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9395">
      <w:bodyDiv w:val="1"/>
      <w:marLeft w:val="0"/>
      <w:marRight w:val="0"/>
      <w:marTop w:val="0"/>
      <w:marBottom w:val="0"/>
      <w:divBdr>
        <w:top w:val="none" w:sz="0" w:space="0" w:color="auto"/>
        <w:left w:val="none" w:sz="0" w:space="0" w:color="auto"/>
        <w:bottom w:val="none" w:sz="0" w:space="0" w:color="auto"/>
        <w:right w:val="none" w:sz="0" w:space="0" w:color="auto"/>
      </w:divBdr>
      <w:divsChild>
        <w:div w:id="956638071">
          <w:marLeft w:val="0"/>
          <w:marRight w:val="0"/>
          <w:marTop w:val="0"/>
          <w:marBottom w:val="0"/>
          <w:divBdr>
            <w:top w:val="none" w:sz="0" w:space="0" w:color="auto"/>
            <w:left w:val="none" w:sz="0" w:space="0" w:color="auto"/>
            <w:bottom w:val="none" w:sz="0" w:space="0" w:color="auto"/>
            <w:right w:val="none" w:sz="0" w:space="0" w:color="auto"/>
          </w:divBdr>
          <w:divsChild>
            <w:div w:id="997805193">
              <w:marLeft w:val="0"/>
              <w:marRight w:val="0"/>
              <w:marTop w:val="0"/>
              <w:marBottom w:val="0"/>
              <w:divBdr>
                <w:top w:val="none" w:sz="0" w:space="0" w:color="auto"/>
                <w:left w:val="none" w:sz="0" w:space="0" w:color="auto"/>
                <w:bottom w:val="none" w:sz="0" w:space="0" w:color="auto"/>
                <w:right w:val="none" w:sz="0" w:space="0" w:color="auto"/>
              </w:divBdr>
              <w:divsChild>
                <w:div w:id="8411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1DD5341C</Template>
  <TotalTime>6</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DR104 - GeoTrends Sustainability Consulting Pty Ltd - Marine Fisheries and Aquaculture - Public inquiry</vt:lpstr>
    </vt:vector>
  </TitlesOfParts>
  <Company>GeoTrends Sustainability Consulting Pty Ltd</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DR104 - GeoTrends Sustainability Consulting Pty Ltd - Marine Fisheries and Aquaculture - Public inquiry</dc:title>
  <dc:subject/>
  <dc:creator>GeoTrends Sustainability Consulting Pty Ltd</dc:creator>
  <cp:keywords/>
  <dc:description/>
  <cp:lastModifiedBy>Alston, Chris</cp:lastModifiedBy>
  <cp:revision>3</cp:revision>
  <cp:lastPrinted>2016-10-21T04:13:00Z</cp:lastPrinted>
  <dcterms:created xsi:type="dcterms:W3CDTF">2016-10-21T04:34:00Z</dcterms:created>
  <dcterms:modified xsi:type="dcterms:W3CDTF">2016-10-23T23:47:00Z</dcterms:modified>
</cp:coreProperties>
</file>