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645" w:rsidRPr="00157645" w:rsidRDefault="00157645" w:rsidP="00157645">
      <w:pPr>
        <w:jc w:val="both"/>
        <w:rPr>
          <w:rFonts w:ascii="Arial" w:eastAsia="Times New Roman" w:hAnsi="Arial" w:cs="Arial"/>
          <w:b/>
          <w:color w:val="000000"/>
          <w:lang w:eastAsia="en-AU"/>
        </w:rPr>
      </w:pPr>
      <w:bookmarkStart w:id="0" w:name="_GoBack"/>
      <w:bookmarkEnd w:id="0"/>
      <w:r w:rsidRPr="00157645">
        <w:rPr>
          <w:rFonts w:ascii="Arial" w:eastAsia="Times New Roman" w:hAnsi="Arial" w:cs="Arial"/>
          <w:b/>
          <w:noProof/>
          <w:color w:val="000000"/>
          <w:lang w:eastAsia="en-AU"/>
        </w:rPr>
        <w:drawing>
          <wp:inline distT="0" distB="0" distL="0" distR="0" wp14:anchorId="05BE20E5" wp14:editId="6A00AE1B">
            <wp:extent cx="2692400" cy="18415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IAGraphics_Logo_Colour - Copy.jpg"/>
                    <pic:cNvPicPr/>
                  </pic:nvPicPr>
                  <pic:blipFill>
                    <a:blip r:embed="rId15">
                      <a:extLst>
                        <a:ext uri="{28A0092B-C50C-407E-A947-70E740481C1C}">
                          <a14:useLocalDpi xmlns:a14="http://schemas.microsoft.com/office/drawing/2010/main" val="0"/>
                        </a:ext>
                      </a:extLst>
                    </a:blip>
                    <a:stretch>
                      <a:fillRect/>
                    </a:stretch>
                  </pic:blipFill>
                  <pic:spPr>
                    <a:xfrm>
                      <a:off x="0" y="0"/>
                      <a:ext cx="2692400" cy="1841500"/>
                    </a:xfrm>
                    <a:prstGeom prst="rect">
                      <a:avLst/>
                    </a:prstGeom>
                  </pic:spPr>
                </pic:pic>
              </a:graphicData>
            </a:graphic>
          </wp:inline>
        </w:drawing>
      </w:r>
    </w:p>
    <w:p w:rsidR="00157645" w:rsidRPr="00157645" w:rsidRDefault="00157645" w:rsidP="00157645">
      <w:pPr>
        <w:jc w:val="both"/>
        <w:rPr>
          <w:rFonts w:ascii="Arial" w:eastAsia="Times New Roman" w:hAnsi="Arial" w:cs="Arial"/>
          <w:b/>
          <w:color w:val="000000"/>
          <w:lang w:eastAsia="en-AU"/>
        </w:rPr>
      </w:pPr>
    </w:p>
    <w:p w:rsidR="00157645" w:rsidRPr="00157645" w:rsidRDefault="00157645" w:rsidP="00157645">
      <w:pPr>
        <w:jc w:val="both"/>
        <w:rPr>
          <w:rFonts w:ascii="Arial" w:eastAsia="Times New Roman" w:hAnsi="Arial" w:cs="Arial"/>
          <w:b/>
          <w:color w:val="000000"/>
          <w:lang w:eastAsia="en-AU"/>
        </w:rPr>
      </w:pPr>
    </w:p>
    <w:p w:rsidR="00157645" w:rsidRPr="00157645" w:rsidRDefault="00157645" w:rsidP="00157645">
      <w:pPr>
        <w:jc w:val="both"/>
        <w:rPr>
          <w:rFonts w:ascii="Arial" w:eastAsia="Times New Roman" w:hAnsi="Arial" w:cs="Arial"/>
          <w:b/>
          <w:color w:val="000000"/>
          <w:lang w:eastAsia="en-AU"/>
        </w:rPr>
      </w:pPr>
    </w:p>
    <w:p w:rsidR="00157645" w:rsidRPr="00157645" w:rsidRDefault="00157645" w:rsidP="00F44B59">
      <w:pPr>
        <w:spacing w:after="0" w:line="240" w:lineRule="auto"/>
        <w:jc w:val="center"/>
        <w:rPr>
          <w:rFonts w:ascii="Arial" w:eastAsia="Times New Roman" w:hAnsi="Arial" w:cs="Arial"/>
          <w:b/>
          <w:color w:val="000000"/>
          <w:lang w:eastAsia="en-AU"/>
        </w:rPr>
      </w:pPr>
      <w:proofErr w:type="spellStart"/>
      <w:r w:rsidRPr="00157645">
        <w:rPr>
          <w:rFonts w:ascii="Arial" w:eastAsia="Times New Roman" w:hAnsi="Arial" w:cs="Arial"/>
          <w:b/>
          <w:color w:val="000000"/>
          <w:sz w:val="36"/>
          <w:szCs w:val="36"/>
          <w:lang w:eastAsia="en-AU"/>
        </w:rPr>
        <w:t>REIA</w:t>
      </w:r>
      <w:proofErr w:type="spellEnd"/>
      <w:r w:rsidRPr="00157645">
        <w:rPr>
          <w:rFonts w:ascii="Arial" w:eastAsia="Times New Roman" w:hAnsi="Arial" w:cs="Arial"/>
          <w:b/>
          <w:color w:val="000000"/>
          <w:sz w:val="36"/>
          <w:szCs w:val="36"/>
          <w:lang w:eastAsia="en-AU"/>
        </w:rPr>
        <w:t xml:space="preserve"> </w:t>
      </w:r>
      <w:r w:rsidR="00B643C1">
        <w:rPr>
          <w:rFonts w:ascii="Arial" w:eastAsia="Times New Roman" w:hAnsi="Arial" w:cs="Arial"/>
          <w:b/>
          <w:color w:val="000000"/>
          <w:sz w:val="36"/>
          <w:szCs w:val="36"/>
          <w:lang w:eastAsia="en-AU"/>
        </w:rPr>
        <w:t xml:space="preserve">RESPONSE </w:t>
      </w:r>
      <w:r w:rsidRPr="00157645">
        <w:rPr>
          <w:rFonts w:ascii="Arial" w:eastAsia="Times New Roman" w:hAnsi="Arial" w:cs="Arial"/>
          <w:b/>
          <w:color w:val="000000"/>
          <w:sz w:val="36"/>
          <w:szCs w:val="36"/>
          <w:lang w:eastAsia="en-AU"/>
        </w:rPr>
        <w:t xml:space="preserve">TO THE </w:t>
      </w:r>
      <w:r w:rsidR="000A3F69" w:rsidRPr="000A3F69">
        <w:rPr>
          <w:rFonts w:ascii="Arial" w:eastAsia="Times New Roman" w:hAnsi="Arial" w:cs="Arial"/>
          <w:b/>
          <w:color w:val="000000"/>
          <w:sz w:val="36"/>
          <w:szCs w:val="36"/>
          <w:lang w:eastAsia="en-AU"/>
        </w:rPr>
        <w:t>PRODUCTIVITY COMMISSION</w:t>
      </w:r>
      <w:r w:rsidR="000A3F69">
        <w:rPr>
          <w:rFonts w:ascii="Arial" w:eastAsia="Times New Roman" w:hAnsi="Arial" w:cs="Arial"/>
          <w:b/>
          <w:color w:val="000000"/>
          <w:sz w:val="36"/>
          <w:szCs w:val="36"/>
          <w:lang w:eastAsia="en-AU"/>
        </w:rPr>
        <w:t xml:space="preserve">’S PRELIMINARY REPORT ON THE </w:t>
      </w:r>
      <w:r w:rsidR="000A3F69" w:rsidRPr="000A3F69">
        <w:rPr>
          <w:rFonts w:ascii="Arial" w:eastAsia="Times New Roman" w:hAnsi="Arial" w:cs="Arial"/>
          <w:b/>
          <w:color w:val="000000"/>
          <w:sz w:val="36"/>
          <w:szCs w:val="36"/>
          <w:lang w:eastAsia="en-AU"/>
        </w:rPr>
        <w:t>INQUIRY INTO INTRODUCING COMPETITION AND INFORMED USER CHOICE INTO HUMAN SERVICES</w:t>
      </w:r>
      <w:r w:rsidRPr="00157645">
        <w:rPr>
          <w:rFonts w:ascii="Arial" w:eastAsia="Times New Roman" w:hAnsi="Arial" w:cs="Arial"/>
          <w:b/>
          <w:color w:val="000000"/>
          <w:lang w:eastAsia="en-AU"/>
        </w:rPr>
        <w:t xml:space="preserve">                                                      </w:t>
      </w:r>
    </w:p>
    <w:p w:rsidR="00157645" w:rsidRPr="00157645" w:rsidRDefault="00157645" w:rsidP="00157645">
      <w:pPr>
        <w:jc w:val="both"/>
        <w:rPr>
          <w:rFonts w:ascii="Arial" w:eastAsia="Times New Roman" w:hAnsi="Arial" w:cs="Arial"/>
          <w:b/>
          <w:color w:val="000000"/>
          <w:lang w:eastAsia="en-AU"/>
        </w:rPr>
      </w:pPr>
    </w:p>
    <w:p w:rsidR="00157645" w:rsidRPr="00157645" w:rsidRDefault="00157645" w:rsidP="00157645">
      <w:pPr>
        <w:jc w:val="both"/>
        <w:rPr>
          <w:rFonts w:ascii="Arial" w:eastAsia="Times New Roman" w:hAnsi="Arial" w:cs="Arial"/>
          <w:b/>
          <w:color w:val="000000"/>
          <w:sz w:val="28"/>
          <w:szCs w:val="28"/>
          <w:lang w:eastAsia="en-AU"/>
        </w:rPr>
      </w:pPr>
      <w:r w:rsidRPr="00157645">
        <w:rPr>
          <w:rFonts w:ascii="Arial" w:eastAsia="Times New Roman" w:hAnsi="Arial" w:cs="Arial"/>
          <w:b/>
          <w:color w:val="000000"/>
          <w:sz w:val="28"/>
          <w:szCs w:val="28"/>
          <w:lang w:eastAsia="en-AU"/>
        </w:rPr>
        <w:t xml:space="preserve">                                           </w:t>
      </w:r>
      <w:r w:rsidR="000A3F69">
        <w:rPr>
          <w:rFonts w:ascii="Arial" w:eastAsia="Times New Roman" w:hAnsi="Arial" w:cs="Arial"/>
          <w:b/>
          <w:color w:val="000000"/>
          <w:sz w:val="28"/>
          <w:szCs w:val="28"/>
          <w:lang w:eastAsia="en-AU"/>
        </w:rPr>
        <w:t xml:space="preserve">OCTOBER </w:t>
      </w:r>
      <w:r w:rsidRPr="00157645">
        <w:rPr>
          <w:rFonts w:ascii="Arial" w:eastAsia="Times New Roman" w:hAnsi="Arial" w:cs="Arial"/>
          <w:b/>
          <w:color w:val="000000"/>
          <w:sz w:val="28"/>
          <w:szCs w:val="28"/>
          <w:lang w:eastAsia="en-AU"/>
        </w:rPr>
        <w:t>201</w:t>
      </w:r>
      <w:r w:rsidR="000A3F69">
        <w:rPr>
          <w:rFonts w:ascii="Arial" w:eastAsia="Times New Roman" w:hAnsi="Arial" w:cs="Arial"/>
          <w:b/>
          <w:color w:val="000000"/>
          <w:sz w:val="28"/>
          <w:szCs w:val="28"/>
          <w:lang w:eastAsia="en-AU"/>
        </w:rPr>
        <w:t>6</w:t>
      </w:r>
      <w:r w:rsidRPr="00157645">
        <w:rPr>
          <w:rFonts w:ascii="Arial" w:eastAsia="Times New Roman" w:hAnsi="Arial" w:cs="Arial"/>
          <w:b/>
          <w:color w:val="000000"/>
          <w:sz w:val="28"/>
          <w:szCs w:val="28"/>
          <w:lang w:eastAsia="en-AU"/>
        </w:rPr>
        <w:t xml:space="preserve"> </w:t>
      </w:r>
    </w:p>
    <w:p w:rsidR="00157645" w:rsidRPr="00157645" w:rsidRDefault="00157645" w:rsidP="00157645">
      <w:pPr>
        <w:spacing w:after="0" w:line="240" w:lineRule="auto"/>
        <w:jc w:val="both"/>
        <w:rPr>
          <w:rFonts w:ascii="Arial" w:hAnsi="Arial" w:cs="Arial"/>
          <w:b/>
        </w:rPr>
      </w:pPr>
    </w:p>
    <w:p w:rsidR="00157645" w:rsidRPr="00157645" w:rsidRDefault="00157645" w:rsidP="00157645">
      <w:pPr>
        <w:spacing w:after="0" w:line="240" w:lineRule="auto"/>
        <w:jc w:val="both"/>
        <w:rPr>
          <w:rFonts w:ascii="Arial" w:hAnsi="Arial" w:cs="Arial"/>
          <w:b/>
        </w:rPr>
      </w:pPr>
    </w:p>
    <w:p w:rsidR="00157645" w:rsidRPr="00157645" w:rsidRDefault="00157645" w:rsidP="00157645">
      <w:pPr>
        <w:spacing w:after="0" w:line="240" w:lineRule="auto"/>
        <w:jc w:val="both"/>
        <w:rPr>
          <w:rFonts w:ascii="Arial" w:hAnsi="Arial" w:cs="Arial"/>
          <w:b/>
        </w:rPr>
      </w:pPr>
    </w:p>
    <w:p w:rsidR="00157645" w:rsidRPr="00157645" w:rsidRDefault="00157645" w:rsidP="00157645">
      <w:pPr>
        <w:spacing w:after="0" w:line="240" w:lineRule="auto"/>
        <w:jc w:val="both"/>
        <w:rPr>
          <w:rFonts w:ascii="Arial" w:hAnsi="Arial" w:cs="Arial"/>
          <w:b/>
        </w:rPr>
      </w:pPr>
    </w:p>
    <w:p w:rsidR="00157645" w:rsidRPr="00157645" w:rsidRDefault="00157645" w:rsidP="00157645">
      <w:pPr>
        <w:spacing w:after="0" w:line="240" w:lineRule="auto"/>
        <w:jc w:val="both"/>
        <w:rPr>
          <w:rFonts w:ascii="Arial" w:hAnsi="Arial" w:cs="Arial"/>
          <w:b/>
        </w:rPr>
      </w:pPr>
    </w:p>
    <w:p w:rsidR="00157645" w:rsidRPr="00157645" w:rsidRDefault="00157645" w:rsidP="00157645">
      <w:pPr>
        <w:spacing w:after="0" w:line="240" w:lineRule="auto"/>
        <w:jc w:val="both"/>
        <w:rPr>
          <w:rFonts w:ascii="Arial" w:hAnsi="Arial" w:cs="Arial"/>
          <w:b/>
        </w:rPr>
      </w:pPr>
    </w:p>
    <w:p w:rsidR="00157645" w:rsidRPr="00157645" w:rsidRDefault="00157645" w:rsidP="00157645">
      <w:pPr>
        <w:spacing w:after="0" w:line="240" w:lineRule="auto"/>
        <w:jc w:val="both"/>
        <w:rPr>
          <w:rFonts w:ascii="Arial" w:hAnsi="Arial" w:cs="Arial"/>
          <w:b/>
        </w:rPr>
      </w:pPr>
      <w:r w:rsidRPr="00157645">
        <w:rPr>
          <w:rFonts w:ascii="Arial" w:hAnsi="Arial" w:cs="Arial"/>
          <w:b/>
        </w:rPr>
        <w:t>PREPARED BY</w:t>
      </w:r>
    </w:p>
    <w:p w:rsidR="00157645" w:rsidRPr="00157645" w:rsidRDefault="00157645" w:rsidP="00157645">
      <w:pPr>
        <w:spacing w:after="0" w:line="240" w:lineRule="auto"/>
        <w:jc w:val="both"/>
        <w:rPr>
          <w:rFonts w:ascii="Arial" w:hAnsi="Arial" w:cs="Arial"/>
          <w:b/>
        </w:rPr>
      </w:pPr>
    </w:p>
    <w:p w:rsidR="00157645" w:rsidRPr="00157645" w:rsidRDefault="00157645" w:rsidP="00157645">
      <w:pPr>
        <w:spacing w:after="0" w:line="240" w:lineRule="auto"/>
        <w:jc w:val="both"/>
        <w:rPr>
          <w:rFonts w:ascii="Arial" w:hAnsi="Arial" w:cs="Arial"/>
          <w:b/>
        </w:rPr>
      </w:pPr>
      <w:r w:rsidRPr="00157645">
        <w:rPr>
          <w:rFonts w:ascii="Arial" w:hAnsi="Arial" w:cs="Arial"/>
          <w:b/>
        </w:rPr>
        <w:t>Real Estate Institute of Australia (</w:t>
      </w:r>
      <w:proofErr w:type="spellStart"/>
      <w:r w:rsidRPr="00157645">
        <w:rPr>
          <w:rFonts w:ascii="Arial" w:hAnsi="Arial" w:cs="Arial"/>
          <w:b/>
        </w:rPr>
        <w:t>REIA</w:t>
      </w:r>
      <w:proofErr w:type="spellEnd"/>
      <w:r w:rsidRPr="00157645">
        <w:rPr>
          <w:rFonts w:ascii="Arial" w:hAnsi="Arial" w:cs="Arial"/>
          <w:b/>
        </w:rPr>
        <w:t xml:space="preserve">) </w:t>
      </w:r>
    </w:p>
    <w:p w:rsidR="00157645" w:rsidRPr="00157645" w:rsidRDefault="00157645" w:rsidP="00157645">
      <w:pPr>
        <w:spacing w:after="0" w:line="240" w:lineRule="auto"/>
        <w:jc w:val="both"/>
        <w:rPr>
          <w:rFonts w:ascii="Arial" w:hAnsi="Arial" w:cs="Arial"/>
        </w:rPr>
      </w:pPr>
      <w:r w:rsidRPr="00157645">
        <w:rPr>
          <w:rFonts w:ascii="Arial" w:hAnsi="Arial" w:cs="Arial"/>
        </w:rPr>
        <w:t>PO Box 234</w:t>
      </w:r>
    </w:p>
    <w:p w:rsidR="00157645" w:rsidRPr="00157645" w:rsidRDefault="00157645" w:rsidP="00157645">
      <w:pPr>
        <w:spacing w:after="0" w:line="240" w:lineRule="auto"/>
        <w:jc w:val="both"/>
        <w:rPr>
          <w:rFonts w:ascii="Arial" w:hAnsi="Arial" w:cs="Arial"/>
        </w:rPr>
      </w:pPr>
      <w:r w:rsidRPr="00157645">
        <w:rPr>
          <w:rFonts w:ascii="Arial" w:hAnsi="Arial" w:cs="Arial"/>
        </w:rPr>
        <w:t>Deakin West ACT 2600</w:t>
      </w:r>
    </w:p>
    <w:p w:rsidR="00157645" w:rsidRPr="00157645" w:rsidRDefault="00157645" w:rsidP="00157645">
      <w:pPr>
        <w:spacing w:after="0" w:line="240" w:lineRule="auto"/>
        <w:jc w:val="both"/>
        <w:rPr>
          <w:rFonts w:ascii="Arial" w:hAnsi="Arial" w:cs="Arial"/>
        </w:rPr>
      </w:pPr>
      <w:proofErr w:type="spellStart"/>
      <w:r w:rsidRPr="00157645">
        <w:rPr>
          <w:rFonts w:ascii="Arial" w:hAnsi="Arial" w:cs="Arial"/>
        </w:rPr>
        <w:t>Ph</w:t>
      </w:r>
      <w:proofErr w:type="spellEnd"/>
      <w:r w:rsidRPr="00157645">
        <w:rPr>
          <w:rFonts w:ascii="Arial" w:hAnsi="Arial" w:cs="Arial"/>
        </w:rPr>
        <w:t xml:space="preserve">: 02 6282 4277                                                                                  </w:t>
      </w:r>
    </w:p>
    <w:p w:rsidR="00157645" w:rsidRPr="00157645" w:rsidRDefault="00157645" w:rsidP="00157645">
      <w:pPr>
        <w:spacing w:after="0" w:line="240" w:lineRule="auto"/>
        <w:ind w:left="720"/>
        <w:rPr>
          <w:rFonts w:ascii="Arial" w:hAnsi="Arial" w:cs="Arial"/>
        </w:rPr>
      </w:pPr>
      <w:r w:rsidRPr="00157645">
        <w:rPr>
          <w:rFonts w:ascii="Arial" w:hAnsi="Arial" w:cs="Arial"/>
          <w:noProof/>
          <w:color w:val="0000FF"/>
          <w:lang w:eastAsia="en-AU"/>
        </w:rPr>
        <w:drawing>
          <wp:inline distT="0" distB="0" distL="0" distR="0" wp14:anchorId="37243580" wp14:editId="0325345D">
            <wp:extent cx="199623" cy="199623"/>
            <wp:effectExtent l="0" t="0" r="0" b="0"/>
            <wp:docPr id="6" name="Picture 6" descr="Twitter">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itter">
                      <a:hlinkClick r:id="rId16" tgtFrame="_blank"/>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9782" cy="199782"/>
                    </a:xfrm>
                    <a:prstGeom prst="rect">
                      <a:avLst/>
                    </a:prstGeom>
                    <a:noFill/>
                    <a:ln>
                      <a:noFill/>
                    </a:ln>
                  </pic:spPr>
                </pic:pic>
              </a:graphicData>
            </a:graphic>
          </wp:inline>
        </w:drawing>
      </w:r>
      <w:r w:rsidRPr="00157645">
        <w:rPr>
          <w:rFonts w:ascii="Arial" w:hAnsi="Arial" w:cs="Arial"/>
        </w:rPr>
        <w:t xml:space="preserve"> </w:t>
      </w:r>
      <w:hyperlink r:id="rId18" w:history="1">
        <w:r w:rsidRPr="00157645">
          <w:rPr>
            <w:rStyle w:val="Hyperlink"/>
            <w:rFonts w:ascii="Arial" w:hAnsi="Arial" w:cs="Arial"/>
            <w:lang w:val="en"/>
          </w:rPr>
          <w:t>@</w:t>
        </w:r>
        <w:proofErr w:type="spellStart"/>
        <w:r w:rsidRPr="00157645">
          <w:rPr>
            <w:rStyle w:val="Hyperlink"/>
            <w:rFonts w:ascii="Arial" w:hAnsi="Arial" w:cs="Arial"/>
            <w:lang w:val="en"/>
          </w:rPr>
          <w:t>REIANational</w:t>
        </w:r>
        <w:proofErr w:type="spellEnd"/>
      </w:hyperlink>
      <w:r w:rsidRPr="00157645">
        <w:rPr>
          <w:rStyle w:val="screen-name4"/>
          <w:rFonts w:ascii="Arial" w:hAnsi="Arial" w:cs="Arial"/>
          <w:lang w:val="en"/>
        </w:rPr>
        <w:br/>
      </w:r>
      <w:r w:rsidRPr="00157645">
        <w:rPr>
          <w:rFonts w:ascii="Arial" w:hAnsi="Arial" w:cs="Arial"/>
          <w:noProof/>
          <w:lang w:eastAsia="en-AU"/>
        </w:rPr>
        <w:drawing>
          <wp:inline distT="0" distB="0" distL="0" distR="0" wp14:anchorId="4556847D" wp14:editId="23258BCD">
            <wp:extent cx="199623" cy="199623"/>
            <wp:effectExtent l="0" t="0" r="0" b="0"/>
            <wp:docPr id="7" name="Picture 7" descr="Facebook">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cebook">
                      <a:hlinkClick r:id="rId19" tgtFrame="_blank"/>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9783" cy="199783"/>
                    </a:xfrm>
                    <a:prstGeom prst="rect">
                      <a:avLst/>
                    </a:prstGeom>
                    <a:noFill/>
                    <a:ln>
                      <a:noFill/>
                    </a:ln>
                  </pic:spPr>
                </pic:pic>
              </a:graphicData>
            </a:graphic>
          </wp:inline>
        </w:drawing>
      </w:r>
      <w:r w:rsidRPr="00157645">
        <w:rPr>
          <w:rStyle w:val="screen-name4"/>
          <w:rFonts w:ascii="Arial" w:hAnsi="Arial" w:cs="Arial"/>
          <w:lang w:val="en"/>
        </w:rPr>
        <w:t xml:space="preserve"> </w:t>
      </w:r>
      <w:hyperlink r:id="rId21" w:history="1">
        <w:proofErr w:type="spellStart"/>
        <w:r w:rsidRPr="00157645">
          <w:rPr>
            <w:rStyle w:val="Hyperlink"/>
            <w:rFonts w:ascii="Arial" w:hAnsi="Arial" w:cs="Arial"/>
            <w:lang w:val="en"/>
          </w:rPr>
          <w:t>REIA</w:t>
        </w:r>
        <w:proofErr w:type="spellEnd"/>
      </w:hyperlink>
    </w:p>
    <w:p w:rsidR="009C56BF" w:rsidRPr="00157645" w:rsidRDefault="00157645" w:rsidP="003B6D40">
      <w:pPr>
        <w:rPr>
          <w:rFonts w:ascii="Arial" w:hAnsi="Arial" w:cs="Arial"/>
          <w:b/>
          <w:sz w:val="24"/>
          <w:szCs w:val="24"/>
        </w:rPr>
      </w:pPr>
      <w:r w:rsidRPr="00157645">
        <w:rPr>
          <w:rFonts w:ascii="Arial" w:hAnsi="Arial" w:cs="Arial"/>
          <w:b/>
          <w:sz w:val="24"/>
          <w:szCs w:val="24"/>
        </w:rPr>
        <w:br w:type="page"/>
      </w:r>
      <w:proofErr w:type="spellStart"/>
      <w:r w:rsidR="009C56BF" w:rsidRPr="00157645">
        <w:rPr>
          <w:rFonts w:ascii="Arial" w:hAnsi="Arial" w:cs="Arial"/>
          <w:b/>
          <w:sz w:val="24"/>
          <w:szCs w:val="24"/>
        </w:rPr>
        <w:lastRenderedPageBreak/>
        <w:t>REIA</w:t>
      </w:r>
      <w:proofErr w:type="spellEnd"/>
      <w:r w:rsidR="00B643C1">
        <w:rPr>
          <w:rFonts w:ascii="Arial" w:hAnsi="Arial" w:cs="Arial"/>
          <w:b/>
          <w:sz w:val="24"/>
          <w:szCs w:val="24"/>
        </w:rPr>
        <w:t xml:space="preserve"> </w:t>
      </w:r>
      <w:r w:rsidR="00B643C1" w:rsidRPr="00B643C1">
        <w:rPr>
          <w:rFonts w:ascii="Arial" w:hAnsi="Arial" w:cs="Arial"/>
          <w:b/>
          <w:sz w:val="24"/>
          <w:szCs w:val="24"/>
        </w:rPr>
        <w:t xml:space="preserve">RESPONSE TO THE </w:t>
      </w:r>
      <w:r w:rsidR="000A3F69" w:rsidRPr="000A3F69">
        <w:rPr>
          <w:rFonts w:ascii="Arial" w:hAnsi="Arial" w:cs="Arial"/>
          <w:b/>
          <w:sz w:val="24"/>
          <w:szCs w:val="24"/>
        </w:rPr>
        <w:t>PRODUCTIVITY COMMISSION’S PRELIMINARY REPORT ON THE INQUIRY INTO INTRODUCING COMPETITION AND INFORMED USER CHOICE INTO HUMAN SERVICES</w:t>
      </w:r>
    </w:p>
    <w:p w:rsidR="009C56BF" w:rsidRPr="00157645" w:rsidRDefault="009C56BF" w:rsidP="009C56BF">
      <w:pPr>
        <w:rPr>
          <w:rFonts w:ascii="Arial" w:hAnsi="Arial" w:cs="Arial"/>
          <w:sz w:val="24"/>
          <w:szCs w:val="24"/>
        </w:rPr>
      </w:pPr>
      <w:r w:rsidRPr="00157645">
        <w:rPr>
          <w:rFonts w:ascii="Arial" w:hAnsi="Arial" w:cs="Arial"/>
          <w:sz w:val="24"/>
          <w:szCs w:val="24"/>
        </w:rPr>
        <w:t>The Real Estate Institute of Australia (</w:t>
      </w:r>
      <w:proofErr w:type="spellStart"/>
      <w:r w:rsidRPr="00157645">
        <w:rPr>
          <w:rFonts w:ascii="Arial" w:hAnsi="Arial" w:cs="Arial"/>
          <w:sz w:val="24"/>
          <w:szCs w:val="24"/>
        </w:rPr>
        <w:t>REIA</w:t>
      </w:r>
      <w:proofErr w:type="spellEnd"/>
      <w:r w:rsidRPr="00157645">
        <w:rPr>
          <w:rFonts w:ascii="Arial" w:hAnsi="Arial" w:cs="Arial"/>
          <w:sz w:val="24"/>
          <w:szCs w:val="24"/>
        </w:rPr>
        <w:t xml:space="preserve">) is the peak national association for the real estate profession in Australia. </w:t>
      </w:r>
    </w:p>
    <w:p w:rsidR="009C56BF" w:rsidRPr="00157645" w:rsidRDefault="009C56BF" w:rsidP="009C56BF">
      <w:pPr>
        <w:rPr>
          <w:rFonts w:ascii="Arial" w:hAnsi="Arial" w:cs="Arial"/>
          <w:sz w:val="24"/>
          <w:szCs w:val="24"/>
        </w:rPr>
      </w:pPr>
      <w:r w:rsidRPr="00157645">
        <w:rPr>
          <w:rFonts w:ascii="Arial" w:hAnsi="Arial" w:cs="Arial"/>
          <w:sz w:val="24"/>
          <w:szCs w:val="24"/>
        </w:rPr>
        <w:t xml:space="preserve">The </w:t>
      </w:r>
      <w:proofErr w:type="spellStart"/>
      <w:r w:rsidRPr="00157645">
        <w:rPr>
          <w:rFonts w:ascii="Arial" w:hAnsi="Arial" w:cs="Arial"/>
          <w:sz w:val="24"/>
          <w:szCs w:val="24"/>
        </w:rPr>
        <w:t>REIA’s</w:t>
      </w:r>
      <w:proofErr w:type="spellEnd"/>
      <w:r w:rsidRPr="00157645">
        <w:rPr>
          <w:rFonts w:ascii="Arial" w:hAnsi="Arial" w:cs="Arial"/>
          <w:sz w:val="24"/>
          <w:szCs w:val="24"/>
        </w:rPr>
        <w:t xml:space="preserve"> members are the State and Territory Real Estate Institutes, through which around 75</w:t>
      </w:r>
      <w:r w:rsidR="000845C0">
        <w:rPr>
          <w:rFonts w:ascii="Arial" w:hAnsi="Arial" w:cs="Arial"/>
          <w:sz w:val="24"/>
          <w:szCs w:val="24"/>
        </w:rPr>
        <w:t xml:space="preserve"> per cent </w:t>
      </w:r>
      <w:r w:rsidRPr="00157645">
        <w:rPr>
          <w:rFonts w:ascii="Arial" w:hAnsi="Arial" w:cs="Arial"/>
          <w:sz w:val="24"/>
          <w:szCs w:val="24"/>
        </w:rPr>
        <w:t xml:space="preserve">of real estate agencies are collectively represented. The 2011 Census records the Rental, Hiring and Real Estate Services Industry employment sitting at a total of 117,880. By occupation the key data recorded by ABS Census were 64,699 </w:t>
      </w:r>
      <w:r w:rsidR="002A7C15" w:rsidRPr="00157645">
        <w:rPr>
          <w:rFonts w:ascii="Arial" w:hAnsi="Arial" w:cs="Arial"/>
          <w:sz w:val="24"/>
          <w:szCs w:val="24"/>
        </w:rPr>
        <w:t>business brokers, property managers, principals, real estate agents and representatives</w:t>
      </w:r>
      <w:r w:rsidRPr="00157645">
        <w:rPr>
          <w:rFonts w:ascii="Arial" w:hAnsi="Arial" w:cs="Arial"/>
          <w:sz w:val="24"/>
          <w:szCs w:val="24"/>
        </w:rPr>
        <w:t>.</w:t>
      </w:r>
    </w:p>
    <w:p w:rsidR="009C56BF" w:rsidRPr="00157645" w:rsidRDefault="009C56BF" w:rsidP="009C56BF">
      <w:pPr>
        <w:rPr>
          <w:rFonts w:ascii="Arial" w:hAnsi="Arial" w:cs="Arial"/>
          <w:sz w:val="24"/>
          <w:szCs w:val="24"/>
        </w:rPr>
      </w:pPr>
      <w:r w:rsidRPr="00157645">
        <w:rPr>
          <w:rFonts w:ascii="Arial" w:hAnsi="Arial" w:cs="Arial"/>
          <w:sz w:val="24"/>
          <w:szCs w:val="24"/>
        </w:rPr>
        <w:t xml:space="preserve">The </w:t>
      </w:r>
      <w:proofErr w:type="spellStart"/>
      <w:r w:rsidRPr="00157645">
        <w:rPr>
          <w:rFonts w:ascii="Arial" w:hAnsi="Arial" w:cs="Arial"/>
          <w:sz w:val="24"/>
          <w:szCs w:val="24"/>
        </w:rPr>
        <w:t>REIA</w:t>
      </w:r>
      <w:proofErr w:type="spellEnd"/>
      <w:r w:rsidRPr="00157645">
        <w:rPr>
          <w:rFonts w:ascii="Arial" w:hAnsi="Arial" w:cs="Arial"/>
          <w:sz w:val="24"/>
          <w:szCs w:val="24"/>
        </w:rPr>
        <w:t xml:space="preserve"> represents an important element of the broader property and construction sector which together makes a significant contribution to Australia’s social climate and economic development. Property contributes $300 billion annually in economic activity.</w:t>
      </w:r>
    </w:p>
    <w:p w:rsidR="009C56BF" w:rsidRPr="00157645" w:rsidRDefault="009C56BF" w:rsidP="009C56BF">
      <w:pPr>
        <w:rPr>
          <w:rFonts w:ascii="Arial" w:hAnsi="Arial" w:cs="Arial"/>
          <w:sz w:val="24"/>
          <w:szCs w:val="24"/>
        </w:rPr>
      </w:pPr>
      <w:r w:rsidRPr="00157645">
        <w:rPr>
          <w:rFonts w:ascii="Arial" w:hAnsi="Arial" w:cs="Arial"/>
          <w:sz w:val="24"/>
          <w:szCs w:val="24"/>
        </w:rPr>
        <w:t xml:space="preserve">Importantly, </w:t>
      </w:r>
      <w:proofErr w:type="spellStart"/>
      <w:r w:rsidRPr="00157645">
        <w:rPr>
          <w:rFonts w:ascii="Arial" w:hAnsi="Arial" w:cs="Arial"/>
          <w:sz w:val="24"/>
          <w:szCs w:val="24"/>
        </w:rPr>
        <w:t>REIA</w:t>
      </w:r>
      <w:proofErr w:type="spellEnd"/>
      <w:r w:rsidRPr="00157645">
        <w:rPr>
          <w:rFonts w:ascii="Arial" w:hAnsi="Arial" w:cs="Arial"/>
          <w:sz w:val="24"/>
          <w:szCs w:val="24"/>
        </w:rPr>
        <w:t xml:space="preserve"> represents an integral element of the small business sector. Some 99</w:t>
      </w:r>
      <w:r w:rsidR="000845C0">
        <w:rPr>
          <w:rFonts w:ascii="Arial" w:hAnsi="Arial" w:cs="Arial"/>
          <w:sz w:val="24"/>
          <w:szCs w:val="24"/>
        </w:rPr>
        <w:t xml:space="preserve"> per cent</w:t>
      </w:r>
      <w:r w:rsidRPr="00157645">
        <w:rPr>
          <w:rFonts w:ascii="Arial" w:hAnsi="Arial" w:cs="Arial"/>
          <w:sz w:val="24"/>
          <w:szCs w:val="24"/>
        </w:rPr>
        <w:t xml:space="preserve"> of real estate agencies are small businesses and 11</w:t>
      </w:r>
      <w:r w:rsidR="000845C0">
        <w:rPr>
          <w:rFonts w:ascii="Arial" w:hAnsi="Arial" w:cs="Arial"/>
          <w:sz w:val="24"/>
          <w:szCs w:val="24"/>
        </w:rPr>
        <w:t xml:space="preserve"> per cent</w:t>
      </w:r>
      <w:r w:rsidRPr="00157645">
        <w:rPr>
          <w:rFonts w:ascii="Arial" w:hAnsi="Arial" w:cs="Arial"/>
          <w:sz w:val="24"/>
          <w:szCs w:val="24"/>
        </w:rPr>
        <w:t xml:space="preserve"> of all small businesses in Australia are involved in real estate. Only 0.6</w:t>
      </w:r>
      <w:r w:rsidR="000845C0">
        <w:rPr>
          <w:rFonts w:ascii="Arial" w:hAnsi="Arial" w:cs="Arial"/>
          <w:sz w:val="24"/>
          <w:szCs w:val="24"/>
        </w:rPr>
        <w:t xml:space="preserve"> per cent</w:t>
      </w:r>
      <w:r w:rsidRPr="00157645">
        <w:rPr>
          <w:rFonts w:ascii="Arial" w:hAnsi="Arial" w:cs="Arial"/>
          <w:sz w:val="24"/>
          <w:szCs w:val="24"/>
        </w:rPr>
        <w:t xml:space="preserve"> of businesses employ 50 or more persons. </w:t>
      </w:r>
    </w:p>
    <w:p w:rsidR="009C56BF" w:rsidRPr="00157645" w:rsidRDefault="009C56BF" w:rsidP="009C56BF">
      <w:pPr>
        <w:rPr>
          <w:rFonts w:ascii="Arial" w:hAnsi="Arial" w:cs="Arial"/>
          <w:sz w:val="24"/>
          <w:szCs w:val="24"/>
        </w:rPr>
      </w:pPr>
      <w:proofErr w:type="spellStart"/>
      <w:r w:rsidRPr="00157645">
        <w:rPr>
          <w:rFonts w:ascii="Arial" w:hAnsi="Arial" w:cs="Arial"/>
          <w:sz w:val="24"/>
          <w:szCs w:val="24"/>
        </w:rPr>
        <w:t>REIA</w:t>
      </w:r>
      <w:proofErr w:type="spellEnd"/>
      <w:r w:rsidRPr="00157645">
        <w:rPr>
          <w:rFonts w:ascii="Arial" w:hAnsi="Arial" w:cs="Arial"/>
          <w:sz w:val="24"/>
          <w:szCs w:val="24"/>
        </w:rPr>
        <w:t xml:space="preserve"> is committed to providing and assisting research and well-informed advice to the Federal Government, Opposition, professional members of the real estate sector, media and the public on a range of issues affecting the property market. </w:t>
      </w:r>
    </w:p>
    <w:p w:rsidR="003B6D40" w:rsidRDefault="009C56BF" w:rsidP="003B6D40">
      <w:pPr>
        <w:rPr>
          <w:rFonts w:ascii="Arial" w:hAnsi="Arial" w:cs="Arial"/>
          <w:sz w:val="24"/>
          <w:szCs w:val="24"/>
        </w:rPr>
      </w:pPr>
      <w:r w:rsidRPr="00157645">
        <w:rPr>
          <w:rFonts w:ascii="Arial" w:hAnsi="Arial" w:cs="Arial"/>
          <w:sz w:val="24"/>
          <w:szCs w:val="24"/>
        </w:rPr>
        <w:t xml:space="preserve">The </w:t>
      </w:r>
      <w:proofErr w:type="spellStart"/>
      <w:r w:rsidRPr="00157645">
        <w:rPr>
          <w:rFonts w:ascii="Arial" w:hAnsi="Arial" w:cs="Arial"/>
          <w:sz w:val="24"/>
          <w:szCs w:val="24"/>
        </w:rPr>
        <w:t>REIA</w:t>
      </w:r>
      <w:proofErr w:type="spellEnd"/>
      <w:r w:rsidRPr="00157645">
        <w:rPr>
          <w:rFonts w:ascii="Arial" w:hAnsi="Arial" w:cs="Arial"/>
          <w:sz w:val="24"/>
          <w:szCs w:val="24"/>
        </w:rPr>
        <w:t xml:space="preserve"> welcomes the opportunity to </w:t>
      </w:r>
      <w:r w:rsidR="00B643C1">
        <w:rPr>
          <w:rFonts w:ascii="Arial" w:hAnsi="Arial" w:cs="Arial"/>
          <w:sz w:val="24"/>
          <w:szCs w:val="24"/>
        </w:rPr>
        <w:t xml:space="preserve">provide a response </w:t>
      </w:r>
      <w:r w:rsidRPr="00157645">
        <w:rPr>
          <w:rFonts w:ascii="Arial" w:hAnsi="Arial" w:cs="Arial"/>
          <w:sz w:val="24"/>
          <w:szCs w:val="24"/>
        </w:rPr>
        <w:t>to the</w:t>
      </w:r>
      <w:r w:rsidR="00B643C1">
        <w:rPr>
          <w:rFonts w:ascii="Arial" w:hAnsi="Arial" w:cs="Arial"/>
          <w:sz w:val="24"/>
          <w:szCs w:val="24"/>
        </w:rPr>
        <w:t xml:space="preserve"> </w:t>
      </w:r>
      <w:r w:rsidR="000A3F69" w:rsidRPr="000A3F69">
        <w:rPr>
          <w:rFonts w:ascii="Arial" w:hAnsi="Arial" w:cs="Arial"/>
          <w:sz w:val="24"/>
          <w:szCs w:val="24"/>
        </w:rPr>
        <w:t xml:space="preserve">Productivity Commission’s Preliminary Report </w:t>
      </w:r>
      <w:r w:rsidR="000A3F69">
        <w:rPr>
          <w:rFonts w:ascii="Arial" w:hAnsi="Arial" w:cs="Arial"/>
          <w:sz w:val="24"/>
          <w:szCs w:val="24"/>
        </w:rPr>
        <w:t>o</w:t>
      </w:r>
      <w:r w:rsidR="000A3F69" w:rsidRPr="000A3F69">
        <w:rPr>
          <w:rFonts w:ascii="Arial" w:hAnsi="Arial" w:cs="Arial"/>
          <w:sz w:val="24"/>
          <w:szCs w:val="24"/>
        </w:rPr>
        <w:t xml:space="preserve">n </w:t>
      </w:r>
      <w:r w:rsidR="000A3F69">
        <w:rPr>
          <w:rFonts w:ascii="Arial" w:hAnsi="Arial" w:cs="Arial"/>
          <w:sz w:val="24"/>
          <w:szCs w:val="24"/>
        </w:rPr>
        <w:t>t</w:t>
      </w:r>
      <w:r w:rsidR="000A3F69" w:rsidRPr="000A3F69">
        <w:rPr>
          <w:rFonts w:ascii="Arial" w:hAnsi="Arial" w:cs="Arial"/>
          <w:sz w:val="24"/>
          <w:szCs w:val="24"/>
        </w:rPr>
        <w:t xml:space="preserve">he Inquiry </w:t>
      </w:r>
      <w:r w:rsidR="000A3F69">
        <w:rPr>
          <w:rFonts w:ascii="Arial" w:hAnsi="Arial" w:cs="Arial"/>
          <w:sz w:val="24"/>
          <w:szCs w:val="24"/>
        </w:rPr>
        <w:t>i</w:t>
      </w:r>
      <w:r w:rsidR="000A3F69" w:rsidRPr="000A3F69">
        <w:rPr>
          <w:rFonts w:ascii="Arial" w:hAnsi="Arial" w:cs="Arial"/>
          <w:sz w:val="24"/>
          <w:szCs w:val="24"/>
        </w:rPr>
        <w:t xml:space="preserve">nto Introducing Competition </w:t>
      </w:r>
      <w:r w:rsidR="000A3F69">
        <w:rPr>
          <w:rFonts w:ascii="Arial" w:hAnsi="Arial" w:cs="Arial"/>
          <w:sz w:val="24"/>
          <w:szCs w:val="24"/>
        </w:rPr>
        <w:t>a</w:t>
      </w:r>
      <w:r w:rsidR="000A3F69" w:rsidRPr="000A3F69">
        <w:rPr>
          <w:rFonts w:ascii="Arial" w:hAnsi="Arial" w:cs="Arial"/>
          <w:sz w:val="24"/>
          <w:szCs w:val="24"/>
        </w:rPr>
        <w:t xml:space="preserve">nd Informed User Choice </w:t>
      </w:r>
      <w:r w:rsidR="000A3F69">
        <w:rPr>
          <w:rFonts w:ascii="Arial" w:hAnsi="Arial" w:cs="Arial"/>
          <w:sz w:val="24"/>
          <w:szCs w:val="24"/>
        </w:rPr>
        <w:t>i</w:t>
      </w:r>
      <w:r w:rsidR="000A3F69" w:rsidRPr="000A3F69">
        <w:rPr>
          <w:rFonts w:ascii="Arial" w:hAnsi="Arial" w:cs="Arial"/>
          <w:sz w:val="24"/>
          <w:szCs w:val="24"/>
        </w:rPr>
        <w:t>nto Human Services</w:t>
      </w:r>
      <w:r w:rsidR="000A3F69">
        <w:rPr>
          <w:rFonts w:ascii="Arial" w:hAnsi="Arial" w:cs="Arial"/>
          <w:sz w:val="24"/>
          <w:szCs w:val="24"/>
        </w:rPr>
        <w:t>.</w:t>
      </w:r>
    </w:p>
    <w:p w:rsidR="009C56BF" w:rsidRDefault="009C56BF" w:rsidP="009C56BF">
      <w:pPr>
        <w:rPr>
          <w:rFonts w:ascii="Arial" w:hAnsi="Arial" w:cs="Arial"/>
          <w:b/>
          <w:sz w:val="24"/>
          <w:szCs w:val="24"/>
        </w:rPr>
      </w:pPr>
      <w:r w:rsidRPr="00157645">
        <w:rPr>
          <w:rFonts w:ascii="Arial" w:hAnsi="Arial" w:cs="Arial"/>
          <w:b/>
          <w:sz w:val="24"/>
          <w:szCs w:val="24"/>
        </w:rPr>
        <w:t>Introduction</w:t>
      </w:r>
    </w:p>
    <w:p w:rsidR="000A3F69" w:rsidRDefault="000A3F69" w:rsidP="00F224C0">
      <w:pPr>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REIA</w:t>
      </w:r>
      <w:proofErr w:type="spellEnd"/>
      <w:r>
        <w:rPr>
          <w:rFonts w:ascii="Arial" w:hAnsi="Arial" w:cs="Arial"/>
          <w:sz w:val="24"/>
          <w:szCs w:val="24"/>
        </w:rPr>
        <w:t xml:space="preserve"> response will restrict its input to that relating to social housing. </w:t>
      </w:r>
    </w:p>
    <w:p w:rsidR="000A3F69" w:rsidRDefault="000A3F69" w:rsidP="00F44B59">
      <w:pPr>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REIA</w:t>
      </w:r>
      <w:proofErr w:type="spellEnd"/>
      <w:r>
        <w:rPr>
          <w:rFonts w:ascii="Arial" w:hAnsi="Arial" w:cs="Arial"/>
          <w:sz w:val="24"/>
          <w:szCs w:val="24"/>
        </w:rPr>
        <w:t xml:space="preserve"> notes that the Productivity Commission</w:t>
      </w:r>
      <w:r w:rsidR="00F44B59" w:rsidRPr="00F44B59">
        <w:rPr>
          <w:rFonts w:ascii="Arial" w:hAnsi="Arial" w:cs="Arial"/>
          <w:sz w:val="24"/>
          <w:szCs w:val="24"/>
        </w:rPr>
        <w:t xml:space="preserve">’s preliminary finding is that </w:t>
      </w:r>
      <w:r w:rsidR="00F44B59">
        <w:rPr>
          <w:rFonts w:ascii="Arial" w:hAnsi="Arial" w:cs="Arial"/>
          <w:sz w:val="24"/>
          <w:szCs w:val="24"/>
        </w:rPr>
        <w:t xml:space="preserve">social housing is one of </w:t>
      </w:r>
      <w:r w:rsidR="00F44B59" w:rsidRPr="00F44B59">
        <w:rPr>
          <w:rFonts w:ascii="Arial" w:hAnsi="Arial" w:cs="Arial"/>
          <w:sz w:val="24"/>
          <w:szCs w:val="24"/>
        </w:rPr>
        <w:t>six priority areas where introducing greater competition, contestability and informed user choice could improve outcomes for people who use human services, and the community as a whole</w:t>
      </w:r>
      <w:r w:rsidR="00F44B59">
        <w:rPr>
          <w:rFonts w:ascii="Arial" w:hAnsi="Arial" w:cs="Arial"/>
          <w:sz w:val="24"/>
          <w:szCs w:val="24"/>
        </w:rPr>
        <w:t xml:space="preserve"> and </w:t>
      </w:r>
      <w:r w:rsidR="00F44B59" w:rsidRPr="00F44B59">
        <w:rPr>
          <w:rFonts w:ascii="Arial" w:hAnsi="Arial" w:cs="Arial"/>
          <w:sz w:val="24"/>
          <w:szCs w:val="24"/>
        </w:rPr>
        <w:t>that reform could offer the greatest improvements in outcomes for people who use social housing</w:t>
      </w:r>
      <w:r w:rsidR="00F44B59">
        <w:rPr>
          <w:rFonts w:ascii="Arial" w:hAnsi="Arial" w:cs="Arial"/>
          <w:sz w:val="24"/>
          <w:szCs w:val="24"/>
        </w:rPr>
        <w:t>.</w:t>
      </w:r>
    </w:p>
    <w:p w:rsidR="00F44B59" w:rsidRPr="000A3F69" w:rsidRDefault="00F44B59" w:rsidP="00F44B59">
      <w:pPr>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REIA</w:t>
      </w:r>
      <w:proofErr w:type="spellEnd"/>
      <w:r>
        <w:rPr>
          <w:rFonts w:ascii="Arial" w:hAnsi="Arial" w:cs="Arial"/>
          <w:sz w:val="24"/>
          <w:szCs w:val="24"/>
        </w:rPr>
        <w:t xml:space="preserve"> concurs with the Commission’s assessment of the current provision of social and its proposal to increase supply to meet demand and to improve choice amongst social housing tenants.</w:t>
      </w:r>
    </w:p>
    <w:p w:rsidR="00B311BF" w:rsidRPr="00B311BF" w:rsidRDefault="00B311BF" w:rsidP="00B311BF">
      <w:pPr>
        <w:rPr>
          <w:rFonts w:ascii="Arial" w:hAnsi="Arial" w:cs="Arial"/>
          <w:sz w:val="24"/>
          <w:szCs w:val="24"/>
        </w:rPr>
      </w:pPr>
      <w:r>
        <w:rPr>
          <w:rFonts w:ascii="Arial" w:hAnsi="Arial" w:cs="Arial"/>
          <w:sz w:val="24"/>
          <w:szCs w:val="24"/>
        </w:rPr>
        <w:t xml:space="preserve">Currently social housing provision is characterised by: </w:t>
      </w:r>
      <w:r w:rsidR="00D07D81">
        <w:rPr>
          <w:rFonts w:ascii="Arial" w:hAnsi="Arial" w:cs="Arial"/>
          <w:sz w:val="24"/>
          <w:szCs w:val="24"/>
        </w:rPr>
        <w:t xml:space="preserve">being </w:t>
      </w:r>
      <w:r>
        <w:rPr>
          <w:rFonts w:ascii="Arial" w:hAnsi="Arial" w:cs="Arial"/>
          <w:sz w:val="24"/>
          <w:szCs w:val="24"/>
        </w:rPr>
        <w:t>f</w:t>
      </w:r>
      <w:r w:rsidRPr="00B311BF">
        <w:rPr>
          <w:rFonts w:ascii="Arial" w:hAnsi="Arial" w:cs="Arial"/>
          <w:sz w:val="24"/>
          <w:szCs w:val="24"/>
        </w:rPr>
        <w:t>inancially unsustainable for government without major reforms</w:t>
      </w:r>
      <w:r>
        <w:rPr>
          <w:rFonts w:ascii="Arial" w:hAnsi="Arial" w:cs="Arial"/>
          <w:sz w:val="24"/>
          <w:szCs w:val="24"/>
        </w:rPr>
        <w:t>; d</w:t>
      </w:r>
      <w:r w:rsidRPr="00B311BF">
        <w:rPr>
          <w:rFonts w:ascii="Arial" w:hAnsi="Arial" w:cs="Arial"/>
          <w:sz w:val="24"/>
          <w:szCs w:val="24"/>
        </w:rPr>
        <w:t xml:space="preserve">emand </w:t>
      </w:r>
      <w:r>
        <w:rPr>
          <w:rFonts w:ascii="Arial" w:hAnsi="Arial" w:cs="Arial"/>
          <w:sz w:val="24"/>
          <w:szCs w:val="24"/>
        </w:rPr>
        <w:t xml:space="preserve">far </w:t>
      </w:r>
      <w:r w:rsidRPr="00B311BF">
        <w:rPr>
          <w:rFonts w:ascii="Arial" w:hAnsi="Arial" w:cs="Arial"/>
          <w:sz w:val="24"/>
          <w:szCs w:val="24"/>
        </w:rPr>
        <w:t>exceeds supply</w:t>
      </w:r>
      <w:r>
        <w:rPr>
          <w:rFonts w:ascii="Arial" w:hAnsi="Arial" w:cs="Arial"/>
          <w:sz w:val="24"/>
          <w:szCs w:val="24"/>
        </w:rPr>
        <w:t>; a</w:t>
      </w:r>
      <w:r w:rsidRPr="00B311BF">
        <w:rPr>
          <w:rFonts w:ascii="Arial" w:hAnsi="Arial" w:cs="Arial"/>
          <w:sz w:val="24"/>
          <w:szCs w:val="24"/>
        </w:rPr>
        <w:t xml:space="preserve"> </w:t>
      </w:r>
      <w:r w:rsidRPr="00B311BF">
        <w:rPr>
          <w:rFonts w:ascii="Arial" w:hAnsi="Arial" w:cs="Arial"/>
          <w:sz w:val="24"/>
          <w:szCs w:val="24"/>
        </w:rPr>
        <w:lastRenderedPageBreak/>
        <w:t>large proportion of stock is in disrepair yet on valuable land</w:t>
      </w:r>
      <w:r>
        <w:rPr>
          <w:rFonts w:ascii="Arial" w:hAnsi="Arial" w:cs="Arial"/>
          <w:sz w:val="24"/>
          <w:szCs w:val="24"/>
        </w:rPr>
        <w:t>; the</w:t>
      </w:r>
      <w:r w:rsidRPr="00B311BF">
        <w:rPr>
          <w:rFonts w:ascii="Arial" w:hAnsi="Arial" w:cs="Arial"/>
          <w:sz w:val="24"/>
          <w:szCs w:val="24"/>
        </w:rPr>
        <w:t xml:space="preserve"> system does not offer the type of housing that many tenants need</w:t>
      </w:r>
      <w:r>
        <w:rPr>
          <w:rFonts w:ascii="Arial" w:hAnsi="Arial" w:cs="Arial"/>
          <w:sz w:val="24"/>
          <w:szCs w:val="24"/>
        </w:rPr>
        <w:t xml:space="preserve">; </w:t>
      </w:r>
      <w:r w:rsidRPr="00B311BF">
        <w:rPr>
          <w:rFonts w:ascii="Arial" w:hAnsi="Arial" w:cs="Arial"/>
          <w:sz w:val="24"/>
          <w:szCs w:val="24"/>
        </w:rPr>
        <w:t>the characteristics of demand have changed over time with little, if any, change in the supply</w:t>
      </w:r>
      <w:r>
        <w:rPr>
          <w:rFonts w:ascii="Arial" w:hAnsi="Arial" w:cs="Arial"/>
          <w:sz w:val="24"/>
          <w:szCs w:val="24"/>
        </w:rPr>
        <w:t>;</w:t>
      </w:r>
      <w:r w:rsidRPr="00B311BF">
        <w:rPr>
          <w:rFonts w:ascii="Arial" w:hAnsi="Arial" w:cs="Arial"/>
          <w:sz w:val="24"/>
          <w:szCs w:val="24"/>
        </w:rPr>
        <w:t xml:space="preserve"> </w:t>
      </w:r>
      <w:r>
        <w:rPr>
          <w:rFonts w:ascii="Arial" w:hAnsi="Arial" w:cs="Arial"/>
          <w:sz w:val="24"/>
          <w:szCs w:val="24"/>
        </w:rPr>
        <w:t>d</w:t>
      </w:r>
      <w:r w:rsidRPr="00B311BF">
        <w:rPr>
          <w:rFonts w:ascii="Arial" w:hAnsi="Arial" w:cs="Arial"/>
          <w:sz w:val="24"/>
          <w:szCs w:val="24"/>
        </w:rPr>
        <w:t>emand is highest for one and two bedroom dwellings yet typically these are only around half of the supply</w:t>
      </w:r>
      <w:r>
        <w:rPr>
          <w:rFonts w:ascii="Arial" w:hAnsi="Arial" w:cs="Arial"/>
          <w:sz w:val="24"/>
          <w:szCs w:val="24"/>
        </w:rPr>
        <w:t>; t</w:t>
      </w:r>
      <w:r w:rsidRPr="00B311BF">
        <w:rPr>
          <w:rFonts w:ascii="Arial" w:hAnsi="Arial" w:cs="Arial"/>
          <w:sz w:val="24"/>
          <w:szCs w:val="24"/>
        </w:rPr>
        <w:t>he public sector is generally less efficient in managing rental property than the private sector</w:t>
      </w:r>
      <w:r>
        <w:rPr>
          <w:rFonts w:ascii="Arial" w:hAnsi="Arial" w:cs="Arial"/>
          <w:sz w:val="24"/>
          <w:szCs w:val="24"/>
        </w:rPr>
        <w:t>; w</w:t>
      </w:r>
      <w:r w:rsidRPr="00B311BF">
        <w:rPr>
          <w:rFonts w:ascii="Arial" w:hAnsi="Arial" w:cs="Arial"/>
          <w:sz w:val="24"/>
          <w:szCs w:val="24"/>
        </w:rPr>
        <w:t>hilst not always the case, social housing is in larger developments and does not achieve a broad mix of households</w:t>
      </w:r>
      <w:r>
        <w:rPr>
          <w:rFonts w:ascii="Arial" w:hAnsi="Arial" w:cs="Arial"/>
          <w:sz w:val="24"/>
          <w:szCs w:val="24"/>
        </w:rPr>
        <w:t>, and</w:t>
      </w:r>
      <w:r w:rsidR="00EB1D0D">
        <w:rPr>
          <w:rFonts w:ascii="Arial" w:hAnsi="Arial" w:cs="Arial"/>
          <w:sz w:val="24"/>
          <w:szCs w:val="24"/>
        </w:rPr>
        <w:t>;</w:t>
      </w:r>
      <w:r>
        <w:rPr>
          <w:rFonts w:ascii="Arial" w:hAnsi="Arial" w:cs="Arial"/>
          <w:sz w:val="24"/>
          <w:szCs w:val="24"/>
        </w:rPr>
        <w:t xml:space="preserve"> w</w:t>
      </w:r>
      <w:r w:rsidRPr="00B311BF">
        <w:rPr>
          <w:rFonts w:ascii="Arial" w:hAnsi="Arial" w:cs="Arial"/>
          <w:sz w:val="24"/>
          <w:szCs w:val="24"/>
        </w:rPr>
        <w:t xml:space="preserve">hilst </w:t>
      </w:r>
      <w:r>
        <w:rPr>
          <w:rFonts w:ascii="Arial" w:hAnsi="Arial" w:cs="Arial"/>
          <w:sz w:val="24"/>
          <w:szCs w:val="24"/>
        </w:rPr>
        <w:t xml:space="preserve">private sector funding has been </w:t>
      </w:r>
      <w:r w:rsidR="00D07D81">
        <w:rPr>
          <w:rFonts w:ascii="Arial" w:hAnsi="Arial" w:cs="Arial"/>
          <w:sz w:val="24"/>
          <w:szCs w:val="24"/>
        </w:rPr>
        <w:t xml:space="preserve">utilised, for example in </w:t>
      </w:r>
      <w:proofErr w:type="spellStart"/>
      <w:r w:rsidR="00D07D81">
        <w:rPr>
          <w:rFonts w:ascii="Arial" w:hAnsi="Arial" w:cs="Arial"/>
          <w:sz w:val="24"/>
          <w:szCs w:val="24"/>
        </w:rPr>
        <w:t>NRAS</w:t>
      </w:r>
      <w:proofErr w:type="spellEnd"/>
      <w:r w:rsidR="00D07D81">
        <w:rPr>
          <w:rFonts w:ascii="Arial" w:hAnsi="Arial" w:cs="Arial"/>
          <w:sz w:val="24"/>
          <w:szCs w:val="24"/>
        </w:rPr>
        <w:t xml:space="preserve">, </w:t>
      </w:r>
      <w:r w:rsidRPr="00B311BF">
        <w:rPr>
          <w:rFonts w:ascii="Arial" w:hAnsi="Arial" w:cs="Arial"/>
          <w:sz w:val="24"/>
          <w:szCs w:val="24"/>
        </w:rPr>
        <w:t xml:space="preserve">it </w:t>
      </w:r>
      <w:r w:rsidR="00D07D81">
        <w:rPr>
          <w:rFonts w:ascii="Arial" w:hAnsi="Arial" w:cs="Arial"/>
          <w:sz w:val="24"/>
          <w:szCs w:val="24"/>
        </w:rPr>
        <w:t xml:space="preserve">has </w:t>
      </w:r>
      <w:r w:rsidRPr="00B311BF">
        <w:rPr>
          <w:rFonts w:ascii="Arial" w:hAnsi="Arial" w:cs="Arial"/>
          <w:sz w:val="24"/>
          <w:szCs w:val="24"/>
        </w:rPr>
        <w:t>exclude</w:t>
      </w:r>
      <w:r w:rsidR="00D07D81">
        <w:rPr>
          <w:rFonts w:ascii="Arial" w:hAnsi="Arial" w:cs="Arial"/>
          <w:sz w:val="24"/>
          <w:szCs w:val="24"/>
        </w:rPr>
        <w:t>d</w:t>
      </w:r>
      <w:r w:rsidRPr="00B311BF">
        <w:rPr>
          <w:rFonts w:ascii="Arial" w:hAnsi="Arial" w:cs="Arial"/>
          <w:sz w:val="24"/>
          <w:szCs w:val="24"/>
        </w:rPr>
        <w:t xml:space="preserve"> small scale investors</w:t>
      </w:r>
      <w:r w:rsidR="00D07D81">
        <w:rPr>
          <w:rFonts w:ascii="Arial" w:hAnsi="Arial" w:cs="Arial"/>
          <w:sz w:val="24"/>
          <w:szCs w:val="24"/>
        </w:rPr>
        <w:t>.</w:t>
      </w:r>
    </w:p>
    <w:p w:rsidR="00B311BF" w:rsidRPr="00B311BF" w:rsidRDefault="00D07D81" w:rsidP="00B311BF">
      <w:pPr>
        <w:rPr>
          <w:rFonts w:ascii="Arial" w:hAnsi="Arial" w:cs="Arial"/>
          <w:sz w:val="24"/>
          <w:szCs w:val="24"/>
        </w:rPr>
      </w:pPr>
      <w:r>
        <w:rPr>
          <w:rFonts w:ascii="Arial" w:hAnsi="Arial" w:cs="Arial"/>
          <w:sz w:val="24"/>
          <w:szCs w:val="24"/>
        </w:rPr>
        <w:t xml:space="preserve">Consistent with the Commission’s Preliminary Findings the proposal below </w:t>
      </w:r>
      <w:r w:rsidR="00B311BF" w:rsidRPr="00B311BF">
        <w:rPr>
          <w:rFonts w:ascii="Arial" w:hAnsi="Arial" w:cs="Arial"/>
          <w:sz w:val="24"/>
          <w:szCs w:val="24"/>
        </w:rPr>
        <w:t xml:space="preserve">outlines a scheme to increase the supply of social housing utilising a currently untapped resource of individual private investors. It is an adjunct, not a substitute, to </w:t>
      </w:r>
      <w:r>
        <w:rPr>
          <w:rFonts w:ascii="Arial" w:hAnsi="Arial" w:cs="Arial"/>
          <w:sz w:val="24"/>
          <w:szCs w:val="24"/>
        </w:rPr>
        <w:t xml:space="preserve">other </w:t>
      </w:r>
      <w:r w:rsidR="00B311BF" w:rsidRPr="00B311BF">
        <w:rPr>
          <w:rFonts w:ascii="Arial" w:hAnsi="Arial" w:cs="Arial"/>
          <w:sz w:val="24"/>
          <w:szCs w:val="24"/>
        </w:rPr>
        <w:t>initiatives including community housing programs. The scheme recognises that social housing is not meeting demand and is unsustainable without changes in approach.</w:t>
      </w:r>
    </w:p>
    <w:p w:rsidR="00B311BF" w:rsidRPr="00B311BF" w:rsidRDefault="00D07D81" w:rsidP="00B311BF">
      <w:pPr>
        <w:rPr>
          <w:rFonts w:ascii="Arial" w:hAnsi="Arial" w:cs="Arial"/>
          <w:sz w:val="24"/>
          <w:szCs w:val="24"/>
        </w:rPr>
      </w:pPr>
      <w:r>
        <w:rPr>
          <w:rFonts w:ascii="Arial" w:hAnsi="Arial" w:cs="Arial"/>
          <w:b/>
          <w:sz w:val="24"/>
          <w:szCs w:val="24"/>
        </w:rPr>
        <w:t>Proposed Scheme</w:t>
      </w:r>
    </w:p>
    <w:p w:rsidR="00B311BF" w:rsidRPr="00B311BF" w:rsidRDefault="00B311BF" w:rsidP="00B311BF">
      <w:pPr>
        <w:rPr>
          <w:rFonts w:ascii="Arial" w:hAnsi="Arial" w:cs="Arial"/>
          <w:sz w:val="24"/>
          <w:szCs w:val="24"/>
        </w:rPr>
      </w:pPr>
      <w:r w:rsidRPr="00B311BF">
        <w:rPr>
          <w:rFonts w:ascii="Arial" w:hAnsi="Arial" w:cs="Arial"/>
          <w:sz w:val="24"/>
          <w:szCs w:val="24"/>
        </w:rPr>
        <w:t>Outline of Scheme</w:t>
      </w:r>
    </w:p>
    <w:p w:rsidR="00B311BF" w:rsidRPr="007F21C7" w:rsidRDefault="00B311BF" w:rsidP="007F21C7">
      <w:pPr>
        <w:pStyle w:val="ListParagraph"/>
        <w:numPr>
          <w:ilvl w:val="0"/>
          <w:numId w:val="9"/>
        </w:numPr>
        <w:rPr>
          <w:rFonts w:ascii="Arial" w:hAnsi="Arial" w:cs="Arial"/>
          <w:sz w:val="24"/>
          <w:szCs w:val="24"/>
        </w:rPr>
      </w:pPr>
      <w:r w:rsidRPr="007F21C7">
        <w:rPr>
          <w:rFonts w:ascii="Arial" w:hAnsi="Arial" w:cs="Arial"/>
          <w:sz w:val="24"/>
          <w:szCs w:val="24"/>
        </w:rPr>
        <w:t xml:space="preserve">Investors buy a new or existing property for rental purposes. This would be subject to broad guidelines provided by state government agency regarding location, size, number of bedrooms </w:t>
      </w:r>
      <w:proofErr w:type="spellStart"/>
      <w:r w:rsidRPr="007F21C7">
        <w:rPr>
          <w:rFonts w:ascii="Arial" w:hAnsi="Arial" w:cs="Arial"/>
          <w:sz w:val="24"/>
          <w:szCs w:val="24"/>
        </w:rPr>
        <w:t>etc</w:t>
      </w:r>
      <w:proofErr w:type="spellEnd"/>
      <w:r w:rsidRPr="007F21C7">
        <w:rPr>
          <w:rFonts w:ascii="Arial" w:hAnsi="Arial" w:cs="Arial"/>
          <w:sz w:val="24"/>
          <w:szCs w:val="24"/>
        </w:rPr>
        <w:t xml:space="preserve"> and an upper value</w:t>
      </w:r>
    </w:p>
    <w:p w:rsidR="00B311BF" w:rsidRPr="007F21C7" w:rsidRDefault="00B311BF" w:rsidP="007F21C7">
      <w:pPr>
        <w:pStyle w:val="ListParagraph"/>
        <w:numPr>
          <w:ilvl w:val="0"/>
          <w:numId w:val="9"/>
        </w:numPr>
        <w:rPr>
          <w:rFonts w:ascii="Arial" w:hAnsi="Arial" w:cs="Arial"/>
          <w:sz w:val="24"/>
          <w:szCs w:val="24"/>
        </w:rPr>
      </w:pPr>
      <w:r w:rsidRPr="007F21C7">
        <w:rPr>
          <w:rFonts w:ascii="Arial" w:hAnsi="Arial" w:cs="Arial"/>
          <w:sz w:val="24"/>
          <w:szCs w:val="24"/>
        </w:rPr>
        <w:t>Agent provides a market value for rental purpose. Rental would be subject to annual reviews.</w:t>
      </w:r>
    </w:p>
    <w:p w:rsidR="00B311BF" w:rsidRPr="007F21C7" w:rsidRDefault="00B311BF" w:rsidP="007F21C7">
      <w:pPr>
        <w:pStyle w:val="ListParagraph"/>
        <w:numPr>
          <w:ilvl w:val="0"/>
          <w:numId w:val="9"/>
        </w:numPr>
        <w:rPr>
          <w:rFonts w:ascii="Arial" w:hAnsi="Arial" w:cs="Arial"/>
          <w:sz w:val="24"/>
          <w:szCs w:val="24"/>
        </w:rPr>
      </w:pPr>
      <w:r w:rsidRPr="007F21C7">
        <w:rPr>
          <w:rFonts w:ascii="Arial" w:hAnsi="Arial" w:cs="Arial"/>
          <w:sz w:val="24"/>
          <w:szCs w:val="24"/>
        </w:rPr>
        <w:t>Owner approaches government agency with details of property and market valuation of rental value for endorsement for social housing. May need to facilitate a process for approval prior to sale completion to safeguard and encourage the investor</w:t>
      </w:r>
    </w:p>
    <w:p w:rsidR="00B311BF" w:rsidRPr="007F21C7" w:rsidRDefault="00B311BF" w:rsidP="007F21C7">
      <w:pPr>
        <w:pStyle w:val="ListParagraph"/>
        <w:numPr>
          <w:ilvl w:val="0"/>
          <w:numId w:val="9"/>
        </w:numPr>
        <w:rPr>
          <w:rFonts w:ascii="Arial" w:hAnsi="Arial" w:cs="Arial"/>
          <w:sz w:val="24"/>
          <w:szCs w:val="24"/>
        </w:rPr>
      </w:pPr>
      <w:r w:rsidRPr="007F21C7">
        <w:rPr>
          <w:rFonts w:ascii="Arial" w:hAnsi="Arial" w:cs="Arial"/>
          <w:sz w:val="24"/>
          <w:szCs w:val="24"/>
        </w:rPr>
        <w:t>Tenant selected by government</w:t>
      </w:r>
    </w:p>
    <w:p w:rsidR="00B311BF" w:rsidRPr="007F21C7" w:rsidRDefault="00B311BF" w:rsidP="007F21C7">
      <w:pPr>
        <w:pStyle w:val="ListParagraph"/>
        <w:numPr>
          <w:ilvl w:val="0"/>
          <w:numId w:val="9"/>
        </w:numPr>
        <w:rPr>
          <w:rFonts w:ascii="Arial" w:hAnsi="Arial" w:cs="Arial"/>
          <w:sz w:val="24"/>
          <w:szCs w:val="24"/>
        </w:rPr>
      </w:pPr>
      <w:r w:rsidRPr="007F21C7">
        <w:rPr>
          <w:rFonts w:ascii="Arial" w:hAnsi="Arial" w:cs="Arial"/>
          <w:sz w:val="24"/>
          <w:szCs w:val="24"/>
        </w:rPr>
        <w:t>Agent manages the property. A commitment by the owner to between 6 and 10 years (based on current turnover of tenants) will be required. This does not prevent the owner selling the property in the interim provided the lease arrangements are honoured by the new owner</w:t>
      </w:r>
    </w:p>
    <w:p w:rsidR="00B311BF" w:rsidRPr="007F21C7" w:rsidRDefault="00B311BF" w:rsidP="007F21C7">
      <w:pPr>
        <w:pStyle w:val="ListParagraph"/>
        <w:numPr>
          <w:ilvl w:val="0"/>
          <w:numId w:val="9"/>
        </w:numPr>
        <w:rPr>
          <w:rFonts w:ascii="Arial" w:hAnsi="Arial" w:cs="Arial"/>
          <w:sz w:val="24"/>
          <w:szCs w:val="24"/>
        </w:rPr>
      </w:pPr>
      <w:r w:rsidRPr="007F21C7">
        <w:rPr>
          <w:rFonts w:ascii="Arial" w:hAnsi="Arial" w:cs="Arial"/>
          <w:sz w:val="24"/>
          <w:szCs w:val="24"/>
        </w:rPr>
        <w:t>Rental</w:t>
      </w:r>
    </w:p>
    <w:p w:rsidR="00B311BF" w:rsidRPr="007F21C7" w:rsidRDefault="00B311BF" w:rsidP="007F21C7">
      <w:pPr>
        <w:pStyle w:val="ListParagraph"/>
        <w:numPr>
          <w:ilvl w:val="1"/>
          <w:numId w:val="9"/>
        </w:numPr>
        <w:rPr>
          <w:rFonts w:ascii="Arial" w:hAnsi="Arial" w:cs="Arial"/>
          <w:sz w:val="24"/>
          <w:szCs w:val="24"/>
        </w:rPr>
      </w:pPr>
      <w:r w:rsidRPr="007F21C7">
        <w:rPr>
          <w:rFonts w:ascii="Arial" w:hAnsi="Arial" w:cs="Arial"/>
          <w:sz w:val="24"/>
          <w:szCs w:val="24"/>
        </w:rPr>
        <w:t>Current social housing schemes suggest that governments (Federal and state) will need to subsidise the rental by at least 20%</w:t>
      </w:r>
    </w:p>
    <w:p w:rsidR="00B311BF" w:rsidRPr="007F21C7" w:rsidRDefault="00B311BF" w:rsidP="007F21C7">
      <w:pPr>
        <w:pStyle w:val="ListParagraph"/>
        <w:numPr>
          <w:ilvl w:val="1"/>
          <w:numId w:val="9"/>
        </w:numPr>
        <w:rPr>
          <w:rFonts w:ascii="Arial" w:hAnsi="Arial" w:cs="Arial"/>
          <w:sz w:val="24"/>
          <w:szCs w:val="24"/>
        </w:rPr>
      </w:pPr>
      <w:r w:rsidRPr="007F21C7">
        <w:rPr>
          <w:rFonts w:ascii="Arial" w:hAnsi="Arial" w:cs="Arial"/>
          <w:sz w:val="24"/>
          <w:szCs w:val="24"/>
        </w:rPr>
        <w:t xml:space="preserve">Governments would need to guarantee the rental payment (tenants contribution plus subsidy) for the term of the arrangement </w:t>
      </w:r>
    </w:p>
    <w:p w:rsidR="007F21C7" w:rsidRDefault="00B311BF" w:rsidP="00B311BF">
      <w:pPr>
        <w:pStyle w:val="ListParagraph"/>
        <w:numPr>
          <w:ilvl w:val="1"/>
          <w:numId w:val="9"/>
        </w:numPr>
        <w:rPr>
          <w:rFonts w:ascii="Arial" w:hAnsi="Arial" w:cs="Arial"/>
          <w:sz w:val="24"/>
          <w:szCs w:val="24"/>
        </w:rPr>
      </w:pPr>
      <w:r w:rsidRPr="007F21C7">
        <w:rPr>
          <w:rFonts w:ascii="Arial" w:hAnsi="Arial" w:cs="Arial"/>
          <w:sz w:val="24"/>
          <w:szCs w:val="24"/>
        </w:rPr>
        <w:t xml:space="preserve">Depending on the extent of the rental subsidy, governments may need to consider other assistance to the owner to achieve the equivalent net yield if the property was rented in the private market. This could be through a stamp duty concession and land tax concessions at state level and income taxation provisions at Federal level. This is no </w:t>
      </w:r>
      <w:r w:rsidRPr="007F21C7">
        <w:rPr>
          <w:rFonts w:ascii="Arial" w:hAnsi="Arial" w:cs="Arial"/>
          <w:sz w:val="24"/>
          <w:szCs w:val="24"/>
        </w:rPr>
        <w:lastRenderedPageBreak/>
        <w:t xml:space="preserve">different in approach to the </w:t>
      </w:r>
      <w:r w:rsidR="007F21C7" w:rsidRPr="007F21C7">
        <w:rPr>
          <w:rFonts w:ascii="Arial" w:hAnsi="Arial" w:cs="Arial"/>
          <w:sz w:val="24"/>
          <w:szCs w:val="24"/>
        </w:rPr>
        <w:t xml:space="preserve">other </w:t>
      </w:r>
      <w:r w:rsidRPr="007F21C7">
        <w:rPr>
          <w:rFonts w:ascii="Arial" w:hAnsi="Arial" w:cs="Arial"/>
          <w:sz w:val="24"/>
          <w:szCs w:val="24"/>
        </w:rPr>
        <w:t>arrangements for Community Housing Providers which receive taxation exemptions.</w:t>
      </w:r>
    </w:p>
    <w:p w:rsidR="00B311BF" w:rsidRPr="007F21C7" w:rsidRDefault="00B311BF" w:rsidP="007F21C7">
      <w:pPr>
        <w:pStyle w:val="ListParagraph"/>
        <w:numPr>
          <w:ilvl w:val="0"/>
          <w:numId w:val="9"/>
        </w:numPr>
        <w:rPr>
          <w:rFonts w:ascii="Arial" w:hAnsi="Arial" w:cs="Arial"/>
          <w:sz w:val="24"/>
          <w:szCs w:val="24"/>
        </w:rPr>
      </w:pPr>
      <w:r w:rsidRPr="007F21C7">
        <w:rPr>
          <w:rFonts w:ascii="Arial" w:hAnsi="Arial" w:cs="Arial"/>
          <w:sz w:val="24"/>
          <w:szCs w:val="24"/>
        </w:rPr>
        <w:t xml:space="preserve">Maintenance of property </w:t>
      </w:r>
    </w:p>
    <w:p w:rsidR="00B311BF" w:rsidRDefault="00B311BF" w:rsidP="007F21C7">
      <w:pPr>
        <w:pStyle w:val="ListParagraph"/>
        <w:numPr>
          <w:ilvl w:val="1"/>
          <w:numId w:val="9"/>
        </w:numPr>
        <w:rPr>
          <w:rFonts w:ascii="Arial" w:hAnsi="Arial" w:cs="Arial"/>
          <w:sz w:val="24"/>
          <w:szCs w:val="24"/>
        </w:rPr>
      </w:pPr>
      <w:r w:rsidRPr="007F21C7">
        <w:rPr>
          <w:rFonts w:ascii="Arial" w:hAnsi="Arial" w:cs="Arial"/>
          <w:sz w:val="24"/>
          <w:szCs w:val="24"/>
        </w:rPr>
        <w:t xml:space="preserve">The managing agent and owner will attend to routine maintenance matters as currently occurs in the private rental market alleviating the need for government </w:t>
      </w:r>
      <w:r w:rsidR="007F21C7" w:rsidRPr="007F21C7">
        <w:rPr>
          <w:rFonts w:ascii="Arial" w:hAnsi="Arial" w:cs="Arial"/>
          <w:sz w:val="24"/>
          <w:szCs w:val="24"/>
        </w:rPr>
        <w:t>involvement</w:t>
      </w:r>
    </w:p>
    <w:p w:rsidR="007F21C7" w:rsidRPr="007F21C7" w:rsidRDefault="007F21C7" w:rsidP="007F21C7">
      <w:pPr>
        <w:pStyle w:val="ListParagraph"/>
        <w:numPr>
          <w:ilvl w:val="0"/>
          <w:numId w:val="9"/>
        </w:numPr>
        <w:rPr>
          <w:rFonts w:ascii="Arial" w:hAnsi="Arial" w:cs="Arial"/>
          <w:sz w:val="24"/>
          <w:szCs w:val="24"/>
        </w:rPr>
      </w:pPr>
      <w:r>
        <w:rPr>
          <w:rFonts w:ascii="Arial" w:hAnsi="Arial" w:cs="Arial"/>
          <w:sz w:val="24"/>
          <w:szCs w:val="24"/>
        </w:rPr>
        <w:t>Bond</w:t>
      </w:r>
    </w:p>
    <w:p w:rsidR="007F21C7" w:rsidRDefault="00B311BF" w:rsidP="00B311BF">
      <w:pPr>
        <w:pStyle w:val="ListParagraph"/>
        <w:numPr>
          <w:ilvl w:val="1"/>
          <w:numId w:val="9"/>
        </w:numPr>
        <w:rPr>
          <w:rFonts w:ascii="Arial" w:hAnsi="Arial" w:cs="Arial"/>
          <w:sz w:val="24"/>
          <w:szCs w:val="24"/>
        </w:rPr>
      </w:pPr>
      <w:r w:rsidRPr="007F21C7">
        <w:rPr>
          <w:rFonts w:ascii="Arial" w:hAnsi="Arial" w:cs="Arial"/>
          <w:sz w:val="24"/>
          <w:szCs w:val="24"/>
        </w:rPr>
        <w:t>Social housing tenants, just like private housing tenants, would be required to meet responsibilities of caring for the property leaving it in good condition at the end of a tenancy</w:t>
      </w:r>
      <w:r w:rsidR="007F21C7">
        <w:rPr>
          <w:rFonts w:ascii="Arial" w:hAnsi="Arial" w:cs="Arial"/>
          <w:sz w:val="24"/>
          <w:szCs w:val="24"/>
        </w:rPr>
        <w:t xml:space="preserve">. </w:t>
      </w:r>
    </w:p>
    <w:p w:rsidR="007F21C7" w:rsidRDefault="00B311BF" w:rsidP="00B311BF">
      <w:pPr>
        <w:pStyle w:val="ListParagraph"/>
        <w:numPr>
          <w:ilvl w:val="1"/>
          <w:numId w:val="9"/>
        </w:numPr>
        <w:rPr>
          <w:rFonts w:ascii="Arial" w:hAnsi="Arial" w:cs="Arial"/>
          <w:sz w:val="24"/>
          <w:szCs w:val="24"/>
        </w:rPr>
      </w:pPr>
      <w:r w:rsidRPr="007F21C7">
        <w:rPr>
          <w:rFonts w:ascii="Arial" w:hAnsi="Arial" w:cs="Arial"/>
          <w:sz w:val="24"/>
          <w:szCs w:val="24"/>
        </w:rPr>
        <w:t>Private tenants have a bond which is returned provided the property is left in good condition. Bonds are not, however, generally a part of the social housing system. One way of addressing this would be through a bond collection scheme collected as a part of rental payments until an agreed level of bond is reached. The bond would then be returned to public housing tenants if their property is kept in good condition at the end of their tenancy. The returned bond could then be used by tenants to get into the private rental market.</w:t>
      </w:r>
    </w:p>
    <w:p w:rsidR="00B311BF" w:rsidRPr="007F21C7" w:rsidRDefault="00B311BF" w:rsidP="00B311BF">
      <w:pPr>
        <w:pStyle w:val="ListParagraph"/>
        <w:numPr>
          <w:ilvl w:val="1"/>
          <w:numId w:val="9"/>
        </w:numPr>
        <w:rPr>
          <w:rFonts w:ascii="Arial" w:hAnsi="Arial" w:cs="Arial"/>
          <w:sz w:val="24"/>
          <w:szCs w:val="24"/>
        </w:rPr>
      </w:pPr>
      <w:r w:rsidRPr="007F21C7">
        <w:rPr>
          <w:rFonts w:ascii="Arial" w:hAnsi="Arial" w:cs="Arial"/>
          <w:sz w:val="24"/>
          <w:szCs w:val="24"/>
        </w:rPr>
        <w:t>In the event that the bond is insufficient to bring the property back to the condition expected after normal wear and tear is taken into consideration the government agency would be responsible for funding the required repairs. The repairs would be organised through the managing agent eliminating the need for public sector resources.</w:t>
      </w:r>
    </w:p>
    <w:p w:rsidR="00B311BF" w:rsidRPr="00B311BF" w:rsidRDefault="00B7579D" w:rsidP="00B311BF">
      <w:pPr>
        <w:rPr>
          <w:rFonts w:ascii="Arial" w:hAnsi="Arial" w:cs="Arial"/>
          <w:sz w:val="24"/>
          <w:szCs w:val="24"/>
        </w:rPr>
      </w:pPr>
      <w:r>
        <w:rPr>
          <w:rFonts w:ascii="Arial" w:hAnsi="Arial" w:cs="Arial"/>
          <w:sz w:val="24"/>
          <w:szCs w:val="24"/>
        </w:rPr>
        <w:t>The b</w:t>
      </w:r>
      <w:r w:rsidR="00B311BF" w:rsidRPr="00B311BF">
        <w:rPr>
          <w:rFonts w:ascii="Arial" w:hAnsi="Arial" w:cs="Arial"/>
          <w:sz w:val="24"/>
          <w:szCs w:val="24"/>
        </w:rPr>
        <w:t xml:space="preserve">enefits of </w:t>
      </w:r>
      <w:r>
        <w:rPr>
          <w:rFonts w:ascii="Arial" w:hAnsi="Arial" w:cs="Arial"/>
          <w:sz w:val="24"/>
          <w:szCs w:val="24"/>
        </w:rPr>
        <w:t>the scheme would be: an i</w:t>
      </w:r>
      <w:r w:rsidR="00B311BF" w:rsidRPr="00B311BF">
        <w:rPr>
          <w:rFonts w:ascii="Arial" w:hAnsi="Arial" w:cs="Arial"/>
          <w:sz w:val="24"/>
          <w:szCs w:val="24"/>
        </w:rPr>
        <w:t xml:space="preserve">ncrease in </w:t>
      </w:r>
      <w:r>
        <w:rPr>
          <w:rFonts w:ascii="Arial" w:hAnsi="Arial" w:cs="Arial"/>
          <w:sz w:val="24"/>
          <w:szCs w:val="24"/>
        </w:rPr>
        <w:t xml:space="preserve">the </w:t>
      </w:r>
      <w:r w:rsidR="00B311BF" w:rsidRPr="00B311BF">
        <w:rPr>
          <w:rFonts w:ascii="Arial" w:hAnsi="Arial" w:cs="Arial"/>
          <w:sz w:val="24"/>
          <w:szCs w:val="24"/>
        </w:rPr>
        <w:t>supply of social housing</w:t>
      </w:r>
      <w:r>
        <w:rPr>
          <w:rFonts w:ascii="Arial" w:hAnsi="Arial" w:cs="Arial"/>
          <w:sz w:val="24"/>
          <w:szCs w:val="24"/>
        </w:rPr>
        <w:t>; g</w:t>
      </w:r>
      <w:r w:rsidR="00B311BF" w:rsidRPr="00B311BF">
        <w:rPr>
          <w:rFonts w:ascii="Arial" w:hAnsi="Arial" w:cs="Arial"/>
          <w:sz w:val="24"/>
          <w:szCs w:val="24"/>
        </w:rPr>
        <w:t>reater operational efficiencies through private sector responsibility for operations and maintenance</w:t>
      </w:r>
      <w:r>
        <w:rPr>
          <w:rFonts w:ascii="Arial" w:hAnsi="Arial" w:cs="Arial"/>
          <w:sz w:val="24"/>
          <w:szCs w:val="24"/>
        </w:rPr>
        <w:t>; u</w:t>
      </w:r>
      <w:r w:rsidR="00B311BF" w:rsidRPr="00B311BF">
        <w:rPr>
          <w:rFonts w:ascii="Arial" w:hAnsi="Arial" w:cs="Arial"/>
          <w:sz w:val="24"/>
          <w:szCs w:val="24"/>
        </w:rPr>
        <w:t>tilisation of private sector finance and corresponding reduction in capital requirement by governments</w:t>
      </w:r>
      <w:r>
        <w:rPr>
          <w:rFonts w:ascii="Arial" w:hAnsi="Arial" w:cs="Arial"/>
          <w:sz w:val="24"/>
          <w:szCs w:val="24"/>
        </w:rPr>
        <w:t>; r</w:t>
      </w:r>
      <w:r w:rsidR="00B311BF" w:rsidRPr="00B311BF">
        <w:rPr>
          <w:rFonts w:ascii="Arial" w:hAnsi="Arial" w:cs="Arial"/>
          <w:sz w:val="24"/>
          <w:szCs w:val="24"/>
        </w:rPr>
        <w:t>isk in land value transferred to private sector</w:t>
      </w:r>
      <w:r>
        <w:rPr>
          <w:rFonts w:ascii="Arial" w:hAnsi="Arial" w:cs="Arial"/>
          <w:sz w:val="24"/>
          <w:szCs w:val="24"/>
        </w:rPr>
        <w:t>, and a b</w:t>
      </w:r>
      <w:r w:rsidR="00B311BF" w:rsidRPr="00B311BF">
        <w:rPr>
          <w:rFonts w:ascii="Arial" w:hAnsi="Arial" w:cs="Arial"/>
          <w:sz w:val="24"/>
          <w:szCs w:val="24"/>
        </w:rPr>
        <w:t>roader social mix</w:t>
      </w:r>
      <w:r>
        <w:rPr>
          <w:rFonts w:ascii="Arial" w:hAnsi="Arial" w:cs="Arial"/>
          <w:sz w:val="24"/>
          <w:szCs w:val="24"/>
        </w:rPr>
        <w:t>.</w:t>
      </w:r>
    </w:p>
    <w:p w:rsidR="00B311BF" w:rsidRPr="00B7579D" w:rsidRDefault="00B7579D" w:rsidP="00B311BF">
      <w:pPr>
        <w:rPr>
          <w:rFonts w:ascii="Arial" w:hAnsi="Arial" w:cs="Arial"/>
          <w:b/>
          <w:sz w:val="24"/>
          <w:szCs w:val="24"/>
        </w:rPr>
      </w:pPr>
      <w:r>
        <w:rPr>
          <w:rFonts w:ascii="Arial" w:hAnsi="Arial" w:cs="Arial"/>
          <w:b/>
          <w:sz w:val="24"/>
          <w:szCs w:val="24"/>
        </w:rPr>
        <w:t>Recommendation</w:t>
      </w:r>
    </w:p>
    <w:p w:rsidR="004E491E" w:rsidRPr="009050F2" w:rsidRDefault="004E491E" w:rsidP="00F224C0">
      <w:pPr>
        <w:rPr>
          <w:rFonts w:ascii="Arial" w:hAnsi="Arial" w:cs="Arial"/>
          <w:b/>
          <w:i/>
          <w:sz w:val="24"/>
          <w:szCs w:val="24"/>
        </w:rPr>
      </w:pPr>
      <w:proofErr w:type="spellStart"/>
      <w:r w:rsidRPr="009050F2">
        <w:rPr>
          <w:rFonts w:ascii="Arial" w:hAnsi="Arial" w:cs="Arial"/>
          <w:b/>
          <w:i/>
          <w:sz w:val="24"/>
          <w:szCs w:val="24"/>
        </w:rPr>
        <w:t>REIA</w:t>
      </w:r>
      <w:proofErr w:type="spellEnd"/>
      <w:r w:rsidRPr="009050F2">
        <w:rPr>
          <w:rFonts w:ascii="Arial" w:hAnsi="Arial" w:cs="Arial"/>
          <w:b/>
          <w:i/>
          <w:sz w:val="24"/>
          <w:szCs w:val="24"/>
        </w:rPr>
        <w:t xml:space="preserve"> </w:t>
      </w:r>
      <w:r w:rsidR="009050F2" w:rsidRPr="009050F2">
        <w:rPr>
          <w:rFonts w:ascii="Arial" w:hAnsi="Arial" w:cs="Arial"/>
          <w:b/>
          <w:i/>
          <w:sz w:val="24"/>
          <w:szCs w:val="24"/>
        </w:rPr>
        <w:t xml:space="preserve">recommends </w:t>
      </w:r>
      <w:r w:rsidRPr="009050F2">
        <w:rPr>
          <w:rFonts w:ascii="Arial" w:hAnsi="Arial" w:cs="Arial"/>
          <w:b/>
          <w:i/>
          <w:sz w:val="24"/>
          <w:szCs w:val="24"/>
        </w:rPr>
        <w:t xml:space="preserve">that </w:t>
      </w:r>
      <w:r w:rsidR="00B7579D">
        <w:rPr>
          <w:rFonts w:ascii="Arial" w:hAnsi="Arial" w:cs="Arial"/>
          <w:b/>
          <w:i/>
          <w:sz w:val="24"/>
          <w:szCs w:val="24"/>
        </w:rPr>
        <w:t xml:space="preserve">the Productivity Commission consider the scheme proposed by </w:t>
      </w:r>
      <w:proofErr w:type="spellStart"/>
      <w:r w:rsidR="00B7579D">
        <w:rPr>
          <w:rFonts w:ascii="Arial" w:hAnsi="Arial" w:cs="Arial"/>
          <w:b/>
          <w:i/>
          <w:sz w:val="24"/>
          <w:szCs w:val="24"/>
        </w:rPr>
        <w:t>REIA</w:t>
      </w:r>
      <w:proofErr w:type="spellEnd"/>
      <w:r w:rsidR="00B7579D">
        <w:rPr>
          <w:rFonts w:ascii="Arial" w:hAnsi="Arial" w:cs="Arial"/>
          <w:b/>
          <w:i/>
          <w:sz w:val="24"/>
          <w:szCs w:val="24"/>
        </w:rPr>
        <w:t xml:space="preserve"> as an element of a package to achieve the objective of </w:t>
      </w:r>
      <w:r w:rsidR="00B7579D" w:rsidRPr="00B7579D">
        <w:rPr>
          <w:rFonts w:ascii="Arial" w:hAnsi="Arial" w:cs="Arial"/>
          <w:b/>
          <w:i/>
          <w:sz w:val="24"/>
          <w:szCs w:val="24"/>
        </w:rPr>
        <w:t xml:space="preserve">introducing greater competition, contestability and informed user choice </w:t>
      </w:r>
      <w:r w:rsidR="00B7579D">
        <w:rPr>
          <w:rFonts w:ascii="Arial" w:hAnsi="Arial" w:cs="Arial"/>
          <w:b/>
          <w:i/>
          <w:sz w:val="24"/>
          <w:szCs w:val="24"/>
        </w:rPr>
        <w:t>in the provision of social housing.</w:t>
      </w:r>
    </w:p>
    <w:p w:rsidR="003956A2" w:rsidRDefault="004E491E" w:rsidP="00F224C0">
      <w:pPr>
        <w:rPr>
          <w:rFonts w:ascii="Arial" w:hAnsi="Arial" w:cs="Arial"/>
          <w:sz w:val="24"/>
          <w:szCs w:val="24"/>
        </w:rPr>
      </w:pPr>
      <w:r>
        <w:rPr>
          <w:rFonts w:ascii="Arial" w:hAnsi="Arial" w:cs="Arial"/>
          <w:sz w:val="24"/>
          <w:szCs w:val="24"/>
        </w:rPr>
        <w:t xml:space="preserve"> </w:t>
      </w:r>
      <w:r w:rsidR="003956A2">
        <w:rPr>
          <w:rFonts w:ascii="Arial" w:hAnsi="Arial" w:cs="Arial"/>
          <w:sz w:val="24"/>
          <w:szCs w:val="24"/>
        </w:rPr>
        <w:t xml:space="preserve">  </w:t>
      </w:r>
    </w:p>
    <w:p w:rsidR="0070181F" w:rsidRPr="0070181F" w:rsidRDefault="0070181F" w:rsidP="0070181F">
      <w:pPr>
        <w:rPr>
          <w:rFonts w:ascii="Arial" w:hAnsi="Arial" w:cs="Arial"/>
          <w:sz w:val="24"/>
          <w:szCs w:val="24"/>
        </w:rPr>
      </w:pPr>
    </w:p>
    <w:sectPr w:rsidR="0070181F" w:rsidRPr="0070181F" w:rsidSect="00157645">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8A7" w:rsidRDefault="00CE28A7" w:rsidP="00F0722B">
      <w:pPr>
        <w:spacing w:after="0" w:line="240" w:lineRule="auto"/>
      </w:pPr>
      <w:r>
        <w:separator/>
      </w:r>
    </w:p>
  </w:endnote>
  <w:endnote w:type="continuationSeparator" w:id="0">
    <w:p w:rsidR="00CE28A7" w:rsidRDefault="00CE28A7" w:rsidP="00F07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54D" w:rsidRDefault="009A75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1261653"/>
      <w:docPartObj>
        <w:docPartGallery w:val="Page Numbers (Bottom of Page)"/>
        <w:docPartUnique/>
      </w:docPartObj>
    </w:sdtPr>
    <w:sdtEndPr>
      <w:rPr>
        <w:noProof/>
      </w:rPr>
    </w:sdtEndPr>
    <w:sdtContent>
      <w:p w:rsidR="00CE28A7" w:rsidRDefault="00CE28A7">
        <w:pPr>
          <w:pStyle w:val="Footer"/>
          <w:jc w:val="right"/>
        </w:pPr>
        <w:r>
          <w:fldChar w:fldCharType="begin"/>
        </w:r>
        <w:r>
          <w:instrText xml:space="preserve"> PAGE   \* MERGEFORMAT </w:instrText>
        </w:r>
        <w:r>
          <w:fldChar w:fldCharType="separate"/>
        </w:r>
        <w:r w:rsidR="00DF1CB0">
          <w:rPr>
            <w:noProof/>
          </w:rPr>
          <w:t>1</w:t>
        </w:r>
        <w:r>
          <w:rPr>
            <w:noProof/>
          </w:rPr>
          <w:fldChar w:fldCharType="end"/>
        </w:r>
      </w:p>
    </w:sdtContent>
  </w:sdt>
  <w:p w:rsidR="00CE28A7" w:rsidRDefault="00CE28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54D" w:rsidRDefault="009A75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8A7" w:rsidRDefault="00CE28A7" w:rsidP="00F0722B">
      <w:pPr>
        <w:spacing w:after="0" w:line="240" w:lineRule="auto"/>
      </w:pPr>
      <w:r>
        <w:separator/>
      </w:r>
    </w:p>
  </w:footnote>
  <w:footnote w:type="continuationSeparator" w:id="0">
    <w:p w:rsidR="00CE28A7" w:rsidRDefault="00CE28A7" w:rsidP="00F072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54D" w:rsidRDefault="009A75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54D" w:rsidRDefault="009A75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54D" w:rsidRDefault="009A75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5DB"/>
    <w:multiLevelType w:val="hybridMultilevel"/>
    <w:tmpl w:val="B10EF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A383B6E"/>
    <w:multiLevelType w:val="hybridMultilevel"/>
    <w:tmpl w:val="500675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8E9513A"/>
    <w:multiLevelType w:val="hybridMultilevel"/>
    <w:tmpl w:val="AF9687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EAF2555"/>
    <w:multiLevelType w:val="hybridMultilevel"/>
    <w:tmpl w:val="F0360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31B5BF9"/>
    <w:multiLevelType w:val="hybridMultilevel"/>
    <w:tmpl w:val="3C9ED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8C53A6D"/>
    <w:multiLevelType w:val="hybridMultilevel"/>
    <w:tmpl w:val="49140E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6616565"/>
    <w:multiLevelType w:val="hybridMultilevel"/>
    <w:tmpl w:val="FB14E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6A22920"/>
    <w:multiLevelType w:val="hybridMultilevel"/>
    <w:tmpl w:val="E208F544"/>
    <w:lvl w:ilvl="0" w:tplc="B6D818C2">
      <w:numFmt w:val="bullet"/>
      <w:lvlText w:val=""/>
      <w:lvlJc w:val="left"/>
      <w:pPr>
        <w:ind w:left="1080" w:hanging="720"/>
      </w:pPr>
      <w:rPr>
        <w:rFonts w:ascii="Symbol" w:eastAsiaTheme="minorHAnsi"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A0F6DBE"/>
    <w:multiLevelType w:val="hybridMultilevel"/>
    <w:tmpl w:val="B7420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5"/>
  </w:num>
  <w:num w:numId="5">
    <w:abstractNumId w:val="0"/>
  </w:num>
  <w:num w:numId="6">
    <w:abstractNumId w:val="1"/>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6BF"/>
    <w:rsid w:val="00031ACC"/>
    <w:rsid w:val="000366DD"/>
    <w:rsid w:val="00060F24"/>
    <w:rsid w:val="000845C0"/>
    <w:rsid w:val="00092FFE"/>
    <w:rsid w:val="000A3F69"/>
    <w:rsid w:val="000B64CE"/>
    <w:rsid w:val="000E175E"/>
    <w:rsid w:val="000E6969"/>
    <w:rsid w:val="001338EC"/>
    <w:rsid w:val="00157645"/>
    <w:rsid w:val="00194B46"/>
    <w:rsid w:val="001A3611"/>
    <w:rsid w:val="001C20C2"/>
    <w:rsid w:val="001C6DA6"/>
    <w:rsid w:val="001F33B1"/>
    <w:rsid w:val="00242211"/>
    <w:rsid w:val="00243E1E"/>
    <w:rsid w:val="00270361"/>
    <w:rsid w:val="002849A6"/>
    <w:rsid w:val="002A2A40"/>
    <w:rsid w:val="002A7C15"/>
    <w:rsid w:val="00336E8C"/>
    <w:rsid w:val="00345066"/>
    <w:rsid w:val="0038057A"/>
    <w:rsid w:val="003956A2"/>
    <w:rsid w:val="003B6D40"/>
    <w:rsid w:val="003D104A"/>
    <w:rsid w:val="003F6ACB"/>
    <w:rsid w:val="00412081"/>
    <w:rsid w:val="00464C2D"/>
    <w:rsid w:val="0049121C"/>
    <w:rsid w:val="004D3AA6"/>
    <w:rsid w:val="004E491E"/>
    <w:rsid w:val="005057DA"/>
    <w:rsid w:val="00522F4F"/>
    <w:rsid w:val="00527FC7"/>
    <w:rsid w:val="005950CC"/>
    <w:rsid w:val="005E489A"/>
    <w:rsid w:val="005E5BE0"/>
    <w:rsid w:val="0060184E"/>
    <w:rsid w:val="00634C84"/>
    <w:rsid w:val="0066267D"/>
    <w:rsid w:val="006A7694"/>
    <w:rsid w:val="006B0A4B"/>
    <w:rsid w:val="006B7517"/>
    <w:rsid w:val="006C623B"/>
    <w:rsid w:val="006D431F"/>
    <w:rsid w:val="006E558C"/>
    <w:rsid w:val="006E55F4"/>
    <w:rsid w:val="0070181F"/>
    <w:rsid w:val="00711EB0"/>
    <w:rsid w:val="00721EE7"/>
    <w:rsid w:val="00763117"/>
    <w:rsid w:val="00780927"/>
    <w:rsid w:val="007F21C7"/>
    <w:rsid w:val="007F6F0A"/>
    <w:rsid w:val="00815A4C"/>
    <w:rsid w:val="008504ED"/>
    <w:rsid w:val="00874AB7"/>
    <w:rsid w:val="008819F9"/>
    <w:rsid w:val="00881D74"/>
    <w:rsid w:val="008E0D31"/>
    <w:rsid w:val="008E197E"/>
    <w:rsid w:val="009050F2"/>
    <w:rsid w:val="00905494"/>
    <w:rsid w:val="00922717"/>
    <w:rsid w:val="009359F1"/>
    <w:rsid w:val="00963629"/>
    <w:rsid w:val="00980CA8"/>
    <w:rsid w:val="009855EA"/>
    <w:rsid w:val="009A6828"/>
    <w:rsid w:val="009A754D"/>
    <w:rsid w:val="009B6EF1"/>
    <w:rsid w:val="009C2FFF"/>
    <w:rsid w:val="009C56BF"/>
    <w:rsid w:val="00A36335"/>
    <w:rsid w:val="00A53D3E"/>
    <w:rsid w:val="00A71E6E"/>
    <w:rsid w:val="00A914C3"/>
    <w:rsid w:val="00A934B9"/>
    <w:rsid w:val="00AA4F98"/>
    <w:rsid w:val="00AC1D1F"/>
    <w:rsid w:val="00AE3161"/>
    <w:rsid w:val="00AE5A3E"/>
    <w:rsid w:val="00B02A30"/>
    <w:rsid w:val="00B25293"/>
    <w:rsid w:val="00B311BF"/>
    <w:rsid w:val="00B505BE"/>
    <w:rsid w:val="00B643C1"/>
    <w:rsid w:val="00B7579D"/>
    <w:rsid w:val="00BD1282"/>
    <w:rsid w:val="00BD5441"/>
    <w:rsid w:val="00C0751A"/>
    <w:rsid w:val="00C25507"/>
    <w:rsid w:val="00C2778A"/>
    <w:rsid w:val="00CA7844"/>
    <w:rsid w:val="00CB32AD"/>
    <w:rsid w:val="00CD4039"/>
    <w:rsid w:val="00CE28A7"/>
    <w:rsid w:val="00CE3A82"/>
    <w:rsid w:val="00D07D81"/>
    <w:rsid w:val="00D10E89"/>
    <w:rsid w:val="00D1263F"/>
    <w:rsid w:val="00D2101C"/>
    <w:rsid w:val="00D36700"/>
    <w:rsid w:val="00D9302A"/>
    <w:rsid w:val="00D9705C"/>
    <w:rsid w:val="00DA1882"/>
    <w:rsid w:val="00DA60AC"/>
    <w:rsid w:val="00DB3057"/>
    <w:rsid w:val="00DB3E23"/>
    <w:rsid w:val="00DF0E33"/>
    <w:rsid w:val="00DF1CB0"/>
    <w:rsid w:val="00E10571"/>
    <w:rsid w:val="00E266C4"/>
    <w:rsid w:val="00E4286C"/>
    <w:rsid w:val="00E54E4D"/>
    <w:rsid w:val="00E6102B"/>
    <w:rsid w:val="00E71A19"/>
    <w:rsid w:val="00EB1D0D"/>
    <w:rsid w:val="00F02F42"/>
    <w:rsid w:val="00F0722B"/>
    <w:rsid w:val="00F1564F"/>
    <w:rsid w:val="00F224C0"/>
    <w:rsid w:val="00F34004"/>
    <w:rsid w:val="00F44B59"/>
    <w:rsid w:val="00F84851"/>
    <w:rsid w:val="00F919A1"/>
    <w:rsid w:val="00FA7A0F"/>
    <w:rsid w:val="00FC303D"/>
    <w:rsid w:val="00FF05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2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22B"/>
  </w:style>
  <w:style w:type="paragraph" w:styleId="Footer">
    <w:name w:val="footer"/>
    <w:basedOn w:val="Normal"/>
    <w:link w:val="FooterChar"/>
    <w:uiPriority w:val="99"/>
    <w:unhideWhenUsed/>
    <w:rsid w:val="00F072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22B"/>
  </w:style>
  <w:style w:type="paragraph" w:styleId="BalloonText">
    <w:name w:val="Balloon Text"/>
    <w:basedOn w:val="Normal"/>
    <w:link w:val="BalloonTextChar"/>
    <w:uiPriority w:val="99"/>
    <w:semiHidden/>
    <w:unhideWhenUsed/>
    <w:rsid w:val="00A93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4B9"/>
    <w:rPr>
      <w:rFonts w:ascii="Tahoma" w:hAnsi="Tahoma" w:cs="Tahoma"/>
      <w:sz w:val="16"/>
      <w:szCs w:val="16"/>
    </w:rPr>
  </w:style>
  <w:style w:type="paragraph" w:styleId="ListParagraph">
    <w:name w:val="List Paragraph"/>
    <w:basedOn w:val="Normal"/>
    <w:uiPriority w:val="34"/>
    <w:qFormat/>
    <w:rsid w:val="00E4286C"/>
    <w:pPr>
      <w:ind w:left="720"/>
      <w:contextualSpacing/>
    </w:pPr>
    <w:rPr>
      <w:rFonts w:ascii="Calibri" w:eastAsia="Calibri" w:hAnsi="Calibri" w:cs="Times New Roman"/>
    </w:rPr>
  </w:style>
  <w:style w:type="table" w:styleId="TableGrid">
    <w:name w:val="Table Grid"/>
    <w:basedOn w:val="TableNormal"/>
    <w:uiPriority w:val="59"/>
    <w:rsid w:val="00E428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E3A82"/>
    <w:rPr>
      <w:color w:val="0000FF" w:themeColor="hyperlink"/>
      <w:u w:val="single"/>
    </w:rPr>
  </w:style>
  <w:style w:type="character" w:styleId="FollowedHyperlink">
    <w:name w:val="FollowedHyperlink"/>
    <w:basedOn w:val="DefaultParagraphFont"/>
    <w:uiPriority w:val="99"/>
    <w:semiHidden/>
    <w:unhideWhenUsed/>
    <w:rsid w:val="006E558C"/>
    <w:rPr>
      <w:color w:val="800080" w:themeColor="followedHyperlink"/>
      <w:u w:val="single"/>
    </w:rPr>
  </w:style>
  <w:style w:type="character" w:customStyle="1" w:styleId="screen-name4">
    <w:name w:val="screen-name4"/>
    <w:basedOn w:val="DefaultParagraphFont"/>
    <w:rsid w:val="001576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2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22B"/>
  </w:style>
  <w:style w:type="paragraph" w:styleId="Footer">
    <w:name w:val="footer"/>
    <w:basedOn w:val="Normal"/>
    <w:link w:val="FooterChar"/>
    <w:uiPriority w:val="99"/>
    <w:unhideWhenUsed/>
    <w:rsid w:val="00F072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22B"/>
  </w:style>
  <w:style w:type="paragraph" w:styleId="BalloonText">
    <w:name w:val="Balloon Text"/>
    <w:basedOn w:val="Normal"/>
    <w:link w:val="BalloonTextChar"/>
    <w:uiPriority w:val="99"/>
    <w:semiHidden/>
    <w:unhideWhenUsed/>
    <w:rsid w:val="00A93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4B9"/>
    <w:rPr>
      <w:rFonts w:ascii="Tahoma" w:hAnsi="Tahoma" w:cs="Tahoma"/>
      <w:sz w:val="16"/>
      <w:szCs w:val="16"/>
    </w:rPr>
  </w:style>
  <w:style w:type="paragraph" w:styleId="ListParagraph">
    <w:name w:val="List Paragraph"/>
    <w:basedOn w:val="Normal"/>
    <w:uiPriority w:val="34"/>
    <w:qFormat/>
    <w:rsid w:val="00E4286C"/>
    <w:pPr>
      <w:ind w:left="720"/>
      <w:contextualSpacing/>
    </w:pPr>
    <w:rPr>
      <w:rFonts w:ascii="Calibri" w:eastAsia="Calibri" w:hAnsi="Calibri" w:cs="Times New Roman"/>
    </w:rPr>
  </w:style>
  <w:style w:type="table" w:styleId="TableGrid">
    <w:name w:val="Table Grid"/>
    <w:basedOn w:val="TableNormal"/>
    <w:uiPriority w:val="59"/>
    <w:rsid w:val="00E428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E3A82"/>
    <w:rPr>
      <w:color w:val="0000FF" w:themeColor="hyperlink"/>
      <w:u w:val="single"/>
    </w:rPr>
  </w:style>
  <w:style w:type="character" w:styleId="FollowedHyperlink">
    <w:name w:val="FollowedHyperlink"/>
    <w:basedOn w:val="DefaultParagraphFont"/>
    <w:uiPriority w:val="99"/>
    <w:semiHidden/>
    <w:unhideWhenUsed/>
    <w:rsid w:val="006E558C"/>
    <w:rPr>
      <w:color w:val="800080" w:themeColor="followedHyperlink"/>
      <w:u w:val="single"/>
    </w:rPr>
  </w:style>
  <w:style w:type="character" w:customStyle="1" w:styleId="screen-name4">
    <w:name w:val="screen-name4"/>
    <w:basedOn w:val="DefaultParagraphFont"/>
    <w:rsid w:val="00157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78724">
      <w:bodyDiv w:val="1"/>
      <w:marLeft w:val="0"/>
      <w:marRight w:val="0"/>
      <w:marTop w:val="0"/>
      <w:marBottom w:val="0"/>
      <w:divBdr>
        <w:top w:val="none" w:sz="0" w:space="0" w:color="auto"/>
        <w:left w:val="none" w:sz="0" w:space="0" w:color="auto"/>
        <w:bottom w:val="none" w:sz="0" w:space="0" w:color="auto"/>
        <w:right w:val="none" w:sz="0" w:space="0" w:color="auto"/>
      </w:divBdr>
      <w:divsChild>
        <w:div w:id="130052164">
          <w:marLeft w:val="0"/>
          <w:marRight w:val="0"/>
          <w:marTop w:val="0"/>
          <w:marBottom w:val="0"/>
          <w:divBdr>
            <w:top w:val="none" w:sz="0" w:space="0" w:color="auto"/>
            <w:left w:val="none" w:sz="0" w:space="0" w:color="auto"/>
            <w:bottom w:val="none" w:sz="0" w:space="0" w:color="auto"/>
            <w:right w:val="none" w:sz="0" w:space="0" w:color="auto"/>
          </w:divBdr>
          <w:divsChild>
            <w:div w:id="1198666242">
              <w:marLeft w:val="0"/>
              <w:marRight w:val="0"/>
              <w:marTop w:val="0"/>
              <w:marBottom w:val="0"/>
              <w:divBdr>
                <w:top w:val="none" w:sz="0" w:space="0" w:color="auto"/>
                <w:left w:val="none" w:sz="0" w:space="0" w:color="auto"/>
                <w:bottom w:val="none" w:sz="0" w:space="0" w:color="auto"/>
                <w:right w:val="none" w:sz="0" w:space="0" w:color="auto"/>
              </w:divBdr>
              <w:divsChild>
                <w:div w:id="2129348465">
                  <w:marLeft w:val="15"/>
                  <w:marRight w:val="15"/>
                  <w:marTop w:val="0"/>
                  <w:marBottom w:val="0"/>
                  <w:divBdr>
                    <w:top w:val="single" w:sz="6" w:space="0" w:color="FFFFFF"/>
                    <w:left w:val="single" w:sz="6" w:space="0" w:color="FFFFFF"/>
                    <w:bottom w:val="single" w:sz="6" w:space="11" w:color="FFFFFF"/>
                    <w:right w:val="single" w:sz="6" w:space="0" w:color="FFFFFF"/>
                  </w:divBdr>
                  <w:divsChild>
                    <w:div w:id="1400207832">
                      <w:marLeft w:val="300"/>
                      <w:marRight w:val="300"/>
                      <w:marTop w:val="300"/>
                      <w:marBottom w:val="0"/>
                      <w:divBdr>
                        <w:top w:val="none" w:sz="0" w:space="0" w:color="auto"/>
                        <w:left w:val="none" w:sz="0" w:space="0" w:color="auto"/>
                        <w:bottom w:val="none" w:sz="0" w:space="0" w:color="auto"/>
                        <w:right w:val="none" w:sz="0" w:space="0" w:color="auto"/>
                      </w:divBdr>
                      <w:divsChild>
                        <w:div w:id="1033263926">
                          <w:marLeft w:val="0"/>
                          <w:marRight w:val="0"/>
                          <w:marTop w:val="0"/>
                          <w:marBottom w:val="0"/>
                          <w:divBdr>
                            <w:top w:val="none" w:sz="0" w:space="0" w:color="auto"/>
                            <w:left w:val="none" w:sz="0" w:space="0" w:color="auto"/>
                            <w:bottom w:val="none" w:sz="0" w:space="0" w:color="auto"/>
                            <w:right w:val="none" w:sz="0" w:space="0" w:color="auto"/>
                          </w:divBdr>
                          <w:divsChild>
                            <w:div w:id="1622345039">
                              <w:marLeft w:val="0"/>
                              <w:marRight w:val="0"/>
                              <w:marTop w:val="0"/>
                              <w:marBottom w:val="15"/>
                              <w:divBdr>
                                <w:top w:val="single" w:sz="6" w:space="12" w:color="C8C8C8"/>
                                <w:left w:val="single" w:sz="6" w:space="15" w:color="C8C8C8"/>
                                <w:bottom w:val="single" w:sz="6" w:space="0" w:color="C8C8C8"/>
                                <w:right w:val="single" w:sz="6" w:space="15" w:color="C8C8C8"/>
                              </w:divBdr>
                            </w:div>
                          </w:divsChild>
                        </w:div>
                      </w:divsChild>
                    </w:div>
                  </w:divsChild>
                </w:div>
              </w:divsChild>
            </w:div>
          </w:divsChild>
        </w:div>
      </w:divsChild>
    </w:div>
    <w:div w:id="248389309">
      <w:bodyDiv w:val="1"/>
      <w:marLeft w:val="0"/>
      <w:marRight w:val="0"/>
      <w:marTop w:val="0"/>
      <w:marBottom w:val="0"/>
      <w:divBdr>
        <w:top w:val="none" w:sz="0" w:space="0" w:color="auto"/>
        <w:left w:val="none" w:sz="0" w:space="0" w:color="auto"/>
        <w:bottom w:val="none" w:sz="0" w:space="0" w:color="auto"/>
        <w:right w:val="none" w:sz="0" w:space="0" w:color="auto"/>
      </w:divBdr>
      <w:divsChild>
        <w:div w:id="1524124911">
          <w:marLeft w:val="0"/>
          <w:marRight w:val="0"/>
          <w:marTop w:val="0"/>
          <w:marBottom w:val="0"/>
          <w:divBdr>
            <w:top w:val="none" w:sz="0" w:space="0" w:color="auto"/>
            <w:left w:val="none" w:sz="0" w:space="0" w:color="auto"/>
            <w:bottom w:val="none" w:sz="0" w:space="0" w:color="auto"/>
            <w:right w:val="none" w:sz="0" w:space="0" w:color="auto"/>
          </w:divBdr>
          <w:divsChild>
            <w:div w:id="1546678239">
              <w:marLeft w:val="0"/>
              <w:marRight w:val="0"/>
              <w:marTop w:val="0"/>
              <w:marBottom w:val="0"/>
              <w:divBdr>
                <w:top w:val="none" w:sz="0" w:space="0" w:color="auto"/>
                <w:left w:val="none" w:sz="0" w:space="0" w:color="auto"/>
                <w:bottom w:val="none" w:sz="0" w:space="0" w:color="auto"/>
                <w:right w:val="none" w:sz="0" w:space="0" w:color="auto"/>
              </w:divBdr>
              <w:divsChild>
                <w:div w:id="17750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429036">
      <w:bodyDiv w:val="1"/>
      <w:marLeft w:val="0"/>
      <w:marRight w:val="0"/>
      <w:marTop w:val="0"/>
      <w:marBottom w:val="0"/>
      <w:divBdr>
        <w:top w:val="none" w:sz="0" w:space="0" w:color="auto"/>
        <w:left w:val="none" w:sz="0" w:space="0" w:color="auto"/>
        <w:bottom w:val="none" w:sz="0" w:space="0" w:color="auto"/>
        <w:right w:val="none" w:sz="0" w:space="0" w:color="auto"/>
      </w:divBdr>
      <w:divsChild>
        <w:div w:id="104812357">
          <w:marLeft w:val="0"/>
          <w:marRight w:val="0"/>
          <w:marTop w:val="0"/>
          <w:marBottom w:val="0"/>
          <w:divBdr>
            <w:top w:val="none" w:sz="0" w:space="0" w:color="auto"/>
            <w:left w:val="none" w:sz="0" w:space="0" w:color="auto"/>
            <w:bottom w:val="none" w:sz="0" w:space="0" w:color="auto"/>
            <w:right w:val="none" w:sz="0" w:space="0" w:color="auto"/>
          </w:divBdr>
          <w:divsChild>
            <w:div w:id="860239729">
              <w:marLeft w:val="0"/>
              <w:marRight w:val="0"/>
              <w:marTop w:val="0"/>
              <w:marBottom w:val="0"/>
              <w:divBdr>
                <w:top w:val="none" w:sz="0" w:space="0" w:color="auto"/>
                <w:left w:val="none" w:sz="0" w:space="0" w:color="auto"/>
                <w:bottom w:val="none" w:sz="0" w:space="0" w:color="auto"/>
                <w:right w:val="none" w:sz="0" w:space="0" w:color="auto"/>
              </w:divBdr>
              <w:divsChild>
                <w:div w:id="1725332300">
                  <w:marLeft w:val="0"/>
                  <w:marRight w:val="0"/>
                  <w:marTop w:val="0"/>
                  <w:marBottom w:val="0"/>
                  <w:divBdr>
                    <w:top w:val="none" w:sz="0" w:space="0" w:color="auto"/>
                    <w:left w:val="none" w:sz="0" w:space="0" w:color="auto"/>
                    <w:bottom w:val="none" w:sz="0" w:space="0" w:color="auto"/>
                    <w:right w:val="none" w:sz="0" w:space="0" w:color="auto"/>
                  </w:divBdr>
                  <w:divsChild>
                    <w:div w:id="1639064124">
                      <w:marLeft w:val="0"/>
                      <w:marRight w:val="0"/>
                      <w:marTop w:val="0"/>
                      <w:marBottom w:val="0"/>
                      <w:divBdr>
                        <w:top w:val="none" w:sz="0" w:space="0" w:color="auto"/>
                        <w:left w:val="none" w:sz="0" w:space="0" w:color="auto"/>
                        <w:bottom w:val="none" w:sz="0" w:space="0" w:color="auto"/>
                        <w:right w:val="none" w:sz="0" w:space="0" w:color="auto"/>
                      </w:divBdr>
                      <w:divsChild>
                        <w:div w:id="20448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6509634">
      <w:bodyDiv w:val="1"/>
      <w:marLeft w:val="0"/>
      <w:marRight w:val="0"/>
      <w:marTop w:val="0"/>
      <w:marBottom w:val="0"/>
      <w:divBdr>
        <w:top w:val="none" w:sz="0" w:space="0" w:color="auto"/>
        <w:left w:val="none" w:sz="0" w:space="0" w:color="auto"/>
        <w:bottom w:val="none" w:sz="0" w:space="0" w:color="auto"/>
        <w:right w:val="none" w:sz="0" w:space="0" w:color="auto"/>
      </w:divBdr>
      <w:divsChild>
        <w:div w:id="924338870">
          <w:marLeft w:val="216"/>
          <w:marRight w:val="216"/>
          <w:marTop w:val="336"/>
          <w:marBottom w:val="216"/>
          <w:divBdr>
            <w:top w:val="none" w:sz="0" w:space="0" w:color="auto"/>
            <w:left w:val="none" w:sz="0" w:space="0" w:color="auto"/>
            <w:bottom w:val="none" w:sz="0" w:space="0" w:color="auto"/>
            <w:right w:val="none" w:sz="0" w:space="0" w:color="auto"/>
          </w:divBdr>
          <w:divsChild>
            <w:div w:id="485785133">
              <w:marLeft w:val="2700"/>
              <w:marRight w:val="240"/>
              <w:marTop w:val="0"/>
              <w:marBottom w:val="0"/>
              <w:divBdr>
                <w:top w:val="none" w:sz="0" w:space="0" w:color="auto"/>
                <w:left w:val="none" w:sz="0" w:space="0" w:color="auto"/>
                <w:bottom w:val="none" w:sz="0" w:space="0" w:color="auto"/>
                <w:right w:val="none" w:sz="0" w:space="0" w:color="auto"/>
              </w:divBdr>
              <w:divsChild>
                <w:div w:id="412627712">
                  <w:marLeft w:val="0"/>
                  <w:marRight w:val="0"/>
                  <w:marTop w:val="0"/>
                  <w:marBottom w:val="0"/>
                  <w:divBdr>
                    <w:top w:val="none" w:sz="0" w:space="0" w:color="auto"/>
                    <w:left w:val="none" w:sz="0" w:space="0" w:color="auto"/>
                    <w:bottom w:val="none" w:sz="0" w:space="0" w:color="auto"/>
                    <w:right w:val="none" w:sz="0" w:space="0" w:color="auto"/>
                  </w:divBdr>
                  <w:divsChild>
                    <w:div w:id="2114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812075">
      <w:bodyDiv w:val="1"/>
      <w:marLeft w:val="0"/>
      <w:marRight w:val="0"/>
      <w:marTop w:val="0"/>
      <w:marBottom w:val="0"/>
      <w:divBdr>
        <w:top w:val="none" w:sz="0" w:space="0" w:color="auto"/>
        <w:left w:val="none" w:sz="0" w:space="0" w:color="auto"/>
        <w:bottom w:val="none" w:sz="0" w:space="0" w:color="auto"/>
        <w:right w:val="none" w:sz="0" w:space="0" w:color="auto"/>
      </w:divBdr>
      <w:divsChild>
        <w:div w:id="1226572089">
          <w:marLeft w:val="0"/>
          <w:marRight w:val="0"/>
          <w:marTop w:val="0"/>
          <w:marBottom w:val="0"/>
          <w:divBdr>
            <w:top w:val="none" w:sz="0" w:space="0" w:color="auto"/>
            <w:left w:val="none" w:sz="0" w:space="0" w:color="auto"/>
            <w:bottom w:val="none" w:sz="0" w:space="0" w:color="auto"/>
            <w:right w:val="none" w:sz="0" w:space="0" w:color="auto"/>
          </w:divBdr>
          <w:divsChild>
            <w:div w:id="707294582">
              <w:marLeft w:val="0"/>
              <w:marRight w:val="0"/>
              <w:marTop w:val="0"/>
              <w:marBottom w:val="0"/>
              <w:divBdr>
                <w:top w:val="none" w:sz="0" w:space="0" w:color="auto"/>
                <w:left w:val="none" w:sz="0" w:space="0" w:color="auto"/>
                <w:bottom w:val="none" w:sz="0" w:space="0" w:color="auto"/>
                <w:right w:val="none" w:sz="0" w:space="0" w:color="auto"/>
              </w:divBdr>
              <w:divsChild>
                <w:div w:id="1874034187">
                  <w:marLeft w:val="0"/>
                  <w:marRight w:val="0"/>
                  <w:marTop w:val="0"/>
                  <w:marBottom w:val="0"/>
                  <w:divBdr>
                    <w:top w:val="none" w:sz="0" w:space="0" w:color="auto"/>
                    <w:left w:val="none" w:sz="0" w:space="0" w:color="auto"/>
                    <w:bottom w:val="none" w:sz="0" w:space="0" w:color="auto"/>
                    <w:right w:val="none" w:sz="0" w:space="0" w:color="auto"/>
                  </w:divBdr>
                  <w:divsChild>
                    <w:div w:id="1493789943">
                      <w:marLeft w:val="0"/>
                      <w:marRight w:val="0"/>
                      <w:marTop w:val="0"/>
                      <w:marBottom w:val="0"/>
                      <w:divBdr>
                        <w:top w:val="none" w:sz="0" w:space="0" w:color="auto"/>
                        <w:left w:val="none" w:sz="0" w:space="0" w:color="auto"/>
                        <w:bottom w:val="none" w:sz="0" w:space="0" w:color="auto"/>
                        <w:right w:val="none" w:sz="0" w:space="0" w:color="auto"/>
                      </w:divBdr>
                      <w:divsChild>
                        <w:div w:id="118150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s://twitter.com/REIANational"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facebook.com/pages/Real-Estate-Institute-of-Australia-REIA/304742799577937?fref=ts"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twitter.com/REIANational" TargetMode="Externa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header" Target="header2.xml"/><Relationship Id="rId28"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hyperlink" Target="https://www.facebook.com/#!/pages/Real-Estate-Institute-of-Australia-REIA/304742799577937?fref=t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85c498d88901ec64627ff9e7e93131b">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bbefac06b4241f8d8c2044c94b692d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B8F7E-E937-40FE-A819-1DD1983B71CD}">
  <ds:schemaRefs>
    <ds:schemaRef ds:uri="http://schemas.microsoft.com/office/2006/metadata/customXsn"/>
  </ds:schemaRefs>
</ds:datastoreItem>
</file>

<file path=customXml/itemProps2.xml><?xml version="1.0" encoding="utf-8"?>
<ds:datastoreItem xmlns:ds="http://schemas.openxmlformats.org/officeDocument/2006/customXml" ds:itemID="{AD01AEE4-F119-49CC-A66B-583D96BE0687}">
  <ds:schemaRefs>
    <ds:schemaRef ds:uri="Microsoft.SharePoint.Taxonomy.ContentTypeSync"/>
  </ds:schemaRefs>
</ds:datastoreItem>
</file>

<file path=customXml/itemProps3.xml><?xml version="1.0" encoding="utf-8"?>
<ds:datastoreItem xmlns:ds="http://schemas.openxmlformats.org/officeDocument/2006/customXml" ds:itemID="{C29A9582-7387-4F15-83AA-456E4A4110B8}">
  <ds:schemaRefs>
    <ds:schemaRef ds:uri="http://purl.org/dc/elements/1.1/"/>
    <ds:schemaRef ds:uri="http://schemas.microsoft.com/office/2006/documentManagement/types"/>
    <ds:schemaRef ds:uri="8044c801-d84b-4ee1-a77e-678f8dcdee17"/>
    <ds:schemaRef ds:uri="http://schemas.microsoft.com/office/2006/metadata/properties"/>
    <ds:schemaRef ds:uri="http://purl.org/dc/terms/"/>
    <ds:schemaRef ds:uri="http://www.w3.org/XML/1998/namespace"/>
    <ds:schemaRef ds:uri="http://schemas.openxmlformats.org/package/2006/metadata/core-properties"/>
    <ds:schemaRef ds:uri="http://schemas.microsoft.com/office/infopath/2007/PartnerControls"/>
    <ds:schemaRef ds:uri="3f4bcce7-ac1a-4c9d-aa3e-7e77695652db"/>
    <ds:schemaRef ds:uri="http://purl.org/dc/dcmitype/"/>
  </ds:schemaRefs>
</ds:datastoreItem>
</file>

<file path=customXml/itemProps4.xml><?xml version="1.0" encoding="utf-8"?>
<ds:datastoreItem xmlns:ds="http://schemas.openxmlformats.org/officeDocument/2006/customXml" ds:itemID="{AC203D5A-4EEC-4989-BA28-FEBF74A05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109649-FA12-4FA6-89F7-BAE8F37D72E8}">
  <ds:schemaRefs>
    <ds:schemaRef ds:uri="http://schemas.microsoft.com/sharepoint/v3/contenttype/forms"/>
  </ds:schemaRefs>
</ds:datastoreItem>
</file>

<file path=customXml/itemProps6.xml><?xml version="1.0" encoding="utf-8"?>
<ds:datastoreItem xmlns:ds="http://schemas.openxmlformats.org/officeDocument/2006/customXml" ds:itemID="{E77606A2-20CA-4D1F-9709-0C5FCF537CC5}">
  <ds:schemaRefs>
    <ds:schemaRef ds:uri="http://schemas.microsoft.com/sharepoint/events"/>
  </ds:schemaRefs>
</ds:datastoreItem>
</file>

<file path=customXml/itemProps7.xml><?xml version="1.0" encoding="utf-8"?>
<ds:datastoreItem xmlns:ds="http://schemas.openxmlformats.org/officeDocument/2006/customXml" ds:itemID="{C8981751-F0D8-417A-BD9F-B4DCDBA25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1152</Words>
  <Characters>6571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Submission PFR340 - Real Estate Institute of Australia (REIA) - Identifying Sectors for Reform - 1st Stage of the Human Services public inquiry</vt:lpstr>
    </vt:vector>
  </TitlesOfParts>
  <Company>Real Estate Institute of Australia (REIA)</Company>
  <LinksUpToDate>false</LinksUpToDate>
  <CharactersWithSpaces>7708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PFR340 - Real Estate Institute of Australia (REIA) - Identifying Sectors for Reform - 1st Stage of the Human Services public inquiry</dc:title>
  <dc:creator>Real Estate Institute of Australia (REIA)</dc:creator>
  <cp:keywords/>
  <cp:lastModifiedBy>Productivity Commission</cp:lastModifiedBy>
  <cp:revision>3</cp:revision>
  <cp:lastPrinted>2016-10-27T05:02:00Z</cp:lastPrinted>
  <dcterms:created xsi:type="dcterms:W3CDTF">2016-10-27T05:12:00Z</dcterms:created>
  <dcterms:modified xsi:type="dcterms:W3CDTF">2016-10-30T22:10:00Z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