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C3" w:rsidRPr="002731E5" w:rsidRDefault="00A467C3" w:rsidP="00A467C3">
      <w:pPr>
        <w:spacing w:after="12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731E5">
        <w:rPr>
          <w:rFonts w:ascii="Arial" w:hAnsi="Arial" w:cs="Arial"/>
          <w:sz w:val="24"/>
          <w:szCs w:val="24"/>
        </w:rPr>
        <w:t xml:space="preserve">Submission to the Superannuation </w:t>
      </w:r>
      <w:r w:rsidR="00A06722" w:rsidRPr="002731E5">
        <w:rPr>
          <w:rFonts w:ascii="Arial" w:hAnsi="Arial" w:cs="Arial"/>
          <w:sz w:val="24"/>
          <w:szCs w:val="24"/>
        </w:rPr>
        <w:t>Assessing Efficiency and Competitiveness Draft Report</w:t>
      </w:r>
    </w:p>
    <w:p w:rsidR="007E0A99" w:rsidRPr="002731E5" w:rsidRDefault="00A467C3" w:rsidP="00A467C3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2731E5">
        <w:rPr>
          <w:rFonts w:ascii="Arial" w:hAnsi="Arial" w:cs="Arial"/>
          <w:i/>
          <w:sz w:val="24"/>
          <w:szCs w:val="24"/>
        </w:rPr>
        <w:t>by</w:t>
      </w:r>
      <w:proofErr w:type="gramEnd"/>
      <w:r w:rsidRPr="002731E5">
        <w:rPr>
          <w:rFonts w:ascii="Arial" w:hAnsi="Arial" w:cs="Arial"/>
          <w:sz w:val="24"/>
          <w:szCs w:val="24"/>
        </w:rPr>
        <w:t xml:space="preserve"> Neville Gordon in a private capacity as a past and present </w:t>
      </w:r>
      <w:r w:rsidR="008648BA" w:rsidRPr="002731E5">
        <w:rPr>
          <w:rFonts w:ascii="Arial" w:hAnsi="Arial" w:cs="Arial"/>
          <w:sz w:val="24"/>
          <w:szCs w:val="24"/>
        </w:rPr>
        <w:t xml:space="preserve">ordinary </w:t>
      </w:r>
      <w:r w:rsidRPr="002731E5">
        <w:rPr>
          <w:rFonts w:ascii="Arial" w:hAnsi="Arial" w:cs="Arial"/>
          <w:sz w:val="24"/>
          <w:szCs w:val="24"/>
        </w:rPr>
        <w:t>Member of several Superannuation Funds.</w:t>
      </w:r>
    </w:p>
    <w:p w:rsidR="008648BA" w:rsidRPr="002731E5" w:rsidRDefault="008648BA" w:rsidP="00A467C3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A467C3" w:rsidRPr="002731E5" w:rsidRDefault="00A467C3" w:rsidP="00A467C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 xml:space="preserve">My submission will be brief, </w:t>
      </w:r>
      <w:r w:rsidR="00A06722" w:rsidRPr="002731E5">
        <w:rPr>
          <w:rFonts w:ascii="Arial" w:hAnsi="Arial" w:cs="Arial"/>
          <w:sz w:val="24"/>
          <w:szCs w:val="24"/>
        </w:rPr>
        <w:t xml:space="preserve">and </w:t>
      </w:r>
      <w:r w:rsidRPr="002731E5">
        <w:rPr>
          <w:rFonts w:ascii="Arial" w:hAnsi="Arial" w:cs="Arial"/>
          <w:sz w:val="24"/>
          <w:szCs w:val="24"/>
        </w:rPr>
        <w:t>look</w:t>
      </w:r>
      <w:r w:rsidR="00135648" w:rsidRPr="002731E5">
        <w:rPr>
          <w:rFonts w:ascii="Arial" w:hAnsi="Arial" w:cs="Arial"/>
          <w:sz w:val="24"/>
          <w:szCs w:val="24"/>
        </w:rPr>
        <w:t>s</w:t>
      </w:r>
      <w:r w:rsidRPr="002731E5">
        <w:rPr>
          <w:rFonts w:ascii="Arial" w:hAnsi="Arial" w:cs="Arial"/>
          <w:sz w:val="24"/>
          <w:szCs w:val="24"/>
        </w:rPr>
        <w:t xml:space="preserve"> at </w:t>
      </w:r>
      <w:r w:rsidR="00135648" w:rsidRPr="002731E5">
        <w:rPr>
          <w:rFonts w:ascii="Arial" w:hAnsi="Arial" w:cs="Arial"/>
          <w:sz w:val="24"/>
          <w:szCs w:val="24"/>
        </w:rPr>
        <w:t xml:space="preserve">some </w:t>
      </w:r>
      <w:r w:rsidRPr="002731E5">
        <w:rPr>
          <w:rFonts w:ascii="Arial" w:hAnsi="Arial" w:cs="Arial"/>
          <w:sz w:val="24"/>
          <w:szCs w:val="24"/>
        </w:rPr>
        <w:t>more general issues.</w:t>
      </w:r>
    </w:p>
    <w:p w:rsidR="00A06722" w:rsidRPr="002731E5" w:rsidRDefault="00135648" w:rsidP="00A467C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>Introductory comments</w:t>
      </w:r>
    </w:p>
    <w:p w:rsidR="00A467C3" w:rsidRPr="002731E5" w:rsidRDefault="00A467C3" w:rsidP="00A467C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 xml:space="preserve">First, I have worked at one stage of my career as an Industrial Engineer. I mention this to draw your attention to an old engineering statement, which I believe applies to Industry Superannuation where published figures record consistent general superior performance over the retail (for profit) funds. The statement is </w:t>
      </w:r>
      <w:proofErr w:type="gramStart"/>
      <w:r w:rsidRPr="002731E5">
        <w:rPr>
          <w:rFonts w:ascii="Arial" w:hAnsi="Arial" w:cs="Arial"/>
          <w:b/>
          <w:i/>
          <w:sz w:val="24"/>
          <w:szCs w:val="24"/>
        </w:rPr>
        <w:t>If</w:t>
      </w:r>
      <w:proofErr w:type="gramEnd"/>
      <w:r w:rsidRPr="002731E5">
        <w:rPr>
          <w:rFonts w:ascii="Arial" w:hAnsi="Arial" w:cs="Arial"/>
          <w:b/>
          <w:i/>
          <w:sz w:val="24"/>
          <w:szCs w:val="24"/>
        </w:rPr>
        <w:t xml:space="preserve"> it </w:t>
      </w:r>
      <w:proofErr w:type="spellStart"/>
      <w:r w:rsidRPr="002731E5">
        <w:rPr>
          <w:rFonts w:ascii="Arial" w:hAnsi="Arial" w:cs="Arial"/>
          <w:b/>
          <w:i/>
          <w:sz w:val="24"/>
          <w:szCs w:val="24"/>
        </w:rPr>
        <w:t>ain’t</w:t>
      </w:r>
      <w:proofErr w:type="spellEnd"/>
      <w:r w:rsidRPr="002731E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2731E5">
        <w:rPr>
          <w:rFonts w:ascii="Arial" w:hAnsi="Arial" w:cs="Arial"/>
          <w:b/>
          <w:i/>
          <w:sz w:val="24"/>
          <w:szCs w:val="24"/>
        </w:rPr>
        <w:t>broken</w:t>
      </w:r>
      <w:proofErr w:type="spellEnd"/>
      <w:r w:rsidRPr="002731E5">
        <w:rPr>
          <w:rFonts w:ascii="Arial" w:hAnsi="Arial" w:cs="Arial"/>
          <w:b/>
          <w:i/>
          <w:sz w:val="24"/>
          <w:szCs w:val="24"/>
        </w:rPr>
        <w:t>, don’t fix it</w:t>
      </w:r>
      <w:r w:rsidRPr="002731E5">
        <w:rPr>
          <w:rFonts w:ascii="Arial" w:hAnsi="Arial" w:cs="Arial"/>
          <w:sz w:val="24"/>
          <w:szCs w:val="24"/>
        </w:rPr>
        <w:t xml:space="preserve">. Suggestions have been made of requiring the industry funds to have independent directors, like the retail funds. I ask WHY – as I said </w:t>
      </w:r>
      <w:r w:rsidRPr="002731E5">
        <w:rPr>
          <w:rFonts w:ascii="Arial" w:hAnsi="Arial" w:cs="Arial"/>
          <w:i/>
          <w:sz w:val="24"/>
          <w:szCs w:val="24"/>
        </w:rPr>
        <w:t xml:space="preserve">if it </w:t>
      </w:r>
      <w:proofErr w:type="spellStart"/>
      <w:r w:rsidRPr="002731E5">
        <w:rPr>
          <w:rFonts w:ascii="Arial" w:hAnsi="Arial" w:cs="Arial"/>
          <w:i/>
          <w:sz w:val="24"/>
          <w:szCs w:val="24"/>
        </w:rPr>
        <w:t>ain’t</w:t>
      </w:r>
      <w:proofErr w:type="spellEnd"/>
      <w:r w:rsidRPr="002731E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731E5">
        <w:rPr>
          <w:rFonts w:ascii="Arial" w:hAnsi="Arial" w:cs="Arial"/>
          <w:i/>
          <w:sz w:val="24"/>
          <w:szCs w:val="24"/>
        </w:rPr>
        <w:t>broken</w:t>
      </w:r>
      <w:proofErr w:type="spellEnd"/>
      <w:r w:rsidRPr="002731E5">
        <w:rPr>
          <w:rFonts w:ascii="Arial" w:hAnsi="Arial" w:cs="Arial"/>
          <w:i/>
          <w:sz w:val="24"/>
          <w:szCs w:val="24"/>
        </w:rPr>
        <w:t>, don’t fix it</w:t>
      </w:r>
      <w:r w:rsidRPr="002731E5">
        <w:rPr>
          <w:rFonts w:ascii="Arial" w:hAnsi="Arial" w:cs="Arial"/>
          <w:sz w:val="24"/>
          <w:szCs w:val="24"/>
        </w:rPr>
        <w:t xml:space="preserve">. Currently the industry funds have representatives of unions and companies – a low cost approach that reduces the leakage of funds from </w:t>
      </w:r>
      <w:r w:rsidR="00135648" w:rsidRPr="002731E5">
        <w:rPr>
          <w:rFonts w:ascii="Arial" w:hAnsi="Arial" w:cs="Arial"/>
          <w:sz w:val="24"/>
          <w:szCs w:val="24"/>
        </w:rPr>
        <w:t xml:space="preserve">benefiting </w:t>
      </w:r>
      <w:r w:rsidRPr="002731E5">
        <w:rPr>
          <w:rFonts w:ascii="Arial" w:hAnsi="Arial" w:cs="Arial"/>
          <w:sz w:val="24"/>
          <w:szCs w:val="24"/>
        </w:rPr>
        <w:t>members.</w:t>
      </w:r>
    </w:p>
    <w:p w:rsidR="00A467C3" w:rsidRPr="002731E5" w:rsidRDefault="00A06722" w:rsidP="00A467C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>Comparison of types of funds</w:t>
      </w:r>
    </w:p>
    <w:p w:rsidR="00A06722" w:rsidRPr="002731E5" w:rsidRDefault="00A06722" w:rsidP="00A467C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 xml:space="preserve">In various media and industry reports, funds are generally divided into 3 types – </w:t>
      </w:r>
    </w:p>
    <w:p w:rsidR="00A06722" w:rsidRPr="002731E5" w:rsidRDefault="00A06722" w:rsidP="00A06722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 xml:space="preserve">Retail funds – </w:t>
      </w:r>
      <w:proofErr w:type="spellStart"/>
      <w:r w:rsidRPr="002731E5">
        <w:rPr>
          <w:rFonts w:ascii="Arial" w:hAnsi="Arial" w:cs="Arial"/>
          <w:sz w:val="24"/>
          <w:szCs w:val="24"/>
        </w:rPr>
        <w:t>eg</w:t>
      </w:r>
      <w:proofErr w:type="spellEnd"/>
      <w:r w:rsidRPr="002731E5">
        <w:rPr>
          <w:rFonts w:ascii="Arial" w:hAnsi="Arial" w:cs="Arial"/>
          <w:sz w:val="24"/>
          <w:szCs w:val="24"/>
        </w:rPr>
        <w:t xml:space="preserve"> owned by banks and seeking profit for shareholders</w:t>
      </w:r>
    </w:p>
    <w:p w:rsidR="00A06722" w:rsidRPr="002731E5" w:rsidRDefault="00A06722" w:rsidP="00A06722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>Industry funds – not for profit owned by their members</w:t>
      </w:r>
    </w:p>
    <w:p w:rsidR="00A06722" w:rsidRPr="002731E5" w:rsidRDefault="00727F22" w:rsidP="00A06722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2731E5">
        <w:rPr>
          <w:rFonts w:ascii="Arial" w:hAnsi="Arial" w:cs="Arial"/>
          <w:sz w:val="24"/>
          <w:szCs w:val="24"/>
        </w:rPr>
        <w:t>Self Managed</w:t>
      </w:r>
      <w:proofErr w:type="spellEnd"/>
      <w:r w:rsidRPr="002731E5">
        <w:rPr>
          <w:rFonts w:ascii="Arial" w:hAnsi="Arial" w:cs="Arial"/>
          <w:sz w:val="24"/>
          <w:szCs w:val="24"/>
        </w:rPr>
        <w:t xml:space="preserve"> Super Funds (SMSF) – owned by individuals or small numbers of individuals</w:t>
      </w:r>
    </w:p>
    <w:p w:rsidR="00727F22" w:rsidRPr="002731E5" w:rsidRDefault="00727F22" w:rsidP="00727F2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 xml:space="preserve">In relation to performance, a report last September and mentioned in </w:t>
      </w:r>
      <w:r w:rsidRPr="002731E5">
        <w:rPr>
          <w:rFonts w:ascii="Arial" w:hAnsi="Arial" w:cs="Arial"/>
          <w:i/>
          <w:sz w:val="24"/>
          <w:szCs w:val="24"/>
        </w:rPr>
        <w:t>The New Daily</w:t>
      </w:r>
      <w:r w:rsidRPr="002731E5">
        <w:rPr>
          <w:rFonts w:ascii="Arial" w:hAnsi="Arial" w:cs="Arial"/>
          <w:sz w:val="24"/>
          <w:szCs w:val="24"/>
        </w:rPr>
        <w:t xml:space="preserve"> 20 November 2017 shows that the </w:t>
      </w:r>
      <w:r w:rsidRPr="002731E5">
        <w:rPr>
          <w:rFonts w:ascii="Arial" w:hAnsi="Arial" w:cs="Arial"/>
          <w:b/>
          <w:sz w:val="24"/>
          <w:szCs w:val="24"/>
        </w:rPr>
        <w:t>17 best performing funds are industry funds</w:t>
      </w:r>
      <w:r w:rsidRPr="002731E5">
        <w:rPr>
          <w:rFonts w:ascii="Arial" w:hAnsi="Arial" w:cs="Arial"/>
          <w:sz w:val="24"/>
          <w:szCs w:val="24"/>
        </w:rPr>
        <w:t>, and also that the fees for the industry funds are considerably lower than those for retail funds – around 1.5</w:t>
      </w:r>
      <w:r w:rsidR="00135648" w:rsidRPr="002731E5">
        <w:rPr>
          <w:rFonts w:ascii="Arial" w:hAnsi="Arial" w:cs="Arial"/>
          <w:sz w:val="24"/>
          <w:szCs w:val="24"/>
        </w:rPr>
        <w:t>8</w:t>
      </w:r>
      <w:r w:rsidRPr="002731E5">
        <w:rPr>
          <w:rFonts w:ascii="Arial" w:hAnsi="Arial" w:cs="Arial"/>
          <w:sz w:val="24"/>
          <w:szCs w:val="24"/>
        </w:rPr>
        <w:t>% for retail vs around 0.5</w:t>
      </w:r>
      <w:r w:rsidR="00135648" w:rsidRPr="002731E5">
        <w:rPr>
          <w:rFonts w:ascii="Arial" w:hAnsi="Arial" w:cs="Arial"/>
          <w:sz w:val="24"/>
          <w:szCs w:val="24"/>
        </w:rPr>
        <w:t>8</w:t>
      </w:r>
      <w:r w:rsidRPr="002731E5">
        <w:rPr>
          <w:rFonts w:ascii="Arial" w:hAnsi="Arial" w:cs="Arial"/>
          <w:sz w:val="24"/>
          <w:szCs w:val="24"/>
        </w:rPr>
        <w:t xml:space="preserve">% for industry was mentioned. Also the report from </w:t>
      </w:r>
      <w:proofErr w:type="spellStart"/>
      <w:r w:rsidRPr="002731E5">
        <w:rPr>
          <w:rFonts w:ascii="Arial" w:hAnsi="Arial" w:cs="Arial"/>
          <w:i/>
          <w:sz w:val="24"/>
          <w:szCs w:val="24"/>
        </w:rPr>
        <w:t>SuperRatings</w:t>
      </w:r>
      <w:proofErr w:type="spellEnd"/>
      <w:r w:rsidRPr="002731E5">
        <w:rPr>
          <w:rFonts w:ascii="Arial" w:hAnsi="Arial" w:cs="Arial"/>
          <w:sz w:val="24"/>
          <w:szCs w:val="24"/>
        </w:rPr>
        <w:t xml:space="preserve"> stated that the not-for-profit funds took the first 23 of the top 30 positions over the 10 years to September 2017.</w:t>
      </w:r>
    </w:p>
    <w:p w:rsidR="00727F22" w:rsidRPr="002731E5" w:rsidRDefault="00727F22" w:rsidP="00727F2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 xml:space="preserve">The not-for-profit using its current model is thus doing very well for its members – and so should be left to continue with the current model of governance and management. As I said at the beginning, </w:t>
      </w:r>
      <w:r w:rsidRPr="002731E5">
        <w:rPr>
          <w:rFonts w:ascii="Arial" w:hAnsi="Arial" w:cs="Arial"/>
          <w:i/>
          <w:sz w:val="24"/>
          <w:szCs w:val="24"/>
        </w:rPr>
        <w:t xml:space="preserve">if it </w:t>
      </w:r>
      <w:proofErr w:type="spellStart"/>
      <w:r w:rsidRPr="002731E5">
        <w:rPr>
          <w:rFonts w:ascii="Arial" w:hAnsi="Arial" w:cs="Arial"/>
          <w:i/>
          <w:sz w:val="24"/>
          <w:szCs w:val="24"/>
        </w:rPr>
        <w:t>ain’t</w:t>
      </w:r>
      <w:proofErr w:type="spellEnd"/>
      <w:r w:rsidRPr="002731E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731E5">
        <w:rPr>
          <w:rFonts w:ascii="Arial" w:hAnsi="Arial" w:cs="Arial"/>
          <w:i/>
          <w:sz w:val="24"/>
          <w:szCs w:val="24"/>
        </w:rPr>
        <w:t>broken</w:t>
      </w:r>
      <w:proofErr w:type="spellEnd"/>
      <w:r w:rsidRPr="002731E5">
        <w:rPr>
          <w:rFonts w:ascii="Arial" w:hAnsi="Arial" w:cs="Arial"/>
          <w:i/>
          <w:sz w:val="24"/>
          <w:szCs w:val="24"/>
        </w:rPr>
        <w:t>, don’t fix it</w:t>
      </w:r>
      <w:r w:rsidRPr="002731E5">
        <w:rPr>
          <w:rFonts w:ascii="Arial" w:hAnsi="Arial" w:cs="Arial"/>
          <w:sz w:val="24"/>
          <w:szCs w:val="24"/>
        </w:rPr>
        <w:t>.</w:t>
      </w:r>
      <w:r w:rsidR="005C6A4D" w:rsidRPr="002731E5">
        <w:rPr>
          <w:rFonts w:ascii="Arial" w:hAnsi="Arial" w:cs="Arial"/>
          <w:sz w:val="24"/>
          <w:szCs w:val="24"/>
        </w:rPr>
        <w:t xml:space="preserve"> Any attempt to impose independent, highly-paid independent directors can only be a negative factor in performance.</w:t>
      </w:r>
    </w:p>
    <w:p w:rsidR="005C6A4D" w:rsidRPr="002731E5" w:rsidRDefault="005C6A4D" w:rsidP="00727F2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>After all, if you are seeking efficiency, why try to undermine the most efficient sector of the superannuation industry.</w:t>
      </w:r>
    </w:p>
    <w:p w:rsidR="005C6A4D" w:rsidRPr="002731E5" w:rsidRDefault="005C6A4D" w:rsidP="00727F2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 xml:space="preserve">I am not making any comments in relation to SMSF – I leave it for others with experience </w:t>
      </w:r>
      <w:proofErr w:type="gramStart"/>
      <w:r w:rsidRPr="002731E5">
        <w:rPr>
          <w:rFonts w:ascii="Arial" w:hAnsi="Arial" w:cs="Arial"/>
          <w:sz w:val="24"/>
          <w:szCs w:val="24"/>
        </w:rPr>
        <w:t>in</w:t>
      </w:r>
      <w:proofErr w:type="gramEnd"/>
      <w:r w:rsidRPr="002731E5">
        <w:rPr>
          <w:rFonts w:ascii="Arial" w:hAnsi="Arial" w:cs="Arial"/>
          <w:sz w:val="24"/>
          <w:szCs w:val="24"/>
        </w:rPr>
        <w:t xml:space="preserve"> that field to comment.</w:t>
      </w:r>
    </w:p>
    <w:p w:rsidR="00135648" w:rsidRPr="002731E5" w:rsidRDefault="00135648" w:rsidP="00727F2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>Multiple funds</w:t>
      </w:r>
    </w:p>
    <w:p w:rsidR="00135648" w:rsidRPr="002731E5" w:rsidRDefault="00135648" w:rsidP="00727F2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 xml:space="preserve">Whilst I agree that fees can impact on multiple fund membership, this is only </w:t>
      </w:r>
      <w:proofErr w:type="gramStart"/>
      <w:r w:rsidRPr="002731E5">
        <w:rPr>
          <w:rFonts w:ascii="Arial" w:hAnsi="Arial" w:cs="Arial"/>
          <w:sz w:val="24"/>
          <w:szCs w:val="24"/>
        </w:rPr>
        <w:t>significant  when</w:t>
      </w:r>
      <w:proofErr w:type="gramEnd"/>
      <w:r w:rsidRPr="002731E5">
        <w:rPr>
          <w:rFonts w:ascii="Arial" w:hAnsi="Arial" w:cs="Arial"/>
          <w:sz w:val="24"/>
          <w:szCs w:val="24"/>
        </w:rPr>
        <w:t xml:space="preserve"> the balances are quite low</w:t>
      </w:r>
      <w:r w:rsidR="00847CD1" w:rsidRPr="002731E5">
        <w:rPr>
          <w:rFonts w:ascii="Arial" w:hAnsi="Arial" w:cs="Arial"/>
          <w:sz w:val="24"/>
          <w:szCs w:val="24"/>
        </w:rPr>
        <w:t>, and “extras” are not duplicated</w:t>
      </w:r>
      <w:r w:rsidRPr="002731E5">
        <w:rPr>
          <w:rFonts w:ascii="Arial" w:hAnsi="Arial" w:cs="Arial"/>
          <w:sz w:val="24"/>
          <w:szCs w:val="24"/>
        </w:rPr>
        <w:t xml:space="preserve">. The reason for this is that fees are mainly based on a percentage of the assets in the fund – the fixed charges are quite low. However, I do agree that care is required to </w:t>
      </w:r>
      <w:r w:rsidR="00847CD1" w:rsidRPr="002731E5">
        <w:rPr>
          <w:rFonts w:ascii="Arial" w:hAnsi="Arial" w:cs="Arial"/>
          <w:sz w:val="24"/>
          <w:szCs w:val="24"/>
        </w:rPr>
        <w:t>ensue</w:t>
      </w:r>
      <w:r w:rsidRPr="002731E5">
        <w:rPr>
          <w:rFonts w:ascii="Arial" w:hAnsi="Arial" w:cs="Arial"/>
          <w:sz w:val="24"/>
          <w:szCs w:val="24"/>
        </w:rPr>
        <w:t xml:space="preserve"> that items like death cover, TPI insurance, etc are not being duplicated, so that is something that should be considered for all funds – retail, industry and the SMSF.</w:t>
      </w:r>
    </w:p>
    <w:p w:rsidR="005C6A4D" w:rsidRPr="002731E5" w:rsidRDefault="005C6A4D" w:rsidP="00727F2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5C6A4D" w:rsidRPr="002731E5" w:rsidRDefault="005C6A4D" w:rsidP="00727F2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>Submitted by:</w:t>
      </w:r>
    </w:p>
    <w:p w:rsidR="005C6A4D" w:rsidRPr="002731E5" w:rsidRDefault="005C6A4D" w:rsidP="005C6A4D">
      <w:pPr>
        <w:tabs>
          <w:tab w:val="left" w:pos="567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ab/>
        <w:t>Neville Gordon</w:t>
      </w:r>
      <w:proofErr w:type="gramStart"/>
      <w:r w:rsidRPr="002731E5">
        <w:rPr>
          <w:rFonts w:ascii="Arial" w:hAnsi="Arial" w:cs="Arial"/>
          <w:sz w:val="24"/>
          <w:szCs w:val="24"/>
        </w:rPr>
        <w:t>,  B</w:t>
      </w:r>
      <w:proofErr w:type="gramEnd"/>
      <w:r w:rsidRPr="002731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1E5">
        <w:rPr>
          <w:rFonts w:ascii="Arial" w:hAnsi="Arial" w:cs="Arial"/>
          <w:sz w:val="24"/>
          <w:szCs w:val="24"/>
        </w:rPr>
        <w:t>Sc</w:t>
      </w:r>
      <w:proofErr w:type="spellEnd"/>
      <w:r w:rsidRPr="002731E5">
        <w:rPr>
          <w:rFonts w:ascii="Arial" w:hAnsi="Arial" w:cs="Arial"/>
          <w:sz w:val="24"/>
          <w:szCs w:val="24"/>
        </w:rPr>
        <w:t xml:space="preserve"> (UNSW), M </w:t>
      </w:r>
      <w:proofErr w:type="spellStart"/>
      <w:r w:rsidRPr="002731E5">
        <w:rPr>
          <w:rFonts w:ascii="Arial" w:hAnsi="Arial" w:cs="Arial"/>
          <w:sz w:val="24"/>
          <w:szCs w:val="24"/>
        </w:rPr>
        <w:t>Ec</w:t>
      </w:r>
      <w:proofErr w:type="spellEnd"/>
      <w:r w:rsidRPr="002731E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731E5">
        <w:rPr>
          <w:rFonts w:ascii="Arial" w:hAnsi="Arial" w:cs="Arial"/>
          <w:sz w:val="24"/>
          <w:szCs w:val="24"/>
        </w:rPr>
        <w:t>Macq</w:t>
      </w:r>
      <w:proofErr w:type="spellEnd"/>
      <w:r w:rsidRPr="002731E5">
        <w:rPr>
          <w:rFonts w:ascii="Arial" w:hAnsi="Arial" w:cs="Arial"/>
          <w:sz w:val="24"/>
          <w:szCs w:val="24"/>
        </w:rPr>
        <w:t>)</w:t>
      </w:r>
    </w:p>
    <w:p w:rsidR="005C6A4D" w:rsidRPr="002731E5" w:rsidRDefault="005C6A4D" w:rsidP="005C6A4D">
      <w:pPr>
        <w:tabs>
          <w:tab w:val="left" w:pos="567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2731E5">
        <w:rPr>
          <w:rFonts w:ascii="Arial" w:hAnsi="Arial" w:cs="Arial"/>
          <w:sz w:val="24"/>
          <w:szCs w:val="24"/>
        </w:rPr>
        <w:tab/>
      </w:r>
    </w:p>
    <w:p w:rsidR="00A467C3" w:rsidRPr="002731E5" w:rsidRDefault="00A467C3">
      <w:pPr>
        <w:rPr>
          <w:rFonts w:ascii="Arial" w:hAnsi="Arial" w:cs="Arial"/>
          <w:sz w:val="24"/>
          <w:szCs w:val="24"/>
        </w:rPr>
      </w:pPr>
    </w:p>
    <w:sectPr w:rsidR="00A467C3" w:rsidRPr="002731E5" w:rsidSect="00641D74"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455ED"/>
    <w:multiLevelType w:val="hybridMultilevel"/>
    <w:tmpl w:val="ADD2DB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C3"/>
    <w:rsid w:val="000A70BF"/>
    <w:rsid w:val="00135648"/>
    <w:rsid w:val="002731E5"/>
    <w:rsid w:val="005C6A4D"/>
    <w:rsid w:val="00641D74"/>
    <w:rsid w:val="00727F22"/>
    <w:rsid w:val="007E0A99"/>
    <w:rsid w:val="00847CD1"/>
    <w:rsid w:val="008648BA"/>
    <w:rsid w:val="00A06722"/>
    <w:rsid w:val="00A4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6C524C-9320-4AE8-A1E5-36FEF1B2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DR140 - Neville Gordon - Superannuation: Assessing Efficiency and Competitiveness - Public inquiry</vt:lpstr>
    </vt:vector>
  </TitlesOfParts>
  <Company>Neville Gordon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DR140 - Neville Gordon - Superannuation: Assessing Efficiency and Competitiveness - Public inquiry</dc:title>
  <dc:creator>Neville Gordon</dc:creator>
  <cp:lastModifiedBy>Productivity Commission</cp:lastModifiedBy>
  <cp:revision>5</cp:revision>
  <dcterms:created xsi:type="dcterms:W3CDTF">2018-07-11T13:23:00Z</dcterms:created>
  <dcterms:modified xsi:type="dcterms:W3CDTF">2018-07-17T01:06:00Z</dcterms:modified>
</cp:coreProperties>
</file>