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89"/>
      </w:tblGrid>
      <w:tr w:rsidR="00765A4F" w:rsidTr="00FE5533">
        <w:trPr>
          <w:trHeight w:val="11395"/>
        </w:trPr>
        <w:tc>
          <w:tcPr>
            <w:tcW w:w="8589" w:type="dxa"/>
          </w:tcPr>
          <w:p w:rsidR="00765A4F" w:rsidRPr="00C16A51" w:rsidRDefault="0014343A" w:rsidP="00C16A51">
            <w:pPr>
              <w:pStyle w:val="Covertitle1112pt"/>
              <w:spacing w:before="0" w:after="120" w:line="1200" w:lineRule="exact"/>
              <w:rPr>
                <w:color w:val="00338D"/>
                <w:sz w:val="136"/>
                <w:szCs w:val="136"/>
              </w:rPr>
            </w:pPr>
            <w:r w:rsidRPr="00C16A51">
              <w:rPr>
                <w:color w:val="00338D"/>
                <w:sz w:val="136"/>
                <w:szCs w:val="136"/>
              </w:rPr>
              <w:t xml:space="preserve">KPMG Observations and </w:t>
            </w:r>
            <w:r w:rsidR="00C16A51" w:rsidRPr="00C16A51">
              <w:rPr>
                <w:color w:val="00338D"/>
                <w:sz w:val="136"/>
                <w:szCs w:val="136"/>
              </w:rPr>
              <w:br/>
            </w:r>
            <w:r w:rsidRPr="00C16A51">
              <w:rPr>
                <w:color w:val="00338D"/>
                <w:sz w:val="136"/>
                <w:szCs w:val="136"/>
              </w:rPr>
              <w:t>Recommendations</w:t>
            </w:r>
          </w:p>
          <w:p w:rsidR="006A78B5" w:rsidRDefault="006A78B5" w:rsidP="00005CD4">
            <w:pPr>
              <w:rPr>
                <w:rFonts w:ascii="Univers 45 Light" w:hAnsi="Univers 45 Light"/>
                <w:b/>
                <w:color w:val="00338D"/>
                <w:sz w:val="32"/>
              </w:rPr>
            </w:pPr>
          </w:p>
          <w:p w:rsidR="006A78B5" w:rsidRDefault="006A78B5" w:rsidP="006A78B5">
            <w:pPr>
              <w:rPr>
                <w:rFonts w:ascii="Univers 45 Light" w:hAnsi="Univers 45 Light"/>
                <w:b/>
                <w:color w:val="00338D"/>
                <w:sz w:val="32"/>
              </w:rPr>
            </w:pPr>
            <w:r>
              <w:rPr>
                <w:rFonts w:ascii="Univers 45 Light" w:hAnsi="Univers 45 Light"/>
                <w:b/>
                <w:color w:val="00338D"/>
                <w:sz w:val="32"/>
              </w:rPr>
              <w:t xml:space="preserve">Superannuation: </w:t>
            </w:r>
            <w:r w:rsidRPr="006A78B5">
              <w:rPr>
                <w:rFonts w:ascii="Univers 45 Light" w:hAnsi="Univers 45 Light"/>
                <w:b/>
                <w:color w:val="00338D"/>
                <w:sz w:val="32"/>
              </w:rPr>
              <w:t xml:space="preserve">Assessing </w:t>
            </w:r>
            <w:r>
              <w:rPr>
                <w:rFonts w:ascii="Univers 45 Light" w:hAnsi="Univers 45 Light"/>
                <w:b/>
                <w:color w:val="00338D"/>
                <w:sz w:val="32"/>
              </w:rPr>
              <w:t xml:space="preserve">Efficiency and Competitiveness </w:t>
            </w:r>
          </w:p>
          <w:p w:rsidR="006A78B5" w:rsidRDefault="006A78B5" w:rsidP="006A78B5">
            <w:pPr>
              <w:rPr>
                <w:rFonts w:ascii="Univers 45 Light" w:hAnsi="Univers 45 Light"/>
                <w:b/>
                <w:color w:val="00338D"/>
                <w:sz w:val="32"/>
              </w:rPr>
            </w:pPr>
          </w:p>
          <w:p w:rsidR="00A130DE" w:rsidRPr="006A78B5" w:rsidRDefault="006A78B5" w:rsidP="006F1FDB">
            <w:pPr>
              <w:rPr>
                <w:rFonts w:ascii="Univers 45 Light" w:hAnsi="Univers 45 Light"/>
                <w:b/>
                <w:color w:val="00338D"/>
                <w:sz w:val="32"/>
              </w:rPr>
            </w:pPr>
            <w:r w:rsidRPr="006A78B5">
              <w:rPr>
                <w:rFonts w:ascii="Univers 45 Light" w:hAnsi="Univers 45 Light"/>
                <w:b/>
                <w:color w:val="00338D"/>
                <w:sz w:val="32"/>
              </w:rPr>
              <w:t>Stage Three Productivity Commission Draft Report (</w:t>
            </w:r>
            <w:r w:rsidR="006F1FDB">
              <w:rPr>
                <w:rFonts w:ascii="Univers 45 Light" w:hAnsi="Univers 45 Light"/>
                <w:b/>
                <w:color w:val="00338D"/>
                <w:sz w:val="32"/>
              </w:rPr>
              <w:t>April</w:t>
            </w:r>
            <w:r w:rsidRPr="006A78B5">
              <w:rPr>
                <w:rFonts w:ascii="Univers 45 Light" w:hAnsi="Univers 45 Light"/>
                <w:b/>
                <w:color w:val="00338D"/>
                <w:sz w:val="32"/>
              </w:rPr>
              <w:t xml:space="preserve"> 2018)</w:t>
            </w:r>
          </w:p>
        </w:tc>
      </w:tr>
      <w:tr w:rsidR="00765A4F" w:rsidTr="00FE5533">
        <w:trPr>
          <w:trHeight w:val="1134"/>
        </w:trPr>
        <w:tc>
          <w:tcPr>
            <w:tcW w:w="8589" w:type="dxa"/>
            <w:vAlign w:val="bottom"/>
          </w:tcPr>
          <w:p w:rsidR="00765A4F" w:rsidRDefault="006A78B5" w:rsidP="00FE5533">
            <w:pPr>
              <w:pStyle w:val="Covertitle410pt"/>
            </w:pPr>
            <w:r>
              <w:rPr>
                <w:color w:val="00338D" w:themeColor="background2"/>
              </w:rPr>
              <w:t>July</w:t>
            </w:r>
            <w:r w:rsidR="0014343A" w:rsidRPr="0014343A">
              <w:rPr>
                <w:color w:val="00338D" w:themeColor="background2"/>
              </w:rPr>
              <w:t xml:space="preserve"> 2018</w:t>
            </w:r>
          </w:p>
        </w:tc>
      </w:tr>
    </w:tbl>
    <w:p w:rsidR="009633A2" w:rsidRDefault="009633A2" w:rsidP="009633A2">
      <w:pPr>
        <w:sectPr w:rsidR="009633A2" w:rsidSect="00F32E04">
          <w:headerReference w:type="default" r:id="rId8"/>
          <w:pgSz w:w="11906" w:h="16838"/>
          <w:pgMar w:top="2835" w:right="1418" w:bottom="851" w:left="1899" w:header="709" w:footer="709" w:gutter="0"/>
          <w:cols w:space="708"/>
          <w:docGrid w:linePitch="360"/>
        </w:sectPr>
      </w:pPr>
    </w:p>
    <w:p w:rsidR="006A78B5" w:rsidRPr="00E27B9E" w:rsidRDefault="006A78B5" w:rsidP="006A78B5">
      <w:pPr>
        <w:spacing w:after="0" w:line="240" w:lineRule="auto"/>
        <w:rPr>
          <w:rFonts w:ascii="Univers 45 Light" w:hAnsi="Univers 45 Light"/>
          <w:sz w:val="20"/>
          <w:szCs w:val="20"/>
          <w:lang w:val="en"/>
        </w:rPr>
      </w:pPr>
      <w:r w:rsidRPr="00E27B9E">
        <w:rPr>
          <w:rFonts w:ascii="Univers 45 Light" w:hAnsi="Univers 45 Light"/>
          <w:sz w:val="20"/>
          <w:szCs w:val="20"/>
        </w:rPr>
        <w:lastRenderedPageBreak/>
        <w:t>Superannuation</w:t>
      </w:r>
      <w:r w:rsidRPr="00E27B9E">
        <w:rPr>
          <w:rFonts w:ascii="Univers 45 Light" w:hAnsi="Univers 45 Light"/>
          <w:sz w:val="20"/>
          <w:szCs w:val="20"/>
        </w:rPr>
        <w:br/>
        <w:t>Productivity Commission</w:t>
      </w:r>
      <w:r w:rsidRPr="00E27B9E">
        <w:rPr>
          <w:rFonts w:ascii="Univers 45 Light" w:hAnsi="Univers 45 Light"/>
          <w:sz w:val="20"/>
          <w:szCs w:val="20"/>
        </w:rPr>
        <w:br/>
        <w:t>Locked Bag 2, Collins Street East</w:t>
      </w:r>
      <w:r w:rsidRPr="00E27B9E">
        <w:rPr>
          <w:rFonts w:ascii="Univers 45 Light" w:hAnsi="Univers 45 Light"/>
          <w:sz w:val="20"/>
          <w:szCs w:val="20"/>
        </w:rPr>
        <w:br/>
        <w:t>Melbourne Vic 8003</w:t>
      </w:r>
    </w:p>
    <w:p w:rsidR="006A78B5" w:rsidRDefault="006A78B5" w:rsidP="006A78B5">
      <w:pPr>
        <w:spacing w:after="0" w:line="240" w:lineRule="auto"/>
        <w:rPr>
          <w:rFonts w:ascii="Univers 45 Light" w:hAnsi="Univers 45 Light"/>
          <w:sz w:val="20"/>
          <w:szCs w:val="20"/>
          <w:lang w:val="en"/>
        </w:rPr>
      </w:pPr>
    </w:p>
    <w:p w:rsidR="0014355E" w:rsidRPr="00E27B9E" w:rsidRDefault="0014355E" w:rsidP="006A78B5">
      <w:pPr>
        <w:spacing w:after="0" w:line="240" w:lineRule="auto"/>
        <w:rPr>
          <w:rFonts w:ascii="Univers 45 Light" w:hAnsi="Univers 45 Light"/>
          <w:sz w:val="20"/>
          <w:szCs w:val="20"/>
          <w:lang w:val="en"/>
        </w:rPr>
      </w:pPr>
    </w:p>
    <w:p w:rsidR="006A78B5" w:rsidRPr="00E27B9E" w:rsidRDefault="006A78B5" w:rsidP="006A78B5">
      <w:pPr>
        <w:spacing w:after="0" w:line="240" w:lineRule="auto"/>
        <w:rPr>
          <w:rFonts w:ascii="Univers 45 Light" w:hAnsi="Univers 45 Light"/>
          <w:b/>
          <w:sz w:val="20"/>
          <w:szCs w:val="20"/>
          <w:lang w:val="en"/>
        </w:rPr>
      </w:pPr>
      <w:r w:rsidRPr="00E27B9E">
        <w:rPr>
          <w:rFonts w:ascii="Univers 45 Light" w:hAnsi="Univers 45 Light"/>
          <w:sz w:val="20"/>
          <w:szCs w:val="20"/>
          <w:lang w:val="en"/>
        </w:rPr>
        <w:t>Email: </w:t>
      </w:r>
      <w:hyperlink r:id="rId9" w:history="1">
        <w:r w:rsidRPr="00CB533C">
          <w:rPr>
            <w:rStyle w:val="Hyperlink"/>
            <w:color w:val="0000FF"/>
            <w:sz w:val="20"/>
            <w:szCs w:val="20"/>
            <w:lang w:val="en"/>
          </w:rPr>
          <w:t>super@pc.gov.au</w:t>
        </w:r>
      </w:hyperlink>
      <w:r w:rsidRPr="00E27B9E">
        <w:rPr>
          <w:rFonts w:ascii="Univers 45 Light" w:hAnsi="Univers 45 Light"/>
          <w:b/>
          <w:sz w:val="20"/>
          <w:szCs w:val="20"/>
          <w:lang w:val="en"/>
        </w:rPr>
        <w:t xml:space="preserve"> </w:t>
      </w:r>
    </w:p>
    <w:p w:rsidR="006A78B5" w:rsidRDefault="006A78B5" w:rsidP="006A78B5">
      <w:pPr>
        <w:spacing w:after="0" w:line="240" w:lineRule="auto"/>
        <w:rPr>
          <w:rFonts w:ascii="Univers 45 Light" w:hAnsi="Univers 45 Light"/>
          <w:sz w:val="20"/>
          <w:szCs w:val="20"/>
        </w:rPr>
      </w:pPr>
    </w:p>
    <w:p w:rsidR="0014355E" w:rsidRPr="00E27B9E" w:rsidRDefault="0014355E" w:rsidP="006A78B5">
      <w:pPr>
        <w:spacing w:after="0" w:line="240" w:lineRule="auto"/>
        <w:rPr>
          <w:rFonts w:ascii="Univers 45 Light" w:hAnsi="Univers 45 Light"/>
          <w:sz w:val="20"/>
          <w:szCs w:val="20"/>
        </w:rPr>
      </w:pPr>
    </w:p>
    <w:p w:rsidR="006A78B5" w:rsidRPr="00E27B9E" w:rsidRDefault="006A78B5" w:rsidP="006A78B5">
      <w:pPr>
        <w:spacing w:after="0" w:line="240" w:lineRule="auto"/>
        <w:rPr>
          <w:rFonts w:ascii="Univers 45 Light" w:hAnsi="Univers 45 Light"/>
          <w:sz w:val="20"/>
          <w:szCs w:val="20"/>
        </w:rPr>
      </w:pPr>
      <w:r w:rsidRPr="00E27B9E">
        <w:rPr>
          <w:rFonts w:ascii="Univers 45 Light" w:hAnsi="Univers 45 Light"/>
          <w:sz w:val="20"/>
          <w:szCs w:val="20"/>
        </w:rPr>
        <w:t>20 July 2018</w:t>
      </w:r>
    </w:p>
    <w:p w:rsidR="006A78B5" w:rsidRDefault="006A78B5" w:rsidP="006A78B5">
      <w:pPr>
        <w:spacing w:after="0" w:line="240" w:lineRule="auto"/>
        <w:rPr>
          <w:rFonts w:ascii="Univers 45 Light" w:hAnsi="Univers 45 Light"/>
          <w:b/>
          <w:sz w:val="20"/>
          <w:szCs w:val="20"/>
        </w:rPr>
      </w:pPr>
    </w:p>
    <w:p w:rsidR="0014355E" w:rsidRPr="00E27B9E" w:rsidRDefault="0014355E" w:rsidP="006A78B5">
      <w:pPr>
        <w:spacing w:after="0" w:line="240" w:lineRule="auto"/>
        <w:rPr>
          <w:rFonts w:ascii="Univers 45 Light" w:hAnsi="Univers 45 Light"/>
          <w:b/>
          <w:sz w:val="20"/>
          <w:szCs w:val="20"/>
        </w:rPr>
      </w:pPr>
    </w:p>
    <w:p w:rsidR="006A78B5" w:rsidRPr="00E27B9E" w:rsidRDefault="006A78B5" w:rsidP="006A78B5">
      <w:pPr>
        <w:spacing w:after="0" w:line="240" w:lineRule="auto"/>
        <w:rPr>
          <w:rFonts w:ascii="Univers 45 Light" w:hAnsi="Univers 45 Light"/>
          <w:b/>
          <w:sz w:val="20"/>
          <w:szCs w:val="20"/>
        </w:rPr>
      </w:pPr>
      <w:r w:rsidRPr="00E27B9E">
        <w:rPr>
          <w:rFonts w:ascii="Univers 45 Light" w:hAnsi="Univers 45 Light" w:cs="Arial"/>
          <w:b/>
          <w:sz w:val="20"/>
          <w:szCs w:val="20"/>
          <w:lang w:val="en"/>
        </w:rPr>
        <w:t>Superannuation: Assessing Efficiency and Competitiveness – Stage Three Productivity Commission Draft Report (April 2018)</w:t>
      </w:r>
    </w:p>
    <w:p w:rsidR="006A78B5" w:rsidRPr="00E27B9E" w:rsidRDefault="006A78B5" w:rsidP="006A78B5">
      <w:pPr>
        <w:spacing w:after="0" w:line="240" w:lineRule="auto"/>
        <w:rPr>
          <w:rFonts w:ascii="Univers 45 Light" w:hAnsi="Univers 45 Light"/>
          <w:sz w:val="20"/>
          <w:szCs w:val="20"/>
        </w:rPr>
      </w:pPr>
    </w:p>
    <w:p w:rsidR="006A78B5" w:rsidRPr="00E27B9E" w:rsidRDefault="006A78B5" w:rsidP="006A78B5">
      <w:pPr>
        <w:spacing w:after="0" w:line="240" w:lineRule="auto"/>
        <w:rPr>
          <w:rFonts w:ascii="Univers 45 Light" w:hAnsi="Univers 45 Light"/>
          <w:i/>
          <w:sz w:val="20"/>
          <w:szCs w:val="20"/>
        </w:rPr>
      </w:pPr>
      <w:r w:rsidRPr="00E27B9E">
        <w:rPr>
          <w:rFonts w:ascii="Univers 45 Light" w:hAnsi="Univers 45 Light"/>
          <w:sz w:val="20"/>
          <w:szCs w:val="20"/>
        </w:rPr>
        <w:t xml:space="preserve">KPMG welcomes the opportunity to respond to the Productivity Commission’s Draft Report </w:t>
      </w:r>
      <w:r w:rsidR="00C46A3D">
        <w:rPr>
          <w:rFonts w:ascii="Univers 45 Light" w:hAnsi="Univers 45 Light"/>
          <w:sz w:val="20"/>
          <w:szCs w:val="20"/>
        </w:rPr>
        <w:t xml:space="preserve">(“Draft Report”) </w:t>
      </w:r>
      <w:r w:rsidRPr="00E27B9E">
        <w:rPr>
          <w:rFonts w:ascii="Univers 45 Light" w:hAnsi="Univers 45 Light"/>
          <w:sz w:val="20"/>
          <w:szCs w:val="20"/>
        </w:rPr>
        <w:t xml:space="preserve">in relation to </w:t>
      </w:r>
      <w:r w:rsidRPr="00E27B9E">
        <w:rPr>
          <w:rFonts w:ascii="Univers 45 Light" w:hAnsi="Univers 45 Light"/>
          <w:i/>
          <w:sz w:val="20"/>
          <w:szCs w:val="20"/>
        </w:rPr>
        <w:t>Assessing Efficiency and Competitiveness</w:t>
      </w:r>
      <w:r w:rsidRPr="00E27B9E">
        <w:rPr>
          <w:rFonts w:ascii="Univers 45 Light" w:hAnsi="Univers 45 Light"/>
          <w:sz w:val="20"/>
          <w:szCs w:val="20"/>
        </w:rPr>
        <w:t xml:space="preserve"> in the Superannuation System.</w:t>
      </w:r>
    </w:p>
    <w:p w:rsidR="006A78B5" w:rsidRPr="00E27B9E" w:rsidRDefault="006A78B5" w:rsidP="006A78B5">
      <w:pPr>
        <w:spacing w:after="0" w:line="240" w:lineRule="auto"/>
        <w:rPr>
          <w:rFonts w:ascii="Univers 45 Light" w:hAnsi="Univers 45 Light"/>
          <w:i/>
          <w:sz w:val="20"/>
          <w:szCs w:val="20"/>
        </w:rPr>
      </w:pPr>
    </w:p>
    <w:p w:rsidR="006A78B5" w:rsidRPr="00E27B9E" w:rsidRDefault="006A78B5" w:rsidP="006A78B5">
      <w:pPr>
        <w:spacing w:after="0" w:line="240" w:lineRule="auto"/>
        <w:rPr>
          <w:rFonts w:ascii="Univers 45 Light" w:hAnsi="Univers 45 Light"/>
          <w:sz w:val="20"/>
          <w:szCs w:val="20"/>
        </w:rPr>
      </w:pPr>
      <w:r w:rsidRPr="00E27B9E">
        <w:rPr>
          <w:rFonts w:ascii="Univers 45 Light" w:hAnsi="Univers 45 Light"/>
          <w:sz w:val="20"/>
          <w:szCs w:val="20"/>
        </w:rPr>
        <w:t>KPMG would like to congratulate the Productivity Commission (“the Commission”) in relation to the depth of the analysis undertaken and supports a number of the recommendations contained within the Stage 3 Draft Report (“the Draft Report”), however, has some concerns in relation to the impact of some of the recommendations on the structural nature of the superannuation system.</w:t>
      </w:r>
    </w:p>
    <w:p w:rsidR="006A78B5" w:rsidRPr="00E27B9E" w:rsidRDefault="006A78B5" w:rsidP="006A78B5">
      <w:pPr>
        <w:spacing w:after="0" w:line="240" w:lineRule="auto"/>
        <w:rPr>
          <w:rFonts w:ascii="Univers 45 Light" w:hAnsi="Univers 45 Light"/>
          <w:sz w:val="20"/>
          <w:szCs w:val="20"/>
        </w:rPr>
      </w:pPr>
    </w:p>
    <w:p w:rsidR="006A78B5" w:rsidRDefault="006A78B5" w:rsidP="006A78B5">
      <w:pPr>
        <w:spacing w:after="0" w:line="240" w:lineRule="auto"/>
        <w:rPr>
          <w:rFonts w:ascii="Univers 45 Light" w:hAnsi="Univers 45 Light"/>
          <w:sz w:val="20"/>
          <w:szCs w:val="20"/>
        </w:rPr>
      </w:pPr>
      <w:r w:rsidRPr="00E27B9E">
        <w:rPr>
          <w:rFonts w:ascii="Univers 45 Light" w:hAnsi="Univers 45 Light"/>
          <w:sz w:val="20"/>
          <w:szCs w:val="20"/>
        </w:rPr>
        <w:t xml:space="preserve">KPMG is supportive of measures that </w:t>
      </w:r>
      <w:r w:rsidR="00160691">
        <w:rPr>
          <w:rFonts w:ascii="Univers 45 Light" w:hAnsi="Univers 45 Light"/>
          <w:sz w:val="20"/>
          <w:szCs w:val="20"/>
        </w:rPr>
        <w:t xml:space="preserve">assist </w:t>
      </w:r>
      <w:r w:rsidRPr="00E27B9E">
        <w:rPr>
          <w:rFonts w:ascii="Univers 45 Light" w:hAnsi="Univers 45 Light"/>
          <w:sz w:val="20"/>
          <w:szCs w:val="20"/>
        </w:rPr>
        <w:t xml:space="preserve">in: </w:t>
      </w:r>
    </w:p>
    <w:p w:rsidR="006A78B5" w:rsidRPr="00E27B9E" w:rsidRDefault="006A78B5" w:rsidP="006A78B5">
      <w:pPr>
        <w:spacing w:after="0" w:line="240" w:lineRule="auto"/>
        <w:rPr>
          <w:rFonts w:ascii="Univers 45 Light" w:hAnsi="Univers 45 Light"/>
          <w:sz w:val="20"/>
          <w:szCs w:val="20"/>
        </w:rPr>
      </w:pPr>
    </w:p>
    <w:p w:rsidR="006A78B5" w:rsidRPr="00E27B9E" w:rsidRDefault="006A78B5" w:rsidP="006A78B5">
      <w:pPr>
        <w:pStyle w:val="ListParagraph"/>
        <w:numPr>
          <w:ilvl w:val="0"/>
          <w:numId w:val="32"/>
        </w:numPr>
        <w:spacing w:after="0" w:line="240" w:lineRule="auto"/>
        <w:rPr>
          <w:rFonts w:ascii="Univers 45 Light" w:hAnsi="Univers 45 Light"/>
          <w:sz w:val="20"/>
          <w:szCs w:val="20"/>
        </w:rPr>
      </w:pPr>
      <w:r w:rsidRPr="00E27B9E">
        <w:rPr>
          <w:rFonts w:ascii="Univers 45 Light" w:hAnsi="Univers 45 Light"/>
          <w:sz w:val="20"/>
          <w:szCs w:val="20"/>
        </w:rPr>
        <w:t>The removal of underperforming funds from the superannuation system;</w:t>
      </w:r>
    </w:p>
    <w:p w:rsidR="006A78B5" w:rsidRPr="00E27B9E" w:rsidRDefault="006A78B5" w:rsidP="006A78B5">
      <w:pPr>
        <w:pStyle w:val="ListParagraph"/>
        <w:numPr>
          <w:ilvl w:val="0"/>
          <w:numId w:val="32"/>
        </w:numPr>
        <w:spacing w:after="0" w:line="240" w:lineRule="auto"/>
        <w:rPr>
          <w:rFonts w:ascii="Univers 45 Light" w:hAnsi="Univers 45 Light"/>
          <w:sz w:val="20"/>
          <w:szCs w:val="20"/>
        </w:rPr>
      </w:pPr>
      <w:r w:rsidRPr="00E27B9E">
        <w:rPr>
          <w:rFonts w:ascii="Univers 45 Light" w:hAnsi="Univers 45 Light"/>
          <w:sz w:val="20"/>
          <w:szCs w:val="20"/>
        </w:rPr>
        <w:t xml:space="preserve">The use of a broad range of measures to assess the performance of superannuation funds; </w:t>
      </w:r>
    </w:p>
    <w:p w:rsidR="006A78B5" w:rsidRPr="00E27B9E" w:rsidRDefault="006A78B5" w:rsidP="006A78B5">
      <w:pPr>
        <w:pStyle w:val="ListParagraph"/>
        <w:numPr>
          <w:ilvl w:val="0"/>
          <w:numId w:val="32"/>
        </w:numPr>
        <w:spacing w:after="0" w:line="240" w:lineRule="auto"/>
        <w:rPr>
          <w:rFonts w:ascii="Univers 45 Light" w:hAnsi="Univers 45 Light"/>
          <w:sz w:val="20"/>
          <w:szCs w:val="20"/>
        </w:rPr>
      </w:pPr>
      <w:r w:rsidRPr="00E27B9E">
        <w:rPr>
          <w:rFonts w:ascii="Univers 45 Light" w:hAnsi="Univers 45 Light"/>
          <w:sz w:val="20"/>
          <w:szCs w:val="20"/>
        </w:rPr>
        <w:t>Better disclosure of superannuation fund data to assist members with fund comparisons;</w:t>
      </w:r>
      <w:r w:rsidR="0092194F">
        <w:rPr>
          <w:rFonts w:ascii="Univers 45 Light" w:hAnsi="Univers 45 Light"/>
          <w:sz w:val="20"/>
          <w:szCs w:val="20"/>
        </w:rPr>
        <w:t xml:space="preserve"> and</w:t>
      </w:r>
    </w:p>
    <w:p w:rsidR="006A78B5" w:rsidRPr="00E27B9E" w:rsidRDefault="006A78B5" w:rsidP="006A78B5">
      <w:pPr>
        <w:pStyle w:val="ListParagraph"/>
        <w:numPr>
          <w:ilvl w:val="0"/>
          <w:numId w:val="32"/>
        </w:numPr>
        <w:spacing w:after="0" w:line="240" w:lineRule="auto"/>
        <w:rPr>
          <w:rFonts w:ascii="Univers 45 Light" w:hAnsi="Univers 45 Light"/>
          <w:sz w:val="20"/>
          <w:szCs w:val="20"/>
        </w:rPr>
      </w:pPr>
      <w:r w:rsidRPr="00E27B9E">
        <w:rPr>
          <w:rFonts w:ascii="Univers 45 Light" w:hAnsi="Univers 45 Light"/>
          <w:sz w:val="20"/>
          <w:szCs w:val="20"/>
        </w:rPr>
        <w:t>The targeting of insurance products aligned with that proposed within the Insurance and Super Working Group paper.</w:t>
      </w:r>
    </w:p>
    <w:p w:rsidR="006A78B5" w:rsidRPr="00E27B9E" w:rsidRDefault="006A78B5" w:rsidP="006A78B5">
      <w:pPr>
        <w:spacing w:after="0" w:line="240" w:lineRule="auto"/>
        <w:rPr>
          <w:rFonts w:ascii="Univers 45 Light" w:hAnsi="Univers 45 Light"/>
          <w:sz w:val="20"/>
          <w:szCs w:val="20"/>
        </w:rPr>
      </w:pPr>
    </w:p>
    <w:p w:rsidR="006A78B5" w:rsidRPr="00E27B9E" w:rsidRDefault="006A78B5" w:rsidP="006A78B5">
      <w:pPr>
        <w:spacing w:after="0" w:line="240" w:lineRule="auto"/>
        <w:rPr>
          <w:rFonts w:ascii="Univers 45 Light" w:hAnsi="Univers 45 Light"/>
          <w:sz w:val="20"/>
          <w:szCs w:val="20"/>
        </w:rPr>
      </w:pPr>
      <w:r w:rsidRPr="00E27B9E">
        <w:rPr>
          <w:rFonts w:ascii="Univers 45 Light" w:hAnsi="Univers 45 Light"/>
          <w:sz w:val="20"/>
          <w:szCs w:val="20"/>
        </w:rPr>
        <w:t xml:space="preserve">KPMG provides more detailed comments to the Draft Report in the following section </w:t>
      </w:r>
      <w:r w:rsidRPr="00E27B9E">
        <w:rPr>
          <w:rFonts w:ascii="Univers 45 Light" w:hAnsi="Univers 45 Light"/>
          <w:i/>
          <w:sz w:val="20"/>
          <w:szCs w:val="20"/>
        </w:rPr>
        <w:t xml:space="preserve">KPMG Observations and Recommendations.  </w:t>
      </w:r>
      <w:r w:rsidRPr="00E27B9E">
        <w:rPr>
          <w:rFonts w:ascii="Univers 45 Light" w:hAnsi="Univers 45 Light"/>
          <w:sz w:val="20"/>
          <w:szCs w:val="20"/>
        </w:rPr>
        <w:t xml:space="preserve">Our submission focuses upon the “Draft findings, recommendations and information requests” section of the Draft Report. </w:t>
      </w:r>
    </w:p>
    <w:p w:rsidR="006A78B5" w:rsidRPr="00E27B9E" w:rsidRDefault="006A78B5" w:rsidP="006A78B5">
      <w:pPr>
        <w:spacing w:after="0" w:line="240" w:lineRule="auto"/>
        <w:rPr>
          <w:rFonts w:ascii="Univers 45 Light" w:hAnsi="Univers 45 Light"/>
          <w:sz w:val="20"/>
          <w:szCs w:val="20"/>
        </w:rPr>
      </w:pPr>
    </w:p>
    <w:p w:rsidR="0092194F" w:rsidRDefault="006A78B5" w:rsidP="006A78B5">
      <w:pPr>
        <w:spacing w:after="0" w:line="240" w:lineRule="auto"/>
        <w:rPr>
          <w:rFonts w:ascii="Univers 45 Light" w:hAnsi="Univers 45 Light"/>
          <w:sz w:val="20"/>
          <w:szCs w:val="20"/>
        </w:rPr>
      </w:pPr>
      <w:r w:rsidRPr="00E27B9E">
        <w:rPr>
          <w:rFonts w:ascii="Univers 45 Light" w:hAnsi="Univers 45 Light"/>
          <w:sz w:val="20"/>
          <w:szCs w:val="20"/>
        </w:rPr>
        <w:t xml:space="preserve">KPMG would be pleased to provide further information to assist you in the refinement of the </w:t>
      </w:r>
      <w:r w:rsidR="00C46A3D">
        <w:rPr>
          <w:rFonts w:ascii="Univers 45 Light" w:hAnsi="Univers 45 Light"/>
          <w:sz w:val="20"/>
          <w:szCs w:val="20"/>
        </w:rPr>
        <w:t xml:space="preserve">Productivity </w:t>
      </w:r>
      <w:r w:rsidRPr="00E27B9E">
        <w:rPr>
          <w:rFonts w:ascii="Univers 45 Light" w:hAnsi="Univers 45 Light"/>
          <w:sz w:val="20"/>
          <w:szCs w:val="20"/>
        </w:rPr>
        <w:t xml:space="preserve">Commission’s final paper and recommendations. </w:t>
      </w:r>
    </w:p>
    <w:p w:rsidR="0092194F" w:rsidRDefault="0092194F" w:rsidP="006A78B5">
      <w:pPr>
        <w:spacing w:after="0" w:line="240" w:lineRule="auto"/>
        <w:rPr>
          <w:rFonts w:ascii="Univers 45 Light" w:hAnsi="Univers 45 Light"/>
          <w:sz w:val="20"/>
          <w:szCs w:val="20"/>
        </w:rPr>
      </w:pPr>
    </w:p>
    <w:p w:rsidR="006A78B5" w:rsidRPr="00E27B9E" w:rsidRDefault="006A78B5" w:rsidP="006A78B5">
      <w:pPr>
        <w:spacing w:after="0" w:line="240" w:lineRule="auto"/>
        <w:rPr>
          <w:rFonts w:ascii="Univers 45 Light" w:hAnsi="Univers 45 Light"/>
          <w:sz w:val="20"/>
          <w:szCs w:val="20"/>
        </w:rPr>
      </w:pPr>
      <w:r w:rsidRPr="00E27B9E">
        <w:rPr>
          <w:rFonts w:ascii="Univers 45 Light" w:hAnsi="Univers 45 Light"/>
          <w:sz w:val="20"/>
          <w:szCs w:val="20"/>
        </w:rPr>
        <w:t>Should you require further information or have any questions please do not hesitate to contact Peter Bentley.</w:t>
      </w:r>
    </w:p>
    <w:p w:rsidR="006A78B5" w:rsidRPr="00E27B9E" w:rsidRDefault="006A78B5" w:rsidP="006A78B5">
      <w:pPr>
        <w:spacing w:after="0" w:line="240" w:lineRule="auto"/>
        <w:rPr>
          <w:rFonts w:ascii="Univers 45 Light" w:hAnsi="Univers 45 Light"/>
          <w:sz w:val="20"/>
          <w:szCs w:val="20"/>
        </w:rPr>
      </w:pPr>
    </w:p>
    <w:p w:rsidR="006A78B5" w:rsidRDefault="006A78B5" w:rsidP="004E52A7">
      <w:pPr>
        <w:spacing w:after="0" w:line="240" w:lineRule="auto"/>
        <w:rPr>
          <w:rFonts w:ascii="Univers 45 Light" w:hAnsi="Univers 45 Light"/>
          <w:sz w:val="20"/>
          <w:szCs w:val="20"/>
          <w:lang w:val="en"/>
        </w:rPr>
      </w:pPr>
    </w:p>
    <w:p w:rsidR="006A78B5" w:rsidRPr="004E52A7" w:rsidRDefault="006A78B5" w:rsidP="004E52A7">
      <w:pPr>
        <w:spacing w:after="0" w:line="240" w:lineRule="auto"/>
        <w:rPr>
          <w:rFonts w:ascii="Univers 45 Light" w:hAnsi="Univers 45 Light"/>
          <w:sz w:val="20"/>
          <w:szCs w:val="20"/>
        </w:rPr>
      </w:pPr>
    </w:p>
    <w:p w:rsidR="004E52A7" w:rsidRPr="004E52A7" w:rsidRDefault="004E52A7" w:rsidP="004E52A7">
      <w:pPr>
        <w:spacing w:after="0" w:line="240" w:lineRule="auto"/>
        <w:rPr>
          <w:rFonts w:ascii="Univers 45 Light" w:hAnsi="Univers 45 Light"/>
          <w:sz w:val="20"/>
          <w:szCs w:val="20"/>
        </w:rPr>
      </w:pPr>
    </w:p>
    <w:p w:rsidR="004E52A7" w:rsidRPr="004E52A7" w:rsidRDefault="004E52A7" w:rsidP="004E52A7">
      <w:pPr>
        <w:spacing w:after="0" w:line="240" w:lineRule="auto"/>
        <w:rPr>
          <w:rFonts w:ascii="Univers 45 Light" w:hAnsi="Univers 45 Light"/>
          <w:sz w:val="20"/>
          <w:szCs w:val="20"/>
        </w:rPr>
      </w:pPr>
      <w:r w:rsidRPr="004E52A7">
        <w:rPr>
          <w:rFonts w:ascii="Univers 45 Light" w:hAnsi="Univers 45 Light"/>
          <w:sz w:val="20"/>
          <w:szCs w:val="20"/>
        </w:rPr>
        <w:t>Yours sincerely,</w:t>
      </w:r>
    </w:p>
    <w:p w:rsidR="004E52A7" w:rsidRPr="004E52A7" w:rsidRDefault="004E52A7" w:rsidP="004E52A7">
      <w:pPr>
        <w:spacing w:after="0" w:line="240" w:lineRule="auto"/>
        <w:rPr>
          <w:rFonts w:ascii="Univers 45 Light" w:hAnsi="Univers 45 Light"/>
          <w:sz w:val="20"/>
          <w:szCs w:val="20"/>
        </w:rPr>
      </w:pPr>
    </w:p>
    <w:p w:rsidR="004E52A7" w:rsidRDefault="004E52A7" w:rsidP="004E52A7">
      <w:pPr>
        <w:spacing w:after="0" w:line="240" w:lineRule="auto"/>
        <w:rPr>
          <w:rFonts w:ascii="Univers 45 Light" w:hAnsi="Univers 45 Light"/>
          <w:b/>
          <w:sz w:val="20"/>
          <w:szCs w:val="20"/>
        </w:rPr>
      </w:pPr>
    </w:p>
    <w:p w:rsidR="0014355E" w:rsidRDefault="0014355E" w:rsidP="004E52A7">
      <w:pPr>
        <w:spacing w:after="0" w:line="240" w:lineRule="auto"/>
        <w:rPr>
          <w:rFonts w:ascii="Univers 45 Light" w:hAnsi="Univers 45 Light"/>
          <w:b/>
          <w:sz w:val="20"/>
          <w:szCs w:val="20"/>
        </w:rPr>
      </w:pPr>
    </w:p>
    <w:p w:rsidR="0014355E" w:rsidRDefault="0014355E" w:rsidP="004E52A7">
      <w:pPr>
        <w:spacing w:after="0" w:line="240" w:lineRule="auto"/>
        <w:rPr>
          <w:rFonts w:ascii="Univers 45 Light" w:hAnsi="Univers 45 Light"/>
          <w:b/>
          <w:sz w:val="20"/>
          <w:szCs w:val="20"/>
        </w:rPr>
      </w:pPr>
    </w:p>
    <w:p w:rsidR="0014355E" w:rsidRDefault="0014355E" w:rsidP="004E52A7">
      <w:pPr>
        <w:spacing w:after="0" w:line="240" w:lineRule="auto"/>
        <w:rPr>
          <w:rFonts w:ascii="Univers 45 Light" w:hAnsi="Univers 45 Light"/>
          <w:b/>
          <w:sz w:val="20"/>
          <w:szCs w:val="20"/>
        </w:rPr>
      </w:pPr>
    </w:p>
    <w:p w:rsidR="004E52A7" w:rsidRPr="00DB1DF3" w:rsidRDefault="004E52A7" w:rsidP="004E52A7">
      <w:pPr>
        <w:spacing w:after="0" w:line="240" w:lineRule="auto"/>
        <w:rPr>
          <w:rFonts w:ascii="Univers 45 Light" w:hAnsi="Univers 45 Light"/>
          <w:b/>
          <w:sz w:val="20"/>
          <w:szCs w:val="20"/>
        </w:rPr>
      </w:pPr>
      <w:r w:rsidRPr="00DB1DF3">
        <w:rPr>
          <w:rFonts w:ascii="Univers 45 Light" w:hAnsi="Univers 45 Light"/>
          <w:b/>
          <w:sz w:val="20"/>
          <w:szCs w:val="20"/>
        </w:rPr>
        <w:t>Adam Gee</w:t>
      </w:r>
    </w:p>
    <w:p w:rsidR="00DB1DF3" w:rsidRDefault="004E52A7" w:rsidP="004E52A7">
      <w:pPr>
        <w:spacing w:after="0" w:line="240" w:lineRule="auto"/>
        <w:rPr>
          <w:rFonts w:ascii="Univers 45 Light" w:hAnsi="Univers 45 Light"/>
          <w:sz w:val="20"/>
          <w:szCs w:val="20"/>
        </w:rPr>
      </w:pPr>
      <w:r w:rsidRPr="00DB1DF3">
        <w:rPr>
          <w:rFonts w:ascii="Univers 45 Light" w:hAnsi="Univers 45 Light"/>
          <w:sz w:val="20"/>
          <w:szCs w:val="20"/>
        </w:rPr>
        <w:t>Partner,</w:t>
      </w:r>
    </w:p>
    <w:p w:rsidR="004E52A7" w:rsidRPr="004E52A7" w:rsidRDefault="004E52A7" w:rsidP="004E52A7">
      <w:pPr>
        <w:spacing w:after="0" w:line="240" w:lineRule="auto"/>
        <w:rPr>
          <w:rFonts w:ascii="Univers 45 Light" w:hAnsi="Univers 45 Light"/>
          <w:sz w:val="20"/>
          <w:szCs w:val="20"/>
        </w:rPr>
      </w:pPr>
      <w:r w:rsidRPr="00DB1DF3">
        <w:rPr>
          <w:rFonts w:ascii="Univers 45 Light" w:hAnsi="Univers 45 Light"/>
          <w:sz w:val="20"/>
          <w:szCs w:val="20"/>
        </w:rPr>
        <w:t>Superannuation Advisory</w:t>
      </w:r>
      <w:r w:rsidRPr="00DB1DF3">
        <w:rPr>
          <w:rFonts w:ascii="Univers 45 Light" w:hAnsi="Univers 45 Light"/>
          <w:sz w:val="20"/>
          <w:szCs w:val="20"/>
        </w:rPr>
        <w:br/>
      </w:r>
    </w:p>
    <w:p w:rsidR="007634C5" w:rsidRPr="00BA4108" w:rsidRDefault="007634C5" w:rsidP="00BA4108">
      <w:pPr>
        <w:pStyle w:val="BodyText1"/>
        <w:sectPr w:rsidR="007634C5" w:rsidRPr="00BA4108" w:rsidSect="007E23D9">
          <w:headerReference w:type="default" r:id="rId10"/>
          <w:footerReference w:type="default" r:id="rId11"/>
          <w:pgSz w:w="11906" w:h="16838"/>
          <w:pgMar w:top="1418" w:right="1418" w:bottom="1418" w:left="1418" w:header="709" w:footer="454" w:gutter="0"/>
          <w:cols w:space="708"/>
          <w:docGrid w:linePitch="360"/>
        </w:sectPr>
      </w:pPr>
    </w:p>
    <w:p w:rsidR="00216FDD" w:rsidRPr="00216FDD" w:rsidRDefault="00216FDD" w:rsidP="00216FDD">
      <w:pPr>
        <w:spacing w:after="0" w:line="276" w:lineRule="auto"/>
        <w:rPr>
          <w:rFonts w:ascii="Univers 45 Light" w:eastAsia="Calibri" w:hAnsi="Univers 45 Light" w:cs="Arial"/>
          <w:color w:val="00338D"/>
          <w:sz w:val="40"/>
          <w:szCs w:val="40"/>
          <w:lang w:val="en"/>
        </w:rPr>
      </w:pPr>
      <w:r w:rsidRPr="00216FDD">
        <w:rPr>
          <w:rFonts w:ascii="Univers 45 Light" w:eastAsia="Calibri" w:hAnsi="Univers 45 Light" w:cs="Arial"/>
          <w:color w:val="00338D"/>
          <w:sz w:val="40"/>
          <w:szCs w:val="40"/>
          <w:lang w:val="en"/>
        </w:rPr>
        <w:lastRenderedPageBreak/>
        <w:t>KPMG Observations and Recommendations</w:t>
      </w:r>
    </w:p>
    <w:p w:rsidR="00216FDD" w:rsidRPr="00216FDD" w:rsidRDefault="00216FDD" w:rsidP="00216FDD">
      <w:pPr>
        <w:spacing w:after="0" w:line="276" w:lineRule="auto"/>
        <w:rPr>
          <w:rFonts w:ascii="Univers 45 Light" w:eastAsia="Calibri" w:hAnsi="Univers 45 Light" w:cs="Arial"/>
          <w:color w:val="00338D"/>
          <w:szCs w:val="20"/>
          <w:lang w:val="en"/>
        </w:rPr>
      </w:pPr>
      <w:r w:rsidRPr="00216FDD">
        <w:rPr>
          <w:rFonts w:ascii="Univers 45 Light" w:eastAsia="Calibri" w:hAnsi="Univers 45 Light" w:cs="Arial"/>
          <w:color w:val="00338D"/>
          <w:szCs w:val="20"/>
          <w:lang w:val="en"/>
        </w:rPr>
        <w:t>Superannuation: Assessing Efficiency and Competitiveness – Stage Three Productivity Commission Draft Report (</w:t>
      </w:r>
      <w:r w:rsidR="006F1FDB">
        <w:rPr>
          <w:rFonts w:ascii="Univers 45 Light" w:eastAsia="Calibri" w:hAnsi="Univers 45 Light" w:cs="Arial"/>
          <w:color w:val="00338D"/>
          <w:szCs w:val="20"/>
          <w:lang w:val="en"/>
        </w:rPr>
        <w:t>April</w:t>
      </w:r>
      <w:r w:rsidRPr="00216FDD">
        <w:rPr>
          <w:rFonts w:ascii="Univers 45 Light" w:eastAsia="Calibri" w:hAnsi="Univers 45 Light" w:cs="Arial"/>
          <w:color w:val="00338D"/>
          <w:szCs w:val="20"/>
          <w:lang w:val="en"/>
        </w:rPr>
        <w:t xml:space="preserve"> 2018)</w:t>
      </w:r>
    </w:p>
    <w:p w:rsidR="00216FDD" w:rsidRPr="00216FDD" w:rsidRDefault="00216FDD" w:rsidP="00216FDD">
      <w:pPr>
        <w:spacing w:after="0" w:line="276" w:lineRule="auto"/>
        <w:rPr>
          <w:rFonts w:ascii="Univers 45 Light" w:eastAsia="Calibri" w:hAnsi="Univers 45 Light" w:cs="Arial"/>
          <w:color w:val="00338D"/>
          <w:szCs w:val="20"/>
          <w:lang w:val="en"/>
        </w:rPr>
      </w:pPr>
    </w:p>
    <w:p w:rsidR="00216FDD" w:rsidRPr="00216FDD" w:rsidRDefault="00216FDD" w:rsidP="00216FDD">
      <w:pPr>
        <w:spacing w:after="0" w:line="276" w:lineRule="auto"/>
        <w:rPr>
          <w:rFonts w:ascii="Univers 45 Light" w:eastAsia="Calibri" w:hAnsi="Univers 45 Light" w:cs="Arial"/>
          <w:b/>
          <w:color w:val="00338D"/>
          <w:sz w:val="24"/>
          <w:szCs w:val="20"/>
          <w:lang w:val="en"/>
        </w:rPr>
      </w:pPr>
      <w:r w:rsidRPr="00216FDD">
        <w:rPr>
          <w:rFonts w:ascii="Univers 45 Light" w:eastAsia="Calibri" w:hAnsi="Univers 45 Light" w:cs="Arial"/>
          <w:b/>
          <w:color w:val="00338D"/>
          <w:sz w:val="24"/>
          <w:szCs w:val="20"/>
          <w:lang w:val="en"/>
        </w:rPr>
        <w:t>Investment Performance</w:t>
      </w:r>
    </w:p>
    <w:p w:rsidR="00216FDD" w:rsidRPr="00216FDD" w:rsidRDefault="00216FDD" w:rsidP="00216FDD">
      <w:pPr>
        <w:spacing w:after="0" w:line="276" w:lineRule="auto"/>
        <w:rPr>
          <w:rFonts w:ascii="Univers 45 Light" w:eastAsia="Calibri" w:hAnsi="Univers 45 Light" w:cs="Arial"/>
          <w:b/>
          <w:color w:val="00338D"/>
          <w:sz w:val="24"/>
          <w:szCs w:val="20"/>
          <w:lang w:val="en"/>
        </w:rPr>
      </w:pPr>
    </w:p>
    <w:p w:rsidR="00216FDD" w:rsidRPr="00216FDD" w:rsidRDefault="00216FDD" w:rsidP="00216FDD">
      <w:pPr>
        <w:spacing w:after="0" w:line="276" w:lineRule="auto"/>
        <w:rPr>
          <w:rFonts w:ascii="Univers 45 Light" w:eastAsia="Calibri" w:hAnsi="Univers 45 Light" w:cs="Times New Roman"/>
          <w:sz w:val="20"/>
          <w:szCs w:val="20"/>
        </w:rPr>
      </w:pPr>
      <w:r w:rsidRPr="00216FDD">
        <w:rPr>
          <w:rFonts w:ascii="Univers 45 Light" w:eastAsia="Calibri" w:hAnsi="Univers 45 Light" w:cs="Times New Roman"/>
          <w:sz w:val="20"/>
          <w:szCs w:val="20"/>
        </w:rPr>
        <w:t xml:space="preserve">KPMG recognises the modelling undertaken by the Productivity Commission </w:t>
      </w:r>
      <w:r w:rsidR="00C46A3D">
        <w:rPr>
          <w:rFonts w:ascii="Univers 45 Light" w:eastAsia="Calibri" w:hAnsi="Univers 45 Light" w:cs="Times New Roman"/>
          <w:sz w:val="20"/>
          <w:szCs w:val="20"/>
        </w:rPr>
        <w:t xml:space="preserve">(“PC”) </w:t>
      </w:r>
      <w:r w:rsidRPr="00216FDD">
        <w:rPr>
          <w:rFonts w:ascii="Univers 45 Light" w:eastAsia="Calibri" w:hAnsi="Univers 45 Light" w:cs="Times New Roman"/>
          <w:sz w:val="20"/>
          <w:szCs w:val="20"/>
        </w:rPr>
        <w:t xml:space="preserve">as a strong methodology for assessing investment performance across the superannuation industry.  </w:t>
      </w:r>
    </w:p>
    <w:p w:rsidR="00E27B9E" w:rsidRPr="00216FDD" w:rsidRDefault="006A3E56" w:rsidP="00216FDD">
      <w:pPr>
        <w:spacing w:after="0" w:line="276" w:lineRule="auto"/>
        <w:rPr>
          <w:rFonts w:ascii="Univers 45 Light" w:eastAsia="Calibri" w:hAnsi="Univers 45 Light" w:cs="Times New Roman"/>
          <w:sz w:val="20"/>
          <w:szCs w:val="20"/>
        </w:rPr>
      </w:pPr>
    </w:p>
    <w:p w:rsidR="00216FDD" w:rsidRDefault="00216FDD" w:rsidP="00216FDD">
      <w:pPr>
        <w:spacing w:after="0" w:line="276" w:lineRule="auto"/>
        <w:rPr>
          <w:rFonts w:ascii="Univers 45 Light" w:eastAsia="Calibri" w:hAnsi="Univers 45 Light" w:cs="Times New Roman"/>
          <w:sz w:val="20"/>
          <w:szCs w:val="20"/>
        </w:rPr>
      </w:pPr>
      <w:r w:rsidRPr="00216FDD">
        <w:rPr>
          <w:rFonts w:ascii="Univers 45 Light" w:eastAsia="Calibri" w:hAnsi="Univers 45 Light" w:cs="Times New Roman"/>
          <w:sz w:val="20"/>
          <w:szCs w:val="20"/>
        </w:rPr>
        <w:t xml:space="preserve">Based upon broader industry analysis by research firms such as SuperRatings, it is evident that there </w:t>
      </w:r>
      <w:r w:rsidR="00C46A3D">
        <w:rPr>
          <w:rFonts w:ascii="Univers 45 Light" w:eastAsia="Calibri" w:hAnsi="Univers 45 Light" w:cs="Times New Roman"/>
          <w:sz w:val="20"/>
          <w:szCs w:val="20"/>
        </w:rPr>
        <w:t>continues to be divide in</w:t>
      </w:r>
      <w:r w:rsidRPr="00216FDD">
        <w:rPr>
          <w:rFonts w:ascii="Univers 45 Light" w:eastAsia="Calibri" w:hAnsi="Univers 45 Light" w:cs="Times New Roman"/>
          <w:sz w:val="20"/>
          <w:szCs w:val="20"/>
        </w:rPr>
        <w:t xml:space="preserve"> investment performance between retail funds and industry/profit for member funds.  KPMG continues to believe, however, that comparisons between different segments of the market are generally irrelevant as there is evidence that both sectors of the market have some constituents that perform better than others over different timeframes and market conditions.  As noted within the Draft Report, KPMG supports the notion that there are a number of funds that have underperformed broader medians and default asset allocation benchmarks, which continue to receive default contributions, resulting in </w:t>
      </w:r>
      <w:r w:rsidR="00C46A3D">
        <w:rPr>
          <w:rFonts w:ascii="Univers 45 Light" w:eastAsia="Calibri" w:hAnsi="Univers 45 Light" w:cs="Times New Roman"/>
          <w:sz w:val="20"/>
          <w:szCs w:val="20"/>
        </w:rPr>
        <w:t>poorer outcomes for disengaged members.</w:t>
      </w:r>
    </w:p>
    <w:p w:rsidR="00C46A3D" w:rsidRPr="00216FDD" w:rsidRDefault="00C46A3D" w:rsidP="00216FDD">
      <w:pPr>
        <w:spacing w:after="0" w:line="276" w:lineRule="auto"/>
        <w:rPr>
          <w:rFonts w:ascii="Univers 45 Light" w:eastAsia="Calibri" w:hAnsi="Univers 45 Light" w:cs="Times New Roman"/>
          <w:sz w:val="20"/>
          <w:szCs w:val="20"/>
        </w:rPr>
      </w:pPr>
    </w:p>
    <w:p w:rsidR="00216FDD" w:rsidRPr="00216FDD" w:rsidRDefault="00216FDD" w:rsidP="00216FDD">
      <w:pPr>
        <w:spacing w:after="0" w:line="276" w:lineRule="auto"/>
        <w:rPr>
          <w:rFonts w:ascii="Univers 45 Light" w:eastAsia="Calibri" w:hAnsi="Univers 45 Light" w:cs="Times New Roman"/>
          <w:sz w:val="20"/>
          <w:szCs w:val="20"/>
        </w:rPr>
      </w:pPr>
      <w:r w:rsidRPr="00216FDD">
        <w:rPr>
          <w:rFonts w:ascii="Univers 45 Light" w:eastAsia="Calibri" w:hAnsi="Univers 45 Light" w:cs="Times New Roman"/>
          <w:sz w:val="20"/>
          <w:szCs w:val="20"/>
        </w:rPr>
        <w:t xml:space="preserve">KPMG is also supportive of the framework noted within the Draft Report, which discusses the assessment of investment performance which is net of all fees (including investment and administration fees) and net of all taxes as this is the true </w:t>
      </w:r>
      <w:r w:rsidR="00C46A3D">
        <w:rPr>
          <w:rFonts w:ascii="Univers 45 Light" w:eastAsia="Calibri" w:hAnsi="Univers 45 Light" w:cs="Times New Roman"/>
          <w:sz w:val="20"/>
          <w:szCs w:val="20"/>
        </w:rPr>
        <w:t xml:space="preserve">representation of the </w:t>
      </w:r>
      <w:r w:rsidRPr="00216FDD">
        <w:rPr>
          <w:rFonts w:ascii="Univers 45 Light" w:eastAsia="Calibri" w:hAnsi="Univers 45 Light" w:cs="Times New Roman"/>
          <w:sz w:val="20"/>
          <w:szCs w:val="20"/>
        </w:rPr>
        <w:t xml:space="preserve">benefit that is delivered to </w:t>
      </w:r>
      <w:r w:rsidR="00C46A3D">
        <w:rPr>
          <w:rFonts w:ascii="Univers 45 Light" w:eastAsia="Calibri" w:hAnsi="Univers 45 Light" w:cs="Times New Roman"/>
          <w:sz w:val="20"/>
          <w:szCs w:val="20"/>
        </w:rPr>
        <w:t xml:space="preserve">a fund’s members. </w:t>
      </w:r>
      <w:r w:rsidRPr="00216FDD">
        <w:rPr>
          <w:rFonts w:ascii="Univers 45 Light" w:eastAsia="Calibri" w:hAnsi="Univers 45 Light" w:cs="Times New Roman"/>
          <w:sz w:val="20"/>
          <w:szCs w:val="20"/>
        </w:rPr>
        <w:t xml:space="preserve">We also agree that this should be the manner in which investment performance should be assessed across all disclosure material created by superannuation funds and included within </w:t>
      </w:r>
      <w:r w:rsidR="00C46A3D">
        <w:rPr>
          <w:rFonts w:ascii="Univers 45 Light" w:eastAsia="Calibri" w:hAnsi="Univers 45 Light" w:cs="Times New Roman"/>
          <w:sz w:val="20"/>
          <w:szCs w:val="20"/>
        </w:rPr>
        <w:t>the data reported to R</w:t>
      </w:r>
      <w:r w:rsidRPr="00216FDD">
        <w:rPr>
          <w:rFonts w:ascii="Univers 45 Light" w:eastAsia="Calibri" w:hAnsi="Univers 45 Light" w:cs="Times New Roman"/>
          <w:sz w:val="20"/>
          <w:szCs w:val="20"/>
        </w:rPr>
        <w:t>egulators and to members via dashboards or the like.</w:t>
      </w:r>
      <w:r w:rsidR="00C46A3D">
        <w:t xml:space="preserve"> </w:t>
      </w:r>
      <w:r w:rsidR="00C46A3D" w:rsidRPr="00C46A3D">
        <w:rPr>
          <w:rFonts w:ascii="Univers 45 Light" w:eastAsia="Calibri" w:hAnsi="Univers 45 Light" w:cs="Times New Roman"/>
          <w:sz w:val="20"/>
          <w:szCs w:val="20"/>
        </w:rPr>
        <w:t>We believe this will facilitate greater transparency within the system by ensuring the disclosure to members is consistent with member statements.</w:t>
      </w:r>
      <w:r w:rsidR="00C46A3D">
        <w:rPr>
          <w:rFonts w:ascii="Univers 45 Light" w:eastAsia="Calibri" w:hAnsi="Univers 45 Light" w:cs="Times New Roman"/>
          <w:sz w:val="20"/>
          <w:szCs w:val="20"/>
        </w:rPr>
        <w:t xml:space="preserve"> </w:t>
      </w:r>
    </w:p>
    <w:p w:rsidR="00216FDD" w:rsidRPr="00216FDD" w:rsidRDefault="00216FDD" w:rsidP="00216FDD">
      <w:pPr>
        <w:spacing w:after="0" w:line="276" w:lineRule="auto"/>
        <w:rPr>
          <w:rFonts w:ascii="Univers 45 Light" w:eastAsia="Calibri" w:hAnsi="Univers 45 Light" w:cs="Times New Roman"/>
          <w:sz w:val="20"/>
          <w:szCs w:val="20"/>
        </w:rPr>
      </w:pPr>
    </w:p>
    <w:p w:rsidR="00216FDD" w:rsidRPr="00216FDD" w:rsidRDefault="00216FDD" w:rsidP="00216FDD">
      <w:pPr>
        <w:spacing w:after="0" w:line="276" w:lineRule="auto"/>
        <w:rPr>
          <w:rFonts w:ascii="Univers 45 Light" w:eastAsia="Calibri" w:hAnsi="Univers 45 Light" w:cs="Times New Roman"/>
          <w:sz w:val="20"/>
          <w:szCs w:val="20"/>
        </w:rPr>
      </w:pPr>
      <w:r w:rsidRPr="00216FDD">
        <w:rPr>
          <w:rFonts w:ascii="Univers 45 Light" w:eastAsia="Calibri" w:hAnsi="Univers 45 Light" w:cs="Times New Roman"/>
          <w:sz w:val="20"/>
          <w:szCs w:val="20"/>
        </w:rPr>
        <w:t>In spite of our agreement with the use of net investment performance as the key assessment of a fund’s success, we note that one of the key challenges associated with this is that funds will often seek to provide members with strong risk-adjusted returns (particularly those members with larger balances or those nearing retirement). On this basis, we suggest that it would be prudent</w:t>
      </w:r>
      <w:r w:rsidR="00160691">
        <w:rPr>
          <w:rFonts w:ascii="Univers 45 Light" w:eastAsia="Calibri" w:hAnsi="Univers 45 Light" w:cs="Times New Roman"/>
          <w:sz w:val="20"/>
          <w:szCs w:val="20"/>
        </w:rPr>
        <w:t xml:space="preserve"> to include</w:t>
      </w:r>
      <w:r w:rsidRPr="00216FDD">
        <w:rPr>
          <w:rFonts w:ascii="Univers 45 Light" w:eastAsia="Calibri" w:hAnsi="Univers 45 Light" w:cs="Times New Roman"/>
          <w:sz w:val="20"/>
          <w:szCs w:val="20"/>
        </w:rPr>
        <w:t xml:space="preserve"> some form of risk-adjusted return metric within any key assessment criteria used to </w:t>
      </w:r>
      <w:r w:rsidR="00160691">
        <w:rPr>
          <w:rFonts w:ascii="Univers 45 Light" w:eastAsia="Calibri" w:hAnsi="Univers 45 Light" w:cs="Times New Roman"/>
          <w:sz w:val="20"/>
          <w:szCs w:val="20"/>
        </w:rPr>
        <w:t>assess</w:t>
      </w:r>
      <w:r w:rsidRPr="00216FDD">
        <w:rPr>
          <w:rFonts w:ascii="Univers 45 Light" w:eastAsia="Calibri" w:hAnsi="Univers 45 Light" w:cs="Times New Roman"/>
          <w:sz w:val="20"/>
          <w:szCs w:val="20"/>
        </w:rPr>
        <w:t xml:space="preserve"> the success of a superannuation fund’s investment performance. Metrics such as Sharpe Ratios or Sortino Ratios have been utilised by some in the past, however, we recognise the challenges associated with these, particularly in getting members to understand exactly what these measure. </w:t>
      </w:r>
    </w:p>
    <w:p w:rsidR="00216FDD" w:rsidRDefault="00216FDD" w:rsidP="00C3559F">
      <w:pPr>
        <w:spacing w:after="0" w:line="276" w:lineRule="auto"/>
        <w:rPr>
          <w:rFonts w:ascii="Univers 45 Light" w:hAnsi="Univers 45 Light"/>
          <w:sz w:val="20"/>
          <w:szCs w:val="20"/>
        </w:rPr>
      </w:pPr>
    </w:p>
    <w:p w:rsidR="00216FDD" w:rsidRDefault="00216FDD" w:rsidP="00C3559F">
      <w:pPr>
        <w:spacing w:after="0" w:line="276" w:lineRule="auto"/>
        <w:rPr>
          <w:rFonts w:ascii="Univers 45 Light" w:hAnsi="Univers 45 Light"/>
          <w:sz w:val="20"/>
          <w:szCs w:val="20"/>
        </w:rPr>
      </w:pPr>
      <w:r w:rsidRPr="00F73F03">
        <w:rPr>
          <w:rFonts w:ascii="Univers 45 Light" w:eastAsia="Calibri" w:hAnsi="Univers 45 Light" w:cs="Times New Roman"/>
          <w:noProof/>
          <w:sz w:val="20"/>
          <w:lang w:eastAsia="en-AU"/>
        </w:rPr>
        <mc:AlternateContent>
          <mc:Choice Requires="wps">
            <w:drawing>
              <wp:anchor distT="0" distB="0" distL="114300" distR="114300" simplePos="0" relativeHeight="251673600" behindDoc="0" locked="0" layoutInCell="1" allowOverlap="1" wp14:anchorId="6F817A57" wp14:editId="553F421B">
                <wp:simplePos x="0" y="0"/>
                <wp:positionH relativeFrom="column">
                  <wp:posOffset>0</wp:posOffset>
                </wp:positionH>
                <wp:positionV relativeFrom="paragraph">
                  <wp:posOffset>-635</wp:posOffset>
                </wp:positionV>
                <wp:extent cx="5663133" cy="837560"/>
                <wp:effectExtent l="0" t="0" r="0" b="1270"/>
                <wp:wrapNone/>
                <wp:docPr id="3" name="Rectangle 3"/>
                <wp:cNvGraphicFramePr/>
                <a:graphic xmlns:a="http://schemas.openxmlformats.org/drawingml/2006/main">
                  <a:graphicData uri="http://schemas.microsoft.com/office/word/2010/wordprocessingShape">
                    <wps:wsp>
                      <wps:cNvSpPr/>
                      <wps:spPr>
                        <a:xfrm>
                          <a:off x="0" y="0"/>
                          <a:ext cx="5663133" cy="837560"/>
                        </a:xfrm>
                        <a:prstGeom prst="rect">
                          <a:avLst/>
                        </a:prstGeom>
                        <a:solidFill>
                          <a:srgbClr val="0091DA"/>
                        </a:solidFill>
                        <a:ln w="12700" cap="flat" cmpd="sng" algn="ctr">
                          <a:noFill/>
                          <a:prstDash val="solid"/>
                          <a:miter lim="800000"/>
                        </a:ln>
                        <a:effectLst/>
                      </wps:spPr>
                      <wps:txbx>
                        <w:txbxContent>
                          <w:p w:rsidR="00216FDD" w:rsidRPr="00216FDD" w:rsidRDefault="00216FDD" w:rsidP="00216FDD">
                            <w:pPr>
                              <w:spacing w:after="0" w:line="276" w:lineRule="auto"/>
                              <w:rPr>
                                <w:rFonts w:ascii="Univers 45 Light" w:hAnsi="Univers 45 Light"/>
                                <w:b/>
                                <w:i/>
                                <w:color w:val="FFFFFF" w:themeColor="background1"/>
                                <w:sz w:val="20"/>
                                <w:szCs w:val="20"/>
                              </w:rPr>
                            </w:pPr>
                            <w:r w:rsidRPr="00216FDD">
                              <w:rPr>
                                <w:rFonts w:ascii="Univers 45 Light" w:hAnsi="Univers 45 Light"/>
                                <w:b/>
                                <w:i/>
                                <w:color w:val="FFFFFF" w:themeColor="background1"/>
                                <w:sz w:val="20"/>
                                <w:szCs w:val="20"/>
                              </w:rPr>
                              <w:t>Information request 2.1</w:t>
                            </w:r>
                          </w:p>
                          <w:p w:rsidR="00216FDD" w:rsidRPr="002D5BDA" w:rsidRDefault="00216FDD" w:rsidP="002D5BDA">
                            <w:pPr>
                              <w:spacing w:after="0" w:line="276" w:lineRule="auto"/>
                              <w:rPr>
                                <w:rFonts w:ascii="Univers 45 Light" w:hAnsi="Univers 45 Light"/>
                                <w:color w:val="FFFFFF" w:themeColor="background1"/>
                                <w:sz w:val="20"/>
                                <w:szCs w:val="20"/>
                              </w:rPr>
                            </w:pPr>
                            <w:r w:rsidRPr="00216FDD">
                              <w:rPr>
                                <w:rFonts w:ascii="Univers 45 Light" w:hAnsi="Univers 45 Light"/>
                                <w:color w:val="FFFFFF" w:themeColor="background1"/>
                                <w:sz w:val="20"/>
                                <w:szCs w:val="20"/>
                              </w:rPr>
                              <w:t>We believe that the assumptions that underpin the Commission’s benchmark portfolios are sound, albeit there are some additional factors that will impact the performance of funds under certain segments and market conditions.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817A57" id="Rectangle 3" o:spid="_x0000_s1026" style="position:absolute;margin-left:0;margin-top:-.05pt;width:445.9pt;height:65.9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" fillcolor="#0091da" stroked="f" strokeweight="1pt">
                <v:textbox>
                  <w:txbxContent>
                    <w:p w:rsidR="00216FDD" w:rsidRPr="00216FDD" w:rsidRDefault="00216FDD" w:rsidP="00216FDD">
                      <w:pPr>
                        <w:spacing w:after="0" w:line="276" w:lineRule="auto"/>
                        <w:rPr>
                          <w:rFonts w:ascii="Univers 45 Light" w:hAnsi="Univers 45 Light"/>
                          <w:b/>
                          <w:i/>
                          <w:color w:val="FFFFFF" w:themeColor="background1"/>
                          <w:sz w:val="20"/>
                          <w:szCs w:val="20"/>
                        </w:rPr>
                      </w:pPr>
                      <w:r w:rsidRPr="00216FDD">
                        <w:rPr>
                          <w:rFonts w:ascii="Univers 45 Light" w:hAnsi="Univers 45 Light"/>
                          <w:b/>
                          <w:i/>
                          <w:color w:val="FFFFFF" w:themeColor="background1"/>
                          <w:sz w:val="20"/>
                          <w:szCs w:val="20"/>
                        </w:rPr>
                        <w:t>Information request 2.1</w:t>
                      </w:r>
                    </w:p>
                    <w:p w:rsidR="00216FDD" w:rsidRPr="002D5BDA" w:rsidRDefault="00216FDD" w:rsidP="002D5BDA">
                      <w:pPr>
                        <w:spacing w:after="0" w:line="276" w:lineRule="auto"/>
                        <w:rPr>
                          <w:rFonts w:ascii="Univers 45 Light" w:hAnsi="Univers 45 Light"/>
                          <w:color w:val="FFFFFF" w:themeColor="background1"/>
                          <w:sz w:val="20"/>
                          <w:szCs w:val="20"/>
                        </w:rPr>
                      </w:pPr>
                      <w:r w:rsidRPr="00216FDD">
                        <w:rPr>
                          <w:rFonts w:ascii="Univers 45 Light" w:hAnsi="Univers 45 Light"/>
                          <w:color w:val="FFFFFF" w:themeColor="background1"/>
                          <w:sz w:val="20"/>
                          <w:szCs w:val="20"/>
                        </w:rPr>
                        <w:t>We believe that the assumptions that underpin the Commission’s benchmark portfolios are sound, albeit there are some additional factors that will impact the performance of funds under certain segments and market conditions.</w:t>
                      </w:r>
                    </w:p>
                  </w:txbxContent>
                </v:textbox>
              </v:rect>
            </w:pict>
          </mc:Fallback>
        </mc:AlternateContent>
      </w:r>
    </w:p>
    <w:p w:rsidR="00216FDD" w:rsidRDefault="00216FDD" w:rsidP="00C3559F">
      <w:pPr>
        <w:spacing w:after="0" w:line="276" w:lineRule="auto"/>
        <w:rPr>
          <w:rFonts w:ascii="Univers 45 Light" w:hAnsi="Univers 45 Light"/>
          <w:sz w:val="20"/>
          <w:szCs w:val="20"/>
        </w:rPr>
      </w:pPr>
    </w:p>
    <w:p w:rsidR="00216FDD" w:rsidRDefault="00216FDD" w:rsidP="00C3559F">
      <w:pPr>
        <w:spacing w:after="0" w:line="276" w:lineRule="auto"/>
        <w:rPr>
          <w:rFonts w:ascii="Univers 45 Light" w:hAnsi="Univers 45 Light"/>
          <w:sz w:val="20"/>
          <w:szCs w:val="20"/>
        </w:rPr>
      </w:pPr>
    </w:p>
    <w:p w:rsidR="00216FDD" w:rsidRDefault="00216FDD" w:rsidP="00C3559F">
      <w:pPr>
        <w:spacing w:after="0" w:line="276" w:lineRule="auto"/>
        <w:rPr>
          <w:rFonts w:ascii="Univers 45 Light" w:hAnsi="Univers 45 Light"/>
          <w:sz w:val="20"/>
          <w:szCs w:val="20"/>
        </w:rPr>
      </w:pPr>
    </w:p>
    <w:p w:rsidR="00216FDD" w:rsidRDefault="00216FDD" w:rsidP="00C3559F">
      <w:pPr>
        <w:spacing w:after="0" w:line="276" w:lineRule="auto"/>
        <w:rPr>
          <w:rFonts w:ascii="Univers 45 Light" w:hAnsi="Univers 45 Light"/>
          <w:sz w:val="20"/>
          <w:szCs w:val="20"/>
        </w:rPr>
      </w:pPr>
    </w:p>
    <w:p w:rsidR="00216FDD" w:rsidRDefault="00216FDD" w:rsidP="00C3559F">
      <w:pPr>
        <w:spacing w:after="0" w:line="276" w:lineRule="auto"/>
        <w:rPr>
          <w:rFonts w:ascii="Univers 45 Light" w:hAnsi="Univers 45 Light"/>
          <w:sz w:val="20"/>
          <w:szCs w:val="20"/>
        </w:rPr>
      </w:pPr>
    </w:p>
    <w:p w:rsidR="00216FDD" w:rsidRDefault="00216FDD" w:rsidP="00C3559F">
      <w:pPr>
        <w:spacing w:after="0" w:line="276" w:lineRule="auto"/>
        <w:rPr>
          <w:rFonts w:ascii="Univers 45 Light" w:hAnsi="Univers 45 Light"/>
          <w:sz w:val="20"/>
          <w:szCs w:val="20"/>
        </w:rPr>
      </w:pPr>
    </w:p>
    <w:p w:rsidR="00216FDD" w:rsidRDefault="00216FDD" w:rsidP="00C3559F">
      <w:pPr>
        <w:spacing w:after="0" w:line="276" w:lineRule="auto"/>
        <w:rPr>
          <w:rFonts w:ascii="Univers 45 Light" w:hAnsi="Univers 45 Light"/>
          <w:sz w:val="20"/>
          <w:szCs w:val="20"/>
        </w:rPr>
      </w:pPr>
    </w:p>
    <w:p w:rsidR="00160691" w:rsidRDefault="00160691" w:rsidP="00C3559F">
      <w:pPr>
        <w:spacing w:after="0" w:line="276" w:lineRule="auto"/>
        <w:rPr>
          <w:rFonts w:ascii="Univers 45 Light" w:hAnsi="Univers 45 Light"/>
          <w:sz w:val="20"/>
          <w:szCs w:val="20"/>
        </w:rPr>
      </w:pPr>
    </w:p>
    <w:p w:rsidR="00216FDD" w:rsidRDefault="00216FDD" w:rsidP="00C3559F">
      <w:pPr>
        <w:spacing w:after="0" w:line="276" w:lineRule="auto"/>
        <w:rPr>
          <w:rFonts w:ascii="Univers 45 Light" w:hAnsi="Univers 45 Light"/>
          <w:sz w:val="20"/>
          <w:szCs w:val="20"/>
        </w:rPr>
      </w:pPr>
    </w:p>
    <w:p w:rsidR="00216FDD" w:rsidRDefault="00216FDD" w:rsidP="00C3559F">
      <w:pPr>
        <w:spacing w:after="0" w:line="276" w:lineRule="auto"/>
        <w:rPr>
          <w:rFonts w:ascii="Univers 45 Light" w:hAnsi="Univers 45 Light"/>
          <w:sz w:val="20"/>
          <w:szCs w:val="20"/>
        </w:rPr>
      </w:pPr>
    </w:p>
    <w:p w:rsidR="00216FDD" w:rsidRDefault="00216FDD" w:rsidP="00C3559F">
      <w:pPr>
        <w:spacing w:after="0" w:line="276" w:lineRule="auto"/>
        <w:rPr>
          <w:rFonts w:ascii="Univers 45 Light" w:hAnsi="Univers 45 Light"/>
          <w:sz w:val="20"/>
          <w:szCs w:val="20"/>
        </w:rPr>
      </w:pPr>
    </w:p>
    <w:p w:rsidR="00216FDD" w:rsidRDefault="00216FDD" w:rsidP="00C3559F">
      <w:pPr>
        <w:spacing w:after="0" w:line="276" w:lineRule="auto"/>
        <w:rPr>
          <w:rFonts w:ascii="Univers 45 Light" w:hAnsi="Univers 45 Light"/>
          <w:sz w:val="20"/>
          <w:szCs w:val="20"/>
        </w:rPr>
      </w:pPr>
    </w:p>
    <w:p w:rsidR="002D5BDA" w:rsidRDefault="002D5BDA">
      <w:pPr>
        <w:rPr>
          <w:rFonts w:ascii="Univers 45 Light" w:hAnsi="Univers 45 Light"/>
          <w:sz w:val="20"/>
          <w:szCs w:val="20"/>
        </w:rPr>
      </w:pPr>
      <w:r>
        <w:rPr>
          <w:rFonts w:ascii="Univers 45 Light" w:hAnsi="Univers 45 Light"/>
          <w:sz w:val="20"/>
          <w:szCs w:val="20"/>
        </w:rPr>
        <w:br w:type="page"/>
      </w:r>
    </w:p>
    <w:p w:rsidR="00216FDD" w:rsidRDefault="00216FDD" w:rsidP="00C3559F">
      <w:pPr>
        <w:spacing w:after="0" w:line="276" w:lineRule="auto"/>
        <w:rPr>
          <w:rFonts w:ascii="Univers 45 Light" w:hAnsi="Univers 45 Light"/>
          <w:sz w:val="20"/>
          <w:szCs w:val="20"/>
        </w:rPr>
      </w:pPr>
      <w:r w:rsidRPr="00F73F03">
        <w:rPr>
          <w:rFonts w:ascii="Univers 45 Light" w:eastAsia="Calibri" w:hAnsi="Univers 45 Light" w:cs="Times New Roman"/>
          <w:noProof/>
          <w:sz w:val="20"/>
          <w:lang w:eastAsia="en-AU"/>
        </w:rPr>
        <w:lastRenderedPageBreak/>
        <mc:AlternateContent>
          <mc:Choice Requires="wps">
            <w:drawing>
              <wp:anchor distT="0" distB="0" distL="114300" distR="114300" simplePos="0" relativeHeight="251675648" behindDoc="0" locked="0" layoutInCell="1" allowOverlap="1" wp14:anchorId="2668FA32" wp14:editId="24530597">
                <wp:simplePos x="0" y="0"/>
                <wp:positionH relativeFrom="margin">
                  <wp:align>left</wp:align>
                </wp:positionH>
                <wp:positionV relativeFrom="paragraph">
                  <wp:posOffset>3175</wp:posOffset>
                </wp:positionV>
                <wp:extent cx="5663133" cy="3063240"/>
                <wp:effectExtent l="0" t="0" r="0" b="3810"/>
                <wp:wrapNone/>
                <wp:docPr id="2" name="Rectangle 2"/>
                <wp:cNvGraphicFramePr/>
                <a:graphic xmlns:a="http://schemas.openxmlformats.org/drawingml/2006/main">
                  <a:graphicData uri="http://schemas.microsoft.com/office/word/2010/wordprocessingShape">
                    <wps:wsp>
                      <wps:cNvSpPr/>
                      <wps:spPr>
                        <a:xfrm>
                          <a:off x="0" y="0"/>
                          <a:ext cx="5663133" cy="3063240"/>
                        </a:xfrm>
                        <a:prstGeom prst="rect">
                          <a:avLst/>
                        </a:prstGeom>
                        <a:solidFill>
                          <a:srgbClr val="0091DA"/>
                        </a:solidFill>
                        <a:ln w="12700" cap="flat" cmpd="sng" algn="ctr">
                          <a:noFill/>
                          <a:prstDash val="solid"/>
                          <a:miter lim="800000"/>
                        </a:ln>
                        <a:effectLst/>
                      </wps:spPr>
                      <wps:txbx>
                        <w:txbxContent>
                          <w:p w:rsidR="00216FDD" w:rsidRPr="00216FDD" w:rsidRDefault="00216FDD" w:rsidP="00216FDD">
                            <w:pPr>
                              <w:spacing w:after="0" w:line="276" w:lineRule="auto"/>
                              <w:rPr>
                                <w:rFonts w:ascii="Univers 45 Light" w:hAnsi="Univers 45 Light"/>
                                <w:b/>
                                <w:i/>
                                <w:color w:val="FFFFFF" w:themeColor="background1"/>
                                <w:sz w:val="20"/>
                                <w:szCs w:val="20"/>
                              </w:rPr>
                            </w:pPr>
                            <w:r w:rsidRPr="00216FDD">
                              <w:rPr>
                                <w:rFonts w:ascii="Univers 45 Light" w:hAnsi="Univers 45 Light"/>
                                <w:b/>
                                <w:i/>
                                <w:color w:val="FFFFFF" w:themeColor="background1"/>
                                <w:sz w:val="20"/>
                                <w:szCs w:val="20"/>
                              </w:rPr>
                              <w:t>Information request 2.2</w:t>
                            </w:r>
                          </w:p>
                          <w:p w:rsidR="00216FDD" w:rsidRPr="00216FDD" w:rsidRDefault="00216FDD" w:rsidP="00216FDD">
                            <w:pPr>
                              <w:spacing w:after="0" w:line="276" w:lineRule="auto"/>
                              <w:rPr>
                                <w:rFonts w:ascii="Univers 45 Light" w:hAnsi="Univers 45 Light"/>
                                <w:color w:val="FFFFFF" w:themeColor="background1"/>
                                <w:sz w:val="20"/>
                                <w:szCs w:val="20"/>
                              </w:rPr>
                            </w:pPr>
                            <w:r w:rsidRPr="00216FDD">
                              <w:rPr>
                                <w:rFonts w:ascii="Univers 45 Light" w:hAnsi="Univers 45 Light"/>
                                <w:color w:val="FFFFFF" w:themeColor="background1"/>
                                <w:sz w:val="20"/>
                                <w:szCs w:val="20"/>
                              </w:rPr>
                              <w:t>KPMG believes that there are a number of additional factors that explain differences in investment performance between funds and different segments of the market.</w:t>
                            </w:r>
                          </w:p>
                          <w:p w:rsidR="00216FDD" w:rsidRPr="00216FDD" w:rsidRDefault="00216FDD" w:rsidP="00216FDD">
                            <w:pPr>
                              <w:spacing w:after="0" w:line="276" w:lineRule="auto"/>
                              <w:rPr>
                                <w:rFonts w:ascii="Univers 45 Light" w:hAnsi="Univers 45 Light"/>
                                <w:color w:val="FFFFFF" w:themeColor="background1"/>
                                <w:sz w:val="20"/>
                                <w:szCs w:val="20"/>
                              </w:rPr>
                            </w:pPr>
                          </w:p>
                          <w:p w:rsidR="00216FDD" w:rsidRPr="00216FDD" w:rsidRDefault="00216FDD" w:rsidP="00216FDD">
                            <w:pPr>
                              <w:spacing w:after="0" w:line="276" w:lineRule="auto"/>
                              <w:rPr>
                                <w:rFonts w:ascii="Univers 45 Light" w:hAnsi="Univers 45 Light"/>
                                <w:color w:val="FFFFFF" w:themeColor="background1"/>
                                <w:sz w:val="20"/>
                                <w:szCs w:val="20"/>
                              </w:rPr>
                            </w:pPr>
                            <w:r w:rsidRPr="00216FDD">
                              <w:rPr>
                                <w:rFonts w:ascii="Univers 45 Light" w:hAnsi="Univers 45 Light"/>
                                <w:color w:val="FFFFFF" w:themeColor="background1"/>
                                <w:sz w:val="20"/>
                                <w:szCs w:val="20"/>
                              </w:rPr>
                              <w:t>The key area is the manner in which funds account for risk within their investment portfolios, particularly where members of a particular fund have an older demographic or a higher average account balance, which may result in members being less prone to taking on risk.  In this instance for example, the fund may seek to reduce risk through the use of protection strategies to defend against potential downward market corrections or may seek to invest in certain stocks within asset classes that have lower than average risk characteristics.  We note that this is evident for a number of funds within the industry, which, when compared on a pure net performance basis appear to underperform, however, on a risk-adjusted basis, provide better than average outcomes for members.</w:t>
                            </w:r>
                          </w:p>
                          <w:p w:rsidR="00216FDD" w:rsidRPr="00216FDD" w:rsidRDefault="00216FDD" w:rsidP="00216FDD">
                            <w:pPr>
                              <w:spacing w:after="0" w:line="276" w:lineRule="auto"/>
                              <w:rPr>
                                <w:rFonts w:ascii="Univers 45 Light" w:hAnsi="Univers 45 Light"/>
                                <w:color w:val="FFFFFF" w:themeColor="background1"/>
                                <w:sz w:val="20"/>
                                <w:szCs w:val="20"/>
                              </w:rPr>
                            </w:pPr>
                          </w:p>
                          <w:p w:rsidR="00216FDD" w:rsidRPr="002D5BDA" w:rsidRDefault="00216FDD" w:rsidP="002D5BDA">
                            <w:pPr>
                              <w:spacing w:after="0" w:line="276" w:lineRule="auto"/>
                              <w:rPr>
                                <w:rFonts w:ascii="Univers 45 Light" w:hAnsi="Univers 45 Light"/>
                                <w:color w:val="FFFFFF" w:themeColor="background1"/>
                                <w:sz w:val="20"/>
                                <w:szCs w:val="20"/>
                              </w:rPr>
                            </w:pPr>
                            <w:r w:rsidRPr="00216FDD">
                              <w:rPr>
                                <w:rFonts w:ascii="Univers 45 Light" w:hAnsi="Univers 45 Light"/>
                                <w:color w:val="FFFFFF" w:themeColor="background1"/>
                                <w:sz w:val="20"/>
                                <w:szCs w:val="20"/>
                              </w:rPr>
                              <w:t xml:space="preserve">As per our comments above, we therefore believe that it is imperative that any measure that assesses the success of the investment outcomes delivered to members has a reasonable account for the level of risk taken to achieve returns.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68FA32" id="Rectangle 2" o:spid="_x0000_s1027" style="position:absolute;margin-left:0;margin-top:.25pt;width:445.9pt;height:241.2pt;z-index:25167564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" fillcolor="#0091da" stroked="f" strokeweight="1pt">
                <v:textbox>
                  <w:txbxContent>
                    <w:p w:rsidR="00216FDD" w:rsidRPr="00216FDD" w:rsidRDefault="00216FDD" w:rsidP="00216FDD">
                      <w:pPr>
                        <w:spacing w:after="0" w:line="276" w:lineRule="auto"/>
                        <w:rPr>
                          <w:rFonts w:ascii="Univers 45 Light" w:hAnsi="Univers 45 Light"/>
                          <w:b/>
                          <w:i/>
                          <w:color w:val="FFFFFF" w:themeColor="background1"/>
                          <w:sz w:val="20"/>
                          <w:szCs w:val="20"/>
                        </w:rPr>
                      </w:pPr>
                      <w:r w:rsidRPr="00216FDD">
                        <w:rPr>
                          <w:rFonts w:ascii="Univers 45 Light" w:hAnsi="Univers 45 Light"/>
                          <w:b/>
                          <w:i/>
                          <w:color w:val="FFFFFF" w:themeColor="background1"/>
                          <w:sz w:val="20"/>
                          <w:szCs w:val="20"/>
                        </w:rPr>
                        <w:t>Information request 2.2</w:t>
                      </w:r>
                    </w:p>
                    <w:p w:rsidR="00216FDD" w:rsidRPr="00216FDD" w:rsidRDefault="00216FDD" w:rsidP="00216FDD">
                      <w:pPr>
                        <w:spacing w:after="0" w:line="276" w:lineRule="auto"/>
                        <w:rPr>
                          <w:rFonts w:ascii="Univers 45 Light" w:hAnsi="Univers 45 Light"/>
                          <w:color w:val="FFFFFF" w:themeColor="background1"/>
                          <w:sz w:val="20"/>
                          <w:szCs w:val="20"/>
                        </w:rPr>
                      </w:pPr>
                      <w:r w:rsidRPr="00216FDD">
                        <w:rPr>
                          <w:rFonts w:ascii="Univers 45 Light" w:hAnsi="Univers 45 Light"/>
                          <w:color w:val="FFFFFF" w:themeColor="background1"/>
                          <w:sz w:val="20"/>
                          <w:szCs w:val="20"/>
                        </w:rPr>
                        <w:t>KPMG believes that there are a number of additional factors that explain differences in investment performance between funds and different segments of the market.</w:t>
                      </w:r>
                    </w:p>
                    <w:p w:rsidR="00216FDD" w:rsidRPr="00216FDD" w:rsidRDefault="00216FDD" w:rsidP="00216FDD">
                      <w:pPr>
                        <w:spacing w:after="0" w:line="276" w:lineRule="auto"/>
                        <w:rPr>
                          <w:rFonts w:ascii="Univers 45 Light" w:hAnsi="Univers 45 Light"/>
                          <w:color w:val="FFFFFF" w:themeColor="background1"/>
                          <w:sz w:val="20"/>
                          <w:szCs w:val="20"/>
                        </w:rPr>
                      </w:pPr>
                    </w:p>
                    <w:p w:rsidR="00216FDD" w:rsidRPr="00216FDD" w:rsidRDefault="00216FDD" w:rsidP="00216FDD">
                      <w:pPr>
                        <w:spacing w:after="0" w:line="276" w:lineRule="auto"/>
                        <w:rPr>
                          <w:rFonts w:ascii="Univers 45 Light" w:hAnsi="Univers 45 Light"/>
                          <w:color w:val="FFFFFF" w:themeColor="background1"/>
                          <w:sz w:val="20"/>
                          <w:szCs w:val="20"/>
                        </w:rPr>
                      </w:pPr>
                      <w:r w:rsidRPr="00216FDD">
                        <w:rPr>
                          <w:rFonts w:ascii="Univers 45 Light" w:hAnsi="Univers 45 Light"/>
                          <w:color w:val="FFFFFF" w:themeColor="background1"/>
                          <w:sz w:val="20"/>
                          <w:szCs w:val="20"/>
                        </w:rPr>
                        <w:t>The key area is the manner in which funds account for risk within their investment portfolios, particularly where members of a particular fund have an older demographic or a higher average account balance, which may result in members being less prone to taking on risk.  In this instance for example, the fund may seek to reduce risk through the use of protection strategies to defend against potential downward market corrections or may seek to invest in certain stocks within asset classes that have lower than average risk characteristics.  We note that this is evident for a number of funds within the industry, which, when compared on a pure net performance basis appear to underperform, however, on a risk-adjusted basis, provide better than average outcomes for members.</w:t>
                      </w:r>
                    </w:p>
                    <w:p w:rsidR="00216FDD" w:rsidRPr="00216FDD" w:rsidRDefault="00216FDD" w:rsidP="00216FDD">
                      <w:pPr>
                        <w:spacing w:after="0" w:line="276" w:lineRule="auto"/>
                        <w:rPr>
                          <w:rFonts w:ascii="Univers 45 Light" w:hAnsi="Univers 45 Light"/>
                          <w:color w:val="FFFFFF" w:themeColor="background1"/>
                          <w:sz w:val="20"/>
                          <w:szCs w:val="20"/>
                        </w:rPr>
                      </w:pPr>
                    </w:p>
                    <w:p w:rsidR="00216FDD" w:rsidRPr="002D5BDA" w:rsidRDefault="00216FDD" w:rsidP="002D5BDA">
                      <w:pPr>
                        <w:spacing w:after="0" w:line="276" w:lineRule="auto"/>
                        <w:rPr>
                          <w:rFonts w:ascii="Univers 45 Light" w:hAnsi="Univers 45 Light"/>
                          <w:color w:val="FFFFFF" w:themeColor="background1"/>
                          <w:sz w:val="20"/>
                          <w:szCs w:val="20"/>
                        </w:rPr>
                      </w:pPr>
                      <w:r w:rsidRPr="00216FDD">
                        <w:rPr>
                          <w:rFonts w:ascii="Univers 45 Light" w:hAnsi="Univers 45 Light"/>
                          <w:color w:val="FFFFFF" w:themeColor="background1"/>
                          <w:sz w:val="20"/>
                          <w:szCs w:val="20"/>
                        </w:rPr>
                        <w:t xml:space="preserve">As per our comments above, we therefore believe that it is imperative that any measure that assesses the success of the investment outcomes delivered to members has a reasonable account for the level of risk taken to achieve returns.  </w:t>
                      </w:r>
                    </w:p>
                  </w:txbxContent>
                </v:textbox>
                <w10:wrap anchorx="margin"/>
              </v:rect>
            </w:pict>
          </mc:Fallback>
        </mc:AlternateContent>
      </w:r>
    </w:p>
    <w:p w:rsidR="00216FDD" w:rsidRDefault="00216FDD" w:rsidP="00C3559F">
      <w:pPr>
        <w:spacing w:after="0" w:line="276" w:lineRule="auto"/>
        <w:rPr>
          <w:rFonts w:ascii="Univers 45 Light" w:hAnsi="Univers 45 Light"/>
          <w:sz w:val="20"/>
          <w:szCs w:val="20"/>
        </w:rPr>
      </w:pPr>
    </w:p>
    <w:p w:rsidR="00216FDD" w:rsidRDefault="00216FDD" w:rsidP="00C3559F">
      <w:pPr>
        <w:spacing w:after="0" w:line="276" w:lineRule="auto"/>
        <w:rPr>
          <w:rFonts w:ascii="Univers 45 Light" w:hAnsi="Univers 45 Light"/>
          <w:sz w:val="20"/>
          <w:szCs w:val="20"/>
        </w:rPr>
      </w:pPr>
    </w:p>
    <w:p w:rsidR="00216FDD" w:rsidRDefault="00216FDD" w:rsidP="00C3559F">
      <w:pPr>
        <w:spacing w:after="0" w:line="276" w:lineRule="auto"/>
        <w:rPr>
          <w:rFonts w:ascii="Univers 45 Light" w:hAnsi="Univers 45 Light"/>
          <w:sz w:val="20"/>
          <w:szCs w:val="20"/>
        </w:rPr>
      </w:pPr>
    </w:p>
    <w:p w:rsidR="00216FDD" w:rsidRDefault="00216FDD" w:rsidP="00C3559F">
      <w:pPr>
        <w:spacing w:after="0" w:line="276" w:lineRule="auto"/>
        <w:rPr>
          <w:rFonts w:ascii="Univers 45 Light" w:hAnsi="Univers 45 Light"/>
          <w:sz w:val="20"/>
          <w:szCs w:val="20"/>
        </w:rPr>
      </w:pPr>
    </w:p>
    <w:p w:rsidR="00216FDD" w:rsidRDefault="00216FDD" w:rsidP="00C3559F">
      <w:pPr>
        <w:spacing w:after="0" w:line="276" w:lineRule="auto"/>
        <w:rPr>
          <w:rFonts w:ascii="Univers 45 Light" w:hAnsi="Univers 45 Light"/>
          <w:sz w:val="20"/>
          <w:szCs w:val="20"/>
        </w:rPr>
      </w:pPr>
    </w:p>
    <w:p w:rsidR="00216FDD" w:rsidRDefault="00216FDD" w:rsidP="00C3559F">
      <w:pPr>
        <w:spacing w:after="0" w:line="276" w:lineRule="auto"/>
        <w:rPr>
          <w:rFonts w:ascii="Univers 45 Light" w:hAnsi="Univers 45 Light"/>
          <w:sz w:val="20"/>
          <w:szCs w:val="20"/>
        </w:rPr>
      </w:pPr>
    </w:p>
    <w:p w:rsidR="00216FDD" w:rsidRDefault="00216FDD" w:rsidP="00C3559F">
      <w:pPr>
        <w:spacing w:after="0" w:line="276" w:lineRule="auto"/>
        <w:rPr>
          <w:rFonts w:ascii="Univers 45 Light" w:hAnsi="Univers 45 Light"/>
          <w:sz w:val="20"/>
          <w:szCs w:val="20"/>
        </w:rPr>
      </w:pPr>
    </w:p>
    <w:p w:rsidR="00216FDD" w:rsidRDefault="00216FDD" w:rsidP="00C3559F">
      <w:pPr>
        <w:spacing w:after="0" w:line="276" w:lineRule="auto"/>
        <w:rPr>
          <w:rFonts w:ascii="Univers 45 Light" w:hAnsi="Univers 45 Light"/>
          <w:sz w:val="20"/>
          <w:szCs w:val="20"/>
        </w:rPr>
      </w:pPr>
    </w:p>
    <w:p w:rsidR="00216FDD" w:rsidRDefault="00216FDD" w:rsidP="00C3559F">
      <w:pPr>
        <w:spacing w:after="0" w:line="276" w:lineRule="auto"/>
        <w:rPr>
          <w:rFonts w:ascii="Univers 45 Light" w:hAnsi="Univers 45 Light"/>
          <w:sz w:val="20"/>
          <w:szCs w:val="20"/>
        </w:rPr>
      </w:pPr>
    </w:p>
    <w:p w:rsidR="00216FDD" w:rsidRDefault="00216FDD" w:rsidP="00C3559F">
      <w:pPr>
        <w:spacing w:after="0" w:line="276" w:lineRule="auto"/>
        <w:rPr>
          <w:rFonts w:ascii="Univers 45 Light" w:hAnsi="Univers 45 Light"/>
          <w:sz w:val="20"/>
          <w:szCs w:val="20"/>
        </w:rPr>
      </w:pPr>
    </w:p>
    <w:p w:rsidR="00216FDD" w:rsidRDefault="00216FDD" w:rsidP="00C3559F">
      <w:pPr>
        <w:spacing w:after="0" w:line="276" w:lineRule="auto"/>
        <w:rPr>
          <w:rFonts w:ascii="Univers 45 Light" w:hAnsi="Univers 45 Light"/>
          <w:sz w:val="20"/>
          <w:szCs w:val="20"/>
        </w:rPr>
      </w:pPr>
    </w:p>
    <w:p w:rsidR="00216FDD" w:rsidRDefault="00216FDD" w:rsidP="00C3559F">
      <w:pPr>
        <w:spacing w:after="0" w:line="276" w:lineRule="auto"/>
        <w:rPr>
          <w:rFonts w:ascii="Univers 45 Light" w:hAnsi="Univers 45 Light"/>
          <w:sz w:val="20"/>
          <w:szCs w:val="20"/>
        </w:rPr>
      </w:pPr>
    </w:p>
    <w:p w:rsidR="00216FDD" w:rsidRDefault="00216FDD" w:rsidP="00C3559F">
      <w:pPr>
        <w:spacing w:after="0" w:line="276" w:lineRule="auto"/>
        <w:rPr>
          <w:rFonts w:ascii="Univers 45 Light" w:hAnsi="Univers 45 Light"/>
          <w:sz w:val="20"/>
          <w:szCs w:val="20"/>
        </w:rPr>
      </w:pPr>
    </w:p>
    <w:p w:rsidR="00216FDD" w:rsidRDefault="00216FDD" w:rsidP="00C3559F">
      <w:pPr>
        <w:spacing w:after="0" w:line="276" w:lineRule="auto"/>
        <w:rPr>
          <w:rFonts w:ascii="Univers 45 Light" w:hAnsi="Univers 45 Light"/>
          <w:sz w:val="20"/>
          <w:szCs w:val="20"/>
        </w:rPr>
      </w:pPr>
    </w:p>
    <w:p w:rsidR="00216FDD" w:rsidRDefault="00216FDD" w:rsidP="00C3559F">
      <w:pPr>
        <w:spacing w:after="0" w:line="276" w:lineRule="auto"/>
        <w:rPr>
          <w:rFonts w:ascii="Univers 45 Light" w:hAnsi="Univers 45 Light"/>
          <w:sz w:val="20"/>
          <w:szCs w:val="20"/>
        </w:rPr>
      </w:pPr>
    </w:p>
    <w:p w:rsidR="00216FDD" w:rsidRDefault="00216FDD" w:rsidP="00C3559F">
      <w:pPr>
        <w:spacing w:after="0" w:line="276" w:lineRule="auto"/>
        <w:rPr>
          <w:rFonts w:ascii="Univers 45 Light" w:hAnsi="Univers 45 Light"/>
          <w:sz w:val="20"/>
          <w:szCs w:val="20"/>
        </w:rPr>
      </w:pPr>
    </w:p>
    <w:p w:rsidR="00216FDD" w:rsidRDefault="00216FDD" w:rsidP="00C3559F">
      <w:pPr>
        <w:spacing w:after="0" w:line="276" w:lineRule="auto"/>
        <w:rPr>
          <w:rFonts w:ascii="Univers 45 Light" w:hAnsi="Univers 45 Light"/>
          <w:sz w:val="20"/>
          <w:szCs w:val="20"/>
        </w:rPr>
      </w:pPr>
    </w:p>
    <w:p w:rsidR="00216FDD" w:rsidRDefault="00216FDD" w:rsidP="00C3559F">
      <w:pPr>
        <w:spacing w:after="0" w:line="276" w:lineRule="auto"/>
        <w:rPr>
          <w:rFonts w:ascii="Univers 45 Light" w:hAnsi="Univers 45 Light"/>
          <w:sz w:val="20"/>
          <w:szCs w:val="20"/>
        </w:rPr>
      </w:pPr>
    </w:p>
    <w:p w:rsidR="00216FDD" w:rsidRPr="00216FDD" w:rsidRDefault="00216FDD" w:rsidP="00216FDD">
      <w:pPr>
        <w:spacing w:after="0" w:line="276" w:lineRule="auto"/>
        <w:rPr>
          <w:rFonts w:ascii="Univers 45 Light" w:hAnsi="Univers 45 Light" w:cs="Arial"/>
          <w:b/>
          <w:color w:val="00338D" w:themeColor="background2"/>
          <w:sz w:val="24"/>
          <w:szCs w:val="20"/>
          <w:lang w:val="en"/>
        </w:rPr>
      </w:pPr>
      <w:r w:rsidRPr="00216FDD">
        <w:rPr>
          <w:rFonts w:ascii="Univers 45 Light" w:hAnsi="Univers 45 Light" w:cs="Arial"/>
          <w:b/>
          <w:color w:val="00338D" w:themeColor="background2"/>
          <w:sz w:val="24"/>
          <w:szCs w:val="20"/>
          <w:lang w:val="en"/>
        </w:rPr>
        <w:t>Fees and costs</w:t>
      </w:r>
    </w:p>
    <w:p w:rsidR="00216FDD" w:rsidRPr="00E27B9E" w:rsidRDefault="00216FDD" w:rsidP="00216FDD">
      <w:pPr>
        <w:spacing w:after="0" w:line="276" w:lineRule="auto"/>
        <w:rPr>
          <w:rFonts w:ascii="Univers 45 Light" w:hAnsi="Univers 45 Light"/>
          <w:sz w:val="20"/>
          <w:szCs w:val="20"/>
        </w:rPr>
      </w:pPr>
    </w:p>
    <w:p w:rsidR="00216FDD" w:rsidRPr="00E27B9E" w:rsidRDefault="00216FDD" w:rsidP="00216FDD">
      <w:pPr>
        <w:spacing w:after="0" w:line="276" w:lineRule="auto"/>
        <w:rPr>
          <w:rFonts w:ascii="Univers 45 Light" w:hAnsi="Univers 45 Light"/>
          <w:sz w:val="20"/>
          <w:szCs w:val="20"/>
        </w:rPr>
      </w:pPr>
      <w:r w:rsidRPr="00E27B9E">
        <w:rPr>
          <w:rFonts w:ascii="Univers 45 Light" w:hAnsi="Univers 45 Light"/>
          <w:sz w:val="20"/>
          <w:szCs w:val="20"/>
        </w:rPr>
        <w:t>We agree that the reporting of fees and costs by</w:t>
      </w:r>
      <w:r w:rsidR="00C46A3D">
        <w:rPr>
          <w:rFonts w:ascii="Univers 45 Light" w:hAnsi="Univers 45 Light"/>
          <w:sz w:val="20"/>
          <w:szCs w:val="20"/>
        </w:rPr>
        <w:t xml:space="preserve"> superannuation funds (and the R</w:t>
      </w:r>
      <w:r w:rsidRPr="00E27B9E">
        <w:rPr>
          <w:rFonts w:ascii="Univers 45 Light" w:hAnsi="Univers 45 Light"/>
          <w:sz w:val="20"/>
          <w:szCs w:val="20"/>
        </w:rPr>
        <w:t xml:space="preserve">egulators) requires significant additional focus to </w:t>
      </w:r>
      <w:r w:rsidR="001E4304">
        <w:rPr>
          <w:rFonts w:ascii="Univers 45 Light" w:hAnsi="Univers 45 Light"/>
          <w:sz w:val="20"/>
          <w:szCs w:val="20"/>
        </w:rPr>
        <w:t>help</w:t>
      </w:r>
      <w:r w:rsidRPr="00E27B9E">
        <w:rPr>
          <w:rFonts w:ascii="Univers 45 Light" w:hAnsi="Univers 45 Light"/>
          <w:sz w:val="20"/>
          <w:szCs w:val="20"/>
        </w:rPr>
        <w:t xml:space="preserve"> members </w:t>
      </w:r>
      <w:r w:rsidR="001E4304">
        <w:rPr>
          <w:rFonts w:ascii="Univers 45 Light" w:hAnsi="Univers 45 Light"/>
          <w:sz w:val="20"/>
          <w:szCs w:val="20"/>
        </w:rPr>
        <w:t xml:space="preserve">to </w:t>
      </w:r>
      <w:r w:rsidRPr="00E27B9E">
        <w:rPr>
          <w:rFonts w:ascii="Univers 45 Light" w:hAnsi="Univers 45 Light"/>
          <w:sz w:val="20"/>
          <w:szCs w:val="20"/>
        </w:rPr>
        <w:t>better compare what they are being charged.</w:t>
      </w:r>
    </w:p>
    <w:p w:rsidR="00216FDD" w:rsidRPr="00E27B9E" w:rsidRDefault="00216FDD" w:rsidP="00216FDD">
      <w:pPr>
        <w:spacing w:after="0" w:line="276" w:lineRule="auto"/>
        <w:rPr>
          <w:rFonts w:ascii="Univers 45 Light" w:hAnsi="Univers 45 Light"/>
          <w:sz w:val="20"/>
          <w:szCs w:val="20"/>
        </w:rPr>
      </w:pPr>
    </w:p>
    <w:p w:rsidR="00216FDD" w:rsidRPr="00E27B9E" w:rsidRDefault="00216FDD" w:rsidP="00216FDD">
      <w:pPr>
        <w:spacing w:after="0" w:line="276" w:lineRule="auto"/>
        <w:rPr>
          <w:rFonts w:ascii="Univers 45 Light" w:hAnsi="Univers 45 Light"/>
          <w:sz w:val="20"/>
          <w:szCs w:val="20"/>
        </w:rPr>
      </w:pPr>
      <w:r w:rsidRPr="00E27B9E">
        <w:rPr>
          <w:rFonts w:ascii="Univers 45 Light" w:hAnsi="Univers 45 Light"/>
          <w:sz w:val="20"/>
          <w:szCs w:val="20"/>
        </w:rPr>
        <w:t>In terms of Draft Finding 3.2, KPMG remains concerned that there remains challenges with international comparisons given the structure of the Australian superannuation system is materially different to those operating within other jurisdictions.  Similarly, KPMG continues to believe that a pure focus on fees does not always deliver strong outcomes to members, as has been demonstrated recently within the Chilean pension system, which ran a fee-based auction to determine the successful recipient of default contributio</w:t>
      </w:r>
      <w:r w:rsidR="00C92E19">
        <w:rPr>
          <w:rFonts w:ascii="Univers 45 Light" w:hAnsi="Univers 45 Light"/>
          <w:sz w:val="20"/>
          <w:szCs w:val="20"/>
        </w:rPr>
        <w:t xml:space="preserve">ns for the country’s members. </w:t>
      </w:r>
      <w:r w:rsidRPr="00E27B9E">
        <w:rPr>
          <w:rFonts w:ascii="Univers 45 Light" w:hAnsi="Univers 45 Light"/>
          <w:sz w:val="20"/>
          <w:szCs w:val="20"/>
        </w:rPr>
        <w:t xml:space="preserve">To this end, </w:t>
      </w:r>
      <w:r w:rsidR="00C46A3D">
        <w:rPr>
          <w:rFonts w:ascii="Univers 45 Light" w:hAnsi="Univers 45 Light"/>
          <w:sz w:val="20"/>
          <w:szCs w:val="20"/>
        </w:rPr>
        <w:t xml:space="preserve">it is </w:t>
      </w:r>
      <w:r w:rsidRPr="00E27B9E">
        <w:rPr>
          <w:rFonts w:ascii="Univers 45 Light" w:hAnsi="Univers 45 Light"/>
          <w:sz w:val="20"/>
          <w:szCs w:val="20"/>
        </w:rPr>
        <w:t>KPMG</w:t>
      </w:r>
      <w:r w:rsidR="00C46A3D">
        <w:rPr>
          <w:rFonts w:ascii="Univers 45 Light" w:hAnsi="Univers 45 Light"/>
          <w:sz w:val="20"/>
          <w:szCs w:val="20"/>
        </w:rPr>
        <w:t xml:space="preserve">’s view </w:t>
      </w:r>
      <w:r w:rsidRPr="00E27B9E">
        <w:rPr>
          <w:rFonts w:ascii="Univers 45 Light" w:hAnsi="Univers 45 Light"/>
          <w:sz w:val="20"/>
          <w:szCs w:val="20"/>
        </w:rPr>
        <w:t xml:space="preserve">that net investment performance outcomes should be the key determinant of a fund’s success </w:t>
      </w:r>
      <w:r w:rsidR="00C46A3D">
        <w:rPr>
          <w:rFonts w:ascii="Univers 45 Light" w:hAnsi="Univers 45 Light"/>
          <w:sz w:val="20"/>
          <w:szCs w:val="20"/>
        </w:rPr>
        <w:t xml:space="preserve">with a lower emphasis on </w:t>
      </w:r>
      <w:r w:rsidRPr="00E27B9E">
        <w:rPr>
          <w:rFonts w:ascii="Univers 45 Light" w:hAnsi="Univers 45 Light"/>
          <w:sz w:val="20"/>
          <w:szCs w:val="20"/>
        </w:rPr>
        <w:t>the fees charged to achieve these</w:t>
      </w:r>
      <w:r w:rsidR="00C46A3D">
        <w:rPr>
          <w:rFonts w:ascii="Univers 45 Light" w:hAnsi="Univers 45 Light"/>
          <w:sz w:val="20"/>
          <w:szCs w:val="20"/>
        </w:rPr>
        <w:t xml:space="preserve"> returns. </w:t>
      </w:r>
      <w:r w:rsidRPr="00E27B9E">
        <w:rPr>
          <w:rFonts w:ascii="Univers 45 Light" w:hAnsi="Univers 45 Light"/>
          <w:sz w:val="20"/>
          <w:szCs w:val="20"/>
        </w:rPr>
        <w:t>To this end, KPMG supports the PC’s views that net investment performance, rather than fees, should be the key assessment criteria for a fund’s success.</w:t>
      </w:r>
    </w:p>
    <w:p w:rsidR="00216FDD" w:rsidRPr="00E27B9E" w:rsidRDefault="00216FDD" w:rsidP="00216FDD">
      <w:pPr>
        <w:spacing w:after="0" w:line="276" w:lineRule="auto"/>
        <w:rPr>
          <w:rFonts w:ascii="Univers 45 Light" w:hAnsi="Univers 45 Light"/>
          <w:sz w:val="20"/>
          <w:szCs w:val="20"/>
        </w:rPr>
      </w:pPr>
    </w:p>
    <w:p w:rsidR="00216FDD" w:rsidRPr="00E27B9E" w:rsidRDefault="00216FDD" w:rsidP="00216FDD">
      <w:pPr>
        <w:spacing w:after="0" w:line="276" w:lineRule="auto"/>
        <w:rPr>
          <w:rFonts w:ascii="Univers 45 Light" w:hAnsi="Univers 45 Light"/>
          <w:sz w:val="20"/>
          <w:szCs w:val="20"/>
        </w:rPr>
      </w:pPr>
      <w:r w:rsidRPr="00E27B9E">
        <w:rPr>
          <w:rFonts w:ascii="Univers 45 Light" w:hAnsi="Univers 45 Light"/>
          <w:sz w:val="20"/>
          <w:szCs w:val="20"/>
        </w:rPr>
        <w:t>Aligned to this, and one area in which KPMG disagrees with the findings of the PC within the Draft Report, is in relation to Draft Fi</w:t>
      </w:r>
      <w:r w:rsidR="00C92E19">
        <w:rPr>
          <w:rFonts w:ascii="Univers 45 Light" w:hAnsi="Univers 45 Light"/>
          <w:sz w:val="20"/>
          <w:szCs w:val="20"/>
        </w:rPr>
        <w:t>nding 3.4, which suggests that “</w:t>
      </w:r>
      <w:r w:rsidRPr="00E27B9E">
        <w:rPr>
          <w:rFonts w:ascii="Univers 45 Light" w:hAnsi="Univers 45 Light"/>
          <w:sz w:val="20"/>
          <w:szCs w:val="20"/>
        </w:rPr>
        <w:t>higher fee funds are clearly associated with lower ne</w:t>
      </w:r>
      <w:r w:rsidR="00C92E19">
        <w:rPr>
          <w:rFonts w:ascii="Univers 45 Light" w:hAnsi="Univers 45 Light"/>
          <w:sz w:val="20"/>
          <w:szCs w:val="20"/>
        </w:rPr>
        <w:t xml:space="preserve">t returns over the long term”. </w:t>
      </w:r>
      <w:r w:rsidRPr="00E27B9E">
        <w:rPr>
          <w:rFonts w:ascii="Univers 45 Light" w:hAnsi="Univers 45 Light"/>
          <w:sz w:val="20"/>
          <w:szCs w:val="20"/>
        </w:rPr>
        <w:t>KPMG agree</w:t>
      </w:r>
      <w:r w:rsidR="00C92E19">
        <w:rPr>
          <w:rFonts w:ascii="Univers 45 Light" w:hAnsi="Univers 45 Light"/>
          <w:sz w:val="20"/>
          <w:szCs w:val="20"/>
        </w:rPr>
        <w:t>s</w:t>
      </w:r>
      <w:r w:rsidRPr="00E27B9E">
        <w:rPr>
          <w:rFonts w:ascii="Univers 45 Light" w:hAnsi="Univers 45 Light"/>
          <w:sz w:val="20"/>
          <w:szCs w:val="20"/>
        </w:rPr>
        <w:t xml:space="preserve"> that those funds with higher administration fees will generally deliver lower net returns (given administration services are unlikely to result in any uplift in investment performance), however, based on a range of net investment performance surveys (such as those provided by research houses such as SuperRatings), it is evident that many funds with higher investment fees (often related to investments within asset classes that charge higher fees but deliver better performance) have delivered well above av</w:t>
      </w:r>
      <w:r w:rsidR="00C20F00">
        <w:rPr>
          <w:rFonts w:ascii="Univers 45 Light" w:hAnsi="Univers 45 Light"/>
          <w:sz w:val="20"/>
          <w:szCs w:val="20"/>
        </w:rPr>
        <w:t xml:space="preserve">erage returns to fund members. </w:t>
      </w:r>
      <w:r w:rsidR="00C46A3D">
        <w:rPr>
          <w:rFonts w:ascii="Univers 45 Light" w:hAnsi="Univers 45 Light"/>
          <w:sz w:val="20"/>
          <w:szCs w:val="20"/>
        </w:rPr>
        <w:t>A</w:t>
      </w:r>
      <w:r w:rsidRPr="00E27B9E">
        <w:rPr>
          <w:rFonts w:ascii="Univers 45 Light" w:hAnsi="Univers 45 Light"/>
          <w:sz w:val="20"/>
          <w:szCs w:val="20"/>
        </w:rPr>
        <w:t>s noted above, KPMG supports the use of net investment performance as the key measure of success, rather than any focus on the level of fees charged to members, particularly where the higher fees may be a result of accessing better performing assets or asset classes.</w:t>
      </w:r>
    </w:p>
    <w:p w:rsidR="00216FDD" w:rsidRDefault="00216FDD" w:rsidP="00C3559F">
      <w:pPr>
        <w:spacing w:after="0" w:line="276" w:lineRule="auto"/>
        <w:rPr>
          <w:rFonts w:ascii="Univers 45 Light" w:hAnsi="Univers 45 Light"/>
          <w:sz w:val="20"/>
          <w:szCs w:val="20"/>
        </w:rPr>
      </w:pPr>
    </w:p>
    <w:p w:rsidR="00216FDD" w:rsidRDefault="00216FDD" w:rsidP="00C3559F">
      <w:pPr>
        <w:spacing w:after="0" w:line="276" w:lineRule="auto"/>
        <w:rPr>
          <w:rFonts w:ascii="Univers 45 Light" w:hAnsi="Univers 45 Light"/>
          <w:sz w:val="20"/>
          <w:szCs w:val="20"/>
        </w:rPr>
      </w:pPr>
    </w:p>
    <w:p w:rsidR="002D5BDA" w:rsidRDefault="002D5BDA">
      <w:pPr>
        <w:rPr>
          <w:rFonts w:ascii="Univers 45 Light" w:eastAsia="Calibri" w:hAnsi="Univers 45 Light" w:cs="Arial"/>
          <w:b/>
          <w:color w:val="00338D" w:themeColor="background2"/>
          <w:sz w:val="24"/>
          <w:szCs w:val="20"/>
          <w:lang w:val="en"/>
        </w:rPr>
      </w:pPr>
      <w:r>
        <w:rPr>
          <w:rFonts w:ascii="Univers 45 Light" w:eastAsia="Calibri" w:hAnsi="Univers 45 Light" w:cs="Arial"/>
          <w:b/>
          <w:color w:val="00338D" w:themeColor="background2"/>
          <w:sz w:val="24"/>
          <w:szCs w:val="20"/>
          <w:lang w:val="en"/>
        </w:rPr>
        <w:br w:type="page"/>
      </w:r>
    </w:p>
    <w:p w:rsidR="00FE0132" w:rsidRPr="00FE0132" w:rsidRDefault="00FE0132" w:rsidP="00FE0132">
      <w:pPr>
        <w:spacing w:after="0" w:line="276" w:lineRule="auto"/>
        <w:rPr>
          <w:rFonts w:ascii="Univers 45 Light" w:eastAsia="Calibri" w:hAnsi="Univers 45 Light" w:cs="Arial"/>
          <w:b/>
          <w:color w:val="00338D" w:themeColor="background2"/>
          <w:sz w:val="24"/>
          <w:szCs w:val="20"/>
          <w:lang w:val="en"/>
        </w:rPr>
      </w:pPr>
      <w:r w:rsidRPr="00FE0132">
        <w:rPr>
          <w:rFonts w:ascii="Univers 45 Light" w:eastAsia="Calibri" w:hAnsi="Univers 45 Light" w:cs="Arial"/>
          <w:b/>
          <w:color w:val="00338D" w:themeColor="background2"/>
          <w:sz w:val="24"/>
          <w:szCs w:val="20"/>
          <w:lang w:val="en"/>
        </w:rPr>
        <w:lastRenderedPageBreak/>
        <w:t>Members’ needs</w:t>
      </w:r>
    </w:p>
    <w:p w:rsidR="00FE0132" w:rsidRPr="00FE0132" w:rsidRDefault="00FE0132" w:rsidP="00FE0132">
      <w:pPr>
        <w:spacing w:after="0" w:line="276" w:lineRule="auto"/>
        <w:rPr>
          <w:rFonts w:ascii="Univers 45 Light" w:eastAsia="Calibri" w:hAnsi="Univers 45 Light" w:cs="Arial"/>
          <w:b/>
          <w:sz w:val="20"/>
          <w:szCs w:val="20"/>
          <w:lang w:val="en"/>
        </w:rPr>
      </w:pPr>
    </w:p>
    <w:p w:rsidR="00FE0132" w:rsidRPr="00FE0132" w:rsidRDefault="00FE0132" w:rsidP="00FE0132">
      <w:pPr>
        <w:spacing w:after="0" w:line="276" w:lineRule="auto"/>
        <w:rPr>
          <w:rFonts w:ascii="Univers 45 Light" w:eastAsia="Calibri" w:hAnsi="Univers 45 Light" w:cs="Times New Roman"/>
          <w:sz w:val="20"/>
          <w:szCs w:val="20"/>
        </w:rPr>
      </w:pPr>
      <w:r w:rsidRPr="00FE0132">
        <w:rPr>
          <w:rFonts w:ascii="Univers 45 Light" w:eastAsia="Calibri" w:hAnsi="Univers 45 Light" w:cs="Times New Roman"/>
          <w:sz w:val="20"/>
          <w:szCs w:val="20"/>
        </w:rPr>
        <w:t xml:space="preserve">We note that there are a number of findings in relation to member needs and believe that the majority of default member needs can be met through a simply designed accumulation product, albeit the choice segment should continue to operate in a manner that </w:t>
      </w:r>
      <w:r w:rsidR="00C46A3D">
        <w:rPr>
          <w:rFonts w:ascii="Univers 45 Light" w:eastAsia="Calibri" w:hAnsi="Univers 45 Light" w:cs="Times New Roman"/>
          <w:sz w:val="20"/>
          <w:szCs w:val="20"/>
        </w:rPr>
        <w:t xml:space="preserve">provides </w:t>
      </w:r>
      <w:r w:rsidRPr="00FE0132">
        <w:rPr>
          <w:rFonts w:ascii="Univers 45 Light" w:eastAsia="Calibri" w:hAnsi="Univers 45 Light" w:cs="Times New Roman"/>
          <w:sz w:val="20"/>
          <w:szCs w:val="20"/>
        </w:rPr>
        <w:t xml:space="preserve">greater </w:t>
      </w:r>
      <w:r w:rsidR="00C46A3D">
        <w:rPr>
          <w:rFonts w:ascii="Univers 45 Light" w:eastAsia="Calibri" w:hAnsi="Univers 45 Light" w:cs="Times New Roman"/>
          <w:sz w:val="20"/>
          <w:szCs w:val="20"/>
        </w:rPr>
        <w:t>flexibility</w:t>
      </w:r>
      <w:r w:rsidRPr="00FE0132">
        <w:rPr>
          <w:rFonts w:ascii="Univers 45 Light" w:eastAsia="Calibri" w:hAnsi="Univers 45 Light" w:cs="Times New Roman"/>
          <w:sz w:val="20"/>
          <w:szCs w:val="20"/>
        </w:rPr>
        <w:t>, driven by specific member demand and needs.</w:t>
      </w:r>
    </w:p>
    <w:p w:rsidR="00FE0132" w:rsidRPr="00FE0132" w:rsidRDefault="00FE0132" w:rsidP="00FE0132">
      <w:pPr>
        <w:spacing w:after="0" w:line="276" w:lineRule="auto"/>
        <w:rPr>
          <w:rFonts w:ascii="Univers 45 Light" w:eastAsia="Calibri" w:hAnsi="Univers 45 Light" w:cs="Times New Roman"/>
          <w:sz w:val="20"/>
          <w:szCs w:val="20"/>
        </w:rPr>
      </w:pPr>
    </w:p>
    <w:p w:rsidR="00FE0132" w:rsidRPr="00FE0132" w:rsidRDefault="00FE0132" w:rsidP="00FE0132">
      <w:pPr>
        <w:spacing w:after="0" w:line="276" w:lineRule="auto"/>
        <w:rPr>
          <w:rFonts w:ascii="Univers 45 Light" w:eastAsia="Calibri" w:hAnsi="Univers 45 Light" w:cs="Times New Roman"/>
          <w:sz w:val="20"/>
          <w:szCs w:val="20"/>
        </w:rPr>
      </w:pPr>
      <w:r w:rsidRPr="00FE0132">
        <w:rPr>
          <w:rFonts w:ascii="Univers 45 Light" w:eastAsia="Calibri" w:hAnsi="Univers 45 Light" w:cs="Times New Roman"/>
          <w:sz w:val="20"/>
          <w:szCs w:val="20"/>
        </w:rPr>
        <w:t>KPMG also agrees that the level of information provided to members through Product Disclosure Statements, product dashboards a</w:t>
      </w:r>
      <w:r w:rsidR="00C46A3D">
        <w:rPr>
          <w:rFonts w:ascii="Univers 45 Light" w:eastAsia="Calibri" w:hAnsi="Univers 45 Light" w:cs="Times New Roman"/>
          <w:sz w:val="20"/>
          <w:szCs w:val="20"/>
        </w:rPr>
        <w:t>nd information provided by the R</w:t>
      </w:r>
      <w:r w:rsidRPr="00FE0132">
        <w:rPr>
          <w:rFonts w:ascii="Univers 45 Light" w:eastAsia="Calibri" w:hAnsi="Univers 45 Light" w:cs="Times New Roman"/>
          <w:sz w:val="20"/>
          <w:szCs w:val="20"/>
        </w:rPr>
        <w:t>egulators does not assist members in making active decisions in relation to their superannuation, given that much of this information is inconsistent and is very rarely aligned to members’ needs.  To this end, KPMG believes that, at a minimum, disclosure information provided to members, whether it be via the Product Disclosure Statement and supporting materials</w:t>
      </w:r>
      <w:r w:rsidR="00C46A3D">
        <w:rPr>
          <w:rFonts w:ascii="Univers 45 Light" w:eastAsia="Calibri" w:hAnsi="Univers 45 Light" w:cs="Times New Roman"/>
          <w:sz w:val="20"/>
          <w:szCs w:val="20"/>
        </w:rPr>
        <w:t xml:space="preserve"> or</w:t>
      </w:r>
      <w:r w:rsidRPr="00FE0132">
        <w:rPr>
          <w:rFonts w:ascii="Univers 45 Light" w:eastAsia="Calibri" w:hAnsi="Univers 45 Light" w:cs="Times New Roman"/>
          <w:sz w:val="20"/>
          <w:szCs w:val="20"/>
        </w:rPr>
        <w:t>, the Product Dashboard</w:t>
      </w:r>
      <w:r w:rsidR="00C46A3D">
        <w:rPr>
          <w:rFonts w:ascii="Univers 45 Light" w:eastAsia="Calibri" w:hAnsi="Univers 45 Light" w:cs="Times New Roman"/>
          <w:sz w:val="20"/>
          <w:szCs w:val="20"/>
        </w:rPr>
        <w:t>,</w:t>
      </w:r>
      <w:r w:rsidRPr="00FE0132">
        <w:rPr>
          <w:rFonts w:ascii="Univers 45 Light" w:eastAsia="Calibri" w:hAnsi="Univers 45 Light" w:cs="Times New Roman"/>
          <w:sz w:val="20"/>
          <w:szCs w:val="20"/>
        </w:rPr>
        <w:t xml:space="preserve"> should be consistent and provide sufficient information to enable members to engage with, and make choices in relation to, their superannuation benefits.</w:t>
      </w:r>
    </w:p>
    <w:p w:rsidR="00FE0132" w:rsidRPr="00FE0132" w:rsidRDefault="00FE0132" w:rsidP="00FE0132">
      <w:pPr>
        <w:spacing w:after="0" w:line="276" w:lineRule="auto"/>
        <w:rPr>
          <w:rFonts w:ascii="Univers 45 Light" w:eastAsia="Calibri" w:hAnsi="Univers 45 Light" w:cs="Times New Roman"/>
          <w:sz w:val="20"/>
          <w:szCs w:val="20"/>
        </w:rPr>
      </w:pPr>
    </w:p>
    <w:p w:rsidR="00FE0132" w:rsidRPr="00FE0132" w:rsidRDefault="00FE0132" w:rsidP="00FE0132">
      <w:pPr>
        <w:spacing w:after="0" w:line="276" w:lineRule="auto"/>
        <w:rPr>
          <w:rFonts w:ascii="Univers 45 Light" w:eastAsia="Calibri" w:hAnsi="Univers 45 Light" w:cs="Times New Roman"/>
          <w:sz w:val="20"/>
          <w:szCs w:val="20"/>
        </w:rPr>
      </w:pPr>
      <w:r w:rsidRPr="00FE0132">
        <w:rPr>
          <w:rFonts w:ascii="Univers 45 Light" w:eastAsia="Calibri" w:hAnsi="Univers 45 Light" w:cs="Times New Roman"/>
          <w:sz w:val="20"/>
          <w:szCs w:val="20"/>
        </w:rPr>
        <w:t>In relation to a MyRetirement default product, KPMG is of the view that funds should be able to determine the appropriateness of the retirement products that they</w:t>
      </w:r>
      <w:r w:rsidR="00C46A3D">
        <w:rPr>
          <w:rFonts w:ascii="Univers 45 Light" w:eastAsia="Calibri" w:hAnsi="Univers 45 Light" w:cs="Times New Roman"/>
          <w:sz w:val="20"/>
          <w:szCs w:val="20"/>
        </w:rPr>
        <w:t xml:space="preserve"> offer to their membership base</w:t>
      </w:r>
      <w:r w:rsidRPr="00FE0132">
        <w:rPr>
          <w:rFonts w:ascii="Univers 45 Light" w:eastAsia="Calibri" w:hAnsi="Univers 45 Light" w:cs="Times New Roman"/>
          <w:sz w:val="20"/>
          <w:szCs w:val="20"/>
        </w:rPr>
        <w:t xml:space="preserve">, rather than a default product necessarily legislated that could potentially meet all members’ needs.  KPMG notes that, in the past, some funds have attempted to offer a ‘one-size-fits-all’ retirement product, however, these were overly complex, generally expensive and as such, resulted in </w:t>
      </w:r>
      <w:r w:rsidR="00C46A3D">
        <w:rPr>
          <w:rFonts w:ascii="Univers 45 Light" w:eastAsia="Calibri" w:hAnsi="Univers 45 Light" w:cs="Times New Roman"/>
          <w:sz w:val="20"/>
          <w:szCs w:val="20"/>
        </w:rPr>
        <w:t xml:space="preserve">a very low take up. </w:t>
      </w:r>
      <w:r w:rsidRPr="00FE0132">
        <w:rPr>
          <w:rFonts w:ascii="Univers 45 Light" w:eastAsia="Calibri" w:hAnsi="Univers 45 Light" w:cs="Times New Roman"/>
          <w:sz w:val="20"/>
          <w:szCs w:val="20"/>
        </w:rPr>
        <w:t>KPMG believes that a range of products could be offered by superannuation funds in order to meet member retirement needs, whether this be through the combination of an account based pension, term annuity, lifetime annuity or deferred annuity, however, none of these should be mandatory, nor should members be forced to commence any of t</w:t>
      </w:r>
      <w:r w:rsidR="00C20F00">
        <w:rPr>
          <w:rFonts w:ascii="Univers 45 Light" w:eastAsia="Calibri" w:hAnsi="Univers 45 Light" w:cs="Times New Roman"/>
          <w:sz w:val="20"/>
          <w:szCs w:val="20"/>
        </w:rPr>
        <w:t xml:space="preserve">hese products upon retirement. </w:t>
      </w:r>
      <w:r w:rsidRPr="00FE0132">
        <w:rPr>
          <w:rFonts w:ascii="Univers 45 Light" w:eastAsia="Calibri" w:hAnsi="Univers 45 Light" w:cs="Times New Roman"/>
          <w:sz w:val="20"/>
          <w:szCs w:val="20"/>
        </w:rPr>
        <w:t>In essence, KPMG believes that funds should offer a broad range of products, supported by high quality, non-conflicted financial advice, to assist members in choosing the best p</w:t>
      </w:r>
      <w:r w:rsidR="00C20F00">
        <w:rPr>
          <w:rFonts w:ascii="Univers 45 Light" w:eastAsia="Calibri" w:hAnsi="Univers 45 Light" w:cs="Times New Roman"/>
          <w:sz w:val="20"/>
          <w:szCs w:val="20"/>
        </w:rPr>
        <w:t>roduct, or combination of</w:t>
      </w:r>
      <w:r w:rsidRPr="00FE0132">
        <w:rPr>
          <w:rFonts w:ascii="Univers 45 Light" w:eastAsia="Calibri" w:hAnsi="Univers 45 Light" w:cs="Times New Roman"/>
          <w:sz w:val="20"/>
          <w:szCs w:val="20"/>
        </w:rPr>
        <w:t xml:space="preserve"> products, appropriate to their individual circumstances and needs.</w:t>
      </w:r>
    </w:p>
    <w:p w:rsidR="00FE0132" w:rsidRDefault="00FE0132" w:rsidP="00C3559F">
      <w:pPr>
        <w:spacing w:after="0" w:line="276" w:lineRule="auto"/>
        <w:rPr>
          <w:rFonts w:ascii="Univers 45 Light" w:hAnsi="Univers 45 Light"/>
          <w:sz w:val="20"/>
          <w:szCs w:val="20"/>
        </w:rPr>
      </w:pPr>
      <w:r w:rsidRPr="00F73F03">
        <w:rPr>
          <w:rFonts w:ascii="Univers 45 Light" w:eastAsia="Calibri" w:hAnsi="Univers 45 Light" w:cs="Times New Roman"/>
          <w:noProof/>
          <w:sz w:val="20"/>
          <w:lang w:eastAsia="en-AU"/>
        </w:rPr>
        <mc:AlternateContent>
          <mc:Choice Requires="wps">
            <w:drawing>
              <wp:anchor distT="0" distB="0" distL="114300" distR="114300" simplePos="0" relativeHeight="251677696" behindDoc="0" locked="0" layoutInCell="1" allowOverlap="1" wp14:anchorId="687466AB" wp14:editId="5493ABED">
                <wp:simplePos x="0" y="0"/>
                <wp:positionH relativeFrom="margin">
                  <wp:posOffset>0</wp:posOffset>
                </wp:positionH>
                <wp:positionV relativeFrom="paragraph">
                  <wp:posOffset>109220</wp:posOffset>
                </wp:positionV>
                <wp:extent cx="5662930" cy="3954780"/>
                <wp:effectExtent l="0" t="0" r="0" b="7620"/>
                <wp:wrapNone/>
                <wp:docPr id="4" name="Rectangle 4"/>
                <wp:cNvGraphicFramePr/>
                <a:graphic xmlns:a="http://schemas.openxmlformats.org/drawingml/2006/main">
                  <a:graphicData uri="http://schemas.microsoft.com/office/word/2010/wordprocessingShape">
                    <wps:wsp>
                      <wps:cNvSpPr/>
                      <wps:spPr>
                        <a:xfrm>
                          <a:off x="0" y="0"/>
                          <a:ext cx="5662930" cy="3954780"/>
                        </a:xfrm>
                        <a:prstGeom prst="rect">
                          <a:avLst/>
                        </a:prstGeom>
                        <a:solidFill>
                          <a:srgbClr val="0091DA"/>
                        </a:solidFill>
                        <a:ln w="12700" cap="flat" cmpd="sng" algn="ctr">
                          <a:noFill/>
                          <a:prstDash val="solid"/>
                          <a:miter lim="800000"/>
                        </a:ln>
                        <a:effectLst/>
                      </wps:spPr>
                      <wps:txbx>
                        <w:txbxContent>
                          <w:p w:rsidR="00FE0132" w:rsidRPr="00FE0132" w:rsidRDefault="00FE0132" w:rsidP="00FE0132">
                            <w:pPr>
                              <w:spacing w:after="0" w:line="276" w:lineRule="auto"/>
                              <w:rPr>
                                <w:rFonts w:ascii="Univers 45 Light" w:hAnsi="Univers 45 Light"/>
                                <w:b/>
                                <w:i/>
                                <w:color w:val="FFFFFF" w:themeColor="background1"/>
                                <w:sz w:val="20"/>
                                <w:szCs w:val="20"/>
                              </w:rPr>
                            </w:pPr>
                            <w:r w:rsidRPr="00FE0132">
                              <w:rPr>
                                <w:rFonts w:ascii="Univers 45 Light" w:hAnsi="Univers 45 Light"/>
                                <w:b/>
                                <w:i/>
                                <w:color w:val="FFFFFF" w:themeColor="background1"/>
                                <w:sz w:val="20"/>
                                <w:szCs w:val="20"/>
                              </w:rPr>
                              <w:t xml:space="preserve">Information Request 4.1    </w:t>
                            </w:r>
                          </w:p>
                          <w:p w:rsidR="00FE0132" w:rsidRPr="00FE0132" w:rsidRDefault="00FE0132" w:rsidP="00FE0132">
                            <w:pPr>
                              <w:spacing w:after="0" w:line="276" w:lineRule="auto"/>
                              <w:rPr>
                                <w:rFonts w:ascii="Univers 45 Light" w:hAnsi="Univers 45 Light"/>
                                <w:color w:val="FFFFFF" w:themeColor="background1"/>
                                <w:sz w:val="20"/>
                                <w:szCs w:val="20"/>
                              </w:rPr>
                            </w:pPr>
                            <w:r w:rsidRPr="00FE0132">
                              <w:rPr>
                                <w:rFonts w:ascii="Univers 45 Light" w:hAnsi="Univers 45 Light"/>
                                <w:color w:val="FFFFFF" w:themeColor="background1"/>
                                <w:sz w:val="20"/>
                                <w:szCs w:val="20"/>
                              </w:rPr>
                              <w:t>KPMG notes the Draft Report’s Draft Finding 4.3 in relation to lifecycle products only being offered within the choice segment, rather tha</w:t>
                            </w:r>
                            <w:r w:rsidR="00C20F00">
                              <w:rPr>
                                <w:rFonts w:ascii="Univers 45 Light" w:hAnsi="Univers 45 Light"/>
                                <w:color w:val="FFFFFF" w:themeColor="background1"/>
                                <w:sz w:val="20"/>
                                <w:szCs w:val="20"/>
                              </w:rPr>
                              <w:t xml:space="preserve">n within default arrangements. </w:t>
                            </w:r>
                            <w:r w:rsidRPr="00FE0132">
                              <w:rPr>
                                <w:rFonts w:ascii="Univers 45 Light" w:hAnsi="Univers 45 Light"/>
                                <w:color w:val="FFFFFF" w:themeColor="background1"/>
                                <w:sz w:val="20"/>
                                <w:szCs w:val="20"/>
                              </w:rPr>
                              <w:t xml:space="preserve">We believe that lifecycle continues to be an </w:t>
                            </w:r>
                            <w:r w:rsidR="00C20F00">
                              <w:rPr>
                                <w:rFonts w:ascii="Univers 45 Light" w:hAnsi="Univers 45 Light"/>
                                <w:color w:val="FFFFFF" w:themeColor="background1"/>
                                <w:sz w:val="20"/>
                                <w:szCs w:val="20"/>
                              </w:rPr>
                              <w:t>appropriate default arrangement</w:t>
                            </w:r>
                            <w:r w:rsidRPr="00FE0132">
                              <w:rPr>
                                <w:rFonts w:ascii="Univers 45 Light" w:hAnsi="Univers 45 Light"/>
                                <w:color w:val="FFFFFF" w:themeColor="background1"/>
                                <w:sz w:val="20"/>
                                <w:szCs w:val="20"/>
                              </w:rPr>
                              <w:t xml:space="preserve"> for funds with highly disengaged membership bases, who are unlikely to make choices for themselves during their lifetime within superannuation.</w:t>
                            </w:r>
                          </w:p>
                          <w:p w:rsidR="00FE0132" w:rsidRPr="00FE0132" w:rsidRDefault="00FE0132" w:rsidP="00FE0132">
                            <w:pPr>
                              <w:spacing w:after="0" w:line="276" w:lineRule="auto"/>
                              <w:rPr>
                                <w:rFonts w:ascii="Univers 45 Light" w:hAnsi="Univers 45 Light"/>
                                <w:color w:val="FFFFFF" w:themeColor="background1"/>
                                <w:sz w:val="20"/>
                                <w:szCs w:val="20"/>
                              </w:rPr>
                            </w:pPr>
                          </w:p>
                          <w:p w:rsidR="00FE0132" w:rsidRPr="00FE0132" w:rsidRDefault="00FE0132" w:rsidP="00FE0132">
                            <w:pPr>
                              <w:spacing w:after="0" w:line="276" w:lineRule="auto"/>
                              <w:rPr>
                                <w:rFonts w:ascii="Univers 45 Light" w:hAnsi="Univers 45 Light"/>
                                <w:color w:val="FFFFFF" w:themeColor="background1"/>
                                <w:sz w:val="20"/>
                                <w:szCs w:val="20"/>
                              </w:rPr>
                            </w:pPr>
                            <w:r w:rsidRPr="00FE0132">
                              <w:rPr>
                                <w:rFonts w:ascii="Univers 45 Light" w:hAnsi="Univers 45 Light"/>
                                <w:color w:val="FFFFFF" w:themeColor="background1"/>
                                <w:sz w:val="20"/>
                                <w:szCs w:val="20"/>
                              </w:rPr>
                              <w:t xml:space="preserve">Whilst the modelling undertaken by KPMG in relation to a comparison between the average lifecycle investment option and the average standard ‘balanced’ default investment option (based on the achievement of appropriate CPI+ investment objectives) illustrates that members will generally </w:t>
                            </w:r>
                            <w:r w:rsidR="00C46A3D">
                              <w:rPr>
                                <w:rFonts w:ascii="Univers 45 Light" w:hAnsi="Univers 45 Light"/>
                                <w:color w:val="FFFFFF" w:themeColor="background1"/>
                                <w:sz w:val="20"/>
                                <w:szCs w:val="20"/>
                              </w:rPr>
                              <w:t>achieve</w:t>
                            </w:r>
                            <w:r w:rsidRPr="00FE0132">
                              <w:rPr>
                                <w:rFonts w:ascii="Univers 45 Light" w:hAnsi="Univers 45 Light"/>
                                <w:color w:val="FFFFFF" w:themeColor="background1"/>
                                <w:sz w:val="20"/>
                                <w:szCs w:val="20"/>
                              </w:rPr>
                              <w:t xml:space="preserve"> higher overall outcomes in a balanced investment option, we do believe that for those members that remain disengaged, the de-risking of the investment option in later years in life is likely to protect these members from large balance drawdowns.  </w:t>
                            </w:r>
                          </w:p>
                          <w:p w:rsidR="00FE0132" w:rsidRPr="00FE0132" w:rsidRDefault="00FE0132" w:rsidP="00FE0132">
                            <w:pPr>
                              <w:spacing w:after="0" w:line="276" w:lineRule="auto"/>
                              <w:rPr>
                                <w:rFonts w:ascii="Univers 45 Light" w:hAnsi="Univers 45 Light"/>
                                <w:color w:val="FFFFFF" w:themeColor="background1"/>
                                <w:sz w:val="20"/>
                                <w:szCs w:val="20"/>
                              </w:rPr>
                            </w:pPr>
                          </w:p>
                          <w:p w:rsidR="00FE0132" w:rsidRPr="00FE0132" w:rsidRDefault="00FE0132" w:rsidP="00FE0132">
                            <w:pPr>
                              <w:spacing w:after="0" w:line="276" w:lineRule="auto"/>
                              <w:rPr>
                                <w:rFonts w:ascii="Univers 45 Light" w:hAnsi="Univers 45 Light"/>
                                <w:color w:val="FFFFFF" w:themeColor="background1"/>
                                <w:sz w:val="20"/>
                                <w:szCs w:val="20"/>
                              </w:rPr>
                            </w:pPr>
                            <w:r w:rsidRPr="00FE0132">
                              <w:rPr>
                                <w:rFonts w:ascii="Univers 45 Light" w:hAnsi="Univers 45 Light"/>
                                <w:color w:val="FFFFFF" w:themeColor="background1"/>
                                <w:sz w:val="20"/>
                                <w:szCs w:val="20"/>
                              </w:rPr>
                              <w:t xml:space="preserve">Conversely, for funds with highly engaged member bases, we believe that the use of a ‘Balanced’ default remains appropriate as these members should be appropriately engaged to make an active choice to de-risk their investment portfolio at a time that they feel is appropriate based upon their individual needs. </w:t>
                            </w:r>
                          </w:p>
                          <w:p w:rsidR="00FE0132" w:rsidRPr="00FE0132" w:rsidRDefault="00FE0132" w:rsidP="00FE0132">
                            <w:pPr>
                              <w:spacing w:after="0" w:line="276" w:lineRule="auto"/>
                              <w:rPr>
                                <w:rFonts w:ascii="Univers 45 Light" w:hAnsi="Univers 45 Light"/>
                                <w:color w:val="FFFFFF" w:themeColor="background1"/>
                                <w:sz w:val="20"/>
                                <w:szCs w:val="20"/>
                              </w:rPr>
                            </w:pPr>
                            <w:r w:rsidRPr="00FE0132">
                              <w:rPr>
                                <w:rFonts w:ascii="Univers 45 Light" w:hAnsi="Univers 45 Light"/>
                                <w:color w:val="FFFFFF" w:themeColor="background1"/>
                                <w:sz w:val="20"/>
                                <w:szCs w:val="20"/>
                              </w:rPr>
                              <w:t xml:space="preserve"> </w:t>
                            </w:r>
                          </w:p>
                          <w:p w:rsidR="00FE0132" w:rsidRPr="002D5BDA" w:rsidRDefault="00FE0132" w:rsidP="002D5BDA">
                            <w:pPr>
                              <w:spacing w:after="0" w:line="276" w:lineRule="auto"/>
                              <w:rPr>
                                <w:rFonts w:ascii="Univers 45 Light" w:hAnsi="Univers 45 Light"/>
                                <w:color w:val="FFFFFF" w:themeColor="background1"/>
                                <w:sz w:val="20"/>
                                <w:szCs w:val="20"/>
                              </w:rPr>
                            </w:pPr>
                            <w:r w:rsidRPr="00FE0132">
                              <w:rPr>
                                <w:rFonts w:ascii="Univers 45 Light" w:hAnsi="Univers 45 Light"/>
                                <w:color w:val="FFFFFF" w:themeColor="background1"/>
                                <w:sz w:val="20"/>
                                <w:szCs w:val="20"/>
                              </w:rPr>
                              <w:t>To this end, KPMG believes that for some funds, a lifecycle default remains appropriate, whilst for others, a ‘Balanced’ default is also appropriate, such that no change to the current system is required.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7466AB" id="Rectangle 4" o:spid="_x0000_s1028" style="position:absolute;margin-left:0;margin-top:8.6pt;width:445.9pt;height:311.4pt;z-index:2516776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" fillcolor="#0091da" stroked="f" strokeweight="1pt">
                <v:textbox>
                  <w:txbxContent>
                    <w:p w:rsidR="00FE0132" w:rsidRPr="00FE0132" w:rsidRDefault="00FE0132" w:rsidP="00FE0132">
                      <w:pPr>
                        <w:spacing w:after="0" w:line="276" w:lineRule="auto"/>
                        <w:rPr>
                          <w:rFonts w:ascii="Univers 45 Light" w:hAnsi="Univers 45 Light"/>
                          <w:b/>
                          <w:i/>
                          <w:color w:val="FFFFFF" w:themeColor="background1"/>
                          <w:sz w:val="20"/>
                          <w:szCs w:val="20"/>
                        </w:rPr>
                      </w:pPr>
                      <w:r w:rsidRPr="00FE0132">
                        <w:rPr>
                          <w:rFonts w:ascii="Univers 45 Light" w:hAnsi="Univers 45 Light"/>
                          <w:b/>
                          <w:i/>
                          <w:color w:val="FFFFFF" w:themeColor="background1"/>
                          <w:sz w:val="20"/>
                          <w:szCs w:val="20"/>
                        </w:rPr>
                        <w:t xml:space="preserve">Information Request 4.1    </w:t>
                      </w:r>
                    </w:p>
                    <w:p w:rsidR="00FE0132" w:rsidRPr="00FE0132" w:rsidRDefault="00FE0132" w:rsidP="00FE0132">
                      <w:pPr>
                        <w:spacing w:after="0" w:line="276" w:lineRule="auto"/>
                        <w:rPr>
                          <w:rFonts w:ascii="Univers 45 Light" w:hAnsi="Univers 45 Light"/>
                          <w:color w:val="FFFFFF" w:themeColor="background1"/>
                          <w:sz w:val="20"/>
                          <w:szCs w:val="20"/>
                        </w:rPr>
                      </w:pPr>
                      <w:r w:rsidRPr="00FE0132">
                        <w:rPr>
                          <w:rFonts w:ascii="Univers 45 Light" w:hAnsi="Univers 45 Light"/>
                          <w:color w:val="FFFFFF" w:themeColor="background1"/>
                          <w:sz w:val="20"/>
                          <w:szCs w:val="20"/>
                        </w:rPr>
                        <w:t>KPMG notes the Draft Report’s Draft Finding 4.3 in relation to lifecycle products only being offered within the choice segment, rather tha</w:t>
                      </w:r>
                      <w:r w:rsidR="00C20F00">
                        <w:rPr>
                          <w:rFonts w:ascii="Univers 45 Light" w:hAnsi="Univers 45 Light"/>
                          <w:color w:val="FFFFFF" w:themeColor="background1"/>
                          <w:sz w:val="20"/>
                          <w:szCs w:val="20"/>
                        </w:rPr>
                        <w:t xml:space="preserve">n within default arrangements. </w:t>
                      </w:r>
                      <w:r w:rsidRPr="00FE0132">
                        <w:rPr>
                          <w:rFonts w:ascii="Univers 45 Light" w:hAnsi="Univers 45 Light"/>
                          <w:color w:val="FFFFFF" w:themeColor="background1"/>
                          <w:sz w:val="20"/>
                          <w:szCs w:val="20"/>
                        </w:rPr>
                        <w:t xml:space="preserve">We believe that lifecycle continues to be an </w:t>
                      </w:r>
                      <w:r w:rsidR="00C20F00">
                        <w:rPr>
                          <w:rFonts w:ascii="Univers 45 Light" w:hAnsi="Univers 45 Light"/>
                          <w:color w:val="FFFFFF" w:themeColor="background1"/>
                          <w:sz w:val="20"/>
                          <w:szCs w:val="20"/>
                        </w:rPr>
                        <w:t>appropriate default arrangement</w:t>
                      </w:r>
                      <w:r w:rsidRPr="00FE0132">
                        <w:rPr>
                          <w:rFonts w:ascii="Univers 45 Light" w:hAnsi="Univers 45 Light"/>
                          <w:color w:val="FFFFFF" w:themeColor="background1"/>
                          <w:sz w:val="20"/>
                          <w:szCs w:val="20"/>
                        </w:rPr>
                        <w:t xml:space="preserve"> for funds with highly disengaged membership bases, who are unlikely to make choices for themselves during their lifetime within superannuation.</w:t>
                      </w:r>
                    </w:p>
                    <w:p w:rsidR="00FE0132" w:rsidRPr="00FE0132" w:rsidRDefault="00FE0132" w:rsidP="00FE0132">
                      <w:pPr>
                        <w:spacing w:after="0" w:line="276" w:lineRule="auto"/>
                        <w:rPr>
                          <w:rFonts w:ascii="Univers 45 Light" w:hAnsi="Univers 45 Light"/>
                          <w:color w:val="FFFFFF" w:themeColor="background1"/>
                          <w:sz w:val="20"/>
                          <w:szCs w:val="20"/>
                        </w:rPr>
                      </w:pPr>
                    </w:p>
                    <w:p w:rsidR="00FE0132" w:rsidRPr="00FE0132" w:rsidRDefault="00FE0132" w:rsidP="00FE0132">
                      <w:pPr>
                        <w:spacing w:after="0" w:line="276" w:lineRule="auto"/>
                        <w:rPr>
                          <w:rFonts w:ascii="Univers 45 Light" w:hAnsi="Univers 45 Light"/>
                          <w:color w:val="FFFFFF" w:themeColor="background1"/>
                          <w:sz w:val="20"/>
                          <w:szCs w:val="20"/>
                        </w:rPr>
                      </w:pPr>
                      <w:r w:rsidRPr="00FE0132">
                        <w:rPr>
                          <w:rFonts w:ascii="Univers 45 Light" w:hAnsi="Univers 45 Light"/>
                          <w:color w:val="FFFFFF" w:themeColor="background1"/>
                          <w:sz w:val="20"/>
                          <w:szCs w:val="20"/>
                        </w:rPr>
                        <w:t xml:space="preserve">Whilst the modelling undertaken by KPMG in relation to a comparison between the average lifecycle investment option and the average standard ‘balanced’ default investment option (based on the achievement of appropriate CPI+ investment objectives) illustrates that members will generally </w:t>
                      </w:r>
                      <w:r w:rsidR="00C46A3D">
                        <w:rPr>
                          <w:rFonts w:ascii="Univers 45 Light" w:hAnsi="Univers 45 Light"/>
                          <w:color w:val="FFFFFF" w:themeColor="background1"/>
                          <w:sz w:val="20"/>
                          <w:szCs w:val="20"/>
                        </w:rPr>
                        <w:t>achieve</w:t>
                      </w:r>
                      <w:r w:rsidRPr="00FE0132">
                        <w:rPr>
                          <w:rFonts w:ascii="Univers 45 Light" w:hAnsi="Univers 45 Light"/>
                          <w:color w:val="FFFFFF" w:themeColor="background1"/>
                          <w:sz w:val="20"/>
                          <w:szCs w:val="20"/>
                        </w:rPr>
                        <w:t xml:space="preserve"> higher overall outcomes in a balanced investment option, we do believe that for those members that remain disengaged, the de-risking of the investment option in later years in life is likely to protect these members from large balance drawdowns.  </w:t>
                      </w:r>
                    </w:p>
                    <w:p w:rsidR="00FE0132" w:rsidRPr="00FE0132" w:rsidRDefault="00FE0132" w:rsidP="00FE0132">
                      <w:pPr>
                        <w:spacing w:after="0" w:line="276" w:lineRule="auto"/>
                        <w:rPr>
                          <w:rFonts w:ascii="Univers 45 Light" w:hAnsi="Univers 45 Light"/>
                          <w:color w:val="FFFFFF" w:themeColor="background1"/>
                          <w:sz w:val="20"/>
                          <w:szCs w:val="20"/>
                        </w:rPr>
                      </w:pPr>
                    </w:p>
                    <w:p w:rsidR="00FE0132" w:rsidRPr="00FE0132" w:rsidRDefault="00FE0132" w:rsidP="00FE0132">
                      <w:pPr>
                        <w:spacing w:after="0" w:line="276" w:lineRule="auto"/>
                        <w:rPr>
                          <w:rFonts w:ascii="Univers 45 Light" w:hAnsi="Univers 45 Light"/>
                          <w:color w:val="FFFFFF" w:themeColor="background1"/>
                          <w:sz w:val="20"/>
                          <w:szCs w:val="20"/>
                        </w:rPr>
                      </w:pPr>
                      <w:r w:rsidRPr="00FE0132">
                        <w:rPr>
                          <w:rFonts w:ascii="Univers 45 Light" w:hAnsi="Univers 45 Light"/>
                          <w:color w:val="FFFFFF" w:themeColor="background1"/>
                          <w:sz w:val="20"/>
                          <w:szCs w:val="20"/>
                        </w:rPr>
                        <w:t xml:space="preserve">Conversely, for funds with highly engaged member bases, we believe that the use of a ‘Balanced’ default remains appropriate as these members should be appropriately engaged to make an active choice to de-risk their investment portfolio at a time that they feel is appropriate based upon their individual needs. </w:t>
                      </w:r>
                    </w:p>
                    <w:p w:rsidR="00FE0132" w:rsidRPr="00FE0132" w:rsidRDefault="00FE0132" w:rsidP="00FE0132">
                      <w:pPr>
                        <w:spacing w:after="0" w:line="276" w:lineRule="auto"/>
                        <w:rPr>
                          <w:rFonts w:ascii="Univers 45 Light" w:hAnsi="Univers 45 Light"/>
                          <w:color w:val="FFFFFF" w:themeColor="background1"/>
                          <w:sz w:val="20"/>
                          <w:szCs w:val="20"/>
                        </w:rPr>
                      </w:pPr>
                      <w:r w:rsidRPr="00FE0132">
                        <w:rPr>
                          <w:rFonts w:ascii="Univers 45 Light" w:hAnsi="Univers 45 Light"/>
                          <w:color w:val="FFFFFF" w:themeColor="background1"/>
                          <w:sz w:val="20"/>
                          <w:szCs w:val="20"/>
                        </w:rPr>
                        <w:t xml:space="preserve"> </w:t>
                      </w:r>
                    </w:p>
                    <w:p w:rsidR="00FE0132" w:rsidRPr="002D5BDA" w:rsidRDefault="00FE0132" w:rsidP="002D5BDA">
                      <w:pPr>
                        <w:spacing w:after="0" w:line="276" w:lineRule="auto"/>
                        <w:rPr>
                          <w:rFonts w:ascii="Univers 45 Light" w:hAnsi="Univers 45 Light"/>
                          <w:color w:val="FFFFFF" w:themeColor="background1"/>
                          <w:sz w:val="20"/>
                          <w:szCs w:val="20"/>
                        </w:rPr>
                      </w:pPr>
                      <w:r w:rsidRPr="00FE0132">
                        <w:rPr>
                          <w:rFonts w:ascii="Univers 45 Light" w:hAnsi="Univers 45 Light"/>
                          <w:color w:val="FFFFFF" w:themeColor="background1"/>
                          <w:sz w:val="20"/>
                          <w:szCs w:val="20"/>
                        </w:rPr>
                        <w:t>To this end, KPMG believes that for some funds, a lifecycle default remains appropriate, whilst for others, a ‘Balanced’ default is also appropriate, such that no change to the current system is required.</w:t>
                      </w:r>
                    </w:p>
                  </w:txbxContent>
                </v:textbox>
                <w10:wrap anchorx="margin"/>
              </v:rect>
            </w:pict>
          </mc:Fallback>
        </mc:AlternateContent>
      </w:r>
    </w:p>
    <w:p w:rsidR="00216FDD" w:rsidRDefault="00216FDD" w:rsidP="00C3559F">
      <w:pPr>
        <w:spacing w:after="0" w:line="276" w:lineRule="auto"/>
        <w:rPr>
          <w:rFonts w:ascii="Univers 45 Light" w:hAnsi="Univers 45 Light"/>
          <w:sz w:val="20"/>
          <w:szCs w:val="20"/>
        </w:rPr>
      </w:pPr>
    </w:p>
    <w:p w:rsidR="00216FDD" w:rsidRDefault="00216FDD" w:rsidP="00C3559F">
      <w:pPr>
        <w:spacing w:after="0" w:line="276" w:lineRule="auto"/>
        <w:rPr>
          <w:rFonts w:ascii="Univers 45 Light" w:hAnsi="Univers 45 Light"/>
          <w:sz w:val="20"/>
          <w:szCs w:val="20"/>
        </w:rPr>
      </w:pPr>
    </w:p>
    <w:p w:rsidR="00216FDD" w:rsidRDefault="00216FDD" w:rsidP="00C3559F">
      <w:pPr>
        <w:spacing w:after="0" w:line="276" w:lineRule="auto"/>
        <w:rPr>
          <w:rFonts w:ascii="Univers 45 Light" w:hAnsi="Univers 45 Light"/>
          <w:sz w:val="20"/>
          <w:szCs w:val="20"/>
        </w:rPr>
      </w:pPr>
    </w:p>
    <w:p w:rsidR="00216FDD" w:rsidRDefault="00216FDD" w:rsidP="00C3559F">
      <w:pPr>
        <w:spacing w:after="0" w:line="276" w:lineRule="auto"/>
        <w:rPr>
          <w:rFonts w:ascii="Univers 45 Light" w:hAnsi="Univers 45 Light"/>
          <w:sz w:val="20"/>
          <w:szCs w:val="20"/>
        </w:rPr>
      </w:pPr>
    </w:p>
    <w:p w:rsidR="00216FDD" w:rsidRDefault="00216FDD" w:rsidP="00C3559F">
      <w:pPr>
        <w:spacing w:after="0" w:line="276" w:lineRule="auto"/>
        <w:rPr>
          <w:rFonts w:ascii="Univers 45 Light" w:hAnsi="Univers 45 Light"/>
          <w:sz w:val="20"/>
          <w:szCs w:val="20"/>
        </w:rPr>
      </w:pPr>
    </w:p>
    <w:p w:rsidR="00216FDD" w:rsidRDefault="00216FDD" w:rsidP="00C3559F">
      <w:pPr>
        <w:spacing w:after="0" w:line="276" w:lineRule="auto"/>
        <w:rPr>
          <w:rFonts w:ascii="Univers 45 Light" w:hAnsi="Univers 45 Light"/>
          <w:sz w:val="20"/>
          <w:szCs w:val="20"/>
        </w:rPr>
      </w:pPr>
    </w:p>
    <w:p w:rsidR="00216FDD" w:rsidRDefault="00216FDD" w:rsidP="00C3559F">
      <w:pPr>
        <w:spacing w:after="0" w:line="276" w:lineRule="auto"/>
        <w:rPr>
          <w:rFonts w:ascii="Univers 45 Light" w:hAnsi="Univers 45 Light"/>
          <w:sz w:val="20"/>
          <w:szCs w:val="20"/>
        </w:rPr>
      </w:pPr>
    </w:p>
    <w:p w:rsidR="00216FDD" w:rsidRDefault="00216FDD" w:rsidP="00C3559F">
      <w:pPr>
        <w:spacing w:after="0" w:line="276" w:lineRule="auto"/>
        <w:rPr>
          <w:rFonts w:ascii="Univers 45 Light" w:hAnsi="Univers 45 Light"/>
          <w:sz w:val="20"/>
          <w:szCs w:val="20"/>
        </w:rPr>
      </w:pPr>
    </w:p>
    <w:p w:rsidR="00216FDD" w:rsidRDefault="00216FDD" w:rsidP="00C3559F">
      <w:pPr>
        <w:spacing w:after="0" w:line="276" w:lineRule="auto"/>
        <w:rPr>
          <w:rFonts w:ascii="Univers 45 Light" w:hAnsi="Univers 45 Light"/>
          <w:sz w:val="20"/>
          <w:szCs w:val="20"/>
        </w:rPr>
      </w:pPr>
    </w:p>
    <w:p w:rsidR="00216FDD" w:rsidRDefault="00216FDD" w:rsidP="00C3559F">
      <w:pPr>
        <w:spacing w:after="0" w:line="276" w:lineRule="auto"/>
        <w:rPr>
          <w:rFonts w:ascii="Univers 45 Light" w:hAnsi="Univers 45 Light"/>
          <w:sz w:val="20"/>
          <w:szCs w:val="20"/>
        </w:rPr>
      </w:pPr>
    </w:p>
    <w:p w:rsidR="00216FDD" w:rsidRDefault="00216FDD" w:rsidP="00C3559F">
      <w:pPr>
        <w:spacing w:after="0" w:line="276" w:lineRule="auto"/>
        <w:rPr>
          <w:rFonts w:ascii="Univers 45 Light" w:hAnsi="Univers 45 Light"/>
          <w:sz w:val="20"/>
          <w:szCs w:val="20"/>
        </w:rPr>
      </w:pPr>
    </w:p>
    <w:p w:rsidR="00216FDD" w:rsidRDefault="00216FDD" w:rsidP="00C3559F">
      <w:pPr>
        <w:spacing w:after="0" w:line="276" w:lineRule="auto"/>
        <w:rPr>
          <w:rFonts w:ascii="Univers 45 Light" w:hAnsi="Univers 45 Light"/>
          <w:sz w:val="20"/>
          <w:szCs w:val="20"/>
        </w:rPr>
      </w:pPr>
    </w:p>
    <w:p w:rsidR="00216FDD" w:rsidRDefault="00216FDD" w:rsidP="00C3559F">
      <w:pPr>
        <w:spacing w:after="0" w:line="276" w:lineRule="auto"/>
        <w:rPr>
          <w:rFonts w:ascii="Univers 45 Light" w:hAnsi="Univers 45 Light"/>
          <w:sz w:val="20"/>
          <w:szCs w:val="20"/>
        </w:rPr>
      </w:pPr>
    </w:p>
    <w:p w:rsidR="00216FDD" w:rsidRDefault="00216FDD" w:rsidP="00C3559F">
      <w:pPr>
        <w:spacing w:after="0" w:line="276" w:lineRule="auto"/>
        <w:rPr>
          <w:rFonts w:ascii="Univers 45 Light" w:hAnsi="Univers 45 Light"/>
          <w:sz w:val="20"/>
          <w:szCs w:val="20"/>
        </w:rPr>
      </w:pPr>
    </w:p>
    <w:p w:rsidR="00216FDD" w:rsidRDefault="00216FDD" w:rsidP="00C3559F">
      <w:pPr>
        <w:spacing w:after="0" w:line="276" w:lineRule="auto"/>
        <w:rPr>
          <w:rFonts w:ascii="Univers 45 Light" w:hAnsi="Univers 45 Light"/>
          <w:sz w:val="20"/>
          <w:szCs w:val="20"/>
        </w:rPr>
      </w:pPr>
    </w:p>
    <w:p w:rsidR="00216FDD" w:rsidRDefault="00216FDD" w:rsidP="00C3559F">
      <w:pPr>
        <w:spacing w:after="0" w:line="276" w:lineRule="auto"/>
        <w:rPr>
          <w:rFonts w:ascii="Univers 45 Light" w:hAnsi="Univers 45 Light"/>
          <w:sz w:val="20"/>
          <w:szCs w:val="20"/>
        </w:rPr>
      </w:pPr>
    </w:p>
    <w:p w:rsidR="00216FDD" w:rsidRDefault="00216FDD" w:rsidP="00C3559F">
      <w:pPr>
        <w:spacing w:after="0" w:line="276" w:lineRule="auto"/>
        <w:rPr>
          <w:rFonts w:ascii="Univers 45 Light" w:hAnsi="Univers 45 Light"/>
          <w:sz w:val="20"/>
          <w:szCs w:val="20"/>
        </w:rPr>
      </w:pPr>
    </w:p>
    <w:p w:rsidR="00216FDD" w:rsidRDefault="00216FDD" w:rsidP="00C3559F">
      <w:pPr>
        <w:spacing w:after="0" w:line="276" w:lineRule="auto"/>
        <w:rPr>
          <w:rFonts w:ascii="Univers 45 Light" w:hAnsi="Univers 45 Light"/>
          <w:sz w:val="20"/>
          <w:szCs w:val="20"/>
        </w:rPr>
      </w:pPr>
    </w:p>
    <w:p w:rsidR="00216FDD" w:rsidRDefault="00216FDD" w:rsidP="00C3559F">
      <w:pPr>
        <w:spacing w:after="0" w:line="276" w:lineRule="auto"/>
        <w:rPr>
          <w:rFonts w:ascii="Univers 45 Light" w:hAnsi="Univers 45 Light"/>
          <w:sz w:val="20"/>
          <w:szCs w:val="20"/>
        </w:rPr>
      </w:pPr>
    </w:p>
    <w:p w:rsidR="00216FDD" w:rsidRDefault="00216FDD" w:rsidP="00C3559F">
      <w:pPr>
        <w:spacing w:after="0" w:line="276" w:lineRule="auto"/>
        <w:rPr>
          <w:rFonts w:ascii="Univers 45 Light" w:hAnsi="Univers 45 Light"/>
          <w:sz w:val="20"/>
          <w:szCs w:val="20"/>
        </w:rPr>
      </w:pPr>
    </w:p>
    <w:p w:rsidR="00216FDD" w:rsidRDefault="00216FDD" w:rsidP="00C3559F">
      <w:pPr>
        <w:spacing w:after="0" w:line="276" w:lineRule="auto"/>
        <w:rPr>
          <w:rFonts w:ascii="Univers 45 Light" w:hAnsi="Univers 45 Light"/>
          <w:sz w:val="20"/>
          <w:szCs w:val="20"/>
        </w:rPr>
      </w:pPr>
    </w:p>
    <w:p w:rsidR="00FE0132" w:rsidRPr="00FE0132" w:rsidRDefault="00FE0132" w:rsidP="00FE0132">
      <w:pPr>
        <w:spacing w:after="0" w:line="276" w:lineRule="auto"/>
        <w:rPr>
          <w:rFonts w:ascii="Univers 45 Light" w:hAnsi="Univers 45 Light"/>
          <w:color w:val="00338D" w:themeColor="background2"/>
          <w:sz w:val="24"/>
          <w:szCs w:val="20"/>
        </w:rPr>
      </w:pPr>
      <w:r w:rsidRPr="00FE0132">
        <w:rPr>
          <w:rFonts w:ascii="Univers 45 Light" w:hAnsi="Univers 45 Light" w:cs="Arial"/>
          <w:b/>
          <w:color w:val="00338D" w:themeColor="background2"/>
          <w:sz w:val="24"/>
          <w:szCs w:val="20"/>
          <w:lang w:val="en"/>
        </w:rPr>
        <w:t>Member engagement</w:t>
      </w:r>
    </w:p>
    <w:p w:rsidR="00FE0132" w:rsidRPr="00E27B9E" w:rsidRDefault="00FE0132" w:rsidP="00FE0132">
      <w:pPr>
        <w:spacing w:after="0" w:line="276" w:lineRule="auto"/>
        <w:rPr>
          <w:rFonts w:ascii="Univers 45 Light" w:hAnsi="Univers 45 Light"/>
          <w:sz w:val="20"/>
          <w:szCs w:val="20"/>
        </w:rPr>
      </w:pPr>
    </w:p>
    <w:p w:rsidR="002D5BDA" w:rsidRPr="00FE0132" w:rsidRDefault="002D5BDA" w:rsidP="002D5BDA">
      <w:pPr>
        <w:spacing w:after="0" w:line="276" w:lineRule="auto"/>
        <w:rPr>
          <w:rFonts w:ascii="Univers 45 Light" w:hAnsi="Univers 45 Light" w:cs="Arial"/>
          <w:b/>
          <w:color w:val="00338D" w:themeColor="background2"/>
          <w:sz w:val="24"/>
          <w:szCs w:val="20"/>
          <w:lang w:val="en"/>
        </w:rPr>
      </w:pPr>
      <w:r>
        <w:rPr>
          <w:rFonts w:ascii="Univers 45 Light" w:hAnsi="Univers 45 Light" w:cs="Arial"/>
          <w:b/>
          <w:color w:val="00338D" w:themeColor="background2"/>
          <w:sz w:val="24"/>
          <w:szCs w:val="20"/>
          <w:lang w:val="en"/>
        </w:rPr>
        <w:lastRenderedPageBreak/>
        <w:t>M</w:t>
      </w:r>
      <w:r w:rsidRPr="00FE0132">
        <w:rPr>
          <w:rFonts w:ascii="Univers 45 Light" w:hAnsi="Univers 45 Light" w:cs="Arial"/>
          <w:b/>
          <w:color w:val="00338D" w:themeColor="background2"/>
          <w:sz w:val="24"/>
          <w:szCs w:val="20"/>
          <w:lang w:val="en"/>
        </w:rPr>
        <w:t xml:space="preserve">ember </w:t>
      </w:r>
      <w:r>
        <w:rPr>
          <w:rFonts w:ascii="Univers 45 Light" w:hAnsi="Univers 45 Light" w:cs="Arial"/>
          <w:b/>
          <w:color w:val="00338D" w:themeColor="background2"/>
          <w:sz w:val="24"/>
          <w:szCs w:val="20"/>
          <w:lang w:val="en"/>
        </w:rPr>
        <w:t>engagement</w:t>
      </w:r>
    </w:p>
    <w:p w:rsidR="002D5BDA" w:rsidRDefault="002D5BDA" w:rsidP="00FE0132">
      <w:pPr>
        <w:spacing w:after="0" w:line="276" w:lineRule="auto"/>
        <w:rPr>
          <w:rFonts w:ascii="Univers 45 Light" w:hAnsi="Univers 45 Light"/>
          <w:sz w:val="20"/>
          <w:szCs w:val="20"/>
        </w:rPr>
      </w:pPr>
    </w:p>
    <w:p w:rsidR="00FE0132" w:rsidRPr="00E27B9E" w:rsidRDefault="00FE0132" w:rsidP="00FE0132">
      <w:pPr>
        <w:spacing w:after="0" w:line="276" w:lineRule="auto"/>
        <w:rPr>
          <w:rFonts w:ascii="Univers 45 Light" w:hAnsi="Univers 45 Light"/>
          <w:sz w:val="20"/>
          <w:szCs w:val="20"/>
        </w:rPr>
      </w:pPr>
      <w:r w:rsidRPr="00E27B9E">
        <w:rPr>
          <w:rFonts w:ascii="Univers 45 Light" w:hAnsi="Univers 45 Light"/>
          <w:sz w:val="20"/>
          <w:szCs w:val="20"/>
        </w:rPr>
        <w:t>KPMG broadly agrees with the majority of the Draft Report’s findings in relation to member engagement, with the exception of Draft Finding 5.2, which suggests that “Demand-side pressure in the superannuation system is relatively weak”.</w:t>
      </w:r>
    </w:p>
    <w:p w:rsidR="00FE0132" w:rsidRPr="00E27B9E" w:rsidRDefault="00FE0132" w:rsidP="00FE0132">
      <w:pPr>
        <w:spacing w:after="0" w:line="276" w:lineRule="auto"/>
        <w:rPr>
          <w:rFonts w:ascii="Univers 45 Light" w:hAnsi="Univers 45 Light"/>
          <w:sz w:val="20"/>
          <w:szCs w:val="20"/>
        </w:rPr>
      </w:pPr>
    </w:p>
    <w:p w:rsidR="00FE0132" w:rsidRPr="00E27B9E" w:rsidRDefault="00FE0132" w:rsidP="00FE0132">
      <w:pPr>
        <w:spacing w:after="0" w:line="276" w:lineRule="auto"/>
        <w:rPr>
          <w:rFonts w:ascii="Univers 45 Light" w:hAnsi="Univers 45 Light"/>
          <w:sz w:val="20"/>
          <w:szCs w:val="20"/>
        </w:rPr>
      </w:pPr>
      <w:r w:rsidRPr="00E27B9E">
        <w:rPr>
          <w:rFonts w:ascii="Univers 45 Light" w:hAnsi="Univers 45 Light"/>
          <w:sz w:val="20"/>
          <w:szCs w:val="20"/>
        </w:rPr>
        <w:t>Having undertaken a number of reviews for employers in recent years, KPMG believes that within the employer default superannuation segment, competition between a number of players within the profit for member and retail segments of t</w:t>
      </w:r>
      <w:r w:rsidR="0045793B">
        <w:rPr>
          <w:rFonts w:ascii="Univers 45 Light" w:hAnsi="Univers 45 Light"/>
          <w:sz w:val="20"/>
          <w:szCs w:val="20"/>
        </w:rPr>
        <w:t xml:space="preserve">he market remains substantial. </w:t>
      </w:r>
      <w:r w:rsidRPr="00E27B9E">
        <w:rPr>
          <w:rFonts w:ascii="Univers 45 Light" w:hAnsi="Univers 45 Light"/>
          <w:sz w:val="20"/>
          <w:szCs w:val="20"/>
        </w:rPr>
        <w:t>Whilst we recognise that this has not necessarily translated into all segments of the market, we note that competition within this sector is significant.</w:t>
      </w:r>
    </w:p>
    <w:p w:rsidR="00FE0132" w:rsidRPr="00E27B9E" w:rsidRDefault="00FE0132" w:rsidP="00FE0132">
      <w:pPr>
        <w:spacing w:after="0" w:line="276" w:lineRule="auto"/>
        <w:rPr>
          <w:rFonts w:ascii="Univers 45 Light" w:hAnsi="Univers 45 Light"/>
          <w:sz w:val="20"/>
          <w:szCs w:val="20"/>
        </w:rPr>
      </w:pPr>
    </w:p>
    <w:p w:rsidR="00FE0132" w:rsidRPr="00FE0132" w:rsidRDefault="00FE0132" w:rsidP="00FE0132">
      <w:pPr>
        <w:spacing w:after="0" w:line="276" w:lineRule="auto"/>
        <w:rPr>
          <w:rFonts w:ascii="Univers 45 Light" w:hAnsi="Univers 45 Light" w:cs="Arial"/>
          <w:b/>
          <w:color w:val="00338D" w:themeColor="background2"/>
          <w:sz w:val="24"/>
          <w:szCs w:val="20"/>
          <w:lang w:val="en"/>
        </w:rPr>
      </w:pPr>
      <w:r w:rsidRPr="00FE0132">
        <w:rPr>
          <w:rFonts w:ascii="Univers 45 Light" w:hAnsi="Univers 45 Light" w:cs="Arial"/>
          <w:b/>
          <w:color w:val="00338D" w:themeColor="background2"/>
          <w:sz w:val="24"/>
          <w:szCs w:val="20"/>
          <w:lang w:val="en"/>
        </w:rPr>
        <w:t>Erosion of member balances</w:t>
      </w:r>
    </w:p>
    <w:p w:rsidR="00FE0132" w:rsidRPr="00E27B9E" w:rsidRDefault="00FE0132" w:rsidP="00FE0132">
      <w:pPr>
        <w:spacing w:after="0" w:line="276" w:lineRule="auto"/>
        <w:rPr>
          <w:rFonts w:ascii="Univers 45 Light" w:hAnsi="Univers 45 Light"/>
          <w:sz w:val="20"/>
          <w:szCs w:val="20"/>
        </w:rPr>
      </w:pPr>
    </w:p>
    <w:p w:rsidR="00FE0132" w:rsidRPr="00E27B9E" w:rsidRDefault="00FE0132" w:rsidP="00FE0132">
      <w:pPr>
        <w:spacing w:after="0" w:line="276" w:lineRule="auto"/>
        <w:rPr>
          <w:rFonts w:ascii="Univers 45 Light" w:hAnsi="Univers 45 Light"/>
          <w:sz w:val="20"/>
          <w:szCs w:val="20"/>
        </w:rPr>
      </w:pPr>
      <w:r w:rsidRPr="00E27B9E">
        <w:rPr>
          <w:rFonts w:ascii="Univers 45 Light" w:hAnsi="Univers 45 Light"/>
          <w:sz w:val="20"/>
          <w:szCs w:val="20"/>
        </w:rPr>
        <w:t xml:space="preserve">KPMG also agrees with the majority of findings in relation to the erosion of member account balances and notes that the industry, subsequent to a number of </w:t>
      </w:r>
      <w:r w:rsidR="0045793B">
        <w:rPr>
          <w:rFonts w:ascii="Univers 45 Light" w:hAnsi="Univers 45 Light"/>
          <w:sz w:val="20"/>
          <w:szCs w:val="20"/>
        </w:rPr>
        <w:t>p</w:t>
      </w:r>
      <w:r w:rsidRPr="00E27B9E">
        <w:rPr>
          <w:rFonts w:ascii="Univers 45 Light" w:hAnsi="Univers 45 Light"/>
          <w:sz w:val="20"/>
          <w:szCs w:val="20"/>
        </w:rPr>
        <w:t>olicy announcements within the 2018 Federal Budget and recent draft legislation, is being driven down a path of greater account consolidation which will drive better ou</w:t>
      </w:r>
      <w:r w:rsidR="0045793B">
        <w:rPr>
          <w:rFonts w:ascii="Univers 45 Light" w:hAnsi="Univers 45 Light"/>
          <w:sz w:val="20"/>
          <w:szCs w:val="20"/>
        </w:rPr>
        <w:t xml:space="preserve">tcomes for members as a whole. </w:t>
      </w:r>
      <w:r w:rsidRPr="00E27B9E">
        <w:rPr>
          <w:rFonts w:ascii="Univers 45 Light" w:hAnsi="Univers 45 Light"/>
          <w:sz w:val="20"/>
          <w:szCs w:val="20"/>
        </w:rPr>
        <w:t>KPMG notes that the amendments announced in relation to the removal of multiple accounts, proposed changes to insurance as well as better engagement of members will play a material role in ensuring members interests are protected.</w:t>
      </w:r>
    </w:p>
    <w:p w:rsidR="00FE0132" w:rsidRPr="00E27B9E" w:rsidRDefault="00FE0132" w:rsidP="00FE0132">
      <w:pPr>
        <w:spacing w:after="0" w:line="276" w:lineRule="auto"/>
        <w:rPr>
          <w:rFonts w:ascii="Univers 45 Light" w:hAnsi="Univers 45 Light"/>
          <w:sz w:val="20"/>
          <w:szCs w:val="20"/>
        </w:rPr>
      </w:pPr>
    </w:p>
    <w:p w:rsidR="00FE0132" w:rsidRPr="00E27B9E" w:rsidRDefault="00FE0132" w:rsidP="00FE0132">
      <w:pPr>
        <w:spacing w:after="0" w:line="276" w:lineRule="auto"/>
        <w:rPr>
          <w:rFonts w:ascii="Univers 45 Light" w:hAnsi="Univers 45 Light"/>
          <w:sz w:val="20"/>
          <w:szCs w:val="20"/>
        </w:rPr>
      </w:pPr>
      <w:r w:rsidRPr="00E27B9E">
        <w:rPr>
          <w:rFonts w:ascii="Univers 45 Light" w:hAnsi="Univers 45 Light"/>
          <w:sz w:val="20"/>
          <w:szCs w:val="20"/>
        </w:rPr>
        <w:t>On this basis, we do not believe any additional changes are required in relation to this area.</w:t>
      </w:r>
    </w:p>
    <w:p w:rsidR="00216FDD" w:rsidRDefault="00216FDD" w:rsidP="00C3559F">
      <w:pPr>
        <w:spacing w:after="0" w:line="276" w:lineRule="auto"/>
        <w:rPr>
          <w:rFonts w:ascii="Univers 45 Light" w:hAnsi="Univers 45 Light"/>
          <w:sz w:val="20"/>
          <w:szCs w:val="20"/>
        </w:rPr>
      </w:pPr>
    </w:p>
    <w:p w:rsidR="00FE0132" w:rsidRPr="00FE0132" w:rsidRDefault="00FE0132" w:rsidP="00FE0132">
      <w:pPr>
        <w:spacing w:after="0" w:line="276" w:lineRule="auto"/>
        <w:rPr>
          <w:rFonts w:ascii="Univers 45 Light" w:hAnsi="Univers 45 Light" w:cs="Arial"/>
          <w:b/>
          <w:color w:val="00338D" w:themeColor="background2"/>
          <w:sz w:val="24"/>
          <w:szCs w:val="20"/>
          <w:lang w:val="en"/>
        </w:rPr>
      </w:pPr>
      <w:r w:rsidRPr="00FE0132">
        <w:rPr>
          <w:rFonts w:ascii="Univers 45 Light" w:hAnsi="Univers 45 Light" w:cs="Arial"/>
          <w:b/>
          <w:color w:val="00338D" w:themeColor="background2"/>
          <w:sz w:val="24"/>
          <w:szCs w:val="20"/>
          <w:lang w:val="en"/>
        </w:rPr>
        <w:t xml:space="preserve">Market structure, contestability and behaviour </w:t>
      </w:r>
    </w:p>
    <w:p w:rsidR="00FE0132" w:rsidRPr="00E27B9E" w:rsidRDefault="00FE0132" w:rsidP="00FE0132">
      <w:pPr>
        <w:spacing w:after="0" w:line="276" w:lineRule="auto"/>
        <w:rPr>
          <w:rFonts w:ascii="Univers 45 Light" w:hAnsi="Univers 45 Light"/>
          <w:sz w:val="20"/>
          <w:szCs w:val="20"/>
        </w:rPr>
      </w:pPr>
    </w:p>
    <w:p w:rsidR="00FE0132" w:rsidRPr="00E27B9E" w:rsidRDefault="00FE0132" w:rsidP="00FE0132">
      <w:pPr>
        <w:spacing w:after="0" w:line="276" w:lineRule="auto"/>
        <w:rPr>
          <w:rFonts w:ascii="Univers 45 Light" w:hAnsi="Univers 45 Light"/>
          <w:sz w:val="20"/>
          <w:szCs w:val="20"/>
        </w:rPr>
      </w:pPr>
      <w:r w:rsidRPr="00E27B9E">
        <w:rPr>
          <w:rFonts w:ascii="Univers 45 Light" w:hAnsi="Univers 45 Light"/>
          <w:sz w:val="20"/>
          <w:szCs w:val="20"/>
        </w:rPr>
        <w:t xml:space="preserve">KPMG also recognises a number of the findings emanating from the Draft Report and has similar concerns, particularly in relation to the concentration of certain service providers within the industry as well as many of the challenges that vertical integration has led to in relation to member outcomes. </w:t>
      </w:r>
    </w:p>
    <w:p w:rsidR="00FE0132" w:rsidRPr="00E27B9E" w:rsidRDefault="00FE0132" w:rsidP="00FE0132">
      <w:pPr>
        <w:spacing w:after="0" w:line="276" w:lineRule="auto"/>
        <w:rPr>
          <w:rFonts w:ascii="Univers 45 Light" w:hAnsi="Univers 45 Light"/>
          <w:sz w:val="20"/>
          <w:szCs w:val="20"/>
        </w:rPr>
      </w:pPr>
    </w:p>
    <w:p w:rsidR="00FE0132" w:rsidRPr="00E27B9E" w:rsidRDefault="00FE0132" w:rsidP="00FE0132">
      <w:pPr>
        <w:spacing w:after="0" w:line="276" w:lineRule="auto"/>
        <w:rPr>
          <w:rFonts w:ascii="Univers 45 Light" w:hAnsi="Univers 45 Light"/>
          <w:sz w:val="20"/>
          <w:szCs w:val="20"/>
        </w:rPr>
      </w:pPr>
      <w:r w:rsidRPr="00E27B9E">
        <w:rPr>
          <w:rFonts w:ascii="Univers 45 Light" w:hAnsi="Univers 45 Light"/>
          <w:sz w:val="20"/>
          <w:szCs w:val="20"/>
        </w:rPr>
        <w:t>We note the comment that minimal cost efficiencies have been delivered by individual funds within Draft Finding 7.5, but believe that this is largely attributable to the raft of legislative change, compliance costs and expenditure on a raft of member-centric changes to superannuation, such as digitisation, member education</w:t>
      </w:r>
      <w:r w:rsidR="0045793B">
        <w:rPr>
          <w:rFonts w:ascii="Univers 45 Light" w:hAnsi="Univers 45 Light"/>
          <w:sz w:val="20"/>
          <w:szCs w:val="20"/>
        </w:rPr>
        <w:t xml:space="preserve"> and other associated services. </w:t>
      </w:r>
      <w:r w:rsidRPr="00E27B9E">
        <w:rPr>
          <w:rFonts w:ascii="Univers 45 Light" w:hAnsi="Univers 45 Light"/>
          <w:sz w:val="20"/>
          <w:szCs w:val="20"/>
        </w:rPr>
        <w:t>KPMG believes that in time and with a greater number of fund mergers likely to occur in the coming years, further efficiencies will be realised by individual funds, assuming minimal material legislative changes occur in the short to medium term.</w:t>
      </w:r>
    </w:p>
    <w:p w:rsidR="00FE0132" w:rsidRDefault="00FE0132" w:rsidP="00C3559F">
      <w:pPr>
        <w:spacing w:after="0" w:line="276" w:lineRule="auto"/>
        <w:rPr>
          <w:rFonts w:ascii="Univers 45 Light" w:hAnsi="Univers 45 Light"/>
          <w:sz w:val="20"/>
          <w:szCs w:val="20"/>
        </w:rPr>
      </w:pPr>
    </w:p>
    <w:p w:rsidR="00216FDD" w:rsidRDefault="00216FDD" w:rsidP="00C3559F">
      <w:pPr>
        <w:spacing w:after="0" w:line="276" w:lineRule="auto"/>
        <w:rPr>
          <w:rFonts w:ascii="Univers 45 Light" w:hAnsi="Univers 45 Light"/>
          <w:sz w:val="20"/>
          <w:szCs w:val="20"/>
        </w:rPr>
      </w:pPr>
    </w:p>
    <w:p w:rsidR="00216FDD" w:rsidRDefault="00216FDD" w:rsidP="00C3559F">
      <w:pPr>
        <w:spacing w:after="0" w:line="276" w:lineRule="auto"/>
        <w:rPr>
          <w:rFonts w:ascii="Univers 45 Light" w:hAnsi="Univers 45 Light"/>
          <w:sz w:val="20"/>
          <w:szCs w:val="20"/>
        </w:rPr>
      </w:pPr>
    </w:p>
    <w:p w:rsidR="00FE0132" w:rsidRDefault="00FE0132" w:rsidP="00C3559F">
      <w:pPr>
        <w:spacing w:after="0" w:line="276" w:lineRule="auto"/>
        <w:rPr>
          <w:rFonts w:ascii="Univers 45 Light" w:hAnsi="Univers 45 Light"/>
          <w:sz w:val="20"/>
          <w:szCs w:val="20"/>
        </w:rPr>
      </w:pPr>
    </w:p>
    <w:p w:rsidR="00FE0132" w:rsidRDefault="00FE0132" w:rsidP="00C3559F">
      <w:pPr>
        <w:spacing w:after="0" w:line="276" w:lineRule="auto"/>
        <w:rPr>
          <w:rFonts w:ascii="Univers 45 Light" w:hAnsi="Univers 45 Light"/>
          <w:sz w:val="20"/>
          <w:szCs w:val="20"/>
        </w:rPr>
      </w:pPr>
    </w:p>
    <w:p w:rsidR="00FE0132" w:rsidRDefault="00FE0132" w:rsidP="00C3559F">
      <w:pPr>
        <w:spacing w:after="0" w:line="276" w:lineRule="auto"/>
        <w:rPr>
          <w:rFonts w:ascii="Univers 45 Light" w:hAnsi="Univers 45 Light"/>
          <w:sz w:val="20"/>
          <w:szCs w:val="20"/>
        </w:rPr>
      </w:pPr>
    </w:p>
    <w:p w:rsidR="00FE0132" w:rsidRDefault="00FE0132" w:rsidP="00C3559F">
      <w:pPr>
        <w:spacing w:after="0" w:line="276" w:lineRule="auto"/>
        <w:rPr>
          <w:rFonts w:ascii="Univers 45 Light" w:hAnsi="Univers 45 Light"/>
          <w:sz w:val="20"/>
          <w:szCs w:val="20"/>
        </w:rPr>
      </w:pPr>
    </w:p>
    <w:p w:rsidR="00FE0132" w:rsidRDefault="00FE0132" w:rsidP="00C3559F">
      <w:pPr>
        <w:spacing w:after="0" w:line="276" w:lineRule="auto"/>
        <w:rPr>
          <w:rFonts w:ascii="Univers 45 Light" w:hAnsi="Univers 45 Light"/>
          <w:sz w:val="20"/>
          <w:szCs w:val="20"/>
        </w:rPr>
      </w:pPr>
    </w:p>
    <w:p w:rsidR="00FE0132" w:rsidRDefault="00FE0132" w:rsidP="00C3559F">
      <w:pPr>
        <w:spacing w:after="0" w:line="276" w:lineRule="auto"/>
        <w:rPr>
          <w:rFonts w:ascii="Univers 45 Light" w:hAnsi="Univers 45 Light"/>
          <w:sz w:val="20"/>
          <w:szCs w:val="20"/>
        </w:rPr>
      </w:pPr>
    </w:p>
    <w:p w:rsidR="00FE0132" w:rsidRDefault="00FE0132" w:rsidP="00C3559F">
      <w:pPr>
        <w:spacing w:after="0" w:line="276" w:lineRule="auto"/>
        <w:rPr>
          <w:rFonts w:ascii="Univers 45 Light" w:hAnsi="Univers 45 Light"/>
          <w:sz w:val="20"/>
          <w:szCs w:val="20"/>
        </w:rPr>
      </w:pPr>
    </w:p>
    <w:p w:rsidR="00FE0132" w:rsidRDefault="00FE0132" w:rsidP="00C3559F">
      <w:pPr>
        <w:spacing w:after="0" w:line="276" w:lineRule="auto"/>
        <w:rPr>
          <w:rFonts w:ascii="Univers 45 Light" w:hAnsi="Univers 45 Light"/>
          <w:sz w:val="20"/>
          <w:szCs w:val="20"/>
        </w:rPr>
      </w:pPr>
    </w:p>
    <w:p w:rsidR="00FE0132" w:rsidRDefault="00FE0132" w:rsidP="00C3559F">
      <w:pPr>
        <w:spacing w:after="0" w:line="276" w:lineRule="auto"/>
        <w:rPr>
          <w:rFonts w:ascii="Univers 45 Light" w:hAnsi="Univers 45 Light"/>
          <w:sz w:val="20"/>
          <w:szCs w:val="20"/>
        </w:rPr>
      </w:pPr>
    </w:p>
    <w:p w:rsidR="00FE0132" w:rsidRDefault="00FE0132" w:rsidP="00C3559F">
      <w:pPr>
        <w:spacing w:after="0" w:line="276" w:lineRule="auto"/>
        <w:rPr>
          <w:rFonts w:ascii="Univers 45 Light" w:hAnsi="Univers 45 Light"/>
          <w:sz w:val="20"/>
          <w:szCs w:val="20"/>
        </w:rPr>
      </w:pPr>
    </w:p>
    <w:p w:rsidR="002D5BDA" w:rsidRDefault="002D5BDA">
      <w:pPr>
        <w:rPr>
          <w:rFonts w:ascii="Univers 45 Light" w:hAnsi="Univers 45 Light"/>
          <w:sz w:val="20"/>
          <w:szCs w:val="20"/>
        </w:rPr>
      </w:pPr>
      <w:r>
        <w:rPr>
          <w:rFonts w:ascii="Univers 45 Light" w:hAnsi="Univers 45 Light"/>
          <w:sz w:val="20"/>
          <w:szCs w:val="20"/>
        </w:rPr>
        <w:br w:type="page"/>
      </w:r>
    </w:p>
    <w:p w:rsidR="002D5BDA" w:rsidRDefault="002D5BDA" w:rsidP="002D5BDA">
      <w:pPr>
        <w:spacing w:after="0" w:line="276" w:lineRule="auto"/>
        <w:rPr>
          <w:rFonts w:ascii="Univers 45 Light" w:hAnsi="Univers 45 Light"/>
          <w:sz w:val="20"/>
          <w:szCs w:val="20"/>
        </w:rPr>
      </w:pPr>
      <w:r w:rsidRPr="00F73F03">
        <w:rPr>
          <w:rFonts w:ascii="Univers 45 Light" w:eastAsia="Calibri" w:hAnsi="Univers 45 Light" w:cs="Times New Roman"/>
          <w:noProof/>
          <w:sz w:val="20"/>
          <w:lang w:eastAsia="en-AU"/>
        </w:rPr>
        <w:lastRenderedPageBreak/>
        <mc:AlternateContent>
          <mc:Choice Requires="wps">
            <w:drawing>
              <wp:anchor distT="0" distB="0" distL="114300" distR="114300" simplePos="0" relativeHeight="251681792" behindDoc="0" locked="0" layoutInCell="1" allowOverlap="1" wp14:anchorId="6A41183D" wp14:editId="5E4BB972">
                <wp:simplePos x="0" y="0"/>
                <wp:positionH relativeFrom="margin">
                  <wp:posOffset>-3175</wp:posOffset>
                </wp:positionH>
                <wp:positionV relativeFrom="paragraph">
                  <wp:posOffset>5965825</wp:posOffset>
                </wp:positionV>
                <wp:extent cx="5662930" cy="2369820"/>
                <wp:effectExtent l="0" t="0" r="0" b="0"/>
                <wp:wrapNone/>
                <wp:docPr id="12" name="Rectangle 12"/>
                <wp:cNvGraphicFramePr/>
                <a:graphic xmlns:a="http://schemas.openxmlformats.org/drawingml/2006/main">
                  <a:graphicData uri="http://schemas.microsoft.com/office/word/2010/wordprocessingShape">
                    <wps:wsp>
                      <wps:cNvSpPr/>
                      <wps:spPr>
                        <a:xfrm>
                          <a:off x="0" y="0"/>
                          <a:ext cx="5662930" cy="2369820"/>
                        </a:xfrm>
                        <a:prstGeom prst="rect">
                          <a:avLst/>
                        </a:prstGeom>
                        <a:solidFill>
                          <a:srgbClr val="0091DA"/>
                        </a:solidFill>
                        <a:ln w="12700" cap="flat" cmpd="sng" algn="ctr">
                          <a:noFill/>
                          <a:prstDash val="solid"/>
                          <a:miter lim="800000"/>
                        </a:ln>
                        <a:effectLst/>
                      </wps:spPr>
                      <wps:txbx>
                        <w:txbxContent>
                          <w:p w:rsidR="00FE0132" w:rsidRPr="00FE0132" w:rsidRDefault="00FE0132" w:rsidP="00FE0132">
                            <w:pPr>
                              <w:spacing w:after="0" w:line="276" w:lineRule="auto"/>
                              <w:rPr>
                                <w:rFonts w:ascii="Univers 45 Light" w:hAnsi="Univers 45 Light"/>
                                <w:b/>
                                <w:i/>
                                <w:color w:val="FFFFFF" w:themeColor="background1"/>
                                <w:sz w:val="20"/>
                                <w:szCs w:val="20"/>
                              </w:rPr>
                            </w:pPr>
                            <w:r w:rsidRPr="00FE0132">
                              <w:rPr>
                                <w:rFonts w:ascii="Univers 45 Light" w:hAnsi="Univers 45 Light"/>
                                <w:b/>
                                <w:i/>
                                <w:color w:val="FFFFFF" w:themeColor="background1"/>
                                <w:sz w:val="20"/>
                                <w:szCs w:val="20"/>
                              </w:rPr>
                              <w:t>Information request 7.2</w:t>
                            </w:r>
                          </w:p>
                          <w:p w:rsidR="00FE0132" w:rsidRPr="00FE0132" w:rsidRDefault="00FE0132" w:rsidP="00FE0132">
                            <w:pPr>
                              <w:spacing w:after="0" w:line="276" w:lineRule="auto"/>
                              <w:rPr>
                                <w:rFonts w:ascii="Univers 45 Light" w:hAnsi="Univers 45 Light"/>
                                <w:color w:val="FFFFFF" w:themeColor="background1"/>
                                <w:sz w:val="20"/>
                                <w:szCs w:val="20"/>
                              </w:rPr>
                            </w:pPr>
                            <w:r w:rsidRPr="00FE0132">
                              <w:rPr>
                                <w:rFonts w:ascii="Univers 45 Light" w:hAnsi="Univers 45 Light"/>
                                <w:color w:val="FFFFFF" w:themeColor="background1"/>
                                <w:sz w:val="20"/>
                                <w:szCs w:val="20"/>
                              </w:rPr>
                              <w:t xml:space="preserve">Whilst some merging funds </w:t>
                            </w:r>
                            <w:r w:rsidR="007B29F3">
                              <w:rPr>
                                <w:rFonts w:ascii="Univers 45 Light" w:hAnsi="Univers 45 Light"/>
                                <w:color w:val="FFFFFF" w:themeColor="background1"/>
                                <w:sz w:val="20"/>
                                <w:szCs w:val="20"/>
                              </w:rPr>
                              <w:t>have</w:t>
                            </w:r>
                            <w:r w:rsidRPr="00FE0132">
                              <w:rPr>
                                <w:rFonts w:ascii="Univers 45 Light" w:hAnsi="Univers 45 Light"/>
                                <w:color w:val="FFFFFF" w:themeColor="background1"/>
                                <w:sz w:val="20"/>
                                <w:szCs w:val="20"/>
                              </w:rPr>
                              <w:t xml:space="preserve"> experienced reasonable economies of scale as a result of merger activity and have passed these on to members via reduced fees, it is KPMG’s view that much of these cost savings or efficiencies have been expended by funds in other areas of their operations.  </w:t>
                            </w:r>
                          </w:p>
                          <w:p w:rsidR="00FE0132" w:rsidRPr="00FE0132" w:rsidRDefault="00FE0132" w:rsidP="00FE0132">
                            <w:pPr>
                              <w:spacing w:after="0" w:line="276" w:lineRule="auto"/>
                              <w:rPr>
                                <w:rFonts w:ascii="Univers 45 Light" w:hAnsi="Univers 45 Light"/>
                                <w:color w:val="FFFFFF" w:themeColor="background1"/>
                                <w:sz w:val="20"/>
                                <w:szCs w:val="20"/>
                              </w:rPr>
                            </w:pPr>
                          </w:p>
                          <w:p w:rsidR="00FE0132" w:rsidRPr="00FE0132" w:rsidRDefault="00FE0132" w:rsidP="00FE0132">
                            <w:pPr>
                              <w:spacing w:after="0" w:line="276" w:lineRule="auto"/>
                              <w:rPr>
                                <w:rFonts w:ascii="Univers 45 Light" w:hAnsi="Univers 45 Light"/>
                                <w:color w:val="FFFFFF" w:themeColor="background1"/>
                                <w:sz w:val="20"/>
                                <w:szCs w:val="20"/>
                              </w:rPr>
                            </w:pPr>
                            <w:r w:rsidRPr="00FE0132">
                              <w:rPr>
                                <w:rFonts w:ascii="Univers 45 Light" w:hAnsi="Univers 45 Light"/>
                                <w:color w:val="FFFFFF" w:themeColor="background1"/>
                                <w:sz w:val="20"/>
                                <w:szCs w:val="20"/>
                              </w:rPr>
                              <w:t xml:space="preserve">As noted previously, funds have increased expenditure materially in areas such as legislative change, risk and compliance as well as data analytics and member engagement tools, many of </w:t>
                            </w:r>
                            <w:r w:rsidR="007B29F3">
                              <w:rPr>
                                <w:rFonts w:ascii="Univers 45 Light" w:hAnsi="Univers 45 Light"/>
                                <w:color w:val="FFFFFF" w:themeColor="background1"/>
                                <w:sz w:val="20"/>
                                <w:szCs w:val="20"/>
                              </w:rPr>
                              <w:t>which have resulted in cost</w:t>
                            </w:r>
                            <w:r w:rsidRPr="00FE0132">
                              <w:rPr>
                                <w:rFonts w:ascii="Univers 45 Light" w:hAnsi="Univers 45 Light"/>
                                <w:color w:val="FFFFFF" w:themeColor="background1"/>
                                <w:sz w:val="20"/>
                                <w:szCs w:val="20"/>
                              </w:rPr>
                              <w:t xml:space="preserve"> savings to members appearing to have not been passed on to members via fee reductions.</w:t>
                            </w:r>
                          </w:p>
                          <w:p w:rsidR="00FE0132" w:rsidRPr="00FE0132" w:rsidRDefault="00FE0132" w:rsidP="00FE0132">
                            <w:pPr>
                              <w:spacing w:after="0" w:line="276" w:lineRule="auto"/>
                              <w:rPr>
                                <w:rFonts w:ascii="Univers 45 Light" w:hAnsi="Univers 45 Light"/>
                                <w:color w:val="FFFFFF" w:themeColor="background1"/>
                                <w:sz w:val="20"/>
                                <w:szCs w:val="20"/>
                              </w:rPr>
                            </w:pPr>
                          </w:p>
                          <w:p w:rsidR="00FE0132" w:rsidRPr="002D5BDA" w:rsidRDefault="00FE0132" w:rsidP="002D5BDA">
                            <w:pPr>
                              <w:spacing w:after="0" w:line="276" w:lineRule="auto"/>
                              <w:rPr>
                                <w:rFonts w:ascii="Univers 45 Light" w:hAnsi="Univers 45 Light"/>
                                <w:color w:val="FFFFFF" w:themeColor="background1"/>
                                <w:sz w:val="20"/>
                                <w:szCs w:val="20"/>
                              </w:rPr>
                            </w:pPr>
                            <w:r w:rsidRPr="00FE0132">
                              <w:rPr>
                                <w:rFonts w:ascii="Univers 45 Light" w:hAnsi="Univers 45 Light"/>
                                <w:color w:val="FFFFFF" w:themeColor="background1"/>
                                <w:sz w:val="20"/>
                                <w:szCs w:val="20"/>
                              </w:rPr>
                              <w:t>This may have therefore masked the passing on of cost savings or efficiencies as a result of successful fund mergers.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41183D" id="Rectangle 12" o:spid="_x0000_s1029" style="position:absolute;margin-left:-.25pt;margin-top:469.75pt;width:445.9pt;height:186.6pt;z-index:2516817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" fillcolor="#0091da" stroked="f" strokeweight="1pt">
                <v:textbox>
                  <w:txbxContent>
                    <w:p w:rsidR="00FE0132" w:rsidRPr="00FE0132" w:rsidRDefault="00FE0132" w:rsidP="00FE0132">
                      <w:pPr>
                        <w:spacing w:after="0" w:line="276" w:lineRule="auto"/>
                        <w:rPr>
                          <w:rFonts w:ascii="Univers 45 Light" w:hAnsi="Univers 45 Light"/>
                          <w:b/>
                          <w:i/>
                          <w:color w:val="FFFFFF" w:themeColor="background1"/>
                          <w:sz w:val="20"/>
                          <w:szCs w:val="20"/>
                        </w:rPr>
                      </w:pPr>
                      <w:r w:rsidRPr="00FE0132">
                        <w:rPr>
                          <w:rFonts w:ascii="Univers 45 Light" w:hAnsi="Univers 45 Light"/>
                          <w:b/>
                          <w:i/>
                          <w:color w:val="FFFFFF" w:themeColor="background1"/>
                          <w:sz w:val="20"/>
                          <w:szCs w:val="20"/>
                        </w:rPr>
                        <w:t>Information request 7.2</w:t>
                      </w:r>
                    </w:p>
                    <w:p w:rsidR="00FE0132" w:rsidRPr="00FE0132" w:rsidRDefault="00FE0132" w:rsidP="00FE0132">
                      <w:pPr>
                        <w:spacing w:after="0" w:line="276" w:lineRule="auto"/>
                        <w:rPr>
                          <w:rFonts w:ascii="Univers 45 Light" w:hAnsi="Univers 45 Light"/>
                          <w:color w:val="FFFFFF" w:themeColor="background1"/>
                          <w:sz w:val="20"/>
                          <w:szCs w:val="20"/>
                        </w:rPr>
                      </w:pPr>
                      <w:r w:rsidRPr="00FE0132">
                        <w:rPr>
                          <w:rFonts w:ascii="Univers 45 Light" w:hAnsi="Univers 45 Light"/>
                          <w:color w:val="FFFFFF" w:themeColor="background1"/>
                          <w:sz w:val="20"/>
                          <w:szCs w:val="20"/>
                        </w:rPr>
                        <w:t xml:space="preserve">Whilst some merging funds </w:t>
                      </w:r>
                      <w:r w:rsidR="007B29F3">
                        <w:rPr>
                          <w:rFonts w:ascii="Univers 45 Light" w:hAnsi="Univers 45 Light"/>
                          <w:color w:val="FFFFFF" w:themeColor="background1"/>
                          <w:sz w:val="20"/>
                          <w:szCs w:val="20"/>
                        </w:rPr>
                        <w:t>have</w:t>
                      </w:r>
                      <w:r w:rsidRPr="00FE0132">
                        <w:rPr>
                          <w:rFonts w:ascii="Univers 45 Light" w:hAnsi="Univers 45 Light"/>
                          <w:color w:val="FFFFFF" w:themeColor="background1"/>
                          <w:sz w:val="20"/>
                          <w:szCs w:val="20"/>
                        </w:rPr>
                        <w:t xml:space="preserve"> experienced reasonable economies of scale as a result of merger activity and have passed these on to members via reduced fees, it is KPMG’s view that much of these cost savings or efficiencies have been expended by funds in other areas of their operations.  </w:t>
                      </w:r>
                    </w:p>
                    <w:p w:rsidR="00FE0132" w:rsidRPr="00FE0132" w:rsidRDefault="00FE0132" w:rsidP="00FE0132">
                      <w:pPr>
                        <w:spacing w:after="0" w:line="276" w:lineRule="auto"/>
                        <w:rPr>
                          <w:rFonts w:ascii="Univers 45 Light" w:hAnsi="Univers 45 Light"/>
                          <w:color w:val="FFFFFF" w:themeColor="background1"/>
                          <w:sz w:val="20"/>
                          <w:szCs w:val="20"/>
                        </w:rPr>
                      </w:pPr>
                    </w:p>
                    <w:p w:rsidR="00FE0132" w:rsidRPr="00FE0132" w:rsidRDefault="00FE0132" w:rsidP="00FE0132">
                      <w:pPr>
                        <w:spacing w:after="0" w:line="276" w:lineRule="auto"/>
                        <w:rPr>
                          <w:rFonts w:ascii="Univers 45 Light" w:hAnsi="Univers 45 Light"/>
                          <w:color w:val="FFFFFF" w:themeColor="background1"/>
                          <w:sz w:val="20"/>
                          <w:szCs w:val="20"/>
                        </w:rPr>
                      </w:pPr>
                      <w:r w:rsidRPr="00FE0132">
                        <w:rPr>
                          <w:rFonts w:ascii="Univers 45 Light" w:hAnsi="Univers 45 Light"/>
                          <w:color w:val="FFFFFF" w:themeColor="background1"/>
                          <w:sz w:val="20"/>
                          <w:szCs w:val="20"/>
                        </w:rPr>
                        <w:t xml:space="preserve">As noted previously, funds have increased expenditure materially in areas such as legislative change, risk and compliance as well as data analytics and member engagement tools, many of </w:t>
                      </w:r>
                      <w:r w:rsidR="007B29F3">
                        <w:rPr>
                          <w:rFonts w:ascii="Univers 45 Light" w:hAnsi="Univers 45 Light"/>
                          <w:color w:val="FFFFFF" w:themeColor="background1"/>
                          <w:sz w:val="20"/>
                          <w:szCs w:val="20"/>
                        </w:rPr>
                        <w:t>which have resulted in cost</w:t>
                      </w:r>
                      <w:r w:rsidRPr="00FE0132">
                        <w:rPr>
                          <w:rFonts w:ascii="Univers 45 Light" w:hAnsi="Univers 45 Light"/>
                          <w:color w:val="FFFFFF" w:themeColor="background1"/>
                          <w:sz w:val="20"/>
                          <w:szCs w:val="20"/>
                        </w:rPr>
                        <w:t xml:space="preserve"> savings to members appearing to have not been passed on to members via fee reductions.</w:t>
                      </w:r>
                    </w:p>
                    <w:p w:rsidR="00FE0132" w:rsidRPr="00FE0132" w:rsidRDefault="00FE0132" w:rsidP="00FE0132">
                      <w:pPr>
                        <w:spacing w:after="0" w:line="276" w:lineRule="auto"/>
                        <w:rPr>
                          <w:rFonts w:ascii="Univers 45 Light" w:hAnsi="Univers 45 Light"/>
                          <w:color w:val="FFFFFF" w:themeColor="background1"/>
                          <w:sz w:val="20"/>
                          <w:szCs w:val="20"/>
                        </w:rPr>
                      </w:pPr>
                    </w:p>
                    <w:p w:rsidR="00FE0132" w:rsidRPr="002D5BDA" w:rsidRDefault="00FE0132" w:rsidP="002D5BDA">
                      <w:pPr>
                        <w:spacing w:after="0" w:line="276" w:lineRule="auto"/>
                        <w:rPr>
                          <w:rFonts w:ascii="Univers 45 Light" w:hAnsi="Univers 45 Light"/>
                          <w:color w:val="FFFFFF" w:themeColor="background1"/>
                          <w:sz w:val="20"/>
                          <w:szCs w:val="20"/>
                        </w:rPr>
                      </w:pPr>
                      <w:r w:rsidRPr="00FE0132">
                        <w:rPr>
                          <w:rFonts w:ascii="Univers 45 Light" w:hAnsi="Univers 45 Light"/>
                          <w:color w:val="FFFFFF" w:themeColor="background1"/>
                          <w:sz w:val="20"/>
                          <w:szCs w:val="20"/>
                        </w:rPr>
                        <w:t>This may have therefore masked the passing on of cost savings or efficiencies as a result of successful fund mergers.</w:t>
                      </w:r>
                    </w:p>
                  </w:txbxContent>
                </v:textbox>
                <w10:wrap anchorx="margin"/>
              </v:rect>
            </w:pict>
          </mc:Fallback>
        </mc:AlternateContent>
      </w:r>
      <w:r w:rsidR="00FE0132" w:rsidRPr="00F73F03">
        <w:rPr>
          <w:rFonts w:ascii="Univers 45 Light" w:eastAsia="Calibri" w:hAnsi="Univers 45 Light" w:cs="Times New Roman"/>
          <w:noProof/>
          <w:sz w:val="20"/>
          <w:lang w:eastAsia="en-AU"/>
        </w:rPr>
        <mc:AlternateContent>
          <mc:Choice Requires="wps">
            <w:drawing>
              <wp:anchor distT="0" distB="0" distL="114300" distR="114300" simplePos="0" relativeHeight="251679744" behindDoc="0" locked="0" layoutInCell="1" allowOverlap="1" wp14:anchorId="5EBA18C4" wp14:editId="2454F850">
                <wp:simplePos x="0" y="0"/>
                <wp:positionH relativeFrom="margin">
                  <wp:align>left</wp:align>
                </wp:positionH>
                <wp:positionV relativeFrom="paragraph">
                  <wp:posOffset>178435</wp:posOffset>
                </wp:positionV>
                <wp:extent cx="5662930" cy="5402580"/>
                <wp:effectExtent l="0" t="0" r="0" b="7620"/>
                <wp:wrapNone/>
                <wp:docPr id="6" name="Rectangle 6"/>
                <wp:cNvGraphicFramePr/>
                <a:graphic xmlns:a="http://schemas.openxmlformats.org/drawingml/2006/main">
                  <a:graphicData uri="http://schemas.microsoft.com/office/word/2010/wordprocessingShape">
                    <wps:wsp>
                      <wps:cNvSpPr/>
                      <wps:spPr>
                        <a:xfrm>
                          <a:off x="0" y="0"/>
                          <a:ext cx="5662930" cy="5402580"/>
                        </a:xfrm>
                        <a:prstGeom prst="rect">
                          <a:avLst/>
                        </a:prstGeom>
                        <a:solidFill>
                          <a:srgbClr val="0091DA"/>
                        </a:solidFill>
                        <a:ln w="12700" cap="flat" cmpd="sng" algn="ctr">
                          <a:noFill/>
                          <a:prstDash val="solid"/>
                          <a:miter lim="800000"/>
                        </a:ln>
                        <a:effectLst/>
                      </wps:spPr>
                      <wps:txbx>
                        <w:txbxContent>
                          <w:p w:rsidR="00FE0132" w:rsidRPr="00FE0132" w:rsidRDefault="00FE0132" w:rsidP="00FE0132">
                            <w:pPr>
                              <w:spacing w:after="0" w:line="276" w:lineRule="auto"/>
                              <w:rPr>
                                <w:rFonts w:ascii="Univers 45 Light" w:hAnsi="Univers 45 Light"/>
                                <w:b/>
                                <w:i/>
                                <w:color w:val="FFFFFF" w:themeColor="background1"/>
                                <w:sz w:val="20"/>
                                <w:szCs w:val="20"/>
                              </w:rPr>
                            </w:pPr>
                            <w:r w:rsidRPr="00FE0132">
                              <w:rPr>
                                <w:rFonts w:ascii="Univers 45 Light" w:hAnsi="Univers 45 Light"/>
                                <w:b/>
                                <w:i/>
                                <w:color w:val="FFFFFF" w:themeColor="background1"/>
                                <w:sz w:val="20"/>
                                <w:szCs w:val="20"/>
                              </w:rPr>
                              <w:t>Information request 7.1</w:t>
                            </w:r>
                          </w:p>
                          <w:p w:rsidR="00FE0132" w:rsidRPr="00FE0132" w:rsidRDefault="00FE0132" w:rsidP="00FE0132">
                            <w:pPr>
                              <w:spacing w:after="0" w:line="276" w:lineRule="auto"/>
                              <w:rPr>
                                <w:rFonts w:ascii="Univers 45 Light" w:hAnsi="Univers 45 Light"/>
                                <w:color w:val="FFFFFF" w:themeColor="background1"/>
                                <w:sz w:val="20"/>
                                <w:szCs w:val="20"/>
                              </w:rPr>
                            </w:pPr>
                            <w:r w:rsidRPr="00FE0132">
                              <w:rPr>
                                <w:rFonts w:ascii="Univers 45 Light" w:hAnsi="Univers 45 Light"/>
                                <w:color w:val="FFFFFF" w:themeColor="background1"/>
                                <w:sz w:val="20"/>
                                <w:szCs w:val="20"/>
                              </w:rPr>
                              <w:t xml:space="preserve">KPMG notes that there are a range of costs associated with the merging of two superannuation funds, with the total cost often a barrier for many funds that must consider total operating costs when acting in the best interests of members.  </w:t>
                            </w:r>
                          </w:p>
                          <w:p w:rsidR="00FE0132" w:rsidRPr="00FE0132" w:rsidRDefault="00FE0132" w:rsidP="00FE0132">
                            <w:pPr>
                              <w:spacing w:after="0" w:line="276" w:lineRule="auto"/>
                              <w:rPr>
                                <w:rFonts w:ascii="Univers 45 Light" w:hAnsi="Univers 45 Light"/>
                                <w:color w:val="FFFFFF" w:themeColor="background1"/>
                                <w:sz w:val="20"/>
                                <w:szCs w:val="20"/>
                              </w:rPr>
                            </w:pPr>
                          </w:p>
                          <w:p w:rsidR="00FE0132" w:rsidRPr="00FE0132" w:rsidRDefault="00FE0132" w:rsidP="00FE0132">
                            <w:pPr>
                              <w:spacing w:after="0" w:line="276" w:lineRule="auto"/>
                              <w:rPr>
                                <w:rFonts w:ascii="Univers 45 Light" w:hAnsi="Univers 45 Light"/>
                                <w:color w:val="FFFFFF" w:themeColor="background1"/>
                                <w:sz w:val="20"/>
                                <w:szCs w:val="20"/>
                              </w:rPr>
                            </w:pPr>
                            <w:r w:rsidRPr="00FE0132">
                              <w:rPr>
                                <w:rFonts w:ascii="Univers 45 Light" w:hAnsi="Univers 45 Light"/>
                                <w:color w:val="FFFFFF" w:themeColor="background1"/>
                                <w:sz w:val="20"/>
                                <w:szCs w:val="20"/>
                              </w:rPr>
                              <w:t xml:space="preserve">In terms of costs, the main costs are due diligence costs, such as financial, legal and commercial whereby each fund will need to understand the complexities of the other fund and whether there may be any issues that might compromise the funds merging (such as issues with either fund’s constitution, financial complexities (such as tax considerations) or challenging investment arrangements that one fund may not be keen to take on).  </w:t>
                            </w:r>
                          </w:p>
                          <w:p w:rsidR="00FE0132" w:rsidRPr="00FE0132" w:rsidRDefault="00FE0132" w:rsidP="00FE0132">
                            <w:pPr>
                              <w:spacing w:after="0" w:line="276" w:lineRule="auto"/>
                              <w:rPr>
                                <w:rFonts w:ascii="Univers 45 Light" w:hAnsi="Univers 45 Light"/>
                                <w:color w:val="FFFFFF" w:themeColor="background1"/>
                                <w:sz w:val="20"/>
                                <w:szCs w:val="20"/>
                              </w:rPr>
                            </w:pPr>
                          </w:p>
                          <w:p w:rsidR="00FE0132" w:rsidRPr="00FE0132" w:rsidRDefault="00FE0132" w:rsidP="00FE0132">
                            <w:pPr>
                              <w:spacing w:after="0" w:line="276" w:lineRule="auto"/>
                              <w:rPr>
                                <w:rFonts w:ascii="Univers 45 Light" w:hAnsi="Univers 45 Light"/>
                                <w:color w:val="FFFFFF" w:themeColor="background1"/>
                                <w:sz w:val="20"/>
                                <w:szCs w:val="20"/>
                              </w:rPr>
                            </w:pPr>
                            <w:r w:rsidRPr="00FE0132">
                              <w:rPr>
                                <w:rFonts w:ascii="Univers 45 Light" w:hAnsi="Univers 45 Light"/>
                                <w:color w:val="FFFFFF" w:themeColor="background1"/>
                                <w:sz w:val="20"/>
                                <w:szCs w:val="20"/>
                              </w:rPr>
                              <w:t>These items are generally all considered pre-merger and once the trustees of the respective funds have agreed that there are no material issues, there will be legal costs involved in drafting the respective merger documentation surrounding the legal structure of the merged entity, the benefits to be offered and the design of the merged entity.</w:t>
                            </w:r>
                          </w:p>
                          <w:p w:rsidR="00FE0132" w:rsidRPr="00FE0132" w:rsidRDefault="00FE0132" w:rsidP="00FE0132">
                            <w:pPr>
                              <w:spacing w:after="0" w:line="276" w:lineRule="auto"/>
                              <w:rPr>
                                <w:rFonts w:ascii="Univers 45 Light" w:hAnsi="Univers 45 Light"/>
                                <w:color w:val="FFFFFF" w:themeColor="background1"/>
                                <w:sz w:val="20"/>
                                <w:szCs w:val="20"/>
                              </w:rPr>
                            </w:pPr>
                          </w:p>
                          <w:p w:rsidR="00FE0132" w:rsidRPr="00FE0132" w:rsidRDefault="00FE0132" w:rsidP="00FE0132">
                            <w:pPr>
                              <w:spacing w:after="0" w:line="276" w:lineRule="auto"/>
                              <w:rPr>
                                <w:rFonts w:ascii="Univers 45 Light" w:hAnsi="Univers 45 Light"/>
                                <w:color w:val="FFFFFF" w:themeColor="background1"/>
                                <w:sz w:val="20"/>
                                <w:szCs w:val="20"/>
                              </w:rPr>
                            </w:pPr>
                            <w:r w:rsidRPr="00FE0132">
                              <w:rPr>
                                <w:rFonts w:ascii="Univers 45 Light" w:hAnsi="Univers 45 Light"/>
                                <w:color w:val="FFFFFF" w:themeColor="background1"/>
                                <w:sz w:val="20"/>
                                <w:szCs w:val="20"/>
                              </w:rPr>
                              <w:t xml:space="preserve">Costs will then be incurred in </w:t>
                            </w:r>
                            <w:r w:rsidR="001E4304">
                              <w:rPr>
                                <w:rFonts w:ascii="Univers 45 Light" w:hAnsi="Univers 45 Light"/>
                                <w:color w:val="FFFFFF" w:themeColor="background1"/>
                                <w:sz w:val="20"/>
                                <w:szCs w:val="20"/>
                              </w:rPr>
                              <w:t xml:space="preserve">assessing </w:t>
                            </w:r>
                            <w:r w:rsidRPr="00FE0132">
                              <w:rPr>
                                <w:rFonts w:ascii="Univers 45 Light" w:hAnsi="Univers 45 Light"/>
                                <w:color w:val="FFFFFF" w:themeColor="background1"/>
                                <w:sz w:val="20"/>
                                <w:szCs w:val="20"/>
                              </w:rPr>
                              <w:t>existing service providers and undertaking tenders for future providers where these are</w:t>
                            </w:r>
                            <w:r w:rsidR="001E4304">
                              <w:rPr>
                                <w:rFonts w:ascii="Univers 45 Light" w:hAnsi="Univers 45 Light"/>
                                <w:color w:val="FFFFFF" w:themeColor="background1"/>
                                <w:sz w:val="20"/>
                                <w:szCs w:val="20"/>
                              </w:rPr>
                              <w:t xml:space="preserve"> not common between the funds. </w:t>
                            </w:r>
                            <w:r w:rsidRPr="00FE0132">
                              <w:rPr>
                                <w:rFonts w:ascii="Univers 45 Light" w:hAnsi="Univers 45 Light"/>
                                <w:color w:val="FFFFFF" w:themeColor="background1"/>
                                <w:sz w:val="20"/>
                                <w:szCs w:val="20"/>
                              </w:rPr>
                              <w:t>Material communication costs are also incurred throughout the merger process as members must be informed regarding the process, impact and timing of any merger.</w:t>
                            </w:r>
                          </w:p>
                          <w:p w:rsidR="00FE0132" w:rsidRPr="00FE0132" w:rsidRDefault="00FE0132" w:rsidP="00FE0132">
                            <w:pPr>
                              <w:spacing w:after="0" w:line="276" w:lineRule="auto"/>
                              <w:rPr>
                                <w:rFonts w:ascii="Univers 45 Light" w:hAnsi="Univers 45 Light"/>
                                <w:color w:val="FFFFFF" w:themeColor="background1"/>
                                <w:sz w:val="20"/>
                                <w:szCs w:val="20"/>
                              </w:rPr>
                            </w:pPr>
                          </w:p>
                          <w:p w:rsidR="00FE0132" w:rsidRPr="00FE0132" w:rsidRDefault="00FE0132" w:rsidP="00FE0132">
                            <w:pPr>
                              <w:spacing w:after="0" w:line="276" w:lineRule="auto"/>
                              <w:rPr>
                                <w:rFonts w:ascii="Univers 45 Light" w:hAnsi="Univers 45 Light"/>
                                <w:color w:val="FFFFFF" w:themeColor="background1"/>
                                <w:sz w:val="20"/>
                                <w:szCs w:val="20"/>
                              </w:rPr>
                            </w:pPr>
                            <w:r w:rsidRPr="00FE0132">
                              <w:rPr>
                                <w:rFonts w:ascii="Univers 45 Light" w:hAnsi="Univers 45 Light"/>
                                <w:color w:val="FFFFFF" w:themeColor="background1"/>
                                <w:sz w:val="20"/>
                                <w:szCs w:val="20"/>
                              </w:rPr>
                              <w:t xml:space="preserve">In addition to these, there are also the internal costs of having staff involved in meetings, due diligence work and ongoing discussions during the merger in order to agree specific processes and procedures, which haven’t been factored into the above numbers. </w:t>
                            </w:r>
                          </w:p>
                          <w:p w:rsidR="00FE0132" w:rsidRPr="00FE0132" w:rsidRDefault="00FE0132" w:rsidP="00FE0132">
                            <w:pPr>
                              <w:spacing w:after="0" w:line="276" w:lineRule="auto"/>
                              <w:rPr>
                                <w:rFonts w:ascii="Univers 45 Light" w:hAnsi="Univers 45 Light"/>
                                <w:color w:val="FFFFFF" w:themeColor="background1"/>
                                <w:sz w:val="20"/>
                                <w:szCs w:val="20"/>
                              </w:rPr>
                            </w:pPr>
                          </w:p>
                          <w:p w:rsidR="00FE0132" w:rsidRPr="002D5BDA" w:rsidRDefault="00FE0132" w:rsidP="002D5BDA">
                            <w:pPr>
                              <w:spacing w:after="0" w:line="276" w:lineRule="auto"/>
                              <w:rPr>
                                <w:rFonts w:ascii="Univers 45 Light" w:hAnsi="Univers 45 Light"/>
                                <w:color w:val="FFFFFF" w:themeColor="background1"/>
                                <w:sz w:val="20"/>
                                <w:szCs w:val="20"/>
                              </w:rPr>
                            </w:pPr>
                            <w:r w:rsidRPr="00FE0132">
                              <w:rPr>
                                <w:rFonts w:ascii="Univers 45 Light" w:hAnsi="Univers 45 Light"/>
                                <w:color w:val="FFFFFF" w:themeColor="background1"/>
                                <w:sz w:val="20"/>
                                <w:szCs w:val="20"/>
                              </w:rPr>
                              <w:t>In KPMG’s experience, the costs associated with undertaking a merger are generally not materially dis-similar when looking at the size of the merging entities as the same processes are usually required for a merger, regardless of size.  Additional costs are often seen as a result of greater complexity of a fund’s arrangements, such as alternative investmen</w:t>
                            </w:r>
                            <w:r w:rsidR="00600C9B">
                              <w:rPr>
                                <w:rFonts w:ascii="Univers 45 Light" w:hAnsi="Univers 45 Light"/>
                                <w:color w:val="FFFFFF" w:themeColor="background1"/>
                                <w:sz w:val="20"/>
                                <w:szCs w:val="20"/>
                              </w:rPr>
                              <w:t xml:space="preserve">ts, defined benefit obligations, reserves </w:t>
                            </w:r>
                            <w:r w:rsidRPr="00FE0132">
                              <w:rPr>
                                <w:rFonts w:ascii="Univers 45 Light" w:hAnsi="Univers 45 Light"/>
                                <w:color w:val="FFFFFF" w:themeColor="background1"/>
                                <w:sz w:val="20"/>
                                <w:szCs w:val="20"/>
                              </w:rPr>
                              <w:t>or different operating structures.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BA18C4" id="Rectangle 6" o:spid="_x0000_s1030" style="position:absolute;margin-left:0;margin-top:14.05pt;width:445.9pt;height:425.4pt;z-index:2516797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" fillcolor="#0091da" stroked="f" strokeweight="1pt">
                <v:textbox>
                  <w:txbxContent>
                    <w:p w:rsidR="00FE0132" w:rsidRPr="00FE0132" w:rsidRDefault="00FE0132" w:rsidP="00FE0132">
                      <w:pPr>
                        <w:spacing w:after="0" w:line="276" w:lineRule="auto"/>
                        <w:rPr>
                          <w:rFonts w:ascii="Univers 45 Light" w:hAnsi="Univers 45 Light"/>
                          <w:b/>
                          <w:i/>
                          <w:color w:val="FFFFFF" w:themeColor="background1"/>
                          <w:sz w:val="20"/>
                          <w:szCs w:val="20"/>
                        </w:rPr>
                      </w:pPr>
                      <w:r w:rsidRPr="00FE0132">
                        <w:rPr>
                          <w:rFonts w:ascii="Univers 45 Light" w:hAnsi="Univers 45 Light"/>
                          <w:b/>
                          <w:i/>
                          <w:color w:val="FFFFFF" w:themeColor="background1"/>
                          <w:sz w:val="20"/>
                          <w:szCs w:val="20"/>
                        </w:rPr>
                        <w:t>Information request 7.1</w:t>
                      </w:r>
                    </w:p>
                    <w:p w:rsidR="00FE0132" w:rsidRPr="00FE0132" w:rsidRDefault="00FE0132" w:rsidP="00FE0132">
                      <w:pPr>
                        <w:spacing w:after="0" w:line="276" w:lineRule="auto"/>
                        <w:rPr>
                          <w:rFonts w:ascii="Univers 45 Light" w:hAnsi="Univers 45 Light"/>
                          <w:color w:val="FFFFFF" w:themeColor="background1"/>
                          <w:sz w:val="20"/>
                          <w:szCs w:val="20"/>
                        </w:rPr>
                      </w:pPr>
                      <w:r w:rsidRPr="00FE0132">
                        <w:rPr>
                          <w:rFonts w:ascii="Univers 45 Light" w:hAnsi="Univers 45 Light"/>
                          <w:color w:val="FFFFFF" w:themeColor="background1"/>
                          <w:sz w:val="20"/>
                          <w:szCs w:val="20"/>
                        </w:rPr>
                        <w:t xml:space="preserve">KPMG notes that there are a range of costs associated with the merging of two superannuation funds, with the total cost often a barrier for many funds that must consider total operating costs when acting in the best interests of members.  </w:t>
                      </w:r>
                    </w:p>
                    <w:p w:rsidR="00FE0132" w:rsidRPr="00FE0132" w:rsidRDefault="00FE0132" w:rsidP="00FE0132">
                      <w:pPr>
                        <w:spacing w:after="0" w:line="276" w:lineRule="auto"/>
                        <w:rPr>
                          <w:rFonts w:ascii="Univers 45 Light" w:hAnsi="Univers 45 Light"/>
                          <w:color w:val="FFFFFF" w:themeColor="background1"/>
                          <w:sz w:val="20"/>
                          <w:szCs w:val="20"/>
                        </w:rPr>
                      </w:pPr>
                    </w:p>
                    <w:p w:rsidR="00FE0132" w:rsidRPr="00FE0132" w:rsidRDefault="00FE0132" w:rsidP="00FE0132">
                      <w:pPr>
                        <w:spacing w:after="0" w:line="276" w:lineRule="auto"/>
                        <w:rPr>
                          <w:rFonts w:ascii="Univers 45 Light" w:hAnsi="Univers 45 Light"/>
                          <w:color w:val="FFFFFF" w:themeColor="background1"/>
                          <w:sz w:val="20"/>
                          <w:szCs w:val="20"/>
                        </w:rPr>
                      </w:pPr>
                      <w:r w:rsidRPr="00FE0132">
                        <w:rPr>
                          <w:rFonts w:ascii="Univers 45 Light" w:hAnsi="Univers 45 Light"/>
                          <w:color w:val="FFFFFF" w:themeColor="background1"/>
                          <w:sz w:val="20"/>
                          <w:szCs w:val="20"/>
                        </w:rPr>
                        <w:t xml:space="preserve">In terms of costs, the main costs are due diligence costs, such as financial, legal and commercial whereby each fund will need to understand the complexities of the other fund and whether there may be any issues that might compromise the funds merging (such as issues with either fund’s constitution, financial complexities (such as tax considerations) or challenging investment arrangements that one fund may not be keen to take on).  </w:t>
                      </w:r>
                    </w:p>
                    <w:p w:rsidR="00FE0132" w:rsidRPr="00FE0132" w:rsidRDefault="00FE0132" w:rsidP="00FE0132">
                      <w:pPr>
                        <w:spacing w:after="0" w:line="276" w:lineRule="auto"/>
                        <w:rPr>
                          <w:rFonts w:ascii="Univers 45 Light" w:hAnsi="Univers 45 Light"/>
                          <w:color w:val="FFFFFF" w:themeColor="background1"/>
                          <w:sz w:val="20"/>
                          <w:szCs w:val="20"/>
                        </w:rPr>
                      </w:pPr>
                    </w:p>
                    <w:p w:rsidR="00FE0132" w:rsidRPr="00FE0132" w:rsidRDefault="00FE0132" w:rsidP="00FE0132">
                      <w:pPr>
                        <w:spacing w:after="0" w:line="276" w:lineRule="auto"/>
                        <w:rPr>
                          <w:rFonts w:ascii="Univers 45 Light" w:hAnsi="Univers 45 Light"/>
                          <w:color w:val="FFFFFF" w:themeColor="background1"/>
                          <w:sz w:val="20"/>
                          <w:szCs w:val="20"/>
                        </w:rPr>
                      </w:pPr>
                      <w:r w:rsidRPr="00FE0132">
                        <w:rPr>
                          <w:rFonts w:ascii="Univers 45 Light" w:hAnsi="Univers 45 Light"/>
                          <w:color w:val="FFFFFF" w:themeColor="background1"/>
                          <w:sz w:val="20"/>
                          <w:szCs w:val="20"/>
                        </w:rPr>
                        <w:t>These items are generally all considered pre-merger and once the trustees of the respective funds have agreed that there are no material issues, there will be legal costs involved in drafting the respective merger documentation surrounding the legal structure of the merged entity, the benefits to be offered and the design of the merged entity.</w:t>
                      </w:r>
                    </w:p>
                    <w:p w:rsidR="00FE0132" w:rsidRPr="00FE0132" w:rsidRDefault="00FE0132" w:rsidP="00FE0132">
                      <w:pPr>
                        <w:spacing w:after="0" w:line="276" w:lineRule="auto"/>
                        <w:rPr>
                          <w:rFonts w:ascii="Univers 45 Light" w:hAnsi="Univers 45 Light"/>
                          <w:color w:val="FFFFFF" w:themeColor="background1"/>
                          <w:sz w:val="20"/>
                          <w:szCs w:val="20"/>
                        </w:rPr>
                      </w:pPr>
                    </w:p>
                    <w:p w:rsidR="00FE0132" w:rsidRPr="00FE0132" w:rsidRDefault="00FE0132" w:rsidP="00FE0132">
                      <w:pPr>
                        <w:spacing w:after="0" w:line="276" w:lineRule="auto"/>
                        <w:rPr>
                          <w:rFonts w:ascii="Univers 45 Light" w:hAnsi="Univers 45 Light"/>
                          <w:color w:val="FFFFFF" w:themeColor="background1"/>
                          <w:sz w:val="20"/>
                          <w:szCs w:val="20"/>
                        </w:rPr>
                      </w:pPr>
                      <w:r w:rsidRPr="00FE0132">
                        <w:rPr>
                          <w:rFonts w:ascii="Univers 45 Light" w:hAnsi="Univers 45 Light"/>
                          <w:color w:val="FFFFFF" w:themeColor="background1"/>
                          <w:sz w:val="20"/>
                          <w:szCs w:val="20"/>
                        </w:rPr>
                        <w:t xml:space="preserve">Costs will then be incurred in </w:t>
                      </w:r>
                      <w:r w:rsidR="001E4304">
                        <w:rPr>
                          <w:rFonts w:ascii="Univers 45 Light" w:hAnsi="Univers 45 Light"/>
                          <w:color w:val="FFFFFF" w:themeColor="background1"/>
                          <w:sz w:val="20"/>
                          <w:szCs w:val="20"/>
                        </w:rPr>
                        <w:t xml:space="preserve">assessing </w:t>
                      </w:r>
                      <w:r w:rsidRPr="00FE0132">
                        <w:rPr>
                          <w:rFonts w:ascii="Univers 45 Light" w:hAnsi="Univers 45 Light"/>
                          <w:color w:val="FFFFFF" w:themeColor="background1"/>
                          <w:sz w:val="20"/>
                          <w:szCs w:val="20"/>
                        </w:rPr>
                        <w:t>existing service providers and undertaking tenders for future providers where these are</w:t>
                      </w:r>
                      <w:r w:rsidR="001E4304">
                        <w:rPr>
                          <w:rFonts w:ascii="Univers 45 Light" w:hAnsi="Univers 45 Light"/>
                          <w:color w:val="FFFFFF" w:themeColor="background1"/>
                          <w:sz w:val="20"/>
                          <w:szCs w:val="20"/>
                        </w:rPr>
                        <w:t xml:space="preserve"> not common between the funds. </w:t>
                      </w:r>
                      <w:r w:rsidRPr="00FE0132">
                        <w:rPr>
                          <w:rFonts w:ascii="Univers 45 Light" w:hAnsi="Univers 45 Light"/>
                          <w:color w:val="FFFFFF" w:themeColor="background1"/>
                          <w:sz w:val="20"/>
                          <w:szCs w:val="20"/>
                        </w:rPr>
                        <w:t>Material communication costs are also incurred throughout the merger process as members must be informed regarding the process, impact and timing of any merger.</w:t>
                      </w:r>
                    </w:p>
                    <w:p w:rsidR="00FE0132" w:rsidRPr="00FE0132" w:rsidRDefault="00FE0132" w:rsidP="00FE0132">
                      <w:pPr>
                        <w:spacing w:after="0" w:line="276" w:lineRule="auto"/>
                        <w:rPr>
                          <w:rFonts w:ascii="Univers 45 Light" w:hAnsi="Univers 45 Light"/>
                          <w:color w:val="FFFFFF" w:themeColor="background1"/>
                          <w:sz w:val="20"/>
                          <w:szCs w:val="20"/>
                        </w:rPr>
                      </w:pPr>
                    </w:p>
                    <w:p w:rsidR="00FE0132" w:rsidRPr="00FE0132" w:rsidRDefault="00FE0132" w:rsidP="00FE0132">
                      <w:pPr>
                        <w:spacing w:after="0" w:line="276" w:lineRule="auto"/>
                        <w:rPr>
                          <w:rFonts w:ascii="Univers 45 Light" w:hAnsi="Univers 45 Light"/>
                          <w:color w:val="FFFFFF" w:themeColor="background1"/>
                          <w:sz w:val="20"/>
                          <w:szCs w:val="20"/>
                        </w:rPr>
                      </w:pPr>
                      <w:r w:rsidRPr="00FE0132">
                        <w:rPr>
                          <w:rFonts w:ascii="Univers 45 Light" w:hAnsi="Univers 45 Light"/>
                          <w:color w:val="FFFFFF" w:themeColor="background1"/>
                          <w:sz w:val="20"/>
                          <w:szCs w:val="20"/>
                        </w:rPr>
                        <w:t xml:space="preserve">In addition to these, there are also the internal costs of having staff involved in meetings, due diligence work and ongoing discussions during the merger in order to agree specific processes and procedures, which haven’t been factored into the above numbers. </w:t>
                      </w:r>
                    </w:p>
                    <w:p w:rsidR="00FE0132" w:rsidRPr="00FE0132" w:rsidRDefault="00FE0132" w:rsidP="00FE0132">
                      <w:pPr>
                        <w:spacing w:after="0" w:line="276" w:lineRule="auto"/>
                        <w:rPr>
                          <w:rFonts w:ascii="Univers 45 Light" w:hAnsi="Univers 45 Light"/>
                          <w:color w:val="FFFFFF" w:themeColor="background1"/>
                          <w:sz w:val="20"/>
                          <w:szCs w:val="20"/>
                        </w:rPr>
                      </w:pPr>
                    </w:p>
                    <w:p w:rsidR="00FE0132" w:rsidRPr="002D5BDA" w:rsidRDefault="00FE0132" w:rsidP="002D5BDA">
                      <w:pPr>
                        <w:spacing w:after="0" w:line="276" w:lineRule="auto"/>
                        <w:rPr>
                          <w:rFonts w:ascii="Univers 45 Light" w:hAnsi="Univers 45 Light"/>
                          <w:color w:val="FFFFFF" w:themeColor="background1"/>
                          <w:sz w:val="20"/>
                          <w:szCs w:val="20"/>
                        </w:rPr>
                      </w:pPr>
                      <w:r w:rsidRPr="00FE0132">
                        <w:rPr>
                          <w:rFonts w:ascii="Univers 45 Light" w:hAnsi="Univers 45 Light"/>
                          <w:color w:val="FFFFFF" w:themeColor="background1"/>
                          <w:sz w:val="20"/>
                          <w:szCs w:val="20"/>
                        </w:rPr>
                        <w:t>In KPMG’s experience, the costs associated with undertaking a merger are generally not materially dis-similar when looking at the size of the merging entities as the same processes are usually required for a merger, regardless of size.  Additional costs are often seen as a result of greater complexity of a fund’s arrangements, such as alternative investmen</w:t>
                      </w:r>
                      <w:r w:rsidR="00600C9B">
                        <w:rPr>
                          <w:rFonts w:ascii="Univers 45 Light" w:hAnsi="Univers 45 Light"/>
                          <w:color w:val="FFFFFF" w:themeColor="background1"/>
                          <w:sz w:val="20"/>
                          <w:szCs w:val="20"/>
                        </w:rPr>
                        <w:t xml:space="preserve">ts, defined benefit obligations, reserves </w:t>
                      </w:r>
                      <w:r w:rsidRPr="00FE0132">
                        <w:rPr>
                          <w:rFonts w:ascii="Univers 45 Light" w:hAnsi="Univers 45 Light"/>
                          <w:color w:val="FFFFFF" w:themeColor="background1"/>
                          <w:sz w:val="20"/>
                          <w:szCs w:val="20"/>
                        </w:rPr>
                        <w:t>or different operating structures.</w:t>
                      </w:r>
                    </w:p>
                  </w:txbxContent>
                </v:textbox>
                <w10:wrap anchorx="margin"/>
              </v:rect>
            </w:pict>
          </mc:Fallback>
        </mc:AlternateContent>
      </w:r>
      <w:r>
        <w:rPr>
          <w:rFonts w:ascii="Univers 45 Light" w:hAnsi="Univers 45 Light"/>
          <w:sz w:val="20"/>
          <w:szCs w:val="20"/>
        </w:rPr>
        <w:br w:type="page"/>
      </w:r>
    </w:p>
    <w:p w:rsidR="00FE0132" w:rsidRPr="00FE0132" w:rsidRDefault="00FE0132" w:rsidP="00FE0132">
      <w:pPr>
        <w:spacing w:after="0" w:line="276" w:lineRule="auto"/>
        <w:rPr>
          <w:rFonts w:ascii="Univers 45 Light" w:hAnsi="Univers 45 Light" w:cs="Arial"/>
          <w:b/>
          <w:color w:val="00338D" w:themeColor="background2"/>
          <w:sz w:val="24"/>
          <w:szCs w:val="20"/>
          <w:lang w:val="en"/>
        </w:rPr>
      </w:pPr>
      <w:r w:rsidRPr="00FE0132">
        <w:rPr>
          <w:rFonts w:ascii="Univers 45 Light" w:hAnsi="Univers 45 Light" w:cs="Arial"/>
          <w:b/>
          <w:color w:val="00338D" w:themeColor="background2"/>
          <w:sz w:val="24"/>
          <w:szCs w:val="20"/>
          <w:lang w:val="en"/>
        </w:rPr>
        <w:lastRenderedPageBreak/>
        <w:t>Insurance</w:t>
      </w:r>
    </w:p>
    <w:p w:rsidR="00FE0132" w:rsidRPr="00E27B9E" w:rsidRDefault="00FE0132" w:rsidP="00FE0132">
      <w:pPr>
        <w:spacing w:after="0" w:line="276" w:lineRule="auto"/>
        <w:rPr>
          <w:rFonts w:ascii="Univers 45 Light" w:hAnsi="Univers 45 Light" w:cs="Arial"/>
          <w:b/>
          <w:sz w:val="20"/>
          <w:szCs w:val="20"/>
          <w:lang w:val="en"/>
        </w:rPr>
      </w:pPr>
    </w:p>
    <w:p w:rsidR="00FE0132" w:rsidRPr="00E27B9E" w:rsidRDefault="00FE0132" w:rsidP="00FE0132">
      <w:pPr>
        <w:spacing w:after="0" w:line="276" w:lineRule="auto"/>
        <w:rPr>
          <w:rFonts w:ascii="Univers 45 Light" w:hAnsi="Univers 45 Light"/>
          <w:sz w:val="20"/>
          <w:szCs w:val="20"/>
        </w:rPr>
      </w:pPr>
      <w:r w:rsidRPr="00E27B9E">
        <w:rPr>
          <w:rFonts w:ascii="Univers 45 Light" w:hAnsi="Univers 45 Light"/>
          <w:sz w:val="20"/>
          <w:szCs w:val="20"/>
        </w:rPr>
        <w:t xml:space="preserve">KPMG has been quite </w:t>
      </w:r>
      <w:r w:rsidR="00B24FD6">
        <w:rPr>
          <w:rFonts w:ascii="Univers 45 Light" w:hAnsi="Univers 45 Light"/>
          <w:sz w:val="20"/>
          <w:szCs w:val="20"/>
        </w:rPr>
        <w:t>forthright</w:t>
      </w:r>
      <w:r w:rsidRPr="00E27B9E">
        <w:rPr>
          <w:rFonts w:ascii="Univers 45 Light" w:hAnsi="Univers 45 Light"/>
          <w:sz w:val="20"/>
          <w:szCs w:val="20"/>
        </w:rPr>
        <w:t xml:space="preserve"> in relation to insurance within superannuation and has produced a number of papers which outline our support for the changes announced within the Insurance and Superannuation Working Group</w:t>
      </w:r>
      <w:r w:rsidR="00B24FD6">
        <w:rPr>
          <w:rFonts w:ascii="Univers 45 Light" w:hAnsi="Univers 45 Light"/>
          <w:sz w:val="20"/>
          <w:szCs w:val="20"/>
        </w:rPr>
        <w:t xml:space="preserve"> (“ISWG”) </w:t>
      </w:r>
      <w:r w:rsidRPr="00E27B9E">
        <w:rPr>
          <w:rFonts w:ascii="Univers 45 Light" w:hAnsi="Univers 45 Light"/>
          <w:sz w:val="20"/>
          <w:szCs w:val="20"/>
        </w:rPr>
        <w:t xml:space="preserve">Code of Practice.  </w:t>
      </w:r>
    </w:p>
    <w:p w:rsidR="00FE0132" w:rsidRPr="00E27B9E" w:rsidRDefault="00FE0132" w:rsidP="00FE0132">
      <w:pPr>
        <w:spacing w:after="0" w:line="276" w:lineRule="auto"/>
        <w:rPr>
          <w:rFonts w:ascii="Univers 45 Light" w:hAnsi="Univers 45 Light"/>
          <w:sz w:val="20"/>
          <w:szCs w:val="20"/>
        </w:rPr>
      </w:pPr>
    </w:p>
    <w:p w:rsidR="00FE0132" w:rsidRPr="00E27B9E" w:rsidRDefault="00FE0132" w:rsidP="00FE0132">
      <w:pPr>
        <w:spacing w:after="0" w:line="276" w:lineRule="auto"/>
        <w:rPr>
          <w:rFonts w:ascii="Univers 45 Light" w:hAnsi="Univers 45 Light"/>
          <w:sz w:val="20"/>
          <w:szCs w:val="20"/>
        </w:rPr>
      </w:pPr>
      <w:r w:rsidRPr="00E27B9E">
        <w:rPr>
          <w:rFonts w:ascii="Univers 45 Light" w:hAnsi="Univers 45 Light"/>
          <w:sz w:val="20"/>
          <w:szCs w:val="20"/>
        </w:rPr>
        <w:t>KPMG remain concerned about the proposed changes to insurance announced within the Federal Budget in May 2018 and the unintended consequences that may emanate from these proposals.</w:t>
      </w:r>
    </w:p>
    <w:p w:rsidR="00FE0132" w:rsidRPr="00E27B9E" w:rsidRDefault="00FE0132" w:rsidP="00FE0132">
      <w:pPr>
        <w:spacing w:after="0" w:line="276" w:lineRule="auto"/>
        <w:rPr>
          <w:rFonts w:ascii="Univers 45 Light" w:hAnsi="Univers 45 Light"/>
          <w:sz w:val="20"/>
          <w:szCs w:val="20"/>
        </w:rPr>
      </w:pPr>
    </w:p>
    <w:p w:rsidR="00FE0132" w:rsidRPr="00E27B9E" w:rsidRDefault="00FE0132" w:rsidP="00FE0132">
      <w:pPr>
        <w:spacing w:after="0" w:line="276" w:lineRule="auto"/>
        <w:rPr>
          <w:rFonts w:ascii="Univers 45 Light" w:hAnsi="Univers 45 Light"/>
          <w:sz w:val="20"/>
          <w:szCs w:val="20"/>
        </w:rPr>
      </w:pPr>
      <w:r w:rsidRPr="00E27B9E">
        <w:rPr>
          <w:rFonts w:ascii="Univers 45 Light" w:hAnsi="Univers 45 Light"/>
          <w:sz w:val="20"/>
          <w:szCs w:val="20"/>
        </w:rPr>
        <w:t xml:space="preserve">We provide the following links to KPMG’s papers on these matters and would be happy to discuss these with the </w:t>
      </w:r>
      <w:r w:rsidR="00B24FD6">
        <w:rPr>
          <w:rFonts w:ascii="Univers 45 Light" w:hAnsi="Univers 45 Light"/>
          <w:sz w:val="20"/>
          <w:szCs w:val="20"/>
        </w:rPr>
        <w:t>PC</w:t>
      </w:r>
      <w:r w:rsidRPr="00E27B9E">
        <w:rPr>
          <w:rFonts w:ascii="Univers 45 Light" w:hAnsi="Univers 45 Light"/>
          <w:sz w:val="20"/>
          <w:szCs w:val="20"/>
        </w:rPr>
        <w:t>, as required:</w:t>
      </w:r>
    </w:p>
    <w:p w:rsidR="00FE0132" w:rsidRPr="00E27B9E" w:rsidRDefault="00FE0132" w:rsidP="00FE0132">
      <w:pPr>
        <w:spacing w:after="0" w:line="276" w:lineRule="auto"/>
        <w:rPr>
          <w:rFonts w:ascii="Univers 45 Light" w:hAnsi="Univers 45 Light"/>
          <w:sz w:val="20"/>
          <w:szCs w:val="20"/>
        </w:rPr>
      </w:pPr>
    </w:p>
    <w:p w:rsidR="00FE0132" w:rsidRPr="00FE0132" w:rsidRDefault="00FE0132" w:rsidP="00FE0132">
      <w:pPr>
        <w:spacing w:after="0" w:line="276" w:lineRule="auto"/>
        <w:rPr>
          <w:rFonts w:ascii="Univers 45 Light" w:hAnsi="Univers 45 Light"/>
          <w:sz w:val="20"/>
          <w:szCs w:val="20"/>
        </w:rPr>
      </w:pPr>
      <w:r w:rsidRPr="00FE0132">
        <w:rPr>
          <w:rFonts w:ascii="Univers 45 Light" w:hAnsi="Univers 45 Light" w:cs="Arial"/>
          <w:b/>
          <w:bCs/>
          <w:color w:val="00338D"/>
          <w:sz w:val="20"/>
          <w:szCs w:val="20"/>
          <w:lang w:val="en-GB"/>
        </w:rPr>
        <w:t>Review of default group insurance in superannuation</w:t>
      </w:r>
    </w:p>
    <w:p w:rsidR="00FE0132" w:rsidRPr="00FE0132" w:rsidRDefault="006A3E56" w:rsidP="00FE0132">
      <w:pPr>
        <w:spacing w:after="0" w:line="276" w:lineRule="auto"/>
        <w:rPr>
          <w:rFonts w:ascii="Univers 45 Light" w:hAnsi="Univers 45 Light"/>
          <w:color w:val="0000FF"/>
          <w:sz w:val="20"/>
          <w:szCs w:val="20"/>
        </w:rPr>
      </w:pPr>
      <w:hyperlink r:id="rId12" w:history="1">
        <w:r w:rsidR="00FE0132" w:rsidRPr="00FE0132">
          <w:rPr>
            <w:rStyle w:val="Hyperlink"/>
            <w:color w:val="0000FF"/>
            <w:sz w:val="20"/>
            <w:szCs w:val="20"/>
          </w:rPr>
          <w:t>https://home.kpmg.com/au/en/home/insights/2017/09/default-group-insurance-superannuation-review.html</w:t>
        </w:r>
      </w:hyperlink>
      <w:r w:rsidR="00FE0132" w:rsidRPr="00FE0132">
        <w:rPr>
          <w:rFonts w:ascii="Univers 45 Light" w:hAnsi="Univers 45 Light"/>
          <w:color w:val="0000FF"/>
          <w:sz w:val="20"/>
          <w:szCs w:val="20"/>
        </w:rPr>
        <w:t xml:space="preserve"> </w:t>
      </w:r>
    </w:p>
    <w:p w:rsidR="00FE0132" w:rsidRPr="00E27B9E" w:rsidRDefault="00FE0132" w:rsidP="00FE0132">
      <w:pPr>
        <w:spacing w:after="0" w:line="276" w:lineRule="auto"/>
        <w:rPr>
          <w:rFonts w:ascii="Univers 45 Light" w:hAnsi="Univers 45 Light"/>
          <w:sz w:val="20"/>
          <w:szCs w:val="20"/>
        </w:rPr>
      </w:pPr>
    </w:p>
    <w:p w:rsidR="00FE0132" w:rsidRPr="00E27B9E" w:rsidRDefault="00FE0132" w:rsidP="00FE0132">
      <w:pPr>
        <w:spacing w:after="0" w:line="276" w:lineRule="auto"/>
        <w:rPr>
          <w:rFonts w:ascii="Univers 45 Light" w:hAnsi="Univers 45 Light" w:cs="Arial"/>
          <w:b/>
          <w:bCs/>
          <w:color w:val="00338D"/>
          <w:sz w:val="20"/>
          <w:szCs w:val="20"/>
          <w:lang w:val="en-GB"/>
        </w:rPr>
      </w:pPr>
      <w:r w:rsidRPr="00E27B9E">
        <w:rPr>
          <w:rFonts w:ascii="Univers 45 Light" w:hAnsi="Univers 45 Light" w:cs="Arial"/>
          <w:b/>
          <w:bCs/>
          <w:color w:val="00338D"/>
          <w:sz w:val="20"/>
          <w:szCs w:val="20"/>
          <w:lang w:val="en-GB"/>
        </w:rPr>
        <w:t>Insurance in superannuation: The impacts and unintended consequences of the proposed Federal Budget Changes</w:t>
      </w:r>
    </w:p>
    <w:p w:rsidR="00FE0132" w:rsidRPr="00FE0132" w:rsidRDefault="006A3E56" w:rsidP="00FE0132">
      <w:pPr>
        <w:spacing w:after="0" w:line="276" w:lineRule="auto"/>
        <w:rPr>
          <w:rFonts w:ascii="Univers 45 Light" w:hAnsi="Univers 45 Light"/>
          <w:color w:val="0000FF"/>
          <w:sz w:val="20"/>
          <w:szCs w:val="20"/>
        </w:rPr>
      </w:pPr>
      <w:hyperlink r:id="rId13" w:history="1">
        <w:r w:rsidR="00FE0132" w:rsidRPr="00FE0132">
          <w:rPr>
            <w:rStyle w:val="Hyperlink"/>
            <w:color w:val="0000FF"/>
            <w:sz w:val="20"/>
            <w:szCs w:val="20"/>
          </w:rPr>
          <w:t>https://assets.kpmg.com/content/dam/kpmg/au/pdf/2018/insurance-in-superannuation-impact-2018-federal-budget.pdf</w:t>
        </w:r>
      </w:hyperlink>
    </w:p>
    <w:p w:rsidR="002B755D" w:rsidRPr="00E27B9E" w:rsidRDefault="002B755D" w:rsidP="002B755D">
      <w:pPr>
        <w:spacing w:after="0" w:line="276" w:lineRule="auto"/>
        <w:rPr>
          <w:rFonts w:ascii="Univers 45 Light" w:hAnsi="Univers 45 Light"/>
          <w:sz w:val="20"/>
          <w:szCs w:val="20"/>
        </w:rPr>
      </w:pPr>
    </w:p>
    <w:p w:rsidR="002B755D" w:rsidRPr="00E27B9E" w:rsidRDefault="002B755D" w:rsidP="002B755D">
      <w:pPr>
        <w:spacing w:after="0" w:line="276" w:lineRule="auto"/>
        <w:rPr>
          <w:rFonts w:ascii="Univers 45 Light" w:hAnsi="Univers 45 Light"/>
          <w:sz w:val="20"/>
          <w:szCs w:val="20"/>
        </w:rPr>
      </w:pPr>
      <w:r w:rsidRPr="00E27B9E">
        <w:rPr>
          <w:rFonts w:ascii="Univers 45 Light" w:hAnsi="Univers 45 Light"/>
          <w:sz w:val="20"/>
          <w:szCs w:val="20"/>
        </w:rPr>
        <w:t>Furthermore, KPMG notes the following comment within the Draft Report:</w:t>
      </w:r>
    </w:p>
    <w:p w:rsidR="002B755D" w:rsidRPr="00E27B9E" w:rsidRDefault="002B755D" w:rsidP="002B755D">
      <w:pPr>
        <w:spacing w:after="0" w:line="276" w:lineRule="auto"/>
        <w:rPr>
          <w:rFonts w:ascii="Univers 45 Light" w:hAnsi="Univers 45 Light"/>
          <w:sz w:val="20"/>
          <w:szCs w:val="20"/>
        </w:rPr>
      </w:pPr>
    </w:p>
    <w:p w:rsidR="002B755D" w:rsidRPr="00E27B9E" w:rsidRDefault="002B755D" w:rsidP="002B755D">
      <w:pPr>
        <w:spacing w:after="0" w:line="276" w:lineRule="auto"/>
        <w:rPr>
          <w:rFonts w:ascii="Univers 45 Light" w:hAnsi="Univers 45 Light"/>
          <w:i/>
          <w:sz w:val="20"/>
          <w:szCs w:val="20"/>
        </w:rPr>
      </w:pPr>
      <w:r w:rsidRPr="00E27B9E">
        <w:rPr>
          <w:rFonts w:ascii="Univers 45 Light" w:hAnsi="Univers 45 Light"/>
          <w:i/>
          <w:sz w:val="20"/>
          <w:szCs w:val="20"/>
        </w:rPr>
        <w:t>“KPMG (2017) estimated that removing insurance from multiple accounts would only have a modest effect on the average level of balance erosion because it assumed that a large share of duplicate accounts were likely to be very small balances (less than $1000) resulting in multiple insurance policies being limited by exhaustion (or triggering of a fund cessation rule). However, this assumption is implausible. First, ATO data indicates that in 2016-17, around 50 per cent of members with duplicate accounts had less than 90 per cent of their total balance in their main fund. This, coupled with data that shows that members with multiple accounts on average have similar total balances to members with a single account (chapter 6), suggests that many multiple accounts have non-trivial balances. Second, the persistence of multiple accounts across all ages (figure 6.5) suggests that duplicate accounts are not being exhausted.</w:t>
      </w:r>
      <w:r w:rsidR="007B29F3">
        <w:rPr>
          <w:rFonts w:ascii="Univers 45 Light" w:hAnsi="Univers 45 Light"/>
          <w:i/>
          <w:sz w:val="20"/>
          <w:szCs w:val="20"/>
        </w:rPr>
        <w:t>”</w:t>
      </w:r>
    </w:p>
    <w:p w:rsidR="00FE0132" w:rsidRDefault="00FE0132" w:rsidP="00C3559F">
      <w:pPr>
        <w:spacing w:after="0" w:line="276" w:lineRule="auto"/>
        <w:rPr>
          <w:rFonts w:ascii="Univers 45 Light" w:hAnsi="Univers 45 Light"/>
          <w:sz w:val="20"/>
          <w:szCs w:val="20"/>
        </w:rPr>
      </w:pPr>
    </w:p>
    <w:p w:rsidR="003F362A" w:rsidRPr="00E27B9E" w:rsidRDefault="003F362A" w:rsidP="003F362A">
      <w:pPr>
        <w:spacing w:after="0" w:line="276" w:lineRule="auto"/>
        <w:rPr>
          <w:rFonts w:ascii="Univers 45 Light" w:hAnsi="Univers 45 Light"/>
          <w:sz w:val="20"/>
          <w:szCs w:val="20"/>
        </w:rPr>
      </w:pPr>
      <w:r w:rsidRPr="00E27B9E">
        <w:rPr>
          <w:rFonts w:ascii="Univers 45 Light" w:hAnsi="Univers 45 Light"/>
          <w:sz w:val="20"/>
          <w:szCs w:val="20"/>
        </w:rPr>
        <w:t>We make the following comments to clarify our position in relation to this:</w:t>
      </w:r>
    </w:p>
    <w:p w:rsidR="003F362A" w:rsidRPr="00E27B9E" w:rsidRDefault="003F362A" w:rsidP="003F362A">
      <w:pPr>
        <w:spacing w:after="0" w:line="276" w:lineRule="auto"/>
        <w:rPr>
          <w:rFonts w:ascii="Univers 45 Light" w:hAnsi="Univers 45 Light"/>
          <w:sz w:val="20"/>
          <w:szCs w:val="20"/>
        </w:rPr>
      </w:pPr>
    </w:p>
    <w:p w:rsidR="00982329" w:rsidRDefault="003F362A" w:rsidP="00982329">
      <w:pPr>
        <w:spacing w:after="0" w:line="276" w:lineRule="auto"/>
        <w:rPr>
          <w:rFonts w:ascii="Univers 45 Light" w:hAnsi="Univers 45 Light"/>
          <w:sz w:val="20"/>
          <w:szCs w:val="20"/>
        </w:rPr>
      </w:pPr>
      <w:r w:rsidRPr="00E27B9E">
        <w:rPr>
          <w:rFonts w:ascii="Univers 45 Light" w:hAnsi="Univers 45 Light"/>
          <w:sz w:val="20"/>
          <w:szCs w:val="20"/>
        </w:rPr>
        <w:t xml:space="preserve">We believe that the comments made by the </w:t>
      </w:r>
      <w:r w:rsidR="00B24FD6">
        <w:rPr>
          <w:rFonts w:ascii="Univers 45 Light" w:hAnsi="Univers 45 Light"/>
          <w:sz w:val="20"/>
          <w:szCs w:val="20"/>
        </w:rPr>
        <w:t>PC</w:t>
      </w:r>
      <w:r w:rsidRPr="00E27B9E">
        <w:rPr>
          <w:rFonts w:ascii="Univers 45 Light" w:hAnsi="Univers 45 Light"/>
          <w:sz w:val="20"/>
          <w:szCs w:val="20"/>
        </w:rPr>
        <w:t xml:space="preserve"> on th</w:t>
      </w:r>
      <w:r w:rsidR="007B29F3">
        <w:rPr>
          <w:rFonts w:ascii="Univers 45 Light" w:hAnsi="Univers 45 Light"/>
          <w:sz w:val="20"/>
          <w:szCs w:val="20"/>
        </w:rPr>
        <w:t xml:space="preserve">e KPMG report are </w:t>
      </w:r>
      <w:r w:rsidR="00B24FD6">
        <w:rPr>
          <w:rFonts w:ascii="Univers 45 Light" w:hAnsi="Univers 45 Light"/>
          <w:sz w:val="20"/>
          <w:szCs w:val="20"/>
        </w:rPr>
        <w:t>in</w:t>
      </w:r>
      <w:r w:rsidR="007B29F3">
        <w:rPr>
          <w:rFonts w:ascii="Univers 45 Light" w:hAnsi="Univers 45 Light"/>
          <w:sz w:val="20"/>
          <w:szCs w:val="20"/>
        </w:rPr>
        <w:t>accurate.</w:t>
      </w:r>
      <w:r w:rsidR="00D30395">
        <w:rPr>
          <w:rFonts w:ascii="Univers 45 Light" w:hAnsi="Univers 45 Light"/>
          <w:sz w:val="20"/>
          <w:szCs w:val="20"/>
        </w:rPr>
        <w:t xml:space="preserve"> </w:t>
      </w:r>
      <w:r w:rsidRPr="00E27B9E">
        <w:rPr>
          <w:rFonts w:ascii="Univers 45 Light" w:hAnsi="Univers 45 Light"/>
          <w:sz w:val="20"/>
          <w:szCs w:val="20"/>
        </w:rPr>
        <w:t>KPMG did not make the assumption that “a large share of the duplicate accounts are likely</w:t>
      </w:r>
      <w:r w:rsidR="00982329">
        <w:rPr>
          <w:rFonts w:ascii="Univers 45 Light" w:hAnsi="Univers 45 Light"/>
          <w:sz w:val="20"/>
          <w:szCs w:val="20"/>
        </w:rPr>
        <w:t xml:space="preserve"> to have very small balances”. </w:t>
      </w:r>
      <w:r w:rsidR="00982329" w:rsidRPr="00982329">
        <w:rPr>
          <w:rFonts w:ascii="Univers 45 Light" w:hAnsi="Univers 45 Light"/>
          <w:sz w:val="20"/>
          <w:szCs w:val="20"/>
        </w:rPr>
        <w:t>The APRA data indicates that approximately 30% of all accounts have an account balance of less than $1,000 and our model</w:t>
      </w:r>
      <w:r w:rsidR="00982329">
        <w:rPr>
          <w:rFonts w:ascii="Univers 45 Light" w:hAnsi="Univers 45 Light"/>
          <w:sz w:val="20"/>
          <w:szCs w:val="20"/>
        </w:rPr>
        <w:t xml:space="preserve"> point file reflects this fact.</w:t>
      </w:r>
    </w:p>
    <w:p w:rsidR="00982329" w:rsidRDefault="00982329" w:rsidP="00982329">
      <w:pPr>
        <w:spacing w:after="0" w:line="276" w:lineRule="auto"/>
        <w:rPr>
          <w:rFonts w:ascii="Univers 45 Light" w:hAnsi="Univers 45 Light"/>
          <w:sz w:val="20"/>
          <w:szCs w:val="20"/>
        </w:rPr>
      </w:pPr>
    </w:p>
    <w:p w:rsidR="00982329" w:rsidRDefault="00982329" w:rsidP="00982329">
      <w:pPr>
        <w:spacing w:after="0" w:line="276" w:lineRule="auto"/>
        <w:rPr>
          <w:rFonts w:ascii="Univers 45 Light" w:hAnsi="Univers 45 Light"/>
          <w:sz w:val="20"/>
          <w:szCs w:val="20"/>
        </w:rPr>
      </w:pPr>
      <w:r w:rsidRPr="00982329">
        <w:rPr>
          <w:rFonts w:ascii="Univers 45 Light" w:hAnsi="Univers 45 Light"/>
          <w:sz w:val="20"/>
          <w:szCs w:val="20"/>
        </w:rPr>
        <w:t>The draft PC report questions KPMG’s conclusion that removing duplicate accounts has a marginal impact on benefit erosion. Logically, removing duplication would have a significant impact if insurance premiums were able to be deducted from duplicate accounts for a long period of time. However, the data from APRA and the ATO when considered together indicates that in a typical scenario, a member would have a non-trivial main account balance but very sm</w:t>
      </w:r>
      <w:r>
        <w:rPr>
          <w:rFonts w:ascii="Univers 45 Light" w:hAnsi="Univers 45 Light"/>
          <w:sz w:val="20"/>
          <w:szCs w:val="20"/>
        </w:rPr>
        <w:t>all duplicate account balances.</w:t>
      </w:r>
    </w:p>
    <w:p w:rsidR="00982329" w:rsidRDefault="00982329" w:rsidP="00982329">
      <w:pPr>
        <w:spacing w:after="0" w:line="276" w:lineRule="auto"/>
        <w:rPr>
          <w:rFonts w:ascii="Univers 45 Light" w:hAnsi="Univers 45 Light"/>
          <w:sz w:val="20"/>
          <w:szCs w:val="20"/>
        </w:rPr>
      </w:pPr>
    </w:p>
    <w:p w:rsidR="00CC6F9F" w:rsidRDefault="00982329" w:rsidP="00CC6F9F">
      <w:pPr>
        <w:spacing w:after="0" w:line="276" w:lineRule="auto"/>
        <w:rPr>
          <w:rFonts w:ascii="Univers 45 Light" w:hAnsi="Univers 45 Light"/>
          <w:sz w:val="20"/>
          <w:szCs w:val="20"/>
        </w:rPr>
      </w:pPr>
      <w:r w:rsidRPr="00982329">
        <w:rPr>
          <w:rFonts w:ascii="Univers 45 Light" w:hAnsi="Univers 45 Light"/>
          <w:sz w:val="20"/>
          <w:szCs w:val="20"/>
        </w:rPr>
        <w:t>Typically, a member who would have 3 accounts, and a total account balance of $80,000. 90% of the balance would be in the active account ($72,000) and each of the other accounts would have signific</w:t>
      </w:r>
      <w:r w:rsidR="00CC6F9F">
        <w:rPr>
          <w:rFonts w:ascii="Univers 45 Light" w:hAnsi="Univers 45 Light"/>
          <w:sz w:val="20"/>
          <w:szCs w:val="20"/>
        </w:rPr>
        <w:t xml:space="preserve">antly smaller account balances. </w:t>
      </w:r>
      <w:r w:rsidRPr="00982329">
        <w:rPr>
          <w:rFonts w:ascii="Univers 45 Light" w:hAnsi="Univers 45 Light"/>
          <w:sz w:val="20"/>
          <w:szCs w:val="20"/>
        </w:rPr>
        <w:t xml:space="preserve">In our model, each of the duplicate accounts would have </w:t>
      </w:r>
      <w:r w:rsidR="00CC6F9F">
        <w:rPr>
          <w:rFonts w:ascii="Univers 45 Light" w:hAnsi="Univers 45 Light"/>
          <w:sz w:val="20"/>
          <w:szCs w:val="20"/>
        </w:rPr>
        <w:t xml:space="preserve">$4,000 each. </w:t>
      </w:r>
      <w:r w:rsidRPr="00982329">
        <w:rPr>
          <w:rFonts w:ascii="Univers 45 Light" w:hAnsi="Univers 45 Light"/>
          <w:sz w:val="20"/>
          <w:szCs w:val="20"/>
        </w:rPr>
        <w:t>We believe this example is not inconsistent with the PC’s observation that members with more than one account have similar account balances to members with one account.</w:t>
      </w:r>
    </w:p>
    <w:p w:rsidR="00CC6F9F" w:rsidRDefault="00CC6F9F" w:rsidP="00CC6F9F">
      <w:pPr>
        <w:spacing w:after="0" w:line="276" w:lineRule="auto"/>
        <w:rPr>
          <w:rFonts w:ascii="Univers 45 Light" w:hAnsi="Univers 45 Light"/>
          <w:sz w:val="20"/>
          <w:szCs w:val="20"/>
        </w:rPr>
      </w:pPr>
    </w:p>
    <w:p w:rsidR="003F362A" w:rsidRDefault="003F362A" w:rsidP="00CC6F9F">
      <w:pPr>
        <w:spacing w:after="0" w:line="276" w:lineRule="auto"/>
        <w:rPr>
          <w:rFonts w:ascii="Univers 45 Light" w:hAnsi="Univers 45 Light"/>
          <w:sz w:val="20"/>
          <w:szCs w:val="20"/>
        </w:rPr>
      </w:pPr>
      <w:r w:rsidRPr="00E27B9E">
        <w:rPr>
          <w:rFonts w:ascii="Univers 45 Light" w:hAnsi="Univers 45 Light"/>
          <w:sz w:val="20"/>
          <w:szCs w:val="20"/>
        </w:rPr>
        <w:t xml:space="preserve">In terms of the </w:t>
      </w:r>
      <w:r w:rsidR="00982329">
        <w:rPr>
          <w:rFonts w:ascii="Univers 45 Light" w:hAnsi="Univers 45 Light"/>
          <w:sz w:val="20"/>
          <w:szCs w:val="20"/>
        </w:rPr>
        <w:t xml:space="preserve">PC </w:t>
      </w:r>
      <w:r w:rsidRPr="00E27B9E">
        <w:rPr>
          <w:rFonts w:ascii="Univers 45 Light" w:hAnsi="Univers 45 Light"/>
          <w:sz w:val="20"/>
          <w:szCs w:val="20"/>
        </w:rPr>
        <w:t xml:space="preserve">specific comments: </w:t>
      </w:r>
    </w:p>
    <w:p w:rsidR="00CC6F9F" w:rsidRPr="00E27B9E" w:rsidRDefault="00CC6F9F" w:rsidP="00CC6F9F">
      <w:pPr>
        <w:spacing w:after="0" w:line="276" w:lineRule="auto"/>
        <w:rPr>
          <w:rFonts w:ascii="Univers 45 Light" w:hAnsi="Univers 45 Light"/>
          <w:sz w:val="20"/>
          <w:szCs w:val="20"/>
        </w:rPr>
      </w:pPr>
    </w:p>
    <w:p w:rsidR="003F362A" w:rsidRPr="00E27B9E" w:rsidRDefault="003F362A" w:rsidP="003F362A">
      <w:pPr>
        <w:pStyle w:val="ListParagraph"/>
        <w:numPr>
          <w:ilvl w:val="0"/>
          <w:numId w:val="34"/>
        </w:numPr>
        <w:spacing w:after="0" w:line="240" w:lineRule="auto"/>
        <w:ind w:left="426" w:hanging="426"/>
        <w:contextualSpacing w:val="0"/>
        <w:rPr>
          <w:rFonts w:ascii="Univers 45 Light" w:hAnsi="Univers 45 Light"/>
          <w:sz w:val="20"/>
          <w:szCs w:val="20"/>
        </w:rPr>
      </w:pPr>
      <w:r w:rsidRPr="00E27B9E">
        <w:rPr>
          <w:rFonts w:ascii="Univers 45 Light" w:hAnsi="Univers 45 Light"/>
          <w:sz w:val="20"/>
          <w:szCs w:val="20"/>
        </w:rPr>
        <w:t>50 per cent of members with duplicate accounts had less than 90 per cent of their total balance in their main fund.</w:t>
      </w:r>
    </w:p>
    <w:p w:rsidR="003F362A" w:rsidRPr="00E27B9E" w:rsidRDefault="003F362A" w:rsidP="003F362A">
      <w:pPr>
        <w:spacing w:after="0"/>
        <w:rPr>
          <w:rFonts w:ascii="Univers 45 Light" w:hAnsi="Univers 45 Light"/>
          <w:sz w:val="20"/>
          <w:szCs w:val="20"/>
        </w:rPr>
      </w:pPr>
    </w:p>
    <w:p w:rsidR="00CC6F9F" w:rsidRPr="00E27B9E" w:rsidRDefault="003F362A" w:rsidP="003F362A">
      <w:pPr>
        <w:rPr>
          <w:rFonts w:ascii="Univers 45 Light" w:hAnsi="Univers 45 Light"/>
          <w:sz w:val="20"/>
          <w:szCs w:val="20"/>
        </w:rPr>
      </w:pPr>
      <w:r w:rsidRPr="00E27B9E">
        <w:rPr>
          <w:rFonts w:ascii="Univers 45 Light" w:hAnsi="Univers 45 Light"/>
          <w:sz w:val="20"/>
          <w:szCs w:val="20"/>
        </w:rPr>
        <w:t>This is not inconsistent with</w:t>
      </w:r>
      <w:r w:rsidR="0010564C">
        <w:rPr>
          <w:rFonts w:ascii="Univers 45 Light" w:hAnsi="Univers 45 Light"/>
          <w:sz w:val="20"/>
          <w:szCs w:val="20"/>
        </w:rPr>
        <w:t xml:space="preserve"> the</w:t>
      </w:r>
      <w:r w:rsidRPr="00E27B9E">
        <w:rPr>
          <w:rFonts w:ascii="Univers 45 Light" w:hAnsi="Univers 45 Light"/>
          <w:sz w:val="20"/>
          <w:szCs w:val="20"/>
        </w:rPr>
        <w:t xml:space="preserve"> KPMG mod</w:t>
      </w:r>
      <w:r w:rsidR="0010564C">
        <w:rPr>
          <w:rFonts w:ascii="Univers 45 Light" w:hAnsi="Univers 45 Light"/>
          <w:sz w:val="20"/>
          <w:szCs w:val="20"/>
        </w:rPr>
        <w:t xml:space="preserve">el point file or our findings. </w:t>
      </w:r>
      <w:r w:rsidRPr="00E27B9E">
        <w:rPr>
          <w:rFonts w:ascii="Univers 45 Light" w:hAnsi="Univers 45 Light"/>
          <w:sz w:val="20"/>
          <w:szCs w:val="20"/>
        </w:rPr>
        <w:t>The APRA Statistics indicate that the distribution of acc</w:t>
      </w:r>
      <w:r w:rsidR="0010564C">
        <w:rPr>
          <w:rFonts w:ascii="Univers 45 Light" w:hAnsi="Univers 45 Light"/>
          <w:sz w:val="20"/>
          <w:szCs w:val="20"/>
        </w:rPr>
        <w:t xml:space="preserve">ount balance is highly skewed. </w:t>
      </w:r>
      <w:r w:rsidRPr="00E27B9E">
        <w:rPr>
          <w:rFonts w:ascii="Univers 45 Light" w:hAnsi="Univers 45 Light"/>
          <w:sz w:val="20"/>
          <w:szCs w:val="20"/>
        </w:rPr>
        <w:t xml:space="preserve">Specifically, there are a large number of accounts with very small account balances - 30% of all accounts have an account balance of less than $1,000.  </w:t>
      </w:r>
    </w:p>
    <w:p w:rsidR="00CC6F9F" w:rsidRDefault="003F362A" w:rsidP="00CC6F9F">
      <w:pPr>
        <w:pStyle w:val="ListParagraph"/>
        <w:numPr>
          <w:ilvl w:val="0"/>
          <w:numId w:val="34"/>
        </w:numPr>
        <w:spacing w:after="0" w:line="240" w:lineRule="auto"/>
        <w:ind w:left="426" w:hanging="426"/>
        <w:contextualSpacing w:val="0"/>
        <w:rPr>
          <w:rFonts w:ascii="Univers 45 Light" w:hAnsi="Univers 45 Light"/>
          <w:sz w:val="20"/>
          <w:szCs w:val="20"/>
        </w:rPr>
      </w:pPr>
      <w:r w:rsidRPr="00E27B9E">
        <w:rPr>
          <w:rFonts w:ascii="Univers 45 Light" w:hAnsi="Univers 45 Light"/>
          <w:sz w:val="20"/>
          <w:szCs w:val="20"/>
        </w:rPr>
        <w:t xml:space="preserve">Members with multiple accounts, on average, have similar total balances to members with a single account. </w:t>
      </w:r>
    </w:p>
    <w:p w:rsidR="00CC6F9F" w:rsidRDefault="00CC6F9F" w:rsidP="00CC6F9F">
      <w:pPr>
        <w:pStyle w:val="ListParagraph"/>
        <w:spacing w:after="0" w:line="240" w:lineRule="auto"/>
        <w:ind w:left="426"/>
        <w:contextualSpacing w:val="0"/>
        <w:rPr>
          <w:rFonts w:ascii="Univers 45 Light" w:hAnsi="Univers 45 Light"/>
          <w:sz w:val="20"/>
          <w:szCs w:val="20"/>
        </w:rPr>
      </w:pPr>
    </w:p>
    <w:p w:rsidR="003F362A" w:rsidRPr="00CC6F9F" w:rsidRDefault="003F362A" w:rsidP="00CC6F9F">
      <w:pPr>
        <w:spacing w:after="0" w:line="240" w:lineRule="auto"/>
        <w:rPr>
          <w:rFonts w:ascii="Univers 45 Light" w:hAnsi="Univers 45 Light"/>
          <w:sz w:val="20"/>
          <w:szCs w:val="20"/>
        </w:rPr>
      </w:pPr>
      <w:r w:rsidRPr="00CC6F9F">
        <w:rPr>
          <w:rFonts w:ascii="Univers 45 Light" w:hAnsi="Univers 45 Light"/>
          <w:sz w:val="20"/>
          <w:szCs w:val="20"/>
        </w:rPr>
        <w:t>This statement is not inconsistent with KPMG</w:t>
      </w:r>
      <w:r w:rsidR="00CC6F9F">
        <w:rPr>
          <w:rFonts w:ascii="Univers 45 Light" w:hAnsi="Univers 45 Light"/>
          <w:sz w:val="20"/>
          <w:szCs w:val="20"/>
        </w:rPr>
        <w:t xml:space="preserve">’s findings as noted above. </w:t>
      </w:r>
    </w:p>
    <w:p w:rsidR="003F362A" w:rsidRPr="00E27B9E" w:rsidRDefault="003F362A" w:rsidP="003F362A">
      <w:pPr>
        <w:spacing w:after="0" w:line="276" w:lineRule="auto"/>
        <w:rPr>
          <w:rFonts w:ascii="Univers 45 Light" w:hAnsi="Univers 45 Light" w:cs="Arial"/>
          <w:b/>
          <w:sz w:val="20"/>
          <w:szCs w:val="20"/>
          <w:lang w:val="en"/>
        </w:rPr>
      </w:pPr>
    </w:p>
    <w:p w:rsidR="003F362A" w:rsidRPr="003F362A" w:rsidRDefault="003F362A" w:rsidP="003F362A">
      <w:pPr>
        <w:spacing w:after="0" w:line="276" w:lineRule="auto"/>
        <w:rPr>
          <w:rFonts w:ascii="Univers 45 Light" w:hAnsi="Univers 45 Light" w:cs="Arial"/>
          <w:b/>
          <w:color w:val="00338D" w:themeColor="background2"/>
          <w:sz w:val="24"/>
          <w:szCs w:val="20"/>
          <w:lang w:val="en"/>
        </w:rPr>
      </w:pPr>
      <w:r w:rsidRPr="003F362A">
        <w:rPr>
          <w:rFonts w:ascii="Univers 45 Light" w:hAnsi="Univers 45 Light" w:cs="Arial"/>
          <w:b/>
          <w:color w:val="00338D" w:themeColor="background2"/>
          <w:sz w:val="24"/>
          <w:szCs w:val="20"/>
          <w:lang w:val="en"/>
        </w:rPr>
        <w:t>Fund Governance</w:t>
      </w:r>
    </w:p>
    <w:p w:rsidR="003F362A" w:rsidRPr="00E27B9E" w:rsidRDefault="003F362A" w:rsidP="003F362A">
      <w:pPr>
        <w:spacing w:after="0" w:line="276" w:lineRule="auto"/>
        <w:rPr>
          <w:rFonts w:ascii="Univers 45 Light" w:hAnsi="Univers 45 Light"/>
          <w:sz w:val="20"/>
          <w:szCs w:val="20"/>
        </w:rPr>
      </w:pPr>
    </w:p>
    <w:p w:rsidR="003F362A" w:rsidRPr="00E27B9E" w:rsidRDefault="003F362A" w:rsidP="003F362A">
      <w:pPr>
        <w:spacing w:after="0" w:line="276" w:lineRule="auto"/>
        <w:rPr>
          <w:rFonts w:ascii="Univers 45 Light" w:hAnsi="Univers 45 Light"/>
          <w:sz w:val="20"/>
          <w:szCs w:val="20"/>
        </w:rPr>
      </w:pPr>
      <w:r w:rsidRPr="00E27B9E">
        <w:rPr>
          <w:rFonts w:ascii="Univers 45 Light" w:hAnsi="Univers 45 Light"/>
          <w:sz w:val="20"/>
          <w:szCs w:val="20"/>
        </w:rPr>
        <w:t xml:space="preserve">KPMG recognises that the Federal Government has been attempting to pass legislation on a number of occasions in order to introduce the requirement for trustee boards to maintain at least one third of board positions as independent directors.  Whilst this has yet to pass through parliament, KPMG believes that it is more imperative to first have a specific definition as to what constitutes an Independent Director for superannuation trustee board purposes before attempting to legislate a certain percentage of independent directors on a board.  </w:t>
      </w:r>
    </w:p>
    <w:p w:rsidR="003F362A" w:rsidRPr="00E27B9E" w:rsidRDefault="003F362A" w:rsidP="003F362A">
      <w:pPr>
        <w:spacing w:after="0" w:line="276" w:lineRule="auto"/>
        <w:rPr>
          <w:rFonts w:ascii="Univers 45 Light" w:hAnsi="Univers 45 Light"/>
          <w:sz w:val="20"/>
          <w:szCs w:val="20"/>
        </w:rPr>
      </w:pPr>
    </w:p>
    <w:p w:rsidR="003F362A" w:rsidRPr="00E27B9E" w:rsidRDefault="003F362A" w:rsidP="003F362A">
      <w:pPr>
        <w:spacing w:after="0" w:line="276" w:lineRule="auto"/>
        <w:rPr>
          <w:rFonts w:ascii="Univers 45 Light" w:hAnsi="Univers 45 Light"/>
          <w:sz w:val="20"/>
          <w:szCs w:val="20"/>
        </w:rPr>
      </w:pPr>
      <w:r w:rsidRPr="00E27B9E">
        <w:rPr>
          <w:rFonts w:ascii="Univers 45 Light" w:hAnsi="Univers 45 Light"/>
          <w:sz w:val="20"/>
          <w:szCs w:val="20"/>
        </w:rPr>
        <w:t>Furthermore, KPMG agrees with the Draft Report finding that funds should maintain an appropriate level of skills and experience to ensure that, as a whole, the board is able to appropriately meet their responsibilities to fund members.  KPMG does not necessarily believe that this must be achieved through a structure that utilises at least one-third independent directors, however, believes independence of mind and thought is the most appropriate test.</w:t>
      </w:r>
    </w:p>
    <w:p w:rsidR="003F362A" w:rsidRPr="00E27B9E" w:rsidRDefault="003F362A" w:rsidP="003F362A">
      <w:pPr>
        <w:spacing w:after="0" w:line="276" w:lineRule="auto"/>
        <w:rPr>
          <w:rFonts w:ascii="Univers 45 Light" w:hAnsi="Univers 45 Light"/>
          <w:sz w:val="20"/>
          <w:szCs w:val="20"/>
        </w:rPr>
      </w:pPr>
    </w:p>
    <w:p w:rsidR="003F362A" w:rsidRPr="00E27B9E" w:rsidRDefault="003F362A" w:rsidP="003F362A">
      <w:pPr>
        <w:spacing w:after="0" w:line="276" w:lineRule="auto"/>
        <w:rPr>
          <w:rFonts w:ascii="Univers 45 Light" w:hAnsi="Univers 45 Light"/>
          <w:sz w:val="20"/>
          <w:szCs w:val="20"/>
        </w:rPr>
      </w:pPr>
      <w:r w:rsidRPr="00E27B9E">
        <w:rPr>
          <w:rFonts w:ascii="Univers 45 Light" w:hAnsi="Univers 45 Light"/>
          <w:sz w:val="20"/>
          <w:szCs w:val="20"/>
        </w:rPr>
        <w:t xml:space="preserve">KPMG is also supportive of the finding that boards should undertake a regular assessment of performance to ensure they continue to meet </w:t>
      </w:r>
      <w:r w:rsidR="00C32BB9">
        <w:rPr>
          <w:rFonts w:ascii="Univers 45 Light" w:hAnsi="Univers 45 Light"/>
          <w:sz w:val="20"/>
          <w:szCs w:val="20"/>
        </w:rPr>
        <w:t>their</w:t>
      </w:r>
      <w:r w:rsidRPr="00E27B9E">
        <w:rPr>
          <w:rFonts w:ascii="Univers 45 Light" w:hAnsi="Univers 45 Light"/>
          <w:sz w:val="20"/>
          <w:szCs w:val="20"/>
        </w:rPr>
        <w:t xml:space="preserve"> fiduciary responsibilities in relation to members.</w:t>
      </w:r>
    </w:p>
    <w:p w:rsidR="003F362A" w:rsidRPr="00E27B9E" w:rsidRDefault="003F362A" w:rsidP="003F362A">
      <w:pPr>
        <w:spacing w:after="0" w:line="276" w:lineRule="auto"/>
        <w:rPr>
          <w:rFonts w:ascii="Univers 45 Light" w:hAnsi="Univers 45 Light"/>
          <w:sz w:val="20"/>
          <w:szCs w:val="20"/>
        </w:rPr>
      </w:pPr>
    </w:p>
    <w:p w:rsidR="003F362A" w:rsidRPr="003F362A" w:rsidRDefault="003F362A" w:rsidP="003F362A">
      <w:pPr>
        <w:spacing w:after="0" w:line="276" w:lineRule="auto"/>
        <w:rPr>
          <w:rFonts w:ascii="Univers 45 Light" w:hAnsi="Univers 45 Light" w:cs="Arial"/>
          <w:b/>
          <w:color w:val="00338D" w:themeColor="background2"/>
          <w:sz w:val="24"/>
          <w:szCs w:val="20"/>
          <w:lang w:val="en"/>
        </w:rPr>
      </w:pPr>
      <w:r w:rsidRPr="003F362A">
        <w:rPr>
          <w:rFonts w:ascii="Univers 45 Light" w:hAnsi="Univers 45 Light" w:cs="Arial"/>
          <w:b/>
          <w:color w:val="00338D" w:themeColor="background2"/>
          <w:sz w:val="24"/>
          <w:szCs w:val="20"/>
          <w:lang w:val="en"/>
        </w:rPr>
        <w:t xml:space="preserve">System Governance   </w:t>
      </w:r>
    </w:p>
    <w:p w:rsidR="003F362A" w:rsidRPr="00E27B9E" w:rsidRDefault="003F362A" w:rsidP="003F362A">
      <w:pPr>
        <w:spacing w:after="0" w:line="276" w:lineRule="auto"/>
        <w:rPr>
          <w:rFonts w:ascii="Univers 45 Light" w:hAnsi="Univers 45 Light"/>
          <w:sz w:val="20"/>
          <w:szCs w:val="20"/>
        </w:rPr>
      </w:pPr>
    </w:p>
    <w:p w:rsidR="003F362A" w:rsidRDefault="003F362A" w:rsidP="003F362A">
      <w:pPr>
        <w:spacing w:after="0" w:line="276" w:lineRule="auto"/>
        <w:rPr>
          <w:rFonts w:ascii="Univers 45 Light" w:hAnsi="Univers 45 Light"/>
          <w:sz w:val="20"/>
          <w:szCs w:val="20"/>
        </w:rPr>
      </w:pPr>
      <w:r w:rsidRPr="00E27B9E">
        <w:rPr>
          <w:rFonts w:ascii="Univers 45 Light" w:hAnsi="Univers 45 Light"/>
          <w:sz w:val="20"/>
          <w:szCs w:val="20"/>
        </w:rPr>
        <w:t>KPMG remains supportive of the proposed ‘member outcomes test</w:t>
      </w:r>
      <w:r w:rsidR="00C32BB9">
        <w:rPr>
          <w:rFonts w:ascii="Univers 45 Light" w:hAnsi="Univers 45 Light"/>
          <w:sz w:val="20"/>
          <w:szCs w:val="20"/>
        </w:rPr>
        <w:t>’</w:t>
      </w:r>
      <w:r w:rsidRPr="00E27B9E">
        <w:rPr>
          <w:rFonts w:ascii="Univers 45 Light" w:hAnsi="Univers 45 Light"/>
          <w:sz w:val="20"/>
          <w:szCs w:val="20"/>
        </w:rPr>
        <w:t>, which is contained within the Treasury Legislation Amendment (Improving Accountability and Member Outcomes in Superannuation) Bill.</w:t>
      </w:r>
    </w:p>
    <w:p w:rsidR="003F362A" w:rsidRPr="00E27B9E" w:rsidRDefault="003F362A" w:rsidP="003F362A">
      <w:pPr>
        <w:spacing w:after="0" w:line="276" w:lineRule="auto"/>
        <w:rPr>
          <w:rFonts w:ascii="Univers 45 Light" w:hAnsi="Univers 45 Light"/>
          <w:sz w:val="20"/>
          <w:szCs w:val="20"/>
        </w:rPr>
      </w:pPr>
    </w:p>
    <w:p w:rsidR="003F362A" w:rsidRPr="00E27B9E" w:rsidRDefault="003F362A" w:rsidP="003F362A">
      <w:pPr>
        <w:spacing w:after="0" w:line="276" w:lineRule="auto"/>
        <w:rPr>
          <w:rFonts w:ascii="Univers 45 Light" w:hAnsi="Univers 45 Light"/>
          <w:sz w:val="20"/>
          <w:szCs w:val="20"/>
        </w:rPr>
      </w:pPr>
      <w:r w:rsidRPr="00E27B9E">
        <w:rPr>
          <w:rFonts w:ascii="Univers 45 Light" w:hAnsi="Univers 45 Light"/>
          <w:sz w:val="20"/>
          <w:szCs w:val="20"/>
        </w:rPr>
        <w:t>Specifically, KPMG believes that this should form the key tenet for the ongoing viability and sustainability of funds going forward</w:t>
      </w:r>
      <w:r w:rsidR="00CB4BFA">
        <w:rPr>
          <w:rFonts w:ascii="Univers 45 Light" w:hAnsi="Univers 45 Light"/>
          <w:sz w:val="20"/>
          <w:szCs w:val="20"/>
        </w:rPr>
        <w:t xml:space="preserve">. This should </w:t>
      </w:r>
      <w:r w:rsidRPr="00E27B9E">
        <w:rPr>
          <w:rFonts w:ascii="Univers 45 Light" w:hAnsi="Univers 45 Light"/>
          <w:sz w:val="20"/>
          <w:szCs w:val="20"/>
        </w:rPr>
        <w:t>provide the impetus for APRA to be able to cancel a fund’s MySuper authorisation should the trustee not be able to demonstrate that it is achieving the outcomes that it set out to over the assessment period(s).</w:t>
      </w:r>
    </w:p>
    <w:p w:rsidR="003F362A" w:rsidRPr="00E27B9E" w:rsidRDefault="003F362A" w:rsidP="003F362A">
      <w:pPr>
        <w:spacing w:after="0" w:line="276" w:lineRule="auto"/>
        <w:rPr>
          <w:rFonts w:ascii="Univers 45 Light" w:hAnsi="Univers 45 Light"/>
          <w:sz w:val="20"/>
          <w:szCs w:val="20"/>
        </w:rPr>
      </w:pPr>
    </w:p>
    <w:p w:rsidR="003F362A" w:rsidRPr="00E27B9E" w:rsidRDefault="003F362A" w:rsidP="003F362A">
      <w:pPr>
        <w:spacing w:after="0" w:line="276" w:lineRule="auto"/>
        <w:rPr>
          <w:rFonts w:ascii="Univers 45 Light" w:hAnsi="Univers 45 Light"/>
          <w:sz w:val="20"/>
          <w:szCs w:val="20"/>
        </w:rPr>
      </w:pPr>
      <w:r w:rsidRPr="00E27B9E">
        <w:rPr>
          <w:rFonts w:ascii="Univers 45 Light" w:hAnsi="Univers 45 Light"/>
          <w:sz w:val="20"/>
          <w:szCs w:val="20"/>
        </w:rPr>
        <w:t xml:space="preserve">Whilst this will be discussed later within </w:t>
      </w:r>
      <w:r w:rsidR="00CB4BFA">
        <w:rPr>
          <w:rFonts w:ascii="Univers 45 Light" w:hAnsi="Univers 45 Light"/>
          <w:sz w:val="20"/>
          <w:szCs w:val="20"/>
        </w:rPr>
        <w:t>our</w:t>
      </w:r>
      <w:r w:rsidRPr="00E27B9E">
        <w:rPr>
          <w:rFonts w:ascii="Univers 45 Light" w:hAnsi="Univers 45 Light"/>
          <w:sz w:val="20"/>
          <w:szCs w:val="20"/>
        </w:rPr>
        <w:t xml:space="preserve"> submission, KPMG believes that, rather</w:t>
      </w:r>
      <w:r w:rsidR="00384CDC">
        <w:rPr>
          <w:rFonts w:ascii="Univers 45 Light" w:hAnsi="Univers 45 Light"/>
          <w:sz w:val="20"/>
          <w:szCs w:val="20"/>
        </w:rPr>
        <w:t xml:space="preserve"> than the introduction of a ‘Best in Show’ </w:t>
      </w:r>
      <w:r w:rsidRPr="00E27B9E">
        <w:rPr>
          <w:rFonts w:ascii="Univers 45 Light" w:hAnsi="Univers 45 Light"/>
          <w:sz w:val="20"/>
          <w:szCs w:val="20"/>
        </w:rPr>
        <w:t>list of up to 10 funds, the member outcomes test should be utilised to assess funds against an ‘</w:t>
      </w:r>
      <w:r w:rsidR="00CB4BFA">
        <w:rPr>
          <w:rFonts w:ascii="Univers 45 Light" w:hAnsi="Univers 45 Light"/>
          <w:sz w:val="20"/>
          <w:szCs w:val="20"/>
        </w:rPr>
        <w:t>elevated’ MySuper authorisation. This would</w:t>
      </w:r>
      <w:r w:rsidRPr="00E27B9E">
        <w:rPr>
          <w:rFonts w:ascii="Univers 45 Light" w:hAnsi="Univers 45 Light"/>
          <w:sz w:val="20"/>
          <w:szCs w:val="20"/>
        </w:rPr>
        <w:t xml:space="preserve"> allow </w:t>
      </w:r>
      <w:r w:rsidR="00CB4BFA">
        <w:rPr>
          <w:rFonts w:ascii="Univers 45 Light" w:hAnsi="Univers 45 Light"/>
          <w:sz w:val="20"/>
          <w:szCs w:val="20"/>
        </w:rPr>
        <w:t xml:space="preserve">only </w:t>
      </w:r>
      <w:r w:rsidRPr="00E27B9E">
        <w:rPr>
          <w:rFonts w:ascii="Univers 45 Light" w:hAnsi="Univers 45 Light"/>
          <w:sz w:val="20"/>
          <w:szCs w:val="20"/>
        </w:rPr>
        <w:t>a certain number of funds to accept default contributions goi</w:t>
      </w:r>
      <w:r w:rsidR="00E27A25">
        <w:rPr>
          <w:rFonts w:ascii="Univers 45 Light" w:hAnsi="Univers 45 Light"/>
          <w:sz w:val="20"/>
          <w:szCs w:val="20"/>
        </w:rPr>
        <w:t>ng forward</w:t>
      </w:r>
      <w:r w:rsidR="00CB4BFA">
        <w:rPr>
          <w:rFonts w:ascii="Univers 45 Light" w:hAnsi="Univers 45 Light"/>
          <w:sz w:val="20"/>
          <w:szCs w:val="20"/>
        </w:rPr>
        <w:t xml:space="preserve"> by ensuring </w:t>
      </w:r>
      <w:r w:rsidRPr="00E27B9E">
        <w:rPr>
          <w:rFonts w:ascii="Univers 45 Light" w:hAnsi="Univers 45 Light"/>
          <w:sz w:val="20"/>
          <w:szCs w:val="20"/>
        </w:rPr>
        <w:t>that a broader number of strongly performing funds would continue to exist within the industry, which would drive continued competition, whilst also removing a number of underperforming funds from the marketplace.</w:t>
      </w:r>
    </w:p>
    <w:p w:rsidR="002D5BDA" w:rsidRDefault="002D5BDA">
      <w:pPr>
        <w:rPr>
          <w:rFonts w:ascii="Univers 45 Light" w:hAnsi="Univers 45 Light"/>
          <w:sz w:val="20"/>
          <w:szCs w:val="20"/>
        </w:rPr>
      </w:pPr>
      <w:r>
        <w:rPr>
          <w:rFonts w:ascii="Univers 45 Light" w:hAnsi="Univers 45 Light"/>
          <w:sz w:val="20"/>
          <w:szCs w:val="20"/>
        </w:rPr>
        <w:br w:type="page"/>
      </w:r>
    </w:p>
    <w:p w:rsidR="003F362A" w:rsidRDefault="003F362A" w:rsidP="003F362A">
      <w:pPr>
        <w:spacing w:after="0" w:line="276" w:lineRule="auto"/>
        <w:rPr>
          <w:rFonts w:ascii="Univers 45 Light" w:hAnsi="Univers 45 Light"/>
          <w:sz w:val="20"/>
          <w:szCs w:val="20"/>
        </w:rPr>
      </w:pPr>
      <w:r w:rsidRPr="00F73F03">
        <w:rPr>
          <w:rFonts w:ascii="Univers 45 Light" w:eastAsia="Calibri" w:hAnsi="Univers 45 Light" w:cs="Times New Roman"/>
          <w:noProof/>
          <w:sz w:val="20"/>
          <w:lang w:eastAsia="en-AU"/>
        </w:rPr>
        <w:lastRenderedPageBreak/>
        <mc:AlternateContent>
          <mc:Choice Requires="wps">
            <w:drawing>
              <wp:anchor distT="0" distB="0" distL="114300" distR="114300" simplePos="0" relativeHeight="251683840" behindDoc="0" locked="0" layoutInCell="1" allowOverlap="1" wp14:anchorId="2BA0120B" wp14:editId="36E0E7D2">
                <wp:simplePos x="0" y="0"/>
                <wp:positionH relativeFrom="margin">
                  <wp:align>left</wp:align>
                </wp:positionH>
                <wp:positionV relativeFrom="paragraph">
                  <wp:posOffset>179070</wp:posOffset>
                </wp:positionV>
                <wp:extent cx="5662930" cy="2042160"/>
                <wp:effectExtent l="0" t="0" r="0" b="0"/>
                <wp:wrapNone/>
                <wp:docPr id="13" name="Rectangle 13"/>
                <wp:cNvGraphicFramePr/>
                <a:graphic xmlns:a="http://schemas.openxmlformats.org/drawingml/2006/main">
                  <a:graphicData uri="http://schemas.microsoft.com/office/word/2010/wordprocessingShape">
                    <wps:wsp>
                      <wps:cNvSpPr/>
                      <wps:spPr>
                        <a:xfrm>
                          <a:off x="0" y="0"/>
                          <a:ext cx="5662930" cy="2042160"/>
                        </a:xfrm>
                        <a:prstGeom prst="rect">
                          <a:avLst/>
                        </a:prstGeom>
                        <a:solidFill>
                          <a:srgbClr val="0091DA"/>
                        </a:solidFill>
                        <a:ln w="12700" cap="flat" cmpd="sng" algn="ctr">
                          <a:noFill/>
                          <a:prstDash val="solid"/>
                          <a:miter lim="800000"/>
                        </a:ln>
                        <a:effectLst/>
                      </wps:spPr>
                      <wps:txbx>
                        <w:txbxContent>
                          <w:p w:rsidR="003F362A" w:rsidRPr="003F362A" w:rsidRDefault="003F362A" w:rsidP="003F362A">
                            <w:pPr>
                              <w:spacing w:after="0" w:line="276" w:lineRule="auto"/>
                              <w:rPr>
                                <w:rFonts w:ascii="Univers 45 Light" w:hAnsi="Univers 45 Light"/>
                                <w:b/>
                                <w:i/>
                                <w:color w:val="FFFFFF" w:themeColor="background1"/>
                                <w:sz w:val="20"/>
                                <w:szCs w:val="20"/>
                              </w:rPr>
                            </w:pPr>
                            <w:r w:rsidRPr="003F362A">
                              <w:rPr>
                                <w:rFonts w:ascii="Univers 45 Light" w:hAnsi="Univers 45 Light"/>
                                <w:b/>
                                <w:i/>
                                <w:color w:val="FFFFFF" w:themeColor="background1"/>
                                <w:sz w:val="20"/>
                                <w:szCs w:val="20"/>
                              </w:rPr>
                              <w:t>Information request 10.1</w:t>
                            </w:r>
                          </w:p>
                          <w:p w:rsidR="003F362A" w:rsidRPr="003F362A" w:rsidRDefault="003F362A" w:rsidP="003F362A">
                            <w:pPr>
                              <w:spacing w:after="0" w:line="276" w:lineRule="auto"/>
                              <w:rPr>
                                <w:rFonts w:ascii="Univers 45 Light" w:hAnsi="Univers 45 Light"/>
                                <w:color w:val="FFFFFF" w:themeColor="background1"/>
                                <w:sz w:val="20"/>
                                <w:szCs w:val="20"/>
                              </w:rPr>
                            </w:pPr>
                            <w:r w:rsidRPr="003F362A">
                              <w:rPr>
                                <w:rFonts w:ascii="Univers 45 Light" w:hAnsi="Univers 45 Light"/>
                                <w:color w:val="FFFFFF" w:themeColor="background1"/>
                                <w:sz w:val="20"/>
                                <w:szCs w:val="20"/>
                              </w:rPr>
                              <w:t>KPMG believes that the current regulatory focus areas of APRA and ASIC remain appropriate and that the use of the new Australian Financial Complaints Authority (with appropriate funding) will lead to strong outcomes for members and trustees.</w:t>
                            </w:r>
                          </w:p>
                          <w:p w:rsidR="003F362A" w:rsidRPr="003F362A" w:rsidRDefault="003F362A" w:rsidP="003F362A">
                            <w:pPr>
                              <w:spacing w:after="0" w:line="276" w:lineRule="auto"/>
                              <w:rPr>
                                <w:rFonts w:ascii="Univers 45 Light" w:hAnsi="Univers 45 Light"/>
                                <w:color w:val="FFFFFF" w:themeColor="background1"/>
                                <w:sz w:val="20"/>
                                <w:szCs w:val="20"/>
                              </w:rPr>
                            </w:pPr>
                          </w:p>
                          <w:p w:rsidR="003F362A" w:rsidRPr="002D5BDA" w:rsidRDefault="003F362A" w:rsidP="002D5BDA">
                            <w:pPr>
                              <w:spacing w:after="0" w:line="276" w:lineRule="auto"/>
                              <w:rPr>
                                <w:rFonts w:ascii="Univers 45 Light" w:hAnsi="Univers 45 Light"/>
                                <w:color w:val="FFFFFF" w:themeColor="background1"/>
                                <w:sz w:val="20"/>
                                <w:szCs w:val="20"/>
                              </w:rPr>
                            </w:pPr>
                            <w:r w:rsidRPr="003F362A">
                              <w:rPr>
                                <w:rFonts w:ascii="Univers 45 Light" w:hAnsi="Univers 45 Light"/>
                                <w:color w:val="FFFFFF" w:themeColor="background1"/>
                                <w:sz w:val="20"/>
                                <w:szCs w:val="20"/>
                              </w:rPr>
                              <w:t xml:space="preserve">KPMG also believes that the regulators need to play a more forceful role in removing underperforming participants from the industry, rather than continuing to allow these players to participate, regardless of the respectively poorer outcomes that they are delivering to members.  As noted above, we believe the member outcomes test is a strong positive step to assist in this regard, however, APRA must enforce the requirements of this test to remove underperforming funds from the system.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A0120B" id="Rectangle 13" o:spid="_x0000_s1031" style="position:absolute;margin-left:0;margin-top:14.1pt;width:445.9pt;height:160.8pt;z-index:2516838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" fillcolor="#0091da" stroked="f" strokeweight="1pt">
                <v:textbox>
                  <w:txbxContent>
                    <w:p w:rsidR="003F362A" w:rsidRPr="003F362A" w:rsidRDefault="003F362A" w:rsidP="003F362A">
                      <w:pPr>
                        <w:spacing w:after="0" w:line="276" w:lineRule="auto"/>
                        <w:rPr>
                          <w:rFonts w:ascii="Univers 45 Light" w:hAnsi="Univers 45 Light"/>
                          <w:b/>
                          <w:i/>
                          <w:color w:val="FFFFFF" w:themeColor="background1"/>
                          <w:sz w:val="20"/>
                          <w:szCs w:val="20"/>
                        </w:rPr>
                      </w:pPr>
                      <w:r w:rsidRPr="003F362A">
                        <w:rPr>
                          <w:rFonts w:ascii="Univers 45 Light" w:hAnsi="Univers 45 Light"/>
                          <w:b/>
                          <w:i/>
                          <w:color w:val="FFFFFF" w:themeColor="background1"/>
                          <w:sz w:val="20"/>
                          <w:szCs w:val="20"/>
                        </w:rPr>
                        <w:t>Information request 10.1</w:t>
                      </w:r>
                    </w:p>
                    <w:p w:rsidR="003F362A" w:rsidRPr="003F362A" w:rsidRDefault="003F362A" w:rsidP="003F362A">
                      <w:pPr>
                        <w:spacing w:after="0" w:line="276" w:lineRule="auto"/>
                        <w:rPr>
                          <w:rFonts w:ascii="Univers 45 Light" w:hAnsi="Univers 45 Light"/>
                          <w:color w:val="FFFFFF" w:themeColor="background1"/>
                          <w:sz w:val="20"/>
                          <w:szCs w:val="20"/>
                        </w:rPr>
                      </w:pPr>
                      <w:r w:rsidRPr="003F362A">
                        <w:rPr>
                          <w:rFonts w:ascii="Univers 45 Light" w:hAnsi="Univers 45 Light"/>
                          <w:color w:val="FFFFFF" w:themeColor="background1"/>
                          <w:sz w:val="20"/>
                          <w:szCs w:val="20"/>
                        </w:rPr>
                        <w:t>KPMG believes that the current regulatory focus areas of APRA and ASIC remain appropriate and that the use of the new Australian Financial Complaints Authority (with appropriate funding) will lead to strong outcomes for members and trustees.</w:t>
                      </w:r>
                    </w:p>
                    <w:p w:rsidR="003F362A" w:rsidRPr="003F362A" w:rsidRDefault="003F362A" w:rsidP="003F362A">
                      <w:pPr>
                        <w:spacing w:after="0" w:line="276" w:lineRule="auto"/>
                        <w:rPr>
                          <w:rFonts w:ascii="Univers 45 Light" w:hAnsi="Univers 45 Light"/>
                          <w:color w:val="FFFFFF" w:themeColor="background1"/>
                          <w:sz w:val="20"/>
                          <w:szCs w:val="20"/>
                        </w:rPr>
                      </w:pPr>
                    </w:p>
                    <w:p w:rsidR="003F362A" w:rsidRPr="002D5BDA" w:rsidRDefault="003F362A" w:rsidP="002D5BDA">
                      <w:pPr>
                        <w:spacing w:after="0" w:line="276" w:lineRule="auto"/>
                        <w:rPr>
                          <w:rFonts w:ascii="Univers 45 Light" w:hAnsi="Univers 45 Light"/>
                          <w:color w:val="FFFFFF" w:themeColor="background1"/>
                          <w:sz w:val="20"/>
                          <w:szCs w:val="20"/>
                        </w:rPr>
                      </w:pPr>
                      <w:r w:rsidRPr="003F362A">
                        <w:rPr>
                          <w:rFonts w:ascii="Univers 45 Light" w:hAnsi="Univers 45 Light"/>
                          <w:color w:val="FFFFFF" w:themeColor="background1"/>
                          <w:sz w:val="20"/>
                          <w:szCs w:val="20"/>
                        </w:rPr>
                        <w:t xml:space="preserve">KPMG also believes that the regulators need to play a more forceful role in removing underperforming participants from the industry, rather than continuing to allow these players to participate, regardless of the respectively poorer outcomes that they are delivering to members.  As noted above, we believe the member outcomes test is a strong positive step to assist in this regard, however, APRA must enforce the requirements of this test to remove underperforming funds from the system.   </w:t>
                      </w:r>
                    </w:p>
                  </w:txbxContent>
                </v:textbox>
                <w10:wrap anchorx="margin"/>
              </v:rect>
            </w:pict>
          </mc:Fallback>
        </mc:AlternateContent>
      </w:r>
    </w:p>
    <w:p w:rsidR="003F362A" w:rsidRDefault="003F362A" w:rsidP="003F362A">
      <w:pPr>
        <w:spacing w:after="0" w:line="276" w:lineRule="auto"/>
        <w:rPr>
          <w:rFonts w:ascii="Univers 45 Light" w:hAnsi="Univers 45 Light"/>
          <w:sz w:val="20"/>
          <w:szCs w:val="20"/>
        </w:rPr>
      </w:pPr>
    </w:p>
    <w:p w:rsidR="003F362A" w:rsidRPr="00E27B9E" w:rsidRDefault="003F362A" w:rsidP="003F362A">
      <w:pPr>
        <w:spacing w:after="0" w:line="276" w:lineRule="auto"/>
        <w:rPr>
          <w:rFonts w:ascii="Univers 45 Light" w:hAnsi="Univers 45 Light"/>
          <w:sz w:val="20"/>
          <w:szCs w:val="20"/>
        </w:rPr>
      </w:pPr>
    </w:p>
    <w:p w:rsidR="003F362A" w:rsidRDefault="003F362A" w:rsidP="00C3559F">
      <w:pPr>
        <w:spacing w:after="0" w:line="276" w:lineRule="auto"/>
        <w:rPr>
          <w:rFonts w:ascii="Univers 45 Light" w:hAnsi="Univers 45 Light"/>
          <w:sz w:val="20"/>
          <w:szCs w:val="20"/>
        </w:rPr>
      </w:pPr>
    </w:p>
    <w:p w:rsidR="00FE0132" w:rsidRDefault="00FE0132" w:rsidP="00C3559F">
      <w:pPr>
        <w:spacing w:after="0" w:line="276" w:lineRule="auto"/>
        <w:rPr>
          <w:rFonts w:ascii="Univers 45 Light" w:hAnsi="Univers 45 Light"/>
          <w:sz w:val="20"/>
          <w:szCs w:val="20"/>
        </w:rPr>
      </w:pPr>
    </w:p>
    <w:p w:rsidR="003F362A" w:rsidRDefault="003F362A" w:rsidP="00C3559F">
      <w:pPr>
        <w:spacing w:after="0" w:line="276" w:lineRule="auto"/>
        <w:rPr>
          <w:rFonts w:ascii="Univers 45 Light" w:hAnsi="Univers 45 Light"/>
          <w:sz w:val="20"/>
          <w:szCs w:val="20"/>
        </w:rPr>
      </w:pPr>
    </w:p>
    <w:p w:rsidR="003F362A" w:rsidRDefault="003F362A" w:rsidP="00C3559F">
      <w:pPr>
        <w:spacing w:after="0" w:line="276" w:lineRule="auto"/>
        <w:rPr>
          <w:rFonts w:ascii="Univers 45 Light" w:hAnsi="Univers 45 Light"/>
          <w:sz w:val="20"/>
          <w:szCs w:val="20"/>
        </w:rPr>
      </w:pPr>
    </w:p>
    <w:p w:rsidR="003F362A" w:rsidRDefault="003F362A" w:rsidP="00C3559F">
      <w:pPr>
        <w:spacing w:after="0" w:line="276" w:lineRule="auto"/>
        <w:rPr>
          <w:rFonts w:ascii="Univers 45 Light" w:hAnsi="Univers 45 Light"/>
          <w:sz w:val="20"/>
          <w:szCs w:val="20"/>
        </w:rPr>
      </w:pPr>
    </w:p>
    <w:p w:rsidR="003F362A" w:rsidRDefault="003F362A" w:rsidP="00C3559F">
      <w:pPr>
        <w:spacing w:after="0" w:line="276" w:lineRule="auto"/>
        <w:rPr>
          <w:rFonts w:ascii="Univers 45 Light" w:hAnsi="Univers 45 Light"/>
          <w:sz w:val="20"/>
          <w:szCs w:val="20"/>
        </w:rPr>
      </w:pPr>
    </w:p>
    <w:p w:rsidR="003F362A" w:rsidRDefault="003F362A" w:rsidP="00C3559F">
      <w:pPr>
        <w:spacing w:after="0" w:line="276" w:lineRule="auto"/>
        <w:rPr>
          <w:rFonts w:ascii="Univers 45 Light" w:hAnsi="Univers 45 Light"/>
          <w:sz w:val="20"/>
          <w:szCs w:val="20"/>
        </w:rPr>
      </w:pPr>
    </w:p>
    <w:p w:rsidR="003F362A" w:rsidRDefault="003F362A" w:rsidP="00C3559F">
      <w:pPr>
        <w:spacing w:after="0" w:line="276" w:lineRule="auto"/>
        <w:rPr>
          <w:rFonts w:ascii="Univers 45 Light" w:hAnsi="Univers 45 Light"/>
          <w:sz w:val="20"/>
          <w:szCs w:val="20"/>
        </w:rPr>
      </w:pPr>
    </w:p>
    <w:p w:rsidR="003F362A" w:rsidRDefault="003F362A" w:rsidP="00C3559F">
      <w:pPr>
        <w:spacing w:after="0" w:line="276" w:lineRule="auto"/>
        <w:rPr>
          <w:rFonts w:ascii="Univers 45 Light" w:hAnsi="Univers 45 Light"/>
          <w:sz w:val="20"/>
          <w:szCs w:val="20"/>
        </w:rPr>
      </w:pPr>
    </w:p>
    <w:p w:rsidR="003F362A" w:rsidRDefault="003F362A" w:rsidP="00C3559F">
      <w:pPr>
        <w:spacing w:after="0" w:line="276" w:lineRule="auto"/>
        <w:rPr>
          <w:rFonts w:ascii="Univers 45 Light" w:hAnsi="Univers 45 Light"/>
          <w:sz w:val="20"/>
          <w:szCs w:val="20"/>
        </w:rPr>
      </w:pPr>
    </w:p>
    <w:p w:rsidR="003F362A" w:rsidRDefault="003F362A" w:rsidP="00C3559F">
      <w:pPr>
        <w:spacing w:after="0" w:line="276" w:lineRule="auto"/>
        <w:rPr>
          <w:rFonts w:ascii="Univers 45 Light" w:hAnsi="Univers 45 Light"/>
          <w:sz w:val="20"/>
          <w:szCs w:val="20"/>
        </w:rPr>
      </w:pPr>
    </w:p>
    <w:p w:rsidR="003F362A" w:rsidRPr="003F362A" w:rsidRDefault="003F362A" w:rsidP="003F362A">
      <w:pPr>
        <w:spacing w:after="0" w:line="276" w:lineRule="auto"/>
        <w:rPr>
          <w:rFonts w:ascii="Univers 45 Light" w:hAnsi="Univers 45 Light" w:cs="Arial"/>
          <w:b/>
          <w:color w:val="00338D" w:themeColor="background2"/>
          <w:sz w:val="24"/>
          <w:szCs w:val="20"/>
          <w:lang w:val="en"/>
        </w:rPr>
      </w:pPr>
      <w:r w:rsidRPr="003F362A">
        <w:rPr>
          <w:rFonts w:ascii="Univers 45 Light" w:hAnsi="Univers 45 Light" w:cs="Arial"/>
          <w:b/>
          <w:color w:val="00338D" w:themeColor="background2"/>
          <w:sz w:val="24"/>
          <w:szCs w:val="20"/>
          <w:lang w:val="en"/>
        </w:rPr>
        <w:t>Competing for Default Members</w:t>
      </w:r>
    </w:p>
    <w:p w:rsidR="003F362A" w:rsidRPr="00E27B9E" w:rsidRDefault="003F362A" w:rsidP="003F362A">
      <w:pPr>
        <w:spacing w:after="0" w:line="276" w:lineRule="auto"/>
        <w:rPr>
          <w:rFonts w:ascii="Univers 45 Light" w:hAnsi="Univers 45 Light"/>
          <w:sz w:val="20"/>
          <w:szCs w:val="20"/>
        </w:rPr>
      </w:pPr>
    </w:p>
    <w:p w:rsidR="003F362A" w:rsidRPr="00E27B9E" w:rsidRDefault="003F362A" w:rsidP="003F362A">
      <w:pPr>
        <w:spacing w:after="0" w:line="276" w:lineRule="auto"/>
        <w:rPr>
          <w:rFonts w:ascii="Univers 45 Light" w:hAnsi="Univers 45 Light"/>
          <w:sz w:val="20"/>
          <w:szCs w:val="20"/>
        </w:rPr>
      </w:pPr>
      <w:r w:rsidRPr="00E27B9E">
        <w:rPr>
          <w:rFonts w:ascii="Univers 45 Light" w:hAnsi="Univers 45 Light"/>
          <w:sz w:val="20"/>
          <w:szCs w:val="20"/>
        </w:rPr>
        <w:t>KPMG remains concerned with the proposals in relation to the use of a ‘Best in Show’ shortlist of default funds for new members as well as the use of an independent expert panel to determine which funds should sit on this shortlist.</w:t>
      </w:r>
    </w:p>
    <w:p w:rsidR="003F362A" w:rsidRPr="00E27B9E" w:rsidRDefault="003F362A" w:rsidP="003F362A">
      <w:pPr>
        <w:spacing w:after="0" w:line="276" w:lineRule="auto"/>
        <w:rPr>
          <w:rFonts w:ascii="Univers 45 Light" w:hAnsi="Univers 45 Light"/>
          <w:sz w:val="20"/>
          <w:szCs w:val="20"/>
        </w:rPr>
      </w:pPr>
    </w:p>
    <w:p w:rsidR="003F362A" w:rsidRPr="00E27B9E" w:rsidRDefault="003F362A" w:rsidP="003F362A">
      <w:pPr>
        <w:spacing w:after="0" w:line="276" w:lineRule="auto"/>
        <w:rPr>
          <w:rFonts w:ascii="Univers 45 Light" w:hAnsi="Univers 45 Light"/>
          <w:sz w:val="20"/>
          <w:szCs w:val="20"/>
        </w:rPr>
      </w:pPr>
      <w:r w:rsidRPr="00E27B9E">
        <w:rPr>
          <w:rFonts w:ascii="Univers 45 Light" w:hAnsi="Univers 45 Light"/>
          <w:sz w:val="20"/>
          <w:szCs w:val="20"/>
        </w:rPr>
        <w:t>Whilst KPMG agrees with the Draft Report findings in relation to the fact that there are a number of underperforming superannuation funds that continue to be eligible to receive default contributions, we believe that the use of a shortlist of funds as described within the Draft Report could lead to a number of challenging outcomes, including:</w:t>
      </w:r>
    </w:p>
    <w:p w:rsidR="003F362A" w:rsidRPr="00E27B9E" w:rsidRDefault="003F362A" w:rsidP="003F362A">
      <w:pPr>
        <w:spacing w:after="0" w:line="276" w:lineRule="auto"/>
        <w:rPr>
          <w:rFonts w:ascii="Univers 45 Light" w:hAnsi="Univers 45 Light"/>
          <w:sz w:val="20"/>
          <w:szCs w:val="20"/>
        </w:rPr>
      </w:pPr>
    </w:p>
    <w:p w:rsidR="003F362A" w:rsidRPr="00E27B9E" w:rsidRDefault="003F362A" w:rsidP="003F362A">
      <w:pPr>
        <w:pStyle w:val="ListParagraph"/>
        <w:numPr>
          <w:ilvl w:val="0"/>
          <w:numId w:val="36"/>
        </w:numPr>
        <w:spacing w:after="0" w:line="276" w:lineRule="auto"/>
        <w:rPr>
          <w:rFonts w:ascii="Univers 45 Light" w:hAnsi="Univers 45 Light"/>
          <w:sz w:val="20"/>
          <w:szCs w:val="20"/>
        </w:rPr>
      </w:pPr>
      <w:r w:rsidRPr="00E27B9E">
        <w:rPr>
          <w:rFonts w:ascii="Univers 45 Light" w:hAnsi="Univers 45 Light"/>
          <w:sz w:val="20"/>
          <w:szCs w:val="20"/>
        </w:rPr>
        <w:t>A reduction in competition across the sector;</w:t>
      </w:r>
    </w:p>
    <w:p w:rsidR="003F362A" w:rsidRPr="00E27B9E" w:rsidRDefault="003F362A" w:rsidP="003F362A">
      <w:pPr>
        <w:pStyle w:val="ListParagraph"/>
        <w:numPr>
          <w:ilvl w:val="0"/>
          <w:numId w:val="36"/>
        </w:numPr>
        <w:spacing w:after="0" w:line="276" w:lineRule="auto"/>
        <w:rPr>
          <w:rFonts w:ascii="Univers 45 Light" w:hAnsi="Univers 45 Light"/>
          <w:sz w:val="20"/>
          <w:szCs w:val="20"/>
        </w:rPr>
      </w:pPr>
      <w:r w:rsidRPr="00E27B9E">
        <w:rPr>
          <w:rFonts w:ascii="Univers 45 Light" w:hAnsi="Univers 45 Light"/>
          <w:sz w:val="20"/>
          <w:szCs w:val="20"/>
        </w:rPr>
        <w:t>The removal of tailored products (mainly insurance-related) that meet the needs of a certain member demographic or industry segment;</w:t>
      </w:r>
    </w:p>
    <w:p w:rsidR="003F362A" w:rsidRPr="00E27B9E" w:rsidRDefault="003F362A" w:rsidP="003F362A">
      <w:pPr>
        <w:pStyle w:val="ListParagraph"/>
        <w:numPr>
          <w:ilvl w:val="0"/>
          <w:numId w:val="36"/>
        </w:numPr>
        <w:spacing w:after="0" w:line="276" w:lineRule="auto"/>
        <w:rPr>
          <w:rFonts w:ascii="Univers 45 Light" w:hAnsi="Univers 45 Light"/>
          <w:sz w:val="20"/>
          <w:szCs w:val="20"/>
        </w:rPr>
      </w:pPr>
      <w:r w:rsidRPr="00E27B9E">
        <w:rPr>
          <w:rFonts w:ascii="Univers 45 Light" w:hAnsi="Univers 45 Light"/>
          <w:sz w:val="20"/>
          <w:szCs w:val="20"/>
        </w:rPr>
        <w:t>An increased level of risk-taking with regard to investments by some funds to ensure they remain on the shortlist, or gain access to the shortlist at subsequent assessment dates;</w:t>
      </w:r>
    </w:p>
    <w:p w:rsidR="003F362A" w:rsidRPr="00E27B9E" w:rsidRDefault="00162EB8" w:rsidP="003F362A">
      <w:pPr>
        <w:pStyle w:val="ListParagraph"/>
        <w:numPr>
          <w:ilvl w:val="0"/>
          <w:numId w:val="36"/>
        </w:numPr>
        <w:spacing w:after="0" w:line="276" w:lineRule="auto"/>
        <w:rPr>
          <w:rFonts w:ascii="Univers 45 Light" w:hAnsi="Univers 45 Light"/>
          <w:sz w:val="20"/>
          <w:szCs w:val="20"/>
        </w:rPr>
      </w:pPr>
      <w:r>
        <w:rPr>
          <w:rFonts w:ascii="Univers 45 Light" w:hAnsi="Univers 45 Light"/>
          <w:sz w:val="20"/>
          <w:szCs w:val="20"/>
        </w:rPr>
        <w:t xml:space="preserve">The potential removal of non </w:t>
      </w:r>
      <w:r w:rsidR="003F362A" w:rsidRPr="00E27B9E">
        <w:rPr>
          <w:rFonts w:ascii="Univers 45 Light" w:hAnsi="Univers 45 Light"/>
          <w:sz w:val="20"/>
          <w:szCs w:val="20"/>
        </w:rPr>
        <w:t>or limited public offer funds from the superannuation system;</w:t>
      </w:r>
    </w:p>
    <w:p w:rsidR="003F362A" w:rsidRPr="00E27B9E" w:rsidRDefault="003F362A" w:rsidP="003F362A">
      <w:pPr>
        <w:pStyle w:val="ListParagraph"/>
        <w:numPr>
          <w:ilvl w:val="0"/>
          <w:numId w:val="36"/>
        </w:numPr>
        <w:spacing w:after="0" w:line="276" w:lineRule="auto"/>
        <w:rPr>
          <w:rFonts w:ascii="Univers 45 Light" w:hAnsi="Univers 45 Light"/>
          <w:sz w:val="20"/>
          <w:szCs w:val="20"/>
        </w:rPr>
      </w:pPr>
      <w:r w:rsidRPr="00E27B9E">
        <w:rPr>
          <w:rFonts w:ascii="Univers 45 Light" w:hAnsi="Univers 45 Light"/>
          <w:sz w:val="20"/>
          <w:szCs w:val="20"/>
        </w:rPr>
        <w:t>The possible impact of dis-economies of scale as a small number of funds become materially larger, resulting in potential servicing challenges and/or administrative inefficiencies; and</w:t>
      </w:r>
    </w:p>
    <w:p w:rsidR="003F362A" w:rsidRPr="00E27B9E" w:rsidRDefault="003F362A" w:rsidP="003F362A">
      <w:pPr>
        <w:pStyle w:val="ListParagraph"/>
        <w:numPr>
          <w:ilvl w:val="0"/>
          <w:numId w:val="36"/>
        </w:numPr>
        <w:spacing w:after="0" w:line="276" w:lineRule="auto"/>
        <w:rPr>
          <w:rFonts w:ascii="Univers 45 Light" w:hAnsi="Univers 45 Light"/>
          <w:sz w:val="20"/>
          <w:szCs w:val="20"/>
        </w:rPr>
      </w:pPr>
      <w:r w:rsidRPr="00E27B9E">
        <w:rPr>
          <w:rFonts w:ascii="Univers 45 Light" w:hAnsi="Univers 45 Light"/>
          <w:sz w:val="20"/>
          <w:szCs w:val="20"/>
        </w:rPr>
        <w:t>The potential removal of a substantial number of funds and industry players within a very short period of time, which will cause material risks to the overall structure and operation of the superannuation system.</w:t>
      </w:r>
    </w:p>
    <w:p w:rsidR="003F362A" w:rsidRPr="00E27B9E" w:rsidRDefault="003F362A" w:rsidP="003F362A">
      <w:pPr>
        <w:pStyle w:val="ListParagraph"/>
        <w:spacing w:after="0" w:line="276" w:lineRule="auto"/>
        <w:ind w:left="340"/>
        <w:rPr>
          <w:rFonts w:ascii="Univers 45 Light" w:hAnsi="Univers 45 Light"/>
          <w:sz w:val="20"/>
          <w:szCs w:val="20"/>
        </w:rPr>
      </w:pPr>
    </w:p>
    <w:p w:rsidR="003F362A" w:rsidRPr="00E27B9E" w:rsidRDefault="003F362A" w:rsidP="003F362A">
      <w:pPr>
        <w:spacing w:after="0" w:line="276" w:lineRule="auto"/>
        <w:rPr>
          <w:rFonts w:ascii="Univers 45 Light" w:hAnsi="Univers 45 Light"/>
          <w:sz w:val="20"/>
          <w:szCs w:val="20"/>
        </w:rPr>
      </w:pPr>
      <w:r w:rsidRPr="00E27B9E">
        <w:rPr>
          <w:rFonts w:ascii="Univers 45 Light" w:hAnsi="Univers 45 Light"/>
          <w:sz w:val="20"/>
          <w:szCs w:val="20"/>
        </w:rPr>
        <w:t xml:space="preserve">In addition to the above, KPMG remains concerned that the proposed independent expert panel that will oversee the ‘Best in Show’ shortlist </w:t>
      </w:r>
      <w:r w:rsidR="00CB4BFA">
        <w:rPr>
          <w:rFonts w:ascii="Univers 45 Light" w:hAnsi="Univers 45 Light"/>
          <w:sz w:val="20"/>
          <w:szCs w:val="20"/>
        </w:rPr>
        <w:t xml:space="preserve">will </w:t>
      </w:r>
      <w:r w:rsidRPr="00E27B9E">
        <w:rPr>
          <w:rFonts w:ascii="Univers 45 Light" w:hAnsi="Univers 45 Light"/>
          <w:sz w:val="20"/>
          <w:szCs w:val="20"/>
        </w:rPr>
        <w:t>be extremely difficult to constitute and will also be particularly challenged in assessing a list of up to 1</w:t>
      </w:r>
      <w:r w:rsidR="00CB4BFA">
        <w:rPr>
          <w:rFonts w:ascii="Univers 45 Light" w:hAnsi="Univers 45 Light"/>
          <w:sz w:val="20"/>
          <w:szCs w:val="20"/>
        </w:rPr>
        <w:t xml:space="preserve">0 funds.  KPMG recognises that </w:t>
      </w:r>
      <w:r w:rsidRPr="00E27B9E">
        <w:rPr>
          <w:rFonts w:ascii="Univers 45 Light" w:hAnsi="Univers 45 Light"/>
          <w:sz w:val="20"/>
          <w:szCs w:val="20"/>
        </w:rPr>
        <w:t xml:space="preserve">the level of due diligence and analysis required to accurately assess the performance of a superannuation fund </w:t>
      </w:r>
      <w:r w:rsidR="00CB4BFA">
        <w:rPr>
          <w:rFonts w:ascii="Univers 45 Light" w:hAnsi="Univers 45 Light"/>
          <w:sz w:val="20"/>
          <w:szCs w:val="20"/>
        </w:rPr>
        <w:t xml:space="preserve">requires </w:t>
      </w:r>
      <w:r w:rsidRPr="00E27B9E">
        <w:rPr>
          <w:rFonts w:ascii="Univers 45 Light" w:hAnsi="Univers 45 Light"/>
          <w:sz w:val="20"/>
          <w:szCs w:val="20"/>
        </w:rPr>
        <w:t xml:space="preserve">material investment in time and effort, which may be difficult for an independent panel to offer.   </w:t>
      </w:r>
    </w:p>
    <w:p w:rsidR="003F362A" w:rsidRPr="00E27B9E" w:rsidRDefault="003F362A" w:rsidP="003F362A">
      <w:pPr>
        <w:spacing w:after="0" w:line="276" w:lineRule="auto"/>
        <w:rPr>
          <w:rFonts w:ascii="Univers 45 Light" w:hAnsi="Univers 45 Light"/>
          <w:sz w:val="20"/>
          <w:szCs w:val="20"/>
        </w:rPr>
      </w:pPr>
    </w:p>
    <w:p w:rsidR="003F362A" w:rsidRDefault="003F362A" w:rsidP="003F362A">
      <w:pPr>
        <w:spacing w:after="0" w:line="276" w:lineRule="auto"/>
        <w:rPr>
          <w:rFonts w:ascii="Univers 45 Light" w:hAnsi="Univers 45 Light"/>
          <w:sz w:val="20"/>
          <w:szCs w:val="20"/>
        </w:rPr>
      </w:pPr>
      <w:r w:rsidRPr="00E27B9E">
        <w:rPr>
          <w:rFonts w:ascii="Univers 45 Light" w:hAnsi="Univers 45 Light"/>
          <w:sz w:val="20"/>
          <w:szCs w:val="20"/>
        </w:rPr>
        <w:t>Whilst this has been partly addressed in subsequent industry discussions, the challenges associated with the politicisation of such a panel are real and could create an ongoing burden for the industry.</w:t>
      </w:r>
    </w:p>
    <w:p w:rsidR="00B51215" w:rsidRPr="00E27B9E" w:rsidRDefault="00B51215" w:rsidP="003F362A">
      <w:pPr>
        <w:spacing w:after="0" w:line="276" w:lineRule="auto"/>
        <w:rPr>
          <w:rFonts w:ascii="Univers 45 Light" w:hAnsi="Univers 45 Light"/>
          <w:sz w:val="20"/>
          <w:szCs w:val="20"/>
        </w:rPr>
      </w:pPr>
    </w:p>
    <w:p w:rsidR="001D6E6B" w:rsidRPr="00E27B9E" w:rsidRDefault="001D6E6B" w:rsidP="001D6E6B">
      <w:pPr>
        <w:spacing w:after="0" w:line="276" w:lineRule="auto"/>
        <w:rPr>
          <w:rFonts w:ascii="Univers 45 Light" w:hAnsi="Univers 45 Light"/>
          <w:sz w:val="20"/>
          <w:szCs w:val="20"/>
        </w:rPr>
      </w:pPr>
    </w:p>
    <w:p w:rsidR="002D5BDA" w:rsidRDefault="002D5BDA">
      <w:pPr>
        <w:rPr>
          <w:rFonts w:ascii="Univers 45 Light" w:hAnsi="Univers 45 Light" w:cs="Arial"/>
          <w:b/>
          <w:color w:val="00338D" w:themeColor="background2"/>
          <w:sz w:val="28"/>
          <w:szCs w:val="20"/>
          <w:lang w:val="en"/>
        </w:rPr>
      </w:pPr>
      <w:r>
        <w:rPr>
          <w:rFonts w:ascii="Univers 45 Light" w:hAnsi="Univers 45 Light" w:cs="Arial"/>
          <w:b/>
          <w:color w:val="00338D" w:themeColor="background2"/>
          <w:sz w:val="28"/>
          <w:szCs w:val="20"/>
          <w:lang w:val="en"/>
        </w:rPr>
        <w:br w:type="page"/>
      </w:r>
    </w:p>
    <w:p w:rsidR="001D6E6B" w:rsidRPr="001D6E6B" w:rsidRDefault="001D6E6B" w:rsidP="001D6E6B">
      <w:pPr>
        <w:spacing w:after="0" w:line="276" w:lineRule="auto"/>
        <w:rPr>
          <w:rFonts w:ascii="Univers 45 Light" w:hAnsi="Univers 45 Light" w:cs="Arial"/>
          <w:b/>
          <w:color w:val="00338D" w:themeColor="background2"/>
          <w:sz w:val="28"/>
          <w:szCs w:val="20"/>
          <w:lang w:val="en"/>
        </w:rPr>
      </w:pPr>
      <w:bookmarkStart w:id="0" w:name="_GoBack"/>
      <w:bookmarkEnd w:id="0"/>
      <w:r w:rsidRPr="001D6E6B">
        <w:rPr>
          <w:rFonts w:ascii="Univers 45 Light" w:hAnsi="Univers 45 Light" w:cs="Arial"/>
          <w:b/>
          <w:color w:val="00338D" w:themeColor="background2"/>
          <w:sz w:val="28"/>
          <w:szCs w:val="20"/>
          <w:lang w:val="en"/>
        </w:rPr>
        <w:lastRenderedPageBreak/>
        <w:t>Additional KPMG comments</w:t>
      </w:r>
    </w:p>
    <w:p w:rsidR="001D6E6B" w:rsidRPr="00E27B9E" w:rsidRDefault="001D6E6B" w:rsidP="001D6E6B">
      <w:pPr>
        <w:spacing w:after="0" w:line="276" w:lineRule="auto"/>
        <w:rPr>
          <w:rFonts w:ascii="Univers 45 Light" w:hAnsi="Univers 45 Light"/>
          <w:sz w:val="20"/>
          <w:szCs w:val="20"/>
        </w:rPr>
      </w:pPr>
    </w:p>
    <w:p w:rsidR="001D6E6B" w:rsidRPr="001D6E6B" w:rsidRDefault="001D6E6B" w:rsidP="001D6E6B">
      <w:pPr>
        <w:spacing w:after="0" w:line="276" w:lineRule="auto"/>
        <w:rPr>
          <w:rFonts w:ascii="Univers 45 Light" w:hAnsi="Univers 45 Light"/>
          <w:b/>
          <w:color w:val="00338D" w:themeColor="background2"/>
          <w:sz w:val="24"/>
          <w:szCs w:val="20"/>
        </w:rPr>
      </w:pPr>
      <w:r w:rsidRPr="001D6E6B">
        <w:rPr>
          <w:rFonts w:ascii="Univers 45 Light" w:hAnsi="Univers 45 Light"/>
          <w:b/>
          <w:color w:val="00338D" w:themeColor="background2"/>
          <w:sz w:val="24"/>
          <w:szCs w:val="20"/>
        </w:rPr>
        <w:t>Elevated MySuper license model</w:t>
      </w:r>
    </w:p>
    <w:p w:rsidR="001D6E6B" w:rsidRPr="001D6E6B" w:rsidRDefault="001D6E6B" w:rsidP="001D6E6B">
      <w:pPr>
        <w:spacing w:after="0" w:line="276" w:lineRule="auto"/>
        <w:rPr>
          <w:rFonts w:ascii="Univers 45 Light" w:hAnsi="Univers 45 Light"/>
          <w:color w:val="00338D" w:themeColor="background2"/>
          <w:sz w:val="20"/>
          <w:szCs w:val="20"/>
        </w:rPr>
      </w:pPr>
    </w:p>
    <w:p w:rsidR="001D6E6B" w:rsidRPr="00E27B9E" w:rsidRDefault="001D6E6B" w:rsidP="001D6E6B">
      <w:pPr>
        <w:spacing w:after="0" w:line="276" w:lineRule="auto"/>
        <w:rPr>
          <w:rFonts w:ascii="Univers 45 Light" w:hAnsi="Univers 45 Light"/>
          <w:sz w:val="20"/>
          <w:szCs w:val="20"/>
        </w:rPr>
      </w:pPr>
      <w:r w:rsidRPr="00E27B9E">
        <w:rPr>
          <w:rFonts w:ascii="Univers 45 Light" w:hAnsi="Univers 45 Light"/>
          <w:sz w:val="20"/>
          <w:szCs w:val="20"/>
        </w:rPr>
        <w:t xml:space="preserve">As noted above, KPMG would prefer a model that was discussed at the </w:t>
      </w:r>
      <w:r w:rsidR="005E3168">
        <w:rPr>
          <w:rFonts w:ascii="Univers 45 Light" w:hAnsi="Univers 45 Light"/>
          <w:sz w:val="20"/>
          <w:szCs w:val="20"/>
        </w:rPr>
        <w:t>PC</w:t>
      </w:r>
      <w:r w:rsidRPr="00E27B9E">
        <w:rPr>
          <w:rFonts w:ascii="Univers 45 Light" w:hAnsi="Univers 45 Light"/>
          <w:sz w:val="20"/>
          <w:szCs w:val="20"/>
        </w:rPr>
        <w:t xml:space="preserve"> hearing in Sydney in </w:t>
      </w:r>
      <w:r w:rsidR="005E3168">
        <w:rPr>
          <w:rFonts w:ascii="Univers 45 Light" w:hAnsi="Univers 45 Light"/>
          <w:sz w:val="20"/>
          <w:szCs w:val="20"/>
        </w:rPr>
        <w:t>June 2018</w:t>
      </w:r>
      <w:r w:rsidRPr="00E27B9E">
        <w:rPr>
          <w:rFonts w:ascii="Univers 45 Light" w:hAnsi="Univers 45 Light"/>
          <w:sz w:val="20"/>
          <w:szCs w:val="20"/>
        </w:rPr>
        <w:t>, which considered the use of an ‘elevated’ MySuper license to determine ‘</w:t>
      </w:r>
      <w:r w:rsidR="005E3168">
        <w:rPr>
          <w:rFonts w:ascii="Univers 45 Light" w:hAnsi="Univers 45 Light"/>
          <w:sz w:val="20"/>
          <w:szCs w:val="20"/>
        </w:rPr>
        <w:t>default fund status’ and enable</w:t>
      </w:r>
      <w:r w:rsidRPr="00E27B9E">
        <w:rPr>
          <w:rFonts w:ascii="Univers 45 Light" w:hAnsi="Univers 45 Light"/>
          <w:sz w:val="20"/>
          <w:szCs w:val="20"/>
        </w:rPr>
        <w:t xml:space="preserve"> funds to continue t</w:t>
      </w:r>
      <w:r w:rsidR="009C393E">
        <w:rPr>
          <w:rFonts w:ascii="Univers 45 Light" w:hAnsi="Univers 45 Light"/>
          <w:sz w:val="20"/>
          <w:szCs w:val="20"/>
        </w:rPr>
        <w:t xml:space="preserve">o accept default contributions. </w:t>
      </w:r>
      <w:r w:rsidRPr="00E27B9E">
        <w:rPr>
          <w:rFonts w:ascii="Univers 45 Light" w:hAnsi="Univers 45 Light"/>
          <w:sz w:val="20"/>
          <w:szCs w:val="20"/>
        </w:rPr>
        <w:t>KPMG believes that the entity best placed to determine which funds would receive an elevated MySuper license would be APRA and that the assessment criteria for such a license should be closely aligned to the proposed member outcomes test, which considers a range of metrics such as net investment performance, cashflow and fee competitiveness to determine a fund’s ongoing viability</w:t>
      </w:r>
      <w:r w:rsidR="005E3168">
        <w:rPr>
          <w:rFonts w:ascii="Univers 45 Light" w:hAnsi="Univers 45 Light"/>
          <w:sz w:val="20"/>
          <w:szCs w:val="20"/>
        </w:rPr>
        <w:t>. This is coupled with w</w:t>
      </w:r>
      <w:r w:rsidRPr="00E27B9E">
        <w:rPr>
          <w:rFonts w:ascii="Univers 45 Light" w:hAnsi="Univers 45 Light"/>
          <w:sz w:val="20"/>
          <w:szCs w:val="20"/>
        </w:rPr>
        <w:t>hether the outcomes delivered to funds</w:t>
      </w:r>
      <w:r w:rsidR="005E3168">
        <w:rPr>
          <w:rFonts w:ascii="Univers 45 Light" w:hAnsi="Univers 45 Light"/>
          <w:sz w:val="20"/>
          <w:szCs w:val="20"/>
        </w:rPr>
        <w:t>’</w:t>
      </w:r>
      <w:r w:rsidRPr="00E27B9E">
        <w:rPr>
          <w:rFonts w:ascii="Univers 45 Light" w:hAnsi="Univers 45 Light"/>
          <w:sz w:val="20"/>
          <w:szCs w:val="20"/>
        </w:rPr>
        <w:t xml:space="preserve"> members are in their best interests.</w:t>
      </w:r>
    </w:p>
    <w:p w:rsidR="001D6E6B" w:rsidRPr="00E27B9E" w:rsidRDefault="001D6E6B" w:rsidP="001D6E6B">
      <w:pPr>
        <w:spacing w:after="0" w:line="276" w:lineRule="auto"/>
        <w:rPr>
          <w:rFonts w:ascii="Univers 45 Light" w:hAnsi="Univers 45 Light"/>
          <w:sz w:val="20"/>
          <w:szCs w:val="20"/>
        </w:rPr>
      </w:pPr>
    </w:p>
    <w:p w:rsidR="001D6E6B" w:rsidRPr="00E27B9E" w:rsidRDefault="001D6E6B" w:rsidP="001D6E6B">
      <w:pPr>
        <w:spacing w:after="0" w:line="276" w:lineRule="auto"/>
        <w:rPr>
          <w:rFonts w:ascii="Univers 45 Light" w:hAnsi="Univers 45 Light"/>
          <w:sz w:val="20"/>
          <w:szCs w:val="20"/>
        </w:rPr>
      </w:pPr>
      <w:r w:rsidRPr="00E27B9E">
        <w:rPr>
          <w:rFonts w:ascii="Univers 45 Light" w:hAnsi="Univers 45 Light"/>
          <w:sz w:val="20"/>
          <w:szCs w:val="20"/>
        </w:rPr>
        <w:t xml:space="preserve">Under such a model, the number of funds that could be considered appropriate </w:t>
      </w:r>
      <w:r w:rsidR="005E3168">
        <w:rPr>
          <w:rFonts w:ascii="Univers 45 Light" w:hAnsi="Univers 45 Light"/>
          <w:sz w:val="20"/>
          <w:szCs w:val="20"/>
        </w:rPr>
        <w:t>may</w:t>
      </w:r>
      <w:r w:rsidRPr="00E27B9E">
        <w:rPr>
          <w:rFonts w:ascii="Univers 45 Light" w:hAnsi="Univers 45 Light"/>
          <w:sz w:val="20"/>
          <w:szCs w:val="20"/>
        </w:rPr>
        <w:t xml:space="preserve"> be reduced from the existing 100-odd MySuper licensed entities to approximately half or even less, with the remaining number of funds being required to compete on a choice basis, given the outcomes they have delivered to default members are unlikely to be within the top half of funds.</w:t>
      </w:r>
    </w:p>
    <w:p w:rsidR="001D6E6B" w:rsidRPr="00E27B9E" w:rsidRDefault="001D6E6B" w:rsidP="001D6E6B">
      <w:pPr>
        <w:spacing w:after="0" w:line="276" w:lineRule="auto"/>
        <w:rPr>
          <w:rFonts w:ascii="Univers 45 Light" w:hAnsi="Univers 45 Light"/>
          <w:sz w:val="20"/>
          <w:szCs w:val="20"/>
        </w:rPr>
      </w:pPr>
    </w:p>
    <w:p w:rsidR="001D6E6B" w:rsidRPr="00E27B9E" w:rsidRDefault="001D6E6B" w:rsidP="001D6E6B">
      <w:pPr>
        <w:spacing w:after="0" w:line="276" w:lineRule="auto"/>
        <w:rPr>
          <w:rFonts w:ascii="Univers 45 Light" w:hAnsi="Univers 45 Light"/>
          <w:sz w:val="20"/>
          <w:szCs w:val="20"/>
        </w:rPr>
      </w:pPr>
      <w:r w:rsidRPr="00E27B9E">
        <w:rPr>
          <w:rFonts w:ascii="Univers 45 Light" w:hAnsi="Univers 45 Light"/>
          <w:sz w:val="20"/>
          <w:szCs w:val="20"/>
        </w:rPr>
        <w:t>KPMG believes that such a model would remove almost all of the potential challenges noted above in relation to the ‘Best in Show’ shortlist overseen by the independent expert panel and would result in an appropriate uplift in the outcomes delivered to default superannuation fund members, noted within the Draft Report.</w:t>
      </w:r>
    </w:p>
    <w:p w:rsidR="003F7DFD" w:rsidRPr="00E27B9E" w:rsidRDefault="003F7DFD" w:rsidP="001D6E6B">
      <w:pPr>
        <w:spacing w:after="0" w:line="276" w:lineRule="auto"/>
        <w:rPr>
          <w:rFonts w:ascii="Univers 45 Light" w:hAnsi="Univers 45 Light"/>
          <w:sz w:val="20"/>
          <w:szCs w:val="20"/>
        </w:rPr>
      </w:pPr>
    </w:p>
    <w:p w:rsidR="001D6E6B" w:rsidRDefault="001D6E6B" w:rsidP="001D6E6B">
      <w:pPr>
        <w:spacing w:after="0" w:line="276" w:lineRule="auto"/>
        <w:rPr>
          <w:rFonts w:ascii="Univers 45 Light" w:hAnsi="Univers 45 Light"/>
          <w:b/>
          <w:color w:val="00338D" w:themeColor="background2"/>
          <w:sz w:val="24"/>
          <w:szCs w:val="20"/>
        </w:rPr>
      </w:pPr>
      <w:r w:rsidRPr="001D6E6B">
        <w:rPr>
          <w:rFonts w:ascii="Univers 45 Light" w:hAnsi="Univers 45 Light"/>
          <w:b/>
          <w:color w:val="00338D" w:themeColor="background2"/>
          <w:sz w:val="24"/>
          <w:szCs w:val="20"/>
        </w:rPr>
        <w:t>Auto-consolidation of accounts</w:t>
      </w:r>
    </w:p>
    <w:p w:rsidR="001D6E6B" w:rsidRPr="001D6E6B" w:rsidRDefault="001D6E6B" w:rsidP="001D6E6B">
      <w:pPr>
        <w:spacing w:after="0" w:line="276" w:lineRule="auto"/>
        <w:rPr>
          <w:rFonts w:ascii="Univers 45 Light" w:hAnsi="Univers 45 Light"/>
          <w:color w:val="00338D" w:themeColor="background2"/>
          <w:sz w:val="20"/>
          <w:szCs w:val="20"/>
        </w:rPr>
      </w:pPr>
    </w:p>
    <w:p w:rsidR="001D6E6B" w:rsidRPr="00E27B9E" w:rsidRDefault="001D6E6B" w:rsidP="001D6E6B">
      <w:pPr>
        <w:spacing w:after="0" w:line="276" w:lineRule="auto"/>
        <w:rPr>
          <w:rFonts w:ascii="Univers 45 Light" w:hAnsi="Univers 45 Light"/>
          <w:sz w:val="20"/>
          <w:szCs w:val="20"/>
        </w:rPr>
      </w:pPr>
      <w:r w:rsidRPr="00E27B9E">
        <w:rPr>
          <w:rFonts w:ascii="Univers 45 Light" w:hAnsi="Univers 45 Light"/>
          <w:sz w:val="20"/>
          <w:szCs w:val="20"/>
        </w:rPr>
        <w:t xml:space="preserve">Through past experiences with the New Zealand KiwiSaver system, which is one of the most </w:t>
      </w:r>
      <w:r w:rsidR="005E3168">
        <w:rPr>
          <w:rFonts w:ascii="Univers 45 Light" w:hAnsi="Univers 45 Light"/>
          <w:sz w:val="20"/>
          <w:szCs w:val="20"/>
        </w:rPr>
        <w:t>efficient</w:t>
      </w:r>
      <w:r w:rsidRPr="00E27B9E">
        <w:rPr>
          <w:rFonts w:ascii="Univers 45 Light" w:hAnsi="Univers 45 Light"/>
          <w:sz w:val="20"/>
          <w:szCs w:val="20"/>
        </w:rPr>
        <w:t xml:space="preserve"> retirement income systems, KPMG believes that there are a number of possible learnings that could be implemented within the Australian system to drive further efficiencies and improve outcomes for members.</w:t>
      </w:r>
    </w:p>
    <w:p w:rsidR="001D6E6B" w:rsidRPr="00E27B9E" w:rsidRDefault="001D6E6B" w:rsidP="001D6E6B">
      <w:pPr>
        <w:spacing w:after="0" w:line="276" w:lineRule="auto"/>
        <w:rPr>
          <w:rFonts w:ascii="Univers 45 Light" w:hAnsi="Univers 45 Light"/>
          <w:sz w:val="20"/>
          <w:szCs w:val="20"/>
        </w:rPr>
      </w:pPr>
    </w:p>
    <w:p w:rsidR="001D6E6B" w:rsidRPr="00E27B9E" w:rsidRDefault="001D6E6B" w:rsidP="001D6E6B">
      <w:pPr>
        <w:spacing w:after="0" w:line="276" w:lineRule="auto"/>
        <w:rPr>
          <w:rFonts w:ascii="Univers 45 Light" w:hAnsi="Univers 45 Light"/>
          <w:sz w:val="20"/>
          <w:szCs w:val="20"/>
        </w:rPr>
      </w:pPr>
      <w:r w:rsidRPr="00E27B9E">
        <w:rPr>
          <w:rFonts w:ascii="Univers 45 Light" w:hAnsi="Univers 45 Light"/>
          <w:sz w:val="20"/>
          <w:szCs w:val="20"/>
        </w:rPr>
        <w:t>Specifically, KPMG notes that the KiwiSaver system operates on the basis of an elevated default license, where 8 providers are current</w:t>
      </w:r>
      <w:r w:rsidR="004A4EE5">
        <w:rPr>
          <w:rFonts w:ascii="Univers 45 Light" w:hAnsi="Univers 45 Light"/>
          <w:sz w:val="20"/>
          <w:szCs w:val="20"/>
        </w:rPr>
        <w:t>ly</w:t>
      </w:r>
      <w:r w:rsidRPr="00E27B9E">
        <w:rPr>
          <w:rFonts w:ascii="Univers 45 Light" w:hAnsi="Univers 45 Light"/>
          <w:sz w:val="20"/>
          <w:szCs w:val="20"/>
        </w:rPr>
        <w:t xml:space="preserve"> able to receive default contributions.  Furthermore, the KiwiSaver system utilises a notion of auto-consolidation of accounts, which results in the automatic rollover of member balances into a single acc</w:t>
      </w:r>
      <w:r w:rsidR="004A4EE5">
        <w:rPr>
          <w:rFonts w:ascii="Univers 45 Light" w:hAnsi="Univers 45 Light"/>
          <w:sz w:val="20"/>
          <w:szCs w:val="20"/>
        </w:rPr>
        <w:t>ount as soon as</w:t>
      </w:r>
      <w:r w:rsidR="005E3168">
        <w:rPr>
          <w:rFonts w:ascii="Univers 45 Light" w:hAnsi="Univers 45 Light"/>
          <w:sz w:val="20"/>
          <w:szCs w:val="20"/>
        </w:rPr>
        <w:t xml:space="preserve"> an account is </w:t>
      </w:r>
      <w:r w:rsidR="004A4EE5">
        <w:rPr>
          <w:rFonts w:ascii="Univers 45 Light" w:hAnsi="Univers 45 Light"/>
          <w:sz w:val="20"/>
          <w:szCs w:val="20"/>
        </w:rPr>
        <w:t xml:space="preserve">opened. </w:t>
      </w:r>
      <w:r w:rsidRPr="00E27B9E">
        <w:rPr>
          <w:rFonts w:ascii="Univers 45 Light" w:hAnsi="Univers 45 Light"/>
          <w:sz w:val="20"/>
          <w:szCs w:val="20"/>
        </w:rPr>
        <w:t xml:space="preserve">Specifically, where a member opens a new KiwiSaver account, a trigger is sent to the NZ Inland Revenue Department (which is effectively the ATO equivalent) requesting a rollover of any other KiwiSaver accounts </w:t>
      </w:r>
      <w:r w:rsidR="005E3168">
        <w:rPr>
          <w:rFonts w:ascii="Univers 45 Light" w:hAnsi="Univers 45 Light"/>
          <w:sz w:val="20"/>
          <w:szCs w:val="20"/>
        </w:rPr>
        <w:t xml:space="preserve">automatically, </w:t>
      </w:r>
      <w:r w:rsidRPr="00E27B9E">
        <w:rPr>
          <w:rFonts w:ascii="Univers 45 Light" w:hAnsi="Univers 45 Light"/>
          <w:sz w:val="20"/>
          <w:szCs w:val="20"/>
        </w:rPr>
        <w:t>such that members only ever have a single retirement account.</w:t>
      </w:r>
    </w:p>
    <w:p w:rsidR="001D6E6B" w:rsidRPr="00E27B9E" w:rsidRDefault="001D6E6B" w:rsidP="001D6E6B">
      <w:pPr>
        <w:spacing w:after="0" w:line="276" w:lineRule="auto"/>
        <w:rPr>
          <w:rFonts w:ascii="Univers 45 Light" w:hAnsi="Univers 45 Light"/>
          <w:sz w:val="20"/>
          <w:szCs w:val="20"/>
        </w:rPr>
      </w:pPr>
    </w:p>
    <w:p w:rsidR="00FE0132" w:rsidRDefault="001D6E6B" w:rsidP="00C3559F">
      <w:pPr>
        <w:spacing w:after="0" w:line="276" w:lineRule="auto"/>
        <w:rPr>
          <w:rFonts w:ascii="Univers 45 Light" w:hAnsi="Univers 45 Light"/>
          <w:sz w:val="20"/>
          <w:szCs w:val="20"/>
        </w:rPr>
        <w:sectPr w:rsidR="00FE0132" w:rsidSect="00961ECD">
          <w:headerReference w:type="default" r:id="rId14"/>
          <w:pgSz w:w="11906" w:h="16838"/>
          <w:pgMar w:top="1411" w:right="1411" w:bottom="1411" w:left="1411" w:header="706" w:footer="706" w:gutter="0"/>
          <w:cols w:space="708"/>
          <w:docGrid w:linePitch="360"/>
        </w:sectPr>
      </w:pPr>
      <w:r w:rsidRPr="00E27B9E">
        <w:rPr>
          <w:rFonts w:ascii="Univers 45 Light" w:hAnsi="Univers 45 Light"/>
          <w:sz w:val="20"/>
          <w:szCs w:val="20"/>
        </w:rPr>
        <w:t xml:space="preserve">KPMG believes that such a system, if introduced into the Australian </w:t>
      </w:r>
      <w:r w:rsidR="005E3168">
        <w:rPr>
          <w:rFonts w:ascii="Univers 45 Light" w:hAnsi="Univers 45 Light"/>
          <w:sz w:val="20"/>
          <w:szCs w:val="20"/>
        </w:rPr>
        <w:t>context</w:t>
      </w:r>
      <w:r w:rsidRPr="00E27B9E">
        <w:rPr>
          <w:rFonts w:ascii="Univers 45 Light" w:hAnsi="Univers 45 Light"/>
          <w:sz w:val="20"/>
          <w:szCs w:val="20"/>
        </w:rPr>
        <w:t xml:space="preserve">, would almost immediately remove the multiple account issue, which has caused many issues </w:t>
      </w:r>
      <w:r w:rsidR="005E3168">
        <w:rPr>
          <w:rFonts w:ascii="Univers 45 Light" w:hAnsi="Univers 45 Light"/>
          <w:sz w:val="20"/>
          <w:szCs w:val="20"/>
        </w:rPr>
        <w:t xml:space="preserve">to date </w:t>
      </w:r>
      <w:r w:rsidRPr="00E27B9E">
        <w:rPr>
          <w:rFonts w:ascii="Univers 45 Light" w:hAnsi="Univers 45 Light"/>
          <w:sz w:val="20"/>
          <w:szCs w:val="20"/>
        </w:rPr>
        <w:t>with</w:t>
      </w:r>
      <w:r w:rsidR="005E3168">
        <w:rPr>
          <w:rFonts w:ascii="Univers 45 Light" w:hAnsi="Univers 45 Light"/>
          <w:sz w:val="20"/>
          <w:szCs w:val="20"/>
        </w:rPr>
        <w:t>in</w:t>
      </w:r>
      <w:r w:rsidRPr="00E27B9E">
        <w:rPr>
          <w:rFonts w:ascii="Univers 45 Light" w:hAnsi="Univers 45 Light"/>
          <w:sz w:val="20"/>
          <w:szCs w:val="20"/>
        </w:rPr>
        <w:t xml:space="preserve"> the current system</w:t>
      </w:r>
      <w:r w:rsidR="005E3168">
        <w:rPr>
          <w:rFonts w:ascii="Univers 45 Light" w:hAnsi="Univers 45 Light"/>
          <w:sz w:val="20"/>
          <w:szCs w:val="20"/>
        </w:rPr>
        <w:t xml:space="preserve">. This </w:t>
      </w:r>
      <w:r w:rsidRPr="00E27B9E">
        <w:rPr>
          <w:rFonts w:ascii="Univers 45 Light" w:hAnsi="Univers 45 Light"/>
          <w:sz w:val="20"/>
          <w:szCs w:val="20"/>
        </w:rPr>
        <w:t>would ensure that members maintain only a single accou</w:t>
      </w:r>
      <w:r w:rsidR="00E462A3">
        <w:rPr>
          <w:rFonts w:ascii="Univers 45 Light" w:hAnsi="Univers 45 Light"/>
          <w:sz w:val="20"/>
          <w:szCs w:val="20"/>
        </w:rPr>
        <w:t xml:space="preserve">nt for their retirement needs. </w:t>
      </w:r>
      <w:r w:rsidRPr="00E27B9E">
        <w:rPr>
          <w:rFonts w:ascii="Univers 45 Light" w:hAnsi="Univers 45 Light"/>
          <w:sz w:val="20"/>
          <w:szCs w:val="20"/>
        </w:rPr>
        <w:t xml:space="preserve">The only challenge associated with the introduction of such a structure </w:t>
      </w:r>
      <w:r w:rsidR="00E462A3">
        <w:rPr>
          <w:rFonts w:ascii="Univers 45 Light" w:hAnsi="Univers 45 Light"/>
          <w:sz w:val="20"/>
          <w:szCs w:val="20"/>
        </w:rPr>
        <w:t xml:space="preserve">within Australia is insurance. </w:t>
      </w:r>
      <w:r w:rsidRPr="00E27B9E">
        <w:rPr>
          <w:rFonts w:ascii="Univers 45 Light" w:hAnsi="Univers 45 Light"/>
          <w:sz w:val="20"/>
          <w:szCs w:val="20"/>
        </w:rPr>
        <w:t xml:space="preserve">The KiwiSaver system does not offer default insurance to members and as such, the cancellation of an account and subsequent consolidation of accounts into the new account remains a simple </w:t>
      </w:r>
      <w:r w:rsidR="00E462A3">
        <w:rPr>
          <w:rFonts w:ascii="Univers 45 Light" w:hAnsi="Univers 45 Light"/>
          <w:sz w:val="20"/>
          <w:szCs w:val="20"/>
        </w:rPr>
        <w:t xml:space="preserve">process. </w:t>
      </w:r>
      <w:r w:rsidRPr="00E27B9E">
        <w:rPr>
          <w:rFonts w:ascii="Univers 45 Light" w:hAnsi="Univers 45 Light"/>
          <w:sz w:val="20"/>
          <w:szCs w:val="20"/>
        </w:rPr>
        <w:t xml:space="preserve">In Australia, however, we note that insurance remains a crucial part of the </w:t>
      </w:r>
    </w:p>
    <w:p w:rsidR="005D0599" w:rsidRDefault="005D0599" w:rsidP="00022D7A">
      <w:pPr>
        <w:spacing w:after="0" w:line="276" w:lineRule="auto"/>
        <w:rPr>
          <w:rFonts w:ascii="Univers 45 Light" w:hAnsi="Univers 45 Light"/>
          <w:sz w:val="20"/>
          <w:szCs w:val="20"/>
        </w:rPr>
      </w:pPr>
      <w:r w:rsidRPr="005D0599">
        <w:rPr>
          <w:rFonts w:ascii="Univers 45 Light" w:hAnsi="Univers 45 Light"/>
          <w:sz w:val="20"/>
          <w:szCs w:val="20"/>
        </w:rPr>
        <w:lastRenderedPageBreak/>
        <w:t>superannuation system and the automatic consolidation of accounts may prese</w:t>
      </w:r>
      <w:r w:rsidR="003E1CBC">
        <w:rPr>
          <w:rFonts w:ascii="Univers 45 Light" w:hAnsi="Univers 45 Light"/>
          <w:sz w:val="20"/>
          <w:szCs w:val="20"/>
        </w:rPr>
        <w:t xml:space="preserve">nt some issues in this regard. </w:t>
      </w:r>
      <w:r w:rsidRPr="005D0599">
        <w:rPr>
          <w:rFonts w:ascii="Univers 45 Light" w:hAnsi="Univers 45 Light"/>
          <w:sz w:val="20"/>
          <w:szCs w:val="20"/>
        </w:rPr>
        <w:t>Given the recent ISWG Code and Federal Budget announcements in relation to insurance, we do believe that this could be appropriately addressed going forward.</w:t>
      </w:r>
    </w:p>
    <w:p w:rsidR="005D0599" w:rsidRDefault="005D0599" w:rsidP="00022D7A">
      <w:pPr>
        <w:spacing w:after="0" w:line="276" w:lineRule="auto"/>
        <w:rPr>
          <w:rFonts w:ascii="Univers 45 Light" w:hAnsi="Univers 45 Light"/>
          <w:sz w:val="20"/>
          <w:szCs w:val="20"/>
        </w:rPr>
      </w:pPr>
    </w:p>
    <w:p w:rsidR="00EE4E62" w:rsidRDefault="00EE4E62" w:rsidP="000B595D">
      <w:pPr>
        <w:spacing w:after="0" w:line="276" w:lineRule="auto"/>
        <w:rPr>
          <w:rFonts w:ascii="Univers 45 Light" w:hAnsi="Univers 45 Light"/>
          <w:b/>
          <w:sz w:val="20"/>
          <w:szCs w:val="20"/>
        </w:rPr>
      </w:pPr>
    </w:p>
    <w:p w:rsidR="00EE4E62" w:rsidRDefault="00EE4E62" w:rsidP="000B595D">
      <w:pPr>
        <w:spacing w:after="0" w:line="276" w:lineRule="auto"/>
        <w:rPr>
          <w:rFonts w:ascii="Univers 45 Light" w:hAnsi="Univers 45 Light"/>
          <w:b/>
          <w:sz w:val="20"/>
          <w:szCs w:val="20"/>
        </w:rPr>
      </w:pPr>
    </w:p>
    <w:p w:rsidR="00EE4E62" w:rsidRDefault="00EE4E62" w:rsidP="000B595D">
      <w:pPr>
        <w:spacing w:after="0" w:line="276" w:lineRule="auto"/>
        <w:rPr>
          <w:rFonts w:ascii="Univers 45 Light" w:hAnsi="Univers 45 Light"/>
          <w:b/>
          <w:sz w:val="20"/>
          <w:szCs w:val="20"/>
        </w:rPr>
      </w:pPr>
    </w:p>
    <w:p w:rsidR="00EE4E62" w:rsidRDefault="00EE4E62" w:rsidP="000B595D">
      <w:pPr>
        <w:spacing w:after="0" w:line="276" w:lineRule="auto"/>
        <w:rPr>
          <w:rFonts w:ascii="Univers 45 Light" w:hAnsi="Univers 45 Light"/>
          <w:b/>
          <w:sz w:val="20"/>
          <w:szCs w:val="20"/>
        </w:rPr>
      </w:pPr>
    </w:p>
    <w:p w:rsidR="00EE4E62" w:rsidRDefault="00EE4E62" w:rsidP="000B595D">
      <w:pPr>
        <w:spacing w:after="0" w:line="276" w:lineRule="auto"/>
        <w:rPr>
          <w:rFonts w:ascii="Univers 45 Light" w:hAnsi="Univers 45 Light"/>
          <w:b/>
          <w:sz w:val="20"/>
          <w:szCs w:val="20"/>
        </w:rPr>
      </w:pPr>
    </w:p>
    <w:p w:rsidR="00EE4E62" w:rsidRDefault="00EE4E62" w:rsidP="000B595D">
      <w:pPr>
        <w:spacing w:after="0" w:line="276" w:lineRule="auto"/>
        <w:rPr>
          <w:rFonts w:ascii="Univers 45 Light" w:hAnsi="Univers 45 Light"/>
          <w:b/>
          <w:sz w:val="20"/>
          <w:szCs w:val="20"/>
        </w:rPr>
      </w:pPr>
    </w:p>
    <w:p w:rsidR="00EE4E62" w:rsidRDefault="00EE4E62" w:rsidP="000B595D">
      <w:pPr>
        <w:spacing w:after="0" w:line="276" w:lineRule="auto"/>
        <w:rPr>
          <w:rFonts w:ascii="Univers 45 Light" w:hAnsi="Univers 45 Light"/>
          <w:b/>
          <w:sz w:val="20"/>
          <w:szCs w:val="20"/>
        </w:rPr>
      </w:pPr>
    </w:p>
    <w:p w:rsidR="00EE4E62" w:rsidRDefault="00EE4E62" w:rsidP="000B595D">
      <w:pPr>
        <w:spacing w:after="0" w:line="276" w:lineRule="auto"/>
        <w:rPr>
          <w:rFonts w:ascii="Univers 45 Light" w:hAnsi="Univers 45 Light"/>
          <w:b/>
          <w:sz w:val="20"/>
          <w:szCs w:val="20"/>
        </w:rPr>
      </w:pPr>
    </w:p>
    <w:p w:rsidR="00EE4E62" w:rsidRDefault="00EE4E62" w:rsidP="000B595D">
      <w:pPr>
        <w:spacing w:after="0" w:line="276" w:lineRule="auto"/>
        <w:rPr>
          <w:rFonts w:ascii="Univers 45 Light" w:hAnsi="Univers 45 Light"/>
          <w:b/>
          <w:sz w:val="20"/>
          <w:szCs w:val="20"/>
        </w:rPr>
      </w:pPr>
    </w:p>
    <w:p w:rsidR="00EE4E62" w:rsidRDefault="00EE4E62" w:rsidP="000B595D">
      <w:pPr>
        <w:spacing w:after="0" w:line="276" w:lineRule="auto"/>
        <w:rPr>
          <w:rFonts w:ascii="Univers 45 Light" w:hAnsi="Univers 45 Light"/>
          <w:b/>
          <w:sz w:val="20"/>
          <w:szCs w:val="20"/>
        </w:rPr>
      </w:pPr>
    </w:p>
    <w:sectPr w:rsidR="00EE4E62" w:rsidSect="00961ECD">
      <w:headerReference w:type="default" r:id="rId15"/>
      <w:footerReference w:type="default" r:id="rId16"/>
      <w:pgSz w:w="11906" w:h="16838"/>
      <w:pgMar w:top="1411" w:right="1411" w:bottom="1411" w:left="141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B8E" w:rsidRDefault="00812B8E" w:rsidP="004A3F32">
      <w:pPr>
        <w:spacing w:after="0" w:line="240" w:lineRule="auto"/>
      </w:pPr>
      <w:r>
        <w:separator/>
      </w:r>
    </w:p>
  </w:endnote>
  <w:endnote w:type="continuationSeparator" w:id="0">
    <w:p w:rsidR="00812B8E" w:rsidRDefault="00812B8E" w:rsidP="004A3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45 Light">
    <w:charset w:val="00"/>
    <w:family w:val="auto"/>
    <w:pitch w:val="variable"/>
    <w:sig w:usb0="8000002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9999999">
    <w:panose1 w:val="00000000000000000000"/>
    <w:charset w:val="00"/>
    <w:family w:val="roman"/>
    <w:notTrueType/>
    <w:pitch w:val="default"/>
  </w:font>
  <w:font w:name="KPMG Extralight">
    <w:altName w:val="Arial"/>
    <w:charset w:val="00"/>
    <w:family w:val="swiss"/>
    <w:pitch w:val="variable"/>
    <w:sig w:usb0="00000001"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KPMG Light">
    <w:charset w:val="00"/>
    <w:family w:val="swiss"/>
    <w:pitch w:val="variable"/>
    <w:sig w:usb0="00000007" w:usb1="00000000" w:usb2="00000000" w:usb3="00000000" w:csb0="00000093"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FDD" w:rsidRPr="00216FDD" w:rsidRDefault="00AA7279" w:rsidP="008A3157">
    <w:pPr>
      <w:pStyle w:val="Footer"/>
      <w:jc w:val="left"/>
      <w:rPr>
        <w:b/>
        <w:noProof/>
        <w:sz w:val="20"/>
      </w:rPr>
    </w:pPr>
    <w:r w:rsidRPr="00AA7279">
      <w:rPr>
        <w:noProof/>
        <w:sz w:val="18"/>
        <w:lang w:eastAsia="en-AU"/>
      </w:rPr>
      <mc:AlternateContent>
        <mc:Choice Requires="wps">
          <w:drawing>
            <wp:anchor distT="0" distB="0" distL="114300" distR="114300" simplePos="0" relativeHeight="251666432" behindDoc="0" locked="0" layoutInCell="0" allowOverlap="1">
              <wp:simplePos x="0" y="0"/>
              <wp:positionH relativeFrom="leftMargin">
                <wp:posOffset>89535</wp:posOffset>
              </wp:positionH>
              <wp:positionV relativeFrom="margin">
                <wp:posOffset>9020175</wp:posOffset>
              </wp:positionV>
              <wp:extent cx="819150" cy="433705"/>
              <wp:effectExtent l="0" t="0" r="0"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7279" w:rsidRPr="00AA7279" w:rsidRDefault="00AA7279" w:rsidP="00AA7279">
                          <w:pPr>
                            <w:pBdr>
                              <w:top w:val="single" w:sz="4" w:space="1" w:color="D8D8D8" w:themeColor="background1" w:themeShade="D8"/>
                            </w:pBdr>
                            <w:rPr>
                              <w:rFonts w:ascii="Univers 45 Light" w:hAnsi="Univers 45 Light"/>
                            </w:rPr>
                          </w:pPr>
                          <w:r w:rsidRPr="00AA7279">
                            <w:rPr>
                              <w:rFonts w:ascii="Univers 45 Light" w:hAnsi="Univers 45 Light"/>
                              <w:sz w:val="16"/>
                            </w:rPr>
                            <w:t xml:space="preserve">Page </w:t>
                          </w:r>
                          <w:r w:rsidRPr="00AA7279">
                            <w:rPr>
                              <w:rFonts w:ascii="Univers 45 Light" w:hAnsi="Univers 45 Light"/>
                            </w:rPr>
                            <w:t xml:space="preserve">| </w:t>
                          </w:r>
                          <w:r w:rsidRPr="00AA7279">
                            <w:rPr>
                              <w:rFonts w:ascii="Univers 45 Light" w:hAnsi="Univers 45 Light"/>
                              <w:sz w:val="16"/>
                            </w:rPr>
                            <w:fldChar w:fldCharType="begin"/>
                          </w:r>
                          <w:r w:rsidRPr="00AA7279">
                            <w:rPr>
                              <w:rFonts w:ascii="Univers 45 Light" w:hAnsi="Univers 45 Light"/>
                              <w:sz w:val="16"/>
                            </w:rPr>
                            <w:instrText xml:space="preserve"> PAGE   \* MERGEFORMAT </w:instrText>
                          </w:r>
                          <w:r w:rsidRPr="00AA7279">
                            <w:rPr>
                              <w:rFonts w:ascii="Univers 45 Light" w:hAnsi="Univers 45 Light"/>
                              <w:sz w:val="16"/>
                            </w:rPr>
                            <w:fldChar w:fldCharType="separate"/>
                          </w:r>
                          <w:r w:rsidR="006A3E56">
                            <w:rPr>
                              <w:rFonts w:ascii="Univers 45 Light" w:hAnsi="Univers 45 Light"/>
                              <w:noProof/>
                              <w:sz w:val="16"/>
                            </w:rPr>
                            <w:t>11</w:t>
                          </w:r>
                          <w:r w:rsidRPr="00AA7279">
                            <w:rPr>
                              <w:rFonts w:ascii="Univers 45 Light" w:hAnsi="Univers 45 Light"/>
                              <w:noProof/>
                              <w:sz w:val="16"/>
                            </w:rPr>
                            <w:fldChar w:fldCharType="end"/>
                          </w:r>
                        </w:p>
                      </w:txbxContent>
                    </wps:txbx>
                    <wps:bodyPr rot="0" vert="horz" wrap="square" lIns="0" tIns="45720" rIns="0" bIns="45720" anchor="t" anchorCtr="0" upright="1">
                      <a:spAutoFit/>
                    </wps:bodyPr>
                  </wps:wsp>
                </a:graphicData>
              </a:graphic>
              <wp14:sizeRelH relativeFrom="leftMargin">
                <wp14:pctWidth>90000</wp14:pctWidth>
              </wp14:sizeRelH>
              <wp14:sizeRelV relativeFrom="page">
                <wp14:pctHeight>0</wp14:pctHeight>
              </wp14:sizeRelV>
            </wp:anchor>
          </w:drawing>
        </mc:Choice>
        <mc:Fallback>
          <w:pict>
            <v:rect id="Rectangle 5" o:spid="_x0000_s1032" style="position:absolute;margin-left:7.05pt;margin-top:710.25pt;width:64.5pt;height:34.15pt;z-index:251666432;visibility:visible;mso-wrap-style:square;mso-width-percent:900;mso-height-percent:0;mso-wrap-distance-left:9pt;mso-wrap-distance-top:0;mso-wrap-distance-right:9pt;mso-wrap-distance-bottom:0;mso-position-horizontal:absolute;mso-position-horizontal-relative:left-margin-area;mso-position-vertical:absolute;mso-position-vertical-relative:margin;mso-width-percent:9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" o:allowincell="f" stroked="f">
              <v:textbox style="mso-fit-shape-to-text:t" inset="0,,0">
                <w:txbxContent>
                  <w:p w:rsidR="00AA7279" w:rsidRPr="00AA7279" w:rsidRDefault="00AA7279" w:rsidP="00AA7279">
                    <w:pPr>
                      <w:pBdr>
                        <w:top w:val="single" w:sz="4" w:space="1" w:color="D8D8D8" w:themeColor="background1" w:themeShade="D8"/>
                      </w:pBdr>
                      <w:rPr>
                        <w:rFonts w:ascii="Univers 45 Light" w:hAnsi="Univers 45 Light"/>
                      </w:rPr>
                    </w:pPr>
                    <w:r w:rsidRPr="00AA7279">
                      <w:rPr>
                        <w:rFonts w:ascii="Univers 45 Light" w:hAnsi="Univers 45 Light"/>
                        <w:sz w:val="16"/>
                      </w:rPr>
                      <w:t xml:space="preserve">Page </w:t>
                    </w:r>
                    <w:r w:rsidRPr="00AA7279">
                      <w:rPr>
                        <w:rFonts w:ascii="Univers 45 Light" w:hAnsi="Univers 45 Light"/>
                      </w:rPr>
                      <w:t xml:space="preserve">| </w:t>
                    </w:r>
                    <w:r w:rsidRPr="00AA7279">
                      <w:rPr>
                        <w:rFonts w:ascii="Univers 45 Light" w:hAnsi="Univers 45 Light"/>
                        <w:sz w:val="16"/>
                      </w:rPr>
                      <w:fldChar w:fldCharType="begin"/>
                    </w:r>
                    <w:r w:rsidRPr="00AA7279">
                      <w:rPr>
                        <w:rFonts w:ascii="Univers 45 Light" w:hAnsi="Univers 45 Light"/>
                        <w:sz w:val="16"/>
                      </w:rPr>
                      <w:instrText xml:space="preserve"> PAGE   \* MERGEFORMAT </w:instrText>
                    </w:r>
                    <w:r w:rsidRPr="00AA7279">
                      <w:rPr>
                        <w:rFonts w:ascii="Univers 45 Light" w:hAnsi="Univers 45 Light"/>
                        <w:sz w:val="16"/>
                      </w:rPr>
                      <w:fldChar w:fldCharType="separate"/>
                    </w:r>
                    <w:r w:rsidR="006A3E56">
                      <w:rPr>
                        <w:rFonts w:ascii="Univers 45 Light" w:hAnsi="Univers 45 Light"/>
                        <w:noProof/>
                        <w:sz w:val="16"/>
                      </w:rPr>
                      <w:t>11</w:t>
                    </w:r>
                    <w:r w:rsidRPr="00AA7279">
                      <w:rPr>
                        <w:rFonts w:ascii="Univers 45 Light" w:hAnsi="Univers 45 Light"/>
                        <w:noProof/>
                        <w:sz w:val="16"/>
                      </w:rPr>
                      <w:fldChar w:fldCharType="end"/>
                    </w:r>
                  </w:p>
                </w:txbxContent>
              </v:textbox>
              <w10:wrap anchorx="margin" anchory="margin"/>
            </v:rect>
          </w:pict>
        </mc:Fallback>
      </mc:AlternateContent>
    </w:r>
  </w:p>
  <w:p w:rsidR="008F5357" w:rsidRDefault="002A2B70" w:rsidP="00216FDD">
    <w:pPr>
      <w:pStyle w:val="Footer"/>
      <w:jc w:val="left"/>
    </w:pPr>
    <w:r>
      <w:t>© 201</w:t>
    </w:r>
    <w:r w:rsidR="00D61216">
      <w:t>8</w:t>
    </w:r>
    <w:r w:rsidR="00F334B5" w:rsidRPr="007E23D9">
      <w:t xml:space="preserve"> KPMG, an Australian partnership and a member firm of the KPMG network of independent member firms affiliated with KPMG International Cooperative </w:t>
    </w:r>
    <w:r w:rsidR="00F334B5">
      <w:br/>
    </w:r>
    <w:r w:rsidR="00F334B5" w:rsidRPr="007E23D9">
      <w:t xml:space="preserve">(“KPMG International”), a Swiss entity. All rights reserved. The KPMG name and logo are registered trademarks or trademarks of KPMG International. </w:t>
    </w:r>
    <w:r w:rsidR="00F334B5">
      <w:br/>
    </w:r>
    <w:r w:rsidR="00F334B5" w:rsidRPr="007E23D9">
      <w:t>Liability limited by a scheme approved under Professional Standards Legislation.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E4B" w:rsidRPr="00AA34E3" w:rsidRDefault="00946E4B" w:rsidP="00946E4B">
    <w:pPr>
      <w:pStyle w:val="backcoverdetails"/>
      <w:spacing w:after="720"/>
      <w:rPr>
        <w:rStyle w:val="White"/>
        <w:b/>
        <w:color w:val="00338D" w:themeColor="background2"/>
      </w:rPr>
    </w:pPr>
    <w:r>
      <w:rPr>
        <w:rStyle w:val="White"/>
        <w:b/>
        <w:color w:val="00338D" w:themeColor="background2"/>
      </w:rPr>
      <w:t>KPMG</w:t>
    </w:r>
    <w:r w:rsidRPr="00AA34E3">
      <w:rPr>
        <w:rStyle w:val="White"/>
        <w:b/>
        <w:color w:val="00338D" w:themeColor="background2"/>
      </w:rPr>
      <w:t>.com.au</w:t>
    </w:r>
  </w:p>
  <w:p w:rsidR="00946E4B" w:rsidRPr="00AA34E3" w:rsidRDefault="00946E4B" w:rsidP="00946E4B">
    <w:pPr>
      <w:pStyle w:val="Footer"/>
      <w:spacing w:after="60"/>
      <w:jc w:val="left"/>
      <w:rPr>
        <w:rStyle w:val="White"/>
        <w:color w:val="808080" w:themeColor="background1" w:themeShade="80"/>
      </w:rPr>
    </w:pPr>
    <w:r w:rsidRPr="00AA34E3">
      <w:rPr>
        <w:rStyle w:val="White"/>
        <w:color w:val="808080" w:themeColor="background1" w:themeShade="80"/>
      </w:rPr>
      <w:t>The information contained in this document is of a general nature and is not intended to address the objectives, financial situation or needs of any particular individual or entity. It is provided for information purposes only and does not constitute, nor should it be regarded in any manner whatsoever, as advice and is not intended to influence a person in making a decision, including, if applicable, in relation to any financial product or an interest in a financial product. Although we endeavour to provide accurate and timely information, there can be no guarantee that such information is accurate as of the date it is received or that it will continue to be accurate in the future. No one should act on such information without appropriate professional advice after a thorough examination of the particular situation.</w:t>
    </w:r>
  </w:p>
  <w:p w:rsidR="00946E4B" w:rsidRPr="00AA34E3" w:rsidRDefault="00946E4B" w:rsidP="00946E4B">
    <w:pPr>
      <w:pStyle w:val="Footer"/>
      <w:spacing w:after="60"/>
      <w:jc w:val="left"/>
      <w:rPr>
        <w:rStyle w:val="White"/>
        <w:color w:val="808080" w:themeColor="background1" w:themeShade="80"/>
      </w:rPr>
    </w:pPr>
    <w:r w:rsidRPr="00AA34E3">
      <w:rPr>
        <w:rStyle w:val="White"/>
        <w:color w:val="808080" w:themeColor="background1" w:themeShade="80"/>
      </w:rPr>
      <w:t>To the extent permissible by law, KPMG and its associated entities shall not be liable for any errors, omissions, defects or misrepresentations in the information or for any loss or damage suffered by persons who use or rely on such information (including for reasons of negligence, negligent misstatement or otherwise).</w:t>
    </w:r>
  </w:p>
  <w:p w:rsidR="00946E4B" w:rsidRPr="00AA34E3" w:rsidRDefault="00946E4B" w:rsidP="00946E4B">
    <w:pPr>
      <w:pStyle w:val="Footer"/>
      <w:spacing w:after="60"/>
      <w:jc w:val="left"/>
      <w:rPr>
        <w:rStyle w:val="White"/>
        <w:color w:val="808080" w:themeColor="background1" w:themeShade="80"/>
      </w:rPr>
    </w:pPr>
    <w:r w:rsidRPr="00AA34E3">
      <w:rPr>
        <w:rStyle w:val="White"/>
        <w:color w:val="808080" w:themeColor="background1" w:themeShade="80"/>
      </w:rPr>
      <w:t>© 201</w:t>
    </w:r>
    <w:r>
      <w:rPr>
        <w:rStyle w:val="White"/>
        <w:color w:val="808080" w:themeColor="background1" w:themeShade="80"/>
      </w:rPr>
      <w:t>8</w:t>
    </w:r>
    <w:r w:rsidRPr="00AA34E3">
      <w:rPr>
        <w:rStyle w:val="White"/>
        <w:color w:val="808080" w:themeColor="background1" w:themeShade="80"/>
      </w:rPr>
      <w:t xml:space="preserve"> KPMG, an Australian partnership and a member firm of the KPMG network of independent member firms affiliated with KPMG International Cooperative (“KPMG International”), a Swiss entity. All rights reserved.</w:t>
    </w:r>
  </w:p>
  <w:p w:rsidR="00946E4B" w:rsidRPr="00AA34E3" w:rsidRDefault="00946E4B" w:rsidP="00946E4B">
    <w:pPr>
      <w:pStyle w:val="Footer"/>
      <w:spacing w:after="60"/>
      <w:jc w:val="left"/>
      <w:rPr>
        <w:rStyle w:val="White"/>
        <w:color w:val="808080" w:themeColor="background1" w:themeShade="80"/>
      </w:rPr>
    </w:pPr>
    <w:r w:rsidRPr="00AA34E3">
      <w:rPr>
        <w:rStyle w:val="White"/>
        <w:color w:val="808080" w:themeColor="background1" w:themeShade="80"/>
      </w:rPr>
      <w:t>The KPMG name and logo and are registered trademarks or trademarks of KPMG International. Liability limited by a scheme approved under Professional Standards Legislation.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B8E" w:rsidRDefault="00812B8E" w:rsidP="004A3F32">
      <w:pPr>
        <w:spacing w:after="0" w:line="240" w:lineRule="auto"/>
      </w:pPr>
      <w:r>
        <w:separator/>
      </w:r>
    </w:p>
  </w:footnote>
  <w:footnote w:type="continuationSeparator" w:id="0">
    <w:p w:rsidR="00812B8E" w:rsidRDefault="00812B8E" w:rsidP="004A3F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DFA" w:rsidRDefault="00960DFA">
    <w:pPr>
      <w:pStyle w:val="Header"/>
    </w:pPr>
    <w:r>
      <w:rPr>
        <w:noProof/>
        <w:lang w:eastAsia="en-AU"/>
      </w:rPr>
      <w:drawing>
        <wp:anchor distT="0" distB="0" distL="114300" distR="114300" simplePos="0" relativeHeight="251664384" behindDoc="1" locked="1" layoutInCell="1" allowOverlap="1" wp14:anchorId="72B33EA0" wp14:editId="61767131">
          <wp:simplePos x="0" y="0"/>
          <wp:positionH relativeFrom="page">
            <wp:posOffset>0</wp:posOffset>
          </wp:positionH>
          <wp:positionV relativeFrom="page">
            <wp:posOffset>0</wp:posOffset>
          </wp:positionV>
          <wp:extent cx="7559040" cy="10681335"/>
          <wp:effectExtent l="0" t="0" r="381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_cover.jpg"/>
                  <pic:cNvPicPr/>
                </pic:nvPicPr>
                <pic:blipFill>
                  <a:blip r:embed="rId1">
                    <a:extLst>
                      <a:ext uri="{28A0092B-C50C-407E-A947-70E740481C1C}">
                        <a14:useLocalDpi xmlns:a14="http://schemas.microsoft.com/office/drawing/2010/main" val="0"/>
                      </a:ext>
                    </a:extLst>
                  </a:blip>
                  <a:stretch>
                    <a:fillRect/>
                  </a:stretch>
                </pic:blipFill>
                <pic:spPr>
                  <a:xfrm>
                    <a:off x="0" y="0"/>
                    <a:ext cx="7559040" cy="1068133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4B5" w:rsidRDefault="00F334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DFA" w:rsidRPr="00216FDD" w:rsidRDefault="00960DFA">
    <w:pPr>
      <w:pStyle w:val="Header"/>
      <w:rPr>
        <w:color w:val="40404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E4B" w:rsidRPr="00AA34E3" w:rsidRDefault="00946E4B">
    <w:pPr>
      <w:pStyle w:val="Header"/>
      <w:rPr>
        <w:color w:val="404040" w:themeColor="text1" w:themeTint="B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2736C"/>
    <w:multiLevelType w:val="hybridMultilevel"/>
    <w:tmpl w:val="3C88B5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4D6793"/>
    <w:multiLevelType w:val="singleLevel"/>
    <w:tmpl w:val="3D22CEDE"/>
    <w:lvl w:ilvl="0">
      <w:start w:val="1"/>
      <w:numFmt w:val="bullet"/>
      <w:pStyle w:val="Bullet1stlevel"/>
      <w:lvlText w:val=""/>
      <w:lvlJc w:val="left"/>
      <w:pPr>
        <w:tabs>
          <w:tab w:val="num" w:pos="340"/>
        </w:tabs>
        <w:ind w:left="340" w:hanging="340"/>
      </w:pPr>
      <w:rPr>
        <w:rFonts w:ascii="Symbol" w:hAnsi="Symbol" w:hint="default"/>
        <w:color w:val="auto"/>
        <w:sz w:val="22"/>
      </w:rPr>
    </w:lvl>
  </w:abstractNum>
  <w:abstractNum w:abstractNumId="2" w15:restartNumberingAfterBreak="0">
    <w:nsid w:val="11AF2C2D"/>
    <w:multiLevelType w:val="singleLevel"/>
    <w:tmpl w:val="5B1475F2"/>
    <w:lvl w:ilvl="0">
      <w:start w:val="1"/>
      <w:numFmt w:val="bullet"/>
      <w:pStyle w:val="Bullet2ndlevel"/>
      <w:lvlText w:val="–"/>
      <w:lvlJc w:val="left"/>
      <w:pPr>
        <w:tabs>
          <w:tab w:val="num" w:pos="340"/>
        </w:tabs>
        <w:ind w:left="340" w:hanging="340"/>
      </w:pPr>
      <w:rPr>
        <w:rFonts w:ascii="Univers 45 Light" w:hAnsi="Univers 45 Light" w:hint="default"/>
        <w:color w:val="auto"/>
        <w:sz w:val="22"/>
      </w:rPr>
    </w:lvl>
  </w:abstractNum>
  <w:abstractNum w:abstractNumId="3" w15:restartNumberingAfterBreak="0">
    <w:nsid w:val="16464280"/>
    <w:multiLevelType w:val="hybridMultilevel"/>
    <w:tmpl w:val="B07E882E"/>
    <w:lvl w:ilvl="0" w:tplc="B2BA3D66">
      <w:start w:val="1"/>
      <w:numFmt w:val="bullet"/>
      <w:pStyle w:val="TableBullet1stlevel"/>
      <w:lvlText w:val=""/>
      <w:lvlJc w:val="left"/>
      <w:pPr>
        <w:ind w:left="720" w:hanging="360"/>
      </w:pPr>
      <w:rPr>
        <w:rFonts w:ascii="Symbol" w:hAnsi="Symbol" w:hint="default"/>
        <w:color w:val="auto"/>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CB4726"/>
    <w:multiLevelType w:val="hybridMultilevel"/>
    <w:tmpl w:val="4B2675A6"/>
    <w:lvl w:ilvl="0" w:tplc="5CEA1B42">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E47211"/>
    <w:multiLevelType w:val="hybridMultilevel"/>
    <w:tmpl w:val="C930E58C"/>
    <w:lvl w:ilvl="0" w:tplc="6556F474">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FB85647"/>
    <w:multiLevelType w:val="multilevel"/>
    <w:tmpl w:val="C8C4B904"/>
    <w:lvl w:ilvl="0">
      <w:start w:val="1"/>
      <w:numFmt w:val="decimal"/>
      <w:lvlText w:val="%1"/>
      <w:lvlJc w:val="left"/>
      <w:pPr>
        <w:tabs>
          <w:tab w:val="num" w:pos="340"/>
        </w:tabs>
        <w:ind w:left="340" w:hanging="340"/>
      </w:pPr>
      <w:rPr>
        <w:rFonts w:ascii="9999999" w:hAnsi="9999999"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7" w15:restartNumberingAfterBreak="0">
    <w:nsid w:val="31D03DA2"/>
    <w:multiLevelType w:val="multilevel"/>
    <w:tmpl w:val="E5DA9592"/>
    <w:lvl w:ilvl="0">
      <w:start w:val="1"/>
      <w:numFmt w:val="decimal"/>
      <w:pStyle w:val="Numberbullet1stlevel"/>
      <w:lvlText w:val="%1)"/>
      <w:lvlJc w:val="left"/>
      <w:pPr>
        <w:tabs>
          <w:tab w:val="num" w:pos="340"/>
        </w:tabs>
        <w:ind w:left="340" w:hanging="340"/>
      </w:pPr>
      <w:rPr>
        <w:rFonts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8" w15:restartNumberingAfterBreak="0">
    <w:nsid w:val="32703342"/>
    <w:multiLevelType w:val="hybridMultilevel"/>
    <w:tmpl w:val="B21E95A4"/>
    <w:lvl w:ilvl="0" w:tplc="F33E240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3F44747"/>
    <w:multiLevelType w:val="hybridMultilevel"/>
    <w:tmpl w:val="676CFAF6"/>
    <w:lvl w:ilvl="0" w:tplc="2E1078C4">
      <w:numFmt w:val="bullet"/>
      <w:lvlText w:val="•"/>
      <w:lvlJc w:val="left"/>
      <w:pPr>
        <w:ind w:left="1080" w:hanging="720"/>
      </w:pPr>
      <w:rPr>
        <w:rFonts w:ascii="Univers 45 Light" w:eastAsiaTheme="minorHAnsi" w:hAnsi="Univers 45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F14E2F"/>
    <w:multiLevelType w:val="singleLevel"/>
    <w:tmpl w:val="E8582A6A"/>
    <w:lvl w:ilvl="0">
      <w:start w:val="1"/>
      <w:numFmt w:val="bullet"/>
      <w:lvlText w:val=""/>
      <w:lvlJc w:val="left"/>
      <w:pPr>
        <w:tabs>
          <w:tab w:val="num" w:pos="340"/>
        </w:tabs>
        <w:ind w:left="340" w:hanging="340"/>
      </w:pPr>
      <w:rPr>
        <w:rFonts w:ascii="Symbol" w:hAnsi="Symbol" w:hint="default"/>
        <w:color w:val="auto"/>
        <w:sz w:val="22"/>
      </w:rPr>
    </w:lvl>
  </w:abstractNum>
  <w:abstractNum w:abstractNumId="11" w15:restartNumberingAfterBreak="0">
    <w:nsid w:val="38142361"/>
    <w:multiLevelType w:val="hybridMultilevel"/>
    <w:tmpl w:val="0568C014"/>
    <w:lvl w:ilvl="0" w:tplc="8B4A3C06">
      <w:numFmt w:val="bullet"/>
      <w:lvlText w:val="•"/>
      <w:lvlJc w:val="left"/>
      <w:pPr>
        <w:ind w:left="1080" w:hanging="720"/>
      </w:pPr>
      <w:rPr>
        <w:rFonts w:ascii="Univers 45 Light" w:eastAsiaTheme="minorHAnsi" w:hAnsi="Univers 45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A191959"/>
    <w:multiLevelType w:val="hybridMultilevel"/>
    <w:tmpl w:val="0FE29B52"/>
    <w:lvl w:ilvl="0" w:tplc="6584EB14">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BD34954"/>
    <w:multiLevelType w:val="hybridMultilevel"/>
    <w:tmpl w:val="FFFAAB60"/>
    <w:lvl w:ilvl="0" w:tplc="196A4DD4">
      <w:start w:val="1"/>
      <w:numFmt w:val="bullet"/>
      <w:pStyle w:val="CVbullet2"/>
      <w:lvlText w:val="–"/>
      <w:lvlJc w:val="left"/>
      <w:pPr>
        <w:ind w:left="360" w:hanging="360"/>
      </w:pPr>
      <w:rPr>
        <w:rFonts w:ascii="Univers 45 Light" w:hAnsi="Univers 45 Light" w:hint="default"/>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DF818A8"/>
    <w:multiLevelType w:val="singleLevel"/>
    <w:tmpl w:val="F1224676"/>
    <w:lvl w:ilvl="0">
      <w:start w:val="1"/>
      <w:numFmt w:val="bullet"/>
      <w:lvlText w:val=""/>
      <w:lvlJc w:val="left"/>
      <w:pPr>
        <w:tabs>
          <w:tab w:val="num" w:pos="340"/>
        </w:tabs>
        <w:ind w:left="340" w:hanging="340"/>
      </w:pPr>
      <w:rPr>
        <w:rFonts w:ascii="Symbol" w:hAnsi="Symbol" w:hint="default"/>
        <w:color w:val="auto"/>
        <w:sz w:val="22"/>
      </w:rPr>
    </w:lvl>
  </w:abstractNum>
  <w:abstractNum w:abstractNumId="15" w15:restartNumberingAfterBreak="0">
    <w:nsid w:val="46BA1278"/>
    <w:multiLevelType w:val="hybridMultilevel"/>
    <w:tmpl w:val="90104272"/>
    <w:lvl w:ilvl="0" w:tplc="DA208256">
      <w:start w:val="1"/>
      <w:numFmt w:val="bullet"/>
      <w:lvlText w:val=""/>
      <w:lvlJc w:val="left"/>
      <w:pPr>
        <w:tabs>
          <w:tab w:val="num" w:pos="340"/>
        </w:tabs>
        <w:ind w:left="340" w:hanging="340"/>
      </w:pPr>
      <w:rPr>
        <w:rFonts w:ascii="Symbol" w:hAnsi="Symbol" w:hint="default"/>
        <w:color w:val="auto"/>
        <w:sz w:val="22"/>
        <w:u w:color="0091DA"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89368F2"/>
    <w:multiLevelType w:val="hybridMultilevel"/>
    <w:tmpl w:val="A800B83E"/>
    <w:lvl w:ilvl="0" w:tplc="F36298FC">
      <w:start w:val="1"/>
      <w:numFmt w:val="bullet"/>
      <w:pStyle w:val="TableBullet2ndlevel"/>
      <w:lvlText w:val="–"/>
      <w:lvlJc w:val="left"/>
      <w:pPr>
        <w:ind w:left="1060" w:hanging="360"/>
      </w:pPr>
      <w:rPr>
        <w:rFonts w:ascii="Univers 45 Light" w:hAnsi="Univers 45 Light" w:hint="default"/>
        <w:color w:val="auto"/>
        <w:sz w:val="22"/>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7" w15:restartNumberingAfterBreak="0">
    <w:nsid w:val="4BC34093"/>
    <w:multiLevelType w:val="singleLevel"/>
    <w:tmpl w:val="D07A821A"/>
    <w:lvl w:ilvl="0">
      <w:start w:val="1"/>
      <w:numFmt w:val="bullet"/>
      <w:lvlText w:val=""/>
      <w:lvlJc w:val="left"/>
      <w:pPr>
        <w:tabs>
          <w:tab w:val="num" w:pos="340"/>
        </w:tabs>
        <w:ind w:left="340" w:hanging="340"/>
      </w:pPr>
      <w:rPr>
        <w:rFonts w:ascii="Symbol" w:hAnsi="Symbol" w:hint="default"/>
        <w:color w:val="auto"/>
        <w:sz w:val="22"/>
      </w:rPr>
    </w:lvl>
  </w:abstractNum>
  <w:abstractNum w:abstractNumId="18" w15:restartNumberingAfterBreak="0">
    <w:nsid w:val="4C830B73"/>
    <w:multiLevelType w:val="hybridMultilevel"/>
    <w:tmpl w:val="CA523A8E"/>
    <w:lvl w:ilvl="0" w:tplc="5BD6ABD0">
      <w:start w:val="1"/>
      <w:numFmt w:val="lowerRoman"/>
      <w:pStyle w:val="Numberbullet2ndlevel"/>
      <w:lvlText w:val="%1)"/>
      <w:lvlJc w:val="left"/>
      <w:pPr>
        <w:ind w:left="71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D5C0DF8"/>
    <w:multiLevelType w:val="hybridMultilevel"/>
    <w:tmpl w:val="3FD89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7E12F7"/>
    <w:multiLevelType w:val="hybridMultilevel"/>
    <w:tmpl w:val="A262F540"/>
    <w:lvl w:ilvl="0" w:tplc="87F8B894">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A32C7B"/>
    <w:multiLevelType w:val="singleLevel"/>
    <w:tmpl w:val="2DC0A27A"/>
    <w:lvl w:ilvl="0">
      <w:start w:val="1"/>
      <w:numFmt w:val="bullet"/>
      <w:lvlText w:val=""/>
      <w:lvlJc w:val="left"/>
      <w:pPr>
        <w:tabs>
          <w:tab w:val="num" w:pos="340"/>
        </w:tabs>
        <w:ind w:left="340" w:hanging="340"/>
      </w:pPr>
      <w:rPr>
        <w:rFonts w:ascii="Symbol" w:hAnsi="Symbol" w:hint="default"/>
        <w:color w:val="auto"/>
        <w:sz w:val="22"/>
      </w:rPr>
    </w:lvl>
  </w:abstractNum>
  <w:abstractNum w:abstractNumId="22" w15:restartNumberingAfterBreak="0">
    <w:nsid w:val="5A042708"/>
    <w:multiLevelType w:val="hybridMultilevel"/>
    <w:tmpl w:val="8604C002"/>
    <w:lvl w:ilvl="0" w:tplc="4E407958">
      <w:start w:val="1"/>
      <w:numFmt w:val="bullet"/>
      <w:pStyle w:val="CVbullet1"/>
      <w:lvlText w:val=""/>
      <w:lvlJc w:val="left"/>
      <w:pPr>
        <w:ind w:left="360" w:hanging="360"/>
      </w:pPr>
      <w:rPr>
        <w:rFonts w:ascii="Symbol" w:hAnsi="Symbol" w:hint="default"/>
        <w:color w:val="auto"/>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D5A0DFB"/>
    <w:multiLevelType w:val="hybridMultilevel"/>
    <w:tmpl w:val="EB46904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EA365BA"/>
    <w:multiLevelType w:val="hybridMultilevel"/>
    <w:tmpl w:val="F90AAF60"/>
    <w:lvl w:ilvl="0" w:tplc="7DF6B1CA">
      <w:start w:val="1"/>
      <w:numFmt w:val="bullet"/>
      <w:pStyle w:val="Bullet3rdlevel"/>
      <w:lvlText w:val="-"/>
      <w:lvlJc w:val="left"/>
      <w:pPr>
        <w:tabs>
          <w:tab w:val="num" w:pos="340"/>
        </w:tabs>
        <w:ind w:left="340" w:hanging="340"/>
      </w:pPr>
      <w:rPr>
        <w:rFonts w:ascii="Univers 45 Light" w:hAnsi="Univers 45 Light" w:hint="default"/>
        <w:color w:val="auto"/>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16A37E7"/>
    <w:multiLevelType w:val="hybridMultilevel"/>
    <w:tmpl w:val="4DA8B284"/>
    <w:lvl w:ilvl="0" w:tplc="3AE6E7BA">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6" w15:restartNumberingAfterBreak="0">
    <w:nsid w:val="793D6E73"/>
    <w:multiLevelType w:val="hybridMultilevel"/>
    <w:tmpl w:val="083076D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40518F"/>
    <w:multiLevelType w:val="hybridMultilevel"/>
    <w:tmpl w:val="4E767326"/>
    <w:lvl w:ilvl="0" w:tplc="4AB69688">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8A6CF8"/>
    <w:multiLevelType w:val="hybridMultilevel"/>
    <w:tmpl w:val="B5E6D11C"/>
    <w:lvl w:ilvl="0" w:tplc="4F98E054">
      <w:numFmt w:val="bullet"/>
      <w:lvlText w:val="–"/>
      <w:lvlJc w:val="left"/>
      <w:pPr>
        <w:ind w:left="1080" w:hanging="720"/>
      </w:pPr>
      <w:rPr>
        <w:rFonts w:ascii="Univers 45 Light" w:eastAsiaTheme="minorHAnsi" w:hAnsi="Univers 45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B32419"/>
    <w:multiLevelType w:val="hybridMultilevel"/>
    <w:tmpl w:val="4106FE6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1"/>
  </w:num>
  <w:num w:numId="2">
    <w:abstractNumId w:val="9"/>
  </w:num>
  <w:num w:numId="3">
    <w:abstractNumId w:val="2"/>
  </w:num>
  <w:num w:numId="4">
    <w:abstractNumId w:val="28"/>
  </w:num>
  <w:num w:numId="5">
    <w:abstractNumId w:val="24"/>
  </w:num>
  <w:num w:numId="6">
    <w:abstractNumId w:val="11"/>
  </w:num>
  <w:num w:numId="7">
    <w:abstractNumId w:val="6"/>
  </w:num>
  <w:num w:numId="8">
    <w:abstractNumId w:val="8"/>
  </w:num>
  <w:num w:numId="9">
    <w:abstractNumId w:val="7"/>
  </w:num>
  <w:num w:numId="10">
    <w:abstractNumId w:val="18"/>
  </w:num>
  <w:num w:numId="11">
    <w:abstractNumId w:val="5"/>
  </w:num>
  <w:num w:numId="12">
    <w:abstractNumId w:val="21"/>
  </w:num>
  <w:num w:numId="13">
    <w:abstractNumId w:val="15"/>
  </w:num>
  <w:num w:numId="14">
    <w:abstractNumId w:val="22"/>
  </w:num>
  <w:num w:numId="15">
    <w:abstractNumId w:val="10"/>
  </w:num>
  <w:num w:numId="16">
    <w:abstractNumId w:val="14"/>
  </w:num>
  <w:num w:numId="17">
    <w:abstractNumId w:val="13"/>
  </w:num>
  <w:num w:numId="18">
    <w:abstractNumId w:val="3"/>
  </w:num>
  <w:num w:numId="19">
    <w:abstractNumId w:val="16"/>
  </w:num>
  <w:num w:numId="20">
    <w:abstractNumId w:val="20"/>
  </w:num>
  <w:num w:numId="21">
    <w:abstractNumId w:val="1"/>
  </w:num>
  <w:num w:numId="22">
    <w:abstractNumId w:val="12"/>
  </w:num>
  <w:num w:numId="23">
    <w:abstractNumId w:val="19"/>
  </w:num>
  <w:num w:numId="24">
    <w:abstractNumId w:val="0"/>
  </w:num>
  <w:num w:numId="25">
    <w:abstractNumId w:val="4"/>
  </w:num>
  <w:num w:numId="26">
    <w:abstractNumId w:val="1"/>
  </w:num>
  <w:num w:numId="27">
    <w:abstractNumId w:val="1"/>
  </w:num>
  <w:num w:numId="28">
    <w:abstractNumId w:val="1"/>
  </w:num>
  <w:num w:numId="29">
    <w:abstractNumId w:val="1"/>
  </w:num>
  <w:num w:numId="30">
    <w:abstractNumId w:val="1"/>
  </w:num>
  <w:num w:numId="31">
    <w:abstractNumId w:val="27"/>
  </w:num>
  <w:num w:numId="32">
    <w:abstractNumId w:val="26"/>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B8E"/>
    <w:rsid w:val="00005CD4"/>
    <w:rsid w:val="00022D7A"/>
    <w:rsid w:val="00037B63"/>
    <w:rsid w:val="00053A68"/>
    <w:rsid w:val="00057566"/>
    <w:rsid w:val="000739EF"/>
    <w:rsid w:val="000B595D"/>
    <w:rsid w:val="000F698A"/>
    <w:rsid w:val="0010564C"/>
    <w:rsid w:val="0014343A"/>
    <w:rsid w:val="0014355E"/>
    <w:rsid w:val="00144E9A"/>
    <w:rsid w:val="00156C4A"/>
    <w:rsid w:val="00160691"/>
    <w:rsid w:val="00162EB8"/>
    <w:rsid w:val="0017702B"/>
    <w:rsid w:val="001B41A0"/>
    <w:rsid w:val="001D6E6B"/>
    <w:rsid w:val="001E4304"/>
    <w:rsid w:val="00216FDD"/>
    <w:rsid w:val="002360FF"/>
    <w:rsid w:val="0024699F"/>
    <w:rsid w:val="0025716B"/>
    <w:rsid w:val="00287CE1"/>
    <w:rsid w:val="002A2B70"/>
    <w:rsid w:val="002B39E4"/>
    <w:rsid w:val="002B755D"/>
    <w:rsid w:val="002D014E"/>
    <w:rsid w:val="002D5BDA"/>
    <w:rsid w:val="002F40D6"/>
    <w:rsid w:val="00346A72"/>
    <w:rsid w:val="00384CDC"/>
    <w:rsid w:val="00385D52"/>
    <w:rsid w:val="00393454"/>
    <w:rsid w:val="00396E2D"/>
    <w:rsid w:val="003E1CBC"/>
    <w:rsid w:val="003E49AB"/>
    <w:rsid w:val="003F362A"/>
    <w:rsid w:val="003F7DFD"/>
    <w:rsid w:val="00410551"/>
    <w:rsid w:val="00433EA4"/>
    <w:rsid w:val="00437A64"/>
    <w:rsid w:val="0045793B"/>
    <w:rsid w:val="0046499F"/>
    <w:rsid w:val="004A26CE"/>
    <w:rsid w:val="004A3F32"/>
    <w:rsid w:val="004A4EE5"/>
    <w:rsid w:val="004A70EE"/>
    <w:rsid w:val="004B1B12"/>
    <w:rsid w:val="004B3690"/>
    <w:rsid w:val="004D0067"/>
    <w:rsid w:val="004D24DE"/>
    <w:rsid w:val="004E52A7"/>
    <w:rsid w:val="00526D3E"/>
    <w:rsid w:val="005708C3"/>
    <w:rsid w:val="00597B7D"/>
    <w:rsid w:val="005A47D7"/>
    <w:rsid w:val="005D0599"/>
    <w:rsid w:val="005D76CB"/>
    <w:rsid w:val="005E3168"/>
    <w:rsid w:val="00600C9B"/>
    <w:rsid w:val="00602AD9"/>
    <w:rsid w:val="006165F2"/>
    <w:rsid w:val="00642722"/>
    <w:rsid w:val="00670EC9"/>
    <w:rsid w:val="006A3E56"/>
    <w:rsid w:val="006A78B5"/>
    <w:rsid w:val="006C6D5E"/>
    <w:rsid w:val="006F1FDB"/>
    <w:rsid w:val="00710A90"/>
    <w:rsid w:val="0071185C"/>
    <w:rsid w:val="00717E2C"/>
    <w:rsid w:val="00723D3C"/>
    <w:rsid w:val="007316D0"/>
    <w:rsid w:val="007623E6"/>
    <w:rsid w:val="007634C5"/>
    <w:rsid w:val="00765A4F"/>
    <w:rsid w:val="007B29F3"/>
    <w:rsid w:val="007E0C8C"/>
    <w:rsid w:val="007E23D9"/>
    <w:rsid w:val="00800F35"/>
    <w:rsid w:val="00807B1B"/>
    <w:rsid w:val="00812B8E"/>
    <w:rsid w:val="00821FAB"/>
    <w:rsid w:val="00826506"/>
    <w:rsid w:val="00863105"/>
    <w:rsid w:val="0088573B"/>
    <w:rsid w:val="00894D91"/>
    <w:rsid w:val="008A2748"/>
    <w:rsid w:val="008A3157"/>
    <w:rsid w:val="008B1B1E"/>
    <w:rsid w:val="008C04FD"/>
    <w:rsid w:val="008D01C9"/>
    <w:rsid w:val="008E029E"/>
    <w:rsid w:val="008F5357"/>
    <w:rsid w:val="00903423"/>
    <w:rsid w:val="00920DCC"/>
    <w:rsid w:val="0092194F"/>
    <w:rsid w:val="00926C88"/>
    <w:rsid w:val="009304E4"/>
    <w:rsid w:val="00941B67"/>
    <w:rsid w:val="00943D20"/>
    <w:rsid w:val="00946E4B"/>
    <w:rsid w:val="00960DFA"/>
    <w:rsid w:val="00961ECD"/>
    <w:rsid w:val="009633A2"/>
    <w:rsid w:val="0096364A"/>
    <w:rsid w:val="00971C5F"/>
    <w:rsid w:val="0097608C"/>
    <w:rsid w:val="0098079F"/>
    <w:rsid w:val="00982329"/>
    <w:rsid w:val="009B5EE7"/>
    <w:rsid w:val="009C393E"/>
    <w:rsid w:val="009D4FF0"/>
    <w:rsid w:val="009F48C9"/>
    <w:rsid w:val="00A01DAE"/>
    <w:rsid w:val="00A1242A"/>
    <w:rsid w:val="00A130DE"/>
    <w:rsid w:val="00A25682"/>
    <w:rsid w:val="00A41CBD"/>
    <w:rsid w:val="00A506E6"/>
    <w:rsid w:val="00A52320"/>
    <w:rsid w:val="00A871CE"/>
    <w:rsid w:val="00A9002E"/>
    <w:rsid w:val="00AA34E3"/>
    <w:rsid w:val="00AA59A0"/>
    <w:rsid w:val="00AA7279"/>
    <w:rsid w:val="00B24FD6"/>
    <w:rsid w:val="00B51215"/>
    <w:rsid w:val="00B93B13"/>
    <w:rsid w:val="00BA1D66"/>
    <w:rsid w:val="00BA4108"/>
    <w:rsid w:val="00BB119D"/>
    <w:rsid w:val="00BC32C7"/>
    <w:rsid w:val="00BD4538"/>
    <w:rsid w:val="00C106A2"/>
    <w:rsid w:val="00C16A51"/>
    <w:rsid w:val="00C20F00"/>
    <w:rsid w:val="00C32BB9"/>
    <w:rsid w:val="00C3559F"/>
    <w:rsid w:val="00C46A3D"/>
    <w:rsid w:val="00C556A3"/>
    <w:rsid w:val="00C65855"/>
    <w:rsid w:val="00C92E19"/>
    <w:rsid w:val="00CB4BFA"/>
    <w:rsid w:val="00CB533C"/>
    <w:rsid w:val="00CB686F"/>
    <w:rsid w:val="00CC6F9F"/>
    <w:rsid w:val="00CC7A82"/>
    <w:rsid w:val="00CF3A53"/>
    <w:rsid w:val="00D07DD6"/>
    <w:rsid w:val="00D30395"/>
    <w:rsid w:val="00D61216"/>
    <w:rsid w:val="00D832EF"/>
    <w:rsid w:val="00D93EDA"/>
    <w:rsid w:val="00DB1DF3"/>
    <w:rsid w:val="00DC7C73"/>
    <w:rsid w:val="00DE67F0"/>
    <w:rsid w:val="00DE7225"/>
    <w:rsid w:val="00E13CA5"/>
    <w:rsid w:val="00E27A25"/>
    <w:rsid w:val="00E462A3"/>
    <w:rsid w:val="00EE4E62"/>
    <w:rsid w:val="00EE5C3E"/>
    <w:rsid w:val="00F07F41"/>
    <w:rsid w:val="00F32E04"/>
    <w:rsid w:val="00F334B5"/>
    <w:rsid w:val="00F455AD"/>
    <w:rsid w:val="00F6670E"/>
    <w:rsid w:val="00F7303A"/>
    <w:rsid w:val="00F74137"/>
    <w:rsid w:val="00FA4D56"/>
    <w:rsid w:val="00FA4E12"/>
    <w:rsid w:val="00FE0132"/>
    <w:rsid w:val="00FE553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5:chartTrackingRefBased/>
  <w15:docId w15:val="{1979B6F1-CCE3-4C38-B28D-2DFA4C872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locked="1" w:semiHidden="1" w:unhideWhenUsed="1"/>
    <w:lsdException w:name="Body Text Indent" w:locked="1"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locked="1" w:semiHidden="1"/>
    <w:lsdException w:name="Body Text First Indent 2" w:locked="1" w:semiHidden="1"/>
    <w:lsdException w:name="Note Heading" w:semiHidden="1" w:unhideWhenUsed="1"/>
    <w:lsdException w:name="Body Text 2" w:locked="1" w:semiHidden="1"/>
    <w:lsdException w:name="Body Text 3" w:locked="1" w:semiHidden="1"/>
    <w:lsdException w:name="Body Text Indent 2" w:locked="1" w:semiHidden="1"/>
    <w:lsdException w:name="Body Text Indent 3" w:locked="1"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D56"/>
  </w:style>
  <w:style w:type="paragraph" w:styleId="Heading1">
    <w:name w:val="heading 1"/>
    <w:next w:val="BodyText"/>
    <w:link w:val="Heading1Char"/>
    <w:uiPriority w:val="9"/>
    <w:qFormat/>
    <w:rsid w:val="00C556A3"/>
    <w:pPr>
      <w:keepNext/>
      <w:keepLines/>
      <w:spacing w:after="960" w:line="1360" w:lineRule="exact"/>
      <w:outlineLvl w:val="0"/>
    </w:pPr>
    <w:rPr>
      <w:rFonts w:ascii="KPMG Extralight" w:eastAsiaTheme="majorEastAsia" w:hAnsi="KPMG Extralight" w:cstheme="majorBidi"/>
      <w:color w:val="00338D"/>
      <w:sz w:val="144"/>
      <w:szCs w:val="32"/>
    </w:rPr>
  </w:style>
  <w:style w:type="paragraph" w:styleId="Heading2">
    <w:name w:val="heading 2"/>
    <w:basedOn w:val="Normal"/>
    <w:next w:val="Normal"/>
    <w:link w:val="Heading2Char"/>
    <w:uiPriority w:val="9"/>
    <w:unhideWhenUsed/>
    <w:qFormat/>
    <w:rsid w:val="00765A4F"/>
    <w:pPr>
      <w:keepNext/>
      <w:keepLines/>
      <w:spacing w:before="240" w:after="240" w:line="240" w:lineRule="auto"/>
      <w:outlineLvl w:val="1"/>
    </w:pPr>
    <w:rPr>
      <w:rFonts w:ascii="Univers 45 Light" w:eastAsiaTheme="majorEastAsia" w:hAnsi="Univers 45 Light" w:cstheme="majorBidi"/>
      <w:color w:val="00338D"/>
      <w:sz w:val="40"/>
      <w:szCs w:val="26"/>
    </w:rPr>
  </w:style>
  <w:style w:type="paragraph" w:styleId="Heading3">
    <w:name w:val="heading 3"/>
    <w:basedOn w:val="Normal"/>
    <w:next w:val="Normal"/>
    <w:link w:val="Heading3Char"/>
    <w:uiPriority w:val="9"/>
    <w:unhideWhenUsed/>
    <w:qFormat/>
    <w:rsid w:val="00A41CBD"/>
    <w:pPr>
      <w:keepNext/>
      <w:keepLines/>
      <w:spacing w:before="240" w:after="0"/>
      <w:outlineLvl w:val="2"/>
    </w:pPr>
    <w:rPr>
      <w:rFonts w:ascii="Univers 45 Light" w:eastAsiaTheme="majorEastAsia" w:hAnsi="Univers 45 Light" w:cstheme="majorBidi"/>
      <w:color w:val="0091DA" w:themeColor="accent2"/>
      <w:sz w:val="28"/>
      <w:szCs w:val="24"/>
    </w:rPr>
  </w:style>
  <w:style w:type="paragraph" w:styleId="Heading4">
    <w:name w:val="heading 4"/>
    <w:basedOn w:val="Normal"/>
    <w:next w:val="Normal"/>
    <w:link w:val="Heading4Char"/>
    <w:uiPriority w:val="9"/>
    <w:unhideWhenUsed/>
    <w:qFormat/>
    <w:rsid w:val="00A41CBD"/>
    <w:pPr>
      <w:keepNext/>
      <w:keepLines/>
      <w:spacing w:before="240" w:after="0"/>
      <w:outlineLvl w:val="3"/>
    </w:pPr>
    <w:rPr>
      <w:rFonts w:ascii="Univers 45 Light" w:eastAsiaTheme="majorEastAsia" w:hAnsi="Univers 45 Light" w:cstheme="majorBidi"/>
      <w:b/>
      <w:iCs/>
      <w:color w:val="00338D" w:themeColor="background2"/>
      <w:sz w:val="24"/>
    </w:rPr>
  </w:style>
  <w:style w:type="paragraph" w:styleId="Heading5">
    <w:name w:val="heading 5"/>
    <w:basedOn w:val="BodyText1"/>
    <w:next w:val="Normal"/>
    <w:link w:val="Heading5Char"/>
    <w:uiPriority w:val="9"/>
    <w:unhideWhenUsed/>
    <w:qFormat/>
    <w:rsid w:val="00B93B13"/>
    <w:pPr>
      <w:outlineLvl w:val="4"/>
    </w:pPr>
    <w:rPr>
      <w:b/>
      <w:sz w:val="22"/>
    </w:rPr>
  </w:style>
  <w:style w:type="paragraph" w:styleId="Heading6">
    <w:name w:val="heading 6"/>
    <w:basedOn w:val="BodyText1"/>
    <w:next w:val="Normal"/>
    <w:link w:val="Heading6Char"/>
    <w:uiPriority w:val="9"/>
    <w:unhideWhenUsed/>
    <w:qFormat/>
    <w:rsid w:val="00B93B13"/>
    <w:pPr>
      <w:outlineLvl w:val="5"/>
    </w:pPr>
    <w:rPr>
      <w:i/>
      <w:color w:val="0091DA"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itle1112pt">
    <w:name w:val="Cover title 1_112pt"/>
    <w:qFormat/>
    <w:rsid w:val="00670EC9"/>
    <w:pPr>
      <w:spacing w:before="120" w:after="400" w:line="1800" w:lineRule="exact"/>
    </w:pPr>
    <w:rPr>
      <w:rFonts w:ascii="KPMG Extralight" w:hAnsi="KPMG Extralight"/>
      <w:noProof/>
      <w:color w:val="FFFFFF" w:themeColor="background1"/>
      <w:sz w:val="224"/>
      <w:szCs w:val="222"/>
      <w:lang w:eastAsia="en-AU"/>
    </w:rPr>
  </w:style>
  <w:style w:type="paragraph" w:customStyle="1" w:styleId="Covertitle216ptB">
    <w:name w:val="Cover title 2_16pt_B"/>
    <w:qFormat/>
    <w:rsid w:val="00642722"/>
    <w:pPr>
      <w:spacing w:after="0" w:line="360" w:lineRule="exact"/>
    </w:pPr>
    <w:rPr>
      <w:rFonts w:ascii="Univers 45 Light" w:hAnsi="Univers 45 Light"/>
      <w:b/>
      <w:color w:val="FFFFFF" w:themeColor="background1"/>
      <w:sz w:val="32"/>
    </w:rPr>
  </w:style>
  <w:style w:type="paragraph" w:customStyle="1" w:styleId="Covertitle316ptNB">
    <w:name w:val="Cover title 3_16pt_NB"/>
    <w:qFormat/>
    <w:rsid w:val="00642722"/>
    <w:pPr>
      <w:spacing w:after="0" w:line="360" w:lineRule="exact"/>
    </w:pPr>
    <w:rPr>
      <w:rFonts w:ascii="Univers 45 Light" w:hAnsi="Univers 45 Light"/>
      <w:color w:val="FFFFFF" w:themeColor="background1"/>
      <w:sz w:val="32"/>
    </w:rPr>
  </w:style>
  <w:style w:type="paragraph" w:customStyle="1" w:styleId="Covertitle410pt">
    <w:name w:val="Cover title 4_10pt"/>
    <w:qFormat/>
    <w:rsid w:val="00A130DE"/>
    <w:pPr>
      <w:spacing w:after="0" w:line="240" w:lineRule="exact"/>
    </w:pPr>
    <w:rPr>
      <w:rFonts w:ascii="Univers 45 Light" w:hAnsi="Univers 45 Light"/>
      <w:color w:val="FFFFFF" w:themeColor="background1"/>
      <w:sz w:val="20"/>
    </w:rPr>
  </w:style>
  <w:style w:type="table" w:styleId="TableGrid">
    <w:name w:val="Table Grid"/>
    <w:basedOn w:val="TableNormal"/>
    <w:uiPriority w:val="39"/>
    <w:rsid w:val="008857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qFormat/>
    <w:rsid w:val="00DE7225"/>
    <w:pPr>
      <w:spacing w:before="120" w:after="120" w:line="240" w:lineRule="auto"/>
    </w:pPr>
    <w:rPr>
      <w:rFonts w:ascii="Univers 45 Light" w:hAnsi="Univers 45 Light"/>
      <w:b/>
      <w:color w:val="00338D"/>
      <w:sz w:val="20"/>
    </w:rPr>
  </w:style>
  <w:style w:type="paragraph" w:customStyle="1" w:styleId="Tabletext">
    <w:name w:val="Table text"/>
    <w:qFormat/>
    <w:rsid w:val="00C556A3"/>
    <w:pPr>
      <w:spacing w:before="120" w:after="120" w:line="240" w:lineRule="auto"/>
    </w:pPr>
    <w:rPr>
      <w:rFonts w:ascii="Univers 45 Light" w:hAnsi="Univers 45 Light"/>
      <w:sz w:val="20"/>
    </w:rPr>
  </w:style>
  <w:style w:type="character" w:customStyle="1" w:styleId="Heading1Char">
    <w:name w:val="Heading 1 Char"/>
    <w:basedOn w:val="DefaultParagraphFont"/>
    <w:link w:val="Heading1"/>
    <w:uiPriority w:val="9"/>
    <w:rsid w:val="00C556A3"/>
    <w:rPr>
      <w:rFonts w:ascii="KPMG Extralight" w:eastAsiaTheme="majorEastAsia" w:hAnsi="KPMG Extralight" w:cstheme="majorBidi"/>
      <w:color w:val="00338D"/>
      <w:sz w:val="144"/>
      <w:szCs w:val="32"/>
    </w:rPr>
  </w:style>
  <w:style w:type="paragraph" w:customStyle="1" w:styleId="BodyText1">
    <w:name w:val="Body Text1"/>
    <w:qFormat/>
    <w:rsid w:val="00C556A3"/>
    <w:pPr>
      <w:spacing w:before="120" w:after="120" w:line="240" w:lineRule="auto"/>
    </w:pPr>
    <w:rPr>
      <w:rFonts w:ascii="Univers 45 Light" w:hAnsi="Univers 45 Light"/>
      <w:sz w:val="20"/>
    </w:rPr>
  </w:style>
  <w:style w:type="paragraph" w:styleId="BodyText">
    <w:name w:val="Body Text"/>
    <w:basedOn w:val="Normal"/>
    <w:link w:val="BodyTextChar"/>
    <w:uiPriority w:val="99"/>
    <w:semiHidden/>
    <w:locked/>
    <w:rsid w:val="00287CE1"/>
    <w:pPr>
      <w:spacing w:after="120"/>
    </w:pPr>
  </w:style>
  <w:style w:type="character" w:customStyle="1" w:styleId="BodyTextChar">
    <w:name w:val="Body Text Char"/>
    <w:basedOn w:val="DefaultParagraphFont"/>
    <w:link w:val="BodyText"/>
    <w:uiPriority w:val="99"/>
    <w:semiHidden/>
    <w:rsid w:val="00FA4D56"/>
  </w:style>
  <w:style w:type="paragraph" w:customStyle="1" w:styleId="Heading1Noshow">
    <w:name w:val="Heading 1_No show"/>
    <w:qFormat/>
    <w:rsid w:val="009F48C9"/>
    <w:pPr>
      <w:spacing w:after="960" w:line="240" w:lineRule="auto"/>
    </w:pPr>
    <w:rPr>
      <w:rFonts w:ascii="KPMG Extralight" w:eastAsiaTheme="majorEastAsia" w:hAnsi="KPMG Extralight" w:cstheme="majorBidi"/>
      <w:color w:val="00338D"/>
      <w:sz w:val="144"/>
      <w:szCs w:val="32"/>
    </w:rPr>
  </w:style>
  <w:style w:type="character" w:customStyle="1" w:styleId="Heading2Char">
    <w:name w:val="Heading 2 Char"/>
    <w:basedOn w:val="DefaultParagraphFont"/>
    <w:link w:val="Heading2"/>
    <w:uiPriority w:val="9"/>
    <w:rsid w:val="00765A4F"/>
    <w:rPr>
      <w:rFonts w:ascii="Univers 45 Light" w:eastAsiaTheme="majorEastAsia" w:hAnsi="Univers 45 Light" w:cstheme="majorBidi"/>
      <w:color w:val="00338D"/>
      <w:sz w:val="40"/>
      <w:szCs w:val="26"/>
    </w:rPr>
  </w:style>
  <w:style w:type="paragraph" w:styleId="TOC1">
    <w:name w:val="toc 1"/>
    <w:basedOn w:val="Normal"/>
    <w:next w:val="Normal"/>
    <w:autoRedefine/>
    <w:uiPriority w:val="39"/>
    <w:unhideWhenUsed/>
    <w:rsid w:val="00642722"/>
    <w:pPr>
      <w:tabs>
        <w:tab w:val="right" w:pos="8505"/>
      </w:tabs>
      <w:spacing w:before="120" w:after="120" w:line="240" w:lineRule="auto"/>
    </w:pPr>
    <w:rPr>
      <w:rFonts w:ascii="Univers 45 Light" w:hAnsi="Univers 45 Light"/>
      <w:sz w:val="24"/>
    </w:rPr>
  </w:style>
  <w:style w:type="character" w:customStyle="1" w:styleId="Heading3Char">
    <w:name w:val="Heading 3 Char"/>
    <w:basedOn w:val="DefaultParagraphFont"/>
    <w:link w:val="Heading3"/>
    <w:uiPriority w:val="9"/>
    <w:rsid w:val="00A41CBD"/>
    <w:rPr>
      <w:rFonts w:ascii="Univers 45 Light" w:eastAsiaTheme="majorEastAsia" w:hAnsi="Univers 45 Light" w:cstheme="majorBidi"/>
      <w:color w:val="0091DA" w:themeColor="accent2"/>
      <w:sz w:val="28"/>
      <w:szCs w:val="24"/>
    </w:rPr>
  </w:style>
  <w:style w:type="character" w:styleId="Hyperlink">
    <w:name w:val="Hyperlink"/>
    <w:basedOn w:val="DefaultParagraphFont"/>
    <w:uiPriority w:val="99"/>
    <w:unhideWhenUsed/>
    <w:rsid w:val="00BA4108"/>
    <w:rPr>
      <w:rFonts w:ascii="Univers 45 Light" w:hAnsi="Univers 45 Light"/>
      <w:color w:val="470A68" w:themeColor="hyperlink"/>
      <w:sz w:val="18"/>
      <w:u w:val="single"/>
    </w:rPr>
  </w:style>
  <w:style w:type="paragraph" w:styleId="Header">
    <w:name w:val="header"/>
    <w:basedOn w:val="Normal"/>
    <w:link w:val="HeaderChar"/>
    <w:uiPriority w:val="99"/>
    <w:unhideWhenUsed/>
    <w:rsid w:val="00F6670E"/>
    <w:pPr>
      <w:tabs>
        <w:tab w:val="center" w:pos="4513"/>
        <w:tab w:val="right" w:pos="9026"/>
      </w:tabs>
      <w:spacing w:after="0" w:line="240" w:lineRule="auto"/>
    </w:pPr>
    <w:rPr>
      <w:rFonts w:ascii="Univers 45 Light" w:hAnsi="Univers 45 Light"/>
      <w:sz w:val="12"/>
    </w:rPr>
  </w:style>
  <w:style w:type="character" w:customStyle="1" w:styleId="HeaderChar">
    <w:name w:val="Header Char"/>
    <w:basedOn w:val="DefaultParagraphFont"/>
    <w:link w:val="Header"/>
    <w:uiPriority w:val="99"/>
    <w:rsid w:val="00F6670E"/>
    <w:rPr>
      <w:rFonts w:ascii="Univers 45 Light" w:hAnsi="Univers 45 Light"/>
      <w:sz w:val="12"/>
    </w:rPr>
  </w:style>
  <w:style w:type="paragraph" w:styleId="Footer">
    <w:name w:val="footer"/>
    <w:basedOn w:val="Normal"/>
    <w:link w:val="FooterChar"/>
    <w:uiPriority w:val="99"/>
    <w:unhideWhenUsed/>
    <w:rsid w:val="007E23D9"/>
    <w:pPr>
      <w:tabs>
        <w:tab w:val="center" w:pos="4513"/>
        <w:tab w:val="right" w:pos="9026"/>
      </w:tabs>
      <w:spacing w:after="0" w:line="240" w:lineRule="auto"/>
      <w:jc w:val="center"/>
    </w:pPr>
    <w:rPr>
      <w:rFonts w:ascii="Univers 45 Light" w:hAnsi="Univers 45 Light"/>
      <w:color w:val="808080" w:themeColor="background1" w:themeShade="80"/>
      <w:sz w:val="12"/>
    </w:rPr>
  </w:style>
  <w:style w:type="character" w:customStyle="1" w:styleId="FooterChar">
    <w:name w:val="Footer Char"/>
    <w:basedOn w:val="DefaultParagraphFont"/>
    <w:link w:val="Footer"/>
    <w:uiPriority w:val="99"/>
    <w:rsid w:val="007E23D9"/>
    <w:rPr>
      <w:rFonts w:ascii="Univers 45 Light" w:hAnsi="Univers 45 Light"/>
      <w:color w:val="808080" w:themeColor="background1" w:themeShade="80"/>
      <w:sz w:val="12"/>
    </w:rPr>
  </w:style>
  <w:style w:type="paragraph" w:customStyle="1" w:styleId="CVname">
    <w:name w:val="CV name"/>
    <w:qFormat/>
    <w:rsid w:val="008B1B1E"/>
    <w:pPr>
      <w:spacing w:after="80" w:line="240" w:lineRule="auto"/>
    </w:pPr>
    <w:rPr>
      <w:rFonts w:ascii="Univers 45 Light" w:hAnsi="Univers 45 Light"/>
      <w:color w:val="00338D"/>
      <w:sz w:val="28"/>
    </w:rPr>
  </w:style>
  <w:style w:type="paragraph" w:customStyle="1" w:styleId="CVtitle">
    <w:name w:val="CV title"/>
    <w:qFormat/>
    <w:rsid w:val="00F32E04"/>
    <w:pPr>
      <w:spacing w:line="240" w:lineRule="auto"/>
    </w:pPr>
    <w:rPr>
      <w:rFonts w:ascii="Univers 45 Light" w:hAnsi="Univers 45 Light"/>
      <w:color w:val="00338D" w:themeColor="background2"/>
      <w:sz w:val="24"/>
    </w:rPr>
  </w:style>
  <w:style w:type="paragraph" w:customStyle="1" w:styleId="CVdetail">
    <w:name w:val="CV detail"/>
    <w:qFormat/>
    <w:rsid w:val="008B1B1E"/>
    <w:pPr>
      <w:spacing w:before="120" w:after="0" w:line="240" w:lineRule="auto"/>
    </w:pPr>
    <w:rPr>
      <w:rFonts w:ascii="Univers 45 Light" w:hAnsi="Univers 45 Light"/>
      <w:color w:val="00338D"/>
      <w:sz w:val="20"/>
    </w:rPr>
  </w:style>
  <w:style w:type="paragraph" w:customStyle="1" w:styleId="CVheader">
    <w:name w:val="CV header"/>
    <w:qFormat/>
    <w:rsid w:val="004D0067"/>
    <w:pPr>
      <w:spacing w:before="240" w:after="120" w:line="240" w:lineRule="auto"/>
    </w:pPr>
    <w:rPr>
      <w:rFonts w:ascii="Univers 45 Light" w:hAnsi="Univers 45 Light"/>
      <w:b/>
      <w:color w:val="00338D"/>
      <w:sz w:val="20"/>
    </w:rPr>
  </w:style>
  <w:style w:type="paragraph" w:customStyle="1" w:styleId="CVtext">
    <w:name w:val="CV text"/>
    <w:qFormat/>
    <w:rsid w:val="0024699F"/>
    <w:pPr>
      <w:spacing w:before="120" w:after="120" w:line="280" w:lineRule="exact"/>
    </w:pPr>
    <w:rPr>
      <w:rFonts w:ascii="Univers 45 Light" w:hAnsi="Univers 45 Light"/>
      <w:sz w:val="20"/>
    </w:rPr>
  </w:style>
  <w:style w:type="character" w:customStyle="1" w:styleId="Heading4Char">
    <w:name w:val="Heading 4 Char"/>
    <w:basedOn w:val="DefaultParagraphFont"/>
    <w:link w:val="Heading4"/>
    <w:uiPriority w:val="9"/>
    <w:rsid w:val="00A41CBD"/>
    <w:rPr>
      <w:rFonts w:ascii="Univers 45 Light" w:eastAsiaTheme="majorEastAsia" w:hAnsi="Univers 45 Light" w:cstheme="majorBidi"/>
      <w:b/>
      <w:iCs/>
      <w:color w:val="00338D" w:themeColor="background2"/>
      <w:sz w:val="24"/>
    </w:rPr>
  </w:style>
  <w:style w:type="character" w:customStyle="1" w:styleId="Heading5Char">
    <w:name w:val="Heading 5 Char"/>
    <w:basedOn w:val="DefaultParagraphFont"/>
    <w:link w:val="Heading5"/>
    <w:uiPriority w:val="9"/>
    <w:rsid w:val="00B93B13"/>
    <w:rPr>
      <w:rFonts w:ascii="Univers 45 Light" w:hAnsi="Univers 45 Light"/>
      <w:b/>
    </w:rPr>
  </w:style>
  <w:style w:type="character" w:customStyle="1" w:styleId="Heading6Char">
    <w:name w:val="Heading 6 Char"/>
    <w:basedOn w:val="DefaultParagraphFont"/>
    <w:link w:val="Heading6"/>
    <w:uiPriority w:val="9"/>
    <w:rsid w:val="00B93B13"/>
    <w:rPr>
      <w:rFonts w:ascii="Univers 45 Light" w:hAnsi="Univers 45 Light"/>
      <w:i/>
      <w:color w:val="0091DA" w:themeColor="accent2"/>
      <w:sz w:val="20"/>
    </w:rPr>
  </w:style>
  <w:style w:type="paragraph" w:customStyle="1" w:styleId="Bullet1stlevel">
    <w:name w:val="Bullet 1st level"/>
    <w:basedOn w:val="BodyText1"/>
    <w:qFormat/>
    <w:rsid w:val="007316D0"/>
    <w:pPr>
      <w:numPr>
        <w:numId w:val="1"/>
      </w:numPr>
    </w:pPr>
  </w:style>
  <w:style w:type="paragraph" w:customStyle="1" w:styleId="Bullet2ndlevel">
    <w:name w:val="Bullet 2nd level"/>
    <w:basedOn w:val="BodyText1"/>
    <w:qFormat/>
    <w:rsid w:val="00642722"/>
    <w:pPr>
      <w:numPr>
        <w:numId w:val="3"/>
      </w:numPr>
      <w:tabs>
        <w:tab w:val="clear" w:pos="340"/>
      </w:tabs>
      <w:spacing w:after="60"/>
      <w:ind w:left="624" w:hanging="284"/>
    </w:pPr>
  </w:style>
  <w:style w:type="paragraph" w:customStyle="1" w:styleId="Bullet3rdlevel">
    <w:name w:val="Bullet 3rd level"/>
    <w:basedOn w:val="BodyText1"/>
    <w:qFormat/>
    <w:rsid w:val="00642722"/>
    <w:pPr>
      <w:numPr>
        <w:numId w:val="5"/>
      </w:numPr>
      <w:tabs>
        <w:tab w:val="clear" w:pos="340"/>
        <w:tab w:val="num" w:pos="993"/>
      </w:tabs>
      <w:spacing w:before="40"/>
      <w:ind w:left="908" w:hanging="284"/>
    </w:pPr>
  </w:style>
  <w:style w:type="paragraph" w:customStyle="1" w:styleId="Numberbullet1stlevel">
    <w:name w:val="Number bullet 1st level"/>
    <w:basedOn w:val="BodyText1"/>
    <w:qFormat/>
    <w:rsid w:val="007316D0"/>
    <w:pPr>
      <w:numPr>
        <w:numId w:val="9"/>
      </w:numPr>
    </w:pPr>
  </w:style>
  <w:style w:type="paragraph" w:customStyle="1" w:styleId="Numberbullet2ndlevel">
    <w:name w:val="Number bullet 2nd level"/>
    <w:basedOn w:val="BodyText1"/>
    <w:qFormat/>
    <w:rsid w:val="00C556A3"/>
    <w:pPr>
      <w:numPr>
        <w:numId w:val="10"/>
      </w:numPr>
      <w:ind w:left="680" w:hanging="340"/>
    </w:pPr>
  </w:style>
  <w:style w:type="paragraph" w:customStyle="1" w:styleId="CVbullet1">
    <w:name w:val="CV bullet 1"/>
    <w:basedOn w:val="BodyText1"/>
    <w:qFormat/>
    <w:rsid w:val="00F32E04"/>
    <w:pPr>
      <w:numPr>
        <w:numId w:val="14"/>
      </w:numPr>
      <w:ind w:left="340" w:hanging="340"/>
    </w:pPr>
  </w:style>
  <w:style w:type="paragraph" w:customStyle="1" w:styleId="CVbullet2">
    <w:name w:val="CV bullet 2"/>
    <w:basedOn w:val="BodyText1"/>
    <w:qFormat/>
    <w:rsid w:val="002360FF"/>
    <w:pPr>
      <w:numPr>
        <w:numId w:val="17"/>
      </w:numPr>
      <w:spacing w:before="40"/>
      <w:ind w:left="714" w:hanging="357"/>
    </w:pPr>
  </w:style>
  <w:style w:type="paragraph" w:customStyle="1" w:styleId="Heading2option2">
    <w:name w:val="Heading 2_option 2"/>
    <w:basedOn w:val="Heading2"/>
    <w:qFormat/>
    <w:rsid w:val="0071185C"/>
    <w:pPr>
      <w:spacing w:before="0" w:after="360"/>
    </w:pPr>
  </w:style>
  <w:style w:type="paragraph" w:customStyle="1" w:styleId="Heading1Option2">
    <w:name w:val="Heading 1_Option 2"/>
    <w:basedOn w:val="Heading1"/>
    <w:qFormat/>
    <w:rsid w:val="00863105"/>
    <w:pPr>
      <w:spacing w:after="360"/>
    </w:pPr>
  </w:style>
  <w:style w:type="character" w:customStyle="1" w:styleId="White">
    <w:name w:val="White"/>
    <w:basedOn w:val="DefaultParagraphFont"/>
    <w:uiPriority w:val="1"/>
    <w:qFormat/>
    <w:rsid w:val="002D014E"/>
    <w:rPr>
      <w:color w:val="FFFFFF" w:themeColor="background1"/>
    </w:rPr>
  </w:style>
  <w:style w:type="paragraph" w:styleId="Quote">
    <w:name w:val="Quote"/>
    <w:basedOn w:val="Normal"/>
    <w:next w:val="Normal"/>
    <w:link w:val="QuoteChar"/>
    <w:uiPriority w:val="29"/>
    <w:qFormat/>
    <w:rsid w:val="00821FAB"/>
    <w:pPr>
      <w:spacing w:after="360" w:line="520" w:lineRule="exact"/>
    </w:pPr>
    <w:rPr>
      <w:rFonts w:ascii="KPMG Light" w:hAnsi="KPMG Light"/>
      <w:iCs/>
      <w:color w:val="005EB8" w:themeColor="accent1"/>
      <w:sz w:val="44"/>
    </w:rPr>
  </w:style>
  <w:style w:type="character" w:customStyle="1" w:styleId="QuoteChar">
    <w:name w:val="Quote Char"/>
    <w:basedOn w:val="DefaultParagraphFont"/>
    <w:link w:val="Quote"/>
    <w:uiPriority w:val="29"/>
    <w:rsid w:val="00821FAB"/>
    <w:rPr>
      <w:rFonts w:ascii="KPMG Light" w:hAnsi="KPMG Light"/>
      <w:iCs/>
      <w:color w:val="005EB8" w:themeColor="accent1"/>
      <w:sz w:val="44"/>
    </w:rPr>
  </w:style>
  <w:style w:type="paragraph" w:customStyle="1" w:styleId="Introduction">
    <w:name w:val="Introduction"/>
    <w:basedOn w:val="Quote"/>
    <w:qFormat/>
    <w:rsid w:val="00F455AD"/>
  </w:style>
  <w:style w:type="paragraph" w:customStyle="1" w:styleId="Letterhead">
    <w:name w:val="Letterhead"/>
    <w:rsid w:val="00826506"/>
    <w:pPr>
      <w:spacing w:after="0" w:line="160" w:lineRule="atLeast"/>
    </w:pPr>
    <w:rPr>
      <w:rFonts w:eastAsia="Batang" w:cs="Arial"/>
      <w:sz w:val="12"/>
      <w:szCs w:val="12"/>
      <w:lang w:val="en-GB" w:eastAsia="ko-KR"/>
    </w:rPr>
  </w:style>
  <w:style w:type="paragraph" w:customStyle="1" w:styleId="Letterheadaddress">
    <w:name w:val="Letterhead address"/>
    <w:basedOn w:val="BodyText1"/>
    <w:qFormat/>
    <w:rsid w:val="00DE7225"/>
    <w:pPr>
      <w:spacing w:before="20" w:after="20"/>
      <w:ind w:left="142"/>
    </w:pPr>
  </w:style>
  <w:style w:type="paragraph" w:customStyle="1" w:styleId="Contactus">
    <w:name w:val="Contact us"/>
    <w:basedOn w:val="BodyText1"/>
    <w:qFormat/>
    <w:rsid w:val="006C6D5E"/>
    <w:pPr>
      <w:spacing w:after="480"/>
    </w:pPr>
    <w:rPr>
      <w:b/>
      <w:color w:val="00338D" w:themeColor="background2"/>
      <w:sz w:val="42"/>
    </w:rPr>
  </w:style>
  <w:style w:type="paragraph" w:customStyle="1" w:styleId="backcoverdetails">
    <w:name w:val="back cover details"/>
    <w:basedOn w:val="BodyText1"/>
    <w:qFormat/>
    <w:rsid w:val="00A506E6"/>
    <w:pPr>
      <w:spacing w:before="0" w:after="0"/>
    </w:pPr>
  </w:style>
  <w:style w:type="paragraph" w:styleId="IntenseQuote">
    <w:name w:val="Intense Quote"/>
    <w:basedOn w:val="Normal"/>
    <w:next w:val="Normal"/>
    <w:link w:val="IntenseQuoteChar"/>
    <w:uiPriority w:val="30"/>
    <w:qFormat/>
    <w:rsid w:val="00BA4108"/>
    <w:pPr>
      <w:pBdr>
        <w:top w:val="single" w:sz="4" w:space="10" w:color="005EB8" w:themeColor="accent1"/>
        <w:bottom w:val="single" w:sz="4" w:space="10" w:color="005EB8" w:themeColor="accent1"/>
      </w:pBdr>
      <w:spacing w:before="360" w:after="360"/>
    </w:pPr>
    <w:rPr>
      <w:rFonts w:ascii="Univers 45 Light" w:hAnsi="Univers 45 Light"/>
      <w:i/>
      <w:iCs/>
      <w:color w:val="005EB8" w:themeColor="accent1"/>
    </w:rPr>
  </w:style>
  <w:style w:type="character" w:customStyle="1" w:styleId="IntenseQuoteChar">
    <w:name w:val="Intense Quote Char"/>
    <w:basedOn w:val="DefaultParagraphFont"/>
    <w:link w:val="IntenseQuote"/>
    <w:uiPriority w:val="30"/>
    <w:rsid w:val="00BA4108"/>
    <w:rPr>
      <w:rFonts w:ascii="Univers 45 Light" w:hAnsi="Univers 45 Light"/>
      <w:i/>
      <w:iCs/>
      <w:color w:val="005EB8" w:themeColor="accent1"/>
    </w:rPr>
  </w:style>
  <w:style w:type="character" w:styleId="SubtleReference">
    <w:name w:val="Subtle Reference"/>
    <w:basedOn w:val="DefaultParagraphFont"/>
    <w:uiPriority w:val="31"/>
    <w:qFormat/>
    <w:rsid w:val="00BA4108"/>
    <w:rPr>
      <w:rFonts w:ascii="KPMG Light" w:hAnsi="KPMG Light"/>
      <w:smallCaps/>
      <w:color w:val="5A5A5A" w:themeColor="text1" w:themeTint="A5"/>
      <w:sz w:val="44"/>
    </w:rPr>
  </w:style>
  <w:style w:type="character" w:styleId="IntenseReference">
    <w:name w:val="Intense Reference"/>
    <w:basedOn w:val="DefaultParagraphFont"/>
    <w:uiPriority w:val="32"/>
    <w:qFormat/>
    <w:rsid w:val="00BA4108"/>
    <w:rPr>
      <w:rFonts w:ascii="KPMG Light" w:hAnsi="KPMG Light"/>
      <w:b/>
      <w:bCs/>
      <w:smallCaps/>
      <w:color w:val="005EB8" w:themeColor="accent1"/>
      <w:spacing w:val="5"/>
      <w:sz w:val="44"/>
    </w:rPr>
  </w:style>
  <w:style w:type="character" w:styleId="Strong">
    <w:name w:val="Strong"/>
    <w:basedOn w:val="DefaultParagraphFont"/>
    <w:uiPriority w:val="22"/>
    <w:qFormat/>
    <w:rsid w:val="00DE7225"/>
    <w:rPr>
      <w:b/>
      <w:bCs/>
    </w:rPr>
  </w:style>
  <w:style w:type="paragraph" w:styleId="BalloonText">
    <w:name w:val="Balloon Text"/>
    <w:basedOn w:val="Normal"/>
    <w:link w:val="BalloonTextChar"/>
    <w:uiPriority w:val="99"/>
    <w:semiHidden/>
    <w:unhideWhenUsed/>
    <w:rsid w:val="006C6D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D5E"/>
    <w:rPr>
      <w:rFonts w:ascii="Segoe UI" w:hAnsi="Segoe UI" w:cs="Segoe UI"/>
      <w:sz w:val="18"/>
      <w:szCs w:val="18"/>
    </w:rPr>
  </w:style>
  <w:style w:type="paragraph" w:customStyle="1" w:styleId="IntroText">
    <w:name w:val="Intro Text"/>
    <w:basedOn w:val="Normal"/>
    <w:qFormat/>
    <w:rsid w:val="00037B63"/>
    <w:pPr>
      <w:spacing w:line="380" w:lineRule="exact"/>
    </w:pPr>
    <w:rPr>
      <w:rFonts w:ascii="Univers 45 Light" w:hAnsi="Univers 45 Light" w:cstheme="majorBidi"/>
      <w:color w:val="0091DA" w:themeColor="accent2"/>
      <w:sz w:val="32"/>
      <w:szCs w:val="26"/>
    </w:rPr>
  </w:style>
  <w:style w:type="paragraph" w:customStyle="1" w:styleId="Classification">
    <w:name w:val="Classification"/>
    <w:basedOn w:val="Footer"/>
    <w:qFormat/>
    <w:rsid w:val="008F5357"/>
    <w:pPr>
      <w:spacing w:before="60"/>
      <w:jc w:val="left"/>
    </w:pPr>
  </w:style>
  <w:style w:type="paragraph" w:customStyle="1" w:styleId="TableBullet1stlevel">
    <w:name w:val="Table Bullet 1st level"/>
    <w:basedOn w:val="Tabletext"/>
    <w:qFormat/>
    <w:rsid w:val="00C556A3"/>
    <w:pPr>
      <w:numPr>
        <w:numId w:val="18"/>
      </w:numPr>
      <w:ind w:left="340" w:hanging="340"/>
    </w:pPr>
  </w:style>
  <w:style w:type="paragraph" w:customStyle="1" w:styleId="TableBullet2ndlevel">
    <w:name w:val="Table Bullet 2nd level"/>
    <w:basedOn w:val="TableBullet1stlevel"/>
    <w:qFormat/>
    <w:rsid w:val="00A52320"/>
    <w:pPr>
      <w:numPr>
        <w:numId w:val="19"/>
      </w:numPr>
      <w:ind w:left="680" w:hanging="340"/>
    </w:pPr>
  </w:style>
  <w:style w:type="paragraph" w:styleId="ListParagraph">
    <w:name w:val="List Paragraph"/>
    <w:basedOn w:val="Normal"/>
    <w:uiPriority w:val="34"/>
    <w:qFormat/>
    <w:rsid w:val="00717E2C"/>
    <w:pPr>
      <w:ind w:left="720"/>
      <w:contextualSpacing/>
    </w:pPr>
  </w:style>
  <w:style w:type="character" w:styleId="CommentReference">
    <w:name w:val="annotation reference"/>
    <w:basedOn w:val="DefaultParagraphFont"/>
    <w:uiPriority w:val="99"/>
    <w:semiHidden/>
    <w:unhideWhenUsed/>
    <w:rsid w:val="00717E2C"/>
    <w:rPr>
      <w:sz w:val="16"/>
      <w:szCs w:val="16"/>
    </w:rPr>
  </w:style>
  <w:style w:type="paragraph" w:styleId="CommentText">
    <w:name w:val="annotation text"/>
    <w:basedOn w:val="Normal"/>
    <w:link w:val="CommentTextChar"/>
    <w:uiPriority w:val="99"/>
    <w:semiHidden/>
    <w:unhideWhenUsed/>
    <w:rsid w:val="00717E2C"/>
    <w:pPr>
      <w:spacing w:line="240" w:lineRule="auto"/>
    </w:pPr>
    <w:rPr>
      <w:sz w:val="20"/>
      <w:szCs w:val="20"/>
    </w:rPr>
  </w:style>
  <w:style w:type="character" w:customStyle="1" w:styleId="CommentTextChar">
    <w:name w:val="Comment Text Char"/>
    <w:basedOn w:val="DefaultParagraphFont"/>
    <w:link w:val="CommentText"/>
    <w:uiPriority w:val="99"/>
    <w:semiHidden/>
    <w:rsid w:val="00717E2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ssets.kpmg.com/content/dam/kpmg/au/pdf/2018/insurance-in-superannuation-impact-2018-federal-budget.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ome.kpmg.com/au/en/home/insights/2017/09/default-group-insurance-superannuation-review.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super@pc.gov.au"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44546A"/>
      </a:dk2>
      <a:lt2>
        <a:srgbClr val="00338D"/>
      </a:lt2>
      <a:accent1>
        <a:srgbClr val="005EB8"/>
      </a:accent1>
      <a:accent2>
        <a:srgbClr val="0091DA"/>
      </a:accent2>
      <a:accent3>
        <a:srgbClr val="483698"/>
      </a:accent3>
      <a:accent4>
        <a:srgbClr val="470A68"/>
      </a:accent4>
      <a:accent5>
        <a:srgbClr val="6D2077"/>
      </a:accent5>
      <a:accent6>
        <a:srgbClr val="00A3A1"/>
      </a:accent6>
      <a:hlink>
        <a:srgbClr val="470A68"/>
      </a:hlink>
      <a:folHlink>
        <a:srgbClr val="6D2077"/>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CEB8F-7185-410E-BEDC-8BF8A42DC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3534</Words>
  <Characters>20146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Submission DR183 - KPMG - Superannuation: Assessing Competitiveness and Efficiency - Public inquiry</vt:lpstr>
    </vt:vector>
  </TitlesOfParts>
  <Company>KPMG</Company>
  <LinksUpToDate>false</LinksUpToDate>
  <CharactersWithSpaces>23633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DR183 - KPMG - Superannuation: Assessing Competitiveness and Efficiency - Public inquiry</dc:title>
  <dc:subject/>
  <dc:creator>KPMG</dc:creator>
  <cp:keywords/>
  <dc:description/>
  <cp:lastModifiedBy>Pimperl, Mark</cp:lastModifiedBy>
  <cp:revision>4</cp:revision>
  <cp:lastPrinted>2018-06-13T09:49:00Z</cp:lastPrinted>
  <dcterms:created xsi:type="dcterms:W3CDTF">2018-07-23T23:53:00Z</dcterms:created>
  <dcterms:modified xsi:type="dcterms:W3CDTF">2018-07-23T23:54:00Z</dcterms:modified>
</cp:coreProperties>
</file>