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8B5FB0" w14:textId="77777777" w:rsidR="00E956EA" w:rsidRPr="004C5C61" w:rsidRDefault="00E956EA" w:rsidP="00E956EA">
      <w:pPr>
        <w:spacing w:after="0" w:line="240" w:lineRule="auto"/>
        <w:rPr>
          <w:rFonts w:cstheme="minorHAnsi"/>
        </w:rPr>
      </w:pPr>
      <w:r w:rsidRPr="004C5C61">
        <w:rPr>
          <w:rFonts w:cstheme="minorHAnsi"/>
          <w:noProof/>
          <w:lang w:eastAsia="en-AU"/>
        </w:rPr>
        <w:drawing>
          <wp:inline distT="0" distB="0" distL="0" distR="0" wp14:anchorId="2B8B601B" wp14:editId="2B8B601C">
            <wp:extent cx="3416300" cy="1043940"/>
            <wp:effectExtent l="0" t="0" r="0" b="3810"/>
            <wp:docPr id="1" name="Picture 1" descr="ACCC-logo-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CC-logo-BW"/>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16300" cy="1043940"/>
                    </a:xfrm>
                    <a:prstGeom prst="rect">
                      <a:avLst/>
                    </a:prstGeom>
                    <a:noFill/>
                    <a:ln>
                      <a:noFill/>
                    </a:ln>
                  </pic:spPr>
                </pic:pic>
              </a:graphicData>
            </a:graphic>
          </wp:inline>
        </w:drawing>
      </w:r>
    </w:p>
    <w:p w14:paraId="2B8B5FB1" w14:textId="77777777" w:rsidR="00E956EA" w:rsidRPr="004C5C61" w:rsidRDefault="00E956EA" w:rsidP="00E956EA">
      <w:pPr>
        <w:spacing w:after="0" w:line="240" w:lineRule="auto"/>
        <w:rPr>
          <w:rFonts w:cstheme="minorHAnsi"/>
        </w:rPr>
      </w:pPr>
    </w:p>
    <w:p w14:paraId="2B8B5FB2" w14:textId="77777777" w:rsidR="00E956EA" w:rsidRPr="004C5C61" w:rsidRDefault="00E956EA" w:rsidP="00E956EA">
      <w:pPr>
        <w:spacing w:after="0" w:line="240" w:lineRule="auto"/>
        <w:rPr>
          <w:rFonts w:cstheme="minorHAnsi"/>
        </w:rPr>
      </w:pPr>
    </w:p>
    <w:p w14:paraId="2B8B5FB3" w14:textId="77777777" w:rsidR="00E956EA" w:rsidRPr="004C5C61" w:rsidRDefault="00E956EA" w:rsidP="00E956EA">
      <w:pPr>
        <w:spacing w:after="0" w:line="240" w:lineRule="auto"/>
        <w:rPr>
          <w:rFonts w:cstheme="minorHAnsi"/>
        </w:rPr>
      </w:pPr>
    </w:p>
    <w:p w14:paraId="2B8B5FB4" w14:textId="77777777" w:rsidR="00E956EA" w:rsidRPr="004C5C61" w:rsidRDefault="00E956EA" w:rsidP="00E956EA">
      <w:pPr>
        <w:spacing w:after="0" w:line="240" w:lineRule="auto"/>
        <w:rPr>
          <w:rFonts w:cstheme="minorHAnsi"/>
        </w:rPr>
      </w:pPr>
    </w:p>
    <w:p w14:paraId="2B8B5FB5" w14:textId="77777777" w:rsidR="00E956EA" w:rsidRPr="004C5C61" w:rsidRDefault="00E956EA" w:rsidP="00E956EA">
      <w:pPr>
        <w:spacing w:after="0" w:line="240" w:lineRule="auto"/>
        <w:rPr>
          <w:rFonts w:cstheme="minorHAnsi"/>
        </w:rPr>
      </w:pPr>
    </w:p>
    <w:p w14:paraId="2B8B5FB6" w14:textId="77777777" w:rsidR="00E956EA" w:rsidRPr="004C5C61" w:rsidRDefault="00E956EA" w:rsidP="00E956EA">
      <w:pPr>
        <w:spacing w:after="0" w:line="240" w:lineRule="auto"/>
        <w:rPr>
          <w:rFonts w:cstheme="minorHAnsi"/>
        </w:rPr>
      </w:pPr>
    </w:p>
    <w:p w14:paraId="2B8B5FB7" w14:textId="77777777" w:rsidR="00E956EA" w:rsidRPr="004C5C61" w:rsidRDefault="00E956EA" w:rsidP="00E956EA">
      <w:pPr>
        <w:spacing w:after="0" w:line="240" w:lineRule="auto"/>
        <w:rPr>
          <w:rFonts w:cstheme="minorHAnsi"/>
        </w:rPr>
      </w:pPr>
    </w:p>
    <w:p w14:paraId="2B8B5FB8" w14:textId="77777777" w:rsidR="00E956EA" w:rsidRPr="004C5C61" w:rsidRDefault="00E956EA" w:rsidP="00E956EA">
      <w:pPr>
        <w:spacing w:after="0" w:line="240" w:lineRule="auto"/>
        <w:rPr>
          <w:rFonts w:cstheme="minorHAnsi"/>
        </w:rPr>
      </w:pPr>
    </w:p>
    <w:p w14:paraId="2B8B5FB9" w14:textId="77777777" w:rsidR="00E956EA" w:rsidRPr="004C5C61" w:rsidRDefault="00E956EA" w:rsidP="00E956EA">
      <w:pPr>
        <w:spacing w:after="0" w:line="240" w:lineRule="auto"/>
        <w:rPr>
          <w:rFonts w:cstheme="minorHAnsi"/>
        </w:rPr>
      </w:pPr>
    </w:p>
    <w:p w14:paraId="2B8B5FBA" w14:textId="77777777" w:rsidR="00E956EA" w:rsidRPr="004C5C61" w:rsidRDefault="00E956EA" w:rsidP="00E956EA">
      <w:pPr>
        <w:spacing w:after="0" w:line="240" w:lineRule="auto"/>
        <w:rPr>
          <w:rFonts w:cstheme="minorHAnsi"/>
          <w:b/>
        </w:rPr>
      </w:pPr>
    </w:p>
    <w:p w14:paraId="2B8B5FBB" w14:textId="77777777" w:rsidR="00E956EA" w:rsidRPr="004C5C61" w:rsidRDefault="00E956EA" w:rsidP="00E956EA">
      <w:pPr>
        <w:pStyle w:val="Heading1"/>
        <w:rPr>
          <w:rStyle w:val="Strong"/>
          <w:rFonts w:cstheme="minorHAnsi"/>
          <w:b/>
        </w:rPr>
      </w:pPr>
      <w:proofErr w:type="spellStart"/>
      <w:r w:rsidRPr="004C5C61">
        <w:rPr>
          <w:rStyle w:val="Strong"/>
          <w:rFonts w:cstheme="minorHAnsi"/>
          <w:b/>
        </w:rPr>
        <w:t>ACCC</w:t>
      </w:r>
      <w:proofErr w:type="spellEnd"/>
      <w:r w:rsidRPr="004C5C61">
        <w:rPr>
          <w:rStyle w:val="Strong"/>
          <w:rFonts w:cstheme="minorHAnsi"/>
          <w:b/>
        </w:rPr>
        <w:t xml:space="preserve"> submission to the </w:t>
      </w:r>
      <w:r w:rsidR="008F4A9F">
        <w:rPr>
          <w:rStyle w:val="Strong"/>
          <w:rFonts w:cstheme="minorHAnsi"/>
          <w:b/>
        </w:rPr>
        <w:t>Productivity Commission’s Issues Paper on the Telecommunications Universal Service Obligation</w:t>
      </w:r>
    </w:p>
    <w:p w14:paraId="2B8B5FBC" w14:textId="77777777" w:rsidR="00E956EA" w:rsidRPr="004C5C61" w:rsidRDefault="00E956EA" w:rsidP="00E956EA">
      <w:pPr>
        <w:spacing w:after="0" w:line="240" w:lineRule="auto"/>
        <w:rPr>
          <w:rFonts w:cstheme="minorHAnsi"/>
          <w:sz w:val="26"/>
          <w:szCs w:val="26"/>
        </w:rPr>
      </w:pPr>
    </w:p>
    <w:p w14:paraId="2B8B5FBD" w14:textId="77777777" w:rsidR="00E956EA" w:rsidRPr="004C5C61" w:rsidRDefault="00E956EA" w:rsidP="00E956EA">
      <w:pPr>
        <w:spacing w:after="0" w:line="240" w:lineRule="auto"/>
        <w:rPr>
          <w:rFonts w:cstheme="minorHAnsi"/>
          <w:sz w:val="26"/>
          <w:szCs w:val="26"/>
        </w:rPr>
      </w:pPr>
    </w:p>
    <w:p w14:paraId="2B8B5FBE" w14:textId="77777777" w:rsidR="00E956EA" w:rsidRPr="004C5C61" w:rsidRDefault="008F4A9F" w:rsidP="00E956EA">
      <w:pPr>
        <w:spacing w:after="0" w:line="240" w:lineRule="auto"/>
        <w:jc w:val="center"/>
        <w:rPr>
          <w:rFonts w:cstheme="minorHAnsi"/>
          <w:sz w:val="26"/>
          <w:szCs w:val="26"/>
        </w:rPr>
      </w:pPr>
      <w:r>
        <w:rPr>
          <w:rFonts w:cstheme="minorHAnsi"/>
          <w:sz w:val="26"/>
          <w:szCs w:val="26"/>
        </w:rPr>
        <w:t xml:space="preserve">July </w:t>
      </w:r>
      <w:r w:rsidR="00723290" w:rsidRPr="004C5C61">
        <w:rPr>
          <w:rFonts w:cstheme="minorHAnsi"/>
          <w:sz w:val="26"/>
          <w:szCs w:val="26"/>
        </w:rPr>
        <w:t>2016</w:t>
      </w:r>
    </w:p>
    <w:p w14:paraId="2B8B5FBF" w14:textId="77777777" w:rsidR="00E956EA" w:rsidRPr="004C5C61" w:rsidRDefault="00E956EA" w:rsidP="00E956EA">
      <w:pPr>
        <w:spacing w:after="0" w:line="240" w:lineRule="auto"/>
        <w:rPr>
          <w:rFonts w:cstheme="minorHAnsi"/>
        </w:rPr>
      </w:pPr>
    </w:p>
    <w:p w14:paraId="2B8B5FC0" w14:textId="77777777" w:rsidR="00E956EA" w:rsidRPr="004C5C61" w:rsidRDefault="00E956EA" w:rsidP="00E956EA">
      <w:pPr>
        <w:spacing w:after="0" w:line="240" w:lineRule="auto"/>
        <w:rPr>
          <w:rFonts w:cstheme="minorHAnsi"/>
        </w:rPr>
      </w:pPr>
    </w:p>
    <w:p w14:paraId="2B8B5FC1" w14:textId="77777777" w:rsidR="00E956EA" w:rsidRPr="004C5C61" w:rsidRDefault="00E956EA" w:rsidP="00E956EA">
      <w:pPr>
        <w:spacing w:after="0" w:line="240" w:lineRule="auto"/>
        <w:rPr>
          <w:rFonts w:cstheme="minorHAnsi"/>
        </w:rPr>
      </w:pPr>
    </w:p>
    <w:p w14:paraId="2B8B5FC2" w14:textId="77777777" w:rsidR="00E956EA" w:rsidRPr="004C5C61" w:rsidRDefault="00E956EA" w:rsidP="00E956EA">
      <w:pPr>
        <w:spacing w:after="0" w:line="240" w:lineRule="auto"/>
        <w:rPr>
          <w:rFonts w:cstheme="minorHAnsi"/>
        </w:rPr>
      </w:pPr>
    </w:p>
    <w:p w14:paraId="2B8B5FC3" w14:textId="77777777" w:rsidR="00E956EA" w:rsidRPr="004C5C61" w:rsidRDefault="00E956EA" w:rsidP="00E956EA">
      <w:pPr>
        <w:spacing w:after="0" w:line="240" w:lineRule="auto"/>
        <w:rPr>
          <w:rFonts w:cstheme="minorHAnsi"/>
        </w:rPr>
      </w:pPr>
    </w:p>
    <w:p w14:paraId="2B8B5FC4" w14:textId="77777777" w:rsidR="00E956EA" w:rsidRPr="004C5C61" w:rsidRDefault="00E956EA" w:rsidP="00AD4376">
      <w:pPr>
        <w:spacing w:after="0" w:line="240" w:lineRule="auto"/>
        <w:jc w:val="center"/>
        <w:rPr>
          <w:rFonts w:cstheme="minorHAnsi"/>
        </w:rPr>
      </w:pPr>
    </w:p>
    <w:p w14:paraId="2B8B5FC5" w14:textId="77777777" w:rsidR="00E956EA" w:rsidRPr="004C5C61" w:rsidRDefault="00E956EA" w:rsidP="00E956EA">
      <w:pPr>
        <w:spacing w:after="0" w:line="240" w:lineRule="auto"/>
        <w:rPr>
          <w:rFonts w:cstheme="minorHAnsi"/>
        </w:rPr>
      </w:pPr>
    </w:p>
    <w:p w14:paraId="2B8B5FC6" w14:textId="77777777" w:rsidR="00E956EA" w:rsidRPr="004C5C61" w:rsidRDefault="00E956EA" w:rsidP="00E956EA">
      <w:pPr>
        <w:spacing w:after="0" w:line="240" w:lineRule="auto"/>
        <w:rPr>
          <w:rFonts w:cstheme="minorHAnsi"/>
        </w:rPr>
      </w:pPr>
    </w:p>
    <w:p w14:paraId="2B8B5FC7" w14:textId="77777777" w:rsidR="00E956EA" w:rsidRPr="004C5C61" w:rsidRDefault="00E956EA" w:rsidP="00E956EA">
      <w:pPr>
        <w:spacing w:after="0" w:line="240" w:lineRule="auto"/>
        <w:rPr>
          <w:rFonts w:cstheme="minorHAnsi"/>
        </w:rPr>
      </w:pPr>
    </w:p>
    <w:p w14:paraId="2B8B5FC8" w14:textId="77777777" w:rsidR="00E956EA" w:rsidRPr="004C5C61" w:rsidRDefault="00E956EA" w:rsidP="00E956EA">
      <w:pPr>
        <w:rPr>
          <w:rFonts w:cstheme="minorHAnsi"/>
          <w:b/>
        </w:rPr>
      </w:pPr>
      <w:r w:rsidRPr="004C5C61">
        <w:rPr>
          <w:rFonts w:cstheme="minorHAnsi"/>
          <w:b/>
        </w:rPr>
        <w:br w:type="page"/>
      </w:r>
    </w:p>
    <w:p w14:paraId="2B8B5FC9" w14:textId="77777777" w:rsidR="00E956EA" w:rsidRPr="004C5C61" w:rsidRDefault="00E956EA" w:rsidP="00E956EA">
      <w:pPr>
        <w:spacing w:after="0"/>
        <w:rPr>
          <w:rStyle w:val="Copyrighttext"/>
        </w:rPr>
      </w:pPr>
      <w:r w:rsidRPr="004C5C61">
        <w:rPr>
          <w:rStyle w:val="Copyrighttext"/>
        </w:rPr>
        <w:lastRenderedPageBreak/>
        <w:t xml:space="preserve">© </w:t>
      </w:r>
      <w:r w:rsidR="00DE6E42">
        <w:rPr>
          <w:rStyle w:val="Copyrighttext"/>
        </w:rPr>
        <w:t>Commonwealth of Australia 2016</w:t>
      </w:r>
    </w:p>
    <w:p w14:paraId="2B8B5FCA" w14:textId="77777777" w:rsidR="00E956EA" w:rsidRPr="004C5C61" w:rsidRDefault="00E956EA" w:rsidP="00E956EA">
      <w:pPr>
        <w:spacing w:after="0"/>
        <w:rPr>
          <w:rStyle w:val="Copyrighttext"/>
        </w:rPr>
      </w:pPr>
      <w:r w:rsidRPr="004C5C61">
        <w:rPr>
          <w:rStyle w:val="Copyrighttext"/>
        </w:rPr>
        <w:t xml:space="preserve">This work is copyright. In addition to any use permitted under the Copyright Act 1968, all material contained within this work is provided under a Creative Commons Attribution 3.0 Australia licence, with the exception of: </w:t>
      </w:r>
    </w:p>
    <w:p w14:paraId="2B8B5FCB" w14:textId="77777777" w:rsidR="00E956EA" w:rsidRPr="004C5C61" w:rsidRDefault="00E956EA" w:rsidP="00E956EA">
      <w:pPr>
        <w:pStyle w:val="ListParagraph"/>
        <w:numPr>
          <w:ilvl w:val="0"/>
          <w:numId w:val="4"/>
        </w:numPr>
        <w:spacing w:after="0"/>
        <w:rPr>
          <w:rStyle w:val="Copyrighttext"/>
        </w:rPr>
      </w:pPr>
      <w:r w:rsidRPr="004C5C61">
        <w:rPr>
          <w:rStyle w:val="Copyrighttext"/>
        </w:rPr>
        <w:t xml:space="preserve">the Commonwealth Coat of Arms </w:t>
      </w:r>
    </w:p>
    <w:p w14:paraId="2B8B5FCC" w14:textId="77777777" w:rsidR="00E956EA" w:rsidRPr="004C5C61" w:rsidRDefault="00E956EA" w:rsidP="00E956EA">
      <w:pPr>
        <w:pStyle w:val="ListParagraph"/>
        <w:numPr>
          <w:ilvl w:val="0"/>
          <w:numId w:val="4"/>
        </w:numPr>
        <w:spacing w:after="0"/>
        <w:rPr>
          <w:rStyle w:val="Copyrighttext"/>
        </w:rPr>
      </w:pPr>
      <w:r w:rsidRPr="004C5C61">
        <w:rPr>
          <w:rStyle w:val="Copyrighttext"/>
        </w:rPr>
        <w:t xml:space="preserve">the </w:t>
      </w:r>
      <w:proofErr w:type="spellStart"/>
      <w:r w:rsidRPr="004C5C61">
        <w:rPr>
          <w:rStyle w:val="Copyrighttext"/>
        </w:rPr>
        <w:t>ACCC</w:t>
      </w:r>
      <w:proofErr w:type="spellEnd"/>
      <w:r w:rsidRPr="004C5C61">
        <w:rPr>
          <w:rStyle w:val="Copyrighttext"/>
        </w:rPr>
        <w:t xml:space="preserve"> logo</w:t>
      </w:r>
    </w:p>
    <w:p w14:paraId="2B8B5FCD" w14:textId="77777777" w:rsidR="00E956EA" w:rsidRPr="004C5C61" w:rsidRDefault="00E956EA" w:rsidP="00E956EA">
      <w:pPr>
        <w:pStyle w:val="ListParagraph"/>
        <w:numPr>
          <w:ilvl w:val="0"/>
          <w:numId w:val="4"/>
        </w:numPr>
        <w:spacing w:after="0"/>
        <w:rPr>
          <w:rStyle w:val="Copyrighttext"/>
        </w:rPr>
      </w:pPr>
      <w:r w:rsidRPr="004C5C61">
        <w:rPr>
          <w:rStyle w:val="Copyrighttext"/>
        </w:rPr>
        <w:t>any illustration, diagram, photograph or graphic over which the Australian Competition and Consumer Commission does not hold copyright, but which may be part of or contained within this publication.</w:t>
      </w:r>
    </w:p>
    <w:p w14:paraId="2B8B5FCE" w14:textId="77777777" w:rsidR="00E956EA" w:rsidRPr="004C5C61" w:rsidRDefault="00E956EA" w:rsidP="00E956EA">
      <w:pPr>
        <w:spacing w:after="0"/>
        <w:rPr>
          <w:rStyle w:val="Copyrighttext"/>
        </w:rPr>
      </w:pPr>
      <w:r w:rsidRPr="004C5C61">
        <w:rPr>
          <w:rStyle w:val="Copyrighttext"/>
        </w:rPr>
        <w:t xml:space="preserve">The details of the relevant licence conditions are available on the Creative Commons website, as is the full legal code for the CC BY 3.0 AU licence. </w:t>
      </w:r>
      <w:r w:rsidRPr="004C5C61">
        <w:rPr>
          <w:rStyle w:val="Copyrighttext"/>
        </w:rPr>
        <w:br/>
        <w:t xml:space="preserve">Requests and inquiries concerning reproduction and rights should be addressed to the Director, Corporate Communications, </w:t>
      </w:r>
      <w:proofErr w:type="spellStart"/>
      <w:r w:rsidRPr="004C5C61">
        <w:rPr>
          <w:rStyle w:val="Copyrighttext"/>
        </w:rPr>
        <w:t>ACCC</w:t>
      </w:r>
      <w:proofErr w:type="spellEnd"/>
      <w:r w:rsidRPr="004C5C61">
        <w:rPr>
          <w:rStyle w:val="Copyrighttext"/>
        </w:rPr>
        <w:t xml:space="preserve">, GPO Box 3131, Canberra ACT 2601, or </w:t>
      </w:r>
      <w:hyperlink r:id="rId15" w:history="1">
        <w:proofErr w:type="spellStart"/>
        <w:r w:rsidRPr="004C5C61">
          <w:rPr>
            <w:rStyle w:val="Hyperlink"/>
            <w:sz w:val="18"/>
          </w:rPr>
          <w:t>publishing.unit@accc.gov.au</w:t>
        </w:r>
        <w:proofErr w:type="spellEnd"/>
      </w:hyperlink>
    </w:p>
    <w:p w14:paraId="2B8B5FCF" w14:textId="77777777" w:rsidR="00E956EA" w:rsidRPr="004C5C61" w:rsidRDefault="00E956EA" w:rsidP="00E956EA">
      <w:pPr>
        <w:spacing w:after="0"/>
        <w:rPr>
          <w:rStyle w:val="Copyrighttext"/>
          <w:rFonts w:cstheme="minorHAnsi"/>
        </w:rPr>
      </w:pPr>
      <w:r w:rsidRPr="004C5C61">
        <w:rPr>
          <w:rStyle w:val="Copyrighttext"/>
        </w:rPr>
        <w:br/>
      </w:r>
      <w:proofErr w:type="spellStart"/>
      <w:r w:rsidRPr="004C5C61">
        <w:rPr>
          <w:rStyle w:val="Copyrighttext"/>
        </w:rPr>
        <w:t>www.accc.gov.au</w:t>
      </w:r>
      <w:proofErr w:type="spellEnd"/>
    </w:p>
    <w:p w14:paraId="2B8B5FD0" w14:textId="77777777" w:rsidR="00E956EA" w:rsidRPr="004C5C61" w:rsidRDefault="00E956EA" w:rsidP="00E956EA">
      <w:pPr>
        <w:spacing w:after="0"/>
        <w:rPr>
          <w:rFonts w:cstheme="minorHAnsi"/>
          <w:b/>
        </w:rPr>
      </w:pPr>
    </w:p>
    <w:p w14:paraId="2B8B5FD1" w14:textId="77777777" w:rsidR="00AD4376" w:rsidRPr="004C5C61" w:rsidRDefault="00AD4376">
      <w:pPr>
        <w:sectPr w:rsidR="00AD4376" w:rsidRPr="004C5C61" w:rsidSect="00AD4376">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NumType w:start="1"/>
          <w:cols w:space="708"/>
          <w:docGrid w:linePitch="360"/>
        </w:sectPr>
      </w:pPr>
    </w:p>
    <w:p w14:paraId="2B8B5FD2" w14:textId="77777777" w:rsidR="00723D5C" w:rsidRPr="005F7C1A" w:rsidRDefault="00FB0ACC" w:rsidP="00560F42">
      <w:pPr>
        <w:rPr>
          <w:b/>
        </w:rPr>
      </w:pPr>
      <w:r>
        <w:rPr>
          <w:b/>
        </w:rPr>
        <w:lastRenderedPageBreak/>
        <w:t>Executive Summary</w:t>
      </w:r>
    </w:p>
    <w:p w14:paraId="2B8B5FD3" w14:textId="77777777" w:rsidR="00E82CE5" w:rsidRDefault="00F25924" w:rsidP="00560F42">
      <w:r w:rsidRPr="004C5C61">
        <w:t xml:space="preserve">The </w:t>
      </w:r>
      <w:bookmarkStart w:id="0" w:name="_GoBack"/>
      <w:r w:rsidR="00E373F3" w:rsidRPr="004C5C61">
        <w:t>Australian Competition and Consumer Commission (</w:t>
      </w:r>
      <w:proofErr w:type="spellStart"/>
      <w:r w:rsidRPr="004C5C61">
        <w:t>ACCC</w:t>
      </w:r>
      <w:proofErr w:type="spellEnd"/>
      <w:r w:rsidR="00E373F3" w:rsidRPr="004C5C61">
        <w:t>)</w:t>
      </w:r>
      <w:bookmarkEnd w:id="0"/>
      <w:r w:rsidRPr="004C5C61">
        <w:t xml:space="preserve"> welcomes the o</w:t>
      </w:r>
      <w:r w:rsidR="00C17856">
        <w:t>pportunity to make a submission to the Productivity Commission’s Issues Paper on the Telecommunications Universal Service Obligation</w:t>
      </w:r>
      <w:r w:rsidR="000377F9">
        <w:t xml:space="preserve"> (Issues Paper)</w:t>
      </w:r>
      <w:r w:rsidR="00C17856">
        <w:t xml:space="preserve">. </w:t>
      </w:r>
    </w:p>
    <w:p w14:paraId="2B8B5FD4" w14:textId="77777777" w:rsidR="0046399A" w:rsidRDefault="003C37BD" w:rsidP="00B10D32">
      <w:r>
        <w:t>The</w:t>
      </w:r>
      <w:r w:rsidR="00505225">
        <w:t xml:space="preserve"> </w:t>
      </w:r>
      <w:proofErr w:type="spellStart"/>
      <w:r w:rsidR="00505225">
        <w:t>ACCC</w:t>
      </w:r>
      <w:proofErr w:type="spellEnd"/>
      <w:r w:rsidR="00505225">
        <w:t xml:space="preserve"> considers that a universal service regime of some kind will continue to be important to ensure that essential communications services are available, accessible and affordable for all Australian consumers no matter their circumstances. </w:t>
      </w:r>
      <w:r w:rsidR="00B10D32">
        <w:t xml:space="preserve">The currently proposed universal service regime that will apply under the </w:t>
      </w:r>
      <w:r w:rsidR="007A0018">
        <w:t>National Broadband Network (</w:t>
      </w:r>
      <w:proofErr w:type="spellStart"/>
      <w:r w:rsidR="00B10D32">
        <w:t>NBN</w:t>
      </w:r>
      <w:proofErr w:type="spellEnd"/>
      <w:r w:rsidR="007A0018">
        <w:t>)</w:t>
      </w:r>
      <w:r w:rsidR="00B10D32">
        <w:t xml:space="preserve"> will ensure that broadband services are available to all end</w:t>
      </w:r>
      <w:r w:rsidR="00296647">
        <w:noBreakHyphen/>
      </w:r>
      <w:r w:rsidR="00B10D32">
        <w:t xml:space="preserve">users. However, we consider that current arrangements relating to the provision of universal voice services could be improved, and that additional measures to address affordability and accessibility </w:t>
      </w:r>
      <w:r w:rsidR="00296647">
        <w:t xml:space="preserve">issues </w:t>
      </w:r>
      <w:r w:rsidR="00AC05F2">
        <w:t xml:space="preserve">for some end-users </w:t>
      </w:r>
      <w:r w:rsidR="00B10D32">
        <w:t xml:space="preserve">may be required. </w:t>
      </w:r>
    </w:p>
    <w:p w14:paraId="2B8B5FD5" w14:textId="77777777" w:rsidR="00C34A5C" w:rsidRDefault="00FF3868" w:rsidP="00560F42">
      <w:r>
        <w:t xml:space="preserve">The following </w:t>
      </w:r>
      <w:r w:rsidR="00093355">
        <w:t xml:space="preserve">submission </w:t>
      </w:r>
      <w:r>
        <w:t xml:space="preserve">sets out </w:t>
      </w:r>
      <w:r w:rsidR="009102B6">
        <w:t xml:space="preserve">the </w:t>
      </w:r>
      <w:proofErr w:type="spellStart"/>
      <w:r w:rsidR="009102B6">
        <w:t>ACCC’s</w:t>
      </w:r>
      <w:proofErr w:type="spellEnd"/>
      <w:r w:rsidR="009102B6">
        <w:t xml:space="preserve"> views </w:t>
      </w:r>
      <w:r w:rsidR="00E0417B">
        <w:t>on the key elements of an effective universal service regime in a post-</w:t>
      </w:r>
      <w:proofErr w:type="spellStart"/>
      <w:r w:rsidR="00E0417B">
        <w:t>NBN</w:t>
      </w:r>
      <w:proofErr w:type="spellEnd"/>
      <w:r w:rsidR="00E0417B">
        <w:t xml:space="preserve"> market</w:t>
      </w:r>
      <w:r w:rsidR="00093355">
        <w:t>. In summary</w:t>
      </w:r>
      <w:r>
        <w:t xml:space="preserve">: </w:t>
      </w:r>
    </w:p>
    <w:p w14:paraId="2B8B5FD6" w14:textId="77777777" w:rsidR="009102B6" w:rsidRDefault="00FA5717" w:rsidP="00FF3868">
      <w:pPr>
        <w:pStyle w:val="ListParagraph"/>
        <w:numPr>
          <w:ilvl w:val="0"/>
          <w:numId w:val="7"/>
        </w:numPr>
      </w:pPr>
      <w:r w:rsidRPr="00B60FE7">
        <w:t xml:space="preserve">A universal service regime should ensure that </w:t>
      </w:r>
      <w:r w:rsidR="00A62AF7" w:rsidRPr="00B60FE7">
        <w:t>consumers are able to access essential communications services</w:t>
      </w:r>
      <w:r w:rsidR="00C75E07">
        <w:t xml:space="preserve"> in order to promote social inclusion. To </w:t>
      </w:r>
      <w:r w:rsidRPr="00B60FE7">
        <w:t>meet such an objective</w:t>
      </w:r>
      <w:r w:rsidR="00296647">
        <w:t>,</w:t>
      </w:r>
      <w:r w:rsidR="005E54F3" w:rsidRPr="00B60FE7">
        <w:t xml:space="preserve"> broadband and voice services of a standard quality should be available at all</w:t>
      </w:r>
      <w:r w:rsidR="00C75E07">
        <w:t xml:space="preserve"> Australian premises</w:t>
      </w:r>
      <w:r w:rsidR="00BE7423" w:rsidRPr="00B60FE7">
        <w:t>.</w:t>
      </w:r>
    </w:p>
    <w:p w14:paraId="2B8B5FD7" w14:textId="77777777" w:rsidR="00C75E07" w:rsidRDefault="00C75E07" w:rsidP="00FF3868">
      <w:pPr>
        <w:pStyle w:val="ListParagraph"/>
        <w:numPr>
          <w:ilvl w:val="0"/>
          <w:numId w:val="7"/>
        </w:numPr>
      </w:pPr>
      <w:r>
        <w:t xml:space="preserve">The arrangements to require </w:t>
      </w:r>
      <w:proofErr w:type="spellStart"/>
      <w:r>
        <w:t>NBN</w:t>
      </w:r>
      <w:proofErr w:type="spellEnd"/>
      <w:r>
        <w:t xml:space="preserve"> Co to connect all Australian premises to a wholesale broadband network, when coupled </w:t>
      </w:r>
      <w:r w:rsidR="00AA162A">
        <w:t xml:space="preserve">with </w:t>
      </w:r>
      <w:r>
        <w:t>wholesale pricing</w:t>
      </w:r>
      <w:r w:rsidR="00296647">
        <w:t xml:space="preserve"> regulation</w:t>
      </w:r>
      <w:r>
        <w:t xml:space="preserve">, </w:t>
      </w:r>
      <w:r w:rsidR="00AA162A">
        <w:t xml:space="preserve">mean </w:t>
      </w:r>
      <w:r>
        <w:t xml:space="preserve">that retail competition </w:t>
      </w:r>
      <w:r w:rsidR="00AC05F2">
        <w:t>will likely be</w:t>
      </w:r>
      <w:r>
        <w:t xml:space="preserve"> sufficient to ensure all consumers are able to acquire a retail broadband service over the </w:t>
      </w:r>
      <w:proofErr w:type="spellStart"/>
      <w:r>
        <w:t>NBN</w:t>
      </w:r>
      <w:proofErr w:type="spellEnd"/>
      <w:r>
        <w:t xml:space="preserve">. Such arrangements should also ensure that consumers inside the </w:t>
      </w:r>
      <w:proofErr w:type="spellStart"/>
      <w:r>
        <w:t>NBN</w:t>
      </w:r>
      <w:proofErr w:type="spellEnd"/>
      <w:r>
        <w:t xml:space="preserve"> fixed line footprint can acquire a voice service. </w:t>
      </w:r>
    </w:p>
    <w:p w14:paraId="2B8B5FD8" w14:textId="77777777" w:rsidR="00C75E07" w:rsidRDefault="00AD7761" w:rsidP="00AD7761">
      <w:pPr>
        <w:pStyle w:val="ListParagraph"/>
        <w:numPr>
          <w:ilvl w:val="0"/>
          <w:numId w:val="7"/>
        </w:numPr>
      </w:pPr>
      <w:r>
        <w:t xml:space="preserve">The universal service regime under the </w:t>
      </w:r>
      <w:proofErr w:type="spellStart"/>
      <w:r>
        <w:t>NBN</w:t>
      </w:r>
      <w:proofErr w:type="spellEnd"/>
      <w:r>
        <w:t xml:space="preserve"> could be strengthened in relation to voice services. In particular</w:t>
      </w:r>
      <w:r w:rsidR="00547FD7">
        <w:t>:</w:t>
      </w:r>
    </w:p>
    <w:p w14:paraId="2B8B5FD9" w14:textId="77777777" w:rsidR="00547FD7" w:rsidRDefault="00547FD7" w:rsidP="00C75E07">
      <w:pPr>
        <w:pStyle w:val="ListParagraph"/>
        <w:numPr>
          <w:ilvl w:val="1"/>
          <w:numId w:val="7"/>
        </w:numPr>
      </w:pPr>
      <w:r>
        <w:t xml:space="preserve">There is no need for Telstra to be designated as the </w:t>
      </w:r>
      <w:r w:rsidR="00296647">
        <w:t xml:space="preserve">retailer of last resort to provide </w:t>
      </w:r>
      <w:r>
        <w:t>standard telephone service</w:t>
      </w:r>
      <w:r w:rsidR="00296647">
        <w:t>s</w:t>
      </w:r>
      <w:r>
        <w:t xml:space="preserve"> inside the </w:t>
      </w:r>
      <w:proofErr w:type="spellStart"/>
      <w:r>
        <w:t>NBN</w:t>
      </w:r>
      <w:proofErr w:type="spellEnd"/>
      <w:r>
        <w:t xml:space="preserve"> fixed line footprint. </w:t>
      </w:r>
      <w:r w:rsidR="00AA162A">
        <w:t xml:space="preserve">This is because competition should be sufficient to ensure retail voice services are </w:t>
      </w:r>
      <w:r w:rsidR="00AD7761">
        <w:t xml:space="preserve">able to be </w:t>
      </w:r>
      <w:r w:rsidR="00AA162A">
        <w:t xml:space="preserve">provided </w:t>
      </w:r>
      <w:r w:rsidR="00AD7761">
        <w:t xml:space="preserve">to all premises </w:t>
      </w:r>
      <w:r w:rsidR="00AA162A">
        <w:t xml:space="preserve">without regulation. </w:t>
      </w:r>
    </w:p>
    <w:p w14:paraId="2B8B5FDA" w14:textId="77777777" w:rsidR="00C75E07" w:rsidRDefault="00547FD7" w:rsidP="00C75E07">
      <w:pPr>
        <w:pStyle w:val="ListParagraph"/>
        <w:numPr>
          <w:ilvl w:val="1"/>
          <w:numId w:val="7"/>
        </w:numPr>
      </w:pPr>
      <w:proofErr w:type="spellStart"/>
      <w:r>
        <w:t>NBN</w:t>
      </w:r>
      <w:proofErr w:type="spellEnd"/>
      <w:r w:rsidR="00AD7761">
        <w:t xml:space="preserve"> infrastructure</w:t>
      </w:r>
      <w:r>
        <w:t xml:space="preserve"> should be used to provide voice services in all areas</w:t>
      </w:r>
      <w:r w:rsidR="00AD7761">
        <w:t xml:space="preserve"> where</w:t>
      </w:r>
      <w:r>
        <w:t xml:space="preserve"> it is capable of </w:t>
      </w:r>
      <w:r w:rsidR="00AD7761">
        <w:t xml:space="preserve">meeting </w:t>
      </w:r>
      <w:r w:rsidR="00AA162A">
        <w:t xml:space="preserve">minimum </w:t>
      </w:r>
      <w:r>
        <w:t xml:space="preserve">service quality standards. </w:t>
      </w:r>
    </w:p>
    <w:p w14:paraId="2B8B5FDB" w14:textId="77777777" w:rsidR="00547FD7" w:rsidRDefault="00547FD7" w:rsidP="00C75E07">
      <w:pPr>
        <w:pStyle w:val="ListParagraph"/>
        <w:numPr>
          <w:ilvl w:val="1"/>
          <w:numId w:val="7"/>
        </w:numPr>
      </w:pPr>
      <w:r>
        <w:t xml:space="preserve">If the </w:t>
      </w:r>
      <w:proofErr w:type="spellStart"/>
      <w:r>
        <w:t>NBN</w:t>
      </w:r>
      <w:proofErr w:type="spellEnd"/>
      <w:r>
        <w:t xml:space="preserve"> is not capable of providing an adequate voice service over fixed wireless or satellite networks</w:t>
      </w:r>
      <w:r w:rsidR="00AA162A">
        <w:t>,</w:t>
      </w:r>
      <w:r>
        <w:t xml:space="preserve"> Telstra should not automatically be designated as the universal service provider </w:t>
      </w:r>
      <w:r w:rsidR="00296647">
        <w:t xml:space="preserve">of voice services </w:t>
      </w:r>
      <w:r>
        <w:t>in these areas</w:t>
      </w:r>
      <w:r w:rsidR="00AD7761">
        <w:t xml:space="preserve">. Rather, </w:t>
      </w:r>
      <w:r>
        <w:t xml:space="preserve">the </w:t>
      </w:r>
      <w:r w:rsidR="00AD7761">
        <w:t xml:space="preserve">universal </w:t>
      </w:r>
      <w:r>
        <w:t xml:space="preserve">service provider should be selected using a competitive process. </w:t>
      </w:r>
    </w:p>
    <w:p w14:paraId="2B8B5FDC" w14:textId="77777777" w:rsidR="00547FD7" w:rsidRPr="00B60FE7" w:rsidRDefault="00547FD7" w:rsidP="00C75E07">
      <w:pPr>
        <w:pStyle w:val="ListParagraph"/>
        <w:numPr>
          <w:ilvl w:val="1"/>
          <w:numId w:val="7"/>
        </w:numPr>
      </w:pPr>
      <w:r>
        <w:t>If there is a continued obligation on Telstra to act as a universal voice service provider, the arrangements for subsidising Telstra for providing such services should be reviewed</w:t>
      </w:r>
      <w:r w:rsidR="00AA162A">
        <w:t xml:space="preserve"> in order to mitigate risks of </w:t>
      </w:r>
      <w:proofErr w:type="spellStart"/>
      <w:r w:rsidR="00AA162A">
        <w:t>anti</w:t>
      </w:r>
      <w:r w:rsidR="007A0018">
        <w:t>-</w:t>
      </w:r>
      <w:r w:rsidR="00AA162A">
        <w:t>competitive</w:t>
      </w:r>
      <w:proofErr w:type="spellEnd"/>
      <w:r w:rsidR="00AA162A">
        <w:t xml:space="preserve"> or inefficient outcomes</w:t>
      </w:r>
      <w:r>
        <w:t xml:space="preserve">. </w:t>
      </w:r>
    </w:p>
    <w:p w14:paraId="2B8B5FDD" w14:textId="77777777" w:rsidR="003D4E41" w:rsidRDefault="00BE7423" w:rsidP="00FF3868">
      <w:pPr>
        <w:pStyle w:val="ListParagraph"/>
        <w:numPr>
          <w:ilvl w:val="0"/>
          <w:numId w:val="7"/>
        </w:numPr>
      </w:pPr>
      <w:r w:rsidRPr="00B60FE7">
        <w:t>In addition to the measures</w:t>
      </w:r>
      <w:r w:rsidR="00C75E07">
        <w:t xml:space="preserve"> aimed at ensuring voice and broadband services are available to consumers</w:t>
      </w:r>
      <w:r w:rsidR="003C2A9E" w:rsidRPr="00B60FE7">
        <w:t xml:space="preserve">, we consider that any </w:t>
      </w:r>
      <w:r w:rsidR="00A40F2B" w:rsidRPr="00B60FE7">
        <w:t xml:space="preserve">universal service regime </w:t>
      </w:r>
      <w:r w:rsidR="00C75E07">
        <w:t xml:space="preserve">should </w:t>
      </w:r>
      <w:r w:rsidR="003C2A9E" w:rsidRPr="00B60FE7">
        <w:t xml:space="preserve">contain additional safeguards to ensure </w:t>
      </w:r>
      <w:r w:rsidR="00AA162A">
        <w:t xml:space="preserve">consumers with </w:t>
      </w:r>
      <w:r w:rsidR="003C2A9E" w:rsidRPr="00B60FE7">
        <w:t xml:space="preserve">special needs </w:t>
      </w:r>
      <w:r w:rsidR="00AA162A">
        <w:t>benefit from communications services</w:t>
      </w:r>
      <w:r w:rsidR="003C2A9E" w:rsidRPr="00B60FE7">
        <w:t xml:space="preserve">. </w:t>
      </w:r>
    </w:p>
    <w:p w14:paraId="2B8B5FDE" w14:textId="77777777" w:rsidR="00C75E07" w:rsidRDefault="00C75E07" w:rsidP="00FF3868">
      <w:pPr>
        <w:pStyle w:val="ListParagraph"/>
        <w:numPr>
          <w:ilvl w:val="0"/>
          <w:numId w:val="7"/>
        </w:numPr>
      </w:pPr>
      <w:r>
        <w:t>If a universal service provider needs to be selected under a universal service regime, it should be</w:t>
      </w:r>
      <w:r w:rsidR="00AA162A">
        <w:t xml:space="preserve"> done via a competitive process</w:t>
      </w:r>
      <w:r>
        <w:t>.</w:t>
      </w:r>
    </w:p>
    <w:p w14:paraId="2B8B5FDF" w14:textId="77777777" w:rsidR="00C75E07" w:rsidRDefault="00C75E07" w:rsidP="00FF3868">
      <w:pPr>
        <w:pStyle w:val="ListParagraph"/>
        <w:numPr>
          <w:ilvl w:val="0"/>
          <w:numId w:val="7"/>
        </w:numPr>
      </w:pPr>
      <w:r>
        <w:lastRenderedPageBreak/>
        <w:t xml:space="preserve">If it is necessary to calculate funding or subsidies to be provided to a universal service provider under a universal service regime, it should be done via a transparent process which promotes economic efficiency, contestability, sustainability and equity. </w:t>
      </w:r>
    </w:p>
    <w:p w14:paraId="2B8B5FE0" w14:textId="77777777" w:rsidR="00C75E07" w:rsidRPr="00B60FE7" w:rsidRDefault="00547FD7" w:rsidP="00FF3868">
      <w:pPr>
        <w:pStyle w:val="ListParagraph"/>
        <w:numPr>
          <w:ilvl w:val="0"/>
          <w:numId w:val="7"/>
        </w:numPr>
      </w:pPr>
      <w:r>
        <w:t>In addition to the</w:t>
      </w:r>
      <w:r w:rsidR="007A0018">
        <w:t xml:space="preserve"> Universal Service Obligation</w:t>
      </w:r>
      <w:r>
        <w:t xml:space="preserve"> </w:t>
      </w:r>
      <w:proofErr w:type="spellStart"/>
      <w:r>
        <w:t>USO</w:t>
      </w:r>
      <w:proofErr w:type="spellEnd"/>
      <w:r>
        <w:t xml:space="preserve">, other consumer safeguards continue to be important to ensure consumers </w:t>
      </w:r>
      <w:r w:rsidR="00AA162A">
        <w:t xml:space="preserve">receive reliable </w:t>
      </w:r>
      <w:r>
        <w:t xml:space="preserve">services and </w:t>
      </w:r>
      <w:r w:rsidR="00D84D6F">
        <w:t xml:space="preserve">can obtain </w:t>
      </w:r>
      <w:r>
        <w:t xml:space="preserve">redress </w:t>
      </w:r>
      <w:r w:rsidR="00AD7761">
        <w:t>when</w:t>
      </w:r>
      <w:r>
        <w:t xml:space="preserve"> problems</w:t>
      </w:r>
      <w:r w:rsidR="00AD7761">
        <w:t xml:space="preserve"> occur</w:t>
      </w:r>
      <w:r>
        <w:t xml:space="preserve">. </w:t>
      </w:r>
      <w:r w:rsidR="00C75E07">
        <w:t xml:space="preserve">  </w:t>
      </w:r>
    </w:p>
    <w:p w14:paraId="2B8B5FE1" w14:textId="77777777" w:rsidR="00CF3123" w:rsidRDefault="006072B0" w:rsidP="00547FD7">
      <w:pPr>
        <w:rPr>
          <w:b/>
        </w:rPr>
      </w:pPr>
      <w:r>
        <w:rPr>
          <w:b/>
        </w:rPr>
        <w:t>Background</w:t>
      </w:r>
    </w:p>
    <w:p w14:paraId="2B8B5FE2" w14:textId="77777777" w:rsidR="00DC6753" w:rsidRDefault="00040DBA" w:rsidP="00040DBA">
      <w:r>
        <w:t>The current Telecommunications Universal Service Obligation (</w:t>
      </w:r>
      <w:proofErr w:type="spellStart"/>
      <w:r>
        <w:t>USO</w:t>
      </w:r>
      <w:proofErr w:type="spellEnd"/>
      <w:r>
        <w:t xml:space="preserve">) is set out in the </w:t>
      </w:r>
      <w:r w:rsidRPr="00040DBA">
        <w:rPr>
          <w:i/>
        </w:rPr>
        <w:t xml:space="preserve">Telecommunications (Consumer Protection and Service Standards) Act </w:t>
      </w:r>
      <w:r w:rsidRPr="00DC6753">
        <w:rPr>
          <w:i/>
        </w:rPr>
        <w:t>1999</w:t>
      </w:r>
      <w:r w:rsidR="00DC6753">
        <w:t>. It</w:t>
      </w:r>
      <w:r w:rsidRPr="005C11F0">
        <w:t>s</w:t>
      </w:r>
      <w:r w:rsidRPr="00040DBA">
        <w:t xml:space="preserve"> </w:t>
      </w:r>
      <w:r>
        <w:t>objective i</w:t>
      </w:r>
      <w:r w:rsidRPr="00D27E19">
        <w:t xml:space="preserve">s to ensure that </w:t>
      </w:r>
      <w:r w:rsidR="00DC6753">
        <w:t>standard telephone service</w:t>
      </w:r>
      <w:r w:rsidR="00D84D6F">
        <w:t>s</w:t>
      </w:r>
      <w:r w:rsidR="00DC6753">
        <w:t xml:space="preserve"> (and payphones) </w:t>
      </w:r>
      <w:r w:rsidR="00D84D6F">
        <w:t>are</w:t>
      </w:r>
      <w:r w:rsidR="00DC6753">
        <w:t xml:space="preserve"> ‘reasonably accessible to all people in Australia on an equitable basis, wherever they </w:t>
      </w:r>
      <w:r w:rsidRPr="00D27E19">
        <w:t>reside or carry on business</w:t>
      </w:r>
      <w:r w:rsidR="00DC6753">
        <w:t>’</w:t>
      </w:r>
      <w:r w:rsidRPr="00D27E19">
        <w:t>.</w:t>
      </w:r>
      <w:r w:rsidRPr="00DC6753">
        <w:rPr>
          <w:vertAlign w:val="superscript"/>
        </w:rPr>
        <w:footnoteReference w:id="1"/>
      </w:r>
      <w:r w:rsidRPr="00D27E19">
        <w:t xml:space="preserve"> </w:t>
      </w:r>
      <w:r w:rsidR="00DC6753">
        <w:t xml:space="preserve">A </w:t>
      </w:r>
      <w:r w:rsidR="00E93D54">
        <w:t>‘standard telephone service</w:t>
      </w:r>
      <w:r>
        <w:t xml:space="preserve">’ is </w:t>
      </w:r>
      <w:r w:rsidR="00DC6753">
        <w:t xml:space="preserve">a </w:t>
      </w:r>
      <w:r>
        <w:t>voice telephony</w:t>
      </w:r>
      <w:r w:rsidR="00DC6753">
        <w:t xml:space="preserve"> service</w:t>
      </w:r>
      <w:r>
        <w:t xml:space="preserve"> or its equivalent for people with a disability.</w:t>
      </w:r>
      <w:r w:rsidR="00DC6753" w:rsidRPr="00DC6753">
        <w:rPr>
          <w:vertAlign w:val="superscript"/>
        </w:rPr>
        <w:footnoteReference w:id="2"/>
      </w:r>
      <w:r w:rsidR="00DC6753">
        <w:t xml:space="preserve"> </w:t>
      </w:r>
      <w:r w:rsidR="00440C3A">
        <w:t>Currently, Telstra is the designated ‘primary universal service provider’ and must</w:t>
      </w:r>
      <w:r w:rsidR="0060639B">
        <w:t xml:space="preserve"> fulfil the </w:t>
      </w:r>
      <w:proofErr w:type="spellStart"/>
      <w:r w:rsidR="0060639B">
        <w:t>USO</w:t>
      </w:r>
      <w:proofErr w:type="spellEnd"/>
      <w:r w:rsidR="00440C3A">
        <w:t xml:space="preserve"> throughout Australia. Telstra receives around $300 million per annum to provide such services.</w:t>
      </w:r>
      <w:r w:rsidR="00AA162A">
        <w:rPr>
          <w:rStyle w:val="FootnoteReference"/>
        </w:rPr>
        <w:footnoteReference w:id="3"/>
      </w:r>
      <w:r w:rsidR="00440C3A">
        <w:t xml:space="preserve"> </w:t>
      </w:r>
    </w:p>
    <w:p w14:paraId="2B8B5FE3" w14:textId="77777777" w:rsidR="00040DBA" w:rsidRDefault="00DC6753" w:rsidP="00040DBA">
      <w:r>
        <w:t xml:space="preserve">The Government is </w:t>
      </w:r>
      <w:r w:rsidR="00440C3A">
        <w:t xml:space="preserve">also </w:t>
      </w:r>
      <w:r>
        <w:t xml:space="preserve">developing legislation to introduce a statutory infrastructure provider of last resort regime, which will place </w:t>
      </w:r>
      <w:r w:rsidR="00E93D54">
        <w:t xml:space="preserve">an </w:t>
      </w:r>
      <w:r>
        <w:t xml:space="preserve">obligation on </w:t>
      </w:r>
      <w:proofErr w:type="spellStart"/>
      <w:r>
        <w:t>NBN</w:t>
      </w:r>
      <w:proofErr w:type="spellEnd"/>
      <w:r>
        <w:t xml:space="preserve"> </w:t>
      </w:r>
      <w:r w:rsidR="00440C3A">
        <w:t xml:space="preserve">Co </w:t>
      </w:r>
      <w:r>
        <w:t>to connect premises to its</w:t>
      </w:r>
      <w:r w:rsidR="00440C3A">
        <w:t xml:space="preserve"> network</w:t>
      </w:r>
      <w:r>
        <w:t xml:space="preserve">. </w:t>
      </w:r>
      <w:r w:rsidR="00440C3A">
        <w:t xml:space="preserve">This means that once the rollout of the </w:t>
      </w:r>
      <w:proofErr w:type="spellStart"/>
      <w:r w:rsidR="00440C3A">
        <w:t>NBN</w:t>
      </w:r>
      <w:proofErr w:type="spellEnd"/>
      <w:r w:rsidR="00440C3A">
        <w:t xml:space="preserve"> is complete, a wholesale broadband connection should be available at all premises in Australia. </w:t>
      </w:r>
      <w:r w:rsidR="0056566C">
        <w:t xml:space="preserve">Inside the </w:t>
      </w:r>
      <w:proofErr w:type="spellStart"/>
      <w:r w:rsidR="0056566C">
        <w:t>NBN</w:t>
      </w:r>
      <w:proofErr w:type="spellEnd"/>
      <w:r w:rsidR="0056566C">
        <w:t xml:space="preserve"> Co fixed line footprint, Telstra will be the retailer of last resort to provide standard telephone services over the </w:t>
      </w:r>
      <w:proofErr w:type="spellStart"/>
      <w:r w:rsidR="0056566C">
        <w:t>NBN</w:t>
      </w:r>
      <w:proofErr w:type="spellEnd"/>
      <w:r w:rsidR="0056566C">
        <w:t xml:space="preserve">. </w:t>
      </w:r>
      <w:r w:rsidR="00654584">
        <w:t xml:space="preserve">Under the Telstra Universal Service Obligation Performance </w:t>
      </w:r>
      <w:r w:rsidR="00023397">
        <w:t>(</w:t>
      </w:r>
      <w:proofErr w:type="spellStart"/>
      <w:r w:rsidR="00023397">
        <w:t>TUSOP</w:t>
      </w:r>
      <w:proofErr w:type="spellEnd"/>
      <w:r w:rsidR="00023397">
        <w:t xml:space="preserve">) </w:t>
      </w:r>
      <w:r w:rsidR="00654584">
        <w:t>Agreement, o</w:t>
      </w:r>
      <w:r w:rsidR="0056566C">
        <w:t xml:space="preserve">utside of the </w:t>
      </w:r>
      <w:r w:rsidR="00E87577">
        <w:t xml:space="preserve">fixed line </w:t>
      </w:r>
      <w:r w:rsidR="0056566C">
        <w:t>footprint, Telstra will need to maintain its copper network and provide standard telephone service</w:t>
      </w:r>
      <w:r w:rsidR="005C1B1B">
        <w:t>s</w:t>
      </w:r>
      <w:r w:rsidR="0056566C">
        <w:t xml:space="preserve"> over that network.</w:t>
      </w:r>
      <w:r w:rsidR="001E2BEA">
        <w:rPr>
          <w:rStyle w:val="FootnoteReference"/>
        </w:rPr>
        <w:footnoteReference w:id="4"/>
      </w:r>
      <w:r w:rsidR="0056566C">
        <w:t xml:space="preserve"> </w:t>
      </w:r>
    </w:p>
    <w:p w14:paraId="2B8B5FE4" w14:textId="77777777" w:rsidR="00FF3868" w:rsidRDefault="00CF3123" w:rsidP="009102B6">
      <w:r>
        <w:rPr>
          <w:b/>
        </w:rPr>
        <w:t>T</w:t>
      </w:r>
      <w:r w:rsidR="00033EB1">
        <w:rPr>
          <w:b/>
        </w:rPr>
        <w:t xml:space="preserve">he objectives </w:t>
      </w:r>
      <w:r w:rsidR="00C32B30">
        <w:rPr>
          <w:b/>
        </w:rPr>
        <w:t xml:space="preserve">and scope of a </w:t>
      </w:r>
      <w:r w:rsidR="007C4F53">
        <w:rPr>
          <w:b/>
        </w:rPr>
        <w:t>universal service regime</w:t>
      </w:r>
    </w:p>
    <w:p w14:paraId="2B8B5FE5" w14:textId="77777777" w:rsidR="00033EB1" w:rsidRDefault="00CE52BD" w:rsidP="00034E07">
      <w:r>
        <w:t xml:space="preserve">Universal service obligations </w:t>
      </w:r>
      <w:r w:rsidR="0046399A">
        <w:t xml:space="preserve">aim to promote social inclusion by helping to </w:t>
      </w:r>
      <w:r w:rsidR="00F7106C">
        <w:t xml:space="preserve">ensure that all </w:t>
      </w:r>
      <w:r>
        <w:t xml:space="preserve">individuals </w:t>
      </w:r>
      <w:r w:rsidR="00F7106C">
        <w:t>are able to access services necessary for them to fully participate in social, economic and political life.</w:t>
      </w:r>
      <w:r w:rsidR="003C37BD">
        <w:t xml:space="preserve"> I</w:t>
      </w:r>
      <w:r w:rsidR="003B2C58">
        <w:t>n Australia</w:t>
      </w:r>
      <w:r w:rsidR="00AD7761">
        <w:t>,</w:t>
      </w:r>
      <w:r w:rsidR="003B2C58">
        <w:t xml:space="preserve"> and internationally, telecommunications </w:t>
      </w:r>
      <w:proofErr w:type="spellStart"/>
      <w:r w:rsidR="003B2C58">
        <w:t>USOs</w:t>
      </w:r>
      <w:proofErr w:type="spellEnd"/>
      <w:r w:rsidR="003B2C58">
        <w:t xml:space="preserve"> have </w:t>
      </w:r>
      <w:r w:rsidR="00AD7761">
        <w:t xml:space="preserve">been designed </w:t>
      </w:r>
      <w:r w:rsidR="003B2C58">
        <w:t xml:space="preserve">to promote availability, accessibility and affordability of </w:t>
      </w:r>
      <w:r w:rsidR="00286A9F">
        <w:t xml:space="preserve">essential communications </w:t>
      </w:r>
      <w:r w:rsidR="003B2C58">
        <w:t>services</w:t>
      </w:r>
      <w:r w:rsidR="001360A2">
        <w:t xml:space="preserve"> for all</w:t>
      </w:r>
      <w:r w:rsidR="00AD7761">
        <w:t xml:space="preserve"> end-users</w:t>
      </w:r>
      <w:r w:rsidR="003B2C58">
        <w:t>.</w:t>
      </w:r>
      <w:r w:rsidR="00033EB1">
        <w:t xml:space="preserve"> </w:t>
      </w:r>
      <w:r w:rsidR="00CF3123">
        <w:t xml:space="preserve">The </w:t>
      </w:r>
      <w:proofErr w:type="spellStart"/>
      <w:r w:rsidR="00CF3123">
        <w:t>ACCC</w:t>
      </w:r>
      <w:proofErr w:type="spellEnd"/>
      <w:r w:rsidR="00CF3123">
        <w:t xml:space="preserve"> supports the retention of a universal services regime with </w:t>
      </w:r>
      <w:r w:rsidR="00AD7761">
        <w:t>these</w:t>
      </w:r>
      <w:r w:rsidR="00CF3123">
        <w:t xml:space="preserve"> objectives</w:t>
      </w:r>
      <w:r w:rsidR="00033EB1">
        <w:t>.</w:t>
      </w:r>
    </w:p>
    <w:p w14:paraId="2B8B5FE6" w14:textId="77777777" w:rsidR="00E96A0A" w:rsidRDefault="00033EB1" w:rsidP="00034E07">
      <w:r>
        <w:t>C</w:t>
      </w:r>
      <w:r w:rsidR="003A5CF9">
        <w:t xml:space="preserve">ontestable retail communications markets can deliver a range of services which meet the objectives of accessibility and availability for the majority of consumers. However, certain groups of </w:t>
      </w:r>
      <w:r w:rsidR="00310604">
        <w:t xml:space="preserve">consumers </w:t>
      </w:r>
      <w:r w:rsidR="003A5CF9">
        <w:t xml:space="preserve">are unlikely to </w:t>
      </w:r>
      <w:r w:rsidR="00DC750E">
        <w:t xml:space="preserve">fully </w:t>
      </w:r>
      <w:r w:rsidR="003A5CF9">
        <w:t>benefit from a competitive market</w:t>
      </w:r>
      <w:r w:rsidR="00310604">
        <w:t xml:space="preserve">, and in the absence of a </w:t>
      </w:r>
      <w:proofErr w:type="spellStart"/>
      <w:r w:rsidR="00CF3123">
        <w:t>USO</w:t>
      </w:r>
      <w:proofErr w:type="spellEnd"/>
      <w:r w:rsidR="005C1B1B">
        <w:t>,</w:t>
      </w:r>
      <w:r w:rsidR="00CF3123">
        <w:t xml:space="preserve"> </w:t>
      </w:r>
      <w:r w:rsidR="00310604">
        <w:t>there is a risk that the needs of t</w:t>
      </w:r>
      <w:r w:rsidR="00ED2D45">
        <w:t>hese consumers will not be met.</w:t>
      </w:r>
      <w:r w:rsidR="003A5CF9">
        <w:t xml:space="preserve"> This is because retail service providers </w:t>
      </w:r>
      <w:r w:rsidR="00034E07">
        <w:t xml:space="preserve">do not have the same economic incentives to meet the needs of </w:t>
      </w:r>
      <w:r w:rsidR="00CF3123">
        <w:t xml:space="preserve">some groups of </w:t>
      </w:r>
      <w:r w:rsidR="00CF3123">
        <w:lastRenderedPageBreak/>
        <w:t xml:space="preserve">consumers, such as those in </w:t>
      </w:r>
      <w:r w:rsidR="00DC750E">
        <w:t xml:space="preserve">low populated </w:t>
      </w:r>
      <w:r w:rsidR="00CF3123">
        <w:t>regional</w:t>
      </w:r>
      <w:r w:rsidR="00DC750E">
        <w:t xml:space="preserve"> or remote</w:t>
      </w:r>
      <w:r w:rsidR="00CF3123">
        <w:t xml:space="preserve"> areas</w:t>
      </w:r>
      <w:r w:rsidR="002C4856">
        <w:t xml:space="preserve"> or in difficult to connect areas</w:t>
      </w:r>
      <w:r w:rsidR="00CF3123">
        <w:t xml:space="preserve">, </w:t>
      </w:r>
      <w:r w:rsidR="005C1B1B">
        <w:t xml:space="preserve">or </w:t>
      </w:r>
      <w:r w:rsidR="00CF3123">
        <w:t>those on low incomes and those with special needs.</w:t>
      </w:r>
    </w:p>
    <w:p w14:paraId="2B8B5FE7" w14:textId="77777777" w:rsidR="0056591C" w:rsidRDefault="00654584" w:rsidP="00033EB1">
      <w:r>
        <w:t xml:space="preserve">However, while </w:t>
      </w:r>
      <w:proofErr w:type="spellStart"/>
      <w:r>
        <w:t>USOs</w:t>
      </w:r>
      <w:proofErr w:type="spellEnd"/>
      <w:r>
        <w:t xml:space="preserve"> are important for promoting social objectives, the implementation of a universal service regime can also impact on competition and economic efficiency. For instance, how a universal service provider is selected </w:t>
      </w:r>
      <w:r w:rsidR="007317E9">
        <w:t xml:space="preserve">can </w:t>
      </w:r>
      <w:r>
        <w:t>have competition implications</w:t>
      </w:r>
      <w:r w:rsidR="0056591C">
        <w:t xml:space="preserve"> in communications markets as it may result in one provider receiving a competitive advantage</w:t>
      </w:r>
      <w:r>
        <w:t xml:space="preserve">. </w:t>
      </w:r>
      <w:r w:rsidR="0056591C">
        <w:t>Similarly, t</w:t>
      </w:r>
      <w:r>
        <w:t xml:space="preserve">he funding arrangement for the universal service regime </w:t>
      </w:r>
      <w:r w:rsidR="0056591C">
        <w:t xml:space="preserve">can </w:t>
      </w:r>
      <w:r>
        <w:t>impact economic efficiency</w:t>
      </w:r>
      <w:r w:rsidR="0056591C">
        <w:t xml:space="preserve"> by subsidising the use of legacy infrastructure</w:t>
      </w:r>
      <w:r>
        <w:t>.</w:t>
      </w:r>
    </w:p>
    <w:p w14:paraId="2B8B5FE8" w14:textId="77777777" w:rsidR="00654584" w:rsidRDefault="00654584" w:rsidP="00033EB1">
      <w:r>
        <w:t>Therefore, we consider that, where possible, consideration should be given to minimising any distortionary impact that a universal service regime may have on competition and economic efficiency within a market.</w:t>
      </w:r>
    </w:p>
    <w:p w14:paraId="2B8B5FE9" w14:textId="77777777" w:rsidR="00654584" w:rsidRPr="00654584" w:rsidRDefault="00654584" w:rsidP="00033EB1">
      <w:pPr>
        <w:rPr>
          <w:i/>
        </w:rPr>
      </w:pPr>
      <w:r>
        <w:rPr>
          <w:i/>
        </w:rPr>
        <w:t>Which services should be available</w:t>
      </w:r>
      <w:r w:rsidR="0056591C">
        <w:rPr>
          <w:i/>
        </w:rPr>
        <w:t>?</w:t>
      </w:r>
    </w:p>
    <w:p w14:paraId="2B8B5FEA" w14:textId="77777777" w:rsidR="006B74EE" w:rsidRDefault="00C32B30" w:rsidP="00033EB1">
      <w:r w:rsidRPr="00ED3B0E">
        <w:t xml:space="preserve">To meet </w:t>
      </w:r>
      <w:r w:rsidR="001E2BEA" w:rsidRPr="00ED3B0E">
        <w:t xml:space="preserve">its </w:t>
      </w:r>
      <w:r w:rsidRPr="00ED3B0E">
        <w:t>objective</w:t>
      </w:r>
      <w:r w:rsidR="00183FFC" w:rsidRPr="00ED3B0E">
        <w:t xml:space="preserve"> of ensuring social inclusion for all consumers</w:t>
      </w:r>
      <w:r w:rsidRPr="00ED3B0E">
        <w:t>, t</w:t>
      </w:r>
      <w:r w:rsidR="0046399A" w:rsidRPr="00ED3B0E">
        <w:t xml:space="preserve">he </w:t>
      </w:r>
      <w:proofErr w:type="spellStart"/>
      <w:r w:rsidR="0046399A" w:rsidRPr="00ED3B0E">
        <w:t>ACCC</w:t>
      </w:r>
      <w:proofErr w:type="spellEnd"/>
      <w:r w:rsidR="0046399A" w:rsidRPr="00ED3B0E">
        <w:t xml:space="preserve"> </w:t>
      </w:r>
      <w:r w:rsidR="00033EB1" w:rsidRPr="00ED3B0E">
        <w:t>consider</w:t>
      </w:r>
      <w:r w:rsidR="0046399A" w:rsidRPr="00ED3B0E">
        <w:t>s</w:t>
      </w:r>
      <w:r w:rsidR="00033EB1" w:rsidRPr="00ED3B0E">
        <w:t xml:space="preserve"> </w:t>
      </w:r>
      <w:r w:rsidR="003C37BD" w:rsidRPr="00ED3B0E">
        <w:t>a universal service regime should</w:t>
      </w:r>
      <w:r w:rsidR="00AC43BB" w:rsidRPr="00ED3B0E">
        <w:t xml:space="preserve"> </w:t>
      </w:r>
      <w:r w:rsidR="008C58D7" w:rsidRPr="00ED3B0E">
        <w:t>ensure that a broadband and voice service</w:t>
      </w:r>
      <w:r w:rsidR="0046399A" w:rsidRPr="00ED3B0E">
        <w:t xml:space="preserve"> of a standard quality of service,</w:t>
      </w:r>
      <w:r w:rsidR="008C58D7" w:rsidRPr="00ED3B0E">
        <w:t xml:space="preserve"> </w:t>
      </w:r>
      <w:r w:rsidR="00F137AC" w:rsidRPr="00ED3B0E">
        <w:t>are</w:t>
      </w:r>
      <w:r w:rsidR="0046399A" w:rsidRPr="00ED3B0E">
        <w:t xml:space="preserve"> available, affordable and accessible </w:t>
      </w:r>
      <w:r w:rsidR="008C58D7" w:rsidRPr="00ED3B0E">
        <w:t>at all Australian premises</w:t>
      </w:r>
      <w:r w:rsidR="0046399A" w:rsidRPr="00ED3B0E">
        <w:t xml:space="preserve">. We also consider that in order to promote efficient use of infrastructure, any obligation to provide services under the </w:t>
      </w:r>
      <w:proofErr w:type="spellStart"/>
      <w:r w:rsidR="0046399A" w:rsidRPr="00ED3B0E">
        <w:t>USO</w:t>
      </w:r>
      <w:proofErr w:type="spellEnd"/>
      <w:r w:rsidR="0046399A" w:rsidRPr="00ED3B0E">
        <w:t xml:space="preserve"> should be technology neutral.</w:t>
      </w:r>
      <w:r w:rsidR="0046399A">
        <w:t xml:space="preserve"> </w:t>
      </w:r>
    </w:p>
    <w:p w14:paraId="2B8B5FEB" w14:textId="77777777" w:rsidR="00A37C9E" w:rsidRDefault="0046399A" w:rsidP="00033EB1">
      <w:r>
        <w:t xml:space="preserve">Broadband and voice services </w:t>
      </w:r>
      <w:r w:rsidR="00F137AC">
        <w:t>appear to be the most important for social inclusion</w:t>
      </w:r>
      <w:r w:rsidR="008C58D7">
        <w:t>.</w:t>
      </w:r>
      <w:r w:rsidR="00A37C9E">
        <w:t xml:space="preserve"> Voice services remain important for </w:t>
      </w:r>
      <w:r w:rsidR="00DC750E">
        <w:t xml:space="preserve">the majority of </w:t>
      </w:r>
      <w:r w:rsidR="00A37C9E">
        <w:t xml:space="preserve">consumers, despite the growth of alternative forms of communication such as instant messaging services. The number of voice call minutes made from mobile or fixed line phones has fallen slightly </w:t>
      </w:r>
      <w:r w:rsidR="00ED3B0E">
        <w:t xml:space="preserve">over the past five years, from </w:t>
      </w:r>
      <w:r w:rsidR="00A37C9E">
        <w:t xml:space="preserve">its 2011 level of 73.5 million minutes, but </w:t>
      </w:r>
      <w:r w:rsidR="00DC750E">
        <w:t xml:space="preserve">remained </w:t>
      </w:r>
      <w:r w:rsidR="00A37C9E">
        <w:t>significant in 2015 at 71.5 million minutes.</w:t>
      </w:r>
      <w:r w:rsidR="00A37C9E">
        <w:rPr>
          <w:rStyle w:val="FootnoteReference"/>
        </w:rPr>
        <w:footnoteReference w:id="5"/>
      </w:r>
    </w:p>
    <w:p w14:paraId="2B8B5FEC" w14:textId="77777777" w:rsidR="00033EB1" w:rsidRDefault="00033EB1" w:rsidP="00033EB1">
      <w:r>
        <w:t xml:space="preserve">The importance of </w:t>
      </w:r>
      <w:r w:rsidR="00A37C9E">
        <w:t xml:space="preserve">broadband </w:t>
      </w:r>
      <w:r>
        <w:t xml:space="preserve">services to Australians is supported by the growth in the number of </w:t>
      </w:r>
      <w:proofErr w:type="spellStart"/>
      <w:r>
        <w:t>internet</w:t>
      </w:r>
      <w:proofErr w:type="spellEnd"/>
      <w:r>
        <w:t xml:space="preserve"> connections and the volume of data consumed.</w:t>
      </w:r>
      <w:r>
        <w:rPr>
          <w:rStyle w:val="FootnoteReference"/>
        </w:rPr>
        <w:footnoteReference w:id="6"/>
      </w:r>
      <w:r>
        <w:t xml:space="preserve"> </w:t>
      </w:r>
      <w:r w:rsidR="00034D9F">
        <w:t>The increasing use of data, consumer demand to access services online, and the efficiencies associated with providing online services mean that a number of important services</w:t>
      </w:r>
      <w:r w:rsidR="00CF6FC5">
        <w:t>, including government services,</w:t>
      </w:r>
      <w:r w:rsidR="00034D9F">
        <w:t xml:space="preserve"> are being provided over the </w:t>
      </w:r>
      <w:proofErr w:type="spellStart"/>
      <w:r w:rsidR="00034D9F">
        <w:t>internet</w:t>
      </w:r>
      <w:proofErr w:type="spellEnd"/>
      <w:r w:rsidR="00034D9F">
        <w:t xml:space="preserve">. For example, </w:t>
      </w:r>
      <w:proofErr w:type="spellStart"/>
      <w:r w:rsidR="00034D9F">
        <w:t>ACMA</w:t>
      </w:r>
      <w:proofErr w:type="spellEnd"/>
      <w:r w:rsidR="00034D9F">
        <w:t xml:space="preserve"> research sho</w:t>
      </w:r>
      <w:r w:rsidR="00DC750E">
        <w:t>w</w:t>
      </w:r>
      <w:r w:rsidR="00034D9F">
        <w:t xml:space="preserve">s that </w:t>
      </w:r>
      <w:r>
        <w:t>Australians increasingly us</w:t>
      </w:r>
      <w:r w:rsidR="00A024FF">
        <w:t>e</w:t>
      </w:r>
      <w:r>
        <w:t xml:space="preserve"> </w:t>
      </w:r>
      <w:r w:rsidR="00034D9F">
        <w:t xml:space="preserve">the </w:t>
      </w:r>
      <w:proofErr w:type="spellStart"/>
      <w:r w:rsidR="00034D9F">
        <w:t>internet</w:t>
      </w:r>
      <w:proofErr w:type="spellEnd"/>
      <w:r w:rsidR="00034D9F">
        <w:t xml:space="preserve"> </w:t>
      </w:r>
      <w:r>
        <w:t>for a range of important activities, such as accessing finance and banking services, online education, seeking health or medical information, communicating with others, and accessing government services.</w:t>
      </w:r>
      <w:r>
        <w:rPr>
          <w:rStyle w:val="FootnoteReference"/>
        </w:rPr>
        <w:footnoteReference w:id="7"/>
      </w:r>
      <w:r>
        <w:t xml:space="preserve"> </w:t>
      </w:r>
    </w:p>
    <w:p w14:paraId="2B8B5FED" w14:textId="77777777" w:rsidR="007C4F53" w:rsidRDefault="0046399A" w:rsidP="001B59FB">
      <w:pPr>
        <w:keepNext/>
        <w:rPr>
          <w:b/>
        </w:rPr>
      </w:pPr>
      <w:r>
        <w:rPr>
          <w:b/>
        </w:rPr>
        <w:lastRenderedPageBreak/>
        <w:t xml:space="preserve">A </w:t>
      </w:r>
      <w:r w:rsidR="0044464E">
        <w:rPr>
          <w:b/>
        </w:rPr>
        <w:t xml:space="preserve">framework for a </w:t>
      </w:r>
      <w:r>
        <w:rPr>
          <w:b/>
        </w:rPr>
        <w:t>universal service regime</w:t>
      </w:r>
      <w:r w:rsidR="0061233C">
        <w:rPr>
          <w:b/>
        </w:rPr>
        <w:t xml:space="preserve"> </w:t>
      </w:r>
      <w:r w:rsidR="0044464E">
        <w:rPr>
          <w:b/>
        </w:rPr>
        <w:t xml:space="preserve">under </w:t>
      </w:r>
      <w:r w:rsidR="0061233C">
        <w:rPr>
          <w:b/>
        </w:rPr>
        <w:t xml:space="preserve">the </w:t>
      </w:r>
      <w:proofErr w:type="spellStart"/>
      <w:r w:rsidR="0061233C">
        <w:rPr>
          <w:b/>
        </w:rPr>
        <w:t>NBN</w:t>
      </w:r>
      <w:proofErr w:type="spellEnd"/>
    </w:p>
    <w:p w14:paraId="2B8B5FEE" w14:textId="77777777" w:rsidR="006551F7" w:rsidRDefault="0044464E" w:rsidP="009102B6">
      <w:r>
        <w:t xml:space="preserve">The proposed universal service </w:t>
      </w:r>
      <w:r w:rsidR="00034D9F">
        <w:t>arrang</w:t>
      </w:r>
      <w:r w:rsidR="00A024FF">
        <w:t>e</w:t>
      </w:r>
      <w:r w:rsidR="00034D9F">
        <w:t xml:space="preserve">ments </w:t>
      </w:r>
      <w:r>
        <w:t xml:space="preserve">which will apply to </w:t>
      </w:r>
      <w:proofErr w:type="spellStart"/>
      <w:r>
        <w:t>NBN</w:t>
      </w:r>
      <w:proofErr w:type="spellEnd"/>
      <w:r>
        <w:t xml:space="preserve"> Co will </w:t>
      </w:r>
      <w:r w:rsidR="00591EF4">
        <w:t>ensure that broadband services are available (or able to be accessed) at all Australian premises, and that voice services are available at nearly all premises.</w:t>
      </w:r>
      <w:r w:rsidR="00591EF4">
        <w:rPr>
          <w:rStyle w:val="FootnoteReference"/>
        </w:rPr>
        <w:footnoteReference w:id="8"/>
      </w:r>
      <w:r w:rsidR="00591EF4">
        <w:t xml:space="preserve"> </w:t>
      </w:r>
      <w:r w:rsidR="00AD10DE">
        <w:t xml:space="preserve">The </w:t>
      </w:r>
      <w:proofErr w:type="spellStart"/>
      <w:r w:rsidR="00AD10DE">
        <w:t>ACCC</w:t>
      </w:r>
      <w:proofErr w:type="spellEnd"/>
      <w:r w:rsidR="00AD10DE">
        <w:t xml:space="preserve"> supports such measures, and considers that it is important that the obligations on </w:t>
      </w:r>
      <w:proofErr w:type="spellStart"/>
      <w:r w:rsidR="00AD10DE">
        <w:t>NBN</w:t>
      </w:r>
      <w:proofErr w:type="spellEnd"/>
      <w:r w:rsidR="00AD10DE">
        <w:t xml:space="preserve"> Co as the universal broadband infrastructure provider are clearly set out in the legislative framework. </w:t>
      </w:r>
    </w:p>
    <w:p w14:paraId="2B8B5FEF" w14:textId="77777777" w:rsidR="00AE1E2E" w:rsidRDefault="0044464E" w:rsidP="00AE1E2E">
      <w:r>
        <w:t>Currently, th</w:t>
      </w:r>
      <w:r w:rsidR="00034D9F">
        <w:t>ere are no propos</w:t>
      </w:r>
      <w:r w:rsidR="00A024FF">
        <w:t>ed</w:t>
      </w:r>
      <w:r w:rsidR="00034D9F">
        <w:t xml:space="preserve"> </w:t>
      </w:r>
      <w:r w:rsidR="00274EFD">
        <w:t>legislative requirement</w:t>
      </w:r>
      <w:r w:rsidR="00541C2D">
        <w:t>s</w:t>
      </w:r>
      <w:r w:rsidR="00274EFD">
        <w:t xml:space="preserve"> on any </w:t>
      </w:r>
      <w:r w:rsidR="006F5A3C">
        <w:t xml:space="preserve">retail service </w:t>
      </w:r>
      <w:r w:rsidR="00274EFD">
        <w:t xml:space="preserve">provider </w:t>
      </w:r>
      <w:r w:rsidR="006F5A3C">
        <w:t>(</w:t>
      </w:r>
      <w:proofErr w:type="spellStart"/>
      <w:r w:rsidR="006F5A3C">
        <w:t>RSP</w:t>
      </w:r>
      <w:proofErr w:type="spellEnd"/>
      <w:r w:rsidR="006F5A3C">
        <w:t xml:space="preserve">) </w:t>
      </w:r>
      <w:r w:rsidR="00274EFD">
        <w:t xml:space="preserve">to provide consumers with a retail broadband service over the </w:t>
      </w:r>
      <w:proofErr w:type="spellStart"/>
      <w:r w:rsidR="00274EFD">
        <w:t>NBN</w:t>
      </w:r>
      <w:proofErr w:type="spellEnd"/>
      <w:r>
        <w:t xml:space="preserve"> and the </w:t>
      </w:r>
      <w:proofErr w:type="spellStart"/>
      <w:r>
        <w:t>ACCC</w:t>
      </w:r>
      <w:proofErr w:type="spellEnd"/>
      <w:r>
        <w:t xml:space="preserve"> does not consider that </w:t>
      </w:r>
      <w:r w:rsidR="00274EFD">
        <w:t xml:space="preserve">such measures </w:t>
      </w:r>
      <w:r w:rsidR="00541C2D">
        <w:t xml:space="preserve">will be </w:t>
      </w:r>
      <w:r w:rsidR="00274EFD">
        <w:t>necessary</w:t>
      </w:r>
      <w:r w:rsidR="000A5BEE">
        <w:t>. C</w:t>
      </w:r>
      <w:r w:rsidR="006F5A3C">
        <w:t xml:space="preserve">ompetition over the </w:t>
      </w:r>
      <w:proofErr w:type="spellStart"/>
      <w:r w:rsidR="006F5A3C">
        <w:t>NBN</w:t>
      </w:r>
      <w:proofErr w:type="spellEnd"/>
      <w:r w:rsidR="006F5A3C">
        <w:t xml:space="preserve">, and </w:t>
      </w:r>
      <w:r w:rsidR="008542E6">
        <w:t>wholesale pricing regulation,</w:t>
      </w:r>
      <w:r w:rsidR="006F5A3C">
        <w:t xml:space="preserve"> </w:t>
      </w:r>
      <w:r w:rsidR="000A5BEE">
        <w:t xml:space="preserve">should </w:t>
      </w:r>
      <w:r w:rsidR="006F5A3C">
        <w:t xml:space="preserve">mean that </w:t>
      </w:r>
      <w:r w:rsidR="000A5BEE">
        <w:t xml:space="preserve">equitable </w:t>
      </w:r>
      <w:r w:rsidR="006F5A3C">
        <w:t xml:space="preserve">retail services are available to all end-users connected to the </w:t>
      </w:r>
      <w:proofErr w:type="spellStart"/>
      <w:r w:rsidR="006F5A3C">
        <w:t>NBN</w:t>
      </w:r>
      <w:proofErr w:type="spellEnd"/>
      <w:r w:rsidR="006F5A3C">
        <w:t xml:space="preserve"> without</w:t>
      </w:r>
      <w:r w:rsidR="000A5BEE">
        <w:t xml:space="preserve"> further </w:t>
      </w:r>
      <w:r w:rsidR="001C4962">
        <w:t xml:space="preserve">universal service </w:t>
      </w:r>
      <w:r w:rsidR="000A5BEE">
        <w:t>regulation.</w:t>
      </w:r>
      <w:r w:rsidR="001C4962">
        <w:rPr>
          <w:rStyle w:val="FootnoteReference"/>
        </w:rPr>
        <w:footnoteReference w:id="9"/>
      </w:r>
      <w:r w:rsidR="008B03EC">
        <w:t xml:space="preserve"> </w:t>
      </w:r>
      <w:r w:rsidR="000A5BEE">
        <w:t>This is supported by the development of the market</w:t>
      </w:r>
      <w:r w:rsidR="00A024FF">
        <w:t>s</w:t>
      </w:r>
      <w:r w:rsidR="000A5BEE">
        <w:t xml:space="preserve"> for </w:t>
      </w:r>
      <w:proofErr w:type="spellStart"/>
      <w:r w:rsidR="00EC155B">
        <w:t>NBN</w:t>
      </w:r>
      <w:proofErr w:type="spellEnd"/>
      <w:r w:rsidR="00EC155B">
        <w:t xml:space="preserve"> fixed line and </w:t>
      </w:r>
      <w:r w:rsidR="00A024FF">
        <w:t xml:space="preserve">the </w:t>
      </w:r>
      <w:r w:rsidR="000A5BEE">
        <w:t>long term satellite service (</w:t>
      </w:r>
      <w:proofErr w:type="spellStart"/>
      <w:r w:rsidR="000A5BEE">
        <w:t>LTSS</w:t>
      </w:r>
      <w:proofErr w:type="spellEnd"/>
      <w:r w:rsidR="000A5BEE">
        <w:t xml:space="preserve">) so far. </w:t>
      </w:r>
    </w:p>
    <w:p w14:paraId="2B8B5FF0" w14:textId="77777777" w:rsidR="000A5BEE" w:rsidRDefault="000C62BA" w:rsidP="00AE1E2E">
      <w:r>
        <w:t xml:space="preserve">There are already a large number of </w:t>
      </w:r>
      <w:proofErr w:type="spellStart"/>
      <w:r>
        <w:t>RSPs</w:t>
      </w:r>
      <w:proofErr w:type="spellEnd"/>
      <w:r>
        <w:t xml:space="preserve"> providing </w:t>
      </w:r>
      <w:proofErr w:type="spellStart"/>
      <w:r>
        <w:t>NBN</w:t>
      </w:r>
      <w:proofErr w:type="spellEnd"/>
      <w:r>
        <w:t xml:space="preserve"> services, with </w:t>
      </w:r>
      <w:proofErr w:type="spellStart"/>
      <w:r>
        <w:t>NBN</w:t>
      </w:r>
      <w:proofErr w:type="spellEnd"/>
      <w:r>
        <w:t xml:space="preserve"> </w:t>
      </w:r>
      <w:r w:rsidR="004F1173">
        <w:t xml:space="preserve">Co </w:t>
      </w:r>
      <w:r>
        <w:t>r</w:t>
      </w:r>
      <w:r w:rsidR="00023397">
        <w:t xml:space="preserve">eporting that there are over 130 providers of </w:t>
      </w:r>
      <w:proofErr w:type="spellStart"/>
      <w:r w:rsidR="00023397">
        <w:t>NBN</w:t>
      </w:r>
      <w:proofErr w:type="spellEnd"/>
      <w:r w:rsidR="00023397">
        <w:t xml:space="preserve"> services.</w:t>
      </w:r>
      <w:r w:rsidR="003936B8">
        <w:rPr>
          <w:rStyle w:val="FootnoteReference"/>
        </w:rPr>
        <w:footnoteReference w:id="10"/>
      </w:r>
      <w:r w:rsidR="00023397">
        <w:t xml:space="preserve"> Further, t</w:t>
      </w:r>
      <w:r w:rsidR="000A5BEE">
        <w:t xml:space="preserve">he </w:t>
      </w:r>
      <w:proofErr w:type="spellStart"/>
      <w:r w:rsidR="000A5BEE">
        <w:t>LTSS</w:t>
      </w:r>
      <w:proofErr w:type="spellEnd"/>
      <w:r w:rsidR="000A5BEE">
        <w:t xml:space="preserve"> officially launched in late April 2016,</w:t>
      </w:r>
      <w:r w:rsidR="00023397">
        <w:t xml:space="preserve"> </w:t>
      </w:r>
      <w:r w:rsidR="000A5BEE">
        <w:t xml:space="preserve">and there are already eight </w:t>
      </w:r>
      <w:proofErr w:type="spellStart"/>
      <w:r w:rsidR="000A5BEE">
        <w:t>RSPs</w:t>
      </w:r>
      <w:proofErr w:type="spellEnd"/>
      <w:r w:rsidR="000A5BEE">
        <w:t xml:space="preserve"> providing </w:t>
      </w:r>
      <w:r w:rsidR="00A024FF">
        <w:t xml:space="preserve">services </w:t>
      </w:r>
      <w:r w:rsidR="000A5BEE">
        <w:t xml:space="preserve">using the </w:t>
      </w:r>
      <w:proofErr w:type="spellStart"/>
      <w:r w:rsidR="000A5BEE">
        <w:t>LTSS</w:t>
      </w:r>
      <w:proofErr w:type="spellEnd"/>
      <w:r w:rsidR="000A5BEE">
        <w:t>.</w:t>
      </w:r>
      <w:r w:rsidR="00A024FF">
        <w:t xml:space="preserve"> The development of competition in this market</w:t>
      </w:r>
      <w:r w:rsidR="00183FFC">
        <w:t xml:space="preserve"> in a relatively short period</w:t>
      </w:r>
      <w:r w:rsidR="00A024FF">
        <w:t xml:space="preserve"> has led to a range of broadband satellite services being made available to end-users seeking satellite services.</w:t>
      </w:r>
      <w:r w:rsidR="000A5BEE">
        <w:t xml:space="preserve"> The </w:t>
      </w:r>
      <w:proofErr w:type="spellStart"/>
      <w:r w:rsidR="000A5BEE">
        <w:t>LTSS</w:t>
      </w:r>
      <w:proofErr w:type="spellEnd"/>
      <w:r w:rsidR="000A5BEE">
        <w:t xml:space="preserve"> is intended to reach the most remote areas of Australia, which are the areas that are most likely to be underserved due to the low population in these areas</w:t>
      </w:r>
      <w:r w:rsidR="00A024FF">
        <w:t xml:space="preserve"> and the </w:t>
      </w:r>
      <w:r w:rsidR="003936B8">
        <w:t xml:space="preserve">costs </w:t>
      </w:r>
      <w:r w:rsidR="00A024FF">
        <w:t>to build infrastructure</w:t>
      </w:r>
      <w:r w:rsidR="000A5BEE">
        <w:t xml:space="preserve">. Despite this, the market for </w:t>
      </w:r>
      <w:proofErr w:type="spellStart"/>
      <w:r w:rsidR="000A5BEE">
        <w:t>LTSS</w:t>
      </w:r>
      <w:proofErr w:type="spellEnd"/>
      <w:r w:rsidR="000A5BEE">
        <w:t xml:space="preserve"> retail services is still at a very early stage of development, and it is difficult to predict how competition will develop in this market</w:t>
      </w:r>
      <w:r w:rsidR="00A024FF">
        <w:t xml:space="preserve"> over the longer term</w:t>
      </w:r>
      <w:r w:rsidR="000A5BEE">
        <w:t>.</w:t>
      </w:r>
      <w:r w:rsidR="00EC155B">
        <w:t xml:space="preserve"> </w:t>
      </w:r>
    </w:p>
    <w:p w14:paraId="2B8B5FF1" w14:textId="77777777" w:rsidR="0061233C" w:rsidRDefault="005C1B1B" w:rsidP="0061233C">
      <w:r>
        <w:t>W</w:t>
      </w:r>
      <w:r w:rsidR="0061233C">
        <w:t xml:space="preserve">e recognise that retail markets for </w:t>
      </w:r>
      <w:proofErr w:type="spellStart"/>
      <w:r w:rsidR="00A024FF">
        <w:t>NBN</w:t>
      </w:r>
      <w:proofErr w:type="spellEnd"/>
      <w:r w:rsidR="00A024FF">
        <w:t xml:space="preserve"> </w:t>
      </w:r>
      <w:r w:rsidR="0061233C">
        <w:t>broadband services</w:t>
      </w:r>
      <w:r>
        <w:t xml:space="preserve"> </w:t>
      </w:r>
      <w:r w:rsidR="0061233C">
        <w:t xml:space="preserve">are </w:t>
      </w:r>
      <w:r w:rsidR="00A024FF">
        <w:t xml:space="preserve">still developing as the rollout of the </w:t>
      </w:r>
      <w:proofErr w:type="spellStart"/>
      <w:r w:rsidR="00A024FF">
        <w:t>NBN</w:t>
      </w:r>
      <w:proofErr w:type="spellEnd"/>
      <w:r w:rsidR="00A024FF">
        <w:t xml:space="preserve"> infrastructure proceeds. T</w:t>
      </w:r>
      <w:r w:rsidR="0061233C">
        <w:t xml:space="preserve">here </w:t>
      </w:r>
      <w:r w:rsidR="00A024FF">
        <w:t>remains</w:t>
      </w:r>
      <w:r>
        <w:t>, however,</w:t>
      </w:r>
      <w:r w:rsidR="0061233C">
        <w:t xml:space="preserve"> some uncertainty about how the markets will develop in the future. </w:t>
      </w:r>
      <w:r w:rsidR="00183FFC">
        <w:t xml:space="preserve">While there have been a number of significant mergers in the </w:t>
      </w:r>
      <w:r w:rsidR="00A31E92">
        <w:t>industry in recent years</w:t>
      </w:r>
      <w:r w:rsidR="00183FFC">
        <w:t>,</w:t>
      </w:r>
      <w:r w:rsidR="00A31E92">
        <w:t xml:space="preserve"> we consider that the </w:t>
      </w:r>
      <w:proofErr w:type="spellStart"/>
      <w:r w:rsidR="00A31E92">
        <w:t>NBN</w:t>
      </w:r>
      <w:proofErr w:type="spellEnd"/>
      <w:r w:rsidR="00A31E92">
        <w:t xml:space="preserve"> provides opportunities for new </w:t>
      </w:r>
      <w:proofErr w:type="spellStart"/>
      <w:r w:rsidR="00A31E92">
        <w:t>RSPs</w:t>
      </w:r>
      <w:proofErr w:type="spellEnd"/>
      <w:r w:rsidR="00A31E92">
        <w:t xml:space="preserve"> to enter and compete.</w:t>
      </w:r>
      <w:r w:rsidR="00183FFC">
        <w:t xml:space="preserve"> </w:t>
      </w:r>
      <w:r w:rsidR="0061233C">
        <w:t xml:space="preserve">Therefore, the </w:t>
      </w:r>
      <w:proofErr w:type="spellStart"/>
      <w:r w:rsidR="0061233C">
        <w:t>ACCC</w:t>
      </w:r>
      <w:proofErr w:type="spellEnd"/>
      <w:r w:rsidR="0061233C">
        <w:t xml:space="preserve"> would support a requirement to review the universal service obligations on retail service providers three to five years after the rollout of the </w:t>
      </w:r>
      <w:proofErr w:type="spellStart"/>
      <w:r w:rsidR="0061233C">
        <w:t>NBN</w:t>
      </w:r>
      <w:proofErr w:type="spellEnd"/>
      <w:r w:rsidR="0061233C">
        <w:t xml:space="preserve"> is complete to determine if any additional retail safeguards are necessary. </w:t>
      </w:r>
    </w:p>
    <w:p w14:paraId="2B8B5FF2" w14:textId="77777777" w:rsidR="00A4239F" w:rsidRDefault="0061233C" w:rsidP="00E83E4E">
      <w:r>
        <w:t xml:space="preserve">Further, while </w:t>
      </w:r>
      <w:r w:rsidR="000A5BEE">
        <w:t xml:space="preserve">we consider that the proposed </w:t>
      </w:r>
      <w:r w:rsidR="00EE6392">
        <w:t xml:space="preserve">universal service </w:t>
      </w:r>
      <w:r w:rsidR="000A5BEE">
        <w:t xml:space="preserve">arrangements for the </w:t>
      </w:r>
      <w:proofErr w:type="spellStart"/>
      <w:r w:rsidR="000A5BEE">
        <w:t>NBN</w:t>
      </w:r>
      <w:proofErr w:type="spellEnd"/>
      <w:r w:rsidR="000A5BEE">
        <w:t xml:space="preserve"> will ensure that </w:t>
      </w:r>
      <w:r>
        <w:t xml:space="preserve">reasonable </w:t>
      </w:r>
      <w:r w:rsidR="000A5BEE">
        <w:t>broadband services are available to all</w:t>
      </w:r>
      <w:r w:rsidR="00A024FF">
        <w:t xml:space="preserve"> end-users</w:t>
      </w:r>
      <w:r w:rsidR="000A5BEE">
        <w:t xml:space="preserve">, we consider that </w:t>
      </w:r>
      <w:r w:rsidR="00E83E4E">
        <w:t xml:space="preserve">there are aspects of the current voice </w:t>
      </w:r>
      <w:proofErr w:type="spellStart"/>
      <w:r w:rsidR="00E83E4E">
        <w:t>USO</w:t>
      </w:r>
      <w:proofErr w:type="spellEnd"/>
      <w:r w:rsidR="00E83E4E">
        <w:t xml:space="preserve"> arrangements that could be improved, </w:t>
      </w:r>
      <w:r w:rsidR="00A024FF">
        <w:t xml:space="preserve">and </w:t>
      </w:r>
      <w:r w:rsidR="00E83E4E">
        <w:t xml:space="preserve">that additional measures </w:t>
      </w:r>
      <w:r w:rsidR="00227F78">
        <w:t>to address affordability and acc</w:t>
      </w:r>
      <w:r w:rsidR="003D543E">
        <w:t xml:space="preserve">essibility </w:t>
      </w:r>
      <w:r w:rsidR="001F5562">
        <w:t xml:space="preserve">issues for some consumers </w:t>
      </w:r>
      <w:r w:rsidR="003D543E">
        <w:t>may</w:t>
      </w:r>
      <w:r w:rsidR="00227F78">
        <w:t xml:space="preserve"> </w:t>
      </w:r>
      <w:r w:rsidR="001F5562">
        <w:t xml:space="preserve">also </w:t>
      </w:r>
      <w:r w:rsidR="00227F78">
        <w:t>be required</w:t>
      </w:r>
      <w:r w:rsidR="003B2C58">
        <w:t>.</w:t>
      </w:r>
      <w:r>
        <w:t xml:space="preserve"> </w:t>
      </w:r>
      <w:r w:rsidR="00D60624">
        <w:t xml:space="preserve"> </w:t>
      </w:r>
    </w:p>
    <w:p w14:paraId="2B8B5FF3" w14:textId="77777777" w:rsidR="0061233C" w:rsidRPr="0061233C" w:rsidRDefault="0061233C" w:rsidP="009102B6">
      <w:pPr>
        <w:rPr>
          <w:b/>
          <w:i/>
        </w:rPr>
      </w:pPr>
      <w:r>
        <w:rPr>
          <w:b/>
          <w:i/>
        </w:rPr>
        <w:t>Voice service arrangements</w:t>
      </w:r>
    </w:p>
    <w:p w14:paraId="2B8B5FF4" w14:textId="77777777" w:rsidR="00F77709" w:rsidRDefault="00BB2AD4" w:rsidP="009102B6">
      <w:r>
        <w:t>I</w:t>
      </w:r>
      <w:r w:rsidR="00874B4D">
        <w:t>t is important that</w:t>
      </w:r>
      <w:r w:rsidR="0061233C">
        <w:t xml:space="preserve"> a universal service regime continue</w:t>
      </w:r>
      <w:r>
        <w:t>s</w:t>
      </w:r>
      <w:r w:rsidR="0061233C">
        <w:t xml:space="preserve"> to ensure that voice services are available to end-users</w:t>
      </w:r>
      <w:r w:rsidR="00F57F9B">
        <w:t>.  While</w:t>
      </w:r>
      <w:r w:rsidR="0061233C">
        <w:t xml:space="preserve"> the current </w:t>
      </w:r>
      <w:proofErr w:type="spellStart"/>
      <w:r w:rsidR="0061233C">
        <w:t>USO</w:t>
      </w:r>
      <w:proofErr w:type="spellEnd"/>
      <w:r w:rsidR="0061233C">
        <w:t xml:space="preserve"> framework provides for this</w:t>
      </w:r>
      <w:r w:rsidR="00F57F9B">
        <w:t xml:space="preserve">, </w:t>
      </w:r>
      <w:r w:rsidR="0061233C">
        <w:t xml:space="preserve">the </w:t>
      </w:r>
      <w:proofErr w:type="spellStart"/>
      <w:r w:rsidR="0061233C">
        <w:t>ACCC</w:t>
      </w:r>
      <w:proofErr w:type="spellEnd"/>
      <w:r w:rsidR="0061233C">
        <w:t xml:space="preserve"> </w:t>
      </w:r>
      <w:r w:rsidR="00874B4D">
        <w:t>consider</w:t>
      </w:r>
      <w:r w:rsidR="0061233C">
        <w:t>s</w:t>
      </w:r>
      <w:r w:rsidR="00874B4D">
        <w:t xml:space="preserve"> that </w:t>
      </w:r>
      <w:r w:rsidR="00B6472F">
        <w:t xml:space="preserve">it </w:t>
      </w:r>
      <w:r w:rsidR="00874B4D">
        <w:t xml:space="preserve">could be </w:t>
      </w:r>
      <w:r w:rsidR="00B6472F">
        <w:lastRenderedPageBreak/>
        <w:t>strengthened</w:t>
      </w:r>
      <w:r w:rsidR="00476B9C">
        <w:t xml:space="preserve"> so that </w:t>
      </w:r>
      <w:r w:rsidR="0061233C">
        <w:t xml:space="preserve">it </w:t>
      </w:r>
      <w:r w:rsidR="00476B9C">
        <w:t>better promote</w:t>
      </w:r>
      <w:r>
        <w:t>s</w:t>
      </w:r>
      <w:r w:rsidR="00476B9C">
        <w:t xml:space="preserve"> competition and the efficient us</w:t>
      </w:r>
      <w:r w:rsidR="009953B4">
        <w:t>e</w:t>
      </w:r>
      <w:r w:rsidR="00476B9C">
        <w:t xml:space="preserve"> of</w:t>
      </w:r>
      <w:r w:rsidR="009953B4">
        <w:t>,</w:t>
      </w:r>
      <w:r w:rsidR="00476B9C">
        <w:t xml:space="preserve"> and investment in</w:t>
      </w:r>
      <w:r w:rsidR="009953B4">
        <w:t>,</w:t>
      </w:r>
      <w:r w:rsidR="00476B9C">
        <w:t xml:space="preserve"> infrastructure.</w:t>
      </w:r>
      <w:r w:rsidR="004A1ABB">
        <w:t xml:space="preserve"> </w:t>
      </w:r>
    </w:p>
    <w:p w14:paraId="2B8B5FF5" w14:textId="77777777" w:rsidR="00476B9C" w:rsidRDefault="00476B9C" w:rsidP="00DC4B06">
      <w:pPr>
        <w:keepNext/>
        <w:keepLines/>
        <w:rPr>
          <w:i/>
        </w:rPr>
      </w:pPr>
      <w:r>
        <w:rPr>
          <w:i/>
        </w:rPr>
        <w:t xml:space="preserve">Inside the </w:t>
      </w:r>
      <w:proofErr w:type="spellStart"/>
      <w:r>
        <w:rPr>
          <w:i/>
        </w:rPr>
        <w:t>NBN</w:t>
      </w:r>
      <w:proofErr w:type="spellEnd"/>
      <w:r>
        <w:rPr>
          <w:i/>
        </w:rPr>
        <w:t xml:space="preserve"> fixed line footprint</w:t>
      </w:r>
    </w:p>
    <w:p w14:paraId="2B8B5FF6" w14:textId="77777777" w:rsidR="007C4B23" w:rsidRDefault="005F2B61" w:rsidP="007C4B23">
      <w:r>
        <w:t>We understand that t</w:t>
      </w:r>
      <w:r w:rsidR="004A1ABB">
        <w:t xml:space="preserve">he </w:t>
      </w:r>
      <w:proofErr w:type="spellStart"/>
      <w:r w:rsidR="004A1ABB">
        <w:t>NBN</w:t>
      </w:r>
      <w:proofErr w:type="spellEnd"/>
      <w:r w:rsidR="004A1ABB">
        <w:t xml:space="preserve"> fixed network will be able to provide </w:t>
      </w:r>
      <w:r>
        <w:t xml:space="preserve">high </w:t>
      </w:r>
      <w:r w:rsidR="004A1ABB">
        <w:t xml:space="preserve">quality voice services to consumers </w:t>
      </w:r>
      <w:r w:rsidR="004A1ABB" w:rsidRPr="00AA2849">
        <w:t>connected to the network</w:t>
      </w:r>
      <w:r w:rsidR="007C4B23" w:rsidRPr="00AA2849">
        <w:t>, and that in</w:t>
      </w:r>
      <w:r w:rsidR="00835AA2" w:rsidRPr="00AA2849">
        <w:t xml:space="preserve"> these areas</w:t>
      </w:r>
      <w:r w:rsidR="00B6472F">
        <w:t>,</w:t>
      </w:r>
      <w:r w:rsidR="004A1ABB" w:rsidRPr="00AA2849">
        <w:t xml:space="preserve"> </w:t>
      </w:r>
      <w:proofErr w:type="spellStart"/>
      <w:r w:rsidR="004A1ABB" w:rsidRPr="00AA2849">
        <w:t>NBN</w:t>
      </w:r>
      <w:proofErr w:type="spellEnd"/>
      <w:r w:rsidR="004A1ABB" w:rsidRPr="00AA2849">
        <w:t xml:space="preserve"> Co will </w:t>
      </w:r>
      <w:r w:rsidRPr="00AA2849">
        <w:t xml:space="preserve">essentially </w:t>
      </w:r>
      <w:r w:rsidR="004A1ABB" w:rsidRPr="00AA2849">
        <w:t xml:space="preserve">be the </w:t>
      </w:r>
      <w:r w:rsidR="007C4B23" w:rsidRPr="00AA2849">
        <w:t>wholesale voice infrastructure provide</w:t>
      </w:r>
      <w:r w:rsidR="00001956">
        <w:t>r</w:t>
      </w:r>
      <w:r w:rsidR="007C4B23" w:rsidRPr="00AA2849">
        <w:t xml:space="preserve">. We consider that, </w:t>
      </w:r>
      <w:r w:rsidR="00040697">
        <w:t xml:space="preserve">as with </w:t>
      </w:r>
      <w:proofErr w:type="spellStart"/>
      <w:r w:rsidR="00B6472F">
        <w:t>NBN</w:t>
      </w:r>
      <w:proofErr w:type="spellEnd"/>
      <w:r w:rsidR="00B6472F">
        <w:t xml:space="preserve"> </w:t>
      </w:r>
      <w:r w:rsidR="007C4B23" w:rsidRPr="00AA2849">
        <w:t>broadband service</w:t>
      </w:r>
      <w:r w:rsidR="00B6472F">
        <w:t>s</w:t>
      </w:r>
      <w:r w:rsidR="007C4B23" w:rsidRPr="00AA2849">
        <w:t xml:space="preserve">, competition and </w:t>
      </w:r>
      <w:r w:rsidR="003936B8">
        <w:t xml:space="preserve">regulated </w:t>
      </w:r>
      <w:r w:rsidR="007C4B23" w:rsidRPr="00AA2849">
        <w:t>wholesale pricing will</w:t>
      </w:r>
      <w:r w:rsidR="007C4B23">
        <w:t xml:space="preserve"> </w:t>
      </w:r>
      <w:r w:rsidR="00A31E92">
        <w:t xml:space="preserve">ensure access to </w:t>
      </w:r>
      <w:r w:rsidR="007C4B23">
        <w:t>voice service</w:t>
      </w:r>
      <w:r w:rsidR="00A31E92">
        <w:t>s</w:t>
      </w:r>
      <w:r w:rsidR="007C4B23">
        <w:t xml:space="preserve"> </w:t>
      </w:r>
      <w:r w:rsidR="00A31E92">
        <w:t xml:space="preserve">is </w:t>
      </w:r>
      <w:r w:rsidR="007C4B23">
        <w:t>available to end</w:t>
      </w:r>
      <w:r w:rsidR="003936B8">
        <w:noBreakHyphen/>
      </w:r>
      <w:r w:rsidR="007C4B23">
        <w:t xml:space="preserve">users connected to the </w:t>
      </w:r>
      <w:proofErr w:type="spellStart"/>
      <w:r w:rsidR="007C4B23">
        <w:t>NBN</w:t>
      </w:r>
      <w:proofErr w:type="spellEnd"/>
      <w:r w:rsidR="00EF1CA9">
        <w:t xml:space="preserve"> from a number of potential service providers</w:t>
      </w:r>
      <w:r w:rsidR="007C4B23">
        <w:t xml:space="preserve">. Therefore, we consider that the current requirement on Telstra to act as the retail service provider of last resort to provide standard telephone services on request over the </w:t>
      </w:r>
      <w:proofErr w:type="spellStart"/>
      <w:r w:rsidR="007C4B23">
        <w:t>NBN</w:t>
      </w:r>
      <w:proofErr w:type="spellEnd"/>
      <w:r w:rsidR="007C4B23">
        <w:t xml:space="preserve"> fixed line network is unnecessary.</w:t>
      </w:r>
      <w:r w:rsidR="007C4B23">
        <w:rPr>
          <w:rStyle w:val="FootnoteReference"/>
        </w:rPr>
        <w:footnoteReference w:id="11"/>
      </w:r>
      <w:r w:rsidR="007C4B23">
        <w:t xml:space="preserve"> </w:t>
      </w:r>
    </w:p>
    <w:p w14:paraId="2B8B5FF7" w14:textId="77777777" w:rsidR="007961CC" w:rsidRDefault="00FF3724" w:rsidP="009102B6">
      <w:pPr>
        <w:rPr>
          <w:i/>
        </w:rPr>
      </w:pPr>
      <w:r>
        <w:rPr>
          <w:i/>
        </w:rPr>
        <w:t xml:space="preserve">Outside the </w:t>
      </w:r>
      <w:proofErr w:type="spellStart"/>
      <w:r>
        <w:rPr>
          <w:i/>
        </w:rPr>
        <w:t>NBN</w:t>
      </w:r>
      <w:proofErr w:type="spellEnd"/>
      <w:r>
        <w:rPr>
          <w:i/>
        </w:rPr>
        <w:t xml:space="preserve"> fixed line footprint</w:t>
      </w:r>
    </w:p>
    <w:p w14:paraId="2B8B5FF8" w14:textId="77777777" w:rsidR="00A015DD" w:rsidRDefault="00A015DD" w:rsidP="009102B6">
      <w:r>
        <w:t>As noted previously,</w:t>
      </w:r>
      <w:r w:rsidR="00EF1CA9">
        <w:t xml:space="preserve"> current</w:t>
      </w:r>
      <w:r>
        <w:t xml:space="preserve">ly </w:t>
      </w:r>
      <w:r w:rsidR="00983F78">
        <w:t>Telstra</w:t>
      </w:r>
      <w:r>
        <w:t xml:space="preserve"> has a</w:t>
      </w:r>
      <w:r w:rsidR="00023397">
        <w:t xml:space="preserve">n </w:t>
      </w:r>
      <w:r>
        <w:t>obligation</w:t>
      </w:r>
      <w:r w:rsidR="00983F78">
        <w:t xml:space="preserve"> </w:t>
      </w:r>
      <w:r w:rsidR="00023397">
        <w:t xml:space="preserve">under the </w:t>
      </w:r>
      <w:proofErr w:type="spellStart"/>
      <w:r w:rsidR="00023397">
        <w:t>TUSOP</w:t>
      </w:r>
      <w:proofErr w:type="spellEnd"/>
      <w:r w:rsidR="00023397">
        <w:t xml:space="preserve"> </w:t>
      </w:r>
      <w:r w:rsidR="00750D5A">
        <w:t>A</w:t>
      </w:r>
      <w:r w:rsidR="00023397">
        <w:t xml:space="preserve">greement </w:t>
      </w:r>
      <w:r w:rsidR="00983F78">
        <w:t xml:space="preserve">to </w:t>
      </w:r>
      <w:r w:rsidR="00ED16EA">
        <w:t xml:space="preserve">continue to </w:t>
      </w:r>
      <w:r w:rsidR="00983F78">
        <w:t xml:space="preserve">operate its copper network outside of the </w:t>
      </w:r>
      <w:proofErr w:type="spellStart"/>
      <w:r w:rsidR="00983F78">
        <w:t>NBN</w:t>
      </w:r>
      <w:proofErr w:type="spellEnd"/>
      <w:r w:rsidR="00983F78">
        <w:t xml:space="preserve"> footprint </w:t>
      </w:r>
      <w:r w:rsidR="00ED16EA">
        <w:t xml:space="preserve">and </w:t>
      </w:r>
      <w:r w:rsidR="00983F78">
        <w:t xml:space="preserve">to provide </w:t>
      </w:r>
      <w:r w:rsidR="00EF1CA9">
        <w:t>standard telephone service</w:t>
      </w:r>
      <w:r w:rsidR="001B59FB">
        <w:t>s</w:t>
      </w:r>
      <w:r w:rsidR="00983F78">
        <w:t xml:space="preserve"> using this network</w:t>
      </w:r>
      <w:r>
        <w:t>.</w:t>
      </w:r>
      <w:r w:rsidR="00ED16EA">
        <w:t xml:space="preserve"> </w:t>
      </w:r>
      <w:r>
        <w:t>We do not consider that</w:t>
      </w:r>
      <w:r w:rsidR="003936B8">
        <w:t xml:space="preserve"> this aspect of the </w:t>
      </w:r>
      <w:proofErr w:type="spellStart"/>
      <w:r w:rsidR="003936B8">
        <w:t>TUS</w:t>
      </w:r>
      <w:r w:rsidR="00750D5A">
        <w:t>O</w:t>
      </w:r>
      <w:r w:rsidR="003936B8">
        <w:t>P</w:t>
      </w:r>
      <w:proofErr w:type="spellEnd"/>
      <w:r w:rsidR="00750D5A">
        <w:t xml:space="preserve"> Agreement promotes competition or efficiencies</w:t>
      </w:r>
      <w:r>
        <w:t>.</w:t>
      </w:r>
    </w:p>
    <w:p w14:paraId="2B8B5FF9" w14:textId="77777777" w:rsidR="00983F78" w:rsidRDefault="00A015DD" w:rsidP="009102B6">
      <w:r>
        <w:t xml:space="preserve">If </w:t>
      </w:r>
      <w:proofErr w:type="spellStart"/>
      <w:r>
        <w:t>NBN</w:t>
      </w:r>
      <w:proofErr w:type="spellEnd"/>
      <w:r w:rsidR="00BA0568">
        <w:t xml:space="preserve"> </w:t>
      </w:r>
      <w:proofErr w:type="spellStart"/>
      <w:r w:rsidR="00BA0568">
        <w:t>Co’s</w:t>
      </w:r>
      <w:proofErr w:type="spellEnd"/>
      <w:r>
        <w:t xml:space="preserve"> fixed wireless and satellite network</w:t>
      </w:r>
      <w:r w:rsidR="00BA0568">
        <w:t>s</w:t>
      </w:r>
      <w:r>
        <w:t xml:space="preserve"> can provide voice services of comparable quality to voice services on the </w:t>
      </w:r>
      <w:proofErr w:type="spellStart"/>
      <w:r>
        <w:t>NBN</w:t>
      </w:r>
      <w:proofErr w:type="spellEnd"/>
      <w:r>
        <w:t xml:space="preserve"> fixed line networks there would be no need to have a universal </w:t>
      </w:r>
      <w:r w:rsidR="00BA0568">
        <w:t xml:space="preserve">voice </w:t>
      </w:r>
      <w:r>
        <w:t>service provider in these</w:t>
      </w:r>
      <w:r w:rsidR="00023397">
        <w:t xml:space="preserve"> areas</w:t>
      </w:r>
      <w:r>
        <w:t xml:space="preserve">. </w:t>
      </w:r>
      <w:r w:rsidR="003936B8">
        <w:t>S</w:t>
      </w:r>
      <w:r>
        <w:t xml:space="preserve">imilar to the circumstances inside the </w:t>
      </w:r>
      <w:proofErr w:type="spellStart"/>
      <w:r>
        <w:t>NBN</w:t>
      </w:r>
      <w:proofErr w:type="spellEnd"/>
      <w:r>
        <w:t xml:space="preserve"> fixed line footprint, we consider that competition over the </w:t>
      </w:r>
      <w:proofErr w:type="spellStart"/>
      <w:r>
        <w:t>NBN</w:t>
      </w:r>
      <w:proofErr w:type="spellEnd"/>
      <w:r>
        <w:t xml:space="preserve"> and wholesale pricing regulation is likely to ensure access to voice services for consumers living outside the fixed line footprint.</w:t>
      </w:r>
      <w:r w:rsidR="00983F78">
        <w:t xml:space="preserve"> </w:t>
      </w:r>
      <w:r w:rsidR="003936B8">
        <w:t xml:space="preserve">Therefore, if voice services offered on </w:t>
      </w:r>
      <w:proofErr w:type="spellStart"/>
      <w:r w:rsidR="003936B8">
        <w:t>NBN</w:t>
      </w:r>
      <w:proofErr w:type="spellEnd"/>
      <w:r w:rsidR="003936B8">
        <w:t xml:space="preserve"> </w:t>
      </w:r>
      <w:proofErr w:type="spellStart"/>
      <w:r w:rsidR="003936B8">
        <w:t>Co’s</w:t>
      </w:r>
      <w:proofErr w:type="spellEnd"/>
      <w:r w:rsidR="003936B8">
        <w:t xml:space="preserve"> wireless and satellite network </w:t>
      </w:r>
      <w:r w:rsidR="00023397">
        <w:t>are of an adequate quality to meet end-users</w:t>
      </w:r>
      <w:r w:rsidR="00BA0568">
        <w:t>’</w:t>
      </w:r>
      <w:r w:rsidR="00023397">
        <w:t xml:space="preserve"> needs (for example, they are of a similar quality to the fixed voice services)</w:t>
      </w:r>
      <w:r w:rsidR="00E80314">
        <w:t xml:space="preserve">, we consider that the current obligation on Telstra to provide a </w:t>
      </w:r>
      <w:r w:rsidR="005C1B1B">
        <w:t xml:space="preserve">standard telephone service </w:t>
      </w:r>
      <w:r w:rsidR="00E80314">
        <w:t>over its copper network outside of the fixed line footprint should be removed.</w:t>
      </w:r>
    </w:p>
    <w:p w14:paraId="2B8B5FFA" w14:textId="77777777" w:rsidR="00ED16EA" w:rsidRDefault="007961CC" w:rsidP="00983F78">
      <w:r w:rsidRPr="00023397">
        <w:t xml:space="preserve">However, we </w:t>
      </w:r>
      <w:r w:rsidR="00983F78" w:rsidRPr="00023397">
        <w:t xml:space="preserve">recognise </w:t>
      </w:r>
      <w:r w:rsidRPr="00023397">
        <w:t xml:space="preserve">that </w:t>
      </w:r>
      <w:r w:rsidR="0031544D" w:rsidRPr="00023397">
        <w:t>due to the</w:t>
      </w:r>
      <w:r w:rsidR="00B6472F" w:rsidRPr="00023397">
        <w:t xml:space="preserve"> current</w:t>
      </w:r>
      <w:r w:rsidR="0031544D" w:rsidRPr="00023397">
        <w:t xml:space="preserve"> technology available</w:t>
      </w:r>
      <w:r w:rsidR="00B6472F" w:rsidRPr="00023397">
        <w:t>,</w:t>
      </w:r>
      <w:r w:rsidR="0031544D" w:rsidRPr="00023397">
        <w:t xml:space="preserve"> </w:t>
      </w:r>
      <w:r w:rsidR="00952430" w:rsidRPr="00023397">
        <w:t xml:space="preserve">voice services offered over the </w:t>
      </w:r>
      <w:proofErr w:type="spellStart"/>
      <w:r w:rsidR="00952430" w:rsidRPr="00023397">
        <w:t>NBN</w:t>
      </w:r>
      <w:proofErr w:type="spellEnd"/>
      <w:r w:rsidR="00952430" w:rsidRPr="00023397">
        <w:t xml:space="preserve"> outside of the fixed line footprint may </w:t>
      </w:r>
      <w:r w:rsidR="0031544D" w:rsidRPr="00023397">
        <w:t>be of a poorer quality than those on the fixed line network.</w:t>
      </w:r>
      <w:r w:rsidR="00051560" w:rsidRPr="00023397">
        <w:rPr>
          <w:rStyle w:val="FootnoteReference"/>
        </w:rPr>
        <w:footnoteReference w:id="12"/>
      </w:r>
      <w:r w:rsidR="00952430" w:rsidRPr="00023397">
        <w:t xml:space="preserve"> In particular we note that there may be </w:t>
      </w:r>
      <w:r w:rsidR="00BE415B" w:rsidRPr="00023397">
        <w:t>latency issues</w:t>
      </w:r>
      <w:r w:rsidR="00952430" w:rsidRPr="00023397">
        <w:t xml:space="preserve"> with a voice service provided using the </w:t>
      </w:r>
      <w:proofErr w:type="spellStart"/>
      <w:r w:rsidR="00952430" w:rsidRPr="00023397">
        <w:t>LTSS</w:t>
      </w:r>
      <w:proofErr w:type="spellEnd"/>
      <w:r w:rsidRPr="00023397">
        <w:t>.</w:t>
      </w:r>
      <w:r w:rsidR="00BE415B" w:rsidRPr="00023397">
        <w:rPr>
          <w:rStyle w:val="FootnoteReference"/>
        </w:rPr>
        <w:footnoteReference w:id="13"/>
      </w:r>
      <w:r w:rsidR="00BC22BA" w:rsidRPr="00023397">
        <w:t xml:space="preserve"> </w:t>
      </w:r>
      <w:r w:rsidR="005947BF" w:rsidRPr="00023397">
        <w:t xml:space="preserve">If this is the case, voice services </w:t>
      </w:r>
      <w:r w:rsidR="00952430" w:rsidRPr="00023397">
        <w:t xml:space="preserve">may need </w:t>
      </w:r>
      <w:r w:rsidR="005947BF" w:rsidRPr="00023397">
        <w:t xml:space="preserve">to be provided over other networks in the areas where the </w:t>
      </w:r>
      <w:proofErr w:type="spellStart"/>
      <w:r w:rsidR="005947BF" w:rsidRPr="00023397">
        <w:t>NBN</w:t>
      </w:r>
      <w:proofErr w:type="spellEnd"/>
      <w:r w:rsidR="005947BF" w:rsidRPr="00023397">
        <w:t xml:space="preserve"> cannot provide an adequate service.</w:t>
      </w:r>
      <w:r w:rsidR="005947BF">
        <w:t xml:space="preserve"> </w:t>
      </w:r>
    </w:p>
    <w:p w14:paraId="2B8B5FFB" w14:textId="77777777" w:rsidR="004A1ABB" w:rsidRDefault="00B6472F" w:rsidP="00983F78">
      <w:r>
        <w:t>In these circumstances</w:t>
      </w:r>
      <w:r w:rsidR="00983F78">
        <w:t>, w</w:t>
      </w:r>
      <w:r w:rsidR="00952430">
        <w:t xml:space="preserve">e consider that </w:t>
      </w:r>
      <w:r w:rsidR="005947BF">
        <w:t>rather than</w:t>
      </w:r>
      <w:r w:rsidR="00A572FB">
        <w:t xml:space="preserve"> placing an obligation on Telstra to provide a </w:t>
      </w:r>
      <w:r w:rsidR="003936B8">
        <w:t xml:space="preserve">standard telephone service </w:t>
      </w:r>
      <w:r w:rsidR="00A572FB">
        <w:t xml:space="preserve">over </w:t>
      </w:r>
      <w:r w:rsidR="00983F78">
        <w:t xml:space="preserve">its </w:t>
      </w:r>
      <w:r w:rsidR="00A572FB">
        <w:t>copper network</w:t>
      </w:r>
      <w:r w:rsidR="00983F78">
        <w:t xml:space="preserve"> in these areas</w:t>
      </w:r>
      <w:r w:rsidR="00A572FB">
        <w:t xml:space="preserve">, the </w:t>
      </w:r>
      <w:r w:rsidR="006C1218">
        <w:t>universal service</w:t>
      </w:r>
      <w:r w:rsidR="00A572FB">
        <w:t xml:space="preserve"> provider </w:t>
      </w:r>
      <w:r w:rsidR="00B831CD">
        <w:t>of voice services</w:t>
      </w:r>
      <w:r>
        <w:t xml:space="preserve"> in </w:t>
      </w:r>
      <w:r w:rsidR="003936B8">
        <w:t xml:space="preserve">these </w:t>
      </w:r>
      <w:r>
        <w:t>region</w:t>
      </w:r>
      <w:r w:rsidR="003936B8">
        <w:t>s</w:t>
      </w:r>
      <w:r>
        <w:t xml:space="preserve"> </w:t>
      </w:r>
      <w:r w:rsidR="00A572FB">
        <w:t xml:space="preserve">should be selected via a competitive process. </w:t>
      </w:r>
      <w:r w:rsidR="005947BF">
        <w:t xml:space="preserve"> </w:t>
      </w:r>
    </w:p>
    <w:p w14:paraId="2B8B5FFC" w14:textId="77777777" w:rsidR="005947BF" w:rsidRDefault="001F5B71" w:rsidP="005947BF">
      <w:r>
        <w:t>I</w:t>
      </w:r>
      <w:r w:rsidR="005947BF">
        <w:t>f</w:t>
      </w:r>
      <w:r>
        <w:t>, however, the current arrangements mean that</w:t>
      </w:r>
      <w:r w:rsidR="005947BF">
        <w:t xml:space="preserve"> Telstra </w:t>
      </w:r>
      <w:r>
        <w:t xml:space="preserve">is to </w:t>
      </w:r>
      <w:r w:rsidR="005947BF">
        <w:t>remain the service provider of last resort of voice services outside of the fixed line footprint, we think that the arrangements for determining the subsidy to Telstra</w:t>
      </w:r>
      <w:r>
        <w:t xml:space="preserve"> to provide these services</w:t>
      </w:r>
      <w:r w:rsidR="005947BF">
        <w:t xml:space="preserve"> could be improved. </w:t>
      </w:r>
      <w:r w:rsidR="00624DF2">
        <w:t xml:space="preserve">Currently, </w:t>
      </w:r>
      <w:r w:rsidR="005F2B61">
        <w:t>the</w:t>
      </w:r>
      <w:r w:rsidR="00667280">
        <w:t xml:space="preserve"> </w:t>
      </w:r>
      <w:proofErr w:type="spellStart"/>
      <w:r w:rsidR="00667280">
        <w:t>USO</w:t>
      </w:r>
      <w:proofErr w:type="spellEnd"/>
      <w:r w:rsidR="00667280">
        <w:t xml:space="preserve"> funding that Telstra receives is set out in </w:t>
      </w:r>
      <w:r w:rsidR="00D63347">
        <w:t xml:space="preserve">the </w:t>
      </w:r>
      <w:proofErr w:type="spellStart"/>
      <w:r w:rsidR="00B05382">
        <w:t>TUSOP</w:t>
      </w:r>
      <w:proofErr w:type="spellEnd"/>
      <w:r w:rsidR="00667280">
        <w:t xml:space="preserve"> Agreement and is based on costing estimates </w:t>
      </w:r>
      <w:r w:rsidR="00667280">
        <w:lastRenderedPageBreak/>
        <w:t>made in 2011. We consider that</w:t>
      </w:r>
      <w:r w:rsidR="00B05382">
        <w:t xml:space="preserve"> if it is possible to modify the curren</w:t>
      </w:r>
      <w:r w:rsidR="009D78F0">
        <w:t xml:space="preserve">t arrangements under the </w:t>
      </w:r>
      <w:proofErr w:type="spellStart"/>
      <w:r w:rsidR="009D78F0">
        <w:t>TUSOP</w:t>
      </w:r>
      <w:proofErr w:type="spellEnd"/>
      <w:r w:rsidR="009D78F0">
        <w:t xml:space="preserve"> A</w:t>
      </w:r>
      <w:r w:rsidR="00B05382">
        <w:t xml:space="preserve">greement, </w:t>
      </w:r>
      <w:r w:rsidR="00667280">
        <w:t xml:space="preserve">it would be preferable that </w:t>
      </w:r>
      <w:r w:rsidR="00624DF2">
        <w:t xml:space="preserve">Telstra’s </w:t>
      </w:r>
      <w:proofErr w:type="spellStart"/>
      <w:r w:rsidR="00624DF2">
        <w:t>USO</w:t>
      </w:r>
      <w:proofErr w:type="spellEnd"/>
      <w:r w:rsidR="00624DF2">
        <w:t xml:space="preserve"> funding was </w:t>
      </w:r>
      <w:r w:rsidR="005947BF">
        <w:t xml:space="preserve">determined </w:t>
      </w:r>
      <w:r w:rsidR="009D78F0">
        <w:t xml:space="preserve">using </w:t>
      </w:r>
      <w:r w:rsidR="005947BF">
        <w:t xml:space="preserve">a transparent </w:t>
      </w:r>
      <w:r w:rsidR="009D78F0">
        <w:t xml:space="preserve">method </w:t>
      </w:r>
      <w:r>
        <w:t xml:space="preserve">and </w:t>
      </w:r>
      <w:r w:rsidR="005947BF">
        <w:t>based on a current estimate of the efficient costs of providing the n</w:t>
      </w:r>
      <w:r w:rsidR="00624DF2">
        <w:t xml:space="preserve">umber of </w:t>
      </w:r>
      <w:proofErr w:type="spellStart"/>
      <w:r w:rsidR="00624DF2">
        <w:t>USO</w:t>
      </w:r>
      <w:proofErr w:type="spellEnd"/>
      <w:r w:rsidR="00624DF2">
        <w:t xml:space="preserve"> services supplied.</w:t>
      </w:r>
      <w:r w:rsidR="006C1218">
        <w:t xml:space="preserve"> </w:t>
      </w:r>
    </w:p>
    <w:p w14:paraId="2B8B5FFD" w14:textId="77777777" w:rsidR="00B831CD" w:rsidRDefault="00B831CD" w:rsidP="005947BF">
      <w:r>
        <w:t xml:space="preserve">We have discussed issues around selecting a universal service provider, and funding arrangements for a universal service regime further below. </w:t>
      </w:r>
    </w:p>
    <w:p w14:paraId="2B8B5FFE" w14:textId="77777777" w:rsidR="00EC2AC0" w:rsidRDefault="00EC2AC0" w:rsidP="00EC2AC0">
      <w:pPr>
        <w:rPr>
          <w:b/>
          <w:i/>
        </w:rPr>
      </w:pPr>
      <w:r>
        <w:rPr>
          <w:b/>
          <w:i/>
        </w:rPr>
        <w:t>Affordability and accessibility – addressing the specific needs of consumers</w:t>
      </w:r>
    </w:p>
    <w:p w14:paraId="2B8B5FFF" w14:textId="77777777" w:rsidR="00EC2AC0" w:rsidRDefault="00CE0D05" w:rsidP="00EC2AC0">
      <w:r>
        <w:t xml:space="preserve">The </w:t>
      </w:r>
      <w:proofErr w:type="spellStart"/>
      <w:r>
        <w:t>ACCC</w:t>
      </w:r>
      <w:proofErr w:type="spellEnd"/>
      <w:r w:rsidR="00EC2AC0">
        <w:t xml:space="preserve"> support</w:t>
      </w:r>
      <w:r>
        <w:t>s</w:t>
      </w:r>
      <w:r w:rsidR="00EC2AC0">
        <w:t xml:space="preserve"> including </w:t>
      </w:r>
      <w:r>
        <w:t xml:space="preserve">additional </w:t>
      </w:r>
      <w:r w:rsidR="00EC2AC0">
        <w:t xml:space="preserve">measures in a </w:t>
      </w:r>
      <w:r>
        <w:t xml:space="preserve">universal service </w:t>
      </w:r>
      <w:r w:rsidR="00EC2AC0">
        <w:t>regime that are target</w:t>
      </w:r>
      <w:r w:rsidR="001F5B71">
        <w:t>ed</w:t>
      </w:r>
      <w:r w:rsidR="00EC2AC0">
        <w:t xml:space="preserve"> towards meeting the specific needs of particular groups of consumers, such as those on low incomes, </w:t>
      </w:r>
      <w:r w:rsidR="00E80314">
        <w:t xml:space="preserve">some </w:t>
      </w:r>
      <w:r w:rsidR="00EC2AC0">
        <w:t xml:space="preserve">indigenous </w:t>
      </w:r>
      <w:r w:rsidR="001F5B71">
        <w:t>communities</w:t>
      </w:r>
      <w:r w:rsidR="00E80314">
        <w:t xml:space="preserve"> in regional and remote areas</w:t>
      </w:r>
      <w:r w:rsidR="00D63347">
        <w:t>,</w:t>
      </w:r>
      <w:r w:rsidR="00EC2AC0">
        <w:t xml:space="preserve"> and those with disabilities. Such measures will help to reinforce the </w:t>
      </w:r>
      <w:r w:rsidR="001F5B71">
        <w:t xml:space="preserve">social </w:t>
      </w:r>
      <w:r w:rsidR="00EC2AC0">
        <w:t xml:space="preserve">objectives of </w:t>
      </w:r>
      <w:r w:rsidR="003936B8">
        <w:t xml:space="preserve">a universal service regime </w:t>
      </w:r>
      <w:r w:rsidR="00EC2AC0">
        <w:t xml:space="preserve">by promoting digital inclusion in the Australian community. </w:t>
      </w:r>
    </w:p>
    <w:p w14:paraId="2B8B6000" w14:textId="77777777" w:rsidR="00EC2AC0" w:rsidRDefault="00EC2AC0" w:rsidP="00EC2AC0">
      <w:r>
        <w:t xml:space="preserve">The needs of consumers who may require assistance under a </w:t>
      </w:r>
      <w:proofErr w:type="spellStart"/>
      <w:r>
        <w:t>USO</w:t>
      </w:r>
      <w:proofErr w:type="spellEnd"/>
      <w:r>
        <w:t xml:space="preserve"> will be diverse. This means that policy interventions should be</w:t>
      </w:r>
      <w:r w:rsidR="003936B8">
        <w:t xml:space="preserve"> targeted, </w:t>
      </w:r>
      <w:r>
        <w:t xml:space="preserve">flexible and aimed at removing the obstacles that </w:t>
      </w:r>
      <w:r w:rsidR="001F5B71">
        <w:t>may</w:t>
      </w:r>
      <w:r>
        <w:t xml:space="preserve"> prevent consumers accessing and using telecommunications services. This may involve developing a mix of policies</w:t>
      </w:r>
      <w:r w:rsidR="00CA5C5F">
        <w:t xml:space="preserve"> and various </w:t>
      </w:r>
      <w:r>
        <w:t>practical measures.</w:t>
      </w:r>
      <w:r w:rsidR="00562F50">
        <w:t xml:space="preserve"> </w:t>
      </w:r>
    </w:p>
    <w:p w14:paraId="2B8B6001" w14:textId="77777777" w:rsidR="00657F07" w:rsidRDefault="00A331EB" w:rsidP="00EC2AC0">
      <w:r>
        <w:t>T</w:t>
      </w:r>
      <w:r w:rsidR="00321DD2">
        <w:t xml:space="preserve">here are currently measures </w:t>
      </w:r>
      <w:r>
        <w:t xml:space="preserve">in place that are </w:t>
      </w:r>
      <w:r w:rsidR="00321DD2">
        <w:t xml:space="preserve">aimed at helping low income consumers access telecommunications services. </w:t>
      </w:r>
      <w:r>
        <w:t>For example, i</w:t>
      </w:r>
      <w:r w:rsidR="007C0E08">
        <w:t xml:space="preserve">t is a condition of Telstra’s carrier licence </w:t>
      </w:r>
      <w:r w:rsidR="00321DD2">
        <w:t xml:space="preserve">to offer </w:t>
      </w:r>
      <w:r w:rsidR="00657F07">
        <w:t xml:space="preserve">a package of </w:t>
      </w:r>
      <w:r w:rsidR="00321DD2">
        <w:t xml:space="preserve">products and services to low income consumers </w:t>
      </w:r>
      <w:r w:rsidR="00657F07">
        <w:t>which has been endorsed by low-income consumer advocacy groups</w:t>
      </w:r>
      <w:r w:rsidR="007C0E08">
        <w:t>.</w:t>
      </w:r>
      <w:r w:rsidRPr="00A331EB">
        <w:rPr>
          <w:rStyle w:val="FootnoteReference"/>
        </w:rPr>
        <w:t xml:space="preserve"> </w:t>
      </w:r>
      <w:r>
        <w:rPr>
          <w:rStyle w:val="FootnoteReference"/>
        </w:rPr>
        <w:footnoteReference w:id="14"/>
      </w:r>
      <w:r w:rsidR="007C0E08">
        <w:t xml:space="preserve"> In addition, </w:t>
      </w:r>
      <w:r w:rsidR="00321DD2">
        <w:t>the government</w:t>
      </w:r>
      <w:r w:rsidR="007C0E08">
        <w:t xml:space="preserve"> provides assistance via the</w:t>
      </w:r>
      <w:r w:rsidR="00321DD2">
        <w:t xml:space="preserve"> Centrelink Telephone Allowance</w:t>
      </w:r>
      <w:r w:rsidR="00B95A4D">
        <w:t xml:space="preserve"> (CTA)</w:t>
      </w:r>
      <w:r w:rsidR="00321DD2">
        <w:t>.</w:t>
      </w:r>
      <w:r>
        <w:rPr>
          <w:rStyle w:val="FootnoteReference"/>
        </w:rPr>
        <w:footnoteReference w:id="15"/>
      </w:r>
      <w:r w:rsidR="00321DD2">
        <w:t xml:space="preserve"> </w:t>
      </w:r>
      <w:r w:rsidR="007C0E08">
        <w:t xml:space="preserve"> </w:t>
      </w:r>
    </w:p>
    <w:p w14:paraId="2B8B6002" w14:textId="77777777" w:rsidR="00EC2AC0" w:rsidRDefault="00562F50" w:rsidP="00EC2AC0">
      <w:r>
        <w:t>While s</w:t>
      </w:r>
      <w:r w:rsidR="00A331EB">
        <w:t xml:space="preserve">uch measures </w:t>
      </w:r>
      <w:r>
        <w:t xml:space="preserve">help to address </w:t>
      </w:r>
      <w:r w:rsidR="00A331EB">
        <w:t xml:space="preserve">important social objectives, </w:t>
      </w:r>
      <w:r>
        <w:t xml:space="preserve">they can also </w:t>
      </w:r>
      <w:r w:rsidR="005C1B1B">
        <w:t xml:space="preserve">have </w:t>
      </w:r>
      <w:r w:rsidR="00A331EB">
        <w:t xml:space="preserve">implications for competition. For example, </w:t>
      </w:r>
      <w:r w:rsidR="00657F07">
        <w:t xml:space="preserve">requiring a single </w:t>
      </w:r>
      <w:proofErr w:type="spellStart"/>
      <w:r w:rsidR="00657F07">
        <w:t>RSP</w:t>
      </w:r>
      <w:proofErr w:type="spellEnd"/>
      <w:r w:rsidR="00657F07">
        <w:t xml:space="preserve"> to provide basic services for low income consumers </w:t>
      </w:r>
      <w:r w:rsidR="00DC4B06">
        <w:t>can create market distortion</w:t>
      </w:r>
      <w:r>
        <w:t>.</w:t>
      </w:r>
      <w:r w:rsidR="00657F07">
        <w:t xml:space="preserve"> In contrast, </w:t>
      </w:r>
      <w:r w:rsidR="001F5B71">
        <w:t>demand side interventions</w:t>
      </w:r>
      <w:r w:rsidR="00B95A4D">
        <w:t xml:space="preserve"> </w:t>
      </w:r>
      <w:r w:rsidR="008B17F3">
        <w:t xml:space="preserve">which enable low-income consumers to choose </w:t>
      </w:r>
      <w:r w:rsidR="00DC4B06">
        <w:t xml:space="preserve">a plan from any </w:t>
      </w:r>
      <w:proofErr w:type="spellStart"/>
      <w:r w:rsidR="00DC4B06">
        <w:t>RSP</w:t>
      </w:r>
      <w:proofErr w:type="spellEnd"/>
      <w:r w:rsidR="00DC4B06">
        <w:t xml:space="preserve"> </w:t>
      </w:r>
      <w:r w:rsidR="00B95A4D">
        <w:t xml:space="preserve">based on their </w:t>
      </w:r>
      <w:r w:rsidR="008B17F3">
        <w:t xml:space="preserve">needs and </w:t>
      </w:r>
      <w:r w:rsidR="00B95A4D">
        <w:t xml:space="preserve">preferences </w:t>
      </w:r>
      <w:r w:rsidR="008B17F3">
        <w:t>may be less distortionary</w:t>
      </w:r>
      <w:r w:rsidR="00B95A4D">
        <w:t>.</w:t>
      </w:r>
    </w:p>
    <w:p w14:paraId="2B8B6003" w14:textId="77777777" w:rsidR="00EC2AC0" w:rsidRDefault="00EC2AC0" w:rsidP="00EC2AC0">
      <w:r>
        <w:t xml:space="preserve">Further, other innovative measures directed at encouraging more online engagement and use of essential services by groups of consumers, such as those on low incomes or in regional areas, could also be considered. For example, consumers in the low income group, those with disabilities or </w:t>
      </w:r>
      <w:r w:rsidR="003936B8">
        <w:t xml:space="preserve">those </w:t>
      </w:r>
      <w:r>
        <w:t>living in regional areas</w:t>
      </w:r>
      <w:r w:rsidR="003936B8">
        <w:t>,</w:t>
      </w:r>
      <w:r>
        <w:t xml:space="preserve"> may have an increased need to access government services, or to access these services online. Providing free or unmetered access to government services online is likely to help with accessibility and affordability issues faced by these consumers.</w:t>
      </w:r>
    </w:p>
    <w:p w14:paraId="2B8B6004" w14:textId="77777777" w:rsidR="00B831CD" w:rsidRPr="00EC2AC0" w:rsidRDefault="00EC2AC0" w:rsidP="001C4962">
      <w:pPr>
        <w:keepNext/>
        <w:rPr>
          <w:b/>
        </w:rPr>
      </w:pPr>
      <w:r>
        <w:rPr>
          <w:b/>
        </w:rPr>
        <w:t>OTHER ISSUES</w:t>
      </w:r>
    </w:p>
    <w:p w14:paraId="2B8B6005" w14:textId="77777777" w:rsidR="00304823" w:rsidRDefault="00EC2AC0" w:rsidP="005947BF">
      <w:r>
        <w:t xml:space="preserve">As we have discussed above, we consider that universal infrastructure provider requirements imposed on </w:t>
      </w:r>
      <w:proofErr w:type="spellStart"/>
      <w:r>
        <w:t>NBN</w:t>
      </w:r>
      <w:proofErr w:type="spellEnd"/>
      <w:r>
        <w:t xml:space="preserve"> C</w:t>
      </w:r>
      <w:r w:rsidR="00D63347">
        <w:t>o</w:t>
      </w:r>
      <w:r>
        <w:t xml:space="preserve"> and </w:t>
      </w:r>
      <w:r w:rsidR="003936B8">
        <w:t xml:space="preserve">regulated </w:t>
      </w:r>
      <w:r>
        <w:t>wholesale pricing will be sufficient to ensure that broadband,</w:t>
      </w:r>
      <w:r w:rsidR="003747D1">
        <w:t xml:space="preserve"> and </w:t>
      </w:r>
      <w:r w:rsidR="003747D1">
        <w:lastRenderedPageBreak/>
        <w:t xml:space="preserve">to some extent voice, </w:t>
      </w:r>
      <w:r>
        <w:t>services are available to all</w:t>
      </w:r>
      <w:r w:rsidR="003747D1">
        <w:t xml:space="preserve"> Australian premises</w:t>
      </w:r>
      <w:r w:rsidR="001153E5">
        <w:t xml:space="preserve">, especially within the </w:t>
      </w:r>
      <w:proofErr w:type="spellStart"/>
      <w:r w:rsidR="001153E5">
        <w:t>NBN</w:t>
      </w:r>
      <w:proofErr w:type="spellEnd"/>
      <w:r w:rsidR="001153E5">
        <w:t xml:space="preserve"> fixed line footprint</w:t>
      </w:r>
      <w:r w:rsidR="003747D1">
        <w:t>.</w:t>
      </w:r>
      <w:r w:rsidR="00304823">
        <w:rPr>
          <w:rStyle w:val="FootnoteReference"/>
          <w:rFonts w:ascii="Calibri" w:hAnsi="Calibri"/>
        </w:rPr>
        <w:footnoteReference w:id="16"/>
      </w:r>
      <w:r w:rsidR="00304823">
        <w:t xml:space="preserve"> </w:t>
      </w:r>
    </w:p>
    <w:p w14:paraId="2B8B6006" w14:textId="77777777" w:rsidR="001F5B71" w:rsidRDefault="00EC2AC0" w:rsidP="005947BF">
      <w:r>
        <w:t>However, depending on the exact form of any new universal service framework, there may be a need to selec</w:t>
      </w:r>
      <w:r w:rsidR="00CC25C1">
        <w:t xml:space="preserve">t a universal service provider, such as where a </w:t>
      </w:r>
      <w:proofErr w:type="spellStart"/>
      <w:r w:rsidR="00CC25C1">
        <w:t>RSP</w:t>
      </w:r>
      <w:proofErr w:type="spellEnd"/>
      <w:r w:rsidR="00CC25C1">
        <w:t xml:space="preserve"> of last resort is required </w:t>
      </w:r>
      <w:r w:rsidR="001F5B71">
        <w:t xml:space="preserve">in a particular area </w:t>
      </w:r>
      <w:r w:rsidR="00C61081">
        <w:t>(e.g.</w:t>
      </w:r>
      <w:r w:rsidR="001F5B71">
        <w:t xml:space="preserve"> outside the </w:t>
      </w:r>
      <w:proofErr w:type="spellStart"/>
      <w:r w:rsidR="001F5B71">
        <w:t>NBN</w:t>
      </w:r>
      <w:proofErr w:type="spellEnd"/>
      <w:r w:rsidR="001F5B71">
        <w:t xml:space="preserve"> fixed line footprint</w:t>
      </w:r>
      <w:r w:rsidR="00C61081">
        <w:t>)</w:t>
      </w:r>
      <w:r w:rsidR="001F5B71">
        <w:t xml:space="preserve">, </w:t>
      </w:r>
      <w:r w:rsidR="00CC25C1">
        <w:t>or an alternative network</w:t>
      </w:r>
      <w:r w:rsidR="001F5B71">
        <w:t xml:space="preserve"> is</w:t>
      </w:r>
      <w:r w:rsidR="00CC25C1">
        <w:t xml:space="preserve"> used to provide </w:t>
      </w:r>
      <w:r w:rsidR="00C61081">
        <w:t xml:space="preserve">universal </w:t>
      </w:r>
      <w:r w:rsidR="00CC25C1">
        <w:t>voice services</w:t>
      </w:r>
      <w:r>
        <w:t>.</w:t>
      </w:r>
      <w:r w:rsidR="00C61081">
        <w:t xml:space="preserve"> Further, there may also be a need to determine universal service subsidies. </w:t>
      </w:r>
      <w:r w:rsidR="001153E5">
        <w:t>In these cases, we believe that consideration should be given to incorporating mechanisms within the framework that promote competition and economic efficiency within the market. We have suggested some mechanisms below.</w:t>
      </w:r>
    </w:p>
    <w:p w14:paraId="2B8B6007" w14:textId="77777777" w:rsidR="00EC2AC0" w:rsidRPr="00EC2AC0" w:rsidRDefault="00304823" w:rsidP="005947BF">
      <w:r>
        <w:t xml:space="preserve">Further, we note that the </w:t>
      </w:r>
      <w:r w:rsidR="00C61081">
        <w:t>Issue</w:t>
      </w:r>
      <w:r w:rsidR="007A0018">
        <w:t>s</w:t>
      </w:r>
      <w:r w:rsidR="00C61081">
        <w:t xml:space="preserve"> Paper has</w:t>
      </w:r>
      <w:r>
        <w:t xml:space="preserve"> sought views on </w:t>
      </w:r>
      <w:r w:rsidR="00CC25C1">
        <w:t>current telecommunications consumer protections</w:t>
      </w:r>
      <w:r>
        <w:t xml:space="preserve">. </w:t>
      </w:r>
      <w:r w:rsidR="00CC25C1">
        <w:t>W</w:t>
      </w:r>
      <w:r w:rsidR="003747D1">
        <w:t xml:space="preserve">e have </w:t>
      </w:r>
      <w:r w:rsidR="001153E5">
        <w:t xml:space="preserve">also </w:t>
      </w:r>
      <w:r w:rsidR="003747D1">
        <w:t>set out our views</w:t>
      </w:r>
      <w:r w:rsidR="00EC2AC0">
        <w:t xml:space="preserve"> </w:t>
      </w:r>
      <w:r w:rsidR="003747D1">
        <w:t xml:space="preserve">on these issues below. </w:t>
      </w:r>
    </w:p>
    <w:p w14:paraId="2B8B6008" w14:textId="77777777" w:rsidR="00624DF2" w:rsidRPr="00900583" w:rsidRDefault="00624DF2" w:rsidP="005947BF">
      <w:pPr>
        <w:rPr>
          <w:b/>
          <w:i/>
        </w:rPr>
      </w:pPr>
      <w:r w:rsidRPr="00900583">
        <w:rPr>
          <w:b/>
          <w:i/>
        </w:rPr>
        <w:t xml:space="preserve">Selecting a </w:t>
      </w:r>
      <w:r w:rsidR="006C1218">
        <w:rPr>
          <w:b/>
          <w:i/>
        </w:rPr>
        <w:t>universal service</w:t>
      </w:r>
      <w:r w:rsidRPr="00900583">
        <w:rPr>
          <w:b/>
          <w:i/>
        </w:rPr>
        <w:t xml:space="preserve"> provider</w:t>
      </w:r>
    </w:p>
    <w:p w14:paraId="2B8B6009" w14:textId="77777777" w:rsidR="00167531" w:rsidRDefault="003747D1" w:rsidP="00A572FB">
      <w:r>
        <w:t xml:space="preserve">The </w:t>
      </w:r>
      <w:proofErr w:type="spellStart"/>
      <w:r>
        <w:t>ACCC</w:t>
      </w:r>
      <w:proofErr w:type="spellEnd"/>
      <w:r>
        <w:t xml:space="preserve"> </w:t>
      </w:r>
      <w:r w:rsidR="00167531">
        <w:t>consider</w:t>
      </w:r>
      <w:r w:rsidR="007560CA">
        <w:t>s</w:t>
      </w:r>
      <w:r w:rsidR="00167531">
        <w:t xml:space="preserve"> that any </w:t>
      </w:r>
      <w:r w:rsidR="006C1218">
        <w:t>universal service</w:t>
      </w:r>
      <w:r>
        <w:t xml:space="preserve"> provider </w:t>
      </w:r>
      <w:r w:rsidR="00167531">
        <w:t xml:space="preserve">should be </w:t>
      </w:r>
      <w:r w:rsidR="001153E5">
        <w:t xml:space="preserve">selected </w:t>
      </w:r>
      <w:r w:rsidR="00167531">
        <w:t>using a competitive process</w:t>
      </w:r>
      <w:r w:rsidR="00304823">
        <w:t>, rather than simply designating a provider</w:t>
      </w:r>
      <w:r w:rsidR="005F2B61">
        <w:t>. This</w:t>
      </w:r>
      <w:r w:rsidR="00D87B9B">
        <w:t xml:space="preserve"> will help to </w:t>
      </w:r>
      <w:r w:rsidR="001153E5">
        <w:t xml:space="preserve">better </w:t>
      </w:r>
      <w:r w:rsidR="00D87B9B">
        <w:t>promote competition and economically efficient outcomes</w:t>
      </w:r>
      <w:r w:rsidR="006D79AE">
        <w:t xml:space="preserve">. </w:t>
      </w:r>
    </w:p>
    <w:p w14:paraId="2B8B600A" w14:textId="77777777" w:rsidR="00B05382" w:rsidRDefault="00DC22CA" w:rsidP="00A572FB">
      <w:r>
        <w:t>For example, t</w:t>
      </w:r>
      <w:r w:rsidR="00E650F9">
        <w:t xml:space="preserve">he </w:t>
      </w:r>
      <w:proofErr w:type="spellStart"/>
      <w:r w:rsidR="00E650F9">
        <w:t>ACCC</w:t>
      </w:r>
      <w:proofErr w:type="spellEnd"/>
      <w:r w:rsidR="00E650F9">
        <w:t xml:space="preserve"> considers that designating</w:t>
      </w:r>
      <w:r w:rsidR="00035C97">
        <w:t xml:space="preserve"> Telstra </w:t>
      </w:r>
      <w:r w:rsidR="00E650F9">
        <w:t xml:space="preserve">as the single </w:t>
      </w:r>
      <w:proofErr w:type="spellStart"/>
      <w:r w:rsidR="00E650F9">
        <w:t>USO</w:t>
      </w:r>
      <w:proofErr w:type="spellEnd"/>
      <w:r w:rsidR="00E650F9">
        <w:t xml:space="preserve"> </w:t>
      </w:r>
      <w:r w:rsidR="00C61081">
        <w:t xml:space="preserve">provider </w:t>
      </w:r>
      <w:r w:rsidR="00167531">
        <w:t xml:space="preserve">may have </w:t>
      </w:r>
      <w:r w:rsidR="00566F7D">
        <w:t xml:space="preserve">adversely affected competition </w:t>
      </w:r>
      <w:r w:rsidR="001153E5">
        <w:t xml:space="preserve">in </w:t>
      </w:r>
      <w:r w:rsidR="00035C97">
        <w:t xml:space="preserve">communications markets </w:t>
      </w:r>
      <w:r w:rsidR="00566F7D">
        <w:t xml:space="preserve">and </w:t>
      </w:r>
      <w:r w:rsidR="00035C97">
        <w:t xml:space="preserve">resulted in inefficient investment in legacy technology. </w:t>
      </w:r>
      <w:r w:rsidR="00E650F9">
        <w:t xml:space="preserve">This regime has provided little incentive </w:t>
      </w:r>
      <w:r w:rsidR="00035C97">
        <w:t xml:space="preserve">for Telstra to reduce the costs of </w:t>
      </w:r>
      <w:r w:rsidR="00C61081">
        <w:t xml:space="preserve">providing services under the </w:t>
      </w:r>
      <w:proofErr w:type="spellStart"/>
      <w:r w:rsidR="00C61081">
        <w:t>USO</w:t>
      </w:r>
      <w:proofErr w:type="spellEnd"/>
      <w:r w:rsidR="00035C97">
        <w:t xml:space="preserve">. Further, it has </w:t>
      </w:r>
      <w:r w:rsidR="00E650F9">
        <w:t xml:space="preserve">provided Telstra </w:t>
      </w:r>
      <w:r w:rsidR="00051560">
        <w:t xml:space="preserve">with a degree of </w:t>
      </w:r>
      <w:r w:rsidR="00035C97">
        <w:t>competitive advantage</w:t>
      </w:r>
      <w:r w:rsidR="005F2B61">
        <w:t xml:space="preserve"> </w:t>
      </w:r>
      <w:r w:rsidR="00051560">
        <w:t>in terms of reputation</w:t>
      </w:r>
      <w:r w:rsidR="00C82463">
        <w:t xml:space="preserve"> and scale benefits from being the </w:t>
      </w:r>
      <w:r w:rsidR="006C1218">
        <w:t>universal service</w:t>
      </w:r>
      <w:r w:rsidR="00C82463">
        <w:t xml:space="preserve"> provider.  </w:t>
      </w:r>
    </w:p>
    <w:p w14:paraId="2B8B600B" w14:textId="77777777" w:rsidR="00167531" w:rsidRDefault="001153E5" w:rsidP="00A572FB">
      <w:r>
        <w:t xml:space="preserve">We acknowledge that there were a number of benefits to nominating the incumbent as the universal service provider when it provided the necessary infrastructure to deliver universal access. However, the development of infrastructure competition has meant that </w:t>
      </w:r>
      <w:r w:rsidR="00A275AE">
        <w:t xml:space="preserve">there is now more diverse infrastructure that can be used to provide universal services. </w:t>
      </w:r>
      <w:r>
        <w:t>As such, we consider that it is no longer necessary to rely on the incumbent to deliver such services.</w:t>
      </w:r>
    </w:p>
    <w:p w14:paraId="2B8B600C" w14:textId="77777777" w:rsidR="00576FC1" w:rsidRDefault="000476AC" w:rsidP="00576FC1">
      <w:r>
        <w:t>Instead</w:t>
      </w:r>
      <w:r w:rsidR="00895083">
        <w:t xml:space="preserve"> of such arrangements</w:t>
      </w:r>
      <w:r>
        <w:t xml:space="preserve">, the </w:t>
      </w:r>
      <w:proofErr w:type="spellStart"/>
      <w:r>
        <w:t>ACCC</w:t>
      </w:r>
      <w:proofErr w:type="spellEnd"/>
      <w:r>
        <w:t xml:space="preserve"> would support the</w:t>
      </w:r>
      <w:r w:rsidR="00D87B9B">
        <w:t xml:space="preserve"> use of </w:t>
      </w:r>
      <w:r w:rsidR="00090E7C">
        <w:t>market based,</w:t>
      </w:r>
      <w:r w:rsidR="00D87B9B">
        <w:t xml:space="preserve"> competitive processes</w:t>
      </w:r>
      <w:r w:rsidR="00090E7C">
        <w:t xml:space="preserve"> to </w:t>
      </w:r>
      <w:r w:rsidR="00C61081">
        <w:t>select</w:t>
      </w:r>
      <w:r w:rsidR="007C6D20">
        <w:t xml:space="preserve"> </w:t>
      </w:r>
      <w:r w:rsidR="00C61081">
        <w:t xml:space="preserve">a </w:t>
      </w:r>
      <w:r w:rsidR="006C1218">
        <w:t>universal service</w:t>
      </w:r>
      <w:r w:rsidR="00C61081">
        <w:t xml:space="preserve"> provider</w:t>
      </w:r>
      <w:r w:rsidR="00895083">
        <w:t xml:space="preserve"> where necessary under a new universal service regime</w:t>
      </w:r>
      <w:r w:rsidR="00090E7C">
        <w:t xml:space="preserve">. </w:t>
      </w:r>
      <w:r w:rsidR="00B05382">
        <w:t>Bidding under s</w:t>
      </w:r>
      <w:r>
        <w:t xml:space="preserve">uch </w:t>
      </w:r>
      <w:r w:rsidR="00B05382">
        <w:t xml:space="preserve">a process is likely to determine the efficient </w:t>
      </w:r>
      <w:r w:rsidR="00701EE5">
        <w:t xml:space="preserve">cost of providing the universal service. As such, a separate costing exercise to determine </w:t>
      </w:r>
      <w:r w:rsidR="00C61081">
        <w:t xml:space="preserve">a universal service </w:t>
      </w:r>
      <w:r w:rsidR="00701EE5">
        <w:t>subsidy needed may not be necessary.</w:t>
      </w:r>
      <w:r w:rsidR="00090E7C">
        <w:t xml:space="preserve"> A competitive process should also help to minimise the level of subsidy required by ensuring that universal service</w:t>
      </w:r>
      <w:r w:rsidR="00574A9B">
        <w:t xml:space="preserve"> </w:t>
      </w:r>
      <w:r w:rsidR="007C6D20">
        <w:t>is offered</w:t>
      </w:r>
      <w:r w:rsidR="00090E7C">
        <w:t xml:space="preserve"> over the most efficient network. Further, a competitive process will help to minimise the risk of any one </w:t>
      </w:r>
      <w:r w:rsidR="00A572FB">
        <w:t xml:space="preserve">provider </w:t>
      </w:r>
      <w:r w:rsidR="00090E7C">
        <w:t xml:space="preserve">gaining a </w:t>
      </w:r>
      <w:r w:rsidR="00A572FB">
        <w:t xml:space="preserve">competitive advantage from </w:t>
      </w:r>
      <w:r w:rsidR="00574A9B">
        <w:t>the allocation of funds to support the provision of universal services</w:t>
      </w:r>
      <w:r w:rsidR="00A572FB">
        <w:t xml:space="preserve">. </w:t>
      </w:r>
    </w:p>
    <w:p w14:paraId="2B8B600D" w14:textId="77777777" w:rsidR="00A572FB" w:rsidRDefault="00895083" w:rsidP="00576FC1">
      <w:r>
        <w:t xml:space="preserve">An example of such a process is </w:t>
      </w:r>
      <w:r w:rsidR="00A572FB" w:rsidRPr="007758FA">
        <w:t xml:space="preserve">competitive tendering. </w:t>
      </w:r>
      <w:r w:rsidR="00640D58">
        <w:t>W</w:t>
      </w:r>
      <w:r w:rsidR="00A572FB" w:rsidRPr="007758FA">
        <w:t xml:space="preserve">e note that </w:t>
      </w:r>
      <w:r w:rsidR="00900583">
        <w:t xml:space="preserve">the trial of the use of </w:t>
      </w:r>
      <w:r w:rsidR="00A572FB" w:rsidRPr="007758FA">
        <w:t xml:space="preserve">competitive tendering for </w:t>
      </w:r>
      <w:r w:rsidR="00C61081">
        <w:t xml:space="preserve">universal </w:t>
      </w:r>
      <w:r w:rsidR="00A572FB" w:rsidRPr="007758FA">
        <w:t xml:space="preserve">services </w:t>
      </w:r>
      <w:r w:rsidR="00900583">
        <w:t xml:space="preserve">in 2001 was unsuccessful, with no carriers participating. </w:t>
      </w:r>
      <w:r w:rsidR="00900583">
        <w:lastRenderedPageBreak/>
        <w:t xml:space="preserve">However, circumstances have changed significantly since this time, with greater infrastructure based competition and greater convergence of fixed and mobile services. </w:t>
      </w:r>
    </w:p>
    <w:p w14:paraId="2B8B600E" w14:textId="77777777" w:rsidR="00773F24" w:rsidRPr="00576FC1" w:rsidRDefault="00773F24" w:rsidP="00773F24">
      <w:pPr>
        <w:rPr>
          <w:b/>
          <w:i/>
        </w:rPr>
      </w:pPr>
      <w:r w:rsidRPr="00576FC1">
        <w:rPr>
          <w:b/>
          <w:i/>
        </w:rPr>
        <w:t xml:space="preserve">Funding the </w:t>
      </w:r>
      <w:proofErr w:type="spellStart"/>
      <w:r w:rsidRPr="00576FC1">
        <w:rPr>
          <w:b/>
          <w:i/>
        </w:rPr>
        <w:t>USO</w:t>
      </w:r>
      <w:proofErr w:type="spellEnd"/>
    </w:p>
    <w:p w14:paraId="2B8B600F" w14:textId="77777777" w:rsidR="00773F24" w:rsidRPr="00304823" w:rsidRDefault="007305F7" w:rsidP="00304823">
      <w:r>
        <w:t xml:space="preserve">The </w:t>
      </w:r>
      <w:proofErr w:type="spellStart"/>
      <w:r w:rsidR="005C1B1B">
        <w:t>ACCC</w:t>
      </w:r>
      <w:proofErr w:type="spellEnd"/>
      <w:r w:rsidR="005C1B1B">
        <w:t xml:space="preserve"> </w:t>
      </w:r>
      <w:r w:rsidR="00B05382">
        <w:t xml:space="preserve">has previously expressed the view that </w:t>
      </w:r>
      <w:r w:rsidR="00A275AE">
        <w:t>the most efficient funding model</w:t>
      </w:r>
      <w:r w:rsidR="006C1218">
        <w:t>s</w:t>
      </w:r>
      <w:r w:rsidR="00A275AE">
        <w:t>, or subsidies, are those that minimise market distortions and are targeted towards promoting specific and measurable pricing and service objectives.</w:t>
      </w:r>
      <w:r w:rsidR="00B05382">
        <w:rPr>
          <w:rStyle w:val="FootnoteReference"/>
        </w:rPr>
        <w:footnoteReference w:id="17"/>
      </w:r>
      <w:r w:rsidR="00A275AE">
        <w:t xml:space="preserve"> </w:t>
      </w:r>
      <w:r w:rsidR="00112AC8">
        <w:rPr>
          <w:rFonts w:ascii="Calibri" w:hAnsi="Calibri"/>
        </w:rPr>
        <w:t xml:space="preserve">We consider that </w:t>
      </w:r>
      <w:r w:rsidR="00C61081">
        <w:rPr>
          <w:rFonts w:ascii="Calibri" w:hAnsi="Calibri"/>
        </w:rPr>
        <w:t xml:space="preserve">the model used to determine funding for universal services </w:t>
      </w:r>
      <w:r w:rsidR="00112AC8">
        <w:rPr>
          <w:rFonts w:ascii="Calibri" w:hAnsi="Calibri"/>
        </w:rPr>
        <w:t xml:space="preserve">under a universal service regime should </w:t>
      </w:r>
      <w:r w:rsidR="00304823">
        <w:rPr>
          <w:rFonts w:ascii="Calibri" w:hAnsi="Calibri"/>
        </w:rPr>
        <w:t xml:space="preserve">aim to do this and </w:t>
      </w:r>
      <w:r w:rsidR="00C61081">
        <w:rPr>
          <w:rFonts w:ascii="Calibri" w:hAnsi="Calibri"/>
        </w:rPr>
        <w:t xml:space="preserve">to </w:t>
      </w:r>
      <w:r w:rsidR="00304823">
        <w:rPr>
          <w:rFonts w:ascii="Calibri" w:hAnsi="Calibri"/>
        </w:rPr>
        <w:t xml:space="preserve">promote </w:t>
      </w:r>
      <w:r w:rsidR="00773F24">
        <w:rPr>
          <w:rFonts w:ascii="Calibri" w:hAnsi="Calibri"/>
        </w:rPr>
        <w:t xml:space="preserve">principles of </w:t>
      </w:r>
      <w:r w:rsidR="00822455">
        <w:rPr>
          <w:rFonts w:ascii="Calibri" w:hAnsi="Calibri"/>
        </w:rPr>
        <w:t>transparency, economic efficiency</w:t>
      </w:r>
      <w:r w:rsidR="00773F24">
        <w:rPr>
          <w:rFonts w:ascii="Calibri" w:hAnsi="Calibri"/>
        </w:rPr>
        <w:t>, contestability, sustainability and equity.</w:t>
      </w:r>
    </w:p>
    <w:p w14:paraId="2B8B6010" w14:textId="77777777" w:rsidR="00B826B3" w:rsidRDefault="00686324" w:rsidP="00B826B3">
      <w:r>
        <w:t>As noted above,</w:t>
      </w:r>
      <w:r w:rsidR="002B5199">
        <w:t xml:space="preserve"> there </w:t>
      </w:r>
      <w:r>
        <w:t xml:space="preserve">may </w:t>
      </w:r>
      <w:r w:rsidR="002B5199">
        <w:t>not be a need to calculate a subsidy for the provision of universal services where a competitive process</w:t>
      </w:r>
      <w:r w:rsidR="00DB5503">
        <w:t>, such as tendering,</w:t>
      </w:r>
      <w:r w:rsidR="002B5199">
        <w:t xml:space="preserve"> is used to select a universal service provider because such processes will determine the efficient level of funding or subsidy. However, in cases where </w:t>
      </w:r>
      <w:r w:rsidR="0008499F">
        <w:t xml:space="preserve">funding </w:t>
      </w:r>
      <w:r w:rsidR="002B5199">
        <w:t xml:space="preserve">or </w:t>
      </w:r>
      <w:r w:rsidR="0008499F">
        <w:t>subsidies</w:t>
      </w:r>
      <w:r w:rsidR="002B5199">
        <w:t xml:space="preserve"> </w:t>
      </w:r>
      <w:r w:rsidR="0008499F">
        <w:t xml:space="preserve">do </w:t>
      </w:r>
      <w:r w:rsidR="00F26F55">
        <w:t>need to be determined</w:t>
      </w:r>
      <w:r w:rsidR="00822455">
        <w:t>,</w:t>
      </w:r>
      <w:r w:rsidR="002B5199">
        <w:t xml:space="preserve"> we consider that</w:t>
      </w:r>
      <w:r w:rsidR="00B826B3">
        <w:t xml:space="preserve"> </w:t>
      </w:r>
      <w:r w:rsidR="002B5199">
        <w:t>a comprehensive costing exercise should be undertaken</w:t>
      </w:r>
      <w:r w:rsidR="00F26F55">
        <w:t>,</w:t>
      </w:r>
      <w:r w:rsidR="002B5199">
        <w:t xml:space="preserve"> with industry consultation</w:t>
      </w:r>
      <w:r w:rsidR="0008499F">
        <w:t>,</w:t>
      </w:r>
      <w:r w:rsidR="002B5199">
        <w:t xml:space="preserve"> to determine the net cost </w:t>
      </w:r>
      <w:r w:rsidR="0008499F">
        <w:t xml:space="preserve">to the provider </w:t>
      </w:r>
      <w:r w:rsidR="002B5199">
        <w:t xml:space="preserve">of providing </w:t>
      </w:r>
      <w:r w:rsidR="0008499F">
        <w:t xml:space="preserve">the </w:t>
      </w:r>
      <w:r w:rsidR="00F26F55">
        <w:t xml:space="preserve">universal </w:t>
      </w:r>
      <w:r w:rsidR="002B5199">
        <w:t>services to consumers who it will not otherwise serve.</w:t>
      </w:r>
      <w:r w:rsidR="00B826B3">
        <w:t xml:space="preserve"> </w:t>
      </w:r>
    </w:p>
    <w:p w14:paraId="2B8B6011" w14:textId="77777777" w:rsidR="00773F24" w:rsidRDefault="00B826B3" w:rsidP="00773F24">
      <w:r>
        <w:t xml:space="preserve">Further, </w:t>
      </w:r>
      <w:r w:rsidR="005A05A6">
        <w:t>to</w:t>
      </w:r>
      <w:r w:rsidR="00773F24">
        <w:t xml:space="preserve"> promote </w:t>
      </w:r>
      <w:r w:rsidR="006C1218">
        <w:t xml:space="preserve">transparency and accountability, </w:t>
      </w:r>
      <w:r w:rsidR="00773F24">
        <w:t xml:space="preserve">record keeping </w:t>
      </w:r>
      <w:r w:rsidR="005A05A6">
        <w:t xml:space="preserve">requirements, which require details </w:t>
      </w:r>
      <w:r w:rsidR="0008499F">
        <w:t xml:space="preserve">about </w:t>
      </w:r>
      <w:r w:rsidR="00822455">
        <w:t>universal</w:t>
      </w:r>
      <w:r w:rsidR="00773F24">
        <w:t xml:space="preserve"> </w:t>
      </w:r>
      <w:r>
        <w:t xml:space="preserve">services </w:t>
      </w:r>
      <w:r w:rsidR="00773F24">
        <w:t>in various areas</w:t>
      </w:r>
      <w:r w:rsidR="0008499F">
        <w:t xml:space="preserve"> to </w:t>
      </w:r>
      <w:r>
        <w:t xml:space="preserve">be </w:t>
      </w:r>
      <w:r w:rsidR="005A05A6">
        <w:t>provided to the regulator</w:t>
      </w:r>
      <w:r w:rsidR="007A0018">
        <w:t>,</w:t>
      </w:r>
      <w:r w:rsidR="0008499F">
        <w:t xml:space="preserve"> should be introduced</w:t>
      </w:r>
      <w:r w:rsidR="005A05A6">
        <w:t>. This would assist in making</w:t>
      </w:r>
      <w:r w:rsidR="00773F24">
        <w:t xml:space="preserve"> periodic adjustments to </w:t>
      </w:r>
      <w:r w:rsidR="0008499F">
        <w:t xml:space="preserve">the </w:t>
      </w:r>
      <w:r w:rsidR="00773F24">
        <w:t xml:space="preserve">funding provided to the </w:t>
      </w:r>
      <w:r w:rsidR="0008499F">
        <w:t xml:space="preserve">universal service </w:t>
      </w:r>
      <w:r w:rsidR="00773F24">
        <w:t>provider</w:t>
      </w:r>
      <w:r w:rsidR="0008499F">
        <w:t xml:space="preserve">, so that </w:t>
      </w:r>
      <w:r w:rsidR="005608EE">
        <w:t xml:space="preserve">it </w:t>
      </w:r>
      <w:r w:rsidR="00773F24">
        <w:t>reflect</w:t>
      </w:r>
      <w:r w:rsidR="005608EE">
        <w:t>s</w:t>
      </w:r>
      <w:r w:rsidR="00773F24">
        <w:t xml:space="preserve"> the actual</w:t>
      </w:r>
      <w:r>
        <w:t xml:space="preserve"> cost incurred</w:t>
      </w:r>
      <w:r w:rsidR="005608EE">
        <w:t xml:space="preserve"> in providing universal services</w:t>
      </w:r>
      <w:r>
        <w:t xml:space="preserve">. </w:t>
      </w:r>
      <w:r w:rsidR="005A05A6">
        <w:t xml:space="preserve">Such arrangements will help </w:t>
      </w:r>
      <w:r w:rsidR="00773F24">
        <w:t xml:space="preserve">to ensure that the </w:t>
      </w:r>
      <w:r>
        <w:t xml:space="preserve">universal service </w:t>
      </w:r>
      <w:r w:rsidR="00773F24">
        <w:t xml:space="preserve">provider does not obtain any unfair advantage from the </w:t>
      </w:r>
      <w:r w:rsidR="005C1B1B">
        <w:t>universal service</w:t>
      </w:r>
      <w:r w:rsidR="00773F24">
        <w:t xml:space="preserve"> regime by being provided with more funds than it needs to fulfil </w:t>
      </w:r>
      <w:r w:rsidR="005608EE">
        <w:t>its obligations</w:t>
      </w:r>
      <w:r w:rsidR="00773F24">
        <w:t xml:space="preserve">. This </w:t>
      </w:r>
      <w:r w:rsidR="00377877">
        <w:t xml:space="preserve">information </w:t>
      </w:r>
      <w:r w:rsidR="00773F24">
        <w:t>will also be useful to ongoing assessment</w:t>
      </w:r>
      <w:r w:rsidR="00D63347">
        <w:t>s</w:t>
      </w:r>
      <w:r w:rsidR="00773F24">
        <w:t xml:space="preserve"> of the efficacy of the </w:t>
      </w:r>
      <w:r w:rsidR="005C1B1B">
        <w:t>universal service</w:t>
      </w:r>
      <w:r w:rsidR="00773F24">
        <w:t xml:space="preserve"> regime and future reviews.</w:t>
      </w:r>
    </w:p>
    <w:p w14:paraId="2B8B6012" w14:textId="77777777" w:rsidR="001A739D" w:rsidRDefault="00B826B3" w:rsidP="00773F24">
      <w:r>
        <w:t xml:space="preserve">Finally, the allocation of the cost of providing </w:t>
      </w:r>
      <w:r w:rsidR="005608EE">
        <w:t xml:space="preserve">universal </w:t>
      </w:r>
      <w:r>
        <w:t>services</w:t>
      </w:r>
      <w:r w:rsidR="005608EE">
        <w:t xml:space="preserve"> between taxpayers and industry</w:t>
      </w:r>
      <w:r>
        <w:t xml:space="preserve"> should be underpinned by principles of transparency, economic efficiency, contestability, sustainability and equity. </w:t>
      </w:r>
      <w:r w:rsidR="001A739D">
        <w:t xml:space="preserve">There are a number of ways that this can be achieved. </w:t>
      </w:r>
    </w:p>
    <w:p w14:paraId="2B8B6013" w14:textId="77777777" w:rsidR="00773F24" w:rsidRDefault="00686324" w:rsidP="00773F24">
      <w:r>
        <w:t>For instance</w:t>
      </w:r>
      <w:r w:rsidR="00773F24">
        <w:t xml:space="preserve">, a narrower funding base whereby only the </w:t>
      </w:r>
      <w:proofErr w:type="spellStart"/>
      <w:r w:rsidR="00773F24">
        <w:t>USO</w:t>
      </w:r>
      <w:proofErr w:type="spellEnd"/>
      <w:r w:rsidR="00773F24">
        <w:t xml:space="preserve"> provider and its competitors contribute to the cost of the </w:t>
      </w:r>
      <w:proofErr w:type="spellStart"/>
      <w:r w:rsidR="00773F24">
        <w:t>USO</w:t>
      </w:r>
      <w:proofErr w:type="spellEnd"/>
      <w:r w:rsidR="00773F24">
        <w:t xml:space="preserve"> is more likely to promote economic efficiency compare</w:t>
      </w:r>
      <w:r w:rsidR="00D63347">
        <w:t>d to broader industry based levies</w:t>
      </w:r>
      <w:r w:rsidR="00773F24">
        <w:t xml:space="preserve"> or general taxation</w:t>
      </w:r>
      <w:r w:rsidR="00E736D9">
        <w:t xml:space="preserve">. On the other hand, funding the </w:t>
      </w:r>
      <w:proofErr w:type="spellStart"/>
      <w:r w:rsidR="00E736D9">
        <w:t>USO</w:t>
      </w:r>
      <w:proofErr w:type="spellEnd"/>
      <w:r w:rsidR="00E736D9">
        <w:t xml:space="preserve"> through general revenue, such as taxation, </w:t>
      </w:r>
      <w:r w:rsidR="001C4962">
        <w:t xml:space="preserve">would have the effect of </w:t>
      </w:r>
      <w:r w:rsidR="00773F24">
        <w:t xml:space="preserve">higher income consumers </w:t>
      </w:r>
      <w:r w:rsidR="001C4962">
        <w:t xml:space="preserve">contributing </w:t>
      </w:r>
      <w:r w:rsidR="00773F24">
        <w:t>a greater share of the cost than lower income consumers.</w:t>
      </w:r>
      <w:r w:rsidR="00773F24">
        <w:rPr>
          <w:rStyle w:val="FootnoteReference"/>
        </w:rPr>
        <w:footnoteReference w:id="18"/>
      </w:r>
      <w:r w:rsidR="00773F24">
        <w:t xml:space="preserve"> </w:t>
      </w:r>
      <w:r>
        <w:t>These examples show that</w:t>
      </w:r>
      <w:r w:rsidR="00773F24">
        <w:t xml:space="preserve"> the extent to which each funding option promotes or adversely impacts on each of these principles will be important in considering which funding option is the most appropriate.</w:t>
      </w:r>
    </w:p>
    <w:p w14:paraId="2B8B6014" w14:textId="77777777" w:rsidR="008974BD" w:rsidRPr="00D73B3B" w:rsidRDefault="008974BD" w:rsidP="001A611A">
      <w:pPr>
        <w:keepNext/>
        <w:rPr>
          <w:b/>
          <w:i/>
        </w:rPr>
      </w:pPr>
      <w:r w:rsidRPr="00D73B3B">
        <w:rPr>
          <w:b/>
          <w:i/>
        </w:rPr>
        <w:t>Quality of service and other consumer safeguards</w:t>
      </w:r>
    </w:p>
    <w:p w14:paraId="2B8B6015" w14:textId="77777777" w:rsidR="00001644" w:rsidRDefault="008974BD" w:rsidP="008974BD">
      <w:r>
        <w:t xml:space="preserve">For a </w:t>
      </w:r>
      <w:proofErr w:type="spellStart"/>
      <w:r>
        <w:t>USO</w:t>
      </w:r>
      <w:proofErr w:type="spellEnd"/>
      <w:r>
        <w:t xml:space="preserve"> to be effective in meeting the needs of consumers, there should be a </w:t>
      </w:r>
      <w:r w:rsidR="00953E46">
        <w:t xml:space="preserve">guarantee </w:t>
      </w:r>
      <w:r>
        <w:t xml:space="preserve">that broadband and voice service are of a specified quality or standard. </w:t>
      </w:r>
      <w:r w:rsidR="00001644">
        <w:t xml:space="preserve">This will help to ensure that no </w:t>
      </w:r>
      <w:r w:rsidR="00001644">
        <w:lastRenderedPageBreak/>
        <w:t>matter their location</w:t>
      </w:r>
      <w:r w:rsidR="00E736D9">
        <w:t>,</w:t>
      </w:r>
      <w:r w:rsidR="00001644">
        <w:t xml:space="preserve"> consumers will be able to access services </w:t>
      </w:r>
      <w:r w:rsidR="001A611A">
        <w:t xml:space="preserve">that will, at a minimum, </w:t>
      </w:r>
      <w:r w:rsidR="00001644">
        <w:t xml:space="preserve">enable them to conduct essential communications and transactions. </w:t>
      </w:r>
    </w:p>
    <w:p w14:paraId="2B8B6016" w14:textId="77777777" w:rsidR="008974BD" w:rsidRDefault="00903CD5" w:rsidP="008974BD">
      <w:r>
        <w:t>N</w:t>
      </w:r>
      <w:r w:rsidR="004944B5">
        <w:t xml:space="preserve">o matter what level of service is determined appropriate, </w:t>
      </w:r>
      <w:r w:rsidR="00001644">
        <w:t xml:space="preserve">we consider that it is </w:t>
      </w:r>
      <w:r w:rsidR="00C20D3B">
        <w:t>important for a voice and broadband standard</w:t>
      </w:r>
      <w:r w:rsidR="00001644">
        <w:t xml:space="preserve"> to be clearly set out in any universal service regime</w:t>
      </w:r>
      <w:r w:rsidR="00D73B3B">
        <w:t>.</w:t>
      </w:r>
      <w:r w:rsidR="00A413ED">
        <w:t xml:space="preserve"> It is also important that consumers have access to objective information to help them assess whether the services they are getting conform to the required services standards.</w:t>
      </w:r>
      <w:r w:rsidR="00001644">
        <w:t xml:space="preserve"> Further, </w:t>
      </w:r>
      <w:r w:rsidR="008974BD">
        <w:t xml:space="preserve">in order for </w:t>
      </w:r>
      <w:r w:rsidR="005608EE">
        <w:t xml:space="preserve">a universal service regime </w:t>
      </w:r>
      <w:r w:rsidR="008974BD">
        <w:t xml:space="preserve">to remain relevant, any framework should </w:t>
      </w:r>
      <w:r w:rsidR="00001644">
        <w:t xml:space="preserve">include a process for periodically reviewing the </w:t>
      </w:r>
      <w:r w:rsidR="008974BD">
        <w:t>quality of service requirements.</w:t>
      </w:r>
    </w:p>
    <w:p w14:paraId="2B8B6017" w14:textId="77777777" w:rsidR="008974BD" w:rsidRDefault="008974BD" w:rsidP="008974BD">
      <w:r>
        <w:t xml:space="preserve">The </w:t>
      </w:r>
      <w:r w:rsidR="005608EE">
        <w:t xml:space="preserve">current </w:t>
      </w:r>
      <w:proofErr w:type="spellStart"/>
      <w:r>
        <w:t>USO</w:t>
      </w:r>
      <w:proofErr w:type="spellEnd"/>
      <w:r>
        <w:t xml:space="preserve"> forms part of the broader telecommunications consumer protection framework, which includes the Australian Consumer Law (ACL) and other protections provided for under the </w:t>
      </w:r>
      <w:r>
        <w:rPr>
          <w:i/>
        </w:rPr>
        <w:t xml:space="preserve">Telecommunications Act 1997 </w:t>
      </w:r>
      <w:r>
        <w:t>(such as the Customer Service Guarantee (</w:t>
      </w:r>
      <w:proofErr w:type="spellStart"/>
      <w:r>
        <w:t>CSG</w:t>
      </w:r>
      <w:proofErr w:type="spellEnd"/>
      <w:r>
        <w:t xml:space="preserve">) and the Telecommunications Consumer Protection Code). The </w:t>
      </w:r>
      <w:proofErr w:type="spellStart"/>
      <w:r>
        <w:t>ACCC</w:t>
      </w:r>
      <w:proofErr w:type="spellEnd"/>
      <w:r>
        <w:t xml:space="preserve"> considers that other consumer safeguards are also important to ensure that all consumers have access to telecommunications services of a minimum standard and reliability</w:t>
      </w:r>
      <w:r w:rsidR="005608EE">
        <w:t>,</w:t>
      </w:r>
      <w:r>
        <w:t xml:space="preserve"> and have appropriate redresses for </w:t>
      </w:r>
      <w:r w:rsidR="00E736D9">
        <w:t xml:space="preserve">when </w:t>
      </w:r>
      <w:r>
        <w:t>problems</w:t>
      </w:r>
      <w:r w:rsidR="00E736D9">
        <w:t xml:space="preserve"> arise</w:t>
      </w:r>
      <w:r>
        <w:t>.</w:t>
      </w:r>
    </w:p>
    <w:p w14:paraId="2B8B6018" w14:textId="77777777" w:rsidR="008974BD" w:rsidRDefault="008974BD" w:rsidP="008974BD">
      <w:r>
        <w:t xml:space="preserve">For instance, the </w:t>
      </w:r>
      <w:proofErr w:type="spellStart"/>
      <w:r>
        <w:t>ACCC</w:t>
      </w:r>
      <w:proofErr w:type="spellEnd"/>
      <w:r>
        <w:t xml:space="preserve"> considers that essential telecommunications services should be subject to minimum performance standards relating to connections, fault repairs and </w:t>
      </w:r>
      <w:r w:rsidRPr="00B8440F">
        <w:t>network reliability</w:t>
      </w:r>
      <w:r>
        <w:t xml:space="preserve">. We consider that some form of </w:t>
      </w:r>
      <w:proofErr w:type="spellStart"/>
      <w:r>
        <w:t>CSG</w:t>
      </w:r>
      <w:proofErr w:type="spellEnd"/>
      <w:r>
        <w:t xml:space="preserve"> scheme should continue to apply. It is important that consumers continue to be protected by clear performance standards and reducing or removing such protections may disproportionately impact vulnerable consumers and those in regional, rural and remote areas.</w:t>
      </w:r>
    </w:p>
    <w:p w14:paraId="2B8B6019" w14:textId="77777777" w:rsidR="008974BD" w:rsidRPr="00053418" w:rsidRDefault="008974BD" w:rsidP="008974BD">
      <w:r>
        <w:t>In</w:t>
      </w:r>
      <w:r w:rsidRPr="00B202F7">
        <w:t xml:space="preserve"> </w:t>
      </w:r>
      <w:r>
        <w:t xml:space="preserve">its </w:t>
      </w:r>
      <w:r w:rsidRPr="00B202F7">
        <w:t xml:space="preserve">response to the </w:t>
      </w:r>
      <w:r w:rsidR="00D63347">
        <w:t xml:space="preserve">2015 </w:t>
      </w:r>
      <w:r w:rsidRPr="00B202F7">
        <w:t xml:space="preserve">Regional Telecommunications </w:t>
      </w:r>
      <w:r w:rsidR="00D63347">
        <w:t>Review</w:t>
      </w:r>
      <w:r>
        <w:t xml:space="preserve">, the Government agreed that certain consumer safeguards relating to the </w:t>
      </w:r>
      <w:r w:rsidR="007A0018">
        <w:t>standard telephone service</w:t>
      </w:r>
      <w:r>
        <w:t xml:space="preserve"> (including the </w:t>
      </w:r>
      <w:proofErr w:type="spellStart"/>
      <w:r>
        <w:t>CSG</w:t>
      </w:r>
      <w:proofErr w:type="spellEnd"/>
      <w:r>
        <w:t xml:space="preserve">) are increasingly outdated. The Government undertook to conduct a separate review of the broader telecommunications consumer safeguards in parallel to this process. </w:t>
      </w:r>
      <w:r w:rsidR="00D63347">
        <w:t>T</w:t>
      </w:r>
      <w:r w:rsidR="00E736D9">
        <w:t xml:space="preserve">herefore </w:t>
      </w:r>
      <w:r w:rsidR="00D63347">
        <w:t xml:space="preserve">we have </w:t>
      </w:r>
      <w:r>
        <w:t xml:space="preserve">limited our comments about a future </w:t>
      </w:r>
      <w:proofErr w:type="spellStart"/>
      <w:r>
        <w:t>CSG</w:t>
      </w:r>
      <w:proofErr w:type="spellEnd"/>
      <w:r>
        <w:t xml:space="preserve"> and the effectiven</w:t>
      </w:r>
      <w:r w:rsidRPr="00AA2849">
        <w:t xml:space="preserve">ess of other consumer protections in this process, as it will be more appropriately considered in the </w:t>
      </w:r>
      <w:r>
        <w:t>review</w:t>
      </w:r>
      <w:r w:rsidR="00E736D9">
        <w:t xml:space="preserve"> of </w:t>
      </w:r>
      <w:r w:rsidR="00D63347">
        <w:t xml:space="preserve">telecommunications </w:t>
      </w:r>
      <w:r w:rsidR="00E736D9">
        <w:t xml:space="preserve">consumer </w:t>
      </w:r>
      <w:r w:rsidR="001E309E">
        <w:t>safeguards</w:t>
      </w:r>
      <w:r>
        <w:t xml:space="preserve">. </w:t>
      </w:r>
    </w:p>
    <w:p w14:paraId="2B8B601A" w14:textId="48D7D589" w:rsidR="00B93EF1" w:rsidRPr="00B93EF1" w:rsidRDefault="00B93EF1" w:rsidP="009102B6">
      <w:r>
        <w:t xml:space="preserve">The </w:t>
      </w:r>
      <w:proofErr w:type="spellStart"/>
      <w:r>
        <w:t>ACCC</w:t>
      </w:r>
      <w:proofErr w:type="spellEnd"/>
      <w:r>
        <w:t xml:space="preserve"> would appreciate the opportunity to further engage with you as you conduct the review of the </w:t>
      </w:r>
      <w:proofErr w:type="spellStart"/>
      <w:r>
        <w:t>USO</w:t>
      </w:r>
      <w:proofErr w:type="spellEnd"/>
      <w:r>
        <w:t xml:space="preserve">. If you have any questions about any of the issues raised in this </w:t>
      </w:r>
      <w:r w:rsidR="00BC5ACE">
        <w:t>s</w:t>
      </w:r>
      <w:r>
        <w:t>ubmission please contact Clare O’Reilly on (02) 9230 3854.</w:t>
      </w:r>
    </w:p>
    <w:sectPr w:rsidR="00B93EF1" w:rsidRPr="00B93EF1" w:rsidSect="00505811">
      <w:footerReference w:type="first" r:id="rId22"/>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8B601F" w14:textId="77777777" w:rsidR="00505811" w:rsidRDefault="00505811" w:rsidP="00CE7ADB">
      <w:pPr>
        <w:spacing w:after="0" w:line="240" w:lineRule="auto"/>
      </w:pPr>
      <w:r>
        <w:separator/>
      </w:r>
    </w:p>
  </w:endnote>
  <w:endnote w:type="continuationSeparator" w:id="0">
    <w:p w14:paraId="2B8B6020" w14:textId="77777777" w:rsidR="00505811" w:rsidRDefault="00505811" w:rsidP="00CE7A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8B6023" w14:textId="77777777" w:rsidR="00BC2AD6" w:rsidRDefault="00BC2AD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4208289"/>
      <w:docPartObj>
        <w:docPartGallery w:val="Page Numbers (Bottom of Page)"/>
        <w:docPartUnique/>
      </w:docPartObj>
    </w:sdtPr>
    <w:sdtEndPr>
      <w:rPr>
        <w:noProof/>
      </w:rPr>
    </w:sdtEndPr>
    <w:sdtContent>
      <w:p w14:paraId="2B8B6024" w14:textId="77777777" w:rsidR="00E545A8" w:rsidRDefault="00E545A8">
        <w:pPr>
          <w:pStyle w:val="Footer"/>
          <w:jc w:val="right"/>
        </w:pPr>
        <w:r>
          <w:fldChar w:fldCharType="begin"/>
        </w:r>
        <w:r>
          <w:instrText xml:space="preserve"> PAGE   \* MERGEFORMAT </w:instrText>
        </w:r>
        <w:r>
          <w:fldChar w:fldCharType="separate"/>
        </w:r>
        <w:r w:rsidR="00F41C71">
          <w:rPr>
            <w:noProof/>
          </w:rPr>
          <w:t>1</w:t>
        </w:r>
        <w:r>
          <w:rPr>
            <w:noProof/>
          </w:rPr>
          <w:fldChar w:fldCharType="end"/>
        </w:r>
      </w:p>
    </w:sdtContent>
  </w:sdt>
  <w:p w14:paraId="2B8B6025" w14:textId="77777777" w:rsidR="00E545A8" w:rsidRDefault="00E545A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8B6027" w14:textId="77777777" w:rsidR="00AD4376" w:rsidRDefault="00AD4376">
    <w:pPr>
      <w:pStyle w:val="Footer"/>
      <w:jc w:val="right"/>
    </w:pPr>
  </w:p>
  <w:p w14:paraId="2B8B6028" w14:textId="77777777" w:rsidR="00AD4376" w:rsidRDefault="00AD437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5950707"/>
      <w:docPartObj>
        <w:docPartGallery w:val="Page Numbers (Bottom of Page)"/>
        <w:docPartUnique/>
      </w:docPartObj>
    </w:sdtPr>
    <w:sdtEndPr>
      <w:rPr>
        <w:noProof/>
      </w:rPr>
    </w:sdtEndPr>
    <w:sdtContent>
      <w:p w14:paraId="2B8B6029" w14:textId="77777777" w:rsidR="00E545A8" w:rsidRDefault="00E545A8">
        <w:pPr>
          <w:pStyle w:val="Footer"/>
          <w:jc w:val="right"/>
        </w:pPr>
        <w:r>
          <w:fldChar w:fldCharType="begin"/>
        </w:r>
        <w:r>
          <w:instrText xml:space="preserve"> PAGE   \* MERGEFORMAT </w:instrText>
        </w:r>
        <w:r>
          <w:fldChar w:fldCharType="separate"/>
        </w:r>
        <w:r w:rsidR="00F41C71">
          <w:rPr>
            <w:noProof/>
          </w:rPr>
          <w:t>1</w:t>
        </w:r>
        <w:r>
          <w:rPr>
            <w:noProof/>
          </w:rPr>
          <w:fldChar w:fldCharType="end"/>
        </w:r>
      </w:p>
    </w:sdtContent>
  </w:sdt>
  <w:p w14:paraId="2B8B602A" w14:textId="77777777" w:rsidR="00E545A8" w:rsidRDefault="00E545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8B601D" w14:textId="77777777" w:rsidR="00505811" w:rsidRDefault="00505811" w:rsidP="00CE7ADB">
      <w:pPr>
        <w:spacing w:after="0" w:line="240" w:lineRule="auto"/>
      </w:pPr>
      <w:r>
        <w:separator/>
      </w:r>
    </w:p>
  </w:footnote>
  <w:footnote w:type="continuationSeparator" w:id="0">
    <w:p w14:paraId="2B8B601E" w14:textId="77777777" w:rsidR="00505811" w:rsidRDefault="00505811" w:rsidP="00CE7ADB">
      <w:pPr>
        <w:spacing w:after="0" w:line="240" w:lineRule="auto"/>
      </w:pPr>
      <w:r>
        <w:continuationSeparator/>
      </w:r>
    </w:p>
  </w:footnote>
  <w:footnote w:id="1">
    <w:p w14:paraId="2B8B602B" w14:textId="77777777" w:rsidR="00040DBA" w:rsidRPr="005C11F0" w:rsidRDefault="00040DBA" w:rsidP="00040DBA">
      <w:pPr>
        <w:pStyle w:val="FootnoteText"/>
        <w:rPr>
          <w:lang w:val="en-AU"/>
        </w:rPr>
      </w:pPr>
      <w:r>
        <w:rPr>
          <w:rStyle w:val="FootnoteReference"/>
        </w:rPr>
        <w:footnoteRef/>
      </w:r>
      <w:r>
        <w:t xml:space="preserve"> </w:t>
      </w:r>
      <w:r>
        <w:rPr>
          <w:lang w:val="en-AU"/>
        </w:rPr>
        <w:t xml:space="preserve">Section 4 of the </w:t>
      </w:r>
      <w:r w:rsidRPr="00BC38AF">
        <w:rPr>
          <w:i/>
        </w:rPr>
        <w:t>Telecommunications (Consumer Protection and Service Standards) Act 1999</w:t>
      </w:r>
      <w:r w:rsidR="00115883">
        <w:rPr>
          <w:i/>
        </w:rPr>
        <w:t xml:space="preserve"> </w:t>
      </w:r>
      <w:r w:rsidR="00115883">
        <w:t>(</w:t>
      </w:r>
      <w:proofErr w:type="spellStart"/>
      <w:r w:rsidR="00115883">
        <w:t>TCPSS</w:t>
      </w:r>
      <w:proofErr w:type="spellEnd"/>
      <w:r w:rsidR="00115883">
        <w:t xml:space="preserve"> Act)</w:t>
      </w:r>
      <w:r w:rsidRPr="005C11F0">
        <w:t xml:space="preserve">. The </w:t>
      </w:r>
      <w:proofErr w:type="spellStart"/>
      <w:r w:rsidRPr="005C11F0">
        <w:t>USO</w:t>
      </w:r>
      <w:proofErr w:type="spellEnd"/>
      <w:r w:rsidRPr="005C11F0">
        <w:t xml:space="preserve"> includes access to payphones, however for the purposes of this submission the </w:t>
      </w:r>
      <w:proofErr w:type="spellStart"/>
      <w:r w:rsidRPr="005C11F0">
        <w:t>ACCC</w:t>
      </w:r>
      <w:proofErr w:type="spellEnd"/>
      <w:r w:rsidRPr="005C11F0">
        <w:t xml:space="preserve"> does not comment on access to payphones.</w:t>
      </w:r>
    </w:p>
  </w:footnote>
  <w:footnote w:id="2">
    <w:p w14:paraId="2B8B602C" w14:textId="77777777" w:rsidR="00DC6753" w:rsidRPr="00BC38AF" w:rsidRDefault="00DC6753" w:rsidP="00DC6753">
      <w:pPr>
        <w:pStyle w:val="FootnoteText"/>
        <w:rPr>
          <w:lang w:val="en-AU"/>
        </w:rPr>
      </w:pPr>
      <w:r>
        <w:rPr>
          <w:rStyle w:val="FootnoteReference"/>
        </w:rPr>
        <w:footnoteRef/>
      </w:r>
      <w:r w:rsidR="00115883">
        <w:t xml:space="preserve"> Section 1 of the </w:t>
      </w:r>
      <w:proofErr w:type="spellStart"/>
      <w:r w:rsidR="00115883">
        <w:t>TCPSS</w:t>
      </w:r>
      <w:proofErr w:type="spellEnd"/>
      <w:r w:rsidRPr="00D27E19">
        <w:t>.</w:t>
      </w:r>
    </w:p>
  </w:footnote>
  <w:footnote w:id="3">
    <w:p w14:paraId="2B8B602D" w14:textId="77777777" w:rsidR="00AA162A" w:rsidRPr="00AA162A" w:rsidRDefault="00AA162A">
      <w:pPr>
        <w:pStyle w:val="FootnoteText"/>
        <w:rPr>
          <w:lang w:val="en-AU"/>
        </w:rPr>
      </w:pPr>
      <w:r>
        <w:rPr>
          <w:rStyle w:val="FootnoteReference"/>
        </w:rPr>
        <w:footnoteRef/>
      </w:r>
      <w:r>
        <w:t xml:space="preserve"> </w:t>
      </w:r>
      <w:r w:rsidR="00B14700">
        <w:t>This consi</w:t>
      </w:r>
      <w:r w:rsidR="007317E9">
        <w:t>sted of $253 million for the standard telephone service</w:t>
      </w:r>
      <w:r w:rsidR="00B14700">
        <w:t xml:space="preserve"> and $44 million for payphones.  </w:t>
      </w:r>
    </w:p>
  </w:footnote>
  <w:footnote w:id="4">
    <w:p w14:paraId="2B8B602E" w14:textId="77777777" w:rsidR="001E2BEA" w:rsidRPr="001A739D" w:rsidRDefault="001E2BEA">
      <w:pPr>
        <w:pStyle w:val="FootnoteText"/>
        <w:rPr>
          <w:lang w:val="en-AU"/>
        </w:rPr>
      </w:pPr>
      <w:r>
        <w:rPr>
          <w:rStyle w:val="FootnoteReference"/>
        </w:rPr>
        <w:footnoteRef/>
      </w:r>
      <w:r>
        <w:t xml:space="preserve"> </w:t>
      </w:r>
      <w:r>
        <w:rPr>
          <w:lang w:val="en-AU"/>
        </w:rPr>
        <w:t xml:space="preserve">These are </w:t>
      </w:r>
      <w:proofErr w:type="spellStart"/>
      <w:r>
        <w:rPr>
          <w:lang w:val="en-AU"/>
        </w:rPr>
        <w:t>contractual</w:t>
      </w:r>
      <w:proofErr w:type="spellEnd"/>
      <w:r>
        <w:rPr>
          <w:lang w:val="en-AU"/>
        </w:rPr>
        <w:t xml:space="preserve"> obligations on Telstra contained in the Telstra Universal Service Obligation Performance (</w:t>
      </w:r>
      <w:proofErr w:type="spellStart"/>
      <w:r>
        <w:rPr>
          <w:lang w:val="en-AU"/>
        </w:rPr>
        <w:t>TUSOP</w:t>
      </w:r>
      <w:proofErr w:type="spellEnd"/>
      <w:r>
        <w:rPr>
          <w:lang w:val="en-AU"/>
        </w:rPr>
        <w:t>) Agreement.</w:t>
      </w:r>
    </w:p>
  </w:footnote>
  <w:footnote w:id="5">
    <w:p w14:paraId="2B8B602F" w14:textId="77777777" w:rsidR="00A37C9E" w:rsidRPr="000A721A" w:rsidRDefault="00A37C9E" w:rsidP="00A37C9E">
      <w:pPr>
        <w:pStyle w:val="FootnoteText"/>
        <w:rPr>
          <w:lang w:val="en-AU"/>
        </w:rPr>
      </w:pPr>
      <w:r>
        <w:rPr>
          <w:rStyle w:val="FootnoteReference"/>
        </w:rPr>
        <w:footnoteRef/>
      </w:r>
      <w:r>
        <w:t xml:space="preserve"> </w:t>
      </w:r>
      <w:proofErr w:type="spellStart"/>
      <w:r>
        <w:t>ACCC</w:t>
      </w:r>
      <w:proofErr w:type="spellEnd"/>
      <w:r>
        <w:t xml:space="preserve">, </w:t>
      </w:r>
      <w:proofErr w:type="spellStart"/>
      <w:r w:rsidRPr="000A721A">
        <w:rPr>
          <w:i/>
        </w:rPr>
        <w:t>ACCC</w:t>
      </w:r>
      <w:proofErr w:type="spellEnd"/>
      <w:r w:rsidRPr="000A721A">
        <w:rPr>
          <w:i/>
        </w:rPr>
        <w:t xml:space="preserve"> telecommunications report 2014-15: Competition in the Australian telecommunication sector</w:t>
      </w:r>
      <w:r>
        <w:t xml:space="preserve">, February 2016. </w:t>
      </w:r>
    </w:p>
  </w:footnote>
  <w:footnote w:id="6">
    <w:p w14:paraId="2B8B6030" w14:textId="77777777" w:rsidR="00033EB1" w:rsidRPr="00F1274D" w:rsidRDefault="00033EB1" w:rsidP="00033EB1">
      <w:pPr>
        <w:pStyle w:val="FootnoteText"/>
        <w:rPr>
          <w:lang w:val="en-AU"/>
        </w:rPr>
      </w:pPr>
      <w:r>
        <w:rPr>
          <w:rStyle w:val="FootnoteReference"/>
        </w:rPr>
        <w:footnoteRef/>
      </w:r>
      <w:r>
        <w:t xml:space="preserve"> </w:t>
      </w:r>
      <w:r w:rsidR="00B14700">
        <w:rPr>
          <w:lang w:val="en-AU"/>
        </w:rPr>
        <w:t xml:space="preserve">As at June 2015, 86 per cent of adult Australians had an </w:t>
      </w:r>
      <w:proofErr w:type="spellStart"/>
      <w:r w:rsidR="00B14700">
        <w:rPr>
          <w:lang w:val="en-AU"/>
        </w:rPr>
        <w:t>internet</w:t>
      </w:r>
      <w:proofErr w:type="spellEnd"/>
      <w:r w:rsidR="00B14700">
        <w:rPr>
          <w:lang w:val="en-AU"/>
        </w:rPr>
        <w:t xml:space="preserve"> connection, and only 14 per cent did not access the </w:t>
      </w:r>
      <w:proofErr w:type="spellStart"/>
      <w:r w:rsidR="00B14700">
        <w:rPr>
          <w:lang w:val="en-AU"/>
        </w:rPr>
        <w:t>internet</w:t>
      </w:r>
      <w:proofErr w:type="spellEnd"/>
      <w:r w:rsidR="00B14700">
        <w:rPr>
          <w:lang w:val="en-AU"/>
        </w:rPr>
        <w:t xml:space="preserve"> daily (see, </w:t>
      </w:r>
      <w:proofErr w:type="spellStart"/>
      <w:r w:rsidR="00B14700">
        <w:rPr>
          <w:lang w:val="en-AU"/>
        </w:rPr>
        <w:t>ACMA</w:t>
      </w:r>
      <w:proofErr w:type="spellEnd"/>
      <w:r w:rsidR="00B14700">
        <w:rPr>
          <w:lang w:val="en-AU"/>
        </w:rPr>
        <w:t xml:space="preserve">, </w:t>
      </w:r>
      <w:r w:rsidR="00B14700">
        <w:rPr>
          <w:i/>
          <w:lang w:val="en-AU"/>
        </w:rPr>
        <w:t xml:space="preserve">Regional Australians Online, </w:t>
      </w:r>
      <w:r w:rsidR="00B14700">
        <w:rPr>
          <w:lang w:val="en-AU"/>
        </w:rPr>
        <w:t xml:space="preserve">28 April 2016, </w:t>
      </w:r>
      <w:hyperlink r:id="rId1" w:history="1">
        <w:r w:rsidR="00B14700" w:rsidRPr="00FE2AC0">
          <w:rPr>
            <w:rStyle w:val="Hyperlink"/>
            <w:lang w:val="en-AU"/>
          </w:rPr>
          <w:t>http://acma.gov.au/theACMA/engage-blogs/engage-blogs/Research-snapshots/Regional-Australians-online</w:t>
        </w:r>
      </w:hyperlink>
      <w:r w:rsidR="00B14700">
        <w:rPr>
          <w:lang w:val="en-AU"/>
        </w:rPr>
        <w:t xml:space="preserve">). Further, in 2014-15 there was a 40 per cent increase in the volume of data downloaded over fixed networks (see, </w:t>
      </w:r>
      <w:proofErr w:type="spellStart"/>
      <w:r w:rsidR="00B14700">
        <w:t>ACCC</w:t>
      </w:r>
      <w:proofErr w:type="spellEnd"/>
      <w:r w:rsidR="00B14700">
        <w:t xml:space="preserve">, </w:t>
      </w:r>
      <w:proofErr w:type="spellStart"/>
      <w:r w:rsidR="00B14700" w:rsidRPr="000A721A">
        <w:rPr>
          <w:i/>
        </w:rPr>
        <w:t>ACCC</w:t>
      </w:r>
      <w:proofErr w:type="spellEnd"/>
      <w:r w:rsidR="00B14700" w:rsidRPr="000A721A">
        <w:rPr>
          <w:i/>
        </w:rPr>
        <w:t xml:space="preserve"> telecommunications report 2014-15: Competition in the Australian telecommunication sector</w:t>
      </w:r>
      <w:r w:rsidR="00B14700">
        <w:t xml:space="preserve">, February 2016). </w:t>
      </w:r>
      <w:r w:rsidR="00B14700">
        <w:rPr>
          <w:lang w:val="en-AU"/>
        </w:rPr>
        <w:t xml:space="preserve"> </w:t>
      </w:r>
    </w:p>
  </w:footnote>
  <w:footnote w:id="7">
    <w:p w14:paraId="2B8B6031" w14:textId="77777777" w:rsidR="00033EB1" w:rsidRPr="00873F4E" w:rsidRDefault="00033EB1" w:rsidP="00033EB1">
      <w:pPr>
        <w:pStyle w:val="FootnoteText"/>
        <w:rPr>
          <w:lang w:val="en-AU"/>
        </w:rPr>
      </w:pPr>
      <w:r>
        <w:rPr>
          <w:rStyle w:val="FootnoteReference"/>
        </w:rPr>
        <w:footnoteRef/>
      </w:r>
      <w:r w:rsidR="00262425">
        <w:rPr>
          <w:lang w:val="en-AU"/>
        </w:rPr>
        <w:t xml:space="preserve"> </w:t>
      </w:r>
      <w:proofErr w:type="spellStart"/>
      <w:r w:rsidR="00262425">
        <w:rPr>
          <w:lang w:val="en-AU"/>
        </w:rPr>
        <w:t>ACMA</w:t>
      </w:r>
      <w:proofErr w:type="spellEnd"/>
      <w:r w:rsidR="00262425">
        <w:rPr>
          <w:lang w:val="en-AU"/>
        </w:rPr>
        <w:t xml:space="preserve">, </w:t>
      </w:r>
      <w:r w:rsidR="00262425">
        <w:rPr>
          <w:i/>
          <w:lang w:val="en-AU"/>
        </w:rPr>
        <w:t xml:space="preserve">Regional Australians Online, </w:t>
      </w:r>
      <w:r w:rsidR="00262425">
        <w:rPr>
          <w:lang w:val="en-AU"/>
        </w:rPr>
        <w:t xml:space="preserve">28 April 2016, </w:t>
      </w:r>
      <w:hyperlink r:id="rId2" w:history="1">
        <w:r w:rsidR="00262425" w:rsidRPr="00FE2AC0">
          <w:rPr>
            <w:rStyle w:val="Hyperlink"/>
            <w:lang w:val="en-AU"/>
          </w:rPr>
          <w:t>http://acma.gov.au/theACMA/engage-blogs/engage-blogs/Research-snapshots/Regional-Australians-online</w:t>
        </w:r>
      </w:hyperlink>
      <w:r w:rsidR="00262425">
        <w:rPr>
          <w:rStyle w:val="Hyperlink"/>
          <w:lang w:val="en-AU"/>
        </w:rPr>
        <w:t>.</w:t>
      </w:r>
      <w:r>
        <w:rPr>
          <w:lang w:val="en-AU"/>
        </w:rPr>
        <w:t xml:space="preserve"> </w:t>
      </w:r>
    </w:p>
  </w:footnote>
  <w:footnote w:id="8">
    <w:p w14:paraId="2B8B6032" w14:textId="77777777" w:rsidR="00591EF4" w:rsidRPr="00591EF4" w:rsidRDefault="00591EF4">
      <w:pPr>
        <w:pStyle w:val="FootnoteText"/>
        <w:rPr>
          <w:lang w:val="en-AU"/>
        </w:rPr>
      </w:pPr>
      <w:r>
        <w:rPr>
          <w:rStyle w:val="FootnoteReference"/>
        </w:rPr>
        <w:footnoteRef/>
      </w:r>
      <w:r w:rsidR="00440CE9">
        <w:rPr>
          <w:lang w:val="en-AU"/>
        </w:rPr>
        <w:t xml:space="preserve"> Currently, under the </w:t>
      </w:r>
      <w:proofErr w:type="spellStart"/>
      <w:r w:rsidR="00440CE9">
        <w:rPr>
          <w:lang w:val="en-AU"/>
        </w:rPr>
        <w:t>TUSOP</w:t>
      </w:r>
      <w:proofErr w:type="spellEnd"/>
      <w:r w:rsidR="00440CE9">
        <w:rPr>
          <w:lang w:val="en-AU"/>
        </w:rPr>
        <w:t xml:space="preserve"> Agreement Telstra is responsible for operating its </w:t>
      </w:r>
      <w:r w:rsidR="003936B8">
        <w:rPr>
          <w:lang w:val="en-AU"/>
        </w:rPr>
        <w:t xml:space="preserve">copper network outside of the </w:t>
      </w:r>
      <w:proofErr w:type="spellStart"/>
      <w:r w:rsidR="003936B8">
        <w:rPr>
          <w:lang w:val="en-AU"/>
        </w:rPr>
        <w:t>NBN</w:t>
      </w:r>
      <w:proofErr w:type="spellEnd"/>
      <w:r w:rsidR="003936B8">
        <w:rPr>
          <w:lang w:val="en-AU"/>
        </w:rPr>
        <w:t xml:space="preserve"> fixed footprint and providing standard telephone service</w:t>
      </w:r>
      <w:r w:rsidR="00440CE9">
        <w:rPr>
          <w:lang w:val="en-AU"/>
        </w:rPr>
        <w:t xml:space="preserve"> over that network. </w:t>
      </w:r>
    </w:p>
  </w:footnote>
  <w:footnote w:id="9">
    <w:p w14:paraId="2B8B6033" w14:textId="77777777" w:rsidR="001C4962" w:rsidRPr="001C4962" w:rsidRDefault="001C4962">
      <w:pPr>
        <w:pStyle w:val="FootnoteText"/>
        <w:rPr>
          <w:lang w:val="en-AU"/>
        </w:rPr>
      </w:pPr>
      <w:r>
        <w:rPr>
          <w:rStyle w:val="FootnoteReference"/>
        </w:rPr>
        <w:footnoteRef/>
      </w:r>
      <w:r>
        <w:t xml:space="preserve"> Under the </w:t>
      </w:r>
      <w:proofErr w:type="spellStart"/>
      <w:r>
        <w:t>NBN</w:t>
      </w:r>
      <w:proofErr w:type="spellEnd"/>
      <w:r>
        <w:t xml:space="preserve"> Co special access undertaking, prices for </w:t>
      </w:r>
      <w:proofErr w:type="spellStart"/>
      <w:r>
        <w:t>NBN</w:t>
      </w:r>
      <w:proofErr w:type="spellEnd"/>
      <w:r>
        <w:t xml:space="preserve"> </w:t>
      </w:r>
      <w:proofErr w:type="spellStart"/>
      <w:r>
        <w:t>Co’s</w:t>
      </w:r>
      <w:proofErr w:type="spellEnd"/>
      <w:r>
        <w:t xml:space="preserve"> services are the same regardless of location or technology</w:t>
      </w:r>
      <w:r w:rsidR="007A0018">
        <w:t>.</w:t>
      </w:r>
    </w:p>
  </w:footnote>
  <w:footnote w:id="10">
    <w:p w14:paraId="2B8B6034" w14:textId="77777777" w:rsidR="003936B8" w:rsidRPr="00A76F25" w:rsidRDefault="003936B8">
      <w:pPr>
        <w:pStyle w:val="FootnoteText"/>
        <w:rPr>
          <w:lang w:val="en-AU"/>
        </w:rPr>
      </w:pPr>
      <w:r w:rsidRPr="005608EE">
        <w:rPr>
          <w:rStyle w:val="FootnoteReference"/>
        </w:rPr>
        <w:footnoteRef/>
      </w:r>
      <w:r w:rsidRPr="005608EE">
        <w:t xml:space="preserve"> </w:t>
      </w:r>
      <w:r w:rsidR="00A76F25" w:rsidRPr="005608EE">
        <w:t>As</w:t>
      </w:r>
      <w:r w:rsidR="00A76F25">
        <w:t xml:space="preserve"> at July 2016, see </w:t>
      </w:r>
      <w:proofErr w:type="spellStart"/>
      <w:r w:rsidR="00A76F25">
        <w:t>NBN</w:t>
      </w:r>
      <w:proofErr w:type="spellEnd"/>
      <w:r w:rsidR="00A76F25">
        <w:t xml:space="preserve">, </w:t>
      </w:r>
      <w:r w:rsidR="00A76F25">
        <w:rPr>
          <w:i/>
        </w:rPr>
        <w:t xml:space="preserve">List of </w:t>
      </w:r>
      <w:proofErr w:type="spellStart"/>
      <w:r w:rsidR="00A76F25">
        <w:rPr>
          <w:i/>
        </w:rPr>
        <w:t>nbn</w:t>
      </w:r>
      <w:proofErr w:type="spellEnd"/>
      <w:r w:rsidR="00A76F25">
        <w:rPr>
          <w:i/>
        </w:rPr>
        <w:t xml:space="preserve"> Service Providers, </w:t>
      </w:r>
      <w:hyperlink r:id="rId3" w:history="1">
        <w:r w:rsidR="00A76F25" w:rsidRPr="00BC2AD6">
          <w:rPr>
            <w:rStyle w:val="Hyperlink"/>
          </w:rPr>
          <w:t>http://www.nbnco.com.au/connect-home-or-business/information-for-home/whats-involved-in-getting-connected/service-provider-list.html</w:t>
        </w:r>
      </w:hyperlink>
      <w:r w:rsidR="00A76F25" w:rsidRPr="00BC2AD6">
        <w:t>.</w:t>
      </w:r>
      <w:r w:rsidR="00A76F25">
        <w:rPr>
          <w:i/>
        </w:rPr>
        <w:t xml:space="preserve"> </w:t>
      </w:r>
    </w:p>
  </w:footnote>
  <w:footnote w:id="11">
    <w:p w14:paraId="2B8B6035" w14:textId="77777777" w:rsidR="007C4B23" w:rsidRPr="007C4B23" w:rsidRDefault="007C4B23">
      <w:pPr>
        <w:pStyle w:val="FootnoteText"/>
        <w:rPr>
          <w:lang w:val="en-AU"/>
        </w:rPr>
      </w:pPr>
      <w:r>
        <w:rPr>
          <w:rStyle w:val="FootnoteReference"/>
        </w:rPr>
        <w:footnoteRef/>
      </w:r>
      <w:r>
        <w:t xml:space="preserve"> </w:t>
      </w:r>
      <w:r w:rsidR="008B03EC">
        <w:rPr>
          <w:lang w:val="en-AU"/>
        </w:rPr>
        <w:t xml:space="preserve">This obligation is included in the </w:t>
      </w:r>
      <w:proofErr w:type="spellStart"/>
      <w:r w:rsidR="008B03EC">
        <w:rPr>
          <w:lang w:val="en-AU"/>
        </w:rPr>
        <w:t>TUSOP</w:t>
      </w:r>
      <w:proofErr w:type="spellEnd"/>
      <w:r w:rsidR="008B03EC">
        <w:rPr>
          <w:lang w:val="en-AU"/>
        </w:rPr>
        <w:t xml:space="preserve"> Agreement. </w:t>
      </w:r>
      <w:r>
        <w:rPr>
          <w:lang w:val="en-AU"/>
        </w:rPr>
        <w:t xml:space="preserve"> </w:t>
      </w:r>
    </w:p>
  </w:footnote>
  <w:footnote w:id="12">
    <w:p w14:paraId="2B8B6036" w14:textId="77777777" w:rsidR="00051560" w:rsidRPr="00051560" w:rsidRDefault="00051560">
      <w:pPr>
        <w:pStyle w:val="FootnoteText"/>
        <w:rPr>
          <w:lang w:val="en-AU"/>
        </w:rPr>
      </w:pPr>
      <w:r>
        <w:rPr>
          <w:rStyle w:val="FootnoteReference"/>
        </w:rPr>
        <w:footnoteRef/>
      </w:r>
      <w:r>
        <w:t xml:space="preserve"> </w:t>
      </w:r>
      <w:r>
        <w:rPr>
          <w:lang w:val="en-AU"/>
        </w:rPr>
        <w:t xml:space="preserve">This is suggested by the current arrangements for Telstra to maintain its copper network in these areas. </w:t>
      </w:r>
    </w:p>
  </w:footnote>
  <w:footnote w:id="13">
    <w:p w14:paraId="2B8B6037" w14:textId="77777777" w:rsidR="00BE415B" w:rsidRPr="001269AB" w:rsidRDefault="00BE415B">
      <w:pPr>
        <w:pStyle w:val="FootnoteText"/>
        <w:rPr>
          <w:lang w:val="en-AU"/>
        </w:rPr>
      </w:pPr>
      <w:r>
        <w:rPr>
          <w:rStyle w:val="FootnoteReference"/>
        </w:rPr>
        <w:footnoteRef/>
      </w:r>
      <w:r>
        <w:t xml:space="preserve"> </w:t>
      </w:r>
      <w:r w:rsidR="001269AB">
        <w:t xml:space="preserve">See, </w:t>
      </w:r>
      <w:proofErr w:type="spellStart"/>
      <w:r w:rsidR="001269AB">
        <w:t>RTIRC</w:t>
      </w:r>
      <w:proofErr w:type="spellEnd"/>
      <w:r w:rsidR="001269AB">
        <w:t xml:space="preserve">, </w:t>
      </w:r>
      <w:r w:rsidR="001269AB">
        <w:rPr>
          <w:i/>
        </w:rPr>
        <w:t xml:space="preserve">Regional Telecommunications Review 2015, </w:t>
      </w:r>
      <w:r w:rsidR="001269AB">
        <w:t xml:space="preserve">2015, and submission from the Local Government Association of Queensland, and the Broadband for the Bush Alliance submissions to the Review.   </w:t>
      </w:r>
    </w:p>
  </w:footnote>
  <w:footnote w:id="14">
    <w:p w14:paraId="2B8B6038" w14:textId="77777777" w:rsidR="00A331EB" w:rsidRPr="00604E95" w:rsidRDefault="00A331EB" w:rsidP="00A331EB">
      <w:pPr>
        <w:pStyle w:val="FootnoteText"/>
        <w:rPr>
          <w:lang w:val="en-AU"/>
        </w:rPr>
      </w:pPr>
      <w:r>
        <w:rPr>
          <w:rStyle w:val="FootnoteReference"/>
        </w:rPr>
        <w:footnoteRef/>
      </w:r>
      <w:r>
        <w:t xml:space="preserve"> </w:t>
      </w:r>
      <w:r>
        <w:rPr>
          <w:lang w:val="en-AU"/>
        </w:rPr>
        <w:t>See Clause 22 of Carrier Licence Conditions (Telstra Corporation Limited) Declaration 1997.</w:t>
      </w:r>
    </w:p>
  </w:footnote>
  <w:footnote w:id="15">
    <w:p w14:paraId="2B8B6039" w14:textId="77777777" w:rsidR="00A331EB" w:rsidRPr="002E2502" w:rsidRDefault="00A331EB">
      <w:pPr>
        <w:pStyle w:val="FootnoteText"/>
        <w:rPr>
          <w:lang w:val="en-AU"/>
        </w:rPr>
      </w:pPr>
      <w:r>
        <w:rPr>
          <w:rStyle w:val="FootnoteReference"/>
        </w:rPr>
        <w:footnoteRef/>
      </w:r>
      <w:r>
        <w:t xml:space="preserve"> </w:t>
      </w:r>
      <w:r>
        <w:rPr>
          <w:lang w:val="en-AU"/>
        </w:rPr>
        <w:t xml:space="preserve">Department of Human Services, </w:t>
      </w:r>
      <w:r>
        <w:rPr>
          <w:i/>
          <w:lang w:val="en-AU"/>
        </w:rPr>
        <w:t xml:space="preserve">Telephone Allowance, </w:t>
      </w:r>
      <w:r>
        <w:rPr>
          <w:lang w:val="en-AU"/>
        </w:rPr>
        <w:t>23 June 2016.</w:t>
      </w:r>
    </w:p>
  </w:footnote>
  <w:footnote w:id="16">
    <w:p w14:paraId="2B8B603A" w14:textId="77777777" w:rsidR="00304823" w:rsidRPr="002E674C" w:rsidRDefault="00304823" w:rsidP="00304823">
      <w:pPr>
        <w:pStyle w:val="FootnoteText"/>
        <w:rPr>
          <w:lang w:val="en-AU"/>
        </w:rPr>
      </w:pPr>
      <w:r>
        <w:rPr>
          <w:rStyle w:val="FootnoteReference"/>
        </w:rPr>
        <w:footnoteRef/>
      </w:r>
      <w:r>
        <w:t xml:space="preserve"> </w:t>
      </w:r>
      <w:r w:rsidR="00701EE5" w:rsidRPr="001E309E">
        <w:t xml:space="preserve">We have commented on the funding of non-commercial </w:t>
      </w:r>
      <w:proofErr w:type="spellStart"/>
      <w:r w:rsidR="00701EE5" w:rsidRPr="001E309E">
        <w:t>NBN</w:t>
      </w:r>
      <w:proofErr w:type="spellEnd"/>
      <w:r w:rsidR="00701EE5" w:rsidRPr="001E309E">
        <w:t xml:space="preserve"> services in submissions to the Bureau of Communications Research review.</w:t>
      </w:r>
      <w:r w:rsidR="00701EE5">
        <w:t xml:space="preserve"> See </w:t>
      </w:r>
      <w:proofErr w:type="spellStart"/>
      <w:r>
        <w:rPr>
          <w:lang w:val="en-AU"/>
        </w:rPr>
        <w:t>ACCC</w:t>
      </w:r>
      <w:proofErr w:type="spellEnd"/>
      <w:r>
        <w:rPr>
          <w:lang w:val="en-AU"/>
        </w:rPr>
        <w:t xml:space="preserve">, </w:t>
      </w:r>
      <w:r w:rsidRPr="002E674C">
        <w:rPr>
          <w:i/>
          <w:lang w:val="en-AU"/>
        </w:rPr>
        <w:t xml:space="preserve">Submission to the </w:t>
      </w:r>
      <w:proofErr w:type="spellStart"/>
      <w:r w:rsidRPr="002E674C">
        <w:rPr>
          <w:i/>
          <w:lang w:val="en-AU"/>
        </w:rPr>
        <w:t>NBN</w:t>
      </w:r>
      <w:proofErr w:type="spellEnd"/>
      <w:r w:rsidRPr="002E674C">
        <w:rPr>
          <w:i/>
          <w:lang w:val="en-AU"/>
        </w:rPr>
        <w:t xml:space="preserve"> non-commercial services funding options consultation paper</w:t>
      </w:r>
      <w:r>
        <w:rPr>
          <w:lang w:val="en-AU"/>
        </w:rPr>
        <w:t xml:space="preserve">, 5 June 2016; </w:t>
      </w:r>
      <w:proofErr w:type="spellStart"/>
      <w:r>
        <w:rPr>
          <w:lang w:val="en-AU"/>
        </w:rPr>
        <w:t>ACCC</w:t>
      </w:r>
      <w:proofErr w:type="spellEnd"/>
      <w:r>
        <w:rPr>
          <w:lang w:val="en-AU"/>
        </w:rPr>
        <w:t xml:space="preserve">, </w:t>
      </w:r>
      <w:r w:rsidRPr="002E674C">
        <w:rPr>
          <w:i/>
          <w:lang w:val="en-AU"/>
        </w:rPr>
        <w:t xml:space="preserve">Submission to the </w:t>
      </w:r>
      <w:proofErr w:type="spellStart"/>
      <w:r w:rsidRPr="002E674C">
        <w:rPr>
          <w:i/>
          <w:lang w:val="en-AU"/>
        </w:rPr>
        <w:t>NBN</w:t>
      </w:r>
      <w:proofErr w:type="spellEnd"/>
      <w:r w:rsidRPr="002E674C">
        <w:rPr>
          <w:i/>
          <w:lang w:val="en-AU"/>
        </w:rPr>
        <w:t xml:space="preserve"> non-commercial services funding options final consultation paper</w:t>
      </w:r>
      <w:r>
        <w:rPr>
          <w:lang w:val="en-AU"/>
        </w:rPr>
        <w:t>, November 2016.</w:t>
      </w:r>
    </w:p>
  </w:footnote>
  <w:footnote w:id="17">
    <w:p w14:paraId="2B8B603B" w14:textId="77777777" w:rsidR="00B05382" w:rsidRPr="00B05382" w:rsidRDefault="00B05382">
      <w:pPr>
        <w:pStyle w:val="FootnoteText"/>
        <w:rPr>
          <w:lang w:val="en-AU"/>
        </w:rPr>
      </w:pPr>
      <w:r>
        <w:rPr>
          <w:rStyle w:val="FootnoteReference"/>
        </w:rPr>
        <w:footnoteRef/>
      </w:r>
      <w:r>
        <w:t xml:space="preserve"> </w:t>
      </w:r>
      <w:proofErr w:type="spellStart"/>
      <w:r>
        <w:t>ACCC</w:t>
      </w:r>
      <w:proofErr w:type="spellEnd"/>
      <w:r>
        <w:t xml:space="preserve">, </w:t>
      </w:r>
      <w:proofErr w:type="spellStart"/>
      <w:r>
        <w:rPr>
          <w:i/>
        </w:rPr>
        <w:t>ACCC</w:t>
      </w:r>
      <w:proofErr w:type="spellEnd"/>
      <w:r>
        <w:rPr>
          <w:i/>
        </w:rPr>
        <w:t xml:space="preserve"> submission to the Independent Cost Benefit Analysis Review of Regulation first issues framing paper, </w:t>
      </w:r>
      <w:r>
        <w:t xml:space="preserve">14 March 2014. </w:t>
      </w:r>
    </w:p>
  </w:footnote>
  <w:footnote w:id="18">
    <w:p w14:paraId="2B8B603C" w14:textId="77777777" w:rsidR="00773F24" w:rsidRPr="00FD7244" w:rsidRDefault="00773F24" w:rsidP="00773F24">
      <w:pPr>
        <w:pStyle w:val="FootnoteText"/>
        <w:rPr>
          <w:lang w:val="en-AU"/>
        </w:rPr>
      </w:pPr>
      <w:r>
        <w:rPr>
          <w:rStyle w:val="FootnoteReference"/>
        </w:rPr>
        <w:footnoteRef/>
      </w:r>
      <w:r>
        <w:t xml:space="preserve"> </w:t>
      </w:r>
      <w:r>
        <w:rPr>
          <w:lang w:val="en-AU"/>
        </w:rPr>
        <w:t xml:space="preserve">We note that general taxation is not an option that was considered by the </w:t>
      </w:r>
      <w:proofErr w:type="spellStart"/>
      <w:r>
        <w:rPr>
          <w:lang w:val="en-AU"/>
        </w:rPr>
        <w:t>BCR</w:t>
      </w:r>
      <w:proofErr w:type="spellEnd"/>
      <w:r>
        <w:rPr>
          <w:lang w:val="en-AU"/>
        </w:rPr>
        <w:t xml:space="preserve"> review as it was outside the scope of the Terms of Reference.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8B6021" w14:textId="77777777" w:rsidR="00BC2AD6" w:rsidRDefault="00BC2AD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8B6022" w14:textId="77777777" w:rsidR="00BC2AD6" w:rsidRDefault="00BC2AD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8B6026" w14:textId="77777777" w:rsidR="00BC2AD6" w:rsidRDefault="00BC2AD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94A48"/>
    <w:multiLevelType w:val="hybridMultilevel"/>
    <w:tmpl w:val="E99226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4A31C10"/>
    <w:multiLevelType w:val="hybridMultilevel"/>
    <w:tmpl w:val="A132A67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nsid w:val="14EF4B81"/>
    <w:multiLevelType w:val="hybridMultilevel"/>
    <w:tmpl w:val="981AC3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88E2641"/>
    <w:multiLevelType w:val="hybridMultilevel"/>
    <w:tmpl w:val="923440F4"/>
    <w:lvl w:ilvl="0" w:tplc="255E07FE">
      <w:start w:val="1"/>
      <w:numFmt w:val="bullet"/>
      <w:lvlText w:val="•"/>
      <w:lvlJc w:val="left"/>
      <w:pPr>
        <w:tabs>
          <w:tab w:val="num" w:pos="720"/>
        </w:tabs>
        <w:ind w:left="720" w:hanging="360"/>
      </w:pPr>
      <w:rPr>
        <w:rFonts w:ascii="Arial" w:hAnsi="Arial" w:hint="default"/>
      </w:rPr>
    </w:lvl>
    <w:lvl w:ilvl="1" w:tplc="DD4062F2">
      <w:start w:val="1"/>
      <w:numFmt w:val="bullet"/>
      <w:lvlText w:val="•"/>
      <w:lvlJc w:val="left"/>
      <w:pPr>
        <w:tabs>
          <w:tab w:val="num" w:pos="1440"/>
        </w:tabs>
        <w:ind w:left="1440" w:hanging="360"/>
      </w:pPr>
      <w:rPr>
        <w:rFonts w:ascii="Arial" w:hAnsi="Arial" w:hint="default"/>
      </w:rPr>
    </w:lvl>
    <w:lvl w:ilvl="2" w:tplc="740EB024" w:tentative="1">
      <w:start w:val="1"/>
      <w:numFmt w:val="bullet"/>
      <w:lvlText w:val="•"/>
      <w:lvlJc w:val="left"/>
      <w:pPr>
        <w:tabs>
          <w:tab w:val="num" w:pos="2160"/>
        </w:tabs>
        <w:ind w:left="2160" w:hanging="360"/>
      </w:pPr>
      <w:rPr>
        <w:rFonts w:ascii="Arial" w:hAnsi="Arial" w:hint="default"/>
      </w:rPr>
    </w:lvl>
    <w:lvl w:ilvl="3" w:tplc="DE1EDA14" w:tentative="1">
      <w:start w:val="1"/>
      <w:numFmt w:val="bullet"/>
      <w:lvlText w:val="•"/>
      <w:lvlJc w:val="left"/>
      <w:pPr>
        <w:tabs>
          <w:tab w:val="num" w:pos="2880"/>
        </w:tabs>
        <w:ind w:left="2880" w:hanging="360"/>
      </w:pPr>
      <w:rPr>
        <w:rFonts w:ascii="Arial" w:hAnsi="Arial" w:hint="default"/>
      </w:rPr>
    </w:lvl>
    <w:lvl w:ilvl="4" w:tplc="F45AB8B8" w:tentative="1">
      <w:start w:val="1"/>
      <w:numFmt w:val="bullet"/>
      <w:lvlText w:val="•"/>
      <w:lvlJc w:val="left"/>
      <w:pPr>
        <w:tabs>
          <w:tab w:val="num" w:pos="3600"/>
        </w:tabs>
        <w:ind w:left="3600" w:hanging="360"/>
      </w:pPr>
      <w:rPr>
        <w:rFonts w:ascii="Arial" w:hAnsi="Arial" w:hint="default"/>
      </w:rPr>
    </w:lvl>
    <w:lvl w:ilvl="5" w:tplc="F53CAF00" w:tentative="1">
      <w:start w:val="1"/>
      <w:numFmt w:val="bullet"/>
      <w:lvlText w:val="•"/>
      <w:lvlJc w:val="left"/>
      <w:pPr>
        <w:tabs>
          <w:tab w:val="num" w:pos="4320"/>
        </w:tabs>
        <w:ind w:left="4320" w:hanging="360"/>
      </w:pPr>
      <w:rPr>
        <w:rFonts w:ascii="Arial" w:hAnsi="Arial" w:hint="default"/>
      </w:rPr>
    </w:lvl>
    <w:lvl w:ilvl="6" w:tplc="1DB058E6" w:tentative="1">
      <w:start w:val="1"/>
      <w:numFmt w:val="bullet"/>
      <w:lvlText w:val="•"/>
      <w:lvlJc w:val="left"/>
      <w:pPr>
        <w:tabs>
          <w:tab w:val="num" w:pos="5040"/>
        </w:tabs>
        <w:ind w:left="5040" w:hanging="360"/>
      </w:pPr>
      <w:rPr>
        <w:rFonts w:ascii="Arial" w:hAnsi="Arial" w:hint="default"/>
      </w:rPr>
    </w:lvl>
    <w:lvl w:ilvl="7" w:tplc="DC1EF0E2" w:tentative="1">
      <w:start w:val="1"/>
      <w:numFmt w:val="bullet"/>
      <w:lvlText w:val="•"/>
      <w:lvlJc w:val="left"/>
      <w:pPr>
        <w:tabs>
          <w:tab w:val="num" w:pos="5760"/>
        </w:tabs>
        <w:ind w:left="5760" w:hanging="360"/>
      </w:pPr>
      <w:rPr>
        <w:rFonts w:ascii="Arial" w:hAnsi="Arial" w:hint="default"/>
      </w:rPr>
    </w:lvl>
    <w:lvl w:ilvl="8" w:tplc="AFCA5C64" w:tentative="1">
      <w:start w:val="1"/>
      <w:numFmt w:val="bullet"/>
      <w:lvlText w:val="•"/>
      <w:lvlJc w:val="left"/>
      <w:pPr>
        <w:tabs>
          <w:tab w:val="num" w:pos="6480"/>
        </w:tabs>
        <w:ind w:left="6480" w:hanging="360"/>
      </w:pPr>
      <w:rPr>
        <w:rFonts w:ascii="Arial" w:hAnsi="Arial" w:hint="default"/>
      </w:rPr>
    </w:lvl>
  </w:abstractNum>
  <w:abstractNum w:abstractNumId="4">
    <w:nsid w:val="1ADB7948"/>
    <w:multiLevelType w:val="hybridMultilevel"/>
    <w:tmpl w:val="45EAB784"/>
    <w:lvl w:ilvl="0" w:tplc="0C090001">
      <w:start w:val="1"/>
      <w:numFmt w:val="bullet"/>
      <w:lvlText w:val=""/>
      <w:lvlJc w:val="left"/>
      <w:pPr>
        <w:ind w:left="772" w:hanging="360"/>
      </w:pPr>
      <w:rPr>
        <w:rFonts w:ascii="Symbol" w:hAnsi="Symbol" w:hint="default"/>
      </w:rPr>
    </w:lvl>
    <w:lvl w:ilvl="1" w:tplc="0C090003" w:tentative="1">
      <w:start w:val="1"/>
      <w:numFmt w:val="bullet"/>
      <w:lvlText w:val="o"/>
      <w:lvlJc w:val="left"/>
      <w:pPr>
        <w:ind w:left="1492" w:hanging="360"/>
      </w:pPr>
      <w:rPr>
        <w:rFonts w:ascii="Courier New" w:hAnsi="Courier New" w:cs="Courier New" w:hint="default"/>
      </w:rPr>
    </w:lvl>
    <w:lvl w:ilvl="2" w:tplc="0C090005" w:tentative="1">
      <w:start w:val="1"/>
      <w:numFmt w:val="bullet"/>
      <w:lvlText w:val=""/>
      <w:lvlJc w:val="left"/>
      <w:pPr>
        <w:ind w:left="2212" w:hanging="360"/>
      </w:pPr>
      <w:rPr>
        <w:rFonts w:ascii="Wingdings" w:hAnsi="Wingdings" w:hint="default"/>
      </w:rPr>
    </w:lvl>
    <w:lvl w:ilvl="3" w:tplc="0C090001" w:tentative="1">
      <w:start w:val="1"/>
      <w:numFmt w:val="bullet"/>
      <w:lvlText w:val=""/>
      <w:lvlJc w:val="left"/>
      <w:pPr>
        <w:ind w:left="2932" w:hanging="360"/>
      </w:pPr>
      <w:rPr>
        <w:rFonts w:ascii="Symbol" w:hAnsi="Symbol" w:hint="default"/>
      </w:rPr>
    </w:lvl>
    <w:lvl w:ilvl="4" w:tplc="0C090003" w:tentative="1">
      <w:start w:val="1"/>
      <w:numFmt w:val="bullet"/>
      <w:lvlText w:val="o"/>
      <w:lvlJc w:val="left"/>
      <w:pPr>
        <w:ind w:left="3652" w:hanging="360"/>
      </w:pPr>
      <w:rPr>
        <w:rFonts w:ascii="Courier New" w:hAnsi="Courier New" w:cs="Courier New" w:hint="default"/>
      </w:rPr>
    </w:lvl>
    <w:lvl w:ilvl="5" w:tplc="0C090005" w:tentative="1">
      <w:start w:val="1"/>
      <w:numFmt w:val="bullet"/>
      <w:lvlText w:val=""/>
      <w:lvlJc w:val="left"/>
      <w:pPr>
        <w:ind w:left="4372" w:hanging="360"/>
      </w:pPr>
      <w:rPr>
        <w:rFonts w:ascii="Wingdings" w:hAnsi="Wingdings" w:hint="default"/>
      </w:rPr>
    </w:lvl>
    <w:lvl w:ilvl="6" w:tplc="0C090001" w:tentative="1">
      <w:start w:val="1"/>
      <w:numFmt w:val="bullet"/>
      <w:lvlText w:val=""/>
      <w:lvlJc w:val="left"/>
      <w:pPr>
        <w:ind w:left="5092" w:hanging="360"/>
      </w:pPr>
      <w:rPr>
        <w:rFonts w:ascii="Symbol" w:hAnsi="Symbol" w:hint="default"/>
      </w:rPr>
    </w:lvl>
    <w:lvl w:ilvl="7" w:tplc="0C090003" w:tentative="1">
      <w:start w:val="1"/>
      <w:numFmt w:val="bullet"/>
      <w:lvlText w:val="o"/>
      <w:lvlJc w:val="left"/>
      <w:pPr>
        <w:ind w:left="5812" w:hanging="360"/>
      </w:pPr>
      <w:rPr>
        <w:rFonts w:ascii="Courier New" w:hAnsi="Courier New" w:cs="Courier New" w:hint="default"/>
      </w:rPr>
    </w:lvl>
    <w:lvl w:ilvl="8" w:tplc="0C090005" w:tentative="1">
      <w:start w:val="1"/>
      <w:numFmt w:val="bullet"/>
      <w:lvlText w:val=""/>
      <w:lvlJc w:val="left"/>
      <w:pPr>
        <w:ind w:left="6532" w:hanging="360"/>
      </w:pPr>
      <w:rPr>
        <w:rFonts w:ascii="Wingdings" w:hAnsi="Wingdings" w:hint="default"/>
      </w:rPr>
    </w:lvl>
  </w:abstractNum>
  <w:abstractNum w:abstractNumId="5">
    <w:nsid w:val="395C43B9"/>
    <w:multiLevelType w:val="hybridMultilevel"/>
    <w:tmpl w:val="C80E5C52"/>
    <w:lvl w:ilvl="0" w:tplc="47C83FAC">
      <w:start w:val="1"/>
      <w:numFmt w:val="bullet"/>
      <w:lvlText w:val="•"/>
      <w:lvlJc w:val="left"/>
      <w:pPr>
        <w:tabs>
          <w:tab w:val="num" w:pos="720"/>
        </w:tabs>
        <w:ind w:left="720" w:hanging="360"/>
      </w:pPr>
      <w:rPr>
        <w:rFonts w:ascii="Arial" w:hAnsi="Arial" w:hint="default"/>
      </w:rPr>
    </w:lvl>
    <w:lvl w:ilvl="1" w:tplc="FCFA90BA" w:tentative="1">
      <w:start w:val="1"/>
      <w:numFmt w:val="bullet"/>
      <w:lvlText w:val="•"/>
      <w:lvlJc w:val="left"/>
      <w:pPr>
        <w:tabs>
          <w:tab w:val="num" w:pos="1440"/>
        </w:tabs>
        <w:ind w:left="1440" w:hanging="360"/>
      </w:pPr>
      <w:rPr>
        <w:rFonts w:ascii="Arial" w:hAnsi="Arial" w:hint="default"/>
      </w:rPr>
    </w:lvl>
    <w:lvl w:ilvl="2" w:tplc="9ADA12FC" w:tentative="1">
      <w:start w:val="1"/>
      <w:numFmt w:val="bullet"/>
      <w:lvlText w:val="•"/>
      <w:lvlJc w:val="left"/>
      <w:pPr>
        <w:tabs>
          <w:tab w:val="num" w:pos="2160"/>
        </w:tabs>
        <w:ind w:left="2160" w:hanging="360"/>
      </w:pPr>
      <w:rPr>
        <w:rFonts w:ascii="Arial" w:hAnsi="Arial" w:hint="default"/>
      </w:rPr>
    </w:lvl>
    <w:lvl w:ilvl="3" w:tplc="9CF62762" w:tentative="1">
      <w:start w:val="1"/>
      <w:numFmt w:val="bullet"/>
      <w:lvlText w:val="•"/>
      <w:lvlJc w:val="left"/>
      <w:pPr>
        <w:tabs>
          <w:tab w:val="num" w:pos="2880"/>
        </w:tabs>
        <w:ind w:left="2880" w:hanging="360"/>
      </w:pPr>
      <w:rPr>
        <w:rFonts w:ascii="Arial" w:hAnsi="Arial" w:hint="default"/>
      </w:rPr>
    </w:lvl>
    <w:lvl w:ilvl="4" w:tplc="4E1AC938" w:tentative="1">
      <w:start w:val="1"/>
      <w:numFmt w:val="bullet"/>
      <w:lvlText w:val="•"/>
      <w:lvlJc w:val="left"/>
      <w:pPr>
        <w:tabs>
          <w:tab w:val="num" w:pos="3600"/>
        </w:tabs>
        <w:ind w:left="3600" w:hanging="360"/>
      </w:pPr>
      <w:rPr>
        <w:rFonts w:ascii="Arial" w:hAnsi="Arial" w:hint="default"/>
      </w:rPr>
    </w:lvl>
    <w:lvl w:ilvl="5" w:tplc="15D87ED4" w:tentative="1">
      <w:start w:val="1"/>
      <w:numFmt w:val="bullet"/>
      <w:lvlText w:val="•"/>
      <w:lvlJc w:val="left"/>
      <w:pPr>
        <w:tabs>
          <w:tab w:val="num" w:pos="4320"/>
        </w:tabs>
        <w:ind w:left="4320" w:hanging="360"/>
      </w:pPr>
      <w:rPr>
        <w:rFonts w:ascii="Arial" w:hAnsi="Arial" w:hint="default"/>
      </w:rPr>
    </w:lvl>
    <w:lvl w:ilvl="6" w:tplc="FB1872D8" w:tentative="1">
      <w:start w:val="1"/>
      <w:numFmt w:val="bullet"/>
      <w:lvlText w:val="•"/>
      <w:lvlJc w:val="left"/>
      <w:pPr>
        <w:tabs>
          <w:tab w:val="num" w:pos="5040"/>
        </w:tabs>
        <w:ind w:left="5040" w:hanging="360"/>
      </w:pPr>
      <w:rPr>
        <w:rFonts w:ascii="Arial" w:hAnsi="Arial" w:hint="default"/>
      </w:rPr>
    </w:lvl>
    <w:lvl w:ilvl="7" w:tplc="6798C3B6" w:tentative="1">
      <w:start w:val="1"/>
      <w:numFmt w:val="bullet"/>
      <w:lvlText w:val="•"/>
      <w:lvlJc w:val="left"/>
      <w:pPr>
        <w:tabs>
          <w:tab w:val="num" w:pos="5760"/>
        </w:tabs>
        <w:ind w:left="5760" w:hanging="360"/>
      </w:pPr>
      <w:rPr>
        <w:rFonts w:ascii="Arial" w:hAnsi="Arial" w:hint="default"/>
      </w:rPr>
    </w:lvl>
    <w:lvl w:ilvl="8" w:tplc="D99CCD4E" w:tentative="1">
      <w:start w:val="1"/>
      <w:numFmt w:val="bullet"/>
      <w:lvlText w:val="•"/>
      <w:lvlJc w:val="left"/>
      <w:pPr>
        <w:tabs>
          <w:tab w:val="num" w:pos="6480"/>
        </w:tabs>
        <w:ind w:left="6480" w:hanging="360"/>
      </w:pPr>
      <w:rPr>
        <w:rFonts w:ascii="Arial" w:hAnsi="Arial" w:hint="default"/>
      </w:rPr>
    </w:lvl>
  </w:abstractNum>
  <w:abstractNum w:abstractNumId="6">
    <w:nsid w:val="4DEA3F09"/>
    <w:multiLevelType w:val="hybridMultilevel"/>
    <w:tmpl w:val="D4A2FE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5C073A1F"/>
    <w:multiLevelType w:val="hybridMultilevel"/>
    <w:tmpl w:val="FB40778A"/>
    <w:lvl w:ilvl="0" w:tplc="546AEAD8">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6D522437"/>
    <w:multiLevelType w:val="hybridMultilevel"/>
    <w:tmpl w:val="F5D2189E"/>
    <w:lvl w:ilvl="0" w:tplc="6F1634DA">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79382DCA"/>
    <w:multiLevelType w:val="hybridMultilevel"/>
    <w:tmpl w:val="BFCA44C8"/>
    <w:lvl w:ilvl="0" w:tplc="0C090001">
      <w:start w:val="1"/>
      <w:numFmt w:val="bullet"/>
      <w:lvlText w:val=""/>
      <w:lvlJc w:val="left"/>
      <w:pPr>
        <w:ind w:left="772" w:hanging="360"/>
      </w:pPr>
      <w:rPr>
        <w:rFonts w:ascii="Symbol" w:hAnsi="Symbol" w:hint="default"/>
      </w:rPr>
    </w:lvl>
    <w:lvl w:ilvl="1" w:tplc="0C090003" w:tentative="1">
      <w:start w:val="1"/>
      <w:numFmt w:val="bullet"/>
      <w:lvlText w:val="o"/>
      <w:lvlJc w:val="left"/>
      <w:pPr>
        <w:ind w:left="1492" w:hanging="360"/>
      </w:pPr>
      <w:rPr>
        <w:rFonts w:ascii="Courier New" w:hAnsi="Courier New" w:cs="Courier New" w:hint="default"/>
      </w:rPr>
    </w:lvl>
    <w:lvl w:ilvl="2" w:tplc="0C090005" w:tentative="1">
      <w:start w:val="1"/>
      <w:numFmt w:val="bullet"/>
      <w:lvlText w:val=""/>
      <w:lvlJc w:val="left"/>
      <w:pPr>
        <w:ind w:left="2212" w:hanging="360"/>
      </w:pPr>
      <w:rPr>
        <w:rFonts w:ascii="Wingdings" w:hAnsi="Wingdings" w:hint="default"/>
      </w:rPr>
    </w:lvl>
    <w:lvl w:ilvl="3" w:tplc="0C090001" w:tentative="1">
      <w:start w:val="1"/>
      <w:numFmt w:val="bullet"/>
      <w:lvlText w:val=""/>
      <w:lvlJc w:val="left"/>
      <w:pPr>
        <w:ind w:left="2932" w:hanging="360"/>
      </w:pPr>
      <w:rPr>
        <w:rFonts w:ascii="Symbol" w:hAnsi="Symbol" w:hint="default"/>
      </w:rPr>
    </w:lvl>
    <w:lvl w:ilvl="4" w:tplc="0C090003" w:tentative="1">
      <w:start w:val="1"/>
      <w:numFmt w:val="bullet"/>
      <w:lvlText w:val="o"/>
      <w:lvlJc w:val="left"/>
      <w:pPr>
        <w:ind w:left="3652" w:hanging="360"/>
      </w:pPr>
      <w:rPr>
        <w:rFonts w:ascii="Courier New" w:hAnsi="Courier New" w:cs="Courier New" w:hint="default"/>
      </w:rPr>
    </w:lvl>
    <w:lvl w:ilvl="5" w:tplc="0C090005" w:tentative="1">
      <w:start w:val="1"/>
      <w:numFmt w:val="bullet"/>
      <w:lvlText w:val=""/>
      <w:lvlJc w:val="left"/>
      <w:pPr>
        <w:ind w:left="4372" w:hanging="360"/>
      </w:pPr>
      <w:rPr>
        <w:rFonts w:ascii="Wingdings" w:hAnsi="Wingdings" w:hint="default"/>
      </w:rPr>
    </w:lvl>
    <w:lvl w:ilvl="6" w:tplc="0C090001" w:tentative="1">
      <w:start w:val="1"/>
      <w:numFmt w:val="bullet"/>
      <w:lvlText w:val=""/>
      <w:lvlJc w:val="left"/>
      <w:pPr>
        <w:ind w:left="5092" w:hanging="360"/>
      </w:pPr>
      <w:rPr>
        <w:rFonts w:ascii="Symbol" w:hAnsi="Symbol" w:hint="default"/>
      </w:rPr>
    </w:lvl>
    <w:lvl w:ilvl="7" w:tplc="0C090003" w:tentative="1">
      <w:start w:val="1"/>
      <w:numFmt w:val="bullet"/>
      <w:lvlText w:val="o"/>
      <w:lvlJc w:val="left"/>
      <w:pPr>
        <w:ind w:left="5812" w:hanging="360"/>
      </w:pPr>
      <w:rPr>
        <w:rFonts w:ascii="Courier New" w:hAnsi="Courier New" w:cs="Courier New" w:hint="default"/>
      </w:rPr>
    </w:lvl>
    <w:lvl w:ilvl="8" w:tplc="0C090005" w:tentative="1">
      <w:start w:val="1"/>
      <w:numFmt w:val="bullet"/>
      <w:lvlText w:val=""/>
      <w:lvlJc w:val="left"/>
      <w:pPr>
        <w:ind w:left="6532" w:hanging="360"/>
      </w:pPr>
      <w:rPr>
        <w:rFonts w:ascii="Wingdings" w:hAnsi="Wingdings" w:hint="default"/>
      </w:rPr>
    </w:lvl>
  </w:abstractNum>
  <w:num w:numId="1">
    <w:abstractNumId w:val="5"/>
  </w:num>
  <w:num w:numId="2">
    <w:abstractNumId w:val="9"/>
  </w:num>
  <w:num w:numId="3">
    <w:abstractNumId w:val="3"/>
  </w:num>
  <w:num w:numId="4">
    <w:abstractNumId w:val="6"/>
  </w:num>
  <w:num w:numId="5">
    <w:abstractNumId w:val="7"/>
  </w:num>
  <w:num w:numId="6">
    <w:abstractNumId w:val="4"/>
  </w:num>
  <w:num w:numId="7">
    <w:abstractNumId w:val="0"/>
  </w:num>
  <w:num w:numId="8">
    <w:abstractNumId w:val="1"/>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1556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urrentname" w:val="\\cdchnas-evs02\home$\sdano\mace - uso review - submission to pcs issues paper on uso - final - 21 july 2016 (D2016-00089392).docx"/>
  </w:docVars>
  <w:rsids>
    <w:rsidRoot w:val="00F25924"/>
    <w:rsid w:val="00000F95"/>
    <w:rsid w:val="000013DB"/>
    <w:rsid w:val="00001644"/>
    <w:rsid w:val="00001956"/>
    <w:rsid w:val="0000371F"/>
    <w:rsid w:val="00004296"/>
    <w:rsid w:val="00014419"/>
    <w:rsid w:val="0002147D"/>
    <w:rsid w:val="00022242"/>
    <w:rsid w:val="00023397"/>
    <w:rsid w:val="0002522E"/>
    <w:rsid w:val="00027DED"/>
    <w:rsid w:val="00032413"/>
    <w:rsid w:val="00033EB1"/>
    <w:rsid w:val="00034D9F"/>
    <w:rsid w:val="00034E07"/>
    <w:rsid w:val="00035C97"/>
    <w:rsid w:val="000377F9"/>
    <w:rsid w:val="00040697"/>
    <w:rsid w:val="00040DBA"/>
    <w:rsid w:val="00041D01"/>
    <w:rsid w:val="000461EA"/>
    <w:rsid w:val="00046B23"/>
    <w:rsid w:val="000476AC"/>
    <w:rsid w:val="00050A2B"/>
    <w:rsid w:val="00051560"/>
    <w:rsid w:val="00053418"/>
    <w:rsid w:val="000576E5"/>
    <w:rsid w:val="00062D67"/>
    <w:rsid w:val="00064E8F"/>
    <w:rsid w:val="00074F53"/>
    <w:rsid w:val="0007554B"/>
    <w:rsid w:val="00077BA9"/>
    <w:rsid w:val="000818E2"/>
    <w:rsid w:val="00084010"/>
    <w:rsid w:val="0008499F"/>
    <w:rsid w:val="00087B5F"/>
    <w:rsid w:val="00090E7C"/>
    <w:rsid w:val="00093355"/>
    <w:rsid w:val="000A5BEE"/>
    <w:rsid w:val="000A721A"/>
    <w:rsid w:val="000C62BA"/>
    <w:rsid w:val="000D0593"/>
    <w:rsid w:val="000D1DE8"/>
    <w:rsid w:val="000D51BB"/>
    <w:rsid w:val="000E026E"/>
    <w:rsid w:val="000E3138"/>
    <w:rsid w:val="000E440D"/>
    <w:rsid w:val="000E4BB3"/>
    <w:rsid w:val="000E7501"/>
    <w:rsid w:val="000F0A51"/>
    <w:rsid w:val="000F1C4B"/>
    <w:rsid w:val="000F6676"/>
    <w:rsid w:val="00104DD4"/>
    <w:rsid w:val="00105649"/>
    <w:rsid w:val="00105C2D"/>
    <w:rsid w:val="00112AC8"/>
    <w:rsid w:val="001153E5"/>
    <w:rsid w:val="00115883"/>
    <w:rsid w:val="0011693B"/>
    <w:rsid w:val="0012074F"/>
    <w:rsid w:val="001229DA"/>
    <w:rsid w:val="001269AB"/>
    <w:rsid w:val="00127617"/>
    <w:rsid w:val="00134B43"/>
    <w:rsid w:val="001360A2"/>
    <w:rsid w:val="00137B84"/>
    <w:rsid w:val="001414E4"/>
    <w:rsid w:val="00142361"/>
    <w:rsid w:val="00145BF6"/>
    <w:rsid w:val="00146E0F"/>
    <w:rsid w:val="00151A1E"/>
    <w:rsid w:val="00166E9F"/>
    <w:rsid w:val="00167531"/>
    <w:rsid w:val="00177A98"/>
    <w:rsid w:val="00183DC9"/>
    <w:rsid w:val="00183FFC"/>
    <w:rsid w:val="0019405A"/>
    <w:rsid w:val="0019635B"/>
    <w:rsid w:val="0019651B"/>
    <w:rsid w:val="001A611A"/>
    <w:rsid w:val="001A739D"/>
    <w:rsid w:val="001A7E8C"/>
    <w:rsid w:val="001B59FB"/>
    <w:rsid w:val="001C12CF"/>
    <w:rsid w:val="001C4962"/>
    <w:rsid w:val="001C70B5"/>
    <w:rsid w:val="001C7846"/>
    <w:rsid w:val="001D24A0"/>
    <w:rsid w:val="001E2BEA"/>
    <w:rsid w:val="001E309E"/>
    <w:rsid w:val="001F5562"/>
    <w:rsid w:val="001F5B71"/>
    <w:rsid w:val="001F6797"/>
    <w:rsid w:val="00200DEC"/>
    <w:rsid w:val="0021738E"/>
    <w:rsid w:val="00227F78"/>
    <w:rsid w:val="002305B3"/>
    <w:rsid w:val="002415AC"/>
    <w:rsid w:val="0024168F"/>
    <w:rsid w:val="00251C7C"/>
    <w:rsid w:val="0025279F"/>
    <w:rsid w:val="002605B9"/>
    <w:rsid w:val="00260702"/>
    <w:rsid w:val="0026211A"/>
    <w:rsid w:val="00262425"/>
    <w:rsid w:val="00267820"/>
    <w:rsid w:val="002743E6"/>
    <w:rsid w:val="00274EFD"/>
    <w:rsid w:val="00275A07"/>
    <w:rsid w:val="00286A9F"/>
    <w:rsid w:val="00293E4E"/>
    <w:rsid w:val="00296647"/>
    <w:rsid w:val="002A03EE"/>
    <w:rsid w:val="002A5169"/>
    <w:rsid w:val="002B3828"/>
    <w:rsid w:val="002B4BA8"/>
    <w:rsid w:val="002B5199"/>
    <w:rsid w:val="002C190E"/>
    <w:rsid w:val="002C4734"/>
    <w:rsid w:val="002C4856"/>
    <w:rsid w:val="002D1099"/>
    <w:rsid w:val="002D1C8B"/>
    <w:rsid w:val="002E2502"/>
    <w:rsid w:val="002F6165"/>
    <w:rsid w:val="003018D4"/>
    <w:rsid w:val="00304823"/>
    <w:rsid w:val="0030720A"/>
    <w:rsid w:val="00310210"/>
    <w:rsid w:val="00310604"/>
    <w:rsid w:val="00314BF3"/>
    <w:rsid w:val="0031544D"/>
    <w:rsid w:val="003211D2"/>
    <w:rsid w:val="00321DD2"/>
    <w:rsid w:val="00322742"/>
    <w:rsid w:val="00330BBC"/>
    <w:rsid w:val="00330CC1"/>
    <w:rsid w:val="00347098"/>
    <w:rsid w:val="00350EC9"/>
    <w:rsid w:val="00356380"/>
    <w:rsid w:val="00356E5D"/>
    <w:rsid w:val="00360E77"/>
    <w:rsid w:val="00361FEE"/>
    <w:rsid w:val="00367657"/>
    <w:rsid w:val="003718EC"/>
    <w:rsid w:val="00372B26"/>
    <w:rsid w:val="003744A0"/>
    <w:rsid w:val="003747D1"/>
    <w:rsid w:val="00377877"/>
    <w:rsid w:val="00385116"/>
    <w:rsid w:val="003862F2"/>
    <w:rsid w:val="003936B8"/>
    <w:rsid w:val="003A2065"/>
    <w:rsid w:val="003A5CF9"/>
    <w:rsid w:val="003A6B17"/>
    <w:rsid w:val="003A6FB9"/>
    <w:rsid w:val="003B222D"/>
    <w:rsid w:val="003B2C58"/>
    <w:rsid w:val="003B648C"/>
    <w:rsid w:val="003C1CA9"/>
    <w:rsid w:val="003C2A9E"/>
    <w:rsid w:val="003C37BD"/>
    <w:rsid w:val="003C4394"/>
    <w:rsid w:val="003C4F75"/>
    <w:rsid w:val="003C5D48"/>
    <w:rsid w:val="003D4E41"/>
    <w:rsid w:val="003D543E"/>
    <w:rsid w:val="003E01A7"/>
    <w:rsid w:val="004055CF"/>
    <w:rsid w:val="00407BBF"/>
    <w:rsid w:val="004162B6"/>
    <w:rsid w:val="004230F1"/>
    <w:rsid w:val="00423E79"/>
    <w:rsid w:val="00430B1F"/>
    <w:rsid w:val="0043414D"/>
    <w:rsid w:val="00434229"/>
    <w:rsid w:val="00440C3A"/>
    <w:rsid w:val="00440CE9"/>
    <w:rsid w:val="0044464E"/>
    <w:rsid w:val="004557BF"/>
    <w:rsid w:val="004605E8"/>
    <w:rsid w:val="0046399A"/>
    <w:rsid w:val="00467C29"/>
    <w:rsid w:val="0047127A"/>
    <w:rsid w:val="00472266"/>
    <w:rsid w:val="00476B9C"/>
    <w:rsid w:val="004944B5"/>
    <w:rsid w:val="00494C6B"/>
    <w:rsid w:val="004954C8"/>
    <w:rsid w:val="004A1ABB"/>
    <w:rsid w:val="004A32DB"/>
    <w:rsid w:val="004A3976"/>
    <w:rsid w:val="004C23C2"/>
    <w:rsid w:val="004C5C61"/>
    <w:rsid w:val="004D41A7"/>
    <w:rsid w:val="004E465B"/>
    <w:rsid w:val="004E76DB"/>
    <w:rsid w:val="004F1173"/>
    <w:rsid w:val="00503D1B"/>
    <w:rsid w:val="00505225"/>
    <w:rsid w:val="00505811"/>
    <w:rsid w:val="00507284"/>
    <w:rsid w:val="0051012F"/>
    <w:rsid w:val="0051480D"/>
    <w:rsid w:val="00516935"/>
    <w:rsid w:val="00524ACF"/>
    <w:rsid w:val="00525C3C"/>
    <w:rsid w:val="00531B52"/>
    <w:rsid w:val="00541C2D"/>
    <w:rsid w:val="00547FD7"/>
    <w:rsid w:val="00550A36"/>
    <w:rsid w:val="005532B5"/>
    <w:rsid w:val="0055563B"/>
    <w:rsid w:val="005608EE"/>
    <w:rsid w:val="00560F42"/>
    <w:rsid w:val="00562F50"/>
    <w:rsid w:val="00564663"/>
    <w:rsid w:val="0056566C"/>
    <w:rsid w:val="0056591C"/>
    <w:rsid w:val="00566F7D"/>
    <w:rsid w:val="005706B8"/>
    <w:rsid w:val="00574A9B"/>
    <w:rsid w:val="00576FC1"/>
    <w:rsid w:val="00580506"/>
    <w:rsid w:val="00587078"/>
    <w:rsid w:val="00591EF4"/>
    <w:rsid w:val="005947BF"/>
    <w:rsid w:val="005A05A6"/>
    <w:rsid w:val="005A5F1C"/>
    <w:rsid w:val="005A77CB"/>
    <w:rsid w:val="005C1B1B"/>
    <w:rsid w:val="005C7016"/>
    <w:rsid w:val="005D1E34"/>
    <w:rsid w:val="005D3A7A"/>
    <w:rsid w:val="005E24FD"/>
    <w:rsid w:val="005E54F3"/>
    <w:rsid w:val="005E63ED"/>
    <w:rsid w:val="005F2B61"/>
    <w:rsid w:val="005F3B8B"/>
    <w:rsid w:val="005F4A63"/>
    <w:rsid w:val="005F4D7C"/>
    <w:rsid w:val="005F59D0"/>
    <w:rsid w:val="005F7C1A"/>
    <w:rsid w:val="0060032D"/>
    <w:rsid w:val="0060639B"/>
    <w:rsid w:val="006072B0"/>
    <w:rsid w:val="00610592"/>
    <w:rsid w:val="00610E81"/>
    <w:rsid w:val="0061233C"/>
    <w:rsid w:val="00613C02"/>
    <w:rsid w:val="0062046F"/>
    <w:rsid w:val="006237AA"/>
    <w:rsid w:val="00624DF2"/>
    <w:rsid w:val="006250BB"/>
    <w:rsid w:val="0062568C"/>
    <w:rsid w:val="006262A1"/>
    <w:rsid w:val="006311FC"/>
    <w:rsid w:val="00640D58"/>
    <w:rsid w:val="0064302F"/>
    <w:rsid w:val="00645092"/>
    <w:rsid w:val="00654584"/>
    <w:rsid w:val="006551F7"/>
    <w:rsid w:val="00657F07"/>
    <w:rsid w:val="006647EB"/>
    <w:rsid w:val="00666589"/>
    <w:rsid w:val="006667A0"/>
    <w:rsid w:val="00667280"/>
    <w:rsid w:val="00674E5F"/>
    <w:rsid w:val="00686324"/>
    <w:rsid w:val="006A4045"/>
    <w:rsid w:val="006A4326"/>
    <w:rsid w:val="006A7C3C"/>
    <w:rsid w:val="006B046B"/>
    <w:rsid w:val="006B74EE"/>
    <w:rsid w:val="006C1218"/>
    <w:rsid w:val="006C5D24"/>
    <w:rsid w:val="006D02F8"/>
    <w:rsid w:val="006D6F27"/>
    <w:rsid w:val="006D7714"/>
    <w:rsid w:val="006D79AE"/>
    <w:rsid w:val="006E0243"/>
    <w:rsid w:val="006E26D9"/>
    <w:rsid w:val="006F0D90"/>
    <w:rsid w:val="006F342D"/>
    <w:rsid w:val="006F53EA"/>
    <w:rsid w:val="006F5A3C"/>
    <w:rsid w:val="00701EE5"/>
    <w:rsid w:val="0071149D"/>
    <w:rsid w:val="00715F47"/>
    <w:rsid w:val="00721811"/>
    <w:rsid w:val="00723290"/>
    <w:rsid w:val="00723D5C"/>
    <w:rsid w:val="00725019"/>
    <w:rsid w:val="007257C8"/>
    <w:rsid w:val="007305F7"/>
    <w:rsid w:val="007317E9"/>
    <w:rsid w:val="00731E78"/>
    <w:rsid w:val="00746E41"/>
    <w:rsid w:val="00747933"/>
    <w:rsid w:val="00750D5A"/>
    <w:rsid w:val="00750D64"/>
    <w:rsid w:val="007531C5"/>
    <w:rsid w:val="0075347E"/>
    <w:rsid w:val="007560CA"/>
    <w:rsid w:val="0076313A"/>
    <w:rsid w:val="00765A18"/>
    <w:rsid w:val="007725DA"/>
    <w:rsid w:val="0077354A"/>
    <w:rsid w:val="00773F24"/>
    <w:rsid w:val="0077495A"/>
    <w:rsid w:val="007758FA"/>
    <w:rsid w:val="00780BAC"/>
    <w:rsid w:val="00784E73"/>
    <w:rsid w:val="00786D1B"/>
    <w:rsid w:val="0079006F"/>
    <w:rsid w:val="007961CC"/>
    <w:rsid w:val="007A0018"/>
    <w:rsid w:val="007B4A42"/>
    <w:rsid w:val="007C0E08"/>
    <w:rsid w:val="007C4B23"/>
    <w:rsid w:val="007C4F53"/>
    <w:rsid w:val="007C6D20"/>
    <w:rsid w:val="007D4AC6"/>
    <w:rsid w:val="007E4818"/>
    <w:rsid w:val="007E69A0"/>
    <w:rsid w:val="007F2C9D"/>
    <w:rsid w:val="007F2F4D"/>
    <w:rsid w:val="007F72E4"/>
    <w:rsid w:val="00802ED2"/>
    <w:rsid w:val="00804046"/>
    <w:rsid w:val="008059A9"/>
    <w:rsid w:val="00810473"/>
    <w:rsid w:val="00810BA7"/>
    <w:rsid w:val="008131B6"/>
    <w:rsid w:val="00815AEB"/>
    <w:rsid w:val="008206FD"/>
    <w:rsid w:val="00822455"/>
    <w:rsid w:val="0082484F"/>
    <w:rsid w:val="00832CF2"/>
    <w:rsid w:val="00834669"/>
    <w:rsid w:val="00835AA2"/>
    <w:rsid w:val="00837815"/>
    <w:rsid w:val="00841556"/>
    <w:rsid w:val="00841766"/>
    <w:rsid w:val="008542E6"/>
    <w:rsid w:val="0085675C"/>
    <w:rsid w:val="008603FC"/>
    <w:rsid w:val="0087194E"/>
    <w:rsid w:val="00873F4E"/>
    <w:rsid w:val="00874B4D"/>
    <w:rsid w:val="00895083"/>
    <w:rsid w:val="008974BD"/>
    <w:rsid w:val="008A12D4"/>
    <w:rsid w:val="008B03EC"/>
    <w:rsid w:val="008B17F3"/>
    <w:rsid w:val="008B222C"/>
    <w:rsid w:val="008B2668"/>
    <w:rsid w:val="008B26E4"/>
    <w:rsid w:val="008B6CD0"/>
    <w:rsid w:val="008C58D7"/>
    <w:rsid w:val="008F0488"/>
    <w:rsid w:val="008F30C9"/>
    <w:rsid w:val="008F4A9F"/>
    <w:rsid w:val="008F6DA1"/>
    <w:rsid w:val="008F720D"/>
    <w:rsid w:val="00900583"/>
    <w:rsid w:val="0090090F"/>
    <w:rsid w:val="00901277"/>
    <w:rsid w:val="00903225"/>
    <w:rsid w:val="00903CD5"/>
    <w:rsid w:val="009102B6"/>
    <w:rsid w:val="00911A13"/>
    <w:rsid w:val="009447BD"/>
    <w:rsid w:val="00952430"/>
    <w:rsid w:val="00953E46"/>
    <w:rsid w:val="00961462"/>
    <w:rsid w:val="00962E07"/>
    <w:rsid w:val="009668F2"/>
    <w:rsid w:val="009702B0"/>
    <w:rsid w:val="00971DB3"/>
    <w:rsid w:val="00983F78"/>
    <w:rsid w:val="009953B4"/>
    <w:rsid w:val="009A11F9"/>
    <w:rsid w:val="009A4CC2"/>
    <w:rsid w:val="009B017E"/>
    <w:rsid w:val="009B1842"/>
    <w:rsid w:val="009B36FF"/>
    <w:rsid w:val="009B4DB8"/>
    <w:rsid w:val="009C307D"/>
    <w:rsid w:val="009D4CBE"/>
    <w:rsid w:val="009D78F0"/>
    <w:rsid w:val="009E7B2B"/>
    <w:rsid w:val="009F4BE5"/>
    <w:rsid w:val="009F4FD6"/>
    <w:rsid w:val="00A015DD"/>
    <w:rsid w:val="00A024FF"/>
    <w:rsid w:val="00A062F1"/>
    <w:rsid w:val="00A11DE8"/>
    <w:rsid w:val="00A263A3"/>
    <w:rsid w:val="00A275AE"/>
    <w:rsid w:val="00A31E92"/>
    <w:rsid w:val="00A3275A"/>
    <w:rsid w:val="00A32C0C"/>
    <w:rsid w:val="00A331EB"/>
    <w:rsid w:val="00A3788E"/>
    <w:rsid w:val="00A37C9E"/>
    <w:rsid w:val="00A40F2B"/>
    <w:rsid w:val="00A413ED"/>
    <w:rsid w:val="00A41596"/>
    <w:rsid w:val="00A4239F"/>
    <w:rsid w:val="00A54D54"/>
    <w:rsid w:val="00A572FB"/>
    <w:rsid w:val="00A60A9F"/>
    <w:rsid w:val="00A61FE7"/>
    <w:rsid w:val="00A62AF7"/>
    <w:rsid w:val="00A64E2D"/>
    <w:rsid w:val="00A64F90"/>
    <w:rsid w:val="00A66082"/>
    <w:rsid w:val="00A71CC4"/>
    <w:rsid w:val="00A76F25"/>
    <w:rsid w:val="00A77D0E"/>
    <w:rsid w:val="00A90662"/>
    <w:rsid w:val="00A93C69"/>
    <w:rsid w:val="00A95168"/>
    <w:rsid w:val="00AA162A"/>
    <w:rsid w:val="00AA2849"/>
    <w:rsid w:val="00AA2CB8"/>
    <w:rsid w:val="00AC05F2"/>
    <w:rsid w:val="00AC1497"/>
    <w:rsid w:val="00AC43BB"/>
    <w:rsid w:val="00AC5B60"/>
    <w:rsid w:val="00AC68FD"/>
    <w:rsid w:val="00AD10DE"/>
    <w:rsid w:val="00AD4376"/>
    <w:rsid w:val="00AD7761"/>
    <w:rsid w:val="00AD7784"/>
    <w:rsid w:val="00AD7F67"/>
    <w:rsid w:val="00AE1E2E"/>
    <w:rsid w:val="00AE23B0"/>
    <w:rsid w:val="00AE4C23"/>
    <w:rsid w:val="00AF7DA8"/>
    <w:rsid w:val="00B007D8"/>
    <w:rsid w:val="00B05382"/>
    <w:rsid w:val="00B10D32"/>
    <w:rsid w:val="00B14700"/>
    <w:rsid w:val="00B1542F"/>
    <w:rsid w:val="00B15D48"/>
    <w:rsid w:val="00B202F7"/>
    <w:rsid w:val="00B24DDB"/>
    <w:rsid w:val="00B2613F"/>
    <w:rsid w:val="00B36B65"/>
    <w:rsid w:val="00B3770C"/>
    <w:rsid w:val="00B45215"/>
    <w:rsid w:val="00B4784A"/>
    <w:rsid w:val="00B51D29"/>
    <w:rsid w:val="00B560CF"/>
    <w:rsid w:val="00B60FE7"/>
    <w:rsid w:val="00B6472F"/>
    <w:rsid w:val="00B7180F"/>
    <w:rsid w:val="00B826B3"/>
    <w:rsid w:val="00B831CD"/>
    <w:rsid w:val="00B8440F"/>
    <w:rsid w:val="00B9376D"/>
    <w:rsid w:val="00B93EF1"/>
    <w:rsid w:val="00B95A4D"/>
    <w:rsid w:val="00B96121"/>
    <w:rsid w:val="00BA0335"/>
    <w:rsid w:val="00BA0568"/>
    <w:rsid w:val="00BA1298"/>
    <w:rsid w:val="00BA1BCB"/>
    <w:rsid w:val="00BA379D"/>
    <w:rsid w:val="00BB070E"/>
    <w:rsid w:val="00BB2AD4"/>
    <w:rsid w:val="00BC0773"/>
    <w:rsid w:val="00BC0EB4"/>
    <w:rsid w:val="00BC22BA"/>
    <w:rsid w:val="00BC2AD6"/>
    <w:rsid w:val="00BC5ACE"/>
    <w:rsid w:val="00BC770D"/>
    <w:rsid w:val="00BD1063"/>
    <w:rsid w:val="00BD2B74"/>
    <w:rsid w:val="00BD3EA8"/>
    <w:rsid w:val="00BD5D11"/>
    <w:rsid w:val="00BE11F1"/>
    <w:rsid w:val="00BE415B"/>
    <w:rsid w:val="00BE7423"/>
    <w:rsid w:val="00C02380"/>
    <w:rsid w:val="00C04159"/>
    <w:rsid w:val="00C051E4"/>
    <w:rsid w:val="00C10B86"/>
    <w:rsid w:val="00C17856"/>
    <w:rsid w:val="00C20D3B"/>
    <w:rsid w:val="00C256AA"/>
    <w:rsid w:val="00C268C1"/>
    <w:rsid w:val="00C3067F"/>
    <w:rsid w:val="00C32B30"/>
    <w:rsid w:val="00C32BFD"/>
    <w:rsid w:val="00C34A5C"/>
    <w:rsid w:val="00C3565E"/>
    <w:rsid w:val="00C40687"/>
    <w:rsid w:val="00C449D2"/>
    <w:rsid w:val="00C477C5"/>
    <w:rsid w:val="00C61081"/>
    <w:rsid w:val="00C64466"/>
    <w:rsid w:val="00C66832"/>
    <w:rsid w:val="00C70711"/>
    <w:rsid w:val="00C7105E"/>
    <w:rsid w:val="00C75E07"/>
    <w:rsid w:val="00C82463"/>
    <w:rsid w:val="00C8258C"/>
    <w:rsid w:val="00C92496"/>
    <w:rsid w:val="00C9318D"/>
    <w:rsid w:val="00C93557"/>
    <w:rsid w:val="00C9744A"/>
    <w:rsid w:val="00CA5C5F"/>
    <w:rsid w:val="00CB10C7"/>
    <w:rsid w:val="00CB5E62"/>
    <w:rsid w:val="00CC25C1"/>
    <w:rsid w:val="00CD3C7B"/>
    <w:rsid w:val="00CD7083"/>
    <w:rsid w:val="00CD7840"/>
    <w:rsid w:val="00CE0D05"/>
    <w:rsid w:val="00CE4063"/>
    <w:rsid w:val="00CE52BD"/>
    <w:rsid w:val="00CE7ADB"/>
    <w:rsid w:val="00CF3123"/>
    <w:rsid w:val="00CF6FC5"/>
    <w:rsid w:val="00D02D75"/>
    <w:rsid w:val="00D0494F"/>
    <w:rsid w:val="00D0670B"/>
    <w:rsid w:val="00D16645"/>
    <w:rsid w:val="00D20B57"/>
    <w:rsid w:val="00D21BEB"/>
    <w:rsid w:val="00D27E19"/>
    <w:rsid w:val="00D35BF9"/>
    <w:rsid w:val="00D376E6"/>
    <w:rsid w:val="00D45630"/>
    <w:rsid w:val="00D54AC1"/>
    <w:rsid w:val="00D60624"/>
    <w:rsid w:val="00D6244C"/>
    <w:rsid w:val="00D63347"/>
    <w:rsid w:val="00D65085"/>
    <w:rsid w:val="00D70175"/>
    <w:rsid w:val="00D73B3B"/>
    <w:rsid w:val="00D8099B"/>
    <w:rsid w:val="00D84D6F"/>
    <w:rsid w:val="00D86432"/>
    <w:rsid w:val="00D87B9B"/>
    <w:rsid w:val="00D90BE6"/>
    <w:rsid w:val="00DA2918"/>
    <w:rsid w:val="00DA4E07"/>
    <w:rsid w:val="00DA5905"/>
    <w:rsid w:val="00DB3055"/>
    <w:rsid w:val="00DB5503"/>
    <w:rsid w:val="00DC22CA"/>
    <w:rsid w:val="00DC4B06"/>
    <w:rsid w:val="00DC6753"/>
    <w:rsid w:val="00DC750E"/>
    <w:rsid w:val="00DD5339"/>
    <w:rsid w:val="00DE4051"/>
    <w:rsid w:val="00DE6E42"/>
    <w:rsid w:val="00E00335"/>
    <w:rsid w:val="00E0417B"/>
    <w:rsid w:val="00E05FA1"/>
    <w:rsid w:val="00E17588"/>
    <w:rsid w:val="00E2175B"/>
    <w:rsid w:val="00E25D5D"/>
    <w:rsid w:val="00E373F3"/>
    <w:rsid w:val="00E47B80"/>
    <w:rsid w:val="00E54459"/>
    <w:rsid w:val="00E545A8"/>
    <w:rsid w:val="00E57880"/>
    <w:rsid w:val="00E60E9D"/>
    <w:rsid w:val="00E61AE2"/>
    <w:rsid w:val="00E650F9"/>
    <w:rsid w:val="00E65559"/>
    <w:rsid w:val="00E716E0"/>
    <w:rsid w:val="00E736D9"/>
    <w:rsid w:val="00E80314"/>
    <w:rsid w:val="00E82CE5"/>
    <w:rsid w:val="00E83E4E"/>
    <w:rsid w:val="00E84961"/>
    <w:rsid w:val="00E864C5"/>
    <w:rsid w:val="00E87577"/>
    <w:rsid w:val="00E87709"/>
    <w:rsid w:val="00E93D54"/>
    <w:rsid w:val="00E956EA"/>
    <w:rsid w:val="00E96867"/>
    <w:rsid w:val="00E96A0A"/>
    <w:rsid w:val="00EA42B1"/>
    <w:rsid w:val="00EB328A"/>
    <w:rsid w:val="00EB4834"/>
    <w:rsid w:val="00EC1276"/>
    <w:rsid w:val="00EC155B"/>
    <w:rsid w:val="00EC2AC0"/>
    <w:rsid w:val="00EC5FEA"/>
    <w:rsid w:val="00ED16EA"/>
    <w:rsid w:val="00ED2D45"/>
    <w:rsid w:val="00ED3B0E"/>
    <w:rsid w:val="00EE6392"/>
    <w:rsid w:val="00EF1CA9"/>
    <w:rsid w:val="00EF23A2"/>
    <w:rsid w:val="00EF4160"/>
    <w:rsid w:val="00EF4B2C"/>
    <w:rsid w:val="00F04468"/>
    <w:rsid w:val="00F1274D"/>
    <w:rsid w:val="00F137AC"/>
    <w:rsid w:val="00F15A36"/>
    <w:rsid w:val="00F20735"/>
    <w:rsid w:val="00F2082D"/>
    <w:rsid w:val="00F211EB"/>
    <w:rsid w:val="00F25924"/>
    <w:rsid w:val="00F26F55"/>
    <w:rsid w:val="00F2705E"/>
    <w:rsid w:val="00F27BC6"/>
    <w:rsid w:val="00F3163C"/>
    <w:rsid w:val="00F321B4"/>
    <w:rsid w:val="00F3342D"/>
    <w:rsid w:val="00F41C71"/>
    <w:rsid w:val="00F43E71"/>
    <w:rsid w:val="00F4680B"/>
    <w:rsid w:val="00F57F9B"/>
    <w:rsid w:val="00F625BC"/>
    <w:rsid w:val="00F65BDA"/>
    <w:rsid w:val="00F66AC5"/>
    <w:rsid w:val="00F7106C"/>
    <w:rsid w:val="00F71B42"/>
    <w:rsid w:val="00F74267"/>
    <w:rsid w:val="00F74D77"/>
    <w:rsid w:val="00F77709"/>
    <w:rsid w:val="00F844FD"/>
    <w:rsid w:val="00F86427"/>
    <w:rsid w:val="00F97D67"/>
    <w:rsid w:val="00FA5717"/>
    <w:rsid w:val="00FB0ACC"/>
    <w:rsid w:val="00FC143A"/>
    <w:rsid w:val="00FC1E22"/>
    <w:rsid w:val="00FC537B"/>
    <w:rsid w:val="00FD4D5B"/>
    <w:rsid w:val="00FE25ED"/>
    <w:rsid w:val="00FE7163"/>
    <w:rsid w:val="00FF3724"/>
    <w:rsid w:val="00FF3868"/>
    <w:rsid w:val="00FF58A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55649"/>
    <o:shapelayout v:ext="edit">
      <o:idmap v:ext="edit" data="1"/>
    </o:shapelayout>
  </w:shapeDefaults>
  <w:decimalSymbol w:val="."/>
  <w:listSeparator w:val=","/>
  <w14:docId w14:val="2B8B5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956EA"/>
    <w:pPr>
      <w:keepNext/>
      <w:keepLines/>
      <w:spacing w:before="480" w:after="0"/>
      <w:jc w:val="center"/>
      <w:outlineLvl w:val="0"/>
    </w:pPr>
    <w:rPr>
      <w:rFonts w:eastAsiaTheme="majorEastAsia" w:cstheme="majorBidi"/>
      <w:b/>
      <w:bCs/>
      <w:sz w:val="3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CE7ADB"/>
    <w:pPr>
      <w:spacing w:after="0" w:line="240" w:lineRule="auto"/>
    </w:pPr>
    <w:rPr>
      <w:rFonts w:ascii="Calibri" w:eastAsia="Times New Roman" w:hAnsi="Calibri" w:cs="Times New Roman"/>
      <w:sz w:val="20"/>
      <w:szCs w:val="20"/>
      <w:lang w:val="en-GB" w:eastAsia="en-AU"/>
    </w:rPr>
  </w:style>
  <w:style w:type="character" w:customStyle="1" w:styleId="FootnoteTextChar">
    <w:name w:val="Footnote Text Char"/>
    <w:basedOn w:val="DefaultParagraphFont"/>
    <w:link w:val="FootnoteText"/>
    <w:rsid w:val="00CE7ADB"/>
    <w:rPr>
      <w:rFonts w:ascii="Calibri" w:eastAsia="Times New Roman" w:hAnsi="Calibri" w:cs="Times New Roman"/>
      <w:sz w:val="20"/>
      <w:szCs w:val="20"/>
      <w:lang w:val="en-GB" w:eastAsia="en-AU"/>
    </w:rPr>
  </w:style>
  <w:style w:type="character" w:styleId="FootnoteReference">
    <w:name w:val="footnote reference"/>
    <w:rsid w:val="00CE7ADB"/>
    <w:rPr>
      <w:vertAlign w:val="superscript"/>
    </w:rPr>
  </w:style>
  <w:style w:type="paragraph" w:styleId="ListParagraph">
    <w:name w:val="List Paragraph"/>
    <w:basedOn w:val="Normal"/>
    <w:uiPriority w:val="34"/>
    <w:qFormat/>
    <w:rsid w:val="00F15A36"/>
    <w:pPr>
      <w:ind w:left="720"/>
      <w:contextualSpacing/>
    </w:pPr>
  </w:style>
  <w:style w:type="character" w:styleId="CommentReference">
    <w:name w:val="annotation reference"/>
    <w:basedOn w:val="DefaultParagraphFont"/>
    <w:uiPriority w:val="99"/>
    <w:semiHidden/>
    <w:unhideWhenUsed/>
    <w:rsid w:val="00A60A9F"/>
    <w:rPr>
      <w:sz w:val="16"/>
      <w:szCs w:val="16"/>
    </w:rPr>
  </w:style>
  <w:style w:type="paragraph" w:styleId="CommentText">
    <w:name w:val="annotation text"/>
    <w:basedOn w:val="Normal"/>
    <w:link w:val="CommentTextChar"/>
    <w:uiPriority w:val="99"/>
    <w:semiHidden/>
    <w:unhideWhenUsed/>
    <w:rsid w:val="00A60A9F"/>
    <w:pPr>
      <w:spacing w:line="240" w:lineRule="auto"/>
    </w:pPr>
    <w:rPr>
      <w:sz w:val="20"/>
      <w:szCs w:val="20"/>
    </w:rPr>
  </w:style>
  <w:style w:type="character" w:customStyle="1" w:styleId="CommentTextChar">
    <w:name w:val="Comment Text Char"/>
    <w:basedOn w:val="DefaultParagraphFont"/>
    <w:link w:val="CommentText"/>
    <w:uiPriority w:val="99"/>
    <w:semiHidden/>
    <w:rsid w:val="00A60A9F"/>
    <w:rPr>
      <w:sz w:val="20"/>
      <w:szCs w:val="20"/>
    </w:rPr>
  </w:style>
  <w:style w:type="paragraph" w:styleId="CommentSubject">
    <w:name w:val="annotation subject"/>
    <w:basedOn w:val="CommentText"/>
    <w:next w:val="CommentText"/>
    <w:link w:val="CommentSubjectChar"/>
    <w:uiPriority w:val="99"/>
    <w:semiHidden/>
    <w:unhideWhenUsed/>
    <w:rsid w:val="00A60A9F"/>
    <w:rPr>
      <w:b/>
      <w:bCs/>
    </w:rPr>
  </w:style>
  <w:style w:type="character" w:customStyle="1" w:styleId="CommentSubjectChar">
    <w:name w:val="Comment Subject Char"/>
    <w:basedOn w:val="CommentTextChar"/>
    <w:link w:val="CommentSubject"/>
    <w:uiPriority w:val="99"/>
    <w:semiHidden/>
    <w:rsid w:val="00A60A9F"/>
    <w:rPr>
      <w:b/>
      <w:bCs/>
      <w:sz w:val="20"/>
      <w:szCs w:val="20"/>
    </w:rPr>
  </w:style>
  <w:style w:type="paragraph" w:styleId="BalloonText">
    <w:name w:val="Balloon Text"/>
    <w:basedOn w:val="Normal"/>
    <w:link w:val="BalloonTextChar"/>
    <w:uiPriority w:val="99"/>
    <w:semiHidden/>
    <w:unhideWhenUsed/>
    <w:rsid w:val="00A60A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0A9F"/>
    <w:rPr>
      <w:rFonts w:ascii="Tahoma" w:hAnsi="Tahoma" w:cs="Tahoma"/>
      <w:sz w:val="16"/>
      <w:szCs w:val="16"/>
    </w:rPr>
  </w:style>
  <w:style w:type="character" w:customStyle="1" w:styleId="Heading1Char">
    <w:name w:val="Heading 1 Char"/>
    <w:basedOn w:val="DefaultParagraphFont"/>
    <w:link w:val="Heading1"/>
    <w:uiPriority w:val="9"/>
    <w:rsid w:val="00E956EA"/>
    <w:rPr>
      <w:rFonts w:eastAsiaTheme="majorEastAsia" w:cstheme="majorBidi"/>
      <w:b/>
      <w:bCs/>
      <w:sz w:val="36"/>
      <w:szCs w:val="28"/>
    </w:rPr>
  </w:style>
  <w:style w:type="character" w:styleId="Strong">
    <w:name w:val="Strong"/>
    <w:basedOn w:val="DefaultParagraphFont"/>
    <w:uiPriority w:val="22"/>
    <w:qFormat/>
    <w:rsid w:val="00E956EA"/>
    <w:rPr>
      <w:b/>
      <w:bCs/>
    </w:rPr>
  </w:style>
  <w:style w:type="character" w:customStyle="1" w:styleId="Copyrighttext">
    <w:name w:val="Copyright text"/>
    <w:rsid w:val="00E956EA"/>
    <w:rPr>
      <w:sz w:val="18"/>
    </w:rPr>
  </w:style>
  <w:style w:type="character" w:styleId="Hyperlink">
    <w:name w:val="Hyperlink"/>
    <w:basedOn w:val="DefaultParagraphFont"/>
    <w:uiPriority w:val="99"/>
    <w:unhideWhenUsed/>
    <w:rsid w:val="00E956EA"/>
    <w:rPr>
      <w:color w:val="0000FF" w:themeColor="hyperlink"/>
      <w:u w:val="single"/>
    </w:rPr>
  </w:style>
  <w:style w:type="paragraph" w:styleId="Header">
    <w:name w:val="header"/>
    <w:basedOn w:val="Normal"/>
    <w:link w:val="HeaderChar"/>
    <w:uiPriority w:val="99"/>
    <w:unhideWhenUsed/>
    <w:rsid w:val="00F844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44FD"/>
  </w:style>
  <w:style w:type="paragraph" w:styleId="Footer">
    <w:name w:val="footer"/>
    <w:basedOn w:val="Normal"/>
    <w:link w:val="FooterChar"/>
    <w:uiPriority w:val="99"/>
    <w:unhideWhenUsed/>
    <w:rsid w:val="00F844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44FD"/>
  </w:style>
  <w:style w:type="paragraph" w:styleId="Revision">
    <w:name w:val="Revision"/>
    <w:hidden/>
    <w:uiPriority w:val="99"/>
    <w:semiHidden/>
    <w:rsid w:val="00E80314"/>
    <w:pPr>
      <w:spacing w:after="0" w:line="240" w:lineRule="auto"/>
    </w:pPr>
  </w:style>
  <w:style w:type="character" w:styleId="FollowedHyperlink">
    <w:name w:val="FollowedHyperlink"/>
    <w:basedOn w:val="DefaultParagraphFont"/>
    <w:uiPriority w:val="99"/>
    <w:semiHidden/>
    <w:unhideWhenUsed/>
    <w:rsid w:val="00B0538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956EA"/>
    <w:pPr>
      <w:keepNext/>
      <w:keepLines/>
      <w:spacing w:before="480" w:after="0"/>
      <w:jc w:val="center"/>
      <w:outlineLvl w:val="0"/>
    </w:pPr>
    <w:rPr>
      <w:rFonts w:eastAsiaTheme="majorEastAsia" w:cstheme="majorBidi"/>
      <w:b/>
      <w:bCs/>
      <w:sz w:val="3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CE7ADB"/>
    <w:pPr>
      <w:spacing w:after="0" w:line="240" w:lineRule="auto"/>
    </w:pPr>
    <w:rPr>
      <w:rFonts w:ascii="Calibri" w:eastAsia="Times New Roman" w:hAnsi="Calibri" w:cs="Times New Roman"/>
      <w:sz w:val="20"/>
      <w:szCs w:val="20"/>
      <w:lang w:val="en-GB" w:eastAsia="en-AU"/>
    </w:rPr>
  </w:style>
  <w:style w:type="character" w:customStyle="1" w:styleId="FootnoteTextChar">
    <w:name w:val="Footnote Text Char"/>
    <w:basedOn w:val="DefaultParagraphFont"/>
    <w:link w:val="FootnoteText"/>
    <w:rsid w:val="00CE7ADB"/>
    <w:rPr>
      <w:rFonts w:ascii="Calibri" w:eastAsia="Times New Roman" w:hAnsi="Calibri" w:cs="Times New Roman"/>
      <w:sz w:val="20"/>
      <w:szCs w:val="20"/>
      <w:lang w:val="en-GB" w:eastAsia="en-AU"/>
    </w:rPr>
  </w:style>
  <w:style w:type="character" w:styleId="FootnoteReference">
    <w:name w:val="footnote reference"/>
    <w:rsid w:val="00CE7ADB"/>
    <w:rPr>
      <w:vertAlign w:val="superscript"/>
    </w:rPr>
  </w:style>
  <w:style w:type="paragraph" w:styleId="ListParagraph">
    <w:name w:val="List Paragraph"/>
    <w:basedOn w:val="Normal"/>
    <w:uiPriority w:val="34"/>
    <w:qFormat/>
    <w:rsid w:val="00F15A36"/>
    <w:pPr>
      <w:ind w:left="720"/>
      <w:contextualSpacing/>
    </w:pPr>
  </w:style>
  <w:style w:type="character" w:styleId="CommentReference">
    <w:name w:val="annotation reference"/>
    <w:basedOn w:val="DefaultParagraphFont"/>
    <w:uiPriority w:val="99"/>
    <w:semiHidden/>
    <w:unhideWhenUsed/>
    <w:rsid w:val="00A60A9F"/>
    <w:rPr>
      <w:sz w:val="16"/>
      <w:szCs w:val="16"/>
    </w:rPr>
  </w:style>
  <w:style w:type="paragraph" w:styleId="CommentText">
    <w:name w:val="annotation text"/>
    <w:basedOn w:val="Normal"/>
    <w:link w:val="CommentTextChar"/>
    <w:uiPriority w:val="99"/>
    <w:semiHidden/>
    <w:unhideWhenUsed/>
    <w:rsid w:val="00A60A9F"/>
    <w:pPr>
      <w:spacing w:line="240" w:lineRule="auto"/>
    </w:pPr>
    <w:rPr>
      <w:sz w:val="20"/>
      <w:szCs w:val="20"/>
    </w:rPr>
  </w:style>
  <w:style w:type="character" w:customStyle="1" w:styleId="CommentTextChar">
    <w:name w:val="Comment Text Char"/>
    <w:basedOn w:val="DefaultParagraphFont"/>
    <w:link w:val="CommentText"/>
    <w:uiPriority w:val="99"/>
    <w:semiHidden/>
    <w:rsid w:val="00A60A9F"/>
    <w:rPr>
      <w:sz w:val="20"/>
      <w:szCs w:val="20"/>
    </w:rPr>
  </w:style>
  <w:style w:type="paragraph" w:styleId="CommentSubject">
    <w:name w:val="annotation subject"/>
    <w:basedOn w:val="CommentText"/>
    <w:next w:val="CommentText"/>
    <w:link w:val="CommentSubjectChar"/>
    <w:uiPriority w:val="99"/>
    <w:semiHidden/>
    <w:unhideWhenUsed/>
    <w:rsid w:val="00A60A9F"/>
    <w:rPr>
      <w:b/>
      <w:bCs/>
    </w:rPr>
  </w:style>
  <w:style w:type="character" w:customStyle="1" w:styleId="CommentSubjectChar">
    <w:name w:val="Comment Subject Char"/>
    <w:basedOn w:val="CommentTextChar"/>
    <w:link w:val="CommentSubject"/>
    <w:uiPriority w:val="99"/>
    <w:semiHidden/>
    <w:rsid w:val="00A60A9F"/>
    <w:rPr>
      <w:b/>
      <w:bCs/>
      <w:sz w:val="20"/>
      <w:szCs w:val="20"/>
    </w:rPr>
  </w:style>
  <w:style w:type="paragraph" w:styleId="BalloonText">
    <w:name w:val="Balloon Text"/>
    <w:basedOn w:val="Normal"/>
    <w:link w:val="BalloonTextChar"/>
    <w:uiPriority w:val="99"/>
    <w:semiHidden/>
    <w:unhideWhenUsed/>
    <w:rsid w:val="00A60A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0A9F"/>
    <w:rPr>
      <w:rFonts w:ascii="Tahoma" w:hAnsi="Tahoma" w:cs="Tahoma"/>
      <w:sz w:val="16"/>
      <w:szCs w:val="16"/>
    </w:rPr>
  </w:style>
  <w:style w:type="character" w:customStyle="1" w:styleId="Heading1Char">
    <w:name w:val="Heading 1 Char"/>
    <w:basedOn w:val="DefaultParagraphFont"/>
    <w:link w:val="Heading1"/>
    <w:uiPriority w:val="9"/>
    <w:rsid w:val="00E956EA"/>
    <w:rPr>
      <w:rFonts w:eastAsiaTheme="majorEastAsia" w:cstheme="majorBidi"/>
      <w:b/>
      <w:bCs/>
      <w:sz w:val="36"/>
      <w:szCs w:val="28"/>
    </w:rPr>
  </w:style>
  <w:style w:type="character" w:styleId="Strong">
    <w:name w:val="Strong"/>
    <w:basedOn w:val="DefaultParagraphFont"/>
    <w:uiPriority w:val="22"/>
    <w:qFormat/>
    <w:rsid w:val="00E956EA"/>
    <w:rPr>
      <w:b/>
      <w:bCs/>
    </w:rPr>
  </w:style>
  <w:style w:type="character" w:customStyle="1" w:styleId="Copyrighttext">
    <w:name w:val="Copyright text"/>
    <w:rsid w:val="00E956EA"/>
    <w:rPr>
      <w:sz w:val="18"/>
    </w:rPr>
  </w:style>
  <w:style w:type="character" w:styleId="Hyperlink">
    <w:name w:val="Hyperlink"/>
    <w:basedOn w:val="DefaultParagraphFont"/>
    <w:uiPriority w:val="99"/>
    <w:unhideWhenUsed/>
    <w:rsid w:val="00E956EA"/>
    <w:rPr>
      <w:color w:val="0000FF" w:themeColor="hyperlink"/>
      <w:u w:val="single"/>
    </w:rPr>
  </w:style>
  <w:style w:type="paragraph" w:styleId="Header">
    <w:name w:val="header"/>
    <w:basedOn w:val="Normal"/>
    <w:link w:val="HeaderChar"/>
    <w:uiPriority w:val="99"/>
    <w:unhideWhenUsed/>
    <w:rsid w:val="00F844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44FD"/>
  </w:style>
  <w:style w:type="paragraph" w:styleId="Footer">
    <w:name w:val="footer"/>
    <w:basedOn w:val="Normal"/>
    <w:link w:val="FooterChar"/>
    <w:uiPriority w:val="99"/>
    <w:unhideWhenUsed/>
    <w:rsid w:val="00F844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44FD"/>
  </w:style>
  <w:style w:type="paragraph" w:styleId="Revision">
    <w:name w:val="Revision"/>
    <w:hidden/>
    <w:uiPriority w:val="99"/>
    <w:semiHidden/>
    <w:rsid w:val="00E80314"/>
    <w:pPr>
      <w:spacing w:after="0" w:line="240" w:lineRule="auto"/>
    </w:pPr>
  </w:style>
  <w:style w:type="character" w:styleId="FollowedHyperlink">
    <w:name w:val="FollowedHyperlink"/>
    <w:basedOn w:val="DefaultParagraphFont"/>
    <w:uiPriority w:val="99"/>
    <w:semiHidden/>
    <w:unhideWhenUsed/>
    <w:rsid w:val="00B0538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6419274">
      <w:bodyDiv w:val="1"/>
      <w:marLeft w:val="0"/>
      <w:marRight w:val="0"/>
      <w:marTop w:val="0"/>
      <w:marBottom w:val="0"/>
      <w:divBdr>
        <w:top w:val="none" w:sz="0" w:space="0" w:color="auto"/>
        <w:left w:val="none" w:sz="0" w:space="0" w:color="auto"/>
        <w:bottom w:val="none" w:sz="0" w:space="0" w:color="auto"/>
        <w:right w:val="none" w:sz="0" w:space="0" w:color="auto"/>
      </w:divBdr>
      <w:divsChild>
        <w:div w:id="1769538770">
          <w:marLeft w:val="274"/>
          <w:marRight w:val="0"/>
          <w:marTop w:val="0"/>
          <w:marBottom w:val="0"/>
          <w:divBdr>
            <w:top w:val="none" w:sz="0" w:space="0" w:color="auto"/>
            <w:left w:val="none" w:sz="0" w:space="0" w:color="auto"/>
            <w:bottom w:val="none" w:sz="0" w:space="0" w:color="auto"/>
            <w:right w:val="none" w:sz="0" w:space="0" w:color="auto"/>
          </w:divBdr>
        </w:div>
        <w:div w:id="1871524777">
          <w:marLeft w:val="274"/>
          <w:marRight w:val="0"/>
          <w:marTop w:val="0"/>
          <w:marBottom w:val="0"/>
          <w:divBdr>
            <w:top w:val="none" w:sz="0" w:space="0" w:color="auto"/>
            <w:left w:val="none" w:sz="0" w:space="0" w:color="auto"/>
            <w:bottom w:val="none" w:sz="0" w:space="0" w:color="auto"/>
            <w:right w:val="none" w:sz="0" w:space="0" w:color="auto"/>
          </w:divBdr>
        </w:div>
        <w:div w:id="1288512493">
          <w:marLeft w:val="274"/>
          <w:marRight w:val="0"/>
          <w:marTop w:val="0"/>
          <w:marBottom w:val="0"/>
          <w:divBdr>
            <w:top w:val="none" w:sz="0" w:space="0" w:color="auto"/>
            <w:left w:val="none" w:sz="0" w:space="0" w:color="auto"/>
            <w:bottom w:val="none" w:sz="0" w:space="0" w:color="auto"/>
            <w:right w:val="none" w:sz="0" w:space="0" w:color="auto"/>
          </w:divBdr>
        </w:div>
      </w:divsChild>
    </w:div>
    <w:div w:id="1125006180">
      <w:bodyDiv w:val="1"/>
      <w:marLeft w:val="0"/>
      <w:marRight w:val="0"/>
      <w:marTop w:val="0"/>
      <w:marBottom w:val="0"/>
      <w:divBdr>
        <w:top w:val="none" w:sz="0" w:space="0" w:color="auto"/>
        <w:left w:val="none" w:sz="0" w:space="0" w:color="auto"/>
        <w:bottom w:val="none" w:sz="0" w:space="0" w:color="auto"/>
        <w:right w:val="none" w:sz="0" w:space="0" w:color="auto"/>
      </w:divBdr>
      <w:divsChild>
        <w:div w:id="1441488165">
          <w:marLeft w:val="994"/>
          <w:marRight w:val="0"/>
          <w:marTop w:val="0"/>
          <w:marBottom w:val="0"/>
          <w:divBdr>
            <w:top w:val="none" w:sz="0" w:space="0" w:color="auto"/>
            <w:left w:val="none" w:sz="0" w:space="0" w:color="auto"/>
            <w:bottom w:val="none" w:sz="0" w:space="0" w:color="auto"/>
            <w:right w:val="none" w:sz="0" w:space="0" w:color="auto"/>
          </w:divBdr>
        </w:div>
        <w:div w:id="373190589">
          <w:marLeft w:val="99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publishing.unit@accc.gov.au" TargetMode="External"/><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jpeg"/><Relationship Id="rId22" Type="http://schemas.openxmlformats.org/officeDocument/2006/relationships/footer" Target="footer4.xml"/></Relationships>
</file>

<file path=word/_rels/footnotes.xml.rels><?xml version="1.0" encoding="UTF-8" standalone="yes"?>
<Relationships xmlns="http://schemas.openxmlformats.org/package/2006/relationships"><Relationship Id="rId3" Type="http://schemas.openxmlformats.org/officeDocument/2006/relationships/hyperlink" Target="http://www.nbnco.com.au/connect-home-or-business/information-for-home/whats-involved-in-getting-connected/service-provider-list.html" TargetMode="External"/><Relationship Id="rId2" Type="http://schemas.openxmlformats.org/officeDocument/2006/relationships/hyperlink" Target="http://acma.gov.au/theACMA/engage-blogs/engage-blogs/Research-snapshots/Regional-Australians-online" TargetMode="External"/><Relationship Id="rId1" Type="http://schemas.openxmlformats.org/officeDocument/2006/relationships/hyperlink" Target="http://acma.gov.au/theACMA/engage-blogs/engage-blogs/Research-snapshots/Regional-Australians-onl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rocessed xmlns="8044c801-d84b-4ee1-a77e-678f8dcdee17">false</Processed>
    <Conf xmlns="8044c801-d84b-4ee1-a77e-678f8dcdee17">false</Conf>
    <TaxKeywordTaxHTField xmlns="3f4bcce7-ac1a-4c9d-aa3e-7e77695652db">
      <Terms xmlns="http://schemas.microsoft.com/office/infopath/2007/PartnerControls"/>
    </TaxKeywordTaxHTField>
    <Archive xmlns="8044c801-d84b-4ee1-a77e-678f8dcdee17">false</Archiv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2.xml><?xml version="1.0" encoding="utf-8"?>
<?mso-contentType ?>
<SharedContentType xmlns="Microsoft.SharePoint.Taxonomy.ContentTypeSync" SourceId="70da5c63-8548-4ac8-9616-83b0f373280e" ContentTypeId="0x0101007916246811615643A710C6FEAFF56A871105" PreviousValue="false"/>
</file>

<file path=customXml/item3.xml><?xml version="1.0" encoding="utf-8"?>
<?mso-contentType ?>
<customXsn xmlns="http://schemas.microsoft.com/office/2006/metadata/customXsn">
  <xsnLocation/>
  <cached>True</cached>
  <openByDefault>False</openByDefault>
  <xsnScope/>
</customXsn>
</file>

<file path=customXml/item4.xml><?xml version="1.0" encoding="utf-8"?>
<?mso-contentType ?>
<spe:Receivers xmlns:spe="http://schemas.microsoft.com/sharepoint/events"/>
</file>

<file path=customXml/item5.xml><?xml version="1.0" encoding="utf-8"?>
<ct:contentTypeSchema xmlns:ct="http://schemas.microsoft.com/office/2006/metadata/contentType" xmlns:ma="http://schemas.microsoft.com/office/2006/metadata/properties/metaAttributes" ct:_="" ma:_="" ma:contentTypeName="Subs" ma:contentTypeID="0x0101007916246811615643A710C6FEAFF56A87110500A4BACF5810D60A4786FE0EE710FE46A4" ma:contentTypeVersion="0" ma:contentTypeDescription="" ma:contentTypeScope="" ma:versionID="719c92c6f052a7ef3f6cffbc29b4ce5a">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db5c8b4080e25c2dfc6fbaadeaa34413"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7" nillable="true" ma:displayName="Processed" ma:default="0" ma:internalName="Processed">
      <xsd:simpleType>
        <xsd:restriction base="dms:Boolean"/>
      </xsd:simpleType>
    </xsd:element>
    <xsd:element name="Archive" ma:index="18" nillable="true" ma:displayName="Archive" ma:default="0" ma:internalName="Archive">
      <xsd:simpleType>
        <xsd:restriction base="dms:Boolean"/>
      </xsd:simpleType>
    </xsd:element>
    <xsd:element name="Conf" ma:index="19" nillable="true" ma:displayName="Conf" ma:default="0" ma:description="Is File confidential?" ma:internalName="Con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54BF74-A29F-4E46-A7FF-8900D92496B8}">
  <ds:schemaRefs>
    <ds:schemaRef ds:uri="http://www.w3.org/XML/1998/namespace"/>
    <ds:schemaRef ds:uri="http://schemas.microsoft.com/office/infopath/2007/PartnerControls"/>
    <ds:schemaRef ds:uri="http://schemas.microsoft.com/office/2006/metadata/properties"/>
    <ds:schemaRef ds:uri="http://schemas.microsoft.com/office/2006/documentManagement/types"/>
    <ds:schemaRef ds:uri="8044c801-d84b-4ee1-a77e-678f8dcdee17"/>
    <ds:schemaRef ds:uri="http://purl.org/dc/terms/"/>
    <ds:schemaRef ds:uri="http://purl.org/dc/elements/1.1/"/>
    <ds:schemaRef ds:uri="http://schemas.openxmlformats.org/package/2006/metadata/core-properties"/>
    <ds:schemaRef ds:uri="3f4bcce7-ac1a-4c9d-aa3e-7e77695652db"/>
    <ds:schemaRef ds:uri="http://purl.org/dc/dcmitype/"/>
  </ds:schemaRefs>
</ds:datastoreItem>
</file>

<file path=customXml/itemProps2.xml><?xml version="1.0" encoding="utf-8"?>
<ds:datastoreItem xmlns:ds="http://schemas.openxmlformats.org/officeDocument/2006/customXml" ds:itemID="{F23CC6C7-9A01-49B6-9DE2-3E1FA2182C2B}">
  <ds:schemaRefs>
    <ds:schemaRef ds:uri="Microsoft.SharePoint.Taxonomy.ContentTypeSync"/>
  </ds:schemaRefs>
</ds:datastoreItem>
</file>

<file path=customXml/itemProps3.xml><?xml version="1.0" encoding="utf-8"?>
<ds:datastoreItem xmlns:ds="http://schemas.openxmlformats.org/officeDocument/2006/customXml" ds:itemID="{433D7934-ED15-49B5-8B0A-2BEA98CC004B}">
  <ds:schemaRefs>
    <ds:schemaRef ds:uri="http://schemas.microsoft.com/office/2006/metadata/customXsn"/>
  </ds:schemaRefs>
</ds:datastoreItem>
</file>

<file path=customXml/itemProps4.xml><?xml version="1.0" encoding="utf-8"?>
<ds:datastoreItem xmlns:ds="http://schemas.openxmlformats.org/officeDocument/2006/customXml" ds:itemID="{8EEC8690-837B-4A83-BD52-1ABF57CFDF09}">
  <ds:schemaRefs>
    <ds:schemaRef ds:uri="http://schemas.microsoft.com/sharepoint/events"/>
  </ds:schemaRefs>
</ds:datastoreItem>
</file>

<file path=customXml/itemProps5.xml><?xml version="1.0" encoding="utf-8"?>
<ds:datastoreItem xmlns:ds="http://schemas.openxmlformats.org/officeDocument/2006/customXml" ds:itemID="{EC8CC8D5-CB2E-46B3-94AA-9919475398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AEF725C-CDDF-4D70-A930-20839DBBFA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4101</Words>
  <Characters>23382</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Submission 40 - Australian Competition and Consumer Commission (ACCC) - Telecommunications Universal Service Obligation - Public inquiry</vt:lpstr>
    </vt:vector>
  </TitlesOfParts>
  <Company>Australian Competition and Consumer Commission (ACCC)</Company>
  <LinksUpToDate>false</LinksUpToDate>
  <CharactersWithSpaces>27429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40 - Australian Competition and Consumer Commission (ACCC) - Telecommunications Universal Service Obligation - Public inquiry</dc:title>
  <dc:creator>Australian Competition and Consumer Commission (ACCC)</dc:creator>
  <cp:keywords/>
  <cp:lastModifiedBy>Productivity Commission</cp:lastModifiedBy>
  <cp:revision>2</cp:revision>
  <dcterms:created xsi:type="dcterms:W3CDTF">2016-07-21T05:44:00Z</dcterms:created>
  <dcterms:modified xsi:type="dcterms:W3CDTF">2016-07-22T03:33:00Z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0x0101007916246811615643A710C6FEAFF56A87110500A4BACF5810D60A4786FE0EE710FE46A4</vt:lpwstr>
  </property>
  <property fmtid="{D5CDD505-2E9C-101B-9397-08002B2CF9AE}" pid="3" name="c401844703f64372bb0e85d87d761fe6">
    <vt:lpwstr>Reference Only|923c7a19-3b10-4b1a-aa53-490b73d512fc</vt:lpwstr>
  </property>
  <property fmtid="{D5CDD505-2E9C-101B-9397-08002B2CF9AE}" pid="4" name="Order">
    <vt:r8>6000</vt:r8>
  </property>
  <property fmtid="{D5CDD505-2E9C-101B-9397-08002B2CF9AE}" pid="5" name="TaxKeyword">
    <vt:lpwstr/>
  </property>
  <property fmtid="{D5CDD505-2E9C-101B-9397-08002B2CF9AE}" pid="6" name="Record Tag">
    <vt:lpwstr>139;#Submissions|c6e0dbf8-5444-433c-844d-d567dd519a05</vt:lpwstr>
  </property>
  <property fmtid="{D5CDD505-2E9C-101B-9397-08002B2CF9AE}" pid="7" name="Retain">
    <vt:lpwstr>138;#Reference Only|923c7a19-3b10-4b1a-aa53-490b73d512fc</vt:lpwstr>
  </property>
</Properties>
</file>