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FFBBF" w14:textId="77777777" w:rsidR="00E535CF" w:rsidRPr="00B74347" w:rsidRDefault="0092374A" w:rsidP="00B74347">
      <w:pPr>
        <w:spacing w:before="1400"/>
        <w:ind w:left="1134"/>
        <w:jc w:val="both"/>
      </w:pPr>
      <w:bookmarkStart w:id="0" w:name="_GoBack"/>
      <w:bookmarkEnd w:id="0"/>
      <w:r w:rsidRPr="00B74347">
        <w:rPr>
          <w:noProof/>
          <w:lang w:val="en-AU" w:eastAsia="en-AU"/>
        </w:rPr>
        <w:drawing>
          <wp:anchor distT="0" distB="0" distL="114300" distR="114300" simplePos="0" relativeHeight="251657728" behindDoc="1" locked="0" layoutInCell="1" allowOverlap="1" wp14:anchorId="033A381B" wp14:editId="6B871F4D">
            <wp:simplePos x="0" y="0"/>
            <wp:positionH relativeFrom="column">
              <wp:posOffset>495935</wp:posOffset>
            </wp:positionH>
            <wp:positionV relativeFrom="paragraph">
              <wp:posOffset>-73660</wp:posOffset>
            </wp:positionV>
            <wp:extent cx="2262505" cy="1058545"/>
            <wp:effectExtent l="0" t="0" r="0" b="8255"/>
            <wp:wrapNone/>
            <wp:docPr id="3" name="Picture 11" descr="Description: USY_MB1_RGB_1_Colour_Stand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USY_MB1_RGB_1_Colour_Standard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2505" cy="1058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F98DED" w14:textId="2FC5588D" w:rsidR="00C4267C" w:rsidRPr="00B74347" w:rsidRDefault="0043000F" w:rsidP="0043000F">
      <w:pPr>
        <w:pStyle w:val="Title"/>
        <w:spacing w:before="200"/>
      </w:pPr>
      <w:r>
        <w:t xml:space="preserve">    Response to Position Paper</w:t>
      </w:r>
    </w:p>
    <w:p w14:paraId="10C69824" w14:textId="77777777" w:rsidR="00805EE7" w:rsidRDefault="00805EE7" w:rsidP="00805EE7">
      <w:pPr>
        <w:jc w:val="center"/>
        <w:rPr>
          <w:rFonts w:ascii="Goudy Old Style" w:hAnsi="Goudy Old Style" w:cs="Goudy Old Style"/>
          <w:color w:val="211D1E"/>
          <w:sz w:val="42"/>
          <w:szCs w:val="42"/>
        </w:rPr>
      </w:pPr>
    </w:p>
    <w:p w14:paraId="2DC744CB" w14:textId="77777777" w:rsidR="00805EE7" w:rsidRDefault="00805EE7" w:rsidP="00805EE7">
      <w:pPr>
        <w:jc w:val="center"/>
        <w:rPr>
          <w:rFonts w:ascii="Goudy Old Style" w:hAnsi="Goudy Old Style" w:cs="Goudy Old Style"/>
          <w:color w:val="211D1E"/>
          <w:sz w:val="42"/>
          <w:szCs w:val="42"/>
        </w:rPr>
      </w:pPr>
    </w:p>
    <w:p w14:paraId="50A6DD90" w14:textId="77777777" w:rsidR="00805EE7" w:rsidRPr="00805EE7" w:rsidRDefault="00805EE7" w:rsidP="00805EE7">
      <w:pPr>
        <w:pStyle w:val="Heading1"/>
        <w:jc w:val="center"/>
      </w:pPr>
      <w:r w:rsidRPr="00805EE7">
        <w:t>Productivity Commission Review of National Disability Insurance Scheme (NDIS) Costs</w:t>
      </w:r>
    </w:p>
    <w:p w14:paraId="2C8EB189" w14:textId="77777777" w:rsidR="00805EE7" w:rsidRPr="00805EE7" w:rsidRDefault="00805EE7" w:rsidP="00805EE7">
      <w:pPr>
        <w:pStyle w:val="Heading1"/>
        <w:jc w:val="center"/>
      </w:pPr>
    </w:p>
    <w:p w14:paraId="793D8E89" w14:textId="77777777" w:rsidR="00805EE7" w:rsidRPr="00805EE7" w:rsidRDefault="00805EE7" w:rsidP="00805EE7">
      <w:pPr>
        <w:pStyle w:val="Heading1"/>
        <w:jc w:val="center"/>
      </w:pPr>
      <w:r w:rsidRPr="00805EE7">
        <w:t>Richard Madden</w:t>
      </w:r>
    </w:p>
    <w:p w14:paraId="49921FB2" w14:textId="77777777" w:rsidR="00805EE7" w:rsidRPr="00805EE7" w:rsidRDefault="00805EE7" w:rsidP="00805EE7">
      <w:pPr>
        <w:pStyle w:val="Heading1"/>
        <w:jc w:val="center"/>
        <w:rPr>
          <w:color w:val="211D1E"/>
        </w:rPr>
      </w:pPr>
    </w:p>
    <w:p w14:paraId="05D6C84F" w14:textId="77777777" w:rsidR="00805EE7" w:rsidRDefault="00805EE7" w:rsidP="00805EE7">
      <w:pPr>
        <w:jc w:val="center"/>
        <w:rPr>
          <w:rFonts w:ascii="Goudy Old Style" w:hAnsi="Goudy Old Style" w:cs="Goudy Old Style"/>
          <w:color w:val="211D1E"/>
          <w:sz w:val="42"/>
          <w:szCs w:val="42"/>
        </w:rPr>
      </w:pPr>
    </w:p>
    <w:p w14:paraId="1BCF2D9B" w14:textId="77777777" w:rsidR="00805EE7" w:rsidRDefault="00805EE7" w:rsidP="00805EE7">
      <w:pPr>
        <w:jc w:val="center"/>
        <w:rPr>
          <w:rFonts w:ascii="Goudy Old Style" w:hAnsi="Goudy Old Style" w:cs="Goudy Old Style"/>
          <w:color w:val="211D1E"/>
          <w:sz w:val="42"/>
          <w:szCs w:val="42"/>
        </w:rPr>
      </w:pPr>
    </w:p>
    <w:p w14:paraId="761561E8" w14:textId="77777777" w:rsidR="00011BAF" w:rsidRPr="00B74347" w:rsidRDefault="0023662B" w:rsidP="00E24F93">
      <w:pPr>
        <w:pStyle w:val="Title"/>
        <w:jc w:val="both"/>
        <w:rPr>
          <w:b w:val="0"/>
          <w:sz w:val="40"/>
          <w:szCs w:val="40"/>
        </w:rPr>
      </w:pPr>
      <w:r w:rsidRPr="00366B84">
        <w:rPr>
          <w:b w:val="0"/>
          <w:noProof/>
          <w:sz w:val="40"/>
          <w:szCs w:val="40"/>
          <w:lang w:val="en-AU" w:eastAsia="en-AU"/>
        </w:rPr>
        <w:lastRenderedPageBreak/>
        <mc:AlternateContent>
          <mc:Choice Requires="wps">
            <w:drawing>
              <wp:anchor distT="0" distB="0" distL="114300" distR="114300" simplePos="0" relativeHeight="251664896" behindDoc="0" locked="0" layoutInCell="1" allowOverlap="1" wp14:anchorId="39C8AF5B" wp14:editId="62FC137E">
                <wp:simplePos x="0" y="0"/>
                <wp:positionH relativeFrom="column">
                  <wp:posOffset>731520</wp:posOffset>
                </wp:positionH>
                <wp:positionV relativeFrom="paragraph">
                  <wp:posOffset>4405630</wp:posOffset>
                </wp:positionV>
                <wp:extent cx="3339465"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465" cy="1403985"/>
                        </a:xfrm>
                        <a:prstGeom prst="rect">
                          <a:avLst/>
                        </a:prstGeom>
                        <a:noFill/>
                        <a:ln w="9525">
                          <a:noFill/>
                          <a:miter lim="800000"/>
                          <a:headEnd/>
                          <a:tailEnd/>
                        </a:ln>
                      </wps:spPr>
                      <wps:txbx>
                        <w:txbxContent>
                          <w:p w14:paraId="46CA4442" w14:textId="77777777" w:rsidR="00BB7620" w:rsidRPr="0023662B" w:rsidRDefault="00BB7620" w:rsidP="0023662B">
                            <w:pPr>
                              <w:rPr>
                                <w:b/>
                                <w:color w:val="FFFFFF" w:themeColor="background1"/>
                                <w:sz w:val="56"/>
                                <w:szCs w:val="56"/>
                              </w:rPr>
                            </w:pPr>
                            <w:r w:rsidRPr="0023662B">
                              <w:rPr>
                                <w:b/>
                                <w:color w:val="FFFFFF" w:themeColor="background1"/>
                                <w:sz w:val="56"/>
                                <w:szCs w:val="56"/>
                              </w:rPr>
                              <w:t>Centre for Disability Research and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39C8AF5B" id="_x0000_t202" coordsize="21600,21600" o:spt="202" path="m,l,21600r21600,l21600,xe">
                <v:stroke joinstyle="miter"/>
                <v:path gradientshapeok="t" o:connecttype="rect"/>
              </v:shapetype>
              <v:shape id="Text Box 2" o:spid="_x0000_s1026" type="#_x0000_t202" style="position:absolute;left:0;text-align:left;margin-left:57.6pt;margin-top:346.9pt;width:262.95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" filled="f" stroked="f">
                <v:textbox style="mso-fit-shape-to-text:t">
                  <w:txbxContent>
                    <w:p w14:paraId="46CA4442" w14:textId="77777777" w:rsidR="00BB7620" w:rsidRPr="0023662B" w:rsidRDefault="00BB7620" w:rsidP="0023662B">
                      <w:pPr>
                        <w:rPr>
                          <w:b/>
                          <w:color w:val="FFFFFF" w:themeColor="background1"/>
                          <w:sz w:val="56"/>
                          <w:szCs w:val="56"/>
                        </w:rPr>
                      </w:pPr>
                      <w:r w:rsidRPr="0023662B">
                        <w:rPr>
                          <w:b/>
                          <w:color w:val="FFFFFF" w:themeColor="background1"/>
                          <w:sz w:val="56"/>
                          <w:szCs w:val="56"/>
                        </w:rPr>
                        <w:t>Centre for Disability Research and Policy</w:t>
                      </w:r>
                    </w:p>
                  </w:txbxContent>
                </v:textbox>
              </v:shape>
            </w:pict>
          </mc:Fallback>
        </mc:AlternateContent>
      </w:r>
      <w:r w:rsidR="00011BAF" w:rsidRPr="00B74347">
        <w:rPr>
          <w:b w:val="0"/>
          <w:sz w:val="40"/>
          <w:szCs w:val="40"/>
        </w:rPr>
        <w:br w:type="page"/>
      </w:r>
      <w:r w:rsidR="001F540D">
        <w:rPr>
          <w:b w:val="0"/>
          <w:noProof/>
          <w:sz w:val="40"/>
          <w:szCs w:val="40"/>
          <w:lang w:val="en-AU" w:eastAsia="en-AU"/>
        </w:rPr>
        <w:drawing>
          <wp:anchor distT="0" distB="0" distL="114300" distR="114300" simplePos="0" relativeHeight="251666944" behindDoc="0" locked="0" layoutInCell="1" allowOverlap="1" wp14:anchorId="7B84B604" wp14:editId="2D47B137">
            <wp:simplePos x="0" y="0"/>
            <wp:positionH relativeFrom="column">
              <wp:posOffset>878205</wp:posOffset>
            </wp:positionH>
            <wp:positionV relativeFrom="paragraph">
              <wp:posOffset>-1266825</wp:posOffset>
            </wp:positionV>
            <wp:extent cx="5283200" cy="6692900"/>
            <wp:effectExtent l="0" t="0" r="0" b="0"/>
            <wp:wrapSquare wrapText="bothSides"/>
            <wp:docPr id="4" name="Picture 4" descr="Z:\Research Groups\Centre for Disability Research and Policy\IMAGES - CDRP and WHOCC\Sunshine Images\Sunshine_Art_studio_works\Helen_Cook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esearch Groups\Centre for Disability Research and Policy\IMAGES - CDRP and WHOCC\Sunshine Images\Sunshine_Art_studio_works\Helen_Cooke2.jp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t="1609" r="-116" b="13666"/>
                    <a:stretch/>
                  </pic:blipFill>
                  <pic:spPr bwMode="auto">
                    <a:xfrm>
                      <a:off x="0" y="0"/>
                      <a:ext cx="5283200" cy="6692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59EFE0" w14:textId="01A1FB80" w:rsidR="0023662B" w:rsidRPr="00A0143F" w:rsidRDefault="0043000F" w:rsidP="0023662B">
      <w:pPr>
        <w:pStyle w:val="Heading1"/>
      </w:pPr>
      <w:r>
        <w:lastRenderedPageBreak/>
        <w:t>Response to Position Paper</w:t>
      </w:r>
    </w:p>
    <w:p w14:paraId="6E54421C" w14:textId="77777777" w:rsidR="00894301" w:rsidRDefault="00894301" w:rsidP="0023662B">
      <w:pPr>
        <w:rPr>
          <w:bCs/>
          <w:sz w:val="40"/>
          <w:szCs w:val="26"/>
        </w:rPr>
      </w:pPr>
      <w:r>
        <w:rPr>
          <w:bCs/>
          <w:sz w:val="40"/>
          <w:szCs w:val="26"/>
        </w:rPr>
        <w:t>National Disability Insurance Scheme (</w:t>
      </w:r>
      <w:r w:rsidRPr="00894301">
        <w:rPr>
          <w:bCs/>
          <w:sz w:val="40"/>
          <w:szCs w:val="26"/>
        </w:rPr>
        <w:t>NDIS</w:t>
      </w:r>
      <w:r>
        <w:rPr>
          <w:bCs/>
          <w:sz w:val="40"/>
          <w:szCs w:val="26"/>
        </w:rPr>
        <w:t>)</w:t>
      </w:r>
      <w:r w:rsidRPr="00894301">
        <w:rPr>
          <w:bCs/>
          <w:sz w:val="40"/>
          <w:szCs w:val="26"/>
        </w:rPr>
        <w:t xml:space="preserve"> Costs </w:t>
      </w:r>
    </w:p>
    <w:p w14:paraId="31790EEE" w14:textId="77777777" w:rsidR="00894301" w:rsidRDefault="00894301" w:rsidP="00894301">
      <w:pPr>
        <w:rPr>
          <w:bCs/>
          <w:sz w:val="40"/>
          <w:szCs w:val="26"/>
        </w:rPr>
      </w:pPr>
      <w:r w:rsidRPr="00894301">
        <w:rPr>
          <w:bCs/>
          <w:sz w:val="40"/>
          <w:szCs w:val="26"/>
        </w:rPr>
        <w:t xml:space="preserve">Productivity Commission </w:t>
      </w:r>
    </w:p>
    <w:p w14:paraId="0C3E8386" w14:textId="77777777" w:rsidR="00894301" w:rsidRDefault="00894301" w:rsidP="00894301">
      <w:pPr>
        <w:pStyle w:val="Heading3"/>
      </w:pPr>
    </w:p>
    <w:p w14:paraId="554874F5" w14:textId="77777777" w:rsidR="00894301" w:rsidRDefault="00894301" w:rsidP="00894301"/>
    <w:p w14:paraId="57BBCD91" w14:textId="77777777" w:rsidR="00894301" w:rsidRDefault="00894301" w:rsidP="00894301"/>
    <w:p w14:paraId="5ACA2976" w14:textId="77777777" w:rsidR="00894301" w:rsidRDefault="00894301" w:rsidP="00894301"/>
    <w:p w14:paraId="18A58264" w14:textId="45E3BCAA" w:rsidR="00894301" w:rsidRDefault="0043000F" w:rsidP="00894301">
      <w:pPr>
        <w:pStyle w:val="Heading4"/>
      </w:pPr>
      <w:r>
        <w:t>July</w:t>
      </w:r>
      <w:r w:rsidR="00894301">
        <w:t xml:space="preserve"> 2017</w:t>
      </w:r>
    </w:p>
    <w:p w14:paraId="2087E6BC" w14:textId="77777777" w:rsidR="00894301" w:rsidRDefault="00894301" w:rsidP="00894301">
      <w:pPr>
        <w:rPr>
          <w:sz w:val="24"/>
        </w:rPr>
      </w:pPr>
    </w:p>
    <w:p w14:paraId="18AB7AD0" w14:textId="77777777" w:rsidR="00894301" w:rsidRPr="004D6D47" w:rsidRDefault="00894301" w:rsidP="00894301">
      <w:pPr>
        <w:rPr>
          <w:sz w:val="24"/>
        </w:rPr>
      </w:pPr>
      <w:r w:rsidRPr="004D6D47">
        <w:rPr>
          <w:sz w:val="24"/>
        </w:rPr>
        <w:t>Centre for Disability Research and Policy</w:t>
      </w:r>
    </w:p>
    <w:p w14:paraId="0593401A" w14:textId="77777777" w:rsidR="00894301" w:rsidRDefault="00894301" w:rsidP="00894301">
      <w:pPr>
        <w:rPr>
          <w:sz w:val="24"/>
        </w:rPr>
      </w:pPr>
      <w:r w:rsidRPr="004D6D47">
        <w:rPr>
          <w:sz w:val="24"/>
        </w:rPr>
        <w:t>Faculty of Health Sciences, University of Sydney</w:t>
      </w:r>
    </w:p>
    <w:p w14:paraId="7D0EE44F" w14:textId="77777777" w:rsidR="00894301" w:rsidRDefault="00894301" w:rsidP="00894301">
      <w:pPr>
        <w:rPr>
          <w:sz w:val="24"/>
        </w:rPr>
      </w:pPr>
    </w:p>
    <w:p w14:paraId="3F5993C0" w14:textId="77777777" w:rsidR="00894301" w:rsidRPr="00E95AEB" w:rsidRDefault="00894301" w:rsidP="00894301">
      <w:pPr>
        <w:rPr>
          <w:b/>
        </w:rPr>
      </w:pPr>
    </w:p>
    <w:p w14:paraId="6A85F9B3" w14:textId="77777777" w:rsidR="00894301" w:rsidRDefault="00894301" w:rsidP="00894301">
      <w:pPr>
        <w:ind w:firstLine="1134"/>
      </w:pPr>
    </w:p>
    <w:p w14:paraId="30C936C6" w14:textId="77777777" w:rsidR="00894301" w:rsidRPr="004519B4" w:rsidRDefault="00894301" w:rsidP="00894301">
      <w:pPr>
        <w:spacing w:before="120"/>
        <w:rPr>
          <w:b/>
          <w:color w:val="E64626"/>
          <w:sz w:val="26"/>
          <w:szCs w:val="26"/>
        </w:rPr>
      </w:pPr>
      <w:r w:rsidRPr="004519B4">
        <w:rPr>
          <w:b/>
          <w:color w:val="E64626"/>
          <w:sz w:val="26"/>
          <w:szCs w:val="26"/>
        </w:rPr>
        <w:t>Author</w:t>
      </w:r>
    </w:p>
    <w:p w14:paraId="32470F3D" w14:textId="77777777" w:rsidR="00805EE7" w:rsidRDefault="00654035" w:rsidP="00805EE7">
      <w:pPr>
        <w:spacing w:before="60"/>
        <w:rPr>
          <w:sz w:val="24"/>
        </w:rPr>
      </w:pPr>
      <w:r w:rsidRPr="00654035">
        <w:rPr>
          <w:sz w:val="24"/>
        </w:rPr>
        <w:t>Professor Richard Madden, NDIS Stream Leader, Centre for Disability Research and Policy, University of Sydney</w:t>
      </w:r>
    </w:p>
    <w:p w14:paraId="6B2071AC" w14:textId="77777777" w:rsidR="00805EE7" w:rsidRDefault="00805EE7" w:rsidP="00805EE7">
      <w:pPr>
        <w:spacing w:before="60"/>
        <w:rPr>
          <w:sz w:val="24"/>
        </w:rPr>
      </w:pPr>
    </w:p>
    <w:p w14:paraId="56B5BD82" w14:textId="77777777" w:rsidR="00805EE7" w:rsidRPr="00805EE7" w:rsidRDefault="00805EE7" w:rsidP="00805EE7">
      <w:pPr>
        <w:spacing w:before="60"/>
        <w:rPr>
          <w:noProof/>
          <w:color w:val="auto"/>
          <w:sz w:val="40"/>
          <w:szCs w:val="40"/>
        </w:rPr>
      </w:pPr>
      <w:r w:rsidRPr="00805EE7">
        <w:rPr>
          <w:sz w:val="24"/>
        </w:rPr>
        <w:t>R</w:t>
      </w:r>
      <w:r w:rsidRPr="00805EE7">
        <w:rPr>
          <w:rFonts w:cs="Goudy Old Style"/>
          <w:color w:val="auto"/>
          <w:sz w:val="24"/>
        </w:rPr>
        <w:t>ichard Madden</w:t>
      </w:r>
      <w:r w:rsidRPr="00805EE7">
        <w:rPr>
          <w:bCs/>
          <w:color w:val="auto"/>
          <w:sz w:val="24"/>
        </w:rPr>
        <w:t xml:space="preserve"> is Professor of Health Statistics at the University of Sydney</w:t>
      </w:r>
      <w:r>
        <w:rPr>
          <w:bCs/>
          <w:color w:val="auto"/>
          <w:sz w:val="24"/>
        </w:rPr>
        <w:t>. He is a statistician and actuary</w:t>
      </w:r>
      <w:r w:rsidRPr="00805EE7">
        <w:rPr>
          <w:bCs/>
          <w:color w:val="auto"/>
          <w:sz w:val="24"/>
        </w:rPr>
        <w:t>. He is Chair of House with No Steps, a major Australian disability service provider and a Board member of Royal Rehab. He chairs the Advisory Board for the NDS Centre for Applied Disability Research</w:t>
      </w:r>
    </w:p>
    <w:p w14:paraId="1533FEF8" w14:textId="77777777" w:rsidR="00805EE7" w:rsidRPr="00805EE7" w:rsidRDefault="00805EE7" w:rsidP="00654035">
      <w:pPr>
        <w:spacing w:before="60"/>
        <w:rPr>
          <w:color w:val="auto"/>
          <w:sz w:val="24"/>
        </w:rPr>
      </w:pPr>
    </w:p>
    <w:p w14:paraId="06C9224D" w14:textId="77777777" w:rsidR="00894301" w:rsidRPr="004D6D47" w:rsidRDefault="00894301" w:rsidP="00894301">
      <w:pPr>
        <w:rPr>
          <w:sz w:val="24"/>
        </w:rPr>
      </w:pPr>
    </w:p>
    <w:p w14:paraId="6D358BE8" w14:textId="77777777" w:rsidR="00894301" w:rsidRPr="004D6D47" w:rsidRDefault="00894301" w:rsidP="00894301">
      <w:pPr>
        <w:ind w:firstLine="1134"/>
        <w:rPr>
          <w:sz w:val="24"/>
        </w:rPr>
      </w:pPr>
    </w:p>
    <w:p w14:paraId="3A453C5E" w14:textId="77777777" w:rsidR="00894301" w:rsidRPr="004D6D47" w:rsidRDefault="00894301" w:rsidP="00894301">
      <w:pPr>
        <w:ind w:firstLine="1134"/>
        <w:rPr>
          <w:sz w:val="24"/>
        </w:rPr>
      </w:pPr>
    </w:p>
    <w:p w14:paraId="0D29AA02" w14:textId="77777777" w:rsidR="00894301" w:rsidRPr="004D6D47" w:rsidRDefault="00894301" w:rsidP="00894301">
      <w:pPr>
        <w:ind w:firstLine="1134"/>
        <w:rPr>
          <w:sz w:val="24"/>
        </w:rPr>
      </w:pPr>
    </w:p>
    <w:p w14:paraId="126BC9A0" w14:textId="77777777" w:rsidR="00894301" w:rsidRPr="004D6D47" w:rsidRDefault="00894301" w:rsidP="00894301">
      <w:pPr>
        <w:ind w:firstLine="1134"/>
        <w:rPr>
          <w:sz w:val="24"/>
        </w:rPr>
      </w:pPr>
    </w:p>
    <w:p w14:paraId="4C22A9C2" w14:textId="77777777" w:rsidR="00894301" w:rsidRPr="004519B4" w:rsidRDefault="00894301" w:rsidP="00894301">
      <w:pPr>
        <w:rPr>
          <w:b/>
          <w:color w:val="E64626"/>
          <w:sz w:val="26"/>
          <w:szCs w:val="26"/>
        </w:rPr>
      </w:pPr>
      <w:r>
        <w:rPr>
          <w:b/>
          <w:color w:val="E64626"/>
          <w:sz w:val="26"/>
          <w:szCs w:val="26"/>
        </w:rPr>
        <w:t>Contact details</w:t>
      </w:r>
      <w:r w:rsidRPr="004519B4">
        <w:rPr>
          <w:b/>
          <w:color w:val="E64626"/>
          <w:sz w:val="26"/>
          <w:szCs w:val="26"/>
        </w:rPr>
        <w:t xml:space="preserve"> </w:t>
      </w:r>
    </w:p>
    <w:p w14:paraId="68D75EE0" w14:textId="77777777" w:rsidR="00894301" w:rsidRPr="004D6D47" w:rsidRDefault="003772B4" w:rsidP="00894301">
      <w:pPr>
        <w:rPr>
          <w:sz w:val="24"/>
        </w:rPr>
      </w:pPr>
      <w:r>
        <w:rPr>
          <w:sz w:val="24"/>
        </w:rPr>
        <w:t xml:space="preserve">Richard Madden </w:t>
      </w:r>
    </w:p>
    <w:p w14:paraId="295FAAB1" w14:textId="77777777" w:rsidR="00894301" w:rsidRPr="004D6D47" w:rsidRDefault="00894301" w:rsidP="00894301">
      <w:pPr>
        <w:rPr>
          <w:sz w:val="24"/>
        </w:rPr>
      </w:pPr>
      <w:r w:rsidRPr="004D6D47">
        <w:rPr>
          <w:sz w:val="24"/>
        </w:rPr>
        <w:t>Centre for Disability Research and Policy</w:t>
      </w:r>
    </w:p>
    <w:p w14:paraId="562410AE" w14:textId="77777777" w:rsidR="00894301" w:rsidRPr="004D6D47" w:rsidRDefault="00894301" w:rsidP="00894301">
      <w:pPr>
        <w:rPr>
          <w:sz w:val="24"/>
        </w:rPr>
      </w:pPr>
      <w:r w:rsidRPr="004D6D47">
        <w:rPr>
          <w:sz w:val="24"/>
        </w:rPr>
        <w:t>Faculty of Health Sciences, University of Sydney</w:t>
      </w:r>
    </w:p>
    <w:p w14:paraId="40A0CEE2" w14:textId="77777777" w:rsidR="00894301" w:rsidRPr="004D6D47" w:rsidRDefault="00894301" w:rsidP="00894301">
      <w:pPr>
        <w:rPr>
          <w:sz w:val="24"/>
        </w:rPr>
      </w:pPr>
      <w:r w:rsidRPr="004D6D47">
        <w:rPr>
          <w:sz w:val="24"/>
        </w:rPr>
        <w:t>PO Box 170, Lidcombe NSW 1825, Australia</w:t>
      </w:r>
    </w:p>
    <w:p w14:paraId="12C50710" w14:textId="77777777" w:rsidR="00894301" w:rsidRDefault="00894301" w:rsidP="00894301">
      <w:pPr>
        <w:rPr>
          <w:sz w:val="24"/>
        </w:rPr>
      </w:pPr>
    </w:p>
    <w:p w14:paraId="2BACA530" w14:textId="77777777" w:rsidR="00894301" w:rsidRPr="004D6D47" w:rsidRDefault="00894301" w:rsidP="00894301">
      <w:pPr>
        <w:rPr>
          <w:sz w:val="24"/>
        </w:rPr>
      </w:pPr>
    </w:p>
    <w:p w14:paraId="1949FB01" w14:textId="77777777" w:rsidR="00894301" w:rsidRDefault="00894301" w:rsidP="00894301"/>
    <w:p w14:paraId="462F23AA" w14:textId="77777777" w:rsidR="00894301" w:rsidRDefault="00894301" w:rsidP="00894301"/>
    <w:p w14:paraId="1978037B" w14:textId="77777777" w:rsidR="00894301" w:rsidRDefault="00894301" w:rsidP="00894301"/>
    <w:p w14:paraId="2C2A4D8B" w14:textId="77777777" w:rsidR="00894301" w:rsidRDefault="00894301" w:rsidP="00894301"/>
    <w:p w14:paraId="6DED8863" w14:textId="77777777" w:rsidR="00894301" w:rsidRDefault="00894301" w:rsidP="00894301"/>
    <w:p w14:paraId="4C963553" w14:textId="77777777" w:rsidR="00894301" w:rsidRDefault="00894301" w:rsidP="00894301"/>
    <w:p w14:paraId="398898A1" w14:textId="77777777" w:rsidR="00894301" w:rsidRDefault="00894301" w:rsidP="00894301"/>
    <w:p w14:paraId="48542C68" w14:textId="77777777" w:rsidR="00894301" w:rsidRDefault="00894301" w:rsidP="00894301">
      <w:pPr>
        <w:spacing w:line="240" w:lineRule="atLeast"/>
        <w:ind w:right="574"/>
        <w:jc w:val="both"/>
        <w:rPr>
          <w:sz w:val="18"/>
          <w:szCs w:val="18"/>
        </w:rPr>
      </w:pPr>
      <w:r w:rsidRPr="00332888">
        <w:rPr>
          <w:sz w:val="18"/>
          <w:szCs w:val="18"/>
        </w:rPr>
        <w:t>© Centre for Disability Research and Policy</w:t>
      </w:r>
    </w:p>
    <w:p w14:paraId="60387C67" w14:textId="77777777" w:rsidR="00894301" w:rsidRDefault="00894301" w:rsidP="00894301">
      <w:pPr>
        <w:rPr>
          <w:bCs/>
          <w:sz w:val="40"/>
          <w:szCs w:val="26"/>
        </w:rPr>
      </w:pPr>
      <w:r w:rsidRPr="00B768FA">
        <w:rPr>
          <w:rFonts w:eastAsia="Replica Std Light"/>
          <w:sz w:val="18"/>
          <w:szCs w:val="20"/>
        </w:rPr>
        <w:t>C</w:t>
      </w:r>
      <w:r w:rsidRPr="00B768FA">
        <w:rPr>
          <w:rFonts w:eastAsia="Replica Std Light"/>
          <w:spacing w:val="-2"/>
          <w:sz w:val="18"/>
          <w:szCs w:val="20"/>
        </w:rPr>
        <w:t>ov</w:t>
      </w:r>
      <w:r w:rsidRPr="00B768FA">
        <w:rPr>
          <w:rFonts w:eastAsia="Replica Std Light"/>
          <w:sz w:val="18"/>
          <w:szCs w:val="20"/>
        </w:rPr>
        <w:t>er Art</w:t>
      </w:r>
      <w:r w:rsidRPr="00B768FA">
        <w:rPr>
          <w:rFonts w:eastAsia="Replica Std Light"/>
          <w:spacing w:val="-2"/>
          <w:sz w:val="18"/>
          <w:szCs w:val="20"/>
        </w:rPr>
        <w:t>w</w:t>
      </w:r>
      <w:r w:rsidRPr="00B768FA">
        <w:rPr>
          <w:rFonts w:eastAsia="Replica Std Light"/>
          <w:sz w:val="18"/>
          <w:szCs w:val="20"/>
        </w:rPr>
        <w:t xml:space="preserve">ork: </w:t>
      </w:r>
      <w:r w:rsidRPr="00B768FA">
        <w:rPr>
          <w:i/>
          <w:sz w:val="18"/>
          <w:szCs w:val="20"/>
        </w:rPr>
        <w:t>Sunshine's Community Access Program Art Studio</w:t>
      </w:r>
      <w:r>
        <w:rPr>
          <w:bCs/>
          <w:sz w:val="40"/>
          <w:szCs w:val="26"/>
        </w:rPr>
        <w:br w:type="page"/>
      </w:r>
    </w:p>
    <w:p w14:paraId="72096776" w14:textId="14DFDE73" w:rsidR="00894301" w:rsidRDefault="0043000F" w:rsidP="0023662B">
      <w:pPr>
        <w:rPr>
          <w:rFonts w:ascii="Book Antiqua" w:hAnsi="Book Antiqua"/>
          <w:b/>
          <w:bCs/>
          <w:sz w:val="28"/>
          <w:szCs w:val="28"/>
        </w:rPr>
      </w:pPr>
      <w:r w:rsidRPr="0043000F">
        <w:rPr>
          <w:rFonts w:ascii="Book Antiqua" w:hAnsi="Book Antiqua"/>
          <w:b/>
          <w:bCs/>
          <w:sz w:val="28"/>
          <w:szCs w:val="28"/>
        </w:rPr>
        <w:lastRenderedPageBreak/>
        <w:t>Introduction</w:t>
      </w:r>
    </w:p>
    <w:p w14:paraId="6B659C25" w14:textId="23E21FD0" w:rsidR="0043000F" w:rsidRDefault="0043000F" w:rsidP="0023662B">
      <w:pPr>
        <w:rPr>
          <w:rFonts w:ascii="Book Antiqua" w:hAnsi="Book Antiqua"/>
          <w:b/>
          <w:bCs/>
          <w:sz w:val="28"/>
          <w:szCs w:val="28"/>
        </w:rPr>
      </w:pPr>
    </w:p>
    <w:p w14:paraId="6D64AB11" w14:textId="5D8E5F33" w:rsidR="0043000F" w:rsidRPr="0043000F" w:rsidRDefault="0043000F" w:rsidP="0023662B">
      <w:pPr>
        <w:rPr>
          <w:rFonts w:ascii="Book Antiqua" w:hAnsi="Book Antiqua"/>
          <w:bCs/>
          <w:sz w:val="28"/>
          <w:szCs w:val="28"/>
        </w:rPr>
      </w:pPr>
      <w:r w:rsidRPr="0043000F">
        <w:rPr>
          <w:rFonts w:ascii="Book Antiqua" w:hAnsi="Book Antiqua"/>
          <w:bCs/>
          <w:szCs w:val="22"/>
        </w:rPr>
        <w:t>This response covers a range of issues referred to in the Commission’s Position paper.</w:t>
      </w:r>
    </w:p>
    <w:p w14:paraId="10EC5EB5" w14:textId="77777777" w:rsidR="0043000F" w:rsidRDefault="0043000F" w:rsidP="0023662B">
      <w:pPr>
        <w:rPr>
          <w:bCs/>
          <w:sz w:val="40"/>
          <w:szCs w:val="26"/>
        </w:rPr>
      </w:pPr>
    </w:p>
    <w:p w14:paraId="0F4A54E8" w14:textId="77777777" w:rsidR="0043000F" w:rsidRDefault="0043000F" w:rsidP="0043000F">
      <w:pPr>
        <w:rPr>
          <w:rFonts w:ascii="Book Antiqua" w:hAnsi="Book Antiqua"/>
          <w:b/>
          <w:sz w:val="28"/>
          <w:szCs w:val="28"/>
        </w:rPr>
      </w:pPr>
      <w:r w:rsidRPr="0015491B">
        <w:rPr>
          <w:rFonts w:ascii="Book Antiqua" w:hAnsi="Book Antiqua"/>
          <w:b/>
          <w:sz w:val="28"/>
          <w:szCs w:val="28"/>
        </w:rPr>
        <w:t xml:space="preserve">Pricing </w:t>
      </w:r>
      <w:r>
        <w:rPr>
          <w:rFonts w:ascii="Book Antiqua" w:hAnsi="Book Antiqua"/>
          <w:b/>
          <w:sz w:val="28"/>
          <w:szCs w:val="28"/>
        </w:rPr>
        <w:t>of disability supports (6.2)</w:t>
      </w:r>
    </w:p>
    <w:p w14:paraId="31A80486" w14:textId="3D816A49" w:rsidR="0043000F" w:rsidRDefault="0043000F" w:rsidP="0043000F">
      <w:pPr>
        <w:rPr>
          <w:rFonts w:ascii="Book Antiqua" w:hAnsi="Book Antiqua"/>
          <w:sz w:val="24"/>
        </w:rPr>
      </w:pPr>
      <w:r>
        <w:rPr>
          <w:rFonts w:ascii="Book Antiqua" w:hAnsi="Book Antiqua"/>
          <w:sz w:val="24"/>
        </w:rPr>
        <w:t>The range of issues surrounding pricing of NDIS supports is well</w:t>
      </w:r>
      <w:r w:rsidRPr="0015491B">
        <w:rPr>
          <w:rFonts w:ascii="Book Antiqua" w:hAnsi="Book Antiqua"/>
          <w:sz w:val="24"/>
        </w:rPr>
        <w:t xml:space="preserve"> discussed</w:t>
      </w:r>
      <w:r>
        <w:rPr>
          <w:rFonts w:ascii="Book Antiqua" w:hAnsi="Book Antiqua"/>
          <w:sz w:val="24"/>
        </w:rPr>
        <w:t>.</w:t>
      </w:r>
    </w:p>
    <w:p w14:paraId="28D74A7D" w14:textId="77777777" w:rsidR="0043000F" w:rsidRPr="0015491B" w:rsidRDefault="0043000F" w:rsidP="0043000F">
      <w:pPr>
        <w:rPr>
          <w:rFonts w:ascii="Book Antiqua" w:hAnsi="Book Antiqua"/>
          <w:sz w:val="24"/>
        </w:rPr>
      </w:pPr>
    </w:p>
    <w:p w14:paraId="15C26405" w14:textId="34ED6083" w:rsidR="0043000F" w:rsidRPr="00E06D68" w:rsidRDefault="0043000F" w:rsidP="0043000F">
      <w:pPr>
        <w:rPr>
          <w:rFonts w:ascii="Book Antiqua" w:hAnsi="Book Antiqua"/>
          <w:b/>
          <w:sz w:val="24"/>
        </w:rPr>
      </w:pPr>
      <w:r w:rsidRPr="00E06D68">
        <w:rPr>
          <w:rFonts w:ascii="Book Antiqua" w:hAnsi="Book Antiqua"/>
          <w:b/>
          <w:sz w:val="24"/>
        </w:rPr>
        <w:t xml:space="preserve">The three stage proposal set out in </w:t>
      </w:r>
      <w:r>
        <w:rPr>
          <w:rFonts w:ascii="Book Antiqua" w:hAnsi="Book Antiqua"/>
          <w:b/>
          <w:sz w:val="24"/>
        </w:rPr>
        <w:t>R</w:t>
      </w:r>
      <w:r w:rsidRPr="00E06D68">
        <w:rPr>
          <w:rFonts w:ascii="Book Antiqua" w:hAnsi="Book Antiqua"/>
          <w:b/>
          <w:sz w:val="24"/>
        </w:rPr>
        <w:t>ecommendation 6.1 is supported.</w:t>
      </w:r>
    </w:p>
    <w:p w14:paraId="5D83D766" w14:textId="77777777" w:rsidR="0043000F" w:rsidRDefault="0043000F" w:rsidP="0043000F">
      <w:pPr>
        <w:autoSpaceDE w:val="0"/>
        <w:autoSpaceDN w:val="0"/>
        <w:adjustRightInd w:val="0"/>
        <w:rPr>
          <w:rFonts w:ascii="Book Antiqua" w:hAnsi="Book Antiqua" w:cs="ArialMT"/>
          <w:b/>
          <w:sz w:val="28"/>
          <w:szCs w:val="28"/>
        </w:rPr>
      </w:pPr>
    </w:p>
    <w:p w14:paraId="25EB5E1D" w14:textId="77777777" w:rsidR="0043000F" w:rsidRPr="0067248D" w:rsidRDefault="0043000F" w:rsidP="0043000F">
      <w:pPr>
        <w:autoSpaceDE w:val="0"/>
        <w:autoSpaceDN w:val="0"/>
        <w:adjustRightInd w:val="0"/>
        <w:rPr>
          <w:rFonts w:ascii="Book Antiqua" w:hAnsi="Book Antiqua" w:cs="ArialMT"/>
          <w:b/>
          <w:sz w:val="28"/>
          <w:szCs w:val="28"/>
        </w:rPr>
      </w:pPr>
      <w:r w:rsidRPr="0067248D">
        <w:rPr>
          <w:rFonts w:ascii="Book Antiqua" w:hAnsi="Book Antiqua" w:cs="ArialMT"/>
          <w:b/>
          <w:sz w:val="28"/>
          <w:szCs w:val="28"/>
        </w:rPr>
        <w:t xml:space="preserve">People with </w:t>
      </w:r>
      <w:r>
        <w:rPr>
          <w:rFonts w:ascii="Book Antiqua" w:hAnsi="Book Antiqua" w:cs="ArialMT"/>
          <w:b/>
          <w:sz w:val="28"/>
          <w:szCs w:val="28"/>
        </w:rPr>
        <w:t>‘</w:t>
      </w:r>
      <w:r w:rsidRPr="0067248D">
        <w:rPr>
          <w:rFonts w:ascii="Book Antiqua" w:hAnsi="Book Antiqua" w:cs="ArialMT"/>
          <w:b/>
          <w:sz w:val="28"/>
          <w:szCs w:val="28"/>
        </w:rPr>
        <w:t>an acute and immediate need</w:t>
      </w:r>
      <w:r>
        <w:rPr>
          <w:rFonts w:ascii="Book Antiqua" w:hAnsi="Book Antiqua" w:cs="ArialMT"/>
          <w:b/>
          <w:sz w:val="28"/>
          <w:szCs w:val="28"/>
        </w:rPr>
        <w:t>’</w:t>
      </w:r>
      <w:r w:rsidRPr="0067248D">
        <w:rPr>
          <w:rFonts w:ascii="Book Antiqua" w:hAnsi="Book Antiqua" w:cs="ArialMT"/>
          <w:b/>
          <w:sz w:val="28"/>
          <w:szCs w:val="28"/>
        </w:rPr>
        <w:t xml:space="preserve"> or </w:t>
      </w:r>
      <w:r>
        <w:rPr>
          <w:rFonts w:ascii="Book Antiqua" w:hAnsi="Book Antiqua" w:cs="ArialMT"/>
          <w:b/>
          <w:sz w:val="28"/>
          <w:szCs w:val="28"/>
        </w:rPr>
        <w:t>‘</w:t>
      </w:r>
      <w:r w:rsidRPr="0067248D">
        <w:rPr>
          <w:rFonts w:ascii="Book Antiqua" w:hAnsi="Book Antiqua" w:cs="ArialMT"/>
          <w:b/>
          <w:sz w:val="28"/>
          <w:szCs w:val="28"/>
        </w:rPr>
        <w:t>v</w:t>
      </w:r>
      <w:r>
        <w:rPr>
          <w:rFonts w:ascii="Book Antiqua" w:hAnsi="Book Antiqua" w:cs="ArialMT"/>
          <w:b/>
          <w:sz w:val="28"/>
          <w:szCs w:val="28"/>
        </w:rPr>
        <w:t>e</w:t>
      </w:r>
      <w:r w:rsidRPr="0067248D">
        <w:rPr>
          <w:rFonts w:ascii="Book Antiqua" w:hAnsi="Book Antiqua" w:cs="ArialMT"/>
          <w:b/>
          <w:sz w:val="28"/>
          <w:szCs w:val="28"/>
        </w:rPr>
        <w:t>ry challenging behaviours’</w:t>
      </w:r>
      <w:r>
        <w:rPr>
          <w:rFonts w:ascii="Book Antiqua" w:hAnsi="Book Antiqua" w:cs="ArialMT"/>
          <w:b/>
          <w:sz w:val="28"/>
          <w:szCs w:val="28"/>
        </w:rPr>
        <w:t xml:space="preserve"> (6.3)</w:t>
      </w:r>
    </w:p>
    <w:p w14:paraId="51865441" w14:textId="77777777" w:rsidR="0043000F" w:rsidRPr="0067248D" w:rsidRDefault="0043000F" w:rsidP="0043000F">
      <w:pPr>
        <w:autoSpaceDE w:val="0"/>
        <w:autoSpaceDN w:val="0"/>
        <w:adjustRightInd w:val="0"/>
        <w:rPr>
          <w:rFonts w:ascii="Book Antiqua" w:hAnsi="Book Antiqua" w:cs="ArialMT"/>
          <w:sz w:val="24"/>
        </w:rPr>
      </w:pPr>
    </w:p>
    <w:p w14:paraId="295B13A9" w14:textId="77777777" w:rsidR="0043000F" w:rsidRDefault="0043000F" w:rsidP="0043000F">
      <w:pPr>
        <w:autoSpaceDE w:val="0"/>
        <w:autoSpaceDN w:val="0"/>
        <w:adjustRightInd w:val="0"/>
        <w:rPr>
          <w:rFonts w:ascii="Book Antiqua" w:hAnsi="Book Antiqua" w:cs="ArialMT"/>
          <w:sz w:val="24"/>
        </w:rPr>
      </w:pPr>
      <w:r>
        <w:rPr>
          <w:rFonts w:ascii="Book Antiqua" w:hAnsi="Book Antiqua" w:cs="ArialMT"/>
          <w:sz w:val="24"/>
        </w:rPr>
        <w:t>These people are included in Draft Finding 6.1 on Thin Markets.</w:t>
      </w:r>
    </w:p>
    <w:p w14:paraId="260E1044" w14:textId="77777777" w:rsidR="0043000F" w:rsidRDefault="0043000F" w:rsidP="0043000F">
      <w:pPr>
        <w:autoSpaceDE w:val="0"/>
        <w:autoSpaceDN w:val="0"/>
        <w:adjustRightInd w:val="0"/>
        <w:rPr>
          <w:rFonts w:ascii="Book Antiqua" w:hAnsi="Book Antiqua" w:cs="ArialMT"/>
          <w:sz w:val="24"/>
        </w:rPr>
      </w:pPr>
    </w:p>
    <w:p w14:paraId="0492BA54" w14:textId="77777777" w:rsidR="0043000F" w:rsidRPr="0067248D" w:rsidRDefault="0043000F" w:rsidP="0043000F">
      <w:pPr>
        <w:autoSpaceDE w:val="0"/>
        <w:autoSpaceDN w:val="0"/>
        <w:adjustRightInd w:val="0"/>
        <w:ind w:left="720"/>
        <w:rPr>
          <w:rFonts w:ascii="Book Antiqua" w:hAnsi="Book Antiqua" w:cs="ArialMT"/>
          <w:sz w:val="24"/>
        </w:rPr>
      </w:pPr>
      <w:r>
        <w:rPr>
          <w:rFonts w:ascii="Book Antiqua" w:hAnsi="Book Antiqua" w:cs="ArialMT"/>
          <w:sz w:val="24"/>
        </w:rPr>
        <w:t>‘</w:t>
      </w:r>
      <w:r w:rsidRPr="0067248D">
        <w:rPr>
          <w:rFonts w:ascii="Book Antiqua" w:hAnsi="Book Antiqua" w:cs="ArialMT"/>
          <w:sz w:val="24"/>
        </w:rPr>
        <w:t>In a market-based model for disability supports, thin markets will persist for some</w:t>
      </w:r>
      <w:r>
        <w:rPr>
          <w:rFonts w:ascii="Book Antiqua" w:hAnsi="Book Antiqua" w:cs="ArialMT"/>
          <w:sz w:val="24"/>
        </w:rPr>
        <w:t xml:space="preserve"> </w:t>
      </w:r>
      <w:r w:rsidRPr="0067248D">
        <w:rPr>
          <w:rFonts w:ascii="Book Antiqua" w:hAnsi="Book Antiqua" w:cs="ArialMT"/>
          <w:sz w:val="24"/>
        </w:rPr>
        <w:t>groups, including some participants:</w:t>
      </w:r>
    </w:p>
    <w:p w14:paraId="0C02CFC8" w14:textId="77777777" w:rsidR="0043000F" w:rsidRPr="0067248D" w:rsidRDefault="0043000F" w:rsidP="0043000F">
      <w:pPr>
        <w:autoSpaceDE w:val="0"/>
        <w:autoSpaceDN w:val="0"/>
        <w:adjustRightInd w:val="0"/>
        <w:ind w:left="1440"/>
        <w:rPr>
          <w:rFonts w:ascii="Book Antiqua" w:hAnsi="Book Antiqua" w:cs="ArialMT"/>
          <w:sz w:val="24"/>
        </w:rPr>
      </w:pPr>
      <w:r w:rsidRPr="0067248D">
        <w:rPr>
          <w:rFonts w:ascii="Book Antiqua" w:hAnsi="Book Antiqua" w:cs="SymbolMT"/>
          <w:sz w:val="24"/>
        </w:rPr>
        <w:t xml:space="preserve">• </w:t>
      </w:r>
      <w:r w:rsidRPr="0067248D">
        <w:rPr>
          <w:rFonts w:ascii="Book Antiqua" w:hAnsi="Book Antiqua" w:cs="ArialMT"/>
          <w:sz w:val="24"/>
        </w:rPr>
        <w:t>living in outer regional, remote and very remote areas</w:t>
      </w:r>
    </w:p>
    <w:p w14:paraId="62E9E606" w14:textId="77777777" w:rsidR="0043000F" w:rsidRPr="0067248D" w:rsidRDefault="0043000F" w:rsidP="0043000F">
      <w:pPr>
        <w:autoSpaceDE w:val="0"/>
        <w:autoSpaceDN w:val="0"/>
        <w:adjustRightInd w:val="0"/>
        <w:ind w:left="1440"/>
        <w:rPr>
          <w:rFonts w:ascii="Book Antiqua" w:hAnsi="Book Antiqua" w:cs="ArialMT"/>
          <w:sz w:val="24"/>
        </w:rPr>
      </w:pPr>
      <w:r w:rsidRPr="0067248D">
        <w:rPr>
          <w:rFonts w:ascii="Book Antiqua" w:hAnsi="Book Antiqua" w:cs="SymbolMT"/>
          <w:sz w:val="24"/>
        </w:rPr>
        <w:t xml:space="preserve">• </w:t>
      </w:r>
      <w:r w:rsidRPr="0067248D">
        <w:rPr>
          <w:rFonts w:ascii="Book Antiqua" w:hAnsi="Book Antiqua" w:cs="ArialMT"/>
          <w:sz w:val="24"/>
        </w:rPr>
        <w:t>with complex, specialised or high intensity needs, or very challenging behaviours</w:t>
      </w:r>
    </w:p>
    <w:p w14:paraId="422A6120" w14:textId="77777777" w:rsidR="0043000F" w:rsidRPr="0067248D" w:rsidRDefault="0043000F" w:rsidP="0043000F">
      <w:pPr>
        <w:autoSpaceDE w:val="0"/>
        <w:autoSpaceDN w:val="0"/>
        <w:adjustRightInd w:val="0"/>
        <w:ind w:left="1440"/>
        <w:rPr>
          <w:rFonts w:ascii="Book Antiqua" w:hAnsi="Book Antiqua" w:cs="ArialMT"/>
          <w:sz w:val="24"/>
        </w:rPr>
      </w:pPr>
      <w:r w:rsidRPr="0067248D">
        <w:rPr>
          <w:rFonts w:ascii="Book Antiqua" w:hAnsi="Book Antiqua" w:cs="SymbolMT"/>
          <w:sz w:val="24"/>
        </w:rPr>
        <w:t xml:space="preserve">• </w:t>
      </w:r>
      <w:r w:rsidRPr="0067248D">
        <w:rPr>
          <w:rFonts w:ascii="Book Antiqua" w:hAnsi="Book Antiqua" w:cs="ArialMT"/>
          <w:sz w:val="24"/>
        </w:rPr>
        <w:t>from culturally and linguistically diverse backgrounds</w:t>
      </w:r>
    </w:p>
    <w:p w14:paraId="6EDCE682" w14:textId="77777777" w:rsidR="0043000F" w:rsidRPr="0067248D" w:rsidRDefault="0043000F" w:rsidP="0043000F">
      <w:pPr>
        <w:autoSpaceDE w:val="0"/>
        <w:autoSpaceDN w:val="0"/>
        <w:adjustRightInd w:val="0"/>
        <w:ind w:left="1440"/>
        <w:rPr>
          <w:rFonts w:ascii="Book Antiqua" w:hAnsi="Book Antiqua" w:cs="ArialMT"/>
          <w:sz w:val="24"/>
        </w:rPr>
      </w:pPr>
      <w:r w:rsidRPr="0067248D">
        <w:rPr>
          <w:rFonts w:ascii="Book Antiqua" w:hAnsi="Book Antiqua" w:cs="SymbolMT"/>
          <w:sz w:val="24"/>
        </w:rPr>
        <w:t xml:space="preserve">• </w:t>
      </w:r>
      <w:r w:rsidRPr="0067248D">
        <w:rPr>
          <w:rFonts w:ascii="Book Antiqua" w:hAnsi="Book Antiqua" w:cs="ArialMT"/>
          <w:sz w:val="24"/>
        </w:rPr>
        <w:t>who are Aboriginal and Torres Strait Islander Australians</w:t>
      </w:r>
    </w:p>
    <w:p w14:paraId="2B83F9EC" w14:textId="77777777" w:rsidR="0043000F" w:rsidRPr="0067248D" w:rsidRDefault="0043000F" w:rsidP="0043000F">
      <w:pPr>
        <w:autoSpaceDE w:val="0"/>
        <w:autoSpaceDN w:val="0"/>
        <w:adjustRightInd w:val="0"/>
        <w:ind w:left="1440"/>
        <w:rPr>
          <w:rFonts w:ascii="Book Antiqua" w:hAnsi="Book Antiqua" w:cs="ArialMT"/>
          <w:sz w:val="24"/>
        </w:rPr>
      </w:pPr>
      <w:r w:rsidRPr="0067248D">
        <w:rPr>
          <w:rFonts w:ascii="Book Antiqua" w:hAnsi="Book Antiqua" w:cs="SymbolMT"/>
          <w:sz w:val="24"/>
        </w:rPr>
        <w:t xml:space="preserve">• </w:t>
      </w:r>
      <w:r w:rsidRPr="0067248D">
        <w:rPr>
          <w:rFonts w:ascii="Book Antiqua" w:hAnsi="Book Antiqua" w:cs="ArialMT"/>
          <w:sz w:val="24"/>
        </w:rPr>
        <w:t>who have an acute and immediate need (crisis care and accommodation).</w:t>
      </w:r>
    </w:p>
    <w:p w14:paraId="01178D68" w14:textId="77777777" w:rsidR="0043000F" w:rsidRDefault="0043000F" w:rsidP="0043000F">
      <w:pPr>
        <w:autoSpaceDE w:val="0"/>
        <w:autoSpaceDN w:val="0"/>
        <w:adjustRightInd w:val="0"/>
        <w:ind w:left="720"/>
        <w:rPr>
          <w:rFonts w:ascii="Book Antiqua" w:hAnsi="Book Antiqua" w:cs="ArialMT"/>
          <w:sz w:val="24"/>
        </w:rPr>
      </w:pPr>
    </w:p>
    <w:p w14:paraId="7F988ADF" w14:textId="77777777" w:rsidR="0043000F" w:rsidRDefault="0043000F" w:rsidP="0043000F">
      <w:pPr>
        <w:autoSpaceDE w:val="0"/>
        <w:autoSpaceDN w:val="0"/>
        <w:adjustRightInd w:val="0"/>
        <w:ind w:left="720"/>
        <w:rPr>
          <w:rFonts w:ascii="Book Antiqua" w:hAnsi="Book Antiqua"/>
          <w:b/>
          <w:sz w:val="24"/>
        </w:rPr>
      </w:pPr>
      <w:r w:rsidRPr="0067248D">
        <w:rPr>
          <w:rFonts w:ascii="Book Antiqua" w:hAnsi="Book Antiqua" w:cs="ArialMT"/>
          <w:sz w:val="24"/>
        </w:rPr>
        <w:t>In the absence of effective government intervention, such market failure is likely to</w:t>
      </w:r>
      <w:r>
        <w:rPr>
          <w:rFonts w:ascii="Book Antiqua" w:hAnsi="Book Antiqua" w:cs="ArialMT"/>
          <w:sz w:val="24"/>
        </w:rPr>
        <w:t xml:space="preserve"> </w:t>
      </w:r>
      <w:r w:rsidRPr="0067248D">
        <w:rPr>
          <w:rFonts w:ascii="Book Antiqua" w:hAnsi="Book Antiqua" w:cs="ArialMT"/>
          <w:sz w:val="24"/>
        </w:rPr>
        <w:t>result in greater shortages, less competition and poorer participant outcomes.</w:t>
      </w:r>
      <w:r w:rsidRPr="0067248D">
        <w:rPr>
          <w:rFonts w:ascii="Book Antiqua" w:hAnsi="Book Antiqua"/>
          <w:b/>
          <w:sz w:val="24"/>
        </w:rPr>
        <w:t xml:space="preserve"> </w:t>
      </w:r>
      <w:r>
        <w:rPr>
          <w:rFonts w:ascii="Book Antiqua" w:hAnsi="Book Antiqua"/>
          <w:b/>
          <w:sz w:val="24"/>
        </w:rPr>
        <w:t>‘</w:t>
      </w:r>
    </w:p>
    <w:p w14:paraId="1A1480C8" w14:textId="77777777" w:rsidR="0043000F" w:rsidRDefault="0043000F" w:rsidP="0043000F">
      <w:pPr>
        <w:rPr>
          <w:rFonts w:ascii="Book Antiqua" w:hAnsi="Book Antiqua"/>
          <w:b/>
          <w:sz w:val="24"/>
        </w:rPr>
      </w:pPr>
    </w:p>
    <w:p w14:paraId="1F9D29BD" w14:textId="7AD54C0A" w:rsidR="0043000F" w:rsidRDefault="0043000F" w:rsidP="0043000F">
      <w:pPr>
        <w:rPr>
          <w:rFonts w:ascii="Book Antiqua" w:hAnsi="Book Antiqua"/>
          <w:sz w:val="24"/>
        </w:rPr>
      </w:pPr>
      <w:r w:rsidRPr="0094404C">
        <w:rPr>
          <w:rFonts w:ascii="Book Antiqua" w:hAnsi="Book Antiqua"/>
          <w:sz w:val="24"/>
        </w:rPr>
        <w:t xml:space="preserve">Most of the discussion on Thin </w:t>
      </w:r>
      <w:r>
        <w:rPr>
          <w:rFonts w:ascii="Book Antiqua" w:hAnsi="Book Antiqua"/>
          <w:sz w:val="24"/>
        </w:rPr>
        <w:t>M</w:t>
      </w:r>
      <w:r w:rsidRPr="0094404C">
        <w:rPr>
          <w:rFonts w:ascii="Book Antiqua" w:hAnsi="Book Antiqua"/>
          <w:sz w:val="24"/>
        </w:rPr>
        <w:t>arkets (6.</w:t>
      </w:r>
      <w:r>
        <w:rPr>
          <w:rFonts w:ascii="Book Antiqua" w:hAnsi="Book Antiqua"/>
          <w:sz w:val="24"/>
        </w:rPr>
        <w:t xml:space="preserve">3) is directed to participants in regional and remote communities, Indigenous participants and CALD participants. </w:t>
      </w:r>
    </w:p>
    <w:p w14:paraId="63D31DA2" w14:textId="77777777" w:rsidR="00855C15" w:rsidRDefault="00855C15" w:rsidP="0043000F">
      <w:pPr>
        <w:rPr>
          <w:rFonts w:ascii="Book Antiqua" w:hAnsi="Book Antiqua"/>
          <w:sz w:val="24"/>
        </w:rPr>
      </w:pPr>
    </w:p>
    <w:p w14:paraId="6B56EA29" w14:textId="471C5885" w:rsidR="0043000F" w:rsidRDefault="0043000F" w:rsidP="0043000F">
      <w:pPr>
        <w:autoSpaceDE w:val="0"/>
        <w:autoSpaceDN w:val="0"/>
        <w:adjustRightInd w:val="0"/>
        <w:rPr>
          <w:rFonts w:ascii="Book Antiqua" w:hAnsi="Book Antiqua"/>
          <w:sz w:val="24"/>
        </w:rPr>
      </w:pPr>
      <w:r>
        <w:rPr>
          <w:rFonts w:ascii="Book Antiqua" w:hAnsi="Book Antiqua"/>
          <w:sz w:val="24"/>
        </w:rPr>
        <w:t>People with an ‘acute and immediate need’ or ‘</w:t>
      </w:r>
      <w:r w:rsidRPr="0067248D">
        <w:rPr>
          <w:rFonts w:ascii="Book Antiqua" w:hAnsi="Book Antiqua" w:cs="ArialMT"/>
          <w:sz w:val="24"/>
        </w:rPr>
        <w:t xml:space="preserve">with complex, specialised or high intensity needs, or </w:t>
      </w:r>
      <w:r>
        <w:rPr>
          <w:rFonts w:ascii="Book Antiqua" w:hAnsi="Book Antiqua"/>
          <w:sz w:val="24"/>
        </w:rPr>
        <w:t>very challenging behaviours’ are discussed in passing. Box 6.7 sets out the NDIA’s approach to Provider of L</w:t>
      </w:r>
      <w:r w:rsidR="00855C15">
        <w:rPr>
          <w:rFonts w:ascii="Book Antiqua" w:hAnsi="Book Antiqua"/>
          <w:sz w:val="24"/>
        </w:rPr>
        <w:t>ast Resort (POLR) arrangements:</w:t>
      </w:r>
    </w:p>
    <w:p w14:paraId="257CB944" w14:textId="55CF7E22" w:rsidR="005E7EBC" w:rsidRDefault="005E7EBC" w:rsidP="0043000F">
      <w:pPr>
        <w:autoSpaceDE w:val="0"/>
        <w:autoSpaceDN w:val="0"/>
        <w:adjustRightInd w:val="0"/>
        <w:rPr>
          <w:rFonts w:ascii="Book Antiqua" w:hAnsi="Book Antiqua"/>
          <w:sz w:val="24"/>
        </w:rPr>
      </w:pPr>
    </w:p>
    <w:p w14:paraId="1426CA67" w14:textId="7D2C76D6" w:rsidR="005E7EBC" w:rsidRPr="005E7EBC" w:rsidRDefault="005E7EBC" w:rsidP="0043000F">
      <w:pPr>
        <w:autoSpaceDE w:val="0"/>
        <w:autoSpaceDN w:val="0"/>
        <w:adjustRightInd w:val="0"/>
        <w:rPr>
          <w:rFonts w:ascii="Book Antiqua" w:hAnsi="Book Antiqua"/>
          <w:sz w:val="24"/>
        </w:rPr>
      </w:pPr>
      <w:r>
        <w:rPr>
          <w:rFonts w:ascii="Book Antiqua" w:hAnsi="Book Antiqua"/>
          <w:sz w:val="24"/>
        </w:rPr>
        <w:tab/>
        <w:t>‘</w:t>
      </w:r>
      <w:r w:rsidRPr="005E7EBC">
        <w:rPr>
          <w:rFonts w:ascii="Book Antiqua" w:hAnsi="Book Antiqua" w:cs="Arial-BoldMT"/>
          <w:b/>
          <w:bCs/>
          <w:color w:val="auto"/>
          <w:sz w:val="24"/>
          <w:lang w:val="en-AU"/>
        </w:rPr>
        <w:t>Who is responsible for the POLR?</w:t>
      </w:r>
    </w:p>
    <w:p w14:paraId="00621112" w14:textId="77777777" w:rsidR="0043000F" w:rsidRDefault="0043000F" w:rsidP="0043000F">
      <w:pPr>
        <w:autoSpaceDE w:val="0"/>
        <w:autoSpaceDN w:val="0"/>
        <w:adjustRightInd w:val="0"/>
        <w:rPr>
          <w:rFonts w:ascii="Book Antiqua" w:hAnsi="Book Antiqua"/>
          <w:sz w:val="24"/>
        </w:rPr>
      </w:pPr>
    </w:p>
    <w:p w14:paraId="4D35A1DA" w14:textId="56AEC38E" w:rsidR="0043000F" w:rsidRDefault="0043000F" w:rsidP="0043000F">
      <w:pPr>
        <w:autoSpaceDE w:val="0"/>
        <w:autoSpaceDN w:val="0"/>
        <w:adjustRightInd w:val="0"/>
        <w:ind w:left="720"/>
        <w:rPr>
          <w:rFonts w:ascii="Book Antiqua" w:hAnsi="Book Antiqua" w:cs="ArialMT"/>
          <w:sz w:val="24"/>
        </w:rPr>
      </w:pPr>
      <w:r w:rsidRPr="005D21BA">
        <w:rPr>
          <w:rFonts w:ascii="Book Antiqua" w:hAnsi="Book Antiqua" w:cs="ArialMT"/>
          <w:sz w:val="24"/>
        </w:rPr>
        <w:t>As the transition leads to full scheme, the NDIA will lead an integrated response jointly with the</w:t>
      </w:r>
      <w:r>
        <w:rPr>
          <w:rFonts w:ascii="Book Antiqua" w:hAnsi="Book Antiqua" w:cs="ArialMT"/>
          <w:sz w:val="24"/>
        </w:rPr>
        <w:t xml:space="preserve"> </w:t>
      </w:r>
      <w:r w:rsidRPr="005D21BA">
        <w:rPr>
          <w:rFonts w:ascii="Book Antiqua" w:hAnsi="Book Antiqua" w:cs="ArialMT"/>
          <w:sz w:val="24"/>
        </w:rPr>
        <w:t>States and Territories. In the interim,</w:t>
      </w:r>
      <w:r>
        <w:rPr>
          <w:rFonts w:ascii="Book Antiqua" w:hAnsi="Book Antiqua" w:cs="ArialMT"/>
          <w:sz w:val="24"/>
        </w:rPr>
        <w:t xml:space="preserve"> </w:t>
      </w:r>
      <w:r w:rsidRPr="005D21BA">
        <w:rPr>
          <w:rFonts w:ascii="Book Antiqua" w:hAnsi="Book Antiqua" w:cs="ArialMT"/>
          <w:sz w:val="24"/>
        </w:rPr>
        <w:t>the States and Territories lead as POLR, and will continue to do so for providers who they fund during transition’ (different arrangements apply in the NT).</w:t>
      </w:r>
    </w:p>
    <w:p w14:paraId="1D8EF886" w14:textId="77777777" w:rsidR="0043000F" w:rsidRDefault="0043000F" w:rsidP="0043000F">
      <w:pPr>
        <w:autoSpaceDE w:val="0"/>
        <w:autoSpaceDN w:val="0"/>
        <w:adjustRightInd w:val="0"/>
        <w:rPr>
          <w:rFonts w:ascii="Book Antiqua" w:hAnsi="Book Antiqua" w:cs="ArialMT"/>
          <w:sz w:val="24"/>
        </w:rPr>
      </w:pPr>
    </w:p>
    <w:p w14:paraId="10E0E3C1" w14:textId="3CD69CC3" w:rsidR="0043000F" w:rsidRDefault="0043000F" w:rsidP="0043000F">
      <w:pPr>
        <w:autoSpaceDE w:val="0"/>
        <w:autoSpaceDN w:val="0"/>
        <w:adjustRightInd w:val="0"/>
        <w:rPr>
          <w:rFonts w:ascii="Book Antiqua" w:hAnsi="Book Antiqua"/>
          <w:sz w:val="24"/>
        </w:rPr>
      </w:pPr>
      <w:r>
        <w:rPr>
          <w:rFonts w:ascii="Book Antiqua" w:hAnsi="Book Antiqua"/>
          <w:sz w:val="24"/>
        </w:rPr>
        <w:t>This passing treatment of these two high needs groups is inadequate. Besides their urgent and complex needs for support, they are very likely to be potentially high c</w:t>
      </w:r>
      <w:r w:rsidR="005E7EBC">
        <w:rPr>
          <w:rFonts w:ascii="Book Antiqua" w:hAnsi="Book Antiqua"/>
          <w:sz w:val="24"/>
        </w:rPr>
        <w:t>o</w:t>
      </w:r>
      <w:r>
        <w:rPr>
          <w:rFonts w:ascii="Book Antiqua" w:hAnsi="Book Antiqua"/>
          <w:sz w:val="24"/>
        </w:rPr>
        <w:t xml:space="preserve">st clients and </w:t>
      </w:r>
      <w:r w:rsidR="005E7EBC">
        <w:rPr>
          <w:rFonts w:ascii="Book Antiqua" w:hAnsi="Book Antiqua"/>
          <w:sz w:val="24"/>
        </w:rPr>
        <w:t xml:space="preserve">a </w:t>
      </w:r>
      <w:r>
        <w:rPr>
          <w:rFonts w:ascii="Book Antiqua" w:hAnsi="Book Antiqua"/>
          <w:sz w:val="24"/>
        </w:rPr>
        <w:t xml:space="preserve">well designed approach is important to the long term sustainability of the NDIS. </w:t>
      </w:r>
    </w:p>
    <w:p w14:paraId="1E8E29FF" w14:textId="77777777" w:rsidR="0043000F" w:rsidRDefault="0043000F" w:rsidP="0043000F">
      <w:pPr>
        <w:autoSpaceDE w:val="0"/>
        <w:autoSpaceDN w:val="0"/>
        <w:adjustRightInd w:val="0"/>
        <w:rPr>
          <w:rFonts w:ascii="Book Antiqua" w:hAnsi="Book Antiqua"/>
          <w:sz w:val="24"/>
        </w:rPr>
      </w:pPr>
    </w:p>
    <w:p w14:paraId="4EEDEF08" w14:textId="77777777" w:rsidR="0043000F" w:rsidRDefault="0043000F" w:rsidP="0043000F">
      <w:pPr>
        <w:autoSpaceDE w:val="0"/>
        <w:autoSpaceDN w:val="0"/>
        <w:adjustRightInd w:val="0"/>
        <w:rPr>
          <w:rFonts w:ascii="Book Antiqua" w:hAnsi="Book Antiqua"/>
          <w:sz w:val="24"/>
        </w:rPr>
      </w:pPr>
      <w:r>
        <w:rPr>
          <w:rFonts w:ascii="Book Antiqua" w:hAnsi="Book Antiqua"/>
          <w:sz w:val="24"/>
        </w:rPr>
        <w:t>The needs of people with high and complex needs was explored in a project funded by the NDIA: ‘C</w:t>
      </w:r>
      <w:r w:rsidRPr="005C1452">
        <w:rPr>
          <w:rFonts w:ascii="Book Antiqua" w:eastAsia="Times New Roman" w:hAnsi="Book Antiqua" w:cs="Arial"/>
          <w:sz w:val="24"/>
          <w:lang w:eastAsia="en-AU"/>
        </w:rPr>
        <w:t>ross-sector</w:t>
      </w:r>
      <w:r>
        <w:rPr>
          <w:rFonts w:ascii="Book Antiqua" w:eastAsia="Times New Roman" w:hAnsi="Book Antiqua" w:cs="Arial"/>
          <w:sz w:val="24"/>
          <w:lang w:eastAsia="en-AU"/>
        </w:rPr>
        <w:t xml:space="preserve"> </w:t>
      </w:r>
      <w:r w:rsidRPr="005C1452">
        <w:rPr>
          <w:rFonts w:ascii="Book Antiqua" w:eastAsia="Times New Roman" w:hAnsi="Book Antiqua" w:cs="Arial"/>
          <w:sz w:val="24"/>
          <w:lang w:eastAsia="en-AU"/>
        </w:rPr>
        <w:t>service</w:t>
      </w:r>
      <w:r>
        <w:rPr>
          <w:rFonts w:ascii="Book Antiqua" w:eastAsia="Times New Roman" w:hAnsi="Book Antiqua" w:cs="Arial"/>
          <w:sz w:val="24"/>
          <w:lang w:eastAsia="en-AU"/>
        </w:rPr>
        <w:t xml:space="preserve"> </w:t>
      </w:r>
      <w:r w:rsidRPr="005C1452">
        <w:rPr>
          <w:rFonts w:ascii="Book Antiqua" w:eastAsia="Times New Roman" w:hAnsi="Book Antiqua" w:cs="Arial"/>
          <w:sz w:val="24"/>
          <w:lang w:eastAsia="en-AU"/>
        </w:rPr>
        <w:t>coordination</w:t>
      </w:r>
      <w:r>
        <w:rPr>
          <w:rFonts w:ascii="Book Antiqua" w:eastAsia="Times New Roman" w:hAnsi="Book Antiqua" w:cs="Arial"/>
          <w:sz w:val="24"/>
          <w:lang w:eastAsia="en-AU"/>
        </w:rPr>
        <w:t xml:space="preserve"> </w:t>
      </w:r>
      <w:r w:rsidRPr="005C1452">
        <w:rPr>
          <w:rFonts w:ascii="Book Antiqua" w:eastAsia="Times New Roman" w:hAnsi="Book Antiqua" w:cs="Arial"/>
          <w:sz w:val="24"/>
          <w:lang w:eastAsia="en-AU"/>
        </w:rPr>
        <w:t>for people</w:t>
      </w:r>
      <w:r>
        <w:rPr>
          <w:rFonts w:ascii="Book Antiqua" w:eastAsia="Times New Roman" w:hAnsi="Book Antiqua" w:cs="Arial"/>
          <w:sz w:val="24"/>
          <w:lang w:eastAsia="en-AU"/>
        </w:rPr>
        <w:t xml:space="preserve"> </w:t>
      </w:r>
      <w:r w:rsidRPr="005C1452">
        <w:rPr>
          <w:rFonts w:ascii="Book Antiqua" w:eastAsia="Times New Roman" w:hAnsi="Book Antiqua" w:cs="Arial"/>
          <w:sz w:val="24"/>
          <w:lang w:eastAsia="en-AU"/>
        </w:rPr>
        <w:t>with</w:t>
      </w:r>
      <w:r>
        <w:rPr>
          <w:rFonts w:ascii="Book Antiqua" w:eastAsia="Times New Roman" w:hAnsi="Book Antiqua" w:cs="Arial"/>
          <w:sz w:val="24"/>
          <w:lang w:eastAsia="en-AU"/>
        </w:rPr>
        <w:t xml:space="preserve"> </w:t>
      </w:r>
      <w:r w:rsidRPr="005C1452">
        <w:rPr>
          <w:rFonts w:ascii="Book Antiqua" w:eastAsia="Times New Roman" w:hAnsi="Book Antiqua" w:cs="Arial"/>
          <w:sz w:val="24"/>
          <w:lang w:eastAsia="en-AU"/>
        </w:rPr>
        <w:t>high</w:t>
      </w:r>
      <w:r>
        <w:rPr>
          <w:rFonts w:ascii="Book Antiqua" w:eastAsia="Times New Roman" w:hAnsi="Book Antiqua" w:cs="Arial"/>
          <w:sz w:val="24"/>
          <w:lang w:eastAsia="en-AU"/>
        </w:rPr>
        <w:t xml:space="preserve"> </w:t>
      </w:r>
      <w:r w:rsidRPr="005C1452">
        <w:rPr>
          <w:rFonts w:ascii="Book Antiqua" w:eastAsia="Times New Roman" w:hAnsi="Book Antiqua" w:cs="Arial"/>
          <w:sz w:val="24"/>
          <w:lang w:eastAsia="en-AU"/>
        </w:rPr>
        <w:t>and complex</w:t>
      </w:r>
      <w:r>
        <w:rPr>
          <w:rFonts w:ascii="Book Antiqua" w:eastAsia="Times New Roman" w:hAnsi="Book Antiqua" w:cs="Arial"/>
          <w:sz w:val="24"/>
          <w:lang w:eastAsia="en-AU"/>
        </w:rPr>
        <w:t xml:space="preserve"> n</w:t>
      </w:r>
      <w:r w:rsidRPr="005C1452">
        <w:rPr>
          <w:rFonts w:ascii="Book Antiqua" w:eastAsia="Times New Roman" w:hAnsi="Book Antiqua" w:cs="Arial"/>
          <w:sz w:val="24"/>
          <w:lang w:eastAsia="en-AU"/>
        </w:rPr>
        <w:t>eeds</w:t>
      </w:r>
      <w:r>
        <w:rPr>
          <w:rFonts w:ascii="Book Antiqua" w:eastAsia="Times New Roman" w:hAnsi="Book Antiqua" w:cs="Arial"/>
          <w:sz w:val="24"/>
          <w:lang w:eastAsia="en-AU"/>
        </w:rPr>
        <w:t>’ (Madden RH et al, Centre for Disability and Research, University of Sydney, Policy Bulletin No 2 2014,</w:t>
      </w:r>
      <w:hyperlink r:id="rId10" w:history="1">
        <w:r w:rsidRPr="00181FDA">
          <w:rPr>
            <w:rStyle w:val="Hyperlink"/>
            <w:rFonts w:ascii="Book Antiqua" w:hAnsi="Book Antiqua"/>
            <w:sz w:val="24"/>
          </w:rPr>
          <w:t>http://sydney.edu.au/health-sciences/cdrp//Cross%20Sector%20Service_FINAL.pdf</w:t>
        </w:r>
      </w:hyperlink>
      <w:r>
        <w:rPr>
          <w:rFonts w:ascii="Book Antiqua" w:hAnsi="Book Antiqua"/>
          <w:sz w:val="24"/>
        </w:rPr>
        <w:t>).</w:t>
      </w:r>
    </w:p>
    <w:p w14:paraId="18F7E61E" w14:textId="77777777" w:rsidR="0043000F" w:rsidRDefault="0043000F" w:rsidP="0043000F">
      <w:pPr>
        <w:autoSpaceDE w:val="0"/>
        <w:autoSpaceDN w:val="0"/>
        <w:adjustRightInd w:val="0"/>
        <w:rPr>
          <w:rFonts w:ascii="Book Antiqua" w:hAnsi="Book Antiqua"/>
          <w:sz w:val="24"/>
        </w:rPr>
      </w:pPr>
    </w:p>
    <w:p w14:paraId="70BA0548" w14:textId="77777777" w:rsidR="005E7EBC" w:rsidRDefault="0043000F" w:rsidP="0043000F">
      <w:pPr>
        <w:rPr>
          <w:rFonts w:ascii="Book Antiqua" w:eastAsia="Times New Roman" w:hAnsi="Book Antiqua" w:cs="Arial"/>
          <w:sz w:val="24"/>
          <w:lang w:eastAsia="en-AU"/>
        </w:rPr>
      </w:pPr>
      <w:r>
        <w:rPr>
          <w:rFonts w:ascii="Book Antiqua" w:hAnsi="Book Antiqua"/>
          <w:sz w:val="24"/>
        </w:rPr>
        <w:t>The study found that ‘</w:t>
      </w:r>
      <w:r w:rsidRPr="0065726B">
        <w:rPr>
          <w:rFonts w:ascii="Book Antiqua" w:eastAsia="Times New Roman" w:hAnsi="Book Antiqua" w:cs="Arial"/>
          <w:sz w:val="24"/>
          <w:lang w:eastAsia="en-AU"/>
        </w:rPr>
        <w:t>The</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complexity of the specialist and mainstream</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services systems</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and the interfaces</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between</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sectors</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create barriers</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that make navigation</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challenging for</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participants and</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service</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providers,</w:t>
      </w:r>
      <w:r>
        <w:rPr>
          <w:rFonts w:ascii="Book Antiqua" w:eastAsia="Times New Roman" w:hAnsi="Book Antiqua" w:cs="Arial"/>
          <w:sz w:val="24"/>
          <w:lang w:eastAsia="en-AU"/>
        </w:rPr>
        <w:t xml:space="preserve"> </w:t>
      </w:r>
      <w:r w:rsidRPr="0065726B">
        <w:rPr>
          <w:rFonts w:ascii="Book Antiqua" w:eastAsia="Times New Roman" w:hAnsi="Book Antiqua" w:cs="Arial"/>
          <w:sz w:val="24"/>
          <w:lang w:eastAsia="en-AU"/>
        </w:rPr>
        <w:t>and create gaps in service provision.</w:t>
      </w:r>
      <w:r>
        <w:rPr>
          <w:rFonts w:ascii="Book Antiqua" w:eastAsia="Times New Roman" w:hAnsi="Book Antiqua" w:cs="Arial"/>
          <w:sz w:val="24"/>
          <w:lang w:eastAsia="en-AU"/>
        </w:rPr>
        <w:t>’</w:t>
      </w:r>
      <w:r w:rsidRPr="0065726B">
        <w:rPr>
          <w:rFonts w:ascii="Book Antiqua" w:eastAsia="Times New Roman" w:hAnsi="Book Antiqua" w:cs="Arial"/>
          <w:sz w:val="24"/>
          <w:lang w:eastAsia="en-AU"/>
        </w:rPr>
        <w:t xml:space="preserve"> </w:t>
      </w:r>
    </w:p>
    <w:p w14:paraId="45B2B1B7" w14:textId="77777777" w:rsidR="005E7EBC" w:rsidRDefault="005E7EBC" w:rsidP="0043000F">
      <w:pPr>
        <w:rPr>
          <w:rFonts w:ascii="Book Antiqua" w:eastAsia="Times New Roman" w:hAnsi="Book Antiqua" w:cs="Arial"/>
          <w:sz w:val="24"/>
          <w:lang w:eastAsia="en-AU"/>
        </w:rPr>
      </w:pPr>
    </w:p>
    <w:p w14:paraId="7943C910" w14:textId="2DD252AF" w:rsidR="0043000F" w:rsidRDefault="0043000F" w:rsidP="0043000F">
      <w:pPr>
        <w:rPr>
          <w:rFonts w:ascii="Book Antiqua" w:eastAsia="Times New Roman" w:hAnsi="Book Antiqua" w:cs="Arial"/>
          <w:sz w:val="24"/>
          <w:lang w:eastAsia="en-AU"/>
        </w:rPr>
      </w:pPr>
      <w:r>
        <w:rPr>
          <w:rFonts w:ascii="Book Antiqua" w:eastAsia="Times New Roman" w:hAnsi="Book Antiqua" w:cs="Arial"/>
          <w:sz w:val="24"/>
          <w:lang w:eastAsia="en-AU"/>
        </w:rPr>
        <w:t>This highlights the need for careful provision for Provider of Last Resort arrangements as well as for careful planning and coordination of NDIS and mainstream supports wherever possible.</w:t>
      </w:r>
    </w:p>
    <w:p w14:paraId="78BABE8A" w14:textId="77777777" w:rsidR="005E7EBC" w:rsidRDefault="005E7EBC" w:rsidP="0043000F">
      <w:pPr>
        <w:rPr>
          <w:rFonts w:ascii="Book Antiqua" w:eastAsia="Times New Roman" w:hAnsi="Book Antiqua" w:cs="Arial"/>
          <w:sz w:val="24"/>
          <w:lang w:eastAsia="en-AU"/>
        </w:rPr>
      </w:pPr>
    </w:p>
    <w:p w14:paraId="3885658C" w14:textId="5D3F37EC" w:rsidR="0043000F" w:rsidRDefault="0043000F" w:rsidP="0043000F">
      <w:pPr>
        <w:rPr>
          <w:rFonts w:ascii="Book Antiqua" w:eastAsia="Times New Roman" w:hAnsi="Book Antiqua" w:cs="Arial"/>
          <w:sz w:val="24"/>
          <w:lang w:eastAsia="en-AU"/>
        </w:rPr>
      </w:pPr>
      <w:r>
        <w:rPr>
          <w:rFonts w:ascii="Book Antiqua" w:eastAsia="Times New Roman" w:hAnsi="Book Antiqua" w:cs="Arial"/>
          <w:sz w:val="24"/>
          <w:lang w:eastAsia="en-AU"/>
        </w:rPr>
        <w:t>Support for people with ‘</w:t>
      </w:r>
      <w:r w:rsidRPr="0067248D">
        <w:rPr>
          <w:rFonts w:ascii="Book Antiqua" w:hAnsi="Book Antiqua" w:cs="ArialMT"/>
          <w:sz w:val="24"/>
        </w:rPr>
        <w:t>acute and immediate need (crisis care and accommodation)</w:t>
      </w:r>
      <w:r>
        <w:rPr>
          <w:rFonts w:ascii="Book Antiqua" w:hAnsi="Book Antiqua" w:cs="ArialMT"/>
          <w:sz w:val="24"/>
        </w:rPr>
        <w:t>’</w:t>
      </w:r>
      <w:r>
        <w:rPr>
          <w:rFonts w:ascii="Book Antiqua" w:eastAsia="Times New Roman" w:hAnsi="Book Antiqua" w:cs="Arial"/>
          <w:sz w:val="24"/>
          <w:lang w:eastAsia="en-AU"/>
        </w:rPr>
        <w:t xml:space="preserve"> will frequently rely on a Provider of Last Resort. These people will often not have sought a determination of eligibility for the NDIS, or will lack a comprehensive plan.  States and </w:t>
      </w:r>
      <w:r w:rsidR="005E7EBC">
        <w:rPr>
          <w:rFonts w:ascii="Book Antiqua" w:eastAsia="Times New Roman" w:hAnsi="Book Antiqua" w:cs="Arial"/>
          <w:sz w:val="24"/>
          <w:lang w:eastAsia="en-AU"/>
        </w:rPr>
        <w:t>T</w:t>
      </w:r>
      <w:r>
        <w:rPr>
          <w:rFonts w:ascii="Book Antiqua" w:eastAsia="Times New Roman" w:hAnsi="Book Antiqua" w:cs="Arial"/>
          <w:sz w:val="24"/>
          <w:lang w:eastAsia="en-AU"/>
        </w:rPr>
        <w:t xml:space="preserve">erritories have acted as providers on last </w:t>
      </w:r>
      <w:r w:rsidR="005E7EBC">
        <w:rPr>
          <w:rFonts w:ascii="Book Antiqua" w:eastAsia="Times New Roman" w:hAnsi="Book Antiqua" w:cs="Arial"/>
          <w:sz w:val="24"/>
          <w:lang w:eastAsia="en-AU"/>
        </w:rPr>
        <w:t>r</w:t>
      </w:r>
      <w:r>
        <w:rPr>
          <w:rFonts w:ascii="Book Antiqua" w:eastAsia="Times New Roman" w:hAnsi="Book Antiqua" w:cs="Arial"/>
          <w:sz w:val="24"/>
          <w:lang w:eastAsia="en-AU"/>
        </w:rPr>
        <w:t>esort, and have frequently arranged with a service provider to provide an array of supports at very short notice.</w:t>
      </w:r>
    </w:p>
    <w:p w14:paraId="5D513D36" w14:textId="77777777" w:rsidR="005E7EBC" w:rsidRDefault="005E7EBC" w:rsidP="0043000F">
      <w:pPr>
        <w:rPr>
          <w:rFonts w:ascii="Book Antiqua" w:eastAsia="Times New Roman" w:hAnsi="Book Antiqua" w:cs="Arial"/>
          <w:sz w:val="24"/>
          <w:lang w:eastAsia="en-AU"/>
        </w:rPr>
      </w:pPr>
    </w:p>
    <w:p w14:paraId="709573B7" w14:textId="3C82147D" w:rsidR="0043000F" w:rsidRDefault="0043000F" w:rsidP="0043000F">
      <w:pPr>
        <w:rPr>
          <w:rFonts w:ascii="Book Antiqua" w:hAnsi="Book Antiqua" w:cs="ArialMT"/>
          <w:b/>
          <w:sz w:val="24"/>
        </w:rPr>
      </w:pPr>
      <w:r w:rsidRPr="009E6E1F">
        <w:rPr>
          <w:rFonts w:ascii="Book Antiqua" w:eastAsia="Times New Roman" w:hAnsi="Book Antiqua" w:cs="Arial"/>
          <w:b/>
          <w:sz w:val="24"/>
          <w:lang w:eastAsia="en-AU"/>
        </w:rPr>
        <w:t>The Commission should separate its discussion of p</w:t>
      </w:r>
      <w:r w:rsidRPr="009E6E1F">
        <w:rPr>
          <w:rFonts w:ascii="Book Antiqua" w:hAnsi="Book Antiqua" w:cs="ArialMT"/>
          <w:b/>
          <w:sz w:val="24"/>
        </w:rPr>
        <w:t xml:space="preserve">eople with ‘an acute and immediate need’ or ‘very challenging behaviours’ from its discussion of Thin Markets. </w:t>
      </w:r>
    </w:p>
    <w:p w14:paraId="6558D1E7" w14:textId="77777777" w:rsidR="005E7EBC" w:rsidRDefault="005E7EBC" w:rsidP="0043000F">
      <w:pPr>
        <w:rPr>
          <w:rFonts w:ascii="Book Antiqua" w:hAnsi="Book Antiqua" w:cs="ArialMT"/>
          <w:b/>
          <w:sz w:val="24"/>
        </w:rPr>
      </w:pPr>
    </w:p>
    <w:p w14:paraId="308514BD" w14:textId="439F385E" w:rsidR="0043000F" w:rsidRDefault="0043000F" w:rsidP="0043000F">
      <w:pPr>
        <w:rPr>
          <w:rFonts w:ascii="Book Antiqua" w:hAnsi="Book Antiqua" w:cs="ArialMT"/>
          <w:sz w:val="24"/>
        </w:rPr>
      </w:pPr>
      <w:r w:rsidRPr="009E6E1F">
        <w:rPr>
          <w:rFonts w:ascii="Book Antiqua" w:hAnsi="Book Antiqua" w:cs="ArialMT"/>
          <w:sz w:val="24"/>
        </w:rPr>
        <w:t>The need for continuing State involvement in the arrangement of supports for these people was discussed in my March Submission (</w:t>
      </w:r>
      <w:r>
        <w:rPr>
          <w:rFonts w:ascii="Book Antiqua" w:hAnsi="Book Antiqua" w:cs="ArialMT"/>
          <w:sz w:val="24"/>
        </w:rPr>
        <w:t>N</w:t>
      </w:r>
      <w:r w:rsidRPr="009E6E1F">
        <w:rPr>
          <w:rFonts w:ascii="Book Antiqua" w:hAnsi="Book Antiqua" w:cs="ArialMT"/>
          <w:sz w:val="24"/>
        </w:rPr>
        <w:t>o</w:t>
      </w:r>
      <w:r>
        <w:rPr>
          <w:rFonts w:ascii="Book Antiqua" w:hAnsi="Book Antiqua" w:cs="ArialMT"/>
          <w:sz w:val="24"/>
        </w:rPr>
        <w:t>.</w:t>
      </w:r>
      <w:r w:rsidRPr="009E6E1F">
        <w:rPr>
          <w:rFonts w:ascii="Book Antiqua" w:hAnsi="Book Antiqua" w:cs="ArialMT"/>
          <w:sz w:val="24"/>
        </w:rPr>
        <w:t xml:space="preserve"> 101)</w:t>
      </w:r>
      <w:r>
        <w:rPr>
          <w:rFonts w:ascii="Book Antiqua" w:hAnsi="Book Antiqua" w:cs="ArialMT"/>
          <w:sz w:val="24"/>
        </w:rPr>
        <w:t>. While the NDIS should determine eligibility for the NDIS and develop appropriate plans as quickly as possible, States should have ongoing responsibility as Arranger of Last Resort</w:t>
      </w:r>
      <w:r w:rsidR="005E7EBC">
        <w:rPr>
          <w:rFonts w:ascii="Book Antiqua" w:hAnsi="Book Antiqua" w:cs="ArialMT"/>
          <w:sz w:val="24"/>
        </w:rPr>
        <w:t>, at least for the medium term</w:t>
      </w:r>
      <w:r>
        <w:rPr>
          <w:rFonts w:ascii="Book Antiqua" w:hAnsi="Book Antiqua" w:cs="ArialMT"/>
          <w:sz w:val="24"/>
        </w:rPr>
        <w:t xml:space="preserve">: States can arrange necessary supports through appropriately skilled and responsive support providers, linked with necessary mainstream services. </w:t>
      </w:r>
      <w:r w:rsidRPr="009E6E1F">
        <w:rPr>
          <w:rFonts w:ascii="Book Antiqua" w:hAnsi="Book Antiqua" w:cs="ArialMT"/>
          <w:sz w:val="24"/>
        </w:rPr>
        <w:t xml:space="preserve"> </w:t>
      </w:r>
    </w:p>
    <w:p w14:paraId="710D8B2B" w14:textId="77777777" w:rsidR="005E7EBC" w:rsidRPr="009E6E1F" w:rsidRDefault="005E7EBC" w:rsidP="0043000F">
      <w:pPr>
        <w:rPr>
          <w:rFonts w:ascii="Book Antiqua" w:hAnsi="Book Antiqua"/>
          <w:sz w:val="24"/>
        </w:rPr>
      </w:pPr>
    </w:p>
    <w:p w14:paraId="7C7967CE" w14:textId="77777777" w:rsidR="0043000F" w:rsidRDefault="0043000F" w:rsidP="0043000F">
      <w:pPr>
        <w:autoSpaceDE w:val="0"/>
        <w:autoSpaceDN w:val="0"/>
        <w:adjustRightInd w:val="0"/>
        <w:rPr>
          <w:rFonts w:ascii="Book Antiqua" w:hAnsi="Book Antiqua"/>
          <w:b/>
          <w:sz w:val="28"/>
          <w:szCs w:val="28"/>
        </w:rPr>
      </w:pPr>
      <w:r w:rsidRPr="008F38C9">
        <w:rPr>
          <w:rFonts w:ascii="Book Antiqua" w:hAnsi="Book Antiqua"/>
          <w:b/>
          <w:sz w:val="28"/>
          <w:szCs w:val="28"/>
        </w:rPr>
        <w:t xml:space="preserve">Monitoring the </w:t>
      </w:r>
      <w:r>
        <w:rPr>
          <w:rFonts w:ascii="Book Antiqua" w:hAnsi="Book Antiqua"/>
          <w:b/>
          <w:sz w:val="28"/>
          <w:szCs w:val="28"/>
        </w:rPr>
        <w:t>P</w:t>
      </w:r>
      <w:r w:rsidRPr="008F38C9">
        <w:rPr>
          <w:rFonts w:ascii="Book Antiqua" w:hAnsi="Book Antiqua"/>
          <w:b/>
          <w:sz w:val="28"/>
          <w:szCs w:val="28"/>
        </w:rPr>
        <w:t>erformance of the NDIS</w:t>
      </w:r>
      <w:r>
        <w:rPr>
          <w:rFonts w:ascii="Book Antiqua" w:hAnsi="Book Antiqua"/>
          <w:b/>
          <w:sz w:val="28"/>
          <w:szCs w:val="28"/>
        </w:rPr>
        <w:t xml:space="preserve"> (9.7)</w:t>
      </w:r>
    </w:p>
    <w:p w14:paraId="58903F2C" w14:textId="77777777" w:rsidR="0043000F" w:rsidRDefault="0043000F" w:rsidP="0043000F">
      <w:pPr>
        <w:autoSpaceDE w:val="0"/>
        <w:autoSpaceDN w:val="0"/>
        <w:adjustRightInd w:val="0"/>
        <w:rPr>
          <w:rFonts w:ascii="Book Antiqua" w:hAnsi="Book Antiqua"/>
          <w:b/>
          <w:sz w:val="28"/>
          <w:szCs w:val="28"/>
        </w:rPr>
      </w:pPr>
    </w:p>
    <w:p w14:paraId="30D46635" w14:textId="16E74AE6" w:rsidR="0043000F" w:rsidRDefault="0043000F" w:rsidP="0043000F">
      <w:pPr>
        <w:autoSpaceDE w:val="0"/>
        <w:autoSpaceDN w:val="0"/>
        <w:adjustRightInd w:val="0"/>
        <w:rPr>
          <w:rFonts w:ascii="Book Antiqua" w:hAnsi="Book Antiqua"/>
          <w:sz w:val="24"/>
        </w:rPr>
      </w:pPr>
      <w:r w:rsidRPr="008F38C9">
        <w:rPr>
          <w:rFonts w:ascii="Book Antiqua" w:hAnsi="Book Antiqua"/>
          <w:sz w:val="24"/>
        </w:rPr>
        <w:t xml:space="preserve">Draft </w:t>
      </w:r>
      <w:r w:rsidR="005E7EBC">
        <w:rPr>
          <w:rFonts w:ascii="Book Antiqua" w:hAnsi="Book Antiqua"/>
          <w:sz w:val="24"/>
        </w:rPr>
        <w:t>R</w:t>
      </w:r>
      <w:r w:rsidRPr="008F38C9">
        <w:rPr>
          <w:rFonts w:ascii="Book Antiqua" w:hAnsi="Book Antiqua"/>
          <w:sz w:val="24"/>
        </w:rPr>
        <w:t xml:space="preserve">ecommendation </w:t>
      </w:r>
      <w:r>
        <w:rPr>
          <w:rFonts w:ascii="Book Antiqua" w:hAnsi="Book Antiqua"/>
          <w:sz w:val="24"/>
        </w:rPr>
        <w:t>9.4 relating to performance monitoring is supported.</w:t>
      </w:r>
    </w:p>
    <w:p w14:paraId="5F61D652" w14:textId="77777777" w:rsidR="0043000F" w:rsidRDefault="0043000F" w:rsidP="0043000F">
      <w:pPr>
        <w:autoSpaceDE w:val="0"/>
        <w:autoSpaceDN w:val="0"/>
        <w:adjustRightInd w:val="0"/>
        <w:rPr>
          <w:rFonts w:ascii="Book Antiqua" w:hAnsi="Book Antiqua"/>
          <w:sz w:val="24"/>
        </w:rPr>
      </w:pPr>
    </w:p>
    <w:p w14:paraId="4767E42D" w14:textId="77777777" w:rsidR="0043000F" w:rsidRDefault="0043000F" w:rsidP="0043000F">
      <w:pPr>
        <w:autoSpaceDE w:val="0"/>
        <w:autoSpaceDN w:val="0"/>
        <w:adjustRightInd w:val="0"/>
        <w:rPr>
          <w:rFonts w:ascii="Book Antiqua" w:hAnsi="Book Antiqua"/>
          <w:sz w:val="24"/>
        </w:rPr>
      </w:pPr>
      <w:r>
        <w:rPr>
          <w:rFonts w:ascii="Book Antiqua" w:hAnsi="Book Antiqua"/>
          <w:sz w:val="24"/>
        </w:rPr>
        <w:t>In addition, the need for transparent reporting has been correctly highlighted:</w:t>
      </w:r>
    </w:p>
    <w:p w14:paraId="77A96AC3" w14:textId="77777777" w:rsidR="0043000F" w:rsidRDefault="0043000F" w:rsidP="0043000F">
      <w:pPr>
        <w:autoSpaceDE w:val="0"/>
        <w:autoSpaceDN w:val="0"/>
        <w:adjustRightInd w:val="0"/>
        <w:rPr>
          <w:rFonts w:ascii="Book Antiqua" w:hAnsi="Book Antiqua"/>
          <w:sz w:val="24"/>
        </w:rPr>
      </w:pPr>
    </w:p>
    <w:p w14:paraId="3971A191" w14:textId="77777777" w:rsidR="0043000F" w:rsidRPr="008F38C9" w:rsidRDefault="0043000F" w:rsidP="0043000F">
      <w:pPr>
        <w:autoSpaceDE w:val="0"/>
        <w:autoSpaceDN w:val="0"/>
        <w:adjustRightInd w:val="0"/>
        <w:ind w:left="720"/>
        <w:rPr>
          <w:rFonts w:ascii="Book Antiqua" w:hAnsi="Book Antiqua" w:cs="TimesNewRomanPSMT"/>
          <w:sz w:val="24"/>
        </w:rPr>
      </w:pPr>
      <w:r>
        <w:rPr>
          <w:rFonts w:ascii="Book Antiqua" w:hAnsi="Book Antiqua"/>
          <w:sz w:val="24"/>
        </w:rPr>
        <w:lastRenderedPageBreak/>
        <w:t xml:space="preserve">‘… </w:t>
      </w:r>
      <w:r w:rsidRPr="008F38C9">
        <w:rPr>
          <w:rFonts w:ascii="Book Antiqua" w:hAnsi="Book Antiqua" w:cs="TimesNewRomanPSMT"/>
          <w:sz w:val="24"/>
        </w:rPr>
        <w:t>it is also important that performance reporting is transparent to</w:t>
      </w:r>
    </w:p>
    <w:p w14:paraId="575012B6" w14:textId="77777777" w:rsidR="0043000F" w:rsidRDefault="0043000F" w:rsidP="0043000F">
      <w:pPr>
        <w:autoSpaceDE w:val="0"/>
        <w:autoSpaceDN w:val="0"/>
        <w:adjustRightInd w:val="0"/>
        <w:ind w:left="720"/>
        <w:rPr>
          <w:rFonts w:ascii="Book Antiqua" w:hAnsi="Book Antiqua" w:cs="TimesNewRomanPSMT"/>
          <w:sz w:val="24"/>
        </w:rPr>
      </w:pPr>
      <w:r w:rsidRPr="008F38C9">
        <w:rPr>
          <w:rFonts w:ascii="Book Antiqua" w:hAnsi="Book Antiqua" w:cs="TimesNewRomanPSMT"/>
          <w:sz w:val="24"/>
        </w:rPr>
        <w:t>provide incentives to manage and improve performance, and to help to identify problems</w:t>
      </w:r>
      <w:r>
        <w:rPr>
          <w:rFonts w:ascii="Book Antiqua" w:hAnsi="Book Antiqua" w:cs="TimesNewRomanPSMT"/>
          <w:sz w:val="24"/>
        </w:rPr>
        <w:t xml:space="preserve"> </w:t>
      </w:r>
      <w:r w:rsidRPr="008F38C9">
        <w:rPr>
          <w:rFonts w:ascii="Book Antiqua" w:hAnsi="Book Antiqua" w:cs="TimesNewRomanPSMT"/>
          <w:sz w:val="24"/>
        </w:rPr>
        <w:t>early. While the quarterly report to the DRC is made available on the NDIA’s website, the</w:t>
      </w:r>
      <w:r>
        <w:rPr>
          <w:rFonts w:ascii="Book Antiqua" w:hAnsi="Book Antiqua" w:cs="TimesNewRomanPSMT"/>
          <w:sz w:val="24"/>
        </w:rPr>
        <w:t xml:space="preserve"> </w:t>
      </w:r>
      <w:r w:rsidRPr="008F38C9">
        <w:rPr>
          <w:rFonts w:ascii="Book Antiqua" w:hAnsi="Book Antiqua" w:cs="TimesNewRomanPSMT"/>
          <w:sz w:val="24"/>
        </w:rPr>
        <w:t>financial sustainability report is not.</w:t>
      </w:r>
      <w:r>
        <w:rPr>
          <w:rFonts w:ascii="Book Antiqua" w:hAnsi="Book Antiqua" w:cs="TimesNewRomanPSMT"/>
          <w:sz w:val="24"/>
        </w:rPr>
        <w:t>’ (P 316)</w:t>
      </w:r>
    </w:p>
    <w:p w14:paraId="35EAC48F" w14:textId="77777777" w:rsidR="0043000F" w:rsidRDefault="0043000F" w:rsidP="0043000F">
      <w:pPr>
        <w:autoSpaceDE w:val="0"/>
        <w:autoSpaceDN w:val="0"/>
        <w:adjustRightInd w:val="0"/>
        <w:rPr>
          <w:rFonts w:ascii="Book Antiqua" w:hAnsi="Book Antiqua" w:cs="TimesNewRomanPSMT"/>
          <w:sz w:val="24"/>
        </w:rPr>
      </w:pPr>
    </w:p>
    <w:p w14:paraId="0A835FC5" w14:textId="77777777" w:rsidR="0043000F" w:rsidRDefault="0043000F" w:rsidP="0043000F">
      <w:pPr>
        <w:autoSpaceDE w:val="0"/>
        <w:autoSpaceDN w:val="0"/>
        <w:adjustRightInd w:val="0"/>
        <w:rPr>
          <w:rFonts w:ascii="Book Antiqua" w:hAnsi="Book Antiqua" w:cs="TimesNewRomanPSMT"/>
          <w:b/>
          <w:sz w:val="24"/>
        </w:rPr>
      </w:pPr>
      <w:r w:rsidRPr="00ED1DEC">
        <w:rPr>
          <w:rFonts w:ascii="Book Antiqua" w:hAnsi="Book Antiqua" w:cs="TimesNewRomanPSMT"/>
          <w:b/>
          <w:sz w:val="24"/>
        </w:rPr>
        <w:t>The requirement for transparent reporting, and in particular the release of the financial sustainability report, should be included in Draft Recommendation 9.4.</w:t>
      </w:r>
    </w:p>
    <w:p w14:paraId="6CFDB66C" w14:textId="77777777" w:rsidR="0043000F" w:rsidRDefault="0043000F" w:rsidP="0043000F">
      <w:pPr>
        <w:autoSpaceDE w:val="0"/>
        <w:autoSpaceDN w:val="0"/>
        <w:adjustRightInd w:val="0"/>
        <w:rPr>
          <w:rFonts w:ascii="Book Antiqua" w:hAnsi="Book Antiqua" w:cs="TimesNewRomanPSMT"/>
          <w:b/>
          <w:sz w:val="24"/>
        </w:rPr>
      </w:pPr>
    </w:p>
    <w:p w14:paraId="5C4C2D5E" w14:textId="77777777" w:rsidR="0043000F" w:rsidRDefault="0043000F" w:rsidP="0043000F">
      <w:pPr>
        <w:autoSpaceDE w:val="0"/>
        <w:autoSpaceDN w:val="0"/>
        <w:adjustRightInd w:val="0"/>
        <w:rPr>
          <w:rFonts w:ascii="Book Antiqua" w:hAnsi="Book Antiqua" w:cs="TimesNewRomanPSMT"/>
          <w:sz w:val="24"/>
        </w:rPr>
      </w:pPr>
      <w:r>
        <w:rPr>
          <w:rFonts w:ascii="Book Antiqua" w:hAnsi="Book Antiqua" w:cs="TimesNewRomanPSMT"/>
          <w:sz w:val="24"/>
        </w:rPr>
        <w:t>The Issues paper has not discussed the issue of the provision of statistical data on the operation of the NDIS to the Australian Institute of Health and Welfare to replace the existing Disability Services collection, and other statistical issues affecting people with disabilities. These were discussed in my March submission (No 101).</w:t>
      </w:r>
    </w:p>
    <w:p w14:paraId="71754AC8" w14:textId="77777777" w:rsidR="0043000F" w:rsidRDefault="0043000F" w:rsidP="0043000F">
      <w:pPr>
        <w:autoSpaceDE w:val="0"/>
        <w:autoSpaceDN w:val="0"/>
        <w:adjustRightInd w:val="0"/>
        <w:rPr>
          <w:rFonts w:ascii="Book Antiqua" w:hAnsi="Book Antiqua" w:cs="TimesNewRomanPSMT"/>
          <w:sz w:val="24"/>
        </w:rPr>
      </w:pPr>
    </w:p>
    <w:p w14:paraId="3BC2E07B" w14:textId="77777777" w:rsidR="0043000F" w:rsidRDefault="0043000F" w:rsidP="0043000F">
      <w:pPr>
        <w:autoSpaceDE w:val="0"/>
        <w:autoSpaceDN w:val="0"/>
        <w:adjustRightInd w:val="0"/>
        <w:rPr>
          <w:rFonts w:ascii="Book Antiqua" w:hAnsi="Book Antiqua" w:cs="TimesNewRomanPSMT"/>
          <w:sz w:val="24"/>
        </w:rPr>
      </w:pPr>
      <w:r>
        <w:rPr>
          <w:rFonts w:ascii="Book Antiqua" w:hAnsi="Book Antiqua" w:cs="TimesNewRomanPSMT"/>
          <w:sz w:val="24"/>
        </w:rPr>
        <w:t>These issues are important regardless of NDIS performance reporting, to enable independent analysis and reporting on the provision of support to people with a disability.</w:t>
      </w:r>
    </w:p>
    <w:p w14:paraId="3E2A920B" w14:textId="77777777" w:rsidR="0043000F" w:rsidRDefault="0043000F" w:rsidP="0043000F">
      <w:pPr>
        <w:autoSpaceDE w:val="0"/>
        <w:autoSpaceDN w:val="0"/>
        <w:adjustRightInd w:val="0"/>
        <w:rPr>
          <w:rFonts w:ascii="Book Antiqua" w:hAnsi="Book Antiqua" w:cs="TimesNewRomanPSMT"/>
          <w:sz w:val="24"/>
        </w:rPr>
      </w:pPr>
    </w:p>
    <w:p w14:paraId="02319527" w14:textId="77777777" w:rsidR="0043000F" w:rsidRPr="009A75F1" w:rsidRDefault="0043000F" w:rsidP="0043000F">
      <w:pPr>
        <w:autoSpaceDE w:val="0"/>
        <w:autoSpaceDN w:val="0"/>
        <w:adjustRightInd w:val="0"/>
        <w:rPr>
          <w:rFonts w:ascii="Book Antiqua" w:hAnsi="Book Antiqua" w:cs="TimesNewRomanPSMT"/>
          <w:b/>
          <w:sz w:val="24"/>
        </w:rPr>
      </w:pPr>
      <w:r w:rsidRPr="009A75F1">
        <w:rPr>
          <w:rFonts w:ascii="Book Antiqua" w:hAnsi="Book Antiqua" w:cs="TimesNewRomanPSMT"/>
          <w:b/>
          <w:sz w:val="24"/>
        </w:rPr>
        <w:t>The Commission should make recommendations on the provision of statistical data from the operations of the NDIS and related statistical issues</w:t>
      </w:r>
    </w:p>
    <w:p w14:paraId="4333B4E3" w14:textId="77777777" w:rsidR="0043000F" w:rsidRDefault="0043000F" w:rsidP="0043000F">
      <w:pPr>
        <w:autoSpaceDE w:val="0"/>
        <w:autoSpaceDN w:val="0"/>
        <w:adjustRightInd w:val="0"/>
        <w:rPr>
          <w:rFonts w:ascii="Book Antiqua" w:hAnsi="Book Antiqua" w:cs="TimesNewRomanPSMT"/>
          <w:sz w:val="24"/>
        </w:rPr>
      </w:pPr>
    </w:p>
    <w:p w14:paraId="31AF3964" w14:textId="77777777" w:rsidR="0043000F" w:rsidRDefault="0043000F" w:rsidP="0043000F">
      <w:pPr>
        <w:autoSpaceDE w:val="0"/>
        <w:autoSpaceDN w:val="0"/>
        <w:adjustRightInd w:val="0"/>
        <w:rPr>
          <w:rFonts w:ascii="Book Antiqua" w:hAnsi="Book Antiqua" w:cs="TimesNewRomanPSMT"/>
          <w:b/>
          <w:sz w:val="28"/>
          <w:szCs w:val="28"/>
        </w:rPr>
      </w:pPr>
      <w:r w:rsidRPr="00ED1DEC">
        <w:rPr>
          <w:rFonts w:ascii="Book Antiqua" w:hAnsi="Book Antiqua" w:cs="TimesNewRomanPSMT"/>
          <w:b/>
          <w:sz w:val="28"/>
          <w:szCs w:val="28"/>
        </w:rPr>
        <w:t>The rollout timetable (9.8)</w:t>
      </w:r>
    </w:p>
    <w:p w14:paraId="2A398267" w14:textId="77777777" w:rsidR="0043000F" w:rsidRDefault="0043000F" w:rsidP="0043000F">
      <w:pPr>
        <w:autoSpaceDE w:val="0"/>
        <w:autoSpaceDN w:val="0"/>
        <w:adjustRightInd w:val="0"/>
        <w:rPr>
          <w:rFonts w:ascii="Book Antiqua" w:hAnsi="Book Antiqua" w:cs="TimesNewRomanPSMT"/>
          <w:b/>
          <w:sz w:val="28"/>
          <w:szCs w:val="28"/>
        </w:rPr>
      </w:pPr>
    </w:p>
    <w:p w14:paraId="7B4C716C" w14:textId="77777777" w:rsidR="0043000F" w:rsidRDefault="0043000F" w:rsidP="0043000F">
      <w:pPr>
        <w:autoSpaceDE w:val="0"/>
        <w:autoSpaceDN w:val="0"/>
        <w:adjustRightInd w:val="0"/>
        <w:rPr>
          <w:rFonts w:ascii="Book Antiqua" w:hAnsi="Book Antiqua" w:cs="TimesNewRomanPSMT"/>
          <w:sz w:val="24"/>
        </w:rPr>
      </w:pPr>
      <w:r w:rsidRPr="00ED1DEC">
        <w:rPr>
          <w:rFonts w:ascii="Book Antiqua" w:hAnsi="Book Antiqua" w:cs="TimesNewRomanPSMT"/>
          <w:sz w:val="24"/>
        </w:rPr>
        <w:t>This is discuss</w:t>
      </w:r>
      <w:r>
        <w:rPr>
          <w:rFonts w:ascii="Book Antiqua" w:hAnsi="Book Antiqua" w:cs="TimesNewRomanPSMT"/>
          <w:sz w:val="24"/>
        </w:rPr>
        <w:t xml:space="preserve">ed at several places in the Issues Paper. </w:t>
      </w:r>
    </w:p>
    <w:p w14:paraId="3EA82B6E" w14:textId="77777777" w:rsidR="0043000F" w:rsidRDefault="0043000F" w:rsidP="0043000F">
      <w:pPr>
        <w:autoSpaceDE w:val="0"/>
        <w:autoSpaceDN w:val="0"/>
        <w:adjustRightInd w:val="0"/>
        <w:rPr>
          <w:rFonts w:ascii="Book Antiqua" w:hAnsi="Book Antiqua" w:cs="TimesNewRomanPSMT"/>
          <w:sz w:val="24"/>
        </w:rPr>
      </w:pPr>
    </w:p>
    <w:p w14:paraId="5496E3B7" w14:textId="0795E5AB" w:rsidR="0043000F" w:rsidRDefault="0043000F" w:rsidP="0043000F">
      <w:pPr>
        <w:autoSpaceDE w:val="0"/>
        <w:autoSpaceDN w:val="0"/>
        <w:adjustRightInd w:val="0"/>
        <w:rPr>
          <w:rFonts w:ascii="Book Antiqua" w:hAnsi="Book Antiqua" w:cs="TimesNewRomanPSMT"/>
          <w:sz w:val="24"/>
        </w:rPr>
      </w:pPr>
      <w:r>
        <w:rPr>
          <w:rFonts w:ascii="Book Antiqua" w:hAnsi="Book Antiqua" w:cs="TimesNewRomanPSMT"/>
          <w:sz w:val="24"/>
        </w:rPr>
        <w:t>The rapid rollout of the NDIS was deliberately decided by COAG</w:t>
      </w:r>
      <w:r w:rsidR="005E7EBC">
        <w:rPr>
          <w:rFonts w:ascii="Book Antiqua" w:hAnsi="Book Antiqua" w:cs="TimesNewRomanPSMT"/>
          <w:sz w:val="24"/>
        </w:rPr>
        <w:t>,</w:t>
      </w:r>
      <w:r>
        <w:rPr>
          <w:rFonts w:ascii="Book Antiqua" w:hAnsi="Book Antiqua" w:cs="TimesNewRomanPSMT"/>
          <w:sz w:val="24"/>
        </w:rPr>
        <w:t xml:space="preserve"> recognising the critical and urgent need for increased supports for people with disabilities. That need remains.</w:t>
      </w:r>
    </w:p>
    <w:p w14:paraId="3BAACBA2" w14:textId="77777777" w:rsidR="0043000F" w:rsidRDefault="0043000F" w:rsidP="0043000F">
      <w:pPr>
        <w:autoSpaceDE w:val="0"/>
        <w:autoSpaceDN w:val="0"/>
        <w:adjustRightInd w:val="0"/>
        <w:rPr>
          <w:rFonts w:ascii="Book Antiqua" w:hAnsi="Book Antiqua" w:cs="TimesNewRomanPSMT"/>
          <w:sz w:val="24"/>
        </w:rPr>
      </w:pPr>
    </w:p>
    <w:p w14:paraId="2252CBC3" w14:textId="7FC34A0D" w:rsidR="0043000F" w:rsidRDefault="0043000F" w:rsidP="0043000F">
      <w:pPr>
        <w:autoSpaceDE w:val="0"/>
        <w:autoSpaceDN w:val="0"/>
        <w:adjustRightInd w:val="0"/>
        <w:rPr>
          <w:rFonts w:ascii="Book Antiqua" w:hAnsi="Book Antiqua" w:cs="TimesNewRomanPSMT"/>
          <w:sz w:val="24"/>
        </w:rPr>
      </w:pPr>
      <w:r>
        <w:rPr>
          <w:rFonts w:ascii="Book Antiqua" w:hAnsi="Book Antiqua" w:cs="TimesNewRomanPSMT"/>
          <w:sz w:val="24"/>
        </w:rPr>
        <w:t xml:space="preserve">Issues associated with the rollout have been progressively addressed by the NDIA. Some problems were inevitable. Some steps, such as telephone based plans, are not ideal, but are a sensible way to bring people into the NDIS. </w:t>
      </w:r>
    </w:p>
    <w:p w14:paraId="5D5FBD5F" w14:textId="77777777" w:rsidR="0043000F" w:rsidRDefault="0043000F" w:rsidP="0043000F">
      <w:pPr>
        <w:autoSpaceDE w:val="0"/>
        <w:autoSpaceDN w:val="0"/>
        <w:adjustRightInd w:val="0"/>
        <w:rPr>
          <w:rFonts w:ascii="Book Antiqua" w:hAnsi="Book Antiqua" w:cs="TimesNewRomanPSMT"/>
          <w:sz w:val="24"/>
        </w:rPr>
      </w:pPr>
    </w:p>
    <w:p w14:paraId="3CF0D4EE" w14:textId="77777777" w:rsidR="0043000F" w:rsidRDefault="0043000F" w:rsidP="0043000F">
      <w:pPr>
        <w:autoSpaceDE w:val="0"/>
        <w:autoSpaceDN w:val="0"/>
        <w:adjustRightInd w:val="0"/>
        <w:rPr>
          <w:rFonts w:ascii="Book Antiqua" w:hAnsi="Book Antiqua" w:cs="TimesNewRomanPSMT"/>
          <w:sz w:val="24"/>
        </w:rPr>
      </w:pPr>
      <w:r>
        <w:rPr>
          <w:rFonts w:ascii="Book Antiqua" w:hAnsi="Book Antiqua" w:cs="TimesNewRomanPSMT"/>
          <w:sz w:val="24"/>
        </w:rPr>
        <w:t>The vital issue is that all Australians who are eligible have the right to enter the NDIS in accordance with the current rollout schedule. Any delay in the rollout removes entitlement from some who will be forced to wait with no supports or inadequate supports. This is wrong as a matter of social justice.</w:t>
      </w:r>
    </w:p>
    <w:p w14:paraId="7E258C1E" w14:textId="77777777" w:rsidR="0043000F" w:rsidRDefault="0043000F" w:rsidP="0043000F">
      <w:pPr>
        <w:autoSpaceDE w:val="0"/>
        <w:autoSpaceDN w:val="0"/>
        <w:adjustRightInd w:val="0"/>
        <w:rPr>
          <w:rFonts w:ascii="Book Antiqua" w:hAnsi="Book Antiqua" w:cs="TimesNewRomanPSMT"/>
          <w:sz w:val="24"/>
        </w:rPr>
      </w:pPr>
    </w:p>
    <w:p w14:paraId="017D5D0E" w14:textId="77777777" w:rsidR="0043000F" w:rsidRDefault="0043000F" w:rsidP="0043000F">
      <w:pPr>
        <w:autoSpaceDE w:val="0"/>
        <w:autoSpaceDN w:val="0"/>
        <w:adjustRightInd w:val="0"/>
        <w:rPr>
          <w:rFonts w:ascii="Book Antiqua" w:hAnsi="Book Antiqua" w:cs="TimesNewRomanPSMT"/>
          <w:sz w:val="24"/>
        </w:rPr>
      </w:pPr>
      <w:r>
        <w:rPr>
          <w:rFonts w:ascii="Book Antiqua" w:hAnsi="Book Antiqua" w:cs="TimesNewRomanPSMT"/>
          <w:sz w:val="24"/>
        </w:rPr>
        <w:t>Difficulties with the rollout should be addressed by the NDIA and all stakeholders working cooperatively. If necessary, governments should provide additional resources to overcome specific problems facing the NDIA or other stakeholders. But people with disabilities should not be excluded from the NDIS as a consequence of rollout difficulties.</w:t>
      </w:r>
    </w:p>
    <w:p w14:paraId="416782D4" w14:textId="77777777" w:rsidR="0043000F" w:rsidRDefault="0043000F" w:rsidP="0043000F">
      <w:pPr>
        <w:autoSpaceDE w:val="0"/>
        <w:autoSpaceDN w:val="0"/>
        <w:adjustRightInd w:val="0"/>
        <w:rPr>
          <w:rFonts w:ascii="Book Antiqua" w:hAnsi="Book Antiqua" w:cs="TimesNewRomanPSMT"/>
          <w:sz w:val="24"/>
        </w:rPr>
      </w:pPr>
    </w:p>
    <w:p w14:paraId="3B12E751" w14:textId="77777777" w:rsidR="0043000F" w:rsidRDefault="0043000F" w:rsidP="0043000F">
      <w:pPr>
        <w:autoSpaceDE w:val="0"/>
        <w:autoSpaceDN w:val="0"/>
        <w:adjustRightInd w:val="0"/>
        <w:rPr>
          <w:rFonts w:ascii="Book Antiqua" w:hAnsi="Book Antiqua" w:cs="TimesNewRomanPSMT"/>
          <w:b/>
          <w:sz w:val="24"/>
        </w:rPr>
      </w:pPr>
      <w:r w:rsidRPr="00ED1DEC">
        <w:rPr>
          <w:rFonts w:ascii="Book Antiqua" w:hAnsi="Book Antiqua" w:cs="TimesNewRomanPSMT"/>
          <w:b/>
          <w:sz w:val="24"/>
        </w:rPr>
        <w:lastRenderedPageBreak/>
        <w:t>The current rollout schedule should be maintained.</w:t>
      </w:r>
    </w:p>
    <w:p w14:paraId="5F40EDBC" w14:textId="77777777" w:rsidR="0043000F" w:rsidRDefault="0043000F" w:rsidP="0043000F">
      <w:pPr>
        <w:autoSpaceDE w:val="0"/>
        <w:autoSpaceDN w:val="0"/>
        <w:adjustRightInd w:val="0"/>
        <w:rPr>
          <w:rFonts w:ascii="Book Antiqua" w:hAnsi="Book Antiqua" w:cs="TimesNewRomanPSMT"/>
          <w:b/>
          <w:sz w:val="24"/>
        </w:rPr>
      </w:pPr>
    </w:p>
    <w:p w14:paraId="58ED20EF" w14:textId="77777777" w:rsidR="0043000F" w:rsidRDefault="0043000F" w:rsidP="0043000F">
      <w:pPr>
        <w:autoSpaceDE w:val="0"/>
        <w:autoSpaceDN w:val="0"/>
        <w:adjustRightInd w:val="0"/>
        <w:rPr>
          <w:rFonts w:ascii="Arial-BoldMT" w:hAnsi="Arial-BoldMT" w:cs="Arial-BoldMT"/>
          <w:b/>
          <w:bCs/>
          <w:sz w:val="32"/>
          <w:szCs w:val="32"/>
        </w:rPr>
      </w:pPr>
      <w:r>
        <w:rPr>
          <w:rFonts w:ascii="Arial-BoldMT" w:hAnsi="Arial-BoldMT" w:cs="Arial-BoldMT"/>
          <w:b/>
          <w:bCs/>
          <w:sz w:val="32"/>
          <w:szCs w:val="32"/>
        </w:rPr>
        <w:t>Creating the right incentives in a federal system (10.2)</w:t>
      </w:r>
    </w:p>
    <w:p w14:paraId="1C155049" w14:textId="77777777" w:rsidR="0043000F" w:rsidRDefault="0043000F" w:rsidP="0043000F">
      <w:pPr>
        <w:autoSpaceDE w:val="0"/>
        <w:autoSpaceDN w:val="0"/>
        <w:adjustRightInd w:val="0"/>
        <w:rPr>
          <w:rFonts w:ascii="Arial-BoldMT" w:hAnsi="Arial-BoldMT" w:cs="Arial-BoldMT"/>
          <w:b/>
          <w:bCs/>
          <w:sz w:val="32"/>
          <w:szCs w:val="32"/>
        </w:rPr>
      </w:pPr>
    </w:p>
    <w:p w14:paraId="78B5C3BA" w14:textId="77777777" w:rsidR="0043000F" w:rsidRDefault="0043000F" w:rsidP="0043000F">
      <w:pPr>
        <w:autoSpaceDE w:val="0"/>
        <w:autoSpaceDN w:val="0"/>
        <w:adjustRightInd w:val="0"/>
        <w:rPr>
          <w:rFonts w:ascii="Book Antiqua" w:hAnsi="Book Antiqua" w:cs="Arial-BoldMT"/>
          <w:bCs/>
          <w:sz w:val="24"/>
        </w:rPr>
      </w:pPr>
      <w:r w:rsidRPr="007D747A">
        <w:rPr>
          <w:rFonts w:ascii="Book Antiqua" w:hAnsi="Book Antiqua" w:cs="Arial-BoldMT"/>
          <w:bCs/>
          <w:sz w:val="24"/>
        </w:rPr>
        <w:t xml:space="preserve">The </w:t>
      </w:r>
      <w:r>
        <w:rPr>
          <w:rFonts w:ascii="Book Antiqua" w:hAnsi="Book Antiqua" w:cs="Arial-BoldMT"/>
          <w:bCs/>
          <w:sz w:val="24"/>
        </w:rPr>
        <w:t xml:space="preserve">payments </w:t>
      </w:r>
      <w:r w:rsidRPr="007D747A">
        <w:rPr>
          <w:rFonts w:ascii="Book Antiqua" w:hAnsi="Book Antiqua" w:cs="Arial-BoldMT"/>
          <w:bCs/>
          <w:sz w:val="24"/>
        </w:rPr>
        <w:t>from the States to the Commonwea</w:t>
      </w:r>
      <w:r>
        <w:rPr>
          <w:rFonts w:ascii="Book Antiqua" w:hAnsi="Book Antiqua" w:cs="Arial-BoldMT"/>
          <w:bCs/>
          <w:sz w:val="24"/>
        </w:rPr>
        <w:t>l</w:t>
      </w:r>
      <w:r w:rsidRPr="007D747A">
        <w:rPr>
          <w:rFonts w:ascii="Book Antiqua" w:hAnsi="Book Antiqua" w:cs="Arial-BoldMT"/>
          <w:bCs/>
          <w:sz w:val="24"/>
        </w:rPr>
        <w:t xml:space="preserve">th to </w:t>
      </w:r>
      <w:r>
        <w:rPr>
          <w:rFonts w:ascii="Book Antiqua" w:hAnsi="Book Antiqua" w:cs="Arial-BoldMT"/>
          <w:bCs/>
          <w:sz w:val="24"/>
        </w:rPr>
        <w:t>finance the NDIS are of the same nature as Specific Purpose Payments from the Commonwealth to the States. These are typically escalated with reference to population change and changes in economic parameters, not with reference to the movements in cost of the relevant program. Rebasing occurs on occasion after a period of negotiation in response to changes in demand and supply side issues.</w:t>
      </w:r>
    </w:p>
    <w:p w14:paraId="7022B426" w14:textId="77777777" w:rsidR="0043000F" w:rsidRDefault="0043000F" w:rsidP="0043000F">
      <w:pPr>
        <w:autoSpaceDE w:val="0"/>
        <w:autoSpaceDN w:val="0"/>
        <w:adjustRightInd w:val="0"/>
        <w:rPr>
          <w:rFonts w:ascii="Book Antiqua" w:hAnsi="Book Antiqua" w:cs="Arial-BoldMT"/>
          <w:bCs/>
          <w:sz w:val="24"/>
        </w:rPr>
      </w:pPr>
    </w:p>
    <w:p w14:paraId="7E660020" w14:textId="77777777" w:rsidR="0043000F" w:rsidRDefault="0043000F" w:rsidP="0043000F">
      <w:pPr>
        <w:autoSpaceDE w:val="0"/>
        <w:autoSpaceDN w:val="0"/>
        <w:adjustRightInd w:val="0"/>
        <w:rPr>
          <w:rFonts w:ascii="Book Antiqua" w:hAnsi="Book Antiqua" w:cs="Arial-BoldMT"/>
          <w:bCs/>
          <w:sz w:val="24"/>
        </w:rPr>
      </w:pPr>
      <w:r>
        <w:rPr>
          <w:rFonts w:ascii="Book Antiqua" w:hAnsi="Book Antiqua" w:cs="Arial-BoldMT"/>
          <w:bCs/>
          <w:sz w:val="24"/>
        </w:rPr>
        <w:t>Similar principles should apply to escalation of State payments to the Commonwealth for the NDIS.</w:t>
      </w:r>
    </w:p>
    <w:p w14:paraId="2A1FC23D" w14:textId="77777777" w:rsidR="0043000F" w:rsidRDefault="0043000F" w:rsidP="0043000F">
      <w:pPr>
        <w:autoSpaceDE w:val="0"/>
        <w:autoSpaceDN w:val="0"/>
        <w:adjustRightInd w:val="0"/>
        <w:rPr>
          <w:rFonts w:ascii="Book Antiqua" w:hAnsi="Book Antiqua" w:cs="Arial-BoldMT"/>
          <w:bCs/>
          <w:sz w:val="24"/>
        </w:rPr>
      </w:pPr>
    </w:p>
    <w:p w14:paraId="1F6B6652" w14:textId="77777777" w:rsidR="0043000F" w:rsidRDefault="0043000F" w:rsidP="0043000F">
      <w:pPr>
        <w:autoSpaceDE w:val="0"/>
        <w:autoSpaceDN w:val="0"/>
        <w:adjustRightInd w:val="0"/>
        <w:rPr>
          <w:rFonts w:ascii="Book Antiqua" w:hAnsi="Book Antiqua" w:cs="Arial-BoldMT"/>
          <w:bCs/>
          <w:sz w:val="24"/>
        </w:rPr>
      </w:pPr>
      <w:r w:rsidRPr="00DA7627">
        <w:rPr>
          <w:rFonts w:ascii="Book Antiqua" w:hAnsi="Book Antiqua" w:cs="Arial-BoldMT"/>
          <w:b/>
          <w:bCs/>
          <w:sz w:val="24"/>
        </w:rPr>
        <w:t>Cost overruns</w:t>
      </w:r>
      <w:r>
        <w:rPr>
          <w:rFonts w:ascii="Book Antiqua" w:hAnsi="Book Antiqua" w:cs="Arial-BoldMT"/>
          <w:bCs/>
          <w:sz w:val="24"/>
        </w:rPr>
        <w:t>: My March submission (No 101) has been referred to in the Issues Paper. DSS is reported to have made a similar proposal for sharing of cost overruns. However, the issues paper makes no recommendation and seeks further input:</w:t>
      </w:r>
    </w:p>
    <w:p w14:paraId="76410831" w14:textId="77777777" w:rsidR="0043000F" w:rsidRDefault="0043000F" w:rsidP="0043000F">
      <w:pPr>
        <w:autoSpaceDE w:val="0"/>
        <w:autoSpaceDN w:val="0"/>
        <w:adjustRightInd w:val="0"/>
        <w:rPr>
          <w:rFonts w:ascii="Book Antiqua" w:hAnsi="Book Antiqua" w:cs="Arial-BoldMT"/>
          <w:bCs/>
          <w:sz w:val="24"/>
        </w:rPr>
      </w:pPr>
    </w:p>
    <w:p w14:paraId="37E426AE" w14:textId="77777777" w:rsidR="0043000F" w:rsidRDefault="0043000F" w:rsidP="0043000F">
      <w:pPr>
        <w:autoSpaceDE w:val="0"/>
        <w:autoSpaceDN w:val="0"/>
        <w:adjustRightInd w:val="0"/>
        <w:rPr>
          <w:rFonts w:ascii="Arial-ItalicMT" w:hAnsi="Arial-ItalicMT" w:cs="Arial-ItalicMT"/>
          <w:i/>
          <w:iCs/>
          <w:sz w:val="18"/>
          <w:szCs w:val="18"/>
        </w:rPr>
      </w:pPr>
      <w:r>
        <w:rPr>
          <w:rFonts w:ascii="Arial-ItalicMT" w:hAnsi="Arial-ItalicMT" w:cs="Arial-ItalicMT"/>
          <w:i/>
          <w:iCs/>
          <w:sz w:val="18"/>
          <w:szCs w:val="18"/>
        </w:rPr>
        <w:t>INFORMATION REQUEST 10.2</w:t>
      </w:r>
    </w:p>
    <w:p w14:paraId="46ACA3D2" w14:textId="77777777" w:rsidR="0043000F" w:rsidRDefault="0043000F" w:rsidP="0043000F">
      <w:pPr>
        <w:autoSpaceDE w:val="0"/>
        <w:autoSpaceDN w:val="0"/>
        <w:adjustRightInd w:val="0"/>
        <w:rPr>
          <w:rFonts w:ascii="Arial-ItalicMT" w:hAnsi="Arial-ItalicMT" w:cs="Arial-ItalicMT"/>
          <w:i/>
          <w:iCs/>
          <w:sz w:val="18"/>
          <w:szCs w:val="18"/>
        </w:rPr>
      </w:pPr>
    </w:p>
    <w:p w14:paraId="68159B7C" w14:textId="77777777" w:rsidR="0043000F" w:rsidRDefault="0043000F" w:rsidP="0043000F">
      <w:pPr>
        <w:autoSpaceDE w:val="0"/>
        <w:autoSpaceDN w:val="0"/>
        <w:adjustRightInd w:val="0"/>
        <w:rPr>
          <w:rFonts w:ascii="Arial-ItalicMT" w:hAnsi="Arial-ItalicMT" w:cs="Arial-ItalicMT"/>
          <w:i/>
          <w:iCs/>
        </w:rPr>
      </w:pPr>
      <w:r>
        <w:rPr>
          <w:rFonts w:ascii="Arial-ItalicMT" w:hAnsi="Arial-ItalicMT" w:cs="Arial-ItalicMT"/>
          <w:i/>
          <w:iCs/>
        </w:rPr>
        <w:t>The Commission is seeking information on the best way to align the ability to control</w:t>
      </w:r>
    </w:p>
    <w:p w14:paraId="1FFAC8FA" w14:textId="77777777" w:rsidR="0043000F" w:rsidRDefault="0043000F" w:rsidP="0043000F">
      <w:pPr>
        <w:autoSpaceDE w:val="0"/>
        <w:autoSpaceDN w:val="0"/>
        <w:adjustRightInd w:val="0"/>
        <w:rPr>
          <w:rFonts w:ascii="Arial-ItalicMT" w:hAnsi="Arial-ItalicMT" w:cs="Arial-ItalicMT"/>
          <w:i/>
          <w:iCs/>
        </w:rPr>
      </w:pPr>
      <w:r>
        <w:rPr>
          <w:rFonts w:ascii="Arial-ItalicMT" w:hAnsi="Arial-ItalicMT" w:cs="Arial-ItalicMT"/>
          <w:i/>
          <w:iCs/>
        </w:rPr>
        <w:t>cost overruns with the liability to fund cost overruns. Possible options include:</w:t>
      </w:r>
    </w:p>
    <w:p w14:paraId="72FCEBFE" w14:textId="77777777" w:rsidR="0043000F" w:rsidRDefault="0043000F" w:rsidP="0043000F">
      <w:pPr>
        <w:autoSpaceDE w:val="0"/>
        <w:autoSpaceDN w:val="0"/>
        <w:adjustRightInd w:val="0"/>
        <w:rPr>
          <w:rFonts w:ascii="Arial-ItalicMT" w:hAnsi="Arial-ItalicMT" w:cs="Arial-ItalicMT"/>
          <w:i/>
          <w:iCs/>
        </w:rPr>
      </w:pPr>
    </w:p>
    <w:p w14:paraId="6BF672EC" w14:textId="77777777" w:rsidR="0043000F" w:rsidRDefault="0043000F" w:rsidP="0043000F">
      <w:pPr>
        <w:autoSpaceDE w:val="0"/>
        <w:autoSpaceDN w:val="0"/>
        <w:adjustRightInd w:val="0"/>
        <w:ind w:left="720"/>
        <w:rPr>
          <w:rFonts w:ascii="Arial-ItalicMT" w:hAnsi="Arial-ItalicMT" w:cs="Arial-ItalicMT"/>
          <w:i/>
          <w:iCs/>
        </w:rPr>
      </w:pPr>
      <w:r>
        <w:rPr>
          <w:rFonts w:ascii="SymbolMT" w:hAnsi="SymbolMT" w:cs="SymbolMT"/>
          <w:sz w:val="18"/>
          <w:szCs w:val="18"/>
        </w:rPr>
        <w:t xml:space="preserve">• </w:t>
      </w:r>
      <w:r>
        <w:rPr>
          <w:rFonts w:ascii="Arial-ItalicMT" w:hAnsi="Arial-ItalicMT" w:cs="Arial-ItalicMT"/>
          <w:i/>
          <w:iCs/>
        </w:rPr>
        <w:t>estimating the proportion of cost overruns that the Australian and State and</w:t>
      </w:r>
    </w:p>
    <w:p w14:paraId="694F0C94" w14:textId="27150F36" w:rsidR="0043000F" w:rsidRDefault="0043000F" w:rsidP="0043000F">
      <w:pPr>
        <w:autoSpaceDE w:val="0"/>
        <w:autoSpaceDN w:val="0"/>
        <w:adjustRightInd w:val="0"/>
        <w:ind w:left="720"/>
        <w:rPr>
          <w:rFonts w:ascii="Arial-ItalicMT" w:hAnsi="Arial-ItalicMT" w:cs="Arial-ItalicMT"/>
          <w:i/>
          <w:iCs/>
        </w:rPr>
      </w:pPr>
      <w:r>
        <w:rPr>
          <w:rFonts w:ascii="Arial-ItalicMT" w:hAnsi="Arial-ItalicMT" w:cs="Arial-ItalicMT"/>
          <w:i/>
          <w:iCs/>
        </w:rPr>
        <w:t>Territory Governments are responsible for and allocating funding responsibility</w:t>
      </w:r>
      <w:r w:rsidR="00844499">
        <w:rPr>
          <w:rFonts w:ascii="Arial-ItalicMT" w:hAnsi="Arial-ItalicMT" w:cs="Arial-ItalicMT"/>
          <w:i/>
          <w:iCs/>
        </w:rPr>
        <w:t xml:space="preserve"> a</w:t>
      </w:r>
      <w:r>
        <w:rPr>
          <w:rFonts w:ascii="Arial-ItalicMT" w:hAnsi="Arial-ItalicMT" w:cs="Arial-ItalicMT"/>
          <w:i/>
          <w:iCs/>
        </w:rPr>
        <w:t>ccordingly</w:t>
      </w:r>
    </w:p>
    <w:p w14:paraId="18A26C13" w14:textId="77777777" w:rsidR="0043000F" w:rsidRDefault="0043000F" w:rsidP="0043000F">
      <w:pPr>
        <w:autoSpaceDE w:val="0"/>
        <w:autoSpaceDN w:val="0"/>
        <w:adjustRightInd w:val="0"/>
        <w:ind w:left="720"/>
        <w:rPr>
          <w:rFonts w:ascii="Arial-ItalicMT" w:hAnsi="Arial-ItalicMT" w:cs="Arial-ItalicMT"/>
          <w:i/>
          <w:iCs/>
        </w:rPr>
      </w:pPr>
    </w:p>
    <w:p w14:paraId="009AAC8B" w14:textId="2094C0CF" w:rsidR="0043000F" w:rsidRDefault="0043000F" w:rsidP="0043000F">
      <w:pPr>
        <w:autoSpaceDE w:val="0"/>
        <w:autoSpaceDN w:val="0"/>
        <w:adjustRightInd w:val="0"/>
        <w:ind w:left="720"/>
        <w:rPr>
          <w:rFonts w:ascii="Arial-ItalicMT" w:hAnsi="Arial-ItalicMT" w:cs="Arial-ItalicMT"/>
          <w:i/>
          <w:iCs/>
        </w:rPr>
      </w:pPr>
      <w:r>
        <w:rPr>
          <w:rFonts w:ascii="SymbolMT" w:hAnsi="SymbolMT" w:cs="SymbolMT"/>
          <w:sz w:val="18"/>
          <w:szCs w:val="18"/>
        </w:rPr>
        <w:t xml:space="preserve">• </w:t>
      </w:r>
      <w:r>
        <w:rPr>
          <w:rFonts w:ascii="Arial-ItalicMT" w:hAnsi="Arial-ItalicMT" w:cs="Arial-ItalicMT"/>
          <w:i/>
          <w:iCs/>
        </w:rPr>
        <w:t>altering the governance arrangements of the National Disability Insurance Scheme</w:t>
      </w:r>
      <w:r w:rsidR="00844499">
        <w:rPr>
          <w:rFonts w:ascii="Arial-ItalicMT" w:hAnsi="Arial-ItalicMT" w:cs="Arial-ItalicMT"/>
          <w:i/>
          <w:iCs/>
        </w:rPr>
        <w:t xml:space="preserve"> </w:t>
      </w:r>
      <w:r>
        <w:rPr>
          <w:rFonts w:ascii="Arial-ItalicMT" w:hAnsi="Arial-ItalicMT" w:cs="Arial-ItalicMT"/>
          <w:i/>
          <w:iCs/>
        </w:rPr>
        <w:t>to give the Australian Government greater authority to manage the risk of cost</w:t>
      </w:r>
      <w:r w:rsidR="00844499">
        <w:rPr>
          <w:rFonts w:ascii="Arial-ItalicMT" w:hAnsi="Arial-ItalicMT" w:cs="Arial-ItalicMT"/>
          <w:i/>
          <w:iCs/>
        </w:rPr>
        <w:t xml:space="preserve"> </w:t>
      </w:r>
      <w:r>
        <w:rPr>
          <w:rFonts w:ascii="Arial-ItalicMT" w:hAnsi="Arial-ItalicMT" w:cs="Arial-ItalicMT"/>
          <w:i/>
          <w:iCs/>
        </w:rPr>
        <w:t>overruns, to better reflect their funding liability.</w:t>
      </w:r>
    </w:p>
    <w:p w14:paraId="48DA0DF0" w14:textId="77777777" w:rsidR="0043000F" w:rsidRDefault="0043000F" w:rsidP="0043000F">
      <w:pPr>
        <w:autoSpaceDE w:val="0"/>
        <w:autoSpaceDN w:val="0"/>
        <w:adjustRightInd w:val="0"/>
        <w:rPr>
          <w:rFonts w:ascii="Arial-ItalicMT" w:hAnsi="Arial-ItalicMT" w:cs="Arial-ItalicMT"/>
          <w:i/>
          <w:iCs/>
        </w:rPr>
      </w:pPr>
    </w:p>
    <w:p w14:paraId="705587ED" w14:textId="77777777" w:rsidR="0043000F" w:rsidRDefault="0043000F" w:rsidP="0043000F">
      <w:pPr>
        <w:autoSpaceDE w:val="0"/>
        <w:autoSpaceDN w:val="0"/>
        <w:adjustRightInd w:val="0"/>
        <w:rPr>
          <w:rFonts w:ascii="Book Antiqua" w:hAnsi="Book Antiqua" w:cs="TimesNewRomanPSMT"/>
          <w:sz w:val="24"/>
        </w:rPr>
      </w:pPr>
      <w:r>
        <w:rPr>
          <w:rFonts w:ascii="Book Antiqua" w:hAnsi="Book Antiqua" w:cs="Arial-ItalicMT"/>
          <w:iCs/>
          <w:sz w:val="24"/>
        </w:rPr>
        <w:t>It will not be possible to e</w:t>
      </w:r>
      <w:r w:rsidRPr="00B422E7">
        <w:rPr>
          <w:rFonts w:ascii="Book Antiqua" w:hAnsi="Book Antiqua" w:cs="Arial-ItalicMT"/>
          <w:iCs/>
          <w:sz w:val="24"/>
        </w:rPr>
        <w:t>stimat</w:t>
      </w:r>
      <w:r>
        <w:rPr>
          <w:rFonts w:ascii="Book Antiqua" w:hAnsi="Book Antiqua" w:cs="Arial-ItalicMT"/>
          <w:iCs/>
          <w:sz w:val="24"/>
        </w:rPr>
        <w:t>e</w:t>
      </w:r>
      <w:r w:rsidRPr="00B422E7">
        <w:rPr>
          <w:rFonts w:ascii="Book Antiqua" w:hAnsi="Book Antiqua" w:cs="Arial-ItalicMT"/>
          <w:iCs/>
          <w:sz w:val="24"/>
        </w:rPr>
        <w:t xml:space="preserve"> the proportion of cost overruns</w:t>
      </w:r>
      <w:r>
        <w:rPr>
          <w:rFonts w:ascii="Arial-ItalicMT" w:hAnsi="Arial-ItalicMT" w:cs="Arial-ItalicMT"/>
          <w:i/>
          <w:iCs/>
        </w:rPr>
        <w:t xml:space="preserve"> </w:t>
      </w:r>
      <w:r w:rsidRPr="00B422E7">
        <w:rPr>
          <w:rFonts w:ascii="Book Antiqua" w:hAnsi="Book Antiqua" w:cs="Arial-ItalicMT"/>
          <w:iCs/>
          <w:sz w:val="24"/>
        </w:rPr>
        <w:t>that each jurisdiction is responsible for</w:t>
      </w:r>
      <w:r>
        <w:rPr>
          <w:rFonts w:ascii="Book Antiqua" w:hAnsi="Book Antiqua" w:cs="Arial-ItalicMT"/>
          <w:iCs/>
          <w:sz w:val="24"/>
        </w:rPr>
        <w:t>.</w:t>
      </w:r>
      <w:r>
        <w:rPr>
          <w:rFonts w:ascii="Arial-ItalicMT" w:hAnsi="Arial-ItalicMT" w:cs="Arial-ItalicMT"/>
          <w:i/>
          <w:iCs/>
        </w:rPr>
        <w:t xml:space="preserve"> </w:t>
      </w:r>
      <w:r>
        <w:rPr>
          <w:rFonts w:ascii="Book Antiqua" w:hAnsi="Book Antiqua" w:cs="TimesNewRomanPSMT"/>
          <w:sz w:val="24"/>
        </w:rPr>
        <w:t>The adequacy of States’ mainstream service provision to NDIS participants will be impossible to measure, and to attempt to do so will result in extended argument and delay.</w:t>
      </w:r>
    </w:p>
    <w:p w14:paraId="1C4C8F4D" w14:textId="77777777" w:rsidR="0043000F" w:rsidRDefault="0043000F" w:rsidP="0043000F">
      <w:pPr>
        <w:autoSpaceDE w:val="0"/>
        <w:autoSpaceDN w:val="0"/>
        <w:adjustRightInd w:val="0"/>
        <w:rPr>
          <w:rFonts w:ascii="Book Antiqua" w:hAnsi="Book Antiqua" w:cs="TimesNewRomanPSMT"/>
          <w:sz w:val="24"/>
        </w:rPr>
      </w:pPr>
    </w:p>
    <w:p w14:paraId="40224EB8" w14:textId="77777777" w:rsidR="0043000F" w:rsidRDefault="0043000F" w:rsidP="0043000F">
      <w:pPr>
        <w:autoSpaceDE w:val="0"/>
        <w:autoSpaceDN w:val="0"/>
        <w:adjustRightInd w:val="0"/>
        <w:rPr>
          <w:rFonts w:ascii="Book Antiqua" w:hAnsi="Book Antiqua" w:cs="TimesNewRomanPSMT"/>
          <w:sz w:val="24"/>
        </w:rPr>
      </w:pPr>
      <w:r>
        <w:rPr>
          <w:rFonts w:ascii="Book Antiqua" w:hAnsi="Book Antiqua" w:cs="TimesNewRomanPSMT"/>
          <w:sz w:val="24"/>
        </w:rPr>
        <w:t>Altering the arrangements for NDIS governance should not be contemplated at this stage of NDIS development. Issues that need attention should be addressed through the existing arrangements.</w:t>
      </w:r>
    </w:p>
    <w:p w14:paraId="7F32C933" w14:textId="77777777" w:rsidR="0043000F" w:rsidRDefault="0043000F" w:rsidP="0043000F">
      <w:pPr>
        <w:autoSpaceDE w:val="0"/>
        <w:autoSpaceDN w:val="0"/>
        <w:adjustRightInd w:val="0"/>
        <w:rPr>
          <w:rFonts w:ascii="Book Antiqua" w:hAnsi="Book Antiqua" w:cs="TimesNewRomanPSMT"/>
          <w:sz w:val="24"/>
        </w:rPr>
      </w:pPr>
    </w:p>
    <w:p w14:paraId="5A5D99FE" w14:textId="77777777" w:rsidR="0043000F" w:rsidRDefault="0043000F" w:rsidP="0043000F">
      <w:pPr>
        <w:autoSpaceDE w:val="0"/>
        <w:autoSpaceDN w:val="0"/>
        <w:adjustRightInd w:val="0"/>
        <w:rPr>
          <w:rFonts w:ascii="Book Antiqua" w:hAnsi="Book Antiqua" w:cs="TimesNewRomanPSMT"/>
          <w:sz w:val="24"/>
        </w:rPr>
      </w:pPr>
      <w:r>
        <w:rPr>
          <w:rFonts w:ascii="Book Antiqua" w:hAnsi="Book Antiqua" w:cs="TimesNewRomanPSMT"/>
          <w:sz w:val="24"/>
        </w:rPr>
        <w:t xml:space="preserve">To me, the Commission should take a broad judgment approach on the allocation of cost overruns. Leaving 100% with the Commonwealth is recognised not to be correct. The WA arrangement of 25% responsibility for the Commonwealth sets a lower base figure. </w:t>
      </w:r>
    </w:p>
    <w:p w14:paraId="53E997D7" w14:textId="77777777" w:rsidR="0043000F" w:rsidRDefault="0043000F" w:rsidP="0043000F">
      <w:pPr>
        <w:autoSpaceDE w:val="0"/>
        <w:autoSpaceDN w:val="0"/>
        <w:adjustRightInd w:val="0"/>
        <w:rPr>
          <w:rFonts w:ascii="Book Antiqua" w:hAnsi="Book Antiqua" w:cs="TimesNewRomanPSMT"/>
          <w:sz w:val="24"/>
        </w:rPr>
      </w:pPr>
    </w:p>
    <w:p w14:paraId="4372E288" w14:textId="77777777" w:rsidR="0043000F" w:rsidRPr="00DA7627" w:rsidRDefault="0043000F" w:rsidP="0043000F">
      <w:pPr>
        <w:autoSpaceDE w:val="0"/>
        <w:autoSpaceDN w:val="0"/>
        <w:adjustRightInd w:val="0"/>
        <w:rPr>
          <w:rFonts w:ascii="Book Antiqua" w:hAnsi="Book Antiqua" w:cs="TimesNewRomanPSMT"/>
          <w:b/>
          <w:sz w:val="24"/>
        </w:rPr>
      </w:pPr>
      <w:r w:rsidRPr="00DA7627">
        <w:rPr>
          <w:rFonts w:ascii="Book Antiqua" w:hAnsi="Book Antiqua" w:cs="TimesNewRomanPSMT"/>
          <w:b/>
          <w:sz w:val="24"/>
        </w:rPr>
        <w:t xml:space="preserve">I propose a 50-50 split </w:t>
      </w:r>
      <w:r>
        <w:rPr>
          <w:rFonts w:ascii="Book Antiqua" w:hAnsi="Book Antiqua" w:cs="TimesNewRomanPSMT"/>
          <w:b/>
          <w:sz w:val="24"/>
        </w:rPr>
        <w:t xml:space="preserve">of cost overruns </w:t>
      </w:r>
      <w:r w:rsidRPr="00DA7627">
        <w:rPr>
          <w:rFonts w:ascii="Book Antiqua" w:hAnsi="Book Antiqua" w:cs="TimesNewRomanPSMT"/>
          <w:b/>
          <w:sz w:val="24"/>
        </w:rPr>
        <w:t>between the Commonwealth and the States in line with the approximate split of total NDIS costs after rollout.</w:t>
      </w:r>
    </w:p>
    <w:p w14:paraId="29694390" w14:textId="77777777" w:rsidR="0043000F" w:rsidRDefault="0043000F" w:rsidP="0043000F">
      <w:pPr>
        <w:autoSpaceDE w:val="0"/>
        <w:autoSpaceDN w:val="0"/>
        <w:adjustRightInd w:val="0"/>
        <w:rPr>
          <w:rFonts w:ascii="Book Antiqua" w:hAnsi="Book Antiqua" w:cs="TimesNewRomanPSMT"/>
          <w:sz w:val="24"/>
        </w:rPr>
      </w:pPr>
    </w:p>
    <w:p w14:paraId="4651C214" w14:textId="77777777" w:rsidR="0043000F" w:rsidRDefault="0043000F" w:rsidP="0043000F">
      <w:pPr>
        <w:autoSpaceDE w:val="0"/>
        <w:autoSpaceDN w:val="0"/>
        <w:adjustRightInd w:val="0"/>
        <w:rPr>
          <w:rFonts w:ascii="Arial-BoldMT" w:hAnsi="Arial-BoldMT" w:cs="Arial-BoldMT"/>
          <w:b/>
          <w:bCs/>
          <w:sz w:val="32"/>
          <w:szCs w:val="32"/>
        </w:rPr>
      </w:pPr>
      <w:r>
        <w:rPr>
          <w:rFonts w:ascii="Arial-BoldMT" w:hAnsi="Arial-BoldMT" w:cs="Arial-BoldMT"/>
          <w:b/>
          <w:bCs/>
          <w:sz w:val="32"/>
          <w:szCs w:val="32"/>
        </w:rPr>
        <w:t>Funding an insurance scheme (10.3)</w:t>
      </w:r>
    </w:p>
    <w:p w14:paraId="498F6024" w14:textId="77777777" w:rsidR="0043000F" w:rsidRDefault="0043000F" w:rsidP="0043000F">
      <w:pPr>
        <w:autoSpaceDE w:val="0"/>
        <w:autoSpaceDN w:val="0"/>
        <w:adjustRightInd w:val="0"/>
        <w:rPr>
          <w:rFonts w:ascii="Arial-BoldMT" w:hAnsi="Arial-BoldMT" w:cs="Arial-BoldMT"/>
          <w:b/>
          <w:bCs/>
          <w:sz w:val="32"/>
          <w:szCs w:val="32"/>
        </w:rPr>
      </w:pPr>
    </w:p>
    <w:p w14:paraId="1C682DFB" w14:textId="77777777" w:rsidR="0043000F" w:rsidRDefault="0043000F" w:rsidP="0043000F">
      <w:pPr>
        <w:autoSpaceDE w:val="0"/>
        <w:autoSpaceDN w:val="0"/>
        <w:adjustRightInd w:val="0"/>
        <w:rPr>
          <w:rFonts w:ascii="Arial-ItalicMT" w:hAnsi="Arial-ItalicMT" w:cs="Arial-ItalicMT"/>
          <w:i/>
          <w:iCs/>
          <w:sz w:val="18"/>
          <w:szCs w:val="18"/>
        </w:rPr>
      </w:pPr>
      <w:r>
        <w:rPr>
          <w:rFonts w:ascii="Arial-ItalicMT" w:hAnsi="Arial-ItalicMT" w:cs="Arial-ItalicMT"/>
          <w:i/>
          <w:iCs/>
          <w:sz w:val="18"/>
          <w:szCs w:val="18"/>
        </w:rPr>
        <w:t>INFORMATION REQUEST 10.3</w:t>
      </w:r>
    </w:p>
    <w:p w14:paraId="63B8B50C" w14:textId="77777777" w:rsidR="0043000F" w:rsidRDefault="0043000F" w:rsidP="0043000F">
      <w:pPr>
        <w:autoSpaceDE w:val="0"/>
        <w:autoSpaceDN w:val="0"/>
        <w:adjustRightInd w:val="0"/>
        <w:rPr>
          <w:rFonts w:ascii="Arial-ItalicMT" w:hAnsi="Arial-ItalicMT" w:cs="Arial-ItalicMT"/>
          <w:i/>
          <w:iCs/>
          <w:sz w:val="18"/>
          <w:szCs w:val="18"/>
        </w:rPr>
      </w:pPr>
    </w:p>
    <w:p w14:paraId="40067669" w14:textId="77777777" w:rsidR="0043000F" w:rsidRDefault="0043000F" w:rsidP="0043000F">
      <w:pPr>
        <w:autoSpaceDE w:val="0"/>
        <w:autoSpaceDN w:val="0"/>
        <w:adjustRightInd w:val="0"/>
        <w:rPr>
          <w:rFonts w:ascii="Arial-ItalicMT" w:hAnsi="Arial-ItalicMT" w:cs="Arial-ItalicMT"/>
          <w:i/>
          <w:iCs/>
        </w:rPr>
      </w:pPr>
      <w:r>
        <w:rPr>
          <w:rFonts w:ascii="Arial-ItalicMT" w:hAnsi="Arial-ItalicMT" w:cs="Arial-ItalicMT"/>
          <w:i/>
          <w:iCs/>
        </w:rPr>
        <w:t>The Commission seeks feedback on the level of a future contingency reserve that</w:t>
      </w:r>
    </w:p>
    <w:p w14:paraId="52F966F2" w14:textId="77777777" w:rsidR="0043000F" w:rsidRDefault="0043000F" w:rsidP="0043000F">
      <w:pPr>
        <w:autoSpaceDE w:val="0"/>
        <w:autoSpaceDN w:val="0"/>
        <w:adjustRightInd w:val="0"/>
        <w:rPr>
          <w:rFonts w:ascii="Arial-ItalicMT" w:hAnsi="Arial-ItalicMT" w:cs="Arial-ItalicMT"/>
          <w:i/>
          <w:iCs/>
        </w:rPr>
      </w:pPr>
      <w:r>
        <w:rPr>
          <w:rFonts w:ascii="Arial-ItalicMT" w:hAnsi="Arial-ItalicMT" w:cs="Arial-ItalicMT"/>
          <w:i/>
          <w:iCs/>
        </w:rPr>
        <w:t>would enable the National Disability Insurance Agency to operate like an insurance</w:t>
      </w:r>
    </w:p>
    <w:p w14:paraId="44EF32B9" w14:textId="77777777" w:rsidR="0043000F" w:rsidRDefault="0043000F" w:rsidP="0043000F">
      <w:pPr>
        <w:autoSpaceDE w:val="0"/>
        <w:autoSpaceDN w:val="0"/>
        <w:adjustRightInd w:val="0"/>
        <w:rPr>
          <w:rFonts w:ascii="Arial-ItalicMT" w:hAnsi="Arial-ItalicMT" w:cs="Arial-ItalicMT"/>
          <w:i/>
          <w:iCs/>
        </w:rPr>
      </w:pPr>
      <w:r>
        <w:rPr>
          <w:rFonts w:ascii="Arial-ItalicMT" w:hAnsi="Arial-ItalicMT" w:cs="Arial-ItalicMT"/>
          <w:i/>
          <w:iCs/>
        </w:rPr>
        <w:t>scheme, and how this would best be implemented, including any transitional</w:t>
      </w:r>
    </w:p>
    <w:p w14:paraId="2779B0C2" w14:textId="77777777" w:rsidR="0043000F" w:rsidRDefault="0043000F" w:rsidP="0043000F">
      <w:pPr>
        <w:autoSpaceDE w:val="0"/>
        <w:autoSpaceDN w:val="0"/>
        <w:adjustRightInd w:val="0"/>
        <w:rPr>
          <w:rFonts w:ascii="Arial-ItalicMT" w:hAnsi="Arial-ItalicMT" w:cs="Arial-ItalicMT"/>
          <w:i/>
          <w:iCs/>
        </w:rPr>
      </w:pPr>
      <w:r>
        <w:rPr>
          <w:rFonts w:ascii="Arial-ItalicMT" w:hAnsi="Arial-ItalicMT" w:cs="Arial-ItalicMT"/>
          <w:i/>
          <w:iCs/>
        </w:rPr>
        <w:t>arrangements.</w:t>
      </w:r>
    </w:p>
    <w:p w14:paraId="027EDC3F" w14:textId="77777777" w:rsidR="0043000F" w:rsidRDefault="0043000F" w:rsidP="0043000F">
      <w:pPr>
        <w:autoSpaceDE w:val="0"/>
        <w:autoSpaceDN w:val="0"/>
        <w:adjustRightInd w:val="0"/>
        <w:rPr>
          <w:rFonts w:ascii="Arial-ItalicMT" w:hAnsi="Arial-ItalicMT" w:cs="Arial-ItalicMT"/>
          <w:i/>
          <w:iCs/>
        </w:rPr>
      </w:pPr>
    </w:p>
    <w:p w14:paraId="57D4013A" w14:textId="77777777" w:rsidR="0043000F" w:rsidRPr="00771789" w:rsidRDefault="0043000F" w:rsidP="0043000F">
      <w:pPr>
        <w:autoSpaceDE w:val="0"/>
        <w:autoSpaceDN w:val="0"/>
        <w:adjustRightInd w:val="0"/>
        <w:rPr>
          <w:rFonts w:ascii="Book Antiqua" w:hAnsi="Book Antiqua" w:cs="Arial-ItalicMT"/>
          <w:iCs/>
          <w:sz w:val="24"/>
        </w:rPr>
      </w:pPr>
      <w:r w:rsidRPr="00771789">
        <w:rPr>
          <w:rFonts w:ascii="Book Antiqua" w:hAnsi="Book Antiqua" w:cs="Arial-ItalicMT"/>
          <w:iCs/>
          <w:sz w:val="24"/>
        </w:rPr>
        <w:t>The use of insurance principles in administering the NDIS is supported. In particular, the need to provide supports at one stage of life to reduce long term support costs is in the interest of the NDIS participant and also in the interests of containing NDIS costs over the long term.</w:t>
      </w:r>
    </w:p>
    <w:p w14:paraId="7B3FEB94" w14:textId="77777777" w:rsidR="0043000F" w:rsidRPr="00771789" w:rsidRDefault="0043000F" w:rsidP="0043000F">
      <w:pPr>
        <w:autoSpaceDE w:val="0"/>
        <w:autoSpaceDN w:val="0"/>
        <w:adjustRightInd w:val="0"/>
        <w:rPr>
          <w:rFonts w:ascii="Book Antiqua" w:hAnsi="Book Antiqua" w:cs="Arial-ItalicMT"/>
          <w:iCs/>
          <w:sz w:val="24"/>
        </w:rPr>
      </w:pPr>
    </w:p>
    <w:p w14:paraId="5E3D97FB" w14:textId="77777777" w:rsidR="0043000F" w:rsidRDefault="0043000F" w:rsidP="0043000F">
      <w:pPr>
        <w:autoSpaceDE w:val="0"/>
        <w:autoSpaceDN w:val="0"/>
        <w:adjustRightInd w:val="0"/>
        <w:rPr>
          <w:rFonts w:ascii="Book Antiqua" w:hAnsi="Book Antiqua" w:cs="Arial-ItalicMT"/>
          <w:iCs/>
          <w:sz w:val="24"/>
        </w:rPr>
      </w:pPr>
      <w:r w:rsidRPr="00771789">
        <w:rPr>
          <w:rFonts w:ascii="Book Antiqua" w:hAnsi="Book Antiqua" w:cs="Arial-ItalicMT"/>
          <w:iCs/>
          <w:sz w:val="24"/>
        </w:rPr>
        <w:t xml:space="preserve">However, the NDIS is a </w:t>
      </w:r>
      <w:r w:rsidRPr="00771789">
        <w:rPr>
          <w:rFonts w:ascii="Book Antiqua" w:hAnsi="Book Antiqua" w:cs="Arial-ItalicMT"/>
          <w:b/>
          <w:iCs/>
          <w:sz w:val="24"/>
        </w:rPr>
        <w:t>social insurance</w:t>
      </w:r>
      <w:r w:rsidRPr="00771789">
        <w:rPr>
          <w:rFonts w:ascii="Book Antiqua" w:hAnsi="Book Antiqua" w:cs="Arial-ItalicMT"/>
          <w:iCs/>
          <w:sz w:val="24"/>
        </w:rPr>
        <w:t xml:space="preserve"> scheme. There are no premiums paid by individuals. All NDIS costs are met by Commonwealth and State Governments through appropriations supported by their respective tax bases. Such a scheme should be funded like any other government program, through the budget process. Government budget processes are well developed to deal with unexpected expenditure demands, including any necessary decisions to limit future expenditures.</w:t>
      </w:r>
    </w:p>
    <w:p w14:paraId="7BFC64E7" w14:textId="77777777" w:rsidR="0043000F" w:rsidRDefault="0043000F" w:rsidP="0043000F">
      <w:pPr>
        <w:autoSpaceDE w:val="0"/>
        <w:autoSpaceDN w:val="0"/>
        <w:adjustRightInd w:val="0"/>
        <w:rPr>
          <w:rFonts w:ascii="Book Antiqua" w:hAnsi="Book Antiqua" w:cs="Arial-ItalicMT"/>
          <w:iCs/>
          <w:sz w:val="24"/>
        </w:rPr>
      </w:pPr>
    </w:p>
    <w:p w14:paraId="1CB7E144" w14:textId="77777777" w:rsidR="0043000F" w:rsidRPr="00771789" w:rsidRDefault="0043000F" w:rsidP="0043000F">
      <w:pPr>
        <w:autoSpaceDE w:val="0"/>
        <w:autoSpaceDN w:val="0"/>
        <w:adjustRightInd w:val="0"/>
        <w:rPr>
          <w:rFonts w:ascii="Book Antiqua" w:hAnsi="Book Antiqua" w:cs="Arial-ItalicMT"/>
          <w:b/>
          <w:iCs/>
          <w:sz w:val="24"/>
        </w:rPr>
      </w:pPr>
      <w:r w:rsidRPr="00771789">
        <w:rPr>
          <w:rFonts w:ascii="Book Antiqua" w:hAnsi="Book Antiqua" w:cs="Arial-ItalicMT"/>
          <w:b/>
          <w:iCs/>
          <w:sz w:val="24"/>
        </w:rPr>
        <w:t>The establishment of a contingency reserve held by the NDIA is not supported.</w:t>
      </w:r>
    </w:p>
    <w:p w14:paraId="55499E2E" w14:textId="77777777" w:rsidR="0043000F" w:rsidRDefault="0043000F" w:rsidP="0043000F">
      <w:pPr>
        <w:autoSpaceDE w:val="0"/>
        <w:autoSpaceDN w:val="0"/>
        <w:adjustRightInd w:val="0"/>
        <w:rPr>
          <w:rFonts w:ascii="Book Antiqua" w:hAnsi="Book Antiqua" w:cs="Arial-ItalicMT"/>
          <w:iCs/>
        </w:rPr>
      </w:pPr>
    </w:p>
    <w:p w14:paraId="0446388F" w14:textId="77777777" w:rsidR="0043000F" w:rsidRDefault="0043000F" w:rsidP="0043000F">
      <w:pPr>
        <w:autoSpaceDE w:val="0"/>
        <w:autoSpaceDN w:val="0"/>
        <w:adjustRightInd w:val="0"/>
        <w:rPr>
          <w:rFonts w:ascii="Book Antiqua" w:hAnsi="Book Antiqua" w:cs="Arial-ItalicMT"/>
          <w:iCs/>
        </w:rPr>
      </w:pPr>
    </w:p>
    <w:p w14:paraId="3EA01764" w14:textId="362A4949" w:rsidR="00805EE7" w:rsidRPr="007823D6" w:rsidRDefault="00805EE7" w:rsidP="0043000F">
      <w:pPr>
        <w:spacing w:line="276" w:lineRule="auto"/>
        <w:rPr>
          <w:rFonts w:ascii="Book Antiqua" w:hAnsi="Book Antiqua" w:cs="TimesNewRomanPS-BoldItalicMT"/>
          <w:bCs/>
          <w:iCs/>
          <w:sz w:val="24"/>
        </w:rPr>
      </w:pPr>
    </w:p>
    <w:sectPr w:rsidR="00805EE7" w:rsidRPr="007823D6" w:rsidSect="00280B51">
      <w:footerReference w:type="even" r:id="rId11"/>
      <w:footerReference w:type="default" r:id="rId12"/>
      <w:pgSz w:w="11901" w:h="16817"/>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CD4CB" w14:textId="77777777" w:rsidR="0004164F" w:rsidRDefault="0004164F" w:rsidP="00705C0C">
      <w:r>
        <w:separator/>
      </w:r>
    </w:p>
  </w:endnote>
  <w:endnote w:type="continuationSeparator" w:id="0">
    <w:p w14:paraId="56D67B4E" w14:textId="77777777" w:rsidR="0004164F" w:rsidRDefault="0004164F" w:rsidP="0070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eplica Std Light">
    <w:panose1 w:val="00000000000000000000"/>
    <w:charset w:val="00"/>
    <w:family w:val="modern"/>
    <w:notTrueType/>
    <w:pitch w:val="variable"/>
    <w:sig w:usb0="800000AF" w:usb1="4000206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MT">
    <w:panose1 w:val="00000000000000000000"/>
    <w:charset w:val="4D"/>
    <w:family w:val="auto"/>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TimesNewRomanPS-BoldItalic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E64B2" w14:textId="77777777" w:rsidR="00BB7620" w:rsidRDefault="00BB7620" w:rsidP="00E535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AA03F1" w14:textId="77777777" w:rsidR="00BB7620" w:rsidRDefault="00BB7620" w:rsidP="00280B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0043668"/>
      <w:docPartObj>
        <w:docPartGallery w:val="Page Numbers (Bottom of Page)"/>
        <w:docPartUnique/>
      </w:docPartObj>
    </w:sdtPr>
    <w:sdtEndPr>
      <w:rPr>
        <w:noProof/>
      </w:rPr>
    </w:sdtEndPr>
    <w:sdtContent>
      <w:p w14:paraId="5ADC16B2" w14:textId="62F15359" w:rsidR="00BB7620" w:rsidRPr="00366B84" w:rsidRDefault="00BB7620" w:rsidP="00B74347">
        <w:pPr>
          <w:pStyle w:val="Footer"/>
          <w:ind w:right="360"/>
          <w:rPr>
            <w:sz w:val="18"/>
            <w:szCs w:val="18"/>
          </w:rPr>
        </w:pPr>
        <w:r w:rsidRPr="00366B84">
          <w:rPr>
            <w:rFonts w:eastAsiaTheme="majorEastAsia" w:cstheme="majorBidi"/>
            <w:sz w:val="18"/>
            <w:szCs w:val="18"/>
          </w:rPr>
          <w:ptab w:relativeTo="margin" w:alignment="center" w:leader="none"/>
        </w:r>
        <w:r w:rsidRPr="00366B84">
          <w:rPr>
            <w:rFonts w:eastAsiaTheme="majorEastAsia" w:cstheme="majorBidi"/>
            <w:sz w:val="18"/>
            <w:szCs w:val="18"/>
          </w:rPr>
          <w:t>Centre for Disability Research and Policy</w:t>
        </w:r>
        <w:r w:rsidRPr="00366B84">
          <w:rPr>
            <w:rFonts w:eastAsiaTheme="majorEastAsia" w:cstheme="majorBidi"/>
            <w:sz w:val="18"/>
            <w:szCs w:val="18"/>
          </w:rPr>
          <w:ptab w:relativeTo="margin" w:alignment="right" w:leader="none"/>
        </w:r>
        <w:r w:rsidRPr="00366B84">
          <w:rPr>
            <w:rFonts w:eastAsiaTheme="majorEastAsia" w:cstheme="majorBidi"/>
            <w:sz w:val="18"/>
            <w:szCs w:val="18"/>
          </w:rPr>
          <w:fldChar w:fldCharType="begin"/>
        </w:r>
        <w:r w:rsidRPr="00366B84">
          <w:rPr>
            <w:rFonts w:eastAsiaTheme="majorEastAsia" w:cstheme="majorBidi"/>
            <w:sz w:val="18"/>
            <w:szCs w:val="18"/>
          </w:rPr>
          <w:instrText xml:space="preserve"> PAGE   \* MERGEFORMAT </w:instrText>
        </w:r>
        <w:r w:rsidRPr="00366B84">
          <w:rPr>
            <w:rFonts w:eastAsiaTheme="majorEastAsia" w:cstheme="majorBidi"/>
            <w:sz w:val="18"/>
            <w:szCs w:val="18"/>
          </w:rPr>
          <w:fldChar w:fldCharType="separate"/>
        </w:r>
        <w:r w:rsidR="00F3737A">
          <w:rPr>
            <w:rFonts w:eastAsiaTheme="majorEastAsia" w:cstheme="majorBidi"/>
            <w:noProof/>
            <w:sz w:val="18"/>
            <w:szCs w:val="18"/>
          </w:rPr>
          <w:t>1</w:t>
        </w:r>
        <w:r w:rsidRPr="00366B84">
          <w:rPr>
            <w:rFonts w:eastAsiaTheme="majorEastAsia" w:cstheme="majorBidi"/>
            <w:noProof/>
            <w:sz w:val="18"/>
            <w:szCs w:val="18"/>
          </w:rPr>
          <w:fldChar w:fldCharType="end"/>
        </w:r>
      </w:p>
      <w:p w14:paraId="485F8840" w14:textId="77777777" w:rsidR="00BB7620" w:rsidRPr="00B74347" w:rsidRDefault="00F3737A" w:rsidP="00B74347">
        <w:pPr>
          <w:pStyle w:val="Footer"/>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67280" w14:textId="77777777" w:rsidR="0004164F" w:rsidRDefault="0004164F" w:rsidP="00705C0C">
      <w:r>
        <w:separator/>
      </w:r>
    </w:p>
  </w:footnote>
  <w:footnote w:type="continuationSeparator" w:id="0">
    <w:p w14:paraId="474D804E" w14:textId="77777777" w:rsidR="0004164F" w:rsidRDefault="0004164F" w:rsidP="00705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896"/>
    <w:multiLevelType w:val="hybridMultilevel"/>
    <w:tmpl w:val="AA8C541E"/>
    <w:lvl w:ilvl="0" w:tplc="F38E50F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56C02"/>
    <w:multiLevelType w:val="hybridMultilevel"/>
    <w:tmpl w:val="9C223C52"/>
    <w:lvl w:ilvl="0" w:tplc="14508ED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958CF"/>
    <w:multiLevelType w:val="hybridMultilevel"/>
    <w:tmpl w:val="82DCAB22"/>
    <w:lvl w:ilvl="0" w:tplc="04090001">
      <w:start w:val="1"/>
      <w:numFmt w:val="bullet"/>
      <w:lvlText w:val=""/>
      <w:lvlJc w:val="left"/>
      <w:pPr>
        <w:ind w:left="568" w:hanging="284"/>
      </w:pPr>
      <w:rPr>
        <w:rFonts w:ascii="Symbol" w:hAnsi="Symbol" w:hint="default"/>
      </w:rPr>
    </w:lvl>
    <w:lvl w:ilvl="1" w:tplc="51A23D14">
      <w:start w:val="2015"/>
      <w:numFmt w:val="bullet"/>
      <w:lvlText w:val="•"/>
      <w:lvlJc w:val="left"/>
      <w:pPr>
        <w:ind w:left="2084" w:hanging="720"/>
      </w:pPr>
      <w:rPr>
        <w:rFonts w:ascii="Tw Cen MT" w:eastAsia="MS PGothic" w:hAnsi="Tw Cen MT"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5FF1AF3"/>
    <w:multiLevelType w:val="hybridMultilevel"/>
    <w:tmpl w:val="6A361DB0"/>
    <w:lvl w:ilvl="0" w:tplc="2D1835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090D13"/>
    <w:multiLevelType w:val="hybridMultilevel"/>
    <w:tmpl w:val="E6723308"/>
    <w:lvl w:ilvl="0" w:tplc="BF42C60A">
      <w:numFmt w:val="bullet"/>
      <w:lvlText w:val="•"/>
      <w:lvlJc w:val="left"/>
      <w:pPr>
        <w:ind w:left="720" w:hanging="360"/>
      </w:pPr>
      <w:rPr>
        <w:rFonts w:ascii="Tw Cen MT" w:eastAsia="MS PGothic" w:hAnsi="Tw Cen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197E49"/>
    <w:multiLevelType w:val="hybridMultilevel"/>
    <w:tmpl w:val="1174F3AA"/>
    <w:lvl w:ilvl="0" w:tplc="FAA672B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953BF"/>
    <w:multiLevelType w:val="hybridMultilevel"/>
    <w:tmpl w:val="0A1C25DC"/>
    <w:lvl w:ilvl="0" w:tplc="0C090001">
      <w:start w:val="1"/>
      <w:numFmt w:val="bullet"/>
      <w:lvlText w:val=""/>
      <w:lvlJc w:val="left"/>
      <w:pPr>
        <w:ind w:left="720" w:hanging="360"/>
      </w:pPr>
      <w:rPr>
        <w:rFonts w:ascii="Symbol" w:hAnsi="Symbol" w:hint="default"/>
      </w:rPr>
    </w:lvl>
    <w:lvl w:ilvl="1" w:tplc="F38E50FE">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76D4F"/>
    <w:multiLevelType w:val="hybridMultilevel"/>
    <w:tmpl w:val="62167368"/>
    <w:lvl w:ilvl="0" w:tplc="76646B2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13ADA"/>
    <w:multiLevelType w:val="hybridMultilevel"/>
    <w:tmpl w:val="00B0D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66963"/>
    <w:multiLevelType w:val="hybridMultilevel"/>
    <w:tmpl w:val="B4C464CE"/>
    <w:lvl w:ilvl="0" w:tplc="04090001">
      <w:start w:val="1"/>
      <w:numFmt w:val="bullet"/>
      <w:lvlText w:val=""/>
      <w:lvlJc w:val="left"/>
      <w:pPr>
        <w:ind w:left="568" w:hanging="284"/>
      </w:pPr>
      <w:rPr>
        <w:rFonts w:ascii="Symbol" w:hAnsi="Symbol" w:hint="default"/>
      </w:rPr>
    </w:lvl>
    <w:lvl w:ilvl="1" w:tplc="51A23D14">
      <w:start w:val="2015"/>
      <w:numFmt w:val="bullet"/>
      <w:lvlText w:val="•"/>
      <w:lvlJc w:val="left"/>
      <w:pPr>
        <w:ind w:left="2084" w:hanging="720"/>
      </w:pPr>
      <w:rPr>
        <w:rFonts w:ascii="Tw Cen MT" w:eastAsia="MS PGothic" w:hAnsi="Tw Cen MT"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F105FD7"/>
    <w:multiLevelType w:val="multilevel"/>
    <w:tmpl w:val="1174F3A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0127A7C"/>
    <w:multiLevelType w:val="hybridMultilevel"/>
    <w:tmpl w:val="BD7855C2"/>
    <w:lvl w:ilvl="0" w:tplc="D3BA09AE">
      <w:start w:val="1"/>
      <w:numFmt w:val="bullet"/>
      <w:pStyle w:val="ListParagraph"/>
      <w:lvlText w:val=""/>
      <w:lvlJc w:val="left"/>
      <w:pPr>
        <w:ind w:left="284" w:hanging="284"/>
      </w:pPr>
      <w:rPr>
        <w:rFonts w:ascii="Symbol" w:hAnsi="Symbol" w:hint="default"/>
      </w:rPr>
    </w:lvl>
    <w:lvl w:ilvl="1" w:tplc="51A23D14">
      <w:start w:val="2015"/>
      <w:numFmt w:val="bullet"/>
      <w:lvlText w:val="•"/>
      <w:lvlJc w:val="left"/>
      <w:pPr>
        <w:ind w:left="1800" w:hanging="720"/>
      </w:pPr>
      <w:rPr>
        <w:rFonts w:ascii="Tw Cen MT" w:eastAsia="MS PGothic" w:hAnsi="Tw Cen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3D47B8"/>
    <w:multiLevelType w:val="multilevel"/>
    <w:tmpl w:val="00B0D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D80058"/>
    <w:multiLevelType w:val="hybridMultilevel"/>
    <w:tmpl w:val="2AA8D04E"/>
    <w:lvl w:ilvl="0" w:tplc="48CE8CB8">
      <w:numFmt w:val="bullet"/>
      <w:lvlText w:val="•"/>
      <w:lvlJc w:val="left"/>
      <w:pPr>
        <w:ind w:left="720" w:hanging="360"/>
      </w:pPr>
      <w:rPr>
        <w:rFonts w:ascii="Arial" w:eastAsiaTheme="minorHAnsi" w:hAnsi="Aria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D17AEE"/>
    <w:multiLevelType w:val="hybridMultilevel"/>
    <w:tmpl w:val="A80E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B4037"/>
    <w:multiLevelType w:val="hybridMultilevel"/>
    <w:tmpl w:val="9B1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77FE7"/>
    <w:multiLevelType w:val="hybridMultilevel"/>
    <w:tmpl w:val="B2ACF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73DBB"/>
    <w:multiLevelType w:val="hybridMultilevel"/>
    <w:tmpl w:val="E8FA7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783D48"/>
    <w:multiLevelType w:val="multilevel"/>
    <w:tmpl w:val="9B105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F9C74EA"/>
    <w:multiLevelType w:val="hybridMultilevel"/>
    <w:tmpl w:val="7B2CE8BE"/>
    <w:lvl w:ilvl="0" w:tplc="0C090001">
      <w:start w:val="1"/>
      <w:numFmt w:val="bullet"/>
      <w:lvlText w:val=""/>
      <w:lvlJc w:val="left"/>
      <w:pPr>
        <w:ind w:left="720" w:hanging="360"/>
      </w:pPr>
      <w:rPr>
        <w:rFonts w:ascii="Symbol" w:hAnsi="Symbol" w:hint="default"/>
      </w:rPr>
    </w:lvl>
    <w:lvl w:ilvl="1" w:tplc="6700C532">
      <w:numFmt w:val="bullet"/>
      <w:lvlText w:val="•"/>
      <w:lvlJc w:val="left"/>
      <w:pPr>
        <w:ind w:left="1440" w:hanging="360"/>
      </w:pPr>
      <w:rPr>
        <w:rFonts w:ascii="Tw Cen MT" w:eastAsia="MS PGothic" w:hAnsi="Tw Cen MT"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CE56BE"/>
    <w:multiLevelType w:val="hybridMultilevel"/>
    <w:tmpl w:val="FAF0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5"/>
  </w:num>
  <w:num w:numId="4">
    <w:abstractNumId w:val="10"/>
  </w:num>
  <w:num w:numId="5">
    <w:abstractNumId w:val="1"/>
  </w:num>
  <w:num w:numId="6">
    <w:abstractNumId w:val="11"/>
  </w:num>
  <w:num w:numId="7">
    <w:abstractNumId w:val="8"/>
  </w:num>
  <w:num w:numId="8">
    <w:abstractNumId w:val="12"/>
  </w:num>
  <w:num w:numId="9">
    <w:abstractNumId w:val="7"/>
  </w:num>
  <w:num w:numId="10">
    <w:abstractNumId w:val="16"/>
  </w:num>
  <w:num w:numId="11">
    <w:abstractNumId w:val="3"/>
  </w:num>
  <w:num w:numId="12">
    <w:abstractNumId w:val="17"/>
  </w:num>
  <w:num w:numId="13">
    <w:abstractNumId w:val="9"/>
  </w:num>
  <w:num w:numId="14">
    <w:abstractNumId w:val="20"/>
  </w:num>
  <w:num w:numId="15">
    <w:abstractNumId w:val="2"/>
  </w:num>
  <w:num w:numId="16">
    <w:abstractNumId w:val="14"/>
  </w:num>
  <w:num w:numId="17">
    <w:abstractNumId w:val="19"/>
  </w:num>
  <w:num w:numId="18">
    <w:abstractNumId w:val="6"/>
  </w:num>
  <w:num w:numId="19">
    <w:abstractNumId w:val="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FA"/>
    <w:rsid w:val="000045AB"/>
    <w:rsid w:val="00004F7C"/>
    <w:rsid w:val="00011BAF"/>
    <w:rsid w:val="00022E27"/>
    <w:rsid w:val="0004164F"/>
    <w:rsid w:val="000A622D"/>
    <w:rsid w:val="000C4CED"/>
    <w:rsid w:val="000D5804"/>
    <w:rsid w:val="000E52C9"/>
    <w:rsid w:val="00104BB7"/>
    <w:rsid w:val="00107FC1"/>
    <w:rsid w:val="001124F5"/>
    <w:rsid w:val="001134D0"/>
    <w:rsid w:val="00127EEC"/>
    <w:rsid w:val="0013128D"/>
    <w:rsid w:val="00134693"/>
    <w:rsid w:val="00154561"/>
    <w:rsid w:val="00161A61"/>
    <w:rsid w:val="001B7A58"/>
    <w:rsid w:val="001F540D"/>
    <w:rsid w:val="001F5E34"/>
    <w:rsid w:val="00200168"/>
    <w:rsid w:val="002010BA"/>
    <w:rsid w:val="0020736F"/>
    <w:rsid w:val="002136CF"/>
    <w:rsid w:val="002275B4"/>
    <w:rsid w:val="0023662B"/>
    <w:rsid w:val="00247E3B"/>
    <w:rsid w:val="002659BD"/>
    <w:rsid w:val="00280B51"/>
    <w:rsid w:val="002E4E28"/>
    <w:rsid w:val="003021FD"/>
    <w:rsid w:val="003064FB"/>
    <w:rsid w:val="0031605F"/>
    <w:rsid w:val="0037421E"/>
    <w:rsid w:val="003772B4"/>
    <w:rsid w:val="00391EF5"/>
    <w:rsid w:val="003A44F0"/>
    <w:rsid w:val="003B027B"/>
    <w:rsid w:val="003C294A"/>
    <w:rsid w:val="003C3C0E"/>
    <w:rsid w:val="003E40E5"/>
    <w:rsid w:val="003E428A"/>
    <w:rsid w:val="003E53B6"/>
    <w:rsid w:val="0043000F"/>
    <w:rsid w:val="00430692"/>
    <w:rsid w:val="00474B8E"/>
    <w:rsid w:val="00477AA7"/>
    <w:rsid w:val="004E134D"/>
    <w:rsid w:val="004F46FA"/>
    <w:rsid w:val="004F4D4C"/>
    <w:rsid w:val="00524783"/>
    <w:rsid w:val="00526FF1"/>
    <w:rsid w:val="005370E3"/>
    <w:rsid w:val="005D70B1"/>
    <w:rsid w:val="005E7EBC"/>
    <w:rsid w:val="0060067E"/>
    <w:rsid w:val="00603EAD"/>
    <w:rsid w:val="0061057D"/>
    <w:rsid w:val="00614452"/>
    <w:rsid w:val="006317AD"/>
    <w:rsid w:val="00645EED"/>
    <w:rsid w:val="00654035"/>
    <w:rsid w:val="006D1CC6"/>
    <w:rsid w:val="006D73FB"/>
    <w:rsid w:val="006E1FC1"/>
    <w:rsid w:val="006F6E78"/>
    <w:rsid w:val="00705C0C"/>
    <w:rsid w:val="0071586C"/>
    <w:rsid w:val="007212F6"/>
    <w:rsid w:val="007569A0"/>
    <w:rsid w:val="00762F73"/>
    <w:rsid w:val="0076470A"/>
    <w:rsid w:val="00773DB8"/>
    <w:rsid w:val="007C5773"/>
    <w:rsid w:val="007D467A"/>
    <w:rsid w:val="007D68DA"/>
    <w:rsid w:val="007F1E6D"/>
    <w:rsid w:val="007F34E9"/>
    <w:rsid w:val="00803049"/>
    <w:rsid w:val="00805EE7"/>
    <w:rsid w:val="008250A4"/>
    <w:rsid w:val="00832526"/>
    <w:rsid w:val="00844499"/>
    <w:rsid w:val="00846F09"/>
    <w:rsid w:val="00855C15"/>
    <w:rsid w:val="00863E6E"/>
    <w:rsid w:val="00875BB1"/>
    <w:rsid w:val="008851D0"/>
    <w:rsid w:val="00892BE8"/>
    <w:rsid w:val="00894301"/>
    <w:rsid w:val="008A5DB1"/>
    <w:rsid w:val="008B61AB"/>
    <w:rsid w:val="008C304A"/>
    <w:rsid w:val="008D049D"/>
    <w:rsid w:val="008D3399"/>
    <w:rsid w:val="008F2E48"/>
    <w:rsid w:val="00914E5F"/>
    <w:rsid w:val="00921E78"/>
    <w:rsid w:val="0092374A"/>
    <w:rsid w:val="00923FE9"/>
    <w:rsid w:val="00956B6B"/>
    <w:rsid w:val="009733A9"/>
    <w:rsid w:val="00987BA9"/>
    <w:rsid w:val="00987C27"/>
    <w:rsid w:val="00990528"/>
    <w:rsid w:val="009A5DEA"/>
    <w:rsid w:val="009A7054"/>
    <w:rsid w:val="009C338F"/>
    <w:rsid w:val="009C56CF"/>
    <w:rsid w:val="009D41C0"/>
    <w:rsid w:val="009E1CA0"/>
    <w:rsid w:val="009E4751"/>
    <w:rsid w:val="009E6456"/>
    <w:rsid w:val="009F3180"/>
    <w:rsid w:val="009F77BB"/>
    <w:rsid w:val="009F7C8D"/>
    <w:rsid w:val="00A0143F"/>
    <w:rsid w:val="00A44319"/>
    <w:rsid w:val="00A772F3"/>
    <w:rsid w:val="00AA73DE"/>
    <w:rsid w:val="00AF2353"/>
    <w:rsid w:val="00B06251"/>
    <w:rsid w:val="00B06F89"/>
    <w:rsid w:val="00B121A4"/>
    <w:rsid w:val="00B2585A"/>
    <w:rsid w:val="00B74347"/>
    <w:rsid w:val="00B81739"/>
    <w:rsid w:val="00B87A65"/>
    <w:rsid w:val="00B977F7"/>
    <w:rsid w:val="00BA30BB"/>
    <w:rsid w:val="00BA45BB"/>
    <w:rsid w:val="00BB7620"/>
    <w:rsid w:val="00C4267C"/>
    <w:rsid w:val="00C92883"/>
    <w:rsid w:val="00CA28D0"/>
    <w:rsid w:val="00CB045E"/>
    <w:rsid w:val="00CF1336"/>
    <w:rsid w:val="00CF433F"/>
    <w:rsid w:val="00D17844"/>
    <w:rsid w:val="00D37211"/>
    <w:rsid w:val="00D84598"/>
    <w:rsid w:val="00DC1CB8"/>
    <w:rsid w:val="00DD6F88"/>
    <w:rsid w:val="00DE6ED9"/>
    <w:rsid w:val="00E03E0E"/>
    <w:rsid w:val="00E24F93"/>
    <w:rsid w:val="00E500CD"/>
    <w:rsid w:val="00E51320"/>
    <w:rsid w:val="00E535CF"/>
    <w:rsid w:val="00E77224"/>
    <w:rsid w:val="00E9021D"/>
    <w:rsid w:val="00EA6BAC"/>
    <w:rsid w:val="00EB06E2"/>
    <w:rsid w:val="00ED75A8"/>
    <w:rsid w:val="00F138E1"/>
    <w:rsid w:val="00F26B63"/>
    <w:rsid w:val="00F304DE"/>
    <w:rsid w:val="00F3737A"/>
    <w:rsid w:val="00F73682"/>
    <w:rsid w:val="00FB2422"/>
    <w:rsid w:val="00FB4B17"/>
    <w:rsid w:val="00FD0603"/>
    <w:rsid w:val="00FE6E28"/>
    <w:rsid w:val="00FF22E8"/>
    <w:rsid w:val="00FF55C6"/>
    <w:rsid w:val="00FF5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FAAD731"/>
  <w15:docId w15:val="{9C2B5193-3066-4F3F-8991-5F0F1C67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PGothic"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BB7"/>
    <w:rPr>
      <w:rFonts w:ascii="Tw Cen MT" w:hAnsi="Tw Cen MT"/>
      <w:color w:val="000000"/>
      <w:sz w:val="22"/>
      <w:szCs w:val="24"/>
    </w:rPr>
  </w:style>
  <w:style w:type="paragraph" w:styleId="Heading1">
    <w:name w:val="heading 1"/>
    <w:basedOn w:val="Normal"/>
    <w:next w:val="Normal"/>
    <w:link w:val="Heading1Char"/>
    <w:uiPriority w:val="9"/>
    <w:qFormat/>
    <w:rsid w:val="003A44F0"/>
    <w:pPr>
      <w:keepNext/>
      <w:keepLines/>
      <w:spacing w:before="480" w:after="200"/>
      <w:outlineLvl w:val="0"/>
    </w:pPr>
    <w:rPr>
      <w:b/>
      <w:bCs/>
      <w:color w:val="E64626"/>
      <w:sz w:val="48"/>
      <w:szCs w:val="32"/>
    </w:rPr>
  </w:style>
  <w:style w:type="paragraph" w:styleId="Heading2">
    <w:name w:val="heading 2"/>
    <w:basedOn w:val="Normal"/>
    <w:next w:val="Normal"/>
    <w:link w:val="Heading2Char"/>
    <w:uiPriority w:val="9"/>
    <w:unhideWhenUsed/>
    <w:qFormat/>
    <w:rsid w:val="003A44F0"/>
    <w:pPr>
      <w:keepNext/>
      <w:keepLines/>
      <w:spacing w:after="200"/>
      <w:outlineLvl w:val="1"/>
    </w:pPr>
    <w:rPr>
      <w:bCs/>
      <w:sz w:val="40"/>
      <w:szCs w:val="26"/>
    </w:rPr>
  </w:style>
  <w:style w:type="paragraph" w:styleId="Heading3">
    <w:name w:val="heading 3"/>
    <w:basedOn w:val="Normal"/>
    <w:next w:val="Normal"/>
    <w:link w:val="Heading3Char"/>
    <w:uiPriority w:val="9"/>
    <w:unhideWhenUsed/>
    <w:qFormat/>
    <w:rsid w:val="00D84598"/>
    <w:pPr>
      <w:keepNext/>
      <w:keepLines/>
      <w:spacing w:before="400" w:after="40"/>
      <w:outlineLvl w:val="2"/>
    </w:pPr>
    <w:rPr>
      <w:b/>
      <w:bCs/>
      <w:color w:val="E64626"/>
      <w:sz w:val="26"/>
    </w:rPr>
  </w:style>
  <w:style w:type="paragraph" w:styleId="Heading4">
    <w:name w:val="heading 4"/>
    <w:basedOn w:val="Normal"/>
    <w:next w:val="Normal"/>
    <w:link w:val="Heading4Char"/>
    <w:uiPriority w:val="9"/>
    <w:unhideWhenUsed/>
    <w:qFormat/>
    <w:rsid w:val="007212F6"/>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44F0"/>
    <w:rPr>
      <w:rFonts w:ascii="Tw Cen MT" w:eastAsia="MS PGothic" w:hAnsi="Tw Cen MT" w:cs="Times New Roman"/>
      <w:b/>
      <w:bCs/>
      <w:color w:val="E64626"/>
      <w:sz w:val="48"/>
      <w:szCs w:val="32"/>
    </w:rPr>
  </w:style>
  <w:style w:type="character" w:customStyle="1" w:styleId="Heading2Char">
    <w:name w:val="Heading 2 Char"/>
    <w:link w:val="Heading2"/>
    <w:uiPriority w:val="9"/>
    <w:rsid w:val="003A44F0"/>
    <w:rPr>
      <w:rFonts w:ascii="Tw Cen MT" w:eastAsia="MS PGothic" w:hAnsi="Tw Cen MT" w:cs="Times New Roman"/>
      <w:bCs/>
      <w:color w:val="000000"/>
      <w:sz w:val="40"/>
      <w:szCs w:val="26"/>
    </w:rPr>
  </w:style>
  <w:style w:type="character" w:customStyle="1" w:styleId="Heading3Char">
    <w:name w:val="Heading 3 Char"/>
    <w:link w:val="Heading3"/>
    <w:uiPriority w:val="9"/>
    <w:rsid w:val="00D84598"/>
    <w:rPr>
      <w:rFonts w:ascii="Tw Cen MT" w:eastAsia="MS PGothic" w:hAnsi="Tw Cen MT" w:cs="Times New Roman"/>
      <w:b/>
      <w:bCs/>
      <w:color w:val="E64626"/>
      <w:sz w:val="26"/>
    </w:rPr>
  </w:style>
  <w:style w:type="paragraph" w:styleId="ListParagraph">
    <w:name w:val="List Paragraph"/>
    <w:basedOn w:val="Normal"/>
    <w:uiPriority w:val="34"/>
    <w:qFormat/>
    <w:rsid w:val="00200168"/>
    <w:pPr>
      <w:numPr>
        <w:numId w:val="6"/>
      </w:numPr>
      <w:contextualSpacing/>
    </w:pPr>
  </w:style>
  <w:style w:type="character" w:customStyle="1" w:styleId="Heading4Char">
    <w:name w:val="Heading 4 Char"/>
    <w:link w:val="Heading4"/>
    <w:uiPriority w:val="9"/>
    <w:rsid w:val="007212F6"/>
    <w:rPr>
      <w:rFonts w:ascii="Tw Cen MT" w:eastAsia="MS PGothic" w:hAnsi="Tw Cen MT" w:cs="Times New Roman"/>
      <w:b/>
      <w:bCs/>
      <w:iCs/>
      <w:color w:val="000000"/>
      <w:sz w:val="22"/>
    </w:rPr>
  </w:style>
  <w:style w:type="character" w:styleId="Hyperlink">
    <w:name w:val="Hyperlink"/>
    <w:uiPriority w:val="99"/>
    <w:unhideWhenUsed/>
    <w:rsid w:val="003E428A"/>
    <w:rPr>
      <w:b/>
      <w:color w:val="E64626"/>
      <w:u w:val="single"/>
    </w:rPr>
  </w:style>
  <w:style w:type="character" w:styleId="FollowedHyperlink">
    <w:name w:val="FollowedHyperlink"/>
    <w:uiPriority w:val="99"/>
    <w:semiHidden/>
    <w:unhideWhenUsed/>
    <w:rsid w:val="00004F7C"/>
    <w:rPr>
      <w:color w:val="F05133"/>
      <w:u w:val="single"/>
    </w:rPr>
  </w:style>
  <w:style w:type="paragraph" w:styleId="Header">
    <w:name w:val="header"/>
    <w:basedOn w:val="Normal"/>
    <w:link w:val="HeaderChar"/>
    <w:uiPriority w:val="99"/>
    <w:unhideWhenUsed/>
    <w:rsid w:val="00705C0C"/>
    <w:pPr>
      <w:tabs>
        <w:tab w:val="center" w:pos="4320"/>
        <w:tab w:val="right" w:pos="8640"/>
      </w:tabs>
    </w:pPr>
  </w:style>
  <w:style w:type="character" w:customStyle="1" w:styleId="HeaderChar">
    <w:name w:val="Header Char"/>
    <w:link w:val="Header"/>
    <w:uiPriority w:val="99"/>
    <w:rsid w:val="00705C0C"/>
    <w:rPr>
      <w:rFonts w:ascii="Tw Cen MT" w:hAnsi="Tw Cen MT"/>
      <w:color w:val="000000"/>
      <w:sz w:val="22"/>
    </w:rPr>
  </w:style>
  <w:style w:type="paragraph" w:styleId="Footer">
    <w:name w:val="footer"/>
    <w:basedOn w:val="Normal"/>
    <w:link w:val="FooterChar"/>
    <w:uiPriority w:val="99"/>
    <w:unhideWhenUsed/>
    <w:rsid w:val="00705C0C"/>
    <w:pPr>
      <w:tabs>
        <w:tab w:val="center" w:pos="4320"/>
        <w:tab w:val="right" w:pos="8640"/>
      </w:tabs>
    </w:pPr>
  </w:style>
  <w:style w:type="character" w:customStyle="1" w:styleId="FooterChar">
    <w:name w:val="Footer Char"/>
    <w:link w:val="Footer"/>
    <w:uiPriority w:val="99"/>
    <w:rsid w:val="00705C0C"/>
    <w:rPr>
      <w:rFonts w:ascii="Tw Cen MT" w:hAnsi="Tw Cen MT"/>
      <w:color w:val="000000"/>
      <w:sz w:val="22"/>
    </w:rPr>
  </w:style>
  <w:style w:type="character" w:styleId="PageNumber">
    <w:name w:val="page number"/>
    <w:basedOn w:val="DefaultParagraphFont"/>
    <w:uiPriority w:val="99"/>
    <w:semiHidden/>
    <w:unhideWhenUsed/>
    <w:rsid w:val="00705C0C"/>
  </w:style>
  <w:style w:type="paragraph" w:styleId="BalloonText">
    <w:name w:val="Balloon Text"/>
    <w:basedOn w:val="Normal"/>
    <w:link w:val="BalloonTextChar"/>
    <w:uiPriority w:val="99"/>
    <w:unhideWhenUsed/>
    <w:rsid w:val="00E535CF"/>
    <w:rPr>
      <w:rFonts w:ascii="Lucida Grande" w:hAnsi="Lucida Grande" w:cs="Lucida Grande"/>
      <w:sz w:val="18"/>
      <w:szCs w:val="18"/>
    </w:rPr>
  </w:style>
  <w:style w:type="character" w:customStyle="1" w:styleId="BalloonTextChar">
    <w:name w:val="Balloon Text Char"/>
    <w:link w:val="BalloonText"/>
    <w:uiPriority w:val="99"/>
    <w:rsid w:val="00E535CF"/>
    <w:rPr>
      <w:rFonts w:ascii="Lucida Grande" w:hAnsi="Lucida Grande" w:cs="Lucida Grande"/>
      <w:color w:val="000000"/>
      <w:sz w:val="18"/>
      <w:szCs w:val="18"/>
    </w:rPr>
  </w:style>
  <w:style w:type="paragraph" w:styleId="Title">
    <w:name w:val="Title"/>
    <w:basedOn w:val="Normal"/>
    <w:next w:val="Normal"/>
    <w:link w:val="TitleChar"/>
    <w:uiPriority w:val="10"/>
    <w:qFormat/>
    <w:rsid w:val="00645EED"/>
    <w:pPr>
      <w:spacing w:before="1400"/>
      <w:ind w:left="1134" w:right="-907"/>
    </w:pPr>
    <w:rPr>
      <w:b/>
      <w:color w:val="E64626"/>
      <w:sz w:val="48"/>
    </w:rPr>
  </w:style>
  <w:style w:type="character" w:customStyle="1" w:styleId="TitleChar">
    <w:name w:val="Title Char"/>
    <w:link w:val="Title"/>
    <w:uiPriority w:val="10"/>
    <w:rsid w:val="00645EED"/>
    <w:rPr>
      <w:rFonts w:ascii="Tw Cen MT" w:hAnsi="Tw Cen MT"/>
      <w:b/>
      <w:color w:val="E64626"/>
      <w:sz w:val="48"/>
    </w:rPr>
  </w:style>
  <w:style w:type="paragraph" w:styleId="Subtitle">
    <w:name w:val="Subtitle"/>
    <w:basedOn w:val="Normal"/>
    <w:next w:val="Normal"/>
    <w:link w:val="SubtitleChar"/>
    <w:uiPriority w:val="11"/>
    <w:qFormat/>
    <w:rsid w:val="00645EED"/>
    <w:pPr>
      <w:spacing w:before="200"/>
      <w:ind w:left="1134" w:right="-907"/>
    </w:pPr>
    <w:rPr>
      <w:sz w:val="40"/>
      <w:szCs w:val="40"/>
    </w:rPr>
  </w:style>
  <w:style w:type="character" w:customStyle="1" w:styleId="SubtitleChar">
    <w:name w:val="Subtitle Char"/>
    <w:link w:val="Subtitle"/>
    <w:uiPriority w:val="11"/>
    <w:rsid w:val="00645EED"/>
    <w:rPr>
      <w:rFonts w:ascii="Tw Cen MT" w:hAnsi="Tw Cen MT"/>
      <w:color w:val="000000"/>
      <w:sz w:val="40"/>
      <w:szCs w:val="40"/>
    </w:rPr>
  </w:style>
  <w:style w:type="table" w:styleId="TableGrid">
    <w:name w:val="Table Grid"/>
    <w:basedOn w:val="TableNormal"/>
    <w:uiPriority w:val="39"/>
    <w:rsid w:val="00CA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aliases w:val="Sydney Uni"/>
    <w:basedOn w:val="TableNormal"/>
    <w:uiPriority w:val="60"/>
    <w:rsid w:val="00474B8E"/>
    <w:rPr>
      <w:rFonts w:ascii="Tw Cen MT" w:hAnsi="Tw Cen MT"/>
      <w:color w:val="000000"/>
      <w:sz w:val="18"/>
    </w:rPr>
    <w:tblPr>
      <w:tblStyleRowBandSize w:val="1"/>
      <w:tblStyleColBandSize w:val="1"/>
      <w:tblBorders>
        <w:top w:val="single" w:sz="8" w:space="0" w:color="000000"/>
        <w:bottom w:val="single" w:sz="12" w:space="0" w:color="000000"/>
        <w:insideH w:val="single" w:sz="4" w:space="0" w:color="000000"/>
      </w:tblBorders>
    </w:tblPr>
    <w:tblStylePr w:type="firstRow">
      <w:pPr>
        <w:spacing w:before="0" w:after="0" w:line="240" w:lineRule="auto"/>
      </w:pPr>
      <w:rPr>
        <w:rFonts w:ascii="Tw Cen MT" w:hAnsi="Tw Cen MT"/>
        <w:b/>
        <w:bCs/>
        <w:sz w:val="18"/>
      </w:rPr>
      <w:tblPr/>
      <w:tcPr>
        <w:tcBorders>
          <w:top w:val="nil"/>
          <w:left w:val="nil"/>
          <w:bottom w:val="single" w:sz="12"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8851D0"/>
    <w:rPr>
      <w:color w:val="276FBB"/>
    </w:rPr>
    <w:tblPr>
      <w:tblStyleRowBandSize w:val="1"/>
      <w:tblStyleColBandSize w:val="1"/>
      <w:tblBorders>
        <w:top w:val="single" w:sz="8" w:space="0" w:color="5496DB"/>
        <w:bottom w:val="single" w:sz="8" w:space="0" w:color="5496DB"/>
      </w:tblBorders>
    </w:tblPr>
    <w:tblStylePr w:type="fir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la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4F6"/>
      </w:tcPr>
    </w:tblStylePr>
    <w:tblStylePr w:type="band1Horz">
      <w:tblPr/>
      <w:tcPr>
        <w:tcBorders>
          <w:left w:val="nil"/>
          <w:right w:val="nil"/>
          <w:insideH w:val="nil"/>
          <w:insideV w:val="nil"/>
        </w:tcBorders>
        <w:shd w:val="clear" w:color="auto" w:fill="D4E4F6"/>
      </w:tcPr>
    </w:tblStylePr>
  </w:style>
  <w:style w:type="table" w:styleId="LightShading-Accent1">
    <w:name w:val="Light Shading Accent 1"/>
    <w:basedOn w:val="TableNormal"/>
    <w:uiPriority w:val="60"/>
    <w:rsid w:val="008851D0"/>
    <w:rPr>
      <w:color w:val="B32F14"/>
    </w:rPr>
    <w:tblPr>
      <w:tblStyleRowBandSize w:val="1"/>
      <w:tblStyleColBandSize w:val="1"/>
      <w:tblBorders>
        <w:top w:val="single" w:sz="8" w:space="0" w:color="E64626"/>
        <w:bottom w:val="single" w:sz="8" w:space="0" w:color="E64626"/>
      </w:tblBorders>
    </w:tblPr>
    <w:tblStylePr w:type="fir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la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9"/>
      </w:tcPr>
    </w:tblStylePr>
    <w:tblStylePr w:type="band1Horz">
      <w:tblPr/>
      <w:tcPr>
        <w:tcBorders>
          <w:left w:val="nil"/>
          <w:right w:val="nil"/>
          <w:insideH w:val="nil"/>
          <w:insideV w:val="nil"/>
        </w:tcBorders>
        <w:shd w:val="clear" w:color="auto" w:fill="F8D1C9"/>
      </w:tcPr>
    </w:tblStylePr>
  </w:style>
  <w:style w:type="table" w:styleId="LightList-Accent1">
    <w:name w:val="Light List Accent 1"/>
    <w:basedOn w:val="TableNormal"/>
    <w:uiPriority w:val="61"/>
    <w:rsid w:val="008851D0"/>
    <w:tblPr>
      <w:tblStyleRowBandSize w:val="1"/>
      <w:tblStyleColBandSize w:val="1"/>
      <w:tblBorders>
        <w:top w:val="single" w:sz="8" w:space="0" w:color="E64626"/>
        <w:left w:val="single" w:sz="8" w:space="0" w:color="E64626"/>
        <w:bottom w:val="single" w:sz="8" w:space="0" w:color="E64626"/>
        <w:right w:val="single" w:sz="8" w:space="0" w:color="E64626"/>
      </w:tblBorders>
    </w:tblPr>
    <w:tblStylePr w:type="firstRow">
      <w:pPr>
        <w:spacing w:before="0" w:after="0" w:line="240" w:lineRule="auto"/>
      </w:pPr>
      <w:rPr>
        <w:b/>
        <w:bCs/>
        <w:color w:val="FFFFFF"/>
      </w:rPr>
      <w:tblPr/>
      <w:tcPr>
        <w:shd w:val="clear" w:color="auto" w:fill="E64626"/>
      </w:tcPr>
    </w:tblStylePr>
    <w:tblStylePr w:type="lastRow">
      <w:pPr>
        <w:spacing w:before="0" w:after="0" w:line="240" w:lineRule="auto"/>
      </w:pPr>
      <w:rPr>
        <w:b/>
        <w:bCs/>
      </w:rPr>
      <w:tblPr/>
      <w:tcPr>
        <w:tcBorders>
          <w:top w:val="double" w:sz="6" w:space="0" w:color="E64626"/>
          <w:left w:val="single" w:sz="8" w:space="0" w:color="E64626"/>
          <w:bottom w:val="single" w:sz="8" w:space="0" w:color="E64626"/>
          <w:right w:val="single" w:sz="8" w:space="0" w:color="E64626"/>
        </w:tcBorders>
      </w:tcPr>
    </w:tblStylePr>
    <w:tblStylePr w:type="firstCol">
      <w:rPr>
        <w:b/>
        <w:bCs/>
      </w:rPr>
    </w:tblStylePr>
    <w:tblStylePr w:type="lastCol">
      <w:rPr>
        <w:b/>
        <w:bCs/>
      </w:rPr>
    </w:tblStylePr>
    <w:tblStylePr w:type="band1Vert">
      <w:tblPr/>
      <w:tcPr>
        <w:tcBorders>
          <w:top w:val="single" w:sz="8" w:space="0" w:color="E64626"/>
          <w:left w:val="single" w:sz="8" w:space="0" w:color="E64626"/>
          <w:bottom w:val="single" w:sz="8" w:space="0" w:color="E64626"/>
          <w:right w:val="single" w:sz="8" w:space="0" w:color="E64626"/>
        </w:tcBorders>
      </w:tcPr>
    </w:tblStylePr>
    <w:tblStylePr w:type="band1Horz">
      <w:tblPr/>
      <w:tcPr>
        <w:tcBorders>
          <w:top w:val="single" w:sz="8" w:space="0" w:color="E64626"/>
          <w:left w:val="single" w:sz="8" w:space="0" w:color="E64626"/>
          <w:bottom w:val="single" w:sz="8" w:space="0" w:color="E64626"/>
          <w:right w:val="single" w:sz="8" w:space="0" w:color="E64626"/>
        </w:tcBorders>
      </w:tcPr>
    </w:tblStylePr>
  </w:style>
  <w:style w:type="table" w:styleId="MediumShading2-Accent2">
    <w:name w:val="Medium Shading 2 Accent 2"/>
    <w:basedOn w:val="TableNormal"/>
    <w:uiPriority w:val="64"/>
    <w:rsid w:val="007569A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802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8025" w:themeFill="accent2"/>
      </w:tcPr>
    </w:tblStylePr>
    <w:tblStylePr w:type="lastCol">
      <w:rPr>
        <w:b/>
        <w:bCs/>
        <w:color w:val="FFFFFF" w:themeColor="background1"/>
      </w:rPr>
      <w:tblPr/>
      <w:tcPr>
        <w:tcBorders>
          <w:left w:val="nil"/>
          <w:right w:val="nil"/>
          <w:insideH w:val="nil"/>
          <w:insideV w:val="nil"/>
        </w:tcBorders>
        <w:shd w:val="clear" w:color="auto" w:fill="EF802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63"/>
    <w:rsid w:val="00956B6B"/>
    <w:tblPr>
      <w:tblStyleRowBandSize w:val="1"/>
      <w:tblStyleColBandSize w:val="1"/>
      <w:tblBorders>
        <w:top w:val="single" w:sz="8" w:space="0" w:color="F39F5B" w:themeColor="accent2" w:themeTint="BF"/>
        <w:left w:val="single" w:sz="8" w:space="0" w:color="F39F5B" w:themeColor="accent2" w:themeTint="BF"/>
        <w:bottom w:val="single" w:sz="8" w:space="0" w:color="F39F5B" w:themeColor="accent2" w:themeTint="BF"/>
        <w:right w:val="single" w:sz="8" w:space="0" w:color="F39F5B" w:themeColor="accent2" w:themeTint="BF"/>
        <w:insideH w:val="single" w:sz="8" w:space="0" w:color="F39F5B" w:themeColor="accent2" w:themeTint="BF"/>
      </w:tblBorders>
    </w:tblPr>
    <w:tblStylePr w:type="firstRow">
      <w:pPr>
        <w:spacing w:before="0" w:after="0" w:line="240" w:lineRule="auto"/>
      </w:pPr>
      <w:rPr>
        <w:b/>
        <w:bCs/>
        <w:color w:val="FFFFFF" w:themeColor="background1"/>
      </w:rPr>
      <w:tblPr/>
      <w:tcPr>
        <w:tcBorders>
          <w:top w:val="single" w:sz="8" w:space="0" w:color="F39F5B" w:themeColor="accent2" w:themeTint="BF"/>
          <w:left w:val="single" w:sz="8" w:space="0" w:color="F39F5B" w:themeColor="accent2" w:themeTint="BF"/>
          <w:bottom w:val="single" w:sz="8" w:space="0" w:color="F39F5B" w:themeColor="accent2" w:themeTint="BF"/>
          <w:right w:val="single" w:sz="8" w:space="0" w:color="F39F5B" w:themeColor="accent2" w:themeTint="BF"/>
          <w:insideH w:val="nil"/>
          <w:insideV w:val="nil"/>
        </w:tcBorders>
        <w:shd w:val="clear" w:color="auto" w:fill="EF8025" w:themeFill="accent2"/>
      </w:tcPr>
    </w:tblStylePr>
    <w:tblStylePr w:type="lastRow">
      <w:pPr>
        <w:spacing w:before="0" w:after="0" w:line="240" w:lineRule="auto"/>
      </w:pPr>
      <w:rPr>
        <w:b/>
        <w:bCs/>
      </w:rPr>
      <w:tblPr/>
      <w:tcPr>
        <w:tcBorders>
          <w:top w:val="double" w:sz="6" w:space="0" w:color="F39F5B" w:themeColor="accent2" w:themeTint="BF"/>
          <w:left w:val="single" w:sz="8" w:space="0" w:color="F39F5B" w:themeColor="accent2" w:themeTint="BF"/>
          <w:bottom w:val="single" w:sz="8" w:space="0" w:color="F39F5B" w:themeColor="accent2" w:themeTint="BF"/>
          <w:right w:val="single" w:sz="8" w:space="0" w:color="F39F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BDFC8" w:themeFill="accent2" w:themeFillTint="3F"/>
      </w:tcPr>
    </w:tblStylePr>
    <w:tblStylePr w:type="band1Horz">
      <w:tblPr/>
      <w:tcPr>
        <w:tcBorders>
          <w:insideH w:val="nil"/>
          <w:insideV w:val="nil"/>
        </w:tcBorders>
        <w:shd w:val="clear" w:color="auto" w:fill="FBDFC8" w:themeFill="accent2" w:themeFillTint="3F"/>
      </w:tcPr>
    </w:tblStylePr>
    <w:tblStylePr w:type="band2Horz">
      <w:tblPr/>
      <w:tcPr>
        <w:tcBorders>
          <w:insideH w:val="nil"/>
          <w:insideV w:val="nil"/>
        </w:tcBorders>
      </w:tcPr>
    </w:tblStylePr>
  </w:style>
  <w:style w:type="paragraph" w:customStyle="1" w:styleId="233E5CD5853943F4BD7E8C4B124C0E1D">
    <w:name w:val="233E5CD5853943F4BD7E8C4B124C0E1D"/>
    <w:rsid w:val="006D1CC6"/>
    <w:pPr>
      <w:spacing w:after="200" w:line="276" w:lineRule="auto"/>
    </w:pPr>
    <w:rPr>
      <w:rFonts w:asciiTheme="minorHAnsi" w:eastAsiaTheme="minorEastAsia" w:hAnsiTheme="minorHAnsi" w:cstheme="minorBidi"/>
      <w:sz w:val="22"/>
      <w:szCs w:val="22"/>
      <w:lang w:eastAsia="ja-JP"/>
    </w:rPr>
  </w:style>
  <w:style w:type="table" w:styleId="ColorfulGrid-Accent2">
    <w:name w:val="Colorful Grid Accent 2"/>
    <w:basedOn w:val="TableNormal"/>
    <w:uiPriority w:val="73"/>
    <w:rsid w:val="00B74347"/>
    <w:rPr>
      <w:color w:val="000000" w:themeColor="text1"/>
    </w:rPr>
    <w:tblPr>
      <w:tblStyleRowBandSize w:val="1"/>
      <w:tblStyleColBandSize w:val="1"/>
      <w:tblBorders>
        <w:insideH w:val="single" w:sz="4" w:space="0" w:color="FFFFFF" w:themeColor="background1"/>
      </w:tblBorders>
    </w:tblPr>
    <w:tcPr>
      <w:shd w:val="clear" w:color="auto" w:fill="FBE5D3" w:themeFill="accent2" w:themeFillTint="33"/>
    </w:tcPr>
    <w:tblStylePr w:type="firstRow">
      <w:rPr>
        <w:b/>
        <w:bCs/>
      </w:rPr>
      <w:tblPr/>
      <w:tcPr>
        <w:shd w:val="clear" w:color="auto" w:fill="F8CBA7" w:themeFill="accent2" w:themeFillTint="66"/>
      </w:tcPr>
    </w:tblStylePr>
    <w:tblStylePr w:type="lastRow">
      <w:rPr>
        <w:b/>
        <w:bCs/>
        <w:color w:val="000000" w:themeColor="text1"/>
      </w:rPr>
      <w:tblPr/>
      <w:tcPr>
        <w:shd w:val="clear" w:color="auto" w:fill="F8CBA7" w:themeFill="accent2" w:themeFillTint="66"/>
      </w:tcPr>
    </w:tblStylePr>
    <w:tblStylePr w:type="firstCol">
      <w:rPr>
        <w:color w:val="FFFFFF" w:themeColor="background1"/>
      </w:rPr>
      <w:tblPr/>
      <w:tcPr>
        <w:shd w:val="clear" w:color="auto" w:fill="C05D0E" w:themeFill="accent2" w:themeFillShade="BF"/>
      </w:tcPr>
    </w:tblStylePr>
    <w:tblStylePr w:type="lastCol">
      <w:rPr>
        <w:color w:val="FFFFFF" w:themeColor="background1"/>
      </w:rPr>
      <w:tblPr/>
      <w:tcPr>
        <w:shd w:val="clear" w:color="auto" w:fill="C05D0E" w:themeFill="accent2" w:themeFillShade="BF"/>
      </w:tcPr>
    </w:tblStylePr>
    <w:tblStylePr w:type="band1Vert">
      <w:tblPr/>
      <w:tcPr>
        <w:shd w:val="clear" w:color="auto" w:fill="F7BF92" w:themeFill="accent2" w:themeFillTint="7F"/>
      </w:tcPr>
    </w:tblStylePr>
    <w:tblStylePr w:type="band1Horz">
      <w:tblPr/>
      <w:tcPr>
        <w:shd w:val="clear" w:color="auto" w:fill="F7BF92" w:themeFill="accent2" w:themeFillTint="7F"/>
      </w:tcPr>
    </w:tblStylePr>
  </w:style>
  <w:style w:type="table" w:styleId="MediumGrid3-Accent2">
    <w:name w:val="Medium Grid 3 Accent 2"/>
    <w:basedOn w:val="TableNormal"/>
    <w:uiPriority w:val="69"/>
    <w:rsid w:val="00B743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F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802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802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F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F92" w:themeFill="accent2" w:themeFillTint="7F"/>
      </w:tcPr>
    </w:tblStylePr>
  </w:style>
  <w:style w:type="table" w:customStyle="1" w:styleId="MediumGrid3-Accent21">
    <w:name w:val="Medium Grid 3 - Accent 21"/>
    <w:basedOn w:val="TableNormal"/>
    <w:next w:val="MediumGrid3-Accent2"/>
    <w:uiPriority w:val="69"/>
    <w:rsid w:val="00B7434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F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802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802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802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F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F92" w:themeFill="accent2" w:themeFillTint="7F"/>
      </w:tcPr>
    </w:tblStylePr>
  </w:style>
  <w:style w:type="table" w:styleId="LightGrid-Accent6">
    <w:name w:val="Light Grid Accent 6"/>
    <w:basedOn w:val="TableNormal"/>
    <w:uiPriority w:val="62"/>
    <w:rsid w:val="00F304DE"/>
    <w:tblPr>
      <w:tblStyleRowBandSize w:val="1"/>
      <w:tblStyleColBandSize w:val="1"/>
      <w:tblBorders>
        <w:top w:val="single" w:sz="8" w:space="0" w:color="0148A4" w:themeColor="accent6"/>
        <w:left w:val="single" w:sz="8" w:space="0" w:color="0148A4" w:themeColor="accent6"/>
        <w:bottom w:val="single" w:sz="8" w:space="0" w:color="0148A4" w:themeColor="accent6"/>
        <w:right w:val="single" w:sz="8" w:space="0" w:color="0148A4" w:themeColor="accent6"/>
        <w:insideH w:val="single" w:sz="8" w:space="0" w:color="0148A4" w:themeColor="accent6"/>
        <w:insideV w:val="single" w:sz="8" w:space="0" w:color="0148A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48A4" w:themeColor="accent6"/>
          <w:left w:val="single" w:sz="8" w:space="0" w:color="0148A4" w:themeColor="accent6"/>
          <w:bottom w:val="single" w:sz="18" w:space="0" w:color="0148A4" w:themeColor="accent6"/>
          <w:right w:val="single" w:sz="8" w:space="0" w:color="0148A4" w:themeColor="accent6"/>
          <w:insideH w:val="nil"/>
          <w:insideV w:val="single" w:sz="8" w:space="0" w:color="0148A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48A4" w:themeColor="accent6"/>
          <w:left w:val="single" w:sz="8" w:space="0" w:color="0148A4" w:themeColor="accent6"/>
          <w:bottom w:val="single" w:sz="8" w:space="0" w:color="0148A4" w:themeColor="accent6"/>
          <w:right w:val="single" w:sz="8" w:space="0" w:color="0148A4" w:themeColor="accent6"/>
          <w:insideH w:val="nil"/>
          <w:insideV w:val="single" w:sz="8" w:space="0" w:color="0148A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48A4" w:themeColor="accent6"/>
          <w:left w:val="single" w:sz="8" w:space="0" w:color="0148A4" w:themeColor="accent6"/>
          <w:bottom w:val="single" w:sz="8" w:space="0" w:color="0148A4" w:themeColor="accent6"/>
          <w:right w:val="single" w:sz="8" w:space="0" w:color="0148A4" w:themeColor="accent6"/>
        </w:tcBorders>
      </w:tcPr>
    </w:tblStylePr>
    <w:tblStylePr w:type="band1Vert">
      <w:tblPr/>
      <w:tcPr>
        <w:tcBorders>
          <w:top w:val="single" w:sz="8" w:space="0" w:color="0148A4" w:themeColor="accent6"/>
          <w:left w:val="single" w:sz="8" w:space="0" w:color="0148A4" w:themeColor="accent6"/>
          <w:bottom w:val="single" w:sz="8" w:space="0" w:color="0148A4" w:themeColor="accent6"/>
          <w:right w:val="single" w:sz="8" w:space="0" w:color="0148A4" w:themeColor="accent6"/>
        </w:tcBorders>
        <w:shd w:val="clear" w:color="auto" w:fill="AACEFE" w:themeFill="accent6" w:themeFillTint="3F"/>
      </w:tcPr>
    </w:tblStylePr>
    <w:tblStylePr w:type="band1Horz">
      <w:tblPr/>
      <w:tcPr>
        <w:tcBorders>
          <w:top w:val="single" w:sz="8" w:space="0" w:color="0148A4" w:themeColor="accent6"/>
          <w:left w:val="single" w:sz="8" w:space="0" w:color="0148A4" w:themeColor="accent6"/>
          <w:bottom w:val="single" w:sz="8" w:space="0" w:color="0148A4" w:themeColor="accent6"/>
          <w:right w:val="single" w:sz="8" w:space="0" w:color="0148A4" w:themeColor="accent6"/>
          <w:insideV w:val="single" w:sz="8" w:space="0" w:color="0148A4" w:themeColor="accent6"/>
        </w:tcBorders>
        <w:shd w:val="clear" w:color="auto" w:fill="AACEFE" w:themeFill="accent6" w:themeFillTint="3F"/>
      </w:tcPr>
    </w:tblStylePr>
    <w:tblStylePr w:type="band2Horz">
      <w:tblPr/>
      <w:tcPr>
        <w:tcBorders>
          <w:top w:val="single" w:sz="8" w:space="0" w:color="0148A4" w:themeColor="accent6"/>
          <w:left w:val="single" w:sz="8" w:space="0" w:color="0148A4" w:themeColor="accent6"/>
          <w:bottom w:val="single" w:sz="8" w:space="0" w:color="0148A4" w:themeColor="accent6"/>
          <w:right w:val="single" w:sz="8" w:space="0" w:color="0148A4" w:themeColor="accent6"/>
          <w:insideV w:val="single" w:sz="8" w:space="0" w:color="0148A4" w:themeColor="accent6"/>
        </w:tcBorders>
      </w:tcPr>
    </w:tblStylePr>
  </w:style>
  <w:style w:type="paragraph" w:customStyle="1" w:styleId="Default">
    <w:name w:val="Default"/>
    <w:rsid w:val="00805EE7"/>
    <w:pPr>
      <w:autoSpaceDE w:val="0"/>
      <w:autoSpaceDN w:val="0"/>
      <w:adjustRightInd w:val="0"/>
    </w:pPr>
    <w:rPr>
      <w:rFonts w:eastAsiaTheme="minorHAnsi" w:cs="Arial"/>
      <w:color w:val="000000"/>
      <w:sz w:val="24"/>
      <w:szCs w:val="24"/>
    </w:rPr>
  </w:style>
  <w:style w:type="character" w:styleId="CommentReference">
    <w:name w:val="annotation reference"/>
    <w:basedOn w:val="DefaultParagraphFont"/>
    <w:uiPriority w:val="99"/>
    <w:semiHidden/>
    <w:unhideWhenUsed/>
    <w:rsid w:val="009C338F"/>
    <w:rPr>
      <w:sz w:val="16"/>
      <w:szCs w:val="16"/>
    </w:rPr>
  </w:style>
  <w:style w:type="paragraph" w:styleId="CommentText">
    <w:name w:val="annotation text"/>
    <w:basedOn w:val="Normal"/>
    <w:link w:val="CommentTextChar"/>
    <w:uiPriority w:val="99"/>
    <w:semiHidden/>
    <w:unhideWhenUsed/>
    <w:rsid w:val="009C338F"/>
    <w:rPr>
      <w:sz w:val="20"/>
      <w:szCs w:val="20"/>
    </w:rPr>
  </w:style>
  <w:style w:type="character" w:customStyle="1" w:styleId="CommentTextChar">
    <w:name w:val="Comment Text Char"/>
    <w:basedOn w:val="DefaultParagraphFont"/>
    <w:link w:val="CommentText"/>
    <w:uiPriority w:val="99"/>
    <w:semiHidden/>
    <w:rsid w:val="009C338F"/>
    <w:rPr>
      <w:rFonts w:ascii="Tw Cen MT" w:hAnsi="Tw Cen MT"/>
      <w:color w:val="000000"/>
    </w:rPr>
  </w:style>
  <w:style w:type="paragraph" w:styleId="CommentSubject">
    <w:name w:val="annotation subject"/>
    <w:basedOn w:val="CommentText"/>
    <w:next w:val="CommentText"/>
    <w:link w:val="CommentSubjectChar"/>
    <w:uiPriority w:val="99"/>
    <w:semiHidden/>
    <w:unhideWhenUsed/>
    <w:rsid w:val="009C338F"/>
    <w:rPr>
      <w:b/>
      <w:bCs/>
    </w:rPr>
  </w:style>
  <w:style w:type="character" w:customStyle="1" w:styleId="CommentSubjectChar">
    <w:name w:val="Comment Subject Char"/>
    <w:basedOn w:val="CommentTextChar"/>
    <w:link w:val="CommentSubject"/>
    <w:uiPriority w:val="99"/>
    <w:semiHidden/>
    <w:rsid w:val="009C338F"/>
    <w:rPr>
      <w:rFonts w:ascii="Tw Cen MT" w:hAnsi="Tw Cen M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5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ydney.edu.au/health-sciences/cdrp//Cross%20Sector%20Service_FINAL.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e University of Sydney_Color Theme">
  <a:themeElements>
    <a:clrScheme name="The University of Sydney_Color Theme">
      <a:dk1>
        <a:sysClr val="windowText" lastClr="000000"/>
      </a:dk1>
      <a:lt1>
        <a:sysClr val="window" lastClr="FFFFFF"/>
      </a:lt1>
      <a:dk2>
        <a:srgbClr val="0148A4"/>
      </a:dk2>
      <a:lt2>
        <a:srgbClr val="EEECE1"/>
      </a:lt2>
      <a:accent1>
        <a:srgbClr val="E64626"/>
      </a:accent1>
      <a:accent2>
        <a:srgbClr val="EF8025"/>
      </a:accent2>
      <a:accent3>
        <a:srgbClr val="FFB800"/>
      </a:accent3>
      <a:accent4>
        <a:srgbClr val="5C923E"/>
      </a:accent4>
      <a:accent5>
        <a:srgbClr val="5496DB"/>
      </a:accent5>
      <a:accent6>
        <a:srgbClr val="0148A4"/>
      </a:accent6>
      <a:hlink>
        <a:srgbClr val="E64626"/>
      </a:hlink>
      <a:folHlink>
        <a:srgbClr val="F051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B565-46AC-4694-9BC4-55F1FC0A0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1651</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Submission PP307 - Richard Madden - National Disability Insurance Scheme (NDIS) Costs - Commissioned study</vt:lpstr>
    </vt:vector>
  </TitlesOfParts>
  <Company/>
  <LinksUpToDate>false</LinksUpToDate>
  <CharactersWithSpaces>11041</CharactersWithSpaces>
  <SharedDoc>false</SharedDoc>
  <HLinks>
    <vt:vector size="6" baseType="variant">
      <vt:variant>
        <vt:i4>5111860</vt:i4>
      </vt:variant>
      <vt:variant>
        <vt:i4>0</vt:i4>
      </vt:variant>
      <vt:variant>
        <vt:i4>0</vt:i4>
      </vt:variant>
      <vt:variant>
        <vt:i4>5</vt:i4>
      </vt:variant>
      <vt:variant>
        <vt:lpwstr>http://www.hyperlinkstlye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PP307 - Richard Madden - National Disability Insurance Scheme (NDIS) Costs - Commissioned study</dc:title>
  <dc:creator>Richard Madden</dc:creator>
  <cp:lastModifiedBy>Pimperl, Mark</cp:lastModifiedBy>
  <cp:revision>4</cp:revision>
  <dcterms:created xsi:type="dcterms:W3CDTF">2017-07-12T12:02:00Z</dcterms:created>
  <dcterms:modified xsi:type="dcterms:W3CDTF">2017-07-14T00:50:00Z</dcterms:modified>
</cp:coreProperties>
</file>