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03CE" w:rsidRPr="005D03CE" w:rsidRDefault="005D03CE" w:rsidP="005D03CE">
      <w:pPr>
        <w:jc w:val="both"/>
        <w:rPr>
          <w:rFonts w:ascii="Arial" w:hAnsi="Arial" w:cs="Arial"/>
          <w:sz w:val="20"/>
          <w:szCs w:val="20"/>
        </w:rPr>
      </w:pPr>
      <w:r w:rsidRPr="005D03CE">
        <w:rPr>
          <w:rFonts w:ascii="Arial" w:hAnsi="Arial" w:cs="Arial"/>
          <w:sz w:val="20"/>
          <w:szCs w:val="20"/>
        </w:rPr>
        <w:t>31 July 2017</w:t>
      </w:r>
    </w:p>
    <w:p w:rsidR="00ED682A" w:rsidRDefault="00ED682A" w:rsidP="005D03CE">
      <w:pPr>
        <w:jc w:val="both"/>
        <w:rPr>
          <w:rFonts w:ascii="Arial" w:hAnsi="Arial" w:cs="Arial"/>
          <w:sz w:val="20"/>
          <w:szCs w:val="20"/>
        </w:rPr>
      </w:pPr>
    </w:p>
    <w:p w:rsidR="00F33B5B" w:rsidRPr="005D03CE" w:rsidRDefault="00F33B5B" w:rsidP="005D03CE">
      <w:pPr>
        <w:jc w:val="both"/>
        <w:rPr>
          <w:rFonts w:ascii="Arial" w:hAnsi="Arial" w:cs="Arial"/>
          <w:sz w:val="20"/>
          <w:szCs w:val="20"/>
        </w:rPr>
      </w:pPr>
    </w:p>
    <w:p w:rsidR="005D03CE" w:rsidRPr="005D03CE" w:rsidRDefault="005D03CE" w:rsidP="005D03CE">
      <w:pPr>
        <w:jc w:val="both"/>
        <w:rPr>
          <w:rFonts w:ascii="Arial" w:hAnsi="Arial" w:cs="Arial"/>
          <w:sz w:val="20"/>
          <w:szCs w:val="20"/>
        </w:rPr>
      </w:pPr>
      <w:r w:rsidRPr="005D03CE">
        <w:rPr>
          <w:rFonts w:ascii="Arial" w:hAnsi="Arial" w:cs="Arial"/>
          <w:sz w:val="20"/>
          <w:szCs w:val="20"/>
        </w:rPr>
        <w:t>Ms Karen Chester and Mr Jonathan Coppel</w:t>
      </w:r>
    </w:p>
    <w:p w:rsidR="005D03CE" w:rsidRPr="005D03CE" w:rsidRDefault="005D03CE" w:rsidP="005D03CE">
      <w:pPr>
        <w:jc w:val="both"/>
        <w:rPr>
          <w:rFonts w:ascii="Arial" w:hAnsi="Arial" w:cs="Arial"/>
          <w:sz w:val="20"/>
          <w:szCs w:val="20"/>
        </w:rPr>
      </w:pPr>
      <w:r w:rsidRPr="005D03CE">
        <w:rPr>
          <w:rFonts w:ascii="Arial" w:hAnsi="Arial" w:cs="Arial"/>
          <w:sz w:val="20"/>
          <w:szCs w:val="20"/>
        </w:rPr>
        <w:t>Productivity Commission</w:t>
      </w:r>
    </w:p>
    <w:p w:rsidR="005D03CE" w:rsidRPr="005D03CE" w:rsidRDefault="005D03CE" w:rsidP="005D03CE">
      <w:pPr>
        <w:jc w:val="both"/>
        <w:rPr>
          <w:rFonts w:ascii="Arial" w:hAnsi="Arial" w:cs="Arial"/>
          <w:sz w:val="20"/>
          <w:szCs w:val="20"/>
        </w:rPr>
      </w:pPr>
      <w:r w:rsidRPr="005D03CE">
        <w:rPr>
          <w:rFonts w:ascii="Arial" w:hAnsi="Arial" w:cs="Arial"/>
          <w:sz w:val="20"/>
          <w:szCs w:val="20"/>
        </w:rPr>
        <w:t>GPO Box 1428</w:t>
      </w:r>
    </w:p>
    <w:p w:rsidR="005D03CE" w:rsidRPr="005D03CE" w:rsidRDefault="005D03CE" w:rsidP="005D03CE">
      <w:pPr>
        <w:jc w:val="both"/>
        <w:rPr>
          <w:rFonts w:ascii="Arial" w:hAnsi="Arial" w:cs="Arial"/>
          <w:sz w:val="20"/>
          <w:szCs w:val="20"/>
        </w:rPr>
      </w:pPr>
      <w:r w:rsidRPr="005D03CE">
        <w:rPr>
          <w:rFonts w:ascii="Arial" w:hAnsi="Arial" w:cs="Arial"/>
          <w:sz w:val="20"/>
          <w:szCs w:val="20"/>
        </w:rPr>
        <w:t>CANBERRA CITY  ACT  2601</w:t>
      </w:r>
    </w:p>
    <w:p w:rsidR="005D03CE" w:rsidRPr="005D03CE" w:rsidRDefault="005D03CE" w:rsidP="005D03CE">
      <w:pPr>
        <w:jc w:val="both"/>
        <w:rPr>
          <w:rFonts w:ascii="Arial" w:hAnsi="Arial" w:cs="Arial"/>
          <w:sz w:val="20"/>
          <w:szCs w:val="20"/>
        </w:rPr>
      </w:pPr>
    </w:p>
    <w:p w:rsidR="005D03CE" w:rsidRPr="005D03CE" w:rsidRDefault="005D03CE" w:rsidP="005D03CE">
      <w:pPr>
        <w:jc w:val="both"/>
        <w:rPr>
          <w:rFonts w:ascii="Arial" w:hAnsi="Arial" w:cs="Arial"/>
          <w:sz w:val="20"/>
          <w:szCs w:val="20"/>
        </w:rPr>
      </w:pPr>
    </w:p>
    <w:p w:rsidR="005D03CE" w:rsidRPr="005D03CE" w:rsidRDefault="005D03CE" w:rsidP="005D03CE">
      <w:pPr>
        <w:jc w:val="both"/>
        <w:rPr>
          <w:rFonts w:ascii="Arial" w:hAnsi="Arial" w:cs="Arial"/>
          <w:sz w:val="20"/>
          <w:szCs w:val="20"/>
        </w:rPr>
      </w:pPr>
      <w:r w:rsidRPr="005D03CE">
        <w:rPr>
          <w:rFonts w:ascii="Arial" w:hAnsi="Arial" w:cs="Arial"/>
          <w:sz w:val="20"/>
          <w:szCs w:val="20"/>
        </w:rPr>
        <w:t>Dear Ms Chester and Mr Coppel,</w:t>
      </w:r>
    </w:p>
    <w:p w:rsidR="005D03CE" w:rsidRPr="005D03CE" w:rsidRDefault="005D03CE" w:rsidP="005D03CE">
      <w:pPr>
        <w:jc w:val="both"/>
        <w:rPr>
          <w:rFonts w:ascii="Arial" w:hAnsi="Arial" w:cs="Arial"/>
          <w:sz w:val="20"/>
          <w:szCs w:val="20"/>
        </w:rPr>
      </w:pPr>
    </w:p>
    <w:p w:rsidR="005D03CE" w:rsidRPr="005D03CE" w:rsidRDefault="005D03CE" w:rsidP="005D03CE">
      <w:pPr>
        <w:jc w:val="center"/>
        <w:rPr>
          <w:rFonts w:ascii="Arial" w:hAnsi="Arial" w:cs="Arial"/>
          <w:b/>
          <w:sz w:val="20"/>
          <w:szCs w:val="20"/>
        </w:rPr>
      </w:pPr>
      <w:r w:rsidRPr="005D03CE">
        <w:rPr>
          <w:rFonts w:ascii="Arial" w:hAnsi="Arial" w:cs="Arial"/>
          <w:b/>
          <w:sz w:val="20"/>
          <w:szCs w:val="20"/>
        </w:rPr>
        <w:t>Horizontal Fiscal Equalisation Inquiry</w:t>
      </w:r>
    </w:p>
    <w:p w:rsidR="005D03CE" w:rsidRPr="005D03CE" w:rsidRDefault="005D03CE" w:rsidP="005D03CE">
      <w:pPr>
        <w:jc w:val="both"/>
        <w:rPr>
          <w:rFonts w:ascii="Arial" w:hAnsi="Arial" w:cs="Arial"/>
          <w:sz w:val="20"/>
          <w:szCs w:val="20"/>
        </w:rPr>
      </w:pPr>
    </w:p>
    <w:p w:rsidR="005D03CE" w:rsidRPr="005D03CE" w:rsidRDefault="005D03CE" w:rsidP="005D03CE">
      <w:pPr>
        <w:jc w:val="both"/>
        <w:rPr>
          <w:rFonts w:ascii="Arial" w:hAnsi="Arial" w:cs="Arial"/>
          <w:sz w:val="20"/>
          <w:szCs w:val="20"/>
        </w:rPr>
      </w:pPr>
      <w:r w:rsidRPr="005D03CE">
        <w:rPr>
          <w:rFonts w:ascii="Arial" w:hAnsi="Arial" w:cs="Arial"/>
          <w:sz w:val="20"/>
          <w:szCs w:val="20"/>
        </w:rPr>
        <w:t>I present the attached submission in connection with your Horizontal Fiscal Equalisation inquiry.</w:t>
      </w:r>
    </w:p>
    <w:p w:rsidR="005D03CE" w:rsidRPr="005D03CE" w:rsidRDefault="005D03CE" w:rsidP="005D03CE">
      <w:pPr>
        <w:jc w:val="both"/>
        <w:rPr>
          <w:rFonts w:ascii="Arial" w:hAnsi="Arial" w:cs="Arial"/>
          <w:sz w:val="20"/>
          <w:szCs w:val="20"/>
        </w:rPr>
      </w:pPr>
    </w:p>
    <w:p w:rsidR="005D03CE" w:rsidRPr="005D03CE" w:rsidRDefault="005D03CE" w:rsidP="005D03CE">
      <w:pPr>
        <w:jc w:val="both"/>
        <w:rPr>
          <w:rFonts w:ascii="Arial" w:hAnsi="Arial" w:cs="Arial"/>
          <w:sz w:val="20"/>
          <w:szCs w:val="20"/>
        </w:rPr>
      </w:pPr>
      <w:r w:rsidRPr="005D03CE">
        <w:rPr>
          <w:rFonts w:ascii="Arial" w:hAnsi="Arial" w:cs="Arial"/>
          <w:sz w:val="20"/>
          <w:szCs w:val="20"/>
        </w:rPr>
        <w:t>My submission is in two parts. The first outlines the role for horizontal fiscal equalisation in a federal system. There is a widespread lack of awareness of these issues. The second part responds to specific issues in your detailed consultation questions.</w:t>
      </w:r>
    </w:p>
    <w:p w:rsidR="005D03CE" w:rsidRPr="005D03CE" w:rsidRDefault="005D03CE" w:rsidP="005D03CE">
      <w:pPr>
        <w:jc w:val="both"/>
        <w:rPr>
          <w:rFonts w:ascii="Arial" w:hAnsi="Arial" w:cs="Arial"/>
          <w:sz w:val="20"/>
          <w:szCs w:val="20"/>
        </w:rPr>
      </w:pPr>
    </w:p>
    <w:p w:rsidR="005D03CE" w:rsidRPr="005D03CE" w:rsidRDefault="005D03CE" w:rsidP="005D03CE">
      <w:pPr>
        <w:jc w:val="both"/>
        <w:rPr>
          <w:rFonts w:ascii="Arial" w:hAnsi="Arial" w:cs="Arial"/>
          <w:sz w:val="20"/>
          <w:szCs w:val="20"/>
        </w:rPr>
      </w:pPr>
      <w:r w:rsidRPr="005D03CE">
        <w:rPr>
          <w:rFonts w:ascii="Arial" w:hAnsi="Arial" w:cs="Arial"/>
          <w:sz w:val="20"/>
          <w:szCs w:val="20"/>
        </w:rPr>
        <w:t>I have been involved in the analysis of federal financial issues in Australia for two decades and I draw on my thinking over that time in preparing this material. I have acted as a consultant to the Sou</w:t>
      </w:r>
      <w:bookmarkStart w:id="0" w:name="_GoBack"/>
      <w:bookmarkEnd w:id="0"/>
      <w:r w:rsidRPr="005D03CE">
        <w:rPr>
          <w:rFonts w:ascii="Arial" w:hAnsi="Arial" w:cs="Arial"/>
          <w:sz w:val="20"/>
          <w:szCs w:val="20"/>
        </w:rPr>
        <w:t>th Australian Government.</w:t>
      </w:r>
    </w:p>
    <w:p w:rsidR="005D03CE" w:rsidRPr="005D03CE" w:rsidRDefault="005D03CE" w:rsidP="005D03CE">
      <w:pPr>
        <w:jc w:val="both"/>
        <w:rPr>
          <w:rFonts w:ascii="Arial" w:hAnsi="Arial" w:cs="Arial"/>
          <w:sz w:val="20"/>
          <w:szCs w:val="20"/>
        </w:rPr>
      </w:pPr>
    </w:p>
    <w:p w:rsidR="005D03CE" w:rsidRPr="005D03CE" w:rsidRDefault="005D03CE" w:rsidP="005D03CE">
      <w:pPr>
        <w:jc w:val="both"/>
        <w:rPr>
          <w:rFonts w:ascii="Arial" w:hAnsi="Arial" w:cs="Arial"/>
          <w:sz w:val="20"/>
          <w:szCs w:val="20"/>
        </w:rPr>
      </w:pPr>
      <w:r w:rsidRPr="005D03CE">
        <w:rPr>
          <w:rFonts w:ascii="Arial" w:hAnsi="Arial" w:cs="Arial"/>
          <w:sz w:val="20"/>
          <w:szCs w:val="20"/>
        </w:rPr>
        <w:t>I wish you well in your task.</w:t>
      </w:r>
    </w:p>
    <w:p w:rsidR="005D03CE" w:rsidRDefault="005D03CE" w:rsidP="005D03CE">
      <w:pPr>
        <w:jc w:val="both"/>
        <w:rPr>
          <w:rFonts w:ascii="Arial" w:hAnsi="Arial" w:cs="Arial"/>
          <w:sz w:val="20"/>
          <w:szCs w:val="20"/>
        </w:rPr>
      </w:pPr>
    </w:p>
    <w:p w:rsidR="005D03CE" w:rsidRPr="005D03CE" w:rsidRDefault="005D03CE" w:rsidP="005D03CE">
      <w:pPr>
        <w:jc w:val="both"/>
        <w:rPr>
          <w:rFonts w:ascii="Arial" w:hAnsi="Arial" w:cs="Arial"/>
          <w:sz w:val="20"/>
          <w:szCs w:val="20"/>
        </w:rPr>
      </w:pPr>
    </w:p>
    <w:p w:rsidR="005D03CE" w:rsidRPr="005D03CE" w:rsidRDefault="005D03CE" w:rsidP="005D03CE">
      <w:pPr>
        <w:jc w:val="both"/>
        <w:rPr>
          <w:rFonts w:ascii="Arial" w:hAnsi="Arial" w:cs="Arial"/>
          <w:sz w:val="20"/>
          <w:szCs w:val="20"/>
        </w:rPr>
      </w:pPr>
      <w:r w:rsidRPr="005D03CE">
        <w:rPr>
          <w:rFonts w:ascii="Arial" w:hAnsi="Arial" w:cs="Arial"/>
          <w:sz w:val="20"/>
          <w:szCs w:val="20"/>
        </w:rPr>
        <w:t>Yours sincerely,</w:t>
      </w:r>
    </w:p>
    <w:p w:rsidR="005D03CE" w:rsidRPr="005D03CE" w:rsidRDefault="005D03CE" w:rsidP="005D03CE">
      <w:pPr>
        <w:jc w:val="both"/>
        <w:rPr>
          <w:rFonts w:ascii="Arial" w:hAnsi="Arial" w:cs="Arial"/>
          <w:sz w:val="20"/>
          <w:szCs w:val="20"/>
        </w:rPr>
      </w:pPr>
    </w:p>
    <w:p w:rsidR="005D03CE" w:rsidRPr="005D03CE" w:rsidRDefault="005D03CE" w:rsidP="005D03CE">
      <w:pPr>
        <w:jc w:val="both"/>
        <w:rPr>
          <w:rFonts w:ascii="Arial" w:hAnsi="Arial" w:cs="Arial"/>
          <w:sz w:val="20"/>
          <w:szCs w:val="20"/>
        </w:rPr>
      </w:pPr>
    </w:p>
    <w:p w:rsidR="005D03CE" w:rsidRPr="005D03CE" w:rsidRDefault="005D03CE" w:rsidP="005D03CE">
      <w:pPr>
        <w:jc w:val="both"/>
        <w:rPr>
          <w:rFonts w:ascii="Arial" w:hAnsi="Arial" w:cs="Arial"/>
          <w:sz w:val="20"/>
          <w:szCs w:val="20"/>
        </w:rPr>
      </w:pPr>
    </w:p>
    <w:p w:rsidR="005D03CE" w:rsidRPr="005D03CE" w:rsidRDefault="005D03CE" w:rsidP="005D03CE">
      <w:pPr>
        <w:jc w:val="both"/>
        <w:rPr>
          <w:rFonts w:ascii="Arial" w:hAnsi="Arial" w:cs="Arial"/>
          <w:sz w:val="20"/>
          <w:szCs w:val="20"/>
        </w:rPr>
      </w:pPr>
      <w:r w:rsidRPr="005D03CE">
        <w:rPr>
          <w:rFonts w:ascii="Arial" w:hAnsi="Arial" w:cs="Arial"/>
          <w:sz w:val="20"/>
          <w:szCs w:val="20"/>
        </w:rPr>
        <w:t>Jim Hancock</w:t>
      </w:r>
    </w:p>
    <w:p w:rsidR="005D03CE" w:rsidRPr="005D03CE" w:rsidRDefault="005D03CE" w:rsidP="005D03CE">
      <w:pPr>
        <w:jc w:val="both"/>
        <w:rPr>
          <w:rFonts w:ascii="Arial" w:hAnsi="Arial" w:cs="Arial"/>
          <w:sz w:val="20"/>
          <w:szCs w:val="20"/>
        </w:rPr>
      </w:pPr>
      <w:r w:rsidRPr="005D03CE">
        <w:rPr>
          <w:rFonts w:ascii="Arial" w:hAnsi="Arial" w:cs="Arial"/>
          <w:sz w:val="20"/>
          <w:szCs w:val="20"/>
        </w:rPr>
        <w:t>Deputy Director</w:t>
      </w:r>
    </w:p>
    <w:p w:rsidR="005D03CE" w:rsidRPr="005D03CE" w:rsidRDefault="005D03CE" w:rsidP="005D03CE">
      <w:pPr>
        <w:jc w:val="both"/>
        <w:rPr>
          <w:rFonts w:ascii="Arial" w:hAnsi="Arial" w:cs="Arial"/>
          <w:sz w:val="20"/>
          <w:szCs w:val="20"/>
        </w:rPr>
      </w:pPr>
      <w:r w:rsidRPr="005D03CE">
        <w:rPr>
          <w:rFonts w:ascii="Arial" w:hAnsi="Arial" w:cs="Arial"/>
          <w:sz w:val="20"/>
          <w:szCs w:val="20"/>
        </w:rPr>
        <w:t>South Australian Centre for Economic Studies</w:t>
      </w:r>
    </w:p>
    <w:p w:rsidR="005D03CE" w:rsidRDefault="005D03CE" w:rsidP="005D03CE">
      <w:pPr>
        <w:jc w:val="both"/>
        <w:rPr>
          <w:rFonts w:ascii="Arial" w:hAnsi="Arial" w:cs="Arial"/>
          <w:sz w:val="20"/>
          <w:szCs w:val="20"/>
        </w:rPr>
      </w:pPr>
    </w:p>
    <w:p w:rsidR="005D03CE" w:rsidRDefault="005D03CE" w:rsidP="005D03CE">
      <w:pPr>
        <w:jc w:val="both"/>
        <w:rPr>
          <w:rFonts w:ascii="Arial" w:hAnsi="Arial" w:cs="Arial"/>
          <w:sz w:val="20"/>
          <w:szCs w:val="20"/>
        </w:rPr>
      </w:pPr>
      <w:proofErr w:type="spellStart"/>
      <w:r>
        <w:rPr>
          <w:rFonts w:ascii="Arial" w:hAnsi="Arial" w:cs="Arial"/>
          <w:sz w:val="20"/>
          <w:szCs w:val="20"/>
        </w:rPr>
        <w:t>Encl</w:t>
      </w:r>
      <w:proofErr w:type="spellEnd"/>
      <w:r>
        <w:rPr>
          <w:rFonts w:ascii="Arial" w:hAnsi="Arial" w:cs="Arial"/>
          <w:sz w:val="20"/>
          <w:szCs w:val="20"/>
        </w:rPr>
        <w:t xml:space="preserve"> …</w:t>
      </w:r>
    </w:p>
    <w:p w:rsidR="005D03CE" w:rsidRDefault="005D03CE" w:rsidP="005D03CE">
      <w:pPr>
        <w:jc w:val="both"/>
        <w:rPr>
          <w:rFonts w:ascii="Arial" w:hAnsi="Arial" w:cs="Arial"/>
          <w:sz w:val="20"/>
          <w:szCs w:val="20"/>
        </w:rPr>
      </w:pPr>
    </w:p>
    <w:p w:rsidR="00F33B5B" w:rsidRDefault="00F33B5B" w:rsidP="005D03CE">
      <w:pPr>
        <w:jc w:val="both"/>
        <w:rPr>
          <w:rFonts w:ascii="Arial" w:hAnsi="Arial" w:cs="Arial"/>
          <w:sz w:val="20"/>
          <w:szCs w:val="20"/>
        </w:rPr>
      </w:pPr>
    </w:p>
    <w:p w:rsidR="00F33B5B" w:rsidRPr="00F33B5B" w:rsidRDefault="00F33B5B" w:rsidP="005D03CE">
      <w:pPr>
        <w:jc w:val="both"/>
        <w:rPr>
          <w:rFonts w:ascii="Arial" w:hAnsi="Arial" w:cs="Arial"/>
          <w:sz w:val="10"/>
          <w:szCs w:val="10"/>
        </w:rPr>
      </w:pPr>
      <w:r w:rsidRPr="00F33B5B">
        <w:rPr>
          <w:rFonts w:ascii="Arial" w:hAnsi="Arial" w:cs="Arial"/>
          <w:sz w:val="10"/>
          <w:szCs w:val="10"/>
        </w:rPr>
        <w:fldChar w:fldCharType="begin"/>
      </w:r>
      <w:r w:rsidRPr="00F33B5B">
        <w:rPr>
          <w:rFonts w:ascii="Arial" w:hAnsi="Arial" w:cs="Arial"/>
          <w:sz w:val="10"/>
          <w:szCs w:val="10"/>
        </w:rPr>
        <w:instrText xml:space="preserve"> FILENAME  \p  \* MERGEFORMAT </w:instrText>
      </w:r>
      <w:r w:rsidRPr="00F33B5B">
        <w:rPr>
          <w:rFonts w:ascii="Arial" w:hAnsi="Arial" w:cs="Arial"/>
          <w:sz w:val="10"/>
          <w:szCs w:val="10"/>
        </w:rPr>
        <w:fldChar w:fldCharType="separate"/>
      </w:r>
      <w:r w:rsidRPr="00F33B5B">
        <w:rPr>
          <w:rFonts w:ascii="Arial" w:hAnsi="Arial" w:cs="Arial"/>
          <w:noProof/>
          <w:sz w:val="10"/>
          <w:szCs w:val="10"/>
        </w:rPr>
        <w:t>U:\jim\Submission to PC HFE inquiry Jim Hancock.docx</w:t>
      </w:r>
      <w:r w:rsidRPr="00F33B5B">
        <w:rPr>
          <w:rFonts w:ascii="Arial" w:hAnsi="Arial" w:cs="Arial"/>
          <w:sz w:val="10"/>
          <w:szCs w:val="10"/>
        </w:rPr>
        <w:fldChar w:fldCharType="end"/>
      </w:r>
    </w:p>
    <w:p w:rsidR="005D03CE" w:rsidRDefault="005D03CE" w:rsidP="005D03CE">
      <w:pPr>
        <w:jc w:val="both"/>
        <w:rPr>
          <w:rFonts w:ascii="Arial" w:hAnsi="Arial" w:cs="Arial"/>
          <w:sz w:val="20"/>
          <w:szCs w:val="20"/>
        </w:rPr>
      </w:pPr>
    </w:p>
    <w:p w:rsidR="005D03CE" w:rsidRDefault="005D03CE" w:rsidP="005D03CE">
      <w:pPr>
        <w:jc w:val="both"/>
        <w:rPr>
          <w:rFonts w:ascii="Arial" w:hAnsi="Arial" w:cs="Arial"/>
          <w:sz w:val="20"/>
          <w:szCs w:val="20"/>
        </w:rPr>
        <w:sectPr w:rsidR="005D03CE" w:rsidSect="005D03CE">
          <w:headerReference w:type="first" r:id="rId7"/>
          <w:footerReference w:type="first" r:id="rId8"/>
          <w:pgSz w:w="11907" w:h="16840" w:code="9"/>
          <w:pgMar w:top="1134" w:right="1134" w:bottom="1134" w:left="1134" w:header="567" w:footer="567" w:gutter="0"/>
          <w:cols w:space="708"/>
          <w:noEndnote/>
          <w:titlePg/>
          <w:docGrid w:linePitch="326"/>
        </w:sectPr>
      </w:pPr>
    </w:p>
    <w:p w:rsidR="005D03CE" w:rsidRPr="005D03CE" w:rsidRDefault="005D03CE" w:rsidP="005D03CE">
      <w:pPr>
        <w:jc w:val="center"/>
        <w:rPr>
          <w:rFonts w:ascii="Arial" w:hAnsi="Arial" w:cs="Arial"/>
          <w:b/>
          <w:szCs w:val="20"/>
        </w:rPr>
      </w:pPr>
      <w:r w:rsidRPr="005D03CE">
        <w:rPr>
          <w:rFonts w:ascii="Arial" w:hAnsi="Arial" w:cs="Arial"/>
          <w:b/>
          <w:szCs w:val="20"/>
        </w:rPr>
        <w:lastRenderedPageBreak/>
        <w:t xml:space="preserve">Submission to Productivity Commission </w:t>
      </w:r>
      <w:r w:rsidRPr="005D03CE">
        <w:rPr>
          <w:rFonts w:ascii="Arial" w:hAnsi="Arial" w:cs="Arial"/>
          <w:b/>
          <w:i/>
          <w:szCs w:val="20"/>
        </w:rPr>
        <w:t>Horizontal Fiscal Equalisation</w:t>
      </w:r>
      <w:r w:rsidRPr="005D03CE">
        <w:rPr>
          <w:rFonts w:ascii="Arial" w:hAnsi="Arial" w:cs="Arial"/>
          <w:b/>
          <w:szCs w:val="20"/>
        </w:rPr>
        <w:t xml:space="preserve"> Inquiry</w:t>
      </w:r>
    </w:p>
    <w:p w:rsidR="005D03CE" w:rsidRPr="005D03CE" w:rsidRDefault="005D03CE" w:rsidP="005D03CE">
      <w:pPr>
        <w:jc w:val="center"/>
        <w:rPr>
          <w:rFonts w:ascii="Arial" w:hAnsi="Arial" w:cs="Arial"/>
          <w:sz w:val="20"/>
          <w:szCs w:val="20"/>
        </w:rPr>
      </w:pPr>
      <w:r w:rsidRPr="005D03CE">
        <w:rPr>
          <w:rFonts w:ascii="Arial" w:hAnsi="Arial" w:cs="Arial"/>
          <w:sz w:val="20"/>
          <w:szCs w:val="20"/>
        </w:rPr>
        <w:t>Jim Hancock</w:t>
      </w:r>
      <w:r w:rsidRPr="005D03CE">
        <w:rPr>
          <w:rStyle w:val="FootnoteReference"/>
          <w:rFonts w:ascii="Arial" w:hAnsi="Arial" w:cs="Arial"/>
          <w:sz w:val="20"/>
          <w:szCs w:val="20"/>
        </w:rPr>
        <w:footnoteReference w:id="1"/>
      </w:r>
    </w:p>
    <w:p w:rsidR="005D03CE" w:rsidRPr="005D03CE" w:rsidRDefault="005D03CE" w:rsidP="005D03CE">
      <w:pPr>
        <w:jc w:val="both"/>
        <w:rPr>
          <w:rFonts w:ascii="Arial" w:hAnsi="Arial" w:cs="Arial"/>
          <w:sz w:val="20"/>
          <w:szCs w:val="20"/>
        </w:rPr>
      </w:pPr>
    </w:p>
    <w:p w:rsidR="005D03CE" w:rsidRPr="005D03CE" w:rsidRDefault="005D03CE" w:rsidP="005D03CE">
      <w:pPr>
        <w:spacing w:after="60"/>
        <w:jc w:val="both"/>
        <w:rPr>
          <w:rFonts w:ascii="Arial" w:hAnsi="Arial" w:cs="Arial"/>
          <w:b/>
          <w:sz w:val="22"/>
          <w:szCs w:val="20"/>
        </w:rPr>
      </w:pPr>
      <w:r w:rsidRPr="005D03CE">
        <w:rPr>
          <w:rFonts w:ascii="Arial" w:hAnsi="Arial" w:cs="Arial"/>
          <w:b/>
          <w:sz w:val="22"/>
          <w:szCs w:val="20"/>
        </w:rPr>
        <w:t>A.</w:t>
      </w:r>
      <w:r w:rsidRPr="005D03CE">
        <w:rPr>
          <w:rFonts w:ascii="Arial" w:hAnsi="Arial" w:cs="Arial"/>
          <w:b/>
          <w:sz w:val="22"/>
          <w:szCs w:val="20"/>
        </w:rPr>
        <w:tab/>
        <w:t>The role of fiscal equalisation</w:t>
      </w:r>
    </w:p>
    <w:p w:rsidR="005D03CE" w:rsidRPr="005D03CE" w:rsidRDefault="005D03CE" w:rsidP="005D03CE">
      <w:pPr>
        <w:spacing w:after="60"/>
        <w:jc w:val="both"/>
        <w:rPr>
          <w:rFonts w:ascii="Arial" w:hAnsi="Arial" w:cs="Arial"/>
          <w:i/>
          <w:sz w:val="20"/>
          <w:szCs w:val="20"/>
        </w:rPr>
      </w:pPr>
      <w:r w:rsidRPr="005D03CE">
        <w:rPr>
          <w:rFonts w:ascii="Arial" w:hAnsi="Arial" w:cs="Arial"/>
          <w:i/>
          <w:sz w:val="20"/>
          <w:szCs w:val="20"/>
        </w:rPr>
        <w:t>Political Decentralisation</w:t>
      </w:r>
    </w:p>
    <w:p w:rsidR="005D03CE" w:rsidRPr="005D03CE" w:rsidRDefault="005D03CE" w:rsidP="005D03CE">
      <w:pPr>
        <w:jc w:val="both"/>
        <w:rPr>
          <w:rFonts w:ascii="Arial" w:hAnsi="Arial" w:cs="Arial"/>
          <w:sz w:val="20"/>
          <w:szCs w:val="20"/>
        </w:rPr>
      </w:pPr>
      <w:r w:rsidRPr="005D03CE">
        <w:rPr>
          <w:rFonts w:ascii="Arial" w:hAnsi="Arial" w:cs="Arial"/>
          <w:sz w:val="20"/>
          <w:szCs w:val="20"/>
        </w:rPr>
        <w:t xml:space="preserve">The role for horizontal fiscal equalisation (HFE) is best understood by stepping back and considering the system that gives rise to it. In Australia, this is a federal system, with a national government and eight </w:t>
      </w:r>
      <w:r w:rsidR="00002A00">
        <w:rPr>
          <w:rFonts w:ascii="Arial" w:hAnsi="Arial" w:cs="Arial"/>
          <w:sz w:val="20"/>
          <w:szCs w:val="20"/>
        </w:rPr>
        <w:t>State</w:t>
      </w:r>
      <w:r w:rsidRPr="005D03CE">
        <w:rPr>
          <w:rFonts w:ascii="Arial" w:hAnsi="Arial" w:cs="Arial"/>
          <w:sz w:val="20"/>
          <w:szCs w:val="20"/>
        </w:rPr>
        <w:t xml:space="preserve"> governments, and free movement of goods and services and people within the nation. Australia’s federal arrangements have evolved over time in an ongoing process of adaptation to emerging pressures and needs.</w:t>
      </w:r>
    </w:p>
    <w:p w:rsidR="005D03CE" w:rsidRPr="005D03CE" w:rsidRDefault="005D03CE" w:rsidP="005D03CE">
      <w:pPr>
        <w:jc w:val="both"/>
        <w:rPr>
          <w:rFonts w:ascii="Arial" w:hAnsi="Arial" w:cs="Arial"/>
          <w:sz w:val="20"/>
          <w:szCs w:val="20"/>
        </w:rPr>
      </w:pPr>
    </w:p>
    <w:p w:rsidR="005D03CE" w:rsidRPr="005D03CE" w:rsidRDefault="005D03CE" w:rsidP="005D03CE">
      <w:pPr>
        <w:jc w:val="both"/>
        <w:rPr>
          <w:rFonts w:ascii="Arial" w:hAnsi="Arial" w:cs="Arial"/>
          <w:sz w:val="20"/>
          <w:szCs w:val="20"/>
        </w:rPr>
      </w:pPr>
      <w:r w:rsidRPr="005D03CE">
        <w:rPr>
          <w:rFonts w:ascii="Arial" w:hAnsi="Arial" w:cs="Arial"/>
          <w:sz w:val="20"/>
          <w:szCs w:val="20"/>
        </w:rPr>
        <w:t xml:space="preserve">It is instructive to think about how one would design a federal system if one were to start with a “blank sheet”. The design of a federal system involves choices about what powers to retain at central level and what powers to devolve to </w:t>
      </w:r>
      <w:r w:rsidR="0068298D">
        <w:rPr>
          <w:rFonts w:ascii="Arial" w:hAnsi="Arial" w:cs="Arial"/>
          <w:sz w:val="20"/>
          <w:szCs w:val="20"/>
        </w:rPr>
        <w:t>State</w:t>
      </w:r>
      <w:r w:rsidR="0068298D" w:rsidRPr="005D03CE">
        <w:rPr>
          <w:rFonts w:ascii="Arial" w:hAnsi="Arial" w:cs="Arial"/>
          <w:sz w:val="20"/>
          <w:szCs w:val="20"/>
        </w:rPr>
        <w:t xml:space="preserve"> </w:t>
      </w:r>
      <w:r w:rsidRPr="005D03CE">
        <w:rPr>
          <w:rFonts w:ascii="Arial" w:hAnsi="Arial" w:cs="Arial"/>
          <w:sz w:val="20"/>
          <w:szCs w:val="20"/>
        </w:rPr>
        <w:t>governments. There are both advantages and disadvantages of devolution, and it will prove desirable to retain some powers at the central level and to devolve others. In addition, it will be important to take advantage of institutional mechanisms that can minimise the disadvantages associated with devolution and capitalise on the potential advantages. Of course when we consider an existing federal system we do not start from a blank sheet, and established institutions and interests will constrain the design options available.</w:t>
      </w:r>
    </w:p>
    <w:p w:rsidR="005D03CE" w:rsidRPr="005D03CE" w:rsidRDefault="005D03CE" w:rsidP="005D03CE">
      <w:pPr>
        <w:jc w:val="both"/>
        <w:rPr>
          <w:rFonts w:ascii="Arial" w:hAnsi="Arial" w:cs="Arial"/>
          <w:sz w:val="20"/>
          <w:szCs w:val="20"/>
        </w:rPr>
      </w:pPr>
    </w:p>
    <w:p w:rsidR="005D03CE" w:rsidRPr="005D03CE" w:rsidRDefault="005D03CE" w:rsidP="005D03CE">
      <w:pPr>
        <w:jc w:val="both"/>
        <w:rPr>
          <w:rFonts w:ascii="Arial" w:hAnsi="Arial" w:cs="Arial"/>
          <w:sz w:val="20"/>
          <w:szCs w:val="20"/>
        </w:rPr>
      </w:pPr>
      <w:r w:rsidRPr="005D03CE">
        <w:rPr>
          <w:rFonts w:ascii="Arial" w:hAnsi="Arial" w:cs="Arial"/>
          <w:sz w:val="20"/>
          <w:szCs w:val="20"/>
        </w:rPr>
        <w:t>The advantages of decentralisation are as follows. First is the “subsidiarity” argument: a system of decentralised governance locates political decision making closer to the communities that are affected by decisions. It is likely to permit greater differentiation of policy settings across regions, and this permits a better alignment of policies with regional needs and priorities. Secondly, because decentralisation involves numerous governments addressing similar challenges in different geographic regions, the decentralised structure supports experimentation and innovation. Thirdly, since a decentralised arrangement involves a number of regional governments, it may give rise to competitive pressures that lead to better government performance.</w:t>
      </w:r>
    </w:p>
    <w:p w:rsidR="005D03CE" w:rsidRPr="005D03CE" w:rsidRDefault="005D03CE" w:rsidP="005D03CE">
      <w:pPr>
        <w:jc w:val="both"/>
        <w:rPr>
          <w:rFonts w:ascii="Arial" w:hAnsi="Arial" w:cs="Arial"/>
          <w:sz w:val="20"/>
          <w:szCs w:val="20"/>
        </w:rPr>
      </w:pPr>
    </w:p>
    <w:p w:rsidR="005D03CE" w:rsidRPr="005D03CE" w:rsidRDefault="005D03CE" w:rsidP="005D03CE">
      <w:pPr>
        <w:jc w:val="both"/>
        <w:rPr>
          <w:rFonts w:ascii="Arial" w:hAnsi="Arial" w:cs="Arial"/>
          <w:sz w:val="20"/>
          <w:szCs w:val="20"/>
        </w:rPr>
      </w:pPr>
      <w:r w:rsidRPr="005D03CE">
        <w:rPr>
          <w:rFonts w:ascii="Arial" w:hAnsi="Arial" w:cs="Arial"/>
          <w:sz w:val="20"/>
          <w:szCs w:val="20"/>
        </w:rPr>
        <w:t>There are also disadvantages of decentralisation. First, regional governments tend to have a narrow focus of interest. For decisions that have only local consequences this need not be a problem. But for decisions with impacts beyond a jurisdiction’s border it can be a problem. A self-interested region will ignore costs and benefits that fall elsewhere as a result of its actions. Secondly, decentralisation can also lead to costly duplication. There are costs when government administrative services are duplicated and also businesses face duplicated costs when they have to come to terms with different regulatory arrangements in different jurisdictions. Thirdly, since decentralisation involves a number of governments operating on a smaller scale, it may lead to lost economies of scale in government service provision.</w:t>
      </w:r>
    </w:p>
    <w:p w:rsidR="005D03CE" w:rsidRPr="005D03CE" w:rsidRDefault="005D03CE" w:rsidP="005D03CE">
      <w:pPr>
        <w:jc w:val="both"/>
        <w:rPr>
          <w:rFonts w:ascii="Arial" w:hAnsi="Arial" w:cs="Arial"/>
          <w:sz w:val="20"/>
          <w:szCs w:val="20"/>
        </w:rPr>
      </w:pPr>
    </w:p>
    <w:p w:rsidR="005D03CE" w:rsidRPr="005D03CE" w:rsidRDefault="005D03CE" w:rsidP="005D03CE">
      <w:pPr>
        <w:jc w:val="both"/>
        <w:rPr>
          <w:rFonts w:ascii="Arial" w:hAnsi="Arial" w:cs="Arial"/>
          <w:sz w:val="20"/>
          <w:szCs w:val="20"/>
        </w:rPr>
      </w:pPr>
      <w:r w:rsidRPr="005D03CE">
        <w:rPr>
          <w:rFonts w:ascii="Arial" w:hAnsi="Arial" w:cs="Arial"/>
          <w:sz w:val="20"/>
          <w:szCs w:val="20"/>
        </w:rPr>
        <w:t xml:space="preserve">As one works through the pros and cons of decentralisation, it will become apparent that some tax, spending and regulatory powers will best be assigned to the central government and others to the </w:t>
      </w:r>
      <w:r w:rsidR="0068298D">
        <w:rPr>
          <w:rFonts w:ascii="Arial" w:hAnsi="Arial" w:cs="Arial"/>
          <w:sz w:val="20"/>
          <w:szCs w:val="20"/>
        </w:rPr>
        <w:t>State</w:t>
      </w:r>
      <w:r w:rsidRPr="005D03CE">
        <w:rPr>
          <w:rFonts w:ascii="Arial" w:hAnsi="Arial" w:cs="Arial"/>
          <w:sz w:val="20"/>
          <w:szCs w:val="20"/>
        </w:rPr>
        <w:t xml:space="preserve">s. There is no reason to expect that the ideal assignment of tax and spending functions will lead to budget balance at the central and </w:t>
      </w:r>
      <w:r w:rsidR="0068298D">
        <w:rPr>
          <w:rFonts w:ascii="Arial" w:hAnsi="Arial" w:cs="Arial"/>
          <w:sz w:val="20"/>
          <w:szCs w:val="20"/>
        </w:rPr>
        <w:t>State</w:t>
      </w:r>
      <w:r w:rsidRPr="005D03CE">
        <w:rPr>
          <w:rFonts w:ascii="Arial" w:hAnsi="Arial" w:cs="Arial"/>
          <w:sz w:val="20"/>
          <w:szCs w:val="20"/>
        </w:rPr>
        <w:t xml:space="preserve"> levels. Therefore fiscal transfers from the centre to the </w:t>
      </w:r>
      <w:r w:rsidR="0068298D">
        <w:rPr>
          <w:rFonts w:ascii="Arial" w:hAnsi="Arial" w:cs="Arial"/>
          <w:sz w:val="20"/>
          <w:szCs w:val="20"/>
        </w:rPr>
        <w:t>State</w:t>
      </w:r>
      <w:r w:rsidRPr="005D03CE">
        <w:rPr>
          <w:rFonts w:ascii="Arial" w:hAnsi="Arial" w:cs="Arial"/>
          <w:sz w:val="20"/>
          <w:szCs w:val="20"/>
        </w:rPr>
        <w:t>s may be an element of the ideal system. So-called “vertical fiscal imbalance” is a likely outcome of an optimal design. In principle, transfers from the regions to the centre are a possible outcome of an ideal design although less likely.</w:t>
      </w:r>
    </w:p>
    <w:p w:rsidR="005D03CE" w:rsidRPr="005D03CE" w:rsidRDefault="005D03CE" w:rsidP="005D03CE">
      <w:pPr>
        <w:jc w:val="both"/>
        <w:rPr>
          <w:rFonts w:ascii="Arial" w:hAnsi="Arial" w:cs="Arial"/>
          <w:sz w:val="20"/>
          <w:szCs w:val="20"/>
        </w:rPr>
      </w:pPr>
    </w:p>
    <w:p w:rsidR="005D03CE" w:rsidRPr="005D03CE" w:rsidRDefault="005D03CE" w:rsidP="005D03CE">
      <w:pPr>
        <w:jc w:val="both"/>
        <w:rPr>
          <w:rFonts w:ascii="Arial" w:hAnsi="Arial" w:cs="Arial"/>
          <w:sz w:val="20"/>
          <w:szCs w:val="20"/>
        </w:rPr>
      </w:pPr>
      <w:r w:rsidRPr="005D03CE">
        <w:rPr>
          <w:rFonts w:ascii="Arial" w:hAnsi="Arial" w:cs="Arial"/>
          <w:sz w:val="20"/>
          <w:szCs w:val="20"/>
        </w:rPr>
        <w:t xml:space="preserve">While regional governments will have autonomy over some decisions, they are still enmeshed with their neighbours and the central government to greater or lesser degree. And the linkages between neighbouring jurisdictions will impinge on the optimal design of the federation. There may be free trade in goods and services (a customs union), free movement of population (a migration union), freedom to purchase assets and invest across jurisdictions, mutual recognition of credentials such as corporate or individual licenses to operate, and so on. In Australia, the </w:t>
      </w:r>
      <w:r w:rsidR="0068298D">
        <w:rPr>
          <w:rFonts w:ascii="Arial" w:hAnsi="Arial" w:cs="Arial"/>
          <w:sz w:val="20"/>
          <w:szCs w:val="20"/>
        </w:rPr>
        <w:t>State</w:t>
      </w:r>
      <w:r w:rsidR="0068298D" w:rsidRPr="005D03CE">
        <w:rPr>
          <w:rFonts w:ascii="Arial" w:hAnsi="Arial" w:cs="Arial"/>
          <w:sz w:val="20"/>
          <w:szCs w:val="20"/>
        </w:rPr>
        <w:t xml:space="preserve">s </w:t>
      </w:r>
      <w:r w:rsidRPr="005D03CE">
        <w:rPr>
          <w:rFonts w:ascii="Arial" w:hAnsi="Arial" w:cs="Arial"/>
          <w:sz w:val="20"/>
          <w:szCs w:val="20"/>
        </w:rPr>
        <w:t>offer access to government services simply on a residence basis, meaning that a person from the Northern Territory may travel to Victoria and have the same service eligibility as a Victorian native.</w:t>
      </w:r>
      <w:r w:rsidRPr="005D03CE">
        <w:rPr>
          <w:rStyle w:val="FootnoteReference"/>
          <w:rFonts w:ascii="Arial" w:hAnsi="Arial" w:cs="Arial"/>
          <w:sz w:val="20"/>
          <w:szCs w:val="20"/>
        </w:rPr>
        <w:footnoteReference w:id="2"/>
      </w:r>
      <w:r w:rsidRPr="005D03CE">
        <w:rPr>
          <w:rFonts w:ascii="Arial" w:hAnsi="Arial" w:cs="Arial"/>
          <w:sz w:val="20"/>
          <w:szCs w:val="20"/>
        </w:rPr>
        <w:t xml:space="preserve"> In contrast, within the European Union member </w:t>
      </w:r>
      <w:r w:rsidR="00002A00">
        <w:rPr>
          <w:rFonts w:ascii="Arial" w:hAnsi="Arial" w:cs="Arial"/>
          <w:sz w:val="20"/>
          <w:szCs w:val="20"/>
        </w:rPr>
        <w:t>state</w:t>
      </w:r>
      <w:r w:rsidRPr="005D03CE">
        <w:rPr>
          <w:rFonts w:ascii="Arial" w:hAnsi="Arial" w:cs="Arial"/>
          <w:sz w:val="20"/>
          <w:szCs w:val="20"/>
        </w:rPr>
        <w:t xml:space="preserve">s can and do determine access to some services on the basis of country of origin. Rules such as these all have a bearing on location decisions. The federal design needs to avoid undue distortions to those location decisions. </w:t>
      </w:r>
    </w:p>
    <w:p w:rsidR="005D03CE" w:rsidRPr="005D03CE" w:rsidRDefault="005D03CE" w:rsidP="005D03CE">
      <w:pPr>
        <w:jc w:val="both"/>
        <w:rPr>
          <w:rFonts w:ascii="Arial" w:hAnsi="Arial" w:cs="Arial"/>
          <w:sz w:val="20"/>
          <w:szCs w:val="20"/>
        </w:rPr>
      </w:pPr>
    </w:p>
    <w:p w:rsidR="005D03CE" w:rsidRPr="005D03CE" w:rsidRDefault="00EA7FCA" w:rsidP="005D03CE">
      <w:pPr>
        <w:jc w:val="both"/>
        <w:rPr>
          <w:rFonts w:ascii="Arial" w:hAnsi="Arial" w:cs="Arial"/>
          <w:sz w:val="20"/>
          <w:szCs w:val="20"/>
        </w:rPr>
      </w:pPr>
      <w:r>
        <w:rPr>
          <w:rFonts w:ascii="Arial" w:hAnsi="Arial" w:cs="Arial"/>
          <w:sz w:val="20"/>
          <w:szCs w:val="20"/>
        </w:rPr>
        <w:t xml:space="preserve">Whenever we consider a public policy question, our conclusions about what might be the best course of action will depend greatly on the perspective that we take and the objectives that we set. Here we will assume that we have a national perspective and are interested with the wellbeing of all of the residents of Australia. This contrasts with the narrower perspective that a </w:t>
      </w:r>
      <w:r w:rsidR="0068298D">
        <w:rPr>
          <w:rFonts w:ascii="Arial" w:hAnsi="Arial" w:cs="Arial"/>
          <w:sz w:val="20"/>
          <w:szCs w:val="20"/>
        </w:rPr>
        <w:t xml:space="preserve">State </w:t>
      </w:r>
      <w:r>
        <w:rPr>
          <w:rFonts w:ascii="Arial" w:hAnsi="Arial" w:cs="Arial"/>
          <w:sz w:val="20"/>
          <w:szCs w:val="20"/>
        </w:rPr>
        <w:t xml:space="preserve">might take, having regard primarily to its own residents. And we will consider the case where the national government is concerned with objectives of efficiency and </w:t>
      </w:r>
      <w:r>
        <w:rPr>
          <w:rFonts w:ascii="Arial" w:hAnsi="Arial" w:cs="Arial"/>
          <w:sz w:val="20"/>
          <w:szCs w:val="20"/>
        </w:rPr>
        <w:lastRenderedPageBreak/>
        <w:t xml:space="preserve">equity without discriminating between residents of different </w:t>
      </w:r>
      <w:r w:rsidR="0068298D">
        <w:rPr>
          <w:rFonts w:ascii="Arial" w:hAnsi="Arial" w:cs="Arial"/>
          <w:sz w:val="20"/>
          <w:szCs w:val="20"/>
        </w:rPr>
        <w:t>States</w:t>
      </w:r>
      <w:r>
        <w:rPr>
          <w:rFonts w:ascii="Arial" w:hAnsi="Arial" w:cs="Arial"/>
          <w:sz w:val="20"/>
          <w:szCs w:val="20"/>
        </w:rPr>
        <w:t xml:space="preserve">. </w:t>
      </w:r>
      <w:r w:rsidR="005D03CE" w:rsidRPr="005D03CE">
        <w:rPr>
          <w:rFonts w:ascii="Arial" w:hAnsi="Arial" w:cs="Arial"/>
          <w:sz w:val="20"/>
          <w:szCs w:val="20"/>
        </w:rPr>
        <w:t>We ask: What design would promote the goals of efficiency and equity? Efficient design involves maximising the income that is available for the community to consume and also ensuring that that the income is used to procure things that are valued in the community.</w:t>
      </w:r>
      <w:r w:rsidR="005D03CE" w:rsidRPr="005D03CE">
        <w:rPr>
          <w:rStyle w:val="FootnoteReference"/>
          <w:rFonts w:ascii="Arial" w:hAnsi="Arial" w:cs="Arial"/>
          <w:sz w:val="20"/>
          <w:szCs w:val="20"/>
        </w:rPr>
        <w:footnoteReference w:id="3"/>
      </w:r>
      <w:r w:rsidR="005D03CE" w:rsidRPr="005D03CE">
        <w:rPr>
          <w:rFonts w:ascii="Arial" w:hAnsi="Arial" w:cs="Arial"/>
          <w:sz w:val="20"/>
          <w:szCs w:val="20"/>
        </w:rPr>
        <w:t xml:space="preserve"> The </w:t>
      </w:r>
      <w:r>
        <w:rPr>
          <w:rFonts w:ascii="Arial" w:hAnsi="Arial" w:cs="Arial"/>
          <w:sz w:val="20"/>
          <w:szCs w:val="20"/>
        </w:rPr>
        <w:t>concepts</w:t>
      </w:r>
      <w:r w:rsidR="005D03CE" w:rsidRPr="005D03CE">
        <w:rPr>
          <w:rFonts w:ascii="Arial" w:hAnsi="Arial" w:cs="Arial"/>
          <w:sz w:val="20"/>
          <w:szCs w:val="20"/>
        </w:rPr>
        <w:t xml:space="preserve"> of </w:t>
      </w:r>
      <w:r>
        <w:rPr>
          <w:rFonts w:ascii="Arial" w:hAnsi="Arial" w:cs="Arial"/>
          <w:sz w:val="20"/>
          <w:szCs w:val="20"/>
        </w:rPr>
        <w:t>“</w:t>
      </w:r>
      <w:r w:rsidR="005D03CE" w:rsidRPr="005D03CE">
        <w:rPr>
          <w:rFonts w:ascii="Arial" w:hAnsi="Arial" w:cs="Arial"/>
          <w:sz w:val="20"/>
          <w:szCs w:val="20"/>
        </w:rPr>
        <w:t>income</w:t>
      </w:r>
      <w:r>
        <w:rPr>
          <w:rFonts w:ascii="Arial" w:hAnsi="Arial" w:cs="Arial"/>
          <w:sz w:val="20"/>
          <w:szCs w:val="20"/>
        </w:rPr>
        <w:t>”</w:t>
      </w:r>
      <w:r w:rsidR="005D03CE" w:rsidRPr="005D03CE">
        <w:rPr>
          <w:rFonts w:ascii="Arial" w:hAnsi="Arial" w:cs="Arial"/>
          <w:sz w:val="20"/>
          <w:szCs w:val="20"/>
        </w:rPr>
        <w:t xml:space="preserve"> and the things that </w:t>
      </w:r>
      <w:r>
        <w:rPr>
          <w:rFonts w:ascii="Arial" w:hAnsi="Arial" w:cs="Arial"/>
          <w:sz w:val="20"/>
          <w:szCs w:val="20"/>
        </w:rPr>
        <w:t>are “consumed”</w:t>
      </w:r>
      <w:r w:rsidR="005D03CE" w:rsidRPr="005D03CE">
        <w:rPr>
          <w:rFonts w:ascii="Arial" w:hAnsi="Arial" w:cs="Arial"/>
          <w:sz w:val="20"/>
          <w:szCs w:val="20"/>
        </w:rPr>
        <w:t xml:space="preserve"> need to be considered broadly, taking into account all things that are of value to the community. So we are not just interested in consumption of hot dinners or haircuts, but also in consumption of clean air, safe streets, and so on. The equity of the design relates to the way in which the system impacts on individuals with different circumstances. One aspect of this is whether an institutional design leads to </w:t>
      </w:r>
      <w:r>
        <w:rPr>
          <w:rFonts w:ascii="Arial" w:hAnsi="Arial" w:cs="Arial"/>
          <w:sz w:val="20"/>
          <w:szCs w:val="20"/>
        </w:rPr>
        <w:t xml:space="preserve">a </w:t>
      </w:r>
      <w:r w:rsidR="005D03CE" w:rsidRPr="005D03CE">
        <w:rPr>
          <w:rFonts w:ascii="Arial" w:hAnsi="Arial" w:cs="Arial"/>
          <w:sz w:val="20"/>
          <w:szCs w:val="20"/>
        </w:rPr>
        <w:t xml:space="preserve">more or less equal distribution of consumption opportunities—“vertical equity”. Another aspect </w:t>
      </w:r>
      <w:r>
        <w:rPr>
          <w:rFonts w:ascii="Arial" w:hAnsi="Arial" w:cs="Arial"/>
          <w:sz w:val="20"/>
          <w:szCs w:val="20"/>
        </w:rPr>
        <w:t xml:space="preserve">of equity </w:t>
      </w:r>
      <w:r w:rsidR="005D03CE" w:rsidRPr="005D03CE">
        <w:rPr>
          <w:rFonts w:ascii="Arial" w:hAnsi="Arial" w:cs="Arial"/>
          <w:sz w:val="20"/>
          <w:szCs w:val="20"/>
        </w:rPr>
        <w:t>is whether the institutional design brings about like treatment of like individuals—“horizontal equity”.</w:t>
      </w:r>
    </w:p>
    <w:p w:rsidR="005D03CE" w:rsidRPr="005D03CE" w:rsidRDefault="005D03CE" w:rsidP="005D03CE">
      <w:pPr>
        <w:jc w:val="both"/>
        <w:rPr>
          <w:rFonts w:ascii="Arial" w:hAnsi="Arial" w:cs="Arial"/>
          <w:sz w:val="20"/>
          <w:szCs w:val="20"/>
        </w:rPr>
      </w:pPr>
    </w:p>
    <w:p w:rsidR="005D03CE" w:rsidRPr="005D03CE" w:rsidRDefault="005D03CE" w:rsidP="005D03CE">
      <w:pPr>
        <w:jc w:val="both"/>
        <w:rPr>
          <w:rFonts w:ascii="Arial" w:hAnsi="Arial" w:cs="Arial"/>
          <w:sz w:val="20"/>
          <w:szCs w:val="20"/>
        </w:rPr>
      </w:pPr>
      <w:r w:rsidRPr="005D03CE">
        <w:rPr>
          <w:rFonts w:ascii="Arial" w:hAnsi="Arial" w:cs="Arial"/>
          <w:sz w:val="20"/>
          <w:szCs w:val="20"/>
        </w:rPr>
        <w:t>There are other goals that are from time to time raised in discussions of federal design: the need to “glue” the federation together, the case for “cutting off” poorer parts of the country, maintenance of “states’ rights”, and so on.</w:t>
      </w:r>
      <w:r w:rsidRPr="005D03CE">
        <w:rPr>
          <w:rStyle w:val="FootnoteReference"/>
          <w:rFonts w:ascii="Arial" w:hAnsi="Arial" w:cs="Arial"/>
          <w:sz w:val="20"/>
          <w:szCs w:val="20"/>
        </w:rPr>
        <w:footnoteReference w:id="4"/>
      </w:r>
      <w:r w:rsidRPr="005D03CE">
        <w:rPr>
          <w:rFonts w:ascii="Arial" w:hAnsi="Arial" w:cs="Arial"/>
          <w:sz w:val="20"/>
          <w:szCs w:val="20"/>
        </w:rPr>
        <w:t xml:space="preserve"> I leave these issues aside here. While it is possible that they are relevant in the political process, here we consider policy design criteria that are concerned with the wellbeing of the people who live in Australia, rather than the pursuit of strategies to excise those who are seen as burdensome or to retain the prerogatives of particular political players. The focus is utilitarian subject to the requirement to observe certain personal rights. </w:t>
      </w:r>
    </w:p>
    <w:p w:rsidR="005D03CE" w:rsidRPr="005D03CE" w:rsidRDefault="005D03CE" w:rsidP="005D03CE">
      <w:pPr>
        <w:jc w:val="both"/>
        <w:rPr>
          <w:rFonts w:ascii="Arial" w:hAnsi="Arial" w:cs="Arial"/>
          <w:sz w:val="20"/>
          <w:szCs w:val="20"/>
        </w:rPr>
      </w:pPr>
    </w:p>
    <w:p w:rsidR="005D03CE" w:rsidRPr="005D03CE" w:rsidRDefault="005D03CE" w:rsidP="005D03CE">
      <w:pPr>
        <w:spacing w:after="60"/>
        <w:jc w:val="both"/>
        <w:rPr>
          <w:rFonts w:ascii="Arial" w:hAnsi="Arial" w:cs="Arial"/>
          <w:i/>
          <w:sz w:val="20"/>
          <w:szCs w:val="20"/>
        </w:rPr>
      </w:pPr>
      <w:r w:rsidRPr="005D03CE">
        <w:rPr>
          <w:rFonts w:ascii="Arial" w:hAnsi="Arial" w:cs="Arial"/>
          <w:i/>
          <w:sz w:val="20"/>
          <w:szCs w:val="20"/>
        </w:rPr>
        <w:t>Horizontal fiscal equalisation</w:t>
      </w:r>
    </w:p>
    <w:p w:rsidR="005D03CE" w:rsidRPr="005D03CE" w:rsidRDefault="005D03CE" w:rsidP="005D03CE">
      <w:pPr>
        <w:jc w:val="both"/>
        <w:rPr>
          <w:rFonts w:ascii="Arial" w:hAnsi="Arial" w:cs="Arial"/>
          <w:sz w:val="20"/>
          <w:szCs w:val="20"/>
        </w:rPr>
      </w:pPr>
      <w:r w:rsidRPr="005D03CE">
        <w:rPr>
          <w:rFonts w:ascii="Arial" w:hAnsi="Arial" w:cs="Arial"/>
          <w:sz w:val="20"/>
          <w:szCs w:val="20"/>
        </w:rPr>
        <w:t xml:space="preserve">In a decentralised system, it is likely that there will be differences in the fiscal circumstances of </w:t>
      </w:r>
      <w:r w:rsidR="0068298D">
        <w:rPr>
          <w:rFonts w:ascii="Arial" w:hAnsi="Arial" w:cs="Arial"/>
          <w:sz w:val="20"/>
          <w:szCs w:val="20"/>
        </w:rPr>
        <w:t>State</w:t>
      </w:r>
      <w:r w:rsidRPr="005D03CE">
        <w:rPr>
          <w:rFonts w:ascii="Arial" w:hAnsi="Arial" w:cs="Arial"/>
          <w:sz w:val="20"/>
          <w:szCs w:val="20"/>
        </w:rPr>
        <w:t xml:space="preserve">s. For example, one </w:t>
      </w:r>
      <w:r w:rsidR="0068298D">
        <w:rPr>
          <w:rFonts w:ascii="Arial" w:hAnsi="Arial" w:cs="Arial"/>
          <w:sz w:val="20"/>
          <w:szCs w:val="20"/>
        </w:rPr>
        <w:t>State</w:t>
      </w:r>
      <w:r w:rsidRPr="005D03CE">
        <w:rPr>
          <w:rFonts w:ascii="Arial" w:hAnsi="Arial" w:cs="Arial"/>
          <w:sz w:val="20"/>
          <w:szCs w:val="20"/>
        </w:rPr>
        <w:t xml:space="preserve"> may be resource-rich while another may not. A </w:t>
      </w:r>
      <w:r w:rsidR="0068298D">
        <w:rPr>
          <w:rFonts w:ascii="Arial" w:hAnsi="Arial" w:cs="Arial"/>
          <w:sz w:val="20"/>
          <w:szCs w:val="20"/>
        </w:rPr>
        <w:t>State</w:t>
      </w:r>
      <w:r w:rsidRPr="005D03CE">
        <w:rPr>
          <w:rFonts w:ascii="Arial" w:hAnsi="Arial" w:cs="Arial"/>
          <w:sz w:val="20"/>
          <w:szCs w:val="20"/>
        </w:rPr>
        <w:t xml:space="preserve"> with a high prevalence of elderly residents will need to spend more per capita on health services, at least if it offers the same service level, than will a </w:t>
      </w:r>
      <w:r w:rsidR="0068298D">
        <w:rPr>
          <w:rFonts w:ascii="Arial" w:hAnsi="Arial" w:cs="Arial"/>
          <w:sz w:val="20"/>
          <w:szCs w:val="20"/>
        </w:rPr>
        <w:t>State</w:t>
      </w:r>
      <w:r w:rsidRPr="005D03CE">
        <w:rPr>
          <w:rFonts w:ascii="Arial" w:hAnsi="Arial" w:cs="Arial"/>
          <w:sz w:val="20"/>
          <w:szCs w:val="20"/>
        </w:rPr>
        <w:t xml:space="preserve"> with a younger population profile. One </w:t>
      </w:r>
      <w:r w:rsidR="0068298D">
        <w:rPr>
          <w:rFonts w:ascii="Arial" w:hAnsi="Arial" w:cs="Arial"/>
          <w:sz w:val="20"/>
          <w:szCs w:val="20"/>
        </w:rPr>
        <w:t>State</w:t>
      </w:r>
      <w:r w:rsidRPr="005D03CE">
        <w:rPr>
          <w:rFonts w:ascii="Arial" w:hAnsi="Arial" w:cs="Arial"/>
          <w:sz w:val="20"/>
          <w:szCs w:val="20"/>
        </w:rPr>
        <w:t xml:space="preserve"> may choose to finance a </w:t>
      </w:r>
      <w:r w:rsidR="00B4741F">
        <w:rPr>
          <w:rFonts w:ascii="Arial" w:hAnsi="Arial" w:cs="Arial"/>
          <w:sz w:val="20"/>
          <w:szCs w:val="20"/>
        </w:rPr>
        <w:t>hospital</w:t>
      </w:r>
      <w:r w:rsidRPr="005D03CE">
        <w:rPr>
          <w:rFonts w:ascii="Arial" w:hAnsi="Arial" w:cs="Arial"/>
          <w:sz w:val="20"/>
          <w:szCs w:val="20"/>
        </w:rPr>
        <w:t xml:space="preserve"> and another </w:t>
      </w:r>
      <w:r w:rsidR="0068298D">
        <w:rPr>
          <w:rFonts w:ascii="Arial" w:hAnsi="Arial" w:cs="Arial"/>
          <w:sz w:val="20"/>
          <w:szCs w:val="20"/>
        </w:rPr>
        <w:t>State</w:t>
      </w:r>
      <w:r w:rsidRPr="005D03CE">
        <w:rPr>
          <w:rFonts w:ascii="Arial" w:hAnsi="Arial" w:cs="Arial"/>
          <w:sz w:val="20"/>
          <w:szCs w:val="20"/>
        </w:rPr>
        <w:t xml:space="preserve"> may choose not to, the former needing to accommodate the </w:t>
      </w:r>
      <w:r w:rsidR="00B4741F">
        <w:rPr>
          <w:rFonts w:ascii="Arial" w:hAnsi="Arial" w:cs="Arial"/>
          <w:sz w:val="20"/>
          <w:szCs w:val="20"/>
        </w:rPr>
        <w:t>hospital</w:t>
      </w:r>
      <w:r w:rsidR="00B4741F" w:rsidRPr="005D03CE">
        <w:rPr>
          <w:rFonts w:ascii="Arial" w:hAnsi="Arial" w:cs="Arial"/>
          <w:sz w:val="20"/>
          <w:szCs w:val="20"/>
        </w:rPr>
        <w:t xml:space="preserve"> </w:t>
      </w:r>
      <w:r w:rsidRPr="005D03CE">
        <w:rPr>
          <w:rFonts w:ascii="Arial" w:hAnsi="Arial" w:cs="Arial"/>
          <w:sz w:val="20"/>
          <w:szCs w:val="20"/>
        </w:rPr>
        <w:t>in its budget. We could think of many more examples.</w:t>
      </w:r>
    </w:p>
    <w:p w:rsidR="005D03CE" w:rsidRPr="005D03CE" w:rsidRDefault="005D03CE" w:rsidP="005D03CE">
      <w:pPr>
        <w:jc w:val="both"/>
        <w:rPr>
          <w:rFonts w:ascii="Arial" w:hAnsi="Arial" w:cs="Arial"/>
          <w:sz w:val="20"/>
          <w:szCs w:val="20"/>
        </w:rPr>
      </w:pPr>
    </w:p>
    <w:p w:rsidR="005D03CE" w:rsidRDefault="005D03CE" w:rsidP="005D03CE">
      <w:pPr>
        <w:jc w:val="both"/>
        <w:rPr>
          <w:rFonts w:ascii="Arial" w:hAnsi="Arial" w:cs="Arial"/>
          <w:sz w:val="20"/>
          <w:szCs w:val="20"/>
        </w:rPr>
      </w:pPr>
      <w:r w:rsidRPr="005D03CE">
        <w:rPr>
          <w:rFonts w:ascii="Arial" w:hAnsi="Arial" w:cs="Arial"/>
          <w:sz w:val="20"/>
          <w:szCs w:val="20"/>
        </w:rPr>
        <w:t xml:space="preserve">A central government can diminish differences in </w:t>
      </w:r>
      <w:r w:rsidR="0068298D">
        <w:rPr>
          <w:rFonts w:ascii="Arial" w:hAnsi="Arial" w:cs="Arial"/>
          <w:sz w:val="20"/>
          <w:szCs w:val="20"/>
        </w:rPr>
        <w:t>State</w:t>
      </w:r>
      <w:r w:rsidRPr="005D03CE">
        <w:rPr>
          <w:rFonts w:ascii="Arial" w:hAnsi="Arial" w:cs="Arial"/>
          <w:sz w:val="20"/>
          <w:szCs w:val="20"/>
        </w:rPr>
        <w:t xml:space="preserve">s’ fiscal circumstances by transferring resources from one </w:t>
      </w:r>
      <w:r w:rsidR="0068298D">
        <w:rPr>
          <w:rFonts w:ascii="Arial" w:hAnsi="Arial" w:cs="Arial"/>
          <w:sz w:val="20"/>
          <w:szCs w:val="20"/>
        </w:rPr>
        <w:t>State</w:t>
      </w:r>
      <w:r w:rsidRPr="005D03CE">
        <w:rPr>
          <w:rFonts w:ascii="Arial" w:hAnsi="Arial" w:cs="Arial"/>
          <w:sz w:val="20"/>
          <w:szCs w:val="20"/>
        </w:rPr>
        <w:t xml:space="preserve"> to another in such a way as to “equalise” </w:t>
      </w:r>
      <w:r w:rsidR="0068298D">
        <w:rPr>
          <w:rFonts w:ascii="Arial" w:hAnsi="Arial" w:cs="Arial"/>
          <w:sz w:val="20"/>
          <w:szCs w:val="20"/>
        </w:rPr>
        <w:t>State</w:t>
      </w:r>
      <w:r w:rsidRPr="005D03CE">
        <w:rPr>
          <w:rFonts w:ascii="Arial" w:hAnsi="Arial" w:cs="Arial"/>
          <w:sz w:val="20"/>
          <w:szCs w:val="20"/>
        </w:rPr>
        <w:t xml:space="preserve">s’ circumstances. In practice the easiest way to do this is for the centre to raise funds from taxpayers and then make grants to </w:t>
      </w:r>
      <w:r w:rsidR="0068298D">
        <w:rPr>
          <w:rFonts w:ascii="Arial" w:hAnsi="Arial" w:cs="Arial"/>
          <w:sz w:val="20"/>
          <w:szCs w:val="20"/>
        </w:rPr>
        <w:t>State</w:t>
      </w:r>
      <w:r w:rsidRPr="005D03CE">
        <w:rPr>
          <w:rFonts w:ascii="Arial" w:hAnsi="Arial" w:cs="Arial"/>
          <w:sz w:val="20"/>
          <w:szCs w:val="20"/>
        </w:rPr>
        <w:t>s, with those grants determined so as to meet the equalisation objective. A grant distribution that is designed to offset differences in fiscal circumstances is a scheme of “horizontal fiscal equalisation”.</w:t>
      </w:r>
    </w:p>
    <w:p w:rsidR="00DF0B15" w:rsidRDefault="00DF0B15" w:rsidP="005D03CE">
      <w:pPr>
        <w:jc w:val="both"/>
        <w:rPr>
          <w:rFonts w:ascii="Arial" w:hAnsi="Arial" w:cs="Arial"/>
          <w:sz w:val="20"/>
          <w:szCs w:val="20"/>
        </w:rPr>
      </w:pPr>
    </w:p>
    <w:p w:rsidR="00DF0B15" w:rsidRPr="005D03CE" w:rsidRDefault="00DF0B15" w:rsidP="005D03CE">
      <w:pPr>
        <w:jc w:val="both"/>
        <w:rPr>
          <w:rFonts w:ascii="Arial" w:hAnsi="Arial" w:cs="Arial"/>
          <w:sz w:val="20"/>
          <w:szCs w:val="20"/>
        </w:rPr>
      </w:pPr>
      <w:r>
        <w:rPr>
          <w:rFonts w:ascii="Arial" w:hAnsi="Arial" w:cs="Arial"/>
          <w:sz w:val="20"/>
          <w:szCs w:val="20"/>
        </w:rPr>
        <w:t>It is notable that in a unitary system of government HFE is practiced implicitly across the constituent regions of a country. If a central government provides health services and funds them with an income tax, then in high-income regions tax collections will tend to exceed the disbursements made on health, while in low-income regions tax collections will tend to fall short of health expenditures.</w:t>
      </w:r>
      <w:r w:rsidR="009B50DA">
        <w:rPr>
          <w:rFonts w:ascii="Arial" w:hAnsi="Arial" w:cs="Arial"/>
          <w:sz w:val="20"/>
          <w:szCs w:val="20"/>
        </w:rPr>
        <w:t xml:space="preserve"> No separate </w:t>
      </w:r>
      <w:r w:rsidR="002D6BE5">
        <w:rPr>
          <w:rFonts w:ascii="Arial" w:hAnsi="Arial" w:cs="Arial"/>
          <w:sz w:val="20"/>
          <w:szCs w:val="20"/>
        </w:rPr>
        <w:t>accounts</w:t>
      </w:r>
      <w:r w:rsidR="009B50DA">
        <w:rPr>
          <w:rFonts w:ascii="Arial" w:hAnsi="Arial" w:cs="Arial"/>
          <w:sz w:val="20"/>
          <w:szCs w:val="20"/>
        </w:rPr>
        <w:t xml:space="preserve"> are kept for the distinct regions, but implicit surpluses in high income regions are </w:t>
      </w:r>
      <w:r w:rsidR="002D6BE5">
        <w:rPr>
          <w:rFonts w:ascii="Arial" w:hAnsi="Arial" w:cs="Arial"/>
          <w:sz w:val="20"/>
          <w:szCs w:val="20"/>
        </w:rPr>
        <w:t xml:space="preserve">implicitly </w:t>
      </w:r>
      <w:r w:rsidR="009B50DA">
        <w:rPr>
          <w:rFonts w:ascii="Arial" w:hAnsi="Arial" w:cs="Arial"/>
          <w:sz w:val="20"/>
          <w:szCs w:val="20"/>
        </w:rPr>
        <w:t>transferred to cover implicit deficits in low-income regions.</w:t>
      </w:r>
      <w:r w:rsidR="000E2172">
        <w:rPr>
          <w:rFonts w:ascii="Arial" w:hAnsi="Arial" w:cs="Arial"/>
          <w:sz w:val="20"/>
          <w:szCs w:val="20"/>
        </w:rPr>
        <w:t xml:space="preserve"> This issue is explored further in Australian Government (2012)—see Appendix B.</w:t>
      </w:r>
    </w:p>
    <w:p w:rsidR="005D03CE" w:rsidRPr="005D03CE" w:rsidRDefault="005D03CE" w:rsidP="005D03CE">
      <w:pPr>
        <w:jc w:val="both"/>
        <w:rPr>
          <w:rFonts w:ascii="Arial" w:hAnsi="Arial" w:cs="Arial"/>
          <w:sz w:val="20"/>
          <w:szCs w:val="20"/>
        </w:rPr>
      </w:pPr>
    </w:p>
    <w:p w:rsidR="005D03CE" w:rsidRPr="005D03CE" w:rsidRDefault="005D03CE" w:rsidP="005D03CE">
      <w:pPr>
        <w:jc w:val="both"/>
        <w:rPr>
          <w:rFonts w:ascii="Arial" w:hAnsi="Arial" w:cs="Arial"/>
          <w:sz w:val="20"/>
          <w:szCs w:val="20"/>
        </w:rPr>
      </w:pPr>
      <w:r w:rsidRPr="005D03CE">
        <w:rPr>
          <w:rFonts w:ascii="Arial" w:hAnsi="Arial" w:cs="Arial"/>
          <w:sz w:val="20"/>
          <w:szCs w:val="20"/>
        </w:rPr>
        <w:t xml:space="preserve">Each </w:t>
      </w:r>
      <w:r w:rsidR="0068298D">
        <w:rPr>
          <w:rFonts w:ascii="Arial" w:hAnsi="Arial" w:cs="Arial"/>
          <w:sz w:val="20"/>
          <w:szCs w:val="20"/>
        </w:rPr>
        <w:t>State</w:t>
      </w:r>
      <w:r w:rsidRPr="005D03CE">
        <w:rPr>
          <w:rFonts w:ascii="Arial" w:hAnsi="Arial" w:cs="Arial"/>
          <w:sz w:val="20"/>
          <w:szCs w:val="20"/>
        </w:rPr>
        <w:t xml:space="preserve">’s fiscal circumstances will depend on both avoidable and unavoidable factors. Avoidable differences in a </w:t>
      </w:r>
      <w:r w:rsidR="0068298D">
        <w:rPr>
          <w:rFonts w:ascii="Arial" w:hAnsi="Arial" w:cs="Arial"/>
          <w:sz w:val="20"/>
          <w:szCs w:val="20"/>
        </w:rPr>
        <w:t>State</w:t>
      </w:r>
      <w:r w:rsidRPr="005D03CE">
        <w:rPr>
          <w:rFonts w:ascii="Arial" w:hAnsi="Arial" w:cs="Arial"/>
          <w:sz w:val="20"/>
          <w:szCs w:val="20"/>
        </w:rPr>
        <w:t xml:space="preserve">’s circumstances are those differences that arise as a result of its own decisions. Unavoidable differences in circumstances are those arising from factors beyond the </w:t>
      </w:r>
      <w:r w:rsidR="0068298D">
        <w:rPr>
          <w:rFonts w:ascii="Arial" w:hAnsi="Arial" w:cs="Arial"/>
          <w:sz w:val="20"/>
          <w:szCs w:val="20"/>
        </w:rPr>
        <w:t>State</w:t>
      </w:r>
      <w:r w:rsidRPr="005D03CE">
        <w:rPr>
          <w:rFonts w:ascii="Arial" w:hAnsi="Arial" w:cs="Arial"/>
          <w:sz w:val="20"/>
          <w:szCs w:val="20"/>
        </w:rPr>
        <w:t xml:space="preserve">’s control. For instance, whether or not a </w:t>
      </w:r>
      <w:r w:rsidR="0068298D">
        <w:rPr>
          <w:rFonts w:ascii="Arial" w:hAnsi="Arial" w:cs="Arial"/>
          <w:sz w:val="20"/>
          <w:szCs w:val="20"/>
        </w:rPr>
        <w:t>State</w:t>
      </w:r>
      <w:r w:rsidRPr="005D03CE">
        <w:rPr>
          <w:rFonts w:ascii="Arial" w:hAnsi="Arial" w:cs="Arial"/>
          <w:sz w:val="20"/>
          <w:szCs w:val="20"/>
        </w:rPr>
        <w:t xml:space="preserve"> is resource rich is a factor beyond the control of a </w:t>
      </w:r>
      <w:r w:rsidR="0068298D">
        <w:rPr>
          <w:rFonts w:ascii="Arial" w:hAnsi="Arial" w:cs="Arial"/>
          <w:sz w:val="20"/>
          <w:szCs w:val="20"/>
        </w:rPr>
        <w:t>State</w:t>
      </w:r>
      <w:r w:rsidRPr="005D03CE">
        <w:rPr>
          <w:rFonts w:ascii="Arial" w:hAnsi="Arial" w:cs="Arial"/>
          <w:sz w:val="20"/>
          <w:szCs w:val="20"/>
        </w:rPr>
        <w:t xml:space="preserve">. Whether or not a </w:t>
      </w:r>
      <w:r w:rsidR="0068298D">
        <w:rPr>
          <w:rFonts w:ascii="Arial" w:hAnsi="Arial" w:cs="Arial"/>
          <w:sz w:val="20"/>
          <w:szCs w:val="20"/>
        </w:rPr>
        <w:t>State</w:t>
      </w:r>
      <w:r w:rsidRPr="005D03CE">
        <w:rPr>
          <w:rFonts w:ascii="Arial" w:hAnsi="Arial" w:cs="Arial"/>
          <w:sz w:val="20"/>
          <w:szCs w:val="20"/>
        </w:rPr>
        <w:t xml:space="preserve"> effectively develops its resources is a factor within the control of the </w:t>
      </w:r>
      <w:r w:rsidR="0068298D">
        <w:rPr>
          <w:rFonts w:ascii="Arial" w:hAnsi="Arial" w:cs="Arial"/>
          <w:sz w:val="20"/>
          <w:szCs w:val="20"/>
        </w:rPr>
        <w:t>State</w:t>
      </w:r>
      <w:r w:rsidRPr="005D03CE">
        <w:rPr>
          <w:rFonts w:ascii="Arial" w:hAnsi="Arial" w:cs="Arial"/>
          <w:sz w:val="20"/>
          <w:szCs w:val="20"/>
        </w:rPr>
        <w:t xml:space="preserve">. The population profile of a </w:t>
      </w:r>
      <w:r w:rsidR="0068298D">
        <w:rPr>
          <w:rFonts w:ascii="Arial" w:hAnsi="Arial" w:cs="Arial"/>
          <w:sz w:val="20"/>
          <w:szCs w:val="20"/>
        </w:rPr>
        <w:t>State</w:t>
      </w:r>
      <w:r w:rsidRPr="005D03CE">
        <w:rPr>
          <w:rFonts w:ascii="Arial" w:hAnsi="Arial" w:cs="Arial"/>
          <w:sz w:val="20"/>
          <w:szCs w:val="20"/>
        </w:rPr>
        <w:t xml:space="preserve"> will to a substantial extent be beyond its control although its own decisions may also have an impact. Whether or not to build a </w:t>
      </w:r>
      <w:r w:rsidR="00B4741F">
        <w:rPr>
          <w:rFonts w:ascii="Arial" w:hAnsi="Arial" w:cs="Arial"/>
          <w:sz w:val="20"/>
          <w:szCs w:val="20"/>
        </w:rPr>
        <w:t>hospital</w:t>
      </w:r>
      <w:r w:rsidR="00B4741F" w:rsidRPr="005D03CE">
        <w:rPr>
          <w:rFonts w:ascii="Arial" w:hAnsi="Arial" w:cs="Arial"/>
          <w:sz w:val="20"/>
          <w:szCs w:val="20"/>
        </w:rPr>
        <w:t xml:space="preserve"> </w:t>
      </w:r>
      <w:r w:rsidRPr="005D03CE">
        <w:rPr>
          <w:rFonts w:ascii="Arial" w:hAnsi="Arial" w:cs="Arial"/>
          <w:sz w:val="20"/>
          <w:szCs w:val="20"/>
        </w:rPr>
        <w:t xml:space="preserve">clearly is a discretionary decision. We describe differences in </w:t>
      </w:r>
      <w:r w:rsidR="0068298D">
        <w:rPr>
          <w:rFonts w:ascii="Arial" w:hAnsi="Arial" w:cs="Arial"/>
          <w:sz w:val="20"/>
          <w:szCs w:val="20"/>
        </w:rPr>
        <w:t>State</w:t>
      </w:r>
      <w:r w:rsidRPr="005D03CE">
        <w:rPr>
          <w:rFonts w:ascii="Arial" w:hAnsi="Arial" w:cs="Arial"/>
          <w:sz w:val="20"/>
          <w:szCs w:val="20"/>
        </w:rPr>
        <w:t xml:space="preserve"> fiscal circumstances that arise from unavoidable factors as differences in “fiscal capacity”.</w:t>
      </w:r>
    </w:p>
    <w:p w:rsidR="005D03CE" w:rsidRPr="005D03CE" w:rsidRDefault="005D03CE" w:rsidP="005D03CE">
      <w:pPr>
        <w:jc w:val="both"/>
        <w:rPr>
          <w:rFonts w:ascii="Arial" w:hAnsi="Arial" w:cs="Arial"/>
          <w:sz w:val="20"/>
          <w:szCs w:val="20"/>
        </w:rPr>
      </w:pPr>
    </w:p>
    <w:p w:rsidR="005D03CE" w:rsidRPr="005D03CE" w:rsidRDefault="00185CAA" w:rsidP="005D03CE">
      <w:pPr>
        <w:jc w:val="both"/>
        <w:rPr>
          <w:rFonts w:ascii="Arial" w:hAnsi="Arial" w:cs="Arial"/>
          <w:sz w:val="20"/>
          <w:szCs w:val="20"/>
        </w:rPr>
      </w:pPr>
      <w:r w:rsidRPr="005D03CE">
        <w:rPr>
          <w:rFonts w:ascii="Arial" w:hAnsi="Arial" w:cs="Arial"/>
          <w:sz w:val="20"/>
          <w:szCs w:val="20"/>
        </w:rPr>
        <w:t xml:space="preserve">There </w:t>
      </w:r>
      <w:r w:rsidR="005D03CE" w:rsidRPr="005D03CE">
        <w:rPr>
          <w:rFonts w:ascii="Arial" w:hAnsi="Arial" w:cs="Arial"/>
          <w:sz w:val="20"/>
          <w:szCs w:val="20"/>
        </w:rPr>
        <w:t xml:space="preserve">are </w:t>
      </w:r>
      <w:r>
        <w:rPr>
          <w:rFonts w:ascii="Arial" w:hAnsi="Arial" w:cs="Arial"/>
          <w:sz w:val="20"/>
          <w:szCs w:val="20"/>
        </w:rPr>
        <w:t xml:space="preserve">strong </w:t>
      </w:r>
      <w:r w:rsidR="005D03CE" w:rsidRPr="005D03CE">
        <w:rPr>
          <w:rFonts w:ascii="Arial" w:hAnsi="Arial" w:cs="Arial"/>
          <w:sz w:val="20"/>
          <w:szCs w:val="20"/>
        </w:rPr>
        <w:t xml:space="preserve">grounds to design a horizontal fiscal equalisation scheme so as to offset only the unavoidable differences in </w:t>
      </w:r>
      <w:r w:rsidR="0068298D">
        <w:rPr>
          <w:rFonts w:ascii="Arial" w:hAnsi="Arial" w:cs="Arial"/>
          <w:sz w:val="20"/>
          <w:szCs w:val="20"/>
        </w:rPr>
        <w:t>State</w:t>
      </w:r>
      <w:r w:rsidR="005D03CE" w:rsidRPr="005D03CE">
        <w:rPr>
          <w:rFonts w:ascii="Arial" w:hAnsi="Arial" w:cs="Arial"/>
          <w:sz w:val="20"/>
          <w:szCs w:val="20"/>
        </w:rPr>
        <w:t xml:space="preserve"> fiscal circumstances. Relatedly, no adjustments would be made in respect of avoidable impacts. To illustrate the distinction, if one </w:t>
      </w:r>
      <w:r w:rsidR="0068298D">
        <w:rPr>
          <w:rFonts w:ascii="Arial" w:hAnsi="Arial" w:cs="Arial"/>
          <w:sz w:val="20"/>
          <w:szCs w:val="20"/>
        </w:rPr>
        <w:t>State</w:t>
      </w:r>
      <w:r w:rsidR="005D03CE" w:rsidRPr="005D03CE">
        <w:rPr>
          <w:rFonts w:ascii="Arial" w:hAnsi="Arial" w:cs="Arial"/>
          <w:sz w:val="20"/>
          <w:szCs w:val="20"/>
        </w:rPr>
        <w:t xml:space="preserve"> chose to have a new </w:t>
      </w:r>
      <w:r w:rsidR="00B4741F">
        <w:rPr>
          <w:rFonts w:ascii="Arial" w:hAnsi="Arial" w:cs="Arial"/>
          <w:sz w:val="20"/>
          <w:szCs w:val="20"/>
        </w:rPr>
        <w:t>hospital</w:t>
      </w:r>
      <w:r w:rsidR="00B4741F" w:rsidRPr="005D03CE">
        <w:rPr>
          <w:rFonts w:ascii="Arial" w:hAnsi="Arial" w:cs="Arial"/>
          <w:sz w:val="20"/>
          <w:szCs w:val="20"/>
        </w:rPr>
        <w:t xml:space="preserve"> </w:t>
      </w:r>
      <w:r w:rsidR="005D03CE" w:rsidRPr="005D03CE">
        <w:rPr>
          <w:rFonts w:ascii="Arial" w:hAnsi="Arial" w:cs="Arial"/>
          <w:sz w:val="20"/>
          <w:szCs w:val="20"/>
        </w:rPr>
        <w:t xml:space="preserve">and a higher level of debt, then it would not be compensated for the higher debt servicing charges that it then faced. But if a </w:t>
      </w:r>
      <w:r w:rsidR="0068298D">
        <w:rPr>
          <w:rFonts w:ascii="Arial" w:hAnsi="Arial" w:cs="Arial"/>
          <w:sz w:val="20"/>
          <w:szCs w:val="20"/>
        </w:rPr>
        <w:t>State</w:t>
      </w:r>
      <w:r w:rsidR="005D03CE" w:rsidRPr="005D03CE">
        <w:rPr>
          <w:rFonts w:ascii="Arial" w:hAnsi="Arial" w:cs="Arial"/>
          <w:sz w:val="20"/>
          <w:szCs w:val="20"/>
        </w:rPr>
        <w:t xml:space="preserve"> had a higher prevalence of the elderly in its population and therefore a greater need for capital expenditures on hospitals with associated debt, it would be compensated for its higher debt charges.</w:t>
      </w:r>
      <w:r>
        <w:rPr>
          <w:rFonts w:ascii="Arial" w:hAnsi="Arial" w:cs="Arial"/>
          <w:sz w:val="20"/>
          <w:szCs w:val="20"/>
        </w:rPr>
        <w:t xml:space="preserve"> To implement HFE in this way it is necessary to make indirect assessments of </w:t>
      </w:r>
      <w:r w:rsidR="0068298D">
        <w:rPr>
          <w:rFonts w:ascii="Arial" w:hAnsi="Arial" w:cs="Arial"/>
          <w:sz w:val="20"/>
          <w:szCs w:val="20"/>
        </w:rPr>
        <w:t>State</w:t>
      </w:r>
      <w:r>
        <w:rPr>
          <w:rFonts w:ascii="Arial" w:hAnsi="Arial" w:cs="Arial"/>
          <w:sz w:val="20"/>
          <w:szCs w:val="20"/>
        </w:rPr>
        <w:t xml:space="preserve"> fiscal capacities.</w:t>
      </w:r>
    </w:p>
    <w:p w:rsidR="005D03CE" w:rsidRPr="005D03CE" w:rsidRDefault="005D03CE" w:rsidP="005D03CE">
      <w:pPr>
        <w:jc w:val="both"/>
        <w:rPr>
          <w:rFonts w:ascii="Arial" w:hAnsi="Arial" w:cs="Arial"/>
          <w:sz w:val="20"/>
          <w:szCs w:val="20"/>
        </w:rPr>
      </w:pPr>
    </w:p>
    <w:p w:rsidR="005D03CE" w:rsidRPr="005D03CE" w:rsidRDefault="005D03CE" w:rsidP="005D03CE">
      <w:pPr>
        <w:jc w:val="both"/>
        <w:rPr>
          <w:rFonts w:ascii="Arial" w:hAnsi="Arial" w:cs="Arial"/>
          <w:sz w:val="20"/>
          <w:szCs w:val="20"/>
        </w:rPr>
      </w:pPr>
      <w:r w:rsidRPr="005D03CE">
        <w:rPr>
          <w:rFonts w:ascii="Arial" w:hAnsi="Arial" w:cs="Arial"/>
          <w:sz w:val="20"/>
          <w:szCs w:val="20"/>
        </w:rPr>
        <w:t xml:space="preserve">There is an efficiency case for confining equalisation to unavoidable differences in </w:t>
      </w:r>
      <w:r w:rsidR="0068298D">
        <w:rPr>
          <w:rFonts w:ascii="Arial" w:hAnsi="Arial" w:cs="Arial"/>
          <w:sz w:val="20"/>
          <w:szCs w:val="20"/>
        </w:rPr>
        <w:t>State</w:t>
      </w:r>
      <w:r w:rsidRPr="005D03CE">
        <w:rPr>
          <w:rFonts w:ascii="Arial" w:hAnsi="Arial" w:cs="Arial"/>
          <w:sz w:val="20"/>
          <w:szCs w:val="20"/>
        </w:rPr>
        <w:t xml:space="preserve">s’ fiscal circumstances. If the equalisation scheme offsets the consequences of </w:t>
      </w:r>
      <w:r w:rsidR="0068298D">
        <w:rPr>
          <w:rFonts w:ascii="Arial" w:hAnsi="Arial" w:cs="Arial"/>
          <w:sz w:val="20"/>
          <w:szCs w:val="20"/>
        </w:rPr>
        <w:t>State</w:t>
      </w:r>
      <w:r w:rsidRPr="005D03CE">
        <w:rPr>
          <w:rFonts w:ascii="Arial" w:hAnsi="Arial" w:cs="Arial"/>
          <w:sz w:val="20"/>
          <w:szCs w:val="20"/>
        </w:rPr>
        <w:t xml:space="preserve"> decisions, it will affect incentives in undesirable </w:t>
      </w:r>
      <w:r w:rsidRPr="005D03CE">
        <w:rPr>
          <w:rFonts w:ascii="Arial" w:hAnsi="Arial" w:cs="Arial"/>
          <w:sz w:val="20"/>
          <w:szCs w:val="20"/>
        </w:rPr>
        <w:lastRenderedPageBreak/>
        <w:t xml:space="preserve">ways. </w:t>
      </w:r>
      <w:r w:rsidR="00002A00">
        <w:rPr>
          <w:rFonts w:ascii="Arial" w:hAnsi="Arial" w:cs="Arial"/>
          <w:sz w:val="20"/>
          <w:szCs w:val="20"/>
        </w:rPr>
        <w:t>State</w:t>
      </w:r>
      <w:r w:rsidRPr="005D03CE">
        <w:rPr>
          <w:rFonts w:ascii="Arial" w:hAnsi="Arial" w:cs="Arial"/>
          <w:sz w:val="20"/>
          <w:szCs w:val="20"/>
        </w:rPr>
        <w:t xml:space="preserve">s’ will be able to make poor budgetary choices knowing that the impacts will be borne elsewhere. And the incentives to make difficult but “good” budgetary choices will be weakened because the gains will be enjoyed elsewhere. In contrast, if equalisation offset only the consequences of unavoidable differences in circumstances, then there is no distortion to </w:t>
      </w:r>
      <w:r w:rsidR="0068298D">
        <w:rPr>
          <w:rFonts w:ascii="Arial" w:hAnsi="Arial" w:cs="Arial"/>
          <w:sz w:val="20"/>
          <w:szCs w:val="20"/>
        </w:rPr>
        <w:t>State</w:t>
      </w:r>
      <w:r w:rsidRPr="005D03CE">
        <w:rPr>
          <w:rFonts w:ascii="Arial" w:hAnsi="Arial" w:cs="Arial"/>
          <w:sz w:val="20"/>
          <w:szCs w:val="20"/>
        </w:rPr>
        <w:t>s’ decisions. States are equalised for factors beyond their control and are left to do as well as they can over matters in their own control knowing that they will reap the rewards of their successes and bear the burden of their failures.</w:t>
      </w:r>
    </w:p>
    <w:p w:rsidR="005D03CE" w:rsidRPr="005D03CE" w:rsidRDefault="005D03CE" w:rsidP="005D03CE">
      <w:pPr>
        <w:jc w:val="both"/>
        <w:rPr>
          <w:rFonts w:ascii="Arial" w:hAnsi="Arial" w:cs="Arial"/>
          <w:sz w:val="20"/>
          <w:szCs w:val="20"/>
        </w:rPr>
      </w:pPr>
    </w:p>
    <w:p w:rsidR="005D03CE" w:rsidRPr="005D03CE" w:rsidRDefault="005D03CE" w:rsidP="005D03CE">
      <w:pPr>
        <w:jc w:val="both"/>
        <w:rPr>
          <w:rFonts w:ascii="Arial" w:hAnsi="Arial" w:cs="Arial"/>
          <w:sz w:val="20"/>
          <w:szCs w:val="20"/>
        </w:rPr>
      </w:pPr>
      <w:r w:rsidRPr="005D03CE">
        <w:rPr>
          <w:rFonts w:ascii="Arial" w:hAnsi="Arial" w:cs="Arial"/>
          <w:sz w:val="20"/>
          <w:szCs w:val="20"/>
        </w:rPr>
        <w:t>There is also a horizontal equity case for confining equalisation to unavoidable differences in budgetary circumstances. This is the idea that individuals should bear the consequences of their own choices. That principle does not rule out adjustments to individual circumstances for factors beyond the individual’s control.</w:t>
      </w:r>
    </w:p>
    <w:p w:rsidR="005D03CE" w:rsidRPr="005D03CE" w:rsidRDefault="005D03CE" w:rsidP="005D03CE">
      <w:pPr>
        <w:jc w:val="both"/>
        <w:rPr>
          <w:rFonts w:ascii="Arial" w:hAnsi="Arial" w:cs="Arial"/>
          <w:sz w:val="20"/>
          <w:szCs w:val="20"/>
        </w:rPr>
      </w:pPr>
    </w:p>
    <w:p w:rsidR="005D03CE" w:rsidRPr="005D03CE" w:rsidRDefault="005D03CE" w:rsidP="005D03CE">
      <w:pPr>
        <w:jc w:val="both"/>
        <w:rPr>
          <w:rFonts w:ascii="Arial" w:hAnsi="Arial" w:cs="Arial"/>
          <w:sz w:val="20"/>
          <w:szCs w:val="20"/>
        </w:rPr>
      </w:pPr>
      <w:r w:rsidRPr="005D03CE">
        <w:rPr>
          <w:rFonts w:ascii="Arial" w:hAnsi="Arial" w:cs="Arial"/>
          <w:sz w:val="20"/>
          <w:szCs w:val="20"/>
        </w:rPr>
        <w:t xml:space="preserve">In practice, there will be some difficulties dichotomising differences in </w:t>
      </w:r>
      <w:r w:rsidR="0068298D">
        <w:rPr>
          <w:rFonts w:ascii="Arial" w:hAnsi="Arial" w:cs="Arial"/>
          <w:sz w:val="20"/>
          <w:szCs w:val="20"/>
        </w:rPr>
        <w:t>State</w:t>
      </w:r>
      <w:r w:rsidRPr="005D03CE">
        <w:rPr>
          <w:rFonts w:ascii="Arial" w:hAnsi="Arial" w:cs="Arial"/>
          <w:sz w:val="20"/>
          <w:szCs w:val="20"/>
        </w:rPr>
        <w:t xml:space="preserve"> circumstances into “unavoidable” and “avoidable” components. The requirement is to achieve a “good enough” identification of unavoidable influences on the budget. The perfect should not be the enemy of the good.</w:t>
      </w:r>
    </w:p>
    <w:p w:rsidR="005D03CE" w:rsidRPr="005D03CE" w:rsidRDefault="005D03CE" w:rsidP="005D03CE">
      <w:pPr>
        <w:jc w:val="both"/>
        <w:rPr>
          <w:rFonts w:ascii="Arial" w:hAnsi="Arial" w:cs="Arial"/>
          <w:sz w:val="20"/>
          <w:szCs w:val="20"/>
        </w:rPr>
      </w:pPr>
    </w:p>
    <w:p w:rsidR="005D03CE" w:rsidRPr="005D03CE" w:rsidRDefault="005D03CE" w:rsidP="005D03CE">
      <w:pPr>
        <w:spacing w:after="60"/>
        <w:jc w:val="both"/>
        <w:rPr>
          <w:rFonts w:ascii="Arial" w:hAnsi="Arial" w:cs="Arial"/>
          <w:i/>
          <w:sz w:val="20"/>
          <w:szCs w:val="20"/>
        </w:rPr>
      </w:pPr>
      <w:r w:rsidRPr="005D03CE">
        <w:rPr>
          <w:rFonts w:ascii="Arial" w:hAnsi="Arial" w:cs="Arial"/>
          <w:i/>
          <w:sz w:val="20"/>
          <w:szCs w:val="20"/>
        </w:rPr>
        <w:t>Horizontal fiscal equalisation and equity</w:t>
      </w:r>
    </w:p>
    <w:p w:rsidR="005D03CE" w:rsidRPr="005D03CE" w:rsidRDefault="005D03CE" w:rsidP="005D03CE">
      <w:pPr>
        <w:jc w:val="both"/>
        <w:rPr>
          <w:rFonts w:ascii="Arial" w:hAnsi="Arial" w:cs="Arial"/>
          <w:sz w:val="20"/>
          <w:szCs w:val="20"/>
        </w:rPr>
      </w:pPr>
      <w:r w:rsidRPr="005D03CE">
        <w:rPr>
          <w:rFonts w:ascii="Arial" w:hAnsi="Arial" w:cs="Arial"/>
          <w:sz w:val="20"/>
          <w:szCs w:val="20"/>
        </w:rPr>
        <w:t xml:space="preserve">Fiscal equalisation has limited implications for vertical equity nationwide. The scenario analysis in Harding et al (2002) provides empirical support for this view. They conclude taking the Australian grant distribution back from fiscally equalising to equal per capita would lead to small increases in inequality. This conclusion is what one would expect a priori. Changes in grants to </w:t>
      </w:r>
      <w:r w:rsidR="0068298D">
        <w:rPr>
          <w:rFonts w:ascii="Arial" w:hAnsi="Arial" w:cs="Arial"/>
          <w:sz w:val="20"/>
          <w:szCs w:val="20"/>
        </w:rPr>
        <w:t>State</w:t>
      </w:r>
      <w:r w:rsidRPr="005D03CE">
        <w:rPr>
          <w:rFonts w:ascii="Arial" w:hAnsi="Arial" w:cs="Arial"/>
          <w:sz w:val="20"/>
          <w:szCs w:val="20"/>
        </w:rPr>
        <w:t>s probably do not impact very much on the within-</w:t>
      </w:r>
      <w:r w:rsidR="0068298D">
        <w:rPr>
          <w:rFonts w:ascii="Arial" w:hAnsi="Arial" w:cs="Arial"/>
          <w:sz w:val="20"/>
          <w:szCs w:val="20"/>
        </w:rPr>
        <w:t>State</w:t>
      </w:r>
      <w:r w:rsidRPr="005D03CE">
        <w:rPr>
          <w:rFonts w:ascii="Arial" w:hAnsi="Arial" w:cs="Arial"/>
          <w:sz w:val="20"/>
          <w:szCs w:val="20"/>
        </w:rPr>
        <w:t xml:space="preserve"> extent of vertical redistribution. And even if, say, a change in the grant distribution led a losing </w:t>
      </w:r>
      <w:r w:rsidR="0068298D">
        <w:rPr>
          <w:rFonts w:ascii="Arial" w:hAnsi="Arial" w:cs="Arial"/>
          <w:sz w:val="20"/>
          <w:szCs w:val="20"/>
        </w:rPr>
        <w:t>State</w:t>
      </w:r>
      <w:r w:rsidRPr="005D03CE">
        <w:rPr>
          <w:rFonts w:ascii="Arial" w:hAnsi="Arial" w:cs="Arial"/>
          <w:sz w:val="20"/>
          <w:szCs w:val="20"/>
        </w:rPr>
        <w:t xml:space="preserve"> to increase it vertical redistribution, then so long as there are symmetric responses the gaining </w:t>
      </w:r>
      <w:r w:rsidR="0068298D">
        <w:rPr>
          <w:rFonts w:ascii="Arial" w:hAnsi="Arial" w:cs="Arial"/>
          <w:sz w:val="20"/>
          <w:szCs w:val="20"/>
        </w:rPr>
        <w:t>State</w:t>
      </w:r>
      <w:r w:rsidRPr="005D03CE">
        <w:rPr>
          <w:rFonts w:ascii="Arial" w:hAnsi="Arial" w:cs="Arial"/>
          <w:sz w:val="20"/>
          <w:szCs w:val="20"/>
        </w:rPr>
        <w:t xml:space="preserve"> would reduce its vertical redistributions, so that the changes in gaining and losing </w:t>
      </w:r>
      <w:r w:rsidR="0068298D">
        <w:rPr>
          <w:rFonts w:ascii="Arial" w:hAnsi="Arial" w:cs="Arial"/>
          <w:sz w:val="20"/>
          <w:szCs w:val="20"/>
        </w:rPr>
        <w:t>State</w:t>
      </w:r>
      <w:r w:rsidRPr="005D03CE">
        <w:rPr>
          <w:rFonts w:ascii="Arial" w:hAnsi="Arial" w:cs="Arial"/>
          <w:sz w:val="20"/>
          <w:szCs w:val="20"/>
        </w:rPr>
        <w:t>s would tend to offset each other.</w:t>
      </w:r>
    </w:p>
    <w:p w:rsidR="005D03CE" w:rsidRPr="005D03CE" w:rsidRDefault="005D03CE" w:rsidP="005D03CE">
      <w:pPr>
        <w:jc w:val="both"/>
        <w:rPr>
          <w:rFonts w:ascii="Arial" w:hAnsi="Arial" w:cs="Arial"/>
          <w:sz w:val="20"/>
          <w:szCs w:val="20"/>
        </w:rPr>
      </w:pPr>
    </w:p>
    <w:p w:rsidR="005D03CE" w:rsidRPr="005D03CE" w:rsidRDefault="005D03CE" w:rsidP="005D03CE">
      <w:pPr>
        <w:jc w:val="both"/>
        <w:rPr>
          <w:rFonts w:ascii="Arial" w:hAnsi="Arial" w:cs="Arial"/>
          <w:sz w:val="20"/>
          <w:szCs w:val="20"/>
        </w:rPr>
      </w:pPr>
      <w:r w:rsidRPr="005D03CE">
        <w:rPr>
          <w:rFonts w:ascii="Arial" w:hAnsi="Arial" w:cs="Arial"/>
          <w:sz w:val="20"/>
          <w:szCs w:val="20"/>
        </w:rPr>
        <w:t xml:space="preserve">The horizontal equity principle—the idea that like individuals should receive like treatment from the fiscal system —is likely to be breached in the absence of fiscal equalisation. To illustrate, suppose we have two </w:t>
      </w:r>
      <w:r w:rsidR="0068298D">
        <w:rPr>
          <w:rFonts w:ascii="Arial" w:hAnsi="Arial" w:cs="Arial"/>
          <w:sz w:val="20"/>
          <w:szCs w:val="20"/>
        </w:rPr>
        <w:t>State</w:t>
      </w:r>
      <w:r w:rsidRPr="005D03CE">
        <w:rPr>
          <w:rFonts w:ascii="Arial" w:hAnsi="Arial" w:cs="Arial"/>
          <w:sz w:val="20"/>
          <w:szCs w:val="20"/>
        </w:rPr>
        <w:t xml:space="preserve">s, each with three people, each earning $100 per year. Two people in </w:t>
      </w:r>
      <w:r w:rsidR="0068298D">
        <w:rPr>
          <w:rFonts w:ascii="Arial" w:hAnsi="Arial" w:cs="Arial"/>
          <w:sz w:val="20"/>
          <w:szCs w:val="20"/>
        </w:rPr>
        <w:t>State</w:t>
      </w:r>
      <w:r w:rsidRPr="005D03CE">
        <w:rPr>
          <w:rFonts w:ascii="Arial" w:hAnsi="Arial" w:cs="Arial"/>
          <w:sz w:val="20"/>
          <w:szCs w:val="20"/>
        </w:rPr>
        <w:t xml:space="preserve"> A are sick and one person in </w:t>
      </w:r>
      <w:r w:rsidR="0068298D">
        <w:rPr>
          <w:rFonts w:ascii="Arial" w:hAnsi="Arial" w:cs="Arial"/>
          <w:sz w:val="20"/>
          <w:szCs w:val="20"/>
        </w:rPr>
        <w:t>State</w:t>
      </w:r>
      <w:r w:rsidRPr="005D03CE">
        <w:rPr>
          <w:rFonts w:ascii="Arial" w:hAnsi="Arial" w:cs="Arial"/>
          <w:sz w:val="20"/>
          <w:szCs w:val="20"/>
        </w:rPr>
        <w:t xml:space="preserve"> B is sick. Conventional treatment costs $30 for each sick person. Suppose the health system is funded from </w:t>
      </w:r>
      <w:r w:rsidR="0068298D">
        <w:rPr>
          <w:rFonts w:ascii="Arial" w:hAnsi="Arial" w:cs="Arial"/>
          <w:sz w:val="20"/>
          <w:szCs w:val="20"/>
        </w:rPr>
        <w:t>State</w:t>
      </w:r>
      <w:r w:rsidRPr="005D03CE">
        <w:rPr>
          <w:rFonts w:ascii="Arial" w:hAnsi="Arial" w:cs="Arial"/>
          <w:sz w:val="20"/>
          <w:szCs w:val="20"/>
        </w:rPr>
        <w:t xml:space="preserve"> head taxes. If each </w:t>
      </w:r>
      <w:r w:rsidR="0068298D">
        <w:rPr>
          <w:rFonts w:ascii="Arial" w:hAnsi="Arial" w:cs="Arial"/>
          <w:sz w:val="20"/>
          <w:szCs w:val="20"/>
        </w:rPr>
        <w:t>State</w:t>
      </w:r>
      <w:r w:rsidRPr="005D03CE">
        <w:rPr>
          <w:rFonts w:ascii="Arial" w:hAnsi="Arial" w:cs="Arial"/>
          <w:sz w:val="20"/>
          <w:szCs w:val="20"/>
        </w:rPr>
        <w:t xml:space="preserve"> provides the conventional treatment, </w:t>
      </w:r>
      <w:r w:rsidR="0068298D">
        <w:rPr>
          <w:rFonts w:ascii="Arial" w:hAnsi="Arial" w:cs="Arial"/>
          <w:sz w:val="20"/>
          <w:szCs w:val="20"/>
        </w:rPr>
        <w:t>State</w:t>
      </w:r>
      <w:r w:rsidRPr="005D03CE">
        <w:rPr>
          <w:rFonts w:ascii="Arial" w:hAnsi="Arial" w:cs="Arial"/>
          <w:sz w:val="20"/>
          <w:szCs w:val="20"/>
        </w:rPr>
        <w:t xml:space="preserve"> A will have a head tax of $20 while </w:t>
      </w:r>
      <w:r w:rsidR="0068298D">
        <w:rPr>
          <w:rFonts w:ascii="Arial" w:hAnsi="Arial" w:cs="Arial"/>
          <w:sz w:val="20"/>
          <w:szCs w:val="20"/>
        </w:rPr>
        <w:t>State</w:t>
      </w:r>
      <w:r w:rsidRPr="005D03CE">
        <w:rPr>
          <w:rFonts w:ascii="Arial" w:hAnsi="Arial" w:cs="Arial"/>
          <w:sz w:val="20"/>
          <w:szCs w:val="20"/>
        </w:rPr>
        <w:t xml:space="preserve"> B will have a head tax of $10. But this breaches the horizontal equity principle which says that the head taxes should be the same in each </w:t>
      </w:r>
      <w:r w:rsidR="0068298D">
        <w:rPr>
          <w:rFonts w:ascii="Arial" w:hAnsi="Arial" w:cs="Arial"/>
          <w:sz w:val="20"/>
          <w:szCs w:val="20"/>
        </w:rPr>
        <w:t>State</w:t>
      </w:r>
      <w:r w:rsidRPr="005D03CE">
        <w:rPr>
          <w:rFonts w:ascii="Arial" w:hAnsi="Arial" w:cs="Arial"/>
          <w:sz w:val="20"/>
          <w:szCs w:val="20"/>
        </w:rPr>
        <w:t xml:space="preserve"> if each </w:t>
      </w:r>
      <w:r w:rsidR="0068298D">
        <w:rPr>
          <w:rFonts w:ascii="Arial" w:hAnsi="Arial" w:cs="Arial"/>
          <w:sz w:val="20"/>
          <w:szCs w:val="20"/>
        </w:rPr>
        <w:t>State</w:t>
      </w:r>
      <w:r w:rsidRPr="005D03CE">
        <w:rPr>
          <w:rFonts w:ascii="Arial" w:hAnsi="Arial" w:cs="Arial"/>
          <w:sz w:val="20"/>
          <w:szCs w:val="20"/>
        </w:rPr>
        <w:t xml:space="preserve"> has the same level of services. A healthy person in </w:t>
      </w:r>
      <w:r w:rsidR="0068298D">
        <w:rPr>
          <w:rFonts w:ascii="Arial" w:hAnsi="Arial" w:cs="Arial"/>
          <w:sz w:val="20"/>
          <w:szCs w:val="20"/>
        </w:rPr>
        <w:t>State</w:t>
      </w:r>
      <w:r w:rsidRPr="005D03CE">
        <w:rPr>
          <w:rFonts w:ascii="Arial" w:hAnsi="Arial" w:cs="Arial"/>
          <w:sz w:val="20"/>
          <w:szCs w:val="20"/>
        </w:rPr>
        <w:t xml:space="preserve"> A pays more than a healthy person in </w:t>
      </w:r>
      <w:r w:rsidR="0068298D">
        <w:rPr>
          <w:rFonts w:ascii="Arial" w:hAnsi="Arial" w:cs="Arial"/>
          <w:sz w:val="20"/>
          <w:szCs w:val="20"/>
        </w:rPr>
        <w:t>State</w:t>
      </w:r>
      <w:r w:rsidRPr="005D03CE">
        <w:rPr>
          <w:rFonts w:ascii="Arial" w:hAnsi="Arial" w:cs="Arial"/>
          <w:sz w:val="20"/>
          <w:szCs w:val="20"/>
        </w:rPr>
        <w:t xml:space="preserve"> B purely because </w:t>
      </w:r>
      <w:r w:rsidR="0068298D">
        <w:rPr>
          <w:rFonts w:ascii="Arial" w:hAnsi="Arial" w:cs="Arial"/>
          <w:sz w:val="20"/>
          <w:szCs w:val="20"/>
        </w:rPr>
        <w:t>State</w:t>
      </w:r>
      <w:r w:rsidRPr="005D03CE">
        <w:rPr>
          <w:rFonts w:ascii="Arial" w:hAnsi="Arial" w:cs="Arial"/>
          <w:sz w:val="20"/>
          <w:szCs w:val="20"/>
        </w:rPr>
        <w:t xml:space="preserve"> A has the burden of a larger unhealthy population. And by a similar argument an unhealthy person in </w:t>
      </w:r>
      <w:r w:rsidR="0068298D">
        <w:rPr>
          <w:rFonts w:ascii="Arial" w:hAnsi="Arial" w:cs="Arial"/>
          <w:sz w:val="20"/>
          <w:szCs w:val="20"/>
        </w:rPr>
        <w:t>State</w:t>
      </w:r>
      <w:r w:rsidRPr="005D03CE">
        <w:rPr>
          <w:rFonts w:ascii="Arial" w:hAnsi="Arial" w:cs="Arial"/>
          <w:sz w:val="20"/>
          <w:szCs w:val="20"/>
        </w:rPr>
        <w:t xml:space="preserve"> A pays more than an unhealthy person in </w:t>
      </w:r>
      <w:r w:rsidR="0068298D">
        <w:rPr>
          <w:rFonts w:ascii="Arial" w:hAnsi="Arial" w:cs="Arial"/>
          <w:sz w:val="20"/>
          <w:szCs w:val="20"/>
        </w:rPr>
        <w:t>State</w:t>
      </w:r>
      <w:r w:rsidRPr="005D03CE">
        <w:rPr>
          <w:rFonts w:ascii="Arial" w:hAnsi="Arial" w:cs="Arial"/>
          <w:sz w:val="20"/>
          <w:szCs w:val="20"/>
        </w:rPr>
        <w:t xml:space="preserve"> B. Yet the horizontal equity principle requires that equals should be treated equally. This requires that a healthy person in </w:t>
      </w:r>
      <w:r w:rsidR="0068298D">
        <w:rPr>
          <w:rFonts w:ascii="Arial" w:hAnsi="Arial" w:cs="Arial"/>
          <w:sz w:val="20"/>
          <w:szCs w:val="20"/>
        </w:rPr>
        <w:t>State</w:t>
      </w:r>
      <w:r w:rsidRPr="005D03CE">
        <w:rPr>
          <w:rFonts w:ascii="Arial" w:hAnsi="Arial" w:cs="Arial"/>
          <w:sz w:val="20"/>
          <w:szCs w:val="20"/>
        </w:rPr>
        <w:t xml:space="preserve"> A should face the same support burden as a healthy person in </w:t>
      </w:r>
      <w:r w:rsidR="0068298D">
        <w:rPr>
          <w:rFonts w:ascii="Arial" w:hAnsi="Arial" w:cs="Arial"/>
          <w:sz w:val="20"/>
          <w:szCs w:val="20"/>
        </w:rPr>
        <w:t>State</w:t>
      </w:r>
      <w:r w:rsidRPr="005D03CE">
        <w:rPr>
          <w:rFonts w:ascii="Arial" w:hAnsi="Arial" w:cs="Arial"/>
          <w:sz w:val="20"/>
          <w:szCs w:val="20"/>
        </w:rPr>
        <w:t xml:space="preserve"> B. And an unhealthy person in </w:t>
      </w:r>
      <w:r w:rsidR="0068298D">
        <w:rPr>
          <w:rFonts w:ascii="Arial" w:hAnsi="Arial" w:cs="Arial"/>
          <w:sz w:val="20"/>
          <w:szCs w:val="20"/>
        </w:rPr>
        <w:t>State</w:t>
      </w:r>
      <w:r w:rsidRPr="005D03CE">
        <w:rPr>
          <w:rFonts w:ascii="Arial" w:hAnsi="Arial" w:cs="Arial"/>
          <w:sz w:val="20"/>
          <w:szCs w:val="20"/>
        </w:rPr>
        <w:t xml:space="preserve"> A should receive the same net support (value of health service net of head tax) as an unhealthy person in </w:t>
      </w:r>
      <w:r w:rsidR="0068298D">
        <w:rPr>
          <w:rFonts w:ascii="Arial" w:hAnsi="Arial" w:cs="Arial"/>
          <w:sz w:val="20"/>
          <w:szCs w:val="20"/>
        </w:rPr>
        <w:t>State</w:t>
      </w:r>
      <w:r w:rsidRPr="005D03CE">
        <w:rPr>
          <w:rFonts w:ascii="Arial" w:hAnsi="Arial" w:cs="Arial"/>
          <w:sz w:val="20"/>
          <w:szCs w:val="20"/>
        </w:rPr>
        <w:t xml:space="preserve"> B.</w:t>
      </w:r>
    </w:p>
    <w:p w:rsidR="005D03CE" w:rsidRPr="005D03CE" w:rsidRDefault="005D03CE" w:rsidP="005D03CE">
      <w:pPr>
        <w:jc w:val="both"/>
        <w:rPr>
          <w:rFonts w:ascii="Arial" w:hAnsi="Arial" w:cs="Arial"/>
          <w:sz w:val="20"/>
          <w:szCs w:val="20"/>
        </w:rPr>
      </w:pPr>
    </w:p>
    <w:p w:rsidR="005D03CE" w:rsidRDefault="005D03CE" w:rsidP="005D03CE">
      <w:pPr>
        <w:jc w:val="both"/>
        <w:rPr>
          <w:rFonts w:ascii="Arial" w:hAnsi="Arial" w:cs="Arial"/>
          <w:sz w:val="20"/>
          <w:szCs w:val="20"/>
        </w:rPr>
      </w:pPr>
      <w:r w:rsidRPr="005D03CE">
        <w:rPr>
          <w:rFonts w:ascii="Arial" w:hAnsi="Arial" w:cs="Arial"/>
          <w:sz w:val="20"/>
          <w:szCs w:val="20"/>
        </w:rPr>
        <w:t xml:space="preserve">Horizontal fiscal equalisation can remedy this inequity. Suppose now that the head tax is collected by central government. It needs to fund support for three people at a total cost of $90. It sets a uniform head tax of $15, and makes payments of $60 to </w:t>
      </w:r>
      <w:r w:rsidR="0068298D">
        <w:rPr>
          <w:rFonts w:ascii="Arial" w:hAnsi="Arial" w:cs="Arial"/>
          <w:sz w:val="20"/>
          <w:szCs w:val="20"/>
        </w:rPr>
        <w:t>State</w:t>
      </w:r>
      <w:r w:rsidRPr="005D03CE">
        <w:rPr>
          <w:rFonts w:ascii="Arial" w:hAnsi="Arial" w:cs="Arial"/>
          <w:sz w:val="20"/>
          <w:szCs w:val="20"/>
        </w:rPr>
        <w:t xml:space="preserve"> A (in respect of its two unhealthy people) and $30 to </w:t>
      </w:r>
      <w:r w:rsidR="0068298D">
        <w:rPr>
          <w:rFonts w:ascii="Arial" w:hAnsi="Arial" w:cs="Arial"/>
          <w:sz w:val="20"/>
          <w:szCs w:val="20"/>
        </w:rPr>
        <w:t>State</w:t>
      </w:r>
      <w:r w:rsidRPr="005D03CE">
        <w:rPr>
          <w:rFonts w:ascii="Arial" w:hAnsi="Arial" w:cs="Arial"/>
          <w:sz w:val="20"/>
          <w:szCs w:val="20"/>
        </w:rPr>
        <w:t xml:space="preserve"> B (in respect of its one unhealthy person).  Horizontal equity is thus achieved. But note that to achieve this </w:t>
      </w:r>
      <w:r w:rsidR="0068298D">
        <w:rPr>
          <w:rFonts w:ascii="Arial" w:hAnsi="Arial" w:cs="Arial"/>
          <w:sz w:val="20"/>
          <w:szCs w:val="20"/>
        </w:rPr>
        <w:t>State</w:t>
      </w:r>
      <w:r w:rsidRPr="005D03CE">
        <w:rPr>
          <w:rFonts w:ascii="Arial" w:hAnsi="Arial" w:cs="Arial"/>
          <w:sz w:val="20"/>
          <w:szCs w:val="20"/>
        </w:rPr>
        <w:t xml:space="preserve"> A is receiving $20 per capita in grants while </w:t>
      </w:r>
      <w:r w:rsidR="0068298D">
        <w:rPr>
          <w:rFonts w:ascii="Arial" w:hAnsi="Arial" w:cs="Arial"/>
          <w:sz w:val="20"/>
          <w:szCs w:val="20"/>
        </w:rPr>
        <w:t>State</w:t>
      </w:r>
      <w:r w:rsidRPr="005D03CE">
        <w:rPr>
          <w:rFonts w:ascii="Arial" w:hAnsi="Arial" w:cs="Arial"/>
          <w:sz w:val="20"/>
          <w:szCs w:val="20"/>
        </w:rPr>
        <w:t xml:space="preserve"> B receives only $10 per capita.</w:t>
      </w:r>
    </w:p>
    <w:p w:rsidR="00C244BA" w:rsidRPr="005D03CE" w:rsidRDefault="00C244BA" w:rsidP="00C244BA">
      <w:pPr>
        <w:jc w:val="both"/>
        <w:rPr>
          <w:rFonts w:ascii="Arial" w:hAnsi="Arial" w:cs="Arial"/>
          <w:sz w:val="20"/>
          <w:szCs w:val="20"/>
        </w:rPr>
      </w:pPr>
    </w:p>
    <w:p w:rsidR="00C244BA" w:rsidRPr="005D03CE" w:rsidRDefault="00C244BA" w:rsidP="00C244BA">
      <w:pPr>
        <w:jc w:val="both"/>
        <w:rPr>
          <w:rFonts w:ascii="Arial" w:hAnsi="Arial" w:cs="Arial"/>
          <w:sz w:val="20"/>
          <w:szCs w:val="20"/>
        </w:rPr>
      </w:pPr>
      <w:r w:rsidRPr="005D03CE">
        <w:rPr>
          <w:rFonts w:ascii="Arial" w:hAnsi="Arial" w:cs="Arial"/>
          <w:sz w:val="20"/>
          <w:szCs w:val="20"/>
        </w:rPr>
        <w:t xml:space="preserve">This example also illustrates that simplistic rules of thumb such as “equal per capita allocation of grants” can actually be quite misguided. At a superficial level, an equal per capita allocation may sound like the fairest approach. But when one takes into account differences in the population characteristics, it becomes clear that an equal per capita grant allocation leads to quite unequal impacts at the personal level. We would not argue that the old age pension should be distributed equal per capita, i.e. paid to everybody regardless of age or circumstances. </w:t>
      </w:r>
      <w:r>
        <w:rPr>
          <w:rFonts w:ascii="Arial" w:hAnsi="Arial" w:cs="Arial"/>
          <w:sz w:val="20"/>
          <w:szCs w:val="20"/>
        </w:rPr>
        <w:t xml:space="preserve">We would accept that a fair distribution involves some people getting no payment. If we adopt the goal of enabling </w:t>
      </w:r>
      <w:r w:rsidR="0068298D">
        <w:rPr>
          <w:rFonts w:ascii="Arial" w:hAnsi="Arial" w:cs="Arial"/>
          <w:sz w:val="20"/>
          <w:szCs w:val="20"/>
        </w:rPr>
        <w:t>State</w:t>
      </w:r>
      <w:r>
        <w:rPr>
          <w:rFonts w:ascii="Arial" w:hAnsi="Arial" w:cs="Arial"/>
          <w:sz w:val="20"/>
          <w:szCs w:val="20"/>
        </w:rPr>
        <w:t xml:space="preserve">s to provide like services with like taxes, then the implication is that some </w:t>
      </w:r>
      <w:r w:rsidR="0068298D">
        <w:rPr>
          <w:rFonts w:ascii="Arial" w:hAnsi="Arial" w:cs="Arial"/>
          <w:sz w:val="20"/>
          <w:szCs w:val="20"/>
        </w:rPr>
        <w:t>State</w:t>
      </w:r>
      <w:r>
        <w:rPr>
          <w:rFonts w:ascii="Arial" w:hAnsi="Arial" w:cs="Arial"/>
          <w:sz w:val="20"/>
          <w:szCs w:val="20"/>
        </w:rPr>
        <w:t>s may at times get quite low GST distributions.</w:t>
      </w:r>
    </w:p>
    <w:p w:rsidR="00DF0B15" w:rsidRDefault="00DF0B15" w:rsidP="005D03CE">
      <w:pPr>
        <w:jc w:val="both"/>
        <w:rPr>
          <w:rFonts w:ascii="Arial" w:hAnsi="Arial" w:cs="Arial"/>
          <w:sz w:val="20"/>
          <w:szCs w:val="20"/>
        </w:rPr>
      </w:pPr>
    </w:p>
    <w:p w:rsidR="00C244BA" w:rsidRDefault="00DF0B15" w:rsidP="005D03CE">
      <w:pPr>
        <w:jc w:val="both"/>
        <w:rPr>
          <w:rFonts w:ascii="Arial" w:hAnsi="Arial" w:cs="Arial"/>
          <w:sz w:val="20"/>
          <w:szCs w:val="20"/>
        </w:rPr>
      </w:pPr>
      <w:r>
        <w:rPr>
          <w:rFonts w:ascii="Arial" w:hAnsi="Arial" w:cs="Arial"/>
          <w:sz w:val="20"/>
          <w:szCs w:val="20"/>
        </w:rPr>
        <w:t xml:space="preserve">HFE does not impose any particular redistributive policy on </w:t>
      </w:r>
      <w:r w:rsidR="0068298D">
        <w:rPr>
          <w:rFonts w:ascii="Arial" w:hAnsi="Arial" w:cs="Arial"/>
          <w:sz w:val="20"/>
          <w:szCs w:val="20"/>
        </w:rPr>
        <w:t>State</w:t>
      </w:r>
      <w:r>
        <w:rPr>
          <w:rFonts w:ascii="Arial" w:hAnsi="Arial" w:cs="Arial"/>
          <w:sz w:val="20"/>
          <w:szCs w:val="20"/>
        </w:rPr>
        <w:t xml:space="preserve">s. In Australia the </w:t>
      </w:r>
      <w:r w:rsidR="0068298D">
        <w:rPr>
          <w:rFonts w:ascii="Arial" w:hAnsi="Arial" w:cs="Arial"/>
          <w:sz w:val="20"/>
          <w:szCs w:val="20"/>
        </w:rPr>
        <w:t>State</w:t>
      </w:r>
      <w:r>
        <w:rPr>
          <w:rFonts w:ascii="Arial" w:hAnsi="Arial" w:cs="Arial"/>
          <w:sz w:val="20"/>
          <w:szCs w:val="20"/>
        </w:rPr>
        <w:t xml:space="preserve">s’ activities bring about substantial redistributions from the well-off to the less well-off, but the HFE arrangements neither require this nor reward it. Decisions about the nature and extent of redistribution at the </w:t>
      </w:r>
      <w:r w:rsidR="0068298D">
        <w:rPr>
          <w:rFonts w:ascii="Arial" w:hAnsi="Arial" w:cs="Arial"/>
          <w:sz w:val="20"/>
          <w:szCs w:val="20"/>
        </w:rPr>
        <w:t>State</w:t>
      </w:r>
      <w:r>
        <w:rPr>
          <w:rFonts w:ascii="Arial" w:hAnsi="Arial" w:cs="Arial"/>
          <w:sz w:val="20"/>
          <w:szCs w:val="20"/>
        </w:rPr>
        <w:t xml:space="preserve"> level are driven by </w:t>
      </w:r>
      <w:r w:rsidR="0068298D">
        <w:rPr>
          <w:rFonts w:ascii="Arial" w:hAnsi="Arial" w:cs="Arial"/>
          <w:sz w:val="20"/>
          <w:szCs w:val="20"/>
        </w:rPr>
        <w:t>State</w:t>
      </w:r>
      <w:r>
        <w:rPr>
          <w:rFonts w:ascii="Arial" w:hAnsi="Arial" w:cs="Arial"/>
          <w:sz w:val="20"/>
          <w:szCs w:val="20"/>
        </w:rPr>
        <w:t xml:space="preserve"> electoral processes.</w:t>
      </w:r>
      <w:r w:rsidR="006A31B6">
        <w:rPr>
          <w:rFonts w:ascii="Arial" w:hAnsi="Arial" w:cs="Arial"/>
          <w:sz w:val="20"/>
          <w:szCs w:val="20"/>
        </w:rPr>
        <w:t xml:space="preserve"> It is notable that the </w:t>
      </w:r>
      <w:r w:rsidR="0068298D">
        <w:rPr>
          <w:rFonts w:ascii="Arial" w:hAnsi="Arial" w:cs="Arial"/>
          <w:sz w:val="20"/>
          <w:szCs w:val="20"/>
        </w:rPr>
        <w:t>State</w:t>
      </w:r>
      <w:r w:rsidR="006A31B6">
        <w:rPr>
          <w:rFonts w:ascii="Arial" w:hAnsi="Arial" w:cs="Arial"/>
          <w:sz w:val="20"/>
          <w:szCs w:val="20"/>
        </w:rPr>
        <w:t xml:space="preserve">s come to broadly similar positions on the activities that they fund from their budgets and the ways in which to fund them. This is perhaps unsurprising given the similarities that exist between the residents of the different </w:t>
      </w:r>
      <w:r w:rsidR="0068298D">
        <w:rPr>
          <w:rFonts w:ascii="Arial" w:hAnsi="Arial" w:cs="Arial"/>
          <w:sz w:val="20"/>
          <w:szCs w:val="20"/>
        </w:rPr>
        <w:t>State</w:t>
      </w:r>
      <w:r w:rsidR="006A31B6">
        <w:rPr>
          <w:rFonts w:ascii="Arial" w:hAnsi="Arial" w:cs="Arial"/>
          <w:sz w:val="20"/>
          <w:szCs w:val="20"/>
        </w:rPr>
        <w:t>s</w:t>
      </w:r>
      <w:r w:rsidR="00C244BA">
        <w:rPr>
          <w:rFonts w:ascii="Arial" w:hAnsi="Arial" w:cs="Arial"/>
          <w:sz w:val="20"/>
          <w:szCs w:val="20"/>
        </w:rPr>
        <w:t xml:space="preserve"> and the values and aspirations that they hold</w:t>
      </w:r>
      <w:r w:rsidR="006A31B6">
        <w:rPr>
          <w:rFonts w:ascii="Arial" w:hAnsi="Arial" w:cs="Arial"/>
          <w:sz w:val="20"/>
          <w:szCs w:val="20"/>
        </w:rPr>
        <w:t>. Australians are Australians first, and New South Welshmen, or Tasmanians, or Western Australians second.</w:t>
      </w:r>
    </w:p>
    <w:p w:rsidR="00C244BA" w:rsidRDefault="00C244BA" w:rsidP="005D03CE">
      <w:pPr>
        <w:jc w:val="both"/>
        <w:rPr>
          <w:rFonts w:ascii="Arial" w:hAnsi="Arial" w:cs="Arial"/>
          <w:sz w:val="20"/>
          <w:szCs w:val="20"/>
        </w:rPr>
      </w:pPr>
    </w:p>
    <w:p w:rsidR="00DF0B15" w:rsidRPr="005D03CE" w:rsidRDefault="00C244BA" w:rsidP="005D03CE">
      <w:pPr>
        <w:jc w:val="both"/>
        <w:rPr>
          <w:rFonts w:ascii="Arial" w:hAnsi="Arial" w:cs="Arial"/>
          <w:sz w:val="20"/>
          <w:szCs w:val="20"/>
        </w:rPr>
      </w:pPr>
      <w:r>
        <w:rPr>
          <w:rFonts w:ascii="Arial" w:hAnsi="Arial" w:cs="Arial"/>
          <w:sz w:val="20"/>
          <w:szCs w:val="20"/>
        </w:rPr>
        <w:t xml:space="preserve">The impacts of the </w:t>
      </w:r>
      <w:r w:rsidR="0068298D">
        <w:rPr>
          <w:rFonts w:ascii="Arial" w:hAnsi="Arial" w:cs="Arial"/>
          <w:sz w:val="20"/>
          <w:szCs w:val="20"/>
        </w:rPr>
        <w:t>State</w:t>
      </w:r>
      <w:r>
        <w:rPr>
          <w:rFonts w:ascii="Arial" w:hAnsi="Arial" w:cs="Arial"/>
          <w:sz w:val="20"/>
          <w:szCs w:val="20"/>
        </w:rPr>
        <w:t xml:space="preserve">s on vertical and horizontal equity stand alongside the impacts of the </w:t>
      </w:r>
      <w:r w:rsidR="006A31B6">
        <w:rPr>
          <w:rFonts w:ascii="Arial" w:hAnsi="Arial" w:cs="Arial"/>
          <w:sz w:val="20"/>
          <w:szCs w:val="20"/>
        </w:rPr>
        <w:t>Australian Government</w:t>
      </w:r>
      <w:r>
        <w:rPr>
          <w:rFonts w:ascii="Arial" w:hAnsi="Arial" w:cs="Arial"/>
          <w:sz w:val="20"/>
          <w:szCs w:val="20"/>
        </w:rPr>
        <w:t>. The Australian Government</w:t>
      </w:r>
      <w:r w:rsidR="006A31B6">
        <w:rPr>
          <w:rFonts w:ascii="Arial" w:hAnsi="Arial" w:cs="Arial"/>
          <w:sz w:val="20"/>
          <w:szCs w:val="20"/>
        </w:rPr>
        <w:t xml:space="preserve">’s own operations </w:t>
      </w:r>
      <w:r>
        <w:rPr>
          <w:rFonts w:ascii="Arial" w:hAnsi="Arial" w:cs="Arial"/>
          <w:sz w:val="20"/>
          <w:szCs w:val="20"/>
        </w:rPr>
        <w:t>have impacts both</w:t>
      </w:r>
      <w:r w:rsidR="006A31B6">
        <w:rPr>
          <w:rFonts w:ascii="Arial" w:hAnsi="Arial" w:cs="Arial"/>
          <w:sz w:val="20"/>
          <w:szCs w:val="20"/>
        </w:rPr>
        <w:t xml:space="preserve"> through the </w:t>
      </w:r>
      <w:r>
        <w:rPr>
          <w:rFonts w:ascii="Arial" w:hAnsi="Arial" w:cs="Arial"/>
          <w:sz w:val="20"/>
          <w:szCs w:val="20"/>
        </w:rPr>
        <w:t xml:space="preserve">direct financial </w:t>
      </w:r>
      <w:r>
        <w:rPr>
          <w:rFonts w:ascii="Arial" w:hAnsi="Arial" w:cs="Arial"/>
          <w:sz w:val="20"/>
          <w:szCs w:val="20"/>
        </w:rPr>
        <w:lastRenderedPageBreak/>
        <w:t xml:space="preserve">transfers implemented by the </w:t>
      </w:r>
      <w:r w:rsidR="006A31B6">
        <w:rPr>
          <w:rFonts w:ascii="Arial" w:hAnsi="Arial" w:cs="Arial"/>
          <w:sz w:val="20"/>
          <w:szCs w:val="20"/>
        </w:rPr>
        <w:t>tax-transfer system and</w:t>
      </w:r>
      <w:r>
        <w:rPr>
          <w:rFonts w:ascii="Arial" w:hAnsi="Arial" w:cs="Arial"/>
          <w:sz w:val="20"/>
          <w:szCs w:val="20"/>
        </w:rPr>
        <w:t xml:space="preserve"> in-kind via </w:t>
      </w:r>
      <w:r w:rsidR="006A31B6">
        <w:rPr>
          <w:rFonts w:ascii="Arial" w:hAnsi="Arial" w:cs="Arial"/>
          <w:sz w:val="20"/>
          <w:szCs w:val="20"/>
        </w:rPr>
        <w:t xml:space="preserve">the </w:t>
      </w:r>
      <w:r>
        <w:rPr>
          <w:rFonts w:ascii="Arial" w:hAnsi="Arial" w:cs="Arial"/>
          <w:sz w:val="20"/>
          <w:szCs w:val="20"/>
        </w:rPr>
        <w:t xml:space="preserve">provision of partly or fully subsidised </w:t>
      </w:r>
      <w:r w:rsidR="007B55D6">
        <w:rPr>
          <w:rFonts w:ascii="Arial" w:hAnsi="Arial" w:cs="Arial"/>
          <w:sz w:val="20"/>
          <w:szCs w:val="20"/>
        </w:rPr>
        <w:t>services to the community.</w:t>
      </w:r>
    </w:p>
    <w:p w:rsidR="005D03CE" w:rsidRPr="005D03CE" w:rsidRDefault="005D03CE" w:rsidP="005D03CE">
      <w:pPr>
        <w:jc w:val="both"/>
        <w:rPr>
          <w:rFonts w:ascii="Arial" w:hAnsi="Arial" w:cs="Arial"/>
          <w:sz w:val="20"/>
          <w:szCs w:val="20"/>
        </w:rPr>
      </w:pPr>
    </w:p>
    <w:p w:rsidR="005D03CE" w:rsidRPr="005D03CE" w:rsidRDefault="005D03CE" w:rsidP="005D03CE">
      <w:pPr>
        <w:spacing w:after="60"/>
        <w:jc w:val="both"/>
        <w:rPr>
          <w:rFonts w:ascii="Arial" w:hAnsi="Arial" w:cs="Arial"/>
          <w:i/>
          <w:sz w:val="20"/>
          <w:szCs w:val="20"/>
        </w:rPr>
      </w:pPr>
      <w:r w:rsidRPr="005D03CE">
        <w:rPr>
          <w:rFonts w:ascii="Arial" w:hAnsi="Arial" w:cs="Arial"/>
          <w:i/>
          <w:sz w:val="20"/>
          <w:szCs w:val="20"/>
        </w:rPr>
        <w:t>Horizontal fiscal equalisation and efficiency</w:t>
      </w:r>
    </w:p>
    <w:p w:rsidR="005D03CE" w:rsidRPr="005D03CE" w:rsidRDefault="005D03CE" w:rsidP="005D03CE">
      <w:pPr>
        <w:jc w:val="both"/>
        <w:rPr>
          <w:rFonts w:ascii="Arial" w:hAnsi="Arial" w:cs="Arial"/>
          <w:sz w:val="20"/>
          <w:szCs w:val="20"/>
        </w:rPr>
      </w:pPr>
      <w:r w:rsidRPr="005D03CE">
        <w:rPr>
          <w:rFonts w:ascii="Arial" w:hAnsi="Arial" w:cs="Arial"/>
          <w:sz w:val="20"/>
          <w:szCs w:val="20"/>
        </w:rPr>
        <w:t xml:space="preserve">Fiscal equalisation has the potential to improve the efficiency of location decisions within a federation. But if it is designed poorly it has the potential to introduce inefficiency to governmental decisions. An ideal system will be designed to support location efficiency and to prevent distortions to </w:t>
      </w:r>
      <w:r w:rsidR="0068298D">
        <w:rPr>
          <w:rFonts w:ascii="Arial" w:hAnsi="Arial" w:cs="Arial"/>
          <w:sz w:val="20"/>
          <w:szCs w:val="20"/>
        </w:rPr>
        <w:t>State</w:t>
      </w:r>
      <w:r w:rsidRPr="005D03CE">
        <w:rPr>
          <w:rFonts w:ascii="Arial" w:hAnsi="Arial" w:cs="Arial"/>
          <w:sz w:val="20"/>
          <w:szCs w:val="20"/>
        </w:rPr>
        <w:t xml:space="preserve"> governments’ decisions.</w:t>
      </w:r>
      <w:r w:rsidRPr="005D03CE">
        <w:rPr>
          <w:rStyle w:val="FootnoteReference"/>
          <w:rFonts w:ascii="Arial" w:hAnsi="Arial" w:cs="Arial"/>
          <w:sz w:val="20"/>
          <w:szCs w:val="20"/>
        </w:rPr>
        <w:footnoteReference w:id="5"/>
      </w:r>
    </w:p>
    <w:p w:rsidR="005D03CE" w:rsidRPr="005D03CE" w:rsidRDefault="005D03CE" w:rsidP="005D03CE">
      <w:pPr>
        <w:jc w:val="both"/>
        <w:rPr>
          <w:rFonts w:ascii="Arial" w:hAnsi="Arial" w:cs="Arial"/>
          <w:sz w:val="20"/>
          <w:szCs w:val="20"/>
        </w:rPr>
      </w:pPr>
    </w:p>
    <w:p w:rsidR="005D03CE" w:rsidRPr="005D03CE" w:rsidRDefault="005D03CE" w:rsidP="005D03CE">
      <w:pPr>
        <w:jc w:val="both"/>
        <w:rPr>
          <w:rFonts w:ascii="Arial" w:hAnsi="Arial" w:cs="Arial"/>
          <w:sz w:val="20"/>
          <w:szCs w:val="20"/>
        </w:rPr>
      </w:pPr>
      <w:r w:rsidRPr="005D03CE">
        <w:rPr>
          <w:rFonts w:ascii="Arial" w:hAnsi="Arial" w:cs="Arial"/>
          <w:sz w:val="20"/>
          <w:szCs w:val="20"/>
        </w:rPr>
        <w:t xml:space="preserve">Decentralisation can cause distortions to location choices. This is especially so when one’s fiscal treatment at the hands of </w:t>
      </w:r>
      <w:r w:rsidR="0068298D">
        <w:rPr>
          <w:rFonts w:ascii="Arial" w:hAnsi="Arial" w:cs="Arial"/>
          <w:sz w:val="20"/>
          <w:szCs w:val="20"/>
        </w:rPr>
        <w:t>State</w:t>
      </w:r>
      <w:r w:rsidRPr="005D03CE">
        <w:rPr>
          <w:rFonts w:ascii="Arial" w:hAnsi="Arial" w:cs="Arial"/>
          <w:sz w:val="20"/>
          <w:szCs w:val="20"/>
        </w:rPr>
        <w:t xml:space="preserve">s is determined on a location basis (as opposed to an origin basis). Returning to the horizontal equity example, suppose that each </w:t>
      </w:r>
      <w:r w:rsidR="0068298D">
        <w:rPr>
          <w:rFonts w:ascii="Arial" w:hAnsi="Arial" w:cs="Arial"/>
          <w:sz w:val="20"/>
          <w:szCs w:val="20"/>
        </w:rPr>
        <w:t>State</w:t>
      </w:r>
      <w:r w:rsidRPr="005D03CE">
        <w:rPr>
          <w:rFonts w:ascii="Arial" w:hAnsi="Arial" w:cs="Arial"/>
          <w:sz w:val="20"/>
          <w:szCs w:val="20"/>
        </w:rPr>
        <w:t xml:space="preserve"> supports its own budgetary needs independent of each other. The healthy person in </w:t>
      </w:r>
      <w:r w:rsidR="0068298D">
        <w:rPr>
          <w:rFonts w:ascii="Arial" w:hAnsi="Arial" w:cs="Arial"/>
          <w:sz w:val="20"/>
          <w:szCs w:val="20"/>
        </w:rPr>
        <w:t>State</w:t>
      </w:r>
      <w:r w:rsidRPr="005D03CE">
        <w:rPr>
          <w:rFonts w:ascii="Arial" w:hAnsi="Arial" w:cs="Arial"/>
          <w:sz w:val="20"/>
          <w:szCs w:val="20"/>
        </w:rPr>
        <w:t xml:space="preserve"> A earns $100 and pays a head tax of $20, for a net income of $80. Suppose that the healthy person would earn $95 in </w:t>
      </w:r>
      <w:r w:rsidR="0068298D">
        <w:rPr>
          <w:rFonts w:ascii="Arial" w:hAnsi="Arial" w:cs="Arial"/>
          <w:sz w:val="20"/>
          <w:szCs w:val="20"/>
        </w:rPr>
        <w:t>State</w:t>
      </w:r>
      <w:r w:rsidRPr="005D03CE">
        <w:rPr>
          <w:rFonts w:ascii="Arial" w:hAnsi="Arial" w:cs="Arial"/>
          <w:sz w:val="20"/>
          <w:szCs w:val="20"/>
        </w:rPr>
        <w:t xml:space="preserve"> B. In this case it will be personally advantageous for the healthy person to move, because although her income falls to $95, her tax falls to $10, for an after tax income of $85 (I leave aside budgetary adjustments required as a result of the move). The end result of this is that there will still be three unhealthy people to support at a cost of $90. But national income will have been reduced from $600 to $595. Thus there is an inefficiency in location choices.</w:t>
      </w:r>
    </w:p>
    <w:p w:rsidR="005D03CE" w:rsidRPr="005D03CE" w:rsidRDefault="005D03CE" w:rsidP="005D03CE">
      <w:pPr>
        <w:jc w:val="both"/>
        <w:rPr>
          <w:rFonts w:ascii="Arial" w:hAnsi="Arial" w:cs="Arial"/>
          <w:sz w:val="20"/>
          <w:szCs w:val="20"/>
        </w:rPr>
      </w:pPr>
    </w:p>
    <w:p w:rsidR="005D03CE" w:rsidRPr="005D03CE" w:rsidRDefault="005D03CE" w:rsidP="005D03CE">
      <w:pPr>
        <w:jc w:val="both"/>
        <w:rPr>
          <w:rFonts w:ascii="Arial" w:hAnsi="Arial" w:cs="Arial"/>
          <w:sz w:val="20"/>
          <w:szCs w:val="20"/>
        </w:rPr>
      </w:pPr>
      <w:r w:rsidRPr="005D03CE">
        <w:rPr>
          <w:rFonts w:ascii="Arial" w:hAnsi="Arial" w:cs="Arial"/>
          <w:sz w:val="20"/>
          <w:szCs w:val="20"/>
        </w:rPr>
        <w:t xml:space="preserve">Horizontal fiscal equalisation can avoid these distortions to location choices. In the discussion of equity it was shown that horizontal fiscal equalisation can restore horizontal equity. The centre implemented this by setting a uniform head tax of $15 and distributing the proceeds to the two </w:t>
      </w:r>
      <w:r w:rsidR="0068298D">
        <w:rPr>
          <w:rFonts w:ascii="Arial" w:hAnsi="Arial" w:cs="Arial"/>
          <w:sz w:val="20"/>
          <w:szCs w:val="20"/>
        </w:rPr>
        <w:t>State</w:t>
      </w:r>
      <w:r w:rsidRPr="005D03CE">
        <w:rPr>
          <w:rFonts w:ascii="Arial" w:hAnsi="Arial" w:cs="Arial"/>
          <w:sz w:val="20"/>
          <w:szCs w:val="20"/>
        </w:rPr>
        <w:t>s on the basis of needs to support treatment costs of $30 per unhealthy person. And it turns out that this same structure is the one that is neutral over location choices. Because healthy people pay $15 wherever they locate, and unhealthy people pay $15 and receive $30 in health services wherever they locate, horizontal fiscal equalisation redresses distortions to location choices that would arise in its absence.</w:t>
      </w:r>
    </w:p>
    <w:p w:rsidR="005D03CE" w:rsidRPr="005D03CE" w:rsidRDefault="005D03CE" w:rsidP="005D03CE">
      <w:pPr>
        <w:jc w:val="both"/>
        <w:rPr>
          <w:rFonts w:ascii="Arial" w:hAnsi="Arial" w:cs="Arial"/>
          <w:sz w:val="20"/>
          <w:szCs w:val="20"/>
        </w:rPr>
      </w:pPr>
    </w:p>
    <w:p w:rsidR="005D03CE" w:rsidRPr="005D03CE" w:rsidRDefault="005D03CE" w:rsidP="005D03CE">
      <w:pPr>
        <w:jc w:val="both"/>
        <w:rPr>
          <w:rFonts w:ascii="Arial" w:hAnsi="Arial" w:cs="Arial"/>
          <w:sz w:val="20"/>
          <w:szCs w:val="20"/>
        </w:rPr>
      </w:pPr>
      <w:r w:rsidRPr="005D03CE">
        <w:rPr>
          <w:rFonts w:ascii="Arial" w:hAnsi="Arial" w:cs="Arial"/>
          <w:sz w:val="20"/>
          <w:szCs w:val="20"/>
        </w:rPr>
        <w:t xml:space="preserve">A fiscal equalisation scheme may also impinge on the efficiency of </w:t>
      </w:r>
      <w:r w:rsidR="0068298D">
        <w:rPr>
          <w:rFonts w:ascii="Arial" w:hAnsi="Arial" w:cs="Arial"/>
          <w:sz w:val="20"/>
          <w:szCs w:val="20"/>
        </w:rPr>
        <w:t>State</w:t>
      </w:r>
      <w:r w:rsidRPr="005D03CE">
        <w:rPr>
          <w:rFonts w:ascii="Arial" w:hAnsi="Arial" w:cs="Arial"/>
          <w:sz w:val="20"/>
          <w:szCs w:val="20"/>
        </w:rPr>
        <w:t xml:space="preserve"> decisions, and careful attention to its design is therefore required. The issue is that if a </w:t>
      </w:r>
      <w:r w:rsidR="0068298D">
        <w:rPr>
          <w:rFonts w:ascii="Arial" w:hAnsi="Arial" w:cs="Arial"/>
          <w:sz w:val="20"/>
          <w:szCs w:val="20"/>
        </w:rPr>
        <w:t>State</w:t>
      </w:r>
      <w:r w:rsidRPr="005D03CE">
        <w:rPr>
          <w:rFonts w:ascii="Arial" w:hAnsi="Arial" w:cs="Arial"/>
          <w:sz w:val="20"/>
          <w:szCs w:val="20"/>
        </w:rPr>
        <w:t xml:space="preserve">’s grants are affected by its own decisions, then its incentives are distorted, with potentially undesirable consequences. Suppose, for example, that the equalisation scheme responded to a </w:t>
      </w:r>
      <w:r w:rsidR="0068298D">
        <w:rPr>
          <w:rFonts w:ascii="Arial" w:hAnsi="Arial" w:cs="Arial"/>
          <w:sz w:val="20"/>
          <w:szCs w:val="20"/>
        </w:rPr>
        <w:t>State</w:t>
      </w:r>
      <w:r w:rsidRPr="005D03CE">
        <w:rPr>
          <w:rFonts w:ascii="Arial" w:hAnsi="Arial" w:cs="Arial"/>
          <w:sz w:val="20"/>
          <w:szCs w:val="20"/>
        </w:rPr>
        <w:t xml:space="preserve">’s </w:t>
      </w:r>
      <w:r w:rsidR="00B4741F">
        <w:rPr>
          <w:rFonts w:ascii="Arial" w:hAnsi="Arial" w:cs="Arial"/>
          <w:sz w:val="20"/>
          <w:szCs w:val="20"/>
        </w:rPr>
        <w:t>hospital</w:t>
      </w:r>
      <w:r w:rsidR="00B4741F" w:rsidRPr="005D03CE">
        <w:rPr>
          <w:rFonts w:ascii="Arial" w:hAnsi="Arial" w:cs="Arial"/>
          <w:sz w:val="20"/>
          <w:szCs w:val="20"/>
        </w:rPr>
        <w:t xml:space="preserve"> </w:t>
      </w:r>
      <w:r w:rsidRPr="005D03CE">
        <w:rPr>
          <w:rFonts w:ascii="Arial" w:hAnsi="Arial" w:cs="Arial"/>
          <w:sz w:val="20"/>
          <w:szCs w:val="20"/>
        </w:rPr>
        <w:t xml:space="preserve">outlays simply by topping up its budget by whatever it spent, at the expense of grants to the other </w:t>
      </w:r>
      <w:r w:rsidR="0068298D">
        <w:rPr>
          <w:rFonts w:ascii="Arial" w:hAnsi="Arial" w:cs="Arial"/>
          <w:sz w:val="20"/>
          <w:szCs w:val="20"/>
        </w:rPr>
        <w:t>State</w:t>
      </w:r>
      <w:r w:rsidRPr="005D03CE">
        <w:rPr>
          <w:rFonts w:ascii="Arial" w:hAnsi="Arial" w:cs="Arial"/>
          <w:sz w:val="20"/>
          <w:szCs w:val="20"/>
        </w:rPr>
        <w:t xml:space="preserve">s. Under this arrangement, the effective price to the </w:t>
      </w:r>
      <w:r w:rsidR="0068298D">
        <w:rPr>
          <w:rFonts w:ascii="Arial" w:hAnsi="Arial" w:cs="Arial"/>
          <w:sz w:val="20"/>
          <w:szCs w:val="20"/>
        </w:rPr>
        <w:t>State</w:t>
      </w:r>
      <w:r w:rsidRPr="005D03CE">
        <w:rPr>
          <w:rFonts w:ascii="Arial" w:hAnsi="Arial" w:cs="Arial"/>
          <w:sz w:val="20"/>
          <w:szCs w:val="20"/>
        </w:rPr>
        <w:t xml:space="preserve"> of enhancements to the </w:t>
      </w:r>
      <w:r w:rsidR="00B4741F">
        <w:rPr>
          <w:rFonts w:ascii="Arial" w:hAnsi="Arial" w:cs="Arial"/>
          <w:sz w:val="20"/>
          <w:szCs w:val="20"/>
        </w:rPr>
        <w:t>hospital</w:t>
      </w:r>
      <w:r w:rsidR="00B4741F" w:rsidRPr="005D03CE">
        <w:rPr>
          <w:rFonts w:ascii="Arial" w:hAnsi="Arial" w:cs="Arial"/>
          <w:sz w:val="20"/>
          <w:szCs w:val="20"/>
        </w:rPr>
        <w:t xml:space="preserve"> </w:t>
      </w:r>
      <w:r w:rsidRPr="005D03CE">
        <w:rPr>
          <w:rFonts w:ascii="Arial" w:hAnsi="Arial" w:cs="Arial"/>
          <w:sz w:val="20"/>
          <w:szCs w:val="20"/>
        </w:rPr>
        <w:t xml:space="preserve">would be reduced to zero. With such a system implemented across </w:t>
      </w:r>
      <w:r w:rsidR="0068298D">
        <w:rPr>
          <w:rFonts w:ascii="Arial" w:hAnsi="Arial" w:cs="Arial"/>
          <w:sz w:val="20"/>
          <w:szCs w:val="20"/>
        </w:rPr>
        <w:t>State</w:t>
      </w:r>
      <w:r w:rsidRPr="005D03CE">
        <w:rPr>
          <w:rFonts w:ascii="Arial" w:hAnsi="Arial" w:cs="Arial"/>
          <w:sz w:val="20"/>
          <w:szCs w:val="20"/>
        </w:rPr>
        <w:t xml:space="preserve">s, we could expect then to see excessive expenditures on </w:t>
      </w:r>
      <w:r w:rsidR="00B4741F">
        <w:rPr>
          <w:rFonts w:ascii="Arial" w:hAnsi="Arial" w:cs="Arial"/>
          <w:sz w:val="20"/>
          <w:szCs w:val="20"/>
        </w:rPr>
        <w:t>hospital</w:t>
      </w:r>
      <w:r w:rsidR="00B4741F" w:rsidRPr="005D03CE">
        <w:rPr>
          <w:rFonts w:ascii="Arial" w:hAnsi="Arial" w:cs="Arial"/>
          <w:sz w:val="20"/>
          <w:szCs w:val="20"/>
        </w:rPr>
        <w:t xml:space="preserve">s </w:t>
      </w:r>
      <w:r w:rsidRPr="005D03CE">
        <w:rPr>
          <w:rFonts w:ascii="Arial" w:hAnsi="Arial" w:cs="Arial"/>
          <w:sz w:val="20"/>
          <w:szCs w:val="20"/>
        </w:rPr>
        <w:t xml:space="preserve">as a result. A </w:t>
      </w:r>
      <w:r w:rsidR="0068298D">
        <w:rPr>
          <w:rFonts w:ascii="Arial" w:hAnsi="Arial" w:cs="Arial"/>
          <w:sz w:val="20"/>
          <w:szCs w:val="20"/>
        </w:rPr>
        <w:t>State</w:t>
      </w:r>
      <w:r w:rsidRPr="005D03CE">
        <w:rPr>
          <w:rFonts w:ascii="Arial" w:hAnsi="Arial" w:cs="Arial"/>
          <w:sz w:val="20"/>
          <w:szCs w:val="20"/>
        </w:rPr>
        <w:t xml:space="preserve"> taking a decision about a </w:t>
      </w:r>
      <w:r w:rsidR="00B4741F">
        <w:rPr>
          <w:rFonts w:ascii="Arial" w:hAnsi="Arial" w:cs="Arial"/>
          <w:sz w:val="20"/>
          <w:szCs w:val="20"/>
        </w:rPr>
        <w:t>hospital</w:t>
      </w:r>
      <w:r w:rsidR="00B4741F" w:rsidRPr="005D03CE">
        <w:rPr>
          <w:rFonts w:ascii="Arial" w:hAnsi="Arial" w:cs="Arial"/>
          <w:sz w:val="20"/>
          <w:szCs w:val="20"/>
        </w:rPr>
        <w:t xml:space="preserve"> </w:t>
      </w:r>
      <w:r w:rsidRPr="005D03CE">
        <w:rPr>
          <w:rFonts w:ascii="Arial" w:hAnsi="Arial" w:cs="Arial"/>
          <w:sz w:val="20"/>
          <w:szCs w:val="20"/>
        </w:rPr>
        <w:t xml:space="preserve">would require only that the social benefits exceed the low effective cost of the </w:t>
      </w:r>
      <w:r w:rsidR="00B4741F">
        <w:rPr>
          <w:rFonts w:ascii="Arial" w:hAnsi="Arial" w:cs="Arial"/>
          <w:sz w:val="20"/>
          <w:szCs w:val="20"/>
        </w:rPr>
        <w:t>hospital</w:t>
      </w:r>
      <w:r w:rsidRPr="005D03CE">
        <w:rPr>
          <w:rFonts w:ascii="Arial" w:hAnsi="Arial" w:cs="Arial"/>
          <w:sz w:val="20"/>
          <w:szCs w:val="20"/>
        </w:rPr>
        <w:t xml:space="preserve">, so that </w:t>
      </w:r>
      <w:r w:rsidR="00B4741F">
        <w:rPr>
          <w:rFonts w:ascii="Arial" w:hAnsi="Arial" w:cs="Arial"/>
          <w:sz w:val="20"/>
          <w:szCs w:val="20"/>
        </w:rPr>
        <w:t>hospitals</w:t>
      </w:r>
      <w:r w:rsidR="00B4741F" w:rsidRPr="005D03CE">
        <w:rPr>
          <w:rFonts w:ascii="Arial" w:hAnsi="Arial" w:cs="Arial"/>
          <w:sz w:val="20"/>
          <w:szCs w:val="20"/>
        </w:rPr>
        <w:t xml:space="preserve"> </w:t>
      </w:r>
      <w:r w:rsidRPr="005D03CE">
        <w:rPr>
          <w:rFonts w:ascii="Arial" w:hAnsi="Arial" w:cs="Arial"/>
          <w:sz w:val="20"/>
          <w:szCs w:val="20"/>
        </w:rPr>
        <w:t xml:space="preserve">with quite low benefits would proceed. The social cost of the </w:t>
      </w:r>
      <w:r w:rsidR="00B4741F">
        <w:rPr>
          <w:rFonts w:ascii="Arial" w:hAnsi="Arial" w:cs="Arial"/>
          <w:sz w:val="20"/>
          <w:szCs w:val="20"/>
        </w:rPr>
        <w:t>hospital</w:t>
      </w:r>
      <w:r w:rsidR="00B4741F" w:rsidRPr="005D03CE">
        <w:rPr>
          <w:rFonts w:ascii="Arial" w:hAnsi="Arial" w:cs="Arial"/>
          <w:sz w:val="20"/>
          <w:szCs w:val="20"/>
        </w:rPr>
        <w:t xml:space="preserve"> </w:t>
      </w:r>
      <w:r w:rsidRPr="005D03CE">
        <w:rPr>
          <w:rFonts w:ascii="Arial" w:hAnsi="Arial" w:cs="Arial"/>
          <w:sz w:val="20"/>
          <w:szCs w:val="20"/>
        </w:rPr>
        <w:t xml:space="preserve">would be far higher than the effective cost to the </w:t>
      </w:r>
      <w:r w:rsidR="0068298D">
        <w:rPr>
          <w:rFonts w:ascii="Arial" w:hAnsi="Arial" w:cs="Arial"/>
          <w:sz w:val="20"/>
          <w:szCs w:val="20"/>
        </w:rPr>
        <w:t>State</w:t>
      </w:r>
      <w:r w:rsidRPr="005D03CE">
        <w:rPr>
          <w:rFonts w:ascii="Arial" w:hAnsi="Arial" w:cs="Arial"/>
          <w:sz w:val="20"/>
          <w:szCs w:val="20"/>
        </w:rPr>
        <w:t xml:space="preserve"> that built it, and it is likely that we would see </w:t>
      </w:r>
      <w:r w:rsidR="00B4741F">
        <w:rPr>
          <w:rFonts w:ascii="Arial" w:hAnsi="Arial" w:cs="Arial"/>
          <w:sz w:val="20"/>
          <w:szCs w:val="20"/>
        </w:rPr>
        <w:t>hospitals</w:t>
      </w:r>
      <w:r w:rsidR="00B4741F" w:rsidRPr="005D03CE">
        <w:rPr>
          <w:rFonts w:ascii="Arial" w:hAnsi="Arial" w:cs="Arial"/>
          <w:sz w:val="20"/>
          <w:szCs w:val="20"/>
        </w:rPr>
        <w:t xml:space="preserve"> </w:t>
      </w:r>
      <w:r w:rsidRPr="005D03CE">
        <w:rPr>
          <w:rFonts w:ascii="Arial" w:hAnsi="Arial" w:cs="Arial"/>
          <w:sz w:val="20"/>
          <w:szCs w:val="20"/>
        </w:rPr>
        <w:t>built for which social costs exceeded social benefits.</w:t>
      </w:r>
    </w:p>
    <w:p w:rsidR="005D03CE" w:rsidRPr="005D03CE" w:rsidRDefault="005D03CE" w:rsidP="005D03CE">
      <w:pPr>
        <w:jc w:val="both"/>
        <w:rPr>
          <w:rFonts w:ascii="Arial" w:hAnsi="Arial" w:cs="Arial"/>
          <w:sz w:val="20"/>
          <w:szCs w:val="20"/>
        </w:rPr>
      </w:pPr>
    </w:p>
    <w:p w:rsidR="005D03CE" w:rsidRPr="005D03CE" w:rsidRDefault="005D03CE" w:rsidP="005D03CE">
      <w:pPr>
        <w:jc w:val="both"/>
        <w:rPr>
          <w:rFonts w:ascii="Arial" w:hAnsi="Arial" w:cs="Arial"/>
          <w:sz w:val="20"/>
          <w:szCs w:val="20"/>
        </w:rPr>
      </w:pPr>
      <w:r w:rsidRPr="005D03CE">
        <w:rPr>
          <w:rFonts w:ascii="Arial" w:hAnsi="Arial" w:cs="Arial"/>
          <w:sz w:val="20"/>
          <w:szCs w:val="20"/>
        </w:rPr>
        <w:t xml:space="preserve">In contrast, a grant that is conditioned on circumstances beyond a </w:t>
      </w:r>
      <w:r w:rsidR="0068298D">
        <w:rPr>
          <w:rFonts w:ascii="Arial" w:hAnsi="Arial" w:cs="Arial"/>
          <w:sz w:val="20"/>
          <w:szCs w:val="20"/>
        </w:rPr>
        <w:t>State</w:t>
      </w:r>
      <w:r w:rsidRPr="005D03CE">
        <w:rPr>
          <w:rFonts w:ascii="Arial" w:hAnsi="Arial" w:cs="Arial"/>
          <w:sz w:val="20"/>
          <w:szCs w:val="20"/>
        </w:rPr>
        <w:t xml:space="preserve">’s control avoids these unwelcome incentive effects. If we know, for example, that one </w:t>
      </w:r>
      <w:r w:rsidR="0068298D">
        <w:rPr>
          <w:rFonts w:ascii="Arial" w:hAnsi="Arial" w:cs="Arial"/>
          <w:sz w:val="20"/>
          <w:szCs w:val="20"/>
        </w:rPr>
        <w:t>State</w:t>
      </w:r>
      <w:r w:rsidRPr="005D03CE">
        <w:rPr>
          <w:rFonts w:ascii="Arial" w:hAnsi="Arial" w:cs="Arial"/>
          <w:sz w:val="20"/>
          <w:szCs w:val="20"/>
        </w:rPr>
        <w:t xml:space="preserve"> has gold deposits with a net value of $1 billion while another </w:t>
      </w:r>
      <w:r w:rsidR="0068298D">
        <w:rPr>
          <w:rFonts w:ascii="Arial" w:hAnsi="Arial" w:cs="Arial"/>
          <w:sz w:val="20"/>
          <w:szCs w:val="20"/>
        </w:rPr>
        <w:t>State</w:t>
      </w:r>
      <w:r w:rsidRPr="005D03CE">
        <w:rPr>
          <w:rFonts w:ascii="Arial" w:hAnsi="Arial" w:cs="Arial"/>
          <w:sz w:val="20"/>
          <w:szCs w:val="20"/>
        </w:rPr>
        <w:t xml:space="preserve"> has none, then we can make an adjustment to the grants that effectively shares the $1 billion equally between the two </w:t>
      </w:r>
      <w:r w:rsidR="0068298D">
        <w:rPr>
          <w:rFonts w:ascii="Arial" w:hAnsi="Arial" w:cs="Arial"/>
          <w:sz w:val="20"/>
          <w:szCs w:val="20"/>
        </w:rPr>
        <w:t>State</w:t>
      </w:r>
      <w:r w:rsidRPr="005D03CE">
        <w:rPr>
          <w:rFonts w:ascii="Arial" w:hAnsi="Arial" w:cs="Arial"/>
          <w:sz w:val="20"/>
          <w:szCs w:val="20"/>
        </w:rPr>
        <w:t xml:space="preserve">s and thus removes differences in fiscal capacity. The gold owning </w:t>
      </w:r>
      <w:r w:rsidR="0068298D">
        <w:rPr>
          <w:rFonts w:ascii="Arial" w:hAnsi="Arial" w:cs="Arial"/>
          <w:sz w:val="20"/>
          <w:szCs w:val="20"/>
        </w:rPr>
        <w:t>State</w:t>
      </w:r>
      <w:r w:rsidRPr="005D03CE">
        <w:rPr>
          <w:rFonts w:ascii="Arial" w:hAnsi="Arial" w:cs="Arial"/>
          <w:sz w:val="20"/>
          <w:szCs w:val="20"/>
        </w:rPr>
        <w:t xml:space="preserve">’s decisions are not distorted because the grant decision is independent of what it chooses to do with its gold deposit. And there is nothing that the </w:t>
      </w:r>
      <w:r w:rsidR="0068298D">
        <w:rPr>
          <w:rFonts w:ascii="Arial" w:hAnsi="Arial" w:cs="Arial"/>
          <w:sz w:val="20"/>
          <w:szCs w:val="20"/>
        </w:rPr>
        <w:t>State</w:t>
      </w:r>
      <w:r w:rsidRPr="005D03CE">
        <w:rPr>
          <w:rFonts w:ascii="Arial" w:hAnsi="Arial" w:cs="Arial"/>
          <w:sz w:val="20"/>
          <w:szCs w:val="20"/>
        </w:rPr>
        <w:t xml:space="preserve"> without gold can do to affect its grant.</w:t>
      </w:r>
    </w:p>
    <w:p w:rsidR="005D03CE" w:rsidRPr="005D03CE" w:rsidRDefault="005D03CE" w:rsidP="005D03CE">
      <w:pPr>
        <w:jc w:val="both"/>
        <w:rPr>
          <w:rFonts w:ascii="Arial" w:hAnsi="Arial" w:cs="Arial"/>
          <w:sz w:val="20"/>
          <w:szCs w:val="20"/>
        </w:rPr>
      </w:pPr>
    </w:p>
    <w:p w:rsidR="005D03CE" w:rsidRPr="005D03CE" w:rsidRDefault="005D03CE" w:rsidP="005D03CE">
      <w:pPr>
        <w:jc w:val="both"/>
        <w:rPr>
          <w:rFonts w:ascii="Arial" w:hAnsi="Arial" w:cs="Arial"/>
          <w:sz w:val="20"/>
          <w:szCs w:val="20"/>
        </w:rPr>
      </w:pPr>
      <w:r w:rsidRPr="005D03CE">
        <w:rPr>
          <w:rFonts w:ascii="Arial" w:hAnsi="Arial" w:cs="Arial"/>
          <w:sz w:val="20"/>
          <w:szCs w:val="20"/>
        </w:rPr>
        <w:t xml:space="preserve">A grant distribution that makes each </w:t>
      </w:r>
      <w:r w:rsidR="0068298D">
        <w:rPr>
          <w:rFonts w:ascii="Arial" w:hAnsi="Arial" w:cs="Arial"/>
          <w:sz w:val="20"/>
          <w:szCs w:val="20"/>
        </w:rPr>
        <w:t>State</w:t>
      </w:r>
      <w:r w:rsidRPr="005D03CE">
        <w:rPr>
          <w:rFonts w:ascii="Arial" w:hAnsi="Arial" w:cs="Arial"/>
          <w:sz w:val="20"/>
          <w:szCs w:val="20"/>
        </w:rPr>
        <w:t xml:space="preserve">’s grant invariant to its own choices is said in the economics literature to be “lump sum”. A number of lump sum distributions exist. A distribution conditioned on unavoidable differences in </w:t>
      </w:r>
      <w:r w:rsidR="0068298D">
        <w:rPr>
          <w:rFonts w:ascii="Arial" w:hAnsi="Arial" w:cs="Arial"/>
          <w:sz w:val="20"/>
          <w:szCs w:val="20"/>
        </w:rPr>
        <w:t>State</w:t>
      </w:r>
      <w:r w:rsidRPr="005D03CE">
        <w:rPr>
          <w:rFonts w:ascii="Arial" w:hAnsi="Arial" w:cs="Arial"/>
          <w:sz w:val="20"/>
          <w:szCs w:val="20"/>
        </w:rPr>
        <w:t xml:space="preserve"> characteristics is lump sum. So too is an equal per capita distribution, at least if we leave aside </w:t>
      </w:r>
      <w:r w:rsidR="0068298D">
        <w:rPr>
          <w:rFonts w:ascii="Arial" w:hAnsi="Arial" w:cs="Arial"/>
          <w:sz w:val="20"/>
          <w:szCs w:val="20"/>
        </w:rPr>
        <w:t>State</w:t>
      </w:r>
      <w:r w:rsidRPr="005D03CE">
        <w:rPr>
          <w:rFonts w:ascii="Arial" w:hAnsi="Arial" w:cs="Arial"/>
          <w:sz w:val="20"/>
          <w:szCs w:val="20"/>
        </w:rPr>
        <w:t xml:space="preserve"> influences on population levels. Another lump sum distribution is the one that is reached by adopting the current relativities for ever, without the prospect of adjustment in light of changing </w:t>
      </w:r>
      <w:r w:rsidR="0068298D">
        <w:rPr>
          <w:rFonts w:ascii="Arial" w:hAnsi="Arial" w:cs="Arial"/>
          <w:sz w:val="20"/>
          <w:szCs w:val="20"/>
        </w:rPr>
        <w:t>State</w:t>
      </w:r>
      <w:r w:rsidRPr="005D03CE">
        <w:rPr>
          <w:rFonts w:ascii="Arial" w:hAnsi="Arial" w:cs="Arial"/>
          <w:sz w:val="20"/>
          <w:szCs w:val="20"/>
        </w:rPr>
        <w:t xml:space="preserve"> circumstances. These distributions are equally good in terms of avoiding distortions to </w:t>
      </w:r>
      <w:r w:rsidR="0068298D">
        <w:rPr>
          <w:rFonts w:ascii="Arial" w:hAnsi="Arial" w:cs="Arial"/>
          <w:sz w:val="20"/>
          <w:szCs w:val="20"/>
        </w:rPr>
        <w:t>State</w:t>
      </w:r>
      <w:r w:rsidRPr="005D03CE">
        <w:rPr>
          <w:rFonts w:ascii="Arial" w:hAnsi="Arial" w:cs="Arial"/>
          <w:sz w:val="20"/>
          <w:szCs w:val="20"/>
        </w:rPr>
        <w:t>s’ decisions, but they will probably not be regarded as equally good on other criteria.</w:t>
      </w:r>
    </w:p>
    <w:p w:rsidR="005D03CE" w:rsidRPr="005D03CE" w:rsidRDefault="005D03CE" w:rsidP="005D03CE">
      <w:pPr>
        <w:jc w:val="both"/>
        <w:rPr>
          <w:rFonts w:ascii="Arial" w:hAnsi="Arial" w:cs="Arial"/>
          <w:sz w:val="20"/>
          <w:szCs w:val="20"/>
        </w:rPr>
      </w:pPr>
    </w:p>
    <w:p w:rsidR="005D03CE" w:rsidRPr="005D03CE" w:rsidRDefault="005D03CE" w:rsidP="005D03CE">
      <w:pPr>
        <w:jc w:val="both"/>
        <w:rPr>
          <w:rFonts w:ascii="Arial" w:hAnsi="Arial" w:cs="Arial"/>
          <w:i/>
          <w:sz w:val="20"/>
          <w:szCs w:val="20"/>
        </w:rPr>
      </w:pPr>
      <w:r w:rsidRPr="005D03CE">
        <w:rPr>
          <w:rFonts w:ascii="Arial" w:hAnsi="Arial" w:cs="Arial"/>
          <w:i/>
          <w:sz w:val="20"/>
          <w:szCs w:val="20"/>
        </w:rPr>
        <w:t>Summary</w:t>
      </w:r>
    </w:p>
    <w:p w:rsidR="005D03CE" w:rsidRPr="005D03CE" w:rsidRDefault="005D03CE" w:rsidP="005D03CE">
      <w:pPr>
        <w:jc w:val="both"/>
        <w:rPr>
          <w:rFonts w:ascii="Arial" w:hAnsi="Arial" w:cs="Arial"/>
          <w:sz w:val="20"/>
          <w:szCs w:val="20"/>
        </w:rPr>
      </w:pPr>
      <w:r w:rsidRPr="005D03CE">
        <w:rPr>
          <w:rFonts w:ascii="Arial" w:hAnsi="Arial" w:cs="Arial"/>
          <w:sz w:val="20"/>
          <w:szCs w:val="20"/>
        </w:rPr>
        <w:t xml:space="preserve">Horizontal fiscal equalisation is an important adjunct to a decentralised system of government. Although it is true that equalisation is “zero sum” on a grant pool, </w:t>
      </w:r>
      <w:r w:rsidR="00B4741F">
        <w:rPr>
          <w:rFonts w:ascii="Arial" w:hAnsi="Arial" w:cs="Arial"/>
          <w:sz w:val="20"/>
          <w:szCs w:val="20"/>
        </w:rPr>
        <w:t>a well-designed equalisation scheme is positive</w:t>
      </w:r>
      <w:r w:rsidRPr="005D03CE">
        <w:rPr>
          <w:rFonts w:ascii="Arial" w:hAnsi="Arial" w:cs="Arial"/>
          <w:sz w:val="20"/>
          <w:szCs w:val="20"/>
        </w:rPr>
        <w:t xml:space="preserve"> sum on efficiency and horizontal equity</w:t>
      </w:r>
      <w:r w:rsidR="00A21031">
        <w:rPr>
          <w:rFonts w:ascii="Arial" w:hAnsi="Arial" w:cs="Arial"/>
          <w:sz w:val="20"/>
          <w:szCs w:val="20"/>
        </w:rPr>
        <w:t xml:space="preserve"> objectives</w:t>
      </w:r>
      <w:r w:rsidRPr="005D03CE">
        <w:rPr>
          <w:rFonts w:ascii="Arial" w:hAnsi="Arial" w:cs="Arial"/>
          <w:sz w:val="20"/>
          <w:szCs w:val="20"/>
        </w:rPr>
        <w:t xml:space="preserve">. If poorly designed, it can produce adverse consequences, particularly in the form of distorted </w:t>
      </w:r>
      <w:r w:rsidR="0068298D">
        <w:rPr>
          <w:rFonts w:ascii="Arial" w:hAnsi="Arial" w:cs="Arial"/>
          <w:sz w:val="20"/>
          <w:szCs w:val="20"/>
        </w:rPr>
        <w:t>State</w:t>
      </w:r>
      <w:r w:rsidRPr="005D03CE">
        <w:rPr>
          <w:rFonts w:ascii="Arial" w:hAnsi="Arial" w:cs="Arial"/>
          <w:sz w:val="20"/>
          <w:szCs w:val="20"/>
        </w:rPr>
        <w:t xml:space="preserve"> decisions. But if designed and implemented well</w:t>
      </w:r>
      <w:r w:rsidR="00A21031">
        <w:rPr>
          <w:rFonts w:ascii="Arial" w:hAnsi="Arial" w:cs="Arial"/>
          <w:sz w:val="20"/>
          <w:szCs w:val="20"/>
        </w:rPr>
        <w:t>,</w:t>
      </w:r>
      <w:r w:rsidRPr="005D03CE">
        <w:rPr>
          <w:rFonts w:ascii="Arial" w:hAnsi="Arial" w:cs="Arial"/>
          <w:sz w:val="20"/>
          <w:szCs w:val="20"/>
        </w:rPr>
        <w:t xml:space="preserve"> it has the capacity to remove horizontal inequities and location inefficiencies.</w:t>
      </w:r>
    </w:p>
    <w:p w:rsidR="005D03CE" w:rsidRPr="005D03CE" w:rsidRDefault="005D03CE" w:rsidP="005D03CE">
      <w:pPr>
        <w:jc w:val="both"/>
        <w:rPr>
          <w:rFonts w:ascii="Arial" w:hAnsi="Arial" w:cs="Arial"/>
          <w:sz w:val="20"/>
          <w:szCs w:val="20"/>
        </w:rPr>
      </w:pPr>
    </w:p>
    <w:p w:rsidR="005D03CE" w:rsidRPr="005D03CE" w:rsidRDefault="005D03CE" w:rsidP="005D03CE">
      <w:pPr>
        <w:jc w:val="both"/>
        <w:rPr>
          <w:rFonts w:ascii="Arial" w:hAnsi="Arial" w:cs="Arial"/>
          <w:sz w:val="20"/>
          <w:szCs w:val="20"/>
        </w:rPr>
      </w:pPr>
    </w:p>
    <w:p w:rsidR="005D03CE" w:rsidRPr="005D03CE" w:rsidRDefault="005D03CE" w:rsidP="005D03CE">
      <w:pPr>
        <w:jc w:val="both"/>
        <w:rPr>
          <w:rFonts w:ascii="Arial" w:hAnsi="Arial" w:cs="Arial"/>
          <w:b/>
          <w:sz w:val="22"/>
          <w:szCs w:val="20"/>
        </w:rPr>
      </w:pPr>
      <w:r w:rsidRPr="005D03CE">
        <w:rPr>
          <w:rFonts w:ascii="Arial" w:hAnsi="Arial" w:cs="Arial"/>
          <w:b/>
          <w:sz w:val="22"/>
          <w:szCs w:val="20"/>
        </w:rPr>
        <w:lastRenderedPageBreak/>
        <w:t>B.</w:t>
      </w:r>
      <w:r w:rsidRPr="005D03CE">
        <w:rPr>
          <w:rFonts w:ascii="Arial" w:hAnsi="Arial" w:cs="Arial"/>
          <w:b/>
          <w:sz w:val="22"/>
          <w:szCs w:val="20"/>
        </w:rPr>
        <w:tab/>
        <w:t>Response to issues raised by Productivity Commission</w:t>
      </w:r>
    </w:p>
    <w:p w:rsidR="005D03CE" w:rsidRPr="005D03CE" w:rsidRDefault="005D03CE" w:rsidP="005D03CE">
      <w:pPr>
        <w:pStyle w:val="ListParagraph"/>
        <w:numPr>
          <w:ilvl w:val="0"/>
          <w:numId w:val="1"/>
        </w:numPr>
        <w:spacing w:before="60"/>
        <w:ind w:left="851" w:hanging="851"/>
        <w:jc w:val="both"/>
        <w:rPr>
          <w:rFonts w:ascii="Arial" w:hAnsi="Arial" w:cs="Arial"/>
          <w:sz w:val="20"/>
          <w:szCs w:val="20"/>
          <w:highlight w:val="lightGray"/>
        </w:rPr>
      </w:pPr>
      <w:r w:rsidRPr="005D03CE">
        <w:rPr>
          <w:rFonts w:ascii="Arial" w:hAnsi="Arial" w:cs="Arial"/>
          <w:sz w:val="20"/>
          <w:szCs w:val="20"/>
          <w:highlight w:val="lightGray"/>
        </w:rPr>
        <w:t>How does the current HFE system impact the Australian community, economy and State and Territory governments?</w:t>
      </w:r>
    </w:p>
    <w:p w:rsidR="005D03CE" w:rsidRPr="005D03CE" w:rsidRDefault="005D03CE" w:rsidP="005D03CE">
      <w:pPr>
        <w:jc w:val="both"/>
        <w:rPr>
          <w:rFonts w:ascii="Arial" w:hAnsi="Arial" w:cs="Arial"/>
          <w:sz w:val="20"/>
          <w:szCs w:val="20"/>
        </w:rPr>
      </w:pPr>
      <w:r w:rsidRPr="005D03CE">
        <w:rPr>
          <w:rFonts w:ascii="Arial" w:hAnsi="Arial" w:cs="Arial"/>
          <w:sz w:val="20"/>
          <w:szCs w:val="20"/>
        </w:rPr>
        <w:t xml:space="preserve">The primary aim of HFE is to ensure that each </w:t>
      </w:r>
      <w:r w:rsidR="00002A00">
        <w:rPr>
          <w:rFonts w:ascii="Arial" w:hAnsi="Arial" w:cs="Arial"/>
          <w:sz w:val="20"/>
          <w:szCs w:val="20"/>
        </w:rPr>
        <w:t>State</w:t>
      </w:r>
      <w:r w:rsidRPr="005D03CE">
        <w:rPr>
          <w:rFonts w:ascii="Arial" w:hAnsi="Arial" w:cs="Arial"/>
          <w:sz w:val="20"/>
          <w:szCs w:val="20"/>
        </w:rPr>
        <w:t xml:space="preserve"> can provide services to the average standard of the </w:t>
      </w:r>
      <w:r w:rsidR="00002A00">
        <w:rPr>
          <w:rFonts w:ascii="Arial" w:hAnsi="Arial" w:cs="Arial"/>
          <w:sz w:val="20"/>
          <w:szCs w:val="20"/>
        </w:rPr>
        <w:t>State</w:t>
      </w:r>
      <w:r w:rsidRPr="005D03CE">
        <w:rPr>
          <w:rFonts w:ascii="Arial" w:hAnsi="Arial" w:cs="Arial"/>
          <w:sz w:val="20"/>
          <w:szCs w:val="20"/>
        </w:rPr>
        <w:t xml:space="preserve">s if it makes a </w:t>
      </w:r>
      <w:r w:rsidR="00002A00">
        <w:rPr>
          <w:rFonts w:ascii="Arial" w:hAnsi="Arial" w:cs="Arial"/>
          <w:sz w:val="20"/>
          <w:szCs w:val="20"/>
        </w:rPr>
        <w:t>State</w:t>
      </w:r>
      <w:r w:rsidRPr="005D03CE">
        <w:rPr>
          <w:rFonts w:ascii="Arial" w:hAnsi="Arial" w:cs="Arial"/>
          <w:sz w:val="20"/>
          <w:szCs w:val="20"/>
        </w:rPr>
        <w:t>s-average level of effort to raise revenue. In its 2015 Update the CGC expresses the objective in the following way:</w:t>
      </w:r>
    </w:p>
    <w:p w:rsidR="005D03CE" w:rsidRPr="005D03CE" w:rsidRDefault="005D03CE" w:rsidP="005D03CE">
      <w:pPr>
        <w:spacing w:before="60"/>
        <w:ind w:left="851" w:right="851"/>
        <w:jc w:val="both"/>
        <w:rPr>
          <w:rFonts w:ascii="Arial" w:hAnsi="Arial" w:cs="Arial"/>
          <w:sz w:val="18"/>
          <w:szCs w:val="20"/>
        </w:rPr>
      </w:pPr>
      <w:r w:rsidRPr="005D03CE">
        <w:rPr>
          <w:rFonts w:ascii="Arial" w:hAnsi="Arial" w:cs="Arial"/>
          <w:sz w:val="18"/>
          <w:szCs w:val="20"/>
        </w:rPr>
        <w:t>State governments should receive funding from the pool of goods and services tax such that, after allowing for material factors affecting revenues and expenditures, each would have the fiscal capacity to provide services and the associated infrastructure at the same standard, if each made the same effort to raise revenue from its own sources and operated at the same level of efficiency. [Commonwealth Grants Commission 2015, Report on GST Revenue Sharing Relativities, 2015 Review. Volume 1 – Main Report. P.2.]</w:t>
      </w:r>
    </w:p>
    <w:p w:rsidR="005D03CE" w:rsidRPr="005D03CE" w:rsidRDefault="005D03CE" w:rsidP="005D03CE">
      <w:pPr>
        <w:jc w:val="both"/>
        <w:rPr>
          <w:rFonts w:ascii="Arial" w:hAnsi="Arial" w:cs="Arial"/>
          <w:sz w:val="20"/>
          <w:szCs w:val="20"/>
        </w:rPr>
      </w:pPr>
    </w:p>
    <w:p w:rsidR="005D03CE" w:rsidRPr="005D03CE" w:rsidRDefault="005D03CE" w:rsidP="005D03CE">
      <w:pPr>
        <w:jc w:val="both"/>
        <w:rPr>
          <w:rFonts w:ascii="Arial" w:hAnsi="Arial" w:cs="Arial"/>
          <w:sz w:val="20"/>
          <w:szCs w:val="20"/>
        </w:rPr>
      </w:pPr>
      <w:r w:rsidRPr="005D03CE">
        <w:rPr>
          <w:rFonts w:ascii="Arial" w:hAnsi="Arial" w:cs="Arial"/>
          <w:sz w:val="20"/>
          <w:szCs w:val="20"/>
        </w:rPr>
        <w:t>There is no independent benchmark from which to assess the Commission’s success in pursuing this goal. However, the Commission’s methods have been refined over many years, on the basis of extensive consultations, and there is no doubt that its assessments have the effect of reducing differences in the fiscal capacities of States.</w:t>
      </w:r>
    </w:p>
    <w:p w:rsidR="005D03CE" w:rsidRPr="005D03CE" w:rsidRDefault="005D03CE" w:rsidP="005D03CE">
      <w:pPr>
        <w:jc w:val="both"/>
        <w:rPr>
          <w:rFonts w:ascii="Arial" w:hAnsi="Arial" w:cs="Arial"/>
          <w:sz w:val="20"/>
          <w:szCs w:val="20"/>
        </w:rPr>
      </w:pPr>
    </w:p>
    <w:p w:rsidR="005D03CE" w:rsidRPr="005D03CE" w:rsidRDefault="005D03CE" w:rsidP="005D03CE">
      <w:pPr>
        <w:jc w:val="both"/>
        <w:rPr>
          <w:rFonts w:ascii="Arial" w:hAnsi="Arial" w:cs="Arial"/>
          <w:sz w:val="20"/>
          <w:szCs w:val="20"/>
        </w:rPr>
      </w:pPr>
      <w:r w:rsidRPr="005D03CE">
        <w:rPr>
          <w:rFonts w:ascii="Arial" w:hAnsi="Arial" w:cs="Arial"/>
          <w:sz w:val="20"/>
          <w:szCs w:val="20"/>
        </w:rPr>
        <w:t>While HFE operates through State Governments, it should ultimately be evaluated for its effects on the people that make up the Australian community. The community of each State is affected by the fiscal capacity of its State Government. It is also affected by the extent to which that Government uses its resources efficiently and equitably. And it is affected by the impacts of the equalisation system on resource allocation across the Australian States.</w:t>
      </w:r>
    </w:p>
    <w:p w:rsidR="005D03CE" w:rsidRPr="005D03CE" w:rsidRDefault="005D03CE" w:rsidP="005D03CE">
      <w:pPr>
        <w:jc w:val="both"/>
        <w:rPr>
          <w:rFonts w:ascii="Arial" w:hAnsi="Arial" w:cs="Arial"/>
          <w:sz w:val="20"/>
          <w:szCs w:val="20"/>
        </w:rPr>
      </w:pPr>
    </w:p>
    <w:p w:rsidR="005D03CE" w:rsidRPr="005D03CE" w:rsidRDefault="005D03CE" w:rsidP="005D03CE">
      <w:pPr>
        <w:jc w:val="both"/>
        <w:rPr>
          <w:rFonts w:ascii="Arial" w:hAnsi="Arial" w:cs="Arial"/>
          <w:sz w:val="20"/>
          <w:szCs w:val="20"/>
        </w:rPr>
      </w:pPr>
      <w:r w:rsidRPr="005D03CE">
        <w:rPr>
          <w:rFonts w:ascii="Arial" w:hAnsi="Arial" w:cs="Arial"/>
          <w:sz w:val="20"/>
          <w:szCs w:val="20"/>
        </w:rPr>
        <w:t>The primary consequence of HFE is to narrow the differences between States in the service levels that they provide and the revenue raising policies that they impose. Differences still exist, but they would be greater in the absence of fiscal equalisation.</w:t>
      </w:r>
    </w:p>
    <w:p w:rsidR="005D03CE" w:rsidRPr="005D03CE" w:rsidRDefault="005D03CE" w:rsidP="005D03CE">
      <w:pPr>
        <w:jc w:val="both"/>
        <w:rPr>
          <w:rFonts w:ascii="Arial" w:hAnsi="Arial" w:cs="Arial"/>
          <w:sz w:val="20"/>
          <w:szCs w:val="20"/>
        </w:rPr>
      </w:pPr>
    </w:p>
    <w:p w:rsidR="005D03CE" w:rsidRPr="005D03CE" w:rsidRDefault="005D03CE" w:rsidP="005D03CE">
      <w:pPr>
        <w:jc w:val="both"/>
        <w:rPr>
          <w:rFonts w:ascii="Arial" w:hAnsi="Arial" w:cs="Arial"/>
          <w:sz w:val="20"/>
          <w:szCs w:val="20"/>
        </w:rPr>
      </w:pPr>
      <w:r w:rsidRPr="005D03CE">
        <w:rPr>
          <w:rFonts w:ascii="Arial" w:hAnsi="Arial" w:cs="Arial"/>
          <w:sz w:val="20"/>
          <w:szCs w:val="20"/>
        </w:rPr>
        <w:t>HFE leads to a greater extent of horizontal equity in Australia but has only marginal impacts on vertical equity. Horizontal equity relates to the like treatment of like individuals across jurisdictions. HFE contributes to horizontal equity because it means that individuals will not face differences in service levels and tax rates resulting from interstate variations in mineral deposits and associated royalties of interstate variations in populations that are costly to service. HFE probably has only a marginal (positive) impact on diminishing vertical inequality. State budgets have a significant redistributive impact but this would still be true in the absence of HFE, and there is no reason to believe that the existence of HFE impacts on the extent of redistribution within a State. Fiscal equalisation may marginally reduce inequality because it will typically shift resources towards States in which the poor are over-represented and away from States in which the rich are over-represented.</w:t>
      </w:r>
    </w:p>
    <w:p w:rsidR="005D03CE" w:rsidRPr="005D03CE" w:rsidRDefault="005D03CE" w:rsidP="005D03CE">
      <w:pPr>
        <w:jc w:val="both"/>
        <w:rPr>
          <w:rFonts w:ascii="Arial" w:hAnsi="Arial" w:cs="Arial"/>
          <w:sz w:val="20"/>
          <w:szCs w:val="20"/>
        </w:rPr>
      </w:pPr>
    </w:p>
    <w:p w:rsidR="005D03CE" w:rsidRPr="005D03CE" w:rsidRDefault="005D03CE" w:rsidP="005D03CE">
      <w:pPr>
        <w:jc w:val="both"/>
        <w:rPr>
          <w:rFonts w:ascii="Arial" w:hAnsi="Arial" w:cs="Arial"/>
          <w:sz w:val="20"/>
          <w:szCs w:val="20"/>
        </w:rPr>
      </w:pPr>
      <w:r w:rsidRPr="005D03CE">
        <w:rPr>
          <w:rFonts w:ascii="Arial" w:hAnsi="Arial" w:cs="Arial"/>
          <w:sz w:val="20"/>
          <w:szCs w:val="20"/>
        </w:rPr>
        <w:t>A second consequence of HFE is that it impacts on the achievement of efficiency in the Australian economy.  It has potential efficiency impacts in terms of location and in terms of State policy choices. These efficiency issues are addressed below.</w:t>
      </w:r>
    </w:p>
    <w:p w:rsidR="005D03CE" w:rsidRPr="005D03CE" w:rsidRDefault="005D03CE" w:rsidP="005D03CE">
      <w:pPr>
        <w:jc w:val="both"/>
        <w:rPr>
          <w:rFonts w:ascii="Arial" w:hAnsi="Arial" w:cs="Arial"/>
          <w:sz w:val="20"/>
          <w:szCs w:val="20"/>
        </w:rPr>
      </w:pPr>
    </w:p>
    <w:p w:rsidR="005D03CE" w:rsidRPr="005D03CE" w:rsidRDefault="005D03CE" w:rsidP="005D03CE">
      <w:pPr>
        <w:jc w:val="both"/>
        <w:rPr>
          <w:rFonts w:ascii="Arial" w:hAnsi="Arial" w:cs="Arial"/>
          <w:sz w:val="20"/>
          <w:szCs w:val="20"/>
        </w:rPr>
      </w:pPr>
      <w:r w:rsidRPr="005D03CE">
        <w:rPr>
          <w:rFonts w:ascii="Arial" w:hAnsi="Arial" w:cs="Arial"/>
          <w:sz w:val="20"/>
          <w:szCs w:val="20"/>
        </w:rPr>
        <w:t>Finally, HFE has largely brought to an end a culture in which grants to the States were subject to extensive backroom lobbying and sweetheart deals between the Commonwealth and favoured States. Grant distributions are now based on careful assessments of fiscal capacities and needs, made after extensive consultations with the States and Territories.</w:t>
      </w:r>
    </w:p>
    <w:p w:rsidR="005D03CE" w:rsidRPr="005D03CE" w:rsidRDefault="005D03CE" w:rsidP="005D03CE">
      <w:pPr>
        <w:jc w:val="both"/>
        <w:rPr>
          <w:rFonts w:ascii="Arial" w:hAnsi="Arial" w:cs="Arial"/>
          <w:sz w:val="20"/>
          <w:szCs w:val="20"/>
        </w:rPr>
      </w:pPr>
    </w:p>
    <w:p w:rsidR="005D03CE" w:rsidRPr="005D03CE" w:rsidRDefault="005D03CE" w:rsidP="005D03CE">
      <w:pPr>
        <w:jc w:val="both"/>
        <w:rPr>
          <w:rFonts w:ascii="Arial" w:hAnsi="Arial" w:cs="Arial"/>
          <w:sz w:val="20"/>
          <w:szCs w:val="20"/>
        </w:rPr>
      </w:pPr>
    </w:p>
    <w:p w:rsidR="005D03CE" w:rsidRPr="005D03CE" w:rsidRDefault="005D03CE" w:rsidP="005D03CE">
      <w:pPr>
        <w:pStyle w:val="ListParagraph"/>
        <w:numPr>
          <w:ilvl w:val="0"/>
          <w:numId w:val="2"/>
        </w:numPr>
        <w:spacing w:after="60"/>
        <w:ind w:left="851" w:hanging="851"/>
        <w:contextualSpacing w:val="0"/>
        <w:jc w:val="both"/>
        <w:rPr>
          <w:rFonts w:ascii="Arial" w:hAnsi="Arial" w:cs="Arial"/>
          <w:sz w:val="20"/>
          <w:szCs w:val="20"/>
          <w:highlight w:val="lightGray"/>
        </w:rPr>
      </w:pPr>
      <w:r w:rsidRPr="005D03CE">
        <w:rPr>
          <w:rFonts w:ascii="Arial" w:hAnsi="Arial" w:cs="Arial"/>
          <w:sz w:val="20"/>
          <w:szCs w:val="20"/>
          <w:highlight w:val="lightGray"/>
        </w:rPr>
        <w:t>Is the current HFE system getting in the way of States pursuing higher economic growth and productivity, and at the expense of higher national prosperity? If so, how?</w:t>
      </w:r>
    </w:p>
    <w:p w:rsidR="005D03CE" w:rsidRPr="005D03CE" w:rsidRDefault="005D03CE" w:rsidP="005D03CE">
      <w:pPr>
        <w:jc w:val="both"/>
        <w:rPr>
          <w:rFonts w:ascii="Arial" w:hAnsi="Arial" w:cs="Arial"/>
          <w:sz w:val="20"/>
          <w:szCs w:val="20"/>
        </w:rPr>
      </w:pPr>
      <w:r w:rsidRPr="005D03CE">
        <w:rPr>
          <w:rFonts w:ascii="Arial" w:hAnsi="Arial" w:cs="Arial"/>
          <w:sz w:val="20"/>
          <w:szCs w:val="20"/>
        </w:rPr>
        <w:t xml:space="preserve">No. It is an inherent weakness of a federal system that the pursuit of parochial objectives by States may lead to outcomes different from what is desired in the national interest. This should not be laid at the door of HFE. HFE may dull incentives for States to pursue efficiency gains at the margin, but most of the costs of any inefficiencies in State decisions will fall on the private sector within their jurisdiction, and ultimately States are electorally accountable to those interests. </w:t>
      </w:r>
    </w:p>
    <w:p w:rsidR="005D03CE" w:rsidRPr="005D03CE" w:rsidRDefault="005D03CE" w:rsidP="005D03CE">
      <w:pPr>
        <w:jc w:val="both"/>
        <w:rPr>
          <w:rFonts w:ascii="Arial" w:hAnsi="Arial" w:cs="Arial"/>
          <w:sz w:val="20"/>
          <w:szCs w:val="20"/>
        </w:rPr>
      </w:pPr>
    </w:p>
    <w:p w:rsidR="005D03CE" w:rsidRPr="005D03CE" w:rsidRDefault="005D03CE" w:rsidP="005D03CE">
      <w:pPr>
        <w:jc w:val="both"/>
        <w:rPr>
          <w:rFonts w:ascii="Arial" w:hAnsi="Arial" w:cs="Arial"/>
          <w:sz w:val="20"/>
          <w:szCs w:val="20"/>
        </w:rPr>
      </w:pPr>
      <w:r w:rsidRPr="005D03CE">
        <w:rPr>
          <w:rFonts w:ascii="Arial" w:hAnsi="Arial" w:cs="Arial"/>
          <w:sz w:val="20"/>
          <w:szCs w:val="20"/>
        </w:rPr>
        <w:t>One of the limitations of a decentralised system of government, with or without HFE, is that State governments will tend to base their decisions on the balance of costs and benefits within their boundaries and without regard to consequences beyond their boundaries. This can lead to policy choices that are suboptimal from a national perspective.</w:t>
      </w:r>
    </w:p>
    <w:p w:rsidR="005D03CE" w:rsidRPr="005D03CE" w:rsidRDefault="005D03CE" w:rsidP="005D03CE">
      <w:pPr>
        <w:jc w:val="both"/>
        <w:rPr>
          <w:rFonts w:ascii="Arial" w:hAnsi="Arial" w:cs="Arial"/>
          <w:sz w:val="20"/>
          <w:szCs w:val="20"/>
        </w:rPr>
      </w:pPr>
    </w:p>
    <w:p w:rsidR="005D03CE" w:rsidRPr="005D03CE" w:rsidRDefault="005D03CE" w:rsidP="005D03CE">
      <w:pPr>
        <w:jc w:val="both"/>
        <w:rPr>
          <w:rFonts w:ascii="Arial" w:hAnsi="Arial" w:cs="Arial"/>
          <w:sz w:val="20"/>
          <w:szCs w:val="20"/>
        </w:rPr>
      </w:pPr>
      <w:r w:rsidRPr="005D03CE">
        <w:rPr>
          <w:rFonts w:ascii="Arial" w:hAnsi="Arial" w:cs="Arial"/>
          <w:sz w:val="20"/>
          <w:szCs w:val="20"/>
        </w:rPr>
        <w:lastRenderedPageBreak/>
        <w:t>The narrow perspective of States may either depress or inflate their efforts to achieve prosperity. A State that considers its school education system as an investment in future income levels for its community will rationally discount the benefits to allow for the fact that some students will live elsewhere later in their lives. This dynamic leads in principle to an under-investment in schooling. Another State might turn a blind eye to illegal extractions of water for in-State irrigation activity but to the detriment of activity in downstream States. This will subvert a market mechanism which leads water to be allocated to its highest valued uses across the nation, with a depressing effect on national productivity. In this example, the State excessively pursues its own growth to the detriment of the nation as a whole. For practical policy development one needs to make judgments about the scale of these impacts.</w:t>
      </w:r>
    </w:p>
    <w:p w:rsidR="005D03CE" w:rsidRPr="005D03CE" w:rsidRDefault="005D03CE" w:rsidP="005D03CE">
      <w:pPr>
        <w:jc w:val="both"/>
        <w:rPr>
          <w:rFonts w:ascii="Arial" w:hAnsi="Arial" w:cs="Arial"/>
          <w:sz w:val="20"/>
          <w:szCs w:val="20"/>
        </w:rPr>
      </w:pPr>
    </w:p>
    <w:p w:rsidR="005D03CE" w:rsidRPr="005D03CE" w:rsidRDefault="005D03CE" w:rsidP="005D03CE">
      <w:pPr>
        <w:jc w:val="both"/>
        <w:rPr>
          <w:rFonts w:ascii="Arial" w:hAnsi="Arial" w:cs="Arial"/>
          <w:sz w:val="20"/>
          <w:szCs w:val="20"/>
        </w:rPr>
      </w:pPr>
      <w:r w:rsidRPr="005D03CE">
        <w:rPr>
          <w:rFonts w:ascii="Arial" w:hAnsi="Arial" w:cs="Arial"/>
          <w:sz w:val="20"/>
          <w:szCs w:val="20"/>
        </w:rPr>
        <w:t>In my view it is mistaken to believe that States are insufficiently motivated, from a national perspective, to pursue growth and productivity improvements. I will suppose that the national objective policy is to maximise some holistic measure of per capita wellbeing. This holistic measure would need to take into account community valuations over aspects of life other than households’ own direct consumption—for instance values placed on environmental preservation, safety, avoidance of poverty, and so on. These valuations might be high, or they might be low, but they are in the scope of the societal objective. I will describe the national objective as the maximisation of per capita consumption, understood in this broad sense.</w:t>
      </w:r>
    </w:p>
    <w:p w:rsidR="005D03CE" w:rsidRPr="005D03CE" w:rsidRDefault="005D03CE" w:rsidP="005D03CE">
      <w:pPr>
        <w:jc w:val="both"/>
        <w:rPr>
          <w:rFonts w:ascii="Arial" w:hAnsi="Arial" w:cs="Arial"/>
          <w:sz w:val="20"/>
          <w:szCs w:val="20"/>
        </w:rPr>
      </w:pPr>
    </w:p>
    <w:p w:rsidR="005D03CE" w:rsidRPr="005D03CE" w:rsidRDefault="005D03CE" w:rsidP="005D03CE">
      <w:pPr>
        <w:jc w:val="both"/>
        <w:rPr>
          <w:rFonts w:ascii="Arial" w:hAnsi="Arial" w:cs="Arial"/>
          <w:sz w:val="20"/>
          <w:szCs w:val="20"/>
        </w:rPr>
      </w:pPr>
      <w:r w:rsidRPr="005D03CE">
        <w:rPr>
          <w:rFonts w:ascii="Arial" w:hAnsi="Arial" w:cs="Arial"/>
          <w:sz w:val="20"/>
          <w:szCs w:val="20"/>
        </w:rPr>
        <w:t xml:space="preserve">If each State also sought to maximise per capita consumption, but taking into account only its own residents, what would the consequences be? For those State decisions that have no related “externalities”—impacts on residents of other States—we would expect each State to adopt the policy setting that maximises its own per capita consumption. And in the absence of externalities this would be the policy choice that also maximises national per capita consumption. For those decisions with net positive externalities we could expect self-interested States to stop short of the effort levels that would be optimal from a national perspective. And for decisions with negative externalities we could expect them to make efforts that go too far from the national perspective. </w:t>
      </w:r>
    </w:p>
    <w:p w:rsidR="005D03CE" w:rsidRPr="005D03CE" w:rsidRDefault="005D03CE" w:rsidP="005D03CE">
      <w:pPr>
        <w:jc w:val="both"/>
        <w:rPr>
          <w:rFonts w:ascii="Arial" w:hAnsi="Arial" w:cs="Arial"/>
          <w:sz w:val="20"/>
          <w:szCs w:val="20"/>
        </w:rPr>
      </w:pPr>
    </w:p>
    <w:p w:rsidR="005D03CE" w:rsidRPr="005D03CE" w:rsidRDefault="005D03CE" w:rsidP="005D03CE">
      <w:pPr>
        <w:jc w:val="both"/>
        <w:rPr>
          <w:rFonts w:ascii="Arial" w:hAnsi="Arial" w:cs="Arial"/>
          <w:sz w:val="20"/>
          <w:szCs w:val="20"/>
        </w:rPr>
      </w:pPr>
      <w:r w:rsidRPr="005D03CE">
        <w:rPr>
          <w:rFonts w:ascii="Arial" w:hAnsi="Arial" w:cs="Arial"/>
          <w:sz w:val="20"/>
          <w:szCs w:val="20"/>
        </w:rPr>
        <w:t>Distortions of this type exist with or without HFE. They are best remedied by central interventions that remove the distortion. The Commonwealth can pay for certain activities or it can subsidise State expenditures—“matching grants” in areas of concern. It can also offer “incentive payments” that are contingent on certain State behaviours, such as steps to implement nationally desirable reforms. But they are unlikely to be either remedied or exacerbated by implementing or abolishing horizontal fiscal equalisation.</w:t>
      </w:r>
    </w:p>
    <w:p w:rsidR="005D03CE" w:rsidRPr="005D03CE" w:rsidRDefault="005D03CE" w:rsidP="005D03CE">
      <w:pPr>
        <w:jc w:val="both"/>
        <w:rPr>
          <w:rFonts w:ascii="Arial" w:hAnsi="Arial" w:cs="Arial"/>
          <w:sz w:val="20"/>
          <w:szCs w:val="20"/>
        </w:rPr>
      </w:pPr>
    </w:p>
    <w:p w:rsidR="005D03CE" w:rsidRPr="005D03CE" w:rsidRDefault="005D03CE" w:rsidP="005D03CE">
      <w:pPr>
        <w:jc w:val="both"/>
        <w:rPr>
          <w:rFonts w:ascii="Arial" w:hAnsi="Arial" w:cs="Arial"/>
          <w:sz w:val="20"/>
          <w:szCs w:val="20"/>
        </w:rPr>
      </w:pPr>
      <w:r w:rsidRPr="005D03CE">
        <w:rPr>
          <w:rFonts w:ascii="Arial" w:hAnsi="Arial" w:cs="Arial"/>
          <w:sz w:val="20"/>
          <w:szCs w:val="20"/>
        </w:rPr>
        <w:t>The impacts of HFE on incentives to pursue measures that support growth/productivity/</w:t>
      </w:r>
      <w:r w:rsidRPr="005D03CE">
        <w:rPr>
          <w:rFonts w:ascii="Arial" w:hAnsi="Arial" w:cs="Arial"/>
          <w:sz w:val="20"/>
          <w:szCs w:val="20"/>
        </w:rPr>
        <w:br/>
        <w:t>prosperity at the national level are potentially negative but small in degree. This will be true if efforts to boost growth/productivity involve costs that are in their entirety borne locally while part of the benefit is enjoyed nationally. The reason that the impact will be small is that the impact on a State’s “retention rate” is likely to be small—see Box 1. (It is assumed here that each State is motivated by the welfare of its residents and that it has no intrinsic interest in the welfare of non-residents.)</w:t>
      </w:r>
    </w:p>
    <w:p w:rsidR="005D03CE" w:rsidRPr="005D03CE" w:rsidRDefault="005D03CE" w:rsidP="005D03CE">
      <w:pPr>
        <w:jc w:val="both"/>
        <w:rPr>
          <w:rFonts w:ascii="Arial" w:hAnsi="Arial" w:cs="Arial"/>
          <w:sz w:val="20"/>
          <w:szCs w:val="20"/>
        </w:rPr>
      </w:pPr>
    </w:p>
    <w:p w:rsidR="005D03CE" w:rsidRPr="005D03CE" w:rsidRDefault="005D03CE" w:rsidP="005D03CE">
      <w:pPr>
        <w:jc w:val="both"/>
        <w:rPr>
          <w:rFonts w:ascii="Arial" w:hAnsi="Arial" w:cs="Arial"/>
          <w:sz w:val="20"/>
          <w:szCs w:val="20"/>
        </w:rPr>
      </w:pPr>
      <w:r w:rsidRPr="005D03CE">
        <w:rPr>
          <w:rFonts w:ascii="Arial" w:hAnsi="Arial" w:cs="Arial"/>
          <w:sz w:val="20"/>
          <w:szCs w:val="20"/>
        </w:rPr>
        <w:t>The residents of a State are unlikely to be very receptive to a State Government that argues “it may look like we’ve just wasted $100 million but actually we’ve only wasted $95 million because we’ll get $5 million of it back in extra grants”.</w:t>
      </w:r>
    </w:p>
    <w:p w:rsidR="005D03CE" w:rsidRPr="005D03CE" w:rsidRDefault="005D03CE" w:rsidP="005D03CE">
      <w:pPr>
        <w:jc w:val="both"/>
        <w:rPr>
          <w:rFonts w:ascii="Arial" w:hAnsi="Arial" w:cs="Arial"/>
          <w:sz w:val="20"/>
          <w:szCs w:val="20"/>
        </w:rPr>
      </w:pPr>
    </w:p>
    <w:p w:rsidR="005D03CE" w:rsidRPr="005D03CE" w:rsidRDefault="005D03CE" w:rsidP="005D03CE">
      <w:pPr>
        <w:spacing w:after="60"/>
        <w:jc w:val="both"/>
        <w:rPr>
          <w:rFonts w:ascii="Arial" w:hAnsi="Arial" w:cs="Arial"/>
          <w:b/>
          <w:sz w:val="18"/>
          <w:szCs w:val="20"/>
        </w:rPr>
      </w:pPr>
      <w:r w:rsidRPr="005D03CE">
        <w:rPr>
          <w:rFonts w:ascii="Arial" w:hAnsi="Arial" w:cs="Arial"/>
          <w:b/>
          <w:sz w:val="18"/>
          <w:szCs w:val="20"/>
        </w:rPr>
        <w:t>Box 1:</w:t>
      </w:r>
      <w:r w:rsidRPr="005D03CE">
        <w:rPr>
          <w:rFonts w:ascii="Arial" w:hAnsi="Arial" w:cs="Arial"/>
          <w:b/>
          <w:sz w:val="18"/>
          <w:szCs w:val="20"/>
        </w:rPr>
        <w:tab/>
        <w:t>Impact of horizontal fiscal equalisation on a State’s retention rate</w:t>
      </w:r>
    </w:p>
    <w:tbl>
      <w:tblPr>
        <w:tblStyle w:val="TableGrid"/>
        <w:tblW w:w="9639" w:type="dxa"/>
        <w:tblLook w:val="04A0" w:firstRow="1" w:lastRow="0" w:firstColumn="1" w:lastColumn="0" w:noHBand="0" w:noVBand="1"/>
      </w:tblPr>
      <w:tblGrid>
        <w:gridCol w:w="9639"/>
      </w:tblGrid>
      <w:tr w:rsidR="005D03CE" w:rsidRPr="005D03CE" w:rsidTr="005D03CE">
        <w:tc>
          <w:tcPr>
            <w:tcW w:w="9016" w:type="dxa"/>
          </w:tcPr>
          <w:p w:rsidR="005D03CE" w:rsidRDefault="005D03CE" w:rsidP="005D03CE">
            <w:pPr>
              <w:jc w:val="both"/>
              <w:rPr>
                <w:rFonts w:ascii="Arial" w:hAnsi="Arial" w:cs="Arial"/>
                <w:sz w:val="18"/>
                <w:szCs w:val="20"/>
              </w:rPr>
            </w:pPr>
          </w:p>
          <w:p w:rsidR="005D03CE" w:rsidRPr="005D03CE" w:rsidRDefault="005D03CE" w:rsidP="005D03CE">
            <w:pPr>
              <w:jc w:val="both"/>
              <w:rPr>
                <w:rFonts w:ascii="Arial" w:hAnsi="Arial" w:cs="Arial"/>
                <w:sz w:val="18"/>
                <w:szCs w:val="20"/>
              </w:rPr>
            </w:pPr>
            <w:r w:rsidRPr="005D03CE">
              <w:rPr>
                <w:rFonts w:ascii="Arial" w:hAnsi="Arial" w:cs="Arial"/>
                <w:sz w:val="18"/>
                <w:szCs w:val="20"/>
              </w:rPr>
              <w:t>Suppose a State had it in its power to implement a policy that would boost real incomes in its jurisdiction by 1 per cent and that this boosted Commonwealth and State tax bases by 1 per cent.  Then if the income gain were realised and flowed into taxes at economy-wide average rates, about 4 per cent would flow to the State, 22 per cent would flow to the Commonwealth and 74 per cent would stay in the within-State private sector. Suppose that the State fully internalises the interest of the in-State private sector and its own fiscal gains (in right of the private sector). In the absence of HFE, the State community would internalise 78 per cent of the income gain. With fiscal equalisation it would retain 74 per cent of the income gain.</w:t>
            </w:r>
          </w:p>
          <w:p w:rsidR="005D03CE" w:rsidRDefault="005D03CE" w:rsidP="005D03CE">
            <w:pPr>
              <w:spacing w:before="60"/>
              <w:jc w:val="both"/>
              <w:rPr>
                <w:rFonts w:ascii="Arial" w:hAnsi="Arial" w:cs="Arial"/>
                <w:sz w:val="18"/>
                <w:szCs w:val="20"/>
              </w:rPr>
            </w:pPr>
            <w:r w:rsidRPr="005D03CE">
              <w:rPr>
                <w:rFonts w:ascii="Arial" w:hAnsi="Arial" w:cs="Arial"/>
                <w:sz w:val="18"/>
                <w:szCs w:val="20"/>
              </w:rPr>
              <w:t>In this scenario the State’s “retention rate”—the proportion of the income gain kept by State residents—is only marginally reduced by the operation of HFE. We would expect only a small diminution of activities to boost real incomes. Only initiatives that had a cost in the range 0.74 to 0.78 per cent of income would be displaced.</w:t>
            </w:r>
          </w:p>
          <w:p w:rsidR="005D03CE" w:rsidRPr="005D03CE" w:rsidRDefault="005D03CE" w:rsidP="005D03CE">
            <w:pPr>
              <w:jc w:val="both"/>
              <w:rPr>
                <w:rFonts w:ascii="Arial" w:hAnsi="Arial" w:cs="Arial"/>
                <w:sz w:val="18"/>
                <w:szCs w:val="20"/>
              </w:rPr>
            </w:pPr>
          </w:p>
        </w:tc>
      </w:tr>
    </w:tbl>
    <w:p w:rsidR="005D03CE" w:rsidRPr="005D03CE" w:rsidRDefault="005D03CE" w:rsidP="005D03CE">
      <w:pPr>
        <w:jc w:val="both"/>
        <w:rPr>
          <w:rFonts w:ascii="Arial" w:hAnsi="Arial" w:cs="Arial"/>
          <w:sz w:val="20"/>
          <w:szCs w:val="20"/>
        </w:rPr>
      </w:pPr>
    </w:p>
    <w:p w:rsidR="005D03CE" w:rsidRPr="005D03CE" w:rsidRDefault="005D03CE" w:rsidP="005D03CE">
      <w:pPr>
        <w:jc w:val="both"/>
        <w:rPr>
          <w:rFonts w:ascii="Arial" w:hAnsi="Arial" w:cs="Arial"/>
          <w:sz w:val="20"/>
          <w:szCs w:val="20"/>
        </w:rPr>
      </w:pPr>
      <w:r w:rsidRPr="005D03CE">
        <w:rPr>
          <w:rFonts w:ascii="Arial" w:hAnsi="Arial" w:cs="Arial"/>
          <w:sz w:val="20"/>
          <w:szCs w:val="20"/>
        </w:rPr>
        <w:t xml:space="preserve">We have discussed State behaviour when States seek to maximise per capita consumption. But what if they try to maximise aggregate consumption? This corresponds to the situation when States seek population and job growth quite apart from growth in per capita incomes. In this case States are willing to accept some diminution of per capita incomes in return for a larger population. If States behave in this way, they will tend to pursue growth to excess. The national population is given, so one States’ population gains come only at the expense of another States’ losses, and each State accepts lower per capita consumption to get a larger </w:t>
      </w:r>
      <w:r w:rsidRPr="005D03CE">
        <w:rPr>
          <w:rFonts w:ascii="Arial" w:hAnsi="Arial" w:cs="Arial"/>
          <w:sz w:val="20"/>
          <w:szCs w:val="20"/>
        </w:rPr>
        <w:lastRenderedPageBreak/>
        <w:t>population. The end result of the dynamic is per capita consumption at the national level is reduced. In the jargon, the “Nash equilibrium” involves the States excessively pursuing growth. My impression is that States are to some extent motivated by considerations of aggregate economic size as distinct from maximising per capita living standards. Of course this dynamic is quite distinct from HFE, and exists with or without HFE.</w:t>
      </w:r>
    </w:p>
    <w:p w:rsidR="005D03CE" w:rsidRPr="005D03CE" w:rsidRDefault="005D03CE" w:rsidP="005D03CE">
      <w:pPr>
        <w:jc w:val="both"/>
        <w:rPr>
          <w:rFonts w:ascii="Arial" w:hAnsi="Arial" w:cs="Arial"/>
          <w:sz w:val="20"/>
          <w:szCs w:val="20"/>
        </w:rPr>
      </w:pPr>
    </w:p>
    <w:p w:rsidR="005D03CE" w:rsidRPr="005D03CE" w:rsidRDefault="005D03CE" w:rsidP="005D03CE">
      <w:pPr>
        <w:pStyle w:val="ListParagraph"/>
        <w:numPr>
          <w:ilvl w:val="0"/>
          <w:numId w:val="2"/>
        </w:numPr>
        <w:spacing w:after="60"/>
        <w:ind w:left="851" w:hanging="851"/>
        <w:contextualSpacing w:val="0"/>
        <w:jc w:val="both"/>
        <w:rPr>
          <w:rFonts w:ascii="Arial" w:hAnsi="Arial" w:cs="Arial"/>
          <w:sz w:val="20"/>
          <w:szCs w:val="20"/>
          <w:highlight w:val="lightGray"/>
        </w:rPr>
      </w:pPr>
      <w:r w:rsidRPr="005D03CE">
        <w:rPr>
          <w:rFonts w:ascii="Arial" w:hAnsi="Arial" w:cs="Arial"/>
          <w:sz w:val="20"/>
          <w:szCs w:val="20"/>
          <w:highlight w:val="lightGray"/>
        </w:rPr>
        <w:t>What evidence is available on whether and how the current HFE system affects the movement of labour and capital across State borders, particularly if a region is experiencing high labour demand?</w:t>
      </w:r>
    </w:p>
    <w:p w:rsidR="005D03CE" w:rsidRPr="005D03CE" w:rsidRDefault="005D03CE" w:rsidP="005D03CE">
      <w:pPr>
        <w:jc w:val="both"/>
        <w:rPr>
          <w:rFonts w:ascii="Arial" w:hAnsi="Arial" w:cs="Arial"/>
          <w:sz w:val="20"/>
          <w:szCs w:val="20"/>
        </w:rPr>
      </w:pPr>
      <w:r w:rsidRPr="005D03CE">
        <w:rPr>
          <w:rFonts w:ascii="Arial" w:hAnsi="Arial" w:cs="Arial"/>
          <w:sz w:val="20"/>
          <w:szCs w:val="20"/>
        </w:rPr>
        <w:t>See Independent Economics (2012) for empirical analysis relating to the mobility effects of HFE. The results therein suggest that HFE produces welfare gains over a “modified equal per capita” distribution, but that the gains are quite small: $295 million on a 2009-10 economic base, or about ¼ per cent of GDP. However, the population impacts that lie behind this are quite pronounced. Under the modified equal per capita distribution, Western Australia’s population would be 6.5 per cent larger and Queensland’s would be 1.3 per cent larger. The other States would have reduced populations as follows: Northern Territory 10.6 percent, Tasmania 6.1 per cent, South Australia 3.4 per cent, Australian Capital Territory 1.7 per cent, Victoria 1.2 per cent and New South Wales 0.4 per cent.</w:t>
      </w:r>
    </w:p>
    <w:p w:rsidR="005D03CE" w:rsidRPr="005D03CE" w:rsidRDefault="005D03CE" w:rsidP="005D03CE">
      <w:pPr>
        <w:jc w:val="both"/>
        <w:rPr>
          <w:rFonts w:ascii="Arial" w:hAnsi="Arial" w:cs="Arial"/>
          <w:sz w:val="20"/>
          <w:szCs w:val="20"/>
        </w:rPr>
      </w:pPr>
    </w:p>
    <w:p w:rsidR="005D03CE" w:rsidRPr="005D03CE" w:rsidRDefault="005D03CE" w:rsidP="005D03CE">
      <w:pPr>
        <w:jc w:val="both"/>
        <w:rPr>
          <w:rFonts w:ascii="Arial" w:hAnsi="Arial" w:cs="Arial"/>
          <w:sz w:val="20"/>
          <w:szCs w:val="20"/>
        </w:rPr>
      </w:pPr>
      <w:r w:rsidRPr="005D03CE">
        <w:rPr>
          <w:rFonts w:ascii="Arial" w:hAnsi="Arial" w:cs="Arial"/>
          <w:sz w:val="20"/>
          <w:szCs w:val="20"/>
        </w:rPr>
        <w:t>HFE supports efficient location decisions in general, and this is true under circumstances of high labour demand in a few regions. Relocating from one State to another has costs for those who relocate and it is efficient to take these costs into account. Where there are many projects in a region of high demand seeking extra labour, allowing wages to rise serves a number of useful allocative roles. First, it ensures that the most valuable projects in the region proceed while the less valuable are shelved. Secondly, the only projects shelved are those that cannot cover their costs. These costs include the need to compensate labour that is required to relocate. HFE avoids the situation where individuals relocate simply to establish a share in the rents from mineral resources, a dynamic that would distort location decisions.</w:t>
      </w:r>
    </w:p>
    <w:p w:rsidR="005D03CE" w:rsidRPr="005D03CE" w:rsidRDefault="005D03CE" w:rsidP="005D03CE">
      <w:pPr>
        <w:jc w:val="both"/>
        <w:rPr>
          <w:rFonts w:ascii="Arial" w:hAnsi="Arial" w:cs="Arial"/>
          <w:sz w:val="20"/>
          <w:szCs w:val="20"/>
        </w:rPr>
      </w:pPr>
    </w:p>
    <w:p w:rsidR="005D03CE" w:rsidRPr="005D03CE" w:rsidRDefault="005D03CE" w:rsidP="005D03CE">
      <w:pPr>
        <w:pStyle w:val="ListParagraph"/>
        <w:numPr>
          <w:ilvl w:val="0"/>
          <w:numId w:val="2"/>
        </w:numPr>
        <w:spacing w:after="60"/>
        <w:ind w:left="851" w:hanging="851"/>
        <w:contextualSpacing w:val="0"/>
        <w:jc w:val="both"/>
        <w:rPr>
          <w:rFonts w:ascii="Arial" w:hAnsi="Arial" w:cs="Arial"/>
          <w:sz w:val="20"/>
          <w:szCs w:val="20"/>
          <w:highlight w:val="lightGray"/>
        </w:rPr>
      </w:pPr>
      <w:r w:rsidRPr="005D03CE">
        <w:rPr>
          <w:rFonts w:ascii="Arial" w:hAnsi="Arial" w:cs="Arial"/>
          <w:sz w:val="20"/>
          <w:szCs w:val="20"/>
          <w:highlight w:val="lightGray"/>
        </w:rPr>
        <w:t>Does the current HFE system create perverse incentives or unintended consequences for reform at the State level? What evidence is there on how these incentives affect State policies and ultimately outcomes for the Australian community?</w:t>
      </w:r>
    </w:p>
    <w:p w:rsidR="005D03CE" w:rsidRPr="005D03CE" w:rsidRDefault="005D03CE" w:rsidP="005D03CE">
      <w:pPr>
        <w:jc w:val="both"/>
        <w:rPr>
          <w:rFonts w:ascii="Arial" w:hAnsi="Arial" w:cs="Arial"/>
          <w:sz w:val="20"/>
          <w:szCs w:val="20"/>
        </w:rPr>
      </w:pPr>
      <w:r w:rsidRPr="005D03CE">
        <w:rPr>
          <w:rFonts w:ascii="Arial" w:hAnsi="Arial" w:cs="Arial"/>
          <w:sz w:val="20"/>
          <w:szCs w:val="20"/>
        </w:rPr>
        <w:t>See discussion under (a). In principle HFE could diminish returns to a State from carrying out reform. This would be true if the gains from reform are equalised away while the costs of the reform are not.</w:t>
      </w:r>
    </w:p>
    <w:p w:rsidR="005D03CE" w:rsidRPr="005D03CE" w:rsidRDefault="005D03CE" w:rsidP="005D03CE">
      <w:pPr>
        <w:jc w:val="both"/>
        <w:rPr>
          <w:rFonts w:ascii="Arial" w:hAnsi="Arial" w:cs="Arial"/>
          <w:sz w:val="20"/>
          <w:szCs w:val="20"/>
        </w:rPr>
      </w:pPr>
    </w:p>
    <w:p w:rsidR="005D03CE" w:rsidRPr="005D03CE" w:rsidRDefault="005D03CE" w:rsidP="005D03CE">
      <w:pPr>
        <w:jc w:val="both"/>
        <w:rPr>
          <w:rFonts w:ascii="Arial" w:hAnsi="Arial" w:cs="Arial"/>
          <w:sz w:val="20"/>
          <w:szCs w:val="20"/>
        </w:rPr>
      </w:pPr>
      <w:r w:rsidRPr="005D03CE">
        <w:rPr>
          <w:rFonts w:ascii="Arial" w:hAnsi="Arial" w:cs="Arial"/>
          <w:sz w:val="20"/>
          <w:szCs w:val="20"/>
        </w:rPr>
        <w:t>There is no evidence to suggest that HFE has had material adverse impacts on State reform efforts. It should be noted that this is by design—the Grants Commission goes to lengths to uphold the principle of “policy neutrality” in its assessments.</w:t>
      </w:r>
    </w:p>
    <w:p w:rsidR="005D03CE" w:rsidRPr="005D03CE" w:rsidRDefault="005D03CE" w:rsidP="005D03CE">
      <w:pPr>
        <w:jc w:val="both"/>
        <w:rPr>
          <w:rFonts w:ascii="Arial" w:hAnsi="Arial" w:cs="Arial"/>
          <w:sz w:val="20"/>
          <w:szCs w:val="20"/>
        </w:rPr>
      </w:pPr>
    </w:p>
    <w:p w:rsidR="005D03CE" w:rsidRPr="005D03CE" w:rsidRDefault="005D03CE" w:rsidP="005D03CE">
      <w:pPr>
        <w:jc w:val="both"/>
        <w:rPr>
          <w:rFonts w:ascii="Arial" w:hAnsi="Arial" w:cs="Arial"/>
          <w:sz w:val="20"/>
          <w:szCs w:val="20"/>
        </w:rPr>
      </w:pPr>
      <w:r w:rsidRPr="005D03CE">
        <w:rPr>
          <w:rFonts w:ascii="Arial" w:hAnsi="Arial" w:cs="Arial"/>
          <w:sz w:val="20"/>
          <w:szCs w:val="20"/>
        </w:rPr>
        <w:t>If the Commonwealth believes that State reform efforts are different from what they should be, the “first best” approach is to target them with measures such as tied grants, matching grants and incentive payments. Mechanisms of this type have been used in the past in Australia—for instance National Competition Payments for pro-competitive reforms in the 1990s, Intergovernmental Agreements around the introduction of GST which provided for abolition of specified State taxes. Tinkering with HFE is an indirect, “second best” approach.</w:t>
      </w:r>
    </w:p>
    <w:p w:rsidR="005D03CE" w:rsidRPr="005D03CE" w:rsidRDefault="005D03CE" w:rsidP="005D03CE">
      <w:pPr>
        <w:jc w:val="both"/>
        <w:rPr>
          <w:rFonts w:ascii="Arial" w:hAnsi="Arial" w:cs="Arial"/>
          <w:sz w:val="20"/>
          <w:szCs w:val="20"/>
        </w:rPr>
      </w:pPr>
    </w:p>
    <w:p w:rsidR="005D03CE" w:rsidRPr="005D03CE" w:rsidRDefault="005D03CE" w:rsidP="005D03CE">
      <w:pPr>
        <w:pStyle w:val="ListParagraph"/>
        <w:numPr>
          <w:ilvl w:val="0"/>
          <w:numId w:val="2"/>
        </w:numPr>
        <w:spacing w:after="60"/>
        <w:ind w:left="851" w:hanging="851"/>
        <w:contextualSpacing w:val="0"/>
        <w:jc w:val="both"/>
        <w:rPr>
          <w:rFonts w:ascii="Arial" w:hAnsi="Arial" w:cs="Arial"/>
          <w:sz w:val="20"/>
          <w:szCs w:val="20"/>
          <w:highlight w:val="lightGray"/>
        </w:rPr>
      </w:pPr>
      <w:r w:rsidRPr="005D03CE">
        <w:rPr>
          <w:rFonts w:ascii="Arial" w:hAnsi="Arial" w:cs="Arial"/>
          <w:sz w:val="20"/>
          <w:szCs w:val="20"/>
        </w:rPr>
        <w:t xml:space="preserve"> </w:t>
      </w:r>
      <w:r w:rsidRPr="005D03CE">
        <w:rPr>
          <w:rFonts w:ascii="Arial" w:hAnsi="Arial" w:cs="Arial"/>
          <w:sz w:val="20"/>
          <w:szCs w:val="20"/>
          <w:highlight w:val="lightGray"/>
        </w:rPr>
        <w:t>Does the current HFE system influence State policies to facilitate, restrict or tax the development of economic activity, and in particular energy and mineral resources?</w:t>
      </w:r>
    </w:p>
    <w:p w:rsidR="005D03CE" w:rsidRPr="005D03CE" w:rsidRDefault="005D03CE" w:rsidP="005D03CE">
      <w:pPr>
        <w:jc w:val="both"/>
        <w:rPr>
          <w:rFonts w:ascii="Arial" w:hAnsi="Arial" w:cs="Arial"/>
          <w:sz w:val="20"/>
          <w:szCs w:val="20"/>
        </w:rPr>
      </w:pPr>
      <w:r w:rsidRPr="005D03CE">
        <w:rPr>
          <w:rFonts w:ascii="Arial" w:hAnsi="Arial" w:cs="Arial"/>
          <w:sz w:val="20"/>
          <w:szCs w:val="20"/>
        </w:rPr>
        <w:t>See (a). Although HFE generally has only a small impact on retention rates there may be some activities where the impacts are larger. This is true in respect of mineral resources for Western Australia.</w:t>
      </w:r>
    </w:p>
    <w:p w:rsidR="005D03CE" w:rsidRPr="005D03CE" w:rsidRDefault="005D03CE" w:rsidP="005D03CE">
      <w:pPr>
        <w:jc w:val="both"/>
        <w:rPr>
          <w:rFonts w:ascii="Arial" w:hAnsi="Arial" w:cs="Arial"/>
          <w:sz w:val="20"/>
          <w:szCs w:val="20"/>
        </w:rPr>
      </w:pPr>
    </w:p>
    <w:p w:rsidR="005D03CE" w:rsidRPr="005D03CE" w:rsidRDefault="005D03CE" w:rsidP="005D03CE">
      <w:pPr>
        <w:jc w:val="both"/>
        <w:rPr>
          <w:rFonts w:ascii="Arial" w:hAnsi="Arial" w:cs="Arial"/>
          <w:sz w:val="20"/>
          <w:szCs w:val="20"/>
        </w:rPr>
      </w:pPr>
      <w:r w:rsidRPr="005D03CE">
        <w:rPr>
          <w:rFonts w:ascii="Arial" w:hAnsi="Arial" w:cs="Arial"/>
          <w:sz w:val="20"/>
          <w:szCs w:val="20"/>
        </w:rPr>
        <w:t>Mining revenues are unusual among the categories in the States’ budgets in the extent to which one State—Western Australia—is dominant. In the four years leading up to 2015-16 Western Australia accounted for more than half of the all-States total mining revenues. For every other category New South Wales has the largest share of the all States total, typically with about one-third but as much as 40 per cent in the case of stamp duties.</w:t>
      </w:r>
    </w:p>
    <w:p w:rsidR="005D03CE" w:rsidRPr="005D03CE" w:rsidRDefault="005D03CE" w:rsidP="005D03CE">
      <w:pPr>
        <w:jc w:val="both"/>
        <w:rPr>
          <w:rFonts w:ascii="Arial" w:hAnsi="Arial" w:cs="Arial"/>
          <w:sz w:val="20"/>
          <w:szCs w:val="20"/>
        </w:rPr>
      </w:pPr>
    </w:p>
    <w:p w:rsidR="005D03CE" w:rsidRDefault="005D03CE" w:rsidP="005D03CE">
      <w:pPr>
        <w:jc w:val="both"/>
        <w:rPr>
          <w:rFonts w:ascii="Arial" w:hAnsi="Arial" w:cs="Arial"/>
          <w:sz w:val="20"/>
          <w:szCs w:val="20"/>
        </w:rPr>
      </w:pPr>
      <w:r w:rsidRPr="005D03CE">
        <w:rPr>
          <w:rFonts w:ascii="Arial" w:hAnsi="Arial" w:cs="Arial"/>
          <w:sz w:val="20"/>
          <w:szCs w:val="20"/>
        </w:rPr>
        <w:t xml:space="preserve">In a hypothetical world where all States were small, the only grant design inefficiencies to worry about would be effects on the State-level bases that determine grants. For instance, if a State had discretion over whether to permit mineral deposits or not, with the deposits developed then forming a basis for assessment, we might worry whether HFE affected States’ development decisions. If the fiscal benefits of development—mining royalties—were equalised while the fiscal costs of development—State initiatives to support development such as infrastructure provision, exploration databases and support—were not equalised then there would be an induced tendency for States’ to underinvest in mining development. </w:t>
      </w:r>
      <w:r w:rsidR="00DB58D7">
        <w:rPr>
          <w:rFonts w:ascii="Arial" w:hAnsi="Arial" w:cs="Arial"/>
          <w:sz w:val="20"/>
          <w:szCs w:val="20"/>
        </w:rPr>
        <w:t>And t</w:t>
      </w:r>
      <w:r w:rsidR="00DB58D7" w:rsidRPr="005D03CE">
        <w:rPr>
          <w:rFonts w:ascii="Arial" w:hAnsi="Arial" w:cs="Arial"/>
          <w:sz w:val="20"/>
          <w:szCs w:val="20"/>
        </w:rPr>
        <w:t xml:space="preserve">hese </w:t>
      </w:r>
      <w:r w:rsidRPr="005D03CE">
        <w:rPr>
          <w:rFonts w:ascii="Arial" w:hAnsi="Arial" w:cs="Arial"/>
          <w:sz w:val="20"/>
          <w:szCs w:val="20"/>
        </w:rPr>
        <w:t>concerns would not arise in a world without HFE.</w:t>
      </w:r>
    </w:p>
    <w:p w:rsidR="000F6E5C" w:rsidRPr="005D03CE" w:rsidRDefault="000F6E5C" w:rsidP="000F6E5C">
      <w:pPr>
        <w:jc w:val="both"/>
        <w:rPr>
          <w:rFonts w:ascii="Arial" w:hAnsi="Arial" w:cs="Arial"/>
          <w:sz w:val="20"/>
          <w:szCs w:val="20"/>
        </w:rPr>
      </w:pPr>
    </w:p>
    <w:p w:rsidR="000F6E5C" w:rsidRPr="005D03CE" w:rsidRDefault="000F6E5C" w:rsidP="000F6E5C">
      <w:pPr>
        <w:jc w:val="both"/>
        <w:rPr>
          <w:rFonts w:ascii="Arial" w:hAnsi="Arial" w:cs="Arial"/>
          <w:sz w:val="20"/>
          <w:szCs w:val="20"/>
        </w:rPr>
      </w:pPr>
      <w:r w:rsidRPr="000F6E5C">
        <w:rPr>
          <w:rFonts w:ascii="Arial" w:hAnsi="Arial" w:cs="Arial"/>
          <w:sz w:val="20"/>
          <w:szCs w:val="20"/>
        </w:rPr>
        <w:lastRenderedPageBreak/>
        <w:t>In a world with large States, there is a further issue in that a large State has the capacity to affect the national average level of effort or service that is measured in a category. For example, if Western Australia raises its iron ore royalty rate, it knows that the national average royalty rate will increase</w:t>
      </w:r>
      <w:r w:rsidR="00007DB1">
        <w:rPr>
          <w:rFonts w:ascii="Arial" w:hAnsi="Arial" w:cs="Arial"/>
          <w:sz w:val="20"/>
          <w:szCs w:val="20"/>
        </w:rPr>
        <w:t>, and because it has above average capacity its GST requirement will then be reduced</w:t>
      </w:r>
      <w:r w:rsidRPr="000F6E5C">
        <w:rPr>
          <w:rFonts w:ascii="Arial" w:hAnsi="Arial" w:cs="Arial"/>
          <w:sz w:val="20"/>
          <w:szCs w:val="20"/>
        </w:rPr>
        <w:t xml:space="preserve">. In contrast, if it raised its insurance taxes, </w:t>
      </w:r>
      <w:r w:rsidR="00007DB1">
        <w:rPr>
          <w:rFonts w:ascii="Arial" w:hAnsi="Arial" w:cs="Arial"/>
          <w:sz w:val="20"/>
          <w:szCs w:val="20"/>
        </w:rPr>
        <w:t>there would be a small upward impact on the average tax rate, but because Western Australia has below average capacity to raise insurance taxes its GST requirement would then increase. In the absence of HFE, an optimal tax mix could be chosen taking into account the marginal cost of funds from mining royalties and insurance taxes. With the introduction of GST, the States’ revenue decisions would be distorted away from mining royalties and towards insurance taxes.</w:t>
      </w:r>
    </w:p>
    <w:p w:rsidR="000F6E5C" w:rsidRPr="005D03CE" w:rsidRDefault="000F6E5C" w:rsidP="000F6E5C">
      <w:pPr>
        <w:jc w:val="both"/>
        <w:rPr>
          <w:rFonts w:ascii="Arial" w:hAnsi="Arial" w:cs="Arial"/>
          <w:sz w:val="20"/>
          <w:szCs w:val="20"/>
        </w:rPr>
      </w:pPr>
    </w:p>
    <w:p w:rsidR="006D7D9A" w:rsidRDefault="0036695C" w:rsidP="005D03CE">
      <w:pPr>
        <w:jc w:val="both"/>
        <w:rPr>
          <w:rFonts w:ascii="Arial" w:hAnsi="Arial" w:cs="Arial"/>
          <w:sz w:val="20"/>
          <w:szCs w:val="20"/>
        </w:rPr>
      </w:pPr>
      <w:r>
        <w:rPr>
          <w:rFonts w:ascii="Arial" w:hAnsi="Arial" w:cs="Arial"/>
          <w:sz w:val="20"/>
          <w:szCs w:val="20"/>
        </w:rPr>
        <w:t>These two influences are both instances of “grant design inefficiency”. Distortions to decisions about whether to develop or not would be removed if the assessment base for mining royalties were based on a factor independent of State decisions. And distortions to the tax mix would disappear if a State had no influence on the average tax rate—as would be approximately the case for a “small” State.</w:t>
      </w:r>
    </w:p>
    <w:p w:rsidR="006D7D9A" w:rsidRDefault="006D7D9A" w:rsidP="005D03CE">
      <w:pPr>
        <w:jc w:val="both"/>
        <w:rPr>
          <w:rFonts w:ascii="Arial" w:hAnsi="Arial" w:cs="Arial"/>
          <w:sz w:val="20"/>
          <w:szCs w:val="20"/>
        </w:rPr>
      </w:pPr>
    </w:p>
    <w:p w:rsidR="005D03CE" w:rsidRDefault="005D03CE" w:rsidP="005D03CE">
      <w:pPr>
        <w:jc w:val="both"/>
        <w:rPr>
          <w:rFonts w:ascii="Arial" w:hAnsi="Arial" w:cs="Arial"/>
          <w:sz w:val="20"/>
          <w:szCs w:val="20"/>
        </w:rPr>
      </w:pPr>
      <w:r w:rsidRPr="005D03CE">
        <w:rPr>
          <w:rFonts w:ascii="Arial" w:hAnsi="Arial" w:cs="Arial"/>
          <w:sz w:val="20"/>
          <w:szCs w:val="20"/>
        </w:rPr>
        <w:t xml:space="preserve">The construction of an equalisation scheme that recognises States’ necessary costs of promoting development requires the use of broad judgment and one can therefore argue about whether “enough” allowance is made (or whether “too much” is allowed). But what is indisputable is that a mining boom on an unprecedented scale has occurred in Western Australia over the past 10-15 years. </w:t>
      </w:r>
      <w:r w:rsidR="00513985">
        <w:rPr>
          <w:rFonts w:ascii="Arial" w:hAnsi="Arial" w:cs="Arial"/>
          <w:sz w:val="20"/>
          <w:szCs w:val="20"/>
        </w:rPr>
        <w:t xml:space="preserve">If grant </w:t>
      </w:r>
      <w:r w:rsidR="00006887">
        <w:rPr>
          <w:rFonts w:ascii="Arial" w:hAnsi="Arial" w:cs="Arial"/>
          <w:sz w:val="20"/>
          <w:szCs w:val="20"/>
        </w:rPr>
        <w:t xml:space="preserve">design inefficiencies exist, it is possible that the boom would have been more pronounced, but certainly mining investment levels in Australia do not give any indication that </w:t>
      </w:r>
      <w:r w:rsidRPr="005D03CE">
        <w:rPr>
          <w:rFonts w:ascii="Arial" w:hAnsi="Arial" w:cs="Arial"/>
          <w:sz w:val="20"/>
          <w:szCs w:val="20"/>
        </w:rPr>
        <w:t>HFE has got in the way of development.</w:t>
      </w:r>
    </w:p>
    <w:p w:rsidR="005D03CE" w:rsidRPr="005D03CE" w:rsidRDefault="005D03CE" w:rsidP="005D03CE">
      <w:pPr>
        <w:jc w:val="both"/>
        <w:rPr>
          <w:rFonts w:ascii="Arial" w:hAnsi="Arial" w:cs="Arial"/>
          <w:sz w:val="20"/>
          <w:szCs w:val="20"/>
        </w:rPr>
      </w:pPr>
    </w:p>
    <w:p w:rsidR="005D03CE" w:rsidRPr="005D03CE" w:rsidRDefault="005D03CE" w:rsidP="005D03CE">
      <w:pPr>
        <w:pStyle w:val="ListParagraph"/>
        <w:numPr>
          <w:ilvl w:val="0"/>
          <w:numId w:val="2"/>
        </w:numPr>
        <w:spacing w:after="60"/>
        <w:ind w:left="851" w:hanging="851"/>
        <w:contextualSpacing w:val="0"/>
        <w:jc w:val="both"/>
        <w:rPr>
          <w:rFonts w:ascii="Arial" w:hAnsi="Arial" w:cs="Arial"/>
          <w:sz w:val="20"/>
          <w:szCs w:val="20"/>
          <w:highlight w:val="lightGray"/>
        </w:rPr>
      </w:pPr>
      <w:r w:rsidRPr="005D03CE">
        <w:rPr>
          <w:rFonts w:ascii="Arial" w:hAnsi="Arial" w:cs="Arial"/>
          <w:sz w:val="20"/>
          <w:szCs w:val="20"/>
          <w:highlight w:val="lightGray"/>
        </w:rPr>
        <w:t>How does the current CGC relativity process affect States’ fiscal management from year to year and over time? How does this affect policy outcomes and economic activity in each State?</w:t>
      </w:r>
    </w:p>
    <w:p w:rsidR="005D03CE" w:rsidRPr="005D03CE" w:rsidRDefault="005D03CE" w:rsidP="005D03CE">
      <w:pPr>
        <w:jc w:val="both"/>
        <w:rPr>
          <w:rFonts w:ascii="Arial" w:hAnsi="Arial" w:cs="Arial"/>
          <w:sz w:val="20"/>
          <w:szCs w:val="20"/>
        </w:rPr>
      </w:pPr>
      <w:r w:rsidRPr="005D03CE">
        <w:rPr>
          <w:rFonts w:ascii="Arial" w:hAnsi="Arial" w:cs="Arial"/>
          <w:sz w:val="20"/>
          <w:szCs w:val="20"/>
        </w:rPr>
        <w:t xml:space="preserve">The current grant distribution is lagged rather than fully contemporaneous. This is because the current-year GST pool is distributed using estimates of current population combined with an average of relativities (fiscal capacity measures) for budgets 2, 3 and 4 years previously. Thus lagged relativities are used to distribute a contemporary GST pool. So long as the relativities are mean-stationary, equalisation is achieved over the long run although it may not occur within a particular budget year. In some years a State gets more than is required for equalisation and in some years it gets less and discrepancies offset each other in the long run. </w:t>
      </w:r>
      <w:r w:rsidR="00472880">
        <w:rPr>
          <w:rFonts w:ascii="Arial" w:hAnsi="Arial" w:cs="Arial"/>
          <w:sz w:val="20"/>
          <w:szCs w:val="20"/>
        </w:rPr>
        <w:t>If relativities are not mean stationary—i.e. if they are trending—then rather than having actual distributions average out over the long run we will have some States perpetually left short of equalisation and others perpetually over-equalised. There is some evidence that there is trending in the relativities, but the associated departure from full equalisation is probably small.</w:t>
      </w:r>
    </w:p>
    <w:p w:rsidR="005D03CE" w:rsidRPr="005D03CE" w:rsidRDefault="005D03CE" w:rsidP="005D03CE">
      <w:pPr>
        <w:jc w:val="both"/>
        <w:rPr>
          <w:rFonts w:ascii="Arial" w:hAnsi="Arial" w:cs="Arial"/>
          <w:sz w:val="20"/>
          <w:szCs w:val="20"/>
        </w:rPr>
      </w:pPr>
    </w:p>
    <w:p w:rsidR="005D03CE" w:rsidRPr="005D03CE" w:rsidRDefault="005D03CE" w:rsidP="005D03CE">
      <w:pPr>
        <w:jc w:val="both"/>
        <w:rPr>
          <w:rFonts w:ascii="Arial" w:hAnsi="Arial" w:cs="Arial"/>
          <w:sz w:val="20"/>
          <w:szCs w:val="20"/>
        </w:rPr>
      </w:pPr>
      <w:r w:rsidRPr="005D03CE">
        <w:rPr>
          <w:rFonts w:ascii="Arial" w:hAnsi="Arial" w:cs="Arial"/>
          <w:sz w:val="20"/>
          <w:szCs w:val="20"/>
        </w:rPr>
        <w:t>Because equalisation is achieved over a run of years, it should in principle be possible for a State to operate at average revenue and expenditure policies and “bank” the surplus from an overly generous distribution within an application year or “borrow” a deficit. The amount that had been banked could then be drawn against later on, in a year when the distribution was lower than warranted on the basis of contemporary circumstances, so that the State could continue to operate with average revenue and expenditure policies.</w:t>
      </w:r>
    </w:p>
    <w:p w:rsidR="005D03CE" w:rsidRPr="005D03CE" w:rsidRDefault="005D03CE" w:rsidP="005D03CE">
      <w:pPr>
        <w:jc w:val="both"/>
        <w:rPr>
          <w:rFonts w:ascii="Arial" w:hAnsi="Arial" w:cs="Arial"/>
          <w:sz w:val="20"/>
          <w:szCs w:val="20"/>
        </w:rPr>
      </w:pPr>
    </w:p>
    <w:p w:rsidR="005D03CE" w:rsidRPr="005D03CE" w:rsidRDefault="005D03CE" w:rsidP="005D03CE">
      <w:pPr>
        <w:jc w:val="both"/>
        <w:rPr>
          <w:rFonts w:ascii="Arial" w:hAnsi="Arial" w:cs="Arial"/>
          <w:sz w:val="20"/>
          <w:szCs w:val="20"/>
        </w:rPr>
      </w:pPr>
      <w:r w:rsidRPr="005D03CE">
        <w:rPr>
          <w:rFonts w:ascii="Arial" w:hAnsi="Arial" w:cs="Arial"/>
          <w:sz w:val="20"/>
          <w:szCs w:val="20"/>
        </w:rPr>
        <w:t>There is some question as to whether State Governments are capable of taking this “long view” in their budgeting. Government inevitably involves negotiation and compromise between political players, and it may be difficult to resist pressures for expanded spending or tax cuts when headline measures of the budget position show it to be strongly in surplus. The Western Australian experience during this decade is a case in point—the fall in its GST relativities to temporary lows around 0.300 could have been anticipated and provisioned for but this did not happen.</w:t>
      </w:r>
    </w:p>
    <w:p w:rsidR="005D03CE" w:rsidRPr="005D03CE" w:rsidRDefault="005D03CE" w:rsidP="005D03CE">
      <w:pPr>
        <w:jc w:val="both"/>
        <w:rPr>
          <w:rFonts w:ascii="Arial" w:hAnsi="Arial" w:cs="Arial"/>
          <w:sz w:val="20"/>
          <w:szCs w:val="20"/>
        </w:rPr>
      </w:pPr>
    </w:p>
    <w:p w:rsidR="005D03CE" w:rsidRPr="005D03CE" w:rsidRDefault="005D03CE" w:rsidP="005D03CE">
      <w:pPr>
        <w:jc w:val="both"/>
        <w:rPr>
          <w:rFonts w:ascii="Arial" w:hAnsi="Arial" w:cs="Arial"/>
          <w:sz w:val="20"/>
          <w:szCs w:val="20"/>
        </w:rPr>
      </w:pPr>
      <w:r w:rsidRPr="005D03CE">
        <w:rPr>
          <w:rFonts w:ascii="Arial" w:hAnsi="Arial" w:cs="Arial"/>
          <w:sz w:val="20"/>
          <w:szCs w:val="20"/>
        </w:rPr>
        <w:t xml:space="preserve">It should also be noted that HFE actually protects States from some of the volatility inherent in their own budgets. No </w:t>
      </w:r>
      <w:r w:rsidR="00002A00">
        <w:rPr>
          <w:rFonts w:ascii="Arial" w:hAnsi="Arial" w:cs="Arial"/>
          <w:sz w:val="20"/>
          <w:szCs w:val="20"/>
        </w:rPr>
        <w:t>State</w:t>
      </w:r>
      <w:r w:rsidRPr="005D03CE">
        <w:rPr>
          <w:rFonts w:ascii="Arial" w:hAnsi="Arial" w:cs="Arial"/>
          <w:sz w:val="20"/>
          <w:szCs w:val="20"/>
        </w:rPr>
        <w:t xml:space="preserve"> can escape the fiscal consequences of a collective downturn in the Australian States’ fiscal position. But HFE protects a State from isolated variations in its own fiscal position at the cost of some exposure to variations in the States’ collective fiscal position. HFE is a risk pooling mechanism and can be seen as providing “insurance” for State budgets.</w:t>
      </w:r>
    </w:p>
    <w:p w:rsidR="005D03CE" w:rsidRPr="005D03CE" w:rsidRDefault="005D03CE" w:rsidP="005D03CE">
      <w:pPr>
        <w:jc w:val="both"/>
        <w:rPr>
          <w:rFonts w:ascii="Arial" w:hAnsi="Arial" w:cs="Arial"/>
          <w:sz w:val="20"/>
          <w:szCs w:val="20"/>
        </w:rPr>
      </w:pPr>
    </w:p>
    <w:p w:rsidR="005D03CE" w:rsidRPr="005D03CE" w:rsidRDefault="005D03CE" w:rsidP="005D03CE">
      <w:pPr>
        <w:jc w:val="both"/>
        <w:rPr>
          <w:rFonts w:ascii="Arial" w:hAnsi="Arial" w:cs="Arial"/>
          <w:sz w:val="20"/>
          <w:szCs w:val="20"/>
        </w:rPr>
      </w:pPr>
    </w:p>
    <w:p w:rsidR="005D03CE" w:rsidRPr="005D03CE" w:rsidRDefault="005D03CE" w:rsidP="005D03CE">
      <w:pPr>
        <w:pStyle w:val="ListParagraph"/>
        <w:numPr>
          <w:ilvl w:val="0"/>
          <w:numId w:val="1"/>
        </w:numPr>
        <w:spacing w:after="60"/>
        <w:ind w:left="851" w:hanging="851"/>
        <w:contextualSpacing w:val="0"/>
        <w:jc w:val="both"/>
        <w:rPr>
          <w:rFonts w:ascii="Arial" w:hAnsi="Arial" w:cs="Arial"/>
          <w:sz w:val="20"/>
          <w:szCs w:val="20"/>
          <w:highlight w:val="lightGray"/>
        </w:rPr>
      </w:pPr>
      <w:r w:rsidRPr="005D03CE">
        <w:rPr>
          <w:rFonts w:ascii="Arial" w:hAnsi="Arial" w:cs="Arial"/>
          <w:sz w:val="20"/>
          <w:szCs w:val="20"/>
          <w:highlight w:val="lightGray"/>
        </w:rPr>
        <w:t>What preferable alternatives are there to the current HFE system (as adopted by the CGC in its calculation of GST relativities) of equalising States’ fiscal capacities?</w:t>
      </w:r>
    </w:p>
    <w:p w:rsidR="005D03CE" w:rsidRPr="005D03CE" w:rsidRDefault="005D03CE" w:rsidP="005D03CE">
      <w:pPr>
        <w:pStyle w:val="ListParagraph"/>
        <w:numPr>
          <w:ilvl w:val="0"/>
          <w:numId w:val="3"/>
        </w:numPr>
        <w:spacing w:after="60"/>
        <w:ind w:left="851" w:hanging="851"/>
        <w:contextualSpacing w:val="0"/>
        <w:jc w:val="both"/>
        <w:rPr>
          <w:rFonts w:ascii="Arial" w:hAnsi="Arial" w:cs="Arial"/>
          <w:sz w:val="20"/>
          <w:szCs w:val="20"/>
          <w:highlight w:val="lightGray"/>
        </w:rPr>
      </w:pPr>
      <w:r w:rsidRPr="005D03CE">
        <w:rPr>
          <w:rFonts w:ascii="Arial" w:hAnsi="Arial" w:cs="Arial"/>
          <w:sz w:val="20"/>
          <w:szCs w:val="20"/>
          <w:highlight w:val="lightGray"/>
        </w:rPr>
        <w:t>What should be the objective of HFE?</w:t>
      </w:r>
    </w:p>
    <w:p w:rsidR="005D03CE" w:rsidRPr="005D03CE" w:rsidRDefault="005D03CE" w:rsidP="005D03CE">
      <w:pPr>
        <w:jc w:val="both"/>
        <w:rPr>
          <w:rFonts w:ascii="Arial" w:hAnsi="Arial" w:cs="Arial"/>
          <w:sz w:val="20"/>
          <w:szCs w:val="20"/>
        </w:rPr>
      </w:pPr>
      <w:r w:rsidRPr="005D03CE">
        <w:rPr>
          <w:rFonts w:ascii="Arial" w:hAnsi="Arial" w:cs="Arial"/>
          <w:sz w:val="20"/>
          <w:szCs w:val="20"/>
        </w:rPr>
        <w:t xml:space="preserve">The objective of HFE should be to enable each State to provide a broadly similar level of support to individuals of a particular type while imposing broadly similar levels of taxation on them. This needs to be done in a way that maintains incentives for States to choose efficient policy settings having in mind the preferences of their </w:t>
      </w:r>
      <w:r w:rsidRPr="005D03CE">
        <w:rPr>
          <w:rFonts w:ascii="Arial" w:hAnsi="Arial" w:cs="Arial"/>
          <w:sz w:val="20"/>
          <w:szCs w:val="20"/>
        </w:rPr>
        <w:lastRenderedPageBreak/>
        <w:t>residents. Residents preferences will encompass both their own market consumption opportunities and also broader factors such as environmental quality, public safety and equity.</w:t>
      </w:r>
    </w:p>
    <w:p w:rsidR="005D03CE" w:rsidRPr="005D03CE" w:rsidRDefault="005D03CE" w:rsidP="005D03CE">
      <w:pPr>
        <w:jc w:val="both"/>
        <w:rPr>
          <w:rFonts w:ascii="Arial" w:hAnsi="Arial" w:cs="Arial"/>
          <w:sz w:val="20"/>
          <w:szCs w:val="20"/>
        </w:rPr>
      </w:pPr>
    </w:p>
    <w:p w:rsidR="005D03CE" w:rsidRPr="005D03CE" w:rsidRDefault="005D03CE" w:rsidP="005D03CE">
      <w:pPr>
        <w:jc w:val="both"/>
        <w:rPr>
          <w:rFonts w:ascii="Arial" w:hAnsi="Arial" w:cs="Arial"/>
          <w:sz w:val="20"/>
          <w:szCs w:val="20"/>
        </w:rPr>
      </w:pPr>
      <w:r w:rsidRPr="005D03CE">
        <w:rPr>
          <w:rFonts w:ascii="Arial" w:hAnsi="Arial" w:cs="Arial"/>
          <w:sz w:val="20"/>
          <w:szCs w:val="20"/>
        </w:rPr>
        <w:t>Australia’s population is highly diverse in its personal characteristics. Some individuals are relatively disadvantaged and considerations of equity require that they receive support from State budgets in excess of their contributions to the State budget. Other individuals are relatively advantaged and make contributions to State budgets in excess of the costs that they impose. State budgets implement a substantial amount of interpersonal redistribution.</w:t>
      </w:r>
    </w:p>
    <w:p w:rsidR="005D03CE" w:rsidRPr="005D03CE" w:rsidRDefault="005D03CE" w:rsidP="005D03CE">
      <w:pPr>
        <w:jc w:val="both"/>
        <w:rPr>
          <w:rFonts w:ascii="Arial" w:hAnsi="Arial" w:cs="Arial"/>
          <w:sz w:val="20"/>
          <w:szCs w:val="20"/>
        </w:rPr>
      </w:pPr>
    </w:p>
    <w:p w:rsidR="005D03CE" w:rsidRPr="005D03CE" w:rsidRDefault="005D03CE" w:rsidP="005D03CE">
      <w:pPr>
        <w:jc w:val="both"/>
        <w:rPr>
          <w:rFonts w:ascii="Arial" w:hAnsi="Arial" w:cs="Arial"/>
          <w:sz w:val="20"/>
          <w:szCs w:val="20"/>
        </w:rPr>
      </w:pPr>
      <w:r w:rsidRPr="005D03CE">
        <w:rPr>
          <w:rFonts w:ascii="Arial" w:hAnsi="Arial" w:cs="Arial"/>
          <w:sz w:val="20"/>
          <w:szCs w:val="20"/>
        </w:rPr>
        <w:t>Because of the interpersonal redistribution that is intrinsic to State budgets, States with a high prevalence of disadvantaged community members will have diminished fiscal capacity while States with a high prevalence of the advantaged community members will have enhanced fiscal capacity. If States are to have similar capacity in respect of particular types of individuals, HFE transfers will be needed to offset underlying differences in budget capacity.</w:t>
      </w:r>
    </w:p>
    <w:p w:rsidR="005D03CE" w:rsidRPr="005D03CE" w:rsidRDefault="005D03CE" w:rsidP="005D03CE">
      <w:pPr>
        <w:jc w:val="both"/>
        <w:rPr>
          <w:rFonts w:ascii="Arial" w:hAnsi="Arial" w:cs="Arial"/>
          <w:sz w:val="20"/>
          <w:szCs w:val="20"/>
        </w:rPr>
      </w:pPr>
    </w:p>
    <w:p w:rsidR="005D03CE" w:rsidRPr="005D03CE" w:rsidRDefault="005D03CE" w:rsidP="005D03CE">
      <w:pPr>
        <w:jc w:val="both"/>
        <w:rPr>
          <w:rFonts w:ascii="Arial" w:hAnsi="Arial" w:cs="Arial"/>
          <w:sz w:val="20"/>
          <w:szCs w:val="20"/>
        </w:rPr>
      </w:pPr>
      <w:r w:rsidRPr="005D03CE">
        <w:rPr>
          <w:rFonts w:ascii="Arial" w:hAnsi="Arial" w:cs="Arial"/>
          <w:sz w:val="20"/>
          <w:szCs w:val="20"/>
        </w:rPr>
        <w:t>There is also a need to maintain discipline on States to operate efficiently. For this reason States cannot be given a “soft budget constraint” that simply compensates them for poor fiscal management. Instead, they should be compensated for unavoidable differences in their fiscal capacities. Where a State’s fiscal capacity is undermined by its own choices it should not be compensated for the consequent weakness. The reason for maintaining States’ accountability for past policy decisions is that they will be held accountable for their future decisions. That is the compelling reason for not excusing them for the consequences of poor past decisions.</w:t>
      </w:r>
    </w:p>
    <w:p w:rsidR="005D03CE" w:rsidRPr="005D03CE" w:rsidRDefault="005D03CE" w:rsidP="005D03CE">
      <w:pPr>
        <w:jc w:val="both"/>
        <w:rPr>
          <w:rFonts w:ascii="Arial" w:hAnsi="Arial" w:cs="Arial"/>
          <w:sz w:val="20"/>
          <w:szCs w:val="20"/>
        </w:rPr>
      </w:pPr>
    </w:p>
    <w:p w:rsidR="005D03CE" w:rsidRPr="005D03CE" w:rsidRDefault="005D03CE" w:rsidP="005D03CE">
      <w:pPr>
        <w:jc w:val="both"/>
        <w:rPr>
          <w:rFonts w:ascii="Arial" w:hAnsi="Arial" w:cs="Arial"/>
          <w:sz w:val="20"/>
          <w:szCs w:val="20"/>
        </w:rPr>
      </w:pPr>
      <w:r w:rsidRPr="005D03CE">
        <w:rPr>
          <w:rFonts w:ascii="Arial" w:hAnsi="Arial" w:cs="Arial"/>
          <w:sz w:val="20"/>
          <w:szCs w:val="20"/>
        </w:rPr>
        <w:t>It is important to acknowledge that what looks like a bad decision today may not have looked like a bad decision at some time in the past. Some rural communities that today are fiscally burdensome were in the past promoted as a matter of policy—e.g. soldier settlement schemes. Moreover, some State policy positions are adopted with the strong encouragement of the Commonwealth—e.g. establishment of domestic manufacturing capability post WWII. Should States be considered responsible for the patterns of activity that resulted? Especially when their loss of viability is a consequence of Commonwealth decisions such as tariff cuts?</w:t>
      </w:r>
    </w:p>
    <w:p w:rsidR="005D03CE" w:rsidRPr="005D03CE" w:rsidRDefault="005D03CE" w:rsidP="005D03CE">
      <w:pPr>
        <w:jc w:val="both"/>
        <w:rPr>
          <w:rFonts w:ascii="Arial" w:hAnsi="Arial" w:cs="Arial"/>
          <w:sz w:val="20"/>
          <w:szCs w:val="20"/>
        </w:rPr>
      </w:pPr>
    </w:p>
    <w:p w:rsidR="005D03CE" w:rsidRPr="005D03CE" w:rsidRDefault="005D03CE" w:rsidP="005D03CE">
      <w:pPr>
        <w:jc w:val="both"/>
        <w:rPr>
          <w:rFonts w:ascii="Arial" w:hAnsi="Arial" w:cs="Arial"/>
          <w:sz w:val="20"/>
          <w:szCs w:val="20"/>
        </w:rPr>
      </w:pPr>
      <w:r w:rsidRPr="005D03CE">
        <w:rPr>
          <w:rFonts w:ascii="Arial" w:hAnsi="Arial" w:cs="Arial"/>
          <w:sz w:val="20"/>
          <w:szCs w:val="20"/>
        </w:rPr>
        <w:t>Accountability is an essential check on the choices of governments. The primary accountability mechanism for State governments in a federal system is the ballot box. States are accountable to their electorates for every dollar that they spend. At the margin, every dollar spent in one area requires a dollar of tax effort or a dollar of foregone spending elsewhere in the budget. This is not to rule out that in some areas of operation there may also be a case for accountabilities to the national government. But it is important to keep in mind that State governments are not administrative agencies of the Commonwealth whose only accountability is through the Commonwealth Parliament.</w:t>
      </w:r>
    </w:p>
    <w:p w:rsidR="005D03CE" w:rsidRPr="005D03CE" w:rsidRDefault="005D03CE" w:rsidP="005D03CE">
      <w:pPr>
        <w:jc w:val="both"/>
        <w:rPr>
          <w:rFonts w:ascii="Arial" w:hAnsi="Arial" w:cs="Arial"/>
          <w:sz w:val="20"/>
          <w:szCs w:val="20"/>
        </w:rPr>
      </w:pPr>
    </w:p>
    <w:p w:rsidR="005D03CE" w:rsidRPr="005D03CE" w:rsidRDefault="005D03CE" w:rsidP="005D03CE">
      <w:pPr>
        <w:jc w:val="both"/>
        <w:rPr>
          <w:rFonts w:ascii="Arial" w:hAnsi="Arial" w:cs="Arial"/>
          <w:sz w:val="20"/>
          <w:szCs w:val="20"/>
        </w:rPr>
      </w:pPr>
      <w:r w:rsidRPr="005D03CE">
        <w:rPr>
          <w:rFonts w:ascii="Arial" w:hAnsi="Arial" w:cs="Arial"/>
          <w:sz w:val="20"/>
          <w:szCs w:val="20"/>
        </w:rPr>
        <w:t>I can see no reason to exclude either structural of cyclical factors from consideration of State fiscal capacities. Moreover, the separation of structural and cyclical factors would be a challenging task, especially on a contemporary basis. Nor do I see a case for partial HFE.</w:t>
      </w:r>
    </w:p>
    <w:p w:rsidR="005D03CE" w:rsidRPr="005D03CE" w:rsidRDefault="005D03CE" w:rsidP="005D03CE">
      <w:pPr>
        <w:jc w:val="both"/>
        <w:rPr>
          <w:rFonts w:ascii="Arial" w:hAnsi="Arial" w:cs="Arial"/>
          <w:sz w:val="20"/>
          <w:szCs w:val="20"/>
        </w:rPr>
      </w:pPr>
    </w:p>
    <w:p w:rsidR="005D03CE" w:rsidRPr="005D03CE" w:rsidRDefault="005D03CE" w:rsidP="005D03CE">
      <w:pPr>
        <w:pStyle w:val="ListParagraph"/>
        <w:numPr>
          <w:ilvl w:val="0"/>
          <w:numId w:val="3"/>
        </w:numPr>
        <w:spacing w:after="60"/>
        <w:ind w:left="851" w:hanging="851"/>
        <w:contextualSpacing w:val="0"/>
        <w:jc w:val="both"/>
        <w:rPr>
          <w:rFonts w:ascii="Arial" w:hAnsi="Arial" w:cs="Arial"/>
          <w:sz w:val="20"/>
          <w:szCs w:val="20"/>
          <w:highlight w:val="lightGray"/>
        </w:rPr>
      </w:pPr>
      <w:r w:rsidRPr="005D03CE">
        <w:rPr>
          <w:rFonts w:ascii="Arial" w:hAnsi="Arial" w:cs="Arial"/>
          <w:sz w:val="20"/>
          <w:szCs w:val="20"/>
          <w:highlight w:val="lightGray"/>
        </w:rPr>
        <w:t>What are some alternatives to the current system and how would they affect States’ incentives to pursue higher prosperity? How would the alternatives perform, relative to the current system, in terms of efficiency, equity and simplicity, and ultimately which approach is best for national productivity and wellbeing?</w:t>
      </w:r>
    </w:p>
    <w:p w:rsidR="006621B3" w:rsidRPr="00125DC6" w:rsidRDefault="006621B3" w:rsidP="005D03CE">
      <w:pPr>
        <w:jc w:val="both"/>
        <w:rPr>
          <w:rFonts w:ascii="Arial" w:hAnsi="Arial" w:cs="Arial"/>
          <w:i/>
          <w:sz w:val="20"/>
          <w:szCs w:val="20"/>
        </w:rPr>
      </w:pPr>
      <w:r w:rsidRPr="00125DC6">
        <w:rPr>
          <w:rFonts w:ascii="Arial" w:hAnsi="Arial" w:cs="Arial"/>
          <w:i/>
          <w:sz w:val="20"/>
          <w:szCs w:val="20"/>
        </w:rPr>
        <w:t>Grant design efficiency</w:t>
      </w:r>
    </w:p>
    <w:p w:rsidR="005D03CE" w:rsidRDefault="005D03CE" w:rsidP="005D03CE">
      <w:pPr>
        <w:jc w:val="both"/>
        <w:rPr>
          <w:rFonts w:ascii="Arial" w:hAnsi="Arial" w:cs="Arial"/>
          <w:sz w:val="20"/>
          <w:szCs w:val="20"/>
        </w:rPr>
      </w:pPr>
      <w:r w:rsidRPr="005D03CE">
        <w:rPr>
          <w:rFonts w:ascii="Arial" w:hAnsi="Arial" w:cs="Arial"/>
          <w:sz w:val="20"/>
          <w:szCs w:val="20"/>
        </w:rPr>
        <w:t>In this submission I have emphasised the goals of efficiency and interpersonal equity. The current system produces desirable results in respect of locational efficiency and interpersonal equity. There is a potential for some distortion to State decisions although on the available evidence the extent of it is minimal.</w:t>
      </w:r>
    </w:p>
    <w:p w:rsidR="0023171D" w:rsidRDefault="0023171D" w:rsidP="005D03CE">
      <w:pPr>
        <w:jc w:val="both"/>
        <w:rPr>
          <w:rFonts w:ascii="Arial" w:hAnsi="Arial" w:cs="Arial"/>
          <w:sz w:val="20"/>
          <w:szCs w:val="20"/>
        </w:rPr>
      </w:pPr>
    </w:p>
    <w:p w:rsidR="0023171D" w:rsidRDefault="0023171D" w:rsidP="005D03CE">
      <w:pPr>
        <w:jc w:val="both"/>
        <w:rPr>
          <w:rFonts w:ascii="Arial" w:hAnsi="Arial" w:cs="Arial"/>
          <w:sz w:val="20"/>
          <w:szCs w:val="20"/>
        </w:rPr>
      </w:pPr>
      <w:r>
        <w:rPr>
          <w:rFonts w:ascii="Arial" w:hAnsi="Arial" w:cs="Arial"/>
          <w:sz w:val="20"/>
          <w:szCs w:val="20"/>
        </w:rPr>
        <w:t xml:space="preserve">The tone of the Commission’s detailed questions indicates a substantial degree of concern about potential distortions to States’ decisions by the HFE system. I am unconvinced that there is a substantial problem in this regard, but I will suggest potential remedies for it. </w:t>
      </w:r>
    </w:p>
    <w:p w:rsidR="009B0944" w:rsidRDefault="009B0944" w:rsidP="005D03CE">
      <w:pPr>
        <w:jc w:val="both"/>
        <w:rPr>
          <w:rFonts w:ascii="Arial" w:hAnsi="Arial" w:cs="Arial"/>
          <w:sz w:val="20"/>
          <w:szCs w:val="20"/>
        </w:rPr>
      </w:pPr>
    </w:p>
    <w:p w:rsidR="0023171D" w:rsidRPr="005D03CE" w:rsidRDefault="0023171D" w:rsidP="0023171D">
      <w:pPr>
        <w:jc w:val="both"/>
        <w:rPr>
          <w:rFonts w:ascii="Arial" w:hAnsi="Arial" w:cs="Arial"/>
          <w:sz w:val="20"/>
          <w:szCs w:val="20"/>
        </w:rPr>
      </w:pPr>
      <w:r w:rsidRPr="005D03CE">
        <w:rPr>
          <w:rFonts w:ascii="Arial" w:hAnsi="Arial" w:cs="Arial"/>
          <w:sz w:val="20"/>
          <w:szCs w:val="20"/>
        </w:rPr>
        <w:t xml:space="preserve">Distortions to a State’s decisions can be avoided absolutely by using a grant distribution that is invariant to </w:t>
      </w:r>
      <w:r>
        <w:rPr>
          <w:rFonts w:ascii="Arial" w:hAnsi="Arial" w:cs="Arial"/>
          <w:sz w:val="20"/>
          <w:szCs w:val="20"/>
        </w:rPr>
        <w:t>any individual</w:t>
      </w:r>
      <w:r w:rsidRPr="005D03CE">
        <w:rPr>
          <w:rFonts w:ascii="Arial" w:hAnsi="Arial" w:cs="Arial"/>
          <w:sz w:val="20"/>
          <w:szCs w:val="20"/>
        </w:rPr>
        <w:t xml:space="preserve"> State’s actions. In broad terms, the following schemes all would meet that criterion:</w:t>
      </w:r>
    </w:p>
    <w:p w:rsidR="0023171D" w:rsidRPr="005D03CE" w:rsidRDefault="0023171D" w:rsidP="0023171D">
      <w:pPr>
        <w:pStyle w:val="ListParagraph"/>
        <w:numPr>
          <w:ilvl w:val="0"/>
          <w:numId w:val="4"/>
        </w:numPr>
        <w:spacing w:before="60"/>
        <w:ind w:left="851" w:hanging="851"/>
        <w:contextualSpacing w:val="0"/>
        <w:jc w:val="both"/>
        <w:rPr>
          <w:rFonts w:ascii="Arial" w:hAnsi="Arial" w:cs="Arial"/>
          <w:sz w:val="20"/>
          <w:szCs w:val="20"/>
        </w:rPr>
      </w:pPr>
      <w:r>
        <w:rPr>
          <w:rFonts w:ascii="Arial" w:hAnsi="Arial" w:cs="Arial"/>
          <w:sz w:val="20"/>
          <w:szCs w:val="20"/>
        </w:rPr>
        <w:t xml:space="preserve">Option A: </w:t>
      </w:r>
      <w:r w:rsidRPr="005D03CE">
        <w:rPr>
          <w:rFonts w:ascii="Arial" w:hAnsi="Arial" w:cs="Arial"/>
          <w:sz w:val="20"/>
          <w:szCs w:val="20"/>
        </w:rPr>
        <w:t>equal per capita shares of the grant pool—i.e. a relativity of 1.0—in all future years;</w:t>
      </w:r>
    </w:p>
    <w:p w:rsidR="0023171D" w:rsidRPr="005D03CE" w:rsidRDefault="0023171D" w:rsidP="0023171D">
      <w:pPr>
        <w:pStyle w:val="ListParagraph"/>
        <w:numPr>
          <w:ilvl w:val="0"/>
          <w:numId w:val="4"/>
        </w:numPr>
        <w:spacing w:before="60"/>
        <w:ind w:left="851" w:hanging="851"/>
        <w:contextualSpacing w:val="0"/>
        <w:jc w:val="both"/>
        <w:rPr>
          <w:rFonts w:ascii="Arial" w:hAnsi="Arial" w:cs="Arial"/>
          <w:sz w:val="20"/>
          <w:szCs w:val="20"/>
        </w:rPr>
      </w:pPr>
      <w:r>
        <w:rPr>
          <w:rFonts w:ascii="Arial" w:hAnsi="Arial" w:cs="Arial"/>
          <w:sz w:val="20"/>
          <w:szCs w:val="20"/>
        </w:rPr>
        <w:t xml:space="preserve">Option B: </w:t>
      </w:r>
      <w:r w:rsidRPr="005D03CE">
        <w:rPr>
          <w:rFonts w:ascii="Arial" w:hAnsi="Arial" w:cs="Arial"/>
          <w:sz w:val="20"/>
          <w:szCs w:val="20"/>
        </w:rPr>
        <w:t>an average of the last few years of relativity-adjusted per capita grants to be applied to all future years</w:t>
      </w:r>
      <w:r w:rsidR="00A7028B">
        <w:rPr>
          <w:rFonts w:ascii="Arial" w:hAnsi="Arial" w:cs="Arial"/>
          <w:sz w:val="20"/>
          <w:szCs w:val="20"/>
        </w:rPr>
        <w:t>—see Table 1</w:t>
      </w:r>
      <w:r w:rsidRPr="005D03CE">
        <w:rPr>
          <w:rFonts w:ascii="Arial" w:hAnsi="Arial" w:cs="Arial"/>
          <w:sz w:val="20"/>
          <w:szCs w:val="20"/>
        </w:rPr>
        <w:t>; and</w:t>
      </w:r>
    </w:p>
    <w:p w:rsidR="0023171D" w:rsidRPr="005D03CE" w:rsidRDefault="0023171D" w:rsidP="0023171D">
      <w:pPr>
        <w:pStyle w:val="ListParagraph"/>
        <w:numPr>
          <w:ilvl w:val="0"/>
          <w:numId w:val="4"/>
        </w:numPr>
        <w:spacing w:before="60"/>
        <w:ind w:left="851" w:hanging="851"/>
        <w:contextualSpacing w:val="0"/>
        <w:jc w:val="both"/>
        <w:rPr>
          <w:rFonts w:ascii="Arial" w:hAnsi="Arial" w:cs="Arial"/>
          <w:sz w:val="20"/>
          <w:szCs w:val="20"/>
        </w:rPr>
      </w:pPr>
      <w:r>
        <w:rPr>
          <w:rFonts w:ascii="Arial" w:hAnsi="Arial" w:cs="Arial"/>
          <w:sz w:val="20"/>
          <w:szCs w:val="20"/>
        </w:rPr>
        <w:t xml:space="preserve">Option C: </w:t>
      </w:r>
      <w:r w:rsidRPr="005D03CE">
        <w:rPr>
          <w:rFonts w:ascii="Arial" w:hAnsi="Arial" w:cs="Arial"/>
          <w:sz w:val="20"/>
          <w:szCs w:val="20"/>
        </w:rPr>
        <w:t>a scheme that modifies States’ shares in light of evolving fiscal drivers but excludes any indicators affected by States’ decisions.</w:t>
      </w:r>
    </w:p>
    <w:p w:rsidR="0023171D" w:rsidRDefault="0023171D" w:rsidP="0023171D">
      <w:pPr>
        <w:jc w:val="both"/>
        <w:rPr>
          <w:rFonts w:ascii="Arial" w:hAnsi="Arial" w:cs="Arial"/>
          <w:sz w:val="20"/>
          <w:szCs w:val="20"/>
        </w:rPr>
      </w:pPr>
    </w:p>
    <w:p w:rsidR="00012740" w:rsidRPr="000F6AD6" w:rsidRDefault="00012740" w:rsidP="000F6AD6">
      <w:pPr>
        <w:spacing w:after="60"/>
        <w:jc w:val="both"/>
        <w:rPr>
          <w:rFonts w:ascii="Arial" w:hAnsi="Arial" w:cs="Arial"/>
          <w:b/>
          <w:sz w:val="18"/>
          <w:szCs w:val="20"/>
        </w:rPr>
      </w:pPr>
      <w:r w:rsidRPr="000F6AD6">
        <w:rPr>
          <w:rFonts w:ascii="Arial" w:hAnsi="Arial" w:cs="Arial"/>
          <w:b/>
          <w:sz w:val="18"/>
          <w:szCs w:val="20"/>
        </w:rPr>
        <w:lastRenderedPageBreak/>
        <w:t>Table 1</w:t>
      </w:r>
      <w:r w:rsidR="000F6AD6" w:rsidRPr="000F6AD6">
        <w:rPr>
          <w:rFonts w:ascii="Arial" w:hAnsi="Arial" w:cs="Arial"/>
          <w:b/>
          <w:sz w:val="18"/>
          <w:szCs w:val="20"/>
        </w:rPr>
        <w:t>:</w:t>
      </w:r>
      <w:r w:rsidR="000F6AD6" w:rsidRPr="000F6AD6">
        <w:rPr>
          <w:rFonts w:ascii="Arial" w:hAnsi="Arial" w:cs="Arial"/>
          <w:b/>
          <w:sz w:val="18"/>
          <w:szCs w:val="20"/>
        </w:rPr>
        <w:tab/>
      </w:r>
      <w:r w:rsidRPr="000F6AD6">
        <w:rPr>
          <w:rFonts w:ascii="Arial" w:hAnsi="Arial" w:cs="Arial"/>
          <w:b/>
          <w:sz w:val="18"/>
          <w:szCs w:val="20"/>
        </w:rPr>
        <w:t>Long average of historical relativities for future application</w:t>
      </w:r>
    </w:p>
    <w:tbl>
      <w:tblPr>
        <w:tblW w:w="9639" w:type="dxa"/>
        <w:tblLook w:val="04A0" w:firstRow="1" w:lastRow="0" w:firstColumn="1" w:lastColumn="0" w:noHBand="0" w:noVBand="1"/>
      </w:tblPr>
      <w:tblGrid>
        <w:gridCol w:w="1204"/>
        <w:gridCol w:w="1205"/>
        <w:gridCol w:w="1205"/>
        <w:gridCol w:w="1205"/>
        <w:gridCol w:w="1205"/>
        <w:gridCol w:w="1205"/>
        <w:gridCol w:w="1205"/>
        <w:gridCol w:w="1205"/>
      </w:tblGrid>
      <w:tr w:rsidR="00012740" w:rsidRPr="000F6AD6" w:rsidTr="000F6AD6">
        <w:tc>
          <w:tcPr>
            <w:tcW w:w="960" w:type="dxa"/>
            <w:tcBorders>
              <w:top w:val="single" w:sz="4" w:space="0" w:color="auto"/>
              <w:left w:val="nil"/>
              <w:right w:val="nil"/>
            </w:tcBorders>
            <w:shd w:val="clear" w:color="auto" w:fill="auto"/>
            <w:noWrap/>
            <w:vAlign w:val="bottom"/>
            <w:hideMark/>
          </w:tcPr>
          <w:p w:rsidR="00012740" w:rsidRPr="000F6AD6" w:rsidRDefault="00012740" w:rsidP="000F6AD6">
            <w:pPr>
              <w:spacing w:before="60" w:after="60"/>
              <w:jc w:val="center"/>
              <w:rPr>
                <w:rFonts w:ascii="Arial" w:hAnsi="Arial" w:cs="Arial"/>
                <w:b/>
                <w:sz w:val="18"/>
                <w:szCs w:val="20"/>
                <w:lang w:eastAsia="en-AU"/>
              </w:rPr>
            </w:pPr>
            <w:r w:rsidRPr="000F6AD6">
              <w:rPr>
                <w:rFonts w:ascii="Arial" w:hAnsi="Arial" w:cs="Arial"/>
                <w:b/>
                <w:sz w:val="18"/>
                <w:szCs w:val="20"/>
                <w:lang w:eastAsia="en-AU"/>
              </w:rPr>
              <w:t>NSW</w:t>
            </w:r>
          </w:p>
        </w:tc>
        <w:tc>
          <w:tcPr>
            <w:tcW w:w="960" w:type="dxa"/>
            <w:tcBorders>
              <w:top w:val="single" w:sz="4" w:space="0" w:color="auto"/>
              <w:left w:val="nil"/>
              <w:right w:val="nil"/>
            </w:tcBorders>
            <w:shd w:val="clear" w:color="auto" w:fill="auto"/>
            <w:noWrap/>
            <w:vAlign w:val="bottom"/>
            <w:hideMark/>
          </w:tcPr>
          <w:p w:rsidR="00012740" w:rsidRPr="000F6AD6" w:rsidRDefault="00012740" w:rsidP="000F6AD6">
            <w:pPr>
              <w:spacing w:before="60" w:after="60"/>
              <w:jc w:val="center"/>
              <w:rPr>
                <w:rFonts w:ascii="Arial" w:hAnsi="Arial" w:cs="Arial"/>
                <w:b/>
                <w:sz w:val="18"/>
                <w:szCs w:val="20"/>
                <w:lang w:eastAsia="en-AU"/>
              </w:rPr>
            </w:pPr>
            <w:r w:rsidRPr="000F6AD6">
              <w:rPr>
                <w:rFonts w:ascii="Arial" w:hAnsi="Arial" w:cs="Arial"/>
                <w:b/>
                <w:sz w:val="18"/>
                <w:szCs w:val="20"/>
                <w:lang w:eastAsia="en-AU"/>
              </w:rPr>
              <w:t>Vic</w:t>
            </w:r>
          </w:p>
        </w:tc>
        <w:tc>
          <w:tcPr>
            <w:tcW w:w="960" w:type="dxa"/>
            <w:tcBorders>
              <w:top w:val="single" w:sz="4" w:space="0" w:color="auto"/>
              <w:left w:val="nil"/>
              <w:right w:val="nil"/>
            </w:tcBorders>
            <w:shd w:val="clear" w:color="auto" w:fill="auto"/>
            <w:noWrap/>
            <w:vAlign w:val="bottom"/>
            <w:hideMark/>
          </w:tcPr>
          <w:p w:rsidR="00012740" w:rsidRPr="000F6AD6" w:rsidRDefault="00012740" w:rsidP="000F6AD6">
            <w:pPr>
              <w:spacing w:before="60" w:after="60"/>
              <w:jc w:val="center"/>
              <w:rPr>
                <w:rFonts w:ascii="Arial" w:hAnsi="Arial" w:cs="Arial"/>
                <w:b/>
                <w:sz w:val="18"/>
                <w:szCs w:val="20"/>
                <w:lang w:eastAsia="en-AU"/>
              </w:rPr>
            </w:pPr>
            <w:r w:rsidRPr="000F6AD6">
              <w:rPr>
                <w:rFonts w:ascii="Arial" w:hAnsi="Arial" w:cs="Arial"/>
                <w:b/>
                <w:sz w:val="18"/>
                <w:szCs w:val="20"/>
                <w:lang w:eastAsia="en-AU"/>
              </w:rPr>
              <w:t>Qld</w:t>
            </w:r>
          </w:p>
        </w:tc>
        <w:tc>
          <w:tcPr>
            <w:tcW w:w="960" w:type="dxa"/>
            <w:tcBorders>
              <w:top w:val="single" w:sz="4" w:space="0" w:color="auto"/>
              <w:left w:val="nil"/>
              <w:right w:val="nil"/>
            </w:tcBorders>
            <w:shd w:val="clear" w:color="auto" w:fill="auto"/>
            <w:noWrap/>
            <w:vAlign w:val="bottom"/>
            <w:hideMark/>
          </w:tcPr>
          <w:p w:rsidR="00012740" w:rsidRPr="000F6AD6" w:rsidRDefault="00012740" w:rsidP="000F6AD6">
            <w:pPr>
              <w:spacing w:before="60" w:after="60"/>
              <w:jc w:val="center"/>
              <w:rPr>
                <w:rFonts w:ascii="Arial" w:hAnsi="Arial" w:cs="Arial"/>
                <w:b/>
                <w:sz w:val="18"/>
                <w:szCs w:val="20"/>
                <w:lang w:eastAsia="en-AU"/>
              </w:rPr>
            </w:pPr>
            <w:r w:rsidRPr="000F6AD6">
              <w:rPr>
                <w:rFonts w:ascii="Arial" w:hAnsi="Arial" w:cs="Arial"/>
                <w:b/>
                <w:sz w:val="18"/>
                <w:szCs w:val="20"/>
                <w:lang w:eastAsia="en-AU"/>
              </w:rPr>
              <w:t>WA</w:t>
            </w:r>
          </w:p>
        </w:tc>
        <w:tc>
          <w:tcPr>
            <w:tcW w:w="960" w:type="dxa"/>
            <w:tcBorders>
              <w:top w:val="single" w:sz="4" w:space="0" w:color="auto"/>
              <w:left w:val="nil"/>
              <w:right w:val="nil"/>
            </w:tcBorders>
            <w:shd w:val="clear" w:color="auto" w:fill="auto"/>
            <w:noWrap/>
            <w:vAlign w:val="bottom"/>
            <w:hideMark/>
          </w:tcPr>
          <w:p w:rsidR="00012740" w:rsidRPr="000F6AD6" w:rsidRDefault="00012740" w:rsidP="000F6AD6">
            <w:pPr>
              <w:spacing w:before="60" w:after="60"/>
              <w:jc w:val="center"/>
              <w:rPr>
                <w:rFonts w:ascii="Arial" w:hAnsi="Arial" w:cs="Arial"/>
                <w:b/>
                <w:sz w:val="18"/>
                <w:szCs w:val="20"/>
                <w:lang w:eastAsia="en-AU"/>
              </w:rPr>
            </w:pPr>
            <w:r w:rsidRPr="000F6AD6">
              <w:rPr>
                <w:rFonts w:ascii="Arial" w:hAnsi="Arial" w:cs="Arial"/>
                <w:b/>
                <w:sz w:val="18"/>
                <w:szCs w:val="20"/>
                <w:lang w:eastAsia="en-AU"/>
              </w:rPr>
              <w:t>SA</w:t>
            </w:r>
          </w:p>
        </w:tc>
        <w:tc>
          <w:tcPr>
            <w:tcW w:w="960" w:type="dxa"/>
            <w:tcBorders>
              <w:top w:val="single" w:sz="4" w:space="0" w:color="auto"/>
              <w:left w:val="nil"/>
              <w:right w:val="nil"/>
            </w:tcBorders>
            <w:shd w:val="clear" w:color="auto" w:fill="auto"/>
            <w:noWrap/>
            <w:vAlign w:val="bottom"/>
            <w:hideMark/>
          </w:tcPr>
          <w:p w:rsidR="00012740" w:rsidRPr="000F6AD6" w:rsidRDefault="00012740" w:rsidP="000F6AD6">
            <w:pPr>
              <w:spacing w:before="60" w:after="60"/>
              <w:jc w:val="center"/>
              <w:rPr>
                <w:rFonts w:ascii="Arial" w:hAnsi="Arial" w:cs="Arial"/>
                <w:b/>
                <w:sz w:val="18"/>
                <w:szCs w:val="20"/>
                <w:lang w:eastAsia="en-AU"/>
              </w:rPr>
            </w:pPr>
            <w:proofErr w:type="spellStart"/>
            <w:r w:rsidRPr="000F6AD6">
              <w:rPr>
                <w:rFonts w:ascii="Arial" w:hAnsi="Arial" w:cs="Arial"/>
                <w:b/>
                <w:sz w:val="18"/>
                <w:szCs w:val="20"/>
                <w:lang w:eastAsia="en-AU"/>
              </w:rPr>
              <w:t>Tas</w:t>
            </w:r>
            <w:proofErr w:type="spellEnd"/>
          </w:p>
        </w:tc>
        <w:tc>
          <w:tcPr>
            <w:tcW w:w="960" w:type="dxa"/>
            <w:tcBorders>
              <w:top w:val="single" w:sz="4" w:space="0" w:color="auto"/>
              <w:left w:val="nil"/>
              <w:right w:val="nil"/>
            </w:tcBorders>
            <w:shd w:val="clear" w:color="auto" w:fill="auto"/>
            <w:noWrap/>
            <w:vAlign w:val="bottom"/>
            <w:hideMark/>
          </w:tcPr>
          <w:p w:rsidR="00012740" w:rsidRPr="000F6AD6" w:rsidRDefault="00012740" w:rsidP="000F6AD6">
            <w:pPr>
              <w:spacing w:before="60" w:after="60"/>
              <w:jc w:val="center"/>
              <w:rPr>
                <w:rFonts w:ascii="Arial" w:hAnsi="Arial" w:cs="Arial"/>
                <w:b/>
                <w:sz w:val="18"/>
                <w:szCs w:val="20"/>
                <w:lang w:eastAsia="en-AU"/>
              </w:rPr>
            </w:pPr>
            <w:r w:rsidRPr="000F6AD6">
              <w:rPr>
                <w:rFonts w:ascii="Arial" w:hAnsi="Arial" w:cs="Arial"/>
                <w:b/>
                <w:sz w:val="18"/>
                <w:szCs w:val="20"/>
                <w:lang w:eastAsia="en-AU"/>
              </w:rPr>
              <w:t>ACT</w:t>
            </w:r>
          </w:p>
        </w:tc>
        <w:tc>
          <w:tcPr>
            <w:tcW w:w="960" w:type="dxa"/>
            <w:tcBorders>
              <w:top w:val="single" w:sz="4" w:space="0" w:color="auto"/>
              <w:left w:val="nil"/>
              <w:right w:val="nil"/>
            </w:tcBorders>
            <w:shd w:val="clear" w:color="auto" w:fill="auto"/>
            <w:noWrap/>
            <w:vAlign w:val="bottom"/>
            <w:hideMark/>
          </w:tcPr>
          <w:p w:rsidR="00012740" w:rsidRPr="000F6AD6" w:rsidRDefault="00012740" w:rsidP="000F6AD6">
            <w:pPr>
              <w:spacing w:before="60" w:after="60"/>
              <w:jc w:val="center"/>
              <w:rPr>
                <w:rFonts w:ascii="Arial" w:hAnsi="Arial" w:cs="Arial"/>
                <w:b/>
                <w:sz w:val="18"/>
                <w:szCs w:val="20"/>
                <w:lang w:eastAsia="en-AU"/>
              </w:rPr>
            </w:pPr>
            <w:r w:rsidRPr="000F6AD6">
              <w:rPr>
                <w:rFonts w:ascii="Arial" w:hAnsi="Arial" w:cs="Arial"/>
                <w:b/>
                <w:sz w:val="18"/>
                <w:szCs w:val="20"/>
                <w:lang w:eastAsia="en-AU"/>
              </w:rPr>
              <w:t>NT</w:t>
            </w:r>
          </w:p>
        </w:tc>
      </w:tr>
      <w:tr w:rsidR="00012740" w:rsidRPr="00012740" w:rsidTr="000F6AD6">
        <w:tc>
          <w:tcPr>
            <w:tcW w:w="960" w:type="dxa"/>
            <w:tcBorders>
              <w:top w:val="nil"/>
              <w:left w:val="nil"/>
              <w:bottom w:val="single" w:sz="4" w:space="0" w:color="auto"/>
              <w:right w:val="nil"/>
            </w:tcBorders>
            <w:shd w:val="clear" w:color="auto" w:fill="auto"/>
            <w:noWrap/>
            <w:vAlign w:val="bottom"/>
            <w:hideMark/>
          </w:tcPr>
          <w:p w:rsidR="00012740" w:rsidRPr="000F6AD6" w:rsidRDefault="00012740" w:rsidP="000F6AD6">
            <w:pPr>
              <w:spacing w:before="60" w:after="60"/>
              <w:jc w:val="center"/>
              <w:rPr>
                <w:rFonts w:ascii="Arial" w:hAnsi="Arial" w:cs="Arial"/>
                <w:sz w:val="18"/>
                <w:szCs w:val="20"/>
                <w:lang w:eastAsia="en-AU"/>
              </w:rPr>
            </w:pPr>
            <w:r w:rsidRPr="000F6AD6">
              <w:rPr>
                <w:rFonts w:ascii="Arial" w:hAnsi="Arial" w:cs="Arial"/>
                <w:sz w:val="18"/>
                <w:szCs w:val="20"/>
                <w:lang w:eastAsia="en-AU"/>
              </w:rPr>
              <w:t>0.942</w:t>
            </w:r>
          </w:p>
        </w:tc>
        <w:tc>
          <w:tcPr>
            <w:tcW w:w="960" w:type="dxa"/>
            <w:tcBorders>
              <w:top w:val="nil"/>
              <w:left w:val="nil"/>
              <w:bottom w:val="single" w:sz="4" w:space="0" w:color="auto"/>
              <w:right w:val="nil"/>
            </w:tcBorders>
            <w:shd w:val="clear" w:color="auto" w:fill="auto"/>
            <w:noWrap/>
            <w:vAlign w:val="bottom"/>
            <w:hideMark/>
          </w:tcPr>
          <w:p w:rsidR="00012740" w:rsidRPr="000F6AD6" w:rsidRDefault="00012740" w:rsidP="000F6AD6">
            <w:pPr>
              <w:spacing w:before="60" w:after="60"/>
              <w:jc w:val="center"/>
              <w:rPr>
                <w:rFonts w:ascii="Arial" w:hAnsi="Arial" w:cs="Arial"/>
                <w:sz w:val="18"/>
                <w:szCs w:val="20"/>
                <w:lang w:eastAsia="en-AU"/>
              </w:rPr>
            </w:pPr>
            <w:r w:rsidRPr="000F6AD6">
              <w:rPr>
                <w:rFonts w:ascii="Arial" w:hAnsi="Arial" w:cs="Arial"/>
                <w:sz w:val="18"/>
                <w:szCs w:val="20"/>
                <w:lang w:eastAsia="en-AU"/>
              </w:rPr>
              <w:t>0.911</w:t>
            </w:r>
          </w:p>
        </w:tc>
        <w:tc>
          <w:tcPr>
            <w:tcW w:w="960" w:type="dxa"/>
            <w:tcBorders>
              <w:top w:val="nil"/>
              <w:left w:val="nil"/>
              <w:bottom w:val="single" w:sz="4" w:space="0" w:color="auto"/>
              <w:right w:val="nil"/>
            </w:tcBorders>
            <w:shd w:val="clear" w:color="auto" w:fill="auto"/>
            <w:noWrap/>
            <w:vAlign w:val="bottom"/>
            <w:hideMark/>
          </w:tcPr>
          <w:p w:rsidR="00012740" w:rsidRPr="000F6AD6" w:rsidRDefault="00012740" w:rsidP="000F6AD6">
            <w:pPr>
              <w:spacing w:before="60" w:after="60"/>
              <w:jc w:val="center"/>
              <w:rPr>
                <w:rFonts w:ascii="Arial" w:hAnsi="Arial" w:cs="Arial"/>
                <w:sz w:val="18"/>
                <w:szCs w:val="20"/>
                <w:lang w:eastAsia="en-AU"/>
              </w:rPr>
            </w:pPr>
            <w:r w:rsidRPr="000F6AD6">
              <w:rPr>
                <w:rFonts w:ascii="Arial" w:hAnsi="Arial" w:cs="Arial"/>
                <w:sz w:val="18"/>
                <w:szCs w:val="20"/>
                <w:lang w:eastAsia="en-AU"/>
              </w:rPr>
              <w:t>1.056</w:t>
            </w:r>
          </w:p>
        </w:tc>
        <w:tc>
          <w:tcPr>
            <w:tcW w:w="960" w:type="dxa"/>
            <w:tcBorders>
              <w:top w:val="nil"/>
              <w:left w:val="nil"/>
              <w:bottom w:val="single" w:sz="4" w:space="0" w:color="auto"/>
              <w:right w:val="nil"/>
            </w:tcBorders>
            <w:shd w:val="clear" w:color="auto" w:fill="auto"/>
            <w:noWrap/>
            <w:vAlign w:val="bottom"/>
            <w:hideMark/>
          </w:tcPr>
          <w:p w:rsidR="00012740" w:rsidRPr="000F6AD6" w:rsidRDefault="00012740" w:rsidP="000F6AD6">
            <w:pPr>
              <w:spacing w:before="60" w:after="60"/>
              <w:jc w:val="center"/>
              <w:rPr>
                <w:rFonts w:ascii="Arial" w:hAnsi="Arial" w:cs="Arial"/>
                <w:sz w:val="18"/>
                <w:szCs w:val="20"/>
                <w:lang w:eastAsia="en-AU"/>
              </w:rPr>
            </w:pPr>
            <w:r w:rsidRPr="000F6AD6">
              <w:rPr>
                <w:rFonts w:ascii="Arial" w:hAnsi="Arial" w:cs="Arial"/>
                <w:sz w:val="18"/>
                <w:szCs w:val="20"/>
                <w:lang w:eastAsia="en-AU"/>
              </w:rPr>
              <w:t>0.465</w:t>
            </w:r>
          </w:p>
        </w:tc>
        <w:tc>
          <w:tcPr>
            <w:tcW w:w="960" w:type="dxa"/>
            <w:tcBorders>
              <w:top w:val="nil"/>
              <w:left w:val="nil"/>
              <w:bottom w:val="single" w:sz="4" w:space="0" w:color="auto"/>
              <w:right w:val="nil"/>
            </w:tcBorders>
            <w:shd w:val="clear" w:color="auto" w:fill="auto"/>
            <w:noWrap/>
            <w:vAlign w:val="bottom"/>
            <w:hideMark/>
          </w:tcPr>
          <w:p w:rsidR="00012740" w:rsidRPr="000F6AD6" w:rsidRDefault="00012740" w:rsidP="000F6AD6">
            <w:pPr>
              <w:spacing w:before="60" w:after="60"/>
              <w:jc w:val="center"/>
              <w:rPr>
                <w:rFonts w:ascii="Arial" w:hAnsi="Arial" w:cs="Arial"/>
                <w:sz w:val="18"/>
                <w:szCs w:val="20"/>
                <w:lang w:eastAsia="en-AU"/>
              </w:rPr>
            </w:pPr>
            <w:r w:rsidRPr="000F6AD6">
              <w:rPr>
                <w:rFonts w:ascii="Arial" w:hAnsi="Arial" w:cs="Arial"/>
                <w:sz w:val="18"/>
                <w:szCs w:val="20"/>
                <w:lang w:eastAsia="en-AU"/>
              </w:rPr>
              <w:t>1.326</w:t>
            </w:r>
          </w:p>
        </w:tc>
        <w:tc>
          <w:tcPr>
            <w:tcW w:w="960" w:type="dxa"/>
            <w:tcBorders>
              <w:top w:val="nil"/>
              <w:left w:val="nil"/>
              <w:bottom w:val="single" w:sz="4" w:space="0" w:color="auto"/>
              <w:right w:val="nil"/>
            </w:tcBorders>
            <w:shd w:val="clear" w:color="auto" w:fill="auto"/>
            <w:noWrap/>
            <w:vAlign w:val="bottom"/>
            <w:hideMark/>
          </w:tcPr>
          <w:p w:rsidR="00012740" w:rsidRPr="000F6AD6" w:rsidRDefault="00012740" w:rsidP="000F6AD6">
            <w:pPr>
              <w:spacing w:before="60" w:after="60"/>
              <w:jc w:val="center"/>
              <w:rPr>
                <w:rFonts w:ascii="Arial" w:hAnsi="Arial" w:cs="Arial"/>
                <w:sz w:val="18"/>
                <w:szCs w:val="20"/>
                <w:lang w:eastAsia="en-AU"/>
              </w:rPr>
            </w:pPr>
            <w:r w:rsidRPr="000F6AD6">
              <w:rPr>
                <w:rFonts w:ascii="Arial" w:hAnsi="Arial" w:cs="Arial"/>
                <w:sz w:val="18"/>
                <w:szCs w:val="20"/>
                <w:lang w:eastAsia="en-AU"/>
              </w:rPr>
              <w:t>1.681</w:t>
            </w:r>
          </w:p>
        </w:tc>
        <w:tc>
          <w:tcPr>
            <w:tcW w:w="960" w:type="dxa"/>
            <w:tcBorders>
              <w:top w:val="nil"/>
              <w:left w:val="nil"/>
              <w:bottom w:val="single" w:sz="4" w:space="0" w:color="auto"/>
              <w:right w:val="nil"/>
            </w:tcBorders>
            <w:shd w:val="clear" w:color="auto" w:fill="auto"/>
            <w:noWrap/>
            <w:vAlign w:val="bottom"/>
            <w:hideMark/>
          </w:tcPr>
          <w:p w:rsidR="00012740" w:rsidRPr="000F6AD6" w:rsidRDefault="00012740" w:rsidP="000F6AD6">
            <w:pPr>
              <w:spacing w:before="60" w:after="60"/>
              <w:jc w:val="center"/>
              <w:rPr>
                <w:rFonts w:ascii="Arial" w:hAnsi="Arial" w:cs="Arial"/>
                <w:sz w:val="18"/>
                <w:szCs w:val="20"/>
                <w:lang w:eastAsia="en-AU"/>
              </w:rPr>
            </w:pPr>
            <w:r w:rsidRPr="000F6AD6">
              <w:rPr>
                <w:rFonts w:ascii="Arial" w:hAnsi="Arial" w:cs="Arial"/>
                <w:sz w:val="18"/>
                <w:szCs w:val="20"/>
                <w:lang w:eastAsia="en-AU"/>
              </w:rPr>
              <w:t>1.172</w:t>
            </w:r>
          </w:p>
        </w:tc>
        <w:tc>
          <w:tcPr>
            <w:tcW w:w="960" w:type="dxa"/>
            <w:tcBorders>
              <w:top w:val="nil"/>
              <w:left w:val="nil"/>
              <w:bottom w:val="single" w:sz="4" w:space="0" w:color="auto"/>
              <w:right w:val="nil"/>
            </w:tcBorders>
            <w:shd w:val="clear" w:color="auto" w:fill="auto"/>
            <w:noWrap/>
            <w:vAlign w:val="bottom"/>
            <w:hideMark/>
          </w:tcPr>
          <w:p w:rsidR="00012740" w:rsidRPr="000F6AD6" w:rsidRDefault="00012740" w:rsidP="000F6AD6">
            <w:pPr>
              <w:spacing w:before="60" w:after="60"/>
              <w:jc w:val="center"/>
              <w:rPr>
                <w:rFonts w:ascii="Arial" w:hAnsi="Arial" w:cs="Arial"/>
                <w:sz w:val="18"/>
                <w:szCs w:val="20"/>
                <w:lang w:eastAsia="en-AU"/>
              </w:rPr>
            </w:pPr>
            <w:r w:rsidRPr="000F6AD6">
              <w:rPr>
                <w:rFonts w:ascii="Arial" w:hAnsi="Arial" w:cs="Arial"/>
                <w:sz w:val="18"/>
                <w:szCs w:val="20"/>
                <w:lang w:eastAsia="en-AU"/>
              </w:rPr>
              <w:t>5.306</w:t>
            </w:r>
          </w:p>
        </w:tc>
      </w:tr>
    </w:tbl>
    <w:p w:rsidR="00012740" w:rsidRDefault="00012740" w:rsidP="0023171D">
      <w:pPr>
        <w:jc w:val="both"/>
        <w:rPr>
          <w:rFonts w:ascii="Arial" w:hAnsi="Arial" w:cs="Arial"/>
          <w:sz w:val="20"/>
          <w:szCs w:val="20"/>
        </w:rPr>
      </w:pPr>
    </w:p>
    <w:p w:rsidR="00A7028B" w:rsidRDefault="00A7028B" w:rsidP="008241BE">
      <w:pPr>
        <w:jc w:val="both"/>
        <w:rPr>
          <w:rFonts w:ascii="Arial" w:hAnsi="Arial" w:cs="Arial"/>
          <w:sz w:val="20"/>
          <w:szCs w:val="20"/>
        </w:rPr>
      </w:pPr>
    </w:p>
    <w:p w:rsidR="008241BE" w:rsidRDefault="0023171D" w:rsidP="008241BE">
      <w:pPr>
        <w:jc w:val="both"/>
        <w:rPr>
          <w:rFonts w:ascii="Arial" w:hAnsi="Arial" w:cs="Arial"/>
          <w:sz w:val="20"/>
          <w:szCs w:val="20"/>
        </w:rPr>
      </w:pPr>
      <w:r>
        <w:rPr>
          <w:rFonts w:ascii="Arial" w:hAnsi="Arial" w:cs="Arial"/>
          <w:sz w:val="20"/>
          <w:szCs w:val="20"/>
        </w:rPr>
        <w:t xml:space="preserve">Option A and Option B </w:t>
      </w:r>
      <w:r w:rsidRPr="005D03CE">
        <w:rPr>
          <w:rFonts w:ascii="Arial" w:hAnsi="Arial" w:cs="Arial"/>
          <w:sz w:val="20"/>
          <w:szCs w:val="20"/>
        </w:rPr>
        <w:t>are equally good in terms of grant design efficiency, so the choice between them come</w:t>
      </w:r>
      <w:r w:rsidR="008241BE">
        <w:rPr>
          <w:rFonts w:ascii="Arial" w:hAnsi="Arial" w:cs="Arial"/>
          <w:sz w:val="20"/>
          <w:szCs w:val="20"/>
        </w:rPr>
        <w:t>s</w:t>
      </w:r>
      <w:r w:rsidRPr="005D03CE">
        <w:rPr>
          <w:rFonts w:ascii="Arial" w:hAnsi="Arial" w:cs="Arial"/>
          <w:sz w:val="20"/>
          <w:szCs w:val="20"/>
        </w:rPr>
        <w:t xml:space="preserve"> down to other criteria.</w:t>
      </w:r>
      <w:r w:rsidR="008241BE">
        <w:rPr>
          <w:rFonts w:ascii="Arial" w:hAnsi="Arial" w:cs="Arial"/>
          <w:sz w:val="20"/>
          <w:szCs w:val="20"/>
        </w:rPr>
        <w:t xml:space="preserve"> Option B is superior to Option A </w:t>
      </w:r>
      <w:r w:rsidR="008241BE" w:rsidRPr="005D03CE">
        <w:rPr>
          <w:rFonts w:ascii="Arial" w:hAnsi="Arial" w:cs="Arial"/>
          <w:sz w:val="20"/>
          <w:szCs w:val="20"/>
        </w:rPr>
        <w:t>on grounds of both location efficiency and horizontal equity. If a relativity is to be locked in, the harms to location efficiency and horizontal equity will be minimised by making the best possible prediction of equalising relativities in the future. There is considerable momentum in relativities, and an average of historical relativities will be a better predictor than a relativity of 1.0—better in the sense that we can expect the prediction errors to be smaller. There is no difference in the administrative costs of the two schemes.</w:t>
      </w:r>
    </w:p>
    <w:p w:rsidR="008241BE" w:rsidRDefault="008241BE" w:rsidP="008241BE">
      <w:pPr>
        <w:jc w:val="both"/>
        <w:rPr>
          <w:rFonts w:ascii="Arial" w:hAnsi="Arial" w:cs="Arial"/>
          <w:sz w:val="20"/>
          <w:szCs w:val="20"/>
        </w:rPr>
      </w:pPr>
    </w:p>
    <w:p w:rsidR="008241BE" w:rsidRDefault="00A7028B" w:rsidP="008241BE">
      <w:pPr>
        <w:jc w:val="both"/>
        <w:rPr>
          <w:rFonts w:ascii="Arial" w:hAnsi="Arial" w:cs="Arial"/>
          <w:sz w:val="20"/>
          <w:szCs w:val="20"/>
        </w:rPr>
      </w:pPr>
      <w:r>
        <w:rPr>
          <w:rFonts w:ascii="Arial" w:hAnsi="Arial" w:cs="Arial"/>
          <w:sz w:val="20"/>
          <w:szCs w:val="20"/>
        </w:rPr>
        <w:t>But w</w:t>
      </w:r>
      <w:r w:rsidR="008241BE">
        <w:rPr>
          <w:rFonts w:ascii="Arial" w:hAnsi="Arial" w:cs="Arial"/>
          <w:sz w:val="20"/>
          <w:szCs w:val="20"/>
        </w:rPr>
        <w:t>ould there be general acceptance of Option B</w:t>
      </w:r>
      <w:r>
        <w:rPr>
          <w:rFonts w:ascii="Arial" w:hAnsi="Arial" w:cs="Arial"/>
          <w:sz w:val="20"/>
          <w:szCs w:val="20"/>
        </w:rPr>
        <w:t xml:space="preserve"> over the status quo of HFE as currently implemented</w:t>
      </w:r>
      <w:r w:rsidR="008241BE">
        <w:rPr>
          <w:rFonts w:ascii="Arial" w:hAnsi="Arial" w:cs="Arial"/>
          <w:sz w:val="20"/>
          <w:szCs w:val="20"/>
        </w:rPr>
        <w:t xml:space="preserve">? My guess is that there would not be, even among those who have put much weight on grant design inefficiencies in arguing for something like Option A. The point is that most States </w:t>
      </w:r>
      <w:r>
        <w:rPr>
          <w:rFonts w:ascii="Arial" w:hAnsi="Arial" w:cs="Arial"/>
          <w:sz w:val="20"/>
          <w:szCs w:val="20"/>
        </w:rPr>
        <w:t>anticipate that</w:t>
      </w:r>
      <w:r w:rsidR="008241BE">
        <w:rPr>
          <w:rFonts w:ascii="Arial" w:hAnsi="Arial" w:cs="Arial"/>
          <w:sz w:val="20"/>
          <w:szCs w:val="20"/>
        </w:rPr>
        <w:t xml:space="preserve"> their relative fiscal positions </w:t>
      </w:r>
      <w:r>
        <w:rPr>
          <w:rFonts w:ascii="Arial" w:hAnsi="Arial" w:cs="Arial"/>
          <w:sz w:val="20"/>
          <w:szCs w:val="20"/>
        </w:rPr>
        <w:t>will</w:t>
      </w:r>
      <w:r w:rsidR="008241BE">
        <w:rPr>
          <w:rFonts w:ascii="Arial" w:hAnsi="Arial" w:cs="Arial"/>
          <w:sz w:val="20"/>
          <w:szCs w:val="20"/>
        </w:rPr>
        <w:t xml:space="preserve"> be broadly sustained into the future. So for a fiscally strong State, Option A is </w:t>
      </w:r>
      <w:r>
        <w:rPr>
          <w:rFonts w:ascii="Arial" w:hAnsi="Arial" w:cs="Arial"/>
          <w:sz w:val="20"/>
          <w:szCs w:val="20"/>
        </w:rPr>
        <w:t xml:space="preserve">more </w:t>
      </w:r>
      <w:r w:rsidR="008241BE">
        <w:rPr>
          <w:rFonts w:ascii="Arial" w:hAnsi="Arial" w:cs="Arial"/>
          <w:sz w:val="20"/>
          <w:szCs w:val="20"/>
        </w:rPr>
        <w:t>appealing</w:t>
      </w:r>
      <w:r>
        <w:rPr>
          <w:rFonts w:ascii="Arial" w:hAnsi="Arial" w:cs="Arial"/>
          <w:sz w:val="20"/>
          <w:szCs w:val="20"/>
        </w:rPr>
        <w:t xml:space="preserve"> than the status quo</w:t>
      </w:r>
      <w:r w:rsidR="008241BE">
        <w:rPr>
          <w:rFonts w:ascii="Arial" w:hAnsi="Arial" w:cs="Arial"/>
          <w:sz w:val="20"/>
          <w:szCs w:val="20"/>
        </w:rPr>
        <w:t xml:space="preserve">, and for a fiscally weak State it is not. But when the comparison is with Option B, the expected (in the statistical sense) gain from changing from the status quo is roughly zero. But what is different in the comparison of Option B with the status quo is that Option B leaves each State fully exposed to </w:t>
      </w:r>
      <w:r>
        <w:rPr>
          <w:rFonts w:ascii="Arial" w:hAnsi="Arial" w:cs="Arial"/>
          <w:sz w:val="20"/>
          <w:szCs w:val="20"/>
        </w:rPr>
        <w:t xml:space="preserve">future </w:t>
      </w:r>
      <w:r w:rsidR="008241BE">
        <w:rPr>
          <w:rFonts w:ascii="Arial" w:hAnsi="Arial" w:cs="Arial"/>
          <w:sz w:val="20"/>
          <w:szCs w:val="20"/>
        </w:rPr>
        <w:t xml:space="preserve">developments in its fiscal capacity over time: if its fiscal capacity strengthens it gets to keep the gains and if it deteriorates it must live with the loss in capacity. If a State </w:t>
      </w:r>
      <w:r>
        <w:rPr>
          <w:rFonts w:ascii="Arial" w:hAnsi="Arial" w:cs="Arial"/>
          <w:sz w:val="20"/>
          <w:szCs w:val="20"/>
        </w:rPr>
        <w:t>was</w:t>
      </w:r>
      <w:r w:rsidR="008241BE">
        <w:rPr>
          <w:rFonts w:ascii="Arial" w:hAnsi="Arial" w:cs="Arial"/>
          <w:sz w:val="20"/>
          <w:szCs w:val="20"/>
        </w:rPr>
        <w:t xml:space="preserve"> risk averse, it might </w:t>
      </w:r>
      <w:r>
        <w:rPr>
          <w:rFonts w:ascii="Arial" w:hAnsi="Arial" w:cs="Arial"/>
          <w:sz w:val="20"/>
          <w:szCs w:val="20"/>
        </w:rPr>
        <w:t>want</w:t>
      </w:r>
      <w:r w:rsidR="008241BE">
        <w:rPr>
          <w:rFonts w:ascii="Arial" w:hAnsi="Arial" w:cs="Arial"/>
          <w:sz w:val="20"/>
          <w:szCs w:val="20"/>
        </w:rPr>
        <w:t xml:space="preserve"> insurance against an uncertain future.</w:t>
      </w:r>
    </w:p>
    <w:p w:rsidR="008241BE" w:rsidRDefault="008241BE" w:rsidP="008241BE">
      <w:pPr>
        <w:jc w:val="both"/>
        <w:rPr>
          <w:rFonts w:ascii="Arial" w:hAnsi="Arial" w:cs="Arial"/>
          <w:sz w:val="20"/>
          <w:szCs w:val="20"/>
        </w:rPr>
      </w:pPr>
    </w:p>
    <w:p w:rsidR="0023171D" w:rsidRDefault="008241BE" w:rsidP="0023171D">
      <w:pPr>
        <w:jc w:val="both"/>
        <w:rPr>
          <w:rFonts w:ascii="Arial" w:hAnsi="Arial" w:cs="Arial"/>
          <w:sz w:val="20"/>
          <w:szCs w:val="20"/>
        </w:rPr>
      </w:pPr>
      <w:r>
        <w:rPr>
          <w:rFonts w:ascii="Arial" w:hAnsi="Arial" w:cs="Arial"/>
          <w:sz w:val="20"/>
          <w:szCs w:val="20"/>
        </w:rPr>
        <w:t xml:space="preserve">This leads us to Option C, which offers States </w:t>
      </w:r>
      <w:r w:rsidR="00A7028B">
        <w:rPr>
          <w:rFonts w:ascii="Arial" w:hAnsi="Arial" w:cs="Arial"/>
          <w:sz w:val="20"/>
          <w:szCs w:val="20"/>
        </w:rPr>
        <w:t xml:space="preserve">some limited </w:t>
      </w:r>
      <w:r>
        <w:rPr>
          <w:rFonts w:ascii="Arial" w:hAnsi="Arial" w:cs="Arial"/>
          <w:sz w:val="20"/>
          <w:szCs w:val="20"/>
        </w:rPr>
        <w:t>insurance against that uncertain future. W</w:t>
      </w:r>
      <w:r w:rsidR="00097465">
        <w:rPr>
          <w:rFonts w:ascii="Arial" w:hAnsi="Arial" w:cs="Arial"/>
          <w:sz w:val="20"/>
          <w:szCs w:val="20"/>
        </w:rPr>
        <w:t>e</w:t>
      </w:r>
      <w:r>
        <w:rPr>
          <w:rFonts w:ascii="Arial" w:hAnsi="Arial" w:cs="Arial"/>
          <w:sz w:val="20"/>
          <w:szCs w:val="20"/>
        </w:rPr>
        <w:t xml:space="preserve"> could take as the starting point the relativities in Option B, but allow them to change over time on the basis of a narrow set of indicators that are clearly uncontaminated by States’ decisions. </w:t>
      </w:r>
      <w:r w:rsidR="00097465">
        <w:rPr>
          <w:rFonts w:ascii="Arial" w:hAnsi="Arial" w:cs="Arial"/>
          <w:sz w:val="20"/>
          <w:szCs w:val="20"/>
        </w:rPr>
        <w:t xml:space="preserve">But this would be hard to do. </w:t>
      </w:r>
      <w:r>
        <w:rPr>
          <w:rFonts w:ascii="Arial" w:hAnsi="Arial" w:cs="Arial"/>
          <w:sz w:val="20"/>
          <w:szCs w:val="20"/>
        </w:rPr>
        <w:t xml:space="preserve">We could, for example, commission surveys of the extent of mineral deposits in </w:t>
      </w:r>
      <w:r w:rsidR="00097465">
        <w:rPr>
          <w:rFonts w:ascii="Arial" w:hAnsi="Arial" w:cs="Arial"/>
          <w:sz w:val="20"/>
          <w:szCs w:val="20"/>
        </w:rPr>
        <w:t xml:space="preserve">States to determine their royalty capacity. </w:t>
      </w:r>
      <w:r w:rsidR="00185CAA">
        <w:rPr>
          <w:rFonts w:ascii="Arial" w:hAnsi="Arial" w:cs="Arial"/>
          <w:sz w:val="20"/>
          <w:szCs w:val="20"/>
        </w:rPr>
        <w:t>But given the inevitable uncertainties in the results it seems unlikely that this approach would be regarded as robust enough for distributing GST. And</w:t>
      </w:r>
      <w:r w:rsidR="009F613E">
        <w:rPr>
          <w:rFonts w:ascii="Arial" w:hAnsi="Arial" w:cs="Arial"/>
          <w:sz w:val="20"/>
          <w:szCs w:val="20"/>
        </w:rPr>
        <w:t>, to take another example,</w:t>
      </w:r>
      <w:r w:rsidR="00185CAA">
        <w:rPr>
          <w:rFonts w:ascii="Arial" w:hAnsi="Arial" w:cs="Arial"/>
          <w:sz w:val="20"/>
          <w:szCs w:val="20"/>
        </w:rPr>
        <w:t xml:space="preserve"> </w:t>
      </w:r>
      <w:r w:rsidR="00097465">
        <w:rPr>
          <w:rFonts w:ascii="Arial" w:hAnsi="Arial" w:cs="Arial"/>
          <w:sz w:val="20"/>
          <w:szCs w:val="20"/>
        </w:rPr>
        <w:t xml:space="preserve">if we were concerned that observed payrolls </w:t>
      </w:r>
      <w:r w:rsidR="00185CAA">
        <w:rPr>
          <w:rFonts w:ascii="Arial" w:hAnsi="Arial" w:cs="Arial"/>
          <w:sz w:val="20"/>
          <w:szCs w:val="20"/>
        </w:rPr>
        <w:t xml:space="preserve">were </w:t>
      </w:r>
      <w:r w:rsidR="00097465">
        <w:rPr>
          <w:rFonts w:ascii="Arial" w:hAnsi="Arial" w:cs="Arial"/>
          <w:sz w:val="20"/>
          <w:szCs w:val="20"/>
        </w:rPr>
        <w:t xml:space="preserve">contaminated by policy influences to an unacceptable degree, </w:t>
      </w:r>
      <w:r w:rsidR="00472880">
        <w:rPr>
          <w:rFonts w:ascii="Arial" w:hAnsi="Arial" w:cs="Arial"/>
          <w:sz w:val="20"/>
          <w:szCs w:val="20"/>
        </w:rPr>
        <w:t xml:space="preserve">it is not clear </w:t>
      </w:r>
      <w:r w:rsidR="00097465">
        <w:rPr>
          <w:rFonts w:ascii="Arial" w:hAnsi="Arial" w:cs="Arial"/>
          <w:sz w:val="20"/>
          <w:szCs w:val="20"/>
        </w:rPr>
        <w:t xml:space="preserve">how </w:t>
      </w:r>
      <w:r w:rsidR="00472880">
        <w:rPr>
          <w:rFonts w:ascii="Arial" w:hAnsi="Arial" w:cs="Arial"/>
          <w:sz w:val="20"/>
          <w:szCs w:val="20"/>
        </w:rPr>
        <w:t xml:space="preserve">we could </w:t>
      </w:r>
      <w:r w:rsidR="00097465">
        <w:rPr>
          <w:rFonts w:ascii="Arial" w:hAnsi="Arial" w:cs="Arial"/>
          <w:sz w:val="20"/>
          <w:szCs w:val="20"/>
        </w:rPr>
        <w:t>assess capacities to raise payroll tax</w:t>
      </w:r>
      <w:r w:rsidR="00472880">
        <w:rPr>
          <w:rFonts w:ascii="Arial" w:hAnsi="Arial" w:cs="Arial"/>
          <w:sz w:val="20"/>
          <w:szCs w:val="20"/>
        </w:rPr>
        <w:t>.</w:t>
      </w:r>
      <w:r w:rsidR="00097465">
        <w:rPr>
          <w:rFonts w:ascii="Arial" w:hAnsi="Arial" w:cs="Arial"/>
          <w:sz w:val="20"/>
          <w:szCs w:val="20"/>
        </w:rPr>
        <w:t xml:space="preserve"> We would be left with the historical relativities.</w:t>
      </w:r>
    </w:p>
    <w:p w:rsidR="00097465" w:rsidRDefault="00097465" w:rsidP="0023171D">
      <w:pPr>
        <w:jc w:val="both"/>
        <w:rPr>
          <w:rFonts w:ascii="Arial" w:hAnsi="Arial" w:cs="Arial"/>
          <w:sz w:val="20"/>
          <w:szCs w:val="20"/>
        </w:rPr>
      </w:pPr>
    </w:p>
    <w:p w:rsidR="00097465" w:rsidRPr="005D03CE" w:rsidRDefault="00097465" w:rsidP="0023171D">
      <w:pPr>
        <w:jc w:val="both"/>
        <w:rPr>
          <w:rFonts w:ascii="Arial" w:hAnsi="Arial" w:cs="Arial"/>
          <w:sz w:val="20"/>
          <w:szCs w:val="20"/>
        </w:rPr>
      </w:pPr>
      <w:r>
        <w:rPr>
          <w:rFonts w:ascii="Arial" w:hAnsi="Arial" w:cs="Arial"/>
          <w:sz w:val="20"/>
          <w:szCs w:val="20"/>
        </w:rPr>
        <w:t xml:space="preserve">All of this suggests that a compromise on Option C might be warranted, which takes us back to </w:t>
      </w:r>
      <w:r w:rsidR="00A7028B">
        <w:rPr>
          <w:rFonts w:ascii="Arial" w:hAnsi="Arial" w:cs="Arial"/>
          <w:sz w:val="20"/>
          <w:szCs w:val="20"/>
        </w:rPr>
        <w:t>something like HFE as it is presently implemented</w:t>
      </w:r>
      <w:r>
        <w:rPr>
          <w:rFonts w:ascii="Arial" w:hAnsi="Arial" w:cs="Arial"/>
          <w:sz w:val="20"/>
          <w:szCs w:val="20"/>
        </w:rPr>
        <w:t>. Rather than insisting on indicators that are absolutely beyond contamination by State behaviour, we might accept indicators that are largely uncontaminated. We might</w:t>
      </w:r>
      <w:r w:rsidR="00A7028B">
        <w:rPr>
          <w:rFonts w:ascii="Arial" w:hAnsi="Arial" w:cs="Arial"/>
          <w:sz w:val="20"/>
          <w:szCs w:val="20"/>
        </w:rPr>
        <w:t>, for instance,</w:t>
      </w:r>
      <w:r>
        <w:rPr>
          <w:rFonts w:ascii="Arial" w:hAnsi="Arial" w:cs="Arial"/>
          <w:sz w:val="20"/>
          <w:szCs w:val="20"/>
        </w:rPr>
        <w:t xml:space="preserve"> conclude that the prospects of a State suppressing wages so as to increase its grant are sufficiently low that the problem need not really be addressed. And in that case we would use observed wage levels as an indicator of capacity to pay—as is the practice now.</w:t>
      </w:r>
      <w:r w:rsidR="00024EAF">
        <w:rPr>
          <w:rFonts w:ascii="Arial" w:hAnsi="Arial" w:cs="Arial"/>
          <w:sz w:val="20"/>
          <w:szCs w:val="20"/>
        </w:rPr>
        <w:t xml:space="preserve"> We accept the potential for some limited feedback onto State policies as the price of achieving HFE more effectively.</w:t>
      </w:r>
    </w:p>
    <w:p w:rsidR="0023171D" w:rsidRPr="005D03CE" w:rsidRDefault="0023171D" w:rsidP="0023171D">
      <w:pPr>
        <w:jc w:val="both"/>
        <w:rPr>
          <w:rFonts w:ascii="Arial" w:hAnsi="Arial" w:cs="Arial"/>
          <w:sz w:val="20"/>
          <w:szCs w:val="20"/>
        </w:rPr>
      </w:pPr>
    </w:p>
    <w:p w:rsidR="00205D3E" w:rsidRDefault="00097465" w:rsidP="005D03CE">
      <w:pPr>
        <w:jc w:val="both"/>
        <w:rPr>
          <w:rFonts w:ascii="Arial" w:hAnsi="Arial" w:cs="Arial"/>
          <w:sz w:val="20"/>
          <w:szCs w:val="20"/>
        </w:rPr>
      </w:pPr>
      <w:r>
        <w:rPr>
          <w:rFonts w:ascii="Arial" w:hAnsi="Arial" w:cs="Arial"/>
          <w:sz w:val="20"/>
          <w:szCs w:val="20"/>
        </w:rPr>
        <w:t xml:space="preserve">It follows form this line of thinking that I do not believe that </w:t>
      </w:r>
      <w:r w:rsidR="00024EAF">
        <w:rPr>
          <w:rFonts w:ascii="Arial" w:hAnsi="Arial" w:cs="Arial"/>
          <w:sz w:val="20"/>
          <w:szCs w:val="20"/>
        </w:rPr>
        <w:t>any of the fundamentally different</w:t>
      </w:r>
      <w:r>
        <w:rPr>
          <w:rFonts w:ascii="Arial" w:hAnsi="Arial" w:cs="Arial"/>
          <w:sz w:val="20"/>
          <w:szCs w:val="20"/>
        </w:rPr>
        <w:t xml:space="preserve"> alternatives to the current arrangement</w:t>
      </w:r>
      <w:r w:rsidR="00024EAF">
        <w:rPr>
          <w:rFonts w:ascii="Arial" w:hAnsi="Arial" w:cs="Arial"/>
          <w:sz w:val="20"/>
          <w:szCs w:val="20"/>
        </w:rPr>
        <w:t xml:space="preserve"> are superior. </w:t>
      </w:r>
      <w:r w:rsidR="00024EAF" w:rsidRPr="005D03CE">
        <w:rPr>
          <w:rFonts w:ascii="Arial" w:hAnsi="Arial" w:cs="Arial"/>
          <w:sz w:val="20"/>
          <w:szCs w:val="20"/>
        </w:rPr>
        <w:t>The difficulty with a fiscal equalisation model that seeks to immunise the grant distribution absolutely from State policy action is that it will not produce robust assessments o</w:t>
      </w:r>
      <w:r w:rsidR="00205D3E">
        <w:rPr>
          <w:rFonts w:ascii="Arial" w:hAnsi="Arial" w:cs="Arial"/>
          <w:sz w:val="20"/>
          <w:szCs w:val="20"/>
        </w:rPr>
        <w:t xml:space="preserve">f fiscal capacity. We </w:t>
      </w:r>
      <w:r w:rsidR="009B0944">
        <w:rPr>
          <w:rFonts w:ascii="Arial" w:hAnsi="Arial" w:cs="Arial"/>
          <w:sz w:val="20"/>
          <w:szCs w:val="20"/>
        </w:rPr>
        <w:t>could</w:t>
      </w:r>
      <w:r w:rsidR="00205D3E">
        <w:rPr>
          <w:rFonts w:ascii="Arial" w:hAnsi="Arial" w:cs="Arial"/>
          <w:sz w:val="20"/>
          <w:szCs w:val="20"/>
        </w:rPr>
        <w:t xml:space="preserve"> implement a model that locks in current levels of fiscal need, and in that way avoids any loss of expected </w:t>
      </w:r>
      <w:r w:rsidR="009B0944">
        <w:rPr>
          <w:rFonts w:ascii="Arial" w:hAnsi="Arial" w:cs="Arial"/>
          <w:sz w:val="20"/>
          <w:szCs w:val="20"/>
        </w:rPr>
        <w:t>grants</w:t>
      </w:r>
      <w:r w:rsidR="00205D3E">
        <w:rPr>
          <w:rFonts w:ascii="Arial" w:hAnsi="Arial" w:cs="Arial"/>
          <w:sz w:val="20"/>
          <w:szCs w:val="20"/>
        </w:rPr>
        <w:t xml:space="preserve"> for each State. Each State could then enjoy the benefits of being “freed” from any adverse grant design effects but this would come at the cost of a new long term risk exposure.</w:t>
      </w:r>
      <w:r w:rsidR="009B0944">
        <w:rPr>
          <w:rFonts w:ascii="Arial" w:hAnsi="Arial" w:cs="Arial"/>
          <w:sz w:val="20"/>
          <w:szCs w:val="20"/>
        </w:rPr>
        <w:t xml:space="preserve"> My guess is that if the States were offered that alternative they would prefer instead a model that adapts to their evolving circumstances.</w:t>
      </w:r>
    </w:p>
    <w:p w:rsidR="00205D3E" w:rsidRDefault="00205D3E" w:rsidP="005D03CE">
      <w:pPr>
        <w:jc w:val="both"/>
        <w:rPr>
          <w:rFonts w:ascii="Arial" w:hAnsi="Arial" w:cs="Arial"/>
          <w:sz w:val="20"/>
          <w:szCs w:val="20"/>
        </w:rPr>
      </w:pPr>
    </w:p>
    <w:p w:rsidR="0023171D" w:rsidRDefault="009B0944" w:rsidP="005D03CE">
      <w:pPr>
        <w:jc w:val="both"/>
        <w:rPr>
          <w:rFonts w:ascii="Arial" w:hAnsi="Arial" w:cs="Arial"/>
          <w:sz w:val="20"/>
          <w:szCs w:val="20"/>
        </w:rPr>
      </w:pPr>
      <w:r>
        <w:rPr>
          <w:rFonts w:ascii="Arial" w:hAnsi="Arial" w:cs="Arial"/>
          <w:sz w:val="20"/>
          <w:szCs w:val="20"/>
        </w:rPr>
        <w:t>Of course t</w:t>
      </w:r>
      <w:r w:rsidR="00024EAF">
        <w:rPr>
          <w:rFonts w:ascii="Arial" w:hAnsi="Arial" w:cs="Arial"/>
          <w:sz w:val="20"/>
          <w:szCs w:val="20"/>
        </w:rPr>
        <w:t>here will from time to time be improvements that will arise, and they can be adopted when their merits are demonstrated. For instance, if it is possible to develop a reliable indicator of untapped onshore petroleum reserves in the States, a</w:t>
      </w:r>
      <w:r>
        <w:rPr>
          <w:rFonts w:ascii="Arial" w:hAnsi="Arial" w:cs="Arial"/>
          <w:sz w:val="20"/>
          <w:szCs w:val="20"/>
        </w:rPr>
        <w:t xml:space="preserve"> reve</w:t>
      </w:r>
      <w:r w:rsidR="00024EAF">
        <w:rPr>
          <w:rFonts w:ascii="Arial" w:hAnsi="Arial" w:cs="Arial"/>
          <w:sz w:val="20"/>
          <w:szCs w:val="20"/>
        </w:rPr>
        <w:t>n</w:t>
      </w:r>
      <w:r>
        <w:rPr>
          <w:rFonts w:ascii="Arial" w:hAnsi="Arial" w:cs="Arial"/>
          <w:sz w:val="20"/>
          <w:szCs w:val="20"/>
        </w:rPr>
        <w:t>ue capacity</w:t>
      </w:r>
      <w:r w:rsidR="00024EAF">
        <w:rPr>
          <w:rFonts w:ascii="Arial" w:hAnsi="Arial" w:cs="Arial"/>
          <w:sz w:val="20"/>
          <w:szCs w:val="20"/>
        </w:rPr>
        <w:t xml:space="preserve"> assessment can be based on it.</w:t>
      </w:r>
    </w:p>
    <w:p w:rsidR="006621B3" w:rsidRDefault="006621B3" w:rsidP="005D03CE">
      <w:pPr>
        <w:jc w:val="both"/>
        <w:rPr>
          <w:rFonts w:ascii="Arial" w:hAnsi="Arial" w:cs="Arial"/>
          <w:sz w:val="20"/>
          <w:szCs w:val="20"/>
        </w:rPr>
      </w:pPr>
    </w:p>
    <w:p w:rsidR="006621B3" w:rsidRPr="00125DC6" w:rsidRDefault="006621B3" w:rsidP="005D03CE">
      <w:pPr>
        <w:jc w:val="both"/>
        <w:rPr>
          <w:rFonts w:ascii="Arial" w:hAnsi="Arial" w:cs="Arial"/>
          <w:i/>
          <w:sz w:val="20"/>
          <w:szCs w:val="20"/>
        </w:rPr>
      </w:pPr>
      <w:r w:rsidRPr="00125DC6">
        <w:rPr>
          <w:rFonts w:ascii="Arial" w:hAnsi="Arial" w:cs="Arial"/>
          <w:i/>
          <w:sz w:val="20"/>
          <w:szCs w:val="20"/>
        </w:rPr>
        <w:t>Pub tests</w:t>
      </w:r>
      <w:r w:rsidR="00565868">
        <w:rPr>
          <w:rFonts w:ascii="Arial" w:hAnsi="Arial" w:cs="Arial"/>
          <w:i/>
          <w:sz w:val="20"/>
          <w:szCs w:val="20"/>
        </w:rPr>
        <w:t xml:space="preserve"> and alternative distributions</w:t>
      </w:r>
    </w:p>
    <w:p w:rsidR="007D0A5B" w:rsidRDefault="006621B3" w:rsidP="005D03CE">
      <w:pPr>
        <w:jc w:val="both"/>
        <w:rPr>
          <w:rFonts w:ascii="Arial" w:hAnsi="Arial" w:cs="Arial"/>
          <w:sz w:val="20"/>
          <w:szCs w:val="20"/>
        </w:rPr>
      </w:pPr>
      <w:r>
        <w:rPr>
          <w:rFonts w:ascii="Arial" w:hAnsi="Arial" w:cs="Arial"/>
          <w:sz w:val="20"/>
          <w:szCs w:val="20"/>
        </w:rPr>
        <w:t xml:space="preserve">Over the last couple of years and more there has been discussion of Western Australia’s low GST relativity. In 2015-16 Western Australia’s </w:t>
      </w:r>
      <w:r w:rsidR="002D5F7E">
        <w:rPr>
          <w:rFonts w:ascii="Arial" w:hAnsi="Arial" w:cs="Arial"/>
          <w:sz w:val="20"/>
          <w:szCs w:val="20"/>
        </w:rPr>
        <w:t>per capita GST grant</w:t>
      </w:r>
      <w:r>
        <w:rPr>
          <w:rFonts w:ascii="Arial" w:hAnsi="Arial" w:cs="Arial"/>
          <w:sz w:val="20"/>
          <w:szCs w:val="20"/>
        </w:rPr>
        <w:t xml:space="preserve"> fell </w:t>
      </w:r>
      <w:r w:rsidR="002D5F7E">
        <w:rPr>
          <w:rFonts w:ascii="Arial" w:hAnsi="Arial" w:cs="Arial"/>
          <w:sz w:val="20"/>
          <w:szCs w:val="20"/>
        </w:rPr>
        <w:t xml:space="preserve">to </w:t>
      </w:r>
      <w:r>
        <w:rPr>
          <w:rFonts w:ascii="Arial" w:hAnsi="Arial" w:cs="Arial"/>
          <w:sz w:val="20"/>
          <w:szCs w:val="20"/>
        </w:rPr>
        <w:t xml:space="preserve">30 per cent of the </w:t>
      </w:r>
      <w:r w:rsidR="002D5F7E">
        <w:rPr>
          <w:rFonts w:ascii="Arial" w:hAnsi="Arial" w:cs="Arial"/>
          <w:sz w:val="20"/>
          <w:szCs w:val="20"/>
        </w:rPr>
        <w:t xml:space="preserve">States’ </w:t>
      </w:r>
      <w:r>
        <w:rPr>
          <w:rFonts w:ascii="Arial" w:hAnsi="Arial" w:cs="Arial"/>
          <w:sz w:val="20"/>
          <w:szCs w:val="20"/>
        </w:rPr>
        <w:t>average</w:t>
      </w:r>
      <w:r w:rsidR="007D0A5B">
        <w:rPr>
          <w:rFonts w:ascii="Arial" w:hAnsi="Arial" w:cs="Arial"/>
          <w:sz w:val="20"/>
          <w:szCs w:val="20"/>
        </w:rPr>
        <w:t xml:space="preserve">. (The Commonwealth provided it with top-up funding so that it received </w:t>
      </w:r>
      <w:r w:rsidR="00565868">
        <w:rPr>
          <w:rFonts w:ascii="Arial" w:hAnsi="Arial" w:cs="Arial"/>
          <w:sz w:val="20"/>
          <w:szCs w:val="20"/>
        </w:rPr>
        <w:t xml:space="preserve">what </w:t>
      </w:r>
      <w:r w:rsidR="007D0A5B">
        <w:rPr>
          <w:rFonts w:ascii="Arial" w:hAnsi="Arial" w:cs="Arial"/>
          <w:sz w:val="20"/>
          <w:szCs w:val="20"/>
        </w:rPr>
        <w:t xml:space="preserve">it would have had </w:t>
      </w:r>
      <w:r w:rsidR="00565868">
        <w:rPr>
          <w:rFonts w:ascii="Arial" w:hAnsi="Arial" w:cs="Arial"/>
          <w:sz w:val="20"/>
          <w:szCs w:val="20"/>
        </w:rPr>
        <w:t xml:space="preserve">if </w:t>
      </w:r>
      <w:r w:rsidR="007D0A5B">
        <w:rPr>
          <w:rFonts w:ascii="Arial" w:hAnsi="Arial" w:cs="Arial"/>
          <w:sz w:val="20"/>
          <w:szCs w:val="20"/>
        </w:rPr>
        <w:t xml:space="preserve">the 2014-15 relativity </w:t>
      </w:r>
      <w:r w:rsidR="00565868">
        <w:rPr>
          <w:rFonts w:ascii="Arial" w:hAnsi="Arial" w:cs="Arial"/>
          <w:sz w:val="20"/>
          <w:szCs w:val="20"/>
        </w:rPr>
        <w:t xml:space="preserve">had </w:t>
      </w:r>
      <w:r w:rsidR="007D0A5B">
        <w:rPr>
          <w:rFonts w:ascii="Arial" w:hAnsi="Arial" w:cs="Arial"/>
          <w:sz w:val="20"/>
          <w:szCs w:val="20"/>
        </w:rPr>
        <w:t>continued to apply.) Western Australia’s currently low GST share has been said to be “unfair” and to fail a “pub test”.</w:t>
      </w:r>
    </w:p>
    <w:p w:rsidR="007D0A5B" w:rsidRDefault="007D0A5B" w:rsidP="005D03CE">
      <w:pPr>
        <w:jc w:val="both"/>
        <w:rPr>
          <w:rFonts w:ascii="Arial" w:hAnsi="Arial" w:cs="Arial"/>
          <w:sz w:val="20"/>
          <w:szCs w:val="20"/>
        </w:rPr>
      </w:pPr>
    </w:p>
    <w:p w:rsidR="007D0A5B" w:rsidRDefault="00385900" w:rsidP="005D03CE">
      <w:pPr>
        <w:jc w:val="both"/>
        <w:rPr>
          <w:rFonts w:ascii="Arial" w:hAnsi="Arial" w:cs="Arial"/>
          <w:sz w:val="20"/>
          <w:szCs w:val="20"/>
        </w:rPr>
      </w:pPr>
      <w:r>
        <w:rPr>
          <w:rFonts w:ascii="Arial" w:hAnsi="Arial" w:cs="Arial"/>
          <w:sz w:val="20"/>
          <w:szCs w:val="20"/>
        </w:rPr>
        <w:lastRenderedPageBreak/>
        <w:t xml:space="preserve">But </w:t>
      </w:r>
      <w:r w:rsidR="007D0A5B">
        <w:rPr>
          <w:rFonts w:ascii="Arial" w:hAnsi="Arial" w:cs="Arial"/>
          <w:sz w:val="20"/>
          <w:szCs w:val="20"/>
        </w:rPr>
        <w:t>while Western Australia’s GST share is low, its share of mining royalties is very high</w:t>
      </w:r>
      <w:r>
        <w:rPr>
          <w:rFonts w:ascii="Arial" w:hAnsi="Arial" w:cs="Arial"/>
          <w:sz w:val="20"/>
          <w:szCs w:val="20"/>
        </w:rPr>
        <w:t>,</w:t>
      </w:r>
      <w:r w:rsidR="007D0A5B">
        <w:rPr>
          <w:rFonts w:ascii="Arial" w:hAnsi="Arial" w:cs="Arial"/>
          <w:sz w:val="20"/>
          <w:szCs w:val="20"/>
        </w:rPr>
        <w:t xml:space="preserve"> and even further from the average than its GST share</w:t>
      </w:r>
      <w:r>
        <w:rPr>
          <w:rFonts w:ascii="Arial" w:hAnsi="Arial" w:cs="Arial"/>
          <w:sz w:val="20"/>
          <w:szCs w:val="20"/>
        </w:rPr>
        <w:t>—i</w:t>
      </w:r>
      <w:r w:rsidR="007D0A5B">
        <w:rPr>
          <w:rFonts w:ascii="Arial" w:hAnsi="Arial" w:cs="Arial"/>
          <w:sz w:val="20"/>
          <w:szCs w:val="20"/>
        </w:rPr>
        <w:t xml:space="preserve">n 2015-16 </w:t>
      </w:r>
      <w:r>
        <w:rPr>
          <w:rFonts w:ascii="Arial" w:hAnsi="Arial" w:cs="Arial"/>
          <w:sz w:val="20"/>
          <w:szCs w:val="20"/>
        </w:rPr>
        <w:t>its</w:t>
      </w:r>
      <w:r w:rsidR="007D0A5B">
        <w:rPr>
          <w:rFonts w:ascii="Arial" w:hAnsi="Arial" w:cs="Arial"/>
          <w:sz w:val="20"/>
          <w:szCs w:val="20"/>
        </w:rPr>
        <w:t xml:space="preserve"> mining revenue capacity was 5 times the States’ average.</w:t>
      </w:r>
      <w:r>
        <w:rPr>
          <w:rFonts w:ascii="Arial" w:hAnsi="Arial" w:cs="Arial"/>
          <w:sz w:val="20"/>
          <w:szCs w:val="20"/>
        </w:rPr>
        <w:t xml:space="preserve"> It is in fact this anomaly that leads to Western Australia’s low GST relativities.</w:t>
      </w:r>
    </w:p>
    <w:p w:rsidR="00385900" w:rsidRDefault="00385900" w:rsidP="005D03CE">
      <w:pPr>
        <w:jc w:val="both"/>
        <w:rPr>
          <w:rFonts w:ascii="Arial" w:hAnsi="Arial" w:cs="Arial"/>
          <w:sz w:val="20"/>
          <w:szCs w:val="20"/>
        </w:rPr>
      </w:pPr>
    </w:p>
    <w:p w:rsidR="00385900" w:rsidRDefault="00385900" w:rsidP="005D03CE">
      <w:pPr>
        <w:jc w:val="both"/>
        <w:rPr>
          <w:rFonts w:ascii="Arial" w:hAnsi="Arial" w:cs="Arial"/>
          <w:sz w:val="20"/>
          <w:szCs w:val="20"/>
        </w:rPr>
      </w:pPr>
      <w:r>
        <w:rPr>
          <w:rFonts w:ascii="Arial" w:hAnsi="Arial" w:cs="Arial"/>
          <w:sz w:val="20"/>
          <w:szCs w:val="20"/>
        </w:rPr>
        <w:t xml:space="preserve">This </w:t>
      </w:r>
      <w:r w:rsidR="0036695C">
        <w:rPr>
          <w:rFonts w:ascii="Arial" w:hAnsi="Arial" w:cs="Arial"/>
          <w:sz w:val="20"/>
          <w:szCs w:val="20"/>
        </w:rPr>
        <w:t xml:space="preserve">disparity </w:t>
      </w:r>
      <w:r>
        <w:rPr>
          <w:rFonts w:ascii="Arial" w:hAnsi="Arial" w:cs="Arial"/>
          <w:sz w:val="20"/>
          <w:szCs w:val="20"/>
        </w:rPr>
        <w:t xml:space="preserve">suggests </w:t>
      </w:r>
      <w:r w:rsidR="00565868">
        <w:rPr>
          <w:rFonts w:ascii="Arial" w:hAnsi="Arial" w:cs="Arial"/>
          <w:sz w:val="20"/>
          <w:szCs w:val="20"/>
        </w:rPr>
        <w:t xml:space="preserve">an alternative </w:t>
      </w:r>
      <w:r w:rsidR="0036695C">
        <w:rPr>
          <w:rFonts w:ascii="Arial" w:hAnsi="Arial" w:cs="Arial"/>
          <w:sz w:val="20"/>
          <w:szCs w:val="20"/>
        </w:rPr>
        <w:t>approach which would better satisfy the “</w:t>
      </w:r>
      <w:r w:rsidR="00565868">
        <w:rPr>
          <w:rFonts w:ascii="Arial" w:hAnsi="Arial" w:cs="Arial"/>
          <w:sz w:val="20"/>
          <w:szCs w:val="20"/>
        </w:rPr>
        <w:t>pub test</w:t>
      </w:r>
      <w:r w:rsidR="0036695C">
        <w:rPr>
          <w:rFonts w:ascii="Arial" w:hAnsi="Arial" w:cs="Arial"/>
          <w:sz w:val="20"/>
          <w:szCs w:val="20"/>
        </w:rPr>
        <w:t>”</w:t>
      </w:r>
      <w:r w:rsidR="00565868">
        <w:rPr>
          <w:rFonts w:ascii="Arial" w:hAnsi="Arial" w:cs="Arial"/>
          <w:sz w:val="20"/>
          <w:szCs w:val="20"/>
        </w:rPr>
        <w:t xml:space="preserve"> </w:t>
      </w:r>
      <w:r w:rsidR="0036695C">
        <w:rPr>
          <w:rFonts w:ascii="Arial" w:hAnsi="Arial" w:cs="Arial"/>
          <w:sz w:val="20"/>
          <w:szCs w:val="20"/>
        </w:rPr>
        <w:t xml:space="preserve">objective of </w:t>
      </w:r>
      <w:r w:rsidR="00565868">
        <w:rPr>
          <w:rFonts w:ascii="Arial" w:hAnsi="Arial" w:cs="Arial"/>
          <w:sz w:val="20"/>
          <w:szCs w:val="20"/>
        </w:rPr>
        <w:t xml:space="preserve">relativities not </w:t>
      </w:r>
      <w:r w:rsidR="0036695C">
        <w:rPr>
          <w:rFonts w:ascii="Arial" w:hAnsi="Arial" w:cs="Arial"/>
          <w:sz w:val="20"/>
          <w:szCs w:val="20"/>
        </w:rPr>
        <w:t xml:space="preserve">too </w:t>
      </w:r>
      <w:r w:rsidR="00565868">
        <w:rPr>
          <w:rFonts w:ascii="Arial" w:hAnsi="Arial" w:cs="Arial"/>
          <w:sz w:val="20"/>
          <w:szCs w:val="20"/>
        </w:rPr>
        <w:t>diverge</w:t>
      </w:r>
      <w:r w:rsidR="0036695C">
        <w:rPr>
          <w:rFonts w:ascii="Arial" w:hAnsi="Arial" w:cs="Arial"/>
          <w:sz w:val="20"/>
          <w:szCs w:val="20"/>
        </w:rPr>
        <w:t xml:space="preserve">nt </w:t>
      </w:r>
      <w:r w:rsidR="00565868">
        <w:rPr>
          <w:rFonts w:ascii="Arial" w:hAnsi="Arial" w:cs="Arial"/>
          <w:sz w:val="20"/>
          <w:szCs w:val="20"/>
        </w:rPr>
        <w:t>from 1.000</w:t>
      </w:r>
      <w:r>
        <w:rPr>
          <w:rFonts w:ascii="Arial" w:hAnsi="Arial" w:cs="Arial"/>
          <w:sz w:val="20"/>
          <w:szCs w:val="20"/>
        </w:rPr>
        <w:t xml:space="preserve">. </w:t>
      </w:r>
      <w:r w:rsidR="0036695C">
        <w:rPr>
          <w:rFonts w:ascii="Arial" w:hAnsi="Arial" w:cs="Arial"/>
          <w:sz w:val="20"/>
          <w:szCs w:val="20"/>
        </w:rPr>
        <w:t xml:space="preserve">Mining revenues could be reassigned from the </w:t>
      </w:r>
      <w:r w:rsidR="007146B1">
        <w:rPr>
          <w:rFonts w:ascii="Arial" w:hAnsi="Arial" w:cs="Arial"/>
          <w:sz w:val="20"/>
          <w:szCs w:val="20"/>
        </w:rPr>
        <w:t>States</w:t>
      </w:r>
      <w:r>
        <w:rPr>
          <w:rFonts w:ascii="Arial" w:hAnsi="Arial" w:cs="Arial"/>
          <w:sz w:val="20"/>
          <w:szCs w:val="20"/>
        </w:rPr>
        <w:t xml:space="preserve"> </w:t>
      </w:r>
      <w:r w:rsidR="0036695C">
        <w:rPr>
          <w:rFonts w:ascii="Arial" w:hAnsi="Arial" w:cs="Arial"/>
          <w:sz w:val="20"/>
          <w:szCs w:val="20"/>
        </w:rPr>
        <w:t xml:space="preserve">to the </w:t>
      </w:r>
      <w:r w:rsidR="007146B1">
        <w:rPr>
          <w:rFonts w:ascii="Arial" w:hAnsi="Arial" w:cs="Arial"/>
          <w:sz w:val="20"/>
          <w:szCs w:val="20"/>
        </w:rPr>
        <w:t>Commonwealth</w:t>
      </w:r>
      <w:r w:rsidR="0036695C">
        <w:rPr>
          <w:rFonts w:ascii="Arial" w:hAnsi="Arial" w:cs="Arial"/>
          <w:sz w:val="20"/>
          <w:szCs w:val="20"/>
        </w:rPr>
        <w:t xml:space="preserve">, and the Commonwealth would then combine these revenues with GST </w:t>
      </w:r>
      <w:r>
        <w:rPr>
          <w:rFonts w:ascii="Arial" w:hAnsi="Arial" w:cs="Arial"/>
          <w:sz w:val="20"/>
          <w:szCs w:val="20"/>
        </w:rPr>
        <w:t xml:space="preserve">payments to form an expanded </w:t>
      </w:r>
      <w:r w:rsidR="0036695C">
        <w:rPr>
          <w:rFonts w:ascii="Arial" w:hAnsi="Arial" w:cs="Arial"/>
          <w:sz w:val="20"/>
          <w:szCs w:val="20"/>
        </w:rPr>
        <w:t>“GST and mining revenue</w:t>
      </w:r>
      <w:r w:rsidR="00952AFA">
        <w:rPr>
          <w:rFonts w:ascii="Arial" w:hAnsi="Arial" w:cs="Arial"/>
          <w:sz w:val="20"/>
          <w:szCs w:val="20"/>
        </w:rPr>
        <w:t xml:space="preserve"> replacement</w:t>
      </w:r>
      <w:r w:rsidR="0036695C">
        <w:rPr>
          <w:rFonts w:ascii="Arial" w:hAnsi="Arial" w:cs="Arial"/>
          <w:sz w:val="20"/>
          <w:szCs w:val="20"/>
        </w:rPr>
        <w:t xml:space="preserve">” </w:t>
      </w:r>
      <w:r>
        <w:rPr>
          <w:rFonts w:ascii="Arial" w:hAnsi="Arial" w:cs="Arial"/>
          <w:sz w:val="20"/>
          <w:szCs w:val="20"/>
        </w:rPr>
        <w:t>pool for distribution to the States.</w:t>
      </w:r>
      <w:r w:rsidR="004F4E8B">
        <w:rPr>
          <w:rFonts w:ascii="Arial" w:hAnsi="Arial" w:cs="Arial"/>
          <w:sz w:val="20"/>
          <w:szCs w:val="20"/>
        </w:rPr>
        <w:t xml:space="preserve"> Table 2 shows the relativities that would have applied under this arrangement for 2015-16, and also the relativities that actually were applied. Whereas Western Australia’s relativity was 0.300 on the GST pool, it would have been 1.182 on the combined GST and mining revenue </w:t>
      </w:r>
      <w:r w:rsidR="00952AFA">
        <w:rPr>
          <w:rFonts w:ascii="Arial" w:hAnsi="Arial" w:cs="Arial"/>
          <w:sz w:val="20"/>
          <w:szCs w:val="20"/>
        </w:rPr>
        <w:t xml:space="preserve">replacement </w:t>
      </w:r>
      <w:r w:rsidR="004F4E8B">
        <w:rPr>
          <w:rFonts w:ascii="Arial" w:hAnsi="Arial" w:cs="Arial"/>
          <w:sz w:val="20"/>
          <w:szCs w:val="20"/>
        </w:rPr>
        <w:t xml:space="preserve">pool, meaning that it would </w:t>
      </w:r>
      <w:r w:rsidR="0036695C">
        <w:rPr>
          <w:rFonts w:ascii="Arial" w:hAnsi="Arial" w:cs="Arial"/>
          <w:sz w:val="20"/>
          <w:szCs w:val="20"/>
        </w:rPr>
        <w:t xml:space="preserve">actually </w:t>
      </w:r>
      <w:r w:rsidR="004F4E8B">
        <w:rPr>
          <w:rFonts w:ascii="Arial" w:hAnsi="Arial" w:cs="Arial"/>
          <w:sz w:val="20"/>
          <w:szCs w:val="20"/>
        </w:rPr>
        <w:t xml:space="preserve">have received 18 per cent more than per capita. The lowest relativity on the GST and mining </w:t>
      </w:r>
      <w:r w:rsidR="002D1F32">
        <w:rPr>
          <w:rFonts w:ascii="Arial" w:hAnsi="Arial" w:cs="Arial"/>
          <w:sz w:val="20"/>
          <w:szCs w:val="20"/>
        </w:rPr>
        <w:t>rev</w:t>
      </w:r>
      <w:r w:rsidR="00565868">
        <w:rPr>
          <w:rFonts w:ascii="Arial" w:hAnsi="Arial" w:cs="Arial"/>
          <w:sz w:val="20"/>
          <w:szCs w:val="20"/>
        </w:rPr>
        <w:t>e</w:t>
      </w:r>
      <w:r w:rsidR="002D1F32">
        <w:rPr>
          <w:rFonts w:ascii="Arial" w:hAnsi="Arial" w:cs="Arial"/>
          <w:sz w:val="20"/>
          <w:szCs w:val="20"/>
        </w:rPr>
        <w:t>nue</w:t>
      </w:r>
      <w:r w:rsidR="004F4E8B">
        <w:rPr>
          <w:rFonts w:ascii="Arial" w:hAnsi="Arial" w:cs="Arial"/>
          <w:sz w:val="20"/>
          <w:szCs w:val="20"/>
        </w:rPr>
        <w:t xml:space="preserve"> </w:t>
      </w:r>
      <w:r w:rsidR="00952AFA">
        <w:rPr>
          <w:rFonts w:ascii="Arial" w:hAnsi="Arial" w:cs="Arial"/>
          <w:sz w:val="20"/>
          <w:szCs w:val="20"/>
        </w:rPr>
        <w:t xml:space="preserve">replacement </w:t>
      </w:r>
      <w:r w:rsidR="004F4E8B">
        <w:rPr>
          <w:rFonts w:ascii="Arial" w:hAnsi="Arial" w:cs="Arial"/>
          <w:sz w:val="20"/>
          <w:szCs w:val="20"/>
        </w:rPr>
        <w:t>pool would be 0.742 in Victoria. It is notable that although the relativities applied would be vastly different under these two models, the after-equalisation fiscal capacities of the States would be the same</w:t>
      </w:r>
      <w:r w:rsidR="00565868">
        <w:rPr>
          <w:rFonts w:ascii="Arial" w:hAnsi="Arial" w:cs="Arial"/>
          <w:sz w:val="20"/>
          <w:szCs w:val="20"/>
        </w:rPr>
        <w:t xml:space="preserve"> under each</w:t>
      </w:r>
      <w:r w:rsidR="004F4E8B">
        <w:rPr>
          <w:rFonts w:ascii="Arial" w:hAnsi="Arial" w:cs="Arial"/>
          <w:sz w:val="20"/>
          <w:szCs w:val="20"/>
        </w:rPr>
        <w:t>.</w:t>
      </w:r>
      <w:r w:rsidR="0036695C">
        <w:rPr>
          <w:rFonts w:ascii="Arial" w:hAnsi="Arial" w:cs="Arial"/>
          <w:sz w:val="20"/>
          <w:szCs w:val="20"/>
        </w:rPr>
        <w:t xml:space="preserve"> The changes in relativities are in this sense superficial, but they satisfy the purpose of passing the superficial “pub test”. </w:t>
      </w:r>
    </w:p>
    <w:p w:rsidR="004F4E8B" w:rsidRDefault="004F4E8B" w:rsidP="005D03CE">
      <w:pPr>
        <w:jc w:val="both"/>
        <w:rPr>
          <w:rFonts w:ascii="Arial" w:hAnsi="Arial" w:cs="Arial"/>
          <w:sz w:val="20"/>
          <w:szCs w:val="20"/>
        </w:rPr>
      </w:pPr>
    </w:p>
    <w:p w:rsidR="004F4E8B" w:rsidRPr="000F6AD6" w:rsidRDefault="004F4E8B" w:rsidP="00952AFA">
      <w:pPr>
        <w:jc w:val="both"/>
        <w:rPr>
          <w:rFonts w:ascii="Arial" w:hAnsi="Arial" w:cs="Arial"/>
          <w:b/>
          <w:sz w:val="18"/>
          <w:szCs w:val="20"/>
        </w:rPr>
      </w:pPr>
      <w:r w:rsidRPr="000F6AD6">
        <w:rPr>
          <w:rFonts w:ascii="Arial" w:hAnsi="Arial" w:cs="Arial"/>
          <w:b/>
          <w:sz w:val="18"/>
          <w:szCs w:val="20"/>
        </w:rPr>
        <w:t xml:space="preserve">Table </w:t>
      </w:r>
      <w:r>
        <w:rPr>
          <w:rFonts w:ascii="Arial" w:hAnsi="Arial" w:cs="Arial"/>
          <w:b/>
          <w:sz w:val="18"/>
          <w:szCs w:val="20"/>
        </w:rPr>
        <w:t>2</w:t>
      </w:r>
      <w:r w:rsidRPr="000F6AD6">
        <w:rPr>
          <w:rFonts w:ascii="Arial" w:hAnsi="Arial" w:cs="Arial"/>
          <w:b/>
          <w:sz w:val="18"/>
          <w:szCs w:val="20"/>
        </w:rPr>
        <w:t>:</w:t>
      </w:r>
      <w:r w:rsidRPr="000F6AD6">
        <w:rPr>
          <w:rFonts w:ascii="Arial" w:hAnsi="Arial" w:cs="Arial"/>
          <w:b/>
          <w:sz w:val="18"/>
          <w:szCs w:val="20"/>
        </w:rPr>
        <w:tab/>
      </w:r>
      <w:r w:rsidR="00D619D1">
        <w:rPr>
          <w:rFonts w:ascii="Arial" w:hAnsi="Arial" w:cs="Arial"/>
          <w:b/>
          <w:sz w:val="18"/>
          <w:szCs w:val="20"/>
        </w:rPr>
        <w:t>Relativities</w:t>
      </w:r>
      <w:r>
        <w:rPr>
          <w:rFonts w:ascii="Arial" w:hAnsi="Arial" w:cs="Arial"/>
          <w:b/>
          <w:sz w:val="18"/>
          <w:szCs w:val="20"/>
        </w:rPr>
        <w:t xml:space="preserve"> on alternative distribution pools, 2015-16</w:t>
      </w:r>
    </w:p>
    <w:tbl>
      <w:tblPr>
        <w:tblW w:w="9639" w:type="dxa"/>
        <w:tblLook w:val="04A0" w:firstRow="1" w:lastRow="0" w:firstColumn="1" w:lastColumn="0" w:noHBand="0" w:noVBand="1"/>
      </w:tblPr>
      <w:tblGrid>
        <w:gridCol w:w="2127"/>
        <w:gridCol w:w="939"/>
        <w:gridCol w:w="939"/>
        <w:gridCol w:w="939"/>
        <w:gridCol w:w="939"/>
        <w:gridCol w:w="939"/>
        <w:gridCol w:w="939"/>
        <w:gridCol w:w="939"/>
        <w:gridCol w:w="939"/>
      </w:tblGrid>
      <w:tr w:rsidR="004F4E8B" w:rsidRPr="000F6AD6" w:rsidTr="0036695C">
        <w:tc>
          <w:tcPr>
            <w:tcW w:w="2127" w:type="dxa"/>
            <w:tcBorders>
              <w:top w:val="single" w:sz="4" w:space="0" w:color="auto"/>
              <w:left w:val="nil"/>
              <w:right w:val="nil"/>
            </w:tcBorders>
            <w:shd w:val="clear" w:color="auto" w:fill="auto"/>
            <w:noWrap/>
            <w:vAlign w:val="bottom"/>
            <w:hideMark/>
          </w:tcPr>
          <w:p w:rsidR="004F4E8B" w:rsidRPr="000F6AD6" w:rsidRDefault="00952AFA" w:rsidP="004F4E8B">
            <w:pPr>
              <w:spacing w:before="60" w:after="60"/>
              <w:rPr>
                <w:rFonts w:ascii="Arial" w:hAnsi="Arial" w:cs="Arial"/>
                <w:b/>
                <w:sz w:val="18"/>
                <w:szCs w:val="20"/>
                <w:lang w:eastAsia="en-AU"/>
              </w:rPr>
            </w:pPr>
            <w:r>
              <w:rPr>
                <w:rFonts w:ascii="Arial" w:hAnsi="Arial" w:cs="Arial"/>
                <w:b/>
                <w:sz w:val="18"/>
                <w:szCs w:val="20"/>
                <w:lang w:eastAsia="en-AU"/>
              </w:rPr>
              <w:t>Pool</w:t>
            </w:r>
          </w:p>
        </w:tc>
        <w:tc>
          <w:tcPr>
            <w:tcW w:w="0" w:type="auto"/>
            <w:tcBorders>
              <w:top w:val="single" w:sz="4" w:space="0" w:color="auto"/>
              <w:left w:val="nil"/>
              <w:right w:val="nil"/>
            </w:tcBorders>
            <w:vAlign w:val="bottom"/>
          </w:tcPr>
          <w:p w:rsidR="004F4E8B" w:rsidRPr="000F6AD6" w:rsidRDefault="004F4E8B" w:rsidP="004F4E8B">
            <w:pPr>
              <w:spacing w:before="60" w:after="60"/>
              <w:jc w:val="center"/>
              <w:rPr>
                <w:rFonts w:ascii="Arial" w:hAnsi="Arial" w:cs="Arial"/>
                <w:b/>
                <w:sz w:val="18"/>
                <w:szCs w:val="20"/>
                <w:lang w:eastAsia="en-AU"/>
              </w:rPr>
            </w:pPr>
            <w:r w:rsidRPr="000F6AD6">
              <w:rPr>
                <w:rFonts w:ascii="Arial" w:hAnsi="Arial" w:cs="Arial"/>
                <w:b/>
                <w:sz w:val="18"/>
                <w:szCs w:val="20"/>
                <w:lang w:eastAsia="en-AU"/>
              </w:rPr>
              <w:t>NSW</w:t>
            </w:r>
          </w:p>
        </w:tc>
        <w:tc>
          <w:tcPr>
            <w:tcW w:w="0" w:type="auto"/>
            <w:tcBorders>
              <w:top w:val="single" w:sz="4" w:space="0" w:color="auto"/>
              <w:left w:val="nil"/>
              <w:right w:val="nil"/>
            </w:tcBorders>
            <w:shd w:val="clear" w:color="auto" w:fill="auto"/>
            <w:noWrap/>
            <w:vAlign w:val="bottom"/>
            <w:hideMark/>
          </w:tcPr>
          <w:p w:rsidR="004F4E8B" w:rsidRPr="000F6AD6" w:rsidRDefault="004F4E8B" w:rsidP="004F4E8B">
            <w:pPr>
              <w:spacing w:before="60" w:after="60"/>
              <w:jc w:val="center"/>
              <w:rPr>
                <w:rFonts w:ascii="Arial" w:hAnsi="Arial" w:cs="Arial"/>
                <w:b/>
                <w:sz w:val="18"/>
                <w:szCs w:val="20"/>
                <w:lang w:eastAsia="en-AU"/>
              </w:rPr>
            </w:pPr>
            <w:r w:rsidRPr="000F6AD6">
              <w:rPr>
                <w:rFonts w:ascii="Arial" w:hAnsi="Arial" w:cs="Arial"/>
                <w:b/>
                <w:sz w:val="18"/>
                <w:szCs w:val="20"/>
                <w:lang w:eastAsia="en-AU"/>
              </w:rPr>
              <w:t>Vic</w:t>
            </w:r>
          </w:p>
        </w:tc>
        <w:tc>
          <w:tcPr>
            <w:tcW w:w="0" w:type="auto"/>
            <w:tcBorders>
              <w:top w:val="single" w:sz="4" w:space="0" w:color="auto"/>
              <w:left w:val="nil"/>
              <w:right w:val="nil"/>
            </w:tcBorders>
            <w:shd w:val="clear" w:color="auto" w:fill="auto"/>
            <w:noWrap/>
            <w:vAlign w:val="bottom"/>
            <w:hideMark/>
          </w:tcPr>
          <w:p w:rsidR="004F4E8B" w:rsidRPr="000F6AD6" w:rsidRDefault="004F4E8B" w:rsidP="004F4E8B">
            <w:pPr>
              <w:spacing w:before="60" w:after="60"/>
              <w:jc w:val="center"/>
              <w:rPr>
                <w:rFonts w:ascii="Arial" w:hAnsi="Arial" w:cs="Arial"/>
                <w:b/>
                <w:sz w:val="18"/>
                <w:szCs w:val="20"/>
                <w:lang w:eastAsia="en-AU"/>
              </w:rPr>
            </w:pPr>
            <w:r w:rsidRPr="000F6AD6">
              <w:rPr>
                <w:rFonts w:ascii="Arial" w:hAnsi="Arial" w:cs="Arial"/>
                <w:b/>
                <w:sz w:val="18"/>
                <w:szCs w:val="20"/>
                <w:lang w:eastAsia="en-AU"/>
              </w:rPr>
              <w:t>Qld</w:t>
            </w:r>
          </w:p>
        </w:tc>
        <w:tc>
          <w:tcPr>
            <w:tcW w:w="0" w:type="auto"/>
            <w:tcBorders>
              <w:top w:val="single" w:sz="4" w:space="0" w:color="auto"/>
              <w:left w:val="nil"/>
              <w:right w:val="nil"/>
            </w:tcBorders>
            <w:shd w:val="clear" w:color="auto" w:fill="auto"/>
            <w:noWrap/>
            <w:vAlign w:val="bottom"/>
            <w:hideMark/>
          </w:tcPr>
          <w:p w:rsidR="004F4E8B" w:rsidRPr="000F6AD6" w:rsidRDefault="004F4E8B" w:rsidP="004F4E8B">
            <w:pPr>
              <w:spacing w:before="60" w:after="60"/>
              <w:jc w:val="center"/>
              <w:rPr>
                <w:rFonts w:ascii="Arial" w:hAnsi="Arial" w:cs="Arial"/>
                <w:b/>
                <w:sz w:val="18"/>
                <w:szCs w:val="20"/>
                <w:lang w:eastAsia="en-AU"/>
              </w:rPr>
            </w:pPr>
            <w:r w:rsidRPr="000F6AD6">
              <w:rPr>
                <w:rFonts w:ascii="Arial" w:hAnsi="Arial" w:cs="Arial"/>
                <w:b/>
                <w:sz w:val="18"/>
                <w:szCs w:val="20"/>
                <w:lang w:eastAsia="en-AU"/>
              </w:rPr>
              <w:t>WA</w:t>
            </w:r>
          </w:p>
        </w:tc>
        <w:tc>
          <w:tcPr>
            <w:tcW w:w="0" w:type="auto"/>
            <w:tcBorders>
              <w:top w:val="single" w:sz="4" w:space="0" w:color="auto"/>
              <w:left w:val="nil"/>
              <w:right w:val="nil"/>
            </w:tcBorders>
            <w:shd w:val="clear" w:color="auto" w:fill="auto"/>
            <w:noWrap/>
            <w:vAlign w:val="bottom"/>
            <w:hideMark/>
          </w:tcPr>
          <w:p w:rsidR="004F4E8B" w:rsidRPr="000F6AD6" w:rsidRDefault="004F4E8B" w:rsidP="004F4E8B">
            <w:pPr>
              <w:spacing w:before="60" w:after="60"/>
              <w:jc w:val="center"/>
              <w:rPr>
                <w:rFonts w:ascii="Arial" w:hAnsi="Arial" w:cs="Arial"/>
                <w:b/>
                <w:sz w:val="18"/>
                <w:szCs w:val="20"/>
                <w:lang w:eastAsia="en-AU"/>
              </w:rPr>
            </w:pPr>
            <w:r w:rsidRPr="000F6AD6">
              <w:rPr>
                <w:rFonts w:ascii="Arial" w:hAnsi="Arial" w:cs="Arial"/>
                <w:b/>
                <w:sz w:val="18"/>
                <w:szCs w:val="20"/>
                <w:lang w:eastAsia="en-AU"/>
              </w:rPr>
              <w:t>SA</w:t>
            </w:r>
          </w:p>
        </w:tc>
        <w:tc>
          <w:tcPr>
            <w:tcW w:w="0" w:type="auto"/>
            <w:tcBorders>
              <w:top w:val="single" w:sz="4" w:space="0" w:color="auto"/>
              <w:left w:val="nil"/>
              <w:right w:val="nil"/>
            </w:tcBorders>
            <w:shd w:val="clear" w:color="auto" w:fill="auto"/>
            <w:noWrap/>
            <w:vAlign w:val="bottom"/>
            <w:hideMark/>
          </w:tcPr>
          <w:p w:rsidR="004F4E8B" w:rsidRPr="000F6AD6" w:rsidRDefault="004F4E8B" w:rsidP="004F4E8B">
            <w:pPr>
              <w:spacing w:before="60" w:after="60"/>
              <w:jc w:val="center"/>
              <w:rPr>
                <w:rFonts w:ascii="Arial" w:hAnsi="Arial" w:cs="Arial"/>
                <w:b/>
                <w:sz w:val="18"/>
                <w:szCs w:val="20"/>
                <w:lang w:eastAsia="en-AU"/>
              </w:rPr>
            </w:pPr>
            <w:proofErr w:type="spellStart"/>
            <w:r w:rsidRPr="000F6AD6">
              <w:rPr>
                <w:rFonts w:ascii="Arial" w:hAnsi="Arial" w:cs="Arial"/>
                <w:b/>
                <w:sz w:val="18"/>
                <w:szCs w:val="20"/>
                <w:lang w:eastAsia="en-AU"/>
              </w:rPr>
              <w:t>Tas</w:t>
            </w:r>
            <w:proofErr w:type="spellEnd"/>
          </w:p>
        </w:tc>
        <w:tc>
          <w:tcPr>
            <w:tcW w:w="0" w:type="auto"/>
            <w:tcBorders>
              <w:top w:val="single" w:sz="4" w:space="0" w:color="auto"/>
              <w:left w:val="nil"/>
              <w:right w:val="nil"/>
            </w:tcBorders>
            <w:shd w:val="clear" w:color="auto" w:fill="auto"/>
            <w:noWrap/>
            <w:vAlign w:val="bottom"/>
            <w:hideMark/>
          </w:tcPr>
          <w:p w:rsidR="004F4E8B" w:rsidRPr="000F6AD6" w:rsidRDefault="004F4E8B" w:rsidP="004F4E8B">
            <w:pPr>
              <w:spacing w:before="60" w:after="60"/>
              <w:jc w:val="center"/>
              <w:rPr>
                <w:rFonts w:ascii="Arial" w:hAnsi="Arial" w:cs="Arial"/>
                <w:b/>
                <w:sz w:val="18"/>
                <w:szCs w:val="20"/>
                <w:lang w:eastAsia="en-AU"/>
              </w:rPr>
            </w:pPr>
            <w:r w:rsidRPr="000F6AD6">
              <w:rPr>
                <w:rFonts w:ascii="Arial" w:hAnsi="Arial" w:cs="Arial"/>
                <w:b/>
                <w:sz w:val="18"/>
                <w:szCs w:val="20"/>
                <w:lang w:eastAsia="en-AU"/>
              </w:rPr>
              <w:t>ACT</w:t>
            </w:r>
          </w:p>
        </w:tc>
        <w:tc>
          <w:tcPr>
            <w:tcW w:w="0" w:type="auto"/>
            <w:tcBorders>
              <w:top w:val="single" w:sz="4" w:space="0" w:color="auto"/>
              <w:left w:val="nil"/>
              <w:right w:val="nil"/>
            </w:tcBorders>
            <w:shd w:val="clear" w:color="auto" w:fill="auto"/>
            <w:noWrap/>
            <w:vAlign w:val="bottom"/>
            <w:hideMark/>
          </w:tcPr>
          <w:p w:rsidR="004F4E8B" w:rsidRPr="000F6AD6" w:rsidRDefault="004F4E8B" w:rsidP="004F4E8B">
            <w:pPr>
              <w:spacing w:before="60" w:after="60"/>
              <w:jc w:val="center"/>
              <w:rPr>
                <w:rFonts w:ascii="Arial" w:hAnsi="Arial" w:cs="Arial"/>
                <w:b/>
                <w:sz w:val="18"/>
                <w:szCs w:val="20"/>
                <w:lang w:eastAsia="en-AU"/>
              </w:rPr>
            </w:pPr>
            <w:r w:rsidRPr="000F6AD6">
              <w:rPr>
                <w:rFonts w:ascii="Arial" w:hAnsi="Arial" w:cs="Arial"/>
                <w:b/>
                <w:sz w:val="18"/>
                <w:szCs w:val="20"/>
                <w:lang w:eastAsia="en-AU"/>
              </w:rPr>
              <w:t>NT</w:t>
            </w:r>
          </w:p>
        </w:tc>
      </w:tr>
      <w:tr w:rsidR="004F4E8B" w:rsidRPr="004F4E8B" w:rsidTr="0036695C">
        <w:tc>
          <w:tcPr>
            <w:tcW w:w="2127" w:type="dxa"/>
            <w:tcBorders>
              <w:top w:val="nil"/>
              <w:left w:val="nil"/>
              <w:bottom w:val="nil"/>
              <w:right w:val="nil"/>
            </w:tcBorders>
            <w:shd w:val="clear" w:color="auto" w:fill="auto"/>
            <w:noWrap/>
            <w:vAlign w:val="bottom"/>
            <w:hideMark/>
          </w:tcPr>
          <w:p w:rsidR="004F4E8B" w:rsidRPr="004F4E8B" w:rsidRDefault="00952AFA" w:rsidP="00952AFA">
            <w:pPr>
              <w:rPr>
                <w:rFonts w:ascii="Calibri" w:hAnsi="Calibri" w:cs="Calibri"/>
                <w:color w:val="000000"/>
                <w:sz w:val="20"/>
                <w:szCs w:val="20"/>
              </w:rPr>
            </w:pPr>
            <w:r>
              <w:rPr>
                <w:rFonts w:ascii="Calibri" w:hAnsi="Calibri" w:cs="Calibri"/>
                <w:color w:val="000000"/>
                <w:sz w:val="20"/>
                <w:szCs w:val="20"/>
              </w:rPr>
              <w:t>GST</w:t>
            </w:r>
          </w:p>
        </w:tc>
        <w:tc>
          <w:tcPr>
            <w:tcW w:w="0" w:type="auto"/>
            <w:tcBorders>
              <w:top w:val="nil"/>
              <w:left w:val="nil"/>
              <w:bottom w:val="nil"/>
              <w:right w:val="nil"/>
            </w:tcBorders>
            <w:vAlign w:val="bottom"/>
          </w:tcPr>
          <w:p w:rsidR="004F4E8B" w:rsidRDefault="004F4E8B" w:rsidP="0036695C">
            <w:pPr>
              <w:jc w:val="center"/>
              <w:rPr>
                <w:rFonts w:ascii="Calibri" w:hAnsi="Calibri" w:cs="Calibri"/>
                <w:color w:val="000000"/>
                <w:sz w:val="20"/>
                <w:szCs w:val="20"/>
              </w:rPr>
            </w:pPr>
            <w:r>
              <w:rPr>
                <w:rFonts w:ascii="Calibri" w:hAnsi="Calibri" w:cs="Calibri"/>
                <w:color w:val="000000"/>
                <w:sz w:val="20"/>
                <w:szCs w:val="20"/>
              </w:rPr>
              <w:t>0.947</w:t>
            </w:r>
          </w:p>
        </w:tc>
        <w:tc>
          <w:tcPr>
            <w:tcW w:w="0" w:type="auto"/>
            <w:tcBorders>
              <w:top w:val="nil"/>
              <w:left w:val="nil"/>
              <w:bottom w:val="nil"/>
              <w:right w:val="nil"/>
            </w:tcBorders>
            <w:shd w:val="clear" w:color="auto" w:fill="auto"/>
            <w:noWrap/>
            <w:vAlign w:val="bottom"/>
            <w:hideMark/>
          </w:tcPr>
          <w:p w:rsidR="004F4E8B" w:rsidRDefault="004F4E8B" w:rsidP="0036695C">
            <w:pPr>
              <w:jc w:val="center"/>
              <w:rPr>
                <w:rFonts w:ascii="Calibri" w:hAnsi="Calibri" w:cs="Calibri"/>
                <w:color w:val="000000"/>
                <w:sz w:val="20"/>
                <w:szCs w:val="20"/>
              </w:rPr>
            </w:pPr>
            <w:r>
              <w:rPr>
                <w:rFonts w:ascii="Calibri" w:hAnsi="Calibri" w:cs="Calibri"/>
                <w:color w:val="000000"/>
                <w:sz w:val="20"/>
                <w:szCs w:val="20"/>
              </w:rPr>
              <w:t>0.893</w:t>
            </w:r>
          </w:p>
        </w:tc>
        <w:tc>
          <w:tcPr>
            <w:tcW w:w="0" w:type="auto"/>
            <w:tcBorders>
              <w:top w:val="nil"/>
              <w:left w:val="nil"/>
              <w:bottom w:val="nil"/>
              <w:right w:val="nil"/>
            </w:tcBorders>
            <w:shd w:val="clear" w:color="auto" w:fill="auto"/>
            <w:noWrap/>
            <w:vAlign w:val="bottom"/>
            <w:hideMark/>
          </w:tcPr>
          <w:p w:rsidR="004F4E8B" w:rsidRDefault="004F4E8B" w:rsidP="0036695C">
            <w:pPr>
              <w:jc w:val="center"/>
              <w:rPr>
                <w:rFonts w:ascii="Calibri" w:hAnsi="Calibri" w:cs="Calibri"/>
                <w:color w:val="000000"/>
                <w:sz w:val="20"/>
                <w:szCs w:val="20"/>
              </w:rPr>
            </w:pPr>
            <w:r>
              <w:rPr>
                <w:rFonts w:ascii="Calibri" w:hAnsi="Calibri" w:cs="Calibri"/>
                <w:color w:val="000000"/>
                <w:sz w:val="20"/>
                <w:szCs w:val="20"/>
              </w:rPr>
              <w:t>1.128</w:t>
            </w:r>
          </w:p>
        </w:tc>
        <w:tc>
          <w:tcPr>
            <w:tcW w:w="0" w:type="auto"/>
            <w:tcBorders>
              <w:top w:val="nil"/>
              <w:left w:val="nil"/>
              <w:bottom w:val="nil"/>
              <w:right w:val="nil"/>
            </w:tcBorders>
            <w:shd w:val="clear" w:color="auto" w:fill="auto"/>
            <w:noWrap/>
            <w:vAlign w:val="bottom"/>
            <w:hideMark/>
          </w:tcPr>
          <w:p w:rsidR="004F4E8B" w:rsidRDefault="004F4E8B" w:rsidP="0036695C">
            <w:pPr>
              <w:jc w:val="center"/>
              <w:rPr>
                <w:rFonts w:ascii="Calibri" w:hAnsi="Calibri" w:cs="Calibri"/>
                <w:color w:val="000000"/>
                <w:sz w:val="20"/>
                <w:szCs w:val="20"/>
              </w:rPr>
            </w:pPr>
            <w:r>
              <w:rPr>
                <w:rFonts w:ascii="Calibri" w:hAnsi="Calibri" w:cs="Calibri"/>
                <w:color w:val="000000"/>
                <w:sz w:val="20"/>
                <w:szCs w:val="20"/>
              </w:rPr>
              <w:t>0.300</w:t>
            </w:r>
          </w:p>
        </w:tc>
        <w:tc>
          <w:tcPr>
            <w:tcW w:w="0" w:type="auto"/>
            <w:tcBorders>
              <w:top w:val="nil"/>
              <w:left w:val="nil"/>
              <w:bottom w:val="nil"/>
              <w:right w:val="nil"/>
            </w:tcBorders>
            <w:shd w:val="clear" w:color="auto" w:fill="auto"/>
            <w:noWrap/>
            <w:vAlign w:val="bottom"/>
            <w:hideMark/>
          </w:tcPr>
          <w:p w:rsidR="004F4E8B" w:rsidRDefault="004F4E8B" w:rsidP="0036695C">
            <w:pPr>
              <w:jc w:val="center"/>
              <w:rPr>
                <w:rFonts w:ascii="Calibri" w:hAnsi="Calibri" w:cs="Calibri"/>
                <w:color w:val="000000"/>
                <w:sz w:val="20"/>
                <w:szCs w:val="20"/>
              </w:rPr>
            </w:pPr>
            <w:r>
              <w:rPr>
                <w:rFonts w:ascii="Calibri" w:hAnsi="Calibri" w:cs="Calibri"/>
                <w:color w:val="000000"/>
                <w:sz w:val="20"/>
                <w:szCs w:val="20"/>
              </w:rPr>
              <w:t>1.359</w:t>
            </w:r>
          </w:p>
        </w:tc>
        <w:tc>
          <w:tcPr>
            <w:tcW w:w="0" w:type="auto"/>
            <w:tcBorders>
              <w:top w:val="nil"/>
              <w:left w:val="nil"/>
              <w:bottom w:val="nil"/>
              <w:right w:val="nil"/>
            </w:tcBorders>
            <w:shd w:val="clear" w:color="auto" w:fill="auto"/>
            <w:noWrap/>
            <w:vAlign w:val="bottom"/>
            <w:hideMark/>
          </w:tcPr>
          <w:p w:rsidR="004F4E8B" w:rsidRDefault="004F4E8B" w:rsidP="0036695C">
            <w:pPr>
              <w:jc w:val="center"/>
              <w:rPr>
                <w:rFonts w:ascii="Calibri" w:hAnsi="Calibri" w:cs="Calibri"/>
                <w:color w:val="000000"/>
                <w:sz w:val="20"/>
                <w:szCs w:val="20"/>
              </w:rPr>
            </w:pPr>
            <w:r>
              <w:rPr>
                <w:rFonts w:ascii="Calibri" w:hAnsi="Calibri" w:cs="Calibri"/>
                <w:color w:val="000000"/>
                <w:sz w:val="20"/>
                <w:szCs w:val="20"/>
              </w:rPr>
              <w:t>1.819</w:t>
            </w:r>
          </w:p>
        </w:tc>
        <w:tc>
          <w:tcPr>
            <w:tcW w:w="0" w:type="auto"/>
            <w:tcBorders>
              <w:top w:val="nil"/>
              <w:left w:val="nil"/>
              <w:bottom w:val="nil"/>
              <w:right w:val="nil"/>
            </w:tcBorders>
            <w:shd w:val="clear" w:color="auto" w:fill="auto"/>
            <w:noWrap/>
            <w:vAlign w:val="bottom"/>
            <w:hideMark/>
          </w:tcPr>
          <w:p w:rsidR="004F4E8B" w:rsidRDefault="004F4E8B" w:rsidP="0036695C">
            <w:pPr>
              <w:jc w:val="center"/>
              <w:rPr>
                <w:rFonts w:ascii="Calibri" w:hAnsi="Calibri" w:cs="Calibri"/>
                <w:color w:val="000000"/>
                <w:sz w:val="20"/>
                <w:szCs w:val="20"/>
              </w:rPr>
            </w:pPr>
            <w:r>
              <w:rPr>
                <w:rFonts w:ascii="Calibri" w:hAnsi="Calibri" w:cs="Calibri"/>
                <w:color w:val="000000"/>
                <w:sz w:val="20"/>
                <w:szCs w:val="20"/>
              </w:rPr>
              <w:t>1.100</w:t>
            </w:r>
          </w:p>
        </w:tc>
        <w:tc>
          <w:tcPr>
            <w:tcW w:w="0" w:type="auto"/>
            <w:tcBorders>
              <w:top w:val="nil"/>
              <w:left w:val="nil"/>
              <w:bottom w:val="nil"/>
              <w:right w:val="nil"/>
            </w:tcBorders>
            <w:shd w:val="clear" w:color="auto" w:fill="auto"/>
            <w:noWrap/>
            <w:vAlign w:val="bottom"/>
            <w:hideMark/>
          </w:tcPr>
          <w:p w:rsidR="004F4E8B" w:rsidRDefault="004F4E8B" w:rsidP="0036695C">
            <w:pPr>
              <w:jc w:val="center"/>
              <w:rPr>
                <w:rFonts w:ascii="Calibri" w:hAnsi="Calibri" w:cs="Calibri"/>
                <w:color w:val="000000"/>
                <w:sz w:val="20"/>
                <w:szCs w:val="20"/>
              </w:rPr>
            </w:pPr>
            <w:r>
              <w:rPr>
                <w:rFonts w:ascii="Calibri" w:hAnsi="Calibri" w:cs="Calibri"/>
                <w:color w:val="000000"/>
                <w:sz w:val="20"/>
                <w:szCs w:val="20"/>
              </w:rPr>
              <w:t>5.571</w:t>
            </w:r>
          </w:p>
        </w:tc>
      </w:tr>
      <w:tr w:rsidR="004F4E8B" w:rsidRPr="004F4E8B" w:rsidTr="0036695C">
        <w:tc>
          <w:tcPr>
            <w:tcW w:w="2127" w:type="dxa"/>
            <w:tcBorders>
              <w:top w:val="nil"/>
              <w:left w:val="nil"/>
              <w:bottom w:val="single" w:sz="4" w:space="0" w:color="auto"/>
              <w:right w:val="nil"/>
            </w:tcBorders>
            <w:shd w:val="clear" w:color="auto" w:fill="auto"/>
            <w:noWrap/>
            <w:vAlign w:val="bottom"/>
          </w:tcPr>
          <w:p w:rsidR="004F4E8B" w:rsidRPr="004F4E8B" w:rsidRDefault="004F4E8B" w:rsidP="00952AFA">
            <w:pPr>
              <w:rPr>
                <w:rFonts w:ascii="Calibri" w:hAnsi="Calibri" w:cs="Calibri"/>
                <w:color w:val="000000"/>
                <w:sz w:val="20"/>
                <w:szCs w:val="20"/>
              </w:rPr>
            </w:pPr>
            <w:r w:rsidRPr="004F4E8B">
              <w:rPr>
                <w:rFonts w:ascii="Calibri" w:hAnsi="Calibri" w:cs="Calibri"/>
                <w:color w:val="000000"/>
                <w:sz w:val="20"/>
                <w:szCs w:val="20"/>
              </w:rPr>
              <w:t xml:space="preserve">GST plus mining </w:t>
            </w:r>
            <w:r w:rsidR="0036695C">
              <w:rPr>
                <w:rFonts w:ascii="Calibri" w:hAnsi="Calibri" w:cs="Calibri"/>
                <w:color w:val="000000"/>
                <w:sz w:val="20"/>
                <w:szCs w:val="20"/>
              </w:rPr>
              <w:t>revenue</w:t>
            </w:r>
            <w:r w:rsidR="00952AFA">
              <w:rPr>
                <w:rFonts w:ascii="Calibri" w:hAnsi="Calibri" w:cs="Calibri"/>
                <w:color w:val="000000"/>
                <w:sz w:val="20"/>
                <w:szCs w:val="20"/>
              </w:rPr>
              <w:t xml:space="preserve"> replacement</w:t>
            </w:r>
          </w:p>
        </w:tc>
        <w:tc>
          <w:tcPr>
            <w:tcW w:w="0" w:type="auto"/>
            <w:tcBorders>
              <w:top w:val="nil"/>
              <w:left w:val="nil"/>
              <w:bottom w:val="single" w:sz="4" w:space="0" w:color="auto"/>
              <w:right w:val="nil"/>
            </w:tcBorders>
            <w:vAlign w:val="bottom"/>
          </w:tcPr>
          <w:p w:rsidR="004F4E8B" w:rsidRDefault="004F4E8B" w:rsidP="0036695C">
            <w:pPr>
              <w:jc w:val="center"/>
              <w:rPr>
                <w:rFonts w:ascii="Calibri" w:hAnsi="Calibri" w:cs="Calibri"/>
                <w:color w:val="000000"/>
                <w:sz w:val="20"/>
                <w:szCs w:val="20"/>
              </w:rPr>
            </w:pPr>
            <w:r>
              <w:rPr>
                <w:rFonts w:ascii="Calibri" w:hAnsi="Calibri" w:cs="Calibri"/>
                <w:color w:val="000000"/>
                <w:sz w:val="20"/>
                <w:szCs w:val="20"/>
              </w:rPr>
              <w:t>0.858</w:t>
            </w:r>
          </w:p>
        </w:tc>
        <w:tc>
          <w:tcPr>
            <w:tcW w:w="0" w:type="auto"/>
            <w:tcBorders>
              <w:top w:val="nil"/>
              <w:left w:val="nil"/>
              <w:bottom w:val="single" w:sz="4" w:space="0" w:color="auto"/>
              <w:right w:val="nil"/>
            </w:tcBorders>
            <w:shd w:val="clear" w:color="auto" w:fill="auto"/>
            <w:noWrap/>
            <w:vAlign w:val="bottom"/>
          </w:tcPr>
          <w:p w:rsidR="004F4E8B" w:rsidRDefault="004F4E8B" w:rsidP="0036695C">
            <w:pPr>
              <w:jc w:val="center"/>
              <w:rPr>
                <w:rFonts w:ascii="Calibri" w:hAnsi="Calibri" w:cs="Calibri"/>
                <w:color w:val="000000"/>
                <w:sz w:val="20"/>
                <w:szCs w:val="20"/>
              </w:rPr>
            </w:pPr>
            <w:r>
              <w:rPr>
                <w:rFonts w:ascii="Calibri" w:hAnsi="Calibri" w:cs="Calibri"/>
                <w:color w:val="000000"/>
                <w:sz w:val="20"/>
                <w:szCs w:val="20"/>
              </w:rPr>
              <w:t>0.742</w:t>
            </w:r>
          </w:p>
        </w:tc>
        <w:tc>
          <w:tcPr>
            <w:tcW w:w="0" w:type="auto"/>
            <w:tcBorders>
              <w:top w:val="nil"/>
              <w:left w:val="nil"/>
              <w:bottom w:val="single" w:sz="4" w:space="0" w:color="auto"/>
              <w:right w:val="nil"/>
            </w:tcBorders>
            <w:shd w:val="clear" w:color="auto" w:fill="auto"/>
            <w:noWrap/>
            <w:vAlign w:val="bottom"/>
          </w:tcPr>
          <w:p w:rsidR="004F4E8B" w:rsidRDefault="004F4E8B" w:rsidP="0036695C">
            <w:pPr>
              <w:jc w:val="center"/>
              <w:rPr>
                <w:rFonts w:ascii="Calibri" w:hAnsi="Calibri" w:cs="Calibri"/>
                <w:color w:val="000000"/>
                <w:sz w:val="20"/>
                <w:szCs w:val="20"/>
              </w:rPr>
            </w:pPr>
            <w:r>
              <w:rPr>
                <w:rFonts w:ascii="Calibri" w:hAnsi="Calibri" w:cs="Calibri"/>
                <w:color w:val="000000"/>
                <w:sz w:val="20"/>
                <w:szCs w:val="20"/>
              </w:rPr>
              <w:t>1.128</w:t>
            </w:r>
          </w:p>
        </w:tc>
        <w:tc>
          <w:tcPr>
            <w:tcW w:w="0" w:type="auto"/>
            <w:tcBorders>
              <w:top w:val="nil"/>
              <w:left w:val="nil"/>
              <w:bottom w:val="single" w:sz="4" w:space="0" w:color="auto"/>
              <w:right w:val="nil"/>
            </w:tcBorders>
            <w:shd w:val="clear" w:color="auto" w:fill="auto"/>
            <w:noWrap/>
            <w:vAlign w:val="bottom"/>
          </w:tcPr>
          <w:p w:rsidR="004F4E8B" w:rsidRDefault="004F4E8B" w:rsidP="0036695C">
            <w:pPr>
              <w:jc w:val="center"/>
              <w:rPr>
                <w:rFonts w:ascii="Calibri" w:hAnsi="Calibri" w:cs="Calibri"/>
                <w:color w:val="000000"/>
                <w:sz w:val="20"/>
                <w:szCs w:val="20"/>
              </w:rPr>
            </w:pPr>
            <w:r>
              <w:rPr>
                <w:rFonts w:ascii="Calibri" w:hAnsi="Calibri" w:cs="Calibri"/>
                <w:color w:val="000000"/>
                <w:sz w:val="20"/>
                <w:szCs w:val="20"/>
              </w:rPr>
              <w:t>1.182</w:t>
            </w:r>
          </w:p>
        </w:tc>
        <w:tc>
          <w:tcPr>
            <w:tcW w:w="0" w:type="auto"/>
            <w:tcBorders>
              <w:top w:val="nil"/>
              <w:left w:val="nil"/>
              <w:bottom w:val="single" w:sz="4" w:space="0" w:color="auto"/>
              <w:right w:val="nil"/>
            </w:tcBorders>
            <w:shd w:val="clear" w:color="auto" w:fill="auto"/>
            <w:noWrap/>
            <w:vAlign w:val="bottom"/>
          </w:tcPr>
          <w:p w:rsidR="004F4E8B" w:rsidRDefault="004F4E8B" w:rsidP="0036695C">
            <w:pPr>
              <w:jc w:val="center"/>
              <w:rPr>
                <w:rFonts w:ascii="Calibri" w:hAnsi="Calibri" w:cs="Calibri"/>
                <w:color w:val="000000"/>
                <w:sz w:val="20"/>
                <w:szCs w:val="20"/>
              </w:rPr>
            </w:pPr>
            <w:r>
              <w:rPr>
                <w:rFonts w:ascii="Calibri" w:hAnsi="Calibri" w:cs="Calibri"/>
                <w:color w:val="000000"/>
                <w:sz w:val="20"/>
                <w:szCs w:val="20"/>
              </w:rPr>
              <w:t>1.192</w:t>
            </w:r>
          </w:p>
        </w:tc>
        <w:tc>
          <w:tcPr>
            <w:tcW w:w="0" w:type="auto"/>
            <w:tcBorders>
              <w:top w:val="nil"/>
              <w:left w:val="nil"/>
              <w:bottom w:val="single" w:sz="4" w:space="0" w:color="auto"/>
              <w:right w:val="nil"/>
            </w:tcBorders>
            <w:shd w:val="clear" w:color="auto" w:fill="auto"/>
            <w:noWrap/>
            <w:vAlign w:val="bottom"/>
          </w:tcPr>
          <w:p w:rsidR="004F4E8B" w:rsidRDefault="004F4E8B" w:rsidP="0036695C">
            <w:pPr>
              <w:jc w:val="center"/>
              <w:rPr>
                <w:rFonts w:ascii="Calibri" w:hAnsi="Calibri" w:cs="Calibri"/>
                <w:color w:val="000000"/>
                <w:sz w:val="20"/>
                <w:szCs w:val="20"/>
              </w:rPr>
            </w:pPr>
            <w:r>
              <w:rPr>
                <w:rFonts w:ascii="Calibri" w:hAnsi="Calibri" w:cs="Calibri"/>
                <w:color w:val="000000"/>
                <w:sz w:val="20"/>
                <w:szCs w:val="20"/>
              </w:rPr>
              <w:t>1.539</w:t>
            </w:r>
          </w:p>
        </w:tc>
        <w:tc>
          <w:tcPr>
            <w:tcW w:w="0" w:type="auto"/>
            <w:tcBorders>
              <w:top w:val="nil"/>
              <w:left w:val="nil"/>
              <w:bottom w:val="single" w:sz="4" w:space="0" w:color="auto"/>
              <w:right w:val="nil"/>
            </w:tcBorders>
            <w:shd w:val="clear" w:color="auto" w:fill="auto"/>
            <w:noWrap/>
            <w:vAlign w:val="bottom"/>
          </w:tcPr>
          <w:p w:rsidR="004F4E8B" w:rsidRDefault="004F4E8B" w:rsidP="0036695C">
            <w:pPr>
              <w:jc w:val="center"/>
              <w:rPr>
                <w:rFonts w:ascii="Calibri" w:hAnsi="Calibri" w:cs="Calibri"/>
                <w:color w:val="000000"/>
                <w:sz w:val="20"/>
                <w:szCs w:val="20"/>
              </w:rPr>
            </w:pPr>
            <w:r>
              <w:rPr>
                <w:rFonts w:ascii="Calibri" w:hAnsi="Calibri" w:cs="Calibri"/>
                <w:color w:val="000000"/>
                <w:sz w:val="20"/>
                <w:szCs w:val="20"/>
              </w:rPr>
              <w:t>0.907</w:t>
            </w:r>
          </w:p>
        </w:tc>
        <w:tc>
          <w:tcPr>
            <w:tcW w:w="0" w:type="auto"/>
            <w:tcBorders>
              <w:top w:val="nil"/>
              <w:left w:val="nil"/>
              <w:bottom w:val="single" w:sz="4" w:space="0" w:color="auto"/>
              <w:right w:val="nil"/>
            </w:tcBorders>
            <w:shd w:val="clear" w:color="auto" w:fill="auto"/>
            <w:noWrap/>
            <w:vAlign w:val="bottom"/>
          </w:tcPr>
          <w:p w:rsidR="004F4E8B" w:rsidRDefault="004F4E8B" w:rsidP="0036695C">
            <w:pPr>
              <w:jc w:val="center"/>
              <w:rPr>
                <w:rFonts w:ascii="Calibri" w:hAnsi="Calibri" w:cs="Calibri"/>
                <w:color w:val="000000"/>
                <w:sz w:val="20"/>
                <w:szCs w:val="20"/>
              </w:rPr>
            </w:pPr>
            <w:r>
              <w:rPr>
                <w:rFonts w:ascii="Calibri" w:hAnsi="Calibri" w:cs="Calibri"/>
                <w:color w:val="000000"/>
                <w:sz w:val="20"/>
                <w:szCs w:val="20"/>
              </w:rPr>
              <w:t>4.795</w:t>
            </w:r>
          </w:p>
        </w:tc>
      </w:tr>
    </w:tbl>
    <w:p w:rsidR="004F4E8B" w:rsidRDefault="004F4E8B" w:rsidP="004F4E8B">
      <w:pPr>
        <w:jc w:val="both"/>
        <w:rPr>
          <w:rFonts w:ascii="Arial" w:hAnsi="Arial" w:cs="Arial"/>
          <w:sz w:val="20"/>
          <w:szCs w:val="20"/>
        </w:rPr>
      </w:pPr>
    </w:p>
    <w:p w:rsidR="004F4E8B" w:rsidRDefault="004F4E8B" w:rsidP="005D03CE">
      <w:pPr>
        <w:jc w:val="both"/>
        <w:rPr>
          <w:rFonts w:ascii="Arial" w:hAnsi="Arial" w:cs="Arial"/>
          <w:sz w:val="20"/>
          <w:szCs w:val="20"/>
        </w:rPr>
      </w:pPr>
    </w:p>
    <w:p w:rsidR="0023171D" w:rsidRDefault="0023171D" w:rsidP="005D03CE">
      <w:pPr>
        <w:jc w:val="both"/>
        <w:rPr>
          <w:rFonts w:ascii="Arial" w:hAnsi="Arial" w:cs="Arial"/>
          <w:sz w:val="20"/>
          <w:szCs w:val="20"/>
        </w:rPr>
      </w:pPr>
    </w:p>
    <w:p w:rsidR="0023171D" w:rsidRPr="005D03CE" w:rsidRDefault="0023171D" w:rsidP="005D03CE">
      <w:pPr>
        <w:jc w:val="both"/>
        <w:rPr>
          <w:rFonts w:ascii="Arial" w:hAnsi="Arial" w:cs="Arial"/>
          <w:sz w:val="20"/>
          <w:szCs w:val="20"/>
        </w:rPr>
      </w:pPr>
    </w:p>
    <w:p w:rsidR="005D03CE" w:rsidRPr="005D03CE" w:rsidRDefault="005D03CE" w:rsidP="005D03CE">
      <w:pPr>
        <w:jc w:val="both"/>
        <w:rPr>
          <w:rFonts w:ascii="Arial" w:hAnsi="Arial" w:cs="Arial"/>
          <w:sz w:val="20"/>
          <w:szCs w:val="20"/>
        </w:rPr>
      </w:pPr>
    </w:p>
    <w:p w:rsidR="005D03CE" w:rsidRDefault="005D03CE">
      <w:pPr>
        <w:jc w:val="both"/>
        <w:rPr>
          <w:rFonts w:ascii="Arial" w:hAnsi="Arial" w:cs="Arial"/>
          <w:sz w:val="20"/>
          <w:szCs w:val="20"/>
        </w:rPr>
      </w:pPr>
      <w:r>
        <w:rPr>
          <w:rFonts w:ascii="Arial" w:hAnsi="Arial" w:cs="Arial"/>
          <w:sz w:val="20"/>
          <w:szCs w:val="20"/>
        </w:rPr>
        <w:br w:type="page"/>
      </w:r>
    </w:p>
    <w:p w:rsidR="005D03CE" w:rsidRPr="005D03CE" w:rsidRDefault="005D03CE" w:rsidP="005D03CE">
      <w:pPr>
        <w:jc w:val="both"/>
        <w:rPr>
          <w:rFonts w:ascii="Arial" w:hAnsi="Arial" w:cs="Arial"/>
          <w:b/>
          <w:szCs w:val="20"/>
        </w:rPr>
      </w:pPr>
      <w:r>
        <w:rPr>
          <w:rFonts w:ascii="Arial" w:hAnsi="Arial" w:cs="Arial"/>
          <w:b/>
          <w:szCs w:val="20"/>
        </w:rPr>
        <w:lastRenderedPageBreak/>
        <w:t>References</w:t>
      </w:r>
    </w:p>
    <w:p w:rsidR="005D03CE" w:rsidRDefault="005D03CE" w:rsidP="005D03CE">
      <w:pPr>
        <w:jc w:val="both"/>
        <w:rPr>
          <w:rFonts w:ascii="Arial" w:hAnsi="Arial" w:cs="Arial"/>
          <w:sz w:val="20"/>
          <w:szCs w:val="20"/>
        </w:rPr>
      </w:pPr>
    </w:p>
    <w:p w:rsidR="00E74E06" w:rsidRDefault="00E74E06" w:rsidP="005D03CE">
      <w:pPr>
        <w:jc w:val="both"/>
        <w:rPr>
          <w:rFonts w:ascii="Arial" w:hAnsi="Arial" w:cs="Arial"/>
          <w:sz w:val="20"/>
          <w:szCs w:val="20"/>
        </w:rPr>
      </w:pPr>
    </w:p>
    <w:p w:rsidR="00C244BA" w:rsidRDefault="00C244BA" w:rsidP="00C244BA">
      <w:pPr>
        <w:ind w:left="851" w:hanging="851"/>
        <w:jc w:val="both"/>
        <w:rPr>
          <w:rFonts w:ascii="Arial" w:hAnsi="Arial" w:cs="Arial"/>
          <w:sz w:val="20"/>
          <w:szCs w:val="20"/>
        </w:rPr>
      </w:pPr>
      <w:r>
        <w:rPr>
          <w:rFonts w:ascii="Arial" w:hAnsi="Arial" w:cs="Arial"/>
          <w:sz w:val="20"/>
          <w:szCs w:val="20"/>
        </w:rPr>
        <w:t>Australian Government</w:t>
      </w:r>
      <w:r w:rsidRPr="00E74E06">
        <w:rPr>
          <w:rFonts w:ascii="Arial" w:hAnsi="Arial" w:cs="Arial"/>
          <w:sz w:val="20"/>
          <w:szCs w:val="20"/>
        </w:rPr>
        <w:t xml:space="preserve"> (20</w:t>
      </w:r>
      <w:r>
        <w:rPr>
          <w:rFonts w:ascii="Arial" w:hAnsi="Arial" w:cs="Arial"/>
          <w:sz w:val="20"/>
          <w:szCs w:val="20"/>
        </w:rPr>
        <w:t>1</w:t>
      </w:r>
      <w:r w:rsidRPr="00E74E06">
        <w:rPr>
          <w:rFonts w:ascii="Arial" w:hAnsi="Arial" w:cs="Arial"/>
          <w:sz w:val="20"/>
          <w:szCs w:val="20"/>
        </w:rPr>
        <w:t xml:space="preserve">2), </w:t>
      </w:r>
      <w:r>
        <w:rPr>
          <w:rFonts w:ascii="Arial" w:hAnsi="Arial" w:cs="Arial"/>
          <w:i/>
          <w:sz w:val="20"/>
          <w:szCs w:val="20"/>
        </w:rPr>
        <w:t>GST Distribution Review</w:t>
      </w:r>
      <w:r w:rsidR="000E2172">
        <w:rPr>
          <w:rFonts w:ascii="Arial" w:hAnsi="Arial" w:cs="Arial"/>
          <w:i/>
          <w:sz w:val="20"/>
          <w:szCs w:val="20"/>
        </w:rPr>
        <w:t>. Interim Report</w:t>
      </w:r>
      <w:r w:rsidRPr="00E74E06">
        <w:rPr>
          <w:rFonts w:ascii="Arial" w:hAnsi="Arial" w:cs="Arial"/>
          <w:sz w:val="20"/>
          <w:szCs w:val="20"/>
        </w:rPr>
        <w:t>.</w:t>
      </w:r>
    </w:p>
    <w:p w:rsidR="00C244BA" w:rsidRPr="00E74E06" w:rsidRDefault="00C244BA" w:rsidP="00C244BA">
      <w:pPr>
        <w:ind w:left="851" w:hanging="851"/>
        <w:jc w:val="both"/>
        <w:rPr>
          <w:rFonts w:ascii="Arial" w:hAnsi="Arial" w:cs="Arial"/>
          <w:sz w:val="20"/>
          <w:szCs w:val="20"/>
        </w:rPr>
      </w:pPr>
    </w:p>
    <w:p w:rsidR="00E74E06" w:rsidRDefault="00E74E06" w:rsidP="00E74E06">
      <w:pPr>
        <w:ind w:left="851" w:hanging="851"/>
        <w:jc w:val="both"/>
        <w:rPr>
          <w:rFonts w:ascii="Arial" w:hAnsi="Arial" w:cs="Arial"/>
          <w:sz w:val="20"/>
          <w:szCs w:val="20"/>
        </w:rPr>
      </w:pPr>
      <w:r w:rsidRPr="00E74E06">
        <w:rPr>
          <w:rFonts w:ascii="Arial" w:hAnsi="Arial" w:cs="Arial"/>
          <w:sz w:val="20"/>
          <w:szCs w:val="20"/>
        </w:rPr>
        <w:t xml:space="preserve">Harding, Ann, Neil Warren, Gillian Beer, Ben Phillips and </w:t>
      </w:r>
      <w:proofErr w:type="spellStart"/>
      <w:r w:rsidRPr="00E74E06">
        <w:rPr>
          <w:rFonts w:ascii="Arial" w:hAnsi="Arial" w:cs="Arial"/>
          <w:sz w:val="20"/>
          <w:szCs w:val="20"/>
        </w:rPr>
        <w:t>Kwabena</w:t>
      </w:r>
      <w:proofErr w:type="spellEnd"/>
      <w:r w:rsidRPr="00E74E06">
        <w:rPr>
          <w:rFonts w:ascii="Arial" w:hAnsi="Arial" w:cs="Arial"/>
          <w:sz w:val="20"/>
          <w:szCs w:val="20"/>
        </w:rPr>
        <w:t xml:space="preserve"> </w:t>
      </w:r>
      <w:proofErr w:type="spellStart"/>
      <w:r w:rsidRPr="00E74E06">
        <w:rPr>
          <w:rFonts w:ascii="Arial" w:hAnsi="Arial" w:cs="Arial"/>
          <w:sz w:val="20"/>
          <w:szCs w:val="20"/>
        </w:rPr>
        <w:t>Osei</w:t>
      </w:r>
      <w:proofErr w:type="spellEnd"/>
      <w:r w:rsidRPr="00E74E06">
        <w:rPr>
          <w:rFonts w:ascii="Arial" w:hAnsi="Arial" w:cs="Arial"/>
          <w:sz w:val="20"/>
          <w:szCs w:val="20"/>
        </w:rPr>
        <w:t xml:space="preserve"> (2002), “The Distributional Impact of Selected Commonwealth Outlays and Taxes and Alternative Commonwealth Grant Allocation Mechanisms”, </w:t>
      </w:r>
      <w:r w:rsidRPr="00E74E06">
        <w:rPr>
          <w:rFonts w:ascii="Arial" w:hAnsi="Arial" w:cs="Arial"/>
          <w:i/>
          <w:iCs/>
          <w:sz w:val="20"/>
          <w:szCs w:val="20"/>
        </w:rPr>
        <w:t xml:space="preserve">Australian Economic Review, </w:t>
      </w:r>
      <w:r w:rsidRPr="00E74E06">
        <w:rPr>
          <w:rFonts w:ascii="Arial" w:hAnsi="Arial" w:cs="Arial"/>
          <w:sz w:val="20"/>
          <w:szCs w:val="20"/>
        </w:rPr>
        <w:t>vol. 35 no. 3, pp. 325-334.</w:t>
      </w:r>
    </w:p>
    <w:p w:rsidR="00E74E06" w:rsidRPr="00E74E06" w:rsidRDefault="00E74E06" w:rsidP="00E74E06">
      <w:pPr>
        <w:ind w:left="851" w:hanging="851"/>
        <w:jc w:val="both"/>
        <w:rPr>
          <w:rFonts w:ascii="Arial" w:hAnsi="Arial" w:cs="Arial"/>
          <w:sz w:val="20"/>
          <w:szCs w:val="20"/>
        </w:rPr>
      </w:pPr>
    </w:p>
    <w:p w:rsidR="00E74E06" w:rsidRPr="00E74E06" w:rsidRDefault="00E74E06" w:rsidP="00E74E06">
      <w:pPr>
        <w:ind w:left="851" w:hanging="851"/>
        <w:jc w:val="both"/>
        <w:rPr>
          <w:rFonts w:ascii="Arial" w:hAnsi="Arial" w:cs="Arial"/>
          <w:sz w:val="20"/>
          <w:szCs w:val="20"/>
        </w:rPr>
      </w:pPr>
      <w:r w:rsidRPr="00E74E06">
        <w:rPr>
          <w:rFonts w:ascii="Arial" w:hAnsi="Arial" w:cs="Arial"/>
          <w:sz w:val="20"/>
          <w:szCs w:val="20"/>
        </w:rPr>
        <w:t xml:space="preserve">Independent Economics (2012), </w:t>
      </w:r>
      <w:r w:rsidRPr="00E74E06">
        <w:rPr>
          <w:rFonts w:ascii="Arial" w:hAnsi="Arial" w:cs="Arial"/>
          <w:i/>
          <w:iCs/>
          <w:sz w:val="20"/>
          <w:szCs w:val="20"/>
        </w:rPr>
        <w:t xml:space="preserve">Horizontal Fiscal Equalisation: Modelling the welfare and efficiency effects. </w:t>
      </w:r>
      <w:r w:rsidRPr="00E74E06">
        <w:rPr>
          <w:rFonts w:ascii="Arial" w:hAnsi="Arial" w:cs="Arial"/>
          <w:sz w:val="20"/>
          <w:szCs w:val="20"/>
        </w:rPr>
        <w:t>Report prepared for South Australian Department of Treasury and Finance.</w:t>
      </w:r>
    </w:p>
    <w:p w:rsidR="00E74E06" w:rsidRPr="00E74E06" w:rsidRDefault="00E74E06" w:rsidP="00E74E06">
      <w:pPr>
        <w:ind w:left="851" w:hanging="851"/>
        <w:jc w:val="both"/>
        <w:rPr>
          <w:rFonts w:ascii="Arial" w:hAnsi="Arial" w:cs="Arial"/>
          <w:sz w:val="20"/>
          <w:szCs w:val="20"/>
        </w:rPr>
      </w:pPr>
    </w:p>
    <w:sectPr w:rsidR="00E74E06" w:rsidRPr="00E74E06" w:rsidSect="00E74E06">
      <w:headerReference w:type="default" r:id="rId9"/>
      <w:footerReference w:type="default" r:id="rId10"/>
      <w:headerReference w:type="first" r:id="rId11"/>
      <w:footerReference w:type="first" r:id="rId12"/>
      <w:pgSz w:w="11907" w:h="16840" w:code="9"/>
      <w:pgMar w:top="1134" w:right="1134" w:bottom="1134" w:left="1134" w:header="567" w:footer="567" w:gutter="0"/>
      <w:pgNumType w:start="1"/>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5D58" w:rsidRDefault="009A5D58" w:rsidP="0052069A">
      <w:r>
        <w:separator/>
      </w:r>
    </w:p>
  </w:endnote>
  <w:endnote w:type="continuationSeparator" w:id="0">
    <w:p w:rsidR="009A5D58" w:rsidRDefault="009A5D58" w:rsidP="00520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28B" w:rsidRDefault="00A7028B">
    <w:pPr>
      <w:pStyle w:val="Footer"/>
    </w:pPr>
    <w:r w:rsidRPr="00E467A0">
      <w:rPr>
        <w:noProof/>
        <w:lang w:eastAsia="en-AU"/>
      </w:rPr>
      <w:drawing>
        <wp:inline distT="0" distB="0" distL="0" distR="0">
          <wp:extent cx="6120130" cy="303390"/>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303390"/>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28B" w:rsidRPr="00E74E06" w:rsidRDefault="00A7028B" w:rsidP="00E74E06">
    <w:pPr>
      <w:pStyle w:val="Footer"/>
      <w:pBdr>
        <w:top w:val="single" w:sz="4" w:space="1" w:color="auto"/>
      </w:pBdr>
      <w:tabs>
        <w:tab w:val="clear" w:pos="4513"/>
        <w:tab w:val="clear" w:pos="9026"/>
        <w:tab w:val="right" w:pos="9639"/>
      </w:tabs>
      <w:rPr>
        <w:rFonts w:ascii="Arial" w:hAnsi="Arial" w:cs="Arial"/>
        <w:b/>
        <w:sz w:val="14"/>
        <w:szCs w:val="14"/>
      </w:rPr>
    </w:pPr>
    <w:r w:rsidRPr="00E74E06">
      <w:rPr>
        <w:rFonts w:ascii="Arial" w:hAnsi="Arial" w:cs="Arial"/>
        <w:b/>
        <w:sz w:val="14"/>
        <w:szCs w:val="14"/>
      </w:rPr>
      <w:t>Submitted by:  Jim Hancock</w:t>
    </w:r>
    <w:r w:rsidRPr="00E74E06">
      <w:rPr>
        <w:rFonts w:ascii="Arial" w:hAnsi="Arial" w:cs="Arial"/>
        <w:b/>
        <w:sz w:val="14"/>
        <w:szCs w:val="14"/>
      </w:rPr>
      <w:tab/>
      <w:t>July 2017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28B" w:rsidRPr="00F33B5B" w:rsidRDefault="00A7028B" w:rsidP="00F33B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5D58" w:rsidRDefault="009A5D58" w:rsidP="0052069A">
      <w:r>
        <w:separator/>
      </w:r>
    </w:p>
  </w:footnote>
  <w:footnote w:type="continuationSeparator" w:id="0">
    <w:p w:rsidR="009A5D58" w:rsidRDefault="009A5D58" w:rsidP="0052069A">
      <w:r>
        <w:continuationSeparator/>
      </w:r>
    </w:p>
  </w:footnote>
  <w:footnote w:id="1">
    <w:p w:rsidR="00A7028B" w:rsidRPr="005D03CE" w:rsidRDefault="00A7028B" w:rsidP="005D03CE">
      <w:pPr>
        <w:pStyle w:val="FootnoteText"/>
        <w:rPr>
          <w:rFonts w:ascii="Arial" w:hAnsi="Arial" w:cs="Arial"/>
          <w:sz w:val="12"/>
          <w:szCs w:val="12"/>
        </w:rPr>
      </w:pPr>
      <w:r w:rsidRPr="005D03CE">
        <w:rPr>
          <w:rStyle w:val="FootnoteReference"/>
          <w:rFonts w:ascii="Arial" w:hAnsi="Arial" w:cs="Arial"/>
          <w:sz w:val="12"/>
          <w:szCs w:val="12"/>
        </w:rPr>
        <w:footnoteRef/>
      </w:r>
      <w:r w:rsidRPr="005D03CE">
        <w:rPr>
          <w:rFonts w:ascii="Arial" w:hAnsi="Arial" w:cs="Arial"/>
          <w:sz w:val="12"/>
          <w:szCs w:val="12"/>
        </w:rPr>
        <w:t xml:space="preserve"> </w:t>
      </w:r>
      <w:r w:rsidRPr="005D03CE">
        <w:rPr>
          <w:rFonts w:ascii="Arial" w:hAnsi="Arial" w:cs="Arial"/>
          <w:sz w:val="12"/>
          <w:szCs w:val="12"/>
        </w:rPr>
        <w:tab/>
        <w:t>South Australian Centre for Economic Studies, University of Adelaide</w:t>
      </w:r>
      <w:r w:rsidR="005648CD">
        <w:rPr>
          <w:rFonts w:ascii="Arial" w:hAnsi="Arial" w:cs="Arial"/>
          <w:sz w:val="12"/>
          <w:szCs w:val="12"/>
        </w:rPr>
        <w:t xml:space="preserve"> and Research School of Economics, Australian National University</w:t>
      </w:r>
      <w:r w:rsidRPr="005D03CE">
        <w:rPr>
          <w:rFonts w:ascii="Arial" w:hAnsi="Arial" w:cs="Arial"/>
          <w:sz w:val="12"/>
          <w:szCs w:val="12"/>
        </w:rPr>
        <w:t xml:space="preserve">. The views herein are personal views and should not be attributed to </w:t>
      </w:r>
      <w:r w:rsidR="005648CD">
        <w:rPr>
          <w:rFonts w:ascii="Arial" w:hAnsi="Arial" w:cs="Arial"/>
          <w:sz w:val="12"/>
          <w:szCs w:val="12"/>
        </w:rPr>
        <w:t xml:space="preserve">either </w:t>
      </w:r>
      <w:r w:rsidR="0068298D">
        <w:rPr>
          <w:rFonts w:ascii="Arial" w:hAnsi="Arial" w:cs="Arial"/>
          <w:sz w:val="12"/>
          <w:szCs w:val="12"/>
        </w:rPr>
        <w:t>university</w:t>
      </w:r>
      <w:r w:rsidRPr="005D03CE">
        <w:rPr>
          <w:rFonts w:ascii="Arial" w:hAnsi="Arial" w:cs="Arial"/>
          <w:sz w:val="12"/>
          <w:szCs w:val="12"/>
        </w:rPr>
        <w:t>. The author has acted as a consultant to the Government of South Australia on federal financial issues.</w:t>
      </w:r>
    </w:p>
  </w:footnote>
  <w:footnote w:id="2">
    <w:p w:rsidR="00A7028B" w:rsidRPr="005D03CE" w:rsidRDefault="00A7028B" w:rsidP="005D03CE">
      <w:pPr>
        <w:pStyle w:val="FootnoteText"/>
        <w:rPr>
          <w:rFonts w:ascii="Arial" w:hAnsi="Arial" w:cs="Arial"/>
          <w:sz w:val="12"/>
          <w:szCs w:val="12"/>
        </w:rPr>
      </w:pPr>
      <w:r w:rsidRPr="005D03CE">
        <w:rPr>
          <w:rStyle w:val="FootnoteReference"/>
          <w:rFonts w:ascii="Arial" w:hAnsi="Arial" w:cs="Arial"/>
          <w:sz w:val="12"/>
          <w:szCs w:val="12"/>
        </w:rPr>
        <w:footnoteRef/>
      </w:r>
      <w:r w:rsidRPr="005D03CE">
        <w:rPr>
          <w:rFonts w:ascii="Arial" w:hAnsi="Arial" w:cs="Arial"/>
          <w:sz w:val="12"/>
          <w:szCs w:val="12"/>
        </w:rPr>
        <w:t xml:space="preserve"> </w:t>
      </w:r>
      <w:r w:rsidRPr="005D03CE">
        <w:rPr>
          <w:rFonts w:ascii="Arial" w:hAnsi="Arial" w:cs="Arial"/>
          <w:sz w:val="12"/>
          <w:szCs w:val="12"/>
        </w:rPr>
        <w:tab/>
        <w:t xml:space="preserve">Section 117 of the Australian Constitution relates to the rights of residents in States and says that </w:t>
      </w:r>
      <w:r w:rsidRPr="005D03CE">
        <w:rPr>
          <w:rFonts w:ascii="Arial" w:hAnsi="Arial" w:cs="Arial"/>
          <w:i/>
          <w:sz w:val="12"/>
          <w:szCs w:val="12"/>
        </w:rPr>
        <w:t>“A subject of the Queen, resident in any State, shall not be subject in any other State to any disability or discrimination which would not be equally applicable to him if he were a subject of the Queen resident in such other State.”</w:t>
      </w:r>
    </w:p>
  </w:footnote>
  <w:footnote w:id="3">
    <w:p w:rsidR="00A7028B" w:rsidRPr="005D03CE" w:rsidRDefault="00A7028B" w:rsidP="005D03CE">
      <w:pPr>
        <w:pStyle w:val="FootnoteText"/>
        <w:rPr>
          <w:rFonts w:ascii="Arial" w:hAnsi="Arial" w:cs="Arial"/>
          <w:sz w:val="12"/>
          <w:szCs w:val="12"/>
        </w:rPr>
      </w:pPr>
      <w:r w:rsidRPr="005D03CE">
        <w:rPr>
          <w:rStyle w:val="FootnoteReference"/>
          <w:rFonts w:ascii="Arial" w:hAnsi="Arial" w:cs="Arial"/>
          <w:sz w:val="12"/>
          <w:szCs w:val="12"/>
        </w:rPr>
        <w:footnoteRef/>
      </w:r>
      <w:r w:rsidRPr="005D03CE">
        <w:rPr>
          <w:rFonts w:ascii="Arial" w:hAnsi="Arial" w:cs="Arial"/>
          <w:sz w:val="12"/>
          <w:szCs w:val="12"/>
        </w:rPr>
        <w:t xml:space="preserve"> </w:t>
      </w:r>
      <w:r w:rsidRPr="005D03CE">
        <w:rPr>
          <w:rFonts w:ascii="Arial" w:hAnsi="Arial" w:cs="Arial"/>
          <w:sz w:val="12"/>
          <w:szCs w:val="12"/>
        </w:rPr>
        <w:tab/>
        <w:t>Producing a large pie that nobody wants will not raise living standards.</w:t>
      </w:r>
    </w:p>
  </w:footnote>
  <w:footnote w:id="4">
    <w:p w:rsidR="00A7028B" w:rsidRPr="005D03CE" w:rsidRDefault="00A7028B" w:rsidP="005D03CE">
      <w:pPr>
        <w:pStyle w:val="FootnoteText"/>
        <w:rPr>
          <w:rFonts w:ascii="Arial" w:hAnsi="Arial" w:cs="Arial"/>
          <w:sz w:val="12"/>
          <w:szCs w:val="12"/>
        </w:rPr>
      </w:pPr>
      <w:r w:rsidRPr="005D03CE">
        <w:rPr>
          <w:rStyle w:val="FootnoteReference"/>
          <w:rFonts w:ascii="Arial" w:hAnsi="Arial" w:cs="Arial"/>
          <w:sz w:val="12"/>
          <w:szCs w:val="12"/>
        </w:rPr>
        <w:footnoteRef/>
      </w:r>
      <w:r w:rsidRPr="005D03CE">
        <w:rPr>
          <w:rFonts w:ascii="Arial" w:hAnsi="Arial" w:cs="Arial"/>
          <w:sz w:val="12"/>
          <w:szCs w:val="12"/>
        </w:rPr>
        <w:t xml:space="preserve"> </w:t>
      </w:r>
      <w:r w:rsidRPr="005D03CE">
        <w:rPr>
          <w:rFonts w:ascii="Arial" w:hAnsi="Arial" w:cs="Arial"/>
          <w:sz w:val="12"/>
          <w:szCs w:val="12"/>
        </w:rPr>
        <w:tab/>
        <w:t xml:space="preserve">In the matter of States’ rights, I note that Section 96 of the Constitution provides that </w:t>
      </w:r>
      <w:r w:rsidRPr="005D03CE">
        <w:rPr>
          <w:rFonts w:ascii="Arial" w:hAnsi="Arial" w:cs="Arial"/>
          <w:i/>
          <w:sz w:val="12"/>
          <w:szCs w:val="12"/>
        </w:rPr>
        <w:t>“During a period of ten years after the establishment of the Commonwealth and thereafter until the Parliament otherwise provides, the Parliament may grant financial assistance to any State on such terms and conditions as the Parliament thinks fit.”</w:t>
      </w:r>
    </w:p>
  </w:footnote>
  <w:footnote w:id="5">
    <w:p w:rsidR="00A7028B" w:rsidRPr="005D03CE" w:rsidRDefault="00A7028B" w:rsidP="005D03CE">
      <w:pPr>
        <w:pStyle w:val="FootnoteText"/>
        <w:jc w:val="both"/>
        <w:rPr>
          <w:rFonts w:ascii="Arial" w:hAnsi="Arial" w:cs="Arial"/>
          <w:sz w:val="12"/>
          <w:szCs w:val="12"/>
        </w:rPr>
      </w:pPr>
      <w:r w:rsidRPr="005D03CE">
        <w:rPr>
          <w:rStyle w:val="FootnoteReference"/>
          <w:rFonts w:ascii="Arial" w:hAnsi="Arial" w:cs="Arial"/>
          <w:sz w:val="12"/>
          <w:szCs w:val="12"/>
        </w:rPr>
        <w:footnoteRef/>
      </w:r>
      <w:r w:rsidRPr="005D03CE">
        <w:rPr>
          <w:rFonts w:ascii="Arial" w:hAnsi="Arial" w:cs="Arial"/>
          <w:sz w:val="12"/>
          <w:szCs w:val="12"/>
        </w:rPr>
        <w:t xml:space="preserve"> </w:t>
      </w:r>
      <w:r w:rsidRPr="005D03CE">
        <w:rPr>
          <w:rFonts w:ascii="Arial" w:hAnsi="Arial" w:cs="Arial"/>
          <w:sz w:val="12"/>
          <w:szCs w:val="12"/>
        </w:rPr>
        <w:tab/>
        <w:t xml:space="preserve">Here I leave aside the case of conditional grants, which have the purpose of changing </w:t>
      </w:r>
      <w:r w:rsidR="0068298D">
        <w:rPr>
          <w:rFonts w:ascii="Arial" w:hAnsi="Arial" w:cs="Arial"/>
          <w:sz w:val="12"/>
          <w:szCs w:val="12"/>
        </w:rPr>
        <w:t>State</w:t>
      </w:r>
      <w:r w:rsidRPr="005D03CE">
        <w:rPr>
          <w:rFonts w:ascii="Arial" w:hAnsi="Arial" w:cs="Arial"/>
          <w:sz w:val="12"/>
          <w:szCs w:val="12"/>
        </w:rPr>
        <w:t xml:space="preserve"> decisions.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28B" w:rsidRPr="00004956" w:rsidRDefault="00A7028B" w:rsidP="00A7028B">
    <w:pPr>
      <w:pStyle w:val="Header"/>
      <w:tabs>
        <w:tab w:val="clear" w:pos="9026"/>
        <w:tab w:val="right" w:pos="10065"/>
      </w:tabs>
      <w:ind w:right="-454"/>
      <w:jc w:val="right"/>
      <w:rPr>
        <w:sz w:val="14"/>
      </w:rPr>
    </w:pPr>
    <w:r>
      <w:rPr>
        <w:noProof/>
        <w:lang w:eastAsia="en-AU"/>
      </w:rPr>
      <w:drawing>
        <wp:inline distT="0" distB="0" distL="0" distR="0" wp14:anchorId="6AF456D5" wp14:editId="3AB426BC">
          <wp:extent cx="4684395" cy="1078230"/>
          <wp:effectExtent l="0" t="0" r="1905" b="7620"/>
          <wp:docPr id="2" name="Picture 2" descr="C:\Users\a1000459\AppData\Local\Microsoft\Windows\Temporary Internet Files\Content.Word\UoA_SACES_col_horz_s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1000459\AppData\Local\Microsoft\Windows\Temporary Internet Files\Content.Word\UoA_SACES_col_horz_si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4395" cy="1078230"/>
                  </a:xfrm>
                  <a:prstGeom prst="rect">
                    <a:avLst/>
                  </a:prstGeom>
                  <a:noFill/>
                  <a:ln>
                    <a:noFill/>
                  </a:ln>
                </pic:spPr>
              </pic:pic>
            </a:graphicData>
          </a:graphic>
        </wp:inline>
      </w:drawing>
    </w:r>
  </w:p>
  <w:tbl>
    <w:tblPr>
      <w:tblW w:w="10173" w:type="dxa"/>
      <w:tblLook w:val="04A0" w:firstRow="1" w:lastRow="0" w:firstColumn="1" w:lastColumn="0" w:noHBand="0" w:noVBand="1"/>
    </w:tblPr>
    <w:tblGrid>
      <w:gridCol w:w="5920"/>
      <w:gridCol w:w="4253"/>
    </w:tblGrid>
    <w:tr w:rsidR="00A7028B" w:rsidRPr="00460EA1" w:rsidTr="00A7028B">
      <w:tc>
        <w:tcPr>
          <w:tcW w:w="5920" w:type="dxa"/>
          <w:shd w:val="clear" w:color="auto" w:fill="auto"/>
        </w:tcPr>
        <w:p w:rsidR="00A7028B" w:rsidRPr="00460EA1" w:rsidRDefault="00A7028B" w:rsidP="00A7028B">
          <w:pPr>
            <w:rPr>
              <w:b/>
              <w:color w:val="141313"/>
              <w:sz w:val="14"/>
            </w:rPr>
          </w:pPr>
        </w:p>
      </w:tc>
      <w:tc>
        <w:tcPr>
          <w:tcW w:w="4253" w:type="dxa"/>
          <w:shd w:val="clear" w:color="auto" w:fill="auto"/>
        </w:tcPr>
        <w:p w:rsidR="00A7028B" w:rsidRPr="0052069A" w:rsidRDefault="00A7028B" w:rsidP="00A7028B">
          <w:pPr>
            <w:ind w:left="454"/>
            <w:rPr>
              <w:rFonts w:ascii="Arial" w:hAnsi="Arial" w:cs="Arial"/>
              <w:b/>
              <w:color w:val="141313"/>
              <w:sz w:val="14"/>
              <w:szCs w:val="14"/>
            </w:rPr>
          </w:pPr>
          <w:r>
            <w:rPr>
              <w:rFonts w:ascii="Arial" w:hAnsi="Arial" w:cs="Arial"/>
              <w:b/>
              <w:color w:val="141313"/>
              <w:sz w:val="14"/>
              <w:szCs w:val="14"/>
            </w:rPr>
            <w:t>Jim Hancock</w:t>
          </w:r>
        </w:p>
        <w:p w:rsidR="00A7028B" w:rsidRPr="0052069A" w:rsidRDefault="00A7028B" w:rsidP="00A7028B">
          <w:pPr>
            <w:ind w:left="454"/>
            <w:rPr>
              <w:rFonts w:ascii="Arial" w:hAnsi="Arial" w:cs="Arial"/>
              <w:color w:val="141313"/>
              <w:sz w:val="14"/>
              <w:szCs w:val="14"/>
            </w:rPr>
          </w:pPr>
          <w:r>
            <w:rPr>
              <w:rFonts w:ascii="Arial" w:hAnsi="Arial" w:cs="Arial"/>
              <w:color w:val="141313"/>
              <w:sz w:val="14"/>
              <w:szCs w:val="14"/>
            </w:rPr>
            <w:t>Deputy</w:t>
          </w:r>
          <w:r w:rsidRPr="0052069A">
            <w:rPr>
              <w:rFonts w:ascii="Arial" w:hAnsi="Arial" w:cs="Arial"/>
              <w:color w:val="141313"/>
              <w:sz w:val="14"/>
              <w:szCs w:val="14"/>
            </w:rPr>
            <w:t xml:space="preserve"> Director</w:t>
          </w:r>
        </w:p>
        <w:p w:rsidR="00A7028B" w:rsidRDefault="00A7028B" w:rsidP="00A7028B">
          <w:pPr>
            <w:ind w:left="454"/>
            <w:rPr>
              <w:rFonts w:ascii="Arial" w:hAnsi="Arial" w:cs="Arial"/>
              <w:color w:val="141313"/>
              <w:sz w:val="14"/>
              <w:szCs w:val="14"/>
            </w:rPr>
          </w:pPr>
        </w:p>
        <w:p w:rsidR="00A7028B" w:rsidRDefault="00A7028B" w:rsidP="00A7028B">
          <w:pPr>
            <w:ind w:left="454"/>
            <w:rPr>
              <w:rFonts w:ascii="Arial" w:hAnsi="Arial" w:cs="Arial"/>
              <w:color w:val="141313"/>
              <w:sz w:val="14"/>
              <w:szCs w:val="14"/>
            </w:rPr>
          </w:pPr>
          <w:r>
            <w:rPr>
              <w:rFonts w:ascii="Arial" w:hAnsi="Arial" w:cs="Arial"/>
              <w:color w:val="141313"/>
              <w:sz w:val="14"/>
              <w:szCs w:val="14"/>
            </w:rPr>
            <w:t>South Australian Centre for Economic Studies</w:t>
          </w:r>
        </w:p>
        <w:p w:rsidR="00A7028B" w:rsidRDefault="00A7028B" w:rsidP="00A7028B">
          <w:pPr>
            <w:ind w:left="454"/>
            <w:rPr>
              <w:rFonts w:ascii="Arial" w:hAnsi="Arial" w:cs="Arial"/>
              <w:color w:val="141313"/>
              <w:sz w:val="14"/>
              <w:szCs w:val="14"/>
            </w:rPr>
          </w:pPr>
          <w:r>
            <w:rPr>
              <w:rFonts w:ascii="Arial" w:hAnsi="Arial" w:cs="Arial"/>
              <w:color w:val="141313"/>
              <w:sz w:val="14"/>
              <w:szCs w:val="14"/>
            </w:rPr>
            <w:t>University of Adelaide</w:t>
          </w:r>
        </w:p>
        <w:p w:rsidR="00A7028B" w:rsidRDefault="00A7028B" w:rsidP="00A7028B">
          <w:pPr>
            <w:ind w:left="454"/>
            <w:rPr>
              <w:rFonts w:ascii="Arial" w:hAnsi="Arial" w:cs="Arial"/>
              <w:color w:val="141313"/>
              <w:sz w:val="14"/>
              <w:szCs w:val="14"/>
            </w:rPr>
          </w:pPr>
          <w:r>
            <w:rPr>
              <w:rFonts w:ascii="Arial" w:hAnsi="Arial" w:cs="Arial"/>
              <w:color w:val="141313"/>
              <w:sz w:val="14"/>
              <w:szCs w:val="14"/>
            </w:rPr>
            <w:t>SA  5005</w:t>
          </w:r>
        </w:p>
        <w:p w:rsidR="00A7028B" w:rsidRDefault="00A7028B" w:rsidP="00A7028B">
          <w:pPr>
            <w:ind w:left="454"/>
            <w:rPr>
              <w:rFonts w:ascii="Arial" w:hAnsi="Arial" w:cs="Arial"/>
              <w:color w:val="141313"/>
              <w:sz w:val="14"/>
              <w:szCs w:val="14"/>
            </w:rPr>
          </w:pPr>
          <w:r>
            <w:rPr>
              <w:rFonts w:ascii="Arial" w:hAnsi="Arial" w:cs="Arial"/>
              <w:color w:val="141313"/>
              <w:sz w:val="14"/>
              <w:szCs w:val="14"/>
            </w:rPr>
            <w:t>AUSTRALIA</w:t>
          </w:r>
        </w:p>
        <w:p w:rsidR="00A7028B" w:rsidRPr="0052069A" w:rsidRDefault="00A7028B" w:rsidP="00A7028B">
          <w:pPr>
            <w:ind w:left="454"/>
            <w:rPr>
              <w:rFonts w:ascii="Arial" w:hAnsi="Arial" w:cs="Arial"/>
              <w:color w:val="141313"/>
              <w:sz w:val="14"/>
              <w:szCs w:val="14"/>
            </w:rPr>
          </w:pPr>
        </w:p>
        <w:p w:rsidR="00A7028B" w:rsidRPr="0052069A" w:rsidRDefault="00A7028B" w:rsidP="00A7028B">
          <w:pPr>
            <w:ind w:left="454"/>
            <w:rPr>
              <w:rFonts w:ascii="Arial" w:hAnsi="Arial" w:cs="Arial"/>
              <w:color w:val="141313"/>
              <w:sz w:val="14"/>
              <w:szCs w:val="14"/>
            </w:rPr>
          </w:pPr>
          <w:r w:rsidRPr="0052069A">
            <w:rPr>
              <w:rFonts w:ascii="Arial" w:hAnsi="Arial" w:cs="Arial"/>
              <w:color w:val="141313"/>
              <w:sz w:val="14"/>
              <w:szCs w:val="14"/>
            </w:rPr>
            <w:t>Level 3, Nexus Tower</w:t>
          </w:r>
          <w:r w:rsidRPr="0052069A">
            <w:rPr>
              <w:rFonts w:ascii="Arial" w:hAnsi="Arial" w:cs="Arial"/>
              <w:color w:val="141313"/>
              <w:sz w:val="14"/>
              <w:szCs w:val="14"/>
            </w:rPr>
            <w:br/>
            <w:t xml:space="preserve">10 </w:t>
          </w:r>
          <w:proofErr w:type="spellStart"/>
          <w:r w:rsidRPr="0052069A">
            <w:rPr>
              <w:rFonts w:ascii="Arial" w:hAnsi="Arial" w:cs="Arial"/>
              <w:color w:val="141313"/>
              <w:sz w:val="14"/>
              <w:szCs w:val="14"/>
            </w:rPr>
            <w:t>Pulteney</w:t>
          </w:r>
          <w:proofErr w:type="spellEnd"/>
          <w:r w:rsidRPr="0052069A">
            <w:rPr>
              <w:rFonts w:ascii="Arial" w:hAnsi="Arial" w:cs="Arial"/>
              <w:color w:val="141313"/>
              <w:sz w:val="14"/>
              <w:szCs w:val="14"/>
            </w:rPr>
            <w:t xml:space="preserve"> Street</w:t>
          </w:r>
        </w:p>
        <w:p w:rsidR="00A7028B" w:rsidRPr="0052069A" w:rsidRDefault="00A7028B" w:rsidP="00A7028B">
          <w:pPr>
            <w:ind w:left="454"/>
            <w:rPr>
              <w:rFonts w:ascii="Arial" w:hAnsi="Arial" w:cs="Arial"/>
              <w:color w:val="141313"/>
              <w:sz w:val="14"/>
              <w:szCs w:val="14"/>
            </w:rPr>
          </w:pPr>
          <w:r w:rsidRPr="0052069A">
            <w:rPr>
              <w:rFonts w:ascii="Arial" w:hAnsi="Arial" w:cs="Arial"/>
              <w:color w:val="141313"/>
              <w:sz w:val="14"/>
              <w:szCs w:val="14"/>
            </w:rPr>
            <w:t>Adelaide  SA  5000</w:t>
          </w:r>
        </w:p>
        <w:p w:rsidR="00A7028B" w:rsidRPr="0052069A" w:rsidRDefault="00A7028B" w:rsidP="00A7028B">
          <w:pPr>
            <w:ind w:left="454"/>
            <w:rPr>
              <w:rFonts w:ascii="Arial" w:hAnsi="Arial" w:cs="Arial"/>
              <w:color w:val="141313"/>
              <w:sz w:val="14"/>
              <w:szCs w:val="14"/>
            </w:rPr>
          </w:pPr>
        </w:p>
        <w:p w:rsidR="00A7028B" w:rsidRPr="0052069A" w:rsidRDefault="00A7028B" w:rsidP="00A7028B">
          <w:pPr>
            <w:ind w:left="454"/>
            <w:rPr>
              <w:rFonts w:ascii="Arial" w:hAnsi="Arial" w:cs="Arial"/>
              <w:color w:val="141313"/>
              <w:sz w:val="14"/>
              <w:szCs w:val="14"/>
            </w:rPr>
          </w:pPr>
          <w:r w:rsidRPr="0052069A">
            <w:rPr>
              <w:rFonts w:ascii="Arial" w:hAnsi="Arial" w:cs="Arial"/>
              <w:color w:val="141313"/>
              <w:sz w:val="14"/>
              <w:szCs w:val="14"/>
            </w:rPr>
            <w:t xml:space="preserve">Telephone +61 8 8313 </w:t>
          </w:r>
          <w:r>
            <w:rPr>
              <w:rFonts w:ascii="Arial" w:hAnsi="Arial" w:cs="Arial"/>
              <w:color w:val="141313"/>
              <w:sz w:val="14"/>
              <w:szCs w:val="14"/>
            </w:rPr>
            <w:t>5515</w:t>
          </w:r>
        </w:p>
        <w:p w:rsidR="00A7028B" w:rsidRPr="0052069A" w:rsidRDefault="00A7028B" w:rsidP="00A7028B">
          <w:pPr>
            <w:ind w:left="454"/>
            <w:rPr>
              <w:rFonts w:ascii="Arial" w:hAnsi="Arial" w:cs="Arial"/>
              <w:color w:val="141313"/>
              <w:sz w:val="14"/>
              <w:szCs w:val="14"/>
            </w:rPr>
          </w:pPr>
          <w:r w:rsidRPr="0052069A">
            <w:rPr>
              <w:rFonts w:ascii="Arial" w:hAnsi="Arial" w:cs="Arial"/>
              <w:color w:val="141313"/>
              <w:sz w:val="14"/>
              <w:szCs w:val="14"/>
            </w:rPr>
            <w:t>Facsimile</w:t>
          </w:r>
          <w:r>
            <w:rPr>
              <w:rFonts w:ascii="Arial" w:hAnsi="Arial" w:cs="Arial"/>
              <w:color w:val="141313"/>
              <w:sz w:val="14"/>
              <w:szCs w:val="14"/>
            </w:rPr>
            <w:t xml:space="preserve">  </w:t>
          </w:r>
          <w:r w:rsidRPr="0052069A">
            <w:rPr>
              <w:rFonts w:ascii="Arial" w:hAnsi="Arial" w:cs="Arial"/>
              <w:color w:val="141313"/>
              <w:sz w:val="14"/>
              <w:szCs w:val="14"/>
            </w:rPr>
            <w:t xml:space="preserve"> +61 8 8313 4916</w:t>
          </w:r>
        </w:p>
        <w:p w:rsidR="00A7028B" w:rsidRPr="0052069A" w:rsidRDefault="00B51A29" w:rsidP="00A7028B">
          <w:pPr>
            <w:pStyle w:val="Heading4"/>
            <w:spacing w:before="0" w:after="0"/>
            <w:ind w:left="454"/>
            <w:rPr>
              <w:rFonts w:cs="Arial"/>
              <w:b w:val="0"/>
              <w:i w:val="0"/>
              <w:color w:val="141313"/>
              <w:sz w:val="14"/>
              <w:szCs w:val="14"/>
            </w:rPr>
          </w:pPr>
          <w:r>
            <w:rPr>
              <w:rFonts w:cs="Arial"/>
              <w:b w:val="0"/>
              <w:i w:val="0"/>
              <w:color w:val="141313"/>
              <w:sz w:val="14"/>
              <w:szCs w:val="14"/>
            </w:rPr>
            <w:t xml:space="preserve"> </w:t>
          </w:r>
        </w:p>
        <w:p w:rsidR="00A7028B" w:rsidRPr="0052069A" w:rsidRDefault="00A7028B" w:rsidP="00A7028B">
          <w:pPr>
            <w:pStyle w:val="Heading4"/>
            <w:spacing w:before="0" w:after="0"/>
            <w:ind w:left="454"/>
            <w:rPr>
              <w:rFonts w:cs="Arial"/>
              <w:color w:val="141313"/>
              <w:sz w:val="14"/>
              <w:szCs w:val="14"/>
            </w:rPr>
          </w:pPr>
          <w:r w:rsidRPr="0052069A">
            <w:rPr>
              <w:rFonts w:cs="Arial"/>
              <w:b w:val="0"/>
              <w:i w:val="0"/>
              <w:color w:val="141313"/>
              <w:sz w:val="14"/>
              <w:szCs w:val="14"/>
            </w:rPr>
            <w:t>CRICOS provider number 00123M</w:t>
          </w:r>
        </w:p>
      </w:tc>
    </w:tr>
  </w:tbl>
  <w:p w:rsidR="00A7028B" w:rsidRDefault="00A7028B" w:rsidP="00A702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28B" w:rsidRPr="00E74E06" w:rsidRDefault="00A7028B" w:rsidP="00E74E06">
    <w:pPr>
      <w:pBdr>
        <w:bottom w:val="single" w:sz="4" w:space="1" w:color="auto"/>
      </w:pBdr>
      <w:tabs>
        <w:tab w:val="right" w:pos="9639"/>
      </w:tabs>
      <w:jc w:val="both"/>
      <w:rPr>
        <w:rFonts w:ascii="Arial" w:hAnsi="Arial" w:cs="Arial"/>
        <w:b/>
        <w:sz w:val="14"/>
        <w:szCs w:val="14"/>
      </w:rPr>
    </w:pPr>
    <w:r w:rsidRPr="00E74E06">
      <w:rPr>
        <w:rFonts w:ascii="Arial" w:hAnsi="Arial" w:cs="Arial"/>
        <w:b/>
        <w:sz w:val="14"/>
        <w:szCs w:val="20"/>
      </w:rPr>
      <w:t xml:space="preserve">Submission to Productivity Commission </w:t>
    </w:r>
    <w:r w:rsidRPr="00E74E06">
      <w:rPr>
        <w:rFonts w:ascii="Arial" w:hAnsi="Arial" w:cs="Arial"/>
        <w:b/>
        <w:i/>
        <w:sz w:val="14"/>
        <w:szCs w:val="20"/>
      </w:rPr>
      <w:t>Horizontal Fiscal Equalisation</w:t>
    </w:r>
    <w:r w:rsidRPr="00E74E06">
      <w:rPr>
        <w:rFonts w:ascii="Arial" w:hAnsi="Arial" w:cs="Arial"/>
        <w:b/>
        <w:sz w:val="14"/>
        <w:szCs w:val="20"/>
      </w:rPr>
      <w:t xml:space="preserve"> Inquiry</w:t>
    </w:r>
    <w:r>
      <w:rPr>
        <w:rFonts w:ascii="Arial" w:hAnsi="Arial" w:cs="Arial"/>
        <w:b/>
        <w:sz w:val="14"/>
        <w:szCs w:val="20"/>
      </w:rPr>
      <w:tab/>
    </w:r>
    <w:r w:rsidRPr="00E74E06">
      <w:rPr>
        <w:rFonts w:ascii="Arial" w:hAnsi="Arial" w:cs="Arial"/>
        <w:b/>
        <w:sz w:val="14"/>
        <w:szCs w:val="14"/>
      </w:rPr>
      <w:t xml:space="preserve">Page </w:t>
    </w:r>
    <w:r w:rsidRPr="00E74E06">
      <w:rPr>
        <w:rStyle w:val="PageNumber"/>
        <w:rFonts w:ascii="Arial" w:hAnsi="Arial" w:cs="Arial"/>
        <w:b/>
        <w:sz w:val="14"/>
        <w:szCs w:val="14"/>
      </w:rPr>
      <w:fldChar w:fldCharType="begin"/>
    </w:r>
    <w:r w:rsidRPr="00E74E06">
      <w:rPr>
        <w:rStyle w:val="PageNumber"/>
        <w:rFonts w:ascii="Arial" w:hAnsi="Arial" w:cs="Arial"/>
        <w:b/>
        <w:sz w:val="14"/>
        <w:szCs w:val="14"/>
      </w:rPr>
      <w:instrText xml:space="preserve"> PAGE </w:instrText>
    </w:r>
    <w:r w:rsidRPr="00E74E06">
      <w:rPr>
        <w:rStyle w:val="PageNumber"/>
        <w:rFonts w:ascii="Arial" w:hAnsi="Arial" w:cs="Arial"/>
        <w:b/>
        <w:sz w:val="14"/>
        <w:szCs w:val="14"/>
      </w:rPr>
      <w:fldChar w:fldCharType="separate"/>
    </w:r>
    <w:r w:rsidR="00B51A29">
      <w:rPr>
        <w:rStyle w:val="PageNumber"/>
        <w:rFonts w:ascii="Arial" w:hAnsi="Arial" w:cs="Arial"/>
        <w:b/>
        <w:noProof/>
        <w:sz w:val="14"/>
        <w:szCs w:val="14"/>
      </w:rPr>
      <w:t>12</w:t>
    </w:r>
    <w:r w:rsidRPr="00E74E06">
      <w:rPr>
        <w:rStyle w:val="PageNumber"/>
        <w:rFonts w:ascii="Arial" w:hAnsi="Arial" w:cs="Arial"/>
        <w:b/>
        <w:sz w:val="14"/>
        <w:szCs w:val="1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28B" w:rsidRPr="00F33B5B" w:rsidRDefault="00A7028B" w:rsidP="00F33B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4A0FA5"/>
    <w:multiLevelType w:val="hybridMultilevel"/>
    <w:tmpl w:val="769848B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2BC26437"/>
    <w:multiLevelType w:val="hybridMultilevel"/>
    <w:tmpl w:val="542C8DA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69D73355"/>
    <w:multiLevelType w:val="hybridMultilevel"/>
    <w:tmpl w:val="DB62D6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F573AC0"/>
    <w:multiLevelType w:val="hybridMultilevel"/>
    <w:tmpl w:val="F832396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defaultTabStop w:val="851"/>
  <w:drawingGridHorizontalSpacing w:val="120"/>
  <w:drawingGridVerticalSpacing w:val="163"/>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3CE"/>
    <w:rsid w:val="000010F8"/>
    <w:rsid w:val="0000296F"/>
    <w:rsid w:val="00002A00"/>
    <w:rsid w:val="000034BE"/>
    <w:rsid w:val="00004956"/>
    <w:rsid w:val="00006887"/>
    <w:rsid w:val="00007A3B"/>
    <w:rsid w:val="00007DB1"/>
    <w:rsid w:val="00010E32"/>
    <w:rsid w:val="00012740"/>
    <w:rsid w:val="0001289E"/>
    <w:rsid w:val="00024701"/>
    <w:rsid w:val="00024EAF"/>
    <w:rsid w:val="000261AA"/>
    <w:rsid w:val="00026C84"/>
    <w:rsid w:val="00033A8E"/>
    <w:rsid w:val="0003507E"/>
    <w:rsid w:val="00035F4E"/>
    <w:rsid w:val="000519CD"/>
    <w:rsid w:val="00056B00"/>
    <w:rsid w:val="0005761D"/>
    <w:rsid w:val="00057BAC"/>
    <w:rsid w:val="000615EC"/>
    <w:rsid w:val="00061C60"/>
    <w:rsid w:val="00070BA8"/>
    <w:rsid w:val="000743F5"/>
    <w:rsid w:val="00075012"/>
    <w:rsid w:val="00076850"/>
    <w:rsid w:val="0007774D"/>
    <w:rsid w:val="0008108F"/>
    <w:rsid w:val="0008140B"/>
    <w:rsid w:val="00084A18"/>
    <w:rsid w:val="000856BF"/>
    <w:rsid w:val="00096DD1"/>
    <w:rsid w:val="00097465"/>
    <w:rsid w:val="000A48D5"/>
    <w:rsid w:val="000A7327"/>
    <w:rsid w:val="000B1739"/>
    <w:rsid w:val="000B17EE"/>
    <w:rsid w:val="000B5F72"/>
    <w:rsid w:val="000B7215"/>
    <w:rsid w:val="000C46CE"/>
    <w:rsid w:val="000D10DE"/>
    <w:rsid w:val="000D6168"/>
    <w:rsid w:val="000E2172"/>
    <w:rsid w:val="000E4149"/>
    <w:rsid w:val="000E4C2A"/>
    <w:rsid w:val="000E6007"/>
    <w:rsid w:val="000F0913"/>
    <w:rsid w:val="000F1F50"/>
    <w:rsid w:val="000F5062"/>
    <w:rsid w:val="000F6AD6"/>
    <w:rsid w:val="000F6E5C"/>
    <w:rsid w:val="000F7407"/>
    <w:rsid w:val="00107593"/>
    <w:rsid w:val="001144DF"/>
    <w:rsid w:val="00117508"/>
    <w:rsid w:val="00117A7A"/>
    <w:rsid w:val="001204FD"/>
    <w:rsid w:val="0012348A"/>
    <w:rsid w:val="00123B10"/>
    <w:rsid w:val="00125DC6"/>
    <w:rsid w:val="00126606"/>
    <w:rsid w:val="00130C15"/>
    <w:rsid w:val="00143B5A"/>
    <w:rsid w:val="00145506"/>
    <w:rsid w:val="001461E1"/>
    <w:rsid w:val="00146458"/>
    <w:rsid w:val="00153125"/>
    <w:rsid w:val="001562EE"/>
    <w:rsid w:val="00156C64"/>
    <w:rsid w:val="0016046D"/>
    <w:rsid w:val="00160DED"/>
    <w:rsid w:val="00171DAA"/>
    <w:rsid w:val="00172091"/>
    <w:rsid w:val="00175B9E"/>
    <w:rsid w:val="00175EBB"/>
    <w:rsid w:val="00185CAA"/>
    <w:rsid w:val="001864C7"/>
    <w:rsid w:val="00186746"/>
    <w:rsid w:val="001916D0"/>
    <w:rsid w:val="00191B15"/>
    <w:rsid w:val="00195DB0"/>
    <w:rsid w:val="001A2F33"/>
    <w:rsid w:val="001B65D9"/>
    <w:rsid w:val="001B7B90"/>
    <w:rsid w:val="001C7AEF"/>
    <w:rsid w:val="001D152A"/>
    <w:rsid w:val="001D173F"/>
    <w:rsid w:val="001E243D"/>
    <w:rsid w:val="001E7604"/>
    <w:rsid w:val="001F7112"/>
    <w:rsid w:val="00202F27"/>
    <w:rsid w:val="00205D3E"/>
    <w:rsid w:val="00212EFD"/>
    <w:rsid w:val="002131B0"/>
    <w:rsid w:val="00213899"/>
    <w:rsid w:val="002152B2"/>
    <w:rsid w:val="00220185"/>
    <w:rsid w:val="00222D86"/>
    <w:rsid w:val="00225700"/>
    <w:rsid w:val="00230BA8"/>
    <w:rsid w:val="0023171D"/>
    <w:rsid w:val="00232501"/>
    <w:rsid w:val="00232C64"/>
    <w:rsid w:val="00232ED1"/>
    <w:rsid w:val="002338E3"/>
    <w:rsid w:val="00236568"/>
    <w:rsid w:val="00237E12"/>
    <w:rsid w:val="002415BC"/>
    <w:rsid w:val="002475B6"/>
    <w:rsid w:val="002527EA"/>
    <w:rsid w:val="0026318D"/>
    <w:rsid w:val="00264092"/>
    <w:rsid w:val="00267FD3"/>
    <w:rsid w:val="002711B4"/>
    <w:rsid w:val="00280E41"/>
    <w:rsid w:val="00283738"/>
    <w:rsid w:val="00283A4F"/>
    <w:rsid w:val="00285CE2"/>
    <w:rsid w:val="00285D55"/>
    <w:rsid w:val="00286CD9"/>
    <w:rsid w:val="00294770"/>
    <w:rsid w:val="002953C1"/>
    <w:rsid w:val="00297D38"/>
    <w:rsid w:val="00297F45"/>
    <w:rsid w:val="002A20F5"/>
    <w:rsid w:val="002B37B7"/>
    <w:rsid w:val="002B5678"/>
    <w:rsid w:val="002C1617"/>
    <w:rsid w:val="002C7C0D"/>
    <w:rsid w:val="002D1BD4"/>
    <w:rsid w:val="002D1F32"/>
    <w:rsid w:val="002D2353"/>
    <w:rsid w:val="002D5F7E"/>
    <w:rsid w:val="002D6BE5"/>
    <w:rsid w:val="002E0C40"/>
    <w:rsid w:val="002E319C"/>
    <w:rsid w:val="002E4768"/>
    <w:rsid w:val="002E5180"/>
    <w:rsid w:val="002E6B87"/>
    <w:rsid w:val="002F3B90"/>
    <w:rsid w:val="002F4D32"/>
    <w:rsid w:val="00300C2A"/>
    <w:rsid w:val="003034BB"/>
    <w:rsid w:val="003112D3"/>
    <w:rsid w:val="00321079"/>
    <w:rsid w:val="003215F0"/>
    <w:rsid w:val="00323139"/>
    <w:rsid w:val="00323EF2"/>
    <w:rsid w:val="003378AE"/>
    <w:rsid w:val="003423C0"/>
    <w:rsid w:val="003425B6"/>
    <w:rsid w:val="00345E39"/>
    <w:rsid w:val="0035201E"/>
    <w:rsid w:val="003602D5"/>
    <w:rsid w:val="003626C7"/>
    <w:rsid w:val="0036695C"/>
    <w:rsid w:val="0037153C"/>
    <w:rsid w:val="0038050E"/>
    <w:rsid w:val="00381178"/>
    <w:rsid w:val="00381242"/>
    <w:rsid w:val="00381606"/>
    <w:rsid w:val="00383691"/>
    <w:rsid w:val="00383928"/>
    <w:rsid w:val="00385900"/>
    <w:rsid w:val="00387844"/>
    <w:rsid w:val="00391CB2"/>
    <w:rsid w:val="003943F0"/>
    <w:rsid w:val="00394C59"/>
    <w:rsid w:val="00394E86"/>
    <w:rsid w:val="003A1E57"/>
    <w:rsid w:val="003A4AF7"/>
    <w:rsid w:val="003A70F3"/>
    <w:rsid w:val="003B19BC"/>
    <w:rsid w:val="003B44E3"/>
    <w:rsid w:val="003C63C5"/>
    <w:rsid w:val="003C6EE3"/>
    <w:rsid w:val="003D55F7"/>
    <w:rsid w:val="003D6A1D"/>
    <w:rsid w:val="003D7950"/>
    <w:rsid w:val="003E1333"/>
    <w:rsid w:val="003E3498"/>
    <w:rsid w:val="003F299F"/>
    <w:rsid w:val="003F3836"/>
    <w:rsid w:val="003F43A8"/>
    <w:rsid w:val="003F58F8"/>
    <w:rsid w:val="003F7045"/>
    <w:rsid w:val="004033F9"/>
    <w:rsid w:val="004056B5"/>
    <w:rsid w:val="00411525"/>
    <w:rsid w:val="00413D0E"/>
    <w:rsid w:val="00414BBF"/>
    <w:rsid w:val="00421EF6"/>
    <w:rsid w:val="00433333"/>
    <w:rsid w:val="0044177E"/>
    <w:rsid w:val="004459FF"/>
    <w:rsid w:val="0045078B"/>
    <w:rsid w:val="004610D8"/>
    <w:rsid w:val="00461CD8"/>
    <w:rsid w:val="004623D7"/>
    <w:rsid w:val="00462C55"/>
    <w:rsid w:val="00463DCC"/>
    <w:rsid w:val="00472880"/>
    <w:rsid w:val="00473AAA"/>
    <w:rsid w:val="00473C28"/>
    <w:rsid w:val="004A3095"/>
    <w:rsid w:val="004A66A4"/>
    <w:rsid w:val="004B2CB8"/>
    <w:rsid w:val="004B6380"/>
    <w:rsid w:val="004C0EB4"/>
    <w:rsid w:val="004C2609"/>
    <w:rsid w:val="004C3D4E"/>
    <w:rsid w:val="004C7903"/>
    <w:rsid w:val="004D0A99"/>
    <w:rsid w:val="004D1D6A"/>
    <w:rsid w:val="004D23CF"/>
    <w:rsid w:val="004E1A71"/>
    <w:rsid w:val="004F1889"/>
    <w:rsid w:val="004F220C"/>
    <w:rsid w:val="004F4E8B"/>
    <w:rsid w:val="004F6392"/>
    <w:rsid w:val="005004B2"/>
    <w:rsid w:val="00502A14"/>
    <w:rsid w:val="005041A8"/>
    <w:rsid w:val="00505B3F"/>
    <w:rsid w:val="00507A27"/>
    <w:rsid w:val="00510635"/>
    <w:rsid w:val="00511ECF"/>
    <w:rsid w:val="00512525"/>
    <w:rsid w:val="00513985"/>
    <w:rsid w:val="0052069A"/>
    <w:rsid w:val="0052790C"/>
    <w:rsid w:val="00531133"/>
    <w:rsid w:val="005429FB"/>
    <w:rsid w:val="005457C0"/>
    <w:rsid w:val="00547C10"/>
    <w:rsid w:val="00551DC0"/>
    <w:rsid w:val="00564127"/>
    <w:rsid w:val="005648CD"/>
    <w:rsid w:val="00565868"/>
    <w:rsid w:val="00565AFF"/>
    <w:rsid w:val="00565CB0"/>
    <w:rsid w:val="00566AD6"/>
    <w:rsid w:val="0057556E"/>
    <w:rsid w:val="00577CEB"/>
    <w:rsid w:val="00585B15"/>
    <w:rsid w:val="0059005B"/>
    <w:rsid w:val="00591D20"/>
    <w:rsid w:val="00593553"/>
    <w:rsid w:val="00594408"/>
    <w:rsid w:val="00596AFE"/>
    <w:rsid w:val="00596DA1"/>
    <w:rsid w:val="00597517"/>
    <w:rsid w:val="005A0629"/>
    <w:rsid w:val="005A0D0F"/>
    <w:rsid w:val="005A475B"/>
    <w:rsid w:val="005B04A3"/>
    <w:rsid w:val="005B36D4"/>
    <w:rsid w:val="005C4E01"/>
    <w:rsid w:val="005C7700"/>
    <w:rsid w:val="005D0074"/>
    <w:rsid w:val="005D03CE"/>
    <w:rsid w:val="005D56FB"/>
    <w:rsid w:val="005E0C0A"/>
    <w:rsid w:val="005E1E8E"/>
    <w:rsid w:val="005E6DC5"/>
    <w:rsid w:val="005E7BF0"/>
    <w:rsid w:val="005F2D41"/>
    <w:rsid w:val="00600F58"/>
    <w:rsid w:val="00601214"/>
    <w:rsid w:val="00610C0E"/>
    <w:rsid w:val="006143AC"/>
    <w:rsid w:val="006209CE"/>
    <w:rsid w:val="00625DB2"/>
    <w:rsid w:val="0062640E"/>
    <w:rsid w:val="00637676"/>
    <w:rsid w:val="006403F8"/>
    <w:rsid w:val="00651A9C"/>
    <w:rsid w:val="00652544"/>
    <w:rsid w:val="006541AD"/>
    <w:rsid w:val="00654231"/>
    <w:rsid w:val="00656522"/>
    <w:rsid w:val="00660722"/>
    <w:rsid w:val="006621B3"/>
    <w:rsid w:val="00670E8B"/>
    <w:rsid w:val="00671A34"/>
    <w:rsid w:val="006725F8"/>
    <w:rsid w:val="00674C22"/>
    <w:rsid w:val="00674C26"/>
    <w:rsid w:val="00675D73"/>
    <w:rsid w:val="006766A5"/>
    <w:rsid w:val="0067674E"/>
    <w:rsid w:val="00680881"/>
    <w:rsid w:val="0068298D"/>
    <w:rsid w:val="00683405"/>
    <w:rsid w:val="00684B38"/>
    <w:rsid w:val="00690273"/>
    <w:rsid w:val="00691231"/>
    <w:rsid w:val="006924EE"/>
    <w:rsid w:val="00696039"/>
    <w:rsid w:val="0069714A"/>
    <w:rsid w:val="0069761F"/>
    <w:rsid w:val="006A31B6"/>
    <w:rsid w:val="006A402E"/>
    <w:rsid w:val="006A52AC"/>
    <w:rsid w:val="006A5DCD"/>
    <w:rsid w:val="006A7276"/>
    <w:rsid w:val="006B1A0D"/>
    <w:rsid w:val="006B6734"/>
    <w:rsid w:val="006B7B6A"/>
    <w:rsid w:val="006C024B"/>
    <w:rsid w:val="006C5B36"/>
    <w:rsid w:val="006D0A1F"/>
    <w:rsid w:val="006D182F"/>
    <w:rsid w:val="006D29C3"/>
    <w:rsid w:val="006D76A3"/>
    <w:rsid w:val="006D7D9A"/>
    <w:rsid w:val="006E4C01"/>
    <w:rsid w:val="006E5FFB"/>
    <w:rsid w:val="006E7031"/>
    <w:rsid w:val="006F14F3"/>
    <w:rsid w:val="006F5F56"/>
    <w:rsid w:val="007007A6"/>
    <w:rsid w:val="00700A90"/>
    <w:rsid w:val="00701D69"/>
    <w:rsid w:val="007042FF"/>
    <w:rsid w:val="007146B1"/>
    <w:rsid w:val="00715844"/>
    <w:rsid w:val="007205A4"/>
    <w:rsid w:val="007243D1"/>
    <w:rsid w:val="00726072"/>
    <w:rsid w:val="00726BB3"/>
    <w:rsid w:val="00734E57"/>
    <w:rsid w:val="007424E0"/>
    <w:rsid w:val="007464C8"/>
    <w:rsid w:val="0075048A"/>
    <w:rsid w:val="0075243A"/>
    <w:rsid w:val="00753BD4"/>
    <w:rsid w:val="007619C3"/>
    <w:rsid w:val="00763EED"/>
    <w:rsid w:val="00773C64"/>
    <w:rsid w:val="0078536F"/>
    <w:rsid w:val="007913B5"/>
    <w:rsid w:val="00791458"/>
    <w:rsid w:val="00797E9F"/>
    <w:rsid w:val="007A210D"/>
    <w:rsid w:val="007A24A7"/>
    <w:rsid w:val="007A2B0B"/>
    <w:rsid w:val="007A2D4C"/>
    <w:rsid w:val="007A65C8"/>
    <w:rsid w:val="007B1BB8"/>
    <w:rsid w:val="007B3783"/>
    <w:rsid w:val="007B55D6"/>
    <w:rsid w:val="007D0A5B"/>
    <w:rsid w:val="007D1A5B"/>
    <w:rsid w:val="007D20C5"/>
    <w:rsid w:val="007D3089"/>
    <w:rsid w:val="007D38F6"/>
    <w:rsid w:val="007E4767"/>
    <w:rsid w:val="007F0CE0"/>
    <w:rsid w:val="007F319B"/>
    <w:rsid w:val="007F3412"/>
    <w:rsid w:val="008016DB"/>
    <w:rsid w:val="008045EF"/>
    <w:rsid w:val="00807B81"/>
    <w:rsid w:val="008108B2"/>
    <w:rsid w:val="00812187"/>
    <w:rsid w:val="0082123F"/>
    <w:rsid w:val="008241BE"/>
    <w:rsid w:val="00831761"/>
    <w:rsid w:val="008353EE"/>
    <w:rsid w:val="00837C1C"/>
    <w:rsid w:val="008448F6"/>
    <w:rsid w:val="008539F9"/>
    <w:rsid w:val="00853AB6"/>
    <w:rsid w:val="008541D1"/>
    <w:rsid w:val="00855D51"/>
    <w:rsid w:val="00856CEA"/>
    <w:rsid w:val="008578FE"/>
    <w:rsid w:val="008601D6"/>
    <w:rsid w:val="00861BD1"/>
    <w:rsid w:val="00870525"/>
    <w:rsid w:val="00874AB4"/>
    <w:rsid w:val="00876F9E"/>
    <w:rsid w:val="008834B7"/>
    <w:rsid w:val="008921D6"/>
    <w:rsid w:val="00895634"/>
    <w:rsid w:val="00897742"/>
    <w:rsid w:val="008A1AFB"/>
    <w:rsid w:val="008A426D"/>
    <w:rsid w:val="008B2473"/>
    <w:rsid w:val="008B48AE"/>
    <w:rsid w:val="008C1EE5"/>
    <w:rsid w:val="008C2103"/>
    <w:rsid w:val="008C3841"/>
    <w:rsid w:val="008D2A56"/>
    <w:rsid w:val="008D4497"/>
    <w:rsid w:val="008D4646"/>
    <w:rsid w:val="008E3478"/>
    <w:rsid w:val="008E53DB"/>
    <w:rsid w:val="008E7E27"/>
    <w:rsid w:val="008F4DD7"/>
    <w:rsid w:val="0090156C"/>
    <w:rsid w:val="009057A5"/>
    <w:rsid w:val="00916577"/>
    <w:rsid w:val="009259F5"/>
    <w:rsid w:val="00927F15"/>
    <w:rsid w:val="00932502"/>
    <w:rsid w:val="00936334"/>
    <w:rsid w:val="0095034A"/>
    <w:rsid w:val="00952AFA"/>
    <w:rsid w:val="00957D26"/>
    <w:rsid w:val="00961884"/>
    <w:rsid w:val="00961F05"/>
    <w:rsid w:val="009776F7"/>
    <w:rsid w:val="0098104E"/>
    <w:rsid w:val="0099012B"/>
    <w:rsid w:val="00991399"/>
    <w:rsid w:val="00994A57"/>
    <w:rsid w:val="009A31DD"/>
    <w:rsid w:val="009A5D58"/>
    <w:rsid w:val="009B0944"/>
    <w:rsid w:val="009B209C"/>
    <w:rsid w:val="009B50DA"/>
    <w:rsid w:val="009B7036"/>
    <w:rsid w:val="009C2480"/>
    <w:rsid w:val="009C55F1"/>
    <w:rsid w:val="009D1766"/>
    <w:rsid w:val="009D1A8F"/>
    <w:rsid w:val="009D6347"/>
    <w:rsid w:val="009E16CA"/>
    <w:rsid w:val="009E7457"/>
    <w:rsid w:val="009E78AF"/>
    <w:rsid w:val="009F3252"/>
    <w:rsid w:val="009F58C1"/>
    <w:rsid w:val="009F613E"/>
    <w:rsid w:val="009F76CE"/>
    <w:rsid w:val="009F796E"/>
    <w:rsid w:val="009F7D81"/>
    <w:rsid w:val="00A0388D"/>
    <w:rsid w:val="00A04D63"/>
    <w:rsid w:val="00A10953"/>
    <w:rsid w:val="00A10C8F"/>
    <w:rsid w:val="00A110F7"/>
    <w:rsid w:val="00A131F0"/>
    <w:rsid w:val="00A21031"/>
    <w:rsid w:val="00A2237A"/>
    <w:rsid w:val="00A24DA1"/>
    <w:rsid w:val="00A2531A"/>
    <w:rsid w:val="00A26924"/>
    <w:rsid w:val="00A36E07"/>
    <w:rsid w:val="00A42DFF"/>
    <w:rsid w:val="00A44F66"/>
    <w:rsid w:val="00A45886"/>
    <w:rsid w:val="00A50163"/>
    <w:rsid w:val="00A51450"/>
    <w:rsid w:val="00A52DC7"/>
    <w:rsid w:val="00A53990"/>
    <w:rsid w:val="00A5474F"/>
    <w:rsid w:val="00A548D0"/>
    <w:rsid w:val="00A6052A"/>
    <w:rsid w:val="00A7028B"/>
    <w:rsid w:val="00A72364"/>
    <w:rsid w:val="00A73543"/>
    <w:rsid w:val="00A87BB7"/>
    <w:rsid w:val="00A90AF3"/>
    <w:rsid w:val="00A90E9A"/>
    <w:rsid w:val="00A92AF3"/>
    <w:rsid w:val="00AA0EFA"/>
    <w:rsid w:val="00AA2584"/>
    <w:rsid w:val="00AB426F"/>
    <w:rsid w:val="00AB6AE4"/>
    <w:rsid w:val="00AC22D3"/>
    <w:rsid w:val="00AC3FD2"/>
    <w:rsid w:val="00AC6D92"/>
    <w:rsid w:val="00AD1E32"/>
    <w:rsid w:val="00AD5DEA"/>
    <w:rsid w:val="00AE0471"/>
    <w:rsid w:val="00AE5E5A"/>
    <w:rsid w:val="00AE6344"/>
    <w:rsid w:val="00AF02C6"/>
    <w:rsid w:val="00AF1935"/>
    <w:rsid w:val="00AF3780"/>
    <w:rsid w:val="00AF4B30"/>
    <w:rsid w:val="00AF6F9A"/>
    <w:rsid w:val="00B00EA6"/>
    <w:rsid w:val="00B01480"/>
    <w:rsid w:val="00B023D6"/>
    <w:rsid w:val="00B0574B"/>
    <w:rsid w:val="00B0733E"/>
    <w:rsid w:val="00B13848"/>
    <w:rsid w:val="00B158BE"/>
    <w:rsid w:val="00B15E9F"/>
    <w:rsid w:val="00B16491"/>
    <w:rsid w:val="00B24663"/>
    <w:rsid w:val="00B2637C"/>
    <w:rsid w:val="00B324DD"/>
    <w:rsid w:val="00B35D1E"/>
    <w:rsid w:val="00B3624E"/>
    <w:rsid w:val="00B40089"/>
    <w:rsid w:val="00B41834"/>
    <w:rsid w:val="00B42150"/>
    <w:rsid w:val="00B4741F"/>
    <w:rsid w:val="00B51178"/>
    <w:rsid w:val="00B513F7"/>
    <w:rsid w:val="00B51A29"/>
    <w:rsid w:val="00B51AB3"/>
    <w:rsid w:val="00B53992"/>
    <w:rsid w:val="00B54A7B"/>
    <w:rsid w:val="00B553CA"/>
    <w:rsid w:val="00B6555C"/>
    <w:rsid w:val="00B67642"/>
    <w:rsid w:val="00B71712"/>
    <w:rsid w:val="00B75A87"/>
    <w:rsid w:val="00B81D46"/>
    <w:rsid w:val="00B8289F"/>
    <w:rsid w:val="00B96240"/>
    <w:rsid w:val="00BA08D0"/>
    <w:rsid w:val="00BA1514"/>
    <w:rsid w:val="00BA2A63"/>
    <w:rsid w:val="00BA5BD4"/>
    <w:rsid w:val="00BA63E1"/>
    <w:rsid w:val="00BB1F22"/>
    <w:rsid w:val="00BB3B7F"/>
    <w:rsid w:val="00BB7451"/>
    <w:rsid w:val="00BB7714"/>
    <w:rsid w:val="00BC646B"/>
    <w:rsid w:val="00BD51CB"/>
    <w:rsid w:val="00BD65D4"/>
    <w:rsid w:val="00BD70EC"/>
    <w:rsid w:val="00BE38FC"/>
    <w:rsid w:val="00BE3B6A"/>
    <w:rsid w:val="00BF461E"/>
    <w:rsid w:val="00C01369"/>
    <w:rsid w:val="00C02523"/>
    <w:rsid w:val="00C04523"/>
    <w:rsid w:val="00C05AB0"/>
    <w:rsid w:val="00C069C4"/>
    <w:rsid w:val="00C12156"/>
    <w:rsid w:val="00C14158"/>
    <w:rsid w:val="00C1472D"/>
    <w:rsid w:val="00C15729"/>
    <w:rsid w:val="00C1627D"/>
    <w:rsid w:val="00C16879"/>
    <w:rsid w:val="00C244BA"/>
    <w:rsid w:val="00C260EA"/>
    <w:rsid w:val="00C32E3C"/>
    <w:rsid w:val="00C3540E"/>
    <w:rsid w:val="00C41CDA"/>
    <w:rsid w:val="00C5442E"/>
    <w:rsid w:val="00C6161E"/>
    <w:rsid w:val="00C66B77"/>
    <w:rsid w:val="00C72B5B"/>
    <w:rsid w:val="00C76972"/>
    <w:rsid w:val="00C92789"/>
    <w:rsid w:val="00C9299E"/>
    <w:rsid w:val="00C942A8"/>
    <w:rsid w:val="00C94694"/>
    <w:rsid w:val="00C97A34"/>
    <w:rsid w:val="00CA1232"/>
    <w:rsid w:val="00CA1581"/>
    <w:rsid w:val="00CA3B5B"/>
    <w:rsid w:val="00CA611E"/>
    <w:rsid w:val="00CA7162"/>
    <w:rsid w:val="00CB1331"/>
    <w:rsid w:val="00CB7FF5"/>
    <w:rsid w:val="00CC28EF"/>
    <w:rsid w:val="00CC2ED4"/>
    <w:rsid w:val="00CC54A2"/>
    <w:rsid w:val="00CC5C0A"/>
    <w:rsid w:val="00CC76A7"/>
    <w:rsid w:val="00CD0748"/>
    <w:rsid w:val="00CD1FBC"/>
    <w:rsid w:val="00CD50E7"/>
    <w:rsid w:val="00CE5515"/>
    <w:rsid w:val="00CE635F"/>
    <w:rsid w:val="00CE77C1"/>
    <w:rsid w:val="00CF0A53"/>
    <w:rsid w:val="00CF4AF6"/>
    <w:rsid w:val="00CF5430"/>
    <w:rsid w:val="00D006D2"/>
    <w:rsid w:val="00D021F3"/>
    <w:rsid w:val="00D067E2"/>
    <w:rsid w:val="00D10067"/>
    <w:rsid w:val="00D131EB"/>
    <w:rsid w:val="00D174C3"/>
    <w:rsid w:val="00D2293D"/>
    <w:rsid w:val="00D2639A"/>
    <w:rsid w:val="00D265F2"/>
    <w:rsid w:val="00D27F0B"/>
    <w:rsid w:val="00D3051B"/>
    <w:rsid w:val="00D317F2"/>
    <w:rsid w:val="00D32C49"/>
    <w:rsid w:val="00D5389F"/>
    <w:rsid w:val="00D53D5D"/>
    <w:rsid w:val="00D5719F"/>
    <w:rsid w:val="00D60D96"/>
    <w:rsid w:val="00D619D1"/>
    <w:rsid w:val="00D62AD1"/>
    <w:rsid w:val="00D64ED3"/>
    <w:rsid w:val="00D66364"/>
    <w:rsid w:val="00D70D43"/>
    <w:rsid w:val="00D71A8D"/>
    <w:rsid w:val="00D750D1"/>
    <w:rsid w:val="00D757D0"/>
    <w:rsid w:val="00D75E8A"/>
    <w:rsid w:val="00D75FEB"/>
    <w:rsid w:val="00D770E8"/>
    <w:rsid w:val="00D86E4C"/>
    <w:rsid w:val="00D872F1"/>
    <w:rsid w:val="00D93B17"/>
    <w:rsid w:val="00D96B5A"/>
    <w:rsid w:val="00DA3A10"/>
    <w:rsid w:val="00DA414C"/>
    <w:rsid w:val="00DA6CEA"/>
    <w:rsid w:val="00DB1B2C"/>
    <w:rsid w:val="00DB58D7"/>
    <w:rsid w:val="00DB5CF3"/>
    <w:rsid w:val="00DC5852"/>
    <w:rsid w:val="00DD0483"/>
    <w:rsid w:val="00DD6F80"/>
    <w:rsid w:val="00DD7227"/>
    <w:rsid w:val="00DE2B43"/>
    <w:rsid w:val="00DE2CEF"/>
    <w:rsid w:val="00DF0705"/>
    <w:rsid w:val="00DF0B15"/>
    <w:rsid w:val="00DF1B2A"/>
    <w:rsid w:val="00DF3E6B"/>
    <w:rsid w:val="00DF4664"/>
    <w:rsid w:val="00E01E58"/>
    <w:rsid w:val="00E029C2"/>
    <w:rsid w:val="00E072E1"/>
    <w:rsid w:val="00E12BFE"/>
    <w:rsid w:val="00E17650"/>
    <w:rsid w:val="00E24A78"/>
    <w:rsid w:val="00E31753"/>
    <w:rsid w:val="00E317AD"/>
    <w:rsid w:val="00E31A8D"/>
    <w:rsid w:val="00E31B04"/>
    <w:rsid w:val="00E322D7"/>
    <w:rsid w:val="00E33C85"/>
    <w:rsid w:val="00E33E56"/>
    <w:rsid w:val="00E36F20"/>
    <w:rsid w:val="00E42F7E"/>
    <w:rsid w:val="00E43C31"/>
    <w:rsid w:val="00E457C0"/>
    <w:rsid w:val="00E50AA1"/>
    <w:rsid w:val="00E50EAF"/>
    <w:rsid w:val="00E56A40"/>
    <w:rsid w:val="00E57552"/>
    <w:rsid w:val="00E6365A"/>
    <w:rsid w:val="00E6436E"/>
    <w:rsid w:val="00E7309F"/>
    <w:rsid w:val="00E74E06"/>
    <w:rsid w:val="00E776F7"/>
    <w:rsid w:val="00E77C3B"/>
    <w:rsid w:val="00E83971"/>
    <w:rsid w:val="00E93A9C"/>
    <w:rsid w:val="00E95D89"/>
    <w:rsid w:val="00EA3E49"/>
    <w:rsid w:val="00EA443D"/>
    <w:rsid w:val="00EA7FCA"/>
    <w:rsid w:val="00EB4F98"/>
    <w:rsid w:val="00EB5418"/>
    <w:rsid w:val="00EC07DC"/>
    <w:rsid w:val="00EC08DF"/>
    <w:rsid w:val="00EC3B29"/>
    <w:rsid w:val="00EC4EE8"/>
    <w:rsid w:val="00EC577B"/>
    <w:rsid w:val="00EC727F"/>
    <w:rsid w:val="00EC746B"/>
    <w:rsid w:val="00ED203D"/>
    <w:rsid w:val="00ED5482"/>
    <w:rsid w:val="00ED682A"/>
    <w:rsid w:val="00EE0478"/>
    <w:rsid w:val="00EE3967"/>
    <w:rsid w:val="00EE549B"/>
    <w:rsid w:val="00EE6A87"/>
    <w:rsid w:val="00EF0C0C"/>
    <w:rsid w:val="00EF5A9B"/>
    <w:rsid w:val="00F0029F"/>
    <w:rsid w:val="00F05E69"/>
    <w:rsid w:val="00F124FB"/>
    <w:rsid w:val="00F13B57"/>
    <w:rsid w:val="00F14285"/>
    <w:rsid w:val="00F17832"/>
    <w:rsid w:val="00F17D8A"/>
    <w:rsid w:val="00F32058"/>
    <w:rsid w:val="00F3368A"/>
    <w:rsid w:val="00F33B5B"/>
    <w:rsid w:val="00F35E98"/>
    <w:rsid w:val="00F3693C"/>
    <w:rsid w:val="00F37632"/>
    <w:rsid w:val="00F41EA3"/>
    <w:rsid w:val="00F420A1"/>
    <w:rsid w:val="00F432BC"/>
    <w:rsid w:val="00F447FB"/>
    <w:rsid w:val="00F56628"/>
    <w:rsid w:val="00F56B7B"/>
    <w:rsid w:val="00F6003A"/>
    <w:rsid w:val="00F60F1D"/>
    <w:rsid w:val="00F70459"/>
    <w:rsid w:val="00F729D9"/>
    <w:rsid w:val="00F7316B"/>
    <w:rsid w:val="00F85DD7"/>
    <w:rsid w:val="00F86399"/>
    <w:rsid w:val="00F9134E"/>
    <w:rsid w:val="00F949F5"/>
    <w:rsid w:val="00FA0A73"/>
    <w:rsid w:val="00FA51BB"/>
    <w:rsid w:val="00FA772D"/>
    <w:rsid w:val="00FB15BE"/>
    <w:rsid w:val="00FB25B7"/>
    <w:rsid w:val="00FB6DD8"/>
    <w:rsid w:val="00FC0401"/>
    <w:rsid w:val="00FC1232"/>
    <w:rsid w:val="00FC4445"/>
    <w:rsid w:val="00FD0B47"/>
    <w:rsid w:val="00FD41E0"/>
    <w:rsid w:val="00FD74BB"/>
    <w:rsid w:val="00FD760F"/>
    <w:rsid w:val="00FD791F"/>
    <w:rsid w:val="00FE32F7"/>
    <w:rsid w:val="00FE406E"/>
    <w:rsid w:val="00FE6B00"/>
    <w:rsid w:val="00FE771D"/>
    <w:rsid w:val="00FF14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070670C3-FAAD-49B6-9D53-CFBB5BB96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3CE"/>
    <w:pPr>
      <w:jc w:val="left"/>
    </w:pPr>
    <w:rPr>
      <w:rFonts w:ascii="Times New Roman" w:eastAsia="Times New Roman" w:hAnsi="Times New Roman" w:cs="Times New Roman"/>
      <w:sz w:val="24"/>
      <w:szCs w:val="24"/>
    </w:rPr>
  </w:style>
  <w:style w:type="paragraph" w:styleId="Heading4">
    <w:name w:val="heading 4"/>
    <w:aliases w:val="Heading 4 (a) Indent 1.5,CS Heading 4"/>
    <w:basedOn w:val="Normal"/>
    <w:next w:val="Normal"/>
    <w:link w:val="Heading4Char"/>
    <w:qFormat/>
    <w:rsid w:val="0052069A"/>
    <w:pPr>
      <w:keepNext/>
      <w:keepLines/>
      <w:spacing w:before="180" w:after="300"/>
      <w:outlineLvl w:val="3"/>
    </w:pPr>
    <w:rPr>
      <w:rFonts w:ascii="Arial" w:hAnsi="Arial"/>
      <w:b/>
      <w:i/>
      <w:szCs w:val="20"/>
    </w:rPr>
  </w:style>
  <w:style w:type="paragraph" w:styleId="Heading6">
    <w:name w:val="heading 6"/>
    <w:basedOn w:val="Normal"/>
    <w:next w:val="Normal"/>
    <w:link w:val="Heading6Char"/>
    <w:qFormat/>
    <w:rsid w:val="0052069A"/>
    <w:pPr>
      <w:overflowPunct w:val="0"/>
      <w:autoSpaceDE w:val="0"/>
      <w:autoSpaceDN w:val="0"/>
      <w:adjustRightInd w:val="0"/>
      <w:spacing w:after="120" w:line="360" w:lineRule="auto"/>
      <w:textAlignment w:val="baseline"/>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8A426D"/>
    <w:pPr>
      <w:ind w:left="851" w:hanging="851"/>
    </w:pPr>
    <w:rPr>
      <w:sz w:val="16"/>
      <w:szCs w:val="20"/>
    </w:rPr>
  </w:style>
  <w:style w:type="character" w:customStyle="1" w:styleId="FootnoteTextChar">
    <w:name w:val="Footnote Text Char"/>
    <w:basedOn w:val="DefaultParagraphFont"/>
    <w:link w:val="FootnoteText"/>
    <w:uiPriority w:val="99"/>
    <w:rsid w:val="008A426D"/>
    <w:rPr>
      <w:rFonts w:ascii="Arial Narrow" w:hAnsi="Arial Narrow"/>
      <w:sz w:val="16"/>
      <w:szCs w:val="20"/>
    </w:rPr>
  </w:style>
  <w:style w:type="paragraph" w:styleId="EnvelopeAddress">
    <w:name w:val="envelope address"/>
    <w:basedOn w:val="Normal"/>
    <w:uiPriority w:val="99"/>
    <w:semiHidden/>
    <w:unhideWhenUsed/>
    <w:rsid w:val="0098104E"/>
    <w:pPr>
      <w:framePr w:w="7920" w:h="1980" w:hRule="exact" w:hSpace="180" w:wrap="auto" w:hAnchor="page" w:xAlign="center" w:yAlign="bottom"/>
      <w:ind w:left="2880"/>
    </w:pPr>
    <w:rPr>
      <w:rFonts w:eastAsiaTheme="majorEastAsia" w:cstheme="majorBidi"/>
    </w:rPr>
  </w:style>
  <w:style w:type="paragraph" w:styleId="Header">
    <w:name w:val="header"/>
    <w:basedOn w:val="Normal"/>
    <w:link w:val="HeaderChar"/>
    <w:unhideWhenUsed/>
    <w:rsid w:val="0052069A"/>
    <w:pPr>
      <w:tabs>
        <w:tab w:val="center" w:pos="4513"/>
        <w:tab w:val="right" w:pos="9026"/>
      </w:tabs>
    </w:pPr>
  </w:style>
  <w:style w:type="character" w:customStyle="1" w:styleId="HeaderChar">
    <w:name w:val="Header Char"/>
    <w:basedOn w:val="DefaultParagraphFont"/>
    <w:link w:val="Header"/>
    <w:rsid w:val="0052069A"/>
    <w:rPr>
      <w:rFonts w:ascii="Arial Narrow" w:hAnsi="Arial Narrow"/>
      <w:sz w:val="24"/>
    </w:rPr>
  </w:style>
  <w:style w:type="paragraph" w:styleId="Footer">
    <w:name w:val="footer"/>
    <w:basedOn w:val="Normal"/>
    <w:link w:val="FooterChar"/>
    <w:unhideWhenUsed/>
    <w:rsid w:val="0052069A"/>
    <w:pPr>
      <w:tabs>
        <w:tab w:val="center" w:pos="4513"/>
        <w:tab w:val="right" w:pos="9026"/>
      </w:tabs>
    </w:pPr>
  </w:style>
  <w:style w:type="character" w:customStyle="1" w:styleId="FooterChar">
    <w:name w:val="Footer Char"/>
    <w:basedOn w:val="DefaultParagraphFont"/>
    <w:link w:val="Footer"/>
    <w:rsid w:val="0052069A"/>
    <w:rPr>
      <w:rFonts w:ascii="Arial Narrow" w:hAnsi="Arial Narrow"/>
      <w:sz w:val="24"/>
    </w:rPr>
  </w:style>
  <w:style w:type="character" w:customStyle="1" w:styleId="Heading4Char">
    <w:name w:val="Heading 4 Char"/>
    <w:aliases w:val="Heading 4 (a) Indent 1.5 Char,CS Heading 4 Char"/>
    <w:basedOn w:val="DefaultParagraphFont"/>
    <w:link w:val="Heading4"/>
    <w:rsid w:val="0052069A"/>
    <w:rPr>
      <w:rFonts w:ascii="Arial" w:eastAsia="Times New Roman" w:hAnsi="Arial" w:cs="Times New Roman"/>
      <w:b/>
      <w:i/>
      <w:sz w:val="24"/>
      <w:szCs w:val="20"/>
    </w:rPr>
  </w:style>
  <w:style w:type="character" w:customStyle="1" w:styleId="Heading6Char">
    <w:name w:val="Heading 6 Char"/>
    <w:basedOn w:val="DefaultParagraphFont"/>
    <w:link w:val="Heading6"/>
    <w:rsid w:val="0052069A"/>
    <w:rPr>
      <w:rFonts w:ascii="Times New Roman" w:eastAsia="Times New Roman" w:hAnsi="Times New Roman" w:cs="Times New Roman"/>
      <w:sz w:val="24"/>
      <w:szCs w:val="20"/>
    </w:rPr>
  </w:style>
  <w:style w:type="paragraph" w:styleId="ListParagraph">
    <w:name w:val="List Paragraph"/>
    <w:basedOn w:val="Normal"/>
    <w:uiPriority w:val="34"/>
    <w:qFormat/>
    <w:rsid w:val="005D03CE"/>
    <w:pPr>
      <w:ind w:left="720"/>
      <w:contextualSpacing/>
    </w:pPr>
  </w:style>
  <w:style w:type="character" w:styleId="FootnoteReference">
    <w:name w:val="footnote reference"/>
    <w:basedOn w:val="DefaultParagraphFont"/>
    <w:uiPriority w:val="99"/>
    <w:semiHidden/>
    <w:unhideWhenUsed/>
    <w:rsid w:val="005D03CE"/>
    <w:rPr>
      <w:vertAlign w:val="superscript"/>
    </w:rPr>
  </w:style>
  <w:style w:type="table" w:styleId="TableGrid">
    <w:name w:val="Table Grid"/>
    <w:basedOn w:val="TableNormal"/>
    <w:uiPriority w:val="59"/>
    <w:rsid w:val="005D03CE"/>
    <w:pPr>
      <w:jc w:val="lef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E74E06"/>
  </w:style>
  <w:style w:type="paragraph" w:styleId="BalloonText">
    <w:name w:val="Balloon Text"/>
    <w:basedOn w:val="Normal"/>
    <w:link w:val="BalloonTextChar"/>
    <w:uiPriority w:val="99"/>
    <w:semiHidden/>
    <w:unhideWhenUsed/>
    <w:rsid w:val="00F33B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3B5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953972">
      <w:bodyDiv w:val="1"/>
      <w:marLeft w:val="0"/>
      <w:marRight w:val="0"/>
      <w:marTop w:val="0"/>
      <w:marBottom w:val="0"/>
      <w:divBdr>
        <w:top w:val="none" w:sz="0" w:space="0" w:color="auto"/>
        <w:left w:val="none" w:sz="0" w:space="0" w:color="auto"/>
        <w:bottom w:val="none" w:sz="0" w:space="0" w:color="auto"/>
        <w:right w:val="none" w:sz="0" w:space="0" w:color="auto"/>
      </w:divBdr>
    </w:div>
    <w:div w:id="1426850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284</TotalTime>
  <Pages>13</Pages>
  <Words>8213</Words>
  <Characters>46817</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Submission 54 - Jim Hancock - Horizontal Fiscal Equalisation - Public inquiry</vt:lpstr>
    </vt:vector>
  </TitlesOfParts>
  <Company/>
  <LinksUpToDate>false</LinksUpToDate>
  <CharactersWithSpaces>54921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54 - Jim Hancock - Horizontal Fiscal Equalisation - Public inquiry</dc:title>
  <dc:creator>Jim Hancock</dc:creator>
  <cp:lastModifiedBy>Pimperl, Mark</cp:lastModifiedBy>
  <cp:revision>19</cp:revision>
  <cp:lastPrinted>2017-07-31T23:29:00Z</cp:lastPrinted>
  <dcterms:created xsi:type="dcterms:W3CDTF">2017-08-01T05:04:00Z</dcterms:created>
  <dcterms:modified xsi:type="dcterms:W3CDTF">2017-08-03T01:39:00Z</dcterms:modified>
</cp:coreProperties>
</file>