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B5810" w14:textId="77777777"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bookmarkStart w:id="0" w:name="_GoBack"/>
      <w:bookmarkEnd w:id="0"/>
    </w:p>
    <w:p w14:paraId="6F962638" w14:textId="77777777"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p>
    <w:p w14:paraId="6DCE0C55" w14:textId="77777777"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p>
    <w:p w14:paraId="0A9D401C" w14:textId="77777777"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p>
    <w:p w14:paraId="33324631" w14:textId="77777777"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p>
    <w:p w14:paraId="32DC4BD8" w14:textId="33C57C46" w:rsidR="00CE5261" w:rsidRDefault="00CE5261" w:rsidP="00CE5261">
      <w:pPr>
        <w:autoSpaceDE w:val="0"/>
        <w:autoSpaceDN w:val="0"/>
        <w:adjustRightInd w:val="0"/>
        <w:jc w:val="right"/>
        <w:rPr>
          <w:rFonts w:ascii="Franklin Gothic Book" w:hAnsi="Franklin Gothic Book" w:cs="Arial"/>
          <w:b/>
          <w:bCs/>
          <w:color w:val="333333"/>
          <w:sz w:val="48"/>
          <w:szCs w:val="48"/>
          <w:lang w:val="en-US"/>
        </w:rPr>
      </w:pPr>
      <w:r>
        <w:rPr>
          <w:rFonts w:ascii="Franklin Gothic Book" w:hAnsi="Franklin Gothic Book" w:cs="Arial"/>
          <w:b/>
          <w:bCs/>
          <w:color w:val="333333"/>
          <w:sz w:val="48"/>
          <w:szCs w:val="48"/>
          <w:lang w:val="en-US"/>
        </w:rPr>
        <w:t>Inquiry into Horizontal Fiscal Equalisation</w:t>
      </w:r>
    </w:p>
    <w:p w14:paraId="48567D3A" w14:textId="484B9D27" w:rsidR="00CE5261" w:rsidRDefault="00CE5261" w:rsidP="00CE5261">
      <w:pPr>
        <w:autoSpaceDE w:val="0"/>
        <w:autoSpaceDN w:val="0"/>
        <w:adjustRightInd w:val="0"/>
        <w:jc w:val="right"/>
        <w:rPr>
          <w:rFonts w:ascii="Franklin Gothic Book" w:hAnsi="Franklin Gothic Book" w:cs="Arial"/>
          <w:bCs/>
          <w:color w:val="333333"/>
          <w:sz w:val="56"/>
          <w:szCs w:val="56"/>
          <w:lang w:val="en-US"/>
        </w:rPr>
      </w:pPr>
    </w:p>
    <w:p w14:paraId="17D8CF2B" w14:textId="77777777" w:rsidR="00CE5261" w:rsidRPr="00D91D4E" w:rsidRDefault="00CE5261" w:rsidP="00CE5261">
      <w:pPr>
        <w:autoSpaceDE w:val="0"/>
        <w:autoSpaceDN w:val="0"/>
        <w:adjustRightInd w:val="0"/>
        <w:jc w:val="right"/>
        <w:rPr>
          <w:rFonts w:ascii="Franklin Gothic Book" w:hAnsi="Franklin Gothic Book" w:cs="Arial"/>
          <w:bCs/>
          <w:color w:val="333333"/>
          <w:sz w:val="56"/>
          <w:szCs w:val="56"/>
          <w:lang w:val="en-US"/>
        </w:rPr>
      </w:pPr>
    </w:p>
    <w:p w14:paraId="390EF928" w14:textId="77777777" w:rsidR="00CE5261" w:rsidRPr="00D91D4E" w:rsidRDefault="00CE5261" w:rsidP="00CE5261">
      <w:pPr>
        <w:autoSpaceDE w:val="0"/>
        <w:autoSpaceDN w:val="0"/>
        <w:adjustRightInd w:val="0"/>
        <w:jc w:val="right"/>
        <w:rPr>
          <w:rFonts w:ascii="Franklin Gothic Book" w:hAnsi="Franklin Gothic Book" w:cs="Arial"/>
          <w:bCs/>
          <w:color w:val="333333"/>
          <w:sz w:val="32"/>
          <w:szCs w:val="32"/>
          <w:lang w:val="en-US"/>
        </w:rPr>
      </w:pPr>
      <w:r w:rsidRPr="00D91D4E">
        <w:rPr>
          <w:rFonts w:ascii="Franklin Gothic Book" w:hAnsi="Franklin Gothic Book" w:cs="Arial"/>
          <w:bCs/>
          <w:color w:val="333333"/>
          <w:sz w:val="32"/>
          <w:szCs w:val="32"/>
          <w:lang w:val="en-US"/>
        </w:rPr>
        <w:t>Submission to the</w:t>
      </w:r>
    </w:p>
    <w:p w14:paraId="5BBD0829" w14:textId="3629CE83" w:rsidR="00CE5261" w:rsidRDefault="00CE5261" w:rsidP="00CE5261">
      <w:pPr>
        <w:autoSpaceDE w:val="0"/>
        <w:autoSpaceDN w:val="0"/>
        <w:adjustRightInd w:val="0"/>
        <w:jc w:val="right"/>
        <w:rPr>
          <w:rFonts w:ascii="Franklin Gothic Book" w:hAnsi="Franklin Gothic Book" w:cs="Arial"/>
          <w:bCs/>
          <w:color w:val="333333"/>
          <w:sz w:val="32"/>
          <w:szCs w:val="32"/>
          <w:lang w:val="en-US"/>
        </w:rPr>
      </w:pPr>
      <w:r>
        <w:rPr>
          <w:rFonts w:ascii="Franklin Gothic Book" w:hAnsi="Franklin Gothic Book" w:cs="Arial"/>
          <w:bCs/>
          <w:color w:val="333333"/>
          <w:sz w:val="32"/>
          <w:szCs w:val="32"/>
          <w:lang w:val="en-US"/>
        </w:rPr>
        <w:t>Productivity Commission</w:t>
      </w:r>
    </w:p>
    <w:p w14:paraId="7DEEF557" w14:textId="77777777" w:rsidR="00CE5261" w:rsidRPr="00D91D4E" w:rsidRDefault="00CE5261" w:rsidP="00CE5261">
      <w:pPr>
        <w:autoSpaceDE w:val="0"/>
        <w:autoSpaceDN w:val="0"/>
        <w:adjustRightInd w:val="0"/>
        <w:jc w:val="right"/>
        <w:rPr>
          <w:rFonts w:ascii="Franklin Gothic Book" w:hAnsi="Franklin Gothic Book" w:cs="Arial"/>
          <w:bCs/>
          <w:color w:val="333333"/>
          <w:sz w:val="56"/>
          <w:szCs w:val="56"/>
          <w:lang w:val="en-US"/>
        </w:rPr>
      </w:pPr>
    </w:p>
    <w:p w14:paraId="534712C0" w14:textId="77777777" w:rsidR="00CE5261" w:rsidRPr="00D91D4E" w:rsidRDefault="00CE5261" w:rsidP="00CE5261">
      <w:pPr>
        <w:autoSpaceDE w:val="0"/>
        <w:autoSpaceDN w:val="0"/>
        <w:adjustRightInd w:val="0"/>
        <w:jc w:val="right"/>
        <w:rPr>
          <w:rFonts w:ascii="Franklin Gothic Book" w:hAnsi="Franklin Gothic Book" w:cs="Arial"/>
          <w:color w:val="333333"/>
          <w:sz w:val="48"/>
          <w:szCs w:val="48"/>
          <w:lang w:val="en-US"/>
        </w:rPr>
      </w:pPr>
    </w:p>
    <w:p w14:paraId="68A72B3C" w14:textId="00EABC6F" w:rsidR="00CE5261" w:rsidRPr="00D91D4E" w:rsidRDefault="00CE5261" w:rsidP="00CE5261">
      <w:pPr>
        <w:jc w:val="right"/>
        <w:rPr>
          <w:rFonts w:ascii="Franklin Gothic Book" w:hAnsi="Franklin Gothic Book"/>
        </w:rPr>
      </w:pPr>
      <w:r>
        <w:rPr>
          <w:rFonts w:ascii="Franklin Gothic Book" w:hAnsi="Franklin Gothic Book" w:cs="Arial"/>
          <w:color w:val="333333"/>
          <w:sz w:val="36"/>
          <w:szCs w:val="36"/>
          <w:lang w:val="en-US"/>
        </w:rPr>
        <w:t>January 2018</w:t>
      </w:r>
    </w:p>
    <w:p w14:paraId="703294AE" w14:textId="77777777" w:rsidR="00CE5261" w:rsidRDefault="00CE5261" w:rsidP="00CE5261">
      <w:pPr>
        <w:rPr>
          <w:rFonts w:ascii="Franklin Gothic Book" w:hAnsi="Franklin Gothic Book"/>
        </w:rPr>
      </w:pPr>
    </w:p>
    <w:p w14:paraId="5F7EC907" w14:textId="77777777" w:rsidR="00CE5261" w:rsidRDefault="00CE5261" w:rsidP="00CE5261">
      <w:pPr>
        <w:rPr>
          <w:rFonts w:ascii="Franklin Gothic Book" w:hAnsi="Franklin Gothic Book"/>
        </w:rPr>
      </w:pPr>
    </w:p>
    <w:p w14:paraId="1DF2E816" w14:textId="77777777" w:rsidR="00CE5261" w:rsidRDefault="00CE5261" w:rsidP="00CE5261">
      <w:pPr>
        <w:rPr>
          <w:rFonts w:ascii="Franklin Gothic Book" w:hAnsi="Franklin Gothic Book"/>
        </w:rPr>
      </w:pPr>
    </w:p>
    <w:p w14:paraId="0ABE65F8" w14:textId="77777777" w:rsidR="00CE5261" w:rsidRDefault="00CE5261" w:rsidP="00CE5261">
      <w:pPr>
        <w:rPr>
          <w:rFonts w:ascii="Franklin Gothic Book" w:hAnsi="Franklin Gothic Book"/>
        </w:rPr>
      </w:pPr>
    </w:p>
    <w:p w14:paraId="455A83A1" w14:textId="77777777" w:rsidR="00CE5261" w:rsidRPr="00D91D4E" w:rsidRDefault="00CE5261" w:rsidP="00CE5261">
      <w:pPr>
        <w:rPr>
          <w:rFonts w:ascii="Franklin Gothic Book" w:hAnsi="Franklin Gothic Book"/>
        </w:rPr>
      </w:pPr>
    </w:p>
    <w:p w14:paraId="3C789B98" w14:textId="77777777" w:rsidR="00CE5261" w:rsidRPr="00D91D4E" w:rsidRDefault="00CE5261" w:rsidP="00CE5261">
      <w:pPr>
        <w:jc w:val="right"/>
        <w:rPr>
          <w:rFonts w:ascii="Franklin Gothic Book" w:hAnsi="Franklin Gothic Book"/>
          <w:color w:val="8496B0" w:themeColor="text2" w:themeTint="99"/>
        </w:rPr>
      </w:pPr>
    </w:p>
    <w:p w14:paraId="79F5E377" w14:textId="77777777" w:rsidR="00CE5261" w:rsidRDefault="00CE5261" w:rsidP="00CE5261">
      <w:pPr>
        <w:jc w:val="right"/>
        <w:rPr>
          <w:rFonts w:ascii="Franklin Gothic Book" w:hAnsi="Franklin Gothic Book"/>
          <w:color w:val="8496B0" w:themeColor="text2" w:themeTint="99"/>
        </w:rPr>
      </w:pPr>
      <w:r w:rsidRPr="00D91D4E">
        <w:rPr>
          <w:rFonts w:ascii="Franklin Gothic Book" w:hAnsi="Franklin Gothic Book"/>
          <w:color w:val="8496B0" w:themeColor="text2" w:themeTint="99"/>
        </w:rPr>
        <w:t>Queensland Teachers’ Union</w:t>
      </w:r>
    </w:p>
    <w:p w14:paraId="692456D8" w14:textId="77777777" w:rsidR="00CE5261" w:rsidRPr="000B0FA9" w:rsidRDefault="00CE5261" w:rsidP="00CE5261">
      <w:pPr>
        <w:jc w:val="right"/>
        <w:rPr>
          <w:rFonts w:ascii="Franklin Gothic Book" w:hAnsi="Franklin Gothic Book"/>
          <w:b/>
          <w:color w:val="000000" w:themeColor="text1"/>
        </w:rPr>
      </w:pPr>
      <w:r w:rsidRPr="000B0FA9">
        <w:rPr>
          <w:rFonts w:ascii="Franklin Gothic Book" w:hAnsi="Franklin Gothic Book"/>
          <w:b/>
          <w:color w:val="000000" w:themeColor="text1"/>
        </w:rPr>
        <w:t>Authorised by Graham Moloney – General Secretary</w:t>
      </w:r>
    </w:p>
    <w:p w14:paraId="32249E2C" w14:textId="77777777" w:rsidR="00CE5261" w:rsidRPr="00BA4330" w:rsidRDefault="00CE5261" w:rsidP="00CE5261">
      <w:pPr>
        <w:jc w:val="right"/>
        <w:rPr>
          <w:rFonts w:ascii="Franklin Gothic Book" w:hAnsi="Franklin Gothic Book"/>
          <w:color w:val="000000" w:themeColor="text1"/>
        </w:rPr>
      </w:pPr>
      <w:r>
        <w:rPr>
          <w:rFonts w:ascii="Franklin Gothic Book" w:hAnsi="Franklin Gothic Book"/>
          <w:color w:val="000000" w:themeColor="text1"/>
        </w:rPr>
        <w:t>Giau Nguyen</w:t>
      </w:r>
      <w:r w:rsidRPr="00BA4330">
        <w:rPr>
          <w:rFonts w:ascii="Franklin Gothic Book" w:hAnsi="Franklin Gothic Book"/>
          <w:color w:val="000000" w:themeColor="text1"/>
        </w:rPr>
        <w:t xml:space="preserve"> – </w:t>
      </w:r>
      <w:r>
        <w:rPr>
          <w:rFonts w:ascii="Franklin Gothic Book" w:hAnsi="Franklin Gothic Book"/>
          <w:color w:val="000000" w:themeColor="text1"/>
        </w:rPr>
        <w:t>A/</w:t>
      </w:r>
      <w:r w:rsidRPr="00BA4330">
        <w:rPr>
          <w:rFonts w:ascii="Franklin Gothic Book" w:hAnsi="Franklin Gothic Book"/>
          <w:color w:val="000000" w:themeColor="text1"/>
        </w:rPr>
        <w:t xml:space="preserve">Industrial </w:t>
      </w:r>
      <w:r>
        <w:rPr>
          <w:rFonts w:ascii="Franklin Gothic Book" w:hAnsi="Franklin Gothic Book"/>
          <w:color w:val="000000" w:themeColor="text1"/>
        </w:rPr>
        <w:t>and Research Officer</w:t>
      </w:r>
    </w:p>
    <w:p w14:paraId="41D4C192" w14:textId="77777777" w:rsidR="00CE5261" w:rsidRPr="00D91D4E" w:rsidRDefault="00CE5261" w:rsidP="00CE5261">
      <w:pPr>
        <w:jc w:val="right"/>
        <w:rPr>
          <w:rFonts w:ascii="Franklin Gothic Book" w:hAnsi="Franklin Gothic Book"/>
        </w:rPr>
      </w:pPr>
      <w:r w:rsidRPr="00D91D4E">
        <w:rPr>
          <w:rFonts w:ascii="Franklin Gothic Book" w:hAnsi="Franklin Gothic Book"/>
        </w:rPr>
        <w:t>21 Graham Street</w:t>
      </w:r>
      <w:r>
        <w:rPr>
          <w:rFonts w:ascii="Franklin Gothic Book" w:hAnsi="Franklin Gothic Book"/>
        </w:rPr>
        <w:t>,</w:t>
      </w:r>
      <w:r w:rsidRPr="00D91D4E">
        <w:rPr>
          <w:rFonts w:ascii="Franklin Gothic Book" w:hAnsi="Franklin Gothic Book"/>
        </w:rPr>
        <w:t xml:space="preserve"> Milton Qld 4064</w:t>
      </w:r>
    </w:p>
    <w:p w14:paraId="1A12D1BD" w14:textId="77777777" w:rsidR="00CE5261" w:rsidRPr="00D91D4E" w:rsidRDefault="00CE5261" w:rsidP="00CE5261">
      <w:pPr>
        <w:jc w:val="right"/>
        <w:rPr>
          <w:rFonts w:ascii="Franklin Gothic Book" w:hAnsi="Franklin Gothic Book"/>
        </w:rPr>
      </w:pPr>
      <w:r w:rsidRPr="00D91D4E">
        <w:rPr>
          <w:rFonts w:ascii="Franklin Gothic Book" w:hAnsi="Franklin Gothic Book"/>
        </w:rPr>
        <w:t>PO Box 1750</w:t>
      </w:r>
      <w:r>
        <w:rPr>
          <w:rFonts w:ascii="Franklin Gothic Book" w:hAnsi="Franklin Gothic Book"/>
        </w:rPr>
        <w:t xml:space="preserve">, </w:t>
      </w:r>
      <w:r w:rsidRPr="00D91D4E">
        <w:rPr>
          <w:rFonts w:ascii="Franklin Gothic Book" w:hAnsi="Franklin Gothic Book"/>
        </w:rPr>
        <w:t>Milton BC QLD 4064</w:t>
      </w:r>
    </w:p>
    <w:p w14:paraId="5F04EF03" w14:textId="3B49DDE0" w:rsidR="00CE5261" w:rsidRPr="00D91D4E" w:rsidRDefault="00CE5261" w:rsidP="00CE5261">
      <w:pPr>
        <w:jc w:val="right"/>
        <w:rPr>
          <w:rFonts w:ascii="Franklin Gothic Book" w:hAnsi="Franklin Gothic Book"/>
        </w:rPr>
      </w:pPr>
      <w:r w:rsidRPr="00D91D4E">
        <w:rPr>
          <w:rFonts w:ascii="Franklin Gothic Book" w:hAnsi="Franklin Gothic Book"/>
          <w:color w:val="FF0000"/>
        </w:rPr>
        <w:t>P</w:t>
      </w:r>
      <w:r>
        <w:rPr>
          <w:rFonts w:ascii="Franklin Gothic Book" w:hAnsi="Franklin Gothic Book"/>
          <w:color w:val="FF0000"/>
        </w:rPr>
        <w:t>:</w:t>
      </w:r>
      <w:r w:rsidRPr="00D91D4E">
        <w:rPr>
          <w:rFonts w:ascii="Franklin Gothic Book" w:hAnsi="Franklin Gothic Book"/>
        </w:rPr>
        <w:t xml:space="preserve">  (07) 3512 9000</w:t>
      </w:r>
    </w:p>
    <w:p w14:paraId="5B523E80" w14:textId="1BD1AB3A" w:rsidR="00CE5261" w:rsidRPr="00D91D4E" w:rsidRDefault="00CE5261" w:rsidP="00CE5261">
      <w:pPr>
        <w:jc w:val="right"/>
        <w:rPr>
          <w:rFonts w:ascii="Franklin Gothic Book" w:hAnsi="Franklin Gothic Book"/>
        </w:rPr>
      </w:pPr>
      <w:r w:rsidRPr="00D91D4E">
        <w:rPr>
          <w:rFonts w:ascii="Franklin Gothic Book" w:hAnsi="Franklin Gothic Book"/>
          <w:color w:val="FF0000"/>
        </w:rPr>
        <w:t>F</w:t>
      </w:r>
      <w:r>
        <w:rPr>
          <w:rFonts w:ascii="Franklin Gothic Book" w:hAnsi="Franklin Gothic Book"/>
          <w:color w:val="FF0000"/>
        </w:rPr>
        <w:t>:</w:t>
      </w:r>
      <w:r w:rsidRPr="00D91D4E">
        <w:rPr>
          <w:rFonts w:ascii="Franklin Gothic Book" w:hAnsi="Franklin Gothic Book"/>
        </w:rPr>
        <w:t xml:space="preserve">  (07) 3520 9050</w:t>
      </w:r>
    </w:p>
    <w:p w14:paraId="188730CB" w14:textId="396E0288" w:rsidR="00CE5261" w:rsidRDefault="00CE5261" w:rsidP="00CE5261">
      <w:pPr>
        <w:ind w:left="7200"/>
        <w:jc w:val="center"/>
        <w:rPr>
          <w:rStyle w:val="Hyperlink"/>
          <w:rFonts w:ascii="Franklin Gothic Book" w:hAnsi="Franklin Gothic Book"/>
        </w:rPr>
      </w:pPr>
      <w:r w:rsidRPr="00D91D4E">
        <w:rPr>
          <w:rFonts w:ascii="Franklin Gothic Book" w:hAnsi="Franklin Gothic Book"/>
          <w:color w:val="FF0000"/>
        </w:rPr>
        <w:t>E</w:t>
      </w:r>
      <w:r>
        <w:rPr>
          <w:rFonts w:ascii="Franklin Gothic Book" w:hAnsi="Franklin Gothic Book"/>
          <w:color w:val="FF0000"/>
        </w:rPr>
        <w:t>:</w:t>
      </w:r>
      <w:r w:rsidRPr="00D91D4E">
        <w:rPr>
          <w:rFonts w:ascii="Franklin Gothic Book" w:hAnsi="Franklin Gothic Book"/>
        </w:rPr>
        <w:t xml:space="preserve"> </w:t>
      </w:r>
      <w:hyperlink r:id="rId7" w:history="1">
        <w:r w:rsidRPr="00D91D4E">
          <w:rPr>
            <w:rStyle w:val="Hyperlink"/>
            <w:rFonts w:ascii="Franklin Gothic Book" w:hAnsi="Franklin Gothic Book"/>
          </w:rPr>
          <w:t>qtu@qtu.asn.au</w:t>
        </w:r>
      </w:hyperlink>
    </w:p>
    <w:p w14:paraId="4C63E67C" w14:textId="77777777" w:rsidR="00CE5261" w:rsidRDefault="00CE5261">
      <w:pPr>
        <w:spacing w:after="160" w:line="259" w:lineRule="auto"/>
        <w:rPr>
          <w:rStyle w:val="Hyperlink"/>
          <w:rFonts w:ascii="Franklin Gothic Book" w:hAnsi="Franklin Gothic Book"/>
        </w:rPr>
      </w:pPr>
      <w:r>
        <w:rPr>
          <w:rStyle w:val="Hyperlink"/>
          <w:rFonts w:ascii="Franklin Gothic Book" w:hAnsi="Franklin Gothic Book"/>
        </w:rPr>
        <w:br w:type="page"/>
      </w:r>
    </w:p>
    <w:p w14:paraId="36BC89CA" w14:textId="6C050D4B" w:rsidR="00C4303D" w:rsidRPr="003753D0" w:rsidRDefault="00C4303D" w:rsidP="00CE5261">
      <w:pPr>
        <w:spacing w:line="360" w:lineRule="auto"/>
        <w:rPr>
          <w:rFonts w:ascii="Arial" w:hAnsi="Arial" w:cs="Arial"/>
          <w:b/>
        </w:rPr>
      </w:pPr>
      <w:r w:rsidRPr="003753D0">
        <w:rPr>
          <w:rFonts w:ascii="Arial" w:hAnsi="Arial" w:cs="Arial"/>
          <w:b/>
        </w:rPr>
        <w:lastRenderedPageBreak/>
        <w:t>Introduction</w:t>
      </w:r>
    </w:p>
    <w:p w14:paraId="18DBD974" w14:textId="3BFEC9DB" w:rsidR="00C4303D" w:rsidRPr="003753D0" w:rsidRDefault="00C4303D" w:rsidP="00C4303D">
      <w:pPr>
        <w:spacing w:line="360" w:lineRule="auto"/>
        <w:rPr>
          <w:rFonts w:ascii="Arial" w:hAnsi="Arial" w:cs="Arial"/>
        </w:rPr>
      </w:pPr>
      <w:r w:rsidRPr="003753D0">
        <w:rPr>
          <w:rFonts w:ascii="Arial" w:hAnsi="Arial" w:cs="Arial"/>
        </w:rPr>
        <w:t>The Queensland Teachers’ Union of Employees (QTU) welcomes the opportunity to make a submission to the Productivity Commission</w:t>
      </w:r>
      <w:r w:rsidR="00CA0422" w:rsidRPr="003753D0">
        <w:rPr>
          <w:rFonts w:ascii="Arial" w:hAnsi="Arial" w:cs="Arial"/>
        </w:rPr>
        <w:t>’</w:t>
      </w:r>
      <w:r w:rsidRPr="003753D0">
        <w:rPr>
          <w:rFonts w:ascii="Arial" w:hAnsi="Arial" w:cs="Arial"/>
        </w:rPr>
        <w:t xml:space="preserve">s Inquiry into Horizontal Fiscal Equalisation. Any outcome resulting from the Commission’s report will no doubt </w:t>
      </w:r>
      <w:r w:rsidR="00034030" w:rsidRPr="003753D0">
        <w:rPr>
          <w:rFonts w:ascii="Arial" w:hAnsi="Arial" w:cs="Arial"/>
        </w:rPr>
        <w:t>impact</w:t>
      </w:r>
      <w:r w:rsidRPr="003753D0">
        <w:rPr>
          <w:rFonts w:ascii="Arial" w:hAnsi="Arial" w:cs="Arial"/>
        </w:rPr>
        <w:t xml:space="preserve"> everyday Australians in one form or another.</w:t>
      </w:r>
    </w:p>
    <w:p w14:paraId="0B04D7F4" w14:textId="53DD6FF9" w:rsidR="00C4303D" w:rsidRPr="003753D0" w:rsidRDefault="00C4303D" w:rsidP="00C4303D">
      <w:pPr>
        <w:spacing w:line="360" w:lineRule="auto"/>
        <w:rPr>
          <w:rFonts w:ascii="Arial" w:hAnsi="Arial" w:cs="Arial"/>
        </w:rPr>
      </w:pPr>
    </w:p>
    <w:p w14:paraId="711D9678" w14:textId="16D86AA6" w:rsidR="00C4303D" w:rsidRPr="003753D0" w:rsidRDefault="00C4303D" w:rsidP="00C4303D">
      <w:pPr>
        <w:spacing w:line="360" w:lineRule="auto"/>
        <w:rPr>
          <w:rFonts w:ascii="Arial" w:hAnsi="Arial" w:cs="Arial"/>
        </w:rPr>
      </w:pPr>
      <w:r w:rsidRPr="003753D0">
        <w:rPr>
          <w:rFonts w:ascii="Arial" w:hAnsi="Arial" w:cs="Arial"/>
        </w:rPr>
        <w:t xml:space="preserve">The QTU acknowledges that </w:t>
      </w:r>
      <w:r w:rsidR="004F6299">
        <w:rPr>
          <w:rFonts w:ascii="Arial" w:hAnsi="Arial" w:cs="Arial"/>
        </w:rPr>
        <w:t>h</w:t>
      </w:r>
      <w:r w:rsidRPr="003753D0">
        <w:rPr>
          <w:rFonts w:ascii="Arial" w:hAnsi="Arial" w:cs="Arial"/>
        </w:rPr>
        <w:t xml:space="preserve">orizontal </w:t>
      </w:r>
      <w:r w:rsidR="00D30577">
        <w:rPr>
          <w:rFonts w:ascii="Arial" w:hAnsi="Arial" w:cs="Arial"/>
        </w:rPr>
        <w:t>f</w:t>
      </w:r>
      <w:r w:rsidRPr="003753D0">
        <w:rPr>
          <w:rFonts w:ascii="Arial" w:hAnsi="Arial" w:cs="Arial"/>
        </w:rPr>
        <w:t xml:space="preserve">iscal </w:t>
      </w:r>
      <w:r w:rsidR="00D30577">
        <w:rPr>
          <w:rFonts w:ascii="Arial" w:hAnsi="Arial" w:cs="Arial"/>
        </w:rPr>
        <w:t>e</w:t>
      </w:r>
      <w:r w:rsidRPr="003753D0">
        <w:rPr>
          <w:rFonts w:ascii="Arial" w:hAnsi="Arial" w:cs="Arial"/>
        </w:rPr>
        <w:t>qualisation</w:t>
      </w:r>
      <w:r w:rsidR="00D30577">
        <w:rPr>
          <w:rFonts w:ascii="Arial" w:hAnsi="Arial" w:cs="Arial"/>
        </w:rPr>
        <w:t xml:space="preserve"> (HFE)</w:t>
      </w:r>
      <w:r w:rsidRPr="003753D0">
        <w:rPr>
          <w:rFonts w:ascii="Arial" w:hAnsi="Arial" w:cs="Arial"/>
        </w:rPr>
        <w:t xml:space="preserve">, and subsequent </w:t>
      </w:r>
      <w:r w:rsidR="00D30577">
        <w:rPr>
          <w:rFonts w:ascii="Arial" w:hAnsi="Arial" w:cs="Arial"/>
        </w:rPr>
        <w:t>v</w:t>
      </w:r>
      <w:r w:rsidRPr="003753D0">
        <w:rPr>
          <w:rFonts w:ascii="Arial" w:hAnsi="Arial" w:cs="Arial"/>
        </w:rPr>
        <w:t xml:space="preserve">ertical </w:t>
      </w:r>
      <w:r w:rsidR="00D30577">
        <w:rPr>
          <w:rFonts w:ascii="Arial" w:hAnsi="Arial" w:cs="Arial"/>
        </w:rPr>
        <w:t>f</w:t>
      </w:r>
      <w:r w:rsidRPr="003753D0">
        <w:rPr>
          <w:rFonts w:ascii="Arial" w:hAnsi="Arial" w:cs="Arial"/>
        </w:rPr>
        <w:t xml:space="preserve">iscal </w:t>
      </w:r>
      <w:r w:rsidR="00D30577">
        <w:rPr>
          <w:rFonts w:ascii="Arial" w:hAnsi="Arial" w:cs="Arial"/>
        </w:rPr>
        <w:t>i</w:t>
      </w:r>
      <w:r w:rsidRPr="003753D0">
        <w:rPr>
          <w:rFonts w:ascii="Arial" w:hAnsi="Arial" w:cs="Arial"/>
        </w:rPr>
        <w:t xml:space="preserve">mbalance, is and will continue to be a challenge for all </w:t>
      </w:r>
      <w:r w:rsidR="00D30577">
        <w:rPr>
          <w:rFonts w:ascii="Arial" w:hAnsi="Arial" w:cs="Arial"/>
        </w:rPr>
        <w:t>s</w:t>
      </w:r>
      <w:r w:rsidRPr="003753D0">
        <w:rPr>
          <w:rFonts w:ascii="Arial" w:hAnsi="Arial" w:cs="Arial"/>
        </w:rPr>
        <w:t xml:space="preserve">tate and </w:t>
      </w:r>
      <w:r w:rsidR="00D30577">
        <w:rPr>
          <w:rFonts w:ascii="Arial" w:hAnsi="Arial" w:cs="Arial"/>
        </w:rPr>
        <w:t>f</w:t>
      </w:r>
      <w:r w:rsidRPr="003753D0">
        <w:rPr>
          <w:rFonts w:ascii="Arial" w:hAnsi="Arial" w:cs="Arial"/>
        </w:rPr>
        <w:t xml:space="preserve">ederal </w:t>
      </w:r>
      <w:r w:rsidR="00D30577">
        <w:rPr>
          <w:rFonts w:ascii="Arial" w:hAnsi="Arial" w:cs="Arial"/>
        </w:rPr>
        <w:t>g</w:t>
      </w:r>
      <w:r w:rsidRPr="003753D0">
        <w:rPr>
          <w:rFonts w:ascii="Arial" w:hAnsi="Arial" w:cs="Arial"/>
        </w:rPr>
        <w:t>overnments, and relevant bodies.</w:t>
      </w:r>
    </w:p>
    <w:p w14:paraId="093993DE" w14:textId="00EA6A38" w:rsidR="00C4303D" w:rsidRPr="003753D0" w:rsidRDefault="00C4303D" w:rsidP="00C4303D">
      <w:pPr>
        <w:spacing w:line="360" w:lineRule="auto"/>
        <w:rPr>
          <w:rFonts w:ascii="Arial" w:hAnsi="Arial" w:cs="Arial"/>
        </w:rPr>
      </w:pPr>
    </w:p>
    <w:p w14:paraId="3BF98D28" w14:textId="417627C3" w:rsidR="00C4303D" w:rsidRPr="003753D0" w:rsidRDefault="00C4303D" w:rsidP="00C4303D">
      <w:pPr>
        <w:spacing w:line="360" w:lineRule="auto"/>
        <w:rPr>
          <w:rFonts w:ascii="Arial" w:hAnsi="Arial" w:cs="Arial"/>
        </w:rPr>
      </w:pPr>
      <w:r w:rsidRPr="003753D0">
        <w:rPr>
          <w:rFonts w:ascii="Arial" w:hAnsi="Arial" w:cs="Arial"/>
        </w:rPr>
        <w:t>The QTU makes the following submission with</w:t>
      </w:r>
      <w:r w:rsidR="00B8460F">
        <w:rPr>
          <w:rFonts w:ascii="Arial" w:hAnsi="Arial" w:cs="Arial"/>
        </w:rPr>
        <w:t xml:space="preserve"> reference to</w:t>
      </w:r>
      <w:r w:rsidRPr="003753D0">
        <w:rPr>
          <w:rFonts w:ascii="Arial" w:hAnsi="Arial" w:cs="Arial"/>
        </w:rPr>
        <w:t xml:space="preserve"> the Queensland context and, more specifically, a focus on ensuring that public </w:t>
      </w:r>
      <w:r w:rsidR="00CA0422" w:rsidRPr="003753D0">
        <w:rPr>
          <w:rFonts w:ascii="Arial" w:hAnsi="Arial" w:cs="Arial"/>
        </w:rPr>
        <w:t xml:space="preserve">school </w:t>
      </w:r>
      <w:r w:rsidRPr="003753D0">
        <w:rPr>
          <w:rFonts w:ascii="Arial" w:hAnsi="Arial" w:cs="Arial"/>
        </w:rPr>
        <w:t xml:space="preserve">education and </w:t>
      </w:r>
      <w:r w:rsidR="00CA0422" w:rsidRPr="003753D0">
        <w:rPr>
          <w:rFonts w:ascii="Arial" w:hAnsi="Arial" w:cs="Arial"/>
        </w:rPr>
        <w:t>v</w:t>
      </w:r>
      <w:r w:rsidRPr="003753D0">
        <w:rPr>
          <w:rFonts w:ascii="Arial" w:hAnsi="Arial" w:cs="Arial"/>
        </w:rPr>
        <w:t xml:space="preserve">ocational </w:t>
      </w:r>
      <w:r w:rsidR="00CA0422" w:rsidRPr="003753D0">
        <w:rPr>
          <w:rFonts w:ascii="Arial" w:hAnsi="Arial" w:cs="Arial"/>
        </w:rPr>
        <w:t>e</w:t>
      </w:r>
      <w:r w:rsidRPr="003753D0">
        <w:rPr>
          <w:rFonts w:ascii="Arial" w:hAnsi="Arial" w:cs="Arial"/>
        </w:rPr>
        <w:t xml:space="preserve">ducation and </w:t>
      </w:r>
      <w:r w:rsidR="00CA0422" w:rsidRPr="003753D0">
        <w:rPr>
          <w:rFonts w:ascii="Arial" w:hAnsi="Arial" w:cs="Arial"/>
        </w:rPr>
        <w:t>t</w:t>
      </w:r>
      <w:r w:rsidRPr="003753D0">
        <w:rPr>
          <w:rFonts w:ascii="Arial" w:hAnsi="Arial" w:cs="Arial"/>
        </w:rPr>
        <w:t>raining in the state receive effective funding to ensure that the students in Queensland schools and TAFEs are provided the best learning opportunities possible.</w:t>
      </w:r>
    </w:p>
    <w:p w14:paraId="426F316A" w14:textId="159A755F" w:rsidR="00C4303D" w:rsidRPr="003753D0" w:rsidRDefault="00C4303D" w:rsidP="00CE5261">
      <w:pPr>
        <w:spacing w:line="360" w:lineRule="auto"/>
        <w:rPr>
          <w:rFonts w:ascii="Arial" w:hAnsi="Arial" w:cs="Arial"/>
          <w:b/>
        </w:rPr>
      </w:pPr>
    </w:p>
    <w:p w14:paraId="6A08CDC8" w14:textId="79FEE39F" w:rsidR="00CE5261" w:rsidRPr="003753D0" w:rsidRDefault="00CE5261" w:rsidP="00CE5261">
      <w:pPr>
        <w:spacing w:line="360" w:lineRule="auto"/>
        <w:rPr>
          <w:rFonts w:ascii="Arial" w:hAnsi="Arial" w:cs="Arial"/>
          <w:b/>
        </w:rPr>
      </w:pPr>
      <w:r w:rsidRPr="003753D0">
        <w:rPr>
          <w:rFonts w:ascii="Arial" w:hAnsi="Arial" w:cs="Arial"/>
          <w:b/>
        </w:rPr>
        <w:t>About the QTU</w:t>
      </w:r>
    </w:p>
    <w:p w14:paraId="6ECB5D07" w14:textId="77777777" w:rsidR="00CE5261" w:rsidRPr="003753D0" w:rsidRDefault="00CE5261" w:rsidP="00CE5261">
      <w:pPr>
        <w:spacing w:line="360" w:lineRule="auto"/>
        <w:rPr>
          <w:rFonts w:ascii="Arial" w:hAnsi="Arial" w:cs="Arial"/>
          <w:b/>
          <w:u w:val="single"/>
        </w:rPr>
      </w:pPr>
    </w:p>
    <w:p w14:paraId="4FA26043" w14:textId="0DAE64B1" w:rsidR="00F75FBC" w:rsidRPr="003753D0" w:rsidRDefault="00CE5261" w:rsidP="00C4303D">
      <w:pPr>
        <w:pStyle w:val="ListParagraph"/>
        <w:numPr>
          <w:ilvl w:val="0"/>
          <w:numId w:val="3"/>
        </w:numPr>
        <w:spacing w:line="360" w:lineRule="auto"/>
        <w:rPr>
          <w:rFonts w:ascii="Arial" w:hAnsi="Arial" w:cs="Arial"/>
        </w:rPr>
      </w:pPr>
      <w:r w:rsidRPr="003753D0">
        <w:rPr>
          <w:rFonts w:ascii="Arial" w:hAnsi="Arial" w:cs="Arial"/>
        </w:rPr>
        <w:t xml:space="preserve">The Queensland Teachers’ Union of Employees (QTU) was founded in 1889 and currently represents </w:t>
      </w:r>
      <w:r w:rsidR="00CA0422" w:rsidRPr="003753D0">
        <w:rPr>
          <w:rFonts w:ascii="Arial" w:hAnsi="Arial" w:cs="Arial"/>
        </w:rPr>
        <w:t xml:space="preserve">more than </w:t>
      </w:r>
      <w:r w:rsidRPr="003753D0">
        <w:rPr>
          <w:rFonts w:ascii="Arial" w:hAnsi="Arial" w:cs="Arial"/>
        </w:rPr>
        <w:t xml:space="preserve">45,000 teachers </w:t>
      </w:r>
      <w:r w:rsidR="003753D0">
        <w:rPr>
          <w:rFonts w:ascii="Arial" w:hAnsi="Arial" w:cs="Arial"/>
        </w:rPr>
        <w:t xml:space="preserve">and principals </w:t>
      </w:r>
      <w:r w:rsidRPr="003753D0">
        <w:rPr>
          <w:rFonts w:ascii="Arial" w:hAnsi="Arial" w:cs="Arial"/>
        </w:rPr>
        <w:t>employed in 1,2</w:t>
      </w:r>
      <w:r w:rsidR="00F75FBC" w:rsidRPr="003753D0">
        <w:rPr>
          <w:rFonts w:ascii="Arial" w:hAnsi="Arial" w:cs="Arial"/>
        </w:rPr>
        <w:t>89</w:t>
      </w:r>
      <w:r w:rsidRPr="003753D0">
        <w:rPr>
          <w:rFonts w:ascii="Arial" w:hAnsi="Arial" w:cs="Arial"/>
        </w:rPr>
        <w:t xml:space="preserve"> Queensland state schools (including </w:t>
      </w:r>
      <w:r w:rsidR="00CA0422" w:rsidRPr="003753D0">
        <w:rPr>
          <w:rFonts w:ascii="Arial" w:hAnsi="Arial" w:cs="Arial"/>
        </w:rPr>
        <w:t xml:space="preserve">primary schools, secondary </w:t>
      </w:r>
      <w:r w:rsidRPr="003753D0">
        <w:rPr>
          <w:rFonts w:ascii="Arial" w:hAnsi="Arial" w:cs="Arial"/>
        </w:rPr>
        <w:t xml:space="preserve">schools, special schools and other specialist educational institutions) and TAFE institutes. </w:t>
      </w:r>
    </w:p>
    <w:p w14:paraId="62B6268F" w14:textId="07801748" w:rsidR="00F75FBC" w:rsidRPr="003753D0" w:rsidRDefault="00CE5261" w:rsidP="00C4303D">
      <w:pPr>
        <w:pStyle w:val="ListParagraph"/>
        <w:numPr>
          <w:ilvl w:val="0"/>
          <w:numId w:val="3"/>
        </w:numPr>
        <w:spacing w:line="360" w:lineRule="auto"/>
        <w:rPr>
          <w:rFonts w:ascii="Arial" w:hAnsi="Arial" w:cs="Arial"/>
        </w:rPr>
      </w:pPr>
      <w:r w:rsidRPr="003753D0">
        <w:rPr>
          <w:rFonts w:ascii="Arial" w:hAnsi="Arial" w:cs="Arial"/>
        </w:rPr>
        <w:t xml:space="preserve">In common with many unions of professionals, the QTU represents the interests of its members in relation to professional as well as industrial matters.  </w:t>
      </w:r>
    </w:p>
    <w:p w14:paraId="53DC1AF7" w14:textId="77777777" w:rsidR="00F75FBC" w:rsidRPr="003753D0" w:rsidRDefault="00F75FBC" w:rsidP="00C4303D">
      <w:pPr>
        <w:pStyle w:val="ListParagraph"/>
        <w:numPr>
          <w:ilvl w:val="0"/>
          <w:numId w:val="3"/>
        </w:numPr>
        <w:spacing w:line="360" w:lineRule="auto"/>
        <w:rPr>
          <w:rFonts w:ascii="Arial" w:hAnsi="Arial" w:cs="Arial"/>
        </w:rPr>
      </w:pPr>
      <w:r w:rsidRPr="003753D0">
        <w:rPr>
          <w:rFonts w:ascii="Arial" w:hAnsi="Arial" w:cs="Arial"/>
        </w:rPr>
        <w:t>In addition to the professional and industrial matters, t</w:t>
      </w:r>
      <w:r w:rsidR="00CE5261" w:rsidRPr="003753D0">
        <w:rPr>
          <w:rFonts w:ascii="Arial" w:hAnsi="Arial" w:cs="Arial"/>
        </w:rPr>
        <w:t>he QTU is also a strong advocate for state schools and public education generally</w:t>
      </w:r>
      <w:r w:rsidRPr="003753D0">
        <w:rPr>
          <w:rFonts w:ascii="Arial" w:hAnsi="Arial" w:cs="Arial"/>
        </w:rPr>
        <w:t>.</w:t>
      </w:r>
      <w:r w:rsidR="00CE5261" w:rsidRPr="003753D0">
        <w:rPr>
          <w:rFonts w:ascii="Arial" w:hAnsi="Arial" w:cs="Arial"/>
        </w:rPr>
        <w:t xml:space="preserve"> </w:t>
      </w:r>
    </w:p>
    <w:p w14:paraId="0ABCBA8D" w14:textId="5809E8BE" w:rsidR="00CE5261" w:rsidRPr="003753D0" w:rsidRDefault="00F75FBC" w:rsidP="00C4303D">
      <w:pPr>
        <w:pStyle w:val="ListParagraph"/>
        <w:numPr>
          <w:ilvl w:val="0"/>
          <w:numId w:val="3"/>
        </w:numPr>
        <w:spacing w:line="360" w:lineRule="auto"/>
        <w:rPr>
          <w:rFonts w:ascii="Arial" w:hAnsi="Arial" w:cs="Arial"/>
        </w:rPr>
      </w:pPr>
      <w:r w:rsidRPr="003753D0">
        <w:rPr>
          <w:rFonts w:ascii="Arial" w:hAnsi="Arial" w:cs="Arial"/>
        </w:rPr>
        <w:t xml:space="preserve">Specifically, in </w:t>
      </w:r>
      <w:r w:rsidR="00CE5261" w:rsidRPr="003753D0">
        <w:rPr>
          <w:rFonts w:ascii="Arial" w:hAnsi="Arial" w:cs="Arial"/>
        </w:rPr>
        <w:t>relati</w:t>
      </w:r>
      <w:r w:rsidRPr="003753D0">
        <w:rPr>
          <w:rFonts w:ascii="Arial" w:hAnsi="Arial" w:cs="Arial"/>
        </w:rPr>
        <w:t>on</w:t>
      </w:r>
      <w:r w:rsidR="00CE5261" w:rsidRPr="003753D0">
        <w:rPr>
          <w:rFonts w:ascii="Arial" w:hAnsi="Arial" w:cs="Arial"/>
        </w:rPr>
        <w:t xml:space="preserve"> to school funding</w:t>
      </w:r>
      <w:r w:rsidRPr="003753D0">
        <w:rPr>
          <w:rFonts w:ascii="Arial" w:hAnsi="Arial" w:cs="Arial"/>
        </w:rPr>
        <w:t xml:space="preserve">, </w:t>
      </w:r>
      <w:r w:rsidR="00CA0422" w:rsidRPr="003753D0">
        <w:rPr>
          <w:rFonts w:ascii="Arial" w:hAnsi="Arial" w:cs="Arial"/>
        </w:rPr>
        <w:t xml:space="preserve">the QTU strives to ensure </w:t>
      </w:r>
      <w:r w:rsidRPr="003753D0">
        <w:rPr>
          <w:rFonts w:ascii="Arial" w:hAnsi="Arial" w:cs="Arial"/>
        </w:rPr>
        <w:t xml:space="preserve">that state schools are funded adequately to provide a quality education for all students regardless of socio-economic background, </w:t>
      </w:r>
      <w:r w:rsidR="00D30577">
        <w:rPr>
          <w:rFonts w:ascii="Arial" w:hAnsi="Arial" w:cs="Arial"/>
        </w:rPr>
        <w:t>i</w:t>
      </w:r>
      <w:r w:rsidRPr="003753D0">
        <w:rPr>
          <w:rFonts w:ascii="Arial" w:hAnsi="Arial" w:cs="Arial"/>
        </w:rPr>
        <w:t>ndigeneity, lack of English language proficiency, disability, rural and remoteness, and school size</w:t>
      </w:r>
      <w:r w:rsidR="00CE5261" w:rsidRPr="003753D0">
        <w:rPr>
          <w:rFonts w:ascii="Arial" w:hAnsi="Arial" w:cs="Arial"/>
        </w:rPr>
        <w:t>.</w:t>
      </w:r>
    </w:p>
    <w:p w14:paraId="24B867D3" w14:textId="0EFA06F0" w:rsidR="0068793A" w:rsidRPr="003753D0" w:rsidRDefault="00DB50CE" w:rsidP="00C4303D">
      <w:pPr>
        <w:pStyle w:val="ListParagraph"/>
        <w:numPr>
          <w:ilvl w:val="0"/>
          <w:numId w:val="3"/>
        </w:numPr>
        <w:spacing w:line="360" w:lineRule="auto"/>
        <w:rPr>
          <w:rFonts w:ascii="Arial" w:hAnsi="Arial" w:cs="Arial"/>
        </w:rPr>
      </w:pPr>
      <w:r w:rsidRPr="003753D0">
        <w:rPr>
          <w:rFonts w:ascii="Arial" w:hAnsi="Arial" w:cs="Arial"/>
        </w:rPr>
        <w:t>The QTU will continue to advocate that vocational education and training is one of the key pillars of the Australian education sector, and, as such, provides essential services to the economic and social benefit of Queensland.</w:t>
      </w:r>
    </w:p>
    <w:p w14:paraId="32C74B15" w14:textId="77777777" w:rsidR="00EC5D80" w:rsidRPr="003753D0" w:rsidRDefault="00EC5D80">
      <w:pPr>
        <w:spacing w:after="160" w:line="259" w:lineRule="auto"/>
        <w:rPr>
          <w:rFonts w:ascii="Arial" w:hAnsi="Arial" w:cs="Arial"/>
        </w:rPr>
      </w:pPr>
    </w:p>
    <w:p w14:paraId="17C646D2" w14:textId="41E2FD8A" w:rsidR="00DB50CE" w:rsidRPr="003753D0" w:rsidRDefault="0068793A" w:rsidP="0068793A">
      <w:pPr>
        <w:spacing w:line="360" w:lineRule="auto"/>
        <w:rPr>
          <w:rFonts w:ascii="Arial" w:hAnsi="Arial" w:cs="Arial"/>
          <w:b/>
        </w:rPr>
      </w:pPr>
      <w:r w:rsidRPr="003753D0">
        <w:rPr>
          <w:rFonts w:ascii="Arial" w:hAnsi="Arial" w:cs="Arial"/>
          <w:b/>
        </w:rPr>
        <w:t>Overview</w:t>
      </w:r>
    </w:p>
    <w:p w14:paraId="7DEDD154" w14:textId="0F3294B9" w:rsidR="003030B8" w:rsidRPr="003753D0" w:rsidRDefault="00CA0422" w:rsidP="003030B8">
      <w:pPr>
        <w:pStyle w:val="ListParagraph"/>
        <w:numPr>
          <w:ilvl w:val="0"/>
          <w:numId w:val="3"/>
        </w:numPr>
        <w:spacing w:line="360" w:lineRule="auto"/>
        <w:jc w:val="both"/>
        <w:rPr>
          <w:rFonts w:ascii="Arial" w:hAnsi="Arial" w:cs="Arial"/>
        </w:rPr>
      </w:pPr>
      <w:r w:rsidRPr="003753D0">
        <w:rPr>
          <w:rFonts w:ascii="Arial" w:hAnsi="Arial" w:cs="Arial"/>
        </w:rPr>
        <w:t>In making this submission the QTU supports</w:t>
      </w:r>
      <w:r w:rsidR="003030B8" w:rsidRPr="003753D0">
        <w:rPr>
          <w:rFonts w:ascii="Arial" w:hAnsi="Arial" w:cs="Arial"/>
        </w:rPr>
        <w:t xml:space="preserve"> the Queensland </w:t>
      </w:r>
      <w:r w:rsidR="00D30577">
        <w:rPr>
          <w:rFonts w:ascii="Arial" w:hAnsi="Arial" w:cs="Arial"/>
        </w:rPr>
        <w:t>g</w:t>
      </w:r>
      <w:r w:rsidR="003030B8" w:rsidRPr="003753D0">
        <w:rPr>
          <w:rFonts w:ascii="Arial" w:hAnsi="Arial" w:cs="Arial"/>
        </w:rPr>
        <w:t>overnment’s submission in response to the draft report.</w:t>
      </w:r>
    </w:p>
    <w:p w14:paraId="2355980C" w14:textId="5082C897" w:rsidR="003030B8" w:rsidRPr="003753D0" w:rsidRDefault="003030B8" w:rsidP="003030B8">
      <w:pPr>
        <w:pStyle w:val="ListParagraph"/>
        <w:numPr>
          <w:ilvl w:val="0"/>
          <w:numId w:val="3"/>
        </w:numPr>
        <w:spacing w:line="360" w:lineRule="auto"/>
        <w:rPr>
          <w:rFonts w:ascii="Arial" w:hAnsi="Arial" w:cs="Arial"/>
        </w:rPr>
      </w:pPr>
      <w:r w:rsidRPr="003753D0">
        <w:rPr>
          <w:rFonts w:ascii="Arial" w:hAnsi="Arial" w:cs="Arial"/>
        </w:rPr>
        <w:lastRenderedPageBreak/>
        <w:t>The view that current HFE has achieved its objectives without having a net negative effect on productivity and economic growth is shared by a range of stakeholders in addition to the Queensland Government, such as the Australian Chamber of Commerce and Industry, the Chamber of Commerce and Industry Queensland, the Victorian Government, and the Victorian Trades Hall Council.</w:t>
      </w:r>
    </w:p>
    <w:p w14:paraId="3C72D6D5" w14:textId="7BE98543" w:rsidR="003030B8" w:rsidRPr="003753D0" w:rsidRDefault="003030B8" w:rsidP="003030B8">
      <w:pPr>
        <w:pStyle w:val="ListParagraph"/>
        <w:numPr>
          <w:ilvl w:val="0"/>
          <w:numId w:val="3"/>
        </w:numPr>
        <w:spacing w:line="360" w:lineRule="auto"/>
        <w:rPr>
          <w:rFonts w:ascii="Arial" w:hAnsi="Arial" w:cs="Arial"/>
        </w:rPr>
      </w:pPr>
      <w:r w:rsidRPr="003753D0">
        <w:rPr>
          <w:rFonts w:ascii="Arial" w:hAnsi="Arial" w:cs="Arial"/>
        </w:rPr>
        <w:t>The Commission’s proposed changes to HFE</w:t>
      </w:r>
      <w:r w:rsidR="00855F7B" w:rsidRPr="003753D0">
        <w:rPr>
          <w:rFonts w:ascii="Arial" w:hAnsi="Arial" w:cs="Arial"/>
        </w:rPr>
        <w:t>,</w:t>
      </w:r>
      <w:r w:rsidRPr="003753D0">
        <w:rPr>
          <w:rFonts w:ascii="Arial" w:hAnsi="Arial" w:cs="Arial"/>
        </w:rPr>
        <w:t xml:space="preserve"> </w:t>
      </w:r>
      <w:r w:rsidR="00855F7B" w:rsidRPr="003753D0">
        <w:rPr>
          <w:rFonts w:ascii="Arial" w:hAnsi="Arial" w:cs="Arial"/>
        </w:rPr>
        <w:t xml:space="preserve">and subsequent changes to </w:t>
      </w:r>
      <w:r w:rsidR="00F274B4">
        <w:rPr>
          <w:rFonts w:ascii="Arial" w:hAnsi="Arial" w:cs="Arial"/>
        </w:rPr>
        <w:t>goods and services tax (</w:t>
      </w:r>
      <w:r w:rsidR="00855F7B" w:rsidRPr="003753D0">
        <w:rPr>
          <w:rFonts w:ascii="Arial" w:hAnsi="Arial" w:cs="Arial"/>
        </w:rPr>
        <w:t>GST</w:t>
      </w:r>
      <w:r w:rsidR="00F274B4">
        <w:rPr>
          <w:rFonts w:ascii="Arial" w:hAnsi="Arial" w:cs="Arial"/>
        </w:rPr>
        <w:t>)</w:t>
      </w:r>
      <w:r w:rsidR="00855F7B" w:rsidRPr="003753D0">
        <w:rPr>
          <w:rFonts w:ascii="Arial" w:hAnsi="Arial" w:cs="Arial"/>
        </w:rPr>
        <w:t xml:space="preserve"> distribution, could potentially reduce Queensland’s share of GST by $729 million</w:t>
      </w:r>
      <w:r w:rsidR="008E180D" w:rsidRPr="003753D0">
        <w:rPr>
          <w:rFonts w:ascii="Arial" w:hAnsi="Arial" w:cs="Arial"/>
        </w:rPr>
        <w:t xml:space="preserve"> (equalisation to second highest state), $1.588 billion (equalisation to the average), and </w:t>
      </w:r>
      <w:r w:rsidR="00855F7B" w:rsidRPr="003753D0">
        <w:rPr>
          <w:rFonts w:ascii="Arial" w:hAnsi="Arial" w:cs="Arial"/>
        </w:rPr>
        <w:t>$2.399 billion</w:t>
      </w:r>
      <w:r w:rsidR="008E180D" w:rsidRPr="003753D0">
        <w:rPr>
          <w:rFonts w:ascii="Arial" w:hAnsi="Arial" w:cs="Arial"/>
        </w:rPr>
        <w:t xml:space="preserve"> (equalisation per capita)</w:t>
      </w:r>
      <w:r w:rsidR="00855F7B" w:rsidRPr="003753D0">
        <w:rPr>
          <w:rFonts w:ascii="Arial" w:hAnsi="Arial" w:cs="Arial"/>
        </w:rPr>
        <w:t>.</w:t>
      </w:r>
    </w:p>
    <w:p w14:paraId="0B6E614E" w14:textId="3C771299" w:rsidR="00855F7B" w:rsidRDefault="00855F7B" w:rsidP="003030B8">
      <w:pPr>
        <w:pStyle w:val="ListParagraph"/>
        <w:numPr>
          <w:ilvl w:val="0"/>
          <w:numId w:val="3"/>
        </w:numPr>
        <w:spacing w:line="360" w:lineRule="auto"/>
        <w:rPr>
          <w:rFonts w:ascii="Arial" w:hAnsi="Arial" w:cs="Arial"/>
        </w:rPr>
      </w:pPr>
      <w:r w:rsidRPr="003753D0">
        <w:rPr>
          <w:rFonts w:ascii="Arial" w:hAnsi="Arial" w:cs="Arial"/>
        </w:rPr>
        <w:t>These figures are based on the C</w:t>
      </w:r>
      <w:r w:rsidR="009A598E" w:rsidRPr="003753D0">
        <w:rPr>
          <w:rFonts w:ascii="Arial" w:hAnsi="Arial" w:cs="Arial"/>
        </w:rPr>
        <w:t>ommission’s</w:t>
      </w:r>
      <w:r w:rsidR="00012D18" w:rsidRPr="003753D0">
        <w:rPr>
          <w:rFonts w:ascii="Arial" w:hAnsi="Arial" w:cs="Arial"/>
        </w:rPr>
        <w:t xml:space="preserve"> own</w:t>
      </w:r>
      <w:r w:rsidR="009A598E" w:rsidRPr="003753D0">
        <w:rPr>
          <w:rFonts w:ascii="Arial" w:hAnsi="Arial" w:cs="Arial"/>
        </w:rPr>
        <w:t xml:space="preserve"> </w:t>
      </w:r>
      <w:r w:rsidR="00B2710D" w:rsidRPr="003753D0">
        <w:rPr>
          <w:rFonts w:ascii="Arial" w:hAnsi="Arial" w:cs="Arial"/>
        </w:rPr>
        <w:t>estimates and projections.</w:t>
      </w:r>
    </w:p>
    <w:p w14:paraId="3F1156BE" w14:textId="5B759D23" w:rsidR="009D63EF" w:rsidRPr="003753D0" w:rsidRDefault="009D63EF" w:rsidP="003030B8">
      <w:pPr>
        <w:pStyle w:val="ListParagraph"/>
        <w:numPr>
          <w:ilvl w:val="0"/>
          <w:numId w:val="3"/>
        </w:numPr>
        <w:spacing w:line="360" w:lineRule="auto"/>
        <w:rPr>
          <w:rFonts w:ascii="Arial" w:hAnsi="Arial" w:cs="Arial"/>
        </w:rPr>
      </w:pPr>
      <w:r w:rsidRPr="00F7394E">
        <w:rPr>
          <w:rFonts w:ascii="Arial" w:hAnsi="Arial" w:cs="Arial"/>
        </w:rPr>
        <w:t xml:space="preserve">Education, when combined with health, represents around 50% of the total expenditure in the </w:t>
      </w:r>
      <w:r w:rsidR="00D30577">
        <w:rPr>
          <w:rFonts w:ascii="Arial" w:hAnsi="Arial" w:cs="Arial"/>
        </w:rPr>
        <w:t xml:space="preserve">Queensland </w:t>
      </w:r>
      <w:r w:rsidR="00FD7A78">
        <w:rPr>
          <w:rFonts w:ascii="Arial" w:hAnsi="Arial" w:cs="Arial"/>
        </w:rPr>
        <w:t>S</w:t>
      </w:r>
      <w:r w:rsidRPr="00F7394E">
        <w:rPr>
          <w:rFonts w:ascii="Arial" w:hAnsi="Arial" w:cs="Arial"/>
        </w:rPr>
        <w:t>tate budget.</w:t>
      </w:r>
    </w:p>
    <w:p w14:paraId="0EFCCDC5" w14:textId="505CFB0D" w:rsidR="008E180D" w:rsidRPr="003753D0" w:rsidRDefault="008E180D" w:rsidP="003030B8">
      <w:pPr>
        <w:pStyle w:val="ListParagraph"/>
        <w:numPr>
          <w:ilvl w:val="0"/>
          <w:numId w:val="3"/>
        </w:numPr>
        <w:spacing w:line="360" w:lineRule="auto"/>
        <w:rPr>
          <w:rFonts w:ascii="Arial" w:hAnsi="Arial" w:cs="Arial"/>
        </w:rPr>
      </w:pPr>
      <w:r w:rsidRPr="003753D0">
        <w:rPr>
          <w:rFonts w:ascii="Arial" w:hAnsi="Arial" w:cs="Arial"/>
        </w:rPr>
        <w:t>Queensland Treasury modelling has indicated that a $1.588 billion reduction in GST revenue is the equivalent of Queensland losing 14,881 state school teachers, or about one in every three state school teachers.</w:t>
      </w:r>
    </w:p>
    <w:p w14:paraId="63F1989F" w14:textId="31C96DD1" w:rsidR="00012D18" w:rsidRPr="003753D0" w:rsidRDefault="00FB309E" w:rsidP="003030B8">
      <w:pPr>
        <w:pStyle w:val="ListParagraph"/>
        <w:numPr>
          <w:ilvl w:val="0"/>
          <w:numId w:val="3"/>
        </w:numPr>
        <w:spacing w:line="360" w:lineRule="auto"/>
        <w:rPr>
          <w:rFonts w:ascii="Arial" w:hAnsi="Arial" w:cs="Arial"/>
        </w:rPr>
      </w:pPr>
      <w:r w:rsidRPr="003753D0">
        <w:rPr>
          <w:rFonts w:ascii="Arial" w:hAnsi="Arial" w:cs="Arial"/>
        </w:rPr>
        <w:t>Queensland is the second largest state in terms of geographical size.</w:t>
      </w:r>
    </w:p>
    <w:p w14:paraId="1786B0B0" w14:textId="67E4E18B" w:rsidR="00FB309E" w:rsidRPr="003753D0" w:rsidRDefault="00FB309E" w:rsidP="003030B8">
      <w:pPr>
        <w:pStyle w:val="ListParagraph"/>
        <w:numPr>
          <w:ilvl w:val="0"/>
          <w:numId w:val="3"/>
        </w:numPr>
        <w:spacing w:line="360" w:lineRule="auto"/>
        <w:rPr>
          <w:rFonts w:ascii="Arial" w:hAnsi="Arial" w:cs="Arial"/>
        </w:rPr>
      </w:pPr>
      <w:r w:rsidRPr="003753D0">
        <w:rPr>
          <w:rFonts w:ascii="Arial" w:hAnsi="Arial" w:cs="Arial"/>
        </w:rPr>
        <w:t xml:space="preserve">It is undeniably one of the most challenging states to govern with regards to ensuring equitable access to </w:t>
      </w:r>
      <w:r w:rsidR="00236E3A" w:rsidRPr="003753D0">
        <w:rPr>
          <w:rFonts w:ascii="Arial" w:hAnsi="Arial" w:cs="Arial"/>
        </w:rPr>
        <w:t xml:space="preserve">public </w:t>
      </w:r>
      <w:r w:rsidRPr="003753D0">
        <w:rPr>
          <w:rFonts w:ascii="Arial" w:hAnsi="Arial" w:cs="Arial"/>
        </w:rPr>
        <w:t xml:space="preserve">services </w:t>
      </w:r>
      <w:r w:rsidR="00394FF5">
        <w:rPr>
          <w:rFonts w:ascii="Arial" w:hAnsi="Arial" w:cs="Arial"/>
        </w:rPr>
        <w:t>for</w:t>
      </w:r>
      <w:r w:rsidRPr="003753D0">
        <w:rPr>
          <w:rFonts w:ascii="Arial" w:hAnsi="Arial" w:cs="Arial"/>
        </w:rPr>
        <w:t xml:space="preserve"> its highly decentralised population.</w:t>
      </w:r>
    </w:p>
    <w:p w14:paraId="65972A88" w14:textId="77777777" w:rsidR="00FB309E" w:rsidRPr="003753D0" w:rsidRDefault="00FB309E" w:rsidP="00FB309E">
      <w:pPr>
        <w:spacing w:line="360" w:lineRule="auto"/>
        <w:rPr>
          <w:rFonts w:ascii="Arial" w:hAnsi="Arial" w:cs="Arial"/>
        </w:rPr>
      </w:pPr>
    </w:p>
    <w:p w14:paraId="25FE9238" w14:textId="2A3A625C" w:rsidR="00FB309E" w:rsidRPr="003753D0" w:rsidRDefault="00B9479C" w:rsidP="00FB309E">
      <w:pPr>
        <w:spacing w:line="360" w:lineRule="auto"/>
        <w:rPr>
          <w:rFonts w:ascii="Arial" w:hAnsi="Arial" w:cs="Arial"/>
          <w:b/>
        </w:rPr>
      </w:pPr>
      <w:r w:rsidRPr="003753D0">
        <w:rPr>
          <w:rFonts w:ascii="Arial" w:hAnsi="Arial" w:cs="Arial"/>
          <w:b/>
        </w:rPr>
        <w:t xml:space="preserve">State </w:t>
      </w:r>
      <w:r w:rsidR="00971F22">
        <w:rPr>
          <w:rFonts w:ascii="Arial" w:hAnsi="Arial" w:cs="Arial"/>
          <w:b/>
        </w:rPr>
        <w:t>s</w:t>
      </w:r>
      <w:r w:rsidRPr="003753D0">
        <w:rPr>
          <w:rFonts w:ascii="Arial" w:hAnsi="Arial" w:cs="Arial"/>
          <w:b/>
        </w:rPr>
        <w:t>chooling</w:t>
      </w:r>
      <w:r w:rsidR="00515DAA" w:rsidRPr="003753D0">
        <w:rPr>
          <w:rFonts w:ascii="Arial" w:hAnsi="Arial" w:cs="Arial"/>
          <w:b/>
        </w:rPr>
        <w:t xml:space="preserve"> and </w:t>
      </w:r>
      <w:r w:rsidRPr="003753D0">
        <w:rPr>
          <w:rFonts w:ascii="Arial" w:hAnsi="Arial" w:cs="Arial"/>
          <w:b/>
        </w:rPr>
        <w:t xml:space="preserve">TAFE: the Queensland </w:t>
      </w:r>
      <w:r w:rsidR="00971F22">
        <w:rPr>
          <w:rFonts w:ascii="Arial" w:hAnsi="Arial" w:cs="Arial"/>
          <w:b/>
        </w:rPr>
        <w:t>c</w:t>
      </w:r>
      <w:r w:rsidR="00FB309E" w:rsidRPr="003753D0">
        <w:rPr>
          <w:rFonts w:ascii="Arial" w:hAnsi="Arial" w:cs="Arial"/>
          <w:b/>
        </w:rPr>
        <w:t>ontext</w:t>
      </w:r>
    </w:p>
    <w:p w14:paraId="0342EC40" w14:textId="1CDC394B" w:rsidR="006E49C3" w:rsidRPr="003753D0" w:rsidRDefault="00FB309E" w:rsidP="00FB309E">
      <w:pPr>
        <w:pStyle w:val="ListParagraph"/>
        <w:numPr>
          <w:ilvl w:val="0"/>
          <w:numId w:val="3"/>
        </w:numPr>
        <w:spacing w:line="360" w:lineRule="auto"/>
        <w:jc w:val="both"/>
        <w:rPr>
          <w:rFonts w:ascii="Arial" w:hAnsi="Arial" w:cs="Arial"/>
        </w:rPr>
      </w:pPr>
      <w:r w:rsidRPr="003753D0">
        <w:rPr>
          <w:rFonts w:ascii="Arial" w:hAnsi="Arial" w:cs="Arial"/>
        </w:rPr>
        <w:t xml:space="preserve">Ensuring equitable access to state education in Queensland poses challenges due to the nature of the </w:t>
      </w:r>
      <w:r w:rsidR="004445C1">
        <w:rPr>
          <w:rFonts w:ascii="Arial" w:hAnsi="Arial" w:cs="Arial"/>
        </w:rPr>
        <w:t>S</w:t>
      </w:r>
      <w:r w:rsidRPr="003753D0">
        <w:rPr>
          <w:rFonts w:ascii="Arial" w:hAnsi="Arial" w:cs="Arial"/>
        </w:rPr>
        <w:t>tate’s geographical expanses.</w:t>
      </w:r>
    </w:p>
    <w:p w14:paraId="0AFF19C7" w14:textId="0AC22BE5" w:rsidR="00FB309E" w:rsidRPr="003753D0" w:rsidRDefault="00FB309E" w:rsidP="00FB309E">
      <w:pPr>
        <w:pStyle w:val="ListParagraph"/>
        <w:numPr>
          <w:ilvl w:val="0"/>
          <w:numId w:val="3"/>
        </w:numPr>
        <w:spacing w:line="360" w:lineRule="auto"/>
        <w:jc w:val="both"/>
        <w:rPr>
          <w:rFonts w:ascii="Arial" w:hAnsi="Arial" w:cs="Arial"/>
        </w:rPr>
      </w:pPr>
      <w:r w:rsidRPr="003753D0">
        <w:rPr>
          <w:rFonts w:ascii="Arial" w:hAnsi="Arial" w:cs="Arial"/>
        </w:rPr>
        <w:t xml:space="preserve"> In Queensland there are approximately:</w:t>
      </w:r>
    </w:p>
    <w:p w14:paraId="561AAD42" w14:textId="7C98FB62" w:rsidR="00FB309E" w:rsidRPr="003753D0" w:rsidRDefault="00FB309E" w:rsidP="00FB309E">
      <w:pPr>
        <w:pStyle w:val="ListParagraph"/>
        <w:numPr>
          <w:ilvl w:val="1"/>
          <w:numId w:val="3"/>
        </w:numPr>
        <w:spacing w:line="360" w:lineRule="auto"/>
        <w:jc w:val="both"/>
        <w:rPr>
          <w:rFonts w:ascii="Arial" w:hAnsi="Arial" w:cs="Arial"/>
        </w:rPr>
      </w:pPr>
      <w:r w:rsidRPr="003753D0">
        <w:rPr>
          <w:rFonts w:ascii="Arial" w:hAnsi="Arial" w:cs="Arial"/>
        </w:rPr>
        <w:t>151</w:t>
      </w:r>
      <w:r w:rsidR="00B9479C" w:rsidRPr="003753D0">
        <w:rPr>
          <w:rFonts w:ascii="Arial" w:hAnsi="Arial" w:cs="Arial"/>
        </w:rPr>
        <w:t xml:space="preserve"> state</w:t>
      </w:r>
      <w:r w:rsidRPr="003753D0">
        <w:rPr>
          <w:rFonts w:ascii="Arial" w:hAnsi="Arial" w:cs="Arial"/>
        </w:rPr>
        <w:t xml:space="preserve"> schools classified as remote</w:t>
      </w:r>
    </w:p>
    <w:p w14:paraId="4142901B" w14:textId="02E670F0" w:rsidR="00FB309E" w:rsidRPr="003753D0" w:rsidRDefault="00FB309E" w:rsidP="00FB309E">
      <w:pPr>
        <w:pStyle w:val="ListParagraph"/>
        <w:numPr>
          <w:ilvl w:val="1"/>
          <w:numId w:val="3"/>
        </w:numPr>
        <w:spacing w:line="360" w:lineRule="auto"/>
        <w:jc w:val="both"/>
        <w:rPr>
          <w:rFonts w:ascii="Arial" w:hAnsi="Arial" w:cs="Arial"/>
        </w:rPr>
      </w:pPr>
      <w:r w:rsidRPr="003753D0">
        <w:rPr>
          <w:rFonts w:ascii="Arial" w:hAnsi="Arial" w:cs="Arial"/>
        </w:rPr>
        <w:t xml:space="preserve">455 </w:t>
      </w:r>
      <w:r w:rsidR="00B9479C" w:rsidRPr="003753D0">
        <w:rPr>
          <w:rFonts w:ascii="Arial" w:hAnsi="Arial" w:cs="Arial"/>
        </w:rPr>
        <w:t xml:space="preserve">state </w:t>
      </w:r>
      <w:r w:rsidRPr="003753D0">
        <w:rPr>
          <w:rFonts w:ascii="Arial" w:hAnsi="Arial" w:cs="Arial"/>
        </w:rPr>
        <w:t>schools classified as rural</w:t>
      </w:r>
    </w:p>
    <w:p w14:paraId="402D9B4C" w14:textId="2DA53250" w:rsidR="00FB309E" w:rsidRPr="003753D0" w:rsidRDefault="00FB309E" w:rsidP="00FB309E">
      <w:pPr>
        <w:pStyle w:val="ListParagraph"/>
        <w:numPr>
          <w:ilvl w:val="1"/>
          <w:numId w:val="3"/>
        </w:numPr>
        <w:spacing w:line="360" w:lineRule="auto"/>
        <w:jc w:val="both"/>
        <w:rPr>
          <w:rFonts w:ascii="Arial" w:hAnsi="Arial" w:cs="Arial"/>
        </w:rPr>
      </w:pPr>
      <w:r w:rsidRPr="003753D0">
        <w:rPr>
          <w:rFonts w:ascii="Arial" w:hAnsi="Arial" w:cs="Arial"/>
        </w:rPr>
        <w:t xml:space="preserve">108 </w:t>
      </w:r>
      <w:r w:rsidR="00B9479C" w:rsidRPr="003753D0">
        <w:rPr>
          <w:rFonts w:ascii="Arial" w:hAnsi="Arial" w:cs="Arial"/>
        </w:rPr>
        <w:t xml:space="preserve">state </w:t>
      </w:r>
      <w:r w:rsidRPr="003753D0">
        <w:rPr>
          <w:rFonts w:ascii="Arial" w:hAnsi="Arial" w:cs="Arial"/>
        </w:rPr>
        <w:t>schools classified as regional or provincial city</w:t>
      </w:r>
    </w:p>
    <w:p w14:paraId="1D4300DC" w14:textId="440B0D00" w:rsidR="00B9479C" w:rsidRPr="003753D0" w:rsidRDefault="00FB309E" w:rsidP="00B9479C">
      <w:pPr>
        <w:pStyle w:val="ListParagraph"/>
        <w:numPr>
          <w:ilvl w:val="1"/>
          <w:numId w:val="3"/>
        </w:numPr>
        <w:spacing w:line="360" w:lineRule="auto"/>
        <w:jc w:val="both"/>
        <w:rPr>
          <w:rFonts w:ascii="Arial" w:hAnsi="Arial" w:cs="Arial"/>
        </w:rPr>
      </w:pPr>
      <w:r w:rsidRPr="003753D0">
        <w:rPr>
          <w:rFonts w:ascii="Arial" w:hAnsi="Arial" w:cs="Arial"/>
        </w:rPr>
        <w:t xml:space="preserve">509 </w:t>
      </w:r>
      <w:r w:rsidR="00B9479C" w:rsidRPr="003753D0">
        <w:rPr>
          <w:rFonts w:ascii="Arial" w:hAnsi="Arial" w:cs="Arial"/>
        </w:rPr>
        <w:t xml:space="preserve">state </w:t>
      </w:r>
      <w:r w:rsidRPr="003753D0">
        <w:rPr>
          <w:rFonts w:ascii="Arial" w:hAnsi="Arial" w:cs="Arial"/>
        </w:rPr>
        <w:t>schools classified as metropolitan</w:t>
      </w:r>
      <w:r w:rsidR="00236E3A" w:rsidRPr="003753D0">
        <w:rPr>
          <w:rFonts w:ascii="Arial" w:hAnsi="Arial" w:cs="Arial"/>
        </w:rPr>
        <w:t>.</w:t>
      </w:r>
    </w:p>
    <w:p w14:paraId="00589240" w14:textId="79C980C1" w:rsidR="00FB309E" w:rsidRPr="003753D0" w:rsidRDefault="00FB309E" w:rsidP="00FB309E">
      <w:pPr>
        <w:pStyle w:val="ListParagraph"/>
        <w:numPr>
          <w:ilvl w:val="0"/>
          <w:numId w:val="3"/>
        </w:numPr>
        <w:spacing w:line="360" w:lineRule="auto"/>
        <w:jc w:val="both"/>
        <w:rPr>
          <w:rFonts w:ascii="Arial" w:hAnsi="Arial" w:cs="Arial"/>
        </w:rPr>
      </w:pPr>
      <w:r w:rsidRPr="003753D0">
        <w:rPr>
          <w:rFonts w:ascii="Arial" w:hAnsi="Arial" w:cs="Arial"/>
        </w:rPr>
        <w:t>In addition to this there</w:t>
      </w:r>
      <w:r w:rsidR="004244A1" w:rsidRPr="003753D0">
        <w:rPr>
          <w:rFonts w:ascii="Arial" w:hAnsi="Arial" w:cs="Arial"/>
        </w:rPr>
        <w:t xml:space="preserve"> are approximately:</w:t>
      </w:r>
    </w:p>
    <w:p w14:paraId="425D6353" w14:textId="13430307" w:rsidR="004244A1" w:rsidRPr="003753D0" w:rsidRDefault="00E317B5" w:rsidP="004244A1">
      <w:pPr>
        <w:pStyle w:val="ListParagraph"/>
        <w:numPr>
          <w:ilvl w:val="1"/>
          <w:numId w:val="3"/>
        </w:numPr>
        <w:spacing w:line="360" w:lineRule="auto"/>
        <w:jc w:val="both"/>
        <w:rPr>
          <w:rFonts w:ascii="Arial" w:hAnsi="Arial" w:cs="Arial"/>
        </w:rPr>
      </w:pPr>
      <w:r w:rsidRPr="003753D0">
        <w:rPr>
          <w:rFonts w:ascii="Arial" w:hAnsi="Arial" w:cs="Arial"/>
        </w:rPr>
        <w:t>3 TAFE campuses that would be classified as remote</w:t>
      </w:r>
    </w:p>
    <w:p w14:paraId="5A5F8787" w14:textId="02609887" w:rsidR="00E317B5" w:rsidRPr="003753D0" w:rsidRDefault="00E317B5" w:rsidP="00E317B5">
      <w:pPr>
        <w:pStyle w:val="ListParagraph"/>
        <w:numPr>
          <w:ilvl w:val="1"/>
          <w:numId w:val="3"/>
        </w:numPr>
        <w:spacing w:line="360" w:lineRule="auto"/>
        <w:jc w:val="both"/>
        <w:rPr>
          <w:rFonts w:ascii="Arial" w:hAnsi="Arial" w:cs="Arial"/>
        </w:rPr>
      </w:pPr>
      <w:r w:rsidRPr="003753D0">
        <w:rPr>
          <w:rFonts w:ascii="Arial" w:hAnsi="Arial" w:cs="Arial"/>
        </w:rPr>
        <w:t>11 TAFE campuses that would be classified as rural</w:t>
      </w:r>
    </w:p>
    <w:p w14:paraId="1DDF2DAC" w14:textId="75960CF8" w:rsidR="00E317B5" w:rsidRPr="003753D0" w:rsidRDefault="00E317B5" w:rsidP="00E317B5">
      <w:pPr>
        <w:pStyle w:val="ListParagraph"/>
        <w:numPr>
          <w:ilvl w:val="1"/>
          <w:numId w:val="3"/>
        </w:numPr>
        <w:spacing w:line="360" w:lineRule="auto"/>
        <w:jc w:val="both"/>
        <w:rPr>
          <w:rFonts w:ascii="Arial" w:hAnsi="Arial" w:cs="Arial"/>
        </w:rPr>
      </w:pPr>
      <w:r w:rsidRPr="003753D0">
        <w:rPr>
          <w:rFonts w:ascii="Arial" w:hAnsi="Arial" w:cs="Arial"/>
        </w:rPr>
        <w:t>9 TAFE campuses that would be classified as regional</w:t>
      </w:r>
    </w:p>
    <w:p w14:paraId="0CD7D898" w14:textId="76FE8666" w:rsidR="00E317B5" w:rsidRPr="003753D0" w:rsidRDefault="00E317B5" w:rsidP="00E317B5">
      <w:pPr>
        <w:pStyle w:val="ListParagraph"/>
        <w:numPr>
          <w:ilvl w:val="1"/>
          <w:numId w:val="3"/>
        </w:numPr>
        <w:spacing w:line="360" w:lineRule="auto"/>
        <w:jc w:val="both"/>
        <w:rPr>
          <w:rFonts w:ascii="Arial" w:hAnsi="Arial" w:cs="Arial"/>
        </w:rPr>
      </w:pPr>
      <w:r w:rsidRPr="003753D0">
        <w:rPr>
          <w:rFonts w:ascii="Arial" w:hAnsi="Arial" w:cs="Arial"/>
        </w:rPr>
        <w:t>23 TAFE campuses that would be classified as metropolitan</w:t>
      </w:r>
      <w:r w:rsidR="00236E3A" w:rsidRPr="003753D0">
        <w:rPr>
          <w:rFonts w:ascii="Arial" w:hAnsi="Arial" w:cs="Arial"/>
        </w:rPr>
        <w:t>.</w:t>
      </w:r>
    </w:p>
    <w:p w14:paraId="422A8ACC" w14:textId="20B03DDE" w:rsidR="00B9479C" w:rsidRPr="003753D0" w:rsidRDefault="00CE3EA7" w:rsidP="00B9479C">
      <w:pPr>
        <w:pStyle w:val="ListParagraph"/>
        <w:numPr>
          <w:ilvl w:val="0"/>
          <w:numId w:val="3"/>
        </w:numPr>
        <w:spacing w:line="360" w:lineRule="auto"/>
        <w:jc w:val="both"/>
        <w:rPr>
          <w:rFonts w:ascii="Arial" w:hAnsi="Arial" w:cs="Arial"/>
        </w:rPr>
      </w:pPr>
      <w:r w:rsidRPr="003753D0">
        <w:rPr>
          <w:rFonts w:ascii="Arial" w:hAnsi="Arial" w:cs="Arial"/>
        </w:rPr>
        <w:t>Despite making up nearly half the number of schools and nearly one third of TAFE campuses, r</w:t>
      </w:r>
      <w:r w:rsidR="00B9479C" w:rsidRPr="003753D0">
        <w:rPr>
          <w:rFonts w:ascii="Arial" w:hAnsi="Arial" w:cs="Arial"/>
        </w:rPr>
        <w:t xml:space="preserve">emote and rural schools and TAFE campuses experience challenges with accessing specialist support to meet the growing number of students with </w:t>
      </w:r>
      <w:r w:rsidRPr="003753D0">
        <w:rPr>
          <w:rFonts w:ascii="Arial" w:hAnsi="Arial" w:cs="Arial"/>
        </w:rPr>
        <w:t xml:space="preserve">learning needs, </w:t>
      </w:r>
      <w:r w:rsidR="00B9479C" w:rsidRPr="003753D0">
        <w:rPr>
          <w:rFonts w:ascii="Arial" w:hAnsi="Arial" w:cs="Arial"/>
        </w:rPr>
        <w:t>physical</w:t>
      </w:r>
      <w:r w:rsidRPr="003753D0">
        <w:rPr>
          <w:rFonts w:ascii="Arial" w:hAnsi="Arial" w:cs="Arial"/>
        </w:rPr>
        <w:t xml:space="preserve"> and</w:t>
      </w:r>
      <w:r w:rsidR="00B9479C" w:rsidRPr="003753D0">
        <w:rPr>
          <w:rFonts w:ascii="Arial" w:hAnsi="Arial" w:cs="Arial"/>
        </w:rPr>
        <w:t xml:space="preserve"> mental</w:t>
      </w:r>
      <w:r w:rsidRPr="003753D0">
        <w:rPr>
          <w:rFonts w:ascii="Arial" w:hAnsi="Arial" w:cs="Arial"/>
        </w:rPr>
        <w:t xml:space="preserve"> health</w:t>
      </w:r>
      <w:r w:rsidR="00B9479C" w:rsidRPr="003753D0">
        <w:rPr>
          <w:rFonts w:ascii="Arial" w:hAnsi="Arial" w:cs="Arial"/>
        </w:rPr>
        <w:t xml:space="preserve"> and welfare</w:t>
      </w:r>
      <w:r w:rsidRPr="003753D0">
        <w:rPr>
          <w:rFonts w:ascii="Arial" w:hAnsi="Arial" w:cs="Arial"/>
        </w:rPr>
        <w:t xml:space="preserve"> issues.</w:t>
      </w:r>
    </w:p>
    <w:p w14:paraId="37DEBAD2" w14:textId="5363500B" w:rsidR="00CE3EA7" w:rsidRPr="003753D0" w:rsidRDefault="00CE3EA7" w:rsidP="00B9479C">
      <w:pPr>
        <w:pStyle w:val="ListParagraph"/>
        <w:numPr>
          <w:ilvl w:val="0"/>
          <w:numId w:val="3"/>
        </w:numPr>
        <w:spacing w:line="360" w:lineRule="auto"/>
        <w:jc w:val="both"/>
        <w:rPr>
          <w:rFonts w:ascii="Arial" w:hAnsi="Arial" w:cs="Arial"/>
        </w:rPr>
      </w:pPr>
      <w:r w:rsidRPr="003753D0">
        <w:rPr>
          <w:rFonts w:ascii="Arial" w:hAnsi="Arial" w:cs="Arial"/>
        </w:rPr>
        <w:lastRenderedPageBreak/>
        <w:t xml:space="preserve">There is no denying that in remote and rural parts of Queensland, there is a lack of equitable access to quality </w:t>
      </w:r>
      <w:r w:rsidR="00236E3A" w:rsidRPr="003753D0">
        <w:rPr>
          <w:rFonts w:ascii="Arial" w:hAnsi="Arial" w:cs="Arial"/>
        </w:rPr>
        <w:t xml:space="preserve">information and communication technology (ICT) and science, technology, engineering and mathematics (STEM) </w:t>
      </w:r>
      <w:r w:rsidRPr="003753D0">
        <w:rPr>
          <w:rFonts w:ascii="Arial" w:hAnsi="Arial" w:cs="Arial"/>
        </w:rPr>
        <w:t>facilities to support and enhance learning.</w:t>
      </w:r>
    </w:p>
    <w:p w14:paraId="3B6282EB" w14:textId="00ADF28B" w:rsidR="00B469D1" w:rsidRPr="003753D0" w:rsidRDefault="007D398F" w:rsidP="00B469D1">
      <w:pPr>
        <w:pStyle w:val="ListParagraph"/>
        <w:numPr>
          <w:ilvl w:val="0"/>
          <w:numId w:val="3"/>
        </w:numPr>
        <w:spacing w:line="360" w:lineRule="auto"/>
        <w:jc w:val="both"/>
        <w:rPr>
          <w:rFonts w:ascii="Arial" w:hAnsi="Arial" w:cs="Arial"/>
        </w:rPr>
      </w:pPr>
      <w:r w:rsidRPr="003753D0">
        <w:rPr>
          <w:rFonts w:ascii="Arial" w:hAnsi="Arial" w:cs="Arial"/>
        </w:rPr>
        <w:t>Communities, on top of personal expenditure from teachers and principal, are fundraising to</w:t>
      </w:r>
      <w:r w:rsidR="00CE3EA7" w:rsidRPr="003753D0">
        <w:rPr>
          <w:rFonts w:ascii="Arial" w:hAnsi="Arial" w:cs="Arial"/>
        </w:rPr>
        <w:t xml:space="preserve"> </w:t>
      </w:r>
      <w:r w:rsidRPr="003753D0">
        <w:rPr>
          <w:rFonts w:ascii="Arial" w:hAnsi="Arial" w:cs="Arial"/>
        </w:rPr>
        <w:t>maintain a level of fair and equitable education experience, and overcome the range of disadvantage</w:t>
      </w:r>
      <w:r w:rsidR="00236E3A" w:rsidRPr="003753D0">
        <w:rPr>
          <w:rFonts w:ascii="Arial" w:hAnsi="Arial" w:cs="Arial"/>
        </w:rPr>
        <w:t>s</w:t>
      </w:r>
      <w:r w:rsidRPr="003753D0">
        <w:rPr>
          <w:rFonts w:ascii="Arial" w:hAnsi="Arial" w:cs="Arial"/>
        </w:rPr>
        <w:t xml:space="preserve"> experienced by living in a remote or rural community.</w:t>
      </w:r>
    </w:p>
    <w:p w14:paraId="6F08E535" w14:textId="164C097B" w:rsidR="00B469D1" w:rsidRPr="003753D0" w:rsidRDefault="00B469D1" w:rsidP="00B469D1">
      <w:pPr>
        <w:pStyle w:val="ListParagraph"/>
        <w:numPr>
          <w:ilvl w:val="0"/>
          <w:numId w:val="3"/>
        </w:numPr>
        <w:spacing w:line="360" w:lineRule="auto"/>
        <w:jc w:val="both"/>
        <w:rPr>
          <w:rFonts w:ascii="Arial" w:hAnsi="Arial" w:cs="Arial"/>
        </w:rPr>
      </w:pPr>
      <w:r w:rsidRPr="003753D0">
        <w:rPr>
          <w:rFonts w:ascii="Arial" w:hAnsi="Arial" w:cs="Arial"/>
        </w:rPr>
        <w:t>Access to equitable transport services is an ongoing challenge to residents of remote and rural communities which further reinforces the challenges and barriers to accessing a quality education.</w:t>
      </w:r>
    </w:p>
    <w:p w14:paraId="1D38633D" w14:textId="0D056E9B" w:rsidR="007D398F" w:rsidRPr="003753D0" w:rsidRDefault="007D398F" w:rsidP="00B9479C">
      <w:pPr>
        <w:pStyle w:val="ListParagraph"/>
        <w:numPr>
          <w:ilvl w:val="0"/>
          <w:numId w:val="3"/>
        </w:numPr>
        <w:spacing w:line="360" w:lineRule="auto"/>
        <w:jc w:val="both"/>
        <w:rPr>
          <w:rFonts w:ascii="Arial" w:hAnsi="Arial" w:cs="Arial"/>
        </w:rPr>
      </w:pPr>
      <w:r w:rsidRPr="003753D0">
        <w:rPr>
          <w:rFonts w:ascii="Arial" w:hAnsi="Arial" w:cs="Arial"/>
        </w:rPr>
        <w:t>Regional and metropolitan schools</w:t>
      </w:r>
      <w:r w:rsidR="00D60064" w:rsidRPr="003753D0">
        <w:rPr>
          <w:rFonts w:ascii="Arial" w:hAnsi="Arial" w:cs="Arial"/>
        </w:rPr>
        <w:t>,</w:t>
      </w:r>
      <w:r w:rsidRPr="003753D0">
        <w:rPr>
          <w:rFonts w:ascii="Arial" w:hAnsi="Arial" w:cs="Arial"/>
        </w:rPr>
        <w:t xml:space="preserve"> </w:t>
      </w:r>
      <w:r w:rsidR="00744831" w:rsidRPr="003753D0">
        <w:rPr>
          <w:rFonts w:ascii="Arial" w:hAnsi="Arial" w:cs="Arial"/>
        </w:rPr>
        <w:t xml:space="preserve">and TAFE campuses may not face the same challenges, but there </w:t>
      </w:r>
      <w:r w:rsidR="00D60064" w:rsidRPr="003753D0">
        <w:rPr>
          <w:rFonts w:ascii="Arial" w:hAnsi="Arial" w:cs="Arial"/>
        </w:rPr>
        <w:t xml:space="preserve">are growing complexities experienced </w:t>
      </w:r>
      <w:r w:rsidR="00E954EF" w:rsidRPr="003753D0">
        <w:rPr>
          <w:rFonts w:ascii="Arial" w:hAnsi="Arial" w:cs="Arial"/>
        </w:rPr>
        <w:t>in these geographic locations as well.</w:t>
      </w:r>
    </w:p>
    <w:p w14:paraId="2470DD0B" w14:textId="1D7338BA" w:rsidR="00E954EF" w:rsidRPr="003753D0" w:rsidRDefault="00E954EF" w:rsidP="002D2D38">
      <w:pPr>
        <w:spacing w:line="360" w:lineRule="auto"/>
        <w:ind w:left="360"/>
        <w:jc w:val="both"/>
        <w:rPr>
          <w:rFonts w:ascii="Arial" w:hAnsi="Arial" w:cs="Arial"/>
        </w:rPr>
      </w:pPr>
    </w:p>
    <w:p w14:paraId="685403D8" w14:textId="1F0DAF97" w:rsidR="002D2D38" w:rsidRPr="003753D0" w:rsidRDefault="002D2D38" w:rsidP="002D2D38">
      <w:pPr>
        <w:spacing w:line="360" w:lineRule="auto"/>
        <w:ind w:left="360"/>
        <w:jc w:val="both"/>
        <w:rPr>
          <w:rFonts w:ascii="Arial" w:hAnsi="Arial" w:cs="Arial"/>
          <w:b/>
        </w:rPr>
      </w:pPr>
      <w:r w:rsidRPr="003753D0">
        <w:rPr>
          <w:rFonts w:ascii="Arial" w:hAnsi="Arial" w:cs="Arial"/>
          <w:b/>
        </w:rPr>
        <w:t>Conclusion</w:t>
      </w:r>
    </w:p>
    <w:p w14:paraId="6F9B45AD" w14:textId="7B9C05FD" w:rsidR="00C0233A" w:rsidRPr="003753D0" w:rsidRDefault="00931103" w:rsidP="002D2D38">
      <w:pPr>
        <w:pStyle w:val="ListParagraph"/>
        <w:numPr>
          <w:ilvl w:val="0"/>
          <w:numId w:val="3"/>
        </w:numPr>
        <w:spacing w:line="360" w:lineRule="auto"/>
        <w:jc w:val="both"/>
        <w:rPr>
          <w:rFonts w:ascii="Arial" w:hAnsi="Arial" w:cs="Arial"/>
          <w:b/>
        </w:rPr>
      </w:pPr>
      <w:r w:rsidRPr="003753D0">
        <w:rPr>
          <w:rFonts w:ascii="Arial" w:hAnsi="Arial" w:cs="Arial"/>
        </w:rPr>
        <w:t xml:space="preserve">Horizontal </w:t>
      </w:r>
      <w:r w:rsidR="004445C1">
        <w:rPr>
          <w:rFonts w:ascii="Arial" w:hAnsi="Arial" w:cs="Arial"/>
        </w:rPr>
        <w:t>f</w:t>
      </w:r>
      <w:r w:rsidRPr="003753D0">
        <w:rPr>
          <w:rFonts w:ascii="Arial" w:hAnsi="Arial" w:cs="Arial"/>
        </w:rPr>
        <w:t xml:space="preserve">iscal </w:t>
      </w:r>
      <w:r w:rsidR="004445C1">
        <w:rPr>
          <w:rFonts w:ascii="Arial" w:hAnsi="Arial" w:cs="Arial"/>
        </w:rPr>
        <w:t>e</w:t>
      </w:r>
      <w:r w:rsidRPr="003753D0">
        <w:rPr>
          <w:rFonts w:ascii="Arial" w:hAnsi="Arial" w:cs="Arial"/>
        </w:rPr>
        <w:t>qualisation is a critical mechanism in a</w:t>
      </w:r>
      <w:r w:rsidR="00722D1D" w:rsidRPr="003753D0">
        <w:rPr>
          <w:rFonts w:ascii="Arial" w:hAnsi="Arial" w:cs="Arial"/>
        </w:rPr>
        <w:t xml:space="preserve">ddressing </w:t>
      </w:r>
      <w:r w:rsidR="004445C1">
        <w:rPr>
          <w:rFonts w:ascii="Arial" w:hAnsi="Arial" w:cs="Arial"/>
        </w:rPr>
        <w:t>v</w:t>
      </w:r>
      <w:r w:rsidR="00722D1D" w:rsidRPr="003753D0">
        <w:rPr>
          <w:rFonts w:ascii="Arial" w:hAnsi="Arial" w:cs="Arial"/>
        </w:rPr>
        <w:t xml:space="preserve">ertical </w:t>
      </w:r>
      <w:r w:rsidR="004445C1">
        <w:rPr>
          <w:rFonts w:ascii="Arial" w:hAnsi="Arial" w:cs="Arial"/>
        </w:rPr>
        <w:t>f</w:t>
      </w:r>
      <w:r w:rsidR="00722D1D" w:rsidRPr="003753D0">
        <w:rPr>
          <w:rFonts w:ascii="Arial" w:hAnsi="Arial" w:cs="Arial"/>
        </w:rPr>
        <w:t xml:space="preserve">iscal </w:t>
      </w:r>
      <w:r w:rsidR="004445C1">
        <w:rPr>
          <w:rFonts w:ascii="Arial" w:hAnsi="Arial" w:cs="Arial"/>
        </w:rPr>
        <w:t>i</w:t>
      </w:r>
      <w:r w:rsidR="00722D1D" w:rsidRPr="003753D0">
        <w:rPr>
          <w:rFonts w:ascii="Arial" w:hAnsi="Arial" w:cs="Arial"/>
        </w:rPr>
        <w:t>mbalance</w:t>
      </w:r>
      <w:r w:rsidRPr="003753D0">
        <w:rPr>
          <w:rFonts w:ascii="Arial" w:hAnsi="Arial" w:cs="Arial"/>
        </w:rPr>
        <w:t>.</w:t>
      </w:r>
      <w:r w:rsidR="00722D1D" w:rsidRPr="003753D0">
        <w:rPr>
          <w:rFonts w:ascii="Arial" w:hAnsi="Arial" w:cs="Arial"/>
        </w:rPr>
        <w:t xml:space="preserve"> </w:t>
      </w:r>
      <w:r w:rsidRPr="003753D0">
        <w:rPr>
          <w:rFonts w:ascii="Arial" w:hAnsi="Arial" w:cs="Arial"/>
        </w:rPr>
        <w:t>While th</w:t>
      </w:r>
      <w:r w:rsidR="00722D1D" w:rsidRPr="003753D0">
        <w:rPr>
          <w:rFonts w:ascii="Arial" w:hAnsi="Arial" w:cs="Arial"/>
        </w:rPr>
        <w:t>is</w:t>
      </w:r>
      <w:r w:rsidRPr="003753D0">
        <w:rPr>
          <w:rFonts w:ascii="Arial" w:hAnsi="Arial" w:cs="Arial"/>
        </w:rPr>
        <w:t xml:space="preserve"> is</w:t>
      </w:r>
      <w:r w:rsidR="00722D1D" w:rsidRPr="003753D0">
        <w:rPr>
          <w:rFonts w:ascii="Arial" w:hAnsi="Arial" w:cs="Arial"/>
        </w:rPr>
        <w:t xml:space="preserve"> an ongoing </w:t>
      </w:r>
      <w:r w:rsidRPr="003753D0">
        <w:rPr>
          <w:rFonts w:ascii="Arial" w:hAnsi="Arial" w:cs="Arial"/>
        </w:rPr>
        <w:t>challenge of all state and federal governments, any prospective changes to HFE could have significant ramifications on</w:t>
      </w:r>
      <w:r w:rsidR="00C0233A" w:rsidRPr="003753D0">
        <w:rPr>
          <w:rFonts w:ascii="Arial" w:hAnsi="Arial" w:cs="Arial"/>
        </w:rPr>
        <w:t xml:space="preserve"> communities of any given state.</w:t>
      </w:r>
    </w:p>
    <w:p w14:paraId="6B15F81D" w14:textId="11951007" w:rsidR="002D2D38" w:rsidRPr="00B469D1" w:rsidRDefault="00C0233A" w:rsidP="00B469D1">
      <w:pPr>
        <w:pStyle w:val="ListParagraph"/>
        <w:numPr>
          <w:ilvl w:val="0"/>
          <w:numId w:val="3"/>
        </w:numPr>
        <w:spacing w:line="360" w:lineRule="auto"/>
        <w:jc w:val="both"/>
        <w:rPr>
          <w:rFonts w:ascii="Arial" w:hAnsi="Arial" w:cs="Arial"/>
          <w:b/>
          <w:sz w:val="24"/>
        </w:rPr>
      </w:pPr>
      <w:r w:rsidRPr="003753D0">
        <w:rPr>
          <w:rFonts w:ascii="Arial" w:hAnsi="Arial" w:cs="Arial"/>
        </w:rPr>
        <w:t xml:space="preserve">The QTU believes that </w:t>
      </w:r>
      <w:r w:rsidR="0070229A" w:rsidRPr="003753D0">
        <w:rPr>
          <w:rFonts w:ascii="Arial" w:hAnsi="Arial" w:cs="Arial"/>
        </w:rPr>
        <w:t xml:space="preserve">existing proposals </w:t>
      </w:r>
      <w:r w:rsidR="00B469D1" w:rsidRPr="003753D0">
        <w:rPr>
          <w:rFonts w:ascii="Arial" w:hAnsi="Arial" w:cs="Arial"/>
        </w:rPr>
        <w:t xml:space="preserve">for changes to HFE will have a dramatic and negative effect on Queensland’s ability to provide an equitable level of access to </w:t>
      </w:r>
      <w:r w:rsidR="00800105" w:rsidRPr="003753D0">
        <w:rPr>
          <w:rFonts w:ascii="Arial" w:hAnsi="Arial" w:cs="Arial"/>
        </w:rPr>
        <w:t xml:space="preserve">public </w:t>
      </w:r>
      <w:r w:rsidR="00B469D1" w:rsidRPr="003753D0">
        <w:rPr>
          <w:rFonts w:ascii="Arial" w:hAnsi="Arial" w:cs="Arial"/>
        </w:rPr>
        <w:t>services.</w:t>
      </w:r>
      <w:r w:rsidR="00B469D1">
        <w:rPr>
          <w:rFonts w:ascii="Arial" w:hAnsi="Arial" w:cs="Arial"/>
          <w:sz w:val="24"/>
        </w:rPr>
        <w:t xml:space="preserve"> </w:t>
      </w:r>
    </w:p>
    <w:sectPr w:rsidR="002D2D38" w:rsidRPr="00B469D1" w:rsidSect="00BE5B8A">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27F1" w14:textId="77777777" w:rsidR="00F2572C" w:rsidRDefault="00F2572C" w:rsidP="00F2572C">
      <w:r>
        <w:separator/>
      </w:r>
    </w:p>
  </w:endnote>
  <w:endnote w:type="continuationSeparator" w:id="0">
    <w:p w14:paraId="44138317" w14:textId="77777777" w:rsidR="00F2572C" w:rsidRDefault="00F2572C" w:rsidP="00F2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768139"/>
      <w:docPartObj>
        <w:docPartGallery w:val="Page Numbers (Bottom of Page)"/>
        <w:docPartUnique/>
      </w:docPartObj>
    </w:sdtPr>
    <w:sdtEndPr>
      <w:rPr>
        <w:color w:val="7F7F7F" w:themeColor="background1" w:themeShade="7F"/>
        <w:spacing w:val="60"/>
      </w:rPr>
    </w:sdtEndPr>
    <w:sdtContent>
      <w:p w14:paraId="2443D12E" w14:textId="597F2DFA" w:rsidR="00F2572C" w:rsidRDefault="00F257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E1D">
          <w:rPr>
            <w:noProof/>
          </w:rPr>
          <w:t>2</w:t>
        </w:r>
        <w:r>
          <w:rPr>
            <w:noProof/>
          </w:rPr>
          <w:fldChar w:fldCharType="end"/>
        </w:r>
        <w:r>
          <w:t xml:space="preserve"> | </w:t>
        </w:r>
        <w:r>
          <w:rPr>
            <w:color w:val="7F7F7F" w:themeColor="background1" w:themeShade="7F"/>
            <w:spacing w:val="60"/>
          </w:rPr>
          <w:t>Page</w:t>
        </w:r>
      </w:p>
    </w:sdtContent>
  </w:sdt>
  <w:p w14:paraId="19CAA743" w14:textId="77777777" w:rsidR="00F2572C" w:rsidRDefault="00F25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3FA2" w14:textId="77777777" w:rsidR="00F2572C" w:rsidRDefault="00F2572C" w:rsidP="00F2572C">
      <w:r>
        <w:separator/>
      </w:r>
    </w:p>
  </w:footnote>
  <w:footnote w:type="continuationSeparator" w:id="0">
    <w:p w14:paraId="57301ED9" w14:textId="77777777" w:rsidR="00F2572C" w:rsidRDefault="00F2572C" w:rsidP="00F2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13E"/>
    <w:multiLevelType w:val="hybridMultilevel"/>
    <w:tmpl w:val="4BF8EE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DB54D7"/>
    <w:multiLevelType w:val="hybridMultilevel"/>
    <w:tmpl w:val="285E2764"/>
    <w:lvl w:ilvl="0" w:tplc="42A05CFC">
      <w:start w:val="1"/>
      <w:numFmt w:val="decimal"/>
      <w:lvlText w:val="%1."/>
      <w:lvlJc w:val="left"/>
      <w:pPr>
        <w:ind w:left="1080" w:hanging="360"/>
      </w:pPr>
      <w:rPr>
        <w:rFonts w:ascii="Arial" w:hAnsi="Arial" w:cs="Arial" w:hint="default"/>
        <w:b w:val="0"/>
        <w:i w:val="0"/>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53129D6"/>
    <w:multiLevelType w:val="hybridMultilevel"/>
    <w:tmpl w:val="5CAED4A2"/>
    <w:lvl w:ilvl="0" w:tplc="42A05CFC">
      <w:start w:val="1"/>
      <w:numFmt w:val="decimal"/>
      <w:lvlText w:val="%1."/>
      <w:lvlJc w:val="left"/>
      <w:pPr>
        <w:ind w:left="720" w:hanging="360"/>
      </w:pPr>
      <w:rPr>
        <w:rFonts w:ascii="Arial" w:hAnsi="Arial" w:cs="Arial" w:hint="default"/>
        <w:b w:val="0"/>
        <w:i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AA030F"/>
    <w:multiLevelType w:val="hybridMultilevel"/>
    <w:tmpl w:val="17A8D44C"/>
    <w:lvl w:ilvl="0" w:tplc="E412086E">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AF5B59"/>
    <w:multiLevelType w:val="hybridMultilevel"/>
    <w:tmpl w:val="4838FFC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7BA659AB"/>
    <w:multiLevelType w:val="hybridMultilevel"/>
    <w:tmpl w:val="61321C00"/>
    <w:lvl w:ilvl="0" w:tplc="E412086E">
      <w:start w:val="1"/>
      <w:numFmt w:val="decimal"/>
      <w:lvlText w:val="%1."/>
      <w:lvlJc w:val="left"/>
      <w:pPr>
        <w:ind w:left="720" w:hanging="360"/>
      </w:pPr>
      <w:rPr>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61"/>
    <w:rsid w:val="00012D18"/>
    <w:rsid w:val="00034030"/>
    <w:rsid w:val="000D2BDD"/>
    <w:rsid w:val="00150D98"/>
    <w:rsid w:val="001A5743"/>
    <w:rsid w:val="00212142"/>
    <w:rsid w:val="00236E3A"/>
    <w:rsid w:val="002852EF"/>
    <w:rsid w:val="002D2D38"/>
    <w:rsid w:val="003030B8"/>
    <w:rsid w:val="0031217E"/>
    <w:rsid w:val="003753D0"/>
    <w:rsid w:val="00394FF5"/>
    <w:rsid w:val="004244A1"/>
    <w:rsid w:val="004445C1"/>
    <w:rsid w:val="004F6299"/>
    <w:rsid w:val="00515DAA"/>
    <w:rsid w:val="005F370B"/>
    <w:rsid w:val="00665E1D"/>
    <w:rsid w:val="0068793A"/>
    <w:rsid w:val="006D01BE"/>
    <w:rsid w:val="006E49C3"/>
    <w:rsid w:val="0070229A"/>
    <w:rsid w:val="00722D1D"/>
    <w:rsid w:val="00744831"/>
    <w:rsid w:val="007D398F"/>
    <w:rsid w:val="00800105"/>
    <w:rsid w:val="00816AE6"/>
    <w:rsid w:val="00855F7B"/>
    <w:rsid w:val="00871292"/>
    <w:rsid w:val="008E180D"/>
    <w:rsid w:val="00910CB5"/>
    <w:rsid w:val="00931103"/>
    <w:rsid w:val="00967EE3"/>
    <w:rsid w:val="00971F22"/>
    <w:rsid w:val="009A598E"/>
    <w:rsid w:val="009D63EF"/>
    <w:rsid w:val="009E012C"/>
    <w:rsid w:val="00B2710D"/>
    <w:rsid w:val="00B469D1"/>
    <w:rsid w:val="00B8460F"/>
    <w:rsid w:val="00B9479C"/>
    <w:rsid w:val="00BE5B8A"/>
    <w:rsid w:val="00C0233A"/>
    <w:rsid w:val="00C4303D"/>
    <w:rsid w:val="00C43D85"/>
    <w:rsid w:val="00CA0422"/>
    <w:rsid w:val="00CB0B6A"/>
    <w:rsid w:val="00CE3EA7"/>
    <w:rsid w:val="00CE5261"/>
    <w:rsid w:val="00CE5853"/>
    <w:rsid w:val="00D30577"/>
    <w:rsid w:val="00D60064"/>
    <w:rsid w:val="00DB50CE"/>
    <w:rsid w:val="00DB661E"/>
    <w:rsid w:val="00DE3638"/>
    <w:rsid w:val="00DF2B6D"/>
    <w:rsid w:val="00E317B5"/>
    <w:rsid w:val="00E430DC"/>
    <w:rsid w:val="00E954EF"/>
    <w:rsid w:val="00EC5D80"/>
    <w:rsid w:val="00F2572C"/>
    <w:rsid w:val="00F274B4"/>
    <w:rsid w:val="00F716D8"/>
    <w:rsid w:val="00F75FBC"/>
    <w:rsid w:val="00FB309E"/>
    <w:rsid w:val="00FD7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5EF4"/>
  <w15:chartTrackingRefBased/>
  <w15:docId w15:val="{D489B14D-22A2-4654-9BDC-D6A76062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261"/>
    <w:rPr>
      <w:color w:val="0563C1" w:themeColor="hyperlink"/>
      <w:u w:val="single"/>
    </w:rPr>
  </w:style>
  <w:style w:type="paragraph" w:styleId="ListParagraph">
    <w:name w:val="List Paragraph"/>
    <w:basedOn w:val="Normal"/>
    <w:uiPriority w:val="34"/>
    <w:qFormat/>
    <w:rsid w:val="00CE5261"/>
    <w:pPr>
      <w:ind w:left="720"/>
      <w:contextualSpacing/>
    </w:pPr>
  </w:style>
  <w:style w:type="paragraph" w:styleId="BalloonText">
    <w:name w:val="Balloon Text"/>
    <w:basedOn w:val="Normal"/>
    <w:link w:val="BalloonTextChar"/>
    <w:uiPriority w:val="99"/>
    <w:semiHidden/>
    <w:unhideWhenUsed/>
    <w:rsid w:val="006D01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1BE"/>
    <w:rPr>
      <w:rFonts w:ascii="Segoe UI" w:hAnsi="Segoe UI" w:cs="Segoe UI"/>
      <w:sz w:val="18"/>
      <w:szCs w:val="18"/>
    </w:rPr>
  </w:style>
  <w:style w:type="paragraph" w:styleId="Header">
    <w:name w:val="header"/>
    <w:basedOn w:val="Normal"/>
    <w:link w:val="HeaderChar"/>
    <w:uiPriority w:val="99"/>
    <w:unhideWhenUsed/>
    <w:rsid w:val="00F2572C"/>
    <w:pPr>
      <w:tabs>
        <w:tab w:val="center" w:pos="4513"/>
        <w:tab w:val="right" w:pos="9026"/>
      </w:tabs>
    </w:pPr>
  </w:style>
  <w:style w:type="character" w:customStyle="1" w:styleId="HeaderChar">
    <w:name w:val="Header Char"/>
    <w:basedOn w:val="DefaultParagraphFont"/>
    <w:link w:val="Header"/>
    <w:uiPriority w:val="99"/>
    <w:rsid w:val="00F2572C"/>
  </w:style>
  <w:style w:type="paragraph" w:styleId="Footer">
    <w:name w:val="footer"/>
    <w:basedOn w:val="Normal"/>
    <w:link w:val="FooterChar"/>
    <w:uiPriority w:val="99"/>
    <w:unhideWhenUsed/>
    <w:rsid w:val="00F2572C"/>
    <w:pPr>
      <w:tabs>
        <w:tab w:val="center" w:pos="4513"/>
        <w:tab w:val="right" w:pos="9026"/>
      </w:tabs>
    </w:pPr>
  </w:style>
  <w:style w:type="character" w:customStyle="1" w:styleId="FooterChar">
    <w:name w:val="Footer Char"/>
    <w:basedOn w:val="DefaultParagraphFont"/>
    <w:link w:val="Footer"/>
    <w:uiPriority w:val="99"/>
    <w:rsid w:val="00F2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tu@qtu.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DR119 - Queensland Teachers’ Union of Employees - Horizontal Fiscal Equalisation - Public inquiry</vt:lpstr>
    </vt:vector>
  </TitlesOfParts>
  <Company>Queensland Teachers’ Union of Employees</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DR119 - Queensland Teachers’ Union of Employees - Horizontal Fiscal Equalisation - Public inquiry</dc:title>
  <dc:subject/>
  <dc:creator>Queensland Teachers’ Union of Employees</dc:creator>
  <cp:keywords/>
  <dc:description/>
  <cp:lastModifiedBy>Pimperl, Mark</cp:lastModifiedBy>
  <cp:revision>14</cp:revision>
  <cp:lastPrinted>2018-01-31T06:35:00Z</cp:lastPrinted>
  <dcterms:created xsi:type="dcterms:W3CDTF">2018-01-31T06:31:00Z</dcterms:created>
  <dcterms:modified xsi:type="dcterms:W3CDTF">2018-01-31T23:25:00Z</dcterms:modified>
</cp:coreProperties>
</file>