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FF" w:rsidRPr="00AC0A6D" w:rsidRDefault="00000376" w:rsidP="00CC1B09">
      <w:pPr>
        <w:pStyle w:val="Heading1"/>
        <w:spacing w:before="0" w:after="720"/>
        <w:rPr>
          <w:rFonts w:ascii="Arial" w:hAnsi="Arial" w:cs="Arial"/>
        </w:rPr>
      </w:pPr>
      <w:bookmarkStart w:id="0" w:name="ChapterTitle"/>
      <w:r w:rsidRPr="00AC0A6D">
        <w:rPr>
          <w:rFonts w:ascii="Arial" w:hAnsi="Arial" w:cs="Arial"/>
        </w:rPr>
        <w:t>Cameos</w:t>
      </w:r>
      <w:bookmarkEnd w:id="0"/>
    </w:p>
    <w:p w:rsidR="00AF0247" w:rsidRDefault="00D51E8F" w:rsidP="006A1E01">
      <w:pPr>
        <w:pStyle w:val="BodyText"/>
        <w:spacing w:before="0"/>
      </w:pPr>
      <w:bookmarkStart w:id="1" w:name="begin"/>
      <w:bookmarkEnd w:id="1"/>
      <w:r>
        <w:t>To provide furth</w:t>
      </w:r>
      <w:bookmarkStart w:id="2" w:name="_GoBack"/>
      <w:bookmarkEnd w:id="2"/>
      <w:r>
        <w:t xml:space="preserve">er insight into the impact of fees, </w:t>
      </w:r>
      <w:r w:rsidR="00AF0247">
        <w:t>investment performance</w:t>
      </w:r>
      <w:r>
        <w:t>, multiple accounts and insurance on</w:t>
      </w:r>
      <w:r w:rsidR="00AF0247">
        <w:t xml:space="preserve"> superannuation</w:t>
      </w:r>
      <w:r>
        <w:t xml:space="preserve"> members, the Commission developed a series of cameos. </w:t>
      </w:r>
      <w:r w:rsidR="00AF0247">
        <w:t>These cameos illustrate how various factors can compound over time to affect a member’s superannuation balance at retirement.</w:t>
      </w:r>
    </w:p>
    <w:p w:rsidR="002102FD" w:rsidRDefault="00AF0247" w:rsidP="00F27D7A">
      <w:pPr>
        <w:pStyle w:val="BodyText"/>
      </w:pPr>
      <w:r>
        <w:t xml:space="preserve">This document brings together the cameos presented in the draft report. </w:t>
      </w:r>
      <w:r w:rsidR="00517EDF">
        <w:t>The assumptions underpinning the cameos are set out in chapter 1 (box 1.6, p. 88).</w:t>
      </w:r>
    </w:p>
    <w:p w:rsidR="00CC1B09" w:rsidRDefault="00CC1B09" w:rsidP="00CC1B09">
      <w:pPr>
        <w:pStyle w:val="FigureTitle"/>
        <w:spacing w:before="720"/>
        <w:ind w:left="0" w:firstLine="0"/>
      </w:pPr>
      <w:r w:rsidRPr="005703D1">
        <w:t>Being defaulted into a single top-performing MySuper product would lift the retirement balance of the median 55 year old by up to $61 000 when they retire, compared to being defaulted into two underperforming products</w:t>
      </w:r>
    </w:p>
    <w:p w:rsidR="00CC1B09" w:rsidRDefault="00CC1B09" w:rsidP="00CC1B09">
      <w:pPr>
        <w:pStyle w:val="Subtitle"/>
        <w:ind w:left="0"/>
        <w:jc w:val="both"/>
      </w:pPr>
      <w:r>
        <w:t>(p. 30; 418)</w:t>
      </w:r>
    </w:p>
    <w:p w:rsidR="00CC1B09" w:rsidRDefault="00CC1B09" w:rsidP="00CC1B09">
      <w:pPr>
        <w:pStyle w:val="BodyText"/>
      </w:pPr>
      <w:r w:rsidRPr="005703D1">
        <w:rPr>
          <w:noProof/>
        </w:rPr>
        <w:drawing>
          <wp:inline distT="0" distB="0" distL="0" distR="0" wp14:anchorId="544712E1" wp14:editId="45AC1D13">
            <wp:extent cx="5580000" cy="2823414"/>
            <wp:effectExtent l="0" t="0" r="190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" r="-1"/>
                    <a:stretch/>
                  </pic:blipFill>
                  <pic:spPr bwMode="auto">
                    <a:xfrm>
                      <a:off x="0" y="0"/>
                      <a:ext cx="5580000" cy="282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B09" w:rsidRDefault="00CC1B09" w:rsidP="00CC1B09">
      <w:pPr>
        <w:pStyle w:val="BodyText"/>
      </w:pPr>
    </w:p>
    <w:p w:rsidR="00CC1B09" w:rsidRDefault="00CC1B09" w:rsidP="00CC1B09">
      <w:pPr>
        <w:pStyle w:val="FigureTitle"/>
        <w:spacing w:before="360"/>
        <w:ind w:left="0" w:firstLine="0"/>
      </w:pPr>
      <w:r w:rsidRPr="005703D1">
        <w:lastRenderedPageBreak/>
        <w:t>For a new workforce entrant today, the gain would amount to $407 000 by the time they retire in 2064.</w:t>
      </w:r>
    </w:p>
    <w:p w:rsidR="00CC1B09" w:rsidRDefault="00CC1B09" w:rsidP="00CC1B09">
      <w:pPr>
        <w:pStyle w:val="Subtitle"/>
        <w:ind w:left="0"/>
        <w:jc w:val="both"/>
      </w:pPr>
      <w:r>
        <w:t>(p. 30; 418)</w:t>
      </w:r>
    </w:p>
    <w:p w:rsidR="00CC1B09" w:rsidRDefault="00CC1B09" w:rsidP="00CC1B09">
      <w:pPr>
        <w:pStyle w:val="BodyText"/>
      </w:pPr>
      <w:r w:rsidRPr="005703D1">
        <w:rPr>
          <w:noProof/>
        </w:rPr>
        <w:drawing>
          <wp:inline distT="0" distB="0" distL="0" distR="0" wp14:anchorId="76E44BD9" wp14:editId="2F3EBDE4">
            <wp:extent cx="5580000" cy="2434041"/>
            <wp:effectExtent l="0" t="0" r="1905" b="4445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" r="1"/>
                    <a:stretch/>
                  </pic:blipFill>
                  <pic:spPr bwMode="auto">
                    <a:xfrm>
                      <a:off x="0" y="0"/>
                      <a:ext cx="5580000" cy="24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FD3" w:rsidRPr="00601FD3" w:rsidRDefault="002102FD" w:rsidP="00CC1B09">
      <w:pPr>
        <w:pStyle w:val="FigureTitle"/>
        <w:spacing w:before="600"/>
      </w:pPr>
      <w:r>
        <w:t>Underperformance compounds to substantially lower retirement balances</w:t>
      </w:r>
    </w:p>
    <w:p w:rsidR="00D434A0" w:rsidRDefault="002102FD" w:rsidP="002102FD">
      <w:pPr>
        <w:pStyle w:val="Subtitle"/>
        <w:ind w:left="0"/>
        <w:jc w:val="both"/>
      </w:pPr>
      <w:r>
        <w:t>(c</w:t>
      </w:r>
      <w:r w:rsidR="00601FD3">
        <w:t>ameo 1 p. 12</w:t>
      </w:r>
      <w:r>
        <w:t>; cameo 2.2 p. 117</w:t>
      </w:r>
      <w:r w:rsidR="00FE7945">
        <w:t>,</w:t>
      </w:r>
      <w:r w:rsidR="00FE7945" w:rsidRPr="00FE7945">
        <w:t xml:space="preserve"> </w:t>
      </w:r>
      <w:r w:rsidR="00FE7945" w:rsidRPr="00553A21">
        <w:t>cameo 9.1 p. 375</w:t>
      </w:r>
      <w:r>
        <w:t>)</w:t>
      </w:r>
    </w:p>
    <w:p w:rsidR="002102FD" w:rsidRDefault="002102FD" w:rsidP="00120072">
      <w:pPr>
        <w:pStyle w:val="BodyText"/>
      </w:pPr>
      <w:r w:rsidRPr="006D5B1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F75678F" wp14:editId="1612A4EE">
            <wp:extent cx="5580000" cy="2432306"/>
            <wp:effectExtent l="0" t="0" r="1905" b="6350"/>
            <wp:docPr id="18" name="Picture 18" descr="Cameo 1 This figure illustrates the results of a cameo simulation for median top quartile v. median bottom quartile returns. The difference between the two is $635 000 (or 53% less at retirement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"/>
                    <a:stretch/>
                  </pic:blipFill>
                  <pic:spPr bwMode="auto">
                    <a:xfrm>
                      <a:off x="0" y="0"/>
                      <a:ext cx="5580000" cy="24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2FD" w:rsidRDefault="002102FD" w:rsidP="00826D7A">
      <w:pPr>
        <w:pStyle w:val="FigureTitle"/>
        <w:spacing w:before="360"/>
      </w:pPr>
      <w:r>
        <w:lastRenderedPageBreak/>
        <w:t>MySuper returns can be a lottery for default members</w:t>
      </w:r>
    </w:p>
    <w:p w:rsidR="00601FD3" w:rsidRDefault="002102FD" w:rsidP="002102FD">
      <w:pPr>
        <w:pStyle w:val="Subtitle"/>
        <w:ind w:left="0"/>
        <w:jc w:val="both"/>
      </w:pPr>
      <w:r>
        <w:t>(c</w:t>
      </w:r>
      <w:r w:rsidR="00601FD3">
        <w:t>ameo 2 p. 14</w:t>
      </w:r>
      <w:r>
        <w:t>; cameo 2.3 p. 122</w:t>
      </w:r>
      <w:r w:rsidR="00553A21">
        <w:t>; cameo 12.1 p. 428</w:t>
      </w:r>
      <w:r>
        <w:t>)</w:t>
      </w:r>
    </w:p>
    <w:p w:rsidR="002102FD" w:rsidRDefault="002102FD" w:rsidP="00120072">
      <w:pPr>
        <w:pStyle w:val="BodyText"/>
      </w:pPr>
      <w:r w:rsidRPr="0085064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4DF8FA" wp14:editId="1E5589B5">
            <wp:extent cx="5580000" cy="2512366"/>
            <wp:effectExtent l="0" t="0" r="1905" b="2540"/>
            <wp:docPr id="236" name="Picture 236" descr="Cameo 2 This figure illustrates the results of a cameo simulation for the median top-10 MySuper return v. the median underperforming MySuper return. The gap is $375 000 (or 36% less at retirement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/>
                    <a:stretch/>
                  </pic:blipFill>
                  <pic:spPr bwMode="auto">
                    <a:xfrm>
                      <a:off x="0" y="0"/>
                      <a:ext cx="5580000" cy="25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53" w:rsidRDefault="00142853" w:rsidP="00CC1B09">
      <w:pPr>
        <w:pStyle w:val="FigureTitle"/>
        <w:spacing w:before="600"/>
      </w:pPr>
      <w:r>
        <w:t>Higher fees materially erode balances at retirement</w:t>
      </w:r>
    </w:p>
    <w:p w:rsidR="00601FD3" w:rsidRDefault="00142853" w:rsidP="00142853">
      <w:pPr>
        <w:pStyle w:val="Subtitle"/>
        <w:ind w:left="0"/>
        <w:jc w:val="both"/>
      </w:pPr>
      <w:r>
        <w:t>(c</w:t>
      </w:r>
      <w:r w:rsidR="00601FD3">
        <w:t>ameo 3 p. 15</w:t>
      </w:r>
      <w:r w:rsidR="00DF012F">
        <w:t>; cameo 3.1 p. 128</w:t>
      </w:r>
      <w:r>
        <w:t>)</w:t>
      </w:r>
    </w:p>
    <w:p w:rsidR="00142853" w:rsidRDefault="00142853" w:rsidP="00120072">
      <w:pPr>
        <w:pStyle w:val="BodyText"/>
      </w:pPr>
      <w:r w:rsidRPr="0068069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2909408" wp14:editId="0F8BE85A">
            <wp:extent cx="5580000" cy="2446689"/>
            <wp:effectExtent l="0" t="0" r="1905" b="0"/>
            <wp:docPr id="6" name="Picture 6" descr="Cameo 3 This cameo illustrates that higher fees of just 0.5 per cent of assets (or half a percentage point) will detract from the retirement balance of someone starting work today by $100 000, or 12 per 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"/>
                    <a:stretch/>
                  </pic:blipFill>
                  <pic:spPr bwMode="auto">
                    <a:xfrm>
                      <a:off x="0" y="0"/>
                      <a:ext cx="5580000" cy="244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53" w:rsidRDefault="00142853" w:rsidP="00826D7A">
      <w:pPr>
        <w:pStyle w:val="FigureTitle"/>
        <w:spacing w:before="360"/>
      </w:pPr>
      <w:r>
        <w:lastRenderedPageBreak/>
        <w:t>Multiple accounts reduce retirement balances</w:t>
      </w:r>
    </w:p>
    <w:p w:rsidR="00601FD3" w:rsidRDefault="00142853" w:rsidP="00F36056">
      <w:pPr>
        <w:pStyle w:val="Subtitle"/>
        <w:ind w:left="0"/>
        <w:jc w:val="both"/>
      </w:pPr>
      <w:r>
        <w:t>(c</w:t>
      </w:r>
      <w:r w:rsidR="00601FD3">
        <w:t>ameo 4 p. 19</w:t>
      </w:r>
      <w:r w:rsidR="00553A21">
        <w:t>; cameo 12.2 p. 429</w:t>
      </w:r>
      <w:r>
        <w:t>)</w:t>
      </w:r>
    </w:p>
    <w:p w:rsidR="00142853" w:rsidRDefault="00142853" w:rsidP="00120072">
      <w:pPr>
        <w:pStyle w:val="BodyText"/>
      </w:pPr>
      <w:r w:rsidRPr="004A3B32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55D7853" wp14:editId="6DDDC165">
            <wp:extent cx="5580000" cy="2444104"/>
            <wp:effectExtent l="0" t="0" r="1905" b="0"/>
            <wp:docPr id="81" name="Picture 81" descr="Cameo 4 Multiple accounts can cost a member age 21 on a $50,000 starting salary about one years’ lost pay by retirement at age 67 — that is, $51,000 or 6 per cent less to spend in retirement ($833,000 rather than $782,000). This assumes $340 in average insurance premiu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244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056" w:rsidRDefault="00F36056" w:rsidP="00CC1B09">
      <w:pPr>
        <w:pStyle w:val="FigureTitle"/>
        <w:spacing w:before="600"/>
      </w:pPr>
      <w:r>
        <w:t>Insurance policies erode balances for low</w:t>
      </w:r>
      <w:r>
        <w:noBreakHyphen/>
        <w:t xml:space="preserve">income workers </w:t>
      </w:r>
    </w:p>
    <w:p w:rsidR="00601FD3" w:rsidRDefault="00F36056" w:rsidP="00F36056">
      <w:pPr>
        <w:pStyle w:val="Subtitle"/>
        <w:ind w:left="0"/>
        <w:jc w:val="both"/>
      </w:pPr>
      <w:r>
        <w:t>(c</w:t>
      </w:r>
      <w:r w:rsidR="00601FD3">
        <w:t>ameo 5 p. 21</w:t>
      </w:r>
      <w:r w:rsidR="00DF012F">
        <w:t>; cameo 8.1 p. 328</w:t>
      </w:r>
      <w:r>
        <w:t>)</w:t>
      </w:r>
    </w:p>
    <w:p w:rsidR="00F36056" w:rsidRDefault="00F36056" w:rsidP="00120072">
      <w:pPr>
        <w:pStyle w:val="BodyText"/>
      </w:pPr>
      <w:r w:rsidRPr="004A3B32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F513733" wp14:editId="19BF94F1">
            <wp:extent cx="5580000" cy="2611621"/>
            <wp:effectExtent l="0" t="0" r="1905" b="0"/>
            <wp:docPr id="109" name="Picture 109" descr="Cameo 5 This cameo illustrates that for a low income worker, paying for insurance (life, TPD and IP with blue collar loading) could reduce their balance at retirement by $85 000, or 14 per 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" b="2101"/>
                    <a:stretch/>
                  </pic:blipFill>
                  <pic:spPr bwMode="auto">
                    <a:xfrm>
                      <a:off x="0" y="0"/>
                      <a:ext cx="5580000" cy="26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056" w:rsidRDefault="00F36056" w:rsidP="00826D7A">
      <w:pPr>
        <w:pStyle w:val="FigureTitle"/>
        <w:spacing w:before="360"/>
      </w:pPr>
      <w:r>
        <w:lastRenderedPageBreak/>
        <w:t>A small difference in returns matters a lot</w:t>
      </w:r>
    </w:p>
    <w:p w:rsidR="00601FD3" w:rsidRDefault="00F36056" w:rsidP="00DF012F">
      <w:pPr>
        <w:pStyle w:val="Subtitle"/>
        <w:ind w:left="0"/>
        <w:jc w:val="both"/>
      </w:pPr>
      <w:r>
        <w:t>(c</w:t>
      </w:r>
      <w:r w:rsidR="00601FD3">
        <w:t>ameo 2.1 p. 92</w:t>
      </w:r>
      <w:r>
        <w:t>)</w:t>
      </w:r>
    </w:p>
    <w:p w:rsidR="00F36056" w:rsidRDefault="00F36056" w:rsidP="00120072">
      <w:pPr>
        <w:pStyle w:val="BodyText"/>
      </w:pPr>
      <w:r w:rsidRPr="00002A2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5C1AD4D" wp14:editId="52225550">
            <wp:extent cx="5580000" cy="2434911"/>
            <wp:effectExtent l="0" t="0" r="1905" b="3810"/>
            <wp:docPr id="31" name="Picture 31" descr="Cameo 2.1 This figure illustrates cameo model results. A 1 per cent difference in returns, over an accumulation stage, can reduce retirement balances by around $255 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"/>
                    <a:stretch/>
                  </pic:blipFill>
                  <pic:spPr bwMode="auto">
                    <a:xfrm>
                      <a:off x="0" y="0"/>
                      <a:ext cx="5580000" cy="243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D9A" w:rsidRDefault="00422D9A" w:rsidP="00CC1B09">
      <w:pPr>
        <w:pStyle w:val="FigureTitle"/>
        <w:spacing w:before="600"/>
        <w:ind w:left="0" w:firstLine="0"/>
      </w:pPr>
      <w:r>
        <w:t>For disadvantaged members, insurance’s cumulative impact can be extremely high balance erosion</w:t>
      </w:r>
    </w:p>
    <w:p w:rsidR="00601FD3" w:rsidRDefault="00422D9A" w:rsidP="00422D9A">
      <w:pPr>
        <w:pStyle w:val="Subtitle"/>
        <w:ind w:left="0"/>
        <w:jc w:val="both"/>
      </w:pPr>
      <w:r>
        <w:t>(c</w:t>
      </w:r>
      <w:r w:rsidR="00F7088B">
        <w:t>ameo 8.2 p. 329</w:t>
      </w:r>
      <w:r>
        <w:t>)</w:t>
      </w:r>
    </w:p>
    <w:p w:rsidR="00422D9A" w:rsidRDefault="00422D9A" w:rsidP="00422D9A">
      <w:pPr>
        <w:pStyle w:val="BodyText"/>
      </w:pPr>
      <w:r w:rsidRPr="004C66AF">
        <w:rPr>
          <w:noProof/>
        </w:rPr>
        <w:drawing>
          <wp:inline distT="0" distB="0" distL="0" distR="0" wp14:anchorId="0A2FBEF3" wp14:editId="64BD1E6E">
            <wp:extent cx="5580000" cy="2498840"/>
            <wp:effectExtent l="0" t="0" r="1905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" r="1"/>
                    <a:stretch/>
                  </pic:blipFill>
                  <pic:spPr bwMode="auto">
                    <a:xfrm>
                      <a:off x="0" y="0"/>
                      <a:ext cx="5580000" cy="249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88B" w:rsidRDefault="00F7088B" w:rsidP="00553A21">
      <w:pPr>
        <w:pStyle w:val="Heading2"/>
        <w:spacing w:after="360"/>
      </w:pPr>
      <w:r>
        <w:lastRenderedPageBreak/>
        <w:t>Other figures and tables using Cameo Model results</w:t>
      </w:r>
    </w:p>
    <w:p w:rsidR="00553A21" w:rsidRDefault="00553A21" w:rsidP="00553A21">
      <w:pPr>
        <w:pStyle w:val="FigureTitle"/>
      </w:pPr>
      <w:r>
        <w:t>The character of member harm</w:t>
      </w:r>
    </w:p>
    <w:p w:rsidR="00553A21" w:rsidRPr="00553A21" w:rsidRDefault="00553A21" w:rsidP="00553A21">
      <w:pPr>
        <w:pStyle w:val="Subtitle"/>
        <w:ind w:left="0"/>
      </w:pPr>
      <w:r w:rsidRPr="00AE556E">
        <w:t>Subpar system performance = much lower member balances</w:t>
      </w:r>
    </w:p>
    <w:p w:rsidR="00F7088B" w:rsidRDefault="00553A21" w:rsidP="00553A21">
      <w:pPr>
        <w:pStyle w:val="Subtitle"/>
        <w:ind w:left="0"/>
        <w:jc w:val="both"/>
      </w:pPr>
      <w:r>
        <w:t>(f</w:t>
      </w:r>
      <w:r w:rsidR="00F7088B">
        <w:t>igure 11 p. 32</w:t>
      </w:r>
      <w:r>
        <w:t xml:space="preserve">; </w:t>
      </w:r>
      <w:r w:rsidR="00F7088B">
        <w:t>figure 11.1, p. 418)</w:t>
      </w:r>
    </w:p>
    <w:p w:rsidR="00553A21" w:rsidRDefault="00553A21" w:rsidP="00553A21">
      <w:pPr>
        <w:pStyle w:val="BodyText"/>
        <w:jc w:val="center"/>
      </w:pPr>
      <w:r w:rsidRPr="00435B6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12D55AA" wp14:editId="433C18A6">
            <wp:extent cx="3335020" cy="2872105"/>
            <wp:effectExtent l="0" t="0" r="0" b="4445"/>
            <wp:docPr id="231" name="Picture 231" descr="Fig 11 This figure illustrates how much worse off at retirement (at age 67 years) a typical 21 year old entering the workforce today would be as a consequence of four different scenarios. First, if they were in the median underperforming MySuper product they would be $450 000 or 42 per cent worse off. Second, if they held two accounts rather than one across their working life they would be %51 000 or 6 per cent worse off. Third, if they were paying an extra 0.5 per cent a year in fees they would be $100 000 or 12 per cent worse off. Fourth, if they instead were a low income member and holding insurance including a light blue collar loading and income protection they would be $85 000 or 14 per cent worse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21" w:rsidRDefault="00553A21" w:rsidP="00553A21">
      <w:pPr>
        <w:pStyle w:val="FigureTitle"/>
      </w:pPr>
      <w:r>
        <w:lastRenderedPageBreak/>
        <w:t>Multiple accounts — a heavy penalty on retirement</w:t>
      </w:r>
    </w:p>
    <w:p w:rsidR="00553A21" w:rsidRDefault="00553A21" w:rsidP="00FE1CD9">
      <w:pPr>
        <w:pStyle w:val="Subtitle"/>
        <w:ind w:left="0"/>
        <w:rPr>
          <w:b/>
        </w:rPr>
      </w:pPr>
      <w:r>
        <w:t>Projected returns on contributions by number of accounts held</w:t>
      </w:r>
      <w:r w:rsidR="00AF0247">
        <w:rPr>
          <w:rStyle w:val="NoteLabel"/>
        </w:rPr>
        <w:t>a</w:t>
      </w:r>
    </w:p>
    <w:p w:rsidR="00FE1CD9" w:rsidRDefault="00FE1CD9" w:rsidP="00FE1CD9">
      <w:pPr>
        <w:pStyle w:val="Subtitle"/>
        <w:ind w:left="0"/>
        <w:jc w:val="both"/>
      </w:pPr>
      <w:r>
        <w:t>(figure 6.6 p. 251)</w:t>
      </w:r>
    </w:p>
    <w:p w:rsidR="00FE1CD9" w:rsidRDefault="00FE1CD9" w:rsidP="00FE1CD9">
      <w:pPr>
        <w:pStyle w:val="BodyText"/>
        <w:jc w:val="center"/>
      </w:pPr>
      <w:r w:rsidRPr="0023799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38A737E" wp14:editId="217D9040">
            <wp:extent cx="5400162" cy="5365750"/>
            <wp:effectExtent l="0" t="0" r="0" b="635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91" cy="536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CD9" w:rsidRPr="00FE1CD9" w:rsidRDefault="00FE1CD9" w:rsidP="00C0290F">
      <w:pPr>
        <w:pStyle w:val="Note"/>
      </w:pPr>
      <w:r>
        <w:rPr>
          <w:rStyle w:val="NoteLabel"/>
        </w:rPr>
        <w:t>a</w:t>
      </w:r>
      <w:r>
        <w:t xml:space="preserve"> Returns on contributions of about $350 000 over the members working life.</w:t>
      </w:r>
    </w:p>
    <w:p w:rsidR="00FE1CD9" w:rsidRDefault="00FE1CD9" w:rsidP="00FE1CD9">
      <w:pPr>
        <w:pStyle w:val="FigureTitle"/>
      </w:pPr>
      <w:r>
        <w:lastRenderedPageBreak/>
        <w:t>Unpaid SG payments can have a significant impact on retirement balances</w:t>
      </w:r>
    </w:p>
    <w:p w:rsidR="00FE1CD9" w:rsidRDefault="00FE1CD9" w:rsidP="00FE1CD9">
      <w:pPr>
        <w:pStyle w:val="Subtitle"/>
        <w:ind w:left="0"/>
      </w:pPr>
      <w:r>
        <w:t>Cameo model simulation results by per cent unpaid for ages 21 to 25</w:t>
      </w:r>
    </w:p>
    <w:p w:rsidR="00E41499" w:rsidRDefault="00FE1CD9" w:rsidP="00FE1CD9">
      <w:pPr>
        <w:pStyle w:val="Subtitle"/>
        <w:ind w:left="0"/>
        <w:jc w:val="both"/>
      </w:pPr>
      <w:r>
        <w:t>(f</w:t>
      </w:r>
      <w:r w:rsidR="00E41499">
        <w:t>igure 6.13 p. 264</w:t>
      </w:r>
      <w:r>
        <w:t>)</w:t>
      </w:r>
    </w:p>
    <w:p w:rsidR="00FE1CD9" w:rsidRDefault="00FE1CD9" w:rsidP="00FE1CD9">
      <w:pPr>
        <w:pStyle w:val="BodyText"/>
        <w:jc w:val="center"/>
      </w:pPr>
      <w:r w:rsidRPr="003D0C8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913BB3E" wp14:editId="35032B1E">
            <wp:extent cx="5334000" cy="250297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523" cy="250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0F" w:rsidRPr="00C0290F" w:rsidRDefault="0087675A" w:rsidP="0087675A">
      <w:pPr>
        <w:pStyle w:val="FigureTitle"/>
        <w:spacing w:before="240" w:after="360"/>
        <w:ind w:left="0" w:firstLine="0"/>
      </w:pPr>
      <w:r>
        <w:lastRenderedPageBreak/>
        <w:t>Insurance b</w:t>
      </w:r>
      <w:r w:rsidR="00C0290F">
        <w:t>alance erosion cameo scenarios</w:t>
      </w:r>
      <w:r w:rsidR="00C0290F">
        <w:br/>
      </w:r>
      <w:r w:rsidR="00C0290F" w:rsidRPr="00C0290F">
        <w:rPr>
          <w:b w:val="0"/>
          <w:sz w:val="20"/>
        </w:rPr>
        <w:t>(table 8.2 p. 326)</w:t>
      </w:r>
    </w:p>
    <w:p w:rsidR="00E41499" w:rsidRDefault="00E41499" w:rsidP="00C0290F">
      <w:pPr>
        <w:pStyle w:val="BoxSpaceAbove"/>
        <w:spacing w:before="0"/>
      </w:pPr>
    </w:p>
    <w:tbl>
      <w:tblPr>
        <w:tblW w:w="5000" w:type="pct"/>
        <w:tblBorders>
          <w:top w:val="single" w:sz="12" w:space="0" w:color="66BCDB" w:themeColor="text2"/>
          <w:bottom w:val="single" w:sz="12" w:space="0" w:color="66BCDB" w:themeColor="text2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  <w:tblDescription w:val="Table used for design: contains a nested table with data/information."/>
      </w:tblPr>
      <w:tblGrid>
        <w:gridCol w:w="8789"/>
      </w:tblGrid>
      <w:tr w:rsidR="00E41499" w:rsidTr="008B122A">
        <w:trPr>
          <w:tblHeader/>
        </w:trPr>
        <w:tc>
          <w:tcPr>
            <w:tcW w:w="5000" w:type="pct"/>
            <w:shd w:val="clear" w:color="auto" w:fill="auto"/>
          </w:tcPr>
          <w:p w:rsidR="00E41499" w:rsidRPr="00784A05" w:rsidRDefault="00E41499" w:rsidP="0087675A">
            <w:pPr>
              <w:pStyle w:val="TableTitle"/>
            </w:pPr>
            <w:r>
              <w:rPr>
                <w:b w:val="0"/>
              </w:rPr>
              <w:t>Table 8.</w:t>
            </w:r>
            <w:r>
              <w:rPr>
                <w:b w:val="0"/>
                <w:noProof/>
              </w:rPr>
              <w:t>2</w:t>
            </w:r>
            <w:r>
              <w:tab/>
            </w:r>
            <w:r w:rsidR="0087675A">
              <w:t>Insurance b</w:t>
            </w:r>
            <w:r>
              <w:t>alance erosion cameo scenarios</w:t>
            </w:r>
            <w:r w:rsidRPr="00FE1CD9">
              <w:rPr>
                <w:rStyle w:val="NoteLabel"/>
                <w:b/>
              </w:rPr>
              <w:t>a</w:t>
            </w:r>
          </w:p>
        </w:tc>
      </w:tr>
      <w:tr w:rsidR="00E41499" w:rsidTr="008B122A">
        <w:tc>
          <w:tcPr>
            <w:tcW w:w="5000" w:type="pct"/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740"/>
              <w:gridCol w:w="790"/>
              <w:gridCol w:w="1109"/>
              <w:gridCol w:w="6"/>
              <w:gridCol w:w="910"/>
              <w:gridCol w:w="730"/>
              <w:gridCol w:w="740"/>
              <w:gridCol w:w="820"/>
              <w:gridCol w:w="7"/>
              <w:gridCol w:w="779"/>
              <w:gridCol w:w="854"/>
            </w:tblGrid>
            <w:tr w:rsidR="00E41499" w:rsidTr="00A30C4C">
              <w:trPr>
                <w:tblHeader/>
              </w:trPr>
              <w:tc>
                <w:tcPr>
                  <w:tcW w:w="600" w:type="pct"/>
                  <w:vMerge w:val="restart"/>
                  <w:tcBorders>
                    <w:top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  <w:vAlign w:val="center"/>
                </w:tcPr>
                <w:p w:rsidR="00E41499" w:rsidRDefault="00E41499" w:rsidP="00A30C4C">
                  <w:pPr>
                    <w:pStyle w:val="TableColumnHeading"/>
                    <w:jc w:val="left"/>
                  </w:pPr>
                  <w:r>
                    <w:t>Scenarios</w:t>
                  </w:r>
                </w:p>
              </w:tc>
              <w:tc>
                <w:tcPr>
                  <w:tcW w:w="1551" w:type="pct"/>
                  <w:gridSpan w:val="3"/>
                  <w:tcBorders>
                    <w:top w:val="single" w:sz="6" w:space="0" w:color="BFBFBF"/>
                    <w:bottom w:val="single" w:sz="6" w:space="0" w:color="BFBFBF"/>
                  </w:tcBorders>
                  <w:vAlign w:val="center"/>
                </w:tcPr>
                <w:p w:rsidR="00E41499" w:rsidRDefault="00E41499" w:rsidP="00A30C4C">
                  <w:pPr>
                    <w:pStyle w:val="TableColumnHeading"/>
                    <w:jc w:val="center"/>
                  </w:pPr>
                  <w:r>
                    <w:t>Contributions</w:t>
                  </w:r>
                </w:p>
              </w:tc>
              <w:tc>
                <w:tcPr>
                  <w:tcW w:w="4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</w:p>
              </w:tc>
              <w:tc>
                <w:tcPr>
                  <w:tcW w:w="1881" w:type="pct"/>
                  <w:gridSpan w:val="4"/>
                  <w:tcBorders>
                    <w:top w:val="single" w:sz="6" w:space="0" w:color="BFBFBF"/>
                    <w:bottom w:val="single" w:sz="6" w:space="0" w:color="BFBFBF"/>
                  </w:tcBorders>
                  <w:vAlign w:val="center"/>
                </w:tcPr>
                <w:p w:rsidR="00E41499" w:rsidRDefault="00E41499" w:rsidP="00A30C4C">
                  <w:pPr>
                    <w:pStyle w:val="TableColumnHeading"/>
                    <w:jc w:val="center"/>
                  </w:pPr>
                  <w:r>
                    <w:t>Premiums</w:t>
                  </w:r>
                </w:p>
              </w:tc>
              <w:tc>
                <w:tcPr>
                  <w:tcW w:w="4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ind w:right="28"/>
                  </w:pPr>
                </w:p>
              </w:tc>
              <w:tc>
                <w:tcPr>
                  <w:tcW w:w="961" w:type="pct"/>
                  <w:gridSpan w:val="2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  <w:vAlign w:val="center"/>
                </w:tcPr>
                <w:p w:rsidR="00E41499" w:rsidRPr="00590697" w:rsidRDefault="00E41499" w:rsidP="00A30C4C">
                  <w:pPr>
                    <w:pStyle w:val="TableColumnHeading"/>
                    <w:ind w:right="28"/>
                    <w:jc w:val="center"/>
                    <w:rPr>
                      <w:b/>
                    </w:rPr>
                  </w:pPr>
                  <w:r>
                    <w:t>Balance erosion at retirement</w:t>
                  </w:r>
                </w:p>
              </w:tc>
            </w:tr>
            <w:tr w:rsidR="00E41499" w:rsidTr="00A30C4C">
              <w:trPr>
                <w:tblHeader/>
              </w:trPr>
              <w:tc>
                <w:tcPr>
                  <w:tcW w:w="600" w:type="pct"/>
                  <w:vMerge/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  <w:jc w:val="left"/>
                  </w:pPr>
                </w:p>
              </w:tc>
              <w:tc>
                <w:tcPr>
                  <w:tcW w:w="435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Starting wage</w:t>
                  </w:r>
                </w:p>
              </w:tc>
              <w:tc>
                <w:tcPr>
                  <w:tcW w:w="464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Average wage</w:t>
                  </w:r>
                  <w:r w:rsidR="00AF0247">
                    <w:rPr>
                      <w:rStyle w:val="NoteLabel"/>
                    </w:rPr>
                    <w:t>b</w:t>
                  </w:r>
                </w:p>
              </w:tc>
              <w:tc>
                <w:tcPr>
                  <w:tcW w:w="652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Work history</w:t>
                  </w:r>
                </w:p>
              </w:tc>
              <w:tc>
                <w:tcPr>
                  <w:tcW w:w="4" w:type="pct"/>
                </w:tcPr>
                <w:p w:rsidR="00E41499" w:rsidRDefault="00E41499" w:rsidP="00A30C4C">
                  <w:pPr>
                    <w:pStyle w:val="TableColumnHeading"/>
                  </w:pPr>
                </w:p>
              </w:tc>
              <w:tc>
                <w:tcPr>
                  <w:tcW w:w="535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Insurance cover</w:t>
                  </w:r>
                </w:p>
              </w:tc>
              <w:tc>
                <w:tcPr>
                  <w:tcW w:w="429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Risk loading</w:t>
                  </w:r>
                </w:p>
              </w:tc>
              <w:tc>
                <w:tcPr>
                  <w:tcW w:w="435" w:type="pct"/>
                  <w:tcBorders>
                    <w:top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</w:pPr>
                  <w:r>
                    <w:t>Multiple policies</w:t>
                  </w:r>
                </w:p>
              </w:tc>
              <w:tc>
                <w:tcPr>
                  <w:tcW w:w="482" w:type="pct"/>
                  <w:tcBorders>
                    <w:top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</w:pPr>
                  <w:r>
                    <w:t>Average premium</w:t>
                  </w:r>
                </w:p>
              </w:tc>
              <w:tc>
                <w:tcPr>
                  <w:tcW w:w="4" w:type="pct"/>
                </w:tcPr>
                <w:p w:rsidR="00E41499" w:rsidRDefault="00E41499" w:rsidP="00A30C4C">
                  <w:pPr>
                    <w:pStyle w:val="TableColumnHeading"/>
                    <w:ind w:right="28"/>
                  </w:pPr>
                </w:p>
              </w:tc>
              <w:tc>
                <w:tcPr>
                  <w:tcW w:w="458" w:type="pct"/>
                  <w:tcBorders>
                    <w:top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  <w:ind w:right="28"/>
                  </w:pPr>
                  <w:r>
                    <w:t xml:space="preserve">Real value </w:t>
                  </w:r>
                </w:p>
              </w:tc>
              <w:tc>
                <w:tcPr>
                  <w:tcW w:w="503" w:type="pct"/>
                  <w:tcBorders>
                    <w:top w:val="single" w:sz="6" w:space="0" w:color="BFBFBF"/>
                  </w:tcBorders>
                  <w:vAlign w:val="center"/>
                </w:tcPr>
                <w:p w:rsidR="00E41499" w:rsidRDefault="00E41499" w:rsidP="00A30C4C">
                  <w:pPr>
                    <w:pStyle w:val="TableColumnHeading"/>
                    <w:ind w:right="28"/>
                  </w:pPr>
                  <w:r>
                    <w:t>Share</w:t>
                  </w:r>
                </w:p>
              </w:tc>
            </w:tr>
            <w:tr w:rsidR="00E41499" w:rsidTr="00A30C4C">
              <w:trPr>
                <w:tblHeader/>
              </w:trPr>
              <w:tc>
                <w:tcPr>
                  <w:tcW w:w="600" w:type="pct"/>
                  <w:tcBorders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  <w:spacing w:before="0"/>
                    <w:jc w:val="left"/>
                  </w:pPr>
                </w:p>
              </w:tc>
              <w:tc>
                <w:tcPr>
                  <w:tcW w:w="435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  <w:r>
                    <w:t>$</w:t>
                  </w:r>
                </w:p>
              </w:tc>
              <w:tc>
                <w:tcPr>
                  <w:tcW w:w="464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  <w:r>
                    <w:t>$</w:t>
                  </w:r>
                </w:p>
              </w:tc>
              <w:tc>
                <w:tcPr>
                  <w:tcW w:w="652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</w:p>
              </w:tc>
              <w:tc>
                <w:tcPr>
                  <w:tcW w:w="4" w:type="pct"/>
                  <w:tcBorders>
                    <w:top w:val="single" w:sz="6" w:space="0" w:color="BFBFBF"/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</w:p>
              </w:tc>
              <w:tc>
                <w:tcPr>
                  <w:tcW w:w="535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</w:p>
              </w:tc>
              <w:tc>
                <w:tcPr>
                  <w:tcW w:w="429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</w:p>
              </w:tc>
              <w:tc>
                <w:tcPr>
                  <w:tcW w:w="435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</w:p>
              </w:tc>
              <w:tc>
                <w:tcPr>
                  <w:tcW w:w="482" w:type="pct"/>
                  <w:tcBorders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  <w:spacing w:before="0"/>
                  </w:pPr>
                  <w:r>
                    <w:t>$</w:t>
                  </w:r>
                </w:p>
              </w:tc>
              <w:tc>
                <w:tcPr>
                  <w:tcW w:w="4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  <w:ind w:right="28"/>
                  </w:pPr>
                </w:p>
              </w:tc>
              <w:tc>
                <w:tcPr>
                  <w:tcW w:w="458" w:type="pct"/>
                  <w:tcBorders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:rsidR="00E41499" w:rsidRDefault="00E41499" w:rsidP="00A30C4C">
                  <w:pPr>
                    <w:pStyle w:val="TableColumnHeading"/>
                    <w:spacing w:before="0"/>
                    <w:ind w:right="28"/>
                  </w:pPr>
                  <w:r>
                    <w:t>$</w:t>
                  </w:r>
                </w:p>
              </w:tc>
              <w:tc>
                <w:tcPr>
                  <w:tcW w:w="503" w:type="pct"/>
                  <w:tcBorders>
                    <w:bottom w:val="single" w:sz="6" w:space="0" w:color="BFBFBF"/>
                  </w:tcBorders>
                </w:tcPr>
                <w:p w:rsidR="00E41499" w:rsidRDefault="00E41499" w:rsidP="00A30C4C">
                  <w:pPr>
                    <w:pStyle w:val="TableColumnHeading"/>
                    <w:spacing w:before="0"/>
                    <w:ind w:right="28"/>
                  </w:pPr>
                  <w:r>
                    <w:t>%</w:t>
                  </w:r>
                </w:p>
              </w:tc>
            </w:tr>
            <w:tr w:rsidR="00E41499" w:rsidTr="00A30C4C">
              <w:tc>
                <w:tcPr>
                  <w:tcW w:w="600" w:type="pct"/>
                  <w:tcBorders>
                    <w:top w:val="single" w:sz="6" w:space="0" w:color="BFBFBF"/>
                  </w:tcBorders>
                  <w:shd w:val="clear" w:color="auto" w:fill="FFFFFF" w:themeFill="background1"/>
                </w:tcPr>
                <w:p w:rsidR="00E41499" w:rsidRDefault="00E41499" w:rsidP="00A30C4C">
                  <w:pPr>
                    <w:pStyle w:val="TableUnitsRow"/>
                    <w:jc w:val="left"/>
                  </w:pPr>
                  <w:r>
                    <w:t>Average worker</w:t>
                  </w:r>
                </w:p>
              </w:tc>
              <w:tc>
                <w:tcPr>
                  <w:tcW w:w="435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50 000</w:t>
                  </w:r>
                </w:p>
              </w:tc>
              <w:tc>
                <w:tcPr>
                  <w:tcW w:w="464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63 000</w:t>
                  </w:r>
                </w:p>
              </w:tc>
              <w:tc>
                <w:tcPr>
                  <w:tcW w:w="652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Full</w:t>
                  </w:r>
                  <w:r>
                    <w:noBreakHyphen/>
                    <w:t>time</w:t>
                  </w:r>
                </w:p>
              </w:tc>
              <w:tc>
                <w:tcPr>
                  <w:tcW w:w="4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</w:p>
              </w:tc>
              <w:tc>
                <w:tcPr>
                  <w:tcW w:w="535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Life and TPD</w:t>
                  </w:r>
                </w:p>
              </w:tc>
              <w:tc>
                <w:tcPr>
                  <w:tcW w:w="429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White collar</w:t>
                  </w:r>
                </w:p>
              </w:tc>
              <w:tc>
                <w:tcPr>
                  <w:tcW w:w="435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No</w:t>
                  </w:r>
                </w:p>
              </w:tc>
              <w:tc>
                <w:tcPr>
                  <w:tcW w:w="482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</w:pPr>
                  <w:r>
                    <w:t>282</w:t>
                  </w:r>
                </w:p>
              </w:tc>
              <w:tc>
                <w:tcPr>
                  <w:tcW w:w="4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  <w:ind w:right="28"/>
                  </w:pPr>
                </w:p>
              </w:tc>
              <w:tc>
                <w:tcPr>
                  <w:tcW w:w="458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  <w:ind w:right="28"/>
                  </w:pPr>
                  <w:r>
                    <w:t>35 000</w:t>
                  </w:r>
                </w:p>
              </w:tc>
              <w:tc>
                <w:tcPr>
                  <w:tcW w:w="503" w:type="pct"/>
                  <w:tcBorders>
                    <w:top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UnitsRow"/>
                    <w:ind w:right="28"/>
                  </w:pPr>
                  <w:r>
                    <w:t>4.0</w:t>
                  </w:r>
                </w:p>
              </w:tc>
            </w:tr>
            <w:tr w:rsidR="00E41499" w:rsidTr="00A30C4C">
              <w:tc>
                <w:tcPr>
                  <w:tcW w:w="600" w:type="pct"/>
                  <w:shd w:val="clear" w:color="auto" w:fill="F2F2F2" w:themeFill="background1" w:themeFillShade="F2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IP insurance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50</w:t>
                  </w:r>
                  <w:r>
                    <w:t> </w:t>
                  </w:r>
                  <w:r w:rsidRPr="009A319D">
                    <w:t>000</w:t>
                  </w:r>
                </w:p>
              </w:tc>
              <w:tc>
                <w:tcPr>
                  <w:tcW w:w="464" w:type="pct"/>
                  <w:shd w:val="clear" w:color="auto" w:fill="F2F2F2" w:themeFill="background1" w:themeFillShade="F2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63</w:t>
                  </w:r>
                  <w:r>
                    <w:t> </w:t>
                  </w:r>
                  <w:r w:rsidRPr="009A319D">
                    <w:t>000</w:t>
                  </w:r>
                </w:p>
              </w:tc>
              <w:tc>
                <w:tcPr>
                  <w:tcW w:w="652" w:type="pct"/>
                  <w:shd w:val="clear" w:color="auto" w:fill="F2F2F2" w:themeFill="background1" w:themeFillShade="F2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Full</w:t>
                  </w:r>
                  <w:r>
                    <w:noBreakHyphen/>
                  </w:r>
                  <w:r w:rsidRPr="009A319D">
                    <w:t>time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Life, TPD and IP</w:t>
                  </w:r>
                </w:p>
              </w:tc>
              <w:tc>
                <w:tcPr>
                  <w:tcW w:w="429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White collar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No</w:t>
                  </w:r>
                </w:p>
              </w:tc>
              <w:tc>
                <w:tcPr>
                  <w:tcW w:w="482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</w:p>
              </w:tc>
              <w:tc>
                <w:tcPr>
                  <w:tcW w:w="458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60 000</w:t>
                  </w:r>
                </w:p>
              </w:tc>
              <w:tc>
                <w:tcPr>
                  <w:tcW w:w="503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6.9</w:t>
                  </w:r>
                </w:p>
              </w:tc>
            </w:tr>
            <w:tr w:rsidR="00E41499" w:rsidTr="00A30C4C">
              <w:tc>
                <w:tcPr>
                  <w:tcW w:w="600" w:type="pct"/>
                  <w:shd w:val="clear" w:color="auto" w:fill="FFFFFF" w:themeFill="background1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Low income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36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464" w:type="pct"/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45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652" w:type="pct"/>
                  <w:shd w:val="clear" w:color="auto" w:fill="FFFFFF" w:themeFill="background1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Full</w:t>
                  </w:r>
                  <w:r>
                    <w:noBreakHyphen/>
                  </w:r>
                  <w:r w:rsidRPr="009A319D">
                    <w:t>time</w:t>
                  </w:r>
                </w:p>
              </w:tc>
              <w:tc>
                <w:tcPr>
                  <w:tcW w:w="4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Life and TPD</w:t>
                  </w:r>
                </w:p>
              </w:tc>
              <w:tc>
                <w:tcPr>
                  <w:tcW w:w="429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White collar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No</w:t>
                  </w:r>
                </w:p>
              </w:tc>
              <w:tc>
                <w:tcPr>
                  <w:tcW w:w="482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2</w:t>
                  </w:r>
                  <w:r>
                    <w:t>82</w:t>
                  </w:r>
                </w:p>
              </w:tc>
              <w:tc>
                <w:tcPr>
                  <w:tcW w:w="4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</w:p>
              </w:tc>
              <w:tc>
                <w:tcPr>
                  <w:tcW w:w="458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35 000</w:t>
                  </w:r>
                </w:p>
              </w:tc>
              <w:tc>
                <w:tcPr>
                  <w:tcW w:w="503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5.6</w:t>
                  </w:r>
                </w:p>
              </w:tc>
            </w:tr>
            <w:tr w:rsidR="00E41499" w:rsidTr="00A30C4C">
              <w:tc>
                <w:tcPr>
                  <w:tcW w:w="600" w:type="pct"/>
                  <w:shd w:val="clear" w:color="auto" w:fill="F2F2F2" w:themeFill="background1" w:themeFillShade="F2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Interrupted work history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50</w:t>
                  </w:r>
                  <w:r>
                    <w:t> </w:t>
                  </w:r>
                  <w:r w:rsidRPr="009A319D">
                    <w:t>000</w:t>
                  </w:r>
                </w:p>
              </w:tc>
              <w:tc>
                <w:tcPr>
                  <w:tcW w:w="464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51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652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Intermittent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Life and TPD</w:t>
                  </w:r>
                </w:p>
              </w:tc>
              <w:tc>
                <w:tcPr>
                  <w:tcW w:w="429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White collar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No</w:t>
                  </w:r>
                </w:p>
              </w:tc>
              <w:tc>
                <w:tcPr>
                  <w:tcW w:w="482" w:type="pct"/>
                  <w:shd w:val="clear" w:color="auto" w:fill="F2F2F2" w:themeFill="background1" w:themeFillShade="F2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2</w:t>
                  </w:r>
                  <w:r>
                    <w:t>82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</w:p>
              </w:tc>
              <w:tc>
                <w:tcPr>
                  <w:tcW w:w="458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35 000</w:t>
                  </w:r>
                </w:p>
              </w:tc>
              <w:tc>
                <w:tcPr>
                  <w:tcW w:w="503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5.6</w:t>
                  </w:r>
                </w:p>
              </w:tc>
            </w:tr>
            <w:tr w:rsidR="00E41499" w:rsidTr="00A30C4C">
              <w:tc>
                <w:tcPr>
                  <w:tcW w:w="600" w:type="pct"/>
                  <w:shd w:val="clear" w:color="auto" w:fill="FFFFFF" w:themeFill="background1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Multiple accounts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50</w:t>
                  </w:r>
                  <w:r>
                    <w:t> </w:t>
                  </w:r>
                  <w:r w:rsidRPr="009A319D">
                    <w:t>000</w:t>
                  </w:r>
                </w:p>
              </w:tc>
              <w:tc>
                <w:tcPr>
                  <w:tcW w:w="464" w:type="pct"/>
                  <w:shd w:val="clear" w:color="auto" w:fill="FFFFFF" w:themeFill="background1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63</w:t>
                  </w:r>
                  <w:r>
                    <w:t> </w:t>
                  </w:r>
                  <w:r w:rsidRPr="009A319D">
                    <w:t>000</w:t>
                  </w:r>
                </w:p>
              </w:tc>
              <w:tc>
                <w:tcPr>
                  <w:tcW w:w="652" w:type="pct"/>
                  <w:shd w:val="clear" w:color="auto" w:fill="FFFFFF" w:themeFill="background1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Full</w:t>
                  </w:r>
                  <w:r>
                    <w:noBreakHyphen/>
                  </w:r>
                  <w:r w:rsidRPr="009A319D">
                    <w:t>time</w:t>
                  </w:r>
                </w:p>
              </w:tc>
              <w:tc>
                <w:tcPr>
                  <w:tcW w:w="4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Life and TPD</w:t>
                  </w:r>
                </w:p>
              </w:tc>
              <w:tc>
                <w:tcPr>
                  <w:tcW w:w="429" w:type="pct"/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 w:rsidRPr="00EF40FB">
                    <w:t>White collar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Yes</w:t>
                  </w:r>
                </w:p>
              </w:tc>
              <w:tc>
                <w:tcPr>
                  <w:tcW w:w="482" w:type="pct"/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409</w:t>
                  </w:r>
                </w:p>
              </w:tc>
              <w:tc>
                <w:tcPr>
                  <w:tcW w:w="4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</w:p>
              </w:tc>
              <w:tc>
                <w:tcPr>
                  <w:tcW w:w="458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55 000</w:t>
                  </w:r>
                </w:p>
              </w:tc>
              <w:tc>
                <w:tcPr>
                  <w:tcW w:w="503" w:type="pct"/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6.4</w:t>
                  </w:r>
                </w:p>
              </w:tc>
            </w:tr>
            <w:tr w:rsidR="00E41499" w:rsidTr="00A30C4C">
              <w:tc>
                <w:tcPr>
                  <w:tcW w:w="600" w:type="pct"/>
                  <w:shd w:val="clear" w:color="auto" w:fill="F2F2F2" w:themeFill="background1" w:themeFillShade="F2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Low income worker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36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464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45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652" w:type="pct"/>
                  <w:shd w:val="clear" w:color="auto" w:fill="F2F2F2" w:themeFill="background1" w:themeFillShade="F2"/>
                  <w:vAlign w:val="center"/>
                </w:tcPr>
                <w:p w:rsidR="00E41499" w:rsidRPr="009A319D" w:rsidRDefault="00E41499" w:rsidP="00A30C4C">
                  <w:pPr>
                    <w:pStyle w:val="TableUnitsRow"/>
                  </w:pPr>
                  <w:r w:rsidRPr="009A319D">
                    <w:t>Full</w:t>
                  </w:r>
                  <w:r>
                    <w:noBreakHyphen/>
                  </w:r>
                  <w:r w:rsidRPr="009A319D">
                    <w:t>time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shd w:val="clear" w:color="auto" w:fill="F2F2F2" w:themeFill="background1" w:themeFillShade="F2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Life, TPD and IP</w:t>
                  </w:r>
                </w:p>
              </w:tc>
              <w:tc>
                <w:tcPr>
                  <w:tcW w:w="429" w:type="pct"/>
                  <w:shd w:val="clear" w:color="auto" w:fill="F2F2F2" w:themeFill="background1" w:themeFillShade="F2"/>
                  <w:vAlign w:val="center"/>
                </w:tcPr>
                <w:p w:rsidR="00E41499" w:rsidRPr="00AA0289" w:rsidRDefault="00E41499" w:rsidP="00A30C4C">
                  <w:pPr>
                    <w:pStyle w:val="TableUnitsRow"/>
                    <w:rPr>
                      <w:b/>
                    </w:rPr>
                  </w:pPr>
                  <w:r>
                    <w:rPr>
                      <w:b/>
                    </w:rPr>
                    <w:t>Light b</w:t>
                  </w:r>
                  <w:r w:rsidRPr="00AA0289">
                    <w:rPr>
                      <w:b/>
                    </w:rPr>
                    <w:t>lue collar</w:t>
                  </w:r>
                </w:p>
              </w:tc>
              <w:tc>
                <w:tcPr>
                  <w:tcW w:w="435" w:type="pct"/>
                  <w:shd w:val="clear" w:color="auto" w:fill="F2F2F2" w:themeFill="background1" w:themeFillShade="F2"/>
                  <w:vAlign w:val="center"/>
                </w:tcPr>
                <w:p w:rsidR="00E41499" w:rsidRPr="00AA0289" w:rsidRDefault="00E41499" w:rsidP="00A30C4C">
                  <w:pPr>
                    <w:pStyle w:val="TableUnitsRow"/>
                  </w:pPr>
                  <w:r w:rsidRPr="00AA0289">
                    <w:t>No</w:t>
                  </w:r>
                </w:p>
              </w:tc>
              <w:tc>
                <w:tcPr>
                  <w:tcW w:w="482" w:type="pct"/>
                  <w:shd w:val="clear" w:color="auto" w:fill="F2F2F2" w:themeFill="background1" w:themeFillShade="F2"/>
                  <w:vAlign w:val="center"/>
                </w:tcPr>
                <w:p w:rsidR="00E41499" w:rsidRPr="00775E65" w:rsidRDefault="00E41499" w:rsidP="00A30C4C">
                  <w:pPr>
                    <w:pStyle w:val="TableUnitsRow"/>
                    <w:rPr>
                      <w:b/>
                    </w:rPr>
                  </w:pPr>
                  <w:r w:rsidRPr="00775E65">
                    <w:rPr>
                      <w:b/>
                    </w:rPr>
                    <w:t>7</w:t>
                  </w:r>
                  <w:r>
                    <w:rPr>
                      <w:b/>
                    </w:rPr>
                    <w:t>71</w:t>
                  </w:r>
                </w:p>
              </w:tc>
              <w:tc>
                <w:tcPr>
                  <w:tcW w:w="4" w:type="pct"/>
                  <w:shd w:val="clear" w:color="auto" w:fill="F2F2F2" w:themeFill="background1" w:themeFillShade="F2"/>
                  <w:vAlign w:val="center"/>
                </w:tcPr>
                <w:p w:rsidR="00E41499" w:rsidRPr="00775E65" w:rsidRDefault="00E41499" w:rsidP="00A30C4C">
                  <w:pPr>
                    <w:pStyle w:val="TableBodyText"/>
                    <w:ind w:right="28"/>
                    <w:rPr>
                      <w:b/>
                    </w:rPr>
                  </w:pPr>
                </w:p>
              </w:tc>
              <w:tc>
                <w:tcPr>
                  <w:tcW w:w="458" w:type="pct"/>
                  <w:shd w:val="clear" w:color="auto" w:fill="F2F2F2" w:themeFill="background1" w:themeFillShade="F2"/>
                  <w:vAlign w:val="center"/>
                </w:tcPr>
                <w:p w:rsidR="00E41499" w:rsidRPr="00775E65" w:rsidRDefault="00E41499" w:rsidP="00A30C4C">
                  <w:pPr>
                    <w:pStyle w:val="TableBodyText"/>
                    <w:ind w:right="28"/>
                  </w:pPr>
                  <w:r w:rsidRPr="00775E65">
                    <w:t>8</w:t>
                  </w:r>
                  <w:r>
                    <w:t>5</w:t>
                  </w:r>
                  <w:r w:rsidRPr="00775E65">
                    <w:t> 000</w:t>
                  </w:r>
                </w:p>
              </w:tc>
              <w:tc>
                <w:tcPr>
                  <w:tcW w:w="503" w:type="pct"/>
                  <w:shd w:val="clear" w:color="auto" w:fill="F2F2F2" w:themeFill="background1" w:themeFillShade="F2"/>
                  <w:vAlign w:val="center"/>
                </w:tcPr>
                <w:p w:rsidR="00E41499" w:rsidRPr="00775E65" w:rsidRDefault="00E41499" w:rsidP="00A30C4C">
                  <w:pPr>
                    <w:pStyle w:val="TableBodyText"/>
                    <w:ind w:right="28"/>
                  </w:pPr>
                  <w:r w:rsidRPr="00775E65">
                    <w:t>1</w:t>
                  </w:r>
                  <w:r>
                    <w:t>3</w:t>
                  </w:r>
                  <w:r w:rsidRPr="00775E65">
                    <w:t>.</w:t>
                  </w:r>
                  <w:r>
                    <w:t>6</w:t>
                  </w:r>
                </w:p>
              </w:tc>
            </w:tr>
            <w:tr w:rsidR="00E41499" w:rsidTr="00A30C4C">
              <w:tc>
                <w:tcPr>
                  <w:tcW w:w="600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</w:tcPr>
                <w:p w:rsidR="00E41499" w:rsidRDefault="00E41499" w:rsidP="00A30C4C">
                  <w:pPr>
                    <w:pStyle w:val="TableBodyText"/>
                    <w:jc w:val="left"/>
                  </w:pPr>
                  <w:r>
                    <w:t>Cumulative impact</w:t>
                  </w:r>
                </w:p>
              </w:tc>
              <w:tc>
                <w:tcPr>
                  <w:tcW w:w="435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36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464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37</w:t>
                  </w:r>
                  <w:r>
                    <w:rPr>
                      <w:b/>
                    </w:rPr>
                    <w:t> </w:t>
                  </w:r>
                  <w:r w:rsidRPr="006F2E9D">
                    <w:rPr>
                      <w:b/>
                    </w:rPr>
                    <w:t>000</w:t>
                  </w:r>
                </w:p>
              </w:tc>
              <w:tc>
                <w:tcPr>
                  <w:tcW w:w="652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Intermittent</w:t>
                  </w:r>
                </w:p>
              </w:tc>
              <w:tc>
                <w:tcPr>
                  <w:tcW w:w="4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</w:pPr>
                </w:p>
              </w:tc>
              <w:tc>
                <w:tcPr>
                  <w:tcW w:w="535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Life, TPD and IP</w:t>
                  </w:r>
                </w:p>
              </w:tc>
              <w:tc>
                <w:tcPr>
                  <w:tcW w:w="429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EF40FB" w:rsidRDefault="00E41499" w:rsidP="00A30C4C">
                  <w:pPr>
                    <w:pStyle w:val="TableUnitsRow"/>
                  </w:pPr>
                  <w:r>
                    <w:rPr>
                      <w:b/>
                    </w:rPr>
                    <w:t>Light b</w:t>
                  </w:r>
                  <w:r w:rsidRPr="006F2E9D">
                    <w:rPr>
                      <w:b/>
                    </w:rPr>
                    <w:t xml:space="preserve">lue </w:t>
                  </w:r>
                  <w:r>
                    <w:rPr>
                      <w:b/>
                    </w:rPr>
                    <w:t>c</w:t>
                  </w:r>
                  <w:r w:rsidRPr="006F2E9D">
                    <w:rPr>
                      <w:b/>
                    </w:rPr>
                    <w:t>olla</w:t>
                  </w:r>
                  <w:r w:rsidRPr="00AA0289">
                    <w:rPr>
                      <w:b/>
                    </w:rPr>
                    <w:t>r</w:t>
                  </w:r>
                </w:p>
              </w:tc>
              <w:tc>
                <w:tcPr>
                  <w:tcW w:w="435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 w:rsidRPr="006F2E9D">
                    <w:rPr>
                      <w:b/>
                    </w:rPr>
                    <w:t>Yes</w:t>
                  </w:r>
                </w:p>
              </w:tc>
              <w:tc>
                <w:tcPr>
                  <w:tcW w:w="482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Pr="006F2E9D" w:rsidRDefault="00E41499" w:rsidP="00A30C4C">
                  <w:pPr>
                    <w:pStyle w:val="TableUnitsRow"/>
                    <w:rPr>
                      <w:b/>
                    </w:rPr>
                  </w:pPr>
                  <w:r>
                    <w:rPr>
                      <w:b/>
                    </w:rPr>
                    <w:t>995</w:t>
                  </w:r>
                </w:p>
              </w:tc>
              <w:tc>
                <w:tcPr>
                  <w:tcW w:w="4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</w:p>
              </w:tc>
              <w:tc>
                <w:tcPr>
                  <w:tcW w:w="458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125 000</w:t>
                  </w:r>
                </w:p>
              </w:tc>
              <w:tc>
                <w:tcPr>
                  <w:tcW w:w="503" w:type="pct"/>
                  <w:tcBorders>
                    <w:bottom w:val="single" w:sz="6" w:space="0" w:color="BFBFBF"/>
                  </w:tcBorders>
                  <w:shd w:val="clear" w:color="auto" w:fill="FFFFFF" w:themeFill="background1"/>
                  <w:vAlign w:val="center"/>
                </w:tcPr>
                <w:p w:rsidR="00E41499" w:rsidRDefault="00E41499" w:rsidP="00A30C4C">
                  <w:pPr>
                    <w:pStyle w:val="TableBodyText"/>
                    <w:ind w:right="28"/>
                  </w:pPr>
                  <w:r>
                    <w:t>28.2</w:t>
                  </w:r>
                </w:p>
              </w:tc>
            </w:tr>
          </w:tbl>
          <w:p w:rsidR="00E41499" w:rsidRDefault="00E41499" w:rsidP="00A30C4C">
            <w:pPr>
              <w:pStyle w:val="Box"/>
            </w:pPr>
          </w:p>
        </w:tc>
      </w:tr>
      <w:tr w:rsidR="00E41499" w:rsidTr="008B122A">
        <w:tc>
          <w:tcPr>
            <w:tcW w:w="5000" w:type="pct"/>
            <w:shd w:val="clear" w:color="auto" w:fill="auto"/>
          </w:tcPr>
          <w:p w:rsidR="00E41499" w:rsidRDefault="00AF0247" w:rsidP="00A30C4C">
            <w:pPr>
              <w:pStyle w:val="Note"/>
              <w:rPr>
                <w:i/>
              </w:rPr>
            </w:pPr>
            <w:r>
              <w:rPr>
                <w:rStyle w:val="NoteLabel"/>
              </w:rPr>
              <w:t>a</w:t>
            </w:r>
            <w:r w:rsidR="00E41499">
              <w:t xml:space="preserve"> Assumptions that are different from the ‘Average worker’ scenario are in bold. </w:t>
            </w:r>
            <w:r>
              <w:rPr>
                <w:rStyle w:val="NoteLabel"/>
              </w:rPr>
              <w:t>b</w:t>
            </w:r>
            <w:r w:rsidR="00E41499">
              <w:t xml:space="preserve"> This excludes the effect of real wage increases (all cameo scenarios assume economy</w:t>
            </w:r>
            <w:r w:rsidR="00E41499">
              <w:noBreakHyphen/>
              <w:t>wide real wage growth of 1.5 per cent annually).</w:t>
            </w:r>
          </w:p>
        </w:tc>
      </w:tr>
      <w:tr w:rsidR="00E41499" w:rsidTr="008B122A">
        <w:tc>
          <w:tcPr>
            <w:tcW w:w="5000" w:type="pct"/>
            <w:shd w:val="clear" w:color="auto" w:fill="auto"/>
          </w:tcPr>
          <w:p w:rsidR="00E41499" w:rsidRDefault="00E41499" w:rsidP="00A30C4C">
            <w:pPr>
              <w:pStyle w:val="Box"/>
              <w:spacing w:before="0" w:line="120" w:lineRule="exact"/>
            </w:pPr>
          </w:p>
        </w:tc>
      </w:tr>
    </w:tbl>
    <w:p w:rsidR="00E41499" w:rsidRPr="00C0290F" w:rsidRDefault="00E41499" w:rsidP="00C0290F">
      <w:pPr>
        <w:pStyle w:val="BodyText"/>
        <w:spacing w:before="120"/>
        <w:rPr>
          <w:rFonts w:asciiTheme="majorHAnsi" w:hAnsiTheme="majorHAnsi" w:cstheme="majorHAnsi"/>
        </w:rPr>
      </w:pPr>
    </w:p>
    <w:sectPr w:rsidR="00E41499" w:rsidRPr="00C0290F" w:rsidSect="00CC1B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3119" w:right="1304" w:bottom="1134" w:left="1814" w:header="568" w:footer="406" w:gutter="0"/>
      <w:pgNumType w:start="1" w:chapSep="period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A8" w:rsidRDefault="003E5BA8">
      <w:r>
        <w:separator/>
      </w:r>
    </w:p>
  </w:endnote>
  <w:endnote w:type="continuationSeparator" w:id="0">
    <w:p w:rsidR="003E5BA8" w:rsidRDefault="003E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909" w:rsidRPr="004548F7" w:rsidRDefault="004548F7" w:rsidP="004F54D1">
    <w:pPr>
      <w:pStyle w:val="Footer"/>
      <w:spacing w:after="480"/>
      <w:jc w:val="center"/>
    </w:pPr>
    <w:r>
      <w:rPr>
        <w:rFonts w:ascii="Verdana" w:hAnsi="Verdana" w:cs="Arial"/>
        <w:noProof/>
        <w:kern w:val="16"/>
        <w:sz w:val="18"/>
        <w:szCs w:val="18"/>
      </w:rPr>
      <w:drawing>
        <wp:anchor distT="0" distB="0" distL="114300" distR="114300" simplePos="0" relativeHeight="251665408" behindDoc="1" locked="0" layoutInCell="1" allowOverlap="1" wp14:anchorId="26CEED74" wp14:editId="6B784624">
          <wp:simplePos x="0" y="0"/>
          <wp:positionH relativeFrom="page">
            <wp:posOffset>6350</wp:posOffset>
          </wp:positionH>
          <wp:positionV relativeFrom="bottomMargin">
            <wp:posOffset>2862</wp:posOffset>
          </wp:positionV>
          <wp:extent cx="7554876" cy="823349"/>
          <wp:effectExtent l="0" t="0" r="0" b="0"/>
          <wp:wrapNone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86"/>
                  <a:stretch/>
                </pic:blipFill>
                <pic:spPr bwMode="auto">
                  <a:xfrm>
                    <a:off x="0" y="0"/>
                    <a:ext cx="7554876" cy="823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443">
      <w:rPr>
        <w:rStyle w:val="PageNumber"/>
        <w:caps w:val="0"/>
      </w:rPr>
      <w:fldChar w:fldCharType="begin"/>
    </w:r>
    <w:r w:rsidRPr="00A24443">
      <w:rPr>
        <w:rStyle w:val="PageNumber"/>
        <w:caps w:val="0"/>
      </w:rPr>
      <w:instrText xml:space="preserve">PAGE  </w:instrText>
    </w:r>
    <w:r w:rsidRPr="00A24443">
      <w:rPr>
        <w:rStyle w:val="PageNumber"/>
        <w:caps w:val="0"/>
      </w:rPr>
      <w:fldChar w:fldCharType="separate"/>
    </w:r>
    <w:r w:rsidR="00ED34DA">
      <w:rPr>
        <w:rStyle w:val="PageNumber"/>
        <w:caps w:val="0"/>
        <w:noProof/>
      </w:rPr>
      <w:t>2</w:t>
    </w:r>
    <w:r w:rsidRPr="00A24443">
      <w:rPr>
        <w:rStyle w:val="PageNumber"/>
        <w:caps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909" w:rsidRPr="00ED34DA" w:rsidRDefault="00062A9D" w:rsidP="00ED34DA">
    <w:pPr>
      <w:pStyle w:val="Footer"/>
      <w:jc w:val="center"/>
      <w:rPr>
        <w:b/>
        <w:color w:val="FFFFFF" w:themeColor="background1"/>
      </w:rPr>
    </w:pPr>
    <w:r>
      <w:rPr>
        <w:noProof/>
        <w:color w:val="66BCDB" w:themeColor="text2"/>
      </w:rPr>
      <w:drawing>
        <wp:anchor distT="0" distB="0" distL="114300" distR="114300" simplePos="0" relativeHeight="251671552" behindDoc="1" locked="0" layoutInCell="1" allowOverlap="1" wp14:anchorId="56FD8DEC" wp14:editId="583A76F1">
          <wp:simplePos x="0" y="0"/>
          <wp:positionH relativeFrom="page">
            <wp:posOffset>4445</wp:posOffset>
          </wp:positionH>
          <wp:positionV relativeFrom="page">
            <wp:posOffset>10067925</wp:posOffset>
          </wp:positionV>
          <wp:extent cx="7550785" cy="62992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per-head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66BCDB" w:themeColor="text2"/>
        </w:rPr>
        <w:id w:val="-385404947"/>
        <w:docPartObj>
          <w:docPartGallery w:val="Page Numbers (Bottom of Page)"/>
          <w:docPartUnique/>
        </w:docPartObj>
      </w:sdtPr>
      <w:sdtEndPr>
        <w:rPr>
          <w:b/>
          <w:noProof/>
          <w:color w:val="FFFFFF" w:themeColor="background1"/>
        </w:rPr>
      </w:sdtEndPr>
      <w:sdtContent>
        <w:r w:rsidR="00ED34DA" w:rsidRPr="00FD72C6">
          <w:rPr>
            <w:b/>
            <w:color w:val="FFFFFF" w:themeColor="background1"/>
          </w:rPr>
          <w:fldChar w:fldCharType="begin"/>
        </w:r>
        <w:r w:rsidR="00ED34DA" w:rsidRPr="00FD72C6">
          <w:rPr>
            <w:b/>
            <w:color w:val="FFFFFF" w:themeColor="background1"/>
          </w:rPr>
          <w:instrText xml:space="preserve"> PAGE   \* MERGEFORMAT </w:instrText>
        </w:r>
        <w:r w:rsidR="00ED34DA" w:rsidRPr="00FD72C6">
          <w:rPr>
            <w:b/>
            <w:color w:val="FFFFFF" w:themeColor="background1"/>
          </w:rPr>
          <w:fldChar w:fldCharType="separate"/>
        </w:r>
        <w:r w:rsidR="005C1CF9">
          <w:rPr>
            <w:b/>
            <w:noProof/>
            <w:color w:val="FFFFFF" w:themeColor="background1"/>
          </w:rPr>
          <w:t>4</w:t>
        </w:r>
        <w:r w:rsidR="00ED34DA" w:rsidRPr="00FD72C6">
          <w:rPr>
            <w:b/>
            <w:noProof/>
            <w:color w:val="FFFFFF" w:themeColor="background1"/>
          </w:rPr>
          <w:fldChar w:fldCharType="end"/>
        </w:r>
      </w:sdtContent>
    </w:sdt>
    <w:r w:rsidR="00ED34DA">
      <w:rPr>
        <w:rFonts w:cs="Arial"/>
        <w:b/>
        <w:color w:val="FFFFFF" w:themeColor="background1"/>
      </w:rPr>
      <w:t xml:space="preserve"> </w:t>
    </w:r>
    <w:r w:rsidR="00ED34DA" w:rsidRPr="00F35FC1">
      <w:rPr>
        <w:rFonts w:cs="Arial"/>
        <w:b/>
        <w:color w:val="66BCDB" w:themeColor="text2"/>
        <w:szCs w:val="16"/>
      </w:rPr>
      <w:t>|</w:t>
    </w:r>
    <w:r w:rsidR="00ED34DA">
      <w:rPr>
        <w:rFonts w:cs="Arial"/>
        <w:b/>
        <w:color w:val="FFFFFF" w:themeColor="background1"/>
      </w:rPr>
      <w:t xml:space="preserve"> Draft report cameos </w:t>
    </w:r>
    <w:r w:rsidR="00ED34DA" w:rsidRPr="00F35FC1">
      <w:rPr>
        <w:rFonts w:cs="Arial"/>
        <w:b/>
        <w:color w:val="66BCDB" w:themeColor="text2"/>
        <w:szCs w:val="16"/>
      </w:rPr>
      <w:t xml:space="preserve">| </w:t>
    </w:r>
    <w:r w:rsidR="00ED34DA" w:rsidRPr="00FD72C6">
      <w:rPr>
        <w:rFonts w:cs="Arial"/>
        <w:b/>
        <w:color w:val="FFFFFF" w:themeColor="background1"/>
      </w:rPr>
      <w:t>Superannuation: efficiency and COMPETITIVENESS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3A1" w:rsidRDefault="00D869AB" w:rsidP="00D869AB">
    <w:pPr>
      <w:pStyle w:val="Footer"/>
      <w:spacing w:after="480"/>
      <w:jc w:val="center"/>
    </w:pPr>
    <w:r>
      <w:rPr>
        <w:rFonts w:ascii="Verdana" w:hAnsi="Verdana" w:cs="Arial"/>
        <w:noProof/>
        <w:kern w:val="16"/>
        <w:sz w:val="18"/>
        <w:szCs w:val="18"/>
      </w:rPr>
      <w:drawing>
        <wp:anchor distT="0" distB="0" distL="114300" distR="114300" simplePos="0" relativeHeight="251663360" behindDoc="1" locked="0" layoutInCell="1" allowOverlap="1" wp14:anchorId="3AD4651F" wp14:editId="01382EAE">
          <wp:simplePos x="0" y="0"/>
          <wp:positionH relativeFrom="page">
            <wp:posOffset>0</wp:posOffset>
          </wp:positionH>
          <wp:positionV relativeFrom="bottomMargin">
            <wp:posOffset>15562</wp:posOffset>
          </wp:positionV>
          <wp:extent cx="7554595" cy="822960"/>
          <wp:effectExtent l="0" t="0" r="8255" b="0"/>
          <wp:wrapNone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86"/>
                  <a:stretch/>
                </pic:blipFill>
                <pic:spPr bwMode="auto">
                  <a:xfrm>
                    <a:off x="0" y="0"/>
                    <a:ext cx="755459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443">
      <w:rPr>
        <w:rStyle w:val="PageNumber"/>
        <w:caps w:val="0"/>
      </w:rPr>
      <w:fldChar w:fldCharType="begin"/>
    </w:r>
    <w:r w:rsidRPr="00A24443">
      <w:rPr>
        <w:rStyle w:val="PageNumber"/>
        <w:caps w:val="0"/>
      </w:rPr>
      <w:instrText xml:space="preserve">PAGE  </w:instrText>
    </w:r>
    <w:r w:rsidRPr="00A24443">
      <w:rPr>
        <w:rStyle w:val="PageNumber"/>
        <w:caps w:val="0"/>
      </w:rPr>
      <w:fldChar w:fldCharType="separate"/>
    </w:r>
    <w:r w:rsidR="00ED34DA">
      <w:rPr>
        <w:rStyle w:val="PageNumber"/>
        <w:caps w:val="0"/>
        <w:noProof/>
      </w:rPr>
      <w:t>1</w:t>
    </w:r>
    <w:r w:rsidRPr="00A24443">
      <w:rPr>
        <w:rStyle w:val="PageNumber"/>
        <w:caps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A8" w:rsidRDefault="003E5BA8">
      <w:r>
        <w:separator/>
      </w:r>
    </w:p>
  </w:footnote>
  <w:footnote w:type="continuationSeparator" w:id="0">
    <w:p w:rsidR="003E5BA8" w:rsidRDefault="003E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9D" w:rsidRDefault="00062A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DA" w:rsidRDefault="00ED34DA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1152939" y="357809"/>
          <wp:positionH relativeFrom="page">
            <wp:align>center</wp:align>
          </wp:positionH>
          <wp:positionV relativeFrom="page">
            <wp:align>top</wp:align>
          </wp:positionV>
          <wp:extent cx="7559999" cy="1549792"/>
          <wp:effectExtent l="0" t="0" r="3175" b="0"/>
          <wp:wrapNone/>
          <wp:docPr id="244" name="Picture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" name="super-header-roadmap-came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549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3A1" w:rsidRPr="00AA13A1" w:rsidRDefault="00ED34DA" w:rsidP="00ED34DA">
    <w:pPr>
      <w:spacing w:before="100" w:beforeAutospacing="1"/>
      <w:ind w:right="-46"/>
      <w:jc w:val="right"/>
      <w:rPr>
        <w:rFonts w:ascii="Verdana" w:hAnsi="Verdana" w:cs="Arial"/>
        <w:b/>
        <w:color w:val="FF3B3B"/>
        <w:spacing w:val="-2"/>
        <w:sz w:val="16"/>
        <w:szCs w:val="16"/>
      </w:rPr>
    </w:pPr>
    <w:r>
      <w:rPr>
        <w:rFonts w:ascii="Verdana" w:hAnsi="Verdana" w:cs="Arial"/>
        <w:b/>
        <w:noProof/>
        <w:color w:val="FFFFFF" w:themeColor="background1"/>
        <w:sz w:val="28"/>
        <w:szCs w:val="28"/>
      </w:rPr>
      <w:drawing>
        <wp:anchor distT="0" distB="0" distL="114300" distR="114300" simplePos="0" relativeHeight="251668480" behindDoc="1" locked="0" layoutInCell="1" allowOverlap="1">
          <wp:simplePos x="1176793" y="357809"/>
          <wp:positionH relativeFrom="page">
            <wp:align>center</wp:align>
          </wp:positionH>
          <wp:positionV relativeFrom="page">
            <wp:align>top</wp:align>
          </wp:positionV>
          <wp:extent cx="7560000" cy="1551600"/>
          <wp:effectExtent l="0" t="0" r="3175" b="0"/>
          <wp:wrapNone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er-header-roadmap-came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4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5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4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5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16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19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18"/>
  </w:num>
  <w:num w:numId="6">
    <w:abstractNumId w:val="15"/>
  </w:num>
  <w:num w:numId="7">
    <w:abstractNumId w:val="7"/>
  </w:num>
  <w:num w:numId="8">
    <w:abstractNumId w:val="14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  <w:num w:numId="13">
    <w:abstractNumId w:val="4"/>
  </w:num>
  <w:num w:numId="14">
    <w:abstractNumId w:val="16"/>
  </w:num>
  <w:num w:numId="15">
    <w:abstractNumId w:val="19"/>
  </w:num>
  <w:num w:numId="16">
    <w:abstractNumId w:val="12"/>
  </w:num>
  <w:num w:numId="17">
    <w:abstractNumId w:val="20"/>
  </w:num>
  <w:num w:numId="18">
    <w:abstractNumId w:val="0"/>
  </w:num>
  <w:num w:numId="19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 w:numId="20">
    <w:abstractNumId w:val="17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ndingOptions" w:val="1"/>
    <w:docVar w:name="RecOptions" w:val="111"/>
    <w:docVar w:name="ShortChapterTitle" w:val="Cameos"/>
    <w:docVar w:name="ShortReportTitle" w:val="Superannuation: efficiency and competitiveness"/>
  </w:docVars>
  <w:rsids>
    <w:rsidRoot w:val="00000376"/>
    <w:rsid w:val="00000376"/>
    <w:rsid w:val="00010214"/>
    <w:rsid w:val="000227D5"/>
    <w:rsid w:val="000245AA"/>
    <w:rsid w:val="0003664B"/>
    <w:rsid w:val="0004111F"/>
    <w:rsid w:val="00055077"/>
    <w:rsid w:val="000565B3"/>
    <w:rsid w:val="00062A9D"/>
    <w:rsid w:val="0007150B"/>
    <w:rsid w:val="000938F5"/>
    <w:rsid w:val="00095663"/>
    <w:rsid w:val="00096E55"/>
    <w:rsid w:val="0009783E"/>
    <w:rsid w:val="000B1022"/>
    <w:rsid w:val="000B601B"/>
    <w:rsid w:val="000C207E"/>
    <w:rsid w:val="000D41E9"/>
    <w:rsid w:val="000F0035"/>
    <w:rsid w:val="000F04E7"/>
    <w:rsid w:val="000F060A"/>
    <w:rsid w:val="000F420B"/>
    <w:rsid w:val="000F539C"/>
    <w:rsid w:val="00110116"/>
    <w:rsid w:val="00120072"/>
    <w:rsid w:val="00126EB8"/>
    <w:rsid w:val="001274D4"/>
    <w:rsid w:val="001363AA"/>
    <w:rsid w:val="0013739A"/>
    <w:rsid w:val="00142165"/>
    <w:rsid w:val="00142853"/>
    <w:rsid w:val="00162434"/>
    <w:rsid w:val="00183E82"/>
    <w:rsid w:val="001878BB"/>
    <w:rsid w:val="00191AE0"/>
    <w:rsid w:val="0019293B"/>
    <w:rsid w:val="0019426B"/>
    <w:rsid w:val="001A6A4B"/>
    <w:rsid w:val="001C0865"/>
    <w:rsid w:val="001C0AED"/>
    <w:rsid w:val="001C3ABA"/>
    <w:rsid w:val="001C5111"/>
    <w:rsid w:val="001C7CB3"/>
    <w:rsid w:val="001E7BE8"/>
    <w:rsid w:val="001F0248"/>
    <w:rsid w:val="001F3EB3"/>
    <w:rsid w:val="001F4F86"/>
    <w:rsid w:val="00202C2C"/>
    <w:rsid w:val="00203050"/>
    <w:rsid w:val="002102FD"/>
    <w:rsid w:val="002135AB"/>
    <w:rsid w:val="002144BE"/>
    <w:rsid w:val="002320B8"/>
    <w:rsid w:val="00233734"/>
    <w:rsid w:val="00242279"/>
    <w:rsid w:val="00243997"/>
    <w:rsid w:val="0024516C"/>
    <w:rsid w:val="00245C82"/>
    <w:rsid w:val="002724BA"/>
    <w:rsid w:val="00291B40"/>
    <w:rsid w:val="002A66D8"/>
    <w:rsid w:val="002B4008"/>
    <w:rsid w:val="002B5713"/>
    <w:rsid w:val="002C439F"/>
    <w:rsid w:val="002C5A8C"/>
    <w:rsid w:val="002C6BBC"/>
    <w:rsid w:val="002D0C42"/>
    <w:rsid w:val="002D0E8E"/>
    <w:rsid w:val="00301189"/>
    <w:rsid w:val="00301E4A"/>
    <w:rsid w:val="003168B8"/>
    <w:rsid w:val="00322D64"/>
    <w:rsid w:val="00323E09"/>
    <w:rsid w:val="00333932"/>
    <w:rsid w:val="003518AA"/>
    <w:rsid w:val="00352165"/>
    <w:rsid w:val="00353182"/>
    <w:rsid w:val="003565D9"/>
    <w:rsid w:val="003602E1"/>
    <w:rsid w:val="0037026F"/>
    <w:rsid w:val="00371240"/>
    <w:rsid w:val="00374731"/>
    <w:rsid w:val="00376E59"/>
    <w:rsid w:val="00377EC1"/>
    <w:rsid w:val="00380340"/>
    <w:rsid w:val="003919F9"/>
    <w:rsid w:val="003920CF"/>
    <w:rsid w:val="003B23C2"/>
    <w:rsid w:val="003C38B5"/>
    <w:rsid w:val="003C5D99"/>
    <w:rsid w:val="003D1087"/>
    <w:rsid w:val="003E2F59"/>
    <w:rsid w:val="003E5BA8"/>
    <w:rsid w:val="003E746B"/>
    <w:rsid w:val="003F0789"/>
    <w:rsid w:val="00401882"/>
    <w:rsid w:val="004100C8"/>
    <w:rsid w:val="00411DBD"/>
    <w:rsid w:val="00412ACE"/>
    <w:rsid w:val="004145D2"/>
    <w:rsid w:val="00422D9A"/>
    <w:rsid w:val="00425128"/>
    <w:rsid w:val="00426CB4"/>
    <w:rsid w:val="00431249"/>
    <w:rsid w:val="00434C19"/>
    <w:rsid w:val="00440EC9"/>
    <w:rsid w:val="00450810"/>
    <w:rsid w:val="004548F7"/>
    <w:rsid w:val="00460F20"/>
    <w:rsid w:val="00462C59"/>
    <w:rsid w:val="00470737"/>
    <w:rsid w:val="00477144"/>
    <w:rsid w:val="00491380"/>
    <w:rsid w:val="0049459F"/>
    <w:rsid w:val="004A38DD"/>
    <w:rsid w:val="004B43AE"/>
    <w:rsid w:val="004C30ED"/>
    <w:rsid w:val="004D5675"/>
    <w:rsid w:val="004F54D1"/>
    <w:rsid w:val="0051306E"/>
    <w:rsid w:val="00517795"/>
    <w:rsid w:val="00517EDF"/>
    <w:rsid w:val="00523639"/>
    <w:rsid w:val="00531FE5"/>
    <w:rsid w:val="005402FA"/>
    <w:rsid w:val="00541E1A"/>
    <w:rsid w:val="00553A21"/>
    <w:rsid w:val="0056420B"/>
    <w:rsid w:val="005703D1"/>
    <w:rsid w:val="005729BD"/>
    <w:rsid w:val="00573437"/>
    <w:rsid w:val="00573BE3"/>
    <w:rsid w:val="00580154"/>
    <w:rsid w:val="00583C39"/>
    <w:rsid w:val="00586A90"/>
    <w:rsid w:val="00587F28"/>
    <w:rsid w:val="005909CF"/>
    <w:rsid w:val="00591E71"/>
    <w:rsid w:val="005A0D41"/>
    <w:rsid w:val="005C1CF9"/>
    <w:rsid w:val="005D329F"/>
    <w:rsid w:val="005F48ED"/>
    <w:rsid w:val="00601FD3"/>
    <w:rsid w:val="00606E78"/>
    <w:rsid w:val="00607BF1"/>
    <w:rsid w:val="00630D4D"/>
    <w:rsid w:val="00632A74"/>
    <w:rsid w:val="00654D42"/>
    <w:rsid w:val="00666E02"/>
    <w:rsid w:val="006A1E01"/>
    <w:rsid w:val="006A4655"/>
    <w:rsid w:val="006B2B3C"/>
    <w:rsid w:val="006B75F9"/>
    <w:rsid w:val="006C1D81"/>
    <w:rsid w:val="006C7038"/>
    <w:rsid w:val="006E73EF"/>
    <w:rsid w:val="006F0172"/>
    <w:rsid w:val="007079C9"/>
    <w:rsid w:val="00714D4D"/>
    <w:rsid w:val="007266D3"/>
    <w:rsid w:val="00732029"/>
    <w:rsid w:val="007604BB"/>
    <w:rsid w:val="00772909"/>
    <w:rsid w:val="007801F8"/>
    <w:rsid w:val="00785232"/>
    <w:rsid w:val="0079701E"/>
    <w:rsid w:val="007A21EB"/>
    <w:rsid w:val="007B1A93"/>
    <w:rsid w:val="007C36C9"/>
    <w:rsid w:val="007D6401"/>
    <w:rsid w:val="007E01E4"/>
    <w:rsid w:val="007E1B82"/>
    <w:rsid w:val="007E7A12"/>
    <w:rsid w:val="007F7107"/>
    <w:rsid w:val="00800D4C"/>
    <w:rsid w:val="0081030F"/>
    <w:rsid w:val="00812F4A"/>
    <w:rsid w:val="008200CB"/>
    <w:rsid w:val="0082087D"/>
    <w:rsid w:val="00826D7A"/>
    <w:rsid w:val="00835771"/>
    <w:rsid w:val="00842933"/>
    <w:rsid w:val="0086082C"/>
    <w:rsid w:val="00864ADC"/>
    <w:rsid w:val="00875B4A"/>
    <w:rsid w:val="0087675A"/>
    <w:rsid w:val="00880153"/>
    <w:rsid w:val="00880F97"/>
    <w:rsid w:val="0088133A"/>
    <w:rsid w:val="0089285E"/>
    <w:rsid w:val="0089436C"/>
    <w:rsid w:val="008A57F3"/>
    <w:rsid w:val="008B122A"/>
    <w:rsid w:val="008D365C"/>
    <w:rsid w:val="008D7622"/>
    <w:rsid w:val="009021A6"/>
    <w:rsid w:val="009030BF"/>
    <w:rsid w:val="00903B52"/>
    <w:rsid w:val="0091032F"/>
    <w:rsid w:val="00914368"/>
    <w:rsid w:val="00931076"/>
    <w:rsid w:val="009345D9"/>
    <w:rsid w:val="00934B15"/>
    <w:rsid w:val="00940C87"/>
    <w:rsid w:val="00942B62"/>
    <w:rsid w:val="0095323B"/>
    <w:rsid w:val="00956A0C"/>
    <w:rsid w:val="00956BD9"/>
    <w:rsid w:val="00962489"/>
    <w:rsid w:val="00967CD3"/>
    <w:rsid w:val="00990C2C"/>
    <w:rsid w:val="009A5171"/>
    <w:rsid w:val="009E1844"/>
    <w:rsid w:val="009F0D1B"/>
    <w:rsid w:val="009F53DD"/>
    <w:rsid w:val="009F5BBD"/>
    <w:rsid w:val="009F5CC5"/>
    <w:rsid w:val="009F696D"/>
    <w:rsid w:val="009F6BC6"/>
    <w:rsid w:val="009F74EF"/>
    <w:rsid w:val="00A02826"/>
    <w:rsid w:val="00A15D5A"/>
    <w:rsid w:val="00A17328"/>
    <w:rsid w:val="00A23A20"/>
    <w:rsid w:val="00A24443"/>
    <w:rsid w:val="00A268B9"/>
    <w:rsid w:val="00A2703A"/>
    <w:rsid w:val="00A33DFF"/>
    <w:rsid w:val="00A35115"/>
    <w:rsid w:val="00A36D9A"/>
    <w:rsid w:val="00A451DC"/>
    <w:rsid w:val="00A454D6"/>
    <w:rsid w:val="00A554AB"/>
    <w:rsid w:val="00A57062"/>
    <w:rsid w:val="00A67781"/>
    <w:rsid w:val="00A75990"/>
    <w:rsid w:val="00A761F9"/>
    <w:rsid w:val="00A92B53"/>
    <w:rsid w:val="00A94FA6"/>
    <w:rsid w:val="00AA13A1"/>
    <w:rsid w:val="00AA49A0"/>
    <w:rsid w:val="00AA6710"/>
    <w:rsid w:val="00AB0681"/>
    <w:rsid w:val="00AC0A6D"/>
    <w:rsid w:val="00AC3A15"/>
    <w:rsid w:val="00AD520B"/>
    <w:rsid w:val="00AE3BCC"/>
    <w:rsid w:val="00AF0247"/>
    <w:rsid w:val="00B07FF6"/>
    <w:rsid w:val="00B425C3"/>
    <w:rsid w:val="00B4373D"/>
    <w:rsid w:val="00B440AD"/>
    <w:rsid w:val="00B479BB"/>
    <w:rsid w:val="00B53E7E"/>
    <w:rsid w:val="00B6342E"/>
    <w:rsid w:val="00B7113F"/>
    <w:rsid w:val="00B744EC"/>
    <w:rsid w:val="00BA2BCF"/>
    <w:rsid w:val="00BA5B14"/>
    <w:rsid w:val="00BA73B6"/>
    <w:rsid w:val="00BA7E27"/>
    <w:rsid w:val="00BB2603"/>
    <w:rsid w:val="00BB4FCD"/>
    <w:rsid w:val="00BC04E9"/>
    <w:rsid w:val="00BD13EA"/>
    <w:rsid w:val="00BD1B4D"/>
    <w:rsid w:val="00BE3808"/>
    <w:rsid w:val="00C0290F"/>
    <w:rsid w:val="00C03B88"/>
    <w:rsid w:val="00C062E9"/>
    <w:rsid w:val="00C069AA"/>
    <w:rsid w:val="00C07B64"/>
    <w:rsid w:val="00C13721"/>
    <w:rsid w:val="00C14FE4"/>
    <w:rsid w:val="00C3066D"/>
    <w:rsid w:val="00C52416"/>
    <w:rsid w:val="00C543F4"/>
    <w:rsid w:val="00C6291C"/>
    <w:rsid w:val="00C633CB"/>
    <w:rsid w:val="00C664CD"/>
    <w:rsid w:val="00C736B7"/>
    <w:rsid w:val="00C81D4A"/>
    <w:rsid w:val="00C8498C"/>
    <w:rsid w:val="00C8762C"/>
    <w:rsid w:val="00CA00F9"/>
    <w:rsid w:val="00CA2961"/>
    <w:rsid w:val="00CB50D7"/>
    <w:rsid w:val="00CB7177"/>
    <w:rsid w:val="00CB7CED"/>
    <w:rsid w:val="00CC070F"/>
    <w:rsid w:val="00CC1998"/>
    <w:rsid w:val="00CC1B09"/>
    <w:rsid w:val="00CC4946"/>
    <w:rsid w:val="00CC64A1"/>
    <w:rsid w:val="00CE2875"/>
    <w:rsid w:val="00CF3B11"/>
    <w:rsid w:val="00CF47F6"/>
    <w:rsid w:val="00D270A4"/>
    <w:rsid w:val="00D31FE9"/>
    <w:rsid w:val="00D34E1B"/>
    <w:rsid w:val="00D376BA"/>
    <w:rsid w:val="00D434A0"/>
    <w:rsid w:val="00D45634"/>
    <w:rsid w:val="00D51E8F"/>
    <w:rsid w:val="00D5568A"/>
    <w:rsid w:val="00D63D73"/>
    <w:rsid w:val="00D64452"/>
    <w:rsid w:val="00D66E1E"/>
    <w:rsid w:val="00D70696"/>
    <w:rsid w:val="00D75722"/>
    <w:rsid w:val="00D80CF5"/>
    <w:rsid w:val="00D869AB"/>
    <w:rsid w:val="00DA5BBA"/>
    <w:rsid w:val="00DB26D2"/>
    <w:rsid w:val="00DB67C9"/>
    <w:rsid w:val="00DC0C95"/>
    <w:rsid w:val="00DC4F0B"/>
    <w:rsid w:val="00DD6580"/>
    <w:rsid w:val="00DF012F"/>
    <w:rsid w:val="00E01D7F"/>
    <w:rsid w:val="00E03588"/>
    <w:rsid w:val="00E05C03"/>
    <w:rsid w:val="00E17C72"/>
    <w:rsid w:val="00E21FC6"/>
    <w:rsid w:val="00E41499"/>
    <w:rsid w:val="00E431A9"/>
    <w:rsid w:val="00E47E1E"/>
    <w:rsid w:val="00E669E2"/>
    <w:rsid w:val="00E76135"/>
    <w:rsid w:val="00E82F4F"/>
    <w:rsid w:val="00E864DF"/>
    <w:rsid w:val="00EB2CC3"/>
    <w:rsid w:val="00EC2844"/>
    <w:rsid w:val="00EC5500"/>
    <w:rsid w:val="00EC5E89"/>
    <w:rsid w:val="00ED18F8"/>
    <w:rsid w:val="00ED34DA"/>
    <w:rsid w:val="00EE6EDA"/>
    <w:rsid w:val="00EE778E"/>
    <w:rsid w:val="00EF1B5B"/>
    <w:rsid w:val="00EF6719"/>
    <w:rsid w:val="00EF6C6C"/>
    <w:rsid w:val="00F056FC"/>
    <w:rsid w:val="00F0632F"/>
    <w:rsid w:val="00F069AE"/>
    <w:rsid w:val="00F10476"/>
    <w:rsid w:val="00F135D8"/>
    <w:rsid w:val="00F27D7A"/>
    <w:rsid w:val="00F31299"/>
    <w:rsid w:val="00F3534A"/>
    <w:rsid w:val="00F35BFB"/>
    <w:rsid w:val="00F36056"/>
    <w:rsid w:val="00F36ACC"/>
    <w:rsid w:val="00F51609"/>
    <w:rsid w:val="00F55C25"/>
    <w:rsid w:val="00F7088B"/>
    <w:rsid w:val="00F73727"/>
    <w:rsid w:val="00F766A7"/>
    <w:rsid w:val="00F81006"/>
    <w:rsid w:val="00F83560"/>
    <w:rsid w:val="00F85325"/>
    <w:rsid w:val="00FB4FCB"/>
    <w:rsid w:val="00FD1DD1"/>
    <w:rsid w:val="00FD22B1"/>
    <w:rsid w:val="00FD33F1"/>
    <w:rsid w:val="00FD3566"/>
    <w:rsid w:val="00FE1CD9"/>
    <w:rsid w:val="00FE3C71"/>
    <w:rsid w:val="00FE5397"/>
    <w:rsid w:val="00FE7945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3561A0DA-3377-4FF8-A196-3A49CA3E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1499"/>
    <w:rPr>
      <w:sz w:val="24"/>
      <w:szCs w:val="24"/>
    </w:rPr>
  </w:style>
  <w:style w:type="paragraph" w:styleId="Heading1">
    <w:name w:val="heading 1"/>
    <w:basedOn w:val="BodyText"/>
    <w:next w:val="BodyText"/>
    <w:rsid w:val="00FD22B1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A1732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A1732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812F4A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812F4A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semiHidden/>
    <w:rsid w:val="00A1732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semiHidden/>
    <w:rsid w:val="00A1732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semiHidden/>
    <w:rsid w:val="00A1732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semiHidden/>
    <w:rsid w:val="00A1732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812F4A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semiHidden/>
    <w:rsid w:val="00E01D7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A17328"/>
    <w:pPr>
      <w:spacing w:before="0" w:line="20" w:lineRule="exact"/>
    </w:pPr>
  </w:style>
  <w:style w:type="paragraph" w:styleId="Header">
    <w:name w:val="header"/>
    <w:basedOn w:val="BodyText"/>
    <w:rsid w:val="00A1732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91436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C543F4"/>
  </w:style>
  <w:style w:type="paragraph" w:customStyle="1" w:styleId="HeaderOdd">
    <w:name w:val="Header Odd"/>
    <w:basedOn w:val="Header"/>
    <w:semiHidden/>
    <w:rsid w:val="00C543F4"/>
  </w:style>
  <w:style w:type="character" w:styleId="PageNumber">
    <w:name w:val="page number"/>
    <w:basedOn w:val="DefaultParagraphFont"/>
    <w:rsid w:val="00A1732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A1732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link w:val="BoxChar"/>
    <w:qFormat/>
    <w:rsid w:val="00812F4A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A1732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A1732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A17328"/>
    <w:rPr>
      <w:b w:val="0"/>
      <w:i/>
    </w:rPr>
  </w:style>
  <w:style w:type="paragraph" w:customStyle="1" w:styleId="BoxListBullet">
    <w:name w:val="Box List Bullet"/>
    <w:basedOn w:val="BodyText"/>
    <w:rsid w:val="009F5BBD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812F4A"/>
    <w:pPr>
      <w:numPr>
        <w:numId w:val="13"/>
      </w:numPr>
      <w:ind w:left="568" w:hanging="284"/>
    </w:pPr>
  </w:style>
  <w:style w:type="paragraph" w:customStyle="1" w:styleId="BoxListNumber">
    <w:name w:val="Box List Number"/>
    <w:basedOn w:val="BodyText"/>
    <w:rsid w:val="00812F4A"/>
    <w:pPr>
      <w:keepNext/>
      <w:numPr>
        <w:numId w:val="10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055077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812F4A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812F4A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517795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9F74EF"/>
    <w:pPr>
      <w:spacing w:before="120"/>
    </w:pPr>
  </w:style>
  <w:style w:type="paragraph" w:customStyle="1" w:styleId="BoxSpaceAbove">
    <w:name w:val="Box Space Abov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A1732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9F74E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9F74EF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A1732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517795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A17328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A1732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517795"/>
  </w:style>
  <w:style w:type="character" w:customStyle="1" w:styleId="DocumentInfo">
    <w:name w:val="Document Info"/>
    <w:basedOn w:val="DefaultParagraphFont"/>
    <w:semiHidden/>
    <w:rsid w:val="00A1732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A1732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A1732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9F74EF"/>
    <w:pPr>
      <w:spacing w:before="120"/>
    </w:pPr>
  </w:style>
  <w:style w:type="paragraph" w:styleId="Subtitle">
    <w:name w:val="Subtitle"/>
    <w:basedOn w:val="Caption"/>
    <w:link w:val="SubtitleChar"/>
    <w:qFormat/>
    <w:rsid w:val="00301E4A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9F5BBD"/>
    <w:pPr>
      <w:numPr>
        <w:numId w:val="15"/>
      </w:numPr>
      <w:spacing w:before="80"/>
    </w:pPr>
  </w:style>
  <w:style w:type="paragraph" w:customStyle="1" w:styleId="FindingNoTitle">
    <w:name w:val="Finding NoTitle"/>
    <w:basedOn w:val="Finding"/>
    <w:semiHidden/>
    <w:rsid w:val="00AB0681"/>
    <w:pPr>
      <w:spacing w:before="240"/>
    </w:pPr>
  </w:style>
  <w:style w:type="paragraph" w:customStyle="1" w:styleId="RecTitle">
    <w:name w:val="Rec Title"/>
    <w:basedOn w:val="BodyText"/>
    <w:next w:val="Rec"/>
    <w:qFormat/>
    <w:rsid w:val="009F5BBD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9021A6"/>
  </w:style>
  <w:style w:type="character" w:styleId="FootnoteReference">
    <w:name w:val="footnote reference"/>
    <w:basedOn w:val="DefaultParagraphFont"/>
    <w:semiHidden/>
    <w:rsid w:val="00243997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243997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9F5BBD"/>
    <w:rPr>
      <w:i/>
    </w:rPr>
  </w:style>
  <w:style w:type="paragraph" w:customStyle="1" w:styleId="Jurisdictioncommentsbodytext">
    <w:name w:val="Jurisdiction comments body text"/>
    <w:rsid w:val="00A1732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A1732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A17328"/>
    <w:pPr>
      <w:numPr>
        <w:numId w:val="2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812F4A"/>
    <w:pPr>
      <w:numPr>
        <w:numId w:val="3"/>
      </w:numPr>
      <w:spacing w:before="120"/>
    </w:pPr>
  </w:style>
  <w:style w:type="paragraph" w:styleId="ListBullet2">
    <w:name w:val="List Bullet 2"/>
    <w:basedOn w:val="BodyText"/>
    <w:rsid w:val="00DB67C9"/>
    <w:pPr>
      <w:numPr>
        <w:numId w:val="4"/>
      </w:numPr>
      <w:spacing w:before="120"/>
    </w:pPr>
  </w:style>
  <w:style w:type="paragraph" w:styleId="ListBullet3">
    <w:name w:val="List Bullet 3"/>
    <w:basedOn w:val="BodyText"/>
    <w:rsid w:val="00055077"/>
    <w:pPr>
      <w:numPr>
        <w:numId w:val="5"/>
      </w:numPr>
      <w:spacing w:before="120"/>
      <w:ind w:left="1020" w:hanging="340"/>
    </w:pPr>
  </w:style>
  <w:style w:type="paragraph" w:styleId="ListNumber">
    <w:name w:val="List Number"/>
    <w:basedOn w:val="BodyText"/>
    <w:rsid w:val="00864ADC"/>
    <w:pPr>
      <w:numPr>
        <w:numId w:val="9"/>
      </w:numPr>
      <w:spacing w:before="120"/>
    </w:pPr>
  </w:style>
  <w:style w:type="paragraph" w:styleId="ListNumber2">
    <w:name w:val="List Number 2"/>
    <w:basedOn w:val="ListNumber"/>
    <w:rsid w:val="00864ADC"/>
    <w:pPr>
      <w:numPr>
        <w:ilvl w:val="1"/>
      </w:numPr>
    </w:pPr>
  </w:style>
  <w:style w:type="paragraph" w:styleId="ListNumber3">
    <w:name w:val="List Number 3"/>
    <w:basedOn w:val="ListNumber2"/>
    <w:rsid w:val="00C52416"/>
    <w:pPr>
      <w:numPr>
        <w:ilvl w:val="2"/>
      </w:numPr>
    </w:pPr>
  </w:style>
  <w:style w:type="character" w:customStyle="1" w:styleId="NoteLabel">
    <w:name w:val="Note Label"/>
    <w:basedOn w:val="DefaultParagraphFont"/>
    <w:rsid w:val="00812F4A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A1732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A1732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A1732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CB7CED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812F4A"/>
    <w:pPr>
      <w:numPr>
        <w:numId w:val="6"/>
      </w:numPr>
    </w:pPr>
  </w:style>
  <w:style w:type="paragraph" w:customStyle="1" w:styleId="Rec">
    <w:name w:val="Rec"/>
    <w:basedOn w:val="BodyText"/>
    <w:qFormat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301E4A"/>
    <w:pPr>
      <w:numPr>
        <w:numId w:val="17"/>
      </w:numPr>
      <w:spacing w:before="80"/>
    </w:pPr>
  </w:style>
  <w:style w:type="paragraph" w:customStyle="1" w:styleId="RecB">
    <w:name w:val="RecB"/>
    <w:basedOn w:val="Normal"/>
    <w:semiHidden/>
    <w:rsid w:val="00F85325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F85325"/>
    <w:pPr>
      <w:numPr>
        <w:numId w:val="11"/>
      </w:numPr>
      <w:spacing w:before="80"/>
    </w:pPr>
  </w:style>
  <w:style w:type="paragraph" w:customStyle="1" w:styleId="RecBNoTitle">
    <w:name w:val="RecB NoTitle"/>
    <w:basedOn w:val="RecB"/>
    <w:semiHidden/>
    <w:rsid w:val="00F85325"/>
    <w:pPr>
      <w:spacing w:before="240"/>
    </w:pPr>
  </w:style>
  <w:style w:type="paragraph" w:customStyle="1" w:styleId="Reference">
    <w:name w:val="Reference"/>
    <w:basedOn w:val="BodyText"/>
    <w:rsid w:val="00A1732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A1732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A17328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A17328"/>
    <w:pPr>
      <w:framePr w:wrap="around"/>
      <w:numPr>
        <w:numId w:val="7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A17328"/>
    <w:pPr>
      <w:framePr w:wrap="around"/>
    </w:pPr>
  </w:style>
  <w:style w:type="paragraph" w:customStyle="1" w:styleId="TableBodyText">
    <w:name w:val="Table Body Text"/>
    <w:basedOn w:val="BodyText"/>
    <w:link w:val="TableBodyTextChar"/>
    <w:rsid w:val="00812F4A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812F4A"/>
    <w:pPr>
      <w:numPr>
        <w:numId w:val="8"/>
      </w:numPr>
      <w:jc w:val="left"/>
    </w:pPr>
  </w:style>
  <w:style w:type="paragraph" w:customStyle="1" w:styleId="TableColumnHeading">
    <w:name w:val="Table Column Heading"/>
    <w:basedOn w:val="TableBodyText"/>
    <w:rsid w:val="00812F4A"/>
    <w:pPr>
      <w:spacing w:before="80" w:after="80"/>
    </w:pPr>
    <w:rPr>
      <w:i/>
    </w:rPr>
  </w:style>
  <w:style w:type="paragraph" w:styleId="TOC2">
    <w:name w:val="toc 2"/>
    <w:basedOn w:val="TOC1"/>
    <w:rsid w:val="00F35BFB"/>
    <w:pPr>
      <w:ind w:left="1134" w:hanging="624"/>
    </w:pPr>
    <w:rPr>
      <w:b w:val="0"/>
    </w:rPr>
  </w:style>
  <w:style w:type="paragraph" w:styleId="TOC3">
    <w:name w:val="toc 3"/>
    <w:basedOn w:val="TOC2"/>
    <w:rsid w:val="00F73727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A17328"/>
    <w:pPr>
      <w:ind w:left="737" w:hanging="737"/>
    </w:pPr>
  </w:style>
  <w:style w:type="paragraph" w:customStyle="1" w:styleId="TableTitle">
    <w:name w:val="Table Title"/>
    <w:basedOn w:val="Caption"/>
    <w:next w:val="Subtitle"/>
    <w:link w:val="TableTitleChar"/>
    <w:qFormat/>
    <w:rsid w:val="009021A6"/>
    <w:pPr>
      <w:spacing w:before="120"/>
    </w:pPr>
  </w:style>
  <w:style w:type="paragraph" w:customStyle="1" w:styleId="TableUnitsRow">
    <w:name w:val="Table Units Row"/>
    <w:basedOn w:val="TableBodyText"/>
    <w:rsid w:val="008D7622"/>
    <w:pPr>
      <w:spacing w:before="40"/>
    </w:pPr>
  </w:style>
  <w:style w:type="paragraph" w:styleId="TOC1">
    <w:name w:val="toc 1"/>
    <w:basedOn w:val="Normal"/>
    <w:next w:val="TOC2"/>
    <w:link w:val="TOC1Char"/>
    <w:rsid w:val="00F73727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A17328"/>
    <w:pPr>
      <w:ind w:left="1191" w:firstLine="0"/>
    </w:pPr>
  </w:style>
  <w:style w:type="paragraph" w:customStyle="1" w:styleId="RecBBullet2">
    <w:name w:val="RecB Bullet 2"/>
    <w:basedOn w:val="ListBullet2"/>
    <w:semiHidden/>
    <w:rsid w:val="006B2B3C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B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B3C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301E4A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812F4A"/>
    <w:pPr>
      <w:numPr>
        <w:numId w:val="14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DA5BBA"/>
    <w:rPr>
      <w:i/>
      <w:iCs/>
    </w:rPr>
  </w:style>
  <w:style w:type="paragraph" w:customStyle="1" w:styleId="BoxQuoteBullet">
    <w:name w:val="Box Quote Bullet"/>
    <w:basedOn w:val="BoxQuote"/>
    <w:next w:val="Box"/>
    <w:rsid w:val="00812F4A"/>
    <w:pPr>
      <w:numPr>
        <w:numId w:val="12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4145D2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9E1844"/>
    <w:pPr>
      <w:keepNext w:val="0"/>
      <w:spacing w:before="60" w:after="60" w:line="80" w:lineRule="exact"/>
    </w:pPr>
    <w:rPr>
      <w:sz w:val="14"/>
    </w:rPr>
  </w:style>
  <w:style w:type="paragraph" w:customStyle="1" w:styleId="KeyPointsListBullet">
    <w:name w:val="Key Points List Bullet"/>
    <w:basedOn w:val="Normal"/>
    <w:qFormat/>
    <w:rsid w:val="00F55C25"/>
    <w:pPr>
      <w:keepNext/>
      <w:numPr>
        <w:numId w:val="20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470737"/>
    <w:pPr>
      <w:numPr>
        <w:numId w:val="21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9F5BBD"/>
    <w:rPr>
      <w:i/>
    </w:rPr>
  </w:style>
  <w:style w:type="paragraph" w:customStyle="1" w:styleId="Space">
    <w:name w:val="Space"/>
    <w:basedOn w:val="Normal"/>
    <w:rsid w:val="00967CD3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CC070F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CC070F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812F4A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0B1022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162434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EB2CC3"/>
    <w:rPr>
      <w:sz w:val="24"/>
    </w:rPr>
  </w:style>
  <w:style w:type="character" w:customStyle="1" w:styleId="FooterChar">
    <w:name w:val="Footer Char"/>
    <w:basedOn w:val="BodyTextChar"/>
    <w:link w:val="Footer"/>
    <w:semiHidden/>
    <w:rsid w:val="00EB2CC3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162434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66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Char">
    <w:name w:val="TOC 1 Char"/>
    <w:basedOn w:val="DefaultParagraphFont"/>
    <w:link w:val="TOC1"/>
    <w:rsid w:val="00F73727"/>
    <w:rPr>
      <w:rFonts w:ascii="Arial" w:hAnsi="Arial"/>
      <w:b/>
      <w:sz w:val="26"/>
      <w:szCs w:val="26"/>
      <w:lang w:eastAsia="en-US"/>
    </w:rPr>
  </w:style>
  <w:style w:type="character" w:customStyle="1" w:styleId="Continuedintitle">
    <w:name w:val="Continued (in title)"/>
    <w:basedOn w:val="DefaultParagraphFont"/>
    <w:rsid w:val="00573BE3"/>
    <w:rPr>
      <w:rFonts w:ascii="Arial" w:hAnsi="Arial"/>
      <w:b/>
      <w:sz w:val="18"/>
    </w:rPr>
  </w:style>
  <w:style w:type="character" w:customStyle="1" w:styleId="TableTitleChar">
    <w:name w:val="Table Title Char"/>
    <w:basedOn w:val="DefaultParagraphFont"/>
    <w:link w:val="TableTitle"/>
    <w:rsid w:val="00F7088B"/>
    <w:rPr>
      <w:rFonts w:ascii="Arial" w:hAnsi="Arial"/>
      <w:b/>
      <w:sz w:val="24"/>
      <w:szCs w:val="24"/>
    </w:rPr>
  </w:style>
  <w:style w:type="character" w:customStyle="1" w:styleId="BoxChar">
    <w:name w:val="Box Char"/>
    <w:basedOn w:val="DefaultParagraphFont"/>
    <w:link w:val="Box"/>
    <w:locked/>
    <w:rsid w:val="00E41499"/>
    <w:rPr>
      <w:rFonts w:ascii="Arial" w:hAnsi="Arial"/>
    </w:rPr>
  </w:style>
  <w:style w:type="character" w:customStyle="1" w:styleId="TableBodyTextChar">
    <w:name w:val="Table Body Text Char"/>
    <w:link w:val="TableBodyText"/>
    <w:rsid w:val="00E41499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945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945"/>
    <w:rPr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FE7945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ProdComm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7616-CEC5-468F-882C-92BF5F40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Cameos - Superannuation: Assessing Efficiency and Competitivness</dc:title>
  <dc:subject/>
  <dc:creator>Productivity Commission</dc:creator>
  <cp:keywords/>
  <dc:description/>
  <cp:lastModifiedBy>Cross, Michelle</cp:lastModifiedBy>
  <cp:revision>2</cp:revision>
  <dcterms:created xsi:type="dcterms:W3CDTF">2018-05-27T23:30:00Z</dcterms:created>
  <dcterms:modified xsi:type="dcterms:W3CDTF">2018-05-27T23:31:00Z</dcterms:modified>
</cp:coreProperties>
</file>