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07C1E5B" w14:textId="3FE5BCDB" w:rsidR="00B26B2B" w:rsidRPr="00D26EB5" w:rsidRDefault="009F3909" w:rsidP="00FA551D">
      <w:pPr>
        <w:pStyle w:val="Heading1"/>
        <w:rPr>
          <w:rFonts w:asciiTheme="minorHAnsi" w:hAnsiTheme="minorHAnsi" w:cstheme="minorHAnsi"/>
          <w:sz w:val="28"/>
        </w:rPr>
      </w:pPr>
      <w:r>
        <w:rPr>
          <w:noProof/>
        </w:rPr>
        <mc:AlternateContent>
          <mc:Choice Requires="wps">
            <w:drawing>
              <wp:anchor distT="0" distB="0" distL="114300" distR="114300" simplePos="0" relativeHeight="251670542" behindDoc="0" locked="0" layoutInCell="1" allowOverlap="1" wp14:anchorId="3447D2CC" wp14:editId="4E3A7A80">
                <wp:simplePos x="0" y="0"/>
                <wp:positionH relativeFrom="column">
                  <wp:posOffset>3028315</wp:posOffset>
                </wp:positionH>
                <wp:positionV relativeFrom="paragraph">
                  <wp:posOffset>570865</wp:posOffset>
                </wp:positionV>
                <wp:extent cx="914400" cy="341630"/>
                <wp:effectExtent l="0" t="0" r="0" b="1270"/>
                <wp:wrapSquare wrapText="bothSides"/>
                <wp:docPr id="30" name="Text Box 30"/>
                <wp:cNvGraphicFramePr/>
                <a:graphic xmlns:a="http://schemas.openxmlformats.org/drawingml/2006/main">
                  <a:graphicData uri="http://schemas.microsoft.com/office/word/2010/wordprocessingShape">
                    <wps:wsp>
                      <wps:cNvSpPr txBox="1"/>
                      <wps:spPr>
                        <a:xfrm>
                          <a:off x="0" y="0"/>
                          <a:ext cx="914400" cy="341630"/>
                        </a:xfrm>
                        <a:prstGeom prst="rect">
                          <a:avLst/>
                        </a:prstGeom>
                        <a:solidFill>
                          <a:schemeClr val="lt1"/>
                        </a:solidFill>
                        <a:ln w="6350">
                          <a:noFill/>
                        </a:ln>
                      </wps:spPr>
                      <wps:txbx>
                        <w:txbxContent>
                          <w:p w14:paraId="6DAAE6BB" w14:textId="6CCA41F0" w:rsidR="009F3909" w:rsidRPr="00360B4E" w:rsidRDefault="009F3909" w:rsidP="00360B4E">
                            <w:pPr>
                              <w:spacing w:after="0" w:line="240" w:lineRule="auto"/>
                            </w:pPr>
                            <w:r w:rsidRPr="00360B4E">
                              <w:t>Contact: Kevin Bungard, CEO</w:t>
                            </w:r>
                          </w:p>
                          <w:p w14:paraId="035406D7" w14:textId="135C0CEE" w:rsidR="009F3909" w:rsidRPr="00360B4E" w:rsidRDefault="009F3909" w:rsidP="008440D9">
                            <w:r w:rsidRPr="00360B4E">
                              <w:t>Phone:   1300 851 057</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47D2CC" id="_x0000_t202" coordsize="21600,21600" o:spt="202" path="m,l,21600r21600,l21600,xe">
                <v:stroke joinstyle="miter"/>
                <v:path gradientshapeok="t" o:connecttype="rect"/>
              </v:shapetype>
              <v:shape id="Text Box 30" o:spid="_x0000_s1026" type="#_x0000_t202" style="position:absolute;margin-left:238.45pt;margin-top:44.95pt;width:1in;height:26.9pt;z-index:2516705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" fillcolor="white [3201]" stroked="f" strokeweight=".5pt">
                <v:textbox inset="0,0,0,0">
                  <w:txbxContent>
                    <w:p w14:paraId="6DAAE6BB" w14:textId="6CCA41F0" w:rsidR="009F3909" w:rsidRPr="00360B4E" w:rsidRDefault="009F3909" w:rsidP="00360B4E">
                      <w:pPr>
                        <w:spacing w:after="0" w:line="240" w:lineRule="auto"/>
                      </w:pPr>
                      <w:r w:rsidRPr="00360B4E">
                        <w:t>Contact: Kevin Bungard, CEO</w:t>
                      </w:r>
                    </w:p>
                    <w:p w14:paraId="035406D7" w14:textId="135C0CEE" w:rsidR="009F3909" w:rsidRPr="00360B4E" w:rsidRDefault="009F3909" w:rsidP="008440D9">
                      <w:r w:rsidRPr="00360B4E">
                        <w:t>Phone:   1300 851 057</w:t>
                      </w:r>
                    </w:p>
                  </w:txbxContent>
                </v:textbox>
                <w10:wrap type="square"/>
              </v:shape>
            </w:pict>
          </mc:Fallback>
        </mc:AlternateContent>
      </w:r>
      <w:r w:rsidR="00A96010" w:rsidRPr="00D26EB5">
        <w:rPr>
          <w:rFonts w:asciiTheme="minorHAnsi" w:hAnsiTheme="minorHAnsi" w:cstheme="minorHAnsi"/>
          <w:sz w:val="24"/>
        </w:rPr>
        <w:t xml:space="preserve">Submission to the </w:t>
      </w:r>
      <w:r w:rsidR="002932E3" w:rsidRPr="00D26EB5">
        <w:rPr>
          <w:rFonts w:asciiTheme="minorHAnsi" w:hAnsiTheme="minorHAnsi" w:cstheme="minorHAnsi"/>
          <w:sz w:val="24"/>
        </w:rPr>
        <w:t>Productivity</w:t>
      </w:r>
      <w:r w:rsidR="00180A03" w:rsidRPr="00D26EB5">
        <w:rPr>
          <w:rFonts w:asciiTheme="minorHAnsi" w:hAnsiTheme="minorHAnsi" w:cstheme="minorHAnsi"/>
          <w:sz w:val="24"/>
        </w:rPr>
        <w:t xml:space="preserve"> Commission </w:t>
      </w:r>
      <w:r w:rsidR="00415FCA" w:rsidRPr="00D26EB5">
        <w:rPr>
          <w:rFonts w:asciiTheme="minorHAnsi" w:hAnsiTheme="minorHAnsi" w:cstheme="minorHAnsi"/>
          <w:sz w:val="24"/>
        </w:rPr>
        <w:t>regarding</w:t>
      </w:r>
      <w:r w:rsidR="00180A03" w:rsidRPr="00D26EB5">
        <w:rPr>
          <w:rFonts w:asciiTheme="minorHAnsi" w:hAnsiTheme="minorHAnsi" w:cstheme="minorHAnsi"/>
          <w:sz w:val="24"/>
        </w:rPr>
        <w:t xml:space="preserve"> its inquiry into </w:t>
      </w:r>
      <w:r w:rsidR="00415FCA" w:rsidRPr="00D26EB5">
        <w:rPr>
          <w:rFonts w:asciiTheme="minorHAnsi" w:hAnsiTheme="minorHAnsi" w:cstheme="minorHAnsi"/>
          <w:sz w:val="24"/>
        </w:rPr>
        <w:br/>
      </w:r>
      <w:r w:rsidR="00180A03" w:rsidRPr="00D26EB5">
        <w:rPr>
          <w:rFonts w:asciiTheme="minorHAnsi" w:hAnsiTheme="minorHAnsi" w:cstheme="minorHAnsi"/>
          <w:sz w:val="28"/>
        </w:rPr>
        <w:t>Superannuation: Assessing Efficiency and Competitiveness</w:t>
      </w:r>
    </w:p>
    <w:p w14:paraId="05AF49DA" w14:textId="2C973555" w:rsidR="00415FCA" w:rsidRPr="006D2CF3" w:rsidRDefault="00415FCA" w:rsidP="002932E3">
      <w:pPr>
        <w:pStyle w:val="Heading1"/>
        <w:rPr>
          <w:rFonts w:asciiTheme="minorHAnsi" w:hAnsiTheme="minorHAnsi" w:cstheme="minorHAnsi"/>
          <w:b w:val="0"/>
          <w:sz w:val="22"/>
        </w:rPr>
      </w:pPr>
      <w:r w:rsidRPr="006D2CF3">
        <w:rPr>
          <w:rFonts w:asciiTheme="minorHAnsi" w:hAnsiTheme="minorHAnsi" w:cstheme="minorHAnsi"/>
          <w:b w:val="0"/>
          <w:sz w:val="22"/>
        </w:rPr>
        <w:t>Submitted by: Class Limited</w:t>
      </w:r>
      <w:r w:rsidR="00D26EB5" w:rsidRPr="006D2CF3">
        <w:rPr>
          <w:rFonts w:asciiTheme="minorHAnsi" w:hAnsiTheme="minorHAnsi" w:cstheme="minorHAnsi"/>
          <w:b w:val="0"/>
          <w:sz w:val="22"/>
        </w:rPr>
        <w:t>, ABN 70 116 802 058</w:t>
      </w:r>
      <w:r w:rsidRPr="006D2CF3">
        <w:rPr>
          <w:rFonts w:asciiTheme="minorHAnsi" w:hAnsiTheme="minorHAnsi" w:cstheme="minorHAnsi"/>
          <w:b w:val="0"/>
          <w:sz w:val="22"/>
        </w:rPr>
        <w:br/>
      </w:r>
      <w:r w:rsidR="009F3909">
        <w:rPr>
          <w:rFonts w:asciiTheme="minorHAnsi" w:hAnsiTheme="minorHAnsi" w:cstheme="minorHAnsi"/>
          <w:b w:val="0"/>
          <w:sz w:val="22"/>
        </w:rPr>
        <w:br/>
      </w:r>
      <w:r w:rsidRPr="006D2CF3">
        <w:rPr>
          <w:rFonts w:asciiTheme="minorHAnsi" w:hAnsiTheme="minorHAnsi" w:cstheme="minorHAnsi"/>
          <w:b w:val="0"/>
          <w:sz w:val="22"/>
        </w:rPr>
        <w:t xml:space="preserve">Date: </w:t>
      </w:r>
      <w:r w:rsidR="009F3909">
        <w:rPr>
          <w:rFonts w:asciiTheme="minorHAnsi" w:hAnsiTheme="minorHAnsi" w:cstheme="minorHAnsi"/>
          <w:b w:val="0"/>
          <w:sz w:val="22"/>
        </w:rPr>
        <w:t xml:space="preserve">               </w:t>
      </w:r>
      <w:r w:rsidR="009C72D9">
        <w:rPr>
          <w:rFonts w:asciiTheme="minorHAnsi" w:hAnsiTheme="minorHAnsi" w:cstheme="minorHAnsi"/>
          <w:b w:val="0"/>
          <w:sz w:val="22"/>
        </w:rPr>
        <w:t>20</w:t>
      </w:r>
      <w:r w:rsidRPr="006D2CF3">
        <w:rPr>
          <w:rFonts w:asciiTheme="minorHAnsi" w:hAnsiTheme="minorHAnsi" w:cstheme="minorHAnsi"/>
          <w:b w:val="0"/>
          <w:sz w:val="22"/>
        </w:rPr>
        <w:t xml:space="preserve"> July 2018</w:t>
      </w:r>
    </w:p>
    <w:p w14:paraId="15964FD1" w14:textId="77777777" w:rsidR="00D26EB5" w:rsidRPr="00AB0049" w:rsidRDefault="00D26EB5" w:rsidP="00D26EB5">
      <w:pPr>
        <w:pStyle w:val="ListParagraph"/>
        <w:ind w:left="0"/>
        <w:rPr>
          <w:b/>
          <w:i/>
          <w:sz w:val="18"/>
        </w:rPr>
      </w:pPr>
      <w:r w:rsidRPr="00AB0049">
        <w:rPr>
          <w:b/>
          <w:i/>
          <w:sz w:val="18"/>
        </w:rPr>
        <w:t>About Class</w:t>
      </w:r>
    </w:p>
    <w:p w14:paraId="4280AF8F" w14:textId="21E6D5A5" w:rsidR="00D26EB5" w:rsidRPr="00EB5EA1" w:rsidRDefault="00D26EB5" w:rsidP="00D26EB5">
      <w:pPr>
        <w:pStyle w:val="ListParagraph"/>
        <w:spacing w:after="120"/>
        <w:ind w:left="0"/>
        <w:contextualSpacing w:val="0"/>
        <w:rPr>
          <w:i/>
          <w:sz w:val="18"/>
          <w:szCs w:val="18"/>
        </w:rPr>
      </w:pPr>
      <w:r w:rsidRPr="003745AD">
        <w:rPr>
          <w:i/>
          <w:sz w:val="18"/>
          <w:szCs w:val="18"/>
        </w:rPr>
        <w:t xml:space="preserve">Class Limited is the largest cloud-based software provider used </w:t>
      </w:r>
      <w:r w:rsidR="009C72D9" w:rsidRPr="007464A5">
        <w:rPr>
          <w:i/>
          <w:sz w:val="18"/>
          <w:szCs w:val="18"/>
        </w:rPr>
        <w:t xml:space="preserve">by accountants and specialist administrators </w:t>
      </w:r>
      <w:r w:rsidRPr="007464A5">
        <w:rPr>
          <w:i/>
          <w:sz w:val="18"/>
          <w:szCs w:val="18"/>
        </w:rPr>
        <w:t>to administer SMSFs</w:t>
      </w:r>
      <w:r w:rsidR="486B6FDE" w:rsidRPr="008E05BF">
        <w:rPr>
          <w:i/>
          <w:iCs/>
          <w:sz w:val="18"/>
          <w:szCs w:val="18"/>
        </w:rPr>
        <w:t>. O</w:t>
      </w:r>
      <w:r w:rsidRPr="00F76055">
        <w:rPr>
          <w:i/>
          <w:sz w:val="18"/>
          <w:szCs w:val="18"/>
        </w:rPr>
        <w:t>ver 160,000 SMSFs</w:t>
      </w:r>
      <w:r w:rsidRPr="00EB5EA1">
        <w:rPr>
          <w:i/>
          <w:sz w:val="18"/>
          <w:szCs w:val="18"/>
        </w:rPr>
        <w:t>, about 27% of all SMSFs</w:t>
      </w:r>
      <w:r w:rsidR="00F8532C" w:rsidRPr="00EB5EA1">
        <w:rPr>
          <w:i/>
          <w:sz w:val="18"/>
          <w:szCs w:val="18"/>
        </w:rPr>
        <w:t>, are</w:t>
      </w:r>
      <w:r w:rsidRPr="00EB5EA1">
        <w:rPr>
          <w:i/>
          <w:sz w:val="18"/>
          <w:szCs w:val="18"/>
        </w:rPr>
        <w:t xml:space="preserve"> </w:t>
      </w:r>
      <w:r w:rsidR="009C72D9" w:rsidRPr="00EB5EA1">
        <w:rPr>
          <w:i/>
          <w:sz w:val="18"/>
          <w:szCs w:val="18"/>
        </w:rPr>
        <w:t>managed</w:t>
      </w:r>
      <w:r w:rsidRPr="00EB5EA1">
        <w:rPr>
          <w:i/>
          <w:sz w:val="18"/>
          <w:szCs w:val="18"/>
        </w:rPr>
        <w:t xml:space="preserve"> on Class Super</w:t>
      </w:r>
      <w:r w:rsidR="54EDA178" w:rsidRPr="00EB5EA1">
        <w:rPr>
          <w:i/>
          <w:iCs/>
          <w:sz w:val="18"/>
          <w:szCs w:val="18"/>
        </w:rPr>
        <w:t>,</w:t>
      </w:r>
      <w:r w:rsidRPr="00EB5EA1">
        <w:rPr>
          <w:i/>
          <w:sz w:val="18"/>
          <w:szCs w:val="18"/>
        </w:rPr>
        <w:t xml:space="preserve"> which was launched in 2009.</w:t>
      </w:r>
    </w:p>
    <w:p w14:paraId="5DDBE859" w14:textId="0DB669B6" w:rsidR="00D26EB5" w:rsidRPr="005650EA" w:rsidRDefault="00D26EB5" w:rsidP="00D26EB5">
      <w:pPr>
        <w:pStyle w:val="ListParagraph"/>
        <w:spacing w:after="120"/>
        <w:ind w:left="0"/>
        <w:contextualSpacing w:val="0"/>
        <w:rPr>
          <w:i/>
          <w:sz w:val="18"/>
          <w:szCs w:val="18"/>
        </w:rPr>
      </w:pPr>
      <w:r w:rsidRPr="00EB5EA1">
        <w:rPr>
          <w:i/>
          <w:sz w:val="18"/>
          <w:szCs w:val="18"/>
        </w:rPr>
        <w:t xml:space="preserve">Class software is used to prepare all the financial statements, member reporting and </w:t>
      </w:r>
      <w:r w:rsidR="2F914BF9" w:rsidRPr="007C368D">
        <w:rPr>
          <w:i/>
          <w:iCs/>
          <w:sz w:val="18"/>
          <w:szCs w:val="18"/>
        </w:rPr>
        <w:t xml:space="preserve">to </w:t>
      </w:r>
      <w:r w:rsidR="009C72D9" w:rsidRPr="007C368D">
        <w:rPr>
          <w:i/>
          <w:sz w:val="18"/>
          <w:szCs w:val="18"/>
        </w:rPr>
        <w:t xml:space="preserve">submit </w:t>
      </w:r>
      <w:r w:rsidRPr="007C368D">
        <w:rPr>
          <w:i/>
          <w:sz w:val="18"/>
          <w:szCs w:val="18"/>
        </w:rPr>
        <w:t xml:space="preserve">tax returns and regulatory reporting for these funds. </w:t>
      </w:r>
    </w:p>
    <w:p w14:paraId="783B1420" w14:textId="34498194" w:rsidR="0066633B" w:rsidRPr="007C368D" w:rsidRDefault="00D26EB5" w:rsidP="000E51FB">
      <w:pPr>
        <w:pStyle w:val="ListParagraph"/>
        <w:spacing w:after="200"/>
        <w:ind w:left="0"/>
        <w:contextualSpacing w:val="0"/>
        <w:rPr>
          <w:i/>
          <w:sz w:val="18"/>
          <w:szCs w:val="18"/>
        </w:rPr>
      </w:pPr>
      <w:r w:rsidRPr="005650EA">
        <w:rPr>
          <w:i/>
          <w:sz w:val="18"/>
          <w:szCs w:val="18"/>
        </w:rPr>
        <w:t>As part of its services</w:t>
      </w:r>
      <w:r w:rsidR="00065D7F" w:rsidRPr="003745AD">
        <w:rPr>
          <w:i/>
          <w:sz w:val="18"/>
          <w:szCs w:val="18"/>
        </w:rPr>
        <w:t>,</w:t>
      </w:r>
      <w:r w:rsidRPr="003745AD">
        <w:rPr>
          <w:i/>
          <w:sz w:val="18"/>
          <w:szCs w:val="18"/>
        </w:rPr>
        <w:t xml:space="preserve"> Class performs data analysis of these funds</w:t>
      </w:r>
      <w:r w:rsidR="00065D7F" w:rsidRPr="003745AD">
        <w:rPr>
          <w:i/>
          <w:sz w:val="18"/>
          <w:szCs w:val="18"/>
        </w:rPr>
        <w:t>,</w:t>
      </w:r>
      <w:r w:rsidRPr="003745AD">
        <w:rPr>
          <w:i/>
          <w:sz w:val="18"/>
          <w:szCs w:val="18"/>
        </w:rPr>
        <w:t xml:space="preserve"> and publishes th</w:t>
      </w:r>
      <w:r w:rsidR="00065D7F" w:rsidRPr="003745AD">
        <w:rPr>
          <w:i/>
          <w:sz w:val="18"/>
          <w:szCs w:val="18"/>
        </w:rPr>
        <w:t>e results</w:t>
      </w:r>
      <w:r w:rsidRPr="00EB5EA1">
        <w:rPr>
          <w:i/>
          <w:sz w:val="18"/>
          <w:szCs w:val="18"/>
        </w:rPr>
        <w:t xml:space="preserve"> on a quarterly basis a</w:t>
      </w:r>
      <w:r w:rsidRPr="007C368D">
        <w:rPr>
          <w:i/>
          <w:sz w:val="18"/>
          <w:szCs w:val="18"/>
        </w:rPr>
        <w:t>s the Class SMSF Benchmark report.</w:t>
      </w:r>
    </w:p>
    <w:p w14:paraId="662E07F2" w14:textId="78C9E283" w:rsidR="00D26EB5" w:rsidRPr="00D26EB5" w:rsidRDefault="0066633B" w:rsidP="00C96C21">
      <w:pPr>
        <w:pStyle w:val="ListParagraph"/>
        <w:spacing w:after="0"/>
        <w:ind w:left="0"/>
        <w:rPr>
          <w:b/>
        </w:rPr>
      </w:pPr>
      <w:r>
        <w:rPr>
          <w:noProof/>
          <w:lang w:eastAsia="en-AU"/>
        </w:rPr>
        <w:drawing>
          <wp:anchor distT="0" distB="0" distL="114300" distR="114300" simplePos="0" relativeHeight="251658241" behindDoc="0" locked="0" layoutInCell="1" allowOverlap="1" wp14:anchorId="0C01479E" wp14:editId="33D5C177">
            <wp:simplePos x="0" y="0"/>
            <wp:positionH relativeFrom="column">
              <wp:posOffset>1936115</wp:posOffset>
            </wp:positionH>
            <wp:positionV relativeFrom="paragraph">
              <wp:posOffset>5080</wp:posOffset>
            </wp:positionV>
            <wp:extent cx="3937000" cy="969645"/>
            <wp:effectExtent l="0" t="0" r="6350" b="190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37000" cy="96964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1" locked="0" layoutInCell="1" allowOverlap="1" wp14:anchorId="5DF1A4C7" wp14:editId="1A51166B">
            <wp:simplePos x="0" y="0"/>
            <wp:positionH relativeFrom="column">
              <wp:posOffset>1964055</wp:posOffset>
            </wp:positionH>
            <wp:positionV relativeFrom="paragraph">
              <wp:posOffset>1186180</wp:posOffset>
            </wp:positionV>
            <wp:extent cx="3937000" cy="3221990"/>
            <wp:effectExtent l="0" t="0" r="6350" b="0"/>
            <wp:wrapTight wrapText="bothSides">
              <wp:wrapPolygon edited="0">
                <wp:start x="0" y="0"/>
                <wp:lineTo x="0" y="21455"/>
                <wp:lineTo x="21530" y="21455"/>
                <wp:lineTo x="2153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37000" cy="3221990"/>
                    </a:xfrm>
                    <a:prstGeom prst="rect">
                      <a:avLst/>
                    </a:prstGeom>
                  </pic:spPr>
                </pic:pic>
              </a:graphicData>
            </a:graphic>
            <wp14:sizeRelH relativeFrom="margin">
              <wp14:pctWidth>0</wp14:pctWidth>
            </wp14:sizeRelH>
            <wp14:sizeRelV relativeFrom="margin">
              <wp14:pctHeight>0</wp14:pctHeight>
            </wp14:sizeRelV>
          </wp:anchor>
        </w:drawing>
      </w:r>
      <w:r w:rsidR="007F191C">
        <w:rPr>
          <w:b/>
        </w:rPr>
        <w:t xml:space="preserve">1. </w:t>
      </w:r>
      <w:r w:rsidR="00D26EB5" w:rsidRPr="00D26EB5">
        <w:rPr>
          <w:b/>
        </w:rPr>
        <w:t>About this Submission</w:t>
      </w:r>
    </w:p>
    <w:p w14:paraId="023E0025" w14:textId="6F11964F" w:rsidR="001E4AE5" w:rsidRDefault="001A7381" w:rsidP="00EA227A">
      <w:r>
        <w:t xml:space="preserve">Class is concerned about </w:t>
      </w:r>
      <w:r w:rsidR="2F914BF9">
        <w:t xml:space="preserve">comments and findings related to the performance of SMSFs in </w:t>
      </w:r>
      <w:r>
        <w:t xml:space="preserve">the </w:t>
      </w:r>
      <w:r w:rsidR="00203888">
        <w:t xml:space="preserve">Commission’s </w:t>
      </w:r>
      <w:r w:rsidR="00203888" w:rsidRPr="003745AD">
        <w:rPr>
          <w:i/>
        </w:rPr>
        <w:t>Superannuation: Assessing Efficiency and Competitiveness, Draft Report</w:t>
      </w:r>
      <w:r w:rsidR="2F914BF9" w:rsidRPr="00EB5EA1">
        <w:rPr>
          <w:i/>
          <w:iCs/>
        </w:rPr>
        <w:t>,</w:t>
      </w:r>
      <w:r w:rsidR="00203888">
        <w:t xml:space="preserve"> dated April 2018. </w:t>
      </w:r>
    </w:p>
    <w:p w14:paraId="7F868B0A" w14:textId="19C6F341" w:rsidR="001C7E81" w:rsidRDefault="00980D3D" w:rsidP="00EA227A">
      <w:r>
        <w:t xml:space="preserve">Of </w:t>
      </w:r>
      <w:r w:rsidR="00203888">
        <w:t>particular concern</w:t>
      </w:r>
      <w:r>
        <w:t xml:space="preserve"> is</w:t>
      </w:r>
      <w:r w:rsidR="00203888">
        <w:t xml:space="preserve"> </w:t>
      </w:r>
      <w:r w:rsidR="009C72D9">
        <w:t xml:space="preserve">Draft </w:t>
      </w:r>
      <w:r w:rsidR="009C72D9" w:rsidRPr="003745AD">
        <w:rPr>
          <w:i/>
        </w:rPr>
        <w:t>Finding 2.2</w:t>
      </w:r>
      <w:r w:rsidR="00841AD2">
        <w:t>,</w:t>
      </w:r>
      <w:r w:rsidR="009C72D9">
        <w:t xml:space="preserve"> and </w:t>
      </w:r>
      <w:r w:rsidR="00203888">
        <w:t>the</w:t>
      </w:r>
      <w:r w:rsidR="00062996">
        <w:t xml:space="preserve"> </w:t>
      </w:r>
      <w:r w:rsidR="00D56CB8">
        <w:t xml:space="preserve">way that </w:t>
      </w:r>
      <w:r w:rsidR="00D56CB8" w:rsidRPr="003745AD">
        <w:rPr>
          <w:i/>
        </w:rPr>
        <w:t xml:space="preserve">Figure </w:t>
      </w:r>
      <w:r w:rsidR="00495620" w:rsidRPr="007464A5">
        <w:rPr>
          <w:i/>
        </w:rPr>
        <w:t>2</w:t>
      </w:r>
      <w:r w:rsidR="00D56CB8" w:rsidRPr="007464A5">
        <w:rPr>
          <w:i/>
        </w:rPr>
        <w:t>.10</w:t>
      </w:r>
      <w:r w:rsidR="00D56CB8">
        <w:t xml:space="preserve"> </w:t>
      </w:r>
      <w:r w:rsidR="00D26EB5">
        <w:t xml:space="preserve">from the </w:t>
      </w:r>
      <w:r w:rsidR="00203888">
        <w:t>Draft Report</w:t>
      </w:r>
      <w:r w:rsidR="00D26EB5">
        <w:t xml:space="preserve"> </w:t>
      </w:r>
      <w:r w:rsidR="00D56CB8">
        <w:t>has been presented</w:t>
      </w:r>
      <w:r w:rsidR="0084511A">
        <w:t xml:space="preserve">. We believe there is a fundamental </w:t>
      </w:r>
      <w:r w:rsidR="003C0AC8">
        <w:t xml:space="preserve">misunderstanding about what </w:t>
      </w:r>
      <w:r w:rsidR="0084511A" w:rsidRPr="003745AD">
        <w:rPr>
          <w:i/>
        </w:rPr>
        <w:t>Figure 2.10</w:t>
      </w:r>
      <w:r w:rsidR="0084511A">
        <w:t xml:space="preserve"> </w:t>
      </w:r>
      <w:r w:rsidR="009B6535">
        <w:t>illustrates in terms of SMSF performance</w:t>
      </w:r>
      <w:r w:rsidR="0084511A">
        <w:t>,</w:t>
      </w:r>
      <w:r w:rsidR="008034C2">
        <w:t xml:space="preserve"> </w:t>
      </w:r>
      <w:r w:rsidR="0052547A">
        <w:t>and</w:t>
      </w:r>
      <w:r w:rsidR="008034C2">
        <w:t xml:space="preserve"> </w:t>
      </w:r>
      <w:r w:rsidR="008B4365">
        <w:t>that the performance is grossly understated</w:t>
      </w:r>
      <w:r w:rsidR="0052547A">
        <w:t>;</w:t>
      </w:r>
      <w:r w:rsidR="008B4365">
        <w:t xml:space="preserve"> </w:t>
      </w:r>
      <w:r w:rsidR="008034C2">
        <w:t xml:space="preserve">and </w:t>
      </w:r>
      <w:r w:rsidR="0084511A">
        <w:t xml:space="preserve">we are concerned about </w:t>
      </w:r>
      <w:r w:rsidR="008034C2">
        <w:t xml:space="preserve">how that may have </w:t>
      </w:r>
      <w:r w:rsidR="3AA7826B">
        <w:t>factored into the Commission’s findings</w:t>
      </w:r>
      <w:r w:rsidR="008034C2">
        <w:t>.</w:t>
      </w:r>
    </w:p>
    <w:p w14:paraId="260F5385" w14:textId="5898FCC5" w:rsidR="008034C2" w:rsidRDefault="008A6D7A" w:rsidP="008034C2">
      <w:r>
        <w:rPr>
          <w:noProof/>
          <w:lang w:eastAsia="en-AU"/>
        </w:rPr>
        <mc:AlternateContent>
          <mc:Choice Requires="wps">
            <w:drawing>
              <wp:anchor distT="0" distB="0" distL="114300" distR="114300" simplePos="0" relativeHeight="251666446" behindDoc="0" locked="0" layoutInCell="1" allowOverlap="1" wp14:anchorId="0B3332D2" wp14:editId="758A99B7">
                <wp:simplePos x="0" y="0"/>
                <wp:positionH relativeFrom="column">
                  <wp:posOffset>2011680</wp:posOffset>
                </wp:positionH>
                <wp:positionV relativeFrom="paragraph">
                  <wp:posOffset>312751</wp:posOffset>
                </wp:positionV>
                <wp:extent cx="3871595" cy="21463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3871595" cy="214630"/>
                        </a:xfrm>
                        <a:prstGeom prst="rect">
                          <a:avLst/>
                        </a:prstGeom>
                        <a:solidFill>
                          <a:schemeClr val="lt1"/>
                        </a:solidFill>
                        <a:ln w="6350">
                          <a:noFill/>
                        </a:ln>
                      </wps:spPr>
                      <wps:txbx>
                        <w:txbxContent>
                          <w:p w14:paraId="7B0912C7" w14:textId="675CAB6A" w:rsidR="008440D9" w:rsidRPr="005A24AA" w:rsidRDefault="008440D9" w:rsidP="005A24AA">
                            <w:pPr>
                              <w:jc w:val="right"/>
                              <w:rPr>
                                <w:i/>
                              </w:rPr>
                            </w:pPr>
                            <w:r w:rsidRPr="005A24AA">
                              <w:rPr>
                                <w:i/>
                              </w:rPr>
                              <w:t>source</w:t>
                            </w:r>
                            <w:r>
                              <w:rPr>
                                <w:i/>
                              </w:rPr>
                              <w:t>:</w:t>
                            </w:r>
                            <w:r w:rsidRPr="005A24AA">
                              <w:rPr>
                                <w:i/>
                              </w:rPr>
                              <w:t xml:space="preserve"> </w:t>
                            </w:r>
                            <w:r>
                              <w:rPr>
                                <w:i/>
                              </w:rPr>
                              <w:t>PC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3332D2" id="Text Box 22" o:spid="_x0000_s1027" type="#_x0000_t202" style="position:absolute;margin-left:158.4pt;margin-top:24.65pt;width:304.85pt;height:16.9pt;z-index:251666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" fillcolor="white [3201]" stroked="f" strokeweight=".5pt">
                <v:textbox inset="0,0,0,0">
                  <w:txbxContent>
                    <w:p w14:paraId="7B0912C7" w14:textId="675CAB6A" w:rsidR="008440D9" w:rsidRPr="005A24AA" w:rsidRDefault="008440D9" w:rsidP="005A24AA">
                      <w:pPr>
                        <w:jc w:val="right"/>
                        <w:rPr>
                          <w:i/>
                        </w:rPr>
                      </w:pPr>
                      <w:r w:rsidRPr="005A24AA">
                        <w:rPr>
                          <w:i/>
                        </w:rPr>
                        <w:t>source</w:t>
                      </w:r>
                      <w:r>
                        <w:rPr>
                          <w:i/>
                        </w:rPr>
                        <w:t>:</w:t>
                      </w:r>
                      <w:r w:rsidRPr="005A24AA">
                        <w:rPr>
                          <w:i/>
                        </w:rPr>
                        <w:t xml:space="preserve"> </w:t>
                      </w:r>
                      <w:r>
                        <w:rPr>
                          <w:i/>
                        </w:rPr>
                        <w:t>PC</w:t>
                      </w:r>
                    </w:p>
                  </w:txbxContent>
                </v:textbox>
                <w10:wrap type="square"/>
              </v:shape>
            </w:pict>
          </mc:Fallback>
        </mc:AlternateContent>
      </w:r>
      <w:r w:rsidR="008034C2" w:rsidRPr="003745AD">
        <w:rPr>
          <w:i/>
        </w:rPr>
        <w:t>Figure 2.10</w:t>
      </w:r>
      <w:r w:rsidR="008034C2">
        <w:t xml:space="preserve"> (reproduced to the right) includes two graphs, one related to the APRA funds and one related to SMSFs</w:t>
      </w:r>
      <w:r w:rsidR="383FAC6A">
        <w:t>. I</w:t>
      </w:r>
      <w:r w:rsidR="008034C2">
        <w:t>n this submission we refer to the former as 2.10(a) and the latter as 2.10(b).</w:t>
      </w:r>
    </w:p>
    <w:p w14:paraId="12C8321F" w14:textId="7D79CA8F" w:rsidR="00F04E54" w:rsidRDefault="001D4C50" w:rsidP="00EA227A">
      <w:r>
        <w:t>S</w:t>
      </w:r>
      <w:r w:rsidR="00D47526">
        <w:t>im</w:t>
      </w:r>
      <w:r>
        <w:t xml:space="preserve">ply put, we think </w:t>
      </w:r>
      <w:r w:rsidR="001C7E81" w:rsidRPr="003745AD">
        <w:rPr>
          <w:i/>
        </w:rPr>
        <w:t>Figure 2.10</w:t>
      </w:r>
      <w:r w:rsidR="008034C2" w:rsidRPr="007464A5">
        <w:rPr>
          <w:i/>
        </w:rPr>
        <w:t>(b)</w:t>
      </w:r>
      <w:r w:rsidR="00852AA5">
        <w:t xml:space="preserve"> grossly misrepresents the average returns of SMSFs</w:t>
      </w:r>
      <w:r w:rsidR="00B3402B">
        <w:t xml:space="preserve"> and</w:t>
      </w:r>
      <w:r w:rsidR="00961B48">
        <w:t xml:space="preserve"> the</w:t>
      </w:r>
      <w:r w:rsidR="0067698D">
        <w:t xml:space="preserve"> </w:t>
      </w:r>
      <w:r w:rsidR="00527406">
        <w:t>scale</w:t>
      </w:r>
      <w:r w:rsidR="008C6614">
        <w:t xml:space="preserve"> of the </w:t>
      </w:r>
      <w:r w:rsidR="00B20DA8">
        <w:t xml:space="preserve">misrepresentation </w:t>
      </w:r>
      <w:r w:rsidR="0067698D">
        <w:t>of</w:t>
      </w:r>
      <w:r w:rsidR="00525BF1">
        <w:t xml:space="preserve"> returns for </w:t>
      </w:r>
      <w:r w:rsidR="00DD0D53">
        <w:t>small balance SMSFs</w:t>
      </w:r>
      <w:r w:rsidR="00525BF1">
        <w:t xml:space="preserve"> </w:t>
      </w:r>
      <w:r w:rsidR="00B20DA8">
        <w:t xml:space="preserve">is </w:t>
      </w:r>
      <w:r w:rsidR="00196D69">
        <w:t xml:space="preserve">so alarming that </w:t>
      </w:r>
      <w:r w:rsidR="008546EA">
        <w:t>the results have</w:t>
      </w:r>
      <w:r w:rsidR="00196D69">
        <w:t xml:space="preserve"> been called</w:t>
      </w:r>
      <w:r w:rsidR="00BA192B">
        <w:t xml:space="preserve"> </w:t>
      </w:r>
      <w:r w:rsidR="00196D69">
        <w:t xml:space="preserve">out in the draft report’s </w:t>
      </w:r>
      <w:r w:rsidR="0038649E" w:rsidRPr="00C95441">
        <w:rPr>
          <w:i/>
        </w:rPr>
        <w:t xml:space="preserve">Draft </w:t>
      </w:r>
      <w:r w:rsidR="00196D69" w:rsidRPr="003745AD">
        <w:rPr>
          <w:i/>
        </w:rPr>
        <w:t>F</w:t>
      </w:r>
      <w:r w:rsidR="00196D69" w:rsidRPr="007464A5">
        <w:rPr>
          <w:i/>
        </w:rPr>
        <w:t xml:space="preserve">inding 2.2 </w:t>
      </w:r>
      <w:r w:rsidR="00196D69">
        <w:t xml:space="preserve">and by the </w:t>
      </w:r>
      <w:r w:rsidR="3E61DBC0">
        <w:t>media</w:t>
      </w:r>
      <w:r w:rsidR="00B20DA8">
        <w:t>.</w:t>
      </w:r>
      <w:r w:rsidR="00525BF1">
        <w:t xml:space="preserve"> </w:t>
      </w:r>
    </w:p>
    <w:p w14:paraId="2075E387" w14:textId="1BDF5381" w:rsidR="00582009" w:rsidRPr="007464A5" w:rsidRDefault="00F04E54">
      <w:pPr>
        <w:rPr>
          <w:b/>
        </w:rPr>
      </w:pPr>
      <w:r>
        <w:t>This misrepresentation is caused by two sets of factors. One set relates to the ROA formula used by the ATO</w:t>
      </w:r>
      <w:r w:rsidR="00A46091">
        <w:t>,</w:t>
      </w:r>
      <w:r>
        <w:t xml:space="preserve"> and how it understates performance compared to APRA’s ROR</w:t>
      </w:r>
      <w:r w:rsidR="00A46091">
        <w:t>,</w:t>
      </w:r>
      <w:r>
        <w:t xml:space="preserve"> and the other relates to the way </w:t>
      </w:r>
      <w:r w:rsidR="3E61DBC0">
        <w:t xml:space="preserve">in which </w:t>
      </w:r>
      <w:r>
        <w:t xml:space="preserve">funds have been selected and grouped in </w:t>
      </w:r>
      <w:r w:rsidR="00E103D9" w:rsidRPr="003745AD">
        <w:rPr>
          <w:i/>
        </w:rPr>
        <w:t>F</w:t>
      </w:r>
      <w:r w:rsidRPr="007464A5">
        <w:rPr>
          <w:i/>
        </w:rPr>
        <w:t>igure 2.10</w:t>
      </w:r>
      <w:r>
        <w:t xml:space="preserve">. </w:t>
      </w:r>
      <w:r w:rsidR="008D6DB3">
        <w:t>We discuss these factors in the re</w:t>
      </w:r>
      <w:r w:rsidR="5C73FB16">
        <w:t>mainder</w:t>
      </w:r>
      <w:r w:rsidR="008D6DB3">
        <w:t xml:space="preserve"> of this submission</w:t>
      </w:r>
      <w:r w:rsidR="00582009">
        <w:t>.</w:t>
      </w:r>
      <w:r w:rsidR="00582009" w:rsidRPr="003745AD">
        <w:rPr>
          <w:b/>
        </w:rPr>
        <w:br w:type="page"/>
      </w:r>
    </w:p>
    <w:p w14:paraId="69888A9B" w14:textId="41B98B09" w:rsidR="00610FD1" w:rsidRDefault="0095213C" w:rsidP="00610FD1">
      <w:pPr>
        <w:pStyle w:val="ListParagraph"/>
        <w:ind w:left="0"/>
        <w:rPr>
          <w:b/>
        </w:rPr>
      </w:pPr>
      <w:r>
        <w:rPr>
          <w:b/>
        </w:rPr>
        <w:lastRenderedPageBreak/>
        <w:t xml:space="preserve">2. </w:t>
      </w:r>
      <w:r w:rsidR="00B444D8">
        <w:rPr>
          <w:b/>
        </w:rPr>
        <w:t xml:space="preserve">ROA </w:t>
      </w:r>
      <w:r w:rsidR="003000FC">
        <w:rPr>
          <w:b/>
        </w:rPr>
        <w:t>factors</w:t>
      </w:r>
    </w:p>
    <w:p w14:paraId="12F73DA9" w14:textId="6412CC38" w:rsidR="00B444D8" w:rsidRDefault="00B444D8" w:rsidP="00B444D8">
      <w:pPr>
        <w:pStyle w:val="ListParagraph"/>
        <w:spacing w:before="120" w:after="120"/>
        <w:ind w:left="0"/>
        <w:contextualSpacing w:val="0"/>
      </w:pPr>
      <w:r w:rsidRPr="00B444D8">
        <w:t xml:space="preserve">The </w:t>
      </w:r>
      <w:r w:rsidR="0038649E">
        <w:t>P</w:t>
      </w:r>
      <w:r w:rsidR="0038649E" w:rsidRPr="00B444D8">
        <w:t xml:space="preserve">roductivity </w:t>
      </w:r>
      <w:r w:rsidR="0038649E">
        <w:t>C</w:t>
      </w:r>
      <w:r w:rsidR="003000FC">
        <w:t xml:space="preserve">ommission </w:t>
      </w:r>
      <w:r>
        <w:t xml:space="preserve">notes in numerous places that the ATO’s ROA and APRA’s ROR are not directly comparable – </w:t>
      </w:r>
      <w:r w:rsidR="5C73FB16">
        <w:t xml:space="preserve">however it then proceeds to </w:t>
      </w:r>
      <w:r w:rsidR="5D1292FA">
        <w:t>do</w:t>
      </w:r>
      <w:r>
        <w:t xml:space="preserve"> so anyway. In Technical Supplement 4 accompanying the draft report the </w:t>
      </w:r>
      <w:r w:rsidR="5D1292FA">
        <w:t>Commission</w:t>
      </w:r>
      <w:r>
        <w:t xml:space="preserve"> explains that: </w:t>
      </w:r>
    </w:p>
    <w:p w14:paraId="10D2767A" w14:textId="60F19D38" w:rsidR="00B444D8" w:rsidRDefault="006A646B" w:rsidP="00D250D4">
      <w:pPr>
        <w:pStyle w:val="ListParagraph"/>
        <w:spacing w:before="120" w:after="120"/>
        <w:ind w:left="426" w:right="1230"/>
        <w:contextualSpacing w:val="0"/>
      </w:pPr>
      <w:r>
        <w:rPr>
          <w:b/>
          <w:noProof/>
          <w:lang w:eastAsia="en-AU"/>
        </w:rPr>
        <mc:AlternateContent>
          <mc:Choice Requires="wpi">
            <w:drawing>
              <wp:anchor distT="0" distB="0" distL="114300" distR="114300" simplePos="0" relativeHeight="251658244" behindDoc="0" locked="0" layoutInCell="1" allowOverlap="1" wp14:anchorId="08B1E27E" wp14:editId="6CA6F866">
                <wp:simplePos x="0" y="0"/>
                <wp:positionH relativeFrom="column">
                  <wp:posOffset>1823510</wp:posOffset>
                </wp:positionH>
                <wp:positionV relativeFrom="paragraph">
                  <wp:posOffset>2124898</wp:posOffset>
                </wp:positionV>
                <wp:extent cx="1472871" cy="516906"/>
                <wp:effectExtent l="38100" t="38100" r="51435" b="35560"/>
                <wp:wrapNone/>
                <wp:docPr id="12" name="Ink 12"/>
                <wp:cNvGraphicFramePr/>
                <a:graphic xmlns:a="http://schemas.openxmlformats.org/drawingml/2006/main">
                  <a:graphicData uri="http://schemas.microsoft.com/office/word/2010/wordprocessingInk">
                    <w14:contentPart bwMode="auto" r:id="rId13">
                      <w14:nvContentPartPr>
                        <w14:cNvContentPartPr/>
                      </w14:nvContentPartPr>
                      <w14:xfrm>
                        <a:off x="0" y="0"/>
                        <a:ext cx="1472871" cy="516906"/>
                      </w14:xfrm>
                    </w14:contentPart>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02EB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143.25pt;margin-top:166.95pt;width:116.65pt;height:41.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">
                <v:imagedata r:id="rId14" o:title=""/>
              </v:shape>
            </w:pict>
          </mc:Fallback>
        </mc:AlternateContent>
      </w:r>
      <w:r>
        <w:rPr>
          <w:noProof/>
          <w:lang w:eastAsia="en-AU"/>
        </w:rPr>
        <w:drawing>
          <wp:anchor distT="0" distB="0" distL="114300" distR="114300" simplePos="0" relativeHeight="251658243" behindDoc="0" locked="0" layoutInCell="1" allowOverlap="1" wp14:anchorId="6A51223F" wp14:editId="0DC8A48E">
            <wp:simplePos x="0" y="0"/>
            <wp:positionH relativeFrom="column">
              <wp:posOffset>924617</wp:posOffset>
            </wp:positionH>
            <wp:positionV relativeFrom="paragraph">
              <wp:posOffset>950226</wp:posOffset>
            </wp:positionV>
            <wp:extent cx="3616733" cy="2851530"/>
            <wp:effectExtent l="0" t="0" r="3175" b="635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16733" cy="2851530"/>
                    </a:xfrm>
                    <a:prstGeom prst="rect">
                      <a:avLst/>
                    </a:prstGeom>
                  </pic:spPr>
                </pic:pic>
              </a:graphicData>
            </a:graphic>
            <wp14:sizeRelH relativeFrom="margin">
              <wp14:pctWidth>0</wp14:pctWidth>
            </wp14:sizeRelH>
            <wp14:sizeRelV relativeFrom="margin">
              <wp14:pctHeight>0</wp14:pctHeight>
            </wp14:sizeRelV>
          </wp:anchor>
        </w:drawing>
      </w:r>
      <w:r w:rsidR="00B444D8" w:rsidRPr="00F76055">
        <w:rPr>
          <w:i/>
          <w:sz w:val="20"/>
          <w:szCs w:val="20"/>
        </w:rPr>
        <w:t>“</w:t>
      </w:r>
      <w:r w:rsidR="00B444D8" w:rsidRPr="00F76055">
        <w:rPr>
          <w:i/>
        </w:rPr>
        <w:t>The Commission has tested the impact of these different methods (figure 4.3), using advice provided by ATO. This en</w:t>
      </w:r>
      <w:r w:rsidR="00B444D8" w:rsidRPr="00EB5EA1">
        <w:rPr>
          <w:i/>
        </w:rPr>
        <w:t>tailed calculating ROA for APRA-regulated funds using the ATO’s formula. This results in a fall in the 10-year return for APRA funds (using the same data) and implies that SMSF returns may appear higher if measured using APRA’s ROR method.</w:t>
      </w:r>
      <w:r w:rsidR="00B444D8" w:rsidRPr="00EB5EA1">
        <w:rPr>
          <w:i/>
          <w:sz w:val="20"/>
          <w:szCs w:val="20"/>
        </w:rPr>
        <w:t>”</w:t>
      </w:r>
      <w:r w:rsidR="00B444D8">
        <w:t xml:space="preserve"> </w:t>
      </w:r>
    </w:p>
    <w:p w14:paraId="700AAAF6" w14:textId="27705003" w:rsidR="006A646B" w:rsidRPr="003000FC" w:rsidRDefault="008440D9" w:rsidP="00E246DF">
      <w:pPr>
        <w:pStyle w:val="ListParagraph"/>
        <w:spacing w:after="120"/>
        <w:ind w:left="1701"/>
        <w:contextualSpacing w:val="0"/>
        <w:rPr>
          <w:i/>
          <w:sz w:val="16"/>
        </w:rPr>
      </w:pPr>
      <w:r>
        <w:rPr>
          <w:noProof/>
          <w:lang w:eastAsia="en-AU"/>
        </w:rPr>
        <mc:AlternateContent>
          <mc:Choice Requires="wps">
            <w:drawing>
              <wp:anchor distT="0" distB="0" distL="114300" distR="114300" simplePos="0" relativeHeight="251668494" behindDoc="0" locked="0" layoutInCell="1" allowOverlap="1" wp14:anchorId="659CB262" wp14:editId="799CF745">
                <wp:simplePos x="0" y="0"/>
                <wp:positionH relativeFrom="column">
                  <wp:posOffset>3935730</wp:posOffset>
                </wp:positionH>
                <wp:positionV relativeFrom="paragraph">
                  <wp:posOffset>2818765</wp:posOffset>
                </wp:positionV>
                <wp:extent cx="914400" cy="166370"/>
                <wp:effectExtent l="0" t="0" r="0" b="5080"/>
                <wp:wrapSquare wrapText="bothSides"/>
                <wp:docPr id="25" name="Text Box 25"/>
                <wp:cNvGraphicFramePr/>
                <a:graphic xmlns:a="http://schemas.openxmlformats.org/drawingml/2006/main">
                  <a:graphicData uri="http://schemas.microsoft.com/office/word/2010/wordprocessingShape">
                    <wps:wsp>
                      <wps:cNvSpPr txBox="1"/>
                      <wps:spPr>
                        <a:xfrm>
                          <a:off x="0" y="0"/>
                          <a:ext cx="914400" cy="166370"/>
                        </a:xfrm>
                        <a:prstGeom prst="rect">
                          <a:avLst/>
                        </a:prstGeom>
                        <a:solidFill>
                          <a:schemeClr val="lt1"/>
                        </a:solidFill>
                        <a:ln w="6350">
                          <a:noFill/>
                        </a:ln>
                      </wps:spPr>
                      <wps:txbx>
                        <w:txbxContent>
                          <w:p w14:paraId="6F8B670B" w14:textId="77777777" w:rsidR="008440D9" w:rsidRPr="005A24AA" w:rsidRDefault="008440D9" w:rsidP="008440D9">
                            <w:pPr>
                              <w:rPr>
                                <w:i/>
                              </w:rPr>
                            </w:pPr>
                            <w:r w:rsidRPr="005A24AA">
                              <w:rPr>
                                <w:i/>
                              </w:rPr>
                              <w:t>source</w:t>
                            </w:r>
                            <w:r>
                              <w:rPr>
                                <w:i/>
                              </w:rPr>
                              <w:t>:</w:t>
                            </w:r>
                            <w:r w:rsidRPr="005A24AA">
                              <w:rPr>
                                <w:i/>
                              </w:rPr>
                              <w:t xml:space="preserve"> </w:t>
                            </w:r>
                            <w:r>
                              <w:rPr>
                                <w:i/>
                              </w:rPr>
                              <w:t>PC</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9CB262" id="Text Box 25" o:spid="_x0000_s1028" type="#_x0000_t202" style="position:absolute;left:0;text-align:left;margin-left:309.9pt;margin-top:221.95pt;width:1in;height:13.1pt;z-index:25166849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" fillcolor="white [3201]" stroked="f" strokeweight=".5pt">
                <v:textbox inset="0,0,0,0">
                  <w:txbxContent>
                    <w:p w14:paraId="6F8B670B" w14:textId="77777777" w:rsidR="008440D9" w:rsidRPr="005A24AA" w:rsidRDefault="008440D9" w:rsidP="008440D9">
                      <w:pPr>
                        <w:rPr>
                          <w:i/>
                        </w:rPr>
                      </w:pPr>
                      <w:r w:rsidRPr="005A24AA">
                        <w:rPr>
                          <w:i/>
                        </w:rPr>
                        <w:t>source</w:t>
                      </w:r>
                      <w:r>
                        <w:rPr>
                          <w:i/>
                        </w:rPr>
                        <w:t>:</w:t>
                      </w:r>
                      <w:r w:rsidRPr="005A24AA">
                        <w:rPr>
                          <w:i/>
                        </w:rPr>
                        <w:t xml:space="preserve"> </w:t>
                      </w:r>
                      <w:r>
                        <w:rPr>
                          <w:i/>
                        </w:rPr>
                        <w:t>PC</w:t>
                      </w:r>
                    </w:p>
                  </w:txbxContent>
                </v:textbox>
                <w10:wrap type="square"/>
              </v:shape>
            </w:pict>
          </mc:Fallback>
        </mc:AlternateContent>
      </w:r>
      <w:r w:rsidR="004664EF">
        <w:rPr>
          <w:i/>
          <w:noProof/>
          <w:sz w:val="16"/>
          <w:lang w:eastAsia="en-AU"/>
        </w:rPr>
        <mc:AlternateContent>
          <mc:Choice Requires="wpi">
            <w:drawing>
              <wp:anchor distT="0" distB="0" distL="114300" distR="114300" simplePos="0" relativeHeight="251658245" behindDoc="0" locked="0" layoutInCell="1" allowOverlap="1" wp14:anchorId="1F6C4B39" wp14:editId="35D31F9B">
                <wp:simplePos x="0" y="0"/>
                <wp:positionH relativeFrom="column">
                  <wp:posOffset>923607</wp:posOffset>
                </wp:positionH>
                <wp:positionV relativeFrom="paragraph">
                  <wp:posOffset>2811145</wp:posOffset>
                </wp:positionV>
                <wp:extent cx="1019175" cy="118745"/>
                <wp:effectExtent l="38100" t="38100" r="0" b="33655"/>
                <wp:wrapNone/>
                <wp:docPr id="5" name="Ink 5"/>
                <wp:cNvGraphicFramePr/>
                <a:graphic xmlns:a="http://schemas.openxmlformats.org/drawingml/2006/main">
                  <a:graphicData uri="http://schemas.microsoft.com/office/word/2010/wordprocessingInk">
                    <w14:contentPart bwMode="auto" r:id="rId16">
                      <w14:nvContentPartPr>
                        <w14:cNvContentPartPr/>
                      </w14:nvContentPartPr>
                      <w14:xfrm>
                        <a:off x="0" y="0"/>
                        <a:ext cx="1019175" cy="118745"/>
                      </w14:xfrm>
                    </w14:contentPart>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FBB6B9" id="Ink 5" o:spid="_x0000_s1026" type="#_x0000_t75" style="position:absolute;margin-left:72.35pt;margin-top:221pt;width:80.95pt;height:10.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">
                <v:imagedata r:id="rId17" o:title=""/>
              </v:shape>
            </w:pict>
          </mc:Fallback>
        </mc:AlternateContent>
      </w:r>
      <w:r w:rsidR="003000FC" w:rsidRPr="003000FC">
        <w:rPr>
          <w:i/>
          <w:sz w:val="16"/>
        </w:rPr>
        <w:t>Emphasis added</w:t>
      </w:r>
    </w:p>
    <w:p w14:paraId="146CD391" w14:textId="443F53DF" w:rsidR="00D250D4" w:rsidRDefault="00D250D4" w:rsidP="00B444D8">
      <w:pPr>
        <w:pStyle w:val="ListParagraph"/>
        <w:spacing w:before="120"/>
        <w:ind w:left="0"/>
      </w:pPr>
      <w:r>
        <w:t xml:space="preserve">Although </w:t>
      </w:r>
      <w:r w:rsidR="003000FC">
        <w:t>we</w:t>
      </w:r>
      <w:r>
        <w:t xml:space="preserve"> agree that the ROA and ROR are not directly comparable</w:t>
      </w:r>
      <w:r w:rsidR="000F204C">
        <w:t>,</w:t>
      </w:r>
      <w:r>
        <w:t xml:space="preserve"> we do not understand why more has not been done by the regulators to:</w:t>
      </w:r>
    </w:p>
    <w:p w14:paraId="18B62C49" w14:textId="0E5478C1" w:rsidR="00D250D4" w:rsidRDefault="00D250D4" w:rsidP="00D250D4">
      <w:pPr>
        <w:pStyle w:val="ListParagraph"/>
        <w:numPr>
          <w:ilvl w:val="0"/>
          <w:numId w:val="15"/>
        </w:numPr>
        <w:spacing w:before="120"/>
      </w:pPr>
      <w:r>
        <w:t>explain the major differences in the formulae</w:t>
      </w:r>
    </w:p>
    <w:p w14:paraId="6F3B3562" w14:textId="2F9D4F0A" w:rsidR="000F204C" w:rsidRDefault="000F204C" w:rsidP="00D250D4">
      <w:pPr>
        <w:pStyle w:val="ListParagraph"/>
        <w:numPr>
          <w:ilvl w:val="0"/>
          <w:numId w:val="15"/>
        </w:numPr>
        <w:spacing w:before="120"/>
      </w:pPr>
      <w:r>
        <w:t>explain what the impact of those differences are</w:t>
      </w:r>
    </w:p>
    <w:p w14:paraId="5E8E634E" w14:textId="78D7E7FA" w:rsidR="00D250D4" w:rsidRDefault="00D250D4" w:rsidP="00D250D4">
      <w:pPr>
        <w:pStyle w:val="ListParagraph"/>
        <w:numPr>
          <w:ilvl w:val="0"/>
          <w:numId w:val="15"/>
        </w:numPr>
        <w:spacing w:before="120"/>
      </w:pPr>
      <w:r>
        <w:t xml:space="preserve">standardise </w:t>
      </w:r>
      <w:r w:rsidR="00B06D04">
        <w:t xml:space="preserve">or harmonise </w:t>
      </w:r>
      <w:r>
        <w:t>the approach to reporting performance</w:t>
      </w:r>
      <w:r w:rsidR="00B06D04">
        <w:t xml:space="preserve"> across the industry</w:t>
      </w:r>
    </w:p>
    <w:p w14:paraId="4760D581" w14:textId="561C08EC" w:rsidR="00E04467" w:rsidRDefault="00D250D4" w:rsidP="00D250D4">
      <w:pPr>
        <w:spacing w:before="120"/>
      </w:pPr>
      <w:r>
        <w:t>This submission sets out the differences below</w:t>
      </w:r>
      <w:r w:rsidR="000F66EC">
        <w:t xml:space="preserve">. We think that this analysis illustrates that ROA is not an appropriate formula for reporting performance of SMSFs and that </w:t>
      </w:r>
      <w:r w:rsidR="5D1292FA">
        <w:t xml:space="preserve">a </w:t>
      </w:r>
      <w:r w:rsidR="000F66EC">
        <w:t xml:space="preserve">ROR </w:t>
      </w:r>
      <w:r w:rsidR="00E04467">
        <w:t xml:space="preserve">formula </w:t>
      </w:r>
      <w:r w:rsidR="000F66EC">
        <w:t xml:space="preserve">is highly preferable both in terms of its methodology, and </w:t>
      </w:r>
      <w:r w:rsidR="108D4CBE">
        <w:t>because</w:t>
      </w:r>
      <w:r w:rsidR="000F66EC">
        <w:t xml:space="preserve"> it is already in use by APRA.</w:t>
      </w:r>
    </w:p>
    <w:p w14:paraId="4A481EBA" w14:textId="7A520870" w:rsidR="00D250D4" w:rsidRDefault="00E04467" w:rsidP="00D250D4">
      <w:pPr>
        <w:spacing w:before="120"/>
      </w:pPr>
      <w:r>
        <w:t xml:space="preserve">When </w:t>
      </w:r>
      <w:r w:rsidR="00447993">
        <w:t xml:space="preserve">we look at </w:t>
      </w:r>
      <w:r w:rsidR="00447993" w:rsidRPr="00447993">
        <w:rPr>
          <w:i/>
        </w:rPr>
        <w:t>Figure 2.10</w:t>
      </w:r>
      <w:r w:rsidR="00402F4D">
        <w:rPr>
          <w:i/>
        </w:rPr>
        <w:t>(b)</w:t>
      </w:r>
      <w:r w:rsidR="00447993">
        <w:t xml:space="preserve"> later in this submission we will </w:t>
      </w:r>
      <w:r w:rsidR="006E7969">
        <w:t xml:space="preserve">look at how the ROA formula doesn’t just understate overall SMSF </w:t>
      </w:r>
      <w:r w:rsidR="00935C74">
        <w:t>performance,</w:t>
      </w:r>
      <w:r w:rsidR="006E7969">
        <w:t xml:space="preserve"> </w:t>
      </w:r>
      <w:r w:rsidR="00B32CEA">
        <w:t>but it is also highly regressive</w:t>
      </w:r>
      <w:r w:rsidR="00402F4D">
        <w:t>,</w:t>
      </w:r>
      <w:r w:rsidR="00B32CEA">
        <w:t xml:space="preserve"> with SMSFs being </w:t>
      </w:r>
      <w:r w:rsidR="00935C74">
        <w:t xml:space="preserve">more </w:t>
      </w:r>
      <w:r w:rsidR="00B32CEA">
        <w:t xml:space="preserve">heavily penalised </w:t>
      </w:r>
      <w:r w:rsidR="00997B78">
        <w:t>the smaller they are.</w:t>
      </w:r>
    </w:p>
    <w:p w14:paraId="7A5E9EDD" w14:textId="6A61D492" w:rsidR="00B216F8" w:rsidRDefault="000F66EC" w:rsidP="00B216F8">
      <w:pPr>
        <w:spacing w:before="120"/>
        <w:rPr>
          <w:b/>
        </w:rPr>
      </w:pPr>
      <w:r>
        <w:t>We do not accept that data collection differences between the ATO and APRA mean that an ROR cannot be calculated and compared for SMSFs</w:t>
      </w:r>
      <w:r w:rsidR="00E103D9">
        <w:t>;</w:t>
      </w:r>
      <w:r>
        <w:t xml:space="preserve"> once the significant differences in the f</w:t>
      </w:r>
      <w:r w:rsidR="003000FC">
        <w:t>ormulae employed are understood</w:t>
      </w:r>
      <w:r w:rsidR="4C50F293">
        <w:t>,</w:t>
      </w:r>
      <w:r>
        <w:t xml:space="preserve"> making adjustments to arrive at an </w:t>
      </w:r>
      <w:r w:rsidR="003000FC">
        <w:t xml:space="preserve">estimated </w:t>
      </w:r>
      <w:r>
        <w:t>ROR for SMSFs is relatively straightforward.</w:t>
      </w:r>
      <w:r w:rsidR="00E103D9">
        <w:t xml:space="preserve"> We think the methodology differences beyond that are </w:t>
      </w:r>
      <w:r w:rsidR="00D334DF">
        <w:t xml:space="preserve">relatively </w:t>
      </w:r>
      <w:r w:rsidR="003000FC">
        <w:t>minor</w:t>
      </w:r>
      <w:r w:rsidR="00E103D9">
        <w:t xml:space="preserve"> and would not prevent comparing SMSF and APRA fund</w:t>
      </w:r>
      <w:r w:rsidR="00B216F8">
        <w:t xml:space="preserve"> performance</w:t>
      </w:r>
      <w:r w:rsidR="00E103D9">
        <w:t>.</w:t>
      </w:r>
      <w:r w:rsidR="00B216F8">
        <w:rPr>
          <w:b/>
        </w:rPr>
        <w:br w:type="page"/>
      </w:r>
    </w:p>
    <w:p w14:paraId="3A8E74C1" w14:textId="4042494F" w:rsidR="00DD41D7" w:rsidRPr="00DD41D7" w:rsidRDefault="00D940D8" w:rsidP="00DD41D7">
      <w:pPr>
        <w:pStyle w:val="ListParagraph"/>
        <w:spacing w:before="120" w:after="120"/>
        <w:ind w:left="0"/>
        <w:contextualSpacing w:val="0"/>
        <w:rPr>
          <w:b/>
        </w:rPr>
      </w:pPr>
      <w:r>
        <w:rPr>
          <w:b/>
        </w:rPr>
        <w:lastRenderedPageBreak/>
        <w:t xml:space="preserve">2.1 </w:t>
      </w:r>
      <w:r w:rsidR="00DD41D7">
        <w:rPr>
          <w:b/>
        </w:rPr>
        <w:t>ROA vs ROR</w:t>
      </w:r>
    </w:p>
    <w:p w14:paraId="56A1FD8A" w14:textId="350422D3" w:rsidR="00DD41D7" w:rsidRDefault="00DD41D7" w:rsidP="00DD41D7">
      <w:pPr>
        <w:pStyle w:val="ListParagraph"/>
        <w:spacing w:before="120" w:after="120"/>
        <w:ind w:left="0"/>
        <w:contextualSpacing w:val="0"/>
      </w:pPr>
      <w:r>
        <w:t>It is generally accepted that investment performance for a period is measured by:</w:t>
      </w:r>
    </w:p>
    <w:p w14:paraId="56C7932F" w14:textId="7AB8D2CA" w:rsidR="00DD41D7" w:rsidRPr="00DD41D7" w:rsidRDefault="0012534B" w:rsidP="00DD41D7">
      <w:pPr>
        <w:pStyle w:val="ListParagraph"/>
        <w:spacing w:before="120" w:after="120"/>
        <w:ind w:left="0"/>
        <w:contextualSpacing w:val="0"/>
        <w:rPr>
          <w:rFonts w:eastAsiaTheme="minorEastAsia"/>
        </w:rPr>
      </w:pPr>
      <m:oMathPara>
        <m:oMath>
          <m:f>
            <m:fPr>
              <m:ctrlPr>
                <w:rPr>
                  <w:rFonts w:ascii="Cambria Math" w:hAnsi="Cambria Math"/>
                  <w:i/>
                </w:rPr>
              </m:ctrlPr>
            </m:fPr>
            <m:num>
              <m:r>
                <w:rPr>
                  <w:rFonts w:ascii="Cambria Math" w:hAnsi="Cambria Math"/>
                </w:rPr>
                <m:t>earnings</m:t>
              </m:r>
            </m:num>
            <m:den>
              <m:r>
                <w:rPr>
                  <w:rFonts w:ascii="Cambria Math" w:hAnsi="Cambria Math"/>
                </w:rPr>
                <m:t>assets invested</m:t>
              </m:r>
            </m:den>
          </m:f>
        </m:oMath>
      </m:oMathPara>
    </w:p>
    <w:p w14:paraId="0103AB6B" w14:textId="0F88F500" w:rsidR="00DD41D7" w:rsidRDefault="00DD41D7" w:rsidP="00DD41D7">
      <w:pPr>
        <w:pStyle w:val="ListParagraph"/>
        <w:spacing w:before="120" w:after="120"/>
        <w:ind w:left="0"/>
        <w:contextualSpacing w:val="0"/>
        <w:rPr>
          <w:rFonts w:eastAsiaTheme="minorEastAsia"/>
        </w:rPr>
      </w:pPr>
      <w:r>
        <w:rPr>
          <w:rFonts w:eastAsiaTheme="minorEastAsia"/>
        </w:rPr>
        <w:t xml:space="preserve">Unfortunately agreeing on how to count </w:t>
      </w:r>
      <w:r w:rsidRPr="00183009">
        <w:rPr>
          <w:rFonts w:eastAsiaTheme="minorEastAsia"/>
          <w:i/>
        </w:rPr>
        <w:t>earnings</w:t>
      </w:r>
      <w:r>
        <w:rPr>
          <w:rFonts w:eastAsiaTheme="minorEastAsia"/>
        </w:rPr>
        <w:t xml:space="preserve"> and </w:t>
      </w:r>
      <w:r w:rsidRPr="00183009">
        <w:rPr>
          <w:rFonts w:eastAsiaTheme="minorEastAsia"/>
          <w:i/>
        </w:rPr>
        <w:t xml:space="preserve">assets invested </w:t>
      </w:r>
      <w:r>
        <w:rPr>
          <w:rFonts w:eastAsiaTheme="minorEastAsia"/>
        </w:rPr>
        <w:t xml:space="preserve">is not so easy and </w:t>
      </w:r>
      <w:r w:rsidR="0001072B">
        <w:rPr>
          <w:rFonts w:eastAsiaTheme="minorEastAsia"/>
        </w:rPr>
        <w:t xml:space="preserve">this </w:t>
      </w:r>
      <w:r>
        <w:rPr>
          <w:rFonts w:eastAsiaTheme="minorEastAsia"/>
        </w:rPr>
        <w:t xml:space="preserve">is at the heart of the differences between the two formulae. </w:t>
      </w:r>
      <w:r w:rsidR="00D07ACA">
        <w:rPr>
          <w:rFonts w:eastAsiaTheme="minorEastAsia"/>
        </w:rPr>
        <w:t>As stated in the draft report, the</w:t>
      </w:r>
      <w:r>
        <w:rPr>
          <w:rFonts w:eastAsiaTheme="minorEastAsia"/>
        </w:rPr>
        <w:t xml:space="preserve"> formulae are:</w:t>
      </w:r>
    </w:p>
    <w:p w14:paraId="2353114F" w14:textId="7CEC1D02" w:rsidR="00DD41D7" w:rsidRPr="00DD41D7" w:rsidRDefault="00DD41D7" w:rsidP="00DD41D7">
      <w:pPr>
        <w:pStyle w:val="ListParagraph"/>
        <w:spacing w:before="120" w:after="120"/>
        <w:ind w:left="0"/>
        <w:contextualSpacing w:val="0"/>
        <w:jc w:val="center"/>
        <w:rPr>
          <w:rFonts w:eastAsiaTheme="minorEastAsia"/>
        </w:rPr>
      </w:pPr>
      <m:oMath>
        <m:r>
          <w:rPr>
            <w:rFonts w:ascii="Cambria Math" w:eastAsiaTheme="minorEastAsia" w:hAnsi="Cambria Math"/>
          </w:rPr>
          <m:t>ROR=</m:t>
        </m:r>
        <m:f>
          <m:fPr>
            <m:ctrlPr>
              <w:rPr>
                <w:rFonts w:ascii="Cambria Math" w:eastAsiaTheme="minorEastAsia" w:hAnsi="Cambria Math"/>
                <w:i/>
              </w:rPr>
            </m:ctrlPr>
          </m:fPr>
          <m:num>
            <m:r>
              <w:rPr>
                <w:rFonts w:ascii="Cambria Math" w:eastAsiaTheme="minorEastAsia" w:hAnsi="Cambria Math"/>
              </w:rPr>
              <m:t>Net earnings after tax</m:t>
            </m:r>
          </m:num>
          <m:den>
            <m:r>
              <w:rPr>
                <w:rFonts w:ascii="Cambria Math" w:eastAsiaTheme="minorEastAsia" w:hAnsi="Cambria Math"/>
              </w:rPr>
              <m:t>Cashflow adjusted net assets</m:t>
            </m:r>
          </m:den>
        </m:f>
      </m:oMath>
      <w:r>
        <w:rPr>
          <w:rFonts w:eastAsiaTheme="minorEastAsia"/>
        </w:rPr>
        <w:t xml:space="preserve">    vs.   </w:t>
      </w:r>
      <m:oMath>
        <m:r>
          <w:rPr>
            <w:rFonts w:ascii="Cambria Math" w:eastAsiaTheme="minorEastAsia" w:hAnsi="Cambria Math"/>
          </w:rPr>
          <m:t>ROA=</m:t>
        </m:r>
        <m:f>
          <m:fPr>
            <m:ctrlPr>
              <w:rPr>
                <w:rFonts w:ascii="Cambria Math" w:eastAsiaTheme="minorEastAsia" w:hAnsi="Cambria Math"/>
                <w:i/>
              </w:rPr>
            </m:ctrlPr>
          </m:fPr>
          <m:num>
            <m:r>
              <w:rPr>
                <w:rFonts w:ascii="Cambria Math" w:eastAsiaTheme="minorEastAsia" w:hAnsi="Cambria Math"/>
              </w:rPr>
              <m:t>Net earnings after tax</m:t>
            </m:r>
          </m:num>
          <m:den>
            <m:r>
              <w:rPr>
                <w:rFonts w:ascii="Cambria Math" w:eastAsiaTheme="minorEastAsia" w:hAnsi="Cambria Math"/>
              </w:rPr>
              <m:t>Average assets over the period</m:t>
            </m:r>
          </m:den>
        </m:f>
      </m:oMath>
    </w:p>
    <w:p w14:paraId="53797818" w14:textId="3CB283D7" w:rsidR="006A646B" w:rsidRPr="006A646B" w:rsidRDefault="00D940D8" w:rsidP="006A646B">
      <w:pPr>
        <w:pStyle w:val="ListParagraph"/>
        <w:spacing w:before="120" w:after="0"/>
        <w:ind w:left="0"/>
        <w:contextualSpacing w:val="0"/>
        <w:rPr>
          <w:rFonts w:eastAsiaTheme="minorEastAsia"/>
          <w:b/>
        </w:rPr>
      </w:pPr>
      <w:r>
        <w:rPr>
          <w:rFonts w:eastAsiaTheme="minorEastAsia"/>
          <w:b/>
        </w:rPr>
        <w:t xml:space="preserve">2.1.1 </w:t>
      </w:r>
      <w:r w:rsidR="006A646B" w:rsidRPr="006A646B">
        <w:rPr>
          <w:rFonts w:eastAsiaTheme="minorEastAsia"/>
          <w:b/>
        </w:rPr>
        <w:t xml:space="preserve">Agreeing on </w:t>
      </w:r>
      <w:r w:rsidR="008117D3">
        <w:rPr>
          <w:rFonts w:eastAsiaTheme="minorEastAsia"/>
          <w:b/>
        </w:rPr>
        <w:t>assets i</w:t>
      </w:r>
      <w:r w:rsidR="006A646B" w:rsidRPr="006A646B">
        <w:rPr>
          <w:rFonts w:eastAsiaTheme="minorEastAsia"/>
          <w:b/>
        </w:rPr>
        <w:t>nvested for the period</w:t>
      </w:r>
    </w:p>
    <w:p w14:paraId="1F7B7CEE" w14:textId="58EE16B6" w:rsidR="00DD41D7" w:rsidRPr="00DD41D7" w:rsidRDefault="007C61C1" w:rsidP="006A646B">
      <w:pPr>
        <w:pStyle w:val="ListParagraph"/>
        <w:spacing w:after="120"/>
        <w:ind w:left="0"/>
        <w:contextualSpacing w:val="0"/>
        <w:rPr>
          <w:rFonts w:eastAsiaTheme="minorEastAsia"/>
        </w:rPr>
      </w:pPr>
      <w:r>
        <w:rPr>
          <w:rFonts w:eastAsiaTheme="minorEastAsia"/>
        </w:rPr>
        <w:t>T</w:t>
      </w:r>
      <w:r w:rsidR="00DD41D7">
        <w:rPr>
          <w:rFonts w:eastAsiaTheme="minorEastAsia"/>
        </w:rPr>
        <w:t xml:space="preserve">he formulae </w:t>
      </w:r>
      <w:r>
        <w:rPr>
          <w:rFonts w:eastAsiaTheme="minorEastAsia"/>
        </w:rPr>
        <w:t>can be</w:t>
      </w:r>
      <w:r w:rsidR="00DD41D7">
        <w:rPr>
          <w:rFonts w:eastAsiaTheme="minorEastAsia"/>
        </w:rPr>
        <w:t xml:space="preserve"> expanded to: </w:t>
      </w:r>
    </w:p>
    <w:p w14:paraId="2494F2BA" w14:textId="64F1297F" w:rsidR="007C61C1" w:rsidRDefault="006A646B" w:rsidP="0001072B">
      <w:pPr>
        <w:pStyle w:val="ListParagraph"/>
        <w:spacing w:before="120" w:after="120"/>
        <w:ind w:left="0"/>
        <w:contextualSpacing w:val="0"/>
        <w:rPr>
          <w:rFonts w:eastAsiaTheme="minorEastAsia"/>
        </w:rPr>
      </w:pPr>
      <m:oMath>
        <m:r>
          <w:rPr>
            <w:rFonts w:ascii="Cambria Math" w:eastAsiaTheme="minorEastAsia" w:hAnsi="Cambria Math"/>
          </w:rPr>
          <m:t>ROA=</m:t>
        </m:r>
        <m:f>
          <m:fPr>
            <m:ctrlPr>
              <w:rPr>
                <w:rFonts w:ascii="Cambria Math" w:eastAsiaTheme="minorEastAsia" w:hAnsi="Cambria Math"/>
                <w:i/>
              </w:rPr>
            </m:ctrlPr>
          </m:fPr>
          <m:num>
            <m:r>
              <w:rPr>
                <w:rFonts w:ascii="Cambria Math" w:eastAsiaTheme="minorEastAsia" w:hAnsi="Cambria Math"/>
              </w:rPr>
              <m:t>Net earnings after tax</m:t>
            </m:r>
          </m:num>
          <m:den>
            <m:r>
              <w:rPr>
                <w:rFonts w:ascii="Cambria Math" w:eastAsiaTheme="minorEastAsia" w:hAnsi="Cambria Math"/>
              </w:rPr>
              <m:t xml:space="preserve">Net assets at start of year +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(Net member flows + Net insurance flows</m:t>
            </m:r>
            <m:r>
              <w:rPr>
                <w:rFonts w:ascii="Cambria Math" w:eastAsiaTheme="minorEastAsia" w:hAnsi="Cambria Math"/>
                <w:color w:val="FF0000"/>
              </w:rPr>
              <m:t xml:space="preserve"> + Net earnings after tax</m:t>
            </m:r>
            <m:r>
              <w:rPr>
                <w:rFonts w:ascii="Cambria Math" w:eastAsiaTheme="minorEastAsia" w:hAnsi="Cambria Math"/>
              </w:rPr>
              <m:t>)</m:t>
            </m:r>
          </m:den>
        </m:f>
      </m:oMath>
      <w:r>
        <w:rPr>
          <w:rFonts w:eastAsiaTheme="minorEastAsia"/>
        </w:rPr>
        <w:t xml:space="preserve">   </w:t>
      </w:r>
      <w:r w:rsidR="00DD41D7">
        <w:rPr>
          <w:rFonts w:eastAsiaTheme="minorEastAsia"/>
        </w:rPr>
        <w:t xml:space="preserve">    </w:t>
      </w:r>
    </w:p>
    <w:p w14:paraId="2767748F" w14:textId="4CF77A8D" w:rsidR="00DD41D7" w:rsidRPr="00DD41D7" w:rsidRDefault="007C61C1" w:rsidP="0001072B">
      <w:pPr>
        <w:pStyle w:val="ListParagraph"/>
        <w:spacing w:before="120" w:after="120"/>
        <w:ind w:left="0"/>
        <w:contextualSpacing w:val="0"/>
        <w:rPr>
          <w:rFonts w:eastAsiaTheme="minorEastAsia"/>
        </w:rPr>
      </w:pPr>
      <m:oMath>
        <m:r>
          <w:rPr>
            <w:rFonts w:ascii="Cambria Math" w:eastAsiaTheme="minorEastAsia" w:hAnsi="Cambria Math"/>
          </w:rPr>
          <m:t>ROR=</m:t>
        </m:r>
        <m:f>
          <m:fPr>
            <m:ctrlPr>
              <w:rPr>
                <w:rFonts w:ascii="Cambria Math" w:eastAsiaTheme="minorEastAsia" w:hAnsi="Cambria Math"/>
                <w:i/>
              </w:rPr>
            </m:ctrlPr>
          </m:fPr>
          <m:num>
            <m:r>
              <w:rPr>
                <w:rFonts w:ascii="Cambria Math" w:eastAsiaTheme="minorEastAsia" w:hAnsi="Cambria Math"/>
              </w:rPr>
              <m:t>Net earnings after tax</m:t>
            </m:r>
          </m:num>
          <m:den>
            <m:r>
              <w:rPr>
                <w:rFonts w:ascii="Cambria Math" w:eastAsiaTheme="minorEastAsia" w:hAnsi="Cambria Math"/>
              </w:rPr>
              <m:t xml:space="preserve">Net assets at start of year +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Net member flows + Net insurance flows</m:t>
                </m:r>
              </m:e>
            </m:d>
            <m:r>
              <w:rPr>
                <w:rFonts w:ascii="Cambria Math" w:eastAsiaTheme="minorEastAsia" w:hAnsi="Cambria Math"/>
              </w:rPr>
              <m:t xml:space="preserve">                                                          </m:t>
            </m:r>
          </m:den>
        </m:f>
      </m:oMath>
      <w:r w:rsidR="00DD41D7">
        <w:rPr>
          <w:rFonts w:eastAsiaTheme="minorEastAsia"/>
        </w:rPr>
        <w:t xml:space="preserve">   </w:t>
      </w:r>
    </w:p>
    <w:p w14:paraId="1DDB5730" w14:textId="1D871690" w:rsidR="006A646B" w:rsidRDefault="007C61C1" w:rsidP="007C61C1">
      <w:pPr>
        <w:pStyle w:val="ListParagraph"/>
        <w:spacing w:before="120" w:after="120"/>
        <w:ind w:left="0"/>
        <w:contextualSpacing w:val="0"/>
      </w:pPr>
      <w:r>
        <w:t>The difference is that ROA includes half the period</w:t>
      </w:r>
      <w:r w:rsidR="006A646B">
        <w:t>’</w:t>
      </w:r>
      <w:r>
        <w:t xml:space="preserve">s earnings </w:t>
      </w:r>
      <w:r w:rsidR="0001072B">
        <w:t xml:space="preserve">in the denominator </w:t>
      </w:r>
      <w:r>
        <w:t xml:space="preserve">– </w:t>
      </w:r>
      <w:r w:rsidR="0001072B">
        <w:t xml:space="preserve">we do not find </w:t>
      </w:r>
      <w:r>
        <w:t xml:space="preserve">this intuitive and </w:t>
      </w:r>
      <w:r w:rsidR="4C50F293">
        <w:t xml:space="preserve">it </w:t>
      </w:r>
      <w:r>
        <w:t xml:space="preserve">leads to the </w:t>
      </w:r>
      <w:r w:rsidR="00B444D8">
        <w:t>ATO’s ROA formula consistently understat</w:t>
      </w:r>
      <w:r w:rsidR="006A646B">
        <w:t>ing</w:t>
      </w:r>
      <w:r w:rsidR="00B444D8">
        <w:t xml:space="preserve"> returns in comparison to the ROR method. </w:t>
      </w:r>
    </w:p>
    <w:p w14:paraId="52DA89DE" w14:textId="19500E82" w:rsidR="00B444D8" w:rsidRPr="00DD41D7" w:rsidRDefault="007C61C1" w:rsidP="007C61C1">
      <w:pPr>
        <w:pStyle w:val="ListParagraph"/>
        <w:spacing w:before="120" w:after="120"/>
        <w:ind w:left="0"/>
        <w:contextualSpacing w:val="0"/>
        <w:rPr>
          <w:rFonts w:asciiTheme="minorEastAsia" w:eastAsiaTheme="minorEastAsia" w:hAnsiTheme="minorEastAsia" w:cstheme="minorEastAsia"/>
        </w:rPr>
      </w:pPr>
      <w:r>
        <w:t>We do</w:t>
      </w:r>
      <w:r w:rsidR="4C50F293">
        <w:t xml:space="preserve"> not </w:t>
      </w:r>
      <w:r>
        <w:t>think there is a</w:t>
      </w:r>
      <w:r w:rsidR="00FB4D99">
        <w:t xml:space="preserve"> </w:t>
      </w:r>
      <w:r w:rsidR="00C0428C">
        <w:t>reason</w:t>
      </w:r>
      <w:r>
        <w:t xml:space="preserve"> for this difference and we feel that </w:t>
      </w:r>
      <w:r w:rsidR="00FB4D99">
        <w:t>th</w:t>
      </w:r>
      <w:r w:rsidR="007E54CD">
        <w:t>e</w:t>
      </w:r>
      <w:r w:rsidR="00FB4D99">
        <w:t xml:space="preserve"> practice</w:t>
      </w:r>
      <w:r w:rsidR="00B444D8">
        <w:t xml:space="preserve"> fails the </w:t>
      </w:r>
      <w:r w:rsidR="11B33DB2">
        <w:t>'</w:t>
      </w:r>
      <w:r w:rsidR="00B444D8">
        <w:t>pub test</w:t>
      </w:r>
      <w:r w:rsidR="11B33DB2">
        <w:t>'</w:t>
      </w:r>
      <w:r w:rsidR="00B444D8">
        <w:t xml:space="preserve"> e.g. </w:t>
      </w:r>
    </w:p>
    <w:p w14:paraId="34A21005" w14:textId="0CCD5373" w:rsidR="00B444D8" w:rsidRPr="0001072B" w:rsidRDefault="007C61C1" w:rsidP="0001072B">
      <w:pPr>
        <w:pStyle w:val="ListParagraph"/>
        <w:spacing w:before="120"/>
        <w:ind w:left="567"/>
        <w:rPr>
          <w:i/>
        </w:rPr>
      </w:pPr>
      <w:r w:rsidRPr="0001072B">
        <w:rPr>
          <w:i/>
        </w:rPr>
        <w:t xml:space="preserve">If </w:t>
      </w:r>
      <w:r w:rsidR="00B444D8" w:rsidRPr="0001072B">
        <w:rPr>
          <w:b/>
          <w:i/>
        </w:rPr>
        <w:t>$100</w:t>
      </w:r>
      <w:r w:rsidR="00B444D8" w:rsidRPr="0001072B">
        <w:rPr>
          <w:i/>
        </w:rPr>
        <w:t xml:space="preserve"> i</w:t>
      </w:r>
      <w:r w:rsidRPr="0001072B">
        <w:rPr>
          <w:i/>
        </w:rPr>
        <w:t>s i</w:t>
      </w:r>
      <w:r w:rsidR="00B444D8" w:rsidRPr="0001072B">
        <w:rPr>
          <w:i/>
        </w:rPr>
        <w:t xml:space="preserve">nvested </w:t>
      </w:r>
      <w:r w:rsidRPr="0001072B">
        <w:rPr>
          <w:i/>
        </w:rPr>
        <w:t xml:space="preserve">and </w:t>
      </w:r>
      <w:r w:rsidR="00B444D8" w:rsidRPr="0001072B">
        <w:rPr>
          <w:i/>
        </w:rPr>
        <w:t>earn</w:t>
      </w:r>
      <w:r w:rsidRPr="0001072B">
        <w:rPr>
          <w:i/>
        </w:rPr>
        <w:t>s</w:t>
      </w:r>
      <w:r w:rsidR="00B444D8" w:rsidRPr="0001072B">
        <w:rPr>
          <w:i/>
        </w:rPr>
        <w:t xml:space="preserve"> </w:t>
      </w:r>
      <w:r w:rsidR="00B444D8" w:rsidRPr="0001072B">
        <w:rPr>
          <w:b/>
          <w:i/>
        </w:rPr>
        <w:t>$20</w:t>
      </w:r>
      <w:r w:rsidR="00B444D8" w:rsidRPr="0001072B">
        <w:rPr>
          <w:i/>
        </w:rPr>
        <w:t xml:space="preserve"> in interest</w:t>
      </w:r>
      <w:r w:rsidR="0001072B" w:rsidRPr="0001072B">
        <w:rPr>
          <w:i/>
        </w:rPr>
        <w:t>, t</w:t>
      </w:r>
      <w:r w:rsidRPr="0001072B">
        <w:rPr>
          <w:i/>
        </w:rPr>
        <w:t xml:space="preserve">he ROA </w:t>
      </w:r>
      <w:r w:rsidR="00B444D8" w:rsidRPr="0001072B">
        <w:rPr>
          <w:i/>
        </w:rPr>
        <w:t xml:space="preserve">shows an </w:t>
      </w:r>
      <w:r w:rsidR="00B444D8" w:rsidRPr="0001072B">
        <w:rPr>
          <w:b/>
          <w:i/>
        </w:rPr>
        <w:t>18%</w:t>
      </w:r>
      <w:r w:rsidR="00B444D8" w:rsidRPr="0001072B">
        <w:rPr>
          <w:i/>
        </w:rPr>
        <w:t xml:space="preserve"> </w:t>
      </w:r>
      <w:r w:rsidRPr="0001072B">
        <w:rPr>
          <w:i/>
        </w:rPr>
        <w:t>return</w:t>
      </w:r>
      <w:r w:rsidR="00B444D8" w:rsidRPr="0001072B">
        <w:rPr>
          <w:i/>
        </w:rPr>
        <w:t xml:space="preserve"> rather than the expected </w:t>
      </w:r>
      <w:r w:rsidR="00B444D8" w:rsidRPr="0001072B">
        <w:rPr>
          <w:b/>
          <w:i/>
        </w:rPr>
        <w:t>20%</w:t>
      </w:r>
      <w:r w:rsidR="00B444D8" w:rsidRPr="0001072B">
        <w:rPr>
          <w:i/>
        </w:rPr>
        <w:t xml:space="preserve"> return</w:t>
      </w:r>
      <w:r w:rsidR="0001072B" w:rsidRPr="0001072B">
        <w:rPr>
          <w:i/>
        </w:rPr>
        <w:t>.</w:t>
      </w:r>
    </w:p>
    <w:p w14:paraId="5AF7A669" w14:textId="0097C1AF" w:rsidR="0001072B" w:rsidRDefault="00D334DF" w:rsidP="0001072B">
      <w:pPr>
        <w:spacing w:before="120" w:after="120"/>
      </w:pPr>
      <w:r>
        <w:t>Note: t</w:t>
      </w:r>
      <w:r w:rsidR="0001072B">
        <w:t xml:space="preserve">he ROR formula </w:t>
      </w:r>
      <w:r w:rsidR="00E75CD5">
        <w:t>shows</w:t>
      </w:r>
      <w:r w:rsidR="0001072B">
        <w:t xml:space="preserve"> 20% as expected.</w:t>
      </w:r>
    </w:p>
    <w:p w14:paraId="61D67865" w14:textId="41921E85" w:rsidR="008117D3" w:rsidRPr="006A646B" w:rsidRDefault="00D940D8" w:rsidP="008117D3">
      <w:pPr>
        <w:pStyle w:val="ListParagraph"/>
        <w:spacing w:before="120" w:after="0"/>
        <w:ind w:left="0"/>
        <w:contextualSpacing w:val="0"/>
        <w:rPr>
          <w:rFonts w:eastAsiaTheme="minorEastAsia"/>
          <w:b/>
        </w:rPr>
      </w:pPr>
      <w:r>
        <w:rPr>
          <w:rFonts w:eastAsiaTheme="minorEastAsia"/>
          <w:b/>
        </w:rPr>
        <w:t xml:space="preserve">2.1.2 </w:t>
      </w:r>
      <w:r w:rsidR="008117D3" w:rsidRPr="006A646B">
        <w:rPr>
          <w:rFonts w:eastAsiaTheme="minorEastAsia"/>
          <w:b/>
        </w:rPr>
        <w:t xml:space="preserve">Agreeing on </w:t>
      </w:r>
      <w:r w:rsidR="00B216F8">
        <w:rPr>
          <w:rFonts w:eastAsiaTheme="minorEastAsia"/>
          <w:b/>
        </w:rPr>
        <w:t>n</w:t>
      </w:r>
      <w:r w:rsidR="008117D3">
        <w:rPr>
          <w:rFonts w:eastAsiaTheme="minorEastAsia"/>
          <w:b/>
        </w:rPr>
        <w:t>et earnings after tax</w:t>
      </w:r>
    </w:p>
    <w:p w14:paraId="042CAA62" w14:textId="4FA25D6C" w:rsidR="00122D15" w:rsidRDefault="008117D3" w:rsidP="00DF7B4E">
      <w:pPr>
        <w:pStyle w:val="ListParagraph"/>
        <w:spacing w:after="120"/>
        <w:ind w:left="0"/>
        <w:contextualSpacing w:val="0"/>
      </w:pPr>
      <w:r>
        <w:t xml:space="preserve">The ATO and APRA </w:t>
      </w:r>
      <w:r w:rsidR="0001072B">
        <w:t xml:space="preserve">also </w:t>
      </w:r>
      <w:r>
        <w:t xml:space="preserve">look at “earnings after tax” differently, the two main factors being the treatment of insurance flows (premiums and payouts) and contribution tax. </w:t>
      </w:r>
    </w:p>
    <w:p w14:paraId="262BADD6" w14:textId="3DD668E3" w:rsidR="008117D3" w:rsidRDefault="0001072B" w:rsidP="00DF7B4E">
      <w:pPr>
        <w:pStyle w:val="ListParagraph"/>
        <w:spacing w:after="120"/>
        <w:ind w:left="0"/>
        <w:contextualSpacing w:val="0"/>
      </w:pPr>
      <w:r>
        <w:t>T</w:t>
      </w:r>
      <w:r w:rsidR="008117D3">
        <w:t xml:space="preserve">he ATO includes </w:t>
      </w:r>
      <w:r>
        <w:t xml:space="preserve">both of </w:t>
      </w:r>
      <w:r w:rsidR="008117D3">
        <w:t xml:space="preserve">these in earnings whereas APRA does not; there are arguments for and against which practice is </w:t>
      </w:r>
      <w:r w:rsidR="007B4829">
        <w:t>better,</w:t>
      </w:r>
      <w:r w:rsidR="008117D3">
        <w:t xml:space="preserve"> but we </w:t>
      </w:r>
      <w:r>
        <w:t>agree with APRA that</w:t>
      </w:r>
      <w:r w:rsidR="008117D3">
        <w:t xml:space="preserve"> they should be excluded because:</w:t>
      </w:r>
    </w:p>
    <w:p w14:paraId="27DAD1C3" w14:textId="7E8E9B0F" w:rsidR="00D250D4" w:rsidRDefault="008117D3" w:rsidP="00122D15">
      <w:pPr>
        <w:pStyle w:val="ListParagraph"/>
        <w:spacing w:after="120"/>
        <w:contextualSpacing w:val="0"/>
      </w:pPr>
      <w:r w:rsidRPr="007C7767">
        <w:rPr>
          <w:b/>
        </w:rPr>
        <w:t>Contribution</w:t>
      </w:r>
      <w:r w:rsidRPr="008117D3">
        <w:rPr>
          <w:b/>
        </w:rPr>
        <w:t xml:space="preserve"> Tax</w:t>
      </w:r>
      <w:r>
        <w:t xml:space="preserve"> – is effectively income tax </w:t>
      </w:r>
      <w:r w:rsidR="00EB247B">
        <w:t xml:space="preserve">(at a concessional rate of 15%) </w:t>
      </w:r>
      <w:r>
        <w:t xml:space="preserve">on income that has been directed </w:t>
      </w:r>
      <w:r w:rsidRPr="008117D3">
        <w:rPr>
          <w:i/>
        </w:rPr>
        <w:t>to be</w:t>
      </w:r>
      <w:r>
        <w:t xml:space="preserve"> invested</w:t>
      </w:r>
      <w:r w:rsidR="00EE7889">
        <w:t xml:space="preserve">; </w:t>
      </w:r>
      <w:r>
        <w:t xml:space="preserve">it is not </w:t>
      </w:r>
      <w:r w:rsidRPr="00EB247B">
        <w:t>tax</w:t>
      </w:r>
      <w:r>
        <w:t xml:space="preserve"> on earnings </w:t>
      </w:r>
      <w:r w:rsidR="00EB247B" w:rsidRPr="00EB247B">
        <w:rPr>
          <w:i/>
        </w:rPr>
        <w:t>derived</w:t>
      </w:r>
      <w:r w:rsidR="00EB247B">
        <w:t xml:space="preserve"> from</w:t>
      </w:r>
      <w:r>
        <w:t xml:space="preserve"> that investment.</w:t>
      </w:r>
    </w:p>
    <w:p w14:paraId="7B4B5219" w14:textId="57F296EC" w:rsidR="00EB247B" w:rsidRDefault="00EB247B" w:rsidP="00122D15">
      <w:pPr>
        <w:pStyle w:val="ListParagraph"/>
        <w:spacing w:after="120"/>
        <w:contextualSpacing w:val="0"/>
      </w:pPr>
      <w:r w:rsidRPr="00EB247B">
        <w:rPr>
          <w:b/>
        </w:rPr>
        <w:t>Insurance</w:t>
      </w:r>
      <w:r>
        <w:t xml:space="preserve"> – premiums and insurance payouts are not part of the super system. The decision to </w:t>
      </w:r>
      <w:r w:rsidRPr="00EB247B">
        <w:rPr>
          <w:i/>
        </w:rPr>
        <w:t>invest</w:t>
      </w:r>
      <w:r>
        <w:t xml:space="preserve"> in insurance is effectively a decision to </w:t>
      </w:r>
      <w:r w:rsidRPr="00EB247B">
        <w:rPr>
          <w:i/>
        </w:rPr>
        <w:t>divert</w:t>
      </w:r>
      <w:r>
        <w:t xml:space="preserve"> investment outside the super system i.e. premiums are not a superannuation cost</w:t>
      </w:r>
      <w:r w:rsidR="00EC0E7E">
        <w:t>,</w:t>
      </w:r>
      <w:r>
        <w:t xml:space="preserve"> </w:t>
      </w:r>
      <w:r w:rsidR="00EC0E7E">
        <w:t xml:space="preserve">insurance </w:t>
      </w:r>
      <w:r>
        <w:t xml:space="preserve">payouts are </w:t>
      </w:r>
      <w:r w:rsidR="00EC0E7E">
        <w:t xml:space="preserve">not </w:t>
      </w:r>
      <w:r>
        <w:t xml:space="preserve">superannuation income and </w:t>
      </w:r>
      <w:r w:rsidR="00EC0E7E">
        <w:t>neither</w:t>
      </w:r>
      <w:r>
        <w:t xml:space="preserve"> should affect superannuation </w:t>
      </w:r>
      <w:r w:rsidR="00EC0E7E">
        <w:t>returns</w:t>
      </w:r>
      <w:r>
        <w:t>.</w:t>
      </w:r>
    </w:p>
    <w:p w14:paraId="2C13B8B0" w14:textId="47750108" w:rsidR="00122D15" w:rsidRDefault="00122D15" w:rsidP="00DF7B4E">
      <w:pPr>
        <w:pStyle w:val="ListParagraph"/>
        <w:spacing w:after="120"/>
        <w:ind w:left="0"/>
        <w:contextualSpacing w:val="0"/>
      </w:pPr>
      <w:r>
        <w:t>Let’s define these different “net earnings after tax” amounts as:</w:t>
      </w:r>
    </w:p>
    <w:p w14:paraId="536C63E7" w14:textId="26FD975D" w:rsidR="00122D15" w:rsidRPr="00344E7B" w:rsidRDefault="00122D15" w:rsidP="00344E7B">
      <w:pPr>
        <w:pStyle w:val="ListParagraph"/>
        <w:spacing w:before="120" w:after="120"/>
        <w:contextualSpacing w:val="0"/>
        <w:jc w:val="center"/>
        <w:rPr>
          <w:rFonts w:eastAsiaTheme="minorEastAsia"/>
          <w:sz w:val="18"/>
        </w:rPr>
      </w:pPr>
      <m:oMathPara>
        <m:oMathParaPr>
          <m:jc m:val="left"/>
        </m:oMathParaPr>
        <m:oMath>
          <m:r>
            <w:rPr>
              <w:rFonts w:ascii="Cambria Math" w:eastAsiaTheme="minorEastAsia" w:hAnsi="Cambria Math"/>
              <w:sz w:val="18"/>
            </w:rPr>
            <m:t xml:space="preserve">ROA net earnings=Net earnings after tax </m:t>
          </m:r>
          <m:r>
            <m:rPr>
              <m:sty m:val="bi"/>
            </m:rPr>
            <w:rPr>
              <w:rFonts w:ascii="Cambria Math" w:eastAsiaTheme="minorEastAsia" w:hAnsi="Cambria Math"/>
              <w:color w:val="FF0000"/>
              <w:sz w:val="18"/>
            </w:rPr>
            <m:t>after</m:t>
          </m:r>
          <m:r>
            <w:rPr>
              <w:rFonts w:ascii="Cambria Math" w:eastAsiaTheme="minorEastAsia" w:hAnsi="Cambria Math"/>
              <w:color w:val="FF0000"/>
              <w:sz w:val="18"/>
            </w:rPr>
            <m:t xml:space="preserve"> contribution tax and insurance flows</m:t>
          </m:r>
        </m:oMath>
      </m:oMathPara>
    </w:p>
    <w:p w14:paraId="6613DF5B" w14:textId="77777777" w:rsidR="00122D15" w:rsidRPr="00344E7B" w:rsidRDefault="00122D15" w:rsidP="00344E7B">
      <w:pPr>
        <w:pStyle w:val="ListParagraph"/>
        <w:spacing w:before="120" w:after="120"/>
        <w:contextualSpacing w:val="0"/>
        <w:jc w:val="center"/>
        <w:rPr>
          <w:rFonts w:eastAsiaTheme="minorEastAsia"/>
          <w:sz w:val="18"/>
        </w:rPr>
      </w:pPr>
      <m:oMathPara>
        <m:oMathParaPr>
          <m:jc m:val="left"/>
        </m:oMathParaPr>
        <m:oMath>
          <m:r>
            <w:rPr>
              <w:rFonts w:ascii="Cambria Math" w:eastAsiaTheme="minorEastAsia" w:hAnsi="Cambria Math"/>
              <w:sz w:val="18"/>
            </w:rPr>
            <m:t xml:space="preserve">ROR net earnings=Net earnings after tax </m:t>
          </m:r>
          <m:r>
            <m:rPr>
              <m:sty m:val="bi"/>
            </m:rPr>
            <w:rPr>
              <w:rFonts w:ascii="Cambria Math" w:eastAsiaTheme="minorEastAsia" w:hAnsi="Cambria Math"/>
              <w:color w:val="FF0000"/>
              <w:sz w:val="18"/>
            </w:rPr>
            <m:t>before</m:t>
          </m:r>
          <m:r>
            <w:rPr>
              <w:rFonts w:ascii="Cambria Math" w:eastAsiaTheme="minorEastAsia" w:hAnsi="Cambria Math"/>
              <w:color w:val="FF0000"/>
              <w:sz w:val="18"/>
            </w:rPr>
            <m:t xml:space="preserve"> contribution tax and insurance flows</m:t>
          </m:r>
        </m:oMath>
      </m:oMathPara>
    </w:p>
    <w:p w14:paraId="58C913B7" w14:textId="5A5C565F" w:rsidR="00D250D4" w:rsidRDefault="00EB247B" w:rsidP="00DF7B4E">
      <w:pPr>
        <w:pStyle w:val="ListParagraph"/>
        <w:spacing w:after="120"/>
        <w:ind w:left="0"/>
        <w:contextualSpacing w:val="0"/>
      </w:pPr>
      <w:r>
        <w:t xml:space="preserve">The formulae can </w:t>
      </w:r>
      <w:r w:rsidR="00122D15">
        <w:t xml:space="preserve">then </w:t>
      </w:r>
      <w:r>
        <w:t xml:space="preserve">be </w:t>
      </w:r>
      <w:r w:rsidR="00122D15">
        <w:t>restated as</w:t>
      </w:r>
      <w:r>
        <w:t>:</w:t>
      </w:r>
    </w:p>
    <w:p w14:paraId="1A2234BC" w14:textId="79D6592F" w:rsidR="00EB247B" w:rsidRPr="00344E7B" w:rsidRDefault="00EB247B" w:rsidP="00344E7B">
      <w:pPr>
        <w:pStyle w:val="ListParagraph"/>
        <w:spacing w:before="120" w:after="120"/>
        <w:ind w:left="0"/>
        <w:contextualSpacing w:val="0"/>
        <w:rPr>
          <w:rFonts w:eastAsiaTheme="minorEastAsia"/>
          <w:sz w:val="20"/>
        </w:rPr>
      </w:pPr>
      <m:oMath>
        <m:r>
          <w:rPr>
            <w:rFonts w:ascii="Cambria Math" w:eastAsiaTheme="minorEastAsia" w:hAnsi="Cambria Math"/>
            <w:sz w:val="20"/>
          </w:rPr>
          <m:t>ROA=</m:t>
        </m:r>
        <m:f>
          <m:fPr>
            <m:ctrlPr>
              <w:rPr>
                <w:rFonts w:ascii="Cambria Math" w:eastAsiaTheme="minorEastAsia" w:hAnsi="Cambria Math"/>
                <w:i/>
                <w:sz w:val="20"/>
              </w:rPr>
            </m:ctrlPr>
          </m:fPr>
          <m:num>
            <m:r>
              <w:rPr>
                <w:rFonts w:ascii="Cambria Math" w:eastAsiaTheme="minorEastAsia" w:hAnsi="Cambria Math"/>
                <w:sz w:val="20"/>
              </w:rPr>
              <m:t>ROA net earnings</m:t>
            </m:r>
          </m:num>
          <m:den>
            <m:r>
              <w:rPr>
                <w:rFonts w:ascii="Cambria Math" w:eastAsiaTheme="minorEastAsia" w:hAnsi="Cambria Math"/>
                <w:sz w:val="20"/>
              </w:rPr>
              <m:t xml:space="preserve">Net assets at start of year + </m:t>
            </m:r>
            <m:f>
              <m:fPr>
                <m:ctrlPr>
                  <w:rPr>
                    <w:rFonts w:ascii="Cambria Math" w:eastAsiaTheme="minorEastAsia" w:hAnsi="Cambria Math"/>
                    <w:i/>
                    <w:sz w:val="20"/>
                  </w:rPr>
                </m:ctrlPr>
              </m:fPr>
              <m:num>
                <m:r>
                  <w:rPr>
                    <w:rFonts w:ascii="Cambria Math" w:eastAsiaTheme="minorEastAsia" w:hAnsi="Cambria Math"/>
                    <w:sz w:val="20"/>
                  </w:rPr>
                  <m:t>1</m:t>
                </m:r>
              </m:num>
              <m:den>
                <m:r>
                  <w:rPr>
                    <w:rFonts w:ascii="Cambria Math" w:eastAsiaTheme="minorEastAsia" w:hAnsi="Cambria Math"/>
                    <w:sz w:val="20"/>
                  </w:rPr>
                  <m:t>2</m:t>
                </m:r>
              </m:den>
            </m:f>
            <m:d>
              <m:dPr>
                <m:ctrlPr>
                  <w:rPr>
                    <w:rFonts w:ascii="Cambria Math" w:eastAsiaTheme="minorEastAsia" w:hAnsi="Cambria Math"/>
                    <w:i/>
                    <w:sz w:val="20"/>
                  </w:rPr>
                </m:ctrlPr>
              </m:dPr>
              <m:e>
                <m:r>
                  <w:rPr>
                    <w:rFonts w:ascii="Cambria Math" w:eastAsiaTheme="minorEastAsia" w:hAnsi="Cambria Math"/>
                    <w:sz w:val="20"/>
                  </w:rPr>
                  <m:t xml:space="preserve">Net member flows </m:t>
                </m:r>
                <m:r>
                  <m:rPr>
                    <m:sty m:val="bi"/>
                  </m:rPr>
                  <w:rPr>
                    <w:rFonts w:ascii="Cambria Math" w:eastAsiaTheme="minorEastAsia" w:hAnsi="Cambria Math"/>
                    <w:color w:val="FF0000"/>
                    <w:sz w:val="20"/>
                  </w:rPr>
                  <m:t>before</m:t>
                </m:r>
                <m:r>
                  <w:rPr>
                    <w:rFonts w:ascii="Cambria Math" w:eastAsiaTheme="minorEastAsia" w:hAnsi="Cambria Math"/>
                    <w:color w:val="FF0000"/>
                    <w:sz w:val="20"/>
                  </w:rPr>
                  <m:t xml:space="preserve"> contributions tax</m:t>
                </m:r>
                <m:r>
                  <w:rPr>
                    <w:rFonts w:ascii="Cambria Math" w:eastAsiaTheme="minorEastAsia" w:hAnsi="Cambria Math"/>
                    <w:sz w:val="20"/>
                  </w:rPr>
                  <m:t xml:space="preserve"> + Net insurance flows </m:t>
                </m:r>
                <m:r>
                  <w:rPr>
                    <w:rFonts w:ascii="Cambria Math" w:eastAsiaTheme="minorEastAsia" w:hAnsi="Cambria Math"/>
                    <w:color w:val="FF0000"/>
                    <w:sz w:val="20"/>
                  </w:rPr>
                  <m:t>+ ROA net earnings</m:t>
                </m:r>
              </m:e>
            </m:d>
          </m:den>
        </m:f>
      </m:oMath>
      <w:r w:rsidRPr="00344E7B">
        <w:rPr>
          <w:rFonts w:eastAsiaTheme="minorEastAsia"/>
          <w:sz w:val="20"/>
        </w:rPr>
        <w:t xml:space="preserve">   </w:t>
      </w:r>
    </w:p>
    <w:p w14:paraId="2BA838A1" w14:textId="18DC6491" w:rsidR="001A6608" w:rsidRPr="00344E7B" w:rsidRDefault="001A6608" w:rsidP="00344E7B">
      <w:pPr>
        <w:pStyle w:val="ListParagraph"/>
        <w:spacing w:before="120" w:after="120"/>
        <w:ind w:left="0"/>
        <w:contextualSpacing w:val="0"/>
      </w:pPr>
      <m:oMath>
        <m:r>
          <w:rPr>
            <w:rFonts w:ascii="Cambria Math" w:eastAsiaTheme="minorEastAsia" w:hAnsi="Cambria Math"/>
            <w:sz w:val="20"/>
          </w:rPr>
          <m:t>ROR=</m:t>
        </m:r>
        <m:f>
          <m:fPr>
            <m:ctrlPr>
              <w:rPr>
                <w:rFonts w:ascii="Cambria Math" w:eastAsiaTheme="minorEastAsia" w:hAnsi="Cambria Math"/>
                <w:i/>
                <w:sz w:val="20"/>
              </w:rPr>
            </m:ctrlPr>
          </m:fPr>
          <m:num>
            <m:r>
              <w:rPr>
                <w:rFonts w:ascii="Cambria Math" w:eastAsiaTheme="minorEastAsia" w:hAnsi="Cambria Math"/>
                <w:sz w:val="20"/>
              </w:rPr>
              <m:t>ROR net earnings</m:t>
            </m:r>
          </m:num>
          <m:den>
            <m:r>
              <w:rPr>
                <w:rFonts w:ascii="Cambria Math" w:eastAsiaTheme="minorEastAsia" w:hAnsi="Cambria Math"/>
                <w:sz w:val="20"/>
              </w:rPr>
              <m:t xml:space="preserve">Net assets at start of year + </m:t>
            </m:r>
            <m:f>
              <m:fPr>
                <m:ctrlPr>
                  <w:rPr>
                    <w:rFonts w:ascii="Cambria Math" w:eastAsiaTheme="minorEastAsia" w:hAnsi="Cambria Math"/>
                    <w:i/>
                    <w:sz w:val="20"/>
                  </w:rPr>
                </m:ctrlPr>
              </m:fPr>
              <m:num>
                <m:r>
                  <w:rPr>
                    <w:rFonts w:ascii="Cambria Math" w:eastAsiaTheme="minorEastAsia" w:hAnsi="Cambria Math"/>
                    <w:sz w:val="20"/>
                  </w:rPr>
                  <m:t>1</m:t>
                </m:r>
              </m:num>
              <m:den>
                <m:r>
                  <w:rPr>
                    <w:rFonts w:ascii="Cambria Math" w:eastAsiaTheme="minorEastAsia" w:hAnsi="Cambria Math"/>
                    <w:sz w:val="20"/>
                  </w:rPr>
                  <m:t>2</m:t>
                </m:r>
              </m:den>
            </m:f>
            <m:d>
              <m:dPr>
                <m:ctrlPr>
                  <w:rPr>
                    <w:rFonts w:ascii="Cambria Math" w:eastAsiaTheme="minorEastAsia" w:hAnsi="Cambria Math"/>
                    <w:i/>
                    <w:sz w:val="20"/>
                  </w:rPr>
                </m:ctrlPr>
              </m:dPr>
              <m:e>
                <m:r>
                  <w:rPr>
                    <w:rFonts w:ascii="Cambria Math" w:eastAsiaTheme="minorEastAsia" w:hAnsi="Cambria Math"/>
                    <w:sz w:val="20"/>
                  </w:rPr>
                  <m:t xml:space="preserve">Net member flows </m:t>
                </m:r>
                <m:r>
                  <m:rPr>
                    <m:sty m:val="bi"/>
                  </m:rPr>
                  <w:rPr>
                    <w:rFonts w:ascii="Cambria Math" w:eastAsiaTheme="minorEastAsia" w:hAnsi="Cambria Math"/>
                    <w:color w:val="FF0000"/>
                    <w:sz w:val="20"/>
                  </w:rPr>
                  <m:t>after</m:t>
                </m:r>
                <m:r>
                  <w:rPr>
                    <w:rFonts w:ascii="Cambria Math" w:eastAsiaTheme="minorEastAsia" w:hAnsi="Cambria Math"/>
                    <w:color w:val="FF0000"/>
                    <w:sz w:val="20"/>
                  </w:rPr>
                  <m:t xml:space="preserve"> contributions tax</m:t>
                </m:r>
                <m:r>
                  <w:rPr>
                    <w:rFonts w:ascii="Cambria Math" w:eastAsiaTheme="minorEastAsia" w:hAnsi="Cambria Math"/>
                    <w:sz w:val="20"/>
                  </w:rPr>
                  <m:t xml:space="preserve"> + Net insurance flows</m:t>
                </m:r>
              </m:e>
            </m:d>
            <m:r>
              <w:rPr>
                <w:rFonts w:ascii="Cambria Math" w:eastAsiaTheme="minorEastAsia" w:hAnsi="Cambria Math"/>
                <w:sz w:val="20"/>
              </w:rPr>
              <m:t xml:space="preserve">                                                 </m:t>
            </m:r>
          </m:den>
        </m:f>
      </m:oMath>
      <w:r w:rsidRPr="00344E7B">
        <w:rPr>
          <w:rFonts w:eastAsiaTheme="minorEastAsia"/>
          <w:sz w:val="20"/>
        </w:rPr>
        <w:t xml:space="preserve"> </w:t>
      </w:r>
      <w:r w:rsidRPr="00344E7B">
        <w:t xml:space="preserve">  </w:t>
      </w:r>
    </w:p>
    <w:p w14:paraId="4710C775" w14:textId="5AA50EFA" w:rsidR="00EB247B" w:rsidRPr="00344E7B" w:rsidRDefault="00F73B65" w:rsidP="00DF7B4E">
      <w:pPr>
        <w:pStyle w:val="ListParagraph"/>
        <w:spacing w:after="120"/>
        <w:ind w:left="0"/>
        <w:contextualSpacing w:val="0"/>
        <w:rPr>
          <w:b/>
        </w:rPr>
      </w:pPr>
      <w:r>
        <w:rPr>
          <w:b/>
        </w:rPr>
        <w:lastRenderedPageBreak/>
        <w:t xml:space="preserve">2.2 </w:t>
      </w:r>
      <w:r w:rsidR="00344E7B">
        <w:rPr>
          <w:b/>
        </w:rPr>
        <w:t>Adjusting</w:t>
      </w:r>
      <w:r w:rsidR="00344E7B" w:rsidRPr="00344E7B">
        <w:rPr>
          <w:b/>
        </w:rPr>
        <w:t xml:space="preserve"> ROA </w:t>
      </w:r>
      <w:r w:rsidR="00344E7B">
        <w:rPr>
          <w:b/>
        </w:rPr>
        <w:t xml:space="preserve">to compare to </w:t>
      </w:r>
      <w:r w:rsidR="00344E7B" w:rsidRPr="00344E7B">
        <w:rPr>
          <w:b/>
        </w:rPr>
        <w:t>ROR</w:t>
      </w:r>
    </w:p>
    <w:p w14:paraId="7FA1D808" w14:textId="77DFDC28" w:rsidR="0001072B" w:rsidRDefault="0001072B" w:rsidP="00DF7B4E">
      <w:pPr>
        <w:pStyle w:val="ListParagraph"/>
        <w:spacing w:after="120"/>
        <w:ind w:left="0"/>
        <w:contextualSpacing w:val="0"/>
      </w:pPr>
      <w:r>
        <w:t xml:space="preserve">Regardless of debate about the treatment of insurance premiums etc. the important thing is to be able to compare performance </w:t>
      </w:r>
      <w:r w:rsidR="008837C1">
        <w:t xml:space="preserve">on </w:t>
      </w:r>
      <w:r w:rsidR="64960A49">
        <w:t xml:space="preserve">a </w:t>
      </w:r>
      <w:r w:rsidR="008837C1">
        <w:t xml:space="preserve">consistent basis </w:t>
      </w:r>
      <w:r>
        <w:t>across the superannuation sector.</w:t>
      </w:r>
    </w:p>
    <w:p w14:paraId="4DEACCFB" w14:textId="57B85A5F" w:rsidR="00344E7B" w:rsidRDefault="00344E7B" w:rsidP="00DF7B4E">
      <w:pPr>
        <w:pStyle w:val="ListParagraph"/>
        <w:spacing w:after="120"/>
        <w:ind w:left="0"/>
        <w:contextualSpacing w:val="0"/>
      </w:pPr>
      <w:r>
        <w:t xml:space="preserve">Now that we understand the significant differences, </w:t>
      </w:r>
      <w:r w:rsidR="00620F63">
        <w:t>leaving aside</w:t>
      </w:r>
      <w:r>
        <w:t xml:space="preserve"> the other minor differences between the two formulae</w:t>
      </w:r>
      <w:r w:rsidR="008837C1">
        <w:t>,</w:t>
      </w:r>
      <w:r>
        <w:t xml:space="preserve"> we can make adjustments that allow for a reasonable comparison of SMSF and APRA fund performance.</w:t>
      </w:r>
    </w:p>
    <w:p w14:paraId="0A7534D5" w14:textId="5744258F" w:rsidR="00E103D9" w:rsidRDefault="00344E7B" w:rsidP="00DF7B4E">
      <w:pPr>
        <w:pStyle w:val="ListParagraph"/>
        <w:spacing w:after="120"/>
        <w:ind w:left="0"/>
        <w:contextualSpacing w:val="0"/>
      </w:pPr>
      <w:r>
        <w:t>The ATO already has the data required to make these adjustments (contribution tax and insurance flows) and</w:t>
      </w:r>
      <w:r w:rsidR="00F422C4">
        <w:t>,</w:t>
      </w:r>
      <w:r>
        <w:t xml:space="preserve"> given that the ATO also makes this information publicly available</w:t>
      </w:r>
      <w:r w:rsidR="00F422C4">
        <w:t>,</w:t>
      </w:r>
      <w:r w:rsidR="00E103D9">
        <w:t xml:space="preserve"> Class has been able to perform these </w:t>
      </w:r>
      <w:r w:rsidR="00CD53A6">
        <w:t xml:space="preserve">adjustments to the </w:t>
      </w:r>
      <w:r w:rsidR="00B25423">
        <w:t>ATO data published in the draft report</w:t>
      </w:r>
      <w:r w:rsidR="00E103D9">
        <w:t xml:space="preserve">: </w:t>
      </w:r>
    </w:p>
    <w:p w14:paraId="6FC2F1EC" w14:textId="7FD4853B" w:rsidR="00344E7B" w:rsidRDefault="008440D9" w:rsidP="00DF7B4E">
      <w:pPr>
        <w:pStyle w:val="ListParagraph"/>
        <w:spacing w:after="120"/>
        <w:ind w:left="0"/>
        <w:contextualSpacing w:val="0"/>
        <w:rPr>
          <w:color w:val="FF0000"/>
        </w:rPr>
      </w:pPr>
      <w:r>
        <w:rPr>
          <w:noProof/>
          <w:lang w:eastAsia="en-AU"/>
        </w:rPr>
        <mc:AlternateContent>
          <mc:Choice Requires="wps">
            <w:drawing>
              <wp:anchor distT="0" distB="0" distL="114300" distR="114300" simplePos="0" relativeHeight="251664398" behindDoc="0" locked="0" layoutInCell="1" allowOverlap="1" wp14:anchorId="0B22A3C3" wp14:editId="51813FDB">
                <wp:simplePos x="0" y="0"/>
                <wp:positionH relativeFrom="column">
                  <wp:posOffset>0</wp:posOffset>
                </wp:positionH>
                <wp:positionV relativeFrom="paragraph">
                  <wp:posOffset>1322705</wp:posOffset>
                </wp:positionV>
                <wp:extent cx="5731510" cy="262255"/>
                <wp:effectExtent l="0" t="0" r="2540" b="4445"/>
                <wp:wrapTopAndBottom/>
                <wp:docPr id="20" name="Text Box 20"/>
                <wp:cNvGraphicFramePr/>
                <a:graphic xmlns:a="http://schemas.openxmlformats.org/drawingml/2006/main">
                  <a:graphicData uri="http://schemas.microsoft.com/office/word/2010/wordprocessingShape">
                    <wps:wsp>
                      <wps:cNvSpPr txBox="1"/>
                      <wps:spPr>
                        <a:xfrm>
                          <a:off x="0" y="0"/>
                          <a:ext cx="5731510" cy="262255"/>
                        </a:xfrm>
                        <a:prstGeom prst="rect">
                          <a:avLst/>
                        </a:prstGeom>
                        <a:solidFill>
                          <a:schemeClr val="lt1"/>
                        </a:solidFill>
                        <a:ln w="6350">
                          <a:noFill/>
                        </a:ln>
                      </wps:spPr>
                      <wps:txbx>
                        <w:txbxContent>
                          <w:p w14:paraId="3C26F617" w14:textId="4BD8023D" w:rsidR="008440D9" w:rsidRPr="005A24AA" w:rsidRDefault="008440D9" w:rsidP="008440D9">
                            <w:pPr>
                              <w:rPr>
                                <w:i/>
                              </w:rPr>
                            </w:pPr>
                            <w:r>
                              <w:rPr>
                                <w:b/>
                                <w:i/>
                              </w:rPr>
                              <w:t xml:space="preserve">Table C.1                                                                                                                                   </w:t>
                            </w:r>
                            <w:r w:rsidRPr="005A24AA">
                              <w:rPr>
                                <w:i/>
                              </w:rPr>
                              <w:t>source</w:t>
                            </w:r>
                            <w:r>
                              <w:rPr>
                                <w:i/>
                              </w:rPr>
                              <w:t>:</w:t>
                            </w:r>
                            <w:r w:rsidRPr="005A24AA">
                              <w:rPr>
                                <w:i/>
                              </w:rPr>
                              <w:t xml:space="preserve"> </w:t>
                            </w:r>
                            <w:r>
                              <w:rPr>
                                <w:i/>
                              </w:rPr>
                              <w:t>ATO, Class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22A3C3" id="Text Box 20" o:spid="_x0000_s1029" type="#_x0000_t202" style="position:absolute;margin-left:0;margin-top:104.15pt;width:451.3pt;height:20.65pt;z-index:251664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" fillcolor="white [3201]" stroked="f" strokeweight=".5pt">
                <v:textbox inset="0,0,0,0">
                  <w:txbxContent>
                    <w:p w14:paraId="3C26F617" w14:textId="4BD8023D" w:rsidR="008440D9" w:rsidRPr="005A24AA" w:rsidRDefault="008440D9" w:rsidP="008440D9">
                      <w:pPr>
                        <w:rPr>
                          <w:i/>
                        </w:rPr>
                      </w:pPr>
                      <w:r>
                        <w:rPr>
                          <w:b/>
                          <w:i/>
                        </w:rPr>
                        <w:t xml:space="preserve">Table C.1                                                                                                                                   </w:t>
                      </w:r>
                      <w:r w:rsidRPr="005A24AA">
                        <w:rPr>
                          <w:i/>
                        </w:rPr>
                        <w:t>source</w:t>
                      </w:r>
                      <w:r>
                        <w:rPr>
                          <w:i/>
                        </w:rPr>
                        <w:t>:</w:t>
                      </w:r>
                      <w:r w:rsidRPr="005A24AA">
                        <w:rPr>
                          <w:i/>
                        </w:rPr>
                        <w:t xml:space="preserve"> </w:t>
                      </w:r>
                      <w:r>
                        <w:rPr>
                          <w:i/>
                        </w:rPr>
                        <w:t>ATO, Class</w:t>
                      </w:r>
                    </w:p>
                  </w:txbxContent>
                </v:textbox>
                <w10:wrap type="topAndBottom"/>
              </v:shape>
            </w:pict>
          </mc:Fallback>
        </mc:AlternateContent>
      </w:r>
      <w:r w:rsidR="008837C1" w:rsidRPr="008837C1">
        <w:rPr>
          <w:noProof/>
          <w:lang w:eastAsia="en-AU"/>
        </w:rPr>
        <w:drawing>
          <wp:inline distT="0" distB="0" distL="0" distR="0" wp14:anchorId="0F4B0F78" wp14:editId="2ACF7938">
            <wp:extent cx="5731510" cy="1319888"/>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1319888"/>
                    </a:xfrm>
                    <a:prstGeom prst="rect">
                      <a:avLst/>
                    </a:prstGeom>
                    <a:noFill/>
                    <a:ln>
                      <a:noFill/>
                    </a:ln>
                  </pic:spPr>
                </pic:pic>
              </a:graphicData>
            </a:graphic>
          </wp:inline>
        </w:drawing>
      </w:r>
    </w:p>
    <w:p w14:paraId="6D41C246" w14:textId="5278D01B" w:rsidR="00B8445C" w:rsidRPr="00B8445C" w:rsidRDefault="00B8445C" w:rsidP="00DF7B4E">
      <w:pPr>
        <w:pStyle w:val="ListParagraph"/>
        <w:spacing w:after="120"/>
        <w:ind w:left="0"/>
        <w:contextualSpacing w:val="0"/>
      </w:pPr>
      <w:r w:rsidRPr="00B8445C">
        <w:t xml:space="preserve">Using the </w:t>
      </w:r>
      <w:r w:rsidR="004C2A9B" w:rsidRPr="00065E0B">
        <w:rPr>
          <w:i/>
        </w:rPr>
        <w:t>10 year</w:t>
      </w:r>
      <w:r w:rsidR="004C2A9B">
        <w:t xml:space="preserve"> </w:t>
      </w:r>
      <w:r w:rsidRPr="00F95C15">
        <w:rPr>
          <w:i/>
        </w:rPr>
        <w:t>estimated ROR</w:t>
      </w:r>
      <w:r w:rsidR="00975E29">
        <w:t xml:space="preserve"> above</w:t>
      </w:r>
      <w:r w:rsidRPr="00B8445C">
        <w:t xml:space="preserve">, </w:t>
      </w:r>
      <w:r w:rsidRPr="00A905DE">
        <w:rPr>
          <w:i/>
        </w:rPr>
        <w:t>Figure 2.3</w:t>
      </w:r>
      <w:r w:rsidRPr="00B8445C">
        <w:t xml:space="preserve"> from the draft report would look like this:</w:t>
      </w:r>
    </w:p>
    <w:p w14:paraId="2FF3913A" w14:textId="4201CC81" w:rsidR="00344E7B" w:rsidRDefault="008440D9" w:rsidP="00B8445C">
      <w:pPr>
        <w:pStyle w:val="ListParagraph"/>
        <w:spacing w:after="120"/>
        <w:ind w:left="0"/>
        <w:contextualSpacing w:val="0"/>
        <w:jc w:val="center"/>
      </w:pPr>
      <w:r>
        <w:rPr>
          <w:noProof/>
          <w:lang w:eastAsia="en-AU"/>
        </w:rPr>
        <mc:AlternateContent>
          <mc:Choice Requires="wps">
            <w:drawing>
              <wp:anchor distT="0" distB="0" distL="114300" distR="114300" simplePos="0" relativeHeight="251662350" behindDoc="0" locked="0" layoutInCell="1" allowOverlap="1" wp14:anchorId="2C6176B8" wp14:editId="3AD1E72C">
                <wp:simplePos x="0" y="0"/>
                <wp:positionH relativeFrom="column">
                  <wp:posOffset>1084884</wp:posOffset>
                </wp:positionH>
                <wp:positionV relativeFrom="paragraph">
                  <wp:posOffset>2086610</wp:posOffset>
                </wp:positionV>
                <wp:extent cx="914400" cy="262255"/>
                <wp:effectExtent l="0" t="0" r="2540" b="4445"/>
                <wp:wrapTopAndBottom/>
                <wp:docPr id="16" name="Text Box 16"/>
                <wp:cNvGraphicFramePr/>
                <a:graphic xmlns:a="http://schemas.openxmlformats.org/drawingml/2006/main">
                  <a:graphicData uri="http://schemas.microsoft.com/office/word/2010/wordprocessingShape">
                    <wps:wsp>
                      <wps:cNvSpPr txBox="1"/>
                      <wps:spPr>
                        <a:xfrm>
                          <a:off x="0" y="0"/>
                          <a:ext cx="914400" cy="262255"/>
                        </a:xfrm>
                        <a:prstGeom prst="rect">
                          <a:avLst/>
                        </a:prstGeom>
                        <a:solidFill>
                          <a:schemeClr val="lt1"/>
                        </a:solidFill>
                        <a:ln w="6350">
                          <a:noFill/>
                        </a:ln>
                      </wps:spPr>
                      <wps:txbx>
                        <w:txbxContent>
                          <w:p w14:paraId="6412FD02" w14:textId="19B30952" w:rsidR="008440D9" w:rsidRPr="005A24AA" w:rsidRDefault="008440D9" w:rsidP="008440D9">
                            <w:pPr>
                              <w:rPr>
                                <w:i/>
                              </w:rPr>
                            </w:pPr>
                            <w:r>
                              <w:rPr>
                                <w:b/>
                                <w:i/>
                              </w:rPr>
                              <w:t>Figure 2.3 with Class estimated SMSF ROR</w:t>
                            </w:r>
                            <w:r w:rsidRPr="005A24AA">
                              <w:rPr>
                                <w:i/>
                              </w:rPr>
                              <w:t xml:space="preserve"> </w:t>
                            </w:r>
                            <w:r>
                              <w:rPr>
                                <w:i/>
                              </w:rPr>
                              <w:t xml:space="preserve">      </w:t>
                            </w:r>
                            <w:r w:rsidRPr="005A24AA">
                              <w:rPr>
                                <w:i/>
                              </w:rPr>
                              <w:t>source</w:t>
                            </w:r>
                            <w:r>
                              <w:rPr>
                                <w:i/>
                              </w:rPr>
                              <w:t>:</w:t>
                            </w:r>
                            <w:r w:rsidRPr="005A24AA">
                              <w:rPr>
                                <w:i/>
                              </w:rPr>
                              <w:t xml:space="preserve"> </w:t>
                            </w:r>
                            <w:r>
                              <w:rPr>
                                <w:i/>
                              </w:rPr>
                              <w:t>PC, Class</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6176B8" id="Text Box 16" o:spid="_x0000_s1030" type="#_x0000_t202" style="position:absolute;left:0;text-align:left;margin-left:85.4pt;margin-top:164.3pt;width:1in;height:20.65pt;z-index:25166235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" fillcolor="white [3201]" stroked="f" strokeweight=".5pt">
                <v:textbox inset="0,0,0,0">
                  <w:txbxContent>
                    <w:p w14:paraId="6412FD02" w14:textId="19B30952" w:rsidR="008440D9" w:rsidRPr="005A24AA" w:rsidRDefault="008440D9" w:rsidP="008440D9">
                      <w:pPr>
                        <w:rPr>
                          <w:i/>
                        </w:rPr>
                      </w:pPr>
                      <w:r>
                        <w:rPr>
                          <w:b/>
                          <w:i/>
                        </w:rPr>
                        <w:t>Figure 2.3 with Class estimated SMSF ROR</w:t>
                      </w:r>
                      <w:r w:rsidRPr="005A24AA">
                        <w:rPr>
                          <w:i/>
                        </w:rPr>
                        <w:t xml:space="preserve"> </w:t>
                      </w:r>
                      <w:r>
                        <w:rPr>
                          <w:i/>
                        </w:rPr>
                        <w:t xml:space="preserve">      </w:t>
                      </w:r>
                      <w:r w:rsidRPr="005A24AA">
                        <w:rPr>
                          <w:i/>
                        </w:rPr>
                        <w:t>source</w:t>
                      </w:r>
                      <w:r>
                        <w:rPr>
                          <w:i/>
                        </w:rPr>
                        <w:t>:</w:t>
                      </w:r>
                      <w:r w:rsidRPr="005A24AA">
                        <w:rPr>
                          <w:i/>
                        </w:rPr>
                        <w:t xml:space="preserve"> </w:t>
                      </w:r>
                      <w:r>
                        <w:rPr>
                          <w:i/>
                        </w:rPr>
                        <w:t>PC, Class</w:t>
                      </w:r>
                    </w:p>
                  </w:txbxContent>
                </v:textbox>
                <w10:wrap type="topAndBottom"/>
              </v:shape>
            </w:pict>
          </mc:Fallback>
        </mc:AlternateContent>
      </w:r>
      <w:r w:rsidR="00FE2186">
        <w:rPr>
          <w:noProof/>
          <w:lang w:eastAsia="en-AU"/>
        </w:rPr>
        <w:drawing>
          <wp:inline distT="0" distB="0" distL="0" distR="0" wp14:anchorId="24DE28AD" wp14:editId="11C8425B">
            <wp:extent cx="4004970" cy="2049075"/>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24313" cy="2058972"/>
                    </a:xfrm>
                    <a:prstGeom prst="rect">
                      <a:avLst/>
                    </a:prstGeom>
                  </pic:spPr>
                </pic:pic>
              </a:graphicData>
            </a:graphic>
          </wp:inline>
        </w:drawing>
      </w:r>
    </w:p>
    <w:p w14:paraId="6CB41924" w14:textId="1EFBEEB8" w:rsidR="00F73B65" w:rsidRPr="00975E29" w:rsidRDefault="00975E29">
      <w:pPr>
        <w:rPr>
          <w:b/>
        </w:rPr>
      </w:pPr>
      <w:r w:rsidRPr="00975E29">
        <w:rPr>
          <w:b/>
        </w:rPr>
        <w:t xml:space="preserve">2.3 </w:t>
      </w:r>
      <w:r w:rsidR="00F73B65" w:rsidRPr="00975E29">
        <w:rPr>
          <w:b/>
        </w:rPr>
        <w:t>ATO Confirmation</w:t>
      </w:r>
    </w:p>
    <w:p w14:paraId="45808C9E" w14:textId="2B1F5FEF" w:rsidR="00110659" w:rsidRDefault="00B8445C">
      <w:r>
        <w:t>Although we are confident that our estimates are accurate</w:t>
      </w:r>
      <w:r w:rsidR="00B65F7E">
        <w:t>,</w:t>
      </w:r>
      <w:r>
        <w:t xml:space="preserve"> it would </w:t>
      </w:r>
      <w:r w:rsidR="00A905DE">
        <w:t>clearly</w:t>
      </w:r>
      <w:r>
        <w:t xml:space="preserve"> be better if the ATO were to apply the required adjustments and provided estimated ROR</w:t>
      </w:r>
      <w:r w:rsidR="00B65F7E">
        <w:t xml:space="preserve"> data</w:t>
      </w:r>
      <w:r>
        <w:t xml:space="preserve"> to the C</w:t>
      </w:r>
      <w:r w:rsidR="64960A49">
        <w:t>ommission</w:t>
      </w:r>
      <w:r>
        <w:t>.</w:t>
      </w:r>
    </w:p>
    <w:p w14:paraId="6F18A0DD" w14:textId="77777777" w:rsidR="00C307E5" w:rsidRDefault="00C307E5" w:rsidP="00C72A85">
      <w:pPr>
        <w:rPr>
          <w:b/>
        </w:rPr>
      </w:pPr>
    </w:p>
    <w:p w14:paraId="192F312A" w14:textId="77777777" w:rsidR="00C307E5" w:rsidRDefault="00C307E5" w:rsidP="00C72A85">
      <w:pPr>
        <w:rPr>
          <w:b/>
        </w:rPr>
      </w:pPr>
    </w:p>
    <w:p w14:paraId="429AAF26" w14:textId="77777777" w:rsidR="000E5105" w:rsidRDefault="000E5105">
      <w:pPr>
        <w:rPr>
          <w:b/>
        </w:rPr>
      </w:pPr>
      <w:r>
        <w:rPr>
          <w:b/>
        </w:rPr>
        <w:br w:type="page"/>
      </w:r>
    </w:p>
    <w:p w14:paraId="07460723" w14:textId="6E8DDEB0" w:rsidR="00C72A85" w:rsidRPr="00975E29" w:rsidRDefault="00C72A85" w:rsidP="00C72A85">
      <w:pPr>
        <w:rPr>
          <w:b/>
        </w:rPr>
      </w:pPr>
      <w:r w:rsidRPr="00975E29">
        <w:rPr>
          <w:b/>
        </w:rPr>
        <w:lastRenderedPageBreak/>
        <w:t xml:space="preserve">3 </w:t>
      </w:r>
      <w:r w:rsidR="00AF7BA4">
        <w:rPr>
          <w:b/>
        </w:rPr>
        <w:t>Bracket Bias Factors</w:t>
      </w:r>
    </w:p>
    <w:p w14:paraId="70F830CE" w14:textId="39A02C1D" w:rsidR="00F422C4" w:rsidRDefault="008E05BF" w:rsidP="00DF7B4E">
      <w:pPr>
        <w:pStyle w:val="ListParagraph"/>
        <w:spacing w:after="120"/>
        <w:ind w:left="0"/>
        <w:contextualSpacing w:val="0"/>
      </w:pPr>
      <w:r>
        <w:rPr>
          <w:noProof/>
          <w:lang w:eastAsia="en-AU"/>
        </w:rPr>
        <w:drawing>
          <wp:anchor distT="0" distB="0" distL="114300" distR="114300" simplePos="0" relativeHeight="251658248" behindDoc="0" locked="0" layoutInCell="1" allowOverlap="1" wp14:anchorId="7AF41290" wp14:editId="7383906E">
            <wp:simplePos x="0" y="0"/>
            <wp:positionH relativeFrom="margin">
              <wp:posOffset>450850</wp:posOffset>
            </wp:positionH>
            <wp:positionV relativeFrom="paragraph">
              <wp:posOffset>1002030</wp:posOffset>
            </wp:positionV>
            <wp:extent cx="4922520" cy="3390265"/>
            <wp:effectExtent l="0" t="0" r="0" b="63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922520" cy="3390265"/>
                    </a:xfrm>
                    <a:prstGeom prst="rect">
                      <a:avLst/>
                    </a:prstGeom>
                  </pic:spPr>
                </pic:pic>
              </a:graphicData>
            </a:graphic>
            <wp14:sizeRelH relativeFrom="margin">
              <wp14:pctWidth>0</wp14:pctWidth>
            </wp14:sizeRelH>
            <wp14:sizeRelV relativeFrom="margin">
              <wp14:pctHeight>0</wp14:pctHeight>
            </wp14:sizeRelV>
          </wp:anchor>
        </w:drawing>
      </w:r>
      <w:r w:rsidR="00AF7BA4">
        <w:t>As noted earlier</w:t>
      </w:r>
      <w:r w:rsidR="53657EFE">
        <w:t>,</w:t>
      </w:r>
      <w:r w:rsidR="00AF7BA4">
        <w:t xml:space="preserve"> </w:t>
      </w:r>
      <w:r w:rsidR="00F422C4">
        <w:t xml:space="preserve">Class analysis has shown that not only does the ATO’s ROA calculation understate performance compared to APRA’s ROR </w:t>
      </w:r>
      <w:r w:rsidR="00AF7BA4">
        <w:t>formula,</w:t>
      </w:r>
      <w:r w:rsidR="00F422C4">
        <w:t xml:space="preserve"> but it also does so in a way that is </w:t>
      </w:r>
      <w:r w:rsidR="00C307E5">
        <w:t>h</w:t>
      </w:r>
      <w:r w:rsidR="00F422C4">
        <w:t>ighly prejudiced to small balance funds</w:t>
      </w:r>
      <w:r w:rsidR="001D1DC2">
        <w:t>.</w:t>
      </w:r>
      <w:r w:rsidR="00204543">
        <w:t xml:space="preserve"> </w:t>
      </w:r>
      <w:r w:rsidR="001D1DC2">
        <w:t xml:space="preserve">Below </w:t>
      </w:r>
      <w:r w:rsidR="00F37E0D" w:rsidRPr="003745AD">
        <w:rPr>
          <w:i/>
        </w:rPr>
        <w:t>G</w:t>
      </w:r>
      <w:r w:rsidR="001D1DC2" w:rsidRPr="5C73FB16">
        <w:rPr>
          <w:i/>
        </w:rPr>
        <w:t xml:space="preserve">raph </w:t>
      </w:r>
      <w:r w:rsidR="00F37E0D" w:rsidRPr="5C73FB16">
        <w:rPr>
          <w:i/>
        </w:rPr>
        <w:t>C.1</w:t>
      </w:r>
      <w:r w:rsidR="00F37E0D">
        <w:t xml:space="preserve"> follows guidelines provided by the ATO </w:t>
      </w:r>
      <w:r w:rsidR="00AD79B4">
        <w:t xml:space="preserve">to produce a chart equivalent to </w:t>
      </w:r>
      <w:r w:rsidR="00962EB9" w:rsidRPr="003745AD">
        <w:rPr>
          <w:i/>
        </w:rPr>
        <w:t xml:space="preserve">Figure </w:t>
      </w:r>
      <w:r w:rsidR="00AD79B4" w:rsidRPr="5C73FB16">
        <w:rPr>
          <w:i/>
        </w:rPr>
        <w:t>2.10(b)</w:t>
      </w:r>
      <w:r w:rsidR="004D27A9">
        <w:t>,</w:t>
      </w:r>
      <w:r w:rsidR="00AD79B4">
        <w:t xml:space="preserve"> but using Class Super data for over 60,000 SMSFs</w:t>
      </w:r>
      <w:r w:rsidR="004D27A9">
        <w:t>,</w:t>
      </w:r>
      <w:r w:rsidR="00AD79B4">
        <w:t xml:space="preserve"> </w:t>
      </w:r>
      <w:r w:rsidR="00962EB9">
        <w:t xml:space="preserve">administered on Class Super for </w:t>
      </w:r>
      <w:r w:rsidR="004D27A9">
        <w:t xml:space="preserve">the </w:t>
      </w:r>
      <w:r w:rsidR="00962EB9">
        <w:t>FY15</w:t>
      </w:r>
      <w:r w:rsidR="004D27A9">
        <w:t xml:space="preserve"> year</w:t>
      </w:r>
      <w:r w:rsidR="00962EB9">
        <w:t>.</w:t>
      </w:r>
      <w:r w:rsidRPr="008E05BF">
        <w:rPr>
          <w:noProof/>
        </w:rPr>
        <w:t xml:space="preserve"> </w:t>
      </w:r>
    </w:p>
    <w:p w14:paraId="1582AE83" w14:textId="6244F88C" w:rsidR="001D6F26" w:rsidRDefault="004D5984" w:rsidP="005D12C3">
      <w:pPr>
        <w:pStyle w:val="ListParagraph"/>
        <w:spacing w:before="240" w:after="0"/>
        <w:ind w:left="0"/>
        <w:contextualSpacing w:val="0"/>
      </w:pPr>
      <w:r w:rsidRPr="009802A3">
        <w:rPr>
          <w:i/>
        </w:rPr>
        <w:t>Graph C.2</w:t>
      </w:r>
      <w:r>
        <w:t xml:space="preserve"> </w:t>
      </w:r>
      <w:r w:rsidR="00122F29">
        <w:t>u</w:t>
      </w:r>
      <w:r w:rsidR="0003198D">
        <w:t xml:space="preserve">ses the same data set </w:t>
      </w:r>
      <w:r w:rsidR="00062419">
        <w:t xml:space="preserve">as </w:t>
      </w:r>
      <w:r w:rsidR="003F4B82" w:rsidRPr="003F4B82">
        <w:rPr>
          <w:i/>
        </w:rPr>
        <w:t xml:space="preserve">Graph </w:t>
      </w:r>
      <w:r w:rsidR="00062419" w:rsidRPr="003F4B82">
        <w:rPr>
          <w:i/>
        </w:rPr>
        <w:t>C.1</w:t>
      </w:r>
      <w:r w:rsidR="00062419">
        <w:t xml:space="preserve"> but </w:t>
      </w:r>
      <w:r w:rsidR="00DD0B09">
        <w:t>after</w:t>
      </w:r>
      <w:r w:rsidR="003C787E">
        <w:t xml:space="preserve"> making</w:t>
      </w:r>
      <w:r w:rsidR="00062419">
        <w:t xml:space="preserve"> </w:t>
      </w:r>
      <w:r w:rsidR="00494CA9">
        <w:t xml:space="preserve">changes </w:t>
      </w:r>
      <w:r w:rsidR="003C787E">
        <w:t xml:space="preserve">to </w:t>
      </w:r>
      <w:r w:rsidR="00494CA9">
        <w:t xml:space="preserve">remove </w:t>
      </w:r>
      <w:r w:rsidR="007766B1">
        <w:t xml:space="preserve">substantial </w:t>
      </w:r>
      <w:r w:rsidR="00494CA9">
        <w:t>bias</w:t>
      </w:r>
      <w:r w:rsidR="007766B1">
        <w:t xml:space="preserve"> in the </w:t>
      </w:r>
      <w:r w:rsidR="008E1C86">
        <w:t>reported performance, particularly for smaller funds</w:t>
      </w:r>
      <w:r w:rsidR="007766B1">
        <w:t>.</w:t>
      </w:r>
      <w:r w:rsidR="00847D47">
        <w:t xml:space="preserve"> </w:t>
      </w:r>
    </w:p>
    <w:p w14:paraId="20B79F58" w14:textId="41C82D30" w:rsidR="0012505F" w:rsidRDefault="00F07148" w:rsidP="00B91CEF">
      <w:pPr>
        <w:pStyle w:val="ListParagraph"/>
        <w:spacing w:before="120" w:after="0"/>
        <w:ind w:left="0"/>
        <w:contextualSpacing w:val="0"/>
      </w:pPr>
      <w:r>
        <w:t xml:space="preserve">How is </w:t>
      </w:r>
      <w:r w:rsidR="5D7D26C5">
        <w:t>it</w:t>
      </w:r>
      <w:r>
        <w:t xml:space="preserve"> that these graphs can be so different?</w:t>
      </w:r>
      <w:r w:rsidR="00C51F08">
        <w:t xml:space="preserve"> </w:t>
      </w:r>
      <w:r w:rsidR="005F3B40">
        <w:t>Along with the basic understatement</w:t>
      </w:r>
      <w:r w:rsidR="00A23574">
        <w:t>,</w:t>
      </w:r>
      <w:r w:rsidR="005F3B40">
        <w:t xml:space="preserve"> inher</w:t>
      </w:r>
      <w:r w:rsidR="003A4D19">
        <w:t>ent</w:t>
      </w:r>
      <w:r w:rsidR="005F3B40">
        <w:t xml:space="preserve"> in the ROA method vs. ROR</w:t>
      </w:r>
      <w:r w:rsidR="00A23574">
        <w:t>, there are</w:t>
      </w:r>
      <w:r w:rsidR="00947530">
        <w:t xml:space="preserve"> </w:t>
      </w:r>
      <w:r w:rsidR="009C2BCD">
        <w:t xml:space="preserve">three </w:t>
      </w:r>
      <w:r w:rsidR="00E05DE4">
        <w:t>other</w:t>
      </w:r>
      <w:r w:rsidR="00947530">
        <w:t xml:space="preserve"> factors </w:t>
      </w:r>
      <w:r w:rsidR="00191455">
        <w:t>expanded on below.</w:t>
      </w:r>
    </w:p>
    <w:p w14:paraId="0E633E54" w14:textId="27E670CE" w:rsidR="00775C83" w:rsidRDefault="00425730" w:rsidP="00E45A4F">
      <w:pPr>
        <w:spacing w:before="120" w:after="120"/>
        <w:rPr>
          <w:b/>
        </w:rPr>
      </w:pPr>
      <w:r>
        <w:rPr>
          <w:noProof/>
          <w:lang w:eastAsia="en-AU"/>
        </w:rPr>
        <w:drawing>
          <wp:anchor distT="0" distB="0" distL="114300" distR="114300" simplePos="0" relativeHeight="251658253" behindDoc="0" locked="0" layoutInCell="1" allowOverlap="1" wp14:anchorId="6BDD58F7" wp14:editId="7A5320C8">
            <wp:simplePos x="0" y="0"/>
            <wp:positionH relativeFrom="margin">
              <wp:posOffset>3295650</wp:posOffset>
            </wp:positionH>
            <wp:positionV relativeFrom="paragraph">
              <wp:posOffset>90805</wp:posOffset>
            </wp:positionV>
            <wp:extent cx="2438400" cy="3193415"/>
            <wp:effectExtent l="0" t="0" r="0" b="698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438400" cy="3193415"/>
                    </a:xfrm>
                    <a:prstGeom prst="rect">
                      <a:avLst/>
                    </a:prstGeom>
                  </pic:spPr>
                </pic:pic>
              </a:graphicData>
            </a:graphic>
            <wp14:sizeRelH relativeFrom="margin">
              <wp14:pctWidth>0</wp14:pctWidth>
            </wp14:sizeRelH>
            <wp14:sizeRelV relativeFrom="margin">
              <wp14:pctHeight>0</wp14:pctHeight>
            </wp14:sizeRelV>
          </wp:anchor>
        </w:drawing>
      </w:r>
      <w:r w:rsidR="00161FC1">
        <w:rPr>
          <w:b/>
        </w:rPr>
        <w:t xml:space="preserve">3.1 </w:t>
      </w:r>
      <w:r w:rsidR="00096E8F">
        <w:rPr>
          <w:b/>
        </w:rPr>
        <w:t>Insurance</w:t>
      </w:r>
    </w:p>
    <w:p w14:paraId="55438FFA" w14:textId="694A0F05" w:rsidR="002261F2" w:rsidRDefault="00096E8F" w:rsidP="00E151B0">
      <w:pPr>
        <w:tabs>
          <w:tab w:val="left" w:pos="1843"/>
        </w:tabs>
        <w:spacing w:before="120" w:after="120"/>
      </w:pPr>
      <w:r>
        <w:t xml:space="preserve">The draft report made the observation that insurance premiums are </w:t>
      </w:r>
      <w:r w:rsidR="00761B88">
        <w:t xml:space="preserve">regressive and that members with small balances are </w:t>
      </w:r>
      <w:r w:rsidR="00955EE2">
        <w:t>impacted</w:t>
      </w:r>
      <w:r w:rsidR="00761B88">
        <w:t xml:space="preserve"> </w:t>
      </w:r>
      <w:r w:rsidR="00D937A2">
        <w:t>dis</w:t>
      </w:r>
      <w:r w:rsidR="004400A4">
        <w:t>proportionally</w:t>
      </w:r>
      <w:r w:rsidR="00955EE2">
        <w:t>,</w:t>
      </w:r>
      <w:r w:rsidR="00761B88">
        <w:t xml:space="preserve"> </w:t>
      </w:r>
      <w:r w:rsidR="00235A6B">
        <w:t>given the</w:t>
      </w:r>
      <w:r w:rsidR="002261F2">
        <w:t xml:space="preserve"> premium amount is a larger proportion of </w:t>
      </w:r>
      <w:r w:rsidR="00D937A2">
        <w:t>the</w:t>
      </w:r>
      <w:r w:rsidR="002261F2">
        <w:t xml:space="preserve"> small balance. This </w:t>
      </w:r>
      <w:r w:rsidR="004400A4">
        <w:t xml:space="preserve">impact </w:t>
      </w:r>
      <w:r w:rsidR="002261F2">
        <w:t xml:space="preserve">applies to small </w:t>
      </w:r>
      <w:r w:rsidR="004400A4">
        <w:t>SMSFs</w:t>
      </w:r>
      <w:r w:rsidR="002261F2">
        <w:t xml:space="preserve"> just as it does to small member balances.</w:t>
      </w:r>
      <w:r w:rsidR="004400A4">
        <w:t xml:space="preserve"> </w:t>
      </w:r>
      <w:r w:rsidR="004400A4" w:rsidRPr="003745AD">
        <w:rPr>
          <w:i/>
        </w:rPr>
        <w:t>Graph C</w:t>
      </w:r>
      <w:r w:rsidR="00A60BCD" w:rsidRPr="5C73FB16">
        <w:rPr>
          <w:i/>
        </w:rPr>
        <w:t xml:space="preserve">.4 </w:t>
      </w:r>
      <w:r w:rsidR="00A60BCD">
        <w:t xml:space="preserve">illustrates the impact on SMSF returns </w:t>
      </w:r>
      <w:r w:rsidR="009D2A53">
        <w:t>using the ATO’s brackets</w:t>
      </w:r>
      <w:r w:rsidR="00E151B0">
        <w:t>.</w:t>
      </w:r>
      <w:r w:rsidR="00314741" w:rsidRPr="00314741">
        <w:t xml:space="preserve"> </w:t>
      </w:r>
    </w:p>
    <w:p w14:paraId="61DCAE81" w14:textId="47A490E0" w:rsidR="00C307E5" w:rsidRDefault="00652E11" w:rsidP="000E5105">
      <w:pPr>
        <w:spacing w:before="120" w:after="120"/>
        <w:rPr>
          <w:b/>
        </w:rPr>
      </w:pPr>
      <w:r>
        <w:t xml:space="preserve">Since ROA includes the impact of </w:t>
      </w:r>
      <w:r w:rsidR="009F2F94">
        <w:t>insurance flows, switching to ROR removes this penalty</w:t>
      </w:r>
      <w:r w:rsidR="00020B55">
        <w:t xml:space="preserve"> and because of its regressive nature</w:t>
      </w:r>
      <w:r w:rsidR="6929AE81">
        <w:t>,</w:t>
      </w:r>
      <w:r w:rsidR="00020B55">
        <w:t xml:space="preserve"> the impact on smaller balances is </w:t>
      </w:r>
      <w:r w:rsidR="004C4085">
        <w:t>dramatic</w:t>
      </w:r>
      <w:r w:rsidR="002540F1">
        <w:t>.</w:t>
      </w:r>
      <w:r w:rsidR="00C307E5">
        <w:rPr>
          <w:b/>
        </w:rPr>
        <w:br w:type="page"/>
      </w:r>
    </w:p>
    <w:p w14:paraId="2BD551EB" w14:textId="4FF69430" w:rsidR="00775C83" w:rsidRDefault="00883F20" w:rsidP="00775C83">
      <w:pPr>
        <w:spacing w:before="120" w:after="120"/>
        <w:rPr>
          <w:b/>
        </w:rPr>
      </w:pPr>
      <w:r w:rsidRPr="00883F20">
        <w:rPr>
          <w:noProof/>
          <w:lang w:eastAsia="en-AU"/>
        </w:rPr>
        <w:lastRenderedPageBreak/>
        <w:drawing>
          <wp:anchor distT="0" distB="0" distL="114300" distR="114300" simplePos="0" relativeHeight="251658254" behindDoc="0" locked="0" layoutInCell="1" allowOverlap="1" wp14:anchorId="45394088" wp14:editId="62623051">
            <wp:simplePos x="0" y="0"/>
            <wp:positionH relativeFrom="column">
              <wp:posOffset>3308350</wp:posOffset>
            </wp:positionH>
            <wp:positionV relativeFrom="paragraph">
              <wp:posOffset>0</wp:posOffset>
            </wp:positionV>
            <wp:extent cx="2376805" cy="3194685"/>
            <wp:effectExtent l="0" t="0" r="4445" b="5715"/>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376805" cy="3194685"/>
                    </a:xfrm>
                    <a:prstGeom prst="rect">
                      <a:avLst/>
                    </a:prstGeom>
                  </pic:spPr>
                </pic:pic>
              </a:graphicData>
            </a:graphic>
            <wp14:sizeRelH relativeFrom="margin">
              <wp14:pctWidth>0</wp14:pctWidth>
            </wp14:sizeRelH>
            <wp14:sizeRelV relativeFrom="margin">
              <wp14:pctHeight>0</wp14:pctHeight>
            </wp14:sizeRelV>
          </wp:anchor>
        </w:drawing>
      </w:r>
      <w:r w:rsidR="00775C83">
        <w:rPr>
          <w:b/>
        </w:rPr>
        <w:t xml:space="preserve">3.2 </w:t>
      </w:r>
      <w:r w:rsidR="00666E77" w:rsidRPr="486B6FDE">
        <w:rPr>
          <w:b/>
        </w:rPr>
        <w:t>Contribution</w:t>
      </w:r>
      <w:r w:rsidR="00666E77">
        <w:rPr>
          <w:b/>
        </w:rPr>
        <w:t xml:space="preserve"> Tax</w:t>
      </w:r>
    </w:p>
    <w:p w14:paraId="79CC408D" w14:textId="2DB407E0" w:rsidR="00775C83" w:rsidRDefault="00477B8D" w:rsidP="00E45A4F">
      <w:pPr>
        <w:spacing w:before="120" w:after="120"/>
      </w:pPr>
      <w:r>
        <w:t>Like</w:t>
      </w:r>
      <w:r w:rsidR="009F2F94">
        <w:t xml:space="preserve"> insurance</w:t>
      </w:r>
      <w:r w:rsidR="006B4C36">
        <w:t xml:space="preserve">, contribution tax is </w:t>
      </w:r>
      <w:r w:rsidR="002221DF">
        <w:t>regressive in its impact</w:t>
      </w:r>
      <w:r w:rsidR="009C01FC">
        <w:t xml:space="preserve"> e.g.</w:t>
      </w:r>
      <w:r w:rsidR="002221DF">
        <w:t xml:space="preserve"> </w:t>
      </w:r>
      <w:r w:rsidR="009C01FC">
        <w:t>t</w:t>
      </w:r>
      <w:r w:rsidR="00DC2A29">
        <w:t xml:space="preserve">he </w:t>
      </w:r>
      <w:r w:rsidR="00527E61">
        <w:t>$3k</w:t>
      </w:r>
      <w:r w:rsidR="00021FE9">
        <w:t xml:space="preserve"> contribution tax </w:t>
      </w:r>
      <w:r w:rsidR="00782707">
        <w:t>on a $2</w:t>
      </w:r>
      <w:r w:rsidR="00954E6D">
        <w:t>0</w:t>
      </w:r>
      <w:r w:rsidR="00782707">
        <w:t xml:space="preserve">k contribution </w:t>
      </w:r>
      <w:r w:rsidR="00021FE9">
        <w:t xml:space="preserve">will have a </w:t>
      </w:r>
      <w:r w:rsidR="00954E6D">
        <w:t xml:space="preserve">much more </w:t>
      </w:r>
      <w:r w:rsidR="00021FE9">
        <w:t xml:space="preserve">significant impact </w:t>
      </w:r>
      <w:r w:rsidR="00954E6D">
        <w:t>on a $5</w:t>
      </w:r>
      <w:r>
        <w:t>0</w:t>
      </w:r>
      <w:r w:rsidR="00954E6D">
        <w:t xml:space="preserve">k fund than on a </w:t>
      </w:r>
      <w:r w:rsidR="00C271F3">
        <w:t>$50</w:t>
      </w:r>
      <w:r>
        <w:t>0</w:t>
      </w:r>
      <w:r w:rsidR="00C271F3">
        <w:t>k</w:t>
      </w:r>
      <w:r>
        <w:t xml:space="preserve"> fund</w:t>
      </w:r>
      <w:r w:rsidR="009C01FC">
        <w:t>.</w:t>
      </w:r>
      <w:r w:rsidR="002E4C1B">
        <w:t xml:space="preserve"> </w:t>
      </w:r>
      <w:r w:rsidR="00F55B2F">
        <w:t>This is illustrated in Graph C.5.</w:t>
      </w:r>
      <w:r w:rsidR="00A729AD" w:rsidRPr="00A729AD">
        <w:t xml:space="preserve"> </w:t>
      </w:r>
    </w:p>
    <w:p w14:paraId="6EF32E68" w14:textId="1E712979" w:rsidR="00C2176B" w:rsidRDefault="00D16694" w:rsidP="00C3667C">
      <w:pPr>
        <w:spacing w:before="240" w:after="120"/>
      </w:pPr>
      <w:r>
        <w:t>Again</w:t>
      </w:r>
      <w:r w:rsidR="00C3667C">
        <w:t>,</w:t>
      </w:r>
      <w:r>
        <w:t xml:space="preserve"> switching to ROR removes this effect</w:t>
      </w:r>
      <w:r w:rsidR="002540F1">
        <w:t xml:space="preserve"> and </w:t>
      </w:r>
      <w:r w:rsidR="00BE7829">
        <w:t>the impact of switching is</w:t>
      </w:r>
      <w:r>
        <w:t xml:space="preserve"> </w:t>
      </w:r>
      <w:r w:rsidR="00BE7829">
        <w:t>more significant the smaller the fund.</w:t>
      </w:r>
    </w:p>
    <w:p w14:paraId="686E592F" w14:textId="77777777" w:rsidR="00883F20" w:rsidRDefault="00883F20" w:rsidP="007768FC">
      <w:pPr>
        <w:spacing w:before="240" w:after="120"/>
        <w:rPr>
          <w:b/>
        </w:rPr>
      </w:pPr>
    </w:p>
    <w:p w14:paraId="45551841" w14:textId="77777777" w:rsidR="00883F20" w:rsidRDefault="00883F20" w:rsidP="007768FC">
      <w:pPr>
        <w:spacing w:before="240" w:after="120"/>
        <w:rPr>
          <w:b/>
        </w:rPr>
      </w:pPr>
    </w:p>
    <w:p w14:paraId="769E2E4F" w14:textId="77777777" w:rsidR="00883F20" w:rsidRDefault="00883F20" w:rsidP="007768FC">
      <w:pPr>
        <w:spacing w:before="240" w:after="120"/>
        <w:rPr>
          <w:b/>
        </w:rPr>
      </w:pPr>
    </w:p>
    <w:p w14:paraId="60633D2E" w14:textId="77777777" w:rsidR="00883F20" w:rsidRDefault="00883F20" w:rsidP="007768FC">
      <w:pPr>
        <w:spacing w:before="240" w:after="120"/>
        <w:rPr>
          <w:b/>
        </w:rPr>
      </w:pPr>
    </w:p>
    <w:p w14:paraId="2313A362" w14:textId="03CFAF1B" w:rsidR="007768FC" w:rsidRDefault="008440D9" w:rsidP="007768FC">
      <w:pPr>
        <w:spacing w:before="240" w:after="120"/>
        <w:rPr>
          <w:b/>
        </w:rPr>
      </w:pPr>
      <w:r>
        <w:rPr>
          <w:noProof/>
          <w:lang w:eastAsia="en-AU"/>
        </w:rPr>
        <w:drawing>
          <wp:anchor distT="0" distB="0" distL="114300" distR="114300" simplePos="0" relativeHeight="251658252" behindDoc="0" locked="0" layoutInCell="1" allowOverlap="1" wp14:anchorId="77677049" wp14:editId="5F5A55F6">
            <wp:simplePos x="0" y="0"/>
            <wp:positionH relativeFrom="column">
              <wp:posOffset>3274060</wp:posOffset>
            </wp:positionH>
            <wp:positionV relativeFrom="paragraph">
              <wp:posOffset>239201</wp:posOffset>
            </wp:positionV>
            <wp:extent cx="2453005" cy="3380740"/>
            <wp:effectExtent l="0" t="0" r="444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453005" cy="3380740"/>
                    </a:xfrm>
                    <a:prstGeom prst="rect">
                      <a:avLst/>
                    </a:prstGeom>
                  </pic:spPr>
                </pic:pic>
              </a:graphicData>
            </a:graphic>
            <wp14:sizeRelH relativeFrom="margin">
              <wp14:pctWidth>0</wp14:pctWidth>
            </wp14:sizeRelH>
            <wp14:sizeRelV relativeFrom="margin">
              <wp14:pctHeight>0</wp14:pctHeight>
            </wp14:sizeRelV>
          </wp:anchor>
        </w:drawing>
      </w:r>
      <w:r w:rsidR="00D26E6E" w:rsidRPr="00D26E6E">
        <w:rPr>
          <w:b/>
        </w:rPr>
        <w:t>3.3</w:t>
      </w:r>
      <w:r w:rsidR="005856B7">
        <w:rPr>
          <w:b/>
        </w:rPr>
        <w:t xml:space="preserve"> </w:t>
      </w:r>
      <w:r w:rsidR="00B444D8" w:rsidRPr="007768FC">
        <w:rPr>
          <w:b/>
        </w:rPr>
        <w:t>Selection Bias</w:t>
      </w:r>
    </w:p>
    <w:p w14:paraId="1C2D0DE6" w14:textId="1D453A06" w:rsidR="00EE5F9A" w:rsidRDefault="00EE5F9A" w:rsidP="00EE5F9A">
      <w:pPr>
        <w:spacing w:before="120" w:after="120"/>
      </w:pPr>
      <w:r w:rsidRPr="007464A5">
        <w:rPr>
          <w:i/>
        </w:rPr>
        <w:t>Figure 2.10(b)</w:t>
      </w:r>
      <w:r>
        <w:t xml:space="preserve"> brackets funds from each year based on their size i.e. funds that perform badly will decrease balances and migrate down to smaller brackets and funds that are making good returns will increase and migrate up into higher brackets.</w:t>
      </w:r>
      <w:r w:rsidR="00C63965" w:rsidRPr="00C63965">
        <w:rPr>
          <w:noProof/>
        </w:rPr>
        <w:t xml:space="preserve"> </w:t>
      </w:r>
    </w:p>
    <w:p w14:paraId="312A08EE" w14:textId="77777777" w:rsidR="00495D5B" w:rsidRDefault="00F116DC" w:rsidP="00EE5F9A">
      <w:pPr>
        <w:spacing w:before="120" w:after="120"/>
      </w:pPr>
      <w:r>
        <w:t>The criteri</w:t>
      </w:r>
      <w:r w:rsidR="002A6743">
        <w:t>on</w:t>
      </w:r>
      <w:r>
        <w:t xml:space="preserve"> for selecting funds to belong to a group is </w:t>
      </w:r>
      <w:r w:rsidRPr="00CC4D54">
        <w:t>based on “closing balances”</w:t>
      </w:r>
      <w:r w:rsidR="00281B6D">
        <w:t xml:space="preserve"> i.e. the 1-50k bracket selects all funds that ended the </w:t>
      </w:r>
      <w:r w:rsidR="005D3E17">
        <w:t xml:space="preserve">year on $50k or less. </w:t>
      </w:r>
      <w:r w:rsidR="00EE5F9A">
        <w:t>T</w:t>
      </w:r>
      <w:r w:rsidR="00A579E7" w:rsidRPr="00CC4D54">
        <w:t>h</w:t>
      </w:r>
      <w:r w:rsidR="00654ACD">
        <w:t>is effectively</w:t>
      </w:r>
      <w:r w:rsidR="00A579E7">
        <w:t xml:space="preserve"> </w:t>
      </w:r>
      <w:r w:rsidR="005D0916">
        <w:t>selects for</w:t>
      </w:r>
      <w:r w:rsidR="00A579E7">
        <w:t xml:space="preserve"> </w:t>
      </w:r>
      <w:r w:rsidR="005856B7">
        <w:t>underperformance</w:t>
      </w:r>
      <w:r w:rsidR="005D3E17">
        <w:t xml:space="preserve"> compared to </w:t>
      </w:r>
      <w:r w:rsidR="00453143">
        <w:t xml:space="preserve">grouping based on </w:t>
      </w:r>
      <w:r w:rsidR="00A579E7" w:rsidRPr="00CC4D54">
        <w:t>“opening balances”</w:t>
      </w:r>
      <w:r w:rsidR="00495D5B">
        <w:t>.</w:t>
      </w:r>
      <w:r w:rsidR="00A579E7">
        <w:t xml:space="preserve"> </w:t>
      </w:r>
    </w:p>
    <w:p w14:paraId="4B267239" w14:textId="6A415122" w:rsidR="00453143" w:rsidRDefault="00495D5B" w:rsidP="00EE5F9A">
      <w:pPr>
        <w:spacing w:before="120" w:after="120"/>
      </w:pPr>
      <w:r>
        <w:t xml:space="preserve">For example, </w:t>
      </w:r>
      <w:r w:rsidR="00A579E7" w:rsidRPr="00CC4D54">
        <w:t xml:space="preserve">a $46k SMSF with a 10% return will move up to the next </w:t>
      </w:r>
      <w:r>
        <w:t>bracket</w:t>
      </w:r>
      <w:r w:rsidRPr="00CC4D54">
        <w:t xml:space="preserve"> </w:t>
      </w:r>
      <w:r w:rsidR="00A579E7" w:rsidRPr="00CC4D54">
        <w:t xml:space="preserve">but a $55k fund with a -10% return will </w:t>
      </w:r>
      <w:r w:rsidR="00A579E7">
        <w:t>migrate down</w:t>
      </w:r>
      <w:r w:rsidR="00A579E7" w:rsidRPr="00CC4D54">
        <w:t xml:space="preserve"> into the </w:t>
      </w:r>
      <w:r>
        <w:t>lower</w:t>
      </w:r>
      <w:r w:rsidRPr="00CC4D54">
        <w:t xml:space="preserve"> </w:t>
      </w:r>
      <w:r w:rsidR="00A579E7">
        <w:t>bracket</w:t>
      </w:r>
      <w:r w:rsidR="00A579E7" w:rsidRPr="00CC4D54">
        <w:t xml:space="preserve"> – </w:t>
      </w:r>
      <w:r w:rsidR="00A579E7">
        <w:t xml:space="preserve">if the funds reversed their fortunes in the following year then they would swap </w:t>
      </w:r>
      <w:r>
        <w:t>brackets</w:t>
      </w:r>
      <w:r w:rsidR="00A579E7">
        <w:t xml:space="preserve">, with only the poor </w:t>
      </w:r>
      <w:r>
        <w:t xml:space="preserve">performance </w:t>
      </w:r>
      <w:r w:rsidR="00A579E7">
        <w:t>years being included in the lowest bracket</w:t>
      </w:r>
      <w:r w:rsidR="6E7FACDC">
        <w:t>.</w:t>
      </w:r>
    </w:p>
    <w:p w14:paraId="6CE16B03" w14:textId="32694C24" w:rsidR="00AD7908" w:rsidRDefault="00AD7908" w:rsidP="00AD7908">
      <w:pPr>
        <w:spacing w:before="120" w:after="120"/>
      </w:pPr>
      <w:r>
        <w:t xml:space="preserve">If we regroup the funds in </w:t>
      </w:r>
      <w:r w:rsidRPr="005A24AA">
        <w:rPr>
          <w:i/>
        </w:rPr>
        <w:t>Graph C.1</w:t>
      </w:r>
      <w:r>
        <w:t xml:space="preserve"> based on “opening balance” it makes a greater than 10 percentage point improvement in the return for the 1-50k bracket.</w:t>
      </w:r>
      <w:r w:rsidR="00495D5B">
        <w:t xml:space="preserve"> </w:t>
      </w:r>
      <w:r w:rsidR="00495D5B" w:rsidRPr="005A24AA">
        <w:rPr>
          <w:i/>
        </w:rPr>
        <w:t>Graph C.1a</w:t>
      </w:r>
      <w:r w:rsidR="00495D5B">
        <w:t xml:space="preserve"> shows the dramatic difference that this change in criteria makes.</w:t>
      </w:r>
    </w:p>
    <w:p w14:paraId="29BFD5FB" w14:textId="2C90B240" w:rsidR="008440D9" w:rsidRDefault="00AD7908" w:rsidP="00AD7908">
      <w:pPr>
        <w:spacing w:before="120" w:after="120"/>
      </w:pPr>
      <w:r>
        <w:t>T</w:t>
      </w:r>
      <w:r w:rsidRPr="00CC4D54">
        <w:t xml:space="preserve">he impact of this bias </w:t>
      </w:r>
      <w:r>
        <w:t xml:space="preserve">is substantial, especially in light of the smaller $50k </w:t>
      </w:r>
      <w:r w:rsidR="008440D9">
        <w:t xml:space="preserve">bracket size </w:t>
      </w:r>
      <w:r>
        <w:t xml:space="preserve">at the low end of the scale vs. the $1m </w:t>
      </w:r>
      <w:r w:rsidR="008440D9">
        <w:t xml:space="preserve">bracket size </w:t>
      </w:r>
      <w:r>
        <w:t xml:space="preserve">at the large end of the scale. </w:t>
      </w:r>
    </w:p>
    <w:p w14:paraId="454102D7" w14:textId="46130EF3" w:rsidR="00AD7908" w:rsidRDefault="00AD7908" w:rsidP="00AD7908">
      <w:pPr>
        <w:spacing w:before="120" w:after="120"/>
      </w:pPr>
      <w:r>
        <w:t xml:space="preserve">This </w:t>
      </w:r>
      <w:r w:rsidR="008440D9">
        <w:t xml:space="preserve">selection bias makes up majority </w:t>
      </w:r>
      <w:r>
        <w:t xml:space="preserve">of the exaggerated underperformance seen in </w:t>
      </w:r>
      <w:r w:rsidRPr="00283B96">
        <w:rPr>
          <w:i/>
        </w:rPr>
        <w:t>Figure 2.10(b)</w:t>
      </w:r>
      <w:r>
        <w:t xml:space="preserve">. </w:t>
      </w:r>
    </w:p>
    <w:p w14:paraId="51FF9AC5" w14:textId="77777777" w:rsidR="00630303" w:rsidRDefault="00630303">
      <w:pPr>
        <w:rPr>
          <w:b/>
        </w:rPr>
      </w:pPr>
    </w:p>
    <w:p w14:paraId="3F3C3D1E" w14:textId="77777777" w:rsidR="00630303" w:rsidRDefault="00630303">
      <w:pPr>
        <w:rPr>
          <w:b/>
        </w:rPr>
      </w:pPr>
      <w:r>
        <w:rPr>
          <w:b/>
        </w:rPr>
        <w:br w:type="page"/>
      </w:r>
    </w:p>
    <w:p w14:paraId="31CAD1BF" w14:textId="7360FA33" w:rsidR="00EF62A5" w:rsidRDefault="00BE7146">
      <w:pPr>
        <w:rPr>
          <w:b/>
        </w:rPr>
      </w:pPr>
      <w:r>
        <w:rPr>
          <w:noProof/>
          <w:lang w:eastAsia="en-AU"/>
        </w:rPr>
        <w:lastRenderedPageBreak/>
        <w:drawing>
          <wp:anchor distT="0" distB="0" distL="114300" distR="114300" simplePos="0" relativeHeight="251658251" behindDoc="0" locked="0" layoutInCell="1" allowOverlap="1" wp14:anchorId="4A629479" wp14:editId="5E83D5A2">
            <wp:simplePos x="0" y="0"/>
            <wp:positionH relativeFrom="column">
              <wp:posOffset>3417819</wp:posOffset>
            </wp:positionH>
            <wp:positionV relativeFrom="paragraph">
              <wp:posOffset>552</wp:posOffset>
            </wp:positionV>
            <wp:extent cx="2225675" cy="3072765"/>
            <wp:effectExtent l="0" t="0" r="3175"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225675" cy="3072765"/>
                    </a:xfrm>
                    <a:prstGeom prst="rect">
                      <a:avLst/>
                    </a:prstGeom>
                  </pic:spPr>
                </pic:pic>
              </a:graphicData>
            </a:graphic>
            <wp14:sizeRelH relativeFrom="margin">
              <wp14:pctWidth>0</wp14:pctWidth>
            </wp14:sizeRelH>
            <wp14:sizeRelV relativeFrom="margin">
              <wp14:pctHeight>0</wp14:pctHeight>
            </wp14:sizeRelV>
          </wp:anchor>
        </w:drawing>
      </w:r>
      <w:r w:rsidR="00ED30D3">
        <w:rPr>
          <w:b/>
        </w:rPr>
        <w:t xml:space="preserve">3.4 </w:t>
      </w:r>
      <w:r w:rsidR="00A50086">
        <w:rPr>
          <w:b/>
        </w:rPr>
        <w:t>Regrouping and switching to ROR</w:t>
      </w:r>
    </w:p>
    <w:p w14:paraId="38EB7F5B" w14:textId="0D87A458" w:rsidR="008440D9" w:rsidRDefault="00EF62A5" w:rsidP="006720D2">
      <w:r w:rsidRPr="005934EE">
        <w:rPr>
          <w:i/>
        </w:rPr>
        <w:t>Graph C.</w:t>
      </w:r>
      <w:r w:rsidR="005934EE" w:rsidRPr="005934EE">
        <w:rPr>
          <w:i/>
        </w:rPr>
        <w:t>2</w:t>
      </w:r>
      <w:r w:rsidR="005934EE">
        <w:rPr>
          <w:i/>
        </w:rPr>
        <w:t xml:space="preserve"> </w:t>
      </w:r>
      <w:r w:rsidR="005934EE">
        <w:t xml:space="preserve">shows the </w:t>
      </w:r>
      <w:r w:rsidR="00B95EC4">
        <w:t>du</w:t>
      </w:r>
      <w:r w:rsidR="6A999E42">
        <w:t>a</w:t>
      </w:r>
      <w:r w:rsidR="00B95EC4">
        <w:t xml:space="preserve">l </w:t>
      </w:r>
      <w:r w:rsidR="00AC437C">
        <w:t>impact of switching to ROR</w:t>
      </w:r>
      <w:r w:rsidR="008440D9">
        <w:t xml:space="preserve"> and </w:t>
      </w:r>
      <w:r w:rsidR="0002668E">
        <w:t>regrouping based on</w:t>
      </w:r>
      <w:r w:rsidR="00D56958">
        <w:t xml:space="preserve"> opening balance</w:t>
      </w:r>
      <w:r w:rsidR="00B95EC4">
        <w:t xml:space="preserve">. </w:t>
      </w:r>
    </w:p>
    <w:p w14:paraId="6B6CBBDD" w14:textId="26434A4B" w:rsidR="006720D2" w:rsidRPr="006720D2" w:rsidRDefault="00B95EC4" w:rsidP="006720D2">
      <w:r>
        <w:t>As noted above the regrouping makes up much of this improvement</w:t>
      </w:r>
      <w:r w:rsidR="6A999E42">
        <w:t>,</w:t>
      </w:r>
      <w:r w:rsidR="00A61D19">
        <w:t xml:space="preserve"> but the switch to ROR still makes a </w:t>
      </w:r>
      <w:r w:rsidR="005C68E4">
        <w:t xml:space="preserve">more than </w:t>
      </w:r>
      <w:r w:rsidR="001B242A">
        <w:t>4</w:t>
      </w:r>
      <w:r w:rsidR="005C68E4">
        <w:t xml:space="preserve">% improvement in the </w:t>
      </w:r>
      <w:r w:rsidR="001B242A">
        <w:t xml:space="preserve">average </w:t>
      </w:r>
      <w:r w:rsidR="005C68E4">
        <w:t>return for the $1-50k bracket.</w:t>
      </w:r>
      <w:r w:rsidR="008440D9">
        <w:br/>
      </w:r>
    </w:p>
    <w:p w14:paraId="5C5D4385" w14:textId="04135E3C" w:rsidR="00D95F14" w:rsidRDefault="00D95F14"/>
    <w:p w14:paraId="14118C5E" w14:textId="77777777" w:rsidR="00394D34" w:rsidRDefault="00394D34"/>
    <w:p w14:paraId="67FE8D9F" w14:textId="6571BF91" w:rsidR="00034E18" w:rsidRDefault="00034E18" w:rsidP="00034E18">
      <w:pPr>
        <w:rPr>
          <w:b/>
        </w:rPr>
      </w:pPr>
      <w:r>
        <w:rPr>
          <w:b/>
        </w:rPr>
        <w:t xml:space="preserve">4 What does </w:t>
      </w:r>
      <w:r w:rsidR="006C7AE7" w:rsidRPr="00FF1A16">
        <w:rPr>
          <w:b/>
          <w:i/>
        </w:rPr>
        <w:t>Figure 2.10(b)</w:t>
      </w:r>
      <w:r w:rsidR="006C7AE7">
        <w:rPr>
          <w:b/>
        </w:rPr>
        <w:t xml:space="preserve"> illustrate?</w:t>
      </w:r>
    </w:p>
    <w:p w14:paraId="3CD0367D" w14:textId="17AD3DB6" w:rsidR="00364745" w:rsidRDefault="00BC30EE" w:rsidP="001F59DD">
      <w:pPr>
        <w:spacing w:after="120"/>
      </w:pPr>
      <w:r w:rsidRPr="009E2DEF">
        <w:rPr>
          <w:i/>
        </w:rPr>
        <w:t>Figure 2.10(b)</w:t>
      </w:r>
      <w:r>
        <w:t xml:space="preserve"> </w:t>
      </w:r>
      <w:r w:rsidR="001578EB">
        <w:t xml:space="preserve">covers the </w:t>
      </w:r>
      <w:r w:rsidR="00381DA2">
        <w:t>10</w:t>
      </w:r>
      <w:r w:rsidR="00364745">
        <w:t xml:space="preserve">-year </w:t>
      </w:r>
      <w:r w:rsidR="001578EB">
        <w:t>period 2006</w:t>
      </w:r>
      <w:r w:rsidR="00364745">
        <w:t xml:space="preserve"> to </w:t>
      </w:r>
      <w:r w:rsidR="001578EB">
        <w:t>2015</w:t>
      </w:r>
      <w:r w:rsidR="009D6621">
        <w:t xml:space="preserve">. You might assume that this </w:t>
      </w:r>
      <w:r w:rsidR="00BA0B8E">
        <w:t xml:space="preserve">graph </w:t>
      </w:r>
      <w:r w:rsidR="001578EB">
        <w:t>answer</w:t>
      </w:r>
      <w:r w:rsidR="00DA7483">
        <w:t>s</w:t>
      </w:r>
      <w:r w:rsidR="001578EB">
        <w:t xml:space="preserve"> the question</w:t>
      </w:r>
      <w:r w:rsidR="00364745">
        <w:t>s</w:t>
      </w:r>
      <w:r w:rsidR="1FC1865F">
        <w:t>...</w:t>
      </w:r>
    </w:p>
    <w:p w14:paraId="2B86DE04" w14:textId="17D2D344" w:rsidR="00802A2E" w:rsidRDefault="00364745" w:rsidP="5399787F">
      <w:pPr>
        <w:spacing w:after="120"/>
        <w:ind w:left="1080"/>
        <w:rPr>
          <w:rFonts w:asciiTheme="minorEastAsia" w:eastAsiaTheme="minorEastAsia" w:hAnsiTheme="minorEastAsia" w:cstheme="minorEastAsia"/>
        </w:rPr>
      </w:pPr>
      <w:r w:rsidRPr="009D6621">
        <w:rPr>
          <w:i/>
        </w:rPr>
        <w:t xml:space="preserve">“How did those funds with $1-50k in 2006 perform, on average, over the next </w:t>
      </w:r>
      <w:r w:rsidR="00381DA2">
        <w:rPr>
          <w:i/>
        </w:rPr>
        <w:t>10</w:t>
      </w:r>
      <w:r w:rsidRPr="009D6621">
        <w:rPr>
          <w:i/>
        </w:rPr>
        <w:t xml:space="preserve"> years?”</w:t>
      </w:r>
      <w:r>
        <w:rPr>
          <w:i/>
        </w:rPr>
        <w:t xml:space="preserve"> </w:t>
      </w:r>
    </w:p>
    <w:p w14:paraId="4D7873B2" w14:textId="64631953" w:rsidR="00802A2E" w:rsidRPr="00802A2E" w:rsidRDefault="00364745" w:rsidP="5399787F">
      <w:pPr>
        <w:ind w:left="360"/>
        <w:rPr>
          <w:rFonts w:asciiTheme="minorEastAsia" w:eastAsiaTheme="minorEastAsia" w:hAnsiTheme="minorEastAsia" w:cstheme="minorEastAsia"/>
        </w:rPr>
      </w:pPr>
      <w:r w:rsidRPr="00802A2E">
        <w:t>and similarly</w:t>
      </w:r>
      <w:r w:rsidR="00802A2E" w:rsidRPr="00802A2E">
        <w:t>,</w:t>
      </w:r>
    </w:p>
    <w:p w14:paraId="65F429C1" w14:textId="3CE82691" w:rsidR="00443FE9" w:rsidRDefault="00364745" w:rsidP="5399787F">
      <w:pPr>
        <w:spacing w:after="120"/>
        <w:ind w:left="1080"/>
        <w:rPr>
          <w:rFonts w:asciiTheme="minorEastAsia" w:eastAsiaTheme="minorEastAsia" w:hAnsiTheme="minorEastAsia" w:cstheme="minorEastAsia"/>
        </w:rPr>
      </w:pPr>
      <w:r w:rsidRPr="009D6621">
        <w:rPr>
          <w:i/>
        </w:rPr>
        <w:t>“How did those funds with $1</w:t>
      </w:r>
      <w:r>
        <w:rPr>
          <w:i/>
        </w:rPr>
        <w:t>-2m</w:t>
      </w:r>
      <w:r w:rsidRPr="009D6621">
        <w:rPr>
          <w:i/>
        </w:rPr>
        <w:t xml:space="preserve"> in 2006 perform, on average, over the next </w:t>
      </w:r>
      <w:r w:rsidR="00381DA2">
        <w:rPr>
          <w:i/>
        </w:rPr>
        <w:t>10</w:t>
      </w:r>
      <w:r w:rsidRPr="009D6621">
        <w:rPr>
          <w:i/>
        </w:rPr>
        <w:t xml:space="preserve"> years?”</w:t>
      </w:r>
      <w:r w:rsidRPr="00364745">
        <w:t xml:space="preserve"> </w:t>
      </w:r>
    </w:p>
    <w:p w14:paraId="11C16C37" w14:textId="19BCA14F" w:rsidR="6741380F" w:rsidRDefault="1FC1865F" w:rsidP="005856B7">
      <w:pPr>
        <w:spacing w:after="120"/>
      </w:pPr>
      <w:r>
        <w:t>...h</w:t>
      </w:r>
      <w:r w:rsidR="6741380F">
        <w:t>owever it does</w:t>
      </w:r>
      <w:r>
        <w:t xml:space="preserve"> not. </w:t>
      </w:r>
    </w:p>
    <w:p w14:paraId="56E88DC6" w14:textId="01D2C75D" w:rsidR="007B1C07" w:rsidRDefault="007B1C07" w:rsidP="007B1C07">
      <w:pPr>
        <w:spacing w:after="0"/>
      </w:pPr>
      <w:r>
        <w:t xml:space="preserve">What </w:t>
      </w:r>
      <w:r w:rsidR="00AB147C" w:rsidRPr="00AB147C">
        <w:rPr>
          <w:i/>
        </w:rPr>
        <w:t xml:space="preserve">Figure </w:t>
      </w:r>
      <w:r w:rsidRPr="00AB147C">
        <w:rPr>
          <w:i/>
        </w:rPr>
        <w:t>2.10(b)</w:t>
      </w:r>
      <w:r>
        <w:t xml:space="preserve"> shows is an average of: </w:t>
      </w:r>
    </w:p>
    <w:p w14:paraId="3293D240" w14:textId="3AF03351" w:rsidR="007B1C07" w:rsidRDefault="007B1C07" w:rsidP="007B1C07">
      <w:pPr>
        <w:pStyle w:val="ListParagraph"/>
        <w:numPr>
          <w:ilvl w:val="0"/>
          <w:numId w:val="8"/>
        </w:numPr>
      </w:pPr>
      <w:r>
        <w:t>a vastly different group of funds for each year in the period</w:t>
      </w:r>
      <w:r w:rsidR="692EE418">
        <w:t>.</w:t>
      </w:r>
    </w:p>
    <w:p w14:paraId="6BF5BB9C" w14:textId="11A68E60" w:rsidR="007B1C07" w:rsidRDefault="007B1C07" w:rsidP="007B1C07">
      <w:pPr>
        <w:pStyle w:val="ListParagraph"/>
        <w:numPr>
          <w:ilvl w:val="0"/>
          <w:numId w:val="8"/>
        </w:numPr>
      </w:pPr>
      <w:r>
        <w:t>funds which migrate up or down through the groups based on their performance – poor performers migrating downward and good performers migrating upward</w:t>
      </w:r>
      <w:r w:rsidR="692EE418">
        <w:t>.</w:t>
      </w:r>
    </w:p>
    <w:p w14:paraId="4D2B521F" w14:textId="5E76D39B" w:rsidR="007B1C07" w:rsidRDefault="007B1C07" w:rsidP="007B1C07">
      <w:pPr>
        <w:pStyle w:val="ListParagraph"/>
        <w:numPr>
          <w:ilvl w:val="0"/>
          <w:numId w:val="8"/>
        </w:numPr>
      </w:pPr>
      <w:r>
        <w:t xml:space="preserve">many of the funds included do not appear in all years (being wound up and/or established at different points in the period). </w:t>
      </w:r>
    </w:p>
    <w:p w14:paraId="4B31EC57" w14:textId="3468CED9" w:rsidR="007B1C07" w:rsidRDefault="00AE2533" w:rsidP="006A5ABD">
      <w:r>
        <w:t xml:space="preserve">We are not convinced that this graph is particularly helpful for investors </w:t>
      </w:r>
      <w:r w:rsidR="006A5ABD">
        <w:t xml:space="preserve">and although </w:t>
      </w:r>
      <w:r w:rsidR="00F934F1" w:rsidRPr="00F934F1">
        <w:rPr>
          <w:i/>
        </w:rPr>
        <w:t xml:space="preserve">Figure </w:t>
      </w:r>
      <w:r w:rsidR="007B1C07" w:rsidRPr="00F934F1">
        <w:rPr>
          <w:i/>
        </w:rPr>
        <w:t>2.10(b)</w:t>
      </w:r>
      <w:r w:rsidR="007B1C07">
        <w:t xml:space="preserve"> </w:t>
      </w:r>
      <w:r w:rsidR="00F934F1">
        <w:t xml:space="preserve">does </w:t>
      </w:r>
      <w:r w:rsidR="007B1C07">
        <w:t>show</w:t>
      </w:r>
      <w:r w:rsidR="00F934F1">
        <w:t xml:space="preserve"> </w:t>
      </w:r>
      <w:r w:rsidR="007B1C07">
        <w:t xml:space="preserve">that “poor performing funds end up with smaller balances” </w:t>
      </w:r>
      <w:r w:rsidR="00F934F1">
        <w:t>over time</w:t>
      </w:r>
      <w:r w:rsidR="006A5ABD">
        <w:t xml:space="preserve">, </w:t>
      </w:r>
      <w:r w:rsidR="00615DAE">
        <w:t xml:space="preserve">it </w:t>
      </w:r>
      <w:r w:rsidR="007B1C07">
        <w:t xml:space="preserve">says nothing about how funds that start with small balances </w:t>
      </w:r>
      <w:r w:rsidR="00615DAE">
        <w:t xml:space="preserve">have </w:t>
      </w:r>
      <w:r w:rsidR="007B1C07">
        <w:t>perform</w:t>
      </w:r>
      <w:r w:rsidR="00615DAE">
        <w:t>ed</w:t>
      </w:r>
      <w:r w:rsidR="007B1C07">
        <w:t xml:space="preserve"> over </w:t>
      </w:r>
      <w:r w:rsidR="00615DAE">
        <w:t>the period.</w:t>
      </w:r>
    </w:p>
    <w:p w14:paraId="7F92C0DE" w14:textId="1D9D511C" w:rsidR="00394D34" w:rsidRPr="009940F1" w:rsidRDefault="00E84604" w:rsidP="00394D34">
      <w:pPr>
        <w:rPr>
          <w:b/>
        </w:rPr>
      </w:pPr>
      <w:r w:rsidRPr="00E84604">
        <w:rPr>
          <w:noProof/>
          <w:lang w:eastAsia="en-AU"/>
        </w:rPr>
        <w:drawing>
          <wp:anchor distT="0" distB="0" distL="114300" distR="114300" simplePos="0" relativeHeight="251659278" behindDoc="0" locked="0" layoutInCell="1" allowOverlap="1" wp14:anchorId="0FECC66C" wp14:editId="1FFF27E2">
            <wp:simplePos x="0" y="0"/>
            <wp:positionH relativeFrom="column">
              <wp:posOffset>3068292</wp:posOffset>
            </wp:positionH>
            <wp:positionV relativeFrom="paragraph">
              <wp:posOffset>42711</wp:posOffset>
            </wp:positionV>
            <wp:extent cx="2433320" cy="2003425"/>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33320" cy="2003425"/>
                    </a:xfrm>
                    <a:prstGeom prst="rect">
                      <a:avLst/>
                    </a:prstGeom>
                    <a:noFill/>
                    <a:ln>
                      <a:noFill/>
                    </a:ln>
                  </pic:spPr>
                </pic:pic>
              </a:graphicData>
            </a:graphic>
          </wp:anchor>
        </w:drawing>
      </w:r>
      <w:r w:rsidR="00394D34" w:rsidRPr="009940F1">
        <w:rPr>
          <w:b/>
        </w:rPr>
        <w:t>4.1 How do SMSFs grow over time?</w:t>
      </w:r>
    </w:p>
    <w:p w14:paraId="6D73E254" w14:textId="5D685C56" w:rsidR="006E02ED" w:rsidRDefault="006E02ED" w:rsidP="00394D34">
      <w:r>
        <w:t xml:space="preserve">As part of their </w:t>
      </w:r>
      <w:r>
        <w:rPr>
          <w:i/>
        </w:rPr>
        <w:t>Self-managed super funds:</w:t>
      </w:r>
      <w:r w:rsidRPr="005A24AA">
        <w:rPr>
          <w:i/>
        </w:rPr>
        <w:t xml:space="preserve"> </w:t>
      </w:r>
      <w:r>
        <w:rPr>
          <w:i/>
        </w:rPr>
        <w:t>a s</w:t>
      </w:r>
      <w:r w:rsidRPr="005A24AA">
        <w:rPr>
          <w:i/>
        </w:rPr>
        <w:t xml:space="preserve">tatistical </w:t>
      </w:r>
      <w:r>
        <w:rPr>
          <w:i/>
        </w:rPr>
        <w:t>o</w:t>
      </w:r>
      <w:r w:rsidRPr="005A24AA">
        <w:rPr>
          <w:i/>
        </w:rPr>
        <w:t>verview</w:t>
      </w:r>
      <w:r>
        <w:t xml:space="preserve"> for 2015-2016, the ATO produced some analysis of funds over time in an infographic: </w:t>
      </w:r>
      <w:hyperlink r:id="rId26" w:history="1">
        <w:r w:rsidRPr="005A24AA">
          <w:rPr>
            <w:rStyle w:val="Hyperlink"/>
            <w:i/>
          </w:rPr>
          <w:t>SMSFs first lodged in 2012 FY: where are they five years on?</w:t>
        </w:r>
      </w:hyperlink>
      <w:r w:rsidRPr="006E02ED">
        <w:t xml:space="preserve"> </w:t>
      </w:r>
      <w:r>
        <w:t xml:space="preserve">This Analysis illustrated nicely how SMSFs had grown over the period and as summarised </w:t>
      </w:r>
      <w:r w:rsidR="00E84604">
        <w:t xml:space="preserve">in </w:t>
      </w:r>
      <w:r w:rsidR="00E84604" w:rsidRPr="005A24AA">
        <w:rPr>
          <w:i/>
        </w:rPr>
        <w:t>Table C.2</w:t>
      </w:r>
      <w:r>
        <w:t xml:space="preserve"> a significant number of the funds migrate into larger brackets </w:t>
      </w:r>
      <w:r w:rsidR="00E84604">
        <w:t>within</w:t>
      </w:r>
      <w:r>
        <w:t xml:space="preserve"> the period.</w:t>
      </w:r>
      <w:r w:rsidR="00E84604" w:rsidRPr="00E84604">
        <w:t xml:space="preserve"> </w:t>
      </w:r>
    </w:p>
    <w:p w14:paraId="3BFDFD0F" w14:textId="23601E44" w:rsidR="00394D34" w:rsidRDefault="00E84604" w:rsidP="00394D34">
      <w:r>
        <w:rPr>
          <w:noProof/>
          <w:lang w:eastAsia="en-AU"/>
        </w:rPr>
        <mc:AlternateContent>
          <mc:Choice Requires="wps">
            <w:drawing>
              <wp:anchor distT="0" distB="0" distL="114300" distR="114300" simplePos="0" relativeHeight="251660302" behindDoc="0" locked="0" layoutInCell="1" allowOverlap="1" wp14:anchorId="6A8FE29B" wp14:editId="5401C62A">
                <wp:simplePos x="0" y="0"/>
                <wp:positionH relativeFrom="column">
                  <wp:posOffset>3069037</wp:posOffset>
                </wp:positionH>
                <wp:positionV relativeFrom="paragraph">
                  <wp:posOffset>2264</wp:posOffset>
                </wp:positionV>
                <wp:extent cx="914400" cy="262255"/>
                <wp:effectExtent l="0" t="0" r="0" b="4445"/>
                <wp:wrapSquare wrapText="bothSides"/>
                <wp:docPr id="9" name="Text Box 9"/>
                <wp:cNvGraphicFramePr/>
                <a:graphic xmlns:a="http://schemas.openxmlformats.org/drawingml/2006/main">
                  <a:graphicData uri="http://schemas.microsoft.com/office/word/2010/wordprocessingShape">
                    <wps:wsp>
                      <wps:cNvSpPr txBox="1"/>
                      <wps:spPr>
                        <a:xfrm>
                          <a:off x="0" y="0"/>
                          <a:ext cx="914400" cy="262255"/>
                        </a:xfrm>
                        <a:prstGeom prst="rect">
                          <a:avLst/>
                        </a:prstGeom>
                        <a:solidFill>
                          <a:schemeClr val="lt1"/>
                        </a:solidFill>
                        <a:ln w="6350">
                          <a:noFill/>
                        </a:ln>
                      </wps:spPr>
                      <wps:txbx>
                        <w:txbxContent>
                          <w:p w14:paraId="2D2272D3" w14:textId="42261CC4" w:rsidR="00E84604" w:rsidRPr="005A24AA" w:rsidRDefault="00E84604">
                            <w:pPr>
                              <w:rPr>
                                <w:i/>
                              </w:rPr>
                            </w:pPr>
                            <w:r w:rsidRPr="005A24AA">
                              <w:rPr>
                                <w:b/>
                                <w:i/>
                              </w:rPr>
                              <w:t>Table C.2</w:t>
                            </w:r>
                            <w:r w:rsidRPr="005A24AA">
                              <w:rPr>
                                <w:i/>
                              </w:rPr>
                              <w:t xml:space="preserve"> </w:t>
                            </w:r>
                            <w:r>
                              <w:rPr>
                                <w:i/>
                              </w:rPr>
                              <w:t xml:space="preserve">                                     </w:t>
                            </w:r>
                            <w:r w:rsidRPr="005A24AA">
                              <w:rPr>
                                <w:i/>
                              </w:rPr>
                              <w:t>source</w:t>
                            </w:r>
                            <w:r>
                              <w:rPr>
                                <w:i/>
                              </w:rPr>
                              <w:t>:</w:t>
                            </w:r>
                            <w:r w:rsidRPr="005A24AA">
                              <w:rPr>
                                <w:i/>
                              </w:rPr>
                              <w:t xml:space="preserve"> ATO</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8FE29B" id="Text Box 9" o:spid="_x0000_s1031" type="#_x0000_t202" style="position:absolute;margin-left:241.65pt;margin-top:.2pt;width:1in;height:20.65pt;z-index:25166030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" fillcolor="white [3201]" stroked="f" strokeweight=".5pt">
                <v:textbox inset="0,0,0,0">
                  <w:txbxContent>
                    <w:p w14:paraId="2D2272D3" w14:textId="42261CC4" w:rsidR="00E84604" w:rsidRPr="005A24AA" w:rsidRDefault="00E84604">
                      <w:pPr>
                        <w:rPr>
                          <w:i/>
                        </w:rPr>
                      </w:pPr>
                      <w:r w:rsidRPr="005A24AA">
                        <w:rPr>
                          <w:b/>
                          <w:i/>
                        </w:rPr>
                        <w:t>Table C.2</w:t>
                      </w:r>
                      <w:r w:rsidRPr="005A24AA">
                        <w:rPr>
                          <w:i/>
                        </w:rPr>
                        <w:t xml:space="preserve"> </w:t>
                      </w:r>
                      <w:r>
                        <w:rPr>
                          <w:i/>
                        </w:rPr>
                        <w:t xml:space="preserve">                                     </w:t>
                      </w:r>
                      <w:r w:rsidRPr="005A24AA">
                        <w:rPr>
                          <w:i/>
                        </w:rPr>
                        <w:t>source</w:t>
                      </w:r>
                      <w:r>
                        <w:rPr>
                          <w:i/>
                        </w:rPr>
                        <w:t>:</w:t>
                      </w:r>
                      <w:r w:rsidRPr="005A24AA">
                        <w:rPr>
                          <w:i/>
                        </w:rPr>
                        <w:t xml:space="preserve"> ATO</w:t>
                      </w:r>
                    </w:p>
                  </w:txbxContent>
                </v:textbox>
                <w10:wrap type="square"/>
              </v:shape>
            </w:pict>
          </mc:Fallback>
        </mc:AlternateContent>
      </w:r>
      <w:r w:rsidR="006E02ED">
        <w:t xml:space="preserve"> Unfortunately, </w:t>
      </w:r>
      <w:r>
        <w:t>the infographic did not include performance data but if the ATO could provide that data we think it would be a useful addition to the commission’s review of performance.</w:t>
      </w:r>
    </w:p>
    <w:p w14:paraId="15AD3760" w14:textId="5ED9D2CF" w:rsidR="006A5ABD" w:rsidRPr="00574A25" w:rsidRDefault="007C7767" w:rsidP="007B1C07">
      <w:pPr>
        <w:spacing w:after="120"/>
        <w:rPr>
          <w:b/>
        </w:rPr>
      </w:pPr>
      <w:r>
        <w:rPr>
          <w:noProof/>
          <w:lang w:eastAsia="en-AU"/>
        </w:rPr>
        <w:lastRenderedPageBreak/>
        <w:drawing>
          <wp:anchor distT="0" distB="0" distL="114300" distR="114300" simplePos="0" relativeHeight="251658250" behindDoc="0" locked="0" layoutInCell="1" allowOverlap="1" wp14:anchorId="5B3E8DF8" wp14:editId="33FF8997">
            <wp:simplePos x="0" y="0"/>
            <wp:positionH relativeFrom="column">
              <wp:posOffset>3479165</wp:posOffset>
            </wp:positionH>
            <wp:positionV relativeFrom="paragraph">
              <wp:posOffset>246380</wp:posOffset>
            </wp:positionV>
            <wp:extent cx="2236470" cy="313245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236470" cy="3132455"/>
                    </a:xfrm>
                    <a:prstGeom prst="rect">
                      <a:avLst/>
                    </a:prstGeom>
                  </pic:spPr>
                </pic:pic>
              </a:graphicData>
            </a:graphic>
            <wp14:sizeRelH relativeFrom="margin">
              <wp14:pctWidth>0</wp14:pctWidth>
            </wp14:sizeRelH>
            <wp14:sizeRelV relativeFrom="margin">
              <wp14:pctHeight>0</wp14:pctHeight>
            </wp14:sizeRelV>
          </wp:anchor>
        </w:drawing>
      </w:r>
      <w:r w:rsidR="006A5ABD" w:rsidRPr="00574A25">
        <w:rPr>
          <w:b/>
        </w:rPr>
        <w:t>4.</w:t>
      </w:r>
      <w:r w:rsidR="00394D34">
        <w:rPr>
          <w:b/>
        </w:rPr>
        <w:t>2</w:t>
      </w:r>
      <w:r w:rsidR="00394D34" w:rsidRPr="00574A25">
        <w:rPr>
          <w:b/>
        </w:rPr>
        <w:t xml:space="preserve"> </w:t>
      </w:r>
      <w:r w:rsidR="00574A25" w:rsidRPr="00574A25">
        <w:rPr>
          <w:b/>
        </w:rPr>
        <w:t xml:space="preserve">How do </w:t>
      </w:r>
      <w:r w:rsidR="00A52349">
        <w:rPr>
          <w:b/>
        </w:rPr>
        <w:t>SMSFs</w:t>
      </w:r>
      <w:r w:rsidR="00574A25" w:rsidRPr="00574A25">
        <w:rPr>
          <w:b/>
        </w:rPr>
        <w:t xml:space="preserve"> of </w:t>
      </w:r>
      <w:r w:rsidR="00A52349">
        <w:rPr>
          <w:b/>
        </w:rPr>
        <w:t xml:space="preserve">varying </w:t>
      </w:r>
      <w:r w:rsidR="00574A25" w:rsidRPr="00574A25">
        <w:rPr>
          <w:b/>
        </w:rPr>
        <w:t>size</w:t>
      </w:r>
      <w:r w:rsidR="00A52349">
        <w:rPr>
          <w:b/>
        </w:rPr>
        <w:t>s</w:t>
      </w:r>
      <w:r w:rsidR="00574A25" w:rsidRPr="00574A25">
        <w:rPr>
          <w:b/>
        </w:rPr>
        <w:t xml:space="preserve"> perform over time?</w:t>
      </w:r>
      <w:r w:rsidR="009B13E5" w:rsidRPr="009B13E5">
        <w:rPr>
          <w:noProof/>
        </w:rPr>
        <w:t xml:space="preserve"> </w:t>
      </w:r>
    </w:p>
    <w:p w14:paraId="13C42CFC" w14:textId="0F56C901" w:rsidR="00034E18" w:rsidRDefault="003C25C1" w:rsidP="00201FB9">
      <w:pPr>
        <w:spacing w:after="120"/>
      </w:pPr>
      <w:r w:rsidRPr="00360B4E">
        <w:rPr>
          <w:i/>
        </w:rPr>
        <w:t>Graph C.3</w:t>
      </w:r>
      <w:r>
        <w:t xml:space="preserve"> </w:t>
      </w:r>
      <w:r w:rsidR="004C4085">
        <w:t xml:space="preserve">opposite </w:t>
      </w:r>
      <w:r w:rsidR="00FD36BD">
        <w:t xml:space="preserve">does answer the above questions and shows data for funds </w:t>
      </w:r>
      <w:r w:rsidR="007B1C07">
        <w:t xml:space="preserve">groups based on </w:t>
      </w:r>
      <w:r w:rsidR="000B628A">
        <w:t xml:space="preserve">their opening balance in </w:t>
      </w:r>
      <w:r w:rsidR="007B1C07">
        <w:t>FY13</w:t>
      </w:r>
      <w:r w:rsidR="734AC13A" w:rsidRPr="2B7DE82C">
        <w:t>,</w:t>
      </w:r>
      <w:r w:rsidR="007B1C07">
        <w:t xml:space="preserve"> and tracks their </w:t>
      </w:r>
      <w:r w:rsidR="000B628A">
        <w:t xml:space="preserve">ROR </w:t>
      </w:r>
      <w:r w:rsidR="007B1C07">
        <w:t xml:space="preserve">performance </w:t>
      </w:r>
      <w:r w:rsidR="2B7DE82C">
        <w:t xml:space="preserve">for </w:t>
      </w:r>
      <w:r w:rsidR="007B1C07">
        <w:t>the 5 years to June 2017.</w:t>
      </w:r>
    </w:p>
    <w:p w14:paraId="1EF731B4" w14:textId="3161102A" w:rsidR="00AC7CEA" w:rsidRDefault="00AC7CEA">
      <w:r>
        <w:t xml:space="preserve">We think that this graph </w:t>
      </w:r>
      <w:r w:rsidR="0031339C">
        <w:t xml:space="preserve">is </w:t>
      </w:r>
      <w:r w:rsidR="00833B6A">
        <w:t xml:space="preserve">what the regulator should be producing and </w:t>
      </w:r>
      <w:r w:rsidR="2B7DE82C">
        <w:t>consider it is</w:t>
      </w:r>
      <w:r w:rsidR="00833B6A">
        <w:t xml:space="preserve"> </w:t>
      </w:r>
      <w:r>
        <w:t xml:space="preserve">more informative </w:t>
      </w:r>
      <w:r w:rsidR="11AEFDBF">
        <w:t>both for</w:t>
      </w:r>
      <w:r>
        <w:t xml:space="preserve"> </w:t>
      </w:r>
      <w:r w:rsidR="0031339C">
        <w:t>investors considering an SMSF</w:t>
      </w:r>
      <w:r w:rsidR="00833B6A">
        <w:t>,</w:t>
      </w:r>
      <w:r w:rsidR="0031339C">
        <w:t xml:space="preserve"> and for investors who have an SMSF and </w:t>
      </w:r>
      <w:r w:rsidR="00C263F5">
        <w:t>would like to compare how they have performed</w:t>
      </w:r>
      <w:r w:rsidR="11AEFDBF">
        <w:t>,</w:t>
      </w:r>
      <w:r w:rsidR="00C263F5">
        <w:t xml:space="preserve"> relative to their peers. </w:t>
      </w:r>
    </w:p>
    <w:p w14:paraId="5E257D5E" w14:textId="4516B183" w:rsidR="007A4F78" w:rsidRDefault="00880993">
      <w:r>
        <w:t xml:space="preserve">It is clear that the smaller funds </w:t>
      </w:r>
      <w:r w:rsidR="00107033">
        <w:t>do not have as good a return as larger funds</w:t>
      </w:r>
      <w:r w:rsidR="11AEFDBF">
        <w:t xml:space="preserve">, however </w:t>
      </w:r>
      <w:r w:rsidR="00107033">
        <w:t xml:space="preserve">the effect </w:t>
      </w:r>
      <w:r w:rsidR="006E02ED">
        <w:t xml:space="preserve">is much smaller than indicted in </w:t>
      </w:r>
      <w:r w:rsidR="006E02ED" w:rsidRPr="005A24AA">
        <w:rPr>
          <w:i/>
        </w:rPr>
        <w:t>Figure 2.10(b)</w:t>
      </w:r>
      <w:r w:rsidR="006E02ED">
        <w:t xml:space="preserve"> and it </w:t>
      </w:r>
      <w:r w:rsidR="00784D4F">
        <w:t>reduces as the funds grow.</w:t>
      </w:r>
      <w:r w:rsidR="006B1985">
        <w:t xml:space="preserve"> </w:t>
      </w:r>
    </w:p>
    <w:p w14:paraId="6A3F082F" w14:textId="65794117" w:rsidR="002D5584" w:rsidRPr="00387C8F" w:rsidRDefault="001F59DD">
      <w:pPr>
        <w:rPr>
          <w:b/>
        </w:rPr>
      </w:pPr>
      <w:r w:rsidRPr="00387C8F">
        <w:rPr>
          <w:b/>
        </w:rPr>
        <w:t>4.</w:t>
      </w:r>
      <w:r w:rsidR="00394D34">
        <w:rPr>
          <w:b/>
        </w:rPr>
        <w:t>3</w:t>
      </w:r>
      <w:r w:rsidR="00394D34" w:rsidRPr="00387C8F">
        <w:rPr>
          <w:b/>
        </w:rPr>
        <w:t xml:space="preserve"> </w:t>
      </w:r>
      <w:r w:rsidR="00A11A74" w:rsidRPr="00387C8F">
        <w:rPr>
          <w:b/>
        </w:rPr>
        <w:t xml:space="preserve">Small balances </w:t>
      </w:r>
      <w:r w:rsidR="00387C8F" w:rsidRPr="00387C8F">
        <w:rPr>
          <w:b/>
        </w:rPr>
        <w:t>and fixed fees</w:t>
      </w:r>
    </w:p>
    <w:p w14:paraId="49212E07" w14:textId="7C01ECAA" w:rsidR="00880993" w:rsidRDefault="006B1985">
      <w:r>
        <w:t>In fact</w:t>
      </w:r>
      <w:r w:rsidR="0016795C">
        <w:t>,</w:t>
      </w:r>
      <w:r>
        <w:t xml:space="preserve"> the observation </w:t>
      </w:r>
      <w:r w:rsidR="008F0B51">
        <w:t xml:space="preserve">about small balances </w:t>
      </w:r>
      <w:r w:rsidR="007C20C3">
        <w:t xml:space="preserve">affects </w:t>
      </w:r>
      <w:r>
        <w:t xml:space="preserve">small member balances </w:t>
      </w:r>
      <w:r w:rsidR="005F1F47">
        <w:t xml:space="preserve">as the regressive impact of fixed fees is made in </w:t>
      </w:r>
      <w:r w:rsidR="00B05CFD">
        <w:t>the draft report</w:t>
      </w:r>
      <w:r w:rsidR="00423F5C">
        <w:t>’</w:t>
      </w:r>
      <w:r w:rsidR="00B05CFD">
        <w:t xml:space="preserve">s </w:t>
      </w:r>
      <w:r w:rsidR="00B05CFD" w:rsidRPr="00423F5C">
        <w:rPr>
          <w:i/>
        </w:rPr>
        <w:t>F</w:t>
      </w:r>
      <w:r w:rsidR="005F1F47" w:rsidRPr="00423F5C">
        <w:rPr>
          <w:i/>
        </w:rPr>
        <w:t xml:space="preserve">igure </w:t>
      </w:r>
      <w:r w:rsidR="00B05CFD" w:rsidRPr="00423F5C">
        <w:rPr>
          <w:i/>
        </w:rPr>
        <w:t>3.8</w:t>
      </w:r>
      <w:r w:rsidR="00B05CFD">
        <w:t xml:space="preserve">. </w:t>
      </w:r>
      <w:r w:rsidR="007E2F50">
        <w:t xml:space="preserve">The correlation is strong because SMSFs have an average of 1.9 members </w:t>
      </w:r>
      <w:r w:rsidR="00534FED">
        <w:t xml:space="preserve">and the effect of fixed fees for administration </w:t>
      </w:r>
      <w:r w:rsidR="00633203">
        <w:t>create</w:t>
      </w:r>
      <w:r w:rsidR="0B6F3EDB">
        <w:t>s</w:t>
      </w:r>
      <w:r w:rsidR="00633203">
        <w:t xml:space="preserve"> a regressive effect on</w:t>
      </w:r>
      <w:r w:rsidR="00534FED">
        <w:t xml:space="preserve"> member</w:t>
      </w:r>
      <w:r w:rsidR="00633203">
        <w:t>s</w:t>
      </w:r>
      <w:r w:rsidR="00534FED">
        <w:t xml:space="preserve"> </w:t>
      </w:r>
      <w:r w:rsidR="00633203">
        <w:t>and SMSF</w:t>
      </w:r>
      <w:r w:rsidR="0B6F3EDB">
        <w:t>s</w:t>
      </w:r>
      <w:r w:rsidR="00633203">
        <w:t xml:space="preserve"> alike.</w:t>
      </w:r>
      <w:r w:rsidR="00534FED">
        <w:t xml:space="preserve"> </w:t>
      </w:r>
      <w:r>
        <w:t xml:space="preserve"> </w:t>
      </w:r>
    </w:p>
    <w:p w14:paraId="0B74A266" w14:textId="77777777" w:rsidR="00495D5B" w:rsidRDefault="0016795C">
      <w:r>
        <w:t xml:space="preserve">It would seem counter-productive to suggest that members and funds </w:t>
      </w:r>
      <w:r w:rsidR="00371D70">
        <w:t>with</w:t>
      </w:r>
      <w:r>
        <w:t xml:space="preserve"> small balances </w:t>
      </w:r>
      <w:r w:rsidR="00371D70">
        <w:t>should avoid investing in super because of this small balance penalty.</w:t>
      </w:r>
    </w:p>
    <w:p w14:paraId="626F561D" w14:textId="7480CE51" w:rsidR="00495D5B" w:rsidRDefault="00495D5B" w:rsidP="003D07F7">
      <w:pPr>
        <w:rPr>
          <w:i/>
        </w:rPr>
      </w:pPr>
    </w:p>
    <w:p w14:paraId="0C77F80F" w14:textId="77777777" w:rsidR="00495D5B" w:rsidRDefault="00495D5B" w:rsidP="003D07F7">
      <w:pPr>
        <w:rPr>
          <w:i/>
        </w:rPr>
      </w:pPr>
    </w:p>
    <w:p w14:paraId="457F175B" w14:textId="69A935FE" w:rsidR="00577D26" w:rsidRPr="0084511A" w:rsidRDefault="00A165BD" w:rsidP="003D07F7">
      <w:pPr>
        <w:rPr>
          <w:b/>
        </w:rPr>
      </w:pPr>
      <w:r>
        <w:rPr>
          <w:b/>
        </w:rPr>
        <w:t xml:space="preserve">5. </w:t>
      </w:r>
      <w:r w:rsidR="00577D26" w:rsidRPr="0084511A">
        <w:rPr>
          <w:b/>
        </w:rPr>
        <w:t>Acknowledgement</w:t>
      </w:r>
      <w:r w:rsidR="0084511A" w:rsidRPr="0084511A">
        <w:rPr>
          <w:b/>
        </w:rPr>
        <w:t xml:space="preserve"> of </w:t>
      </w:r>
      <w:r w:rsidR="001B4842" w:rsidRPr="00A13262">
        <w:rPr>
          <w:b/>
          <w:i/>
        </w:rPr>
        <w:t xml:space="preserve">Draft </w:t>
      </w:r>
      <w:r w:rsidR="0084511A" w:rsidRPr="00A13262">
        <w:rPr>
          <w:b/>
          <w:i/>
        </w:rPr>
        <w:t xml:space="preserve">Recommendation </w:t>
      </w:r>
      <w:r w:rsidR="001B4842" w:rsidRPr="00A13262">
        <w:rPr>
          <w:b/>
          <w:i/>
        </w:rPr>
        <w:t>22</w:t>
      </w:r>
    </w:p>
    <w:p w14:paraId="6FB3B1FF" w14:textId="0260D119" w:rsidR="00860A08" w:rsidRDefault="002C1952" w:rsidP="003D07F7">
      <w:r>
        <w:t xml:space="preserve">It should be </w:t>
      </w:r>
      <w:r w:rsidR="00B51E34">
        <w:t>acknowledged</w:t>
      </w:r>
      <w:r>
        <w:t xml:space="preserve"> that the </w:t>
      </w:r>
      <w:r w:rsidR="00364815">
        <w:t xml:space="preserve">ATO and </w:t>
      </w:r>
      <w:r w:rsidR="2958F853">
        <w:t>the Commi</w:t>
      </w:r>
      <w:r w:rsidR="04F26AFB">
        <w:t>ssion</w:t>
      </w:r>
      <w:r w:rsidR="002665F2">
        <w:t xml:space="preserve"> </w:t>
      </w:r>
      <w:r w:rsidR="00364815">
        <w:t>are largely working with the data they have a</w:t>
      </w:r>
      <w:r w:rsidR="04F26AFB">
        <w:t xml:space="preserve">vailable, </w:t>
      </w:r>
      <w:r w:rsidR="00364815">
        <w:t xml:space="preserve">and </w:t>
      </w:r>
      <w:r w:rsidR="009566A1">
        <w:t xml:space="preserve">that the issues we highlight in this submission </w:t>
      </w:r>
      <w:r w:rsidR="00CC45DD">
        <w:t xml:space="preserve">do not </w:t>
      </w:r>
      <w:r w:rsidR="009566A1">
        <w:t xml:space="preserve">appear </w:t>
      </w:r>
      <w:r w:rsidR="0066226F">
        <w:t>to be due to policy or error</w:t>
      </w:r>
      <w:r w:rsidR="04F26AFB">
        <w:t>,</w:t>
      </w:r>
      <w:r w:rsidR="002B051E">
        <w:t xml:space="preserve"> </w:t>
      </w:r>
      <w:r w:rsidR="0066226F">
        <w:t>but</w:t>
      </w:r>
      <w:r w:rsidR="009566A1">
        <w:t xml:space="preserve"> </w:t>
      </w:r>
      <w:r w:rsidR="002B051E">
        <w:t xml:space="preserve">simply due </w:t>
      </w:r>
      <w:r w:rsidR="009566A1">
        <w:t xml:space="preserve">to </w:t>
      </w:r>
      <w:r w:rsidR="008810E9">
        <w:t>misunderstanding</w:t>
      </w:r>
      <w:r w:rsidR="002B051E">
        <w:t>s</w:t>
      </w:r>
      <w:r w:rsidR="008810E9">
        <w:t xml:space="preserve"> and/or </w:t>
      </w:r>
      <w:r w:rsidR="00C178E6">
        <w:t xml:space="preserve">lack of </w:t>
      </w:r>
      <w:r w:rsidR="00762E48">
        <w:t xml:space="preserve">a </w:t>
      </w:r>
      <w:r w:rsidR="002B051E">
        <w:t xml:space="preserve">full </w:t>
      </w:r>
      <w:r w:rsidR="00C178E6">
        <w:t xml:space="preserve">consideration of the impact of </w:t>
      </w:r>
      <w:r w:rsidR="001A134F">
        <w:t xml:space="preserve">some of the </w:t>
      </w:r>
      <w:r w:rsidR="00C178E6">
        <w:t xml:space="preserve">choices </w:t>
      </w:r>
      <w:r w:rsidR="001A134F">
        <w:t>made</w:t>
      </w:r>
      <w:r w:rsidR="008767AC">
        <w:t>,</w:t>
      </w:r>
      <w:r w:rsidR="001A134F">
        <w:t xml:space="preserve"> </w:t>
      </w:r>
      <w:r w:rsidR="00C178E6">
        <w:t xml:space="preserve">and differences in the </w:t>
      </w:r>
      <w:r w:rsidR="000269B0">
        <w:t xml:space="preserve">methods employed by the </w:t>
      </w:r>
      <w:r w:rsidR="00C178E6">
        <w:t>ATO and APRA</w:t>
      </w:r>
      <w:r w:rsidR="005F7704">
        <w:t xml:space="preserve">. </w:t>
      </w:r>
    </w:p>
    <w:p w14:paraId="583C0E43" w14:textId="67DD21E3" w:rsidR="00CF1F2D" w:rsidRDefault="00141018" w:rsidP="003D07F7">
      <w:r>
        <w:t>We acknowledge that t</w:t>
      </w:r>
      <w:r w:rsidR="005F7704">
        <w:t xml:space="preserve">he </w:t>
      </w:r>
      <w:r w:rsidR="008767AC">
        <w:t xml:space="preserve">Commission </w:t>
      </w:r>
      <w:r w:rsidR="002C1952">
        <w:t>has called out a number of the</w:t>
      </w:r>
      <w:r w:rsidR="00350560">
        <w:t xml:space="preserve"> return calculation</w:t>
      </w:r>
      <w:r w:rsidR="002C1952">
        <w:t xml:space="preserve"> </w:t>
      </w:r>
      <w:r w:rsidR="00350560">
        <w:t>concerns</w:t>
      </w:r>
      <w:r w:rsidR="002C1952">
        <w:t xml:space="preserve"> </w:t>
      </w:r>
      <w:r w:rsidR="00A30121">
        <w:t xml:space="preserve">in the report and in its associated </w:t>
      </w:r>
      <w:r w:rsidR="00BE2423" w:rsidRPr="00603012">
        <w:rPr>
          <w:i/>
        </w:rPr>
        <w:t>T</w:t>
      </w:r>
      <w:r w:rsidR="00A30121" w:rsidRPr="00603012">
        <w:rPr>
          <w:i/>
        </w:rPr>
        <w:t xml:space="preserve">echnical </w:t>
      </w:r>
      <w:r w:rsidR="00BE2423" w:rsidRPr="00603012">
        <w:rPr>
          <w:i/>
        </w:rPr>
        <w:t>Supplement 4</w:t>
      </w:r>
      <w:r w:rsidR="008767AC" w:rsidRPr="005856B7">
        <w:t>,</w:t>
      </w:r>
      <w:r w:rsidR="00A30121">
        <w:t xml:space="preserve"> but </w:t>
      </w:r>
      <w:r w:rsidR="007A46F5">
        <w:t xml:space="preserve">without </w:t>
      </w:r>
      <w:r w:rsidR="008B2C05">
        <w:t xml:space="preserve">alternative data and illustrations many of these notes of caution are simply ignored by the </w:t>
      </w:r>
      <w:r w:rsidR="008767AC">
        <w:t>medi</w:t>
      </w:r>
      <w:r w:rsidR="4BE94792">
        <w:t xml:space="preserve">a, </w:t>
      </w:r>
      <w:r w:rsidR="003B0A86">
        <w:t xml:space="preserve">resulting in </w:t>
      </w:r>
      <w:r w:rsidR="4BE94792">
        <w:t xml:space="preserve">articles </w:t>
      </w:r>
      <w:r w:rsidR="003B0A86">
        <w:t>like th</w:t>
      </w:r>
      <w:r w:rsidR="4BE94792">
        <w:t>e following from</w:t>
      </w:r>
      <w:r w:rsidR="00A84084">
        <w:t xml:space="preserve"> the AFR</w:t>
      </w:r>
      <w:r w:rsidR="62AF3C9E">
        <w:t>, 29 May</w:t>
      </w:r>
      <w:r w:rsidR="003B0A86">
        <w:t xml:space="preserve"> </w:t>
      </w:r>
      <w:r w:rsidR="0039796F">
        <w:t>2018</w:t>
      </w:r>
      <w:r w:rsidR="00534659">
        <w:t>:</w:t>
      </w:r>
    </w:p>
    <w:p w14:paraId="10D22880" w14:textId="44A7C8C1" w:rsidR="0039796F" w:rsidRPr="00207BC9" w:rsidRDefault="00534659" w:rsidP="009F5363">
      <w:pPr>
        <w:pStyle w:val="Heading1"/>
        <w:shd w:val="clear" w:color="auto" w:fill="E7E6E6" w:themeFill="background2"/>
        <w:spacing w:before="0" w:beforeAutospacing="0" w:after="75" w:afterAutospacing="0"/>
        <w:ind w:left="426" w:right="379"/>
        <w:textAlignment w:val="baseline"/>
        <w:rPr>
          <w:rFonts w:ascii="Georgia" w:hAnsi="Georgia"/>
          <w:color w:val="000000"/>
        </w:rPr>
      </w:pPr>
      <w:r>
        <w:rPr>
          <w:rFonts w:ascii="Georgia" w:hAnsi="Georgia"/>
          <w:color w:val="000000"/>
          <w:sz w:val="24"/>
        </w:rPr>
        <w:t>“</w:t>
      </w:r>
      <w:r w:rsidR="004F0F06" w:rsidRPr="00573EA0">
        <w:rPr>
          <w:rFonts w:ascii="Georgia" w:hAnsi="Georgia"/>
          <w:color w:val="000000"/>
          <w:sz w:val="24"/>
        </w:rPr>
        <w:t>Got less than $1m in assets? Forget a self-managed super fund</w:t>
      </w:r>
      <w:r>
        <w:rPr>
          <w:rFonts w:ascii="Georgia" w:hAnsi="Georgia"/>
          <w:color w:val="000000"/>
          <w:sz w:val="24"/>
        </w:rPr>
        <w:t>”</w:t>
      </w:r>
    </w:p>
    <w:p w14:paraId="43BB51CC" w14:textId="23A2109A" w:rsidR="00C96C21" w:rsidRPr="00E41910" w:rsidRDefault="00C96C21" w:rsidP="009F5363">
      <w:pPr>
        <w:pStyle w:val="Heading1"/>
        <w:shd w:val="clear" w:color="auto" w:fill="E7E6E6" w:themeFill="background2"/>
        <w:spacing w:before="0" w:beforeAutospacing="0" w:after="75" w:afterAutospacing="0"/>
        <w:ind w:left="426" w:right="379"/>
        <w:jc w:val="right"/>
        <w:textAlignment w:val="baseline"/>
        <w:rPr>
          <w:rFonts w:ascii="Georgia" w:hAnsi="Georgia"/>
          <w:b w:val="0"/>
          <w:color w:val="000000"/>
          <w:sz w:val="22"/>
        </w:rPr>
      </w:pPr>
      <w:r w:rsidRPr="00C96C21">
        <w:rPr>
          <w:rFonts w:ascii="Georgia" w:hAnsi="Georgia"/>
          <w:b w:val="0"/>
          <w:color w:val="000000"/>
          <w:sz w:val="18"/>
        </w:rPr>
        <w:t>AFR, 29 May 2018</w:t>
      </w:r>
    </w:p>
    <w:p w14:paraId="498071FB" w14:textId="5C8467F9" w:rsidR="009F5363" w:rsidRDefault="009F5363" w:rsidP="009F5363">
      <w:pPr>
        <w:spacing w:before="120"/>
      </w:pPr>
      <w:r>
        <w:t xml:space="preserve">We </w:t>
      </w:r>
      <w:r w:rsidR="00A13262">
        <w:t xml:space="preserve">also </w:t>
      </w:r>
      <w:r>
        <w:t xml:space="preserve">acknowledge that </w:t>
      </w:r>
      <w:r w:rsidRPr="00A13262">
        <w:rPr>
          <w:i/>
        </w:rPr>
        <w:t>Draft Recommendation 22</w:t>
      </w:r>
      <w:r>
        <w:t xml:space="preserve"> could address some of the concerns raised here</w:t>
      </w:r>
      <w:r w:rsidR="62AF3C9E">
        <w:t xml:space="preserve">, however </w:t>
      </w:r>
      <w:r>
        <w:t xml:space="preserve">we think a number of the improvements such as providing ROR </w:t>
      </w:r>
      <w:r w:rsidR="00A13262">
        <w:t xml:space="preserve">values </w:t>
      </w:r>
      <w:r>
        <w:t>could be implemented by the ATO regardless of the recommended workshops.</w:t>
      </w:r>
    </w:p>
    <w:p w14:paraId="58FFA605" w14:textId="77777777" w:rsidR="005A24AA" w:rsidRPr="00096D57" w:rsidRDefault="005A24AA" w:rsidP="00096D57">
      <w:pPr>
        <w:rPr>
          <w:b/>
          <w:color w:val="70AD47" w:themeColor="accent6"/>
        </w:rPr>
      </w:pPr>
    </w:p>
    <w:sectPr w:rsidR="005A24AA" w:rsidRPr="00096D57" w:rsidSect="003745AD">
      <w:headerReference w:type="default" r:id="rId28"/>
      <w:footerReference w:type="default" r:id="rId2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92066" w14:textId="77777777" w:rsidR="00517A81" w:rsidRDefault="00517A81" w:rsidP="00853F4C">
      <w:pPr>
        <w:spacing w:after="0" w:line="240" w:lineRule="auto"/>
      </w:pPr>
      <w:r>
        <w:separator/>
      </w:r>
    </w:p>
  </w:endnote>
  <w:endnote w:type="continuationSeparator" w:id="0">
    <w:p w14:paraId="24E9374E" w14:textId="77777777" w:rsidR="00517A81" w:rsidRDefault="00517A81" w:rsidP="00853F4C">
      <w:pPr>
        <w:spacing w:after="0" w:line="240" w:lineRule="auto"/>
      </w:pPr>
      <w:r>
        <w:continuationSeparator/>
      </w:r>
    </w:p>
  </w:endnote>
  <w:endnote w:type="continuationNotice" w:id="1">
    <w:p w14:paraId="459081CB" w14:textId="77777777" w:rsidR="00517A81" w:rsidRDefault="00517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D2816" w14:textId="7E48AC22" w:rsidR="00495D5B" w:rsidRDefault="00495D5B">
    <w:pPr>
      <w:pStyle w:val="Footer"/>
    </w:pPr>
    <w:r w:rsidRPr="005A24AA">
      <w:rPr>
        <w:i/>
      </w:rPr>
      <w:t>Class Limited, Submission to the Productivity Commission inquiry into Superannuation</w:t>
    </w:r>
    <w:r>
      <w:tab/>
      <w:t xml:space="preserve">Page </w:t>
    </w:r>
    <w:r>
      <w:fldChar w:fldCharType="begin"/>
    </w:r>
    <w:r>
      <w:instrText xml:space="preserve"> PAGE   \* MERGEFORMAT </w:instrText>
    </w:r>
    <w:r>
      <w:fldChar w:fldCharType="separate"/>
    </w:r>
    <w:r w:rsidR="0012534B">
      <w:rPr>
        <w:noProof/>
      </w:rPr>
      <w:t>2</w:t>
    </w:r>
    <w:r>
      <w:fldChar w:fldCharType="end"/>
    </w:r>
    <w:r>
      <w:t xml:space="preserve"> of </w:t>
    </w:r>
    <w:fldSimple w:instr=" NUMPAGES   \* MERGEFORMAT ">
      <w:r w:rsidR="0012534B">
        <w:rPr>
          <w:noProof/>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EA484" w14:textId="77777777" w:rsidR="00517A81" w:rsidRDefault="00517A81" w:rsidP="00853F4C">
      <w:pPr>
        <w:spacing w:after="0" w:line="240" w:lineRule="auto"/>
      </w:pPr>
      <w:r>
        <w:separator/>
      </w:r>
    </w:p>
  </w:footnote>
  <w:footnote w:type="continuationSeparator" w:id="0">
    <w:p w14:paraId="5132406A" w14:textId="77777777" w:rsidR="00517A81" w:rsidRDefault="00517A81" w:rsidP="00853F4C">
      <w:pPr>
        <w:spacing w:after="0" w:line="240" w:lineRule="auto"/>
      </w:pPr>
      <w:r>
        <w:continuationSeparator/>
      </w:r>
    </w:p>
  </w:footnote>
  <w:footnote w:type="continuationNotice" w:id="1">
    <w:p w14:paraId="55A4ABC8" w14:textId="77777777" w:rsidR="00517A81" w:rsidRDefault="00517A8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289F7" w14:textId="1E114029" w:rsidR="00495D5B" w:rsidRDefault="00495D5B">
    <w:pPr>
      <w:pStyle w:val="Header"/>
    </w:pPr>
    <w:r>
      <w:rPr>
        <w:noProof/>
        <w:lang w:eastAsia="en-AU"/>
      </w:rPr>
      <w:drawing>
        <wp:anchor distT="0" distB="0" distL="114300" distR="114300" simplePos="0" relativeHeight="251658240" behindDoc="0" locked="0" layoutInCell="1" allowOverlap="1" wp14:anchorId="1295387D" wp14:editId="47175C46">
          <wp:simplePos x="0" y="0"/>
          <wp:positionH relativeFrom="column">
            <wp:posOffset>-331</wp:posOffset>
          </wp:positionH>
          <wp:positionV relativeFrom="paragraph">
            <wp:posOffset>-114935</wp:posOffset>
          </wp:positionV>
          <wp:extent cx="1209675" cy="429202"/>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ass_Logo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675" cy="429202"/>
                  </a:xfrm>
                  <a:prstGeom prst="rect">
                    <a:avLst/>
                  </a:prstGeom>
                </pic:spPr>
              </pic:pic>
            </a:graphicData>
          </a:graphic>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2AC3"/>
    <w:multiLevelType w:val="hybridMultilevel"/>
    <w:tmpl w:val="4F6A1F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CF5E0F"/>
    <w:multiLevelType w:val="hybridMultilevel"/>
    <w:tmpl w:val="77766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501243"/>
    <w:multiLevelType w:val="hybridMultilevel"/>
    <w:tmpl w:val="7FA4290E"/>
    <w:lvl w:ilvl="0" w:tplc="0C090019">
      <w:start w:val="1"/>
      <w:numFmt w:val="lowerLetter"/>
      <w:lvlText w:val="%1."/>
      <w:lvlJc w:val="left"/>
      <w:pPr>
        <w:ind w:left="633" w:hanging="360"/>
      </w:pPr>
      <w:rPr>
        <w:rFonts w:hint="default"/>
      </w:rPr>
    </w:lvl>
    <w:lvl w:ilvl="1" w:tplc="0C090003" w:tentative="1">
      <w:start w:val="1"/>
      <w:numFmt w:val="bullet"/>
      <w:lvlText w:val="o"/>
      <w:lvlJc w:val="left"/>
      <w:pPr>
        <w:ind w:left="993" w:hanging="360"/>
      </w:pPr>
      <w:rPr>
        <w:rFonts w:ascii="Courier New" w:hAnsi="Courier New" w:cs="Courier New" w:hint="default"/>
      </w:rPr>
    </w:lvl>
    <w:lvl w:ilvl="2" w:tplc="0C090005" w:tentative="1">
      <w:start w:val="1"/>
      <w:numFmt w:val="bullet"/>
      <w:lvlText w:val=""/>
      <w:lvlJc w:val="left"/>
      <w:pPr>
        <w:ind w:left="1713" w:hanging="360"/>
      </w:pPr>
      <w:rPr>
        <w:rFonts w:ascii="Wingdings" w:hAnsi="Wingdings" w:hint="default"/>
      </w:rPr>
    </w:lvl>
    <w:lvl w:ilvl="3" w:tplc="0C090001" w:tentative="1">
      <w:start w:val="1"/>
      <w:numFmt w:val="bullet"/>
      <w:lvlText w:val=""/>
      <w:lvlJc w:val="left"/>
      <w:pPr>
        <w:ind w:left="2433" w:hanging="360"/>
      </w:pPr>
      <w:rPr>
        <w:rFonts w:ascii="Symbol" w:hAnsi="Symbol" w:hint="default"/>
      </w:rPr>
    </w:lvl>
    <w:lvl w:ilvl="4" w:tplc="0C090003" w:tentative="1">
      <w:start w:val="1"/>
      <w:numFmt w:val="bullet"/>
      <w:lvlText w:val="o"/>
      <w:lvlJc w:val="left"/>
      <w:pPr>
        <w:ind w:left="3153" w:hanging="360"/>
      </w:pPr>
      <w:rPr>
        <w:rFonts w:ascii="Courier New" w:hAnsi="Courier New" w:cs="Courier New" w:hint="default"/>
      </w:rPr>
    </w:lvl>
    <w:lvl w:ilvl="5" w:tplc="0C090005" w:tentative="1">
      <w:start w:val="1"/>
      <w:numFmt w:val="bullet"/>
      <w:lvlText w:val=""/>
      <w:lvlJc w:val="left"/>
      <w:pPr>
        <w:ind w:left="3873" w:hanging="360"/>
      </w:pPr>
      <w:rPr>
        <w:rFonts w:ascii="Wingdings" w:hAnsi="Wingdings" w:hint="default"/>
      </w:rPr>
    </w:lvl>
    <w:lvl w:ilvl="6" w:tplc="0C090001" w:tentative="1">
      <w:start w:val="1"/>
      <w:numFmt w:val="bullet"/>
      <w:lvlText w:val=""/>
      <w:lvlJc w:val="left"/>
      <w:pPr>
        <w:ind w:left="4593" w:hanging="360"/>
      </w:pPr>
      <w:rPr>
        <w:rFonts w:ascii="Symbol" w:hAnsi="Symbol" w:hint="default"/>
      </w:rPr>
    </w:lvl>
    <w:lvl w:ilvl="7" w:tplc="0C090003" w:tentative="1">
      <w:start w:val="1"/>
      <w:numFmt w:val="bullet"/>
      <w:lvlText w:val="o"/>
      <w:lvlJc w:val="left"/>
      <w:pPr>
        <w:ind w:left="5313" w:hanging="360"/>
      </w:pPr>
      <w:rPr>
        <w:rFonts w:ascii="Courier New" w:hAnsi="Courier New" w:cs="Courier New" w:hint="default"/>
      </w:rPr>
    </w:lvl>
    <w:lvl w:ilvl="8" w:tplc="0C090005" w:tentative="1">
      <w:start w:val="1"/>
      <w:numFmt w:val="bullet"/>
      <w:lvlText w:val=""/>
      <w:lvlJc w:val="left"/>
      <w:pPr>
        <w:ind w:left="6033" w:hanging="360"/>
      </w:pPr>
      <w:rPr>
        <w:rFonts w:ascii="Wingdings" w:hAnsi="Wingdings" w:hint="default"/>
      </w:rPr>
    </w:lvl>
  </w:abstractNum>
  <w:abstractNum w:abstractNumId="3" w15:restartNumberingAfterBreak="0">
    <w:nsid w:val="297941A9"/>
    <w:multiLevelType w:val="hybridMultilevel"/>
    <w:tmpl w:val="4A16AE96"/>
    <w:lvl w:ilvl="0" w:tplc="ADFC2AE4">
      <w:start w:val="1"/>
      <w:numFmt w:val="bullet"/>
      <w:lvlText w:val="-"/>
      <w:lvlJc w:val="left"/>
      <w:pPr>
        <w:ind w:left="633" w:hanging="360"/>
      </w:pPr>
      <w:rPr>
        <w:rFonts w:ascii="Calibri" w:eastAsiaTheme="minorHAnsi" w:hAnsi="Calibri" w:cs="Calibri" w:hint="default"/>
      </w:rPr>
    </w:lvl>
    <w:lvl w:ilvl="1" w:tplc="0C090003" w:tentative="1">
      <w:start w:val="1"/>
      <w:numFmt w:val="bullet"/>
      <w:lvlText w:val="o"/>
      <w:lvlJc w:val="left"/>
      <w:pPr>
        <w:ind w:left="993" w:hanging="360"/>
      </w:pPr>
      <w:rPr>
        <w:rFonts w:ascii="Courier New" w:hAnsi="Courier New" w:cs="Courier New" w:hint="default"/>
      </w:rPr>
    </w:lvl>
    <w:lvl w:ilvl="2" w:tplc="0C090005" w:tentative="1">
      <w:start w:val="1"/>
      <w:numFmt w:val="bullet"/>
      <w:lvlText w:val=""/>
      <w:lvlJc w:val="left"/>
      <w:pPr>
        <w:ind w:left="1713" w:hanging="360"/>
      </w:pPr>
      <w:rPr>
        <w:rFonts w:ascii="Wingdings" w:hAnsi="Wingdings" w:hint="default"/>
      </w:rPr>
    </w:lvl>
    <w:lvl w:ilvl="3" w:tplc="0C090001" w:tentative="1">
      <w:start w:val="1"/>
      <w:numFmt w:val="bullet"/>
      <w:lvlText w:val=""/>
      <w:lvlJc w:val="left"/>
      <w:pPr>
        <w:ind w:left="2433" w:hanging="360"/>
      </w:pPr>
      <w:rPr>
        <w:rFonts w:ascii="Symbol" w:hAnsi="Symbol" w:hint="default"/>
      </w:rPr>
    </w:lvl>
    <w:lvl w:ilvl="4" w:tplc="0C090003" w:tentative="1">
      <w:start w:val="1"/>
      <w:numFmt w:val="bullet"/>
      <w:lvlText w:val="o"/>
      <w:lvlJc w:val="left"/>
      <w:pPr>
        <w:ind w:left="3153" w:hanging="360"/>
      </w:pPr>
      <w:rPr>
        <w:rFonts w:ascii="Courier New" w:hAnsi="Courier New" w:cs="Courier New" w:hint="default"/>
      </w:rPr>
    </w:lvl>
    <w:lvl w:ilvl="5" w:tplc="0C090005" w:tentative="1">
      <w:start w:val="1"/>
      <w:numFmt w:val="bullet"/>
      <w:lvlText w:val=""/>
      <w:lvlJc w:val="left"/>
      <w:pPr>
        <w:ind w:left="3873" w:hanging="360"/>
      </w:pPr>
      <w:rPr>
        <w:rFonts w:ascii="Wingdings" w:hAnsi="Wingdings" w:hint="default"/>
      </w:rPr>
    </w:lvl>
    <w:lvl w:ilvl="6" w:tplc="0C090001" w:tentative="1">
      <w:start w:val="1"/>
      <w:numFmt w:val="bullet"/>
      <w:lvlText w:val=""/>
      <w:lvlJc w:val="left"/>
      <w:pPr>
        <w:ind w:left="4593" w:hanging="360"/>
      </w:pPr>
      <w:rPr>
        <w:rFonts w:ascii="Symbol" w:hAnsi="Symbol" w:hint="default"/>
      </w:rPr>
    </w:lvl>
    <w:lvl w:ilvl="7" w:tplc="0C090003" w:tentative="1">
      <w:start w:val="1"/>
      <w:numFmt w:val="bullet"/>
      <w:lvlText w:val="o"/>
      <w:lvlJc w:val="left"/>
      <w:pPr>
        <w:ind w:left="5313" w:hanging="360"/>
      </w:pPr>
      <w:rPr>
        <w:rFonts w:ascii="Courier New" w:hAnsi="Courier New" w:cs="Courier New" w:hint="default"/>
      </w:rPr>
    </w:lvl>
    <w:lvl w:ilvl="8" w:tplc="0C090005" w:tentative="1">
      <w:start w:val="1"/>
      <w:numFmt w:val="bullet"/>
      <w:lvlText w:val=""/>
      <w:lvlJc w:val="left"/>
      <w:pPr>
        <w:ind w:left="6033" w:hanging="360"/>
      </w:pPr>
      <w:rPr>
        <w:rFonts w:ascii="Wingdings" w:hAnsi="Wingdings" w:hint="default"/>
      </w:rPr>
    </w:lvl>
  </w:abstractNum>
  <w:abstractNum w:abstractNumId="4" w15:restartNumberingAfterBreak="0">
    <w:nsid w:val="2DFD7FCF"/>
    <w:multiLevelType w:val="hybridMultilevel"/>
    <w:tmpl w:val="F31E58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F1447A"/>
    <w:multiLevelType w:val="hybridMultilevel"/>
    <w:tmpl w:val="9A425E3A"/>
    <w:lvl w:ilvl="0" w:tplc="16C4D1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317132"/>
    <w:multiLevelType w:val="hybridMultilevel"/>
    <w:tmpl w:val="9158549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CC3A7B"/>
    <w:multiLevelType w:val="hybridMultilevel"/>
    <w:tmpl w:val="E37477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F068D0"/>
    <w:multiLevelType w:val="hybridMultilevel"/>
    <w:tmpl w:val="88083D34"/>
    <w:lvl w:ilvl="0" w:tplc="0C09000F">
      <w:start w:val="1"/>
      <w:numFmt w:val="decimal"/>
      <w:lvlText w:val="%1."/>
      <w:lvlJc w:val="left"/>
      <w:pPr>
        <w:ind w:left="633" w:hanging="360"/>
      </w:pPr>
      <w:rPr>
        <w:rFonts w:hint="default"/>
      </w:rPr>
    </w:lvl>
    <w:lvl w:ilvl="1" w:tplc="0C090003" w:tentative="1">
      <w:start w:val="1"/>
      <w:numFmt w:val="bullet"/>
      <w:lvlText w:val="o"/>
      <w:lvlJc w:val="left"/>
      <w:pPr>
        <w:ind w:left="993" w:hanging="360"/>
      </w:pPr>
      <w:rPr>
        <w:rFonts w:ascii="Courier New" w:hAnsi="Courier New" w:cs="Courier New" w:hint="default"/>
      </w:rPr>
    </w:lvl>
    <w:lvl w:ilvl="2" w:tplc="0C090005" w:tentative="1">
      <w:start w:val="1"/>
      <w:numFmt w:val="bullet"/>
      <w:lvlText w:val=""/>
      <w:lvlJc w:val="left"/>
      <w:pPr>
        <w:ind w:left="1713" w:hanging="360"/>
      </w:pPr>
      <w:rPr>
        <w:rFonts w:ascii="Wingdings" w:hAnsi="Wingdings" w:hint="default"/>
      </w:rPr>
    </w:lvl>
    <w:lvl w:ilvl="3" w:tplc="0C090001" w:tentative="1">
      <w:start w:val="1"/>
      <w:numFmt w:val="bullet"/>
      <w:lvlText w:val=""/>
      <w:lvlJc w:val="left"/>
      <w:pPr>
        <w:ind w:left="2433" w:hanging="360"/>
      </w:pPr>
      <w:rPr>
        <w:rFonts w:ascii="Symbol" w:hAnsi="Symbol" w:hint="default"/>
      </w:rPr>
    </w:lvl>
    <w:lvl w:ilvl="4" w:tplc="0C090003" w:tentative="1">
      <w:start w:val="1"/>
      <w:numFmt w:val="bullet"/>
      <w:lvlText w:val="o"/>
      <w:lvlJc w:val="left"/>
      <w:pPr>
        <w:ind w:left="3153" w:hanging="360"/>
      </w:pPr>
      <w:rPr>
        <w:rFonts w:ascii="Courier New" w:hAnsi="Courier New" w:cs="Courier New" w:hint="default"/>
      </w:rPr>
    </w:lvl>
    <w:lvl w:ilvl="5" w:tplc="0C090005" w:tentative="1">
      <w:start w:val="1"/>
      <w:numFmt w:val="bullet"/>
      <w:lvlText w:val=""/>
      <w:lvlJc w:val="left"/>
      <w:pPr>
        <w:ind w:left="3873" w:hanging="360"/>
      </w:pPr>
      <w:rPr>
        <w:rFonts w:ascii="Wingdings" w:hAnsi="Wingdings" w:hint="default"/>
      </w:rPr>
    </w:lvl>
    <w:lvl w:ilvl="6" w:tplc="0C090001" w:tentative="1">
      <w:start w:val="1"/>
      <w:numFmt w:val="bullet"/>
      <w:lvlText w:val=""/>
      <w:lvlJc w:val="left"/>
      <w:pPr>
        <w:ind w:left="4593" w:hanging="360"/>
      </w:pPr>
      <w:rPr>
        <w:rFonts w:ascii="Symbol" w:hAnsi="Symbol" w:hint="default"/>
      </w:rPr>
    </w:lvl>
    <w:lvl w:ilvl="7" w:tplc="0C090003" w:tentative="1">
      <w:start w:val="1"/>
      <w:numFmt w:val="bullet"/>
      <w:lvlText w:val="o"/>
      <w:lvlJc w:val="left"/>
      <w:pPr>
        <w:ind w:left="5313" w:hanging="360"/>
      </w:pPr>
      <w:rPr>
        <w:rFonts w:ascii="Courier New" w:hAnsi="Courier New" w:cs="Courier New" w:hint="default"/>
      </w:rPr>
    </w:lvl>
    <w:lvl w:ilvl="8" w:tplc="0C090005" w:tentative="1">
      <w:start w:val="1"/>
      <w:numFmt w:val="bullet"/>
      <w:lvlText w:val=""/>
      <w:lvlJc w:val="left"/>
      <w:pPr>
        <w:ind w:left="6033" w:hanging="360"/>
      </w:pPr>
      <w:rPr>
        <w:rFonts w:ascii="Wingdings" w:hAnsi="Wingdings" w:hint="default"/>
      </w:rPr>
    </w:lvl>
  </w:abstractNum>
  <w:abstractNum w:abstractNumId="9" w15:restartNumberingAfterBreak="0">
    <w:nsid w:val="54911479"/>
    <w:multiLevelType w:val="hybridMultilevel"/>
    <w:tmpl w:val="1B7234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6A0078B"/>
    <w:multiLevelType w:val="hybridMultilevel"/>
    <w:tmpl w:val="1D3AB494"/>
    <w:lvl w:ilvl="0" w:tplc="4560D7F6">
      <w:start w:val="1"/>
      <w:numFmt w:val="bullet"/>
      <w:lvlText w:val=""/>
      <w:lvlJc w:val="left"/>
      <w:pPr>
        <w:ind w:left="720" w:hanging="360"/>
      </w:pPr>
      <w:rPr>
        <w:rFonts w:ascii="Symbol" w:hAnsi="Symbol" w:hint="default"/>
      </w:rPr>
    </w:lvl>
    <w:lvl w:ilvl="1" w:tplc="8B92CAB0">
      <w:start w:val="1"/>
      <w:numFmt w:val="bullet"/>
      <w:lvlText w:val=""/>
      <w:lvlJc w:val="left"/>
      <w:pPr>
        <w:ind w:left="1440" w:hanging="360"/>
      </w:pPr>
      <w:rPr>
        <w:rFonts w:ascii="Symbol" w:hAnsi="Symbol" w:hint="default"/>
      </w:rPr>
    </w:lvl>
    <w:lvl w:ilvl="2" w:tplc="578A9F74">
      <w:start w:val="1"/>
      <w:numFmt w:val="bullet"/>
      <w:lvlText w:val=""/>
      <w:lvlJc w:val="left"/>
      <w:pPr>
        <w:ind w:left="2160" w:hanging="360"/>
      </w:pPr>
      <w:rPr>
        <w:rFonts w:ascii="Wingdings" w:hAnsi="Wingdings" w:hint="default"/>
      </w:rPr>
    </w:lvl>
    <w:lvl w:ilvl="3" w:tplc="A3D6B678">
      <w:start w:val="1"/>
      <w:numFmt w:val="bullet"/>
      <w:lvlText w:val=""/>
      <w:lvlJc w:val="left"/>
      <w:pPr>
        <w:ind w:left="2880" w:hanging="360"/>
      </w:pPr>
      <w:rPr>
        <w:rFonts w:ascii="Symbol" w:hAnsi="Symbol" w:hint="default"/>
      </w:rPr>
    </w:lvl>
    <w:lvl w:ilvl="4" w:tplc="8C26F702">
      <w:start w:val="1"/>
      <w:numFmt w:val="bullet"/>
      <w:lvlText w:val="o"/>
      <w:lvlJc w:val="left"/>
      <w:pPr>
        <w:ind w:left="3600" w:hanging="360"/>
      </w:pPr>
      <w:rPr>
        <w:rFonts w:ascii="Courier New" w:hAnsi="Courier New" w:hint="default"/>
      </w:rPr>
    </w:lvl>
    <w:lvl w:ilvl="5" w:tplc="CAB627BA">
      <w:start w:val="1"/>
      <w:numFmt w:val="bullet"/>
      <w:lvlText w:val=""/>
      <w:lvlJc w:val="left"/>
      <w:pPr>
        <w:ind w:left="4320" w:hanging="360"/>
      </w:pPr>
      <w:rPr>
        <w:rFonts w:ascii="Wingdings" w:hAnsi="Wingdings" w:hint="default"/>
      </w:rPr>
    </w:lvl>
    <w:lvl w:ilvl="6" w:tplc="8A5EBFF4">
      <w:start w:val="1"/>
      <w:numFmt w:val="bullet"/>
      <w:lvlText w:val=""/>
      <w:lvlJc w:val="left"/>
      <w:pPr>
        <w:ind w:left="5040" w:hanging="360"/>
      </w:pPr>
      <w:rPr>
        <w:rFonts w:ascii="Symbol" w:hAnsi="Symbol" w:hint="default"/>
      </w:rPr>
    </w:lvl>
    <w:lvl w:ilvl="7" w:tplc="7D0E072E">
      <w:start w:val="1"/>
      <w:numFmt w:val="bullet"/>
      <w:lvlText w:val="o"/>
      <w:lvlJc w:val="left"/>
      <w:pPr>
        <w:ind w:left="5760" w:hanging="360"/>
      </w:pPr>
      <w:rPr>
        <w:rFonts w:ascii="Courier New" w:hAnsi="Courier New" w:hint="default"/>
      </w:rPr>
    </w:lvl>
    <w:lvl w:ilvl="8" w:tplc="B4E8BD18">
      <w:start w:val="1"/>
      <w:numFmt w:val="bullet"/>
      <w:lvlText w:val=""/>
      <w:lvlJc w:val="left"/>
      <w:pPr>
        <w:ind w:left="6480" w:hanging="360"/>
      </w:pPr>
      <w:rPr>
        <w:rFonts w:ascii="Wingdings" w:hAnsi="Wingdings" w:hint="default"/>
      </w:rPr>
    </w:lvl>
  </w:abstractNum>
  <w:abstractNum w:abstractNumId="11" w15:restartNumberingAfterBreak="0">
    <w:nsid w:val="66076414"/>
    <w:multiLevelType w:val="hybridMultilevel"/>
    <w:tmpl w:val="625E3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0928F0"/>
    <w:multiLevelType w:val="multilevel"/>
    <w:tmpl w:val="7ED0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1E15BC"/>
    <w:multiLevelType w:val="hybridMultilevel"/>
    <w:tmpl w:val="DA56BE5C"/>
    <w:lvl w:ilvl="0" w:tplc="ADFC2AE4">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F3E5DB3"/>
    <w:multiLevelType w:val="hybridMultilevel"/>
    <w:tmpl w:val="9158549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70C5E2D"/>
    <w:multiLevelType w:val="hybridMultilevel"/>
    <w:tmpl w:val="737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A1330D"/>
    <w:multiLevelType w:val="hybridMultilevel"/>
    <w:tmpl w:val="25A47A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0"/>
  </w:num>
  <w:num w:numId="3">
    <w:abstractNumId w:val="13"/>
  </w:num>
  <w:num w:numId="4">
    <w:abstractNumId w:val="6"/>
  </w:num>
  <w:num w:numId="5">
    <w:abstractNumId w:val="3"/>
  </w:num>
  <w:num w:numId="6">
    <w:abstractNumId w:val="4"/>
  </w:num>
  <w:num w:numId="7">
    <w:abstractNumId w:val="8"/>
  </w:num>
  <w:num w:numId="8">
    <w:abstractNumId w:val="2"/>
  </w:num>
  <w:num w:numId="9">
    <w:abstractNumId w:val="1"/>
  </w:num>
  <w:num w:numId="10">
    <w:abstractNumId w:val="11"/>
  </w:num>
  <w:num w:numId="11">
    <w:abstractNumId w:val="16"/>
  </w:num>
  <w:num w:numId="12">
    <w:abstractNumId w:val="5"/>
  </w:num>
  <w:num w:numId="13">
    <w:abstractNumId w:val="7"/>
  </w:num>
  <w:num w:numId="14">
    <w:abstractNumId w:val="12"/>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73"/>
    <w:rsid w:val="00001738"/>
    <w:rsid w:val="00001D08"/>
    <w:rsid w:val="000037A8"/>
    <w:rsid w:val="000053C4"/>
    <w:rsid w:val="0000587D"/>
    <w:rsid w:val="00005DF0"/>
    <w:rsid w:val="00007AAB"/>
    <w:rsid w:val="00007F2D"/>
    <w:rsid w:val="0001072B"/>
    <w:rsid w:val="0001164B"/>
    <w:rsid w:val="00012EC0"/>
    <w:rsid w:val="00013BB2"/>
    <w:rsid w:val="000159BE"/>
    <w:rsid w:val="00017747"/>
    <w:rsid w:val="00020416"/>
    <w:rsid w:val="00020B55"/>
    <w:rsid w:val="00021FE9"/>
    <w:rsid w:val="00024899"/>
    <w:rsid w:val="0002553B"/>
    <w:rsid w:val="0002668E"/>
    <w:rsid w:val="000269B0"/>
    <w:rsid w:val="00030DD2"/>
    <w:rsid w:val="0003198D"/>
    <w:rsid w:val="00031A79"/>
    <w:rsid w:val="0003366B"/>
    <w:rsid w:val="00034E18"/>
    <w:rsid w:val="0003597F"/>
    <w:rsid w:val="00037032"/>
    <w:rsid w:val="000373BB"/>
    <w:rsid w:val="0003787E"/>
    <w:rsid w:val="000419DB"/>
    <w:rsid w:val="000440F5"/>
    <w:rsid w:val="00045F36"/>
    <w:rsid w:val="00046FCF"/>
    <w:rsid w:val="0004751A"/>
    <w:rsid w:val="00050AAD"/>
    <w:rsid w:val="000515D0"/>
    <w:rsid w:val="000544EA"/>
    <w:rsid w:val="0005550C"/>
    <w:rsid w:val="000618B9"/>
    <w:rsid w:val="00062419"/>
    <w:rsid w:val="00062996"/>
    <w:rsid w:val="00062EAE"/>
    <w:rsid w:val="00064209"/>
    <w:rsid w:val="00065D7F"/>
    <w:rsid w:val="00065E0B"/>
    <w:rsid w:val="00067F01"/>
    <w:rsid w:val="00072B54"/>
    <w:rsid w:val="00074F20"/>
    <w:rsid w:val="000769C4"/>
    <w:rsid w:val="000805B0"/>
    <w:rsid w:val="00080CAD"/>
    <w:rsid w:val="0008148F"/>
    <w:rsid w:val="0008174D"/>
    <w:rsid w:val="00082BE9"/>
    <w:rsid w:val="0008616E"/>
    <w:rsid w:val="0008696A"/>
    <w:rsid w:val="00091A08"/>
    <w:rsid w:val="00091C5D"/>
    <w:rsid w:val="000922EF"/>
    <w:rsid w:val="00092ADD"/>
    <w:rsid w:val="00093A2D"/>
    <w:rsid w:val="00095D2E"/>
    <w:rsid w:val="00096113"/>
    <w:rsid w:val="00096D57"/>
    <w:rsid w:val="00096E8F"/>
    <w:rsid w:val="000974BE"/>
    <w:rsid w:val="00097CA1"/>
    <w:rsid w:val="000A0862"/>
    <w:rsid w:val="000A10F5"/>
    <w:rsid w:val="000A1D5C"/>
    <w:rsid w:val="000A3800"/>
    <w:rsid w:val="000A62BE"/>
    <w:rsid w:val="000B1E85"/>
    <w:rsid w:val="000B2E0F"/>
    <w:rsid w:val="000B4D14"/>
    <w:rsid w:val="000B628A"/>
    <w:rsid w:val="000C161B"/>
    <w:rsid w:val="000C1788"/>
    <w:rsid w:val="000C183A"/>
    <w:rsid w:val="000C2051"/>
    <w:rsid w:val="000C4CBB"/>
    <w:rsid w:val="000C562B"/>
    <w:rsid w:val="000C6CBF"/>
    <w:rsid w:val="000D0F72"/>
    <w:rsid w:val="000D3BF7"/>
    <w:rsid w:val="000D4944"/>
    <w:rsid w:val="000D551E"/>
    <w:rsid w:val="000D681D"/>
    <w:rsid w:val="000D705C"/>
    <w:rsid w:val="000D7C94"/>
    <w:rsid w:val="000E1A8E"/>
    <w:rsid w:val="000E3863"/>
    <w:rsid w:val="000E4502"/>
    <w:rsid w:val="000E5105"/>
    <w:rsid w:val="000E5191"/>
    <w:rsid w:val="000E51FB"/>
    <w:rsid w:val="000F0765"/>
    <w:rsid w:val="000F204C"/>
    <w:rsid w:val="000F3831"/>
    <w:rsid w:val="000F428C"/>
    <w:rsid w:val="000F48A1"/>
    <w:rsid w:val="000F66EC"/>
    <w:rsid w:val="000F7B0D"/>
    <w:rsid w:val="000F7F9D"/>
    <w:rsid w:val="0010586C"/>
    <w:rsid w:val="00105969"/>
    <w:rsid w:val="00105A54"/>
    <w:rsid w:val="00107033"/>
    <w:rsid w:val="0010762A"/>
    <w:rsid w:val="00107C9D"/>
    <w:rsid w:val="0011054A"/>
    <w:rsid w:val="00110659"/>
    <w:rsid w:val="00112A54"/>
    <w:rsid w:val="001137BB"/>
    <w:rsid w:val="00114AD3"/>
    <w:rsid w:val="00121E38"/>
    <w:rsid w:val="00122D15"/>
    <w:rsid w:val="00122F29"/>
    <w:rsid w:val="00123523"/>
    <w:rsid w:val="0012505F"/>
    <w:rsid w:val="0012534B"/>
    <w:rsid w:val="001257F3"/>
    <w:rsid w:val="001258D3"/>
    <w:rsid w:val="001303E2"/>
    <w:rsid w:val="00135174"/>
    <w:rsid w:val="00136661"/>
    <w:rsid w:val="00136944"/>
    <w:rsid w:val="0013755F"/>
    <w:rsid w:val="00140AD8"/>
    <w:rsid w:val="00141018"/>
    <w:rsid w:val="00141F29"/>
    <w:rsid w:val="00142D45"/>
    <w:rsid w:val="00143C8F"/>
    <w:rsid w:val="001446BB"/>
    <w:rsid w:val="00146E91"/>
    <w:rsid w:val="00151316"/>
    <w:rsid w:val="0015332B"/>
    <w:rsid w:val="001543DD"/>
    <w:rsid w:val="00154F39"/>
    <w:rsid w:val="001578EB"/>
    <w:rsid w:val="00161FC1"/>
    <w:rsid w:val="0016684F"/>
    <w:rsid w:val="0016721B"/>
    <w:rsid w:val="001676EC"/>
    <w:rsid w:val="00167779"/>
    <w:rsid w:val="0016795C"/>
    <w:rsid w:val="00171AE6"/>
    <w:rsid w:val="001745DD"/>
    <w:rsid w:val="00180A03"/>
    <w:rsid w:val="00182906"/>
    <w:rsid w:val="00182D4B"/>
    <w:rsid w:val="00183009"/>
    <w:rsid w:val="00184F41"/>
    <w:rsid w:val="00184FE9"/>
    <w:rsid w:val="00185E34"/>
    <w:rsid w:val="00187707"/>
    <w:rsid w:val="00191455"/>
    <w:rsid w:val="00193698"/>
    <w:rsid w:val="00195A05"/>
    <w:rsid w:val="00195C0F"/>
    <w:rsid w:val="00196789"/>
    <w:rsid w:val="00196D69"/>
    <w:rsid w:val="00197B30"/>
    <w:rsid w:val="001A111B"/>
    <w:rsid w:val="001A134F"/>
    <w:rsid w:val="001A1FEE"/>
    <w:rsid w:val="001A3566"/>
    <w:rsid w:val="001A52B0"/>
    <w:rsid w:val="001A5622"/>
    <w:rsid w:val="001A5BA9"/>
    <w:rsid w:val="001A6064"/>
    <w:rsid w:val="001A643D"/>
    <w:rsid w:val="001A6608"/>
    <w:rsid w:val="001A67AF"/>
    <w:rsid w:val="001A6AF0"/>
    <w:rsid w:val="001A7381"/>
    <w:rsid w:val="001B033F"/>
    <w:rsid w:val="001B0EAD"/>
    <w:rsid w:val="001B242A"/>
    <w:rsid w:val="001B2EE3"/>
    <w:rsid w:val="001B4842"/>
    <w:rsid w:val="001B5DEB"/>
    <w:rsid w:val="001C01B6"/>
    <w:rsid w:val="001C33AE"/>
    <w:rsid w:val="001C6168"/>
    <w:rsid w:val="001C7E81"/>
    <w:rsid w:val="001D168A"/>
    <w:rsid w:val="001D1DC2"/>
    <w:rsid w:val="001D2397"/>
    <w:rsid w:val="001D4231"/>
    <w:rsid w:val="001D4C50"/>
    <w:rsid w:val="001D5903"/>
    <w:rsid w:val="001D5A30"/>
    <w:rsid w:val="001D6F26"/>
    <w:rsid w:val="001E1B70"/>
    <w:rsid w:val="001E2A2C"/>
    <w:rsid w:val="001E2C48"/>
    <w:rsid w:val="001E3F6B"/>
    <w:rsid w:val="001E4AE5"/>
    <w:rsid w:val="001E5A80"/>
    <w:rsid w:val="001E6469"/>
    <w:rsid w:val="001E7756"/>
    <w:rsid w:val="001E7857"/>
    <w:rsid w:val="001F147C"/>
    <w:rsid w:val="001F2DBE"/>
    <w:rsid w:val="001F33F3"/>
    <w:rsid w:val="001F4516"/>
    <w:rsid w:val="001F59DD"/>
    <w:rsid w:val="001F6B06"/>
    <w:rsid w:val="001F6E5D"/>
    <w:rsid w:val="002002DB"/>
    <w:rsid w:val="00201858"/>
    <w:rsid w:val="00201FB9"/>
    <w:rsid w:val="00202056"/>
    <w:rsid w:val="00202A4B"/>
    <w:rsid w:val="00203888"/>
    <w:rsid w:val="00204543"/>
    <w:rsid w:val="00205847"/>
    <w:rsid w:val="00207143"/>
    <w:rsid w:val="00207BC9"/>
    <w:rsid w:val="00210200"/>
    <w:rsid w:val="00210365"/>
    <w:rsid w:val="00213C92"/>
    <w:rsid w:val="002149CB"/>
    <w:rsid w:val="0021574E"/>
    <w:rsid w:val="00217CAA"/>
    <w:rsid w:val="0022081C"/>
    <w:rsid w:val="00220D76"/>
    <w:rsid w:val="002221DF"/>
    <w:rsid w:val="00222752"/>
    <w:rsid w:val="00222D5A"/>
    <w:rsid w:val="00223CF9"/>
    <w:rsid w:val="002261F2"/>
    <w:rsid w:val="00227841"/>
    <w:rsid w:val="0023045A"/>
    <w:rsid w:val="002338C0"/>
    <w:rsid w:val="00233B9A"/>
    <w:rsid w:val="00235A6B"/>
    <w:rsid w:val="002361EF"/>
    <w:rsid w:val="0023726E"/>
    <w:rsid w:val="002428E5"/>
    <w:rsid w:val="002429C0"/>
    <w:rsid w:val="0024561A"/>
    <w:rsid w:val="00245A27"/>
    <w:rsid w:val="002468E6"/>
    <w:rsid w:val="00246EE5"/>
    <w:rsid w:val="00251751"/>
    <w:rsid w:val="002540F1"/>
    <w:rsid w:val="00255278"/>
    <w:rsid w:val="00257A2E"/>
    <w:rsid w:val="00257E2F"/>
    <w:rsid w:val="00261AEA"/>
    <w:rsid w:val="00262303"/>
    <w:rsid w:val="002665F2"/>
    <w:rsid w:val="00266824"/>
    <w:rsid w:val="00266DE5"/>
    <w:rsid w:val="00271A7E"/>
    <w:rsid w:val="00271B08"/>
    <w:rsid w:val="00275B60"/>
    <w:rsid w:val="00276867"/>
    <w:rsid w:val="0028007D"/>
    <w:rsid w:val="00280B36"/>
    <w:rsid w:val="00281B6D"/>
    <w:rsid w:val="00283B96"/>
    <w:rsid w:val="00284D8A"/>
    <w:rsid w:val="00286778"/>
    <w:rsid w:val="002932E3"/>
    <w:rsid w:val="00293F9D"/>
    <w:rsid w:val="002944EF"/>
    <w:rsid w:val="002A36DE"/>
    <w:rsid w:val="002A5CBB"/>
    <w:rsid w:val="002A6743"/>
    <w:rsid w:val="002A7BF3"/>
    <w:rsid w:val="002A7E2B"/>
    <w:rsid w:val="002B051E"/>
    <w:rsid w:val="002B4473"/>
    <w:rsid w:val="002B591A"/>
    <w:rsid w:val="002C1952"/>
    <w:rsid w:val="002C2A5B"/>
    <w:rsid w:val="002C4714"/>
    <w:rsid w:val="002D0006"/>
    <w:rsid w:val="002D1D34"/>
    <w:rsid w:val="002D2987"/>
    <w:rsid w:val="002D34CF"/>
    <w:rsid w:val="002D4A40"/>
    <w:rsid w:val="002D4B83"/>
    <w:rsid w:val="002D5584"/>
    <w:rsid w:val="002D5A47"/>
    <w:rsid w:val="002D64FA"/>
    <w:rsid w:val="002D6725"/>
    <w:rsid w:val="002D7615"/>
    <w:rsid w:val="002E0495"/>
    <w:rsid w:val="002E12D1"/>
    <w:rsid w:val="002E24EE"/>
    <w:rsid w:val="002E2A8B"/>
    <w:rsid w:val="002E4A92"/>
    <w:rsid w:val="002E4C1B"/>
    <w:rsid w:val="002E55B3"/>
    <w:rsid w:val="002E7DB1"/>
    <w:rsid w:val="002F031B"/>
    <w:rsid w:val="002F03C4"/>
    <w:rsid w:val="002F043B"/>
    <w:rsid w:val="002F4729"/>
    <w:rsid w:val="002F4F29"/>
    <w:rsid w:val="002F6BB6"/>
    <w:rsid w:val="003000FC"/>
    <w:rsid w:val="0030021A"/>
    <w:rsid w:val="00301085"/>
    <w:rsid w:val="00301946"/>
    <w:rsid w:val="00303F9A"/>
    <w:rsid w:val="0030423B"/>
    <w:rsid w:val="00304E1D"/>
    <w:rsid w:val="00312870"/>
    <w:rsid w:val="00313081"/>
    <w:rsid w:val="0031339C"/>
    <w:rsid w:val="00314696"/>
    <w:rsid w:val="00314741"/>
    <w:rsid w:val="00314B66"/>
    <w:rsid w:val="00320C91"/>
    <w:rsid w:val="00323067"/>
    <w:rsid w:val="00324668"/>
    <w:rsid w:val="00325B6B"/>
    <w:rsid w:val="00327CB3"/>
    <w:rsid w:val="00334149"/>
    <w:rsid w:val="00334250"/>
    <w:rsid w:val="00334FFB"/>
    <w:rsid w:val="00335939"/>
    <w:rsid w:val="003363F7"/>
    <w:rsid w:val="00340A4E"/>
    <w:rsid w:val="003411FC"/>
    <w:rsid w:val="00343120"/>
    <w:rsid w:val="00344E7B"/>
    <w:rsid w:val="003455D7"/>
    <w:rsid w:val="00350560"/>
    <w:rsid w:val="003518FE"/>
    <w:rsid w:val="00351C52"/>
    <w:rsid w:val="003534D8"/>
    <w:rsid w:val="003552D6"/>
    <w:rsid w:val="003570C0"/>
    <w:rsid w:val="00360B4E"/>
    <w:rsid w:val="003628F6"/>
    <w:rsid w:val="00362AA2"/>
    <w:rsid w:val="00362F9C"/>
    <w:rsid w:val="00364745"/>
    <w:rsid w:val="00364815"/>
    <w:rsid w:val="00364A58"/>
    <w:rsid w:val="003666D6"/>
    <w:rsid w:val="0036704E"/>
    <w:rsid w:val="00367284"/>
    <w:rsid w:val="00371D70"/>
    <w:rsid w:val="00372E69"/>
    <w:rsid w:val="00373F37"/>
    <w:rsid w:val="00374450"/>
    <w:rsid w:val="003745AD"/>
    <w:rsid w:val="003801D4"/>
    <w:rsid w:val="00381DA2"/>
    <w:rsid w:val="00384200"/>
    <w:rsid w:val="0038624C"/>
    <w:rsid w:val="0038649E"/>
    <w:rsid w:val="003865A1"/>
    <w:rsid w:val="00387C8F"/>
    <w:rsid w:val="0039020B"/>
    <w:rsid w:val="003905B7"/>
    <w:rsid w:val="00391C9C"/>
    <w:rsid w:val="00394D34"/>
    <w:rsid w:val="003968BC"/>
    <w:rsid w:val="0039769E"/>
    <w:rsid w:val="0039796F"/>
    <w:rsid w:val="003A2305"/>
    <w:rsid w:val="003A34FB"/>
    <w:rsid w:val="003A37F7"/>
    <w:rsid w:val="003A4D19"/>
    <w:rsid w:val="003A5679"/>
    <w:rsid w:val="003A7FB5"/>
    <w:rsid w:val="003B0A86"/>
    <w:rsid w:val="003B0F20"/>
    <w:rsid w:val="003B28D4"/>
    <w:rsid w:val="003B61CB"/>
    <w:rsid w:val="003B7252"/>
    <w:rsid w:val="003C0AC8"/>
    <w:rsid w:val="003C25C1"/>
    <w:rsid w:val="003C5709"/>
    <w:rsid w:val="003C692B"/>
    <w:rsid w:val="003C787E"/>
    <w:rsid w:val="003D07F7"/>
    <w:rsid w:val="003D190F"/>
    <w:rsid w:val="003D20BD"/>
    <w:rsid w:val="003D2C14"/>
    <w:rsid w:val="003D2D8E"/>
    <w:rsid w:val="003D4A2D"/>
    <w:rsid w:val="003E0AFE"/>
    <w:rsid w:val="003E2CA2"/>
    <w:rsid w:val="003E31C5"/>
    <w:rsid w:val="003E351B"/>
    <w:rsid w:val="003E59CF"/>
    <w:rsid w:val="003E5A81"/>
    <w:rsid w:val="003E6DB1"/>
    <w:rsid w:val="003E78A5"/>
    <w:rsid w:val="003E7B1C"/>
    <w:rsid w:val="003F06A0"/>
    <w:rsid w:val="003F2EFD"/>
    <w:rsid w:val="003F3917"/>
    <w:rsid w:val="003F485E"/>
    <w:rsid w:val="003F4B82"/>
    <w:rsid w:val="004016C1"/>
    <w:rsid w:val="00401DAD"/>
    <w:rsid w:val="00402695"/>
    <w:rsid w:val="00402F4D"/>
    <w:rsid w:val="00404AEE"/>
    <w:rsid w:val="00406D66"/>
    <w:rsid w:val="0040742D"/>
    <w:rsid w:val="00407EA7"/>
    <w:rsid w:val="00407EC3"/>
    <w:rsid w:val="004117A1"/>
    <w:rsid w:val="004118E7"/>
    <w:rsid w:val="00412F3D"/>
    <w:rsid w:val="00413B1D"/>
    <w:rsid w:val="00415042"/>
    <w:rsid w:val="00415FCA"/>
    <w:rsid w:val="00421042"/>
    <w:rsid w:val="00421F08"/>
    <w:rsid w:val="004228AA"/>
    <w:rsid w:val="00423F5C"/>
    <w:rsid w:val="004242AD"/>
    <w:rsid w:val="00425730"/>
    <w:rsid w:val="004276BA"/>
    <w:rsid w:val="0043016F"/>
    <w:rsid w:val="00430890"/>
    <w:rsid w:val="00431CC7"/>
    <w:rsid w:val="00432465"/>
    <w:rsid w:val="00432C34"/>
    <w:rsid w:val="0043434D"/>
    <w:rsid w:val="00434572"/>
    <w:rsid w:val="00434DE3"/>
    <w:rsid w:val="0043684E"/>
    <w:rsid w:val="004400A4"/>
    <w:rsid w:val="004408DF"/>
    <w:rsid w:val="00441603"/>
    <w:rsid w:val="004416FC"/>
    <w:rsid w:val="00443B91"/>
    <w:rsid w:val="00443FE9"/>
    <w:rsid w:val="004444C7"/>
    <w:rsid w:val="00444698"/>
    <w:rsid w:val="00445664"/>
    <w:rsid w:val="00445DA1"/>
    <w:rsid w:val="00447993"/>
    <w:rsid w:val="00452BA4"/>
    <w:rsid w:val="00453143"/>
    <w:rsid w:val="004535AF"/>
    <w:rsid w:val="00454A47"/>
    <w:rsid w:val="00460EE2"/>
    <w:rsid w:val="00461233"/>
    <w:rsid w:val="00461B65"/>
    <w:rsid w:val="00465350"/>
    <w:rsid w:val="00466396"/>
    <w:rsid w:val="004663A6"/>
    <w:rsid w:val="004664EF"/>
    <w:rsid w:val="004674C4"/>
    <w:rsid w:val="00467ACD"/>
    <w:rsid w:val="00467D69"/>
    <w:rsid w:val="00470AF9"/>
    <w:rsid w:val="00471A73"/>
    <w:rsid w:val="004742B7"/>
    <w:rsid w:val="004749E8"/>
    <w:rsid w:val="00477B8D"/>
    <w:rsid w:val="00477FEC"/>
    <w:rsid w:val="00482C59"/>
    <w:rsid w:val="00483F1C"/>
    <w:rsid w:val="00484304"/>
    <w:rsid w:val="004871E9"/>
    <w:rsid w:val="00490C30"/>
    <w:rsid w:val="00494CA9"/>
    <w:rsid w:val="00495620"/>
    <w:rsid w:val="00495D5B"/>
    <w:rsid w:val="0049601D"/>
    <w:rsid w:val="004975F8"/>
    <w:rsid w:val="004A02EB"/>
    <w:rsid w:val="004A09A2"/>
    <w:rsid w:val="004A1F52"/>
    <w:rsid w:val="004A40C3"/>
    <w:rsid w:val="004A5985"/>
    <w:rsid w:val="004A6790"/>
    <w:rsid w:val="004B23DA"/>
    <w:rsid w:val="004B26B0"/>
    <w:rsid w:val="004B2F02"/>
    <w:rsid w:val="004B4AA9"/>
    <w:rsid w:val="004C035A"/>
    <w:rsid w:val="004C0D68"/>
    <w:rsid w:val="004C1C7C"/>
    <w:rsid w:val="004C2A9B"/>
    <w:rsid w:val="004C3B83"/>
    <w:rsid w:val="004C3F27"/>
    <w:rsid w:val="004C4085"/>
    <w:rsid w:val="004C4182"/>
    <w:rsid w:val="004C4FD6"/>
    <w:rsid w:val="004C60BC"/>
    <w:rsid w:val="004C7775"/>
    <w:rsid w:val="004C7F79"/>
    <w:rsid w:val="004D27A9"/>
    <w:rsid w:val="004D378F"/>
    <w:rsid w:val="004D4D3B"/>
    <w:rsid w:val="004D5984"/>
    <w:rsid w:val="004D71C7"/>
    <w:rsid w:val="004D7AAA"/>
    <w:rsid w:val="004E1476"/>
    <w:rsid w:val="004E1833"/>
    <w:rsid w:val="004E762F"/>
    <w:rsid w:val="004F0F06"/>
    <w:rsid w:val="004F1C16"/>
    <w:rsid w:val="004F20EA"/>
    <w:rsid w:val="004F2B44"/>
    <w:rsid w:val="004F41AE"/>
    <w:rsid w:val="004F787A"/>
    <w:rsid w:val="004F7B2C"/>
    <w:rsid w:val="0050085F"/>
    <w:rsid w:val="00501E99"/>
    <w:rsid w:val="00503C4E"/>
    <w:rsid w:val="00504E30"/>
    <w:rsid w:val="00506E18"/>
    <w:rsid w:val="005073A3"/>
    <w:rsid w:val="00510678"/>
    <w:rsid w:val="005108EF"/>
    <w:rsid w:val="00511EE9"/>
    <w:rsid w:val="00512C64"/>
    <w:rsid w:val="005130E1"/>
    <w:rsid w:val="0051457F"/>
    <w:rsid w:val="005175FE"/>
    <w:rsid w:val="00517A81"/>
    <w:rsid w:val="00517F4D"/>
    <w:rsid w:val="00517FF2"/>
    <w:rsid w:val="0052070B"/>
    <w:rsid w:val="005213C1"/>
    <w:rsid w:val="00523F86"/>
    <w:rsid w:val="0052547A"/>
    <w:rsid w:val="0052547E"/>
    <w:rsid w:val="00525BF1"/>
    <w:rsid w:val="00527406"/>
    <w:rsid w:val="00527E61"/>
    <w:rsid w:val="00530CC5"/>
    <w:rsid w:val="00531DD8"/>
    <w:rsid w:val="005335E6"/>
    <w:rsid w:val="005336BD"/>
    <w:rsid w:val="00534659"/>
    <w:rsid w:val="00534FED"/>
    <w:rsid w:val="00535EA0"/>
    <w:rsid w:val="005365AF"/>
    <w:rsid w:val="0053734B"/>
    <w:rsid w:val="005374AB"/>
    <w:rsid w:val="005420D8"/>
    <w:rsid w:val="0054274E"/>
    <w:rsid w:val="005430A1"/>
    <w:rsid w:val="005430D5"/>
    <w:rsid w:val="005437FD"/>
    <w:rsid w:val="00545251"/>
    <w:rsid w:val="005452DE"/>
    <w:rsid w:val="00545DDF"/>
    <w:rsid w:val="00546DC2"/>
    <w:rsid w:val="00551442"/>
    <w:rsid w:val="00552902"/>
    <w:rsid w:val="00553837"/>
    <w:rsid w:val="00560EAA"/>
    <w:rsid w:val="00560EBF"/>
    <w:rsid w:val="00561134"/>
    <w:rsid w:val="005612EF"/>
    <w:rsid w:val="00563F81"/>
    <w:rsid w:val="005640EB"/>
    <w:rsid w:val="0056434B"/>
    <w:rsid w:val="00564666"/>
    <w:rsid w:val="00564A89"/>
    <w:rsid w:val="00564C89"/>
    <w:rsid w:val="00564DA2"/>
    <w:rsid w:val="005650EA"/>
    <w:rsid w:val="005659DA"/>
    <w:rsid w:val="00565B67"/>
    <w:rsid w:val="00565E75"/>
    <w:rsid w:val="0056649D"/>
    <w:rsid w:val="00570E3F"/>
    <w:rsid w:val="0057142B"/>
    <w:rsid w:val="00572B26"/>
    <w:rsid w:val="005737F7"/>
    <w:rsid w:val="00573EA0"/>
    <w:rsid w:val="00574A25"/>
    <w:rsid w:val="00575798"/>
    <w:rsid w:val="0057741A"/>
    <w:rsid w:val="005776AD"/>
    <w:rsid w:val="00577D26"/>
    <w:rsid w:val="00580733"/>
    <w:rsid w:val="00582009"/>
    <w:rsid w:val="0058335F"/>
    <w:rsid w:val="00583CB3"/>
    <w:rsid w:val="005856B7"/>
    <w:rsid w:val="00587896"/>
    <w:rsid w:val="005934EE"/>
    <w:rsid w:val="00593EC5"/>
    <w:rsid w:val="005A24AA"/>
    <w:rsid w:val="005A3281"/>
    <w:rsid w:val="005A4383"/>
    <w:rsid w:val="005A5E70"/>
    <w:rsid w:val="005B0411"/>
    <w:rsid w:val="005B109F"/>
    <w:rsid w:val="005B7325"/>
    <w:rsid w:val="005C0555"/>
    <w:rsid w:val="005C23A9"/>
    <w:rsid w:val="005C2A44"/>
    <w:rsid w:val="005C3EC2"/>
    <w:rsid w:val="005C68E4"/>
    <w:rsid w:val="005C749D"/>
    <w:rsid w:val="005C79CB"/>
    <w:rsid w:val="005D0916"/>
    <w:rsid w:val="005D12C3"/>
    <w:rsid w:val="005D1ACF"/>
    <w:rsid w:val="005D238E"/>
    <w:rsid w:val="005D23BF"/>
    <w:rsid w:val="005D2D30"/>
    <w:rsid w:val="005D3BDB"/>
    <w:rsid w:val="005D3E17"/>
    <w:rsid w:val="005E1AC5"/>
    <w:rsid w:val="005E2AA6"/>
    <w:rsid w:val="005E3618"/>
    <w:rsid w:val="005E4626"/>
    <w:rsid w:val="005E591F"/>
    <w:rsid w:val="005E67E9"/>
    <w:rsid w:val="005E6D9A"/>
    <w:rsid w:val="005F0610"/>
    <w:rsid w:val="005F07A2"/>
    <w:rsid w:val="005F1F47"/>
    <w:rsid w:val="005F394F"/>
    <w:rsid w:val="005F3B40"/>
    <w:rsid w:val="005F45E0"/>
    <w:rsid w:val="005F4FD5"/>
    <w:rsid w:val="005F635D"/>
    <w:rsid w:val="005F7704"/>
    <w:rsid w:val="005F7B6E"/>
    <w:rsid w:val="00600D9E"/>
    <w:rsid w:val="00603012"/>
    <w:rsid w:val="0060357A"/>
    <w:rsid w:val="006050AF"/>
    <w:rsid w:val="00606BF5"/>
    <w:rsid w:val="00610006"/>
    <w:rsid w:val="00610AEC"/>
    <w:rsid w:val="00610FD1"/>
    <w:rsid w:val="00612214"/>
    <w:rsid w:val="0061334A"/>
    <w:rsid w:val="006139E3"/>
    <w:rsid w:val="00615060"/>
    <w:rsid w:val="00615DAE"/>
    <w:rsid w:val="006163EE"/>
    <w:rsid w:val="006167D7"/>
    <w:rsid w:val="00620F63"/>
    <w:rsid w:val="00622D10"/>
    <w:rsid w:val="00622E7E"/>
    <w:rsid w:val="00625898"/>
    <w:rsid w:val="00630303"/>
    <w:rsid w:val="00631E8F"/>
    <w:rsid w:val="00633203"/>
    <w:rsid w:val="00634981"/>
    <w:rsid w:val="00635B13"/>
    <w:rsid w:val="00635FBD"/>
    <w:rsid w:val="00640D61"/>
    <w:rsid w:val="00641F81"/>
    <w:rsid w:val="006422E7"/>
    <w:rsid w:val="00642913"/>
    <w:rsid w:val="00642CC3"/>
    <w:rsid w:val="00643AE6"/>
    <w:rsid w:val="00644220"/>
    <w:rsid w:val="00644B61"/>
    <w:rsid w:val="0064674B"/>
    <w:rsid w:val="0065006C"/>
    <w:rsid w:val="00651421"/>
    <w:rsid w:val="00651AF4"/>
    <w:rsid w:val="00652E11"/>
    <w:rsid w:val="00653A31"/>
    <w:rsid w:val="00654ACD"/>
    <w:rsid w:val="00661F68"/>
    <w:rsid w:val="0066226F"/>
    <w:rsid w:val="00662E81"/>
    <w:rsid w:val="0066312A"/>
    <w:rsid w:val="006647D5"/>
    <w:rsid w:val="00665635"/>
    <w:rsid w:val="0066633B"/>
    <w:rsid w:val="00666730"/>
    <w:rsid w:val="00666E77"/>
    <w:rsid w:val="00667700"/>
    <w:rsid w:val="006720D2"/>
    <w:rsid w:val="00673C43"/>
    <w:rsid w:val="0067698D"/>
    <w:rsid w:val="006824AD"/>
    <w:rsid w:val="00683045"/>
    <w:rsid w:val="00683CD1"/>
    <w:rsid w:val="00684879"/>
    <w:rsid w:val="006853B4"/>
    <w:rsid w:val="0068751C"/>
    <w:rsid w:val="00690229"/>
    <w:rsid w:val="006911C5"/>
    <w:rsid w:val="006940D9"/>
    <w:rsid w:val="00696F28"/>
    <w:rsid w:val="00697731"/>
    <w:rsid w:val="006A1063"/>
    <w:rsid w:val="006A39E7"/>
    <w:rsid w:val="006A5ABD"/>
    <w:rsid w:val="006A646B"/>
    <w:rsid w:val="006A676D"/>
    <w:rsid w:val="006B1836"/>
    <w:rsid w:val="006B1985"/>
    <w:rsid w:val="006B4C36"/>
    <w:rsid w:val="006B5610"/>
    <w:rsid w:val="006B56C7"/>
    <w:rsid w:val="006B56D1"/>
    <w:rsid w:val="006B794A"/>
    <w:rsid w:val="006C068F"/>
    <w:rsid w:val="006C0DAC"/>
    <w:rsid w:val="006C1342"/>
    <w:rsid w:val="006C18C6"/>
    <w:rsid w:val="006C2807"/>
    <w:rsid w:val="006C3A63"/>
    <w:rsid w:val="006C61CC"/>
    <w:rsid w:val="006C7AE7"/>
    <w:rsid w:val="006C7E95"/>
    <w:rsid w:val="006D21C0"/>
    <w:rsid w:val="006D2CF3"/>
    <w:rsid w:val="006D4651"/>
    <w:rsid w:val="006D4B23"/>
    <w:rsid w:val="006D5D09"/>
    <w:rsid w:val="006D625E"/>
    <w:rsid w:val="006D6E9C"/>
    <w:rsid w:val="006E02ED"/>
    <w:rsid w:val="006E0A63"/>
    <w:rsid w:val="006E256F"/>
    <w:rsid w:val="006E423E"/>
    <w:rsid w:val="006E4539"/>
    <w:rsid w:val="006E50AB"/>
    <w:rsid w:val="006E7969"/>
    <w:rsid w:val="006F0D7E"/>
    <w:rsid w:val="006F1851"/>
    <w:rsid w:val="006F21AF"/>
    <w:rsid w:val="006F2670"/>
    <w:rsid w:val="006F5706"/>
    <w:rsid w:val="006F6015"/>
    <w:rsid w:val="006F6EC6"/>
    <w:rsid w:val="006F7886"/>
    <w:rsid w:val="007003F0"/>
    <w:rsid w:val="0070187B"/>
    <w:rsid w:val="00702179"/>
    <w:rsid w:val="00706F16"/>
    <w:rsid w:val="007075FA"/>
    <w:rsid w:val="00710621"/>
    <w:rsid w:val="00710A33"/>
    <w:rsid w:val="00712D1B"/>
    <w:rsid w:val="0072036B"/>
    <w:rsid w:val="00724E98"/>
    <w:rsid w:val="0072557B"/>
    <w:rsid w:val="00726002"/>
    <w:rsid w:val="007269D3"/>
    <w:rsid w:val="0072729A"/>
    <w:rsid w:val="00730B73"/>
    <w:rsid w:val="0073252A"/>
    <w:rsid w:val="007337D9"/>
    <w:rsid w:val="00733E7C"/>
    <w:rsid w:val="00734C81"/>
    <w:rsid w:val="00734C89"/>
    <w:rsid w:val="007353B4"/>
    <w:rsid w:val="0073604A"/>
    <w:rsid w:val="00736232"/>
    <w:rsid w:val="00736E2E"/>
    <w:rsid w:val="00741695"/>
    <w:rsid w:val="007441EB"/>
    <w:rsid w:val="007448EC"/>
    <w:rsid w:val="007449A4"/>
    <w:rsid w:val="007464A5"/>
    <w:rsid w:val="00753D06"/>
    <w:rsid w:val="00756080"/>
    <w:rsid w:val="00761B88"/>
    <w:rsid w:val="00762E48"/>
    <w:rsid w:val="007641AF"/>
    <w:rsid w:val="00764B4D"/>
    <w:rsid w:val="0076580C"/>
    <w:rsid w:val="00775C83"/>
    <w:rsid w:val="007766B1"/>
    <w:rsid w:val="007768FC"/>
    <w:rsid w:val="00776AD3"/>
    <w:rsid w:val="00777254"/>
    <w:rsid w:val="007812DC"/>
    <w:rsid w:val="007813EC"/>
    <w:rsid w:val="00781777"/>
    <w:rsid w:val="00782707"/>
    <w:rsid w:val="00784D4F"/>
    <w:rsid w:val="00785303"/>
    <w:rsid w:val="007907C4"/>
    <w:rsid w:val="00791D98"/>
    <w:rsid w:val="00793100"/>
    <w:rsid w:val="00793648"/>
    <w:rsid w:val="0079526C"/>
    <w:rsid w:val="007964AA"/>
    <w:rsid w:val="007976DA"/>
    <w:rsid w:val="007A095C"/>
    <w:rsid w:val="007A181C"/>
    <w:rsid w:val="007A3818"/>
    <w:rsid w:val="007A46F5"/>
    <w:rsid w:val="007A4F78"/>
    <w:rsid w:val="007A75A7"/>
    <w:rsid w:val="007B1C07"/>
    <w:rsid w:val="007B302E"/>
    <w:rsid w:val="007B4829"/>
    <w:rsid w:val="007B4FB3"/>
    <w:rsid w:val="007C022C"/>
    <w:rsid w:val="007C20C3"/>
    <w:rsid w:val="007C2675"/>
    <w:rsid w:val="007C368D"/>
    <w:rsid w:val="007C3EDA"/>
    <w:rsid w:val="007C61C1"/>
    <w:rsid w:val="007C634D"/>
    <w:rsid w:val="007C7767"/>
    <w:rsid w:val="007D2114"/>
    <w:rsid w:val="007D3E17"/>
    <w:rsid w:val="007D6141"/>
    <w:rsid w:val="007D7653"/>
    <w:rsid w:val="007E1E6D"/>
    <w:rsid w:val="007E2401"/>
    <w:rsid w:val="007E2F50"/>
    <w:rsid w:val="007E462C"/>
    <w:rsid w:val="007E54CD"/>
    <w:rsid w:val="007E64DA"/>
    <w:rsid w:val="007E6E47"/>
    <w:rsid w:val="007E6E88"/>
    <w:rsid w:val="007F191C"/>
    <w:rsid w:val="007F1AF8"/>
    <w:rsid w:val="007F4F4D"/>
    <w:rsid w:val="007F6ACA"/>
    <w:rsid w:val="00802A2E"/>
    <w:rsid w:val="008034C2"/>
    <w:rsid w:val="008039DE"/>
    <w:rsid w:val="008048BA"/>
    <w:rsid w:val="008053AB"/>
    <w:rsid w:val="008117D3"/>
    <w:rsid w:val="008118E5"/>
    <w:rsid w:val="0081470E"/>
    <w:rsid w:val="008158CD"/>
    <w:rsid w:val="00815D88"/>
    <w:rsid w:val="00816635"/>
    <w:rsid w:val="0081675E"/>
    <w:rsid w:val="00820749"/>
    <w:rsid w:val="00821C73"/>
    <w:rsid w:val="00824A41"/>
    <w:rsid w:val="00824AC2"/>
    <w:rsid w:val="00827877"/>
    <w:rsid w:val="0083078A"/>
    <w:rsid w:val="00833B6A"/>
    <w:rsid w:val="00833D6E"/>
    <w:rsid w:val="00834EBA"/>
    <w:rsid w:val="008362A6"/>
    <w:rsid w:val="008406FC"/>
    <w:rsid w:val="0084154D"/>
    <w:rsid w:val="00841AD2"/>
    <w:rsid w:val="00842453"/>
    <w:rsid w:val="00842783"/>
    <w:rsid w:val="008428D5"/>
    <w:rsid w:val="00843C9D"/>
    <w:rsid w:val="008440D9"/>
    <w:rsid w:val="0084511A"/>
    <w:rsid w:val="00846A76"/>
    <w:rsid w:val="00846D75"/>
    <w:rsid w:val="00846DFF"/>
    <w:rsid w:val="00846F5E"/>
    <w:rsid w:val="00847D47"/>
    <w:rsid w:val="00850020"/>
    <w:rsid w:val="00851061"/>
    <w:rsid w:val="00851185"/>
    <w:rsid w:val="00851C2D"/>
    <w:rsid w:val="00851DCF"/>
    <w:rsid w:val="00852AA5"/>
    <w:rsid w:val="00853F4C"/>
    <w:rsid w:val="008546EA"/>
    <w:rsid w:val="00854AFC"/>
    <w:rsid w:val="00855540"/>
    <w:rsid w:val="00857571"/>
    <w:rsid w:val="00857E99"/>
    <w:rsid w:val="00857FD2"/>
    <w:rsid w:val="00860A08"/>
    <w:rsid w:val="00862C5C"/>
    <w:rsid w:val="00864577"/>
    <w:rsid w:val="008662D8"/>
    <w:rsid w:val="00870087"/>
    <w:rsid w:val="0087223E"/>
    <w:rsid w:val="008728B4"/>
    <w:rsid w:val="00874046"/>
    <w:rsid w:val="008745A2"/>
    <w:rsid w:val="00876444"/>
    <w:rsid w:val="008767AC"/>
    <w:rsid w:val="00877DEA"/>
    <w:rsid w:val="00877F5A"/>
    <w:rsid w:val="00880993"/>
    <w:rsid w:val="008810E9"/>
    <w:rsid w:val="008818F2"/>
    <w:rsid w:val="00882AA5"/>
    <w:rsid w:val="008837C1"/>
    <w:rsid w:val="00883F20"/>
    <w:rsid w:val="008844D8"/>
    <w:rsid w:val="00885D1E"/>
    <w:rsid w:val="00886945"/>
    <w:rsid w:val="008877F8"/>
    <w:rsid w:val="00890253"/>
    <w:rsid w:val="0089145A"/>
    <w:rsid w:val="008915A6"/>
    <w:rsid w:val="00891879"/>
    <w:rsid w:val="00893C1C"/>
    <w:rsid w:val="00894D58"/>
    <w:rsid w:val="008A0239"/>
    <w:rsid w:val="008A0771"/>
    <w:rsid w:val="008A0997"/>
    <w:rsid w:val="008A1BE6"/>
    <w:rsid w:val="008A1DD1"/>
    <w:rsid w:val="008A3658"/>
    <w:rsid w:val="008A3AED"/>
    <w:rsid w:val="008A4F6F"/>
    <w:rsid w:val="008A6D7A"/>
    <w:rsid w:val="008A7379"/>
    <w:rsid w:val="008B00EE"/>
    <w:rsid w:val="008B0ED0"/>
    <w:rsid w:val="008B2C05"/>
    <w:rsid w:val="008B30A4"/>
    <w:rsid w:val="008B4365"/>
    <w:rsid w:val="008B646D"/>
    <w:rsid w:val="008C2D29"/>
    <w:rsid w:val="008C2DC1"/>
    <w:rsid w:val="008C491C"/>
    <w:rsid w:val="008C6614"/>
    <w:rsid w:val="008D33F3"/>
    <w:rsid w:val="008D340E"/>
    <w:rsid w:val="008D5DBF"/>
    <w:rsid w:val="008D6DB3"/>
    <w:rsid w:val="008D6F13"/>
    <w:rsid w:val="008D7A2A"/>
    <w:rsid w:val="008E05BF"/>
    <w:rsid w:val="008E1C86"/>
    <w:rsid w:val="008E2B3A"/>
    <w:rsid w:val="008E2EC4"/>
    <w:rsid w:val="008E30C0"/>
    <w:rsid w:val="008E3704"/>
    <w:rsid w:val="008E3A03"/>
    <w:rsid w:val="008E4093"/>
    <w:rsid w:val="008E4300"/>
    <w:rsid w:val="008E43C0"/>
    <w:rsid w:val="008E62E8"/>
    <w:rsid w:val="008F07C7"/>
    <w:rsid w:val="008F0B51"/>
    <w:rsid w:val="008F464F"/>
    <w:rsid w:val="008F524F"/>
    <w:rsid w:val="008F7543"/>
    <w:rsid w:val="009021F4"/>
    <w:rsid w:val="00903816"/>
    <w:rsid w:val="00903A37"/>
    <w:rsid w:val="00905BAC"/>
    <w:rsid w:val="00906F8F"/>
    <w:rsid w:val="00910EC1"/>
    <w:rsid w:val="00911E1E"/>
    <w:rsid w:val="00913EC0"/>
    <w:rsid w:val="00914BA1"/>
    <w:rsid w:val="00917A0F"/>
    <w:rsid w:val="00917C60"/>
    <w:rsid w:val="00917C80"/>
    <w:rsid w:val="00922F32"/>
    <w:rsid w:val="00924669"/>
    <w:rsid w:val="00924C88"/>
    <w:rsid w:val="00927E88"/>
    <w:rsid w:val="00931912"/>
    <w:rsid w:val="00931E00"/>
    <w:rsid w:val="00935C74"/>
    <w:rsid w:val="0094075E"/>
    <w:rsid w:val="00941746"/>
    <w:rsid w:val="00941A5B"/>
    <w:rsid w:val="00941F9C"/>
    <w:rsid w:val="009453A0"/>
    <w:rsid w:val="0094659E"/>
    <w:rsid w:val="00946647"/>
    <w:rsid w:val="00947530"/>
    <w:rsid w:val="00947DEE"/>
    <w:rsid w:val="00950941"/>
    <w:rsid w:val="00950F34"/>
    <w:rsid w:val="0095213C"/>
    <w:rsid w:val="00952B28"/>
    <w:rsid w:val="00954E6D"/>
    <w:rsid w:val="009552D6"/>
    <w:rsid w:val="00955BA2"/>
    <w:rsid w:val="00955EE2"/>
    <w:rsid w:val="009566A1"/>
    <w:rsid w:val="00957485"/>
    <w:rsid w:val="009574ED"/>
    <w:rsid w:val="0096062C"/>
    <w:rsid w:val="0096111C"/>
    <w:rsid w:val="00961B48"/>
    <w:rsid w:val="00962EB9"/>
    <w:rsid w:val="00966370"/>
    <w:rsid w:val="00967330"/>
    <w:rsid w:val="009674E3"/>
    <w:rsid w:val="009678D2"/>
    <w:rsid w:val="00970D87"/>
    <w:rsid w:val="00974359"/>
    <w:rsid w:val="00975E29"/>
    <w:rsid w:val="00977A4B"/>
    <w:rsid w:val="009802A3"/>
    <w:rsid w:val="00980D3D"/>
    <w:rsid w:val="00980DE4"/>
    <w:rsid w:val="009815B3"/>
    <w:rsid w:val="00982212"/>
    <w:rsid w:val="00983C64"/>
    <w:rsid w:val="00986C75"/>
    <w:rsid w:val="00993F01"/>
    <w:rsid w:val="00994DBF"/>
    <w:rsid w:val="00997B78"/>
    <w:rsid w:val="009A0CAA"/>
    <w:rsid w:val="009A1954"/>
    <w:rsid w:val="009A317C"/>
    <w:rsid w:val="009A4635"/>
    <w:rsid w:val="009A524D"/>
    <w:rsid w:val="009A5442"/>
    <w:rsid w:val="009A5731"/>
    <w:rsid w:val="009A60CB"/>
    <w:rsid w:val="009A62BD"/>
    <w:rsid w:val="009A7F94"/>
    <w:rsid w:val="009B13E5"/>
    <w:rsid w:val="009B1EFE"/>
    <w:rsid w:val="009B21FC"/>
    <w:rsid w:val="009B2A13"/>
    <w:rsid w:val="009B2D51"/>
    <w:rsid w:val="009B4AD2"/>
    <w:rsid w:val="009B6535"/>
    <w:rsid w:val="009B65E5"/>
    <w:rsid w:val="009C01FC"/>
    <w:rsid w:val="009C1536"/>
    <w:rsid w:val="009C2BCD"/>
    <w:rsid w:val="009C2D22"/>
    <w:rsid w:val="009C4045"/>
    <w:rsid w:val="009C4D22"/>
    <w:rsid w:val="009C72D9"/>
    <w:rsid w:val="009D0821"/>
    <w:rsid w:val="009D2A53"/>
    <w:rsid w:val="009D3796"/>
    <w:rsid w:val="009D4064"/>
    <w:rsid w:val="009D4D53"/>
    <w:rsid w:val="009D6621"/>
    <w:rsid w:val="009E0AE7"/>
    <w:rsid w:val="009E231D"/>
    <w:rsid w:val="009E23E6"/>
    <w:rsid w:val="009E249B"/>
    <w:rsid w:val="009E2DEF"/>
    <w:rsid w:val="009E2EB0"/>
    <w:rsid w:val="009E4AE8"/>
    <w:rsid w:val="009E4FFE"/>
    <w:rsid w:val="009E616C"/>
    <w:rsid w:val="009E63C9"/>
    <w:rsid w:val="009F15E3"/>
    <w:rsid w:val="009F2F94"/>
    <w:rsid w:val="009F30AA"/>
    <w:rsid w:val="009F3909"/>
    <w:rsid w:val="009F5363"/>
    <w:rsid w:val="00A034E7"/>
    <w:rsid w:val="00A05094"/>
    <w:rsid w:val="00A05234"/>
    <w:rsid w:val="00A11A74"/>
    <w:rsid w:val="00A12D6D"/>
    <w:rsid w:val="00A13262"/>
    <w:rsid w:val="00A1451E"/>
    <w:rsid w:val="00A1462E"/>
    <w:rsid w:val="00A1602A"/>
    <w:rsid w:val="00A165BD"/>
    <w:rsid w:val="00A20FCE"/>
    <w:rsid w:val="00A23574"/>
    <w:rsid w:val="00A23CDF"/>
    <w:rsid w:val="00A241A4"/>
    <w:rsid w:val="00A25C4B"/>
    <w:rsid w:val="00A261A7"/>
    <w:rsid w:val="00A266BC"/>
    <w:rsid w:val="00A30121"/>
    <w:rsid w:val="00A302A5"/>
    <w:rsid w:val="00A3092F"/>
    <w:rsid w:val="00A30F43"/>
    <w:rsid w:val="00A31897"/>
    <w:rsid w:val="00A32093"/>
    <w:rsid w:val="00A32CD9"/>
    <w:rsid w:val="00A32FDC"/>
    <w:rsid w:val="00A42C71"/>
    <w:rsid w:val="00A4338E"/>
    <w:rsid w:val="00A46091"/>
    <w:rsid w:val="00A50086"/>
    <w:rsid w:val="00A504C6"/>
    <w:rsid w:val="00A52349"/>
    <w:rsid w:val="00A523B1"/>
    <w:rsid w:val="00A54937"/>
    <w:rsid w:val="00A55E35"/>
    <w:rsid w:val="00A56C42"/>
    <w:rsid w:val="00A579E7"/>
    <w:rsid w:val="00A606A3"/>
    <w:rsid w:val="00A60A41"/>
    <w:rsid w:val="00A60BCD"/>
    <w:rsid w:val="00A61D19"/>
    <w:rsid w:val="00A64DDC"/>
    <w:rsid w:val="00A653C5"/>
    <w:rsid w:val="00A71442"/>
    <w:rsid w:val="00A71B69"/>
    <w:rsid w:val="00A72123"/>
    <w:rsid w:val="00A729AD"/>
    <w:rsid w:val="00A72FEF"/>
    <w:rsid w:val="00A7495B"/>
    <w:rsid w:val="00A74A35"/>
    <w:rsid w:val="00A834E0"/>
    <w:rsid w:val="00A83D24"/>
    <w:rsid w:val="00A84084"/>
    <w:rsid w:val="00A8520C"/>
    <w:rsid w:val="00A86581"/>
    <w:rsid w:val="00A86716"/>
    <w:rsid w:val="00A905DE"/>
    <w:rsid w:val="00A910CD"/>
    <w:rsid w:val="00A91F9A"/>
    <w:rsid w:val="00A93EE0"/>
    <w:rsid w:val="00A96010"/>
    <w:rsid w:val="00A9622C"/>
    <w:rsid w:val="00A9673F"/>
    <w:rsid w:val="00AA31A3"/>
    <w:rsid w:val="00AA3BF7"/>
    <w:rsid w:val="00AA4238"/>
    <w:rsid w:val="00AA5E4B"/>
    <w:rsid w:val="00AB0049"/>
    <w:rsid w:val="00AB1229"/>
    <w:rsid w:val="00AB147C"/>
    <w:rsid w:val="00AB2FE2"/>
    <w:rsid w:val="00AB4FF9"/>
    <w:rsid w:val="00AC205D"/>
    <w:rsid w:val="00AC309E"/>
    <w:rsid w:val="00AC437C"/>
    <w:rsid w:val="00AC5561"/>
    <w:rsid w:val="00AC660C"/>
    <w:rsid w:val="00AC7CEA"/>
    <w:rsid w:val="00AD082D"/>
    <w:rsid w:val="00AD270F"/>
    <w:rsid w:val="00AD2B63"/>
    <w:rsid w:val="00AD3F3D"/>
    <w:rsid w:val="00AD5A99"/>
    <w:rsid w:val="00AD5DC1"/>
    <w:rsid w:val="00AD5F1A"/>
    <w:rsid w:val="00AD6E41"/>
    <w:rsid w:val="00AD7908"/>
    <w:rsid w:val="00AD79B4"/>
    <w:rsid w:val="00AE0382"/>
    <w:rsid w:val="00AE04A1"/>
    <w:rsid w:val="00AE0E03"/>
    <w:rsid w:val="00AE1065"/>
    <w:rsid w:val="00AE15D5"/>
    <w:rsid w:val="00AE1B52"/>
    <w:rsid w:val="00AE21C6"/>
    <w:rsid w:val="00AE2533"/>
    <w:rsid w:val="00AE34D6"/>
    <w:rsid w:val="00AE3F93"/>
    <w:rsid w:val="00AE48D5"/>
    <w:rsid w:val="00AE5518"/>
    <w:rsid w:val="00AF3A79"/>
    <w:rsid w:val="00AF3DAE"/>
    <w:rsid w:val="00AF4407"/>
    <w:rsid w:val="00AF606C"/>
    <w:rsid w:val="00AF73F5"/>
    <w:rsid w:val="00AF7A6B"/>
    <w:rsid w:val="00AF7BA4"/>
    <w:rsid w:val="00B00624"/>
    <w:rsid w:val="00B00929"/>
    <w:rsid w:val="00B0129C"/>
    <w:rsid w:val="00B0142D"/>
    <w:rsid w:val="00B03D46"/>
    <w:rsid w:val="00B04D03"/>
    <w:rsid w:val="00B05CFD"/>
    <w:rsid w:val="00B06D04"/>
    <w:rsid w:val="00B13F34"/>
    <w:rsid w:val="00B14846"/>
    <w:rsid w:val="00B17236"/>
    <w:rsid w:val="00B20DA8"/>
    <w:rsid w:val="00B216F8"/>
    <w:rsid w:val="00B24384"/>
    <w:rsid w:val="00B253D0"/>
    <w:rsid w:val="00B25423"/>
    <w:rsid w:val="00B26908"/>
    <w:rsid w:val="00B26B2B"/>
    <w:rsid w:val="00B27DBE"/>
    <w:rsid w:val="00B30706"/>
    <w:rsid w:val="00B320D7"/>
    <w:rsid w:val="00B32CEA"/>
    <w:rsid w:val="00B335EC"/>
    <w:rsid w:val="00B33E57"/>
    <w:rsid w:val="00B3402B"/>
    <w:rsid w:val="00B3497B"/>
    <w:rsid w:val="00B35943"/>
    <w:rsid w:val="00B36244"/>
    <w:rsid w:val="00B3743E"/>
    <w:rsid w:val="00B40FA7"/>
    <w:rsid w:val="00B41236"/>
    <w:rsid w:val="00B41810"/>
    <w:rsid w:val="00B41B2D"/>
    <w:rsid w:val="00B421FA"/>
    <w:rsid w:val="00B42FDF"/>
    <w:rsid w:val="00B444D8"/>
    <w:rsid w:val="00B44D13"/>
    <w:rsid w:val="00B46EC2"/>
    <w:rsid w:val="00B51E34"/>
    <w:rsid w:val="00B52FB9"/>
    <w:rsid w:val="00B57C89"/>
    <w:rsid w:val="00B6075B"/>
    <w:rsid w:val="00B636AE"/>
    <w:rsid w:val="00B64464"/>
    <w:rsid w:val="00B65F7E"/>
    <w:rsid w:val="00B66079"/>
    <w:rsid w:val="00B66928"/>
    <w:rsid w:val="00B66B53"/>
    <w:rsid w:val="00B71E0A"/>
    <w:rsid w:val="00B77AC8"/>
    <w:rsid w:val="00B801AB"/>
    <w:rsid w:val="00B81021"/>
    <w:rsid w:val="00B81A95"/>
    <w:rsid w:val="00B81CD7"/>
    <w:rsid w:val="00B8397E"/>
    <w:rsid w:val="00B8445C"/>
    <w:rsid w:val="00B86F88"/>
    <w:rsid w:val="00B902CC"/>
    <w:rsid w:val="00B90C17"/>
    <w:rsid w:val="00B915F4"/>
    <w:rsid w:val="00B91882"/>
    <w:rsid w:val="00B91CEF"/>
    <w:rsid w:val="00B92FAC"/>
    <w:rsid w:val="00B937F3"/>
    <w:rsid w:val="00B95EC4"/>
    <w:rsid w:val="00B97550"/>
    <w:rsid w:val="00BA0447"/>
    <w:rsid w:val="00BA06FF"/>
    <w:rsid w:val="00BA0B8E"/>
    <w:rsid w:val="00BA1015"/>
    <w:rsid w:val="00BA149C"/>
    <w:rsid w:val="00BA192B"/>
    <w:rsid w:val="00BA3865"/>
    <w:rsid w:val="00BA6747"/>
    <w:rsid w:val="00BB0AE3"/>
    <w:rsid w:val="00BB1059"/>
    <w:rsid w:val="00BB1CFB"/>
    <w:rsid w:val="00BB359F"/>
    <w:rsid w:val="00BB7093"/>
    <w:rsid w:val="00BB78DF"/>
    <w:rsid w:val="00BC0448"/>
    <w:rsid w:val="00BC1873"/>
    <w:rsid w:val="00BC245C"/>
    <w:rsid w:val="00BC2C88"/>
    <w:rsid w:val="00BC30EE"/>
    <w:rsid w:val="00BC6B41"/>
    <w:rsid w:val="00BD2292"/>
    <w:rsid w:val="00BD4727"/>
    <w:rsid w:val="00BD4A62"/>
    <w:rsid w:val="00BD5C81"/>
    <w:rsid w:val="00BD7DB1"/>
    <w:rsid w:val="00BE16BA"/>
    <w:rsid w:val="00BE2423"/>
    <w:rsid w:val="00BE3178"/>
    <w:rsid w:val="00BE4C18"/>
    <w:rsid w:val="00BE703D"/>
    <w:rsid w:val="00BE7146"/>
    <w:rsid w:val="00BE7829"/>
    <w:rsid w:val="00BF2475"/>
    <w:rsid w:val="00BF2992"/>
    <w:rsid w:val="00BF4CE3"/>
    <w:rsid w:val="00BF7613"/>
    <w:rsid w:val="00C02594"/>
    <w:rsid w:val="00C03E0F"/>
    <w:rsid w:val="00C0428C"/>
    <w:rsid w:val="00C05DAC"/>
    <w:rsid w:val="00C073FE"/>
    <w:rsid w:val="00C10114"/>
    <w:rsid w:val="00C115B4"/>
    <w:rsid w:val="00C145D9"/>
    <w:rsid w:val="00C15FCA"/>
    <w:rsid w:val="00C178E6"/>
    <w:rsid w:val="00C17B57"/>
    <w:rsid w:val="00C20DDD"/>
    <w:rsid w:val="00C2176B"/>
    <w:rsid w:val="00C22EA7"/>
    <w:rsid w:val="00C263F5"/>
    <w:rsid w:val="00C271F3"/>
    <w:rsid w:val="00C279A4"/>
    <w:rsid w:val="00C30486"/>
    <w:rsid w:val="00C307E5"/>
    <w:rsid w:val="00C3111F"/>
    <w:rsid w:val="00C3167A"/>
    <w:rsid w:val="00C33525"/>
    <w:rsid w:val="00C33C62"/>
    <w:rsid w:val="00C349CB"/>
    <w:rsid w:val="00C36374"/>
    <w:rsid w:val="00C3667C"/>
    <w:rsid w:val="00C40076"/>
    <w:rsid w:val="00C4083F"/>
    <w:rsid w:val="00C41388"/>
    <w:rsid w:val="00C41A72"/>
    <w:rsid w:val="00C42852"/>
    <w:rsid w:val="00C43905"/>
    <w:rsid w:val="00C4406E"/>
    <w:rsid w:val="00C47AEE"/>
    <w:rsid w:val="00C50C02"/>
    <w:rsid w:val="00C51F08"/>
    <w:rsid w:val="00C527C5"/>
    <w:rsid w:val="00C534F9"/>
    <w:rsid w:val="00C53D29"/>
    <w:rsid w:val="00C561C7"/>
    <w:rsid w:val="00C56326"/>
    <w:rsid w:val="00C576E2"/>
    <w:rsid w:val="00C57AAA"/>
    <w:rsid w:val="00C61365"/>
    <w:rsid w:val="00C61C3A"/>
    <w:rsid w:val="00C62C4E"/>
    <w:rsid w:val="00C63409"/>
    <w:rsid w:val="00C63965"/>
    <w:rsid w:val="00C64205"/>
    <w:rsid w:val="00C650AC"/>
    <w:rsid w:val="00C71469"/>
    <w:rsid w:val="00C723D4"/>
    <w:rsid w:val="00C72797"/>
    <w:rsid w:val="00C72A85"/>
    <w:rsid w:val="00C73717"/>
    <w:rsid w:val="00C74D8A"/>
    <w:rsid w:val="00C77897"/>
    <w:rsid w:val="00C82425"/>
    <w:rsid w:val="00C825C3"/>
    <w:rsid w:val="00C827DB"/>
    <w:rsid w:val="00C83120"/>
    <w:rsid w:val="00C83C00"/>
    <w:rsid w:val="00C844F0"/>
    <w:rsid w:val="00C84803"/>
    <w:rsid w:val="00C906E7"/>
    <w:rsid w:val="00C92963"/>
    <w:rsid w:val="00C93E29"/>
    <w:rsid w:val="00C9400A"/>
    <w:rsid w:val="00C944A2"/>
    <w:rsid w:val="00C95441"/>
    <w:rsid w:val="00C956D7"/>
    <w:rsid w:val="00C957C6"/>
    <w:rsid w:val="00C96680"/>
    <w:rsid w:val="00C96C21"/>
    <w:rsid w:val="00C97360"/>
    <w:rsid w:val="00C97464"/>
    <w:rsid w:val="00CA025F"/>
    <w:rsid w:val="00CA1560"/>
    <w:rsid w:val="00CA2FA2"/>
    <w:rsid w:val="00CA3648"/>
    <w:rsid w:val="00CA4C13"/>
    <w:rsid w:val="00CA6DD7"/>
    <w:rsid w:val="00CB010E"/>
    <w:rsid w:val="00CB255A"/>
    <w:rsid w:val="00CB2E8B"/>
    <w:rsid w:val="00CB45D0"/>
    <w:rsid w:val="00CB5FCE"/>
    <w:rsid w:val="00CB6716"/>
    <w:rsid w:val="00CB7F0B"/>
    <w:rsid w:val="00CC0969"/>
    <w:rsid w:val="00CC3212"/>
    <w:rsid w:val="00CC343F"/>
    <w:rsid w:val="00CC4402"/>
    <w:rsid w:val="00CC45DD"/>
    <w:rsid w:val="00CC4D54"/>
    <w:rsid w:val="00CC696B"/>
    <w:rsid w:val="00CD08D5"/>
    <w:rsid w:val="00CD0C27"/>
    <w:rsid w:val="00CD226E"/>
    <w:rsid w:val="00CD3A72"/>
    <w:rsid w:val="00CD53A6"/>
    <w:rsid w:val="00CE3851"/>
    <w:rsid w:val="00CE5F06"/>
    <w:rsid w:val="00CE7D54"/>
    <w:rsid w:val="00CF013D"/>
    <w:rsid w:val="00CF1F2D"/>
    <w:rsid w:val="00CF24B5"/>
    <w:rsid w:val="00CF3964"/>
    <w:rsid w:val="00CF4063"/>
    <w:rsid w:val="00CF4473"/>
    <w:rsid w:val="00CF64D0"/>
    <w:rsid w:val="00CF7282"/>
    <w:rsid w:val="00CF7333"/>
    <w:rsid w:val="00D02D2A"/>
    <w:rsid w:val="00D03291"/>
    <w:rsid w:val="00D03C1C"/>
    <w:rsid w:val="00D06588"/>
    <w:rsid w:val="00D07ACA"/>
    <w:rsid w:val="00D13777"/>
    <w:rsid w:val="00D1502A"/>
    <w:rsid w:val="00D16694"/>
    <w:rsid w:val="00D17BCF"/>
    <w:rsid w:val="00D203D3"/>
    <w:rsid w:val="00D23543"/>
    <w:rsid w:val="00D250D4"/>
    <w:rsid w:val="00D256F0"/>
    <w:rsid w:val="00D26E6E"/>
    <w:rsid w:val="00D26EB5"/>
    <w:rsid w:val="00D31443"/>
    <w:rsid w:val="00D31598"/>
    <w:rsid w:val="00D334DF"/>
    <w:rsid w:val="00D34878"/>
    <w:rsid w:val="00D412F3"/>
    <w:rsid w:val="00D42AB7"/>
    <w:rsid w:val="00D44F2A"/>
    <w:rsid w:val="00D46CD3"/>
    <w:rsid w:val="00D47526"/>
    <w:rsid w:val="00D5119A"/>
    <w:rsid w:val="00D51A84"/>
    <w:rsid w:val="00D54924"/>
    <w:rsid w:val="00D55F4C"/>
    <w:rsid w:val="00D56958"/>
    <w:rsid w:val="00D56CB8"/>
    <w:rsid w:val="00D57671"/>
    <w:rsid w:val="00D57C74"/>
    <w:rsid w:val="00D60792"/>
    <w:rsid w:val="00D60CB9"/>
    <w:rsid w:val="00D649FB"/>
    <w:rsid w:val="00D64A98"/>
    <w:rsid w:val="00D654E6"/>
    <w:rsid w:val="00D6559C"/>
    <w:rsid w:val="00D65607"/>
    <w:rsid w:val="00D65E99"/>
    <w:rsid w:val="00D67036"/>
    <w:rsid w:val="00D670CC"/>
    <w:rsid w:val="00D720FE"/>
    <w:rsid w:val="00D72CCA"/>
    <w:rsid w:val="00D73561"/>
    <w:rsid w:val="00D75F75"/>
    <w:rsid w:val="00D769F7"/>
    <w:rsid w:val="00D77AB4"/>
    <w:rsid w:val="00D81F42"/>
    <w:rsid w:val="00D82110"/>
    <w:rsid w:val="00D822A4"/>
    <w:rsid w:val="00D83DB5"/>
    <w:rsid w:val="00D83E40"/>
    <w:rsid w:val="00D85716"/>
    <w:rsid w:val="00D8676C"/>
    <w:rsid w:val="00D86AAF"/>
    <w:rsid w:val="00D937A2"/>
    <w:rsid w:val="00D940D8"/>
    <w:rsid w:val="00D94989"/>
    <w:rsid w:val="00D95F14"/>
    <w:rsid w:val="00D97809"/>
    <w:rsid w:val="00DA1E16"/>
    <w:rsid w:val="00DA2904"/>
    <w:rsid w:val="00DA360A"/>
    <w:rsid w:val="00DA3F74"/>
    <w:rsid w:val="00DA4595"/>
    <w:rsid w:val="00DA7483"/>
    <w:rsid w:val="00DA75F7"/>
    <w:rsid w:val="00DA768E"/>
    <w:rsid w:val="00DB032C"/>
    <w:rsid w:val="00DB3EC3"/>
    <w:rsid w:val="00DB58E4"/>
    <w:rsid w:val="00DB6776"/>
    <w:rsid w:val="00DC0DC5"/>
    <w:rsid w:val="00DC1F8B"/>
    <w:rsid w:val="00DC2A29"/>
    <w:rsid w:val="00DD0B09"/>
    <w:rsid w:val="00DD0D53"/>
    <w:rsid w:val="00DD41D7"/>
    <w:rsid w:val="00DD5CEF"/>
    <w:rsid w:val="00DD612D"/>
    <w:rsid w:val="00DD6336"/>
    <w:rsid w:val="00DD668A"/>
    <w:rsid w:val="00DD73A8"/>
    <w:rsid w:val="00DE04E4"/>
    <w:rsid w:val="00DE10C5"/>
    <w:rsid w:val="00DE2249"/>
    <w:rsid w:val="00DE2E6A"/>
    <w:rsid w:val="00DE3520"/>
    <w:rsid w:val="00DE3DD4"/>
    <w:rsid w:val="00DE4C8C"/>
    <w:rsid w:val="00DE7C5D"/>
    <w:rsid w:val="00DF3D37"/>
    <w:rsid w:val="00DF589C"/>
    <w:rsid w:val="00DF6430"/>
    <w:rsid w:val="00DF6474"/>
    <w:rsid w:val="00DF7B4E"/>
    <w:rsid w:val="00E0259D"/>
    <w:rsid w:val="00E04467"/>
    <w:rsid w:val="00E052E9"/>
    <w:rsid w:val="00E05A35"/>
    <w:rsid w:val="00E05DE4"/>
    <w:rsid w:val="00E07122"/>
    <w:rsid w:val="00E073BB"/>
    <w:rsid w:val="00E103D9"/>
    <w:rsid w:val="00E10769"/>
    <w:rsid w:val="00E11679"/>
    <w:rsid w:val="00E11D21"/>
    <w:rsid w:val="00E1278B"/>
    <w:rsid w:val="00E151B0"/>
    <w:rsid w:val="00E15BCB"/>
    <w:rsid w:val="00E15EDF"/>
    <w:rsid w:val="00E17A69"/>
    <w:rsid w:val="00E21153"/>
    <w:rsid w:val="00E246DF"/>
    <w:rsid w:val="00E24ED4"/>
    <w:rsid w:val="00E27FAC"/>
    <w:rsid w:val="00E317E1"/>
    <w:rsid w:val="00E32779"/>
    <w:rsid w:val="00E32FDC"/>
    <w:rsid w:val="00E35A48"/>
    <w:rsid w:val="00E35C7F"/>
    <w:rsid w:val="00E36AD0"/>
    <w:rsid w:val="00E4013E"/>
    <w:rsid w:val="00E41910"/>
    <w:rsid w:val="00E42AA3"/>
    <w:rsid w:val="00E42F6B"/>
    <w:rsid w:val="00E44DEA"/>
    <w:rsid w:val="00E458CB"/>
    <w:rsid w:val="00E45A4F"/>
    <w:rsid w:val="00E45D62"/>
    <w:rsid w:val="00E472C1"/>
    <w:rsid w:val="00E515D6"/>
    <w:rsid w:val="00E52AD1"/>
    <w:rsid w:val="00E53C06"/>
    <w:rsid w:val="00E53F10"/>
    <w:rsid w:val="00E54053"/>
    <w:rsid w:val="00E5699A"/>
    <w:rsid w:val="00E570B1"/>
    <w:rsid w:val="00E57BE2"/>
    <w:rsid w:val="00E62860"/>
    <w:rsid w:val="00E66B3F"/>
    <w:rsid w:val="00E72779"/>
    <w:rsid w:val="00E72FD7"/>
    <w:rsid w:val="00E75990"/>
    <w:rsid w:val="00E75CD5"/>
    <w:rsid w:val="00E75E2B"/>
    <w:rsid w:val="00E76159"/>
    <w:rsid w:val="00E84604"/>
    <w:rsid w:val="00E85B80"/>
    <w:rsid w:val="00E86376"/>
    <w:rsid w:val="00E87320"/>
    <w:rsid w:val="00E87D5B"/>
    <w:rsid w:val="00E947FF"/>
    <w:rsid w:val="00E97D89"/>
    <w:rsid w:val="00EA227A"/>
    <w:rsid w:val="00EA235F"/>
    <w:rsid w:val="00EA3D1A"/>
    <w:rsid w:val="00EA60D3"/>
    <w:rsid w:val="00EA6872"/>
    <w:rsid w:val="00EA6980"/>
    <w:rsid w:val="00EB0081"/>
    <w:rsid w:val="00EB1E19"/>
    <w:rsid w:val="00EB247B"/>
    <w:rsid w:val="00EB36A1"/>
    <w:rsid w:val="00EB4003"/>
    <w:rsid w:val="00EB5EA1"/>
    <w:rsid w:val="00EB717F"/>
    <w:rsid w:val="00EC0AF7"/>
    <w:rsid w:val="00EC0E7E"/>
    <w:rsid w:val="00EC2A0A"/>
    <w:rsid w:val="00EC412C"/>
    <w:rsid w:val="00EC5246"/>
    <w:rsid w:val="00EC5834"/>
    <w:rsid w:val="00ED04B0"/>
    <w:rsid w:val="00ED1911"/>
    <w:rsid w:val="00ED244A"/>
    <w:rsid w:val="00ED30D3"/>
    <w:rsid w:val="00ED3D8F"/>
    <w:rsid w:val="00ED48C4"/>
    <w:rsid w:val="00EE09FC"/>
    <w:rsid w:val="00EE1C1C"/>
    <w:rsid w:val="00EE2BCE"/>
    <w:rsid w:val="00EE5F9A"/>
    <w:rsid w:val="00EE63F4"/>
    <w:rsid w:val="00EE6A73"/>
    <w:rsid w:val="00EE7889"/>
    <w:rsid w:val="00EF1031"/>
    <w:rsid w:val="00EF187A"/>
    <w:rsid w:val="00EF2A14"/>
    <w:rsid w:val="00EF2E24"/>
    <w:rsid w:val="00EF35CD"/>
    <w:rsid w:val="00EF4DF6"/>
    <w:rsid w:val="00EF62A5"/>
    <w:rsid w:val="00EF712E"/>
    <w:rsid w:val="00F00437"/>
    <w:rsid w:val="00F02BFD"/>
    <w:rsid w:val="00F04E54"/>
    <w:rsid w:val="00F06D2B"/>
    <w:rsid w:val="00F07148"/>
    <w:rsid w:val="00F10ADB"/>
    <w:rsid w:val="00F116DC"/>
    <w:rsid w:val="00F11DB4"/>
    <w:rsid w:val="00F13C09"/>
    <w:rsid w:val="00F14C61"/>
    <w:rsid w:val="00F156AF"/>
    <w:rsid w:val="00F158C3"/>
    <w:rsid w:val="00F170A8"/>
    <w:rsid w:val="00F2154F"/>
    <w:rsid w:val="00F21B3C"/>
    <w:rsid w:val="00F22F26"/>
    <w:rsid w:val="00F23007"/>
    <w:rsid w:val="00F236DE"/>
    <w:rsid w:val="00F2682E"/>
    <w:rsid w:val="00F27261"/>
    <w:rsid w:val="00F30D6A"/>
    <w:rsid w:val="00F31D5E"/>
    <w:rsid w:val="00F3329F"/>
    <w:rsid w:val="00F340B6"/>
    <w:rsid w:val="00F34D05"/>
    <w:rsid w:val="00F34D36"/>
    <w:rsid w:val="00F34D55"/>
    <w:rsid w:val="00F36A63"/>
    <w:rsid w:val="00F36EED"/>
    <w:rsid w:val="00F37E0D"/>
    <w:rsid w:val="00F41A3A"/>
    <w:rsid w:val="00F422C4"/>
    <w:rsid w:val="00F4455C"/>
    <w:rsid w:val="00F45A19"/>
    <w:rsid w:val="00F45BC4"/>
    <w:rsid w:val="00F46D36"/>
    <w:rsid w:val="00F47895"/>
    <w:rsid w:val="00F47CD0"/>
    <w:rsid w:val="00F51258"/>
    <w:rsid w:val="00F52FBB"/>
    <w:rsid w:val="00F5329B"/>
    <w:rsid w:val="00F53605"/>
    <w:rsid w:val="00F54710"/>
    <w:rsid w:val="00F556A1"/>
    <w:rsid w:val="00F55B2F"/>
    <w:rsid w:val="00F56D3A"/>
    <w:rsid w:val="00F56E33"/>
    <w:rsid w:val="00F57CFC"/>
    <w:rsid w:val="00F65062"/>
    <w:rsid w:val="00F6633F"/>
    <w:rsid w:val="00F669CB"/>
    <w:rsid w:val="00F73B65"/>
    <w:rsid w:val="00F74255"/>
    <w:rsid w:val="00F749FB"/>
    <w:rsid w:val="00F76055"/>
    <w:rsid w:val="00F7700E"/>
    <w:rsid w:val="00F77556"/>
    <w:rsid w:val="00F77756"/>
    <w:rsid w:val="00F80166"/>
    <w:rsid w:val="00F81FDF"/>
    <w:rsid w:val="00F82C50"/>
    <w:rsid w:val="00F8429A"/>
    <w:rsid w:val="00F85271"/>
    <w:rsid w:val="00F8532C"/>
    <w:rsid w:val="00F85EE5"/>
    <w:rsid w:val="00F86551"/>
    <w:rsid w:val="00F87378"/>
    <w:rsid w:val="00F87775"/>
    <w:rsid w:val="00F91D70"/>
    <w:rsid w:val="00F92FA8"/>
    <w:rsid w:val="00F934F1"/>
    <w:rsid w:val="00F93AF7"/>
    <w:rsid w:val="00F941D6"/>
    <w:rsid w:val="00F953E8"/>
    <w:rsid w:val="00F95C15"/>
    <w:rsid w:val="00FA03E4"/>
    <w:rsid w:val="00FA09C0"/>
    <w:rsid w:val="00FA32D5"/>
    <w:rsid w:val="00FA470A"/>
    <w:rsid w:val="00FA4D09"/>
    <w:rsid w:val="00FA551D"/>
    <w:rsid w:val="00FA562A"/>
    <w:rsid w:val="00FA6CF0"/>
    <w:rsid w:val="00FB33B7"/>
    <w:rsid w:val="00FB33F7"/>
    <w:rsid w:val="00FB4D99"/>
    <w:rsid w:val="00FB5AE7"/>
    <w:rsid w:val="00FC2D75"/>
    <w:rsid w:val="00FC37C3"/>
    <w:rsid w:val="00FC4962"/>
    <w:rsid w:val="00FC7651"/>
    <w:rsid w:val="00FC768B"/>
    <w:rsid w:val="00FD00A5"/>
    <w:rsid w:val="00FD03EE"/>
    <w:rsid w:val="00FD0B21"/>
    <w:rsid w:val="00FD0B28"/>
    <w:rsid w:val="00FD36BD"/>
    <w:rsid w:val="00FD4458"/>
    <w:rsid w:val="00FD5B79"/>
    <w:rsid w:val="00FD668A"/>
    <w:rsid w:val="00FE06CB"/>
    <w:rsid w:val="00FE2186"/>
    <w:rsid w:val="00FE3B5B"/>
    <w:rsid w:val="00FE3CD7"/>
    <w:rsid w:val="00FE4036"/>
    <w:rsid w:val="00FE4B5E"/>
    <w:rsid w:val="00FE7F95"/>
    <w:rsid w:val="00FF0CB9"/>
    <w:rsid w:val="00FF17B8"/>
    <w:rsid w:val="00FF1A16"/>
    <w:rsid w:val="00FF2A4A"/>
    <w:rsid w:val="00FF4316"/>
    <w:rsid w:val="00FF737A"/>
    <w:rsid w:val="04F26AFB"/>
    <w:rsid w:val="0B6F3EDB"/>
    <w:rsid w:val="0C56A8FA"/>
    <w:rsid w:val="108D4CBE"/>
    <w:rsid w:val="11AEFDBF"/>
    <w:rsid w:val="11B33DB2"/>
    <w:rsid w:val="1447FC05"/>
    <w:rsid w:val="1FC1865F"/>
    <w:rsid w:val="2958F853"/>
    <w:rsid w:val="2B7DE82C"/>
    <w:rsid w:val="2F914BF9"/>
    <w:rsid w:val="383FAC6A"/>
    <w:rsid w:val="3AA7826B"/>
    <w:rsid w:val="3B0FC3E9"/>
    <w:rsid w:val="3D72E5A0"/>
    <w:rsid w:val="3E61DBC0"/>
    <w:rsid w:val="486B6FDE"/>
    <w:rsid w:val="4BE94792"/>
    <w:rsid w:val="4C50F293"/>
    <w:rsid w:val="51D8F136"/>
    <w:rsid w:val="51DF8F60"/>
    <w:rsid w:val="53657EFE"/>
    <w:rsid w:val="5399787F"/>
    <w:rsid w:val="54EDA178"/>
    <w:rsid w:val="5C73FB16"/>
    <w:rsid w:val="5CEF8C4F"/>
    <w:rsid w:val="5D1292FA"/>
    <w:rsid w:val="5D7D26C5"/>
    <w:rsid w:val="62AF3C9E"/>
    <w:rsid w:val="64960A49"/>
    <w:rsid w:val="6741380F"/>
    <w:rsid w:val="6929AE81"/>
    <w:rsid w:val="692EE418"/>
    <w:rsid w:val="6A999E42"/>
    <w:rsid w:val="6E7FACDC"/>
    <w:rsid w:val="734AC13A"/>
    <w:rsid w:val="78C7821B"/>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6ED9"/>
  <w15:chartTrackingRefBased/>
  <w15:docId w15:val="{EDCE62B6-6A43-4400-A850-F60783C2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0F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C73"/>
    <w:pPr>
      <w:ind w:left="720"/>
      <w:contextualSpacing/>
    </w:pPr>
  </w:style>
  <w:style w:type="character" w:customStyle="1" w:styleId="Heading1Char">
    <w:name w:val="Heading 1 Char"/>
    <w:basedOn w:val="DefaultParagraphFont"/>
    <w:link w:val="Heading1"/>
    <w:uiPriority w:val="9"/>
    <w:rsid w:val="004F0F06"/>
    <w:rPr>
      <w:rFonts w:ascii="Times New Roman" w:eastAsia="Times New Roman" w:hAnsi="Times New Roman" w:cs="Times New Roman"/>
      <w:b/>
      <w:bCs/>
      <w:kern w:val="36"/>
      <w:sz w:val="48"/>
      <w:szCs w:val="48"/>
      <w:lang w:eastAsia="en-AU"/>
    </w:rPr>
  </w:style>
  <w:style w:type="paragraph" w:styleId="FootnoteText">
    <w:name w:val="footnote text"/>
    <w:basedOn w:val="Normal"/>
    <w:link w:val="FootnoteTextChar"/>
    <w:uiPriority w:val="99"/>
    <w:semiHidden/>
    <w:unhideWhenUsed/>
    <w:rsid w:val="00853F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F4C"/>
    <w:rPr>
      <w:sz w:val="20"/>
      <w:szCs w:val="20"/>
    </w:rPr>
  </w:style>
  <w:style w:type="character" w:styleId="FootnoteReference">
    <w:name w:val="footnote reference"/>
    <w:basedOn w:val="DefaultParagraphFont"/>
    <w:uiPriority w:val="99"/>
    <w:semiHidden/>
    <w:unhideWhenUsed/>
    <w:rsid w:val="00853F4C"/>
    <w:rPr>
      <w:vertAlign w:val="superscript"/>
    </w:rPr>
  </w:style>
  <w:style w:type="character" w:styleId="Hyperlink">
    <w:name w:val="Hyperlink"/>
    <w:basedOn w:val="DefaultParagraphFont"/>
    <w:uiPriority w:val="99"/>
    <w:unhideWhenUsed/>
    <w:rsid w:val="0083078A"/>
    <w:rPr>
      <w:color w:val="0563C1" w:themeColor="hyperlink"/>
      <w:u w:val="single"/>
    </w:rPr>
  </w:style>
  <w:style w:type="character" w:customStyle="1" w:styleId="UnresolvedMention1">
    <w:name w:val="Unresolved Mention1"/>
    <w:basedOn w:val="DefaultParagraphFont"/>
    <w:uiPriority w:val="99"/>
    <w:semiHidden/>
    <w:unhideWhenUsed/>
    <w:rsid w:val="0083078A"/>
    <w:rPr>
      <w:color w:val="605E5C"/>
      <w:shd w:val="clear" w:color="auto" w:fill="E1DFDD"/>
    </w:rPr>
  </w:style>
  <w:style w:type="character" w:styleId="FollowedHyperlink">
    <w:name w:val="FollowedHyperlink"/>
    <w:basedOn w:val="DefaultParagraphFont"/>
    <w:uiPriority w:val="99"/>
    <w:semiHidden/>
    <w:unhideWhenUsed/>
    <w:rsid w:val="001E7857"/>
    <w:rPr>
      <w:color w:val="954F72" w:themeColor="followedHyperlink"/>
      <w:u w:val="single"/>
    </w:rPr>
  </w:style>
  <w:style w:type="paragraph" w:styleId="Header">
    <w:name w:val="header"/>
    <w:basedOn w:val="Normal"/>
    <w:link w:val="HeaderChar"/>
    <w:uiPriority w:val="99"/>
    <w:unhideWhenUsed/>
    <w:rsid w:val="00086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96A"/>
  </w:style>
  <w:style w:type="paragraph" w:styleId="Footer">
    <w:name w:val="footer"/>
    <w:basedOn w:val="Normal"/>
    <w:link w:val="FooterChar"/>
    <w:uiPriority w:val="99"/>
    <w:unhideWhenUsed/>
    <w:rsid w:val="00086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96A"/>
  </w:style>
  <w:style w:type="paragraph" w:styleId="BalloonText">
    <w:name w:val="Balloon Text"/>
    <w:basedOn w:val="Normal"/>
    <w:link w:val="BalloonTextChar"/>
    <w:uiPriority w:val="99"/>
    <w:semiHidden/>
    <w:unhideWhenUsed/>
    <w:rsid w:val="00FA55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51D"/>
    <w:rPr>
      <w:rFonts w:ascii="Segoe UI" w:hAnsi="Segoe UI" w:cs="Segoe UI"/>
      <w:sz w:val="18"/>
      <w:szCs w:val="18"/>
    </w:rPr>
  </w:style>
  <w:style w:type="character" w:styleId="PlaceholderText">
    <w:name w:val="Placeholder Text"/>
    <w:basedOn w:val="DefaultParagraphFont"/>
    <w:uiPriority w:val="99"/>
    <w:semiHidden/>
    <w:rsid w:val="00DD41D7"/>
    <w:rPr>
      <w:color w:val="808080"/>
    </w:rPr>
  </w:style>
  <w:style w:type="character" w:styleId="CommentReference">
    <w:name w:val="annotation reference"/>
    <w:basedOn w:val="DefaultParagraphFont"/>
    <w:uiPriority w:val="99"/>
    <w:semiHidden/>
    <w:unhideWhenUsed/>
    <w:rsid w:val="004C4FD6"/>
    <w:rPr>
      <w:sz w:val="16"/>
      <w:szCs w:val="16"/>
    </w:rPr>
  </w:style>
  <w:style w:type="paragraph" w:styleId="CommentText">
    <w:name w:val="annotation text"/>
    <w:basedOn w:val="Normal"/>
    <w:link w:val="CommentTextChar"/>
    <w:uiPriority w:val="99"/>
    <w:semiHidden/>
    <w:unhideWhenUsed/>
    <w:rsid w:val="004C4FD6"/>
    <w:pPr>
      <w:spacing w:line="240" w:lineRule="auto"/>
    </w:pPr>
    <w:rPr>
      <w:sz w:val="20"/>
      <w:szCs w:val="20"/>
    </w:rPr>
  </w:style>
  <w:style w:type="character" w:customStyle="1" w:styleId="CommentTextChar">
    <w:name w:val="Comment Text Char"/>
    <w:basedOn w:val="DefaultParagraphFont"/>
    <w:link w:val="CommentText"/>
    <w:uiPriority w:val="99"/>
    <w:semiHidden/>
    <w:rsid w:val="004C4FD6"/>
    <w:rPr>
      <w:sz w:val="20"/>
      <w:szCs w:val="20"/>
    </w:rPr>
  </w:style>
  <w:style w:type="paragraph" w:styleId="CommentSubject">
    <w:name w:val="annotation subject"/>
    <w:basedOn w:val="CommentText"/>
    <w:next w:val="CommentText"/>
    <w:link w:val="CommentSubjectChar"/>
    <w:uiPriority w:val="99"/>
    <w:semiHidden/>
    <w:unhideWhenUsed/>
    <w:rsid w:val="004C4FD6"/>
    <w:rPr>
      <w:b/>
      <w:bCs/>
    </w:rPr>
  </w:style>
  <w:style w:type="character" w:customStyle="1" w:styleId="CommentSubjectChar">
    <w:name w:val="Comment Subject Char"/>
    <w:basedOn w:val="CommentTextChar"/>
    <w:link w:val="CommentSubject"/>
    <w:uiPriority w:val="99"/>
    <w:semiHidden/>
    <w:rsid w:val="004C4FD6"/>
    <w:rPr>
      <w:b/>
      <w:bCs/>
      <w:sz w:val="20"/>
      <w:szCs w:val="20"/>
    </w:rPr>
  </w:style>
  <w:style w:type="character" w:customStyle="1" w:styleId="il">
    <w:name w:val="il"/>
    <w:basedOn w:val="DefaultParagraphFont"/>
    <w:rsid w:val="005420D8"/>
  </w:style>
  <w:style w:type="paragraph" w:customStyle="1" w:styleId="m3605580079445315828msolistparagraph">
    <w:name w:val="m_3605580079445315828msolistparagraph"/>
    <w:basedOn w:val="Normal"/>
    <w:rsid w:val="005420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394D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91565">
      <w:bodyDiv w:val="1"/>
      <w:marLeft w:val="0"/>
      <w:marRight w:val="0"/>
      <w:marTop w:val="0"/>
      <w:marBottom w:val="0"/>
      <w:divBdr>
        <w:top w:val="none" w:sz="0" w:space="0" w:color="auto"/>
        <w:left w:val="none" w:sz="0" w:space="0" w:color="auto"/>
        <w:bottom w:val="none" w:sz="0" w:space="0" w:color="auto"/>
        <w:right w:val="none" w:sz="0" w:space="0" w:color="auto"/>
      </w:divBdr>
      <w:divsChild>
        <w:div w:id="1944604346">
          <w:marLeft w:val="0"/>
          <w:marRight w:val="0"/>
          <w:marTop w:val="0"/>
          <w:marBottom w:val="0"/>
          <w:divBdr>
            <w:top w:val="none" w:sz="0" w:space="0" w:color="auto"/>
            <w:left w:val="none" w:sz="0" w:space="0" w:color="auto"/>
            <w:bottom w:val="none" w:sz="0" w:space="0" w:color="auto"/>
            <w:right w:val="none" w:sz="0" w:space="0" w:color="auto"/>
          </w:divBdr>
        </w:div>
        <w:div w:id="691300951">
          <w:marLeft w:val="0"/>
          <w:marRight w:val="0"/>
          <w:marTop w:val="0"/>
          <w:marBottom w:val="0"/>
          <w:divBdr>
            <w:top w:val="none" w:sz="0" w:space="0" w:color="auto"/>
            <w:left w:val="none" w:sz="0" w:space="0" w:color="auto"/>
            <w:bottom w:val="none" w:sz="0" w:space="0" w:color="auto"/>
            <w:right w:val="none" w:sz="0" w:space="0" w:color="auto"/>
          </w:divBdr>
        </w:div>
      </w:divsChild>
    </w:div>
    <w:div w:id="987519804">
      <w:bodyDiv w:val="1"/>
      <w:marLeft w:val="0"/>
      <w:marRight w:val="0"/>
      <w:marTop w:val="0"/>
      <w:marBottom w:val="0"/>
      <w:divBdr>
        <w:top w:val="none" w:sz="0" w:space="0" w:color="auto"/>
        <w:left w:val="none" w:sz="0" w:space="0" w:color="auto"/>
        <w:bottom w:val="none" w:sz="0" w:space="0" w:color="auto"/>
        <w:right w:val="none" w:sz="0" w:space="0" w:color="auto"/>
      </w:divBdr>
    </w:div>
    <w:div w:id="126965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image" Target="media/image5.emf"/><Relationship Id="rId26" Type="http://schemas.openxmlformats.org/officeDocument/2006/relationships/hyperlink" Target="https://www.ato.gov.au/uploadedFiles/Content/SPR/downloads/smsfs_where_are_they_%20five_years_on_2015-16.pdf"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7-16T12:56:01.538"/>
    </inkml:context>
    <inkml:brush xml:id="br0">
      <inkml:brushProperty name="width" value="0.025" units="cm"/>
      <inkml:brushProperty name="height" value="0.025" units="cm"/>
      <inkml:brushProperty name="color" value="#AB008B"/>
    </inkml:brush>
  </inkml:definitions>
  <inkml:trace contextRef="#ctx0" brushRef="#br0">1505 327 6592,'-3'-1'420,"1"-2"-38,-2 2-36,0-1-34,-4-1 219,-1 0-109,3 0-144,-2 1-52,0-3 41,-1 0-59,-8-5 125,1 1-96,2 0-80,-23-9 140,-19-14 311,17 12-181,4 2-69,-3 5-39,10 6-144,-1 2-70,1 0-53,2 2-36,-24-5-28,20 6 24,-1-1 0,-1 2 1,-28 1-13,18 1-32,30-1 31,-2 2 0,0-1 0,0 1 0,1-1 0,0 3 0,-1-1 0,0 1 1,-31 10 9,-16 7-9,4 0 41,23-9-85,1 1 0,1 0 1,-4 4 43,-5 6-76,1 3-48,17-11-55,0 2 0,-3 4 179,1 3-116,-2 6 61,16-16 68,-1 3 34,-9 17-44,-10 18-68,0 0 18,10-19 81,8-12 121,-6 15-155,-5 23 57,-9 62-72,26-90 72,6 0-34,6 17-34,7-1-38,-5-27 8,2 2 1,1-2 0,6 7 40,-2-6-27,10 12 27,3-4 48,3-4-51,12 2-48,-24-19-15,0 1 0,15 5 66,-5-4-139,19 4 139,5-2-61,-9-2 47,1 0 46,-5-4 164,33 2-196,-1 1 119,5 0-105,31 1-14,-27-5-48,-35-5-23,0 1-43,-1-2-52,-1-1-62,-3 0-59,-2-2 0,22-5 287,-14 0-151,-2 1 54,11-7 18,1-4 88,-4-4 80,-6-3 74,-32 15-65,0 1 1,-1-1-1,6-7-98,-6 5 71,-2-1 0,1 0 0,-2 0 0,-1-1 0,2-4-71,7-17 66,29-62 129,-19 33 4,-14 23-23,-4 0 52,-2-2 63,-5 1 74,-3 11 0,0-6-51,-2-1-115,1 1-88,-3-1-62,2 15-36,-3-1-1,-2-1 0,-3-3-12,-9-14 77,10 26 35,0-1 43,-1 1 35,-2-3 74,-7-12 177,8 17-63,-1-1 0,-2-1-378,-15-12 434,-15-11 135,27 25-263,-1-1 0,-1 0-1,0 2 1,-18-10-306,-18-5 410,-3 3-71,-3 6-95,29 10-166,0 3-33,0 1-37,-1 0-39,0 2-43,0 3-45,0 0-49,0 2-52,-1 2-55,1 1-58,16 0 50,-1 0-57,0-1-55,0 2-55,1 0-54,0 0-52,0 0-53,1 1-51,-12 3-472,-14 5-637</inkml:trace>
  <inkml:trace contextRef="#ctx0" brushRef="#br0" timeOffset="1633.628">3687 90 6720,'-4'-3'394,"1"-1"-35,-5-2 262,-1 0-120,-1 1-107,0 0-95,-2 2-82,1-1-68,-1 1-57,-8-1-29,-29-3-57,34 6 46,1-1 61,4 1 10,1 0 46,-55-4 109,2 3 36,-63-1 414,50 2-235,-1-1 35,24 0-285,-1 1-84,-24 2-46,-1 1-100,-16 5-57,39-1-31,2 2 0,-1 3 1,-7 3 74,-4 4-34,3 1 48,22-3-50,-10 4 36,2 2 1,-28 19-1,-2 6-8,-35 30 8,96-65 23,1 1-1,0 2 1,2-1-1,-6 8-22,3-2 1,1 2 0,2 0 0,0 2-1,-4 12-23,1 3 0,3-2 0,2 2-1,2 2 24,6-17 9,0 0 0,3 1 0,1-1 1,2 17-10,7 15 86,9 28-86,-5-48-30,13 19-114,7-2 2,-10-19 115,-21-32 29,10 16-7,1-1 1,2 0 0,1 0-1,-1-2 1,3 1-1,0-1 1,1-1 0,0-1-1,1 1 1,2-2 0,15 6 4,-9-5-13,1-1 0,5 0 13,2-1 87,26 6-87,-18-8 173,13 1-173,47 3 235,-8-7 141,-1-2 0,10-4-376,18-1 261,-53-3-209,0-1 35,12-4 95,-2-2 0,-1-4 0,3-2-182,13-7 103,-5-2-85,-51 14 49,-2-1 1,-2-2-1,1-2 1,12-7-68,10-10 155,-4-4 86,-40 26-121,0 0 0,-1-2-1,0 1 1,-2 0 0,-1-2-120,20-26 580,-2-6-580,-12 17 173,-4-1-37,3-15 151,-3-3-287,-4 10 102,1 2 125,0-21-227,-6 24 291,-4-28-291,-2 32 183,-2 0-1,-3-5-182,1 7 226,-2 2-1,-8-13-225,-5-5 326,14 27-151,-1 0-1,-3 0 1,1 1 0,-2 1 0,-1-2-175,10 13 33,-39-39 339,-2 3-54,-3 3-63,31 26-163,0 1 0,-5-2-92,-16-7 56,-2 2 0,0 1-1,-11-2-55,17 7 10,0 3 0,-22-5-10,29 8-212,-24-1 212,-30 2-285,-1 5-79,1 8-86,-1 3-92,2 6-97,4 2-105,3 4-111,50-15 511,0 1-36,-20 8-463,9-4 112,-17 9-410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7-19T11:00:22.880"/>
    </inkml:context>
    <inkml:brush xml:id="br0">
      <inkml:brushProperty name="width" value="0.025" units="cm"/>
      <inkml:brushProperty name="height" value="0.025" units="cm"/>
      <inkml:brushProperty name="color" value="#AB008B"/>
    </inkml:brush>
  </inkml:definitions>
  <inkml:trace contextRef="#ctx0" brushRef="#br0">2506 50 2240,'0'-1'62,"0"0"59,0-4 438,0 2-375,0 2-127,0-1-53,0 1-51,0 0-53,0 0-60,0 0-67,0 0-75,0-1-80,0 1-90,0 0-94,0 1 340,0 0-71</inkml:trace>
  <inkml:trace contextRef="#ctx0" brushRef="#br0" timeOffset="617.348">2568 13 1920,'0'-1'431,"-1"1"-34,-4-1 296,-3 0-121,-2 0-110,1 1-180,-1 0-49,-1 0-45,-2-1-39,-13 1 54,-3 0-94,-35-1 8,38 1-32,0-1 92,13 1-41,2-1 40,-59-2 23,-14 2-54,-31 0-23,-73 4 4,0 1 3,70 0-2,32-1 24,11 0 56,-64 3 73,4 0 0,4 1 0,-44 3-280,-42 5 288,57-2-134,22 2-112,78-7-72,8 0-39,7 1-43,6 0-47,2 2-177,10 1-37,10 0-288,8-1 0,11 7 661,17 0-533,0-7 248,5 0 33,8 0 28,7-1 57,5 1 65,6-1 75,24 3-62,-44-9 34,3 1 0,2-1 1,4 1-1,2-1 0,25 2 55,-42-4-19,1 0 0,1-1 1,1 1-1,1 0 0,2-1 0,0 0 1,31 2 18,93 1-10,23-3 56,-117-1-19,1 0 0,-1 0-1,-1-1 1,1 0 0,-1 1 0,-2-2 0,0 1 0,1 0 0,-3-1 0,-1 1 0,7-2-27,1 1 45,-3-1 1,-1 0-1,-3 0 0,0 0 0,-4 0 0,-2-1 0,-2 1 0,31-4-45,-19 1 87,-4 1-1,-3-1 0,-5-1 1,-5 1-1,28-6-86,-33 4 128,-4 0-1,-7-1 1,-6 1-1,4-6-127,-16 5 105,-2-1 50,-1 1 50,-3-1 49,-3 0 49,-3 1 49,-5-1 49,-3 0 49,-6 0 48,-5 1 47,-6-1 49,-7 1 47,-6 0 47,-7 0 47,-7 1 47,-10-1 46,28 5-445,-4 0-35,-2 1-40,-3-1-44,-3 1-47,0 0-52,-3 0-57,-1 1-61,-22-2-18,-37 0-52,112 4 23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48877F47251D43B0DDCA1D7EBAB9E4" ma:contentTypeVersion="9" ma:contentTypeDescription="Create a new document." ma:contentTypeScope="" ma:versionID="3f70293f3c036bdd40c827cf073ec7d4">
  <xsd:schema xmlns:xsd="http://www.w3.org/2001/XMLSchema" xmlns:xs="http://www.w3.org/2001/XMLSchema" xmlns:p="http://schemas.microsoft.com/office/2006/metadata/properties" xmlns:ns2="c24fa1fb-e5d5-453d-87e5-eff5250b8e1f" xmlns:ns3="ec1468e2-6f2d-4cf2-ac50-1ee17c9689f8" targetNamespace="http://schemas.microsoft.com/office/2006/metadata/properties" ma:root="true" ma:fieldsID="2e15cf937226f1b5d77aeefc017b3f44" ns2:_="" ns3:_="">
    <xsd:import namespace="c24fa1fb-e5d5-453d-87e5-eff5250b8e1f"/>
    <xsd:import namespace="ec1468e2-6f2d-4cf2-ac50-1ee17c9689f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fa1fb-e5d5-453d-87e5-eff5250b8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c1468e2-6f2d-4cf2-ac50-1ee17c9689f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CA50F-AAF9-4442-9D67-F55FCB4E70A5}">
  <ds:schemaRefs>
    <ds:schemaRef ds:uri="http://schemas.microsoft.com/sharepoint/v3/contenttype/forms"/>
  </ds:schemaRefs>
</ds:datastoreItem>
</file>

<file path=customXml/itemProps2.xml><?xml version="1.0" encoding="utf-8"?>
<ds:datastoreItem xmlns:ds="http://schemas.openxmlformats.org/officeDocument/2006/customXml" ds:itemID="{BFCC6497-D5A3-4DDF-A391-B521C6BF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fa1fb-e5d5-453d-87e5-eff5250b8e1f"/>
    <ds:schemaRef ds:uri="ec1468e2-6f2d-4cf2-ac50-1ee17c968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9F90E-E267-40D1-88D7-00F05AFEFFAB}">
  <ds:schemaRefs>
    <ds:schemaRef ds:uri="c24fa1fb-e5d5-453d-87e5-eff5250b8e1f"/>
    <ds:schemaRef ds:uri="http://schemas.microsoft.com/office/2006/metadata/properties"/>
    <ds:schemaRef ds:uri="http://purl.org/dc/terms/"/>
    <ds:schemaRef ds:uri="ec1468e2-6f2d-4cf2-ac50-1ee17c9689f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1E1FE70-5C47-4ADE-BF82-E66AA7E2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Submission DR190 - Class Ltd - Superannuation: Assessing Competitiveness and Efficiency - Public inquiry</vt:lpstr>
    </vt:vector>
  </TitlesOfParts>
  <Company>Class Ltd</Company>
  <LinksUpToDate>false</LinksUpToDate>
  <CharactersWithSpaces>15923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DR190 - Class Ltd - Superannuation: Assessing Competitiveness and Efficiency - Public inquiry</dc:title>
  <dc:subject/>
  <dc:creator>Class Ltd</dc:creator>
  <cp:keywords/>
  <dc:description/>
  <cp:lastModifiedBy>Pimperl, Mark</cp:lastModifiedBy>
  <cp:revision>3</cp:revision>
  <cp:lastPrinted>2018-07-19T22:56:00Z</cp:lastPrinted>
  <dcterms:created xsi:type="dcterms:W3CDTF">2018-07-20T05:38:00Z</dcterms:created>
  <dcterms:modified xsi:type="dcterms:W3CDTF">2018-07-25T23:27:00Z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0x0101009448877F47251D43B0DDCA1D7EBAB9E4</vt:lpwstr>
  </property>
</Properties>
</file>