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FCDEF" w14:textId="71097E22" w:rsidR="00360991" w:rsidRPr="00360991" w:rsidRDefault="00BA3D38" w:rsidP="00360991">
      <w:pPr>
        <w:rPr>
          <w:rFonts w:cstheme="minorHAnsi"/>
          <w:b/>
          <w:sz w:val="20"/>
          <w:szCs w:val="20"/>
        </w:rPr>
      </w:pPr>
      <w:r>
        <w:rPr>
          <w:rFonts w:cstheme="minorHAnsi"/>
          <w:b/>
          <w:sz w:val="20"/>
          <w:szCs w:val="20"/>
        </w:rPr>
        <w:t>4th</w:t>
      </w:r>
      <w:r w:rsidR="00360991">
        <w:rPr>
          <w:rFonts w:cstheme="minorHAnsi"/>
          <w:b/>
          <w:sz w:val="20"/>
          <w:szCs w:val="20"/>
        </w:rPr>
        <w:t xml:space="preserve"> April 2019 </w:t>
      </w:r>
      <w:bookmarkStart w:id="0" w:name="_GoBack"/>
      <w:bookmarkEnd w:id="0"/>
    </w:p>
    <w:p w14:paraId="1F1C44EF" w14:textId="6EAB4570" w:rsidR="00360991" w:rsidRPr="00F63AB3" w:rsidRDefault="00E90DE1" w:rsidP="00360991">
      <w:pPr>
        <w:rPr>
          <w:rFonts w:cstheme="minorHAnsi"/>
          <w:sz w:val="20"/>
          <w:szCs w:val="20"/>
        </w:rPr>
      </w:pPr>
      <w:r>
        <w:rPr>
          <w:rFonts w:cstheme="minorHAnsi"/>
          <w:sz w:val="20"/>
          <w:szCs w:val="20"/>
        </w:rPr>
        <w:t xml:space="preserve">The Australian Chronic Disease Prevention Alliance (ACDPA, comprising </w:t>
      </w:r>
      <w:r w:rsidR="00360991">
        <w:rPr>
          <w:rFonts w:cstheme="minorHAnsi"/>
          <w:sz w:val="20"/>
          <w:szCs w:val="20"/>
        </w:rPr>
        <w:t xml:space="preserve">Diabetes Australia, Cancer Council Australia, </w:t>
      </w:r>
      <w:r w:rsidR="00371E1E">
        <w:rPr>
          <w:rFonts w:cstheme="minorHAnsi"/>
          <w:sz w:val="20"/>
          <w:szCs w:val="20"/>
        </w:rPr>
        <w:t xml:space="preserve">National </w:t>
      </w:r>
      <w:r w:rsidR="00360991">
        <w:rPr>
          <w:rFonts w:cstheme="minorHAnsi"/>
          <w:sz w:val="20"/>
          <w:szCs w:val="20"/>
        </w:rPr>
        <w:t>Heart Foundation</w:t>
      </w:r>
      <w:r w:rsidR="00371E1E">
        <w:rPr>
          <w:rFonts w:cstheme="minorHAnsi"/>
          <w:sz w:val="20"/>
          <w:szCs w:val="20"/>
        </w:rPr>
        <w:t xml:space="preserve"> of Australia</w:t>
      </w:r>
      <w:r w:rsidR="00360991">
        <w:rPr>
          <w:rFonts w:cstheme="minorHAnsi"/>
          <w:sz w:val="20"/>
          <w:szCs w:val="20"/>
        </w:rPr>
        <w:t>, Kidney Health Australia and the Stroke Foundation</w:t>
      </w:r>
      <w:r w:rsidR="00BA72CC">
        <w:rPr>
          <w:rFonts w:cstheme="minorHAnsi"/>
          <w:sz w:val="20"/>
          <w:szCs w:val="20"/>
        </w:rPr>
        <w:t xml:space="preserve">) and </w:t>
      </w:r>
      <w:r w:rsidR="00360991">
        <w:rPr>
          <w:rFonts w:cstheme="minorHAnsi"/>
          <w:sz w:val="20"/>
          <w:szCs w:val="20"/>
        </w:rPr>
        <w:t>Quit</w:t>
      </w:r>
      <w:r w:rsidR="003A11EB">
        <w:rPr>
          <w:rFonts w:cstheme="minorHAnsi"/>
          <w:sz w:val="20"/>
          <w:szCs w:val="20"/>
        </w:rPr>
        <w:t xml:space="preserve"> Victoria (“Quit”)</w:t>
      </w:r>
      <w:r w:rsidR="00360991">
        <w:rPr>
          <w:rFonts w:cstheme="minorHAnsi"/>
          <w:sz w:val="20"/>
          <w:szCs w:val="20"/>
        </w:rPr>
        <w:t xml:space="preserve"> welcome the Productivity Commission Mental Health Inquiry</w:t>
      </w:r>
      <w:r w:rsidR="0040434D">
        <w:rPr>
          <w:rFonts w:cstheme="minorHAnsi"/>
          <w:sz w:val="20"/>
          <w:szCs w:val="20"/>
        </w:rPr>
        <w:t xml:space="preserve"> (“the Inquiry”)</w:t>
      </w:r>
      <w:r w:rsidR="00360991">
        <w:rPr>
          <w:rFonts w:cstheme="minorHAnsi"/>
          <w:sz w:val="20"/>
          <w:szCs w:val="20"/>
        </w:rPr>
        <w:t xml:space="preserve"> and </w:t>
      </w:r>
      <w:r w:rsidR="003A11EB">
        <w:rPr>
          <w:rFonts w:cstheme="minorHAnsi"/>
          <w:sz w:val="20"/>
          <w:szCs w:val="20"/>
        </w:rPr>
        <w:t xml:space="preserve">the </w:t>
      </w:r>
      <w:r w:rsidR="00360991">
        <w:rPr>
          <w:rFonts w:cstheme="minorHAnsi"/>
          <w:sz w:val="20"/>
          <w:szCs w:val="20"/>
        </w:rPr>
        <w:t xml:space="preserve">opportunity to make a </w:t>
      </w:r>
      <w:r w:rsidR="001C4C3B">
        <w:rPr>
          <w:rFonts w:cstheme="minorHAnsi"/>
          <w:sz w:val="20"/>
          <w:szCs w:val="20"/>
        </w:rPr>
        <w:t xml:space="preserve">joint </w:t>
      </w:r>
      <w:r w:rsidR="00360991">
        <w:rPr>
          <w:rFonts w:cstheme="minorHAnsi"/>
          <w:sz w:val="20"/>
          <w:szCs w:val="20"/>
        </w:rPr>
        <w:t>submission</w:t>
      </w:r>
      <w:r w:rsidR="00D26856">
        <w:rPr>
          <w:rFonts w:cstheme="minorHAnsi"/>
          <w:sz w:val="20"/>
          <w:szCs w:val="20"/>
        </w:rPr>
        <w:t xml:space="preserve">. </w:t>
      </w:r>
    </w:p>
    <w:p w14:paraId="1A8D4903" w14:textId="77777777" w:rsidR="005F2B4B" w:rsidRDefault="005F2B4B" w:rsidP="00824DD2">
      <w:pPr>
        <w:pStyle w:val="Heading1"/>
        <w:rPr>
          <w:rFonts w:asciiTheme="minorHAnsi" w:hAnsiTheme="minorHAnsi" w:cstheme="minorHAnsi"/>
          <w:b/>
          <w:sz w:val="24"/>
          <w:szCs w:val="24"/>
        </w:rPr>
      </w:pPr>
      <w:r w:rsidRPr="0019578B">
        <w:rPr>
          <w:rFonts w:asciiTheme="minorHAnsi" w:hAnsiTheme="minorHAnsi" w:cstheme="minorHAnsi"/>
          <w:b/>
          <w:sz w:val="24"/>
          <w:szCs w:val="24"/>
        </w:rPr>
        <w:t>Summary of recommendations</w:t>
      </w:r>
    </w:p>
    <w:p w14:paraId="3936B6CE" w14:textId="4D60F528" w:rsidR="00AE1AEC" w:rsidRDefault="00752E6A" w:rsidP="00752E6A">
      <w:pPr>
        <w:rPr>
          <w:sz w:val="20"/>
          <w:szCs w:val="20"/>
        </w:rPr>
      </w:pPr>
      <w:r w:rsidRPr="00752E6A">
        <w:rPr>
          <w:sz w:val="20"/>
          <w:szCs w:val="20"/>
        </w:rPr>
        <w:t>People with a mental illness are at a</w:t>
      </w:r>
      <w:r w:rsidR="00984BAB">
        <w:rPr>
          <w:sz w:val="20"/>
          <w:szCs w:val="20"/>
        </w:rPr>
        <w:t>n unacceptably</w:t>
      </w:r>
      <w:r w:rsidRPr="00752E6A">
        <w:rPr>
          <w:sz w:val="20"/>
          <w:szCs w:val="20"/>
        </w:rPr>
        <w:t xml:space="preserve"> higher risk of chronic disease compared to the general population, predominantly due to the higher prevalence of chronic disease risk factors including</w:t>
      </w:r>
      <w:r w:rsidR="00DE66A1">
        <w:rPr>
          <w:sz w:val="20"/>
          <w:szCs w:val="20"/>
        </w:rPr>
        <w:t xml:space="preserve"> tobacco</w:t>
      </w:r>
      <w:r w:rsidRPr="00752E6A">
        <w:rPr>
          <w:sz w:val="20"/>
          <w:szCs w:val="20"/>
        </w:rPr>
        <w:t xml:space="preserve"> smoking</w:t>
      </w:r>
      <w:r w:rsidR="00045D96">
        <w:rPr>
          <w:sz w:val="20"/>
          <w:szCs w:val="20"/>
        </w:rPr>
        <w:t>,</w:t>
      </w:r>
      <w:r w:rsidRPr="00752E6A">
        <w:rPr>
          <w:sz w:val="20"/>
          <w:szCs w:val="20"/>
        </w:rPr>
        <w:t xml:space="preserve"> obesity and overweight, poor diet</w:t>
      </w:r>
      <w:r w:rsidR="007555D0">
        <w:rPr>
          <w:sz w:val="20"/>
          <w:szCs w:val="20"/>
        </w:rPr>
        <w:t xml:space="preserve">, </w:t>
      </w:r>
      <w:r w:rsidRPr="00752E6A">
        <w:rPr>
          <w:sz w:val="20"/>
          <w:szCs w:val="20"/>
        </w:rPr>
        <w:t>inadequate physical activity</w:t>
      </w:r>
      <w:r w:rsidR="007555D0">
        <w:rPr>
          <w:sz w:val="20"/>
          <w:szCs w:val="20"/>
        </w:rPr>
        <w:t xml:space="preserve"> and alcohol consumption</w:t>
      </w:r>
      <w:r>
        <w:rPr>
          <w:sz w:val="20"/>
          <w:szCs w:val="20"/>
        </w:rPr>
        <w:t>.</w:t>
      </w:r>
      <w:r w:rsidR="007C675B">
        <w:rPr>
          <w:sz w:val="20"/>
          <w:szCs w:val="20"/>
        </w:rPr>
        <w:t xml:space="preserve"> </w:t>
      </w:r>
    </w:p>
    <w:p w14:paraId="030FD7F4" w14:textId="77777777" w:rsidR="00752E6A" w:rsidRPr="00752E6A" w:rsidRDefault="00CE6F26" w:rsidP="00752E6A">
      <w:pPr>
        <w:rPr>
          <w:sz w:val="20"/>
          <w:szCs w:val="20"/>
        </w:rPr>
      </w:pPr>
      <w:r w:rsidRPr="00CE6F26">
        <w:rPr>
          <w:i/>
          <w:sz w:val="20"/>
          <w:szCs w:val="20"/>
        </w:rPr>
        <w:t>Preventing</w:t>
      </w:r>
      <w:r>
        <w:rPr>
          <w:sz w:val="20"/>
          <w:szCs w:val="20"/>
        </w:rPr>
        <w:t xml:space="preserve"> the development of chronic disease in people with </w:t>
      </w:r>
      <w:r w:rsidR="00917E66">
        <w:rPr>
          <w:sz w:val="20"/>
          <w:szCs w:val="20"/>
        </w:rPr>
        <w:t xml:space="preserve">a </w:t>
      </w:r>
      <w:r>
        <w:rPr>
          <w:sz w:val="20"/>
          <w:szCs w:val="20"/>
        </w:rPr>
        <w:t xml:space="preserve">mental illness, by addressing risk factors, has clear economic, social and productivity benefits.  </w:t>
      </w:r>
      <w:r w:rsidR="00E26754">
        <w:rPr>
          <w:sz w:val="20"/>
          <w:szCs w:val="20"/>
        </w:rPr>
        <w:t xml:space="preserve"> </w:t>
      </w:r>
      <w:r w:rsidR="00752E6A">
        <w:rPr>
          <w:sz w:val="20"/>
          <w:szCs w:val="20"/>
        </w:rPr>
        <w:t xml:space="preserve"> </w:t>
      </w:r>
      <w:r w:rsidR="00752E6A" w:rsidRPr="00752E6A">
        <w:rPr>
          <w:sz w:val="20"/>
          <w:szCs w:val="20"/>
        </w:rPr>
        <w:t xml:space="preserve"> </w:t>
      </w:r>
    </w:p>
    <w:p w14:paraId="11DC5A53" w14:textId="77777777" w:rsidR="00CE6F26" w:rsidRPr="00CE6F26" w:rsidRDefault="00360991" w:rsidP="00CE6F26">
      <w:pPr>
        <w:rPr>
          <w:sz w:val="20"/>
          <w:szCs w:val="20"/>
        </w:rPr>
      </w:pPr>
      <w:r w:rsidRPr="003F4B09">
        <w:rPr>
          <w:sz w:val="20"/>
          <w:szCs w:val="20"/>
        </w:rPr>
        <w:t xml:space="preserve">The ACDPA and Quit </w:t>
      </w:r>
      <w:r w:rsidR="00752E6A">
        <w:rPr>
          <w:sz w:val="20"/>
          <w:szCs w:val="20"/>
        </w:rPr>
        <w:t>make the following</w:t>
      </w:r>
      <w:r w:rsidR="00984BAB">
        <w:rPr>
          <w:sz w:val="20"/>
          <w:szCs w:val="20"/>
        </w:rPr>
        <w:t xml:space="preserve"> key</w:t>
      </w:r>
      <w:r w:rsidR="00752E6A">
        <w:rPr>
          <w:sz w:val="20"/>
          <w:szCs w:val="20"/>
        </w:rPr>
        <w:t xml:space="preserve"> recommendations for consideration by the Commission</w:t>
      </w:r>
      <w:r w:rsidRPr="003F4B09">
        <w:rPr>
          <w:sz w:val="20"/>
          <w:szCs w:val="20"/>
        </w:rPr>
        <w:t xml:space="preserve">: </w:t>
      </w:r>
    </w:p>
    <w:p w14:paraId="4D81DBD9" w14:textId="77777777" w:rsidR="00752E6A" w:rsidRPr="00752E6A" w:rsidRDefault="00752E6A" w:rsidP="00B429A0">
      <w:pPr>
        <w:pStyle w:val="ListParagraph"/>
        <w:numPr>
          <w:ilvl w:val="0"/>
          <w:numId w:val="8"/>
        </w:numPr>
        <w:rPr>
          <w:sz w:val="20"/>
          <w:szCs w:val="20"/>
        </w:rPr>
      </w:pPr>
      <w:r>
        <w:rPr>
          <w:rFonts w:cstheme="minorHAnsi"/>
          <w:b/>
          <w:i/>
          <w:sz w:val="20"/>
          <w:szCs w:val="20"/>
        </w:rPr>
        <w:t xml:space="preserve">A systematic approach to </w:t>
      </w:r>
      <w:r w:rsidR="00B429A0">
        <w:rPr>
          <w:rFonts w:cstheme="minorHAnsi"/>
          <w:b/>
          <w:i/>
          <w:sz w:val="20"/>
          <w:szCs w:val="20"/>
        </w:rPr>
        <w:t>chronic disease prevention</w:t>
      </w:r>
      <w:r>
        <w:rPr>
          <w:rFonts w:cstheme="minorHAnsi"/>
          <w:b/>
          <w:i/>
          <w:sz w:val="20"/>
          <w:szCs w:val="20"/>
        </w:rPr>
        <w:t xml:space="preserve"> must be embedded </w:t>
      </w:r>
      <w:r w:rsidR="003A11EB">
        <w:rPr>
          <w:rFonts w:cstheme="minorHAnsi"/>
          <w:b/>
          <w:i/>
          <w:sz w:val="20"/>
          <w:szCs w:val="20"/>
        </w:rPr>
        <w:t>across</w:t>
      </w:r>
      <w:r w:rsidR="00CE6F26">
        <w:rPr>
          <w:rFonts w:cstheme="minorHAnsi"/>
          <w:b/>
          <w:i/>
          <w:sz w:val="20"/>
          <w:szCs w:val="20"/>
        </w:rPr>
        <w:t xml:space="preserve"> </w:t>
      </w:r>
      <w:r w:rsidR="00B97062">
        <w:rPr>
          <w:rFonts w:cstheme="minorHAnsi"/>
          <w:b/>
          <w:i/>
          <w:sz w:val="20"/>
          <w:szCs w:val="20"/>
        </w:rPr>
        <w:t xml:space="preserve">all </w:t>
      </w:r>
      <w:r w:rsidR="00CE6F26">
        <w:rPr>
          <w:rFonts w:cstheme="minorHAnsi"/>
          <w:b/>
          <w:i/>
          <w:sz w:val="20"/>
          <w:szCs w:val="20"/>
        </w:rPr>
        <w:t>mental health services</w:t>
      </w:r>
      <w:r w:rsidR="00371E1E">
        <w:rPr>
          <w:rFonts w:cstheme="minorHAnsi"/>
          <w:b/>
          <w:i/>
          <w:sz w:val="20"/>
          <w:szCs w:val="20"/>
        </w:rPr>
        <w:t xml:space="preserve"> </w:t>
      </w:r>
      <w:r w:rsidR="00CE6F26">
        <w:rPr>
          <w:rFonts w:cstheme="minorHAnsi"/>
          <w:b/>
          <w:i/>
          <w:sz w:val="20"/>
          <w:szCs w:val="20"/>
        </w:rPr>
        <w:t>and</w:t>
      </w:r>
      <w:r w:rsidR="003A11EB">
        <w:rPr>
          <w:rFonts w:cstheme="minorHAnsi"/>
          <w:b/>
          <w:i/>
          <w:sz w:val="20"/>
          <w:szCs w:val="20"/>
        </w:rPr>
        <w:t xml:space="preserve"> the entire health system. </w:t>
      </w:r>
    </w:p>
    <w:p w14:paraId="09DBFF6F" w14:textId="4848EF8B" w:rsidR="00752E6A" w:rsidRDefault="00B429A0" w:rsidP="00360991">
      <w:pPr>
        <w:pStyle w:val="ListParagraph"/>
        <w:numPr>
          <w:ilvl w:val="0"/>
          <w:numId w:val="8"/>
        </w:numPr>
        <w:spacing w:before="100" w:beforeAutospacing="1"/>
        <w:rPr>
          <w:rFonts w:cstheme="minorHAnsi"/>
          <w:b/>
          <w:i/>
          <w:sz w:val="20"/>
          <w:szCs w:val="20"/>
        </w:rPr>
      </w:pPr>
      <w:r>
        <w:rPr>
          <w:rFonts w:cstheme="minorHAnsi"/>
          <w:b/>
          <w:i/>
          <w:sz w:val="20"/>
          <w:szCs w:val="20"/>
        </w:rPr>
        <w:t xml:space="preserve">Tailored, evidence-based interventions for </w:t>
      </w:r>
      <w:r w:rsidRPr="00457A3B">
        <w:rPr>
          <w:rFonts w:cstheme="minorHAnsi"/>
          <w:b/>
          <w:i/>
          <w:sz w:val="20"/>
          <w:szCs w:val="20"/>
        </w:rPr>
        <w:t xml:space="preserve">people with </w:t>
      </w:r>
      <w:r w:rsidR="00917E66">
        <w:rPr>
          <w:rFonts w:cstheme="minorHAnsi"/>
          <w:b/>
          <w:i/>
          <w:sz w:val="20"/>
          <w:szCs w:val="20"/>
        </w:rPr>
        <w:t xml:space="preserve">a </w:t>
      </w:r>
      <w:r w:rsidRPr="00457A3B">
        <w:rPr>
          <w:rFonts w:cstheme="minorHAnsi"/>
          <w:b/>
          <w:i/>
          <w:sz w:val="20"/>
          <w:szCs w:val="20"/>
        </w:rPr>
        <w:t xml:space="preserve">mental illness </w:t>
      </w:r>
      <w:r>
        <w:rPr>
          <w:rFonts w:cstheme="minorHAnsi"/>
          <w:b/>
          <w:i/>
          <w:sz w:val="20"/>
          <w:szCs w:val="20"/>
        </w:rPr>
        <w:t>need to be developed</w:t>
      </w:r>
      <w:r w:rsidR="00B97062">
        <w:rPr>
          <w:rFonts w:cstheme="minorHAnsi"/>
          <w:b/>
          <w:i/>
          <w:sz w:val="20"/>
          <w:szCs w:val="20"/>
        </w:rPr>
        <w:t xml:space="preserve"> and implemented</w:t>
      </w:r>
      <w:r>
        <w:rPr>
          <w:rFonts w:cstheme="minorHAnsi"/>
          <w:b/>
          <w:i/>
          <w:sz w:val="20"/>
          <w:szCs w:val="20"/>
        </w:rPr>
        <w:t xml:space="preserve"> to address smoking and </w:t>
      </w:r>
      <w:r w:rsidR="00BC5529">
        <w:rPr>
          <w:rFonts w:cstheme="minorHAnsi"/>
          <w:b/>
          <w:i/>
          <w:sz w:val="20"/>
          <w:szCs w:val="20"/>
        </w:rPr>
        <w:t>other risk factors</w:t>
      </w:r>
      <w:r w:rsidR="003A11EB">
        <w:rPr>
          <w:rFonts w:cstheme="minorHAnsi"/>
          <w:b/>
          <w:i/>
          <w:sz w:val="20"/>
          <w:szCs w:val="20"/>
        </w:rPr>
        <w:t xml:space="preserve"> as a means of preventing chronic disease</w:t>
      </w:r>
      <w:r w:rsidR="00984BAB">
        <w:rPr>
          <w:rFonts w:cstheme="minorHAnsi"/>
          <w:b/>
          <w:i/>
          <w:sz w:val="20"/>
          <w:szCs w:val="20"/>
        </w:rPr>
        <w:t xml:space="preserve">. </w:t>
      </w:r>
      <w:r>
        <w:rPr>
          <w:rFonts w:cstheme="minorHAnsi"/>
          <w:b/>
          <w:i/>
          <w:sz w:val="20"/>
          <w:szCs w:val="20"/>
        </w:rPr>
        <w:t xml:space="preserve"> </w:t>
      </w:r>
    </w:p>
    <w:p w14:paraId="57E2F281" w14:textId="604838C4" w:rsidR="00D84CCF" w:rsidRPr="00457A3B" w:rsidRDefault="00D84CCF" w:rsidP="00D84CCF">
      <w:pPr>
        <w:pStyle w:val="ListParagraph"/>
        <w:numPr>
          <w:ilvl w:val="0"/>
          <w:numId w:val="8"/>
        </w:numPr>
        <w:spacing w:before="100" w:beforeAutospacing="1"/>
        <w:rPr>
          <w:rFonts w:cstheme="minorHAnsi"/>
          <w:b/>
          <w:i/>
          <w:sz w:val="20"/>
          <w:szCs w:val="20"/>
        </w:rPr>
      </w:pPr>
      <w:r w:rsidRPr="00F611E8">
        <w:rPr>
          <w:rFonts w:cstheme="minorHAnsi"/>
          <w:b/>
          <w:i/>
          <w:sz w:val="20"/>
          <w:szCs w:val="20"/>
        </w:rPr>
        <w:t xml:space="preserve">Population-based </w:t>
      </w:r>
      <w:r>
        <w:rPr>
          <w:rFonts w:cstheme="minorHAnsi"/>
          <w:b/>
          <w:i/>
          <w:sz w:val="20"/>
          <w:szCs w:val="20"/>
        </w:rPr>
        <w:t xml:space="preserve">policies should be considered to </w:t>
      </w:r>
      <w:r w:rsidR="007246A6">
        <w:rPr>
          <w:rFonts w:cstheme="minorHAnsi"/>
          <w:b/>
          <w:i/>
          <w:sz w:val="20"/>
          <w:szCs w:val="20"/>
        </w:rPr>
        <w:t>reduce chronic disease risk factors through</w:t>
      </w:r>
      <w:r>
        <w:rPr>
          <w:rFonts w:cstheme="minorHAnsi"/>
          <w:b/>
          <w:i/>
          <w:sz w:val="20"/>
          <w:szCs w:val="20"/>
        </w:rPr>
        <w:t xml:space="preserve"> changes to the food supply and </w:t>
      </w:r>
      <w:r w:rsidR="007246A6">
        <w:rPr>
          <w:rFonts w:cstheme="minorHAnsi"/>
          <w:b/>
          <w:i/>
          <w:sz w:val="20"/>
          <w:szCs w:val="20"/>
        </w:rPr>
        <w:t>the creation of</w:t>
      </w:r>
      <w:r>
        <w:rPr>
          <w:rFonts w:cstheme="minorHAnsi"/>
          <w:b/>
          <w:i/>
          <w:sz w:val="20"/>
          <w:szCs w:val="20"/>
        </w:rPr>
        <w:t xml:space="preserve"> environments that support healthy choices.</w:t>
      </w:r>
    </w:p>
    <w:p w14:paraId="5B918004" w14:textId="77777777" w:rsidR="00824DD2" w:rsidRPr="00663204" w:rsidRDefault="004042AD" w:rsidP="006749E7">
      <w:pPr>
        <w:pStyle w:val="Heading1"/>
        <w:rPr>
          <w:rFonts w:asciiTheme="minorHAnsi" w:hAnsiTheme="minorHAnsi" w:cstheme="minorHAnsi"/>
          <w:b/>
          <w:sz w:val="24"/>
          <w:szCs w:val="24"/>
        </w:rPr>
      </w:pPr>
      <w:r w:rsidRPr="00663204">
        <w:rPr>
          <w:rFonts w:asciiTheme="minorHAnsi" w:hAnsiTheme="minorHAnsi" w:cstheme="minorHAnsi"/>
          <w:b/>
          <w:sz w:val="24"/>
          <w:szCs w:val="24"/>
        </w:rPr>
        <w:t xml:space="preserve">Why </w:t>
      </w:r>
      <w:r w:rsidR="0019578B" w:rsidRPr="00663204">
        <w:rPr>
          <w:rFonts w:asciiTheme="minorHAnsi" w:hAnsiTheme="minorHAnsi" w:cstheme="minorHAnsi"/>
          <w:b/>
          <w:sz w:val="24"/>
          <w:szCs w:val="24"/>
        </w:rPr>
        <w:t>chronic disease risk factors</w:t>
      </w:r>
      <w:r w:rsidR="005F2B4B" w:rsidRPr="00663204">
        <w:rPr>
          <w:rFonts w:asciiTheme="minorHAnsi" w:hAnsiTheme="minorHAnsi" w:cstheme="minorHAnsi"/>
          <w:b/>
          <w:sz w:val="24"/>
          <w:szCs w:val="24"/>
        </w:rPr>
        <w:t xml:space="preserve"> need to be addressed in people with a mental illness  </w:t>
      </w:r>
      <w:r w:rsidR="00824DD2" w:rsidRPr="00663204">
        <w:rPr>
          <w:rFonts w:asciiTheme="minorHAnsi" w:hAnsiTheme="minorHAnsi" w:cstheme="minorHAnsi"/>
          <w:b/>
          <w:sz w:val="24"/>
          <w:szCs w:val="24"/>
        </w:rPr>
        <w:t xml:space="preserve"> </w:t>
      </w:r>
    </w:p>
    <w:p w14:paraId="77E8EE92" w14:textId="77777777" w:rsidR="00824DD2" w:rsidRPr="00457A3B" w:rsidRDefault="00824DD2" w:rsidP="005F2B4B">
      <w:pPr>
        <w:pStyle w:val="ListParagraph"/>
        <w:numPr>
          <w:ilvl w:val="0"/>
          <w:numId w:val="3"/>
        </w:numPr>
        <w:spacing w:before="100" w:beforeAutospacing="1"/>
        <w:rPr>
          <w:rFonts w:cstheme="minorHAnsi"/>
          <w:b/>
          <w:i/>
          <w:sz w:val="20"/>
          <w:szCs w:val="20"/>
        </w:rPr>
      </w:pPr>
      <w:r w:rsidRPr="00457A3B">
        <w:rPr>
          <w:rFonts w:cstheme="minorHAnsi"/>
          <w:b/>
          <w:i/>
          <w:sz w:val="20"/>
          <w:szCs w:val="20"/>
        </w:rPr>
        <w:t xml:space="preserve">People with a mental illness are at an unacceptably higher risk of chronic disease </w:t>
      </w:r>
    </w:p>
    <w:p w14:paraId="3E153E11" w14:textId="5F7544C6" w:rsidR="00DC77D1" w:rsidRPr="00852C6E" w:rsidRDefault="00DC77D1" w:rsidP="00DC77D1">
      <w:pPr>
        <w:spacing w:before="100" w:beforeAutospacing="1"/>
        <w:rPr>
          <w:rFonts w:cstheme="minorHAnsi"/>
          <w:sz w:val="20"/>
          <w:szCs w:val="20"/>
          <w:vertAlign w:val="superscript"/>
        </w:rPr>
      </w:pPr>
      <w:r w:rsidRPr="00457A3B">
        <w:rPr>
          <w:rFonts w:cstheme="minorHAnsi"/>
          <w:sz w:val="20"/>
          <w:szCs w:val="20"/>
        </w:rPr>
        <w:t>There is currently an unacceptable gap in life expectancy between people with a mental illness and the general population – estimated at up to 15 years</w:t>
      </w:r>
      <w:r w:rsidR="00AC2BFF">
        <w:rPr>
          <w:rFonts w:cstheme="minorHAnsi"/>
          <w:sz w:val="20"/>
          <w:szCs w:val="20"/>
        </w:rPr>
        <w:t>.</w:t>
      </w:r>
      <w:r w:rsidRPr="00457A3B">
        <w:rPr>
          <w:rStyle w:val="FootnoteReference"/>
          <w:rFonts w:cstheme="minorHAnsi"/>
          <w:sz w:val="20"/>
          <w:szCs w:val="20"/>
        </w:rPr>
        <w:footnoteReference w:id="1"/>
      </w:r>
      <w:r w:rsidRPr="00457A3B">
        <w:rPr>
          <w:rFonts w:cstheme="minorHAnsi"/>
          <w:sz w:val="20"/>
          <w:szCs w:val="20"/>
        </w:rPr>
        <w:t xml:space="preserve"> The vast majority of deaths are not due to the mental illness</w:t>
      </w:r>
      <w:r w:rsidR="001B1AF5">
        <w:rPr>
          <w:rFonts w:cstheme="minorHAnsi"/>
          <w:sz w:val="20"/>
          <w:szCs w:val="20"/>
        </w:rPr>
        <w:t>. C</w:t>
      </w:r>
      <w:r w:rsidR="007D0052">
        <w:rPr>
          <w:rFonts w:cstheme="minorHAnsi"/>
          <w:sz w:val="20"/>
          <w:szCs w:val="20"/>
        </w:rPr>
        <w:t xml:space="preserve">oncerningly for </w:t>
      </w:r>
      <w:r w:rsidR="00E86AD1">
        <w:rPr>
          <w:rFonts w:cstheme="minorHAnsi"/>
          <w:sz w:val="20"/>
          <w:szCs w:val="20"/>
        </w:rPr>
        <w:t>every</w:t>
      </w:r>
      <w:r w:rsidR="007D0052">
        <w:rPr>
          <w:rFonts w:cstheme="minorHAnsi"/>
          <w:sz w:val="20"/>
          <w:szCs w:val="20"/>
        </w:rPr>
        <w:t xml:space="preserve"> person with a mental illness who dies from suicide, </w:t>
      </w:r>
      <w:r w:rsidR="000A0277">
        <w:rPr>
          <w:rFonts w:cstheme="minorHAnsi"/>
          <w:sz w:val="20"/>
          <w:szCs w:val="20"/>
        </w:rPr>
        <w:t xml:space="preserve">10 </w:t>
      </w:r>
      <w:r w:rsidR="007D0052">
        <w:rPr>
          <w:rFonts w:cstheme="minorHAnsi"/>
          <w:sz w:val="20"/>
          <w:szCs w:val="20"/>
        </w:rPr>
        <w:t>will die due to chronic diseases.</w:t>
      </w:r>
      <w:r w:rsidR="00E86AD1">
        <w:rPr>
          <w:rStyle w:val="FootnoteReference"/>
          <w:rFonts w:cstheme="minorHAnsi"/>
          <w:sz w:val="20"/>
          <w:szCs w:val="20"/>
        </w:rPr>
        <w:footnoteReference w:id="2"/>
      </w:r>
      <w:r w:rsidR="007D0052">
        <w:rPr>
          <w:rFonts w:cstheme="minorHAnsi"/>
          <w:sz w:val="20"/>
          <w:szCs w:val="20"/>
        </w:rPr>
        <w:t xml:space="preserve"> </w:t>
      </w:r>
      <w:r w:rsidR="009E3E45" w:rsidRPr="00457A3B">
        <w:rPr>
          <w:rFonts w:cstheme="minorHAnsi"/>
          <w:sz w:val="20"/>
          <w:szCs w:val="20"/>
        </w:rPr>
        <w:t>These chronic diseases include c</w:t>
      </w:r>
      <w:r w:rsidR="009E3E45">
        <w:rPr>
          <w:rFonts w:cstheme="minorHAnsi"/>
          <w:sz w:val="20"/>
          <w:szCs w:val="20"/>
        </w:rPr>
        <w:t xml:space="preserve">ardiovascular disease </w:t>
      </w:r>
      <w:r w:rsidR="001463E3">
        <w:rPr>
          <w:rFonts w:cstheme="minorHAnsi"/>
          <w:sz w:val="20"/>
          <w:szCs w:val="20"/>
        </w:rPr>
        <w:t>and stroke</w:t>
      </w:r>
      <w:r w:rsidR="009E3E45" w:rsidRPr="00457A3B">
        <w:rPr>
          <w:rFonts w:cstheme="minorHAnsi"/>
          <w:sz w:val="20"/>
          <w:szCs w:val="20"/>
        </w:rPr>
        <w:t xml:space="preserve">, cancer, type 2 diabetes, chronic kidney </w:t>
      </w:r>
      <w:r w:rsidR="009E3E45" w:rsidRPr="00457A3B">
        <w:rPr>
          <w:rFonts w:cstheme="minorHAnsi"/>
          <w:sz w:val="20"/>
          <w:szCs w:val="20"/>
        </w:rPr>
        <w:lastRenderedPageBreak/>
        <w:t xml:space="preserve">disease and respiratory conditions such as asthma and chronic obstructive pulmonary </w:t>
      </w:r>
      <w:proofErr w:type="gramStart"/>
      <w:r w:rsidR="009E3E45" w:rsidRPr="00457A3B">
        <w:rPr>
          <w:rFonts w:cstheme="minorHAnsi"/>
          <w:sz w:val="20"/>
          <w:szCs w:val="20"/>
        </w:rPr>
        <w:t>disease.</w:t>
      </w:r>
      <w:r w:rsidR="009E3E45" w:rsidRPr="00457A3B">
        <w:rPr>
          <w:rStyle w:val="FootnoteReference"/>
          <w:rFonts w:cstheme="minorHAnsi"/>
          <w:sz w:val="20"/>
          <w:szCs w:val="20"/>
        </w:rPr>
        <w:footnoteReference w:id="3"/>
      </w:r>
      <w:r w:rsidR="009E3E45" w:rsidRPr="00457A3B">
        <w:rPr>
          <w:rFonts w:cstheme="minorHAnsi"/>
          <w:sz w:val="20"/>
          <w:szCs w:val="20"/>
          <w:vertAlign w:val="superscript"/>
        </w:rPr>
        <w:t>,</w:t>
      </w:r>
      <w:r w:rsidR="009E3E45" w:rsidRPr="00457A3B">
        <w:rPr>
          <w:rStyle w:val="FootnoteReference"/>
          <w:rFonts w:cstheme="minorHAnsi"/>
          <w:sz w:val="20"/>
          <w:szCs w:val="20"/>
        </w:rPr>
        <w:footnoteReference w:id="4"/>
      </w:r>
      <w:r w:rsidR="009E3E45" w:rsidRPr="00457A3B">
        <w:rPr>
          <w:rFonts w:cstheme="minorHAnsi"/>
          <w:sz w:val="20"/>
          <w:szCs w:val="20"/>
          <w:vertAlign w:val="superscript"/>
        </w:rPr>
        <w:t>,</w:t>
      </w:r>
      <w:proofErr w:type="gramEnd"/>
      <w:r w:rsidR="009E3E45" w:rsidRPr="00457A3B">
        <w:rPr>
          <w:rStyle w:val="FootnoteReference"/>
          <w:rFonts w:cstheme="minorHAnsi"/>
          <w:sz w:val="20"/>
          <w:szCs w:val="20"/>
        </w:rPr>
        <w:footnoteReference w:id="5"/>
      </w:r>
      <w:r w:rsidR="009E3E45" w:rsidRPr="00457A3B">
        <w:rPr>
          <w:rFonts w:cstheme="minorHAnsi"/>
          <w:sz w:val="20"/>
          <w:szCs w:val="20"/>
        </w:rPr>
        <w:t xml:space="preserve"> </w:t>
      </w:r>
      <w:r w:rsidR="009E3E45">
        <w:rPr>
          <w:rFonts w:cstheme="minorHAnsi"/>
          <w:sz w:val="20"/>
          <w:szCs w:val="20"/>
        </w:rPr>
        <w:t xml:space="preserve"> </w:t>
      </w:r>
      <w:r w:rsidR="00AB2ECF">
        <w:rPr>
          <w:rFonts w:cstheme="minorHAnsi"/>
          <w:sz w:val="20"/>
          <w:szCs w:val="20"/>
        </w:rPr>
        <w:t>Nearly 60</w:t>
      </w:r>
      <w:r w:rsidR="005D61AD">
        <w:rPr>
          <w:rFonts w:cstheme="minorHAnsi"/>
          <w:sz w:val="20"/>
          <w:szCs w:val="20"/>
        </w:rPr>
        <w:t>% of people with a mental illness also</w:t>
      </w:r>
      <w:r w:rsidR="00AB2ECF">
        <w:rPr>
          <w:rFonts w:cstheme="minorHAnsi"/>
          <w:sz w:val="20"/>
          <w:szCs w:val="20"/>
        </w:rPr>
        <w:t xml:space="preserve"> have at least one or more other chronic diseases</w:t>
      </w:r>
      <w:r w:rsidR="005D61AD">
        <w:rPr>
          <w:rFonts w:cstheme="minorHAnsi"/>
          <w:sz w:val="20"/>
          <w:szCs w:val="20"/>
        </w:rPr>
        <w:t>.</w:t>
      </w:r>
      <w:r w:rsidR="00AB2ECF">
        <w:rPr>
          <w:rStyle w:val="FootnoteReference"/>
          <w:rFonts w:cstheme="minorHAnsi"/>
          <w:sz w:val="20"/>
          <w:szCs w:val="20"/>
        </w:rPr>
        <w:footnoteReference w:id="6"/>
      </w:r>
      <w:r w:rsidR="005D61AD">
        <w:rPr>
          <w:rFonts w:cstheme="minorHAnsi"/>
          <w:sz w:val="20"/>
          <w:szCs w:val="20"/>
        </w:rPr>
        <w:t xml:space="preserve"> </w:t>
      </w:r>
    </w:p>
    <w:p w14:paraId="4FFAE2B9" w14:textId="52023C30" w:rsidR="00DC77D1" w:rsidRPr="00457A3B" w:rsidRDefault="00722338" w:rsidP="00DC77D1">
      <w:pPr>
        <w:spacing w:before="100" w:beforeAutospacing="1"/>
        <w:rPr>
          <w:rFonts w:cstheme="minorHAnsi"/>
          <w:sz w:val="20"/>
          <w:szCs w:val="20"/>
        </w:rPr>
      </w:pPr>
      <w:r>
        <w:rPr>
          <w:rFonts w:cstheme="minorHAnsi"/>
          <w:sz w:val="20"/>
          <w:szCs w:val="20"/>
        </w:rPr>
        <w:t xml:space="preserve">Many of </w:t>
      </w:r>
      <w:r w:rsidR="004C6519">
        <w:rPr>
          <w:rFonts w:cstheme="minorHAnsi"/>
          <w:sz w:val="20"/>
          <w:szCs w:val="20"/>
        </w:rPr>
        <w:t>t</w:t>
      </w:r>
      <w:r w:rsidR="00E0085B">
        <w:rPr>
          <w:rFonts w:cstheme="minorHAnsi"/>
          <w:sz w:val="20"/>
          <w:szCs w:val="20"/>
        </w:rPr>
        <w:t xml:space="preserve">hese chronic diseases share multiple risk factors, </w:t>
      </w:r>
      <w:r w:rsidR="007362B4">
        <w:rPr>
          <w:rFonts w:cstheme="minorHAnsi"/>
          <w:sz w:val="20"/>
          <w:szCs w:val="20"/>
        </w:rPr>
        <w:t xml:space="preserve">such as </w:t>
      </w:r>
      <w:r w:rsidR="00E0085B">
        <w:rPr>
          <w:rFonts w:cstheme="minorHAnsi"/>
          <w:sz w:val="20"/>
          <w:szCs w:val="20"/>
        </w:rPr>
        <w:t>smoking</w:t>
      </w:r>
      <w:r w:rsidR="000061DF">
        <w:rPr>
          <w:rFonts w:cstheme="minorHAnsi"/>
          <w:sz w:val="20"/>
          <w:szCs w:val="20"/>
        </w:rPr>
        <w:t xml:space="preserve">, overweight and obesity, </w:t>
      </w:r>
      <w:r w:rsidR="00FB1583">
        <w:rPr>
          <w:rFonts w:cstheme="minorHAnsi"/>
          <w:sz w:val="20"/>
          <w:szCs w:val="20"/>
        </w:rPr>
        <w:t>poor diet</w:t>
      </w:r>
      <w:r w:rsidR="004C6519">
        <w:rPr>
          <w:rFonts w:cstheme="minorHAnsi"/>
          <w:sz w:val="20"/>
          <w:szCs w:val="20"/>
        </w:rPr>
        <w:t xml:space="preserve">, </w:t>
      </w:r>
      <w:r w:rsidR="00FB1583">
        <w:rPr>
          <w:rFonts w:cstheme="minorHAnsi"/>
          <w:sz w:val="20"/>
          <w:szCs w:val="20"/>
        </w:rPr>
        <w:t>physical inactivity</w:t>
      </w:r>
      <w:r w:rsidR="004C6519">
        <w:rPr>
          <w:rFonts w:cstheme="minorHAnsi"/>
          <w:sz w:val="20"/>
          <w:szCs w:val="20"/>
        </w:rPr>
        <w:t xml:space="preserve"> and alcohol consumption.</w:t>
      </w:r>
      <w:r w:rsidR="00E0085B">
        <w:rPr>
          <w:rFonts w:cstheme="minorHAnsi"/>
          <w:sz w:val="20"/>
          <w:szCs w:val="20"/>
        </w:rPr>
        <w:t xml:space="preserve"> People with a mental illness have a much higher </w:t>
      </w:r>
      <w:r w:rsidR="0040434D">
        <w:rPr>
          <w:rFonts w:cstheme="minorHAnsi"/>
          <w:sz w:val="20"/>
          <w:szCs w:val="20"/>
        </w:rPr>
        <w:t>prevalence</w:t>
      </w:r>
      <w:r w:rsidR="00E0085B">
        <w:rPr>
          <w:rFonts w:cstheme="minorHAnsi"/>
          <w:sz w:val="20"/>
          <w:szCs w:val="20"/>
        </w:rPr>
        <w:t xml:space="preserve"> of these risk factors</w:t>
      </w:r>
      <w:r w:rsidR="00353070">
        <w:rPr>
          <w:rFonts w:cstheme="minorHAnsi"/>
          <w:sz w:val="20"/>
          <w:szCs w:val="20"/>
        </w:rPr>
        <w:t xml:space="preserve"> </w:t>
      </w:r>
      <w:r w:rsidR="00E0085B">
        <w:rPr>
          <w:rFonts w:cstheme="minorHAnsi"/>
          <w:sz w:val="20"/>
          <w:szCs w:val="20"/>
        </w:rPr>
        <w:t>compared to the general population, contributing significantly to the disproportionate chronic disease burden. In fact, e</w:t>
      </w:r>
      <w:r w:rsidR="00DC77D1" w:rsidRPr="00457A3B">
        <w:rPr>
          <w:rFonts w:cstheme="minorHAnsi"/>
          <w:sz w:val="20"/>
          <w:szCs w:val="20"/>
        </w:rPr>
        <w:t>vidence suggests that people with a</w:t>
      </w:r>
      <w:r w:rsidR="0056264A">
        <w:rPr>
          <w:rFonts w:cstheme="minorHAnsi"/>
          <w:sz w:val="20"/>
          <w:szCs w:val="20"/>
        </w:rPr>
        <w:t xml:space="preserve"> serious</w:t>
      </w:r>
      <w:r w:rsidR="00DC77D1" w:rsidRPr="00457A3B">
        <w:rPr>
          <w:rFonts w:cstheme="minorHAnsi"/>
          <w:sz w:val="20"/>
          <w:szCs w:val="20"/>
        </w:rPr>
        <w:t xml:space="preserve"> mental illness are</w:t>
      </w:r>
      <w:r w:rsidR="00CE6F26">
        <w:rPr>
          <w:rFonts w:cstheme="minorHAnsi"/>
          <w:sz w:val="20"/>
          <w:szCs w:val="20"/>
        </w:rPr>
        <w:t>:</w:t>
      </w:r>
      <w:r w:rsidR="00305EAB">
        <w:rPr>
          <w:rStyle w:val="FootnoteReference"/>
          <w:rFonts w:cstheme="minorHAnsi"/>
          <w:sz w:val="20"/>
          <w:szCs w:val="20"/>
        </w:rPr>
        <w:footnoteReference w:id="7"/>
      </w:r>
      <w:r w:rsidR="00DC77D1" w:rsidRPr="00457A3B">
        <w:rPr>
          <w:rFonts w:cstheme="minorHAnsi"/>
          <w:sz w:val="20"/>
          <w:szCs w:val="20"/>
        </w:rPr>
        <w:t xml:space="preserve"> </w:t>
      </w:r>
    </w:p>
    <w:p w14:paraId="66D8B729" w14:textId="77777777" w:rsidR="0056264A" w:rsidRDefault="00DC77D1" w:rsidP="00DC77D1">
      <w:pPr>
        <w:pStyle w:val="ListParagraph"/>
        <w:numPr>
          <w:ilvl w:val="0"/>
          <w:numId w:val="1"/>
        </w:numPr>
        <w:spacing w:before="100" w:beforeAutospacing="1"/>
        <w:rPr>
          <w:rFonts w:cstheme="minorHAnsi"/>
          <w:sz w:val="20"/>
          <w:szCs w:val="20"/>
        </w:rPr>
      </w:pPr>
      <w:r w:rsidRPr="0056264A">
        <w:rPr>
          <w:rFonts w:cstheme="minorHAnsi"/>
          <w:sz w:val="20"/>
          <w:szCs w:val="20"/>
        </w:rPr>
        <w:t xml:space="preserve">Six times more likely to die from cardiovascular disease </w:t>
      </w:r>
    </w:p>
    <w:p w14:paraId="22F78593" w14:textId="77777777" w:rsidR="0056264A" w:rsidRDefault="0056264A" w:rsidP="00DC77D1">
      <w:pPr>
        <w:pStyle w:val="ListParagraph"/>
        <w:numPr>
          <w:ilvl w:val="0"/>
          <w:numId w:val="1"/>
        </w:numPr>
        <w:spacing w:before="100" w:beforeAutospacing="1"/>
        <w:rPr>
          <w:rFonts w:cstheme="minorHAnsi"/>
          <w:sz w:val="20"/>
          <w:szCs w:val="20"/>
        </w:rPr>
      </w:pPr>
      <w:r>
        <w:rPr>
          <w:rFonts w:cstheme="minorHAnsi"/>
          <w:sz w:val="20"/>
          <w:szCs w:val="20"/>
        </w:rPr>
        <w:t xml:space="preserve">Two to three times more likely to be diagnosed with type 2 diabetes </w:t>
      </w:r>
    </w:p>
    <w:p w14:paraId="0CCC1E8A" w14:textId="77777777" w:rsidR="00DC77D1" w:rsidRPr="0056264A" w:rsidRDefault="00DC77D1" w:rsidP="00DC77D1">
      <w:pPr>
        <w:pStyle w:val="ListParagraph"/>
        <w:numPr>
          <w:ilvl w:val="0"/>
          <w:numId w:val="1"/>
        </w:numPr>
        <w:spacing w:before="100" w:beforeAutospacing="1"/>
        <w:rPr>
          <w:rFonts w:cstheme="minorHAnsi"/>
          <w:sz w:val="20"/>
          <w:szCs w:val="20"/>
        </w:rPr>
      </w:pPr>
      <w:r w:rsidRPr="0056264A">
        <w:rPr>
          <w:rFonts w:cstheme="minorHAnsi"/>
          <w:sz w:val="20"/>
          <w:szCs w:val="20"/>
        </w:rPr>
        <w:t xml:space="preserve">More likely to be diagnosed with a respiratory disease and type 2 diabetes or have a stroke at a younger age (under 55) </w:t>
      </w:r>
    </w:p>
    <w:p w14:paraId="0DBC4836" w14:textId="77777777" w:rsidR="00DC77D1" w:rsidRDefault="00DC77D1" w:rsidP="00DC77D1">
      <w:pPr>
        <w:pStyle w:val="ListParagraph"/>
        <w:numPr>
          <w:ilvl w:val="0"/>
          <w:numId w:val="1"/>
        </w:numPr>
        <w:spacing w:before="100" w:beforeAutospacing="1"/>
        <w:rPr>
          <w:rFonts w:cstheme="minorHAnsi"/>
          <w:sz w:val="20"/>
          <w:szCs w:val="20"/>
        </w:rPr>
      </w:pPr>
      <w:r w:rsidRPr="00457A3B">
        <w:rPr>
          <w:rFonts w:cstheme="minorHAnsi"/>
          <w:sz w:val="20"/>
          <w:szCs w:val="20"/>
        </w:rPr>
        <w:t xml:space="preserve">90% more likely to be diagnosed with bowel cancer (particularly if they have schizophrenia) </w:t>
      </w:r>
    </w:p>
    <w:p w14:paraId="0B2AFC50" w14:textId="77777777" w:rsidR="0056264A" w:rsidRDefault="0056264A" w:rsidP="00DC77D1">
      <w:pPr>
        <w:pStyle w:val="ListParagraph"/>
        <w:numPr>
          <w:ilvl w:val="0"/>
          <w:numId w:val="1"/>
        </w:numPr>
        <w:spacing w:before="100" w:beforeAutospacing="1"/>
        <w:rPr>
          <w:rFonts w:cstheme="minorHAnsi"/>
          <w:sz w:val="20"/>
          <w:szCs w:val="20"/>
        </w:rPr>
      </w:pPr>
      <w:r>
        <w:rPr>
          <w:rFonts w:cstheme="minorHAnsi"/>
          <w:sz w:val="20"/>
          <w:szCs w:val="20"/>
        </w:rPr>
        <w:t>42% more likely to be diagnosed with breast cancer (in women with schizophrenia)</w:t>
      </w:r>
      <w:r w:rsidR="00305EAB">
        <w:rPr>
          <w:rFonts w:cstheme="minorHAnsi"/>
          <w:sz w:val="20"/>
          <w:szCs w:val="20"/>
        </w:rPr>
        <w:t xml:space="preserve"> </w:t>
      </w:r>
    </w:p>
    <w:p w14:paraId="0B1E417D" w14:textId="7102328A" w:rsidR="00824DD2" w:rsidRPr="00457A3B" w:rsidRDefault="005F2B4B" w:rsidP="00824DD2">
      <w:pPr>
        <w:spacing w:before="100" w:beforeAutospacing="1"/>
        <w:rPr>
          <w:rFonts w:cstheme="minorHAnsi"/>
          <w:sz w:val="20"/>
          <w:szCs w:val="20"/>
        </w:rPr>
      </w:pPr>
      <w:r w:rsidRPr="00457A3B">
        <w:rPr>
          <w:rFonts w:cstheme="minorHAnsi"/>
          <w:sz w:val="20"/>
          <w:szCs w:val="20"/>
        </w:rPr>
        <w:t>The A</w:t>
      </w:r>
      <w:r w:rsidR="00824DD2" w:rsidRPr="00457A3B">
        <w:rPr>
          <w:rFonts w:cstheme="minorHAnsi"/>
          <w:sz w:val="20"/>
          <w:szCs w:val="20"/>
        </w:rPr>
        <w:t xml:space="preserve">CDPA and Quit </w:t>
      </w:r>
      <w:r w:rsidRPr="00457A3B">
        <w:rPr>
          <w:rFonts w:cstheme="minorHAnsi"/>
          <w:sz w:val="20"/>
          <w:szCs w:val="20"/>
        </w:rPr>
        <w:t xml:space="preserve">advocate that the </w:t>
      </w:r>
      <w:r w:rsidR="0040434D">
        <w:rPr>
          <w:rFonts w:cstheme="minorHAnsi"/>
          <w:sz w:val="20"/>
          <w:szCs w:val="20"/>
        </w:rPr>
        <w:t>Inquiry</w:t>
      </w:r>
      <w:r w:rsidRPr="00457A3B">
        <w:rPr>
          <w:rFonts w:cstheme="minorHAnsi"/>
          <w:sz w:val="20"/>
          <w:szCs w:val="20"/>
        </w:rPr>
        <w:t xml:space="preserve"> </w:t>
      </w:r>
      <w:r w:rsidR="00824DD2" w:rsidRPr="00457A3B">
        <w:rPr>
          <w:rFonts w:cstheme="minorHAnsi"/>
          <w:sz w:val="20"/>
          <w:szCs w:val="20"/>
        </w:rPr>
        <w:t>address</w:t>
      </w:r>
      <w:r w:rsidRPr="00457A3B">
        <w:rPr>
          <w:rFonts w:cstheme="minorHAnsi"/>
          <w:sz w:val="20"/>
          <w:szCs w:val="20"/>
        </w:rPr>
        <w:t>es</w:t>
      </w:r>
      <w:r w:rsidR="00824DD2" w:rsidRPr="00457A3B">
        <w:rPr>
          <w:rFonts w:cstheme="minorHAnsi"/>
          <w:sz w:val="20"/>
          <w:szCs w:val="20"/>
        </w:rPr>
        <w:t xml:space="preserve"> </w:t>
      </w:r>
      <w:r w:rsidR="00AB72A2">
        <w:rPr>
          <w:rFonts w:cstheme="minorHAnsi"/>
          <w:sz w:val="20"/>
          <w:szCs w:val="20"/>
        </w:rPr>
        <w:t>smoking</w:t>
      </w:r>
      <w:r w:rsidR="00691917">
        <w:rPr>
          <w:rFonts w:cstheme="minorHAnsi"/>
          <w:sz w:val="20"/>
          <w:szCs w:val="20"/>
        </w:rPr>
        <w:t xml:space="preserve">, </w:t>
      </w:r>
      <w:r w:rsidR="00472845">
        <w:rPr>
          <w:rFonts w:cstheme="minorHAnsi"/>
          <w:sz w:val="20"/>
          <w:szCs w:val="20"/>
        </w:rPr>
        <w:t>overweight and obesity, poor diet</w:t>
      </w:r>
      <w:r w:rsidR="0084188D">
        <w:rPr>
          <w:rFonts w:cstheme="minorHAnsi"/>
          <w:sz w:val="20"/>
          <w:szCs w:val="20"/>
        </w:rPr>
        <w:t xml:space="preserve">, </w:t>
      </w:r>
      <w:r w:rsidR="00472845">
        <w:rPr>
          <w:rFonts w:cstheme="minorHAnsi"/>
          <w:sz w:val="20"/>
          <w:szCs w:val="20"/>
        </w:rPr>
        <w:t>physical inactivity</w:t>
      </w:r>
      <w:r w:rsidR="0084188D">
        <w:rPr>
          <w:rFonts w:cstheme="minorHAnsi"/>
          <w:sz w:val="20"/>
          <w:szCs w:val="20"/>
        </w:rPr>
        <w:t xml:space="preserve"> and alcohol consumption</w:t>
      </w:r>
      <w:r w:rsidR="006C315D">
        <w:rPr>
          <w:rFonts w:cstheme="minorHAnsi"/>
          <w:sz w:val="20"/>
          <w:szCs w:val="20"/>
        </w:rPr>
        <w:t>,</w:t>
      </w:r>
      <w:r w:rsidR="00824DD2" w:rsidRPr="00457A3B">
        <w:rPr>
          <w:rFonts w:cstheme="minorHAnsi"/>
          <w:sz w:val="20"/>
          <w:szCs w:val="20"/>
        </w:rPr>
        <w:t xml:space="preserve"> as </w:t>
      </w:r>
      <w:r w:rsidR="00A075CE">
        <w:rPr>
          <w:rFonts w:cstheme="minorHAnsi"/>
          <w:sz w:val="20"/>
          <w:szCs w:val="20"/>
        </w:rPr>
        <w:t>key</w:t>
      </w:r>
      <w:r w:rsidR="006C315D">
        <w:rPr>
          <w:rFonts w:cstheme="minorHAnsi"/>
          <w:sz w:val="20"/>
          <w:szCs w:val="20"/>
        </w:rPr>
        <w:t xml:space="preserve"> </w:t>
      </w:r>
      <w:r w:rsidR="008F6BC4">
        <w:rPr>
          <w:rFonts w:cstheme="minorHAnsi"/>
          <w:sz w:val="20"/>
          <w:szCs w:val="20"/>
        </w:rPr>
        <w:t>modifiable risk factors for</w:t>
      </w:r>
      <w:r w:rsidR="006C315D">
        <w:rPr>
          <w:rFonts w:cstheme="minorHAnsi"/>
          <w:sz w:val="20"/>
          <w:szCs w:val="20"/>
        </w:rPr>
        <w:t xml:space="preserve"> </w:t>
      </w:r>
      <w:r w:rsidR="00824DD2" w:rsidRPr="00457A3B">
        <w:rPr>
          <w:rFonts w:cstheme="minorHAnsi"/>
          <w:sz w:val="20"/>
          <w:szCs w:val="20"/>
        </w:rPr>
        <w:t>chronic disease</w:t>
      </w:r>
      <w:r w:rsidR="00AB72A2">
        <w:rPr>
          <w:rFonts w:cstheme="minorHAnsi"/>
          <w:sz w:val="20"/>
          <w:szCs w:val="20"/>
        </w:rPr>
        <w:t xml:space="preserve">. </w:t>
      </w:r>
    </w:p>
    <w:p w14:paraId="22C30345" w14:textId="77777777" w:rsidR="005F2B4B" w:rsidRDefault="001A44FF" w:rsidP="00824DD2">
      <w:pPr>
        <w:spacing w:before="100" w:beforeAutospacing="1"/>
        <w:rPr>
          <w:rFonts w:cstheme="minorHAnsi"/>
          <w:i/>
          <w:sz w:val="20"/>
          <w:szCs w:val="20"/>
          <w:u w:val="single"/>
        </w:rPr>
      </w:pPr>
      <w:r>
        <w:rPr>
          <w:rFonts w:cstheme="minorHAnsi"/>
          <w:i/>
          <w:sz w:val="20"/>
          <w:szCs w:val="20"/>
          <w:u w:val="single"/>
        </w:rPr>
        <w:t>Tobacco s</w:t>
      </w:r>
      <w:r w:rsidR="00824DD2" w:rsidRPr="0056264A">
        <w:rPr>
          <w:rFonts w:cstheme="minorHAnsi"/>
          <w:i/>
          <w:sz w:val="20"/>
          <w:szCs w:val="20"/>
          <w:u w:val="single"/>
        </w:rPr>
        <w:t>moking</w:t>
      </w:r>
    </w:p>
    <w:p w14:paraId="2E614403" w14:textId="33A301D4" w:rsidR="00824DD2" w:rsidRPr="002A3EE8" w:rsidRDefault="00551AFB" w:rsidP="00824DD2">
      <w:pPr>
        <w:spacing w:before="100" w:beforeAutospacing="1"/>
        <w:rPr>
          <w:rFonts w:cstheme="minorHAnsi"/>
          <w:sz w:val="20"/>
          <w:szCs w:val="20"/>
        </w:rPr>
      </w:pPr>
      <w:r w:rsidRPr="002A3EE8">
        <w:rPr>
          <w:rFonts w:cstheme="minorHAnsi"/>
          <w:sz w:val="20"/>
          <w:szCs w:val="20"/>
        </w:rPr>
        <w:t xml:space="preserve">Despite decreasing smoking rates in the general population, </w:t>
      </w:r>
      <w:r w:rsidR="00DE66A1">
        <w:rPr>
          <w:rFonts w:cstheme="minorHAnsi"/>
          <w:sz w:val="20"/>
          <w:szCs w:val="20"/>
        </w:rPr>
        <w:t>they</w:t>
      </w:r>
      <w:r w:rsidRPr="002A3EE8">
        <w:rPr>
          <w:rFonts w:cstheme="minorHAnsi"/>
          <w:sz w:val="20"/>
          <w:szCs w:val="20"/>
        </w:rPr>
        <w:t xml:space="preserve"> remain unacceptably high in people with a mental illness</w:t>
      </w:r>
      <w:r w:rsidR="00455950" w:rsidRPr="002A3EE8">
        <w:rPr>
          <w:rFonts w:cstheme="minorHAnsi"/>
          <w:sz w:val="20"/>
          <w:szCs w:val="20"/>
        </w:rPr>
        <w:t xml:space="preserve">. </w:t>
      </w:r>
      <w:r w:rsidR="00824DD2" w:rsidRPr="002A3EE8">
        <w:rPr>
          <w:rFonts w:cstheme="minorHAnsi"/>
          <w:sz w:val="20"/>
          <w:szCs w:val="20"/>
        </w:rPr>
        <w:t>Compared to the general population, women with a mental illness are nearly 70% more likely to be smokers, and men with a mental illness are nearly 40% more likely</w:t>
      </w:r>
      <w:r w:rsidR="0040434D" w:rsidRPr="002A3EE8">
        <w:rPr>
          <w:rFonts w:cstheme="minorHAnsi"/>
          <w:sz w:val="20"/>
          <w:szCs w:val="20"/>
        </w:rPr>
        <w:t>.</w:t>
      </w:r>
      <w:r w:rsidR="00305EAB">
        <w:rPr>
          <w:rStyle w:val="FootnoteReference"/>
          <w:rFonts w:cstheme="minorHAnsi"/>
          <w:sz w:val="20"/>
          <w:szCs w:val="20"/>
        </w:rPr>
        <w:footnoteReference w:id="8"/>
      </w:r>
      <w:r w:rsidR="00824DD2" w:rsidRPr="002A3EE8">
        <w:rPr>
          <w:rFonts w:cstheme="minorHAnsi"/>
          <w:sz w:val="20"/>
          <w:szCs w:val="20"/>
        </w:rPr>
        <w:t xml:space="preserve"> Smoking </w:t>
      </w:r>
      <w:r w:rsidR="0044059B" w:rsidRPr="002A3EE8">
        <w:rPr>
          <w:rFonts w:cstheme="minorHAnsi"/>
          <w:sz w:val="20"/>
          <w:szCs w:val="20"/>
        </w:rPr>
        <w:t xml:space="preserve">prevalence tends to increase alongside the severity of the </w:t>
      </w:r>
      <w:r w:rsidR="00DE66A1">
        <w:rPr>
          <w:rFonts w:cstheme="minorHAnsi"/>
          <w:sz w:val="20"/>
          <w:szCs w:val="20"/>
        </w:rPr>
        <w:t>mental illness</w:t>
      </w:r>
      <w:r w:rsidR="0044059B" w:rsidRPr="002A3EE8">
        <w:rPr>
          <w:rStyle w:val="FootnoteReference"/>
          <w:rFonts w:cstheme="minorHAnsi"/>
          <w:sz w:val="20"/>
          <w:szCs w:val="20"/>
        </w:rPr>
        <w:footnoteReference w:id="9"/>
      </w:r>
      <w:r w:rsidR="0044059B" w:rsidRPr="002A3EE8">
        <w:rPr>
          <w:rFonts w:cstheme="minorHAnsi"/>
          <w:sz w:val="20"/>
          <w:szCs w:val="20"/>
        </w:rPr>
        <w:t xml:space="preserve"> and rates</w:t>
      </w:r>
      <w:r w:rsidR="00824DD2" w:rsidRPr="002A3EE8">
        <w:rPr>
          <w:rFonts w:cstheme="minorHAnsi"/>
          <w:sz w:val="20"/>
          <w:szCs w:val="20"/>
        </w:rPr>
        <w:t xml:space="preserve"> also vary by diagnosis – with 25% of people with depression being daily smokers, to up to 47% of people with schizophrenia</w:t>
      </w:r>
      <w:r w:rsidR="00824DD2" w:rsidRPr="002A3EE8">
        <w:rPr>
          <w:rStyle w:val="FootnoteReference"/>
          <w:rFonts w:cstheme="minorHAnsi"/>
          <w:sz w:val="20"/>
          <w:szCs w:val="20"/>
        </w:rPr>
        <w:footnoteReference w:id="10"/>
      </w:r>
      <w:r w:rsidR="00824DD2" w:rsidRPr="002A3EE8">
        <w:rPr>
          <w:rFonts w:cstheme="minorHAnsi"/>
          <w:sz w:val="20"/>
          <w:szCs w:val="20"/>
        </w:rPr>
        <w:t xml:space="preserve"> (compared with </w:t>
      </w:r>
      <w:r w:rsidR="00D36B23">
        <w:rPr>
          <w:rFonts w:cstheme="minorHAnsi"/>
          <w:sz w:val="20"/>
          <w:szCs w:val="20"/>
        </w:rPr>
        <w:t>12.2</w:t>
      </w:r>
      <w:r w:rsidR="00824DD2" w:rsidRPr="002A3EE8">
        <w:rPr>
          <w:rFonts w:cstheme="minorHAnsi"/>
          <w:sz w:val="20"/>
          <w:szCs w:val="20"/>
        </w:rPr>
        <w:t>% of the general population</w:t>
      </w:r>
      <w:r w:rsidR="00824DD2" w:rsidRPr="002A3EE8">
        <w:rPr>
          <w:rStyle w:val="FootnoteReference"/>
          <w:rFonts w:cstheme="minorHAnsi"/>
          <w:sz w:val="20"/>
          <w:szCs w:val="20"/>
        </w:rPr>
        <w:footnoteReference w:id="11"/>
      </w:r>
      <w:r w:rsidR="00824DD2" w:rsidRPr="002A3EE8">
        <w:rPr>
          <w:rFonts w:cstheme="minorHAnsi"/>
          <w:sz w:val="20"/>
          <w:szCs w:val="20"/>
        </w:rPr>
        <w:t xml:space="preserve">). </w:t>
      </w:r>
      <w:r w:rsidR="002A3EE8" w:rsidRPr="002A3EE8">
        <w:rPr>
          <w:rFonts w:cstheme="minorHAnsi"/>
          <w:sz w:val="20"/>
          <w:szCs w:val="20"/>
        </w:rPr>
        <w:t xml:space="preserve">In two Australian studies </w:t>
      </w:r>
      <w:r w:rsidR="002A3EE8" w:rsidRPr="002A3EE8">
        <w:rPr>
          <w:sz w:val="20"/>
          <w:szCs w:val="20"/>
          <w:lang w:val="en"/>
        </w:rPr>
        <w:t>conducted 10 years apart both found that among people living with psychotic disorders, about 70% of men and 60% of women</w:t>
      </w:r>
      <w:r w:rsidR="00E10C68">
        <w:rPr>
          <w:sz w:val="20"/>
          <w:szCs w:val="20"/>
          <w:lang w:val="en"/>
        </w:rPr>
        <w:t xml:space="preserve"> smoked</w:t>
      </w:r>
      <w:r w:rsidR="002A3EE8" w:rsidRPr="002A3EE8">
        <w:rPr>
          <w:sz w:val="20"/>
          <w:szCs w:val="20"/>
          <w:lang w:val="en"/>
        </w:rPr>
        <w:t>.</w:t>
      </w:r>
      <w:r w:rsidR="002A3EE8" w:rsidRPr="002A3EE8">
        <w:rPr>
          <w:rStyle w:val="FootnoteReference"/>
          <w:sz w:val="20"/>
          <w:szCs w:val="20"/>
          <w:lang w:val="en"/>
        </w:rPr>
        <w:footnoteReference w:id="12"/>
      </w:r>
      <w:r w:rsidR="00256F36">
        <w:rPr>
          <w:sz w:val="20"/>
          <w:szCs w:val="20"/>
          <w:vertAlign w:val="superscript"/>
          <w:lang w:val="en"/>
        </w:rPr>
        <w:t>,</w:t>
      </w:r>
      <w:r w:rsidR="002A3EE8" w:rsidRPr="002A3EE8">
        <w:rPr>
          <w:rStyle w:val="FootnoteReference"/>
          <w:sz w:val="20"/>
          <w:szCs w:val="20"/>
          <w:lang w:val="en"/>
        </w:rPr>
        <w:footnoteReference w:id="13"/>
      </w:r>
    </w:p>
    <w:p w14:paraId="647AE7AD" w14:textId="77777777" w:rsidR="00824DD2" w:rsidRPr="002A3EE8" w:rsidRDefault="00824DD2" w:rsidP="00824DD2">
      <w:pPr>
        <w:spacing w:before="100" w:beforeAutospacing="1"/>
        <w:rPr>
          <w:rFonts w:cstheme="minorHAnsi"/>
          <w:sz w:val="20"/>
          <w:szCs w:val="20"/>
        </w:rPr>
      </w:pPr>
      <w:r w:rsidRPr="002A3EE8">
        <w:rPr>
          <w:rFonts w:cstheme="minorHAnsi"/>
          <w:sz w:val="20"/>
          <w:szCs w:val="20"/>
        </w:rPr>
        <w:t>In addition to increased mortality, smoking in people with</w:t>
      </w:r>
      <w:r w:rsidR="007B5F22" w:rsidRPr="002A3EE8">
        <w:rPr>
          <w:rFonts w:cstheme="minorHAnsi"/>
          <w:sz w:val="20"/>
          <w:szCs w:val="20"/>
        </w:rPr>
        <w:t xml:space="preserve"> a</w:t>
      </w:r>
      <w:r w:rsidRPr="002A3EE8">
        <w:rPr>
          <w:rFonts w:cstheme="minorHAnsi"/>
          <w:sz w:val="20"/>
          <w:szCs w:val="20"/>
        </w:rPr>
        <w:t xml:space="preserve"> mental illness has been associated with more psychiatric symptoms, increased hospitalisations, and higher required psychiatric medication dosages</w:t>
      </w:r>
      <w:r w:rsidRPr="002A3EE8">
        <w:rPr>
          <w:rStyle w:val="FootnoteReference"/>
          <w:rFonts w:cstheme="minorHAnsi"/>
          <w:sz w:val="20"/>
          <w:szCs w:val="20"/>
        </w:rPr>
        <w:footnoteReference w:id="14"/>
      </w:r>
      <w:r w:rsidRPr="002A3EE8">
        <w:rPr>
          <w:rFonts w:cstheme="minorHAnsi"/>
          <w:sz w:val="20"/>
          <w:szCs w:val="20"/>
        </w:rPr>
        <w:t xml:space="preserve"> </w:t>
      </w:r>
      <w:r w:rsidRPr="002A3EE8">
        <w:rPr>
          <w:rFonts w:cstheme="minorHAnsi"/>
          <w:sz w:val="20"/>
          <w:szCs w:val="20"/>
        </w:rPr>
        <w:lastRenderedPageBreak/>
        <w:t>(because components of tobacco smoke accelerate the metabolism of some antidepressant and antipsychotic medications</w:t>
      </w:r>
      <w:r w:rsidR="004E6283">
        <w:rPr>
          <w:rFonts w:cstheme="minorHAnsi"/>
          <w:sz w:val="20"/>
          <w:szCs w:val="20"/>
        </w:rPr>
        <w:t>).</w:t>
      </w:r>
      <w:r w:rsidRPr="002A3EE8">
        <w:rPr>
          <w:rStyle w:val="FootnoteReference"/>
          <w:rFonts w:cstheme="minorHAnsi"/>
          <w:sz w:val="20"/>
          <w:szCs w:val="20"/>
        </w:rPr>
        <w:footnoteReference w:id="15"/>
      </w:r>
      <w:r w:rsidRPr="002A3EE8">
        <w:rPr>
          <w:rFonts w:cstheme="minorHAnsi"/>
          <w:sz w:val="20"/>
          <w:szCs w:val="20"/>
        </w:rPr>
        <w:t xml:space="preserve"> Higher dosages</w:t>
      </w:r>
      <w:r w:rsidR="00161F82" w:rsidRPr="002A3EE8">
        <w:rPr>
          <w:rFonts w:cstheme="minorHAnsi"/>
          <w:sz w:val="20"/>
          <w:szCs w:val="20"/>
        </w:rPr>
        <w:t xml:space="preserve"> can</w:t>
      </w:r>
      <w:r w:rsidRPr="002A3EE8">
        <w:rPr>
          <w:rFonts w:cstheme="minorHAnsi"/>
          <w:sz w:val="20"/>
          <w:szCs w:val="20"/>
        </w:rPr>
        <w:t>, in turn, increase the risk of poor metabolic health.</w:t>
      </w:r>
    </w:p>
    <w:p w14:paraId="5A16C7B7" w14:textId="7837CE18" w:rsidR="003864D3" w:rsidRDefault="006428FC" w:rsidP="00824DD2">
      <w:pPr>
        <w:spacing w:before="100" w:beforeAutospacing="1"/>
        <w:rPr>
          <w:rFonts w:cstheme="minorHAnsi"/>
          <w:sz w:val="20"/>
          <w:szCs w:val="20"/>
        </w:rPr>
      </w:pPr>
      <w:r w:rsidRPr="002A3EE8">
        <w:rPr>
          <w:rFonts w:cstheme="minorHAnsi"/>
          <w:sz w:val="20"/>
          <w:szCs w:val="20"/>
        </w:rPr>
        <w:t>There is some evidence to suggest that, amongst people diagnosed with a mental illness such as psychosis, smoking increases the risk of suicidal behaviour.</w:t>
      </w:r>
      <w:r w:rsidRPr="002A3EE8">
        <w:rPr>
          <w:rStyle w:val="FootnoteReference"/>
          <w:rFonts w:cstheme="minorHAnsi"/>
          <w:sz w:val="20"/>
          <w:szCs w:val="20"/>
        </w:rPr>
        <w:footnoteReference w:id="16"/>
      </w:r>
      <w:r w:rsidRPr="002A3EE8">
        <w:rPr>
          <w:rFonts w:cstheme="minorHAnsi"/>
          <w:sz w:val="20"/>
          <w:szCs w:val="20"/>
        </w:rPr>
        <w:t xml:space="preserve"> Evidence has also shown that smoking can increase the risk of anxiety, depression and psychotic disorders including schizophrenia</w:t>
      </w:r>
      <w:proofErr w:type="gramStart"/>
      <w:r w:rsidRPr="002A3EE8">
        <w:rPr>
          <w:rFonts w:cstheme="minorHAnsi"/>
          <w:sz w:val="20"/>
          <w:szCs w:val="20"/>
        </w:rPr>
        <w:t>.</w:t>
      </w:r>
      <w:r w:rsidRPr="002A3EE8">
        <w:rPr>
          <w:rStyle w:val="FootnoteReference"/>
          <w:rFonts w:cstheme="minorHAnsi"/>
          <w:sz w:val="20"/>
          <w:szCs w:val="20"/>
        </w:rPr>
        <w:footnoteReference w:id="17"/>
      </w:r>
      <w:r w:rsidRPr="002A3EE8">
        <w:rPr>
          <w:rFonts w:cstheme="minorHAnsi"/>
          <w:sz w:val="20"/>
          <w:szCs w:val="20"/>
          <w:vertAlign w:val="superscript"/>
        </w:rPr>
        <w:t>,</w:t>
      </w:r>
      <w:proofErr w:type="gramEnd"/>
      <w:r w:rsidRPr="002A3EE8">
        <w:rPr>
          <w:rStyle w:val="FootnoteReference"/>
          <w:rFonts w:cstheme="minorHAnsi"/>
          <w:sz w:val="20"/>
          <w:szCs w:val="20"/>
        </w:rPr>
        <w:footnoteReference w:id="18"/>
      </w:r>
      <w:r w:rsidRPr="002A3EE8">
        <w:rPr>
          <w:rFonts w:cstheme="minorHAnsi"/>
          <w:sz w:val="20"/>
          <w:szCs w:val="20"/>
        </w:rPr>
        <w:t xml:space="preserve"> </w:t>
      </w:r>
    </w:p>
    <w:p w14:paraId="36F89897" w14:textId="5A8F81D7" w:rsidR="00824DD2" w:rsidRPr="0056264A" w:rsidRDefault="00D400CD" w:rsidP="00824DD2">
      <w:pPr>
        <w:spacing w:before="100" w:beforeAutospacing="1"/>
        <w:rPr>
          <w:rFonts w:cstheme="minorHAnsi"/>
          <w:i/>
          <w:sz w:val="20"/>
          <w:szCs w:val="20"/>
          <w:u w:val="single"/>
        </w:rPr>
      </w:pPr>
      <w:r>
        <w:rPr>
          <w:rFonts w:cstheme="minorHAnsi"/>
          <w:i/>
          <w:sz w:val="20"/>
          <w:szCs w:val="20"/>
          <w:u w:val="single"/>
        </w:rPr>
        <w:t>Overweight and obesity, poor diet</w:t>
      </w:r>
      <w:r w:rsidR="000C10CF">
        <w:rPr>
          <w:rFonts w:cstheme="minorHAnsi"/>
          <w:i/>
          <w:sz w:val="20"/>
          <w:szCs w:val="20"/>
          <w:u w:val="single"/>
        </w:rPr>
        <w:t xml:space="preserve"> and </w:t>
      </w:r>
      <w:r>
        <w:rPr>
          <w:rFonts w:cstheme="minorHAnsi"/>
          <w:i/>
          <w:sz w:val="20"/>
          <w:szCs w:val="20"/>
          <w:u w:val="single"/>
        </w:rPr>
        <w:t>physical inactivity</w:t>
      </w:r>
      <w:r w:rsidR="008A037D">
        <w:rPr>
          <w:rFonts w:cstheme="minorHAnsi"/>
          <w:i/>
          <w:sz w:val="20"/>
          <w:szCs w:val="20"/>
          <w:u w:val="single"/>
        </w:rPr>
        <w:t xml:space="preserve"> </w:t>
      </w:r>
    </w:p>
    <w:p w14:paraId="7A029BEA" w14:textId="2226BCA1" w:rsidR="00824DD2" w:rsidRPr="00457A3B" w:rsidRDefault="005E0DFD" w:rsidP="00824DD2">
      <w:pPr>
        <w:spacing w:before="100" w:beforeAutospacing="1"/>
        <w:rPr>
          <w:rFonts w:cstheme="minorHAnsi"/>
          <w:sz w:val="20"/>
          <w:szCs w:val="20"/>
        </w:rPr>
      </w:pPr>
      <w:r>
        <w:rPr>
          <w:rFonts w:cstheme="minorHAnsi"/>
          <w:sz w:val="20"/>
          <w:szCs w:val="20"/>
        </w:rPr>
        <w:t>Overweight and obesity, p</w:t>
      </w:r>
      <w:r w:rsidR="00824DD2" w:rsidRPr="00457A3B">
        <w:rPr>
          <w:rFonts w:cstheme="minorHAnsi"/>
          <w:sz w:val="20"/>
          <w:szCs w:val="20"/>
        </w:rPr>
        <w:t>oor diet</w:t>
      </w:r>
      <w:r>
        <w:rPr>
          <w:rFonts w:cstheme="minorHAnsi"/>
          <w:sz w:val="20"/>
          <w:szCs w:val="20"/>
        </w:rPr>
        <w:t xml:space="preserve"> and </w:t>
      </w:r>
      <w:r w:rsidR="00824DD2" w:rsidRPr="00457A3B">
        <w:rPr>
          <w:rFonts w:cstheme="minorHAnsi"/>
          <w:sz w:val="20"/>
          <w:szCs w:val="20"/>
        </w:rPr>
        <w:t xml:space="preserve">inadequate physical activity are risk factors for </w:t>
      </w:r>
      <w:r w:rsidR="00132DC7">
        <w:rPr>
          <w:rFonts w:cstheme="minorHAnsi"/>
          <w:sz w:val="20"/>
          <w:szCs w:val="20"/>
        </w:rPr>
        <w:t>heart</w:t>
      </w:r>
      <w:r w:rsidR="00132DC7" w:rsidRPr="00457A3B">
        <w:rPr>
          <w:rFonts w:cstheme="minorHAnsi"/>
          <w:sz w:val="20"/>
          <w:szCs w:val="20"/>
        </w:rPr>
        <w:t xml:space="preserve"> </w:t>
      </w:r>
      <w:r w:rsidR="00824DD2" w:rsidRPr="00457A3B">
        <w:rPr>
          <w:rFonts w:cstheme="minorHAnsi"/>
          <w:sz w:val="20"/>
          <w:szCs w:val="20"/>
        </w:rPr>
        <w:t>disease</w:t>
      </w:r>
      <w:r w:rsidR="00455950">
        <w:rPr>
          <w:rFonts w:cstheme="minorHAnsi"/>
          <w:sz w:val="20"/>
          <w:szCs w:val="20"/>
        </w:rPr>
        <w:t xml:space="preserve"> and stroke, chronic kidney disease, </w:t>
      </w:r>
      <w:r w:rsidR="00824DD2" w:rsidRPr="00457A3B">
        <w:rPr>
          <w:rFonts w:cstheme="minorHAnsi"/>
          <w:sz w:val="20"/>
          <w:szCs w:val="20"/>
        </w:rPr>
        <w:t>type 2 diabetes</w:t>
      </w:r>
      <w:r w:rsidR="00B97062">
        <w:rPr>
          <w:rFonts w:cstheme="minorHAnsi"/>
          <w:sz w:val="20"/>
          <w:szCs w:val="20"/>
        </w:rPr>
        <w:t xml:space="preserve"> and</w:t>
      </w:r>
      <w:r w:rsidR="00455950">
        <w:rPr>
          <w:rFonts w:cstheme="minorHAnsi"/>
          <w:sz w:val="20"/>
          <w:szCs w:val="20"/>
        </w:rPr>
        <w:t xml:space="preserve"> </w:t>
      </w:r>
      <w:r w:rsidR="003229E8">
        <w:rPr>
          <w:rFonts w:cstheme="minorHAnsi"/>
          <w:sz w:val="20"/>
          <w:szCs w:val="20"/>
        </w:rPr>
        <w:t xml:space="preserve">certain </w:t>
      </w:r>
      <w:r w:rsidR="00455950">
        <w:rPr>
          <w:rFonts w:cstheme="minorHAnsi"/>
          <w:sz w:val="20"/>
          <w:szCs w:val="20"/>
        </w:rPr>
        <w:t>cancer</w:t>
      </w:r>
      <w:r w:rsidR="003229E8">
        <w:rPr>
          <w:rFonts w:cstheme="minorHAnsi"/>
          <w:sz w:val="20"/>
          <w:szCs w:val="20"/>
        </w:rPr>
        <w:t>s</w:t>
      </w:r>
      <w:r w:rsidR="00824DD2" w:rsidRPr="00457A3B">
        <w:rPr>
          <w:rFonts w:cstheme="minorHAnsi"/>
          <w:sz w:val="20"/>
          <w:szCs w:val="20"/>
        </w:rPr>
        <w:t>. People experiencing serious mental illness may be between two and three times more likely to have type 2 diabetes and are more likely to die from cardiovascular disease regardless of smoking status.</w:t>
      </w:r>
      <w:r w:rsidR="003864D3">
        <w:rPr>
          <w:rStyle w:val="FootnoteReference"/>
          <w:rFonts w:cstheme="minorHAnsi"/>
          <w:sz w:val="20"/>
          <w:szCs w:val="20"/>
        </w:rPr>
        <w:footnoteReference w:id="19"/>
      </w:r>
      <w:r w:rsidR="00824DD2" w:rsidRPr="00457A3B">
        <w:rPr>
          <w:rFonts w:cstheme="minorHAnsi"/>
          <w:sz w:val="20"/>
          <w:szCs w:val="20"/>
        </w:rPr>
        <w:t xml:space="preserve"> </w:t>
      </w:r>
    </w:p>
    <w:p w14:paraId="51244FA6" w14:textId="431F1ED7" w:rsidR="00824DD2" w:rsidRDefault="00824DD2" w:rsidP="00824DD2">
      <w:pPr>
        <w:spacing w:before="100" w:beforeAutospacing="1"/>
        <w:rPr>
          <w:rFonts w:cstheme="minorHAnsi"/>
          <w:sz w:val="20"/>
          <w:szCs w:val="20"/>
        </w:rPr>
      </w:pPr>
      <w:r w:rsidRPr="00457A3B">
        <w:rPr>
          <w:rFonts w:cstheme="minorHAnsi"/>
          <w:sz w:val="20"/>
          <w:szCs w:val="20"/>
        </w:rPr>
        <w:t>Australians living with a mental illness are</w:t>
      </w:r>
      <w:r w:rsidR="00B97062">
        <w:rPr>
          <w:rFonts w:cstheme="minorHAnsi"/>
          <w:sz w:val="20"/>
          <w:szCs w:val="20"/>
        </w:rPr>
        <w:t xml:space="preserve"> also</w:t>
      </w:r>
      <w:r w:rsidRPr="00457A3B">
        <w:rPr>
          <w:rFonts w:cstheme="minorHAnsi"/>
          <w:sz w:val="20"/>
          <w:szCs w:val="20"/>
        </w:rPr>
        <w:t xml:space="preserve"> more likely to be sedentary. For example, national health survey data has shown that Australian men with a mental illness are 11% more likely and women 8% more likely to have physical activity levels under the recommended guidelines.</w:t>
      </w:r>
      <w:r w:rsidR="003864D3">
        <w:rPr>
          <w:rStyle w:val="FootnoteReference"/>
          <w:rFonts w:cstheme="minorHAnsi"/>
          <w:sz w:val="20"/>
          <w:szCs w:val="20"/>
        </w:rPr>
        <w:footnoteReference w:id="20"/>
      </w:r>
      <w:r w:rsidRPr="00457A3B">
        <w:rPr>
          <w:rFonts w:cstheme="minorHAnsi"/>
          <w:color w:val="FF0000"/>
          <w:sz w:val="20"/>
          <w:szCs w:val="20"/>
        </w:rPr>
        <w:t xml:space="preserve"> </w:t>
      </w:r>
      <w:r w:rsidR="00D67516">
        <w:rPr>
          <w:rFonts w:cstheme="minorHAnsi"/>
          <w:sz w:val="20"/>
          <w:szCs w:val="20"/>
        </w:rPr>
        <w:t>Similarly, a survey of Australians living with psychosis identified that, in the seven days prior to completing the survey, over 33% of people were sedentary.</w:t>
      </w:r>
      <w:r w:rsidR="00D67516">
        <w:rPr>
          <w:rStyle w:val="FootnoteReference"/>
          <w:rFonts w:cstheme="minorHAnsi"/>
          <w:sz w:val="20"/>
          <w:szCs w:val="20"/>
        </w:rPr>
        <w:footnoteReference w:id="21"/>
      </w:r>
      <w:r w:rsidR="00D67516">
        <w:rPr>
          <w:rFonts w:cstheme="minorHAnsi"/>
          <w:sz w:val="20"/>
          <w:szCs w:val="20"/>
        </w:rPr>
        <w:t xml:space="preserve"> </w:t>
      </w:r>
    </w:p>
    <w:p w14:paraId="0357A135" w14:textId="77777777" w:rsidR="00F7131E" w:rsidRDefault="001C2148">
      <w:pPr>
        <w:spacing w:before="100" w:beforeAutospacing="1"/>
        <w:rPr>
          <w:rFonts w:cstheme="minorHAnsi"/>
          <w:sz w:val="20"/>
          <w:szCs w:val="20"/>
        </w:rPr>
      </w:pPr>
      <w:r>
        <w:rPr>
          <w:rFonts w:cstheme="minorHAnsi"/>
          <w:sz w:val="20"/>
          <w:szCs w:val="20"/>
        </w:rPr>
        <w:t xml:space="preserve">The </w:t>
      </w:r>
      <w:r w:rsidR="0075771E">
        <w:rPr>
          <w:rFonts w:cstheme="minorHAnsi"/>
          <w:sz w:val="20"/>
          <w:szCs w:val="20"/>
        </w:rPr>
        <w:t xml:space="preserve">2015 </w:t>
      </w:r>
      <w:r>
        <w:rPr>
          <w:rFonts w:cstheme="minorHAnsi"/>
          <w:sz w:val="20"/>
          <w:szCs w:val="20"/>
        </w:rPr>
        <w:t xml:space="preserve">PwC report </w:t>
      </w:r>
      <w:proofErr w:type="gramStart"/>
      <w:r w:rsidR="00525C89" w:rsidRPr="00210DF1">
        <w:rPr>
          <w:rFonts w:cstheme="minorHAnsi"/>
          <w:i/>
          <w:sz w:val="20"/>
          <w:szCs w:val="20"/>
        </w:rPr>
        <w:t>Weighing</w:t>
      </w:r>
      <w:proofErr w:type="gramEnd"/>
      <w:r w:rsidR="00525C89" w:rsidRPr="00210DF1">
        <w:rPr>
          <w:rFonts w:cstheme="minorHAnsi"/>
          <w:i/>
          <w:sz w:val="20"/>
          <w:szCs w:val="20"/>
        </w:rPr>
        <w:t xml:space="preserve"> the cost of obesity: A case for action</w:t>
      </w:r>
      <w:r w:rsidR="00525C89">
        <w:rPr>
          <w:rFonts w:cstheme="minorHAnsi"/>
          <w:i/>
          <w:sz w:val="20"/>
          <w:szCs w:val="20"/>
        </w:rPr>
        <w:t xml:space="preserve"> </w:t>
      </w:r>
      <w:r w:rsidR="0075771E">
        <w:rPr>
          <w:rFonts w:cstheme="minorHAnsi"/>
          <w:sz w:val="20"/>
          <w:szCs w:val="20"/>
        </w:rPr>
        <w:t>highlighted that there is</w:t>
      </w:r>
      <w:r w:rsidR="00525C89">
        <w:rPr>
          <w:rFonts w:cstheme="minorHAnsi"/>
          <w:sz w:val="20"/>
          <w:szCs w:val="20"/>
        </w:rPr>
        <w:t xml:space="preserve"> a clear link </w:t>
      </w:r>
      <w:r w:rsidRPr="001C2148">
        <w:rPr>
          <w:rFonts w:cstheme="minorHAnsi"/>
          <w:sz w:val="20"/>
          <w:szCs w:val="20"/>
        </w:rPr>
        <w:t>between obesity and mental health</w:t>
      </w:r>
      <w:r w:rsidR="007A1DB8">
        <w:rPr>
          <w:rFonts w:cstheme="minorHAnsi"/>
          <w:sz w:val="20"/>
          <w:szCs w:val="20"/>
        </w:rPr>
        <w:t>,</w:t>
      </w:r>
      <w:r w:rsidR="00A8799A">
        <w:rPr>
          <w:rFonts w:cstheme="minorHAnsi"/>
          <w:sz w:val="20"/>
          <w:szCs w:val="20"/>
        </w:rPr>
        <w:t xml:space="preserve"> but that causality is unclear.</w:t>
      </w:r>
      <w:r w:rsidR="00645C99">
        <w:rPr>
          <w:rStyle w:val="FootnoteReference"/>
          <w:rFonts w:cstheme="minorHAnsi"/>
          <w:sz w:val="20"/>
          <w:szCs w:val="20"/>
        </w:rPr>
        <w:footnoteReference w:id="22"/>
      </w:r>
      <w:r w:rsidR="007A1DB8">
        <w:rPr>
          <w:rFonts w:cstheme="minorHAnsi"/>
          <w:sz w:val="20"/>
          <w:szCs w:val="20"/>
        </w:rPr>
        <w:t xml:space="preserve"> </w:t>
      </w:r>
      <w:r w:rsidR="00F7131E">
        <w:rPr>
          <w:rFonts w:cstheme="minorHAnsi"/>
          <w:sz w:val="20"/>
          <w:szCs w:val="20"/>
        </w:rPr>
        <w:t>Just over one-quarter (28.4%) of Australian males are obese, compared to one-third (33.2%) of Australian males with a mental illness. Similarly, 27.4% of Australian females are obese, compared to 31.3% of females with a mental illness.</w:t>
      </w:r>
      <w:r w:rsidR="00F7131E">
        <w:rPr>
          <w:rStyle w:val="FootnoteReference"/>
          <w:rFonts w:cstheme="minorHAnsi"/>
          <w:sz w:val="20"/>
          <w:szCs w:val="20"/>
        </w:rPr>
        <w:footnoteReference w:id="23"/>
      </w:r>
      <w:r w:rsidR="00F7131E">
        <w:rPr>
          <w:rFonts w:cstheme="minorHAnsi"/>
          <w:sz w:val="20"/>
          <w:szCs w:val="20"/>
          <w:vertAlign w:val="superscript"/>
        </w:rPr>
        <w:t xml:space="preserve">  </w:t>
      </w:r>
      <w:r w:rsidR="00F7131E">
        <w:rPr>
          <w:rFonts w:cstheme="minorHAnsi"/>
          <w:sz w:val="20"/>
          <w:szCs w:val="20"/>
        </w:rPr>
        <w:t>Alarmingly, in a survey of Australians living with psychosis, obesity rates were as high as 45%.</w:t>
      </w:r>
      <w:r w:rsidR="00F7131E">
        <w:rPr>
          <w:rStyle w:val="FootnoteReference"/>
          <w:rFonts w:cstheme="minorHAnsi"/>
          <w:sz w:val="20"/>
          <w:szCs w:val="20"/>
        </w:rPr>
        <w:footnoteReference w:id="24"/>
      </w:r>
      <w:r w:rsidR="00F7131E">
        <w:rPr>
          <w:rFonts w:cstheme="minorHAnsi"/>
          <w:sz w:val="20"/>
          <w:szCs w:val="20"/>
        </w:rPr>
        <w:t xml:space="preserve"> </w:t>
      </w:r>
    </w:p>
    <w:p w14:paraId="36A703AB" w14:textId="1F2A0FE1" w:rsidR="00C91D7F" w:rsidRDefault="00F7131E">
      <w:pPr>
        <w:spacing w:before="100" w:beforeAutospacing="1"/>
        <w:rPr>
          <w:rFonts w:cstheme="minorHAnsi"/>
          <w:sz w:val="20"/>
          <w:szCs w:val="20"/>
        </w:rPr>
      </w:pPr>
      <w:r>
        <w:rPr>
          <w:rFonts w:cstheme="minorHAnsi"/>
          <w:sz w:val="20"/>
          <w:szCs w:val="20"/>
        </w:rPr>
        <w:t>Conversely, t</w:t>
      </w:r>
      <w:r w:rsidR="00A355C8">
        <w:rPr>
          <w:rFonts w:cstheme="minorHAnsi"/>
          <w:sz w:val="20"/>
          <w:szCs w:val="20"/>
        </w:rPr>
        <w:t xml:space="preserve">he 2012 </w:t>
      </w:r>
      <w:proofErr w:type="spellStart"/>
      <w:r w:rsidR="00A355C8">
        <w:rPr>
          <w:rFonts w:cstheme="minorHAnsi"/>
          <w:sz w:val="20"/>
          <w:szCs w:val="20"/>
        </w:rPr>
        <w:t>Ausdiab</w:t>
      </w:r>
      <w:proofErr w:type="spellEnd"/>
      <w:r w:rsidR="00A355C8">
        <w:rPr>
          <w:rFonts w:cstheme="minorHAnsi"/>
          <w:sz w:val="20"/>
          <w:szCs w:val="20"/>
        </w:rPr>
        <w:t xml:space="preserve"> study </w:t>
      </w:r>
      <w:r w:rsidR="00B96140">
        <w:rPr>
          <w:rFonts w:cstheme="minorHAnsi"/>
          <w:sz w:val="20"/>
          <w:szCs w:val="20"/>
        </w:rPr>
        <w:t xml:space="preserve">results </w:t>
      </w:r>
      <w:r w:rsidR="00BD2035">
        <w:rPr>
          <w:rFonts w:cstheme="minorHAnsi"/>
          <w:sz w:val="20"/>
          <w:szCs w:val="20"/>
        </w:rPr>
        <w:t>demonstrated</w:t>
      </w:r>
      <w:r w:rsidR="003C740A">
        <w:rPr>
          <w:rFonts w:cstheme="minorHAnsi"/>
          <w:sz w:val="20"/>
          <w:szCs w:val="20"/>
        </w:rPr>
        <w:t xml:space="preserve"> that</w:t>
      </w:r>
      <w:r w:rsidR="00A355C8">
        <w:rPr>
          <w:rFonts w:cstheme="minorHAnsi"/>
          <w:sz w:val="20"/>
          <w:szCs w:val="20"/>
        </w:rPr>
        <w:t xml:space="preserve"> the </w:t>
      </w:r>
      <w:r w:rsidR="00A355C8" w:rsidRPr="001C2148">
        <w:rPr>
          <w:rFonts w:cstheme="minorHAnsi"/>
          <w:sz w:val="20"/>
          <w:szCs w:val="20"/>
        </w:rPr>
        <w:t>prevalence of depression in people</w:t>
      </w:r>
      <w:r w:rsidR="00A355C8">
        <w:rPr>
          <w:rFonts w:cstheme="minorHAnsi"/>
          <w:sz w:val="20"/>
          <w:szCs w:val="20"/>
        </w:rPr>
        <w:t xml:space="preserve"> with obesity</w:t>
      </w:r>
      <w:r w:rsidR="00A355C8" w:rsidRPr="001C2148">
        <w:rPr>
          <w:rFonts w:cstheme="minorHAnsi"/>
          <w:sz w:val="20"/>
          <w:szCs w:val="20"/>
        </w:rPr>
        <w:t xml:space="preserve"> was </w:t>
      </w:r>
      <w:r w:rsidR="00A355C8">
        <w:rPr>
          <w:rFonts w:cstheme="minorHAnsi"/>
          <w:sz w:val="20"/>
          <w:szCs w:val="20"/>
        </w:rPr>
        <w:t xml:space="preserve">nearly two times </w:t>
      </w:r>
      <w:r w:rsidR="00A355C8" w:rsidRPr="001C2148">
        <w:rPr>
          <w:rFonts w:cstheme="minorHAnsi"/>
          <w:sz w:val="20"/>
          <w:szCs w:val="20"/>
        </w:rPr>
        <w:t xml:space="preserve">as high as those </w:t>
      </w:r>
      <w:r w:rsidR="00A355C8">
        <w:rPr>
          <w:rFonts w:cstheme="minorHAnsi"/>
          <w:sz w:val="20"/>
          <w:szCs w:val="20"/>
        </w:rPr>
        <w:t>without obesity</w:t>
      </w:r>
      <w:r w:rsidR="003C740A">
        <w:rPr>
          <w:rFonts w:cstheme="minorHAnsi"/>
          <w:sz w:val="20"/>
          <w:szCs w:val="20"/>
        </w:rPr>
        <w:t>, and s</w:t>
      </w:r>
      <w:r w:rsidR="00076D29">
        <w:rPr>
          <w:rFonts w:cstheme="minorHAnsi"/>
          <w:sz w:val="20"/>
          <w:szCs w:val="20"/>
        </w:rPr>
        <w:t xml:space="preserve">imilar studies </w:t>
      </w:r>
      <w:r w:rsidR="00F35462">
        <w:rPr>
          <w:rFonts w:cstheme="minorHAnsi"/>
          <w:sz w:val="20"/>
          <w:szCs w:val="20"/>
        </w:rPr>
        <w:t xml:space="preserve">indicate that people with obesity </w:t>
      </w:r>
      <w:r w:rsidR="00B72566">
        <w:rPr>
          <w:rFonts w:cstheme="minorHAnsi"/>
          <w:sz w:val="20"/>
          <w:szCs w:val="20"/>
        </w:rPr>
        <w:t>are</w:t>
      </w:r>
      <w:r w:rsidR="00F35462">
        <w:rPr>
          <w:rFonts w:cstheme="minorHAnsi"/>
          <w:sz w:val="20"/>
          <w:szCs w:val="20"/>
        </w:rPr>
        <w:t xml:space="preserve"> more likely to </w:t>
      </w:r>
      <w:r w:rsidR="00EC04C9">
        <w:rPr>
          <w:rFonts w:cstheme="minorHAnsi"/>
          <w:sz w:val="20"/>
          <w:szCs w:val="20"/>
        </w:rPr>
        <w:t>experience depression</w:t>
      </w:r>
      <w:r w:rsidR="004F5D0B">
        <w:rPr>
          <w:rFonts w:cstheme="minorHAnsi"/>
          <w:sz w:val="20"/>
          <w:szCs w:val="20"/>
        </w:rPr>
        <w:t xml:space="preserve">. The </w:t>
      </w:r>
      <w:r w:rsidR="004F50D3">
        <w:rPr>
          <w:rFonts w:cstheme="minorHAnsi"/>
          <w:sz w:val="20"/>
          <w:szCs w:val="20"/>
        </w:rPr>
        <w:t xml:space="preserve">PwC </w:t>
      </w:r>
      <w:r w:rsidR="00645C99">
        <w:rPr>
          <w:rFonts w:cstheme="minorHAnsi"/>
          <w:sz w:val="20"/>
          <w:szCs w:val="20"/>
        </w:rPr>
        <w:t>report</w:t>
      </w:r>
      <w:r w:rsidR="0097401E">
        <w:rPr>
          <w:rFonts w:cstheme="minorHAnsi"/>
          <w:sz w:val="20"/>
          <w:szCs w:val="20"/>
        </w:rPr>
        <w:t xml:space="preserve"> </w:t>
      </w:r>
      <w:r w:rsidR="004F50D3">
        <w:rPr>
          <w:rFonts w:cstheme="minorHAnsi"/>
          <w:sz w:val="20"/>
          <w:szCs w:val="20"/>
        </w:rPr>
        <w:t>estimated</w:t>
      </w:r>
      <w:r w:rsidR="00725F88">
        <w:rPr>
          <w:rFonts w:cstheme="minorHAnsi"/>
          <w:sz w:val="20"/>
          <w:szCs w:val="20"/>
        </w:rPr>
        <w:t xml:space="preserve"> that </w:t>
      </w:r>
      <w:r w:rsidR="00B91600">
        <w:rPr>
          <w:rFonts w:cstheme="minorHAnsi"/>
          <w:sz w:val="20"/>
          <w:szCs w:val="20"/>
        </w:rPr>
        <w:t>obesity costs a</w:t>
      </w:r>
      <w:r w:rsidR="004F50D3">
        <w:rPr>
          <w:rFonts w:cstheme="minorHAnsi"/>
          <w:sz w:val="20"/>
          <w:szCs w:val="20"/>
        </w:rPr>
        <w:t xml:space="preserve">round </w:t>
      </w:r>
      <w:r w:rsidR="00725F88">
        <w:rPr>
          <w:rFonts w:cstheme="minorHAnsi"/>
          <w:sz w:val="20"/>
          <w:szCs w:val="20"/>
        </w:rPr>
        <w:t>$8.6 billion</w:t>
      </w:r>
      <w:r w:rsidR="00131738">
        <w:rPr>
          <w:rFonts w:cstheme="minorHAnsi"/>
          <w:sz w:val="20"/>
          <w:szCs w:val="20"/>
        </w:rPr>
        <w:t xml:space="preserve"> per </w:t>
      </w:r>
      <w:r w:rsidR="00533100">
        <w:rPr>
          <w:rFonts w:cstheme="minorHAnsi"/>
          <w:sz w:val="20"/>
          <w:szCs w:val="20"/>
        </w:rPr>
        <w:t>year</w:t>
      </w:r>
      <w:r w:rsidR="00CC0AA0">
        <w:rPr>
          <w:rFonts w:cstheme="minorHAnsi"/>
          <w:sz w:val="20"/>
          <w:szCs w:val="20"/>
        </w:rPr>
        <w:t xml:space="preserve"> (including reduced productivity)</w:t>
      </w:r>
      <w:r w:rsidR="00B91600">
        <w:rPr>
          <w:rFonts w:cstheme="minorHAnsi"/>
          <w:sz w:val="20"/>
          <w:szCs w:val="20"/>
        </w:rPr>
        <w:t xml:space="preserve">, and that </w:t>
      </w:r>
      <w:r w:rsidR="002A6C03">
        <w:rPr>
          <w:rFonts w:cstheme="minorHAnsi"/>
          <w:sz w:val="20"/>
          <w:szCs w:val="20"/>
        </w:rPr>
        <w:t>these</w:t>
      </w:r>
      <w:r w:rsidR="00B91600">
        <w:rPr>
          <w:rFonts w:cstheme="minorHAnsi"/>
          <w:sz w:val="20"/>
          <w:szCs w:val="20"/>
        </w:rPr>
        <w:t xml:space="preserve"> cost</w:t>
      </w:r>
      <w:r w:rsidR="002A6C03">
        <w:rPr>
          <w:rFonts w:cstheme="minorHAnsi"/>
          <w:sz w:val="20"/>
          <w:szCs w:val="20"/>
        </w:rPr>
        <w:t>s</w:t>
      </w:r>
      <w:r w:rsidR="00CC0AA0">
        <w:rPr>
          <w:rFonts w:cstheme="minorHAnsi"/>
          <w:sz w:val="20"/>
          <w:szCs w:val="20"/>
        </w:rPr>
        <w:t xml:space="preserve"> </w:t>
      </w:r>
      <w:r w:rsidR="001C2148" w:rsidRPr="001C2148">
        <w:rPr>
          <w:rFonts w:cstheme="minorHAnsi"/>
          <w:sz w:val="20"/>
          <w:szCs w:val="20"/>
        </w:rPr>
        <w:t>may partially account for depression experienced as a result of obesity</w:t>
      </w:r>
      <w:r w:rsidR="00725F88">
        <w:rPr>
          <w:rFonts w:cstheme="minorHAnsi"/>
          <w:sz w:val="20"/>
          <w:szCs w:val="20"/>
        </w:rPr>
        <w:t>.</w:t>
      </w:r>
      <w:r w:rsidR="00FB07DB">
        <w:rPr>
          <w:rFonts w:cstheme="minorHAnsi"/>
          <w:sz w:val="20"/>
          <w:szCs w:val="20"/>
        </w:rPr>
        <w:t xml:space="preserve"> Other issues, including stigma and discrimination were also raised as contributing to poorer </w:t>
      </w:r>
      <w:r w:rsidR="00916BDF">
        <w:rPr>
          <w:rFonts w:cstheme="minorHAnsi"/>
          <w:sz w:val="20"/>
          <w:szCs w:val="20"/>
        </w:rPr>
        <w:t>mental health outcomes.</w:t>
      </w:r>
      <w:r w:rsidR="00C91D7F">
        <w:rPr>
          <w:rFonts w:cstheme="minorHAnsi"/>
          <w:sz w:val="20"/>
          <w:szCs w:val="20"/>
        </w:rPr>
        <w:t xml:space="preserve"> </w:t>
      </w:r>
    </w:p>
    <w:p w14:paraId="09F24B2E" w14:textId="6A2C8FFF" w:rsidR="00E9240E" w:rsidRDefault="00C91D7F">
      <w:pPr>
        <w:spacing w:before="100" w:beforeAutospacing="1"/>
        <w:rPr>
          <w:rFonts w:cstheme="minorHAnsi"/>
          <w:sz w:val="20"/>
          <w:szCs w:val="20"/>
        </w:rPr>
      </w:pPr>
      <w:r>
        <w:rPr>
          <w:rFonts w:cstheme="minorHAnsi"/>
          <w:sz w:val="20"/>
          <w:szCs w:val="20"/>
        </w:rPr>
        <w:t>Alcohol consumption</w:t>
      </w:r>
      <w:r w:rsidR="00FB2B99">
        <w:rPr>
          <w:rFonts w:cstheme="minorHAnsi"/>
          <w:sz w:val="20"/>
          <w:szCs w:val="20"/>
        </w:rPr>
        <w:t xml:space="preserve"> is another modifiable risk factor that</w:t>
      </w:r>
      <w:r>
        <w:rPr>
          <w:rFonts w:cstheme="minorHAnsi"/>
          <w:sz w:val="20"/>
          <w:szCs w:val="20"/>
        </w:rPr>
        <w:t xml:space="preserve"> can contribute to excess energy intake and unhealthy weight gain, as well as increasing risk of certain cancers and cardiovascular disease.</w:t>
      </w:r>
      <w:r>
        <w:rPr>
          <w:rStyle w:val="FootnoteReference"/>
          <w:rFonts w:cstheme="minorHAnsi"/>
          <w:sz w:val="20"/>
          <w:szCs w:val="20"/>
        </w:rPr>
        <w:footnoteReference w:id="25"/>
      </w:r>
      <w:r>
        <w:rPr>
          <w:rFonts w:cstheme="minorHAnsi"/>
          <w:sz w:val="20"/>
          <w:szCs w:val="20"/>
        </w:rPr>
        <w:t xml:space="preserve"> Men with a </w:t>
      </w:r>
      <w:r>
        <w:rPr>
          <w:rFonts w:cstheme="minorHAnsi"/>
          <w:sz w:val="20"/>
          <w:szCs w:val="20"/>
        </w:rPr>
        <w:lastRenderedPageBreak/>
        <w:t xml:space="preserve">mental health condition are 15% more likely to consume alcohol at risky levels than men without a mental health condition (29.9% compared to 25.9%). </w:t>
      </w:r>
      <w:r w:rsidR="00FB2B99">
        <w:rPr>
          <w:rFonts w:cstheme="minorHAnsi"/>
          <w:sz w:val="20"/>
          <w:szCs w:val="20"/>
        </w:rPr>
        <w:t>Similarly, w</w:t>
      </w:r>
      <w:r>
        <w:rPr>
          <w:rFonts w:cstheme="minorHAnsi"/>
          <w:sz w:val="20"/>
          <w:szCs w:val="20"/>
        </w:rPr>
        <w:t>omen with a mental health condition are more 10% likely to consume alcohol at risky levels (10.3% compared to 9.4%).</w:t>
      </w:r>
      <w:r>
        <w:rPr>
          <w:rStyle w:val="FootnoteReference"/>
          <w:rFonts w:cstheme="minorHAnsi"/>
          <w:sz w:val="20"/>
          <w:szCs w:val="20"/>
        </w:rPr>
        <w:footnoteReference w:id="26"/>
      </w:r>
      <w:r>
        <w:rPr>
          <w:rFonts w:cstheme="minorHAnsi"/>
          <w:sz w:val="20"/>
          <w:szCs w:val="20"/>
        </w:rPr>
        <w:t xml:space="preserve"> </w:t>
      </w:r>
      <w:r w:rsidR="006211BE">
        <w:rPr>
          <w:rFonts w:cstheme="minorHAnsi"/>
          <w:sz w:val="20"/>
          <w:szCs w:val="20"/>
        </w:rPr>
        <w:t>A survey of</w:t>
      </w:r>
      <w:r>
        <w:rPr>
          <w:rFonts w:cstheme="minorHAnsi"/>
          <w:sz w:val="20"/>
          <w:szCs w:val="20"/>
        </w:rPr>
        <w:t xml:space="preserve"> Australians living with psychosis</w:t>
      </w:r>
      <w:r w:rsidR="006211BE">
        <w:rPr>
          <w:rFonts w:cstheme="minorHAnsi"/>
          <w:sz w:val="20"/>
          <w:szCs w:val="20"/>
        </w:rPr>
        <w:t xml:space="preserve"> found that</w:t>
      </w:r>
      <w:r>
        <w:rPr>
          <w:rFonts w:cstheme="minorHAnsi"/>
          <w:sz w:val="20"/>
          <w:szCs w:val="20"/>
        </w:rPr>
        <w:t xml:space="preserve"> half of participants had a lifetime history of alcohol abuse or dependence.</w:t>
      </w:r>
      <w:r>
        <w:rPr>
          <w:rStyle w:val="FootnoteReference"/>
          <w:rFonts w:cstheme="minorHAnsi"/>
          <w:sz w:val="20"/>
          <w:szCs w:val="20"/>
        </w:rPr>
        <w:footnoteReference w:id="27"/>
      </w:r>
    </w:p>
    <w:p w14:paraId="2F3AE3C7" w14:textId="77777777" w:rsidR="00A537E6" w:rsidRPr="00CB02E4" w:rsidRDefault="00FE048D" w:rsidP="00CB02E4">
      <w:pPr>
        <w:pStyle w:val="ListParagraph"/>
        <w:numPr>
          <w:ilvl w:val="0"/>
          <w:numId w:val="3"/>
        </w:numPr>
        <w:spacing w:before="100" w:beforeAutospacing="1"/>
        <w:rPr>
          <w:rFonts w:cstheme="minorHAnsi"/>
          <w:b/>
          <w:sz w:val="20"/>
          <w:szCs w:val="20"/>
        </w:rPr>
      </w:pPr>
      <w:r>
        <w:rPr>
          <w:rFonts w:cstheme="minorHAnsi"/>
          <w:b/>
          <w:i/>
          <w:sz w:val="20"/>
          <w:szCs w:val="20"/>
        </w:rPr>
        <w:t>The social and economic c</w:t>
      </w:r>
      <w:r w:rsidR="00A537E6" w:rsidRPr="00CB02E4">
        <w:rPr>
          <w:rFonts w:cstheme="minorHAnsi"/>
          <w:b/>
          <w:i/>
          <w:sz w:val="20"/>
          <w:szCs w:val="20"/>
        </w:rPr>
        <w:t xml:space="preserve">osts of chronic disease in people with </w:t>
      </w:r>
      <w:r w:rsidR="00DD1C59" w:rsidRPr="00CB02E4">
        <w:rPr>
          <w:rFonts w:cstheme="minorHAnsi"/>
          <w:b/>
          <w:i/>
          <w:sz w:val="20"/>
          <w:szCs w:val="20"/>
        </w:rPr>
        <w:t>a mental</w:t>
      </w:r>
      <w:r w:rsidR="00A537E6" w:rsidRPr="00CB02E4">
        <w:rPr>
          <w:rFonts w:cstheme="minorHAnsi"/>
          <w:b/>
          <w:i/>
          <w:sz w:val="20"/>
          <w:szCs w:val="20"/>
        </w:rPr>
        <w:t xml:space="preserve"> illness </w:t>
      </w:r>
      <w:r>
        <w:rPr>
          <w:rFonts w:cstheme="minorHAnsi"/>
          <w:b/>
          <w:i/>
          <w:sz w:val="20"/>
          <w:szCs w:val="20"/>
        </w:rPr>
        <w:t xml:space="preserve">are significant </w:t>
      </w:r>
    </w:p>
    <w:p w14:paraId="01410863" w14:textId="77777777" w:rsidR="009E3E45" w:rsidRDefault="009E3E45" w:rsidP="009E3E45">
      <w:pPr>
        <w:spacing w:before="100" w:beforeAutospacing="1"/>
        <w:rPr>
          <w:rFonts w:cstheme="minorHAnsi"/>
          <w:sz w:val="20"/>
          <w:szCs w:val="20"/>
        </w:rPr>
      </w:pPr>
      <w:r>
        <w:rPr>
          <w:rFonts w:cstheme="minorHAnsi"/>
          <w:sz w:val="20"/>
          <w:szCs w:val="20"/>
        </w:rPr>
        <w:t xml:space="preserve">In 2018, over 2.4 million Australians were living with both </w:t>
      </w:r>
      <w:r w:rsidR="002A3EE8">
        <w:rPr>
          <w:rFonts w:cstheme="minorHAnsi"/>
          <w:sz w:val="20"/>
          <w:szCs w:val="20"/>
        </w:rPr>
        <w:t>chronic disease</w:t>
      </w:r>
      <w:r>
        <w:rPr>
          <w:rFonts w:cstheme="minorHAnsi"/>
          <w:sz w:val="20"/>
          <w:szCs w:val="20"/>
        </w:rPr>
        <w:t xml:space="preserve"> and mental illness</w:t>
      </w:r>
      <w:r w:rsidR="00CB02E4">
        <w:rPr>
          <w:rFonts w:cstheme="minorHAnsi"/>
          <w:sz w:val="20"/>
          <w:szCs w:val="20"/>
        </w:rPr>
        <w:t>.</w:t>
      </w:r>
      <w:r>
        <w:rPr>
          <w:rStyle w:val="FootnoteReference"/>
          <w:rFonts w:cstheme="minorHAnsi"/>
          <w:sz w:val="20"/>
          <w:szCs w:val="20"/>
        </w:rPr>
        <w:footnoteReference w:id="28"/>
      </w:r>
      <w:r>
        <w:rPr>
          <w:rFonts w:cstheme="minorHAnsi"/>
          <w:sz w:val="20"/>
          <w:szCs w:val="20"/>
        </w:rPr>
        <w:t xml:space="preserve"> </w:t>
      </w:r>
      <w:r w:rsidRPr="0019578B">
        <w:rPr>
          <w:rFonts w:cstheme="minorHAnsi"/>
          <w:sz w:val="20"/>
          <w:szCs w:val="20"/>
        </w:rPr>
        <w:t>A report by the Royal Australian &amp; New Zealand College of Psychiatrists places the cost of premature death in people with serious mental illness with a comorbid physical illness at $15 billion AUD annually</w:t>
      </w:r>
      <w:r>
        <w:rPr>
          <w:rFonts w:cstheme="minorHAnsi"/>
          <w:sz w:val="20"/>
          <w:szCs w:val="20"/>
        </w:rPr>
        <w:t>.</w:t>
      </w:r>
      <w:r>
        <w:rPr>
          <w:rStyle w:val="FootnoteReference"/>
          <w:rFonts w:cstheme="minorHAnsi"/>
          <w:sz w:val="20"/>
          <w:szCs w:val="20"/>
        </w:rPr>
        <w:footnoteReference w:id="29"/>
      </w:r>
      <w:r w:rsidRPr="0019578B">
        <w:rPr>
          <w:rFonts w:cstheme="minorHAnsi"/>
          <w:sz w:val="20"/>
          <w:szCs w:val="20"/>
        </w:rPr>
        <w:t xml:space="preserve"> </w:t>
      </w:r>
      <w:r w:rsidR="00543EA2">
        <w:rPr>
          <w:rFonts w:cstheme="minorHAnsi"/>
          <w:sz w:val="20"/>
          <w:szCs w:val="20"/>
        </w:rPr>
        <w:t>Adding substance use into the mix increases this to $45 billion.</w:t>
      </w:r>
      <w:r w:rsidR="00CB02E4">
        <w:rPr>
          <w:rStyle w:val="FootnoteReference"/>
          <w:rFonts w:cstheme="minorHAnsi"/>
          <w:sz w:val="20"/>
          <w:szCs w:val="20"/>
        </w:rPr>
        <w:footnoteReference w:id="30"/>
      </w:r>
      <w:r w:rsidR="00543EA2">
        <w:rPr>
          <w:rFonts w:cstheme="minorHAnsi"/>
          <w:sz w:val="20"/>
          <w:szCs w:val="20"/>
        </w:rPr>
        <w:t xml:space="preserve"> </w:t>
      </w:r>
    </w:p>
    <w:p w14:paraId="36EB6F32" w14:textId="77777777" w:rsidR="009E3E45" w:rsidRDefault="009E3E45" w:rsidP="00AB72A2">
      <w:pPr>
        <w:spacing w:before="100" w:beforeAutospacing="1"/>
        <w:rPr>
          <w:rFonts w:cstheme="minorHAnsi"/>
          <w:sz w:val="20"/>
          <w:szCs w:val="20"/>
        </w:rPr>
      </w:pPr>
      <w:r>
        <w:rPr>
          <w:rFonts w:cstheme="minorHAnsi"/>
          <w:sz w:val="20"/>
          <w:szCs w:val="20"/>
        </w:rPr>
        <w:t xml:space="preserve">Co-morbid physical and mental illness </w:t>
      </w:r>
      <w:r w:rsidR="00A612F4">
        <w:rPr>
          <w:rFonts w:cstheme="minorHAnsi"/>
          <w:sz w:val="20"/>
          <w:szCs w:val="20"/>
        </w:rPr>
        <w:t xml:space="preserve">also </w:t>
      </w:r>
      <w:r>
        <w:rPr>
          <w:rFonts w:cstheme="minorHAnsi"/>
          <w:sz w:val="20"/>
          <w:szCs w:val="20"/>
        </w:rPr>
        <w:t>increase treatment costs dramatically, with one study identifying a significantly higher</w:t>
      </w:r>
      <w:r w:rsidR="00543EA2">
        <w:rPr>
          <w:rFonts w:cstheme="minorHAnsi"/>
          <w:sz w:val="20"/>
          <w:szCs w:val="20"/>
        </w:rPr>
        <w:t xml:space="preserve"> (33% to 169%)</w:t>
      </w:r>
      <w:r>
        <w:rPr>
          <w:rFonts w:cstheme="minorHAnsi"/>
          <w:sz w:val="20"/>
          <w:szCs w:val="20"/>
        </w:rPr>
        <w:t xml:space="preserve"> cost of care in people with co-morbid depression and a chronic physical illness compared to the physical illness alone (and excluding mental health service costs).</w:t>
      </w:r>
      <w:r w:rsidR="001C29E5">
        <w:rPr>
          <w:rStyle w:val="FootnoteReference"/>
          <w:rFonts w:cstheme="minorHAnsi"/>
          <w:sz w:val="20"/>
          <w:szCs w:val="20"/>
        </w:rPr>
        <w:footnoteReference w:id="31"/>
      </w:r>
      <w:r>
        <w:rPr>
          <w:rFonts w:cstheme="minorHAnsi"/>
          <w:sz w:val="20"/>
          <w:szCs w:val="20"/>
        </w:rPr>
        <w:t xml:space="preserve">  </w:t>
      </w:r>
    </w:p>
    <w:p w14:paraId="337FAE57" w14:textId="3CF1950D" w:rsidR="00857D0D" w:rsidRDefault="00114D94" w:rsidP="00AB72A2">
      <w:pPr>
        <w:spacing w:before="100" w:beforeAutospacing="1"/>
        <w:rPr>
          <w:rFonts w:cstheme="minorHAnsi"/>
          <w:sz w:val="20"/>
          <w:szCs w:val="20"/>
        </w:rPr>
      </w:pPr>
      <w:r w:rsidRPr="0019578B">
        <w:rPr>
          <w:rFonts w:cstheme="minorHAnsi"/>
          <w:sz w:val="20"/>
          <w:szCs w:val="20"/>
        </w:rPr>
        <w:t>Addressing chronic disease and preventing chronic disease in people with a mental illness is not only a duty of care</w:t>
      </w:r>
      <w:r>
        <w:rPr>
          <w:rFonts w:cstheme="minorHAnsi"/>
          <w:sz w:val="20"/>
          <w:szCs w:val="20"/>
        </w:rPr>
        <w:t xml:space="preserve"> or “the right thing to do”, </w:t>
      </w:r>
      <w:r w:rsidRPr="0019578B">
        <w:rPr>
          <w:rFonts w:cstheme="minorHAnsi"/>
          <w:sz w:val="20"/>
          <w:szCs w:val="20"/>
        </w:rPr>
        <w:t>it</w:t>
      </w:r>
      <w:r>
        <w:rPr>
          <w:rFonts w:cstheme="minorHAnsi"/>
          <w:sz w:val="20"/>
          <w:szCs w:val="20"/>
        </w:rPr>
        <w:t xml:space="preserve"> is also</w:t>
      </w:r>
      <w:r w:rsidRPr="0019578B">
        <w:rPr>
          <w:rFonts w:cstheme="minorHAnsi"/>
          <w:sz w:val="20"/>
          <w:szCs w:val="20"/>
        </w:rPr>
        <w:t xml:space="preserve"> of </w:t>
      </w:r>
      <w:r>
        <w:rPr>
          <w:rFonts w:cstheme="minorHAnsi"/>
          <w:sz w:val="20"/>
          <w:szCs w:val="20"/>
        </w:rPr>
        <w:t>great economic importance.</w:t>
      </w:r>
    </w:p>
    <w:p w14:paraId="445020F0" w14:textId="77777777" w:rsidR="003E0BA2" w:rsidRPr="00457A3B" w:rsidRDefault="003E0BA2" w:rsidP="005F2B4B">
      <w:pPr>
        <w:pStyle w:val="NoSpacing"/>
        <w:numPr>
          <w:ilvl w:val="0"/>
          <w:numId w:val="3"/>
        </w:numPr>
        <w:spacing w:before="100" w:beforeAutospacing="1"/>
        <w:rPr>
          <w:rFonts w:cstheme="minorHAnsi"/>
          <w:b/>
          <w:i/>
          <w:sz w:val="20"/>
          <w:szCs w:val="20"/>
        </w:rPr>
      </w:pPr>
      <w:r w:rsidRPr="00457A3B">
        <w:rPr>
          <w:rFonts w:cstheme="minorHAnsi"/>
          <w:b/>
          <w:i/>
          <w:sz w:val="20"/>
          <w:szCs w:val="20"/>
        </w:rPr>
        <w:t>Addressing chronic disease risk factors in people with</w:t>
      </w:r>
      <w:r w:rsidR="009C01EB">
        <w:rPr>
          <w:rFonts w:cstheme="minorHAnsi"/>
          <w:b/>
          <w:i/>
          <w:sz w:val="20"/>
          <w:szCs w:val="20"/>
        </w:rPr>
        <w:t xml:space="preserve"> a</w:t>
      </w:r>
      <w:r w:rsidRPr="00457A3B">
        <w:rPr>
          <w:rFonts w:cstheme="minorHAnsi"/>
          <w:b/>
          <w:i/>
          <w:sz w:val="20"/>
          <w:szCs w:val="20"/>
        </w:rPr>
        <w:t xml:space="preserve"> mental illness can improve their quality of life and promote recovery from mental illness </w:t>
      </w:r>
    </w:p>
    <w:p w14:paraId="510C7AA7" w14:textId="77777777" w:rsidR="003E0BA2" w:rsidRDefault="003E0BA2" w:rsidP="003E0BA2">
      <w:pPr>
        <w:pStyle w:val="NoSpacing"/>
        <w:spacing w:before="100" w:beforeAutospacing="1"/>
        <w:rPr>
          <w:rFonts w:cstheme="minorHAnsi"/>
          <w:sz w:val="20"/>
          <w:szCs w:val="20"/>
        </w:rPr>
      </w:pPr>
      <w:r w:rsidRPr="00457A3B">
        <w:rPr>
          <w:rFonts w:cstheme="minorHAnsi"/>
          <w:sz w:val="20"/>
          <w:szCs w:val="20"/>
        </w:rPr>
        <w:t>Research has demonstrated that addressing these risk factors can assist with recovery from mental illness. For example, stopping smoking for longer than six weeks has been linked to people feeling less stressed, anxious and depressed, with effect sizes similar to using antidepressants to treat mood and anxiety disorders</w:t>
      </w:r>
      <w:r w:rsidR="00A612F4">
        <w:rPr>
          <w:rFonts w:cstheme="minorHAnsi"/>
          <w:sz w:val="20"/>
          <w:szCs w:val="20"/>
        </w:rPr>
        <w:t>.</w:t>
      </w:r>
      <w:r w:rsidRPr="00457A3B">
        <w:rPr>
          <w:rStyle w:val="FootnoteReference"/>
          <w:rFonts w:cstheme="minorHAnsi"/>
          <w:sz w:val="20"/>
          <w:szCs w:val="20"/>
        </w:rPr>
        <w:footnoteReference w:id="32"/>
      </w:r>
      <w:r w:rsidR="001C29E5">
        <w:rPr>
          <w:rFonts w:cstheme="minorHAnsi"/>
          <w:sz w:val="20"/>
          <w:szCs w:val="20"/>
        </w:rPr>
        <w:t xml:space="preserve"> This has significant implications for productivity, such as improving work presenteeism and absenteeism. </w:t>
      </w:r>
      <w:r w:rsidRPr="00457A3B">
        <w:rPr>
          <w:rFonts w:cstheme="minorHAnsi"/>
          <w:sz w:val="20"/>
          <w:szCs w:val="20"/>
        </w:rPr>
        <w:t xml:space="preserve"> </w:t>
      </w:r>
    </w:p>
    <w:p w14:paraId="66CA4A8F" w14:textId="755266CB" w:rsidR="003E0BA2" w:rsidRDefault="00753537" w:rsidP="003E0BA2">
      <w:pPr>
        <w:pStyle w:val="NoSpacing"/>
        <w:spacing w:before="100" w:beforeAutospacing="1"/>
        <w:rPr>
          <w:rFonts w:cstheme="minorHAnsi"/>
          <w:sz w:val="20"/>
          <w:szCs w:val="20"/>
        </w:rPr>
      </w:pPr>
      <w:r>
        <w:rPr>
          <w:rFonts w:cstheme="minorHAnsi"/>
          <w:sz w:val="20"/>
          <w:szCs w:val="20"/>
        </w:rPr>
        <w:t>At an individual level, t</w:t>
      </w:r>
      <w:r w:rsidR="003E0BA2" w:rsidRPr="00457A3B">
        <w:rPr>
          <w:rFonts w:cstheme="minorHAnsi"/>
          <w:sz w:val="20"/>
          <w:szCs w:val="20"/>
        </w:rPr>
        <w:t>he benefits of stopping smoking are</w:t>
      </w:r>
      <w:r w:rsidR="001C29E5">
        <w:rPr>
          <w:rFonts w:cstheme="minorHAnsi"/>
          <w:sz w:val="20"/>
          <w:szCs w:val="20"/>
        </w:rPr>
        <w:t xml:space="preserve"> also</w:t>
      </w:r>
      <w:r w:rsidR="003E0BA2" w:rsidRPr="00457A3B">
        <w:rPr>
          <w:rFonts w:cstheme="minorHAnsi"/>
          <w:sz w:val="20"/>
          <w:szCs w:val="20"/>
        </w:rPr>
        <w:t xml:space="preserve"> not just limited to health benefits. An individual who smokes 20 cigarettes a day can save around $</w:t>
      </w:r>
      <w:r w:rsidR="001C208D">
        <w:rPr>
          <w:rFonts w:cstheme="minorHAnsi"/>
          <w:sz w:val="20"/>
          <w:szCs w:val="20"/>
        </w:rPr>
        <w:t>9855</w:t>
      </w:r>
      <w:r w:rsidR="003E0BA2" w:rsidRPr="00457A3B">
        <w:rPr>
          <w:rFonts w:cstheme="minorHAnsi"/>
          <w:sz w:val="20"/>
          <w:szCs w:val="20"/>
        </w:rPr>
        <w:t xml:space="preserve"> a year upon quitting</w:t>
      </w:r>
      <w:r w:rsidR="00B7438B">
        <w:rPr>
          <w:rFonts w:cstheme="minorHAnsi"/>
          <w:sz w:val="20"/>
          <w:szCs w:val="20"/>
        </w:rPr>
        <w:t>,</w:t>
      </w:r>
      <w:r w:rsidR="003E0BA2" w:rsidRPr="00457A3B">
        <w:rPr>
          <w:rStyle w:val="FootnoteReference"/>
          <w:rFonts w:cstheme="minorHAnsi"/>
          <w:sz w:val="20"/>
          <w:szCs w:val="20"/>
        </w:rPr>
        <w:footnoteReference w:id="33"/>
      </w:r>
      <w:r w:rsidR="003E0BA2" w:rsidRPr="00457A3B">
        <w:rPr>
          <w:rFonts w:cstheme="minorHAnsi"/>
          <w:sz w:val="20"/>
          <w:szCs w:val="20"/>
        </w:rPr>
        <w:t xml:space="preserve"> lessen</w:t>
      </w:r>
      <w:r w:rsidR="00B7438B">
        <w:rPr>
          <w:rFonts w:cstheme="minorHAnsi"/>
          <w:sz w:val="20"/>
          <w:szCs w:val="20"/>
        </w:rPr>
        <w:t>ing</w:t>
      </w:r>
      <w:r w:rsidR="003E0BA2" w:rsidRPr="00457A3B">
        <w:rPr>
          <w:rFonts w:cstheme="minorHAnsi"/>
          <w:sz w:val="20"/>
          <w:szCs w:val="20"/>
        </w:rPr>
        <w:t xml:space="preserve"> the burden of financial stress, </w:t>
      </w:r>
      <w:r w:rsidR="00B7438B">
        <w:rPr>
          <w:rFonts w:cstheme="minorHAnsi"/>
          <w:sz w:val="20"/>
          <w:szCs w:val="20"/>
        </w:rPr>
        <w:t>with the potential</w:t>
      </w:r>
      <w:r w:rsidR="003E0BA2" w:rsidRPr="00457A3B">
        <w:rPr>
          <w:rFonts w:cstheme="minorHAnsi"/>
          <w:sz w:val="20"/>
          <w:szCs w:val="20"/>
        </w:rPr>
        <w:t xml:space="preserve"> to reallocate spending to healthier choices. </w:t>
      </w:r>
    </w:p>
    <w:p w14:paraId="799B2D62" w14:textId="753E5EAC" w:rsidR="00A612F4" w:rsidRDefault="00AB6320" w:rsidP="00A612F4">
      <w:pPr>
        <w:pStyle w:val="NoSpacing"/>
        <w:spacing w:before="100" w:beforeAutospacing="1"/>
        <w:rPr>
          <w:rFonts w:cstheme="minorHAnsi"/>
          <w:sz w:val="20"/>
          <w:szCs w:val="20"/>
        </w:rPr>
      </w:pPr>
      <w:r>
        <w:rPr>
          <w:rFonts w:cstheme="minorHAnsi"/>
          <w:sz w:val="20"/>
          <w:szCs w:val="20"/>
        </w:rPr>
        <w:t>Several</w:t>
      </w:r>
      <w:r w:rsidR="00A612F4">
        <w:rPr>
          <w:rFonts w:cstheme="minorHAnsi"/>
          <w:sz w:val="20"/>
          <w:szCs w:val="20"/>
        </w:rPr>
        <w:t xml:space="preserve"> interactions between </w:t>
      </w:r>
      <w:r w:rsidR="006C315D">
        <w:rPr>
          <w:rFonts w:cstheme="minorHAnsi"/>
          <w:sz w:val="20"/>
          <w:szCs w:val="20"/>
        </w:rPr>
        <w:t>smoking</w:t>
      </w:r>
      <w:r w:rsidR="00A612F4">
        <w:rPr>
          <w:rFonts w:cstheme="minorHAnsi"/>
          <w:sz w:val="20"/>
          <w:szCs w:val="20"/>
        </w:rPr>
        <w:t xml:space="preserve"> and medications have been identified. In </w:t>
      </w:r>
      <w:r w:rsidR="00E63A76">
        <w:rPr>
          <w:rFonts w:cstheme="minorHAnsi"/>
          <w:sz w:val="20"/>
          <w:szCs w:val="20"/>
        </w:rPr>
        <w:t>most</w:t>
      </w:r>
      <w:r w:rsidR="00A612F4">
        <w:rPr>
          <w:rFonts w:cstheme="minorHAnsi"/>
          <w:sz w:val="20"/>
          <w:szCs w:val="20"/>
        </w:rPr>
        <w:t xml:space="preserve"> cases, it is not the nicotine that triggers these drug interactions, but rather the tobacco smoke itself. Medications include benzodiazepines and antipsychotics including clozapine and olanzapine. Upon smoking cessation, medication </w:t>
      </w:r>
      <w:r w:rsidR="00A612F4">
        <w:rPr>
          <w:rFonts w:cstheme="minorHAnsi"/>
          <w:sz w:val="20"/>
          <w:szCs w:val="20"/>
        </w:rPr>
        <w:lastRenderedPageBreak/>
        <w:t xml:space="preserve">dosages may </w:t>
      </w:r>
      <w:r w:rsidR="006428FC">
        <w:rPr>
          <w:rFonts w:cstheme="minorHAnsi"/>
          <w:sz w:val="20"/>
          <w:szCs w:val="20"/>
        </w:rPr>
        <w:t xml:space="preserve">be able </w:t>
      </w:r>
      <w:r w:rsidR="00A612F4">
        <w:rPr>
          <w:rFonts w:cstheme="minorHAnsi"/>
          <w:sz w:val="20"/>
          <w:szCs w:val="20"/>
        </w:rPr>
        <w:t xml:space="preserve">to be </w:t>
      </w:r>
      <w:proofErr w:type="gramStart"/>
      <w:r w:rsidR="00A612F4">
        <w:rPr>
          <w:rFonts w:cstheme="minorHAnsi"/>
          <w:sz w:val="20"/>
          <w:szCs w:val="20"/>
        </w:rPr>
        <w:t>reduced.</w:t>
      </w:r>
      <w:r w:rsidR="00205271">
        <w:rPr>
          <w:rStyle w:val="FootnoteReference"/>
          <w:rFonts w:cstheme="minorHAnsi"/>
          <w:sz w:val="20"/>
          <w:szCs w:val="20"/>
        </w:rPr>
        <w:footnoteReference w:id="34"/>
      </w:r>
      <w:r w:rsidR="006218B7">
        <w:rPr>
          <w:rFonts w:cstheme="minorHAnsi"/>
          <w:sz w:val="20"/>
          <w:szCs w:val="20"/>
          <w:vertAlign w:val="superscript"/>
        </w:rPr>
        <w:t>,</w:t>
      </w:r>
      <w:proofErr w:type="gramEnd"/>
      <w:r w:rsidR="00DD123C">
        <w:rPr>
          <w:rStyle w:val="FootnoteReference"/>
          <w:rFonts w:cstheme="minorHAnsi"/>
          <w:sz w:val="20"/>
          <w:szCs w:val="20"/>
        </w:rPr>
        <w:footnoteReference w:id="35"/>
      </w:r>
      <w:r w:rsidR="00A612F4">
        <w:rPr>
          <w:rFonts w:cstheme="minorHAnsi"/>
          <w:sz w:val="20"/>
          <w:szCs w:val="20"/>
        </w:rPr>
        <w:t xml:space="preserve"> This has the potential not only to save individuals money, but also reduce mental health care costs nationally. </w:t>
      </w:r>
    </w:p>
    <w:p w14:paraId="5128F5D9" w14:textId="77777777" w:rsidR="00A612F4" w:rsidRDefault="00A612F4" w:rsidP="00A612F4">
      <w:pPr>
        <w:pStyle w:val="NoSpacing"/>
        <w:spacing w:before="100" w:beforeAutospacing="1"/>
        <w:rPr>
          <w:rFonts w:cstheme="minorHAnsi"/>
          <w:sz w:val="20"/>
          <w:szCs w:val="20"/>
        </w:rPr>
      </w:pPr>
      <w:r>
        <w:rPr>
          <w:rFonts w:cstheme="minorHAnsi"/>
          <w:sz w:val="20"/>
          <w:szCs w:val="20"/>
        </w:rPr>
        <w:t xml:space="preserve">These medications are also linked to metabolic side effects, including type 2 diabetes, high cholesterol and weight gain. Reducing the dosages of these medications, through quitting smoking, </w:t>
      </w:r>
      <w:proofErr w:type="gramStart"/>
      <w:r>
        <w:rPr>
          <w:rFonts w:cstheme="minorHAnsi"/>
          <w:sz w:val="20"/>
          <w:szCs w:val="20"/>
        </w:rPr>
        <w:t>may</w:t>
      </w:r>
      <w:proofErr w:type="gramEnd"/>
      <w:r>
        <w:rPr>
          <w:rFonts w:cstheme="minorHAnsi"/>
          <w:sz w:val="20"/>
          <w:szCs w:val="20"/>
        </w:rPr>
        <w:t xml:space="preserve"> feasibly also reduce the likelihood of these side effects</w:t>
      </w:r>
      <w:r w:rsidR="00993FCE">
        <w:rPr>
          <w:rFonts w:cstheme="minorHAnsi"/>
          <w:sz w:val="20"/>
          <w:szCs w:val="20"/>
        </w:rPr>
        <w:t xml:space="preserve"> and their impact on metabolic health. </w:t>
      </w:r>
      <w:r>
        <w:rPr>
          <w:rFonts w:cstheme="minorHAnsi"/>
          <w:sz w:val="20"/>
          <w:szCs w:val="20"/>
        </w:rPr>
        <w:t xml:space="preserve"> </w:t>
      </w:r>
    </w:p>
    <w:p w14:paraId="2B6C5961" w14:textId="77777777" w:rsidR="00DA6035" w:rsidRDefault="00DA6035" w:rsidP="00993FCE">
      <w:pPr>
        <w:pStyle w:val="NoSpacing"/>
        <w:rPr>
          <w:sz w:val="20"/>
          <w:szCs w:val="20"/>
        </w:rPr>
      </w:pPr>
    </w:p>
    <w:p w14:paraId="76ADA604" w14:textId="74C2E019" w:rsidR="00A537E6" w:rsidRDefault="001C29E5" w:rsidP="00993FCE">
      <w:pPr>
        <w:pStyle w:val="NoSpacing"/>
        <w:rPr>
          <w:color w:val="131413"/>
        </w:rPr>
      </w:pPr>
      <w:r w:rsidRPr="00302693">
        <w:rPr>
          <w:sz w:val="20"/>
          <w:szCs w:val="20"/>
        </w:rPr>
        <w:t>Similarly, i</w:t>
      </w:r>
      <w:r w:rsidR="003E0BA2" w:rsidRPr="00302693">
        <w:rPr>
          <w:sz w:val="20"/>
          <w:szCs w:val="20"/>
        </w:rPr>
        <w:t>mproved physical activity levels have been shown to not only be preventive against some mental health conditions but also be an effective component of treatment.</w:t>
      </w:r>
      <w:r w:rsidR="003E0BA2" w:rsidRPr="00457A3B">
        <w:rPr>
          <w:rStyle w:val="FootnoteReference"/>
          <w:rFonts w:cstheme="minorHAnsi"/>
          <w:sz w:val="20"/>
          <w:szCs w:val="20"/>
        </w:rPr>
        <w:footnoteReference w:id="36"/>
      </w:r>
      <w:r w:rsidR="003E0BA2" w:rsidRPr="00457A3B">
        <w:rPr>
          <w:vertAlign w:val="superscript"/>
        </w:rPr>
        <w:t>,</w:t>
      </w:r>
      <w:r w:rsidR="003E0BA2" w:rsidRPr="00457A3B">
        <w:rPr>
          <w:rStyle w:val="FootnoteReference"/>
          <w:rFonts w:cstheme="minorHAnsi"/>
          <w:sz w:val="20"/>
          <w:szCs w:val="20"/>
        </w:rPr>
        <w:footnoteReference w:id="37"/>
      </w:r>
      <w:r w:rsidR="00E71823">
        <w:rPr>
          <w:vertAlign w:val="superscript"/>
        </w:rPr>
        <w:t>,</w:t>
      </w:r>
      <w:r w:rsidR="003E0BA2" w:rsidRPr="00457A3B">
        <w:rPr>
          <w:rStyle w:val="FootnoteReference"/>
          <w:rFonts w:cstheme="minorHAnsi"/>
          <w:sz w:val="20"/>
          <w:szCs w:val="20"/>
        </w:rPr>
        <w:footnoteReference w:id="38"/>
      </w:r>
      <w:r w:rsidR="003E0BA2" w:rsidRPr="00457A3B">
        <w:rPr>
          <w:vertAlign w:val="superscript"/>
        </w:rPr>
        <w:t>,</w:t>
      </w:r>
      <w:r w:rsidR="003E0BA2" w:rsidRPr="00457A3B">
        <w:rPr>
          <w:rStyle w:val="FootnoteReference"/>
          <w:rFonts w:cstheme="minorHAnsi"/>
          <w:sz w:val="20"/>
          <w:szCs w:val="20"/>
        </w:rPr>
        <w:footnoteReference w:id="39"/>
      </w:r>
      <w:r w:rsidR="003E0BA2" w:rsidRPr="00457A3B">
        <w:rPr>
          <w:vertAlign w:val="superscript"/>
        </w:rPr>
        <w:t>,</w:t>
      </w:r>
      <w:r w:rsidR="003E0BA2" w:rsidRPr="00457A3B">
        <w:rPr>
          <w:rStyle w:val="FootnoteReference"/>
          <w:rFonts w:cstheme="minorHAnsi"/>
          <w:sz w:val="20"/>
          <w:szCs w:val="20"/>
        </w:rPr>
        <w:footnoteReference w:id="40"/>
      </w:r>
      <w:r w:rsidR="003E0BA2" w:rsidRPr="00457A3B">
        <w:t xml:space="preserve">  </w:t>
      </w:r>
      <w:r w:rsidR="006D5037" w:rsidRPr="00302693">
        <w:rPr>
          <w:sz w:val="20"/>
          <w:szCs w:val="20"/>
        </w:rPr>
        <w:t>In addition</w:t>
      </w:r>
      <w:r w:rsidR="003E0BA2" w:rsidRPr="00302693">
        <w:rPr>
          <w:sz w:val="20"/>
          <w:szCs w:val="20"/>
        </w:rPr>
        <w:t xml:space="preserve">, </w:t>
      </w:r>
      <w:r w:rsidR="003E0BA2" w:rsidRPr="00302693">
        <w:rPr>
          <w:color w:val="131413"/>
          <w:sz w:val="20"/>
          <w:szCs w:val="20"/>
        </w:rPr>
        <w:t>diets higher in</w:t>
      </w:r>
      <w:r w:rsidR="003E0BA2" w:rsidRPr="00457A3B">
        <w:rPr>
          <w:color w:val="131413"/>
        </w:rPr>
        <w:t xml:space="preserve"> </w:t>
      </w:r>
      <w:r w:rsidR="003E0BA2" w:rsidRPr="00302693">
        <w:rPr>
          <w:color w:val="131413"/>
          <w:sz w:val="20"/>
          <w:szCs w:val="20"/>
        </w:rPr>
        <w:t>fruit, vegetables, fish and whole grains have been associated with a reduced likelihood of depression in adults.</w:t>
      </w:r>
      <w:r w:rsidR="003E0BA2" w:rsidRPr="00457A3B">
        <w:rPr>
          <w:rStyle w:val="FootnoteReference"/>
          <w:rFonts w:cstheme="minorHAnsi"/>
          <w:color w:val="131413"/>
          <w:sz w:val="20"/>
          <w:szCs w:val="20"/>
        </w:rPr>
        <w:footnoteReference w:id="41"/>
      </w:r>
    </w:p>
    <w:p w14:paraId="7EC6E81A" w14:textId="77777777" w:rsidR="00DC77D1" w:rsidRDefault="009165C5" w:rsidP="00AB72A2">
      <w:pPr>
        <w:pStyle w:val="Heading1"/>
        <w:rPr>
          <w:rFonts w:asciiTheme="minorHAnsi" w:hAnsiTheme="minorHAnsi" w:cstheme="minorHAnsi"/>
          <w:b/>
          <w:sz w:val="24"/>
          <w:szCs w:val="24"/>
        </w:rPr>
      </w:pPr>
      <w:r w:rsidRPr="00AB72A2">
        <w:rPr>
          <w:rFonts w:asciiTheme="minorHAnsi" w:hAnsiTheme="minorHAnsi" w:cstheme="minorHAnsi"/>
          <w:b/>
          <w:sz w:val="24"/>
          <w:szCs w:val="24"/>
        </w:rPr>
        <w:t xml:space="preserve">Addressing </w:t>
      </w:r>
      <w:r w:rsidR="005F2B4B" w:rsidRPr="00AB72A2">
        <w:rPr>
          <w:rFonts w:asciiTheme="minorHAnsi" w:hAnsiTheme="minorHAnsi" w:cstheme="minorHAnsi"/>
          <w:b/>
          <w:sz w:val="24"/>
          <w:szCs w:val="24"/>
        </w:rPr>
        <w:t>chronic disease risk factors in people with a mental illness</w:t>
      </w:r>
      <w:r w:rsidRPr="00AB72A2">
        <w:rPr>
          <w:rFonts w:asciiTheme="minorHAnsi" w:hAnsiTheme="minorHAnsi" w:cstheme="minorHAnsi"/>
          <w:b/>
          <w:sz w:val="24"/>
          <w:szCs w:val="24"/>
        </w:rPr>
        <w:t>: Key recommendations</w:t>
      </w:r>
    </w:p>
    <w:p w14:paraId="2FC32901" w14:textId="77777777" w:rsidR="00E748B7" w:rsidRDefault="00E748B7" w:rsidP="00E748B7">
      <w:pPr>
        <w:spacing w:before="100" w:beforeAutospacing="1"/>
        <w:rPr>
          <w:rFonts w:cstheme="minorHAnsi"/>
          <w:sz w:val="20"/>
          <w:szCs w:val="20"/>
        </w:rPr>
      </w:pPr>
      <w:r>
        <w:rPr>
          <w:rFonts w:cstheme="minorHAnsi"/>
          <w:sz w:val="20"/>
          <w:szCs w:val="20"/>
        </w:rPr>
        <w:t xml:space="preserve">Not addressing chronic disease risk factors in people with a mental illness undermines just delivery of healthcare and will serve to perpetuate inequalities in this </w:t>
      </w:r>
      <w:r w:rsidR="00DA3260">
        <w:rPr>
          <w:rFonts w:cstheme="minorHAnsi"/>
          <w:sz w:val="20"/>
          <w:szCs w:val="20"/>
        </w:rPr>
        <w:t>vulnerable population</w:t>
      </w:r>
      <w:r>
        <w:rPr>
          <w:rFonts w:cstheme="minorHAnsi"/>
          <w:sz w:val="20"/>
          <w:szCs w:val="20"/>
        </w:rPr>
        <w:t>. Health professionals and the health sector have a duty of care to not only manage a person’s mental illness but also to optimise their physical health.</w:t>
      </w:r>
      <w:r w:rsidR="00802DA4">
        <w:rPr>
          <w:rFonts w:cstheme="minorHAnsi"/>
          <w:sz w:val="20"/>
          <w:szCs w:val="20"/>
        </w:rPr>
        <w:t xml:space="preserve"> </w:t>
      </w:r>
    </w:p>
    <w:p w14:paraId="6D08D311" w14:textId="77777777" w:rsidR="00E748B7" w:rsidRDefault="00E748B7" w:rsidP="00E748B7">
      <w:pPr>
        <w:spacing w:before="100" w:beforeAutospacing="1"/>
        <w:rPr>
          <w:rFonts w:cstheme="minorHAnsi"/>
          <w:sz w:val="20"/>
          <w:szCs w:val="20"/>
        </w:rPr>
      </w:pPr>
      <w:r>
        <w:rPr>
          <w:rFonts w:cstheme="minorHAnsi"/>
          <w:sz w:val="20"/>
          <w:szCs w:val="20"/>
        </w:rPr>
        <w:t>In the context of smoking, the self-medication hypothesis postulates that people with a mental illness smoke to mitigate their symptoms.</w:t>
      </w:r>
      <w:r>
        <w:rPr>
          <w:rStyle w:val="FootnoteReference"/>
          <w:rFonts w:cstheme="minorHAnsi"/>
          <w:sz w:val="20"/>
          <w:szCs w:val="20"/>
        </w:rPr>
        <w:footnoteReference w:id="42"/>
      </w:r>
      <w:r>
        <w:rPr>
          <w:rFonts w:cstheme="minorHAnsi"/>
          <w:sz w:val="20"/>
          <w:szCs w:val="20"/>
        </w:rPr>
        <w:t xml:space="preserve"> This has contributed to the misinformed belief that addressing smoking in this cohort may worsen their mental illness.  A</w:t>
      </w:r>
      <w:r w:rsidRPr="00457A3B">
        <w:rPr>
          <w:rFonts w:cstheme="minorHAnsi"/>
          <w:sz w:val="20"/>
          <w:szCs w:val="20"/>
        </w:rPr>
        <w:t>lthough attempting to quit smoking can be more challenging</w:t>
      </w:r>
      <w:r w:rsidRPr="00457A3B">
        <w:rPr>
          <w:rStyle w:val="FootnoteReference"/>
          <w:rFonts w:cstheme="minorHAnsi"/>
          <w:sz w:val="20"/>
          <w:szCs w:val="20"/>
        </w:rPr>
        <w:footnoteReference w:id="43"/>
      </w:r>
      <w:r w:rsidRPr="00457A3B">
        <w:rPr>
          <w:rFonts w:cstheme="minorHAnsi"/>
          <w:sz w:val="20"/>
          <w:szCs w:val="20"/>
        </w:rPr>
        <w:t xml:space="preserve"> and require more intensive support to be successful, there is evidence that people with a mental illness want to stop smoking and can do so</w:t>
      </w:r>
      <w:r w:rsidR="00F536B2">
        <w:rPr>
          <w:rFonts w:cstheme="minorHAnsi"/>
          <w:sz w:val="20"/>
          <w:szCs w:val="20"/>
        </w:rPr>
        <w:t>.</w:t>
      </w:r>
      <w:r w:rsidRPr="00457A3B">
        <w:rPr>
          <w:rStyle w:val="FootnoteReference"/>
          <w:rFonts w:cstheme="minorHAnsi"/>
          <w:sz w:val="20"/>
          <w:szCs w:val="20"/>
        </w:rPr>
        <w:footnoteReference w:id="44"/>
      </w:r>
      <w:r w:rsidRPr="00457A3B">
        <w:rPr>
          <w:rFonts w:cstheme="minorHAnsi"/>
          <w:sz w:val="20"/>
          <w:szCs w:val="20"/>
        </w:rPr>
        <w:t xml:space="preserve"> </w:t>
      </w:r>
      <w:r>
        <w:rPr>
          <w:rFonts w:cstheme="minorHAnsi"/>
          <w:sz w:val="20"/>
          <w:szCs w:val="20"/>
        </w:rPr>
        <w:t>Even in people who smoke and have been admitted to hospital for a mental illness, 65% had an interest in smoking cessation.</w:t>
      </w:r>
      <w:r>
        <w:rPr>
          <w:rStyle w:val="FootnoteReference"/>
          <w:rFonts w:cstheme="minorHAnsi"/>
          <w:sz w:val="20"/>
          <w:szCs w:val="20"/>
        </w:rPr>
        <w:footnoteReference w:id="45"/>
      </w:r>
      <w:r>
        <w:rPr>
          <w:rFonts w:cstheme="minorHAnsi"/>
          <w:sz w:val="20"/>
          <w:szCs w:val="20"/>
        </w:rPr>
        <w:t xml:space="preserve"> </w:t>
      </w:r>
    </w:p>
    <w:p w14:paraId="06962CDD" w14:textId="092F19B9" w:rsidR="00CC07ED" w:rsidRDefault="00CC07ED" w:rsidP="00457A3B">
      <w:pPr>
        <w:rPr>
          <w:rFonts w:cstheme="minorHAnsi"/>
          <w:sz w:val="20"/>
          <w:szCs w:val="20"/>
        </w:rPr>
      </w:pPr>
      <w:r>
        <w:rPr>
          <w:rFonts w:cstheme="minorHAnsi"/>
          <w:sz w:val="20"/>
          <w:szCs w:val="20"/>
        </w:rPr>
        <w:t xml:space="preserve">In addition, </w:t>
      </w:r>
      <w:r w:rsidR="00C8782D">
        <w:rPr>
          <w:rFonts w:cstheme="minorHAnsi"/>
          <w:sz w:val="20"/>
          <w:szCs w:val="20"/>
        </w:rPr>
        <w:t>addressing</w:t>
      </w:r>
      <w:r>
        <w:rPr>
          <w:rFonts w:cstheme="minorHAnsi"/>
          <w:sz w:val="20"/>
          <w:szCs w:val="20"/>
        </w:rPr>
        <w:t xml:space="preserve"> chronic disease risk factors at the population level has the potential </w:t>
      </w:r>
      <w:r w:rsidR="00AA4EE6">
        <w:rPr>
          <w:rFonts w:cstheme="minorHAnsi"/>
          <w:sz w:val="20"/>
          <w:szCs w:val="20"/>
        </w:rPr>
        <w:t xml:space="preserve">to </w:t>
      </w:r>
      <w:r>
        <w:rPr>
          <w:rFonts w:cstheme="minorHAnsi"/>
          <w:sz w:val="20"/>
          <w:szCs w:val="20"/>
        </w:rPr>
        <w:t xml:space="preserve">improve health for people with </w:t>
      </w:r>
      <w:r w:rsidR="000C3BDC">
        <w:rPr>
          <w:rFonts w:cstheme="minorHAnsi"/>
          <w:sz w:val="20"/>
          <w:szCs w:val="20"/>
        </w:rPr>
        <w:t xml:space="preserve">a </w:t>
      </w:r>
      <w:r>
        <w:rPr>
          <w:rFonts w:cstheme="minorHAnsi"/>
          <w:sz w:val="20"/>
          <w:szCs w:val="20"/>
        </w:rPr>
        <w:t>mental illness as a subset of the population</w:t>
      </w:r>
      <w:r w:rsidR="002C2234">
        <w:rPr>
          <w:rFonts w:cstheme="minorHAnsi"/>
          <w:sz w:val="20"/>
          <w:szCs w:val="20"/>
        </w:rPr>
        <w:t>,</w:t>
      </w:r>
      <w:r>
        <w:rPr>
          <w:rFonts w:cstheme="minorHAnsi"/>
          <w:sz w:val="20"/>
          <w:szCs w:val="20"/>
        </w:rPr>
        <w:t xml:space="preserve"> through changes to the</w:t>
      </w:r>
      <w:r w:rsidR="00B31213">
        <w:rPr>
          <w:rFonts w:cstheme="minorHAnsi"/>
          <w:sz w:val="20"/>
          <w:szCs w:val="20"/>
        </w:rPr>
        <w:t xml:space="preserve"> health system and</w:t>
      </w:r>
      <w:r>
        <w:rPr>
          <w:rFonts w:cstheme="minorHAnsi"/>
          <w:sz w:val="20"/>
          <w:szCs w:val="20"/>
        </w:rPr>
        <w:t xml:space="preserve"> environment.</w:t>
      </w:r>
    </w:p>
    <w:p w14:paraId="4A43CD29" w14:textId="77777777" w:rsidR="00457A3B" w:rsidRPr="00457A3B" w:rsidRDefault="00457A3B" w:rsidP="00457A3B">
      <w:pPr>
        <w:rPr>
          <w:rFonts w:cstheme="minorHAnsi"/>
          <w:sz w:val="20"/>
          <w:szCs w:val="20"/>
        </w:rPr>
      </w:pPr>
      <w:r w:rsidRPr="00457A3B">
        <w:rPr>
          <w:rFonts w:cstheme="minorHAnsi"/>
          <w:sz w:val="20"/>
          <w:szCs w:val="20"/>
        </w:rPr>
        <w:t xml:space="preserve">This section specifically answers the following question posed in the Productivity Commission Issues Paper:  </w:t>
      </w:r>
    </w:p>
    <w:p w14:paraId="2622848C" w14:textId="77777777" w:rsidR="001909C9" w:rsidRPr="00457A3B" w:rsidRDefault="00457A3B" w:rsidP="00457A3B">
      <w:pPr>
        <w:spacing w:before="100" w:beforeAutospacing="1"/>
        <w:rPr>
          <w:rFonts w:cstheme="minorHAnsi"/>
          <w:b/>
          <w:i/>
          <w:sz w:val="20"/>
          <w:szCs w:val="20"/>
        </w:rPr>
      </w:pPr>
      <w:r w:rsidRPr="00457A3B">
        <w:rPr>
          <w:rFonts w:cstheme="minorHAnsi"/>
          <w:b/>
          <w:i/>
          <w:sz w:val="20"/>
          <w:szCs w:val="20"/>
        </w:rPr>
        <w:lastRenderedPageBreak/>
        <w:t xml:space="preserve">What changes do you recommend to healthcare to address the specific issues of comorbidities among people with a mental illness? What evidence is there to support your suggested actions and what types of improvements would you expect in terms of population mental health, participation and productivity? </w:t>
      </w:r>
    </w:p>
    <w:p w14:paraId="1543C2DB" w14:textId="77777777" w:rsidR="00CA0374" w:rsidRPr="00457A3B" w:rsidRDefault="00C2196D" w:rsidP="00457A3B">
      <w:pPr>
        <w:pStyle w:val="ListParagraph"/>
        <w:numPr>
          <w:ilvl w:val="0"/>
          <w:numId w:val="5"/>
        </w:numPr>
        <w:spacing w:before="100" w:beforeAutospacing="1"/>
        <w:rPr>
          <w:rFonts w:cstheme="minorHAnsi"/>
          <w:b/>
          <w:i/>
          <w:sz w:val="20"/>
          <w:szCs w:val="20"/>
        </w:rPr>
      </w:pPr>
      <w:r>
        <w:rPr>
          <w:rFonts w:cstheme="minorHAnsi"/>
          <w:b/>
          <w:i/>
          <w:sz w:val="20"/>
          <w:szCs w:val="20"/>
        </w:rPr>
        <w:t xml:space="preserve">A systematic approach to </w:t>
      </w:r>
      <w:r w:rsidR="00B429A0">
        <w:rPr>
          <w:rFonts w:cstheme="minorHAnsi"/>
          <w:b/>
          <w:i/>
          <w:sz w:val="20"/>
          <w:szCs w:val="20"/>
        </w:rPr>
        <w:t>chronic disease prevention</w:t>
      </w:r>
      <w:r>
        <w:rPr>
          <w:rFonts w:cstheme="minorHAnsi"/>
          <w:b/>
          <w:i/>
          <w:sz w:val="20"/>
          <w:szCs w:val="20"/>
        </w:rPr>
        <w:t xml:space="preserve"> </w:t>
      </w:r>
      <w:r w:rsidR="00BF6A76">
        <w:rPr>
          <w:rFonts w:cstheme="minorHAnsi"/>
          <w:b/>
          <w:i/>
          <w:sz w:val="20"/>
          <w:szCs w:val="20"/>
        </w:rPr>
        <w:t>must be embedded</w:t>
      </w:r>
      <w:r w:rsidR="00B429A0">
        <w:rPr>
          <w:rFonts w:cstheme="minorHAnsi"/>
          <w:b/>
          <w:i/>
          <w:sz w:val="20"/>
          <w:szCs w:val="20"/>
        </w:rPr>
        <w:t xml:space="preserve"> in mental health services and</w:t>
      </w:r>
      <w:r w:rsidR="00BF6A76">
        <w:rPr>
          <w:rFonts w:cstheme="minorHAnsi"/>
          <w:b/>
          <w:i/>
          <w:sz w:val="20"/>
          <w:szCs w:val="20"/>
        </w:rPr>
        <w:t xml:space="preserve"> across the</w:t>
      </w:r>
      <w:r w:rsidR="00B429A0">
        <w:rPr>
          <w:rFonts w:cstheme="minorHAnsi"/>
          <w:b/>
          <w:i/>
          <w:sz w:val="20"/>
          <w:szCs w:val="20"/>
        </w:rPr>
        <w:t xml:space="preserve"> entire</w:t>
      </w:r>
      <w:r w:rsidR="00BF6A76">
        <w:rPr>
          <w:rFonts w:cstheme="minorHAnsi"/>
          <w:b/>
          <w:i/>
          <w:sz w:val="20"/>
          <w:szCs w:val="20"/>
        </w:rPr>
        <w:t xml:space="preserve"> health system </w:t>
      </w:r>
    </w:p>
    <w:p w14:paraId="639716C9" w14:textId="77777777" w:rsidR="00405448" w:rsidRPr="00405448" w:rsidRDefault="00405448" w:rsidP="00405448">
      <w:pPr>
        <w:spacing w:before="100" w:beforeAutospacing="1"/>
        <w:rPr>
          <w:rFonts w:cstheme="minorHAnsi"/>
          <w:sz w:val="20"/>
          <w:szCs w:val="20"/>
        </w:rPr>
      </w:pPr>
      <w:r w:rsidRPr="00405448">
        <w:rPr>
          <w:rFonts w:cstheme="minorHAnsi"/>
          <w:sz w:val="20"/>
          <w:szCs w:val="20"/>
        </w:rPr>
        <w:t>A systematic approach needs to be adopted not only in formalised mental health services, but also the entire health system, from primary care to general hospital-based services. This is because only a relatively small proportion of people with a mental illness are in contact with formalised mental health services.</w:t>
      </w:r>
      <w:r>
        <w:rPr>
          <w:rStyle w:val="FootnoteReference"/>
          <w:rFonts w:cstheme="minorHAnsi"/>
          <w:sz w:val="20"/>
          <w:szCs w:val="20"/>
        </w:rPr>
        <w:footnoteReference w:id="46"/>
      </w:r>
      <w:r w:rsidRPr="00405448">
        <w:rPr>
          <w:rFonts w:cstheme="minorHAnsi"/>
          <w:sz w:val="20"/>
          <w:szCs w:val="20"/>
        </w:rPr>
        <w:t xml:space="preserve"> A whole-of-sector approach is also vital to ensure continuity of care as people transition from different types of care. </w:t>
      </w:r>
    </w:p>
    <w:p w14:paraId="365204F2" w14:textId="7843F683" w:rsidR="00B80856" w:rsidRDefault="00405448" w:rsidP="009863D3">
      <w:pPr>
        <w:spacing w:before="100" w:beforeAutospacing="1"/>
        <w:rPr>
          <w:rFonts w:cstheme="minorHAnsi"/>
          <w:sz w:val="20"/>
          <w:szCs w:val="20"/>
        </w:rPr>
      </w:pPr>
      <w:r w:rsidRPr="00AB0B7F">
        <w:rPr>
          <w:rFonts w:cstheme="minorHAnsi"/>
          <w:sz w:val="20"/>
          <w:szCs w:val="20"/>
        </w:rPr>
        <w:t>Almost 40% of potentially preventable hospitalisations are due to chronic conditions.</w:t>
      </w:r>
      <w:r>
        <w:rPr>
          <w:rStyle w:val="FootnoteReference"/>
          <w:rFonts w:cstheme="minorHAnsi"/>
          <w:sz w:val="20"/>
          <w:szCs w:val="20"/>
        </w:rPr>
        <w:footnoteReference w:id="47"/>
      </w:r>
      <w:r w:rsidR="00F07C10">
        <w:rPr>
          <w:rFonts w:cstheme="minorHAnsi"/>
          <w:sz w:val="20"/>
          <w:szCs w:val="20"/>
        </w:rPr>
        <w:t xml:space="preserve"> Early detection and management of </w:t>
      </w:r>
      <w:r w:rsidR="0023558F">
        <w:rPr>
          <w:rFonts w:cstheme="minorHAnsi"/>
          <w:sz w:val="20"/>
          <w:szCs w:val="20"/>
        </w:rPr>
        <w:t xml:space="preserve">chronic disease </w:t>
      </w:r>
      <w:r w:rsidR="00F07C10">
        <w:rPr>
          <w:rFonts w:cstheme="minorHAnsi"/>
          <w:sz w:val="20"/>
          <w:szCs w:val="20"/>
        </w:rPr>
        <w:t>risk factors</w:t>
      </w:r>
      <w:r w:rsidR="00875C34">
        <w:rPr>
          <w:rFonts w:cstheme="minorHAnsi"/>
          <w:sz w:val="20"/>
          <w:szCs w:val="20"/>
        </w:rPr>
        <w:t>, including</w:t>
      </w:r>
      <w:r w:rsidR="00F07C10">
        <w:rPr>
          <w:rFonts w:cstheme="minorHAnsi"/>
          <w:sz w:val="20"/>
          <w:szCs w:val="20"/>
        </w:rPr>
        <w:t xml:space="preserve"> </w:t>
      </w:r>
      <w:r w:rsidR="00FF5807">
        <w:rPr>
          <w:rFonts w:cstheme="minorHAnsi"/>
          <w:sz w:val="20"/>
          <w:szCs w:val="20"/>
        </w:rPr>
        <w:t>among people with a mental illness</w:t>
      </w:r>
      <w:r w:rsidR="00875C34">
        <w:rPr>
          <w:rFonts w:cstheme="minorHAnsi"/>
          <w:sz w:val="20"/>
          <w:szCs w:val="20"/>
        </w:rPr>
        <w:t>,</w:t>
      </w:r>
      <w:r w:rsidR="00FF5807">
        <w:rPr>
          <w:rFonts w:cstheme="minorHAnsi"/>
          <w:sz w:val="20"/>
          <w:szCs w:val="20"/>
        </w:rPr>
        <w:t xml:space="preserve"> </w:t>
      </w:r>
      <w:r w:rsidR="00F07C10">
        <w:rPr>
          <w:rFonts w:cstheme="minorHAnsi"/>
          <w:sz w:val="20"/>
          <w:szCs w:val="20"/>
        </w:rPr>
        <w:t xml:space="preserve">has the potential to reduce disease risk, slow or reverse disease progression, </w:t>
      </w:r>
      <w:r w:rsidR="00F2213E">
        <w:rPr>
          <w:rFonts w:cstheme="minorHAnsi"/>
          <w:sz w:val="20"/>
          <w:szCs w:val="20"/>
        </w:rPr>
        <w:t xml:space="preserve">and </w:t>
      </w:r>
      <w:r w:rsidR="0023558F">
        <w:rPr>
          <w:rFonts w:cstheme="minorHAnsi"/>
          <w:sz w:val="20"/>
          <w:szCs w:val="20"/>
        </w:rPr>
        <w:t xml:space="preserve">reduce complications and unnecessary hospitalisations. </w:t>
      </w:r>
      <w:r w:rsidR="00C83B50" w:rsidRPr="00C83B50">
        <w:rPr>
          <w:rFonts w:cstheme="minorHAnsi"/>
          <w:sz w:val="20"/>
          <w:szCs w:val="20"/>
        </w:rPr>
        <w:t>There are potential benefits at an individual level in improved quality of life</w:t>
      </w:r>
      <w:r w:rsidR="008C6EFD">
        <w:rPr>
          <w:rFonts w:cstheme="minorHAnsi"/>
          <w:sz w:val="20"/>
          <w:szCs w:val="20"/>
        </w:rPr>
        <w:t>, participation and</w:t>
      </w:r>
      <w:r w:rsidR="002B7A58">
        <w:rPr>
          <w:rFonts w:cstheme="minorHAnsi"/>
          <w:sz w:val="20"/>
          <w:szCs w:val="20"/>
        </w:rPr>
        <w:t xml:space="preserve"> </w:t>
      </w:r>
      <w:r w:rsidR="00C83B50" w:rsidRPr="00C83B50">
        <w:rPr>
          <w:rFonts w:cstheme="minorHAnsi"/>
          <w:sz w:val="20"/>
          <w:szCs w:val="20"/>
        </w:rPr>
        <w:t>reduced burden of disease, as well as at the health system level with reduced expenditure for related hospitalisations.</w:t>
      </w:r>
    </w:p>
    <w:p w14:paraId="03948F49" w14:textId="77777777" w:rsidR="008949B0" w:rsidRDefault="00DA2D78" w:rsidP="009863D3">
      <w:pPr>
        <w:spacing w:before="100" w:beforeAutospacing="1"/>
        <w:rPr>
          <w:rFonts w:cstheme="minorHAnsi"/>
          <w:sz w:val="20"/>
          <w:szCs w:val="20"/>
        </w:rPr>
      </w:pPr>
      <w:r>
        <w:rPr>
          <w:rFonts w:cstheme="minorHAnsi"/>
          <w:sz w:val="20"/>
          <w:szCs w:val="20"/>
        </w:rPr>
        <w:t>The systematic provision of i</w:t>
      </w:r>
      <w:r w:rsidR="00405448" w:rsidRPr="00AB0B7F">
        <w:rPr>
          <w:rFonts w:cstheme="minorHAnsi"/>
          <w:sz w:val="20"/>
          <w:szCs w:val="20"/>
        </w:rPr>
        <w:t xml:space="preserve">ntegrated health checks </w:t>
      </w:r>
      <w:r>
        <w:rPr>
          <w:rFonts w:cstheme="minorHAnsi"/>
          <w:sz w:val="20"/>
          <w:szCs w:val="20"/>
        </w:rPr>
        <w:t>in primary care</w:t>
      </w:r>
      <w:r w:rsidR="00405448" w:rsidRPr="00AB0B7F">
        <w:rPr>
          <w:rFonts w:cstheme="minorHAnsi"/>
          <w:sz w:val="20"/>
          <w:szCs w:val="20"/>
        </w:rPr>
        <w:t xml:space="preserve"> (comprising absolute cardiovascular disease risk assessment, a type 2 diabetes check, and a kidney disease test) </w:t>
      </w:r>
      <w:r w:rsidR="008949B0" w:rsidRPr="008949B0">
        <w:rPr>
          <w:rFonts w:cstheme="minorHAnsi"/>
          <w:sz w:val="20"/>
          <w:szCs w:val="20"/>
        </w:rPr>
        <w:t xml:space="preserve">would enable </w:t>
      </w:r>
      <w:r w:rsidR="004E2F55">
        <w:rPr>
          <w:rFonts w:cstheme="minorHAnsi"/>
          <w:sz w:val="20"/>
          <w:szCs w:val="20"/>
        </w:rPr>
        <w:t xml:space="preserve">assessment </w:t>
      </w:r>
      <w:r w:rsidR="00C541A5">
        <w:rPr>
          <w:rFonts w:cstheme="minorHAnsi"/>
          <w:sz w:val="20"/>
          <w:szCs w:val="20"/>
        </w:rPr>
        <w:t xml:space="preserve">of </w:t>
      </w:r>
      <w:r w:rsidR="004E2F55">
        <w:rPr>
          <w:rFonts w:cstheme="minorHAnsi"/>
          <w:sz w:val="20"/>
          <w:szCs w:val="20"/>
        </w:rPr>
        <w:t>chronic disease risk factors for people with mental illness</w:t>
      </w:r>
      <w:r w:rsidR="00325B31">
        <w:rPr>
          <w:rFonts w:cstheme="minorHAnsi"/>
          <w:sz w:val="20"/>
          <w:szCs w:val="20"/>
        </w:rPr>
        <w:t xml:space="preserve"> </w:t>
      </w:r>
      <w:r w:rsidR="00130F12">
        <w:rPr>
          <w:rFonts w:cstheme="minorHAnsi"/>
          <w:sz w:val="20"/>
          <w:szCs w:val="20"/>
        </w:rPr>
        <w:t xml:space="preserve">at </w:t>
      </w:r>
      <w:r w:rsidR="004E5418">
        <w:rPr>
          <w:rFonts w:cstheme="minorHAnsi"/>
          <w:sz w:val="20"/>
          <w:szCs w:val="20"/>
        </w:rPr>
        <w:t>specific</w:t>
      </w:r>
      <w:r w:rsidR="00130F12">
        <w:rPr>
          <w:rFonts w:cstheme="minorHAnsi"/>
          <w:sz w:val="20"/>
          <w:szCs w:val="20"/>
        </w:rPr>
        <w:t xml:space="preserve"> ages</w:t>
      </w:r>
      <w:r w:rsidR="000521F0">
        <w:rPr>
          <w:rFonts w:cstheme="minorHAnsi"/>
          <w:sz w:val="20"/>
          <w:szCs w:val="20"/>
        </w:rPr>
        <w:t>, in alignment with clinical guidelines</w:t>
      </w:r>
      <w:r w:rsidR="00C541A5">
        <w:rPr>
          <w:rFonts w:cstheme="minorHAnsi"/>
          <w:sz w:val="20"/>
          <w:szCs w:val="20"/>
        </w:rPr>
        <w:t>,</w:t>
      </w:r>
      <w:r w:rsidR="00502621">
        <w:rPr>
          <w:rStyle w:val="FootnoteReference"/>
          <w:rFonts w:cstheme="minorHAnsi"/>
          <w:sz w:val="20"/>
          <w:szCs w:val="20"/>
        </w:rPr>
        <w:footnoteReference w:id="48"/>
      </w:r>
      <w:r w:rsidR="00C815D6">
        <w:rPr>
          <w:rFonts w:cstheme="minorHAnsi"/>
          <w:sz w:val="20"/>
          <w:szCs w:val="20"/>
        </w:rPr>
        <w:t xml:space="preserve"> </w:t>
      </w:r>
      <w:r w:rsidR="00325B31">
        <w:rPr>
          <w:rFonts w:cstheme="minorHAnsi"/>
          <w:sz w:val="20"/>
          <w:szCs w:val="20"/>
        </w:rPr>
        <w:t xml:space="preserve">irrespective of their engagement with mental health services. </w:t>
      </w:r>
      <w:r w:rsidR="00C815D6">
        <w:rPr>
          <w:rFonts w:cstheme="minorHAnsi"/>
          <w:sz w:val="20"/>
          <w:szCs w:val="20"/>
        </w:rPr>
        <w:t xml:space="preserve">Support could be </w:t>
      </w:r>
      <w:r w:rsidR="00F13B59">
        <w:rPr>
          <w:rFonts w:cstheme="minorHAnsi"/>
          <w:sz w:val="20"/>
          <w:szCs w:val="20"/>
        </w:rPr>
        <w:t>provided</w:t>
      </w:r>
      <w:r w:rsidR="00134ADD">
        <w:rPr>
          <w:rFonts w:cstheme="minorHAnsi"/>
          <w:sz w:val="20"/>
          <w:szCs w:val="20"/>
        </w:rPr>
        <w:t xml:space="preserve"> </w:t>
      </w:r>
      <w:r w:rsidR="00F13B59">
        <w:rPr>
          <w:rFonts w:cstheme="minorHAnsi"/>
          <w:sz w:val="20"/>
          <w:szCs w:val="20"/>
        </w:rPr>
        <w:t xml:space="preserve">through </w:t>
      </w:r>
      <w:r w:rsidR="005B2C8B" w:rsidRPr="005B2C8B">
        <w:rPr>
          <w:rFonts w:cstheme="minorHAnsi"/>
          <w:sz w:val="20"/>
          <w:szCs w:val="20"/>
        </w:rPr>
        <w:t xml:space="preserve">referrals for: smoking cessation services; weight management, including bariatric surgery for the severely obese; exercise and behaviour change programs; and </w:t>
      </w:r>
      <w:r w:rsidR="00F13B59">
        <w:rPr>
          <w:rFonts w:cstheme="minorHAnsi"/>
          <w:sz w:val="20"/>
          <w:szCs w:val="20"/>
        </w:rPr>
        <w:t xml:space="preserve">consideration of </w:t>
      </w:r>
      <w:r w:rsidR="005B2C8B" w:rsidRPr="005B2C8B">
        <w:rPr>
          <w:rFonts w:cstheme="minorHAnsi"/>
          <w:sz w:val="20"/>
          <w:szCs w:val="20"/>
        </w:rPr>
        <w:t>medication for those at high-risk, in accordance with guidelines and in consultation with their GP.</w:t>
      </w:r>
    </w:p>
    <w:p w14:paraId="3B2F85AE" w14:textId="25A2914D" w:rsidR="00411586" w:rsidRPr="00457A3B" w:rsidRDefault="004042AD" w:rsidP="004042AD">
      <w:pPr>
        <w:spacing w:before="100" w:beforeAutospacing="1"/>
        <w:rPr>
          <w:rFonts w:cstheme="minorHAnsi"/>
          <w:sz w:val="20"/>
          <w:szCs w:val="20"/>
        </w:rPr>
      </w:pPr>
      <w:r w:rsidRPr="00AB0B7F">
        <w:rPr>
          <w:rFonts w:cstheme="minorHAnsi"/>
          <w:sz w:val="20"/>
          <w:szCs w:val="20"/>
        </w:rPr>
        <w:t>Addressing smoking</w:t>
      </w:r>
      <w:r w:rsidR="00193F1A">
        <w:rPr>
          <w:rFonts w:cstheme="minorHAnsi"/>
          <w:sz w:val="20"/>
          <w:szCs w:val="20"/>
        </w:rPr>
        <w:t xml:space="preserve"> and other risk factors</w:t>
      </w:r>
      <w:r w:rsidRPr="00AB0B7F">
        <w:rPr>
          <w:rFonts w:cstheme="minorHAnsi"/>
          <w:sz w:val="20"/>
          <w:szCs w:val="20"/>
        </w:rPr>
        <w:t xml:space="preserve"> in people with a mental illness,</w:t>
      </w:r>
      <w:r w:rsidR="001909C9" w:rsidRPr="00AB0B7F">
        <w:rPr>
          <w:rFonts w:cstheme="minorHAnsi"/>
          <w:sz w:val="20"/>
          <w:szCs w:val="20"/>
        </w:rPr>
        <w:t xml:space="preserve"> as a means of preventing chronic disease development,</w:t>
      </w:r>
      <w:r w:rsidRPr="00AB0B7F">
        <w:rPr>
          <w:rFonts w:cstheme="minorHAnsi"/>
          <w:sz w:val="20"/>
          <w:szCs w:val="20"/>
        </w:rPr>
        <w:t xml:space="preserve"> needs to occur in a systematic way across the health sector. </w:t>
      </w:r>
      <w:r w:rsidR="00411586" w:rsidRPr="00AB0B7F">
        <w:rPr>
          <w:rFonts w:cstheme="minorHAnsi"/>
          <w:sz w:val="20"/>
          <w:szCs w:val="20"/>
        </w:rPr>
        <w:t xml:space="preserve">Relying on individual practice change at the clinician level </w:t>
      </w:r>
      <w:r w:rsidR="001909C9" w:rsidRPr="00AB0B7F">
        <w:rPr>
          <w:rFonts w:cstheme="minorHAnsi"/>
          <w:sz w:val="20"/>
          <w:szCs w:val="20"/>
        </w:rPr>
        <w:t xml:space="preserve">alone </w:t>
      </w:r>
      <w:r w:rsidR="00411586" w:rsidRPr="00AB0B7F">
        <w:rPr>
          <w:rFonts w:cstheme="minorHAnsi"/>
          <w:sz w:val="20"/>
          <w:szCs w:val="20"/>
        </w:rPr>
        <w:t xml:space="preserve">is not sufficient. </w:t>
      </w:r>
      <w:r w:rsidR="00411586" w:rsidRPr="00457A3B">
        <w:rPr>
          <w:rFonts w:cstheme="minorHAnsi"/>
          <w:sz w:val="20"/>
          <w:szCs w:val="20"/>
        </w:rPr>
        <w:t>An example of this is the Tackling Tobacco framework, developed by Cancer Council New South Wales. It takes an organisational change approach to addressing smoking in health and community services</w:t>
      </w:r>
      <w:r w:rsidR="00205271">
        <w:rPr>
          <w:rFonts w:cstheme="minorHAnsi"/>
          <w:sz w:val="20"/>
          <w:szCs w:val="20"/>
        </w:rPr>
        <w:t>.</w:t>
      </w:r>
      <w:r w:rsidR="00AA05EC">
        <w:rPr>
          <w:rStyle w:val="FootnoteReference"/>
          <w:rFonts w:cstheme="minorHAnsi"/>
          <w:sz w:val="20"/>
          <w:szCs w:val="20"/>
        </w:rPr>
        <w:footnoteReference w:id="49"/>
      </w:r>
      <w:r w:rsidR="00411586" w:rsidRPr="00457A3B">
        <w:rPr>
          <w:rFonts w:cstheme="minorHAnsi"/>
          <w:sz w:val="20"/>
          <w:szCs w:val="20"/>
        </w:rPr>
        <w:t xml:space="preserve"> The framework consists of six key elements for success including: </w:t>
      </w:r>
    </w:p>
    <w:p w14:paraId="29283117" w14:textId="77777777" w:rsidR="00411586" w:rsidRPr="00457A3B" w:rsidRDefault="00411586" w:rsidP="00411586">
      <w:pPr>
        <w:pStyle w:val="ListParagraph"/>
        <w:numPr>
          <w:ilvl w:val="0"/>
          <w:numId w:val="4"/>
        </w:numPr>
        <w:spacing w:before="100" w:beforeAutospacing="1"/>
        <w:rPr>
          <w:rFonts w:cstheme="minorHAnsi"/>
          <w:sz w:val="20"/>
          <w:szCs w:val="20"/>
        </w:rPr>
      </w:pPr>
      <w:r w:rsidRPr="00457A3B">
        <w:rPr>
          <w:rFonts w:cstheme="minorHAnsi"/>
          <w:sz w:val="20"/>
          <w:szCs w:val="20"/>
        </w:rPr>
        <w:t xml:space="preserve">Committed leadership </w:t>
      </w:r>
    </w:p>
    <w:p w14:paraId="05F000C6" w14:textId="77777777" w:rsidR="00411586" w:rsidRPr="00457A3B" w:rsidRDefault="00411586" w:rsidP="00411586">
      <w:pPr>
        <w:pStyle w:val="ListParagraph"/>
        <w:numPr>
          <w:ilvl w:val="0"/>
          <w:numId w:val="4"/>
        </w:numPr>
        <w:spacing w:before="100" w:beforeAutospacing="1"/>
        <w:rPr>
          <w:rFonts w:cstheme="minorHAnsi"/>
          <w:sz w:val="20"/>
          <w:szCs w:val="20"/>
        </w:rPr>
      </w:pPr>
      <w:r w:rsidRPr="00457A3B">
        <w:rPr>
          <w:rFonts w:cstheme="minorHAnsi"/>
          <w:sz w:val="20"/>
          <w:szCs w:val="20"/>
        </w:rPr>
        <w:t xml:space="preserve">Comprehensive </w:t>
      </w:r>
      <w:r w:rsidR="00A1657F" w:rsidRPr="00457A3B">
        <w:rPr>
          <w:rFonts w:cstheme="minorHAnsi"/>
          <w:sz w:val="20"/>
          <w:szCs w:val="20"/>
        </w:rPr>
        <w:t>smok</w:t>
      </w:r>
      <w:r w:rsidR="00A1657F">
        <w:rPr>
          <w:rFonts w:cstheme="minorHAnsi"/>
          <w:sz w:val="20"/>
          <w:szCs w:val="20"/>
        </w:rPr>
        <w:t>efree</w:t>
      </w:r>
      <w:r w:rsidR="00A1657F" w:rsidRPr="00457A3B">
        <w:rPr>
          <w:rFonts w:cstheme="minorHAnsi"/>
          <w:sz w:val="20"/>
          <w:szCs w:val="20"/>
        </w:rPr>
        <w:t xml:space="preserve"> </w:t>
      </w:r>
      <w:r w:rsidRPr="00457A3B">
        <w:rPr>
          <w:rFonts w:cstheme="minorHAnsi"/>
          <w:sz w:val="20"/>
          <w:szCs w:val="20"/>
        </w:rPr>
        <w:t>policies</w:t>
      </w:r>
    </w:p>
    <w:p w14:paraId="635A4EFF" w14:textId="77777777" w:rsidR="00411586" w:rsidRPr="00457A3B" w:rsidRDefault="00411586" w:rsidP="00411586">
      <w:pPr>
        <w:pStyle w:val="ListParagraph"/>
        <w:numPr>
          <w:ilvl w:val="0"/>
          <w:numId w:val="4"/>
        </w:numPr>
        <w:spacing w:before="100" w:beforeAutospacing="1"/>
        <w:rPr>
          <w:rFonts w:cstheme="minorHAnsi"/>
          <w:sz w:val="20"/>
          <w:szCs w:val="20"/>
        </w:rPr>
      </w:pPr>
      <w:r w:rsidRPr="00457A3B">
        <w:rPr>
          <w:rFonts w:cstheme="minorHAnsi"/>
          <w:sz w:val="20"/>
          <w:szCs w:val="20"/>
        </w:rPr>
        <w:t>Supportive systems</w:t>
      </w:r>
    </w:p>
    <w:p w14:paraId="1A9566C7" w14:textId="03E59EA3" w:rsidR="00411586" w:rsidRPr="00457A3B" w:rsidRDefault="00411586" w:rsidP="00411586">
      <w:pPr>
        <w:pStyle w:val="ListParagraph"/>
        <w:numPr>
          <w:ilvl w:val="0"/>
          <w:numId w:val="4"/>
        </w:numPr>
        <w:spacing w:before="100" w:beforeAutospacing="1"/>
        <w:rPr>
          <w:rFonts w:cstheme="minorHAnsi"/>
          <w:sz w:val="20"/>
          <w:szCs w:val="20"/>
        </w:rPr>
      </w:pPr>
      <w:r w:rsidRPr="00457A3B">
        <w:rPr>
          <w:rFonts w:cstheme="minorHAnsi"/>
          <w:sz w:val="20"/>
          <w:szCs w:val="20"/>
        </w:rPr>
        <w:t>Consistent quit support</w:t>
      </w:r>
      <w:r w:rsidR="00781EF3">
        <w:rPr>
          <w:rFonts w:cstheme="minorHAnsi"/>
          <w:sz w:val="20"/>
          <w:szCs w:val="20"/>
        </w:rPr>
        <w:t>s</w:t>
      </w:r>
      <w:r w:rsidRPr="00457A3B">
        <w:rPr>
          <w:rFonts w:cstheme="minorHAnsi"/>
          <w:sz w:val="20"/>
          <w:szCs w:val="20"/>
        </w:rPr>
        <w:t xml:space="preserve"> </w:t>
      </w:r>
    </w:p>
    <w:p w14:paraId="7094A779" w14:textId="747F2CC8" w:rsidR="00411586" w:rsidRPr="00457A3B" w:rsidRDefault="00411586" w:rsidP="00411586">
      <w:pPr>
        <w:pStyle w:val="ListParagraph"/>
        <w:numPr>
          <w:ilvl w:val="0"/>
          <w:numId w:val="4"/>
        </w:numPr>
        <w:spacing w:before="100" w:beforeAutospacing="1"/>
        <w:rPr>
          <w:rFonts w:cstheme="minorHAnsi"/>
          <w:sz w:val="20"/>
          <w:szCs w:val="20"/>
        </w:rPr>
      </w:pPr>
      <w:r w:rsidRPr="00457A3B">
        <w:rPr>
          <w:rFonts w:cstheme="minorHAnsi"/>
          <w:sz w:val="20"/>
          <w:szCs w:val="20"/>
        </w:rPr>
        <w:t>Training and follow</w:t>
      </w:r>
      <w:r w:rsidR="00F31473">
        <w:rPr>
          <w:rFonts w:cstheme="minorHAnsi"/>
          <w:sz w:val="20"/>
          <w:szCs w:val="20"/>
        </w:rPr>
        <w:t xml:space="preserve"> </w:t>
      </w:r>
      <w:r w:rsidRPr="00457A3B">
        <w:rPr>
          <w:rFonts w:cstheme="minorHAnsi"/>
          <w:sz w:val="20"/>
          <w:szCs w:val="20"/>
        </w:rPr>
        <w:t xml:space="preserve">up </w:t>
      </w:r>
    </w:p>
    <w:p w14:paraId="11E9BC3B" w14:textId="77777777" w:rsidR="00C955F7" w:rsidRDefault="0075415B" w:rsidP="0075415B">
      <w:pPr>
        <w:pStyle w:val="ListParagraph"/>
        <w:numPr>
          <w:ilvl w:val="0"/>
          <w:numId w:val="4"/>
        </w:numPr>
        <w:spacing w:before="100" w:beforeAutospacing="1"/>
        <w:rPr>
          <w:rFonts w:cstheme="minorHAnsi"/>
          <w:sz w:val="20"/>
          <w:szCs w:val="20"/>
        </w:rPr>
      </w:pPr>
      <w:r w:rsidRPr="00457A3B">
        <w:rPr>
          <w:rFonts w:cstheme="minorHAnsi"/>
          <w:sz w:val="20"/>
          <w:szCs w:val="20"/>
        </w:rPr>
        <w:t xml:space="preserve">Systematic monitoring and data collection </w:t>
      </w:r>
      <w:bookmarkStart w:id="1" w:name="_Hlk3286838"/>
    </w:p>
    <w:p w14:paraId="4EE6CCDE" w14:textId="0A33F9AB" w:rsidR="00607949" w:rsidRDefault="0075415B" w:rsidP="00F7131E">
      <w:pPr>
        <w:spacing w:before="100" w:beforeAutospacing="1"/>
        <w:rPr>
          <w:color w:val="1F497D"/>
        </w:rPr>
      </w:pPr>
      <w:r w:rsidRPr="00C955F7">
        <w:rPr>
          <w:rFonts w:cstheme="minorHAnsi"/>
          <w:sz w:val="20"/>
          <w:szCs w:val="20"/>
        </w:rPr>
        <w:t>In Victoria, the framework has been successfully embedded in</w:t>
      </w:r>
      <w:r w:rsidR="00607949" w:rsidRPr="00C955F7">
        <w:rPr>
          <w:rFonts w:cstheme="minorHAnsi"/>
          <w:sz w:val="20"/>
          <w:szCs w:val="20"/>
        </w:rPr>
        <w:t xml:space="preserve"> selected</w:t>
      </w:r>
      <w:r w:rsidRPr="00C955F7">
        <w:rPr>
          <w:rFonts w:cstheme="minorHAnsi"/>
          <w:sz w:val="20"/>
          <w:szCs w:val="20"/>
        </w:rPr>
        <w:t xml:space="preserve"> mental health pilot sites</w:t>
      </w:r>
      <w:r w:rsidR="001909C9" w:rsidRPr="00C955F7">
        <w:rPr>
          <w:rFonts w:cstheme="minorHAnsi"/>
          <w:sz w:val="20"/>
          <w:szCs w:val="20"/>
        </w:rPr>
        <w:t xml:space="preserve"> and wider roll-out is planned</w:t>
      </w:r>
      <w:r w:rsidR="00C2196D" w:rsidRPr="00C955F7">
        <w:rPr>
          <w:rFonts w:cstheme="minorHAnsi"/>
          <w:sz w:val="20"/>
          <w:szCs w:val="20"/>
        </w:rPr>
        <w:t>. Evaluation of the project is ongoing</w:t>
      </w:r>
      <w:r w:rsidR="00AB72A2" w:rsidRPr="00C955F7">
        <w:rPr>
          <w:rFonts w:cstheme="minorHAnsi"/>
          <w:sz w:val="20"/>
          <w:szCs w:val="20"/>
        </w:rPr>
        <w:t>,</w:t>
      </w:r>
      <w:r w:rsidR="00C2196D" w:rsidRPr="00C955F7">
        <w:rPr>
          <w:rFonts w:cstheme="minorHAnsi"/>
          <w:sz w:val="20"/>
          <w:szCs w:val="20"/>
        </w:rPr>
        <w:t xml:space="preserve"> however staff audits </w:t>
      </w:r>
      <w:r w:rsidR="00536694">
        <w:rPr>
          <w:rFonts w:cstheme="minorHAnsi"/>
          <w:sz w:val="20"/>
          <w:szCs w:val="20"/>
        </w:rPr>
        <w:t>prior to implementation</w:t>
      </w:r>
      <w:r w:rsidR="00C2196D" w:rsidRPr="00C955F7">
        <w:rPr>
          <w:rFonts w:cstheme="minorHAnsi"/>
          <w:sz w:val="20"/>
          <w:szCs w:val="20"/>
        </w:rPr>
        <w:t xml:space="preserve"> found </w:t>
      </w:r>
      <w:r w:rsidR="00C2196D" w:rsidRPr="00C955F7">
        <w:rPr>
          <w:sz w:val="20"/>
          <w:szCs w:val="20"/>
        </w:rPr>
        <w:t xml:space="preserve">that </w:t>
      </w:r>
      <w:r w:rsidR="00536694">
        <w:rPr>
          <w:sz w:val="20"/>
          <w:szCs w:val="20"/>
        </w:rPr>
        <w:lastRenderedPageBreak/>
        <w:t xml:space="preserve">while </w:t>
      </w:r>
      <w:r w:rsidR="00C2196D" w:rsidRPr="00C955F7">
        <w:rPr>
          <w:sz w:val="20"/>
          <w:szCs w:val="20"/>
        </w:rPr>
        <w:t>the majority (91%) believed that offering smoking cessation support should be part of routine care</w:t>
      </w:r>
      <w:r w:rsidR="00536694">
        <w:rPr>
          <w:sz w:val="20"/>
          <w:szCs w:val="20"/>
        </w:rPr>
        <w:t>,</w:t>
      </w:r>
      <w:r w:rsidR="00C2196D" w:rsidRPr="00C955F7">
        <w:rPr>
          <w:sz w:val="20"/>
          <w:szCs w:val="20"/>
        </w:rPr>
        <w:t xml:space="preserve"> only 28% felt confident to do so. 60% of staff now rate their service’s capability to provide cessati</w:t>
      </w:r>
      <w:r w:rsidR="00A1657F" w:rsidRPr="00C955F7">
        <w:rPr>
          <w:sz w:val="20"/>
          <w:szCs w:val="20"/>
        </w:rPr>
        <w:t xml:space="preserve">on support as extremely or very </w:t>
      </w:r>
      <w:r w:rsidR="00C2196D" w:rsidRPr="00C955F7">
        <w:rPr>
          <w:sz w:val="20"/>
          <w:szCs w:val="20"/>
        </w:rPr>
        <w:t>capable.</w:t>
      </w:r>
      <w:r w:rsidR="00205271">
        <w:rPr>
          <w:rStyle w:val="FootnoteReference"/>
          <w:sz w:val="20"/>
          <w:szCs w:val="20"/>
        </w:rPr>
        <w:footnoteReference w:id="50"/>
      </w:r>
      <w:r w:rsidR="00C2196D" w:rsidRPr="00C955F7">
        <w:rPr>
          <w:sz w:val="20"/>
          <w:szCs w:val="20"/>
        </w:rPr>
        <w:t xml:space="preserve"> </w:t>
      </w:r>
      <w:r w:rsidR="00B33AA6" w:rsidRPr="00B33AA6">
        <w:rPr>
          <w:sz w:val="20"/>
          <w:szCs w:val="20"/>
        </w:rPr>
        <w:t>Consumers describe the support to quit as being “essential”, with increased self-confidence about quitting and better financial situations.</w:t>
      </w:r>
    </w:p>
    <w:p w14:paraId="074E4BA6" w14:textId="71EC382B" w:rsidR="00C955F7" w:rsidRDefault="00C955F7" w:rsidP="00C955F7">
      <w:pPr>
        <w:spacing w:before="100" w:beforeAutospacing="1"/>
        <w:rPr>
          <w:rFonts w:cstheme="minorHAnsi"/>
          <w:sz w:val="20"/>
          <w:szCs w:val="20"/>
        </w:rPr>
      </w:pPr>
      <w:r>
        <w:rPr>
          <w:rFonts w:cstheme="minorHAnsi"/>
          <w:sz w:val="20"/>
          <w:szCs w:val="20"/>
        </w:rPr>
        <w:t>This highlights the importance of s</w:t>
      </w:r>
      <w:r w:rsidRPr="00457A3B">
        <w:rPr>
          <w:rFonts w:cstheme="minorHAnsi"/>
          <w:sz w:val="20"/>
          <w:szCs w:val="20"/>
        </w:rPr>
        <w:t>upporting individual practice c</w:t>
      </w:r>
      <w:r>
        <w:rPr>
          <w:rFonts w:cstheme="minorHAnsi"/>
          <w:sz w:val="20"/>
          <w:szCs w:val="20"/>
        </w:rPr>
        <w:t>hange</w:t>
      </w:r>
      <w:r w:rsidRPr="00457A3B">
        <w:rPr>
          <w:rFonts w:cstheme="minorHAnsi"/>
          <w:sz w:val="20"/>
          <w:szCs w:val="20"/>
        </w:rPr>
        <w:t xml:space="preserve"> to optimise system and organisation-level interventions.</w:t>
      </w:r>
      <w:r>
        <w:rPr>
          <w:rFonts w:cstheme="minorHAnsi"/>
          <w:sz w:val="20"/>
          <w:szCs w:val="20"/>
        </w:rPr>
        <w:t xml:space="preserve"> A crucial part of this is addressing the perception that people with mental illness aren’t interested in quitting and that quitting is an additional burden.</w:t>
      </w:r>
      <w:r>
        <w:rPr>
          <w:rStyle w:val="FootnoteReference"/>
          <w:rFonts w:cstheme="minorHAnsi"/>
          <w:sz w:val="20"/>
          <w:szCs w:val="20"/>
        </w:rPr>
        <w:footnoteReference w:id="51"/>
      </w:r>
      <w:r w:rsidRPr="00457A3B">
        <w:rPr>
          <w:rFonts w:cstheme="minorHAnsi"/>
          <w:sz w:val="20"/>
          <w:szCs w:val="20"/>
        </w:rPr>
        <w:t xml:space="preserve"> </w:t>
      </w:r>
      <w:r>
        <w:rPr>
          <w:rFonts w:cstheme="minorHAnsi"/>
          <w:sz w:val="20"/>
          <w:szCs w:val="20"/>
        </w:rPr>
        <w:t xml:space="preserve">Other studies have suggested that while mental health clinicians may be confident to ask about smoking, a much smaller proportion follow this up with advice to quit and provide best practice treatment (pharmacotherapy and referral </w:t>
      </w:r>
      <w:r w:rsidR="00504864">
        <w:rPr>
          <w:rFonts w:cstheme="minorHAnsi"/>
          <w:sz w:val="20"/>
          <w:szCs w:val="20"/>
        </w:rPr>
        <w:t>for behavioural intervention, such as Quitline</w:t>
      </w:r>
      <w:r>
        <w:rPr>
          <w:rFonts w:cstheme="minorHAnsi"/>
          <w:sz w:val="20"/>
          <w:szCs w:val="20"/>
        </w:rPr>
        <w:t>).</w:t>
      </w:r>
      <w:r>
        <w:rPr>
          <w:rStyle w:val="FootnoteReference"/>
          <w:rFonts w:cstheme="minorHAnsi"/>
          <w:sz w:val="20"/>
          <w:szCs w:val="20"/>
        </w:rPr>
        <w:footnoteReference w:id="52"/>
      </w:r>
      <w:r>
        <w:rPr>
          <w:rFonts w:cstheme="minorHAnsi"/>
          <w:sz w:val="20"/>
          <w:szCs w:val="20"/>
        </w:rPr>
        <w:t xml:space="preserve"> </w:t>
      </w:r>
      <w:r w:rsidRPr="00457A3B">
        <w:rPr>
          <w:rFonts w:cstheme="minorHAnsi"/>
          <w:sz w:val="20"/>
          <w:szCs w:val="20"/>
        </w:rPr>
        <w:t>This can be achieved</w:t>
      </w:r>
      <w:r w:rsidR="0005290B">
        <w:rPr>
          <w:rFonts w:cstheme="minorHAnsi"/>
          <w:sz w:val="20"/>
          <w:szCs w:val="20"/>
        </w:rPr>
        <w:t>, in part,</w:t>
      </w:r>
      <w:r w:rsidRPr="00457A3B">
        <w:rPr>
          <w:rFonts w:cstheme="minorHAnsi"/>
          <w:sz w:val="20"/>
          <w:szCs w:val="20"/>
        </w:rPr>
        <w:t xml:space="preserve"> by providing training</w:t>
      </w:r>
      <w:r>
        <w:rPr>
          <w:rFonts w:cstheme="minorHAnsi"/>
          <w:sz w:val="20"/>
          <w:szCs w:val="20"/>
        </w:rPr>
        <w:t xml:space="preserve"> and education</w:t>
      </w:r>
      <w:r w:rsidRPr="00457A3B">
        <w:rPr>
          <w:rFonts w:cstheme="minorHAnsi"/>
          <w:sz w:val="20"/>
          <w:szCs w:val="20"/>
        </w:rPr>
        <w:t xml:space="preserve">, resources and evidence-based </w:t>
      </w:r>
      <w:r>
        <w:rPr>
          <w:rFonts w:cstheme="minorHAnsi"/>
          <w:sz w:val="20"/>
          <w:szCs w:val="20"/>
        </w:rPr>
        <w:t xml:space="preserve">policies, procedures and </w:t>
      </w:r>
      <w:r w:rsidRPr="00457A3B">
        <w:rPr>
          <w:rFonts w:cstheme="minorHAnsi"/>
          <w:sz w:val="20"/>
          <w:szCs w:val="20"/>
        </w:rPr>
        <w:t xml:space="preserve">clinical guidelines to build practitioner confidence, skills and knowledge to address </w:t>
      </w:r>
      <w:r w:rsidR="0005290B">
        <w:rPr>
          <w:rFonts w:cstheme="minorHAnsi"/>
          <w:sz w:val="20"/>
          <w:szCs w:val="20"/>
        </w:rPr>
        <w:t xml:space="preserve">chronic disease risk factors. </w:t>
      </w:r>
    </w:p>
    <w:bookmarkEnd w:id="1"/>
    <w:p w14:paraId="61B8E177" w14:textId="0A2A43A0" w:rsidR="00FB797C" w:rsidRDefault="00FB797C" w:rsidP="0075415B">
      <w:pPr>
        <w:spacing w:before="100" w:beforeAutospacing="1"/>
        <w:rPr>
          <w:rFonts w:cstheme="minorHAnsi"/>
          <w:sz w:val="20"/>
          <w:szCs w:val="20"/>
        </w:rPr>
      </w:pPr>
      <w:r>
        <w:rPr>
          <w:rFonts w:cstheme="minorHAnsi"/>
          <w:sz w:val="20"/>
          <w:szCs w:val="20"/>
        </w:rPr>
        <w:t xml:space="preserve">Ideally, all </w:t>
      </w:r>
      <w:r w:rsidR="00A1657F">
        <w:rPr>
          <w:rFonts w:cstheme="minorHAnsi"/>
          <w:sz w:val="20"/>
          <w:szCs w:val="20"/>
        </w:rPr>
        <w:t xml:space="preserve">consumers </w:t>
      </w:r>
      <w:r>
        <w:rPr>
          <w:rFonts w:cstheme="minorHAnsi"/>
          <w:sz w:val="20"/>
          <w:szCs w:val="20"/>
        </w:rPr>
        <w:t xml:space="preserve">with a mental illness in contact with </w:t>
      </w:r>
      <w:r w:rsidR="00137774">
        <w:rPr>
          <w:rFonts w:cstheme="minorHAnsi"/>
          <w:sz w:val="20"/>
          <w:szCs w:val="20"/>
        </w:rPr>
        <w:t>mental health services</w:t>
      </w:r>
      <w:r>
        <w:rPr>
          <w:rFonts w:cstheme="minorHAnsi"/>
          <w:sz w:val="20"/>
          <w:szCs w:val="20"/>
        </w:rPr>
        <w:t xml:space="preserve"> should be asked about their smoking status and </w:t>
      </w:r>
      <w:r w:rsidR="00137774">
        <w:rPr>
          <w:rFonts w:cstheme="minorHAnsi"/>
          <w:sz w:val="20"/>
          <w:szCs w:val="20"/>
        </w:rPr>
        <w:t xml:space="preserve">weight, diet and physical activity, </w:t>
      </w:r>
      <w:r>
        <w:rPr>
          <w:rFonts w:cstheme="minorHAnsi"/>
          <w:sz w:val="20"/>
          <w:szCs w:val="20"/>
        </w:rPr>
        <w:t>and provided with evidence-based help to manage thes</w:t>
      </w:r>
      <w:r w:rsidR="0059680E">
        <w:rPr>
          <w:rFonts w:cstheme="minorHAnsi"/>
          <w:sz w:val="20"/>
          <w:szCs w:val="20"/>
        </w:rPr>
        <w:t xml:space="preserve">e risk factors. A systems-based approach means this action does not rely on the conscientiousness of individual clinicians, but rather becomes integrated into the holistic care of people with mental illness. </w:t>
      </w:r>
    </w:p>
    <w:p w14:paraId="1CB0C67A" w14:textId="77777777" w:rsidR="00137774" w:rsidRPr="00E748B7" w:rsidRDefault="00137774" w:rsidP="00137774">
      <w:pPr>
        <w:spacing w:before="100" w:beforeAutospacing="1"/>
        <w:rPr>
          <w:rFonts w:cstheme="minorHAnsi"/>
          <w:sz w:val="20"/>
          <w:szCs w:val="20"/>
        </w:rPr>
      </w:pPr>
      <w:bookmarkStart w:id="3" w:name="_Hlk2851614"/>
      <w:r w:rsidRPr="00E748B7">
        <w:rPr>
          <w:sz w:val="20"/>
          <w:szCs w:val="20"/>
        </w:rPr>
        <w:t>I</w:t>
      </w:r>
      <w:r>
        <w:rPr>
          <w:sz w:val="20"/>
          <w:szCs w:val="20"/>
        </w:rPr>
        <w:t>nternationally, syst</w:t>
      </w:r>
      <w:r w:rsidRPr="00E748B7">
        <w:rPr>
          <w:sz w:val="20"/>
          <w:szCs w:val="20"/>
        </w:rPr>
        <w:t>e</w:t>
      </w:r>
      <w:r>
        <w:rPr>
          <w:sz w:val="20"/>
          <w:szCs w:val="20"/>
        </w:rPr>
        <w:t>ms</w:t>
      </w:r>
      <w:r w:rsidRPr="00E748B7">
        <w:rPr>
          <w:sz w:val="20"/>
          <w:szCs w:val="20"/>
        </w:rPr>
        <w:t xml:space="preserve">-based interventions have been highly successful in reducing smoking rates. The Ottawa Model for Smoking Cessation, adopted in over 120 hospitals in Canada, is an example of this. Patients receiving care under this model have been found to have a reduced risk of all-cause readmission at 30 days, with the effect lasting up to two years, and a reduction in mortality at one year (compared to patients receiving “usual care” – which in most cases is </w:t>
      </w:r>
      <w:r w:rsidR="00A1657F">
        <w:rPr>
          <w:sz w:val="20"/>
          <w:szCs w:val="20"/>
        </w:rPr>
        <w:t xml:space="preserve">the </w:t>
      </w:r>
      <w:r w:rsidRPr="00E748B7">
        <w:rPr>
          <w:sz w:val="20"/>
          <w:szCs w:val="20"/>
        </w:rPr>
        <w:t>provision</w:t>
      </w:r>
      <w:r w:rsidR="00A1657F">
        <w:rPr>
          <w:sz w:val="20"/>
          <w:szCs w:val="20"/>
        </w:rPr>
        <w:t xml:space="preserve"> of</w:t>
      </w:r>
      <w:r w:rsidRPr="00E748B7">
        <w:rPr>
          <w:sz w:val="20"/>
          <w:szCs w:val="20"/>
        </w:rPr>
        <w:t xml:space="preserve"> self-help brochures</w:t>
      </w:r>
      <w:bookmarkEnd w:id="3"/>
      <w:r w:rsidR="00CB30C1">
        <w:rPr>
          <w:sz w:val="20"/>
          <w:szCs w:val="20"/>
        </w:rPr>
        <w:t>)</w:t>
      </w:r>
      <w:r>
        <w:rPr>
          <w:sz w:val="20"/>
          <w:szCs w:val="20"/>
        </w:rPr>
        <w:t>.</w:t>
      </w:r>
      <w:r>
        <w:rPr>
          <w:rStyle w:val="FootnoteReference"/>
          <w:sz w:val="20"/>
          <w:szCs w:val="20"/>
        </w:rPr>
        <w:footnoteReference w:id="53"/>
      </w:r>
      <w:r>
        <w:rPr>
          <w:sz w:val="20"/>
          <w:szCs w:val="20"/>
        </w:rPr>
        <w:t xml:space="preserve"> Beyond the health impacts, the potential cost-savings to the health sector by addressing chronic disease risk factors systematically are huge. </w:t>
      </w:r>
    </w:p>
    <w:p w14:paraId="44BB0140" w14:textId="68AD0A24" w:rsidR="009E597E" w:rsidRPr="004B134F" w:rsidRDefault="00752E6A" w:rsidP="004B134F">
      <w:pPr>
        <w:pStyle w:val="ListParagraph"/>
        <w:numPr>
          <w:ilvl w:val="0"/>
          <w:numId w:val="5"/>
        </w:numPr>
        <w:spacing w:before="100" w:beforeAutospacing="1"/>
        <w:rPr>
          <w:b/>
          <w:bCs/>
          <w:i/>
          <w:iCs/>
          <w:sz w:val="20"/>
          <w:szCs w:val="20"/>
        </w:rPr>
      </w:pPr>
      <w:r w:rsidRPr="00210DF1">
        <w:rPr>
          <w:b/>
          <w:bCs/>
          <w:i/>
          <w:iCs/>
          <w:sz w:val="20"/>
          <w:szCs w:val="20"/>
        </w:rPr>
        <w:t xml:space="preserve">Tailored, evidence-based interventions for </w:t>
      </w:r>
      <w:r w:rsidR="009E597E" w:rsidRPr="00210DF1">
        <w:rPr>
          <w:b/>
          <w:bCs/>
          <w:i/>
          <w:iCs/>
          <w:sz w:val="20"/>
          <w:szCs w:val="20"/>
        </w:rPr>
        <w:t xml:space="preserve">people with </w:t>
      </w:r>
      <w:r w:rsidR="00716DCB" w:rsidRPr="00210DF1">
        <w:rPr>
          <w:b/>
          <w:bCs/>
          <w:i/>
          <w:iCs/>
          <w:sz w:val="20"/>
          <w:szCs w:val="20"/>
        </w:rPr>
        <w:t xml:space="preserve">a </w:t>
      </w:r>
      <w:r w:rsidR="009E597E" w:rsidRPr="00210DF1">
        <w:rPr>
          <w:b/>
          <w:bCs/>
          <w:i/>
          <w:iCs/>
          <w:sz w:val="20"/>
          <w:szCs w:val="20"/>
        </w:rPr>
        <w:t xml:space="preserve">mental illness </w:t>
      </w:r>
      <w:r w:rsidRPr="00210DF1">
        <w:rPr>
          <w:b/>
          <w:bCs/>
          <w:i/>
          <w:iCs/>
          <w:sz w:val="20"/>
          <w:szCs w:val="20"/>
        </w:rPr>
        <w:t xml:space="preserve">need to be developed </w:t>
      </w:r>
      <w:r w:rsidR="00DA20E2" w:rsidRPr="00210DF1">
        <w:rPr>
          <w:b/>
          <w:bCs/>
          <w:i/>
          <w:iCs/>
          <w:sz w:val="20"/>
          <w:szCs w:val="20"/>
        </w:rPr>
        <w:t xml:space="preserve">and implemented </w:t>
      </w:r>
      <w:r w:rsidRPr="00210DF1">
        <w:rPr>
          <w:b/>
          <w:bCs/>
          <w:i/>
          <w:iCs/>
          <w:sz w:val="20"/>
          <w:szCs w:val="20"/>
        </w:rPr>
        <w:t>to address smo</w:t>
      </w:r>
      <w:r w:rsidR="00B429A0" w:rsidRPr="00210DF1">
        <w:rPr>
          <w:b/>
          <w:bCs/>
          <w:i/>
          <w:iCs/>
          <w:sz w:val="20"/>
          <w:szCs w:val="20"/>
        </w:rPr>
        <w:t xml:space="preserve">king and </w:t>
      </w:r>
      <w:r w:rsidR="00AA711C" w:rsidRPr="00210DF1">
        <w:rPr>
          <w:b/>
          <w:bCs/>
          <w:i/>
          <w:iCs/>
          <w:sz w:val="20"/>
          <w:szCs w:val="20"/>
        </w:rPr>
        <w:t>other key risk factors</w:t>
      </w:r>
      <w:r w:rsidR="00B429A0" w:rsidRPr="00210DF1">
        <w:rPr>
          <w:b/>
          <w:bCs/>
          <w:i/>
          <w:iCs/>
          <w:sz w:val="20"/>
          <w:szCs w:val="20"/>
        </w:rPr>
        <w:t xml:space="preserve"> </w:t>
      </w:r>
    </w:p>
    <w:p w14:paraId="552BC04D" w14:textId="77777777" w:rsidR="00E748B7" w:rsidRPr="00E748B7" w:rsidRDefault="00E748B7" w:rsidP="00E748B7">
      <w:pPr>
        <w:spacing w:before="100" w:beforeAutospacing="1"/>
        <w:rPr>
          <w:rFonts w:cstheme="minorHAnsi"/>
          <w:sz w:val="20"/>
          <w:szCs w:val="20"/>
        </w:rPr>
      </w:pPr>
      <w:r w:rsidRPr="00E748B7">
        <w:rPr>
          <w:rFonts w:cstheme="minorHAnsi"/>
          <w:sz w:val="20"/>
          <w:szCs w:val="20"/>
        </w:rPr>
        <w:t>The most effective intervention to support quitting</w:t>
      </w:r>
      <w:r w:rsidR="00096C09">
        <w:rPr>
          <w:rFonts w:cstheme="minorHAnsi"/>
          <w:sz w:val="20"/>
          <w:szCs w:val="20"/>
        </w:rPr>
        <w:t xml:space="preserve"> smoking</w:t>
      </w:r>
      <w:r w:rsidRPr="00E748B7">
        <w:rPr>
          <w:rFonts w:cstheme="minorHAnsi"/>
          <w:sz w:val="20"/>
          <w:szCs w:val="20"/>
        </w:rPr>
        <w:t xml:space="preserve"> is a combination of a multi-session behavioural intervention (such as that offered through Quitline) and pharmacotherapy (nicotine replacement therapy or </w:t>
      </w:r>
      <w:r w:rsidR="00716DCB">
        <w:rPr>
          <w:rFonts w:cstheme="minorHAnsi"/>
          <w:sz w:val="20"/>
          <w:szCs w:val="20"/>
        </w:rPr>
        <w:t xml:space="preserve">smoking </w:t>
      </w:r>
      <w:r w:rsidRPr="00E748B7">
        <w:rPr>
          <w:rFonts w:cstheme="minorHAnsi"/>
          <w:sz w:val="20"/>
          <w:szCs w:val="20"/>
        </w:rPr>
        <w:t>cessation medications such as varenicline).</w:t>
      </w:r>
      <w:r w:rsidRPr="00457A3B">
        <w:rPr>
          <w:rStyle w:val="FootnoteReference"/>
          <w:rFonts w:cstheme="minorHAnsi"/>
          <w:sz w:val="20"/>
          <w:szCs w:val="20"/>
        </w:rPr>
        <w:footnoteReference w:id="54"/>
      </w:r>
      <w:r w:rsidRPr="00E748B7">
        <w:rPr>
          <w:rFonts w:cstheme="minorHAnsi"/>
          <w:sz w:val="20"/>
          <w:szCs w:val="20"/>
        </w:rPr>
        <w:t xml:space="preserve"> Many </w:t>
      </w:r>
      <w:proofErr w:type="spellStart"/>
      <w:r w:rsidRPr="00E748B7">
        <w:rPr>
          <w:rFonts w:cstheme="minorHAnsi"/>
          <w:sz w:val="20"/>
          <w:szCs w:val="20"/>
        </w:rPr>
        <w:t>Quitlines</w:t>
      </w:r>
      <w:proofErr w:type="spellEnd"/>
      <w:r w:rsidRPr="00E748B7">
        <w:rPr>
          <w:rFonts w:cstheme="minorHAnsi"/>
          <w:sz w:val="20"/>
          <w:szCs w:val="20"/>
        </w:rPr>
        <w:t xml:space="preserve"> offer tailored programs for people with a mental illness and provide a culturally appropriate service for Indigenous Australians</w:t>
      </w:r>
      <w:r w:rsidR="00716DCB">
        <w:rPr>
          <w:rFonts w:cstheme="minorHAnsi"/>
          <w:sz w:val="20"/>
          <w:szCs w:val="20"/>
        </w:rPr>
        <w:t>,</w:t>
      </w:r>
      <w:r w:rsidRPr="00E748B7">
        <w:rPr>
          <w:rFonts w:cstheme="minorHAnsi"/>
          <w:sz w:val="20"/>
          <w:szCs w:val="20"/>
        </w:rPr>
        <w:t xml:space="preserve"> and culturally and linguistically diverse communities. </w:t>
      </w:r>
      <w:r w:rsidR="00CB30C1">
        <w:rPr>
          <w:rFonts w:cstheme="minorHAnsi"/>
          <w:sz w:val="20"/>
          <w:szCs w:val="20"/>
        </w:rPr>
        <w:t>The Victorian Quitline is currently the only Quitline that offers mental health symptom monitoring</w:t>
      </w:r>
      <w:r w:rsidR="00397A1E">
        <w:rPr>
          <w:rFonts w:cstheme="minorHAnsi"/>
          <w:sz w:val="20"/>
          <w:szCs w:val="20"/>
        </w:rPr>
        <w:t xml:space="preserve">, to ascertain if and how quitting may be impacting their mental health. This is an important intervention that should be available to all people with a mental illness calling </w:t>
      </w:r>
      <w:proofErr w:type="spellStart"/>
      <w:r w:rsidR="00397A1E">
        <w:rPr>
          <w:rFonts w:cstheme="minorHAnsi"/>
          <w:sz w:val="20"/>
          <w:szCs w:val="20"/>
        </w:rPr>
        <w:t>Quitlines</w:t>
      </w:r>
      <w:proofErr w:type="spellEnd"/>
      <w:r w:rsidR="00397A1E">
        <w:rPr>
          <w:rFonts w:cstheme="minorHAnsi"/>
          <w:sz w:val="20"/>
          <w:szCs w:val="20"/>
        </w:rPr>
        <w:t xml:space="preserve"> across Australia. </w:t>
      </w:r>
    </w:p>
    <w:p w14:paraId="0A7D31D4" w14:textId="0FD57FEC" w:rsidR="00C874C6" w:rsidRDefault="00397A1E" w:rsidP="00411586">
      <w:pPr>
        <w:spacing w:before="100" w:beforeAutospacing="1"/>
        <w:rPr>
          <w:rFonts w:cstheme="minorHAnsi"/>
          <w:sz w:val="20"/>
          <w:szCs w:val="20"/>
        </w:rPr>
      </w:pPr>
      <w:r>
        <w:rPr>
          <w:rFonts w:cstheme="minorHAnsi"/>
          <w:sz w:val="20"/>
          <w:szCs w:val="20"/>
        </w:rPr>
        <w:t>Developing tailored interventions targeting</w:t>
      </w:r>
      <w:r w:rsidR="00411586" w:rsidRPr="00457A3B">
        <w:rPr>
          <w:rFonts w:cstheme="minorHAnsi"/>
          <w:sz w:val="20"/>
          <w:szCs w:val="20"/>
        </w:rPr>
        <w:t xml:space="preserve"> </w:t>
      </w:r>
      <w:r w:rsidR="00D223F1">
        <w:rPr>
          <w:rFonts w:cstheme="minorHAnsi"/>
          <w:sz w:val="20"/>
          <w:szCs w:val="20"/>
        </w:rPr>
        <w:t>overweight and obesity</w:t>
      </w:r>
      <w:r w:rsidR="00411586" w:rsidRPr="00457A3B">
        <w:rPr>
          <w:rFonts w:cstheme="minorHAnsi"/>
          <w:sz w:val="20"/>
          <w:szCs w:val="20"/>
        </w:rPr>
        <w:t xml:space="preserve"> in people with</w:t>
      </w:r>
      <w:r w:rsidR="0032505D">
        <w:rPr>
          <w:rFonts w:cstheme="minorHAnsi"/>
          <w:sz w:val="20"/>
          <w:szCs w:val="20"/>
        </w:rPr>
        <w:t xml:space="preserve"> a</w:t>
      </w:r>
      <w:r w:rsidR="00411586" w:rsidRPr="00457A3B">
        <w:rPr>
          <w:rFonts w:cstheme="minorHAnsi"/>
          <w:sz w:val="20"/>
          <w:szCs w:val="20"/>
        </w:rPr>
        <w:t xml:space="preserve"> mental illness is also of paramount importance. This is particularly relevant when commencing antipsychotic medications, which have </w:t>
      </w:r>
      <w:r w:rsidR="00411586" w:rsidRPr="00457A3B">
        <w:rPr>
          <w:rFonts w:cstheme="minorHAnsi"/>
          <w:sz w:val="20"/>
          <w:szCs w:val="20"/>
        </w:rPr>
        <w:lastRenderedPageBreak/>
        <w:t>been linked with an increased risk of obesity</w:t>
      </w:r>
      <w:r w:rsidR="008F47A2">
        <w:rPr>
          <w:rFonts w:cstheme="minorHAnsi"/>
          <w:sz w:val="20"/>
          <w:szCs w:val="20"/>
        </w:rPr>
        <w:t>.</w:t>
      </w:r>
      <w:r w:rsidR="00411586" w:rsidRPr="00457A3B">
        <w:rPr>
          <w:rStyle w:val="FootnoteReference"/>
          <w:rFonts w:cstheme="minorHAnsi"/>
          <w:sz w:val="20"/>
          <w:szCs w:val="20"/>
        </w:rPr>
        <w:footnoteReference w:id="55"/>
      </w:r>
      <w:r w:rsidR="00411586" w:rsidRPr="00457A3B">
        <w:rPr>
          <w:rFonts w:cstheme="minorHAnsi"/>
          <w:sz w:val="20"/>
          <w:szCs w:val="20"/>
        </w:rPr>
        <w:t xml:space="preserve"> Evidence-based nutrition, weight and physical activity interventions have been found to be effective in this population and should be offered</w:t>
      </w:r>
      <w:r w:rsidR="008F47A2">
        <w:rPr>
          <w:rFonts w:cstheme="minorHAnsi"/>
          <w:sz w:val="20"/>
          <w:szCs w:val="20"/>
        </w:rPr>
        <w:t>.</w:t>
      </w:r>
      <w:r w:rsidR="00411586" w:rsidRPr="00457A3B">
        <w:rPr>
          <w:rFonts w:cstheme="minorHAnsi"/>
          <w:sz w:val="20"/>
          <w:szCs w:val="20"/>
          <w:vertAlign w:val="superscript"/>
        </w:rPr>
        <w:t>5</w:t>
      </w:r>
      <w:r w:rsidR="00411586" w:rsidRPr="00457A3B">
        <w:rPr>
          <w:rFonts w:cstheme="minorHAnsi"/>
          <w:sz w:val="20"/>
          <w:szCs w:val="20"/>
        </w:rPr>
        <w:t xml:space="preserve"> The Life! </w:t>
      </w:r>
      <w:proofErr w:type="gramStart"/>
      <w:r w:rsidR="00411586" w:rsidRPr="00457A3B">
        <w:rPr>
          <w:rFonts w:cstheme="minorHAnsi"/>
          <w:sz w:val="20"/>
          <w:szCs w:val="20"/>
        </w:rPr>
        <w:t>program</w:t>
      </w:r>
      <w:proofErr w:type="gramEnd"/>
      <w:r w:rsidR="00411586" w:rsidRPr="00457A3B">
        <w:rPr>
          <w:rFonts w:cstheme="minorHAnsi"/>
          <w:sz w:val="20"/>
          <w:szCs w:val="20"/>
        </w:rPr>
        <w:t xml:space="preserve"> run by Diabetes Victoria, and supported by the Heart Foundation and Stroke Foundation, is an example of a comprehensive program designed to support people at high risk of chronic diseases to make evidence-based lifestyle modifications</w:t>
      </w:r>
      <w:r w:rsidR="0032505D">
        <w:rPr>
          <w:rFonts w:cstheme="minorHAnsi"/>
          <w:sz w:val="20"/>
          <w:szCs w:val="20"/>
        </w:rPr>
        <w:t>.</w:t>
      </w:r>
      <w:r w:rsidR="00411586" w:rsidRPr="00457A3B">
        <w:rPr>
          <w:rStyle w:val="FootnoteReference"/>
          <w:rFonts w:cstheme="minorHAnsi"/>
          <w:sz w:val="20"/>
          <w:szCs w:val="20"/>
        </w:rPr>
        <w:footnoteReference w:id="56"/>
      </w:r>
      <w:r w:rsidR="00411586" w:rsidRPr="00457A3B">
        <w:rPr>
          <w:rFonts w:cstheme="minorHAnsi"/>
          <w:sz w:val="20"/>
          <w:szCs w:val="20"/>
        </w:rPr>
        <w:t xml:space="preserve"> </w:t>
      </w:r>
    </w:p>
    <w:p w14:paraId="7FED3C0C" w14:textId="77777777" w:rsidR="000E7AB2" w:rsidRDefault="00C874C6" w:rsidP="00100477">
      <w:pPr>
        <w:spacing w:before="100" w:beforeAutospacing="1"/>
        <w:rPr>
          <w:rFonts w:cstheme="minorHAnsi"/>
          <w:sz w:val="20"/>
          <w:szCs w:val="20"/>
        </w:rPr>
      </w:pPr>
      <w:r>
        <w:rPr>
          <w:rFonts w:cstheme="minorHAnsi"/>
          <w:sz w:val="20"/>
          <w:szCs w:val="20"/>
        </w:rPr>
        <w:t>Similarly, t</w:t>
      </w:r>
      <w:r w:rsidRPr="00C874C6">
        <w:rPr>
          <w:rFonts w:cstheme="minorHAnsi"/>
          <w:sz w:val="20"/>
          <w:szCs w:val="20"/>
        </w:rPr>
        <w:t>he My Health for Life program in Queensland</w:t>
      </w:r>
      <w:r w:rsidR="00940FA4" w:rsidRPr="00940FA4">
        <w:rPr>
          <w:rFonts w:cstheme="minorHAnsi"/>
          <w:sz w:val="20"/>
          <w:szCs w:val="20"/>
        </w:rPr>
        <w:t xml:space="preserve"> </w:t>
      </w:r>
      <w:r w:rsidR="00940FA4" w:rsidRPr="00C874C6">
        <w:rPr>
          <w:rFonts w:cstheme="minorHAnsi"/>
          <w:sz w:val="20"/>
          <w:szCs w:val="20"/>
        </w:rPr>
        <w:t>is a free, evidence-based behaviour modification program for patients at high-risk of developing a chronic disease, delivered by the Healthier Queensland Alliance (Diabetes Queensland, Heart Foundation, Stroke Foundation, Queensland Aboriginal and Islander Health Council, Ethnic Communities Council of Queensland, Primary Health Networks (PHN) Queensland) with funding from the Queensland Government.</w:t>
      </w:r>
      <w:r w:rsidR="008F2ECB">
        <w:rPr>
          <w:rStyle w:val="FootnoteReference"/>
          <w:rFonts w:cstheme="minorHAnsi"/>
          <w:sz w:val="20"/>
          <w:szCs w:val="20"/>
        </w:rPr>
        <w:footnoteReference w:id="57"/>
      </w:r>
      <w:r w:rsidRPr="00C874C6">
        <w:rPr>
          <w:rFonts w:cstheme="minorHAnsi"/>
          <w:sz w:val="20"/>
          <w:szCs w:val="20"/>
        </w:rPr>
        <w:t xml:space="preserve"> </w:t>
      </w:r>
    </w:p>
    <w:p w14:paraId="7BC80494" w14:textId="6FC002E4" w:rsidR="00C874C6" w:rsidRDefault="00C874C6" w:rsidP="00100477">
      <w:pPr>
        <w:spacing w:before="100" w:beforeAutospacing="1"/>
        <w:rPr>
          <w:rFonts w:cstheme="minorHAnsi"/>
          <w:sz w:val="20"/>
          <w:szCs w:val="20"/>
        </w:rPr>
      </w:pPr>
      <w:r w:rsidRPr="00C874C6">
        <w:rPr>
          <w:rFonts w:cstheme="minorHAnsi"/>
          <w:sz w:val="20"/>
          <w:szCs w:val="20"/>
        </w:rPr>
        <w:t>The program is designed to support positive lifestyle changes in order to reduce an individual’s risk of developing conditions such as type 2 diabetes, heart disease, stroke, high cholesterol and high blood pressure. It covers areas such as: healthy eating and physical</w:t>
      </w:r>
      <w:r w:rsidR="00100477">
        <w:rPr>
          <w:rFonts w:cstheme="minorHAnsi"/>
          <w:sz w:val="20"/>
          <w:szCs w:val="20"/>
        </w:rPr>
        <w:t xml:space="preserve"> </w:t>
      </w:r>
      <w:r w:rsidR="00100477" w:rsidRPr="00100477">
        <w:rPr>
          <w:rFonts w:cstheme="minorHAnsi"/>
          <w:sz w:val="20"/>
          <w:szCs w:val="20"/>
        </w:rPr>
        <w:t>activity; achieving and maintaining a healthy weight; reducing alcohol consumption; and quitting smoking.</w:t>
      </w:r>
      <w:r w:rsidR="000E7AB2">
        <w:rPr>
          <w:rFonts w:cstheme="minorHAnsi"/>
          <w:sz w:val="20"/>
          <w:szCs w:val="20"/>
        </w:rPr>
        <w:t xml:space="preserve"> </w:t>
      </w:r>
      <w:r w:rsidR="00100477" w:rsidRPr="00100477">
        <w:rPr>
          <w:rFonts w:cstheme="minorHAnsi"/>
          <w:sz w:val="20"/>
          <w:szCs w:val="20"/>
        </w:rPr>
        <w:t>The program includes six sessions over six months, delivered by qualified health professionals trained as My Health for Life facilitators. The program also offers culturally tailored group programs for Aboriginal and Torres Strait Islanders, Pacific Islanders, and Mandarin, Cantonese, Vietnamese, and Arabic speaking communities.</w:t>
      </w:r>
      <w:r w:rsidR="00973C94">
        <w:rPr>
          <w:rFonts w:cstheme="minorHAnsi"/>
          <w:sz w:val="20"/>
          <w:szCs w:val="20"/>
        </w:rPr>
        <w:t xml:space="preserve"> </w:t>
      </w:r>
    </w:p>
    <w:p w14:paraId="43648D83" w14:textId="77777777" w:rsidR="00411586" w:rsidRPr="00457A3B" w:rsidRDefault="00411586" w:rsidP="00411586">
      <w:pPr>
        <w:spacing w:before="100" w:beforeAutospacing="1"/>
        <w:rPr>
          <w:rFonts w:cstheme="minorHAnsi"/>
          <w:sz w:val="20"/>
          <w:szCs w:val="20"/>
        </w:rPr>
      </w:pPr>
      <w:r w:rsidRPr="00457A3B">
        <w:rPr>
          <w:rFonts w:cstheme="minorHAnsi"/>
          <w:sz w:val="20"/>
          <w:szCs w:val="20"/>
        </w:rPr>
        <w:t>Other programs, such as the Achievement Program (supported by the Victorian Government and delivered by Cancer Council Victoria), serves to support schools and workplaces to create healthier organisational environments</w:t>
      </w:r>
      <w:r w:rsidR="00EB2EA4">
        <w:rPr>
          <w:rFonts w:cstheme="minorHAnsi"/>
          <w:sz w:val="20"/>
          <w:szCs w:val="20"/>
        </w:rPr>
        <w:t xml:space="preserve"> that encourage people to make healthier choices</w:t>
      </w:r>
      <w:r w:rsidR="0032505D">
        <w:rPr>
          <w:rFonts w:cstheme="minorHAnsi"/>
          <w:sz w:val="20"/>
          <w:szCs w:val="20"/>
        </w:rPr>
        <w:t>.</w:t>
      </w:r>
      <w:r w:rsidRPr="00457A3B">
        <w:rPr>
          <w:rStyle w:val="FootnoteReference"/>
          <w:rFonts w:cstheme="minorHAnsi"/>
          <w:sz w:val="20"/>
          <w:szCs w:val="20"/>
        </w:rPr>
        <w:footnoteReference w:id="58"/>
      </w:r>
      <w:r w:rsidRPr="00457A3B">
        <w:rPr>
          <w:rFonts w:cstheme="minorHAnsi"/>
          <w:sz w:val="20"/>
          <w:szCs w:val="20"/>
        </w:rPr>
        <w:t xml:space="preserve"> </w:t>
      </w:r>
    </w:p>
    <w:p w14:paraId="2262A42F" w14:textId="6CDECEB4" w:rsidR="2DA3D239" w:rsidRPr="002424D1" w:rsidRDefault="00457A3B" w:rsidP="002424D1">
      <w:pPr>
        <w:spacing w:beforeAutospacing="1"/>
        <w:rPr>
          <w:sz w:val="20"/>
          <w:szCs w:val="20"/>
        </w:rPr>
      </w:pPr>
      <w:r w:rsidRPr="00210DF1">
        <w:rPr>
          <w:sz w:val="20"/>
          <w:szCs w:val="20"/>
        </w:rPr>
        <w:t xml:space="preserve">Research into specific interventions for addressing chronic disease risk factors in people with a mental illness is crucial. </w:t>
      </w:r>
      <w:r w:rsidR="00791BD7" w:rsidRPr="00210DF1">
        <w:rPr>
          <w:sz w:val="20"/>
          <w:szCs w:val="20"/>
        </w:rPr>
        <w:t>This is necessary to ensure interventions are tailored to the unique need of the cohort</w:t>
      </w:r>
      <w:r w:rsidR="00CE6F26" w:rsidRPr="00210DF1">
        <w:rPr>
          <w:sz w:val="20"/>
          <w:szCs w:val="20"/>
        </w:rPr>
        <w:t xml:space="preserve"> </w:t>
      </w:r>
      <w:r w:rsidR="00FB44DC" w:rsidRPr="00210DF1">
        <w:rPr>
          <w:sz w:val="20"/>
          <w:szCs w:val="20"/>
        </w:rPr>
        <w:t>and are cost-effective</w:t>
      </w:r>
      <w:r w:rsidR="00871C19" w:rsidRPr="00210DF1">
        <w:rPr>
          <w:sz w:val="20"/>
          <w:szCs w:val="20"/>
        </w:rPr>
        <w:t xml:space="preserve">. The Australian Health Policy Collaboration report </w:t>
      </w:r>
      <w:proofErr w:type="gramStart"/>
      <w:r w:rsidR="00871C19" w:rsidRPr="00210DF1">
        <w:rPr>
          <w:i/>
          <w:iCs/>
          <w:sz w:val="20"/>
          <w:szCs w:val="20"/>
        </w:rPr>
        <w:t>Beyond</w:t>
      </w:r>
      <w:proofErr w:type="gramEnd"/>
      <w:r w:rsidR="00871C19" w:rsidRPr="00210DF1">
        <w:rPr>
          <w:i/>
          <w:iCs/>
          <w:sz w:val="20"/>
          <w:szCs w:val="20"/>
        </w:rPr>
        <w:t xml:space="preserve"> the fragments: Preventing the costs and consequences of physical and mental diseases </w:t>
      </w:r>
      <w:r w:rsidR="00871C19" w:rsidRPr="00690C4F">
        <w:rPr>
          <w:sz w:val="20"/>
          <w:szCs w:val="20"/>
        </w:rPr>
        <w:t xml:space="preserve">highlights a number of </w:t>
      </w:r>
      <w:r w:rsidR="004F6C5C" w:rsidRPr="00690C4F">
        <w:rPr>
          <w:sz w:val="20"/>
          <w:szCs w:val="20"/>
        </w:rPr>
        <w:t>examples of such interventions, including a study that found a healthy lifestyle program is cost-effe</w:t>
      </w:r>
      <w:r w:rsidR="004F6C5C" w:rsidRPr="00722338">
        <w:rPr>
          <w:sz w:val="20"/>
          <w:szCs w:val="20"/>
        </w:rPr>
        <w:t xml:space="preserve">ctive in maintaining </w:t>
      </w:r>
      <w:r w:rsidR="002F48B3">
        <w:rPr>
          <w:sz w:val="20"/>
          <w:szCs w:val="20"/>
        </w:rPr>
        <w:t>body mass index</w:t>
      </w:r>
      <w:r w:rsidR="004F6C5C" w:rsidRPr="00722338">
        <w:rPr>
          <w:sz w:val="20"/>
          <w:szCs w:val="20"/>
        </w:rPr>
        <w:t xml:space="preserve"> for people with schizophrenia.</w:t>
      </w:r>
      <w:r w:rsidR="004F6C5C" w:rsidRPr="00210DF1">
        <w:rPr>
          <w:rStyle w:val="FootnoteReference"/>
          <w:sz w:val="20"/>
          <w:szCs w:val="20"/>
        </w:rPr>
        <w:footnoteReference w:id="59"/>
      </w:r>
      <w:r w:rsidR="004F6C5C" w:rsidRPr="00210DF1">
        <w:rPr>
          <w:sz w:val="20"/>
          <w:szCs w:val="20"/>
        </w:rPr>
        <w:t xml:space="preserve"> </w:t>
      </w:r>
    </w:p>
    <w:p w14:paraId="3D4171DF" w14:textId="2727D62D" w:rsidR="009E597E" w:rsidRPr="002424D1" w:rsidRDefault="007C4F90" w:rsidP="002424D1">
      <w:pPr>
        <w:pStyle w:val="ListParagraph"/>
        <w:numPr>
          <w:ilvl w:val="0"/>
          <w:numId w:val="5"/>
        </w:numPr>
        <w:spacing w:before="100" w:beforeAutospacing="1"/>
        <w:rPr>
          <w:b/>
          <w:bCs/>
          <w:i/>
          <w:iCs/>
          <w:sz w:val="20"/>
          <w:szCs w:val="20"/>
        </w:rPr>
      </w:pPr>
      <w:r w:rsidRPr="00F611E8">
        <w:rPr>
          <w:rFonts w:cstheme="minorHAnsi"/>
          <w:b/>
          <w:i/>
          <w:sz w:val="20"/>
          <w:szCs w:val="20"/>
        </w:rPr>
        <w:t xml:space="preserve">Population-based </w:t>
      </w:r>
      <w:r>
        <w:rPr>
          <w:rFonts w:cstheme="minorHAnsi"/>
          <w:b/>
          <w:i/>
          <w:sz w:val="20"/>
          <w:szCs w:val="20"/>
        </w:rPr>
        <w:t>policies should be considered to reduce chronic disease risk factors through changes to the food supply and the creation of environments that support healthy choices</w:t>
      </w:r>
    </w:p>
    <w:p w14:paraId="12BA46D7" w14:textId="3E504674" w:rsidR="003D45C4" w:rsidRDefault="00CA0374" w:rsidP="00CA0374">
      <w:pPr>
        <w:spacing w:before="100" w:beforeAutospacing="1"/>
        <w:rPr>
          <w:rFonts w:cstheme="minorHAnsi"/>
          <w:sz w:val="20"/>
          <w:szCs w:val="20"/>
        </w:rPr>
      </w:pPr>
      <w:r w:rsidRPr="00457A3B">
        <w:rPr>
          <w:rFonts w:cstheme="minorHAnsi"/>
          <w:sz w:val="20"/>
          <w:szCs w:val="20"/>
        </w:rPr>
        <w:t>Policy reforms that promote a healthier environment such as those found in the Tipping the Scales consensus</w:t>
      </w:r>
      <w:r w:rsidRPr="00457A3B">
        <w:rPr>
          <w:rStyle w:val="FootnoteReference"/>
          <w:rFonts w:cstheme="minorHAnsi"/>
          <w:sz w:val="20"/>
          <w:szCs w:val="20"/>
        </w:rPr>
        <w:footnoteReference w:id="60"/>
      </w:r>
      <w:r w:rsidRPr="00457A3B">
        <w:rPr>
          <w:rFonts w:cstheme="minorHAnsi"/>
          <w:sz w:val="20"/>
          <w:szCs w:val="20"/>
        </w:rPr>
        <w:t xml:space="preserve">  will also positively impact high priority groups – such as people with </w:t>
      </w:r>
      <w:r w:rsidR="002D017D">
        <w:rPr>
          <w:rFonts w:cstheme="minorHAnsi"/>
          <w:sz w:val="20"/>
          <w:szCs w:val="20"/>
        </w:rPr>
        <w:t xml:space="preserve">a </w:t>
      </w:r>
      <w:r w:rsidRPr="00457A3B">
        <w:rPr>
          <w:rFonts w:cstheme="minorHAnsi"/>
          <w:sz w:val="20"/>
          <w:szCs w:val="20"/>
        </w:rPr>
        <w:t xml:space="preserve">mental illness – and should be supported as a population-level approach to tackle </w:t>
      </w:r>
      <w:r w:rsidR="003D45C4">
        <w:rPr>
          <w:rFonts w:cstheme="minorHAnsi"/>
          <w:sz w:val="20"/>
          <w:szCs w:val="20"/>
        </w:rPr>
        <w:t>major risk factors for chronic disease, including overweight and obesity, poor nutrition and physical inactivity.</w:t>
      </w:r>
    </w:p>
    <w:p w14:paraId="19C3F51D" w14:textId="6DC41D16" w:rsidR="00CF6F11" w:rsidRDefault="00536304" w:rsidP="00536304">
      <w:pPr>
        <w:spacing w:before="100" w:beforeAutospacing="1"/>
        <w:rPr>
          <w:rFonts w:cstheme="minorHAnsi"/>
          <w:sz w:val="20"/>
          <w:szCs w:val="20"/>
        </w:rPr>
      </w:pPr>
      <w:r>
        <w:rPr>
          <w:rFonts w:cstheme="minorHAnsi"/>
          <w:sz w:val="20"/>
          <w:szCs w:val="20"/>
        </w:rPr>
        <w:t xml:space="preserve">Food reformulation was identified as </w:t>
      </w:r>
      <w:r w:rsidR="009670EE">
        <w:rPr>
          <w:rFonts w:cstheme="minorHAnsi"/>
          <w:sz w:val="20"/>
          <w:szCs w:val="20"/>
        </w:rPr>
        <w:t>a priority policy to reduce overweight and obesity in the Tipping the Scales consensus</w:t>
      </w:r>
      <w:r w:rsidR="004375FC">
        <w:rPr>
          <w:rFonts w:cstheme="minorHAnsi"/>
          <w:sz w:val="20"/>
          <w:szCs w:val="20"/>
        </w:rPr>
        <w:t xml:space="preserve"> report</w:t>
      </w:r>
      <w:r w:rsidR="000C3804">
        <w:rPr>
          <w:rFonts w:cstheme="minorHAnsi"/>
          <w:sz w:val="20"/>
          <w:szCs w:val="20"/>
        </w:rPr>
        <w:t xml:space="preserve">, and it </w:t>
      </w:r>
      <w:r w:rsidR="000C3804" w:rsidRPr="00536304">
        <w:rPr>
          <w:rFonts w:cstheme="minorHAnsi"/>
          <w:sz w:val="20"/>
          <w:szCs w:val="20"/>
        </w:rPr>
        <w:t xml:space="preserve">is recognised </w:t>
      </w:r>
      <w:r w:rsidR="002B063D">
        <w:rPr>
          <w:rFonts w:cstheme="minorHAnsi"/>
          <w:sz w:val="20"/>
          <w:szCs w:val="20"/>
        </w:rPr>
        <w:t xml:space="preserve">internationally </w:t>
      </w:r>
      <w:r w:rsidR="000C3804" w:rsidRPr="00536304">
        <w:rPr>
          <w:rFonts w:cstheme="minorHAnsi"/>
          <w:sz w:val="20"/>
          <w:szCs w:val="20"/>
        </w:rPr>
        <w:t>as a feasible and cost-effective intervention to improve nutrition at the population-level.</w:t>
      </w:r>
      <w:r w:rsidR="00CC54A2">
        <w:rPr>
          <w:rFonts w:cstheme="minorHAnsi"/>
          <w:sz w:val="20"/>
          <w:szCs w:val="20"/>
        </w:rPr>
        <w:t xml:space="preserve"> </w:t>
      </w:r>
      <w:r w:rsidR="00755289">
        <w:rPr>
          <w:rFonts w:cstheme="minorHAnsi"/>
          <w:sz w:val="20"/>
          <w:szCs w:val="20"/>
        </w:rPr>
        <w:t xml:space="preserve">Food reformulation </w:t>
      </w:r>
      <w:r w:rsidRPr="00536304">
        <w:rPr>
          <w:rFonts w:cstheme="minorHAnsi"/>
          <w:sz w:val="20"/>
          <w:szCs w:val="20"/>
        </w:rPr>
        <w:t xml:space="preserve">can collectively contribute to improving diet </w:t>
      </w:r>
      <w:r w:rsidRPr="00536304">
        <w:rPr>
          <w:rFonts w:cstheme="minorHAnsi"/>
          <w:sz w:val="20"/>
          <w:szCs w:val="20"/>
        </w:rPr>
        <w:lastRenderedPageBreak/>
        <w:t>quality for all Australians</w:t>
      </w:r>
      <w:r w:rsidR="007F1281">
        <w:rPr>
          <w:rFonts w:cstheme="minorHAnsi"/>
          <w:sz w:val="20"/>
          <w:szCs w:val="20"/>
        </w:rPr>
        <w:t>, including those with a mental illness, through changes to the food supply to improve the healthiness of products</w:t>
      </w:r>
      <w:r w:rsidR="00C9570B" w:rsidRPr="00536304">
        <w:rPr>
          <w:rFonts w:cstheme="minorHAnsi"/>
          <w:sz w:val="20"/>
          <w:szCs w:val="20"/>
        </w:rPr>
        <w:t xml:space="preserve">, even in the absence of changes to </w:t>
      </w:r>
      <w:r w:rsidR="00177EDE">
        <w:rPr>
          <w:rFonts w:cstheme="minorHAnsi"/>
          <w:sz w:val="20"/>
          <w:szCs w:val="20"/>
        </w:rPr>
        <w:t xml:space="preserve">individual </w:t>
      </w:r>
      <w:r w:rsidR="00C9570B" w:rsidRPr="00536304">
        <w:rPr>
          <w:rFonts w:cstheme="minorHAnsi"/>
          <w:sz w:val="20"/>
          <w:szCs w:val="20"/>
        </w:rPr>
        <w:t>dietary patterns.</w:t>
      </w:r>
      <w:r w:rsidR="00CC54A2">
        <w:rPr>
          <w:rStyle w:val="FootnoteReference"/>
          <w:rFonts w:cstheme="minorHAnsi"/>
          <w:sz w:val="20"/>
          <w:szCs w:val="20"/>
        </w:rPr>
        <w:footnoteReference w:id="61"/>
      </w:r>
      <w:r w:rsidR="00C9570B">
        <w:rPr>
          <w:rFonts w:cstheme="minorHAnsi"/>
          <w:sz w:val="20"/>
          <w:szCs w:val="20"/>
        </w:rPr>
        <w:t xml:space="preserve"> </w:t>
      </w:r>
      <w:r w:rsidRPr="00536304">
        <w:rPr>
          <w:rFonts w:cstheme="minorHAnsi"/>
          <w:sz w:val="20"/>
          <w:szCs w:val="20"/>
        </w:rPr>
        <w:t>Reformulating commonly consumed food and drinks to reduce the amounts of saturated fat, salt and sugar also has the potential to improve dietary intakes in priority populations, without exacerbating inequities</w:t>
      </w:r>
      <w:r w:rsidR="00177EDE">
        <w:rPr>
          <w:rFonts w:cstheme="minorHAnsi"/>
          <w:sz w:val="20"/>
          <w:szCs w:val="20"/>
        </w:rPr>
        <w:t>.</w:t>
      </w:r>
      <w:r w:rsidR="00CE7EA4">
        <w:rPr>
          <w:rStyle w:val="FootnoteReference"/>
          <w:rFonts w:cstheme="minorHAnsi"/>
          <w:sz w:val="20"/>
          <w:szCs w:val="20"/>
        </w:rPr>
        <w:footnoteReference w:id="62"/>
      </w:r>
      <w:r w:rsidR="00CE7EA4">
        <w:rPr>
          <w:rFonts w:cstheme="minorHAnsi"/>
          <w:sz w:val="20"/>
          <w:szCs w:val="20"/>
          <w:vertAlign w:val="superscript"/>
        </w:rPr>
        <w:t>,</w:t>
      </w:r>
      <w:r w:rsidR="00CE7EA4">
        <w:rPr>
          <w:rStyle w:val="FootnoteReference"/>
          <w:rFonts w:cstheme="minorHAnsi"/>
          <w:sz w:val="20"/>
          <w:szCs w:val="20"/>
        </w:rPr>
        <w:footnoteReference w:id="63"/>
      </w:r>
      <w:r w:rsidR="006111A9">
        <w:rPr>
          <w:rFonts w:cstheme="minorHAnsi"/>
          <w:sz w:val="20"/>
          <w:szCs w:val="20"/>
          <w:vertAlign w:val="superscript"/>
        </w:rPr>
        <w:t xml:space="preserve"> </w:t>
      </w:r>
    </w:p>
    <w:p w14:paraId="0D9F170E" w14:textId="0A82BEC2" w:rsidR="00CF6F11" w:rsidRPr="00457A3B" w:rsidRDefault="00193CD6" w:rsidP="00193CD6">
      <w:pPr>
        <w:spacing w:before="100" w:beforeAutospacing="1"/>
        <w:rPr>
          <w:rFonts w:cstheme="minorHAnsi"/>
          <w:sz w:val="20"/>
          <w:szCs w:val="20"/>
        </w:rPr>
      </w:pPr>
      <w:r>
        <w:rPr>
          <w:rFonts w:cstheme="minorHAnsi"/>
          <w:sz w:val="20"/>
          <w:szCs w:val="20"/>
        </w:rPr>
        <w:t>Acknowledging that c</w:t>
      </w:r>
      <w:r w:rsidRPr="00193CD6">
        <w:rPr>
          <w:rFonts w:cstheme="minorHAnsi"/>
          <w:sz w:val="20"/>
          <w:szCs w:val="20"/>
        </w:rPr>
        <w:t>reating individual behaviour change can be challenging</w:t>
      </w:r>
      <w:r>
        <w:rPr>
          <w:rFonts w:cstheme="minorHAnsi"/>
          <w:sz w:val="20"/>
          <w:szCs w:val="20"/>
        </w:rPr>
        <w:t>, p</w:t>
      </w:r>
      <w:r w:rsidRPr="00193CD6">
        <w:rPr>
          <w:rFonts w:cstheme="minorHAnsi"/>
          <w:sz w:val="20"/>
          <w:szCs w:val="20"/>
        </w:rPr>
        <w:t xml:space="preserve">opulation-level changes can influence individual behaviours through ‘nudges’ and other policies. The creation of health-conducive </w:t>
      </w:r>
      <w:r w:rsidR="00E30979">
        <w:rPr>
          <w:rFonts w:cstheme="minorHAnsi"/>
          <w:sz w:val="20"/>
          <w:szCs w:val="20"/>
        </w:rPr>
        <w:t xml:space="preserve">physical </w:t>
      </w:r>
      <w:r w:rsidRPr="00193CD6">
        <w:rPr>
          <w:rFonts w:cstheme="minorHAnsi"/>
          <w:sz w:val="20"/>
          <w:szCs w:val="20"/>
        </w:rPr>
        <w:t>environments</w:t>
      </w:r>
      <w:r w:rsidR="00F82C27">
        <w:rPr>
          <w:rFonts w:cstheme="minorHAnsi"/>
          <w:sz w:val="20"/>
          <w:szCs w:val="20"/>
        </w:rPr>
        <w:t xml:space="preserve">, </w:t>
      </w:r>
      <w:r w:rsidR="0042230E">
        <w:rPr>
          <w:rFonts w:cstheme="minorHAnsi"/>
          <w:sz w:val="20"/>
          <w:szCs w:val="20"/>
        </w:rPr>
        <w:t>such as</w:t>
      </w:r>
      <w:r w:rsidR="00F82C27">
        <w:rPr>
          <w:rFonts w:cstheme="minorHAnsi"/>
          <w:sz w:val="20"/>
          <w:szCs w:val="20"/>
        </w:rPr>
        <w:t xml:space="preserve"> pathways </w:t>
      </w:r>
      <w:r w:rsidR="00E30979">
        <w:rPr>
          <w:rFonts w:cstheme="minorHAnsi"/>
          <w:sz w:val="20"/>
          <w:szCs w:val="20"/>
        </w:rPr>
        <w:t xml:space="preserve">and </w:t>
      </w:r>
      <w:r w:rsidR="00291257">
        <w:rPr>
          <w:rFonts w:cstheme="minorHAnsi"/>
          <w:sz w:val="20"/>
          <w:szCs w:val="20"/>
        </w:rPr>
        <w:t>safe</w:t>
      </w:r>
      <w:r w:rsidR="00670F36">
        <w:rPr>
          <w:rFonts w:cstheme="minorHAnsi"/>
          <w:sz w:val="20"/>
          <w:szCs w:val="20"/>
        </w:rPr>
        <w:t xml:space="preserve"> recreation</w:t>
      </w:r>
      <w:r w:rsidR="00291257">
        <w:rPr>
          <w:rFonts w:cstheme="minorHAnsi"/>
          <w:sz w:val="20"/>
          <w:szCs w:val="20"/>
        </w:rPr>
        <w:t xml:space="preserve"> </w:t>
      </w:r>
      <w:r w:rsidR="00E30979">
        <w:rPr>
          <w:rFonts w:cstheme="minorHAnsi"/>
          <w:sz w:val="20"/>
          <w:szCs w:val="20"/>
        </w:rPr>
        <w:t>spaces</w:t>
      </w:r>
      <w:r w:rsidR="00670F36">
        <w:rPr>
          <w:rFonts w:cstheme="minorHAnsi"/>
          <w:sz w:val="20"/>
          <w:szCs w:val="20"/>
        </w:rPr>
        <w:t>,</w:t>
      </w:r>
      <w:r w:rsidR="00E30979">
        <w:rPr>
          <w:rFonts w:cstheme="minorHAnsi"/>
          <w:sz w:val="20"/>
          <w:szCs w:val="20"/>
        </w:rPr>
        <w:t xml:space="preserve"> </w:t>
      </w:r>
      <w:r w:rsidR="00291257">
        <w:rPr>
          <w:rFonts w:cstheme="minorHAnsi"/>
          <w:sz w:val="20"/>
          <w:szCs w:val="20"/>
        </w:rPr>
        <w:t>is essential to</w:t>
      </w:r>
      <w:r w:rsidR="00E30979">
        <w:rPr>
          <w:rFonts w:cstheme="minorHAnsi"/>
          <w:sz w:val="20"/>
          <w:szCs w:val="20"/>
        </w:rPr>
        <w:t xml:space="preserve"> promote walking and activity through the life course</w:t>
      </w:r>
      <w:r w:rsidR="00670F36">
        <w:rPr>
          <w:rFonts w:cstheme="minorHAnsi"/>
          <w:sz w:val="20"/>
          <w:szCs w:val="20"/>
        </w:rPr>
        <w:t>.</w:t>
      </w:r>
      <w:r w:rsidR="00C82DE3">
        <w:rPr>
          <w:rFonts w:cstheme="minorHAnsi"/>
          <w:sz w:val="20"/>
          <w:szCs w:val="20"/>
        </w:rPr>
        <w:t xml:space="preserve"> </w:t>
      </w:r>
      <w:r w:rsidRPr="00193CD6">
        <w:rPr>
          <w:rFonts w:cstheme="minorHAnsi"/>
          <w:sz w:val="20"/>
          <w:szCs w:val="20"/>
        </w:rPr>
        <w:t>The Heart Foundation’s Healthy Active by Design website provides the best</w:t>
      </w:r>
      <w:r w:rsidR="00890655">
        <w:rPr>
          <w:rFonts w:cstheme="minorHAnsi"/>
          <w:sz w:val="20"/>
          <w:szCs w:val="20"/>
        </w:rPr>
        <w:t xml:space="preserve"> </w:t>
      </w:r>
      <w:r w:rsidRPr="00193CD6">
        <w:rPr>
          <w:rFonts w:cstheme="minorHAnsi"/>
          <w:sz w:val="20"/>
          <w:szCs w:val="20"/>
        </w:rPr>
        <w:t>available</w:t>
      </w:r>
      <w:r w:rsidR="008E5A2D">
        <w:rPr>
          <w:rFonts w:cstheme="minorHAnsi"/>
          <w:sz w:val="20"/>
          <w:szCs w:val="20"/>
        </w:rPr>
        <w:t xml:space="preserve"> </w:t>
      </w:r>
      <w:r w:rsidR="008E5A2D" w:rsidRPr="008E5A2D">
        <w:rPr>
          <w:rFonts w:cstheme="minorHAnsi"/>
          <w:sz w:val="20"/>
          <w:szCs w:val="20"/>
        </w:rPr>
        <w:t>evidence, practical advice, checklists and case studies to help with the development of healthy neighbourhoods and communities that promote walking, cycling and an active public life</w:t>
      </w:r>
      <w:r w:rsidR="008E5A2D">
        <w:rPr>
          <w:rFonts w:cstheme="minorHAnsi"/>
          <w:sz w:val="20"/>
          <w:szCs w:val="20"/>
        </w:rPr>
        <w:t>.</w:t>
      </w:r>
      <w:r w:rsidR="008E5A2D">
        <w:rPr>
          <w:rStyle w:val="FootnoteReference"/>
          <w:rFonts w:cstheme="minorHAnsi"/>
          <w:sz w:val="20"/>
          <w:szCs w:val="20"/>
        </w:rPr>
        <w:footnoteReference w:id="64"/>
      </w:r>
      <w:r w:rsidR="008E5A2D" w:rsidRPr="008E5A2D">
        <w:rPr>
          <w:rFonts w:cstheme="minorHAnsi"/>
          <w:sz w:val="20"/>
          <w:szCs w:val="20"/>
        </w:rPr>
        <w:t xml:space="preserve"> </w:t>
      </w:r>
    </w:p>
    <w:p w14:paraId="0D8479BE" w14:textId="137B87CE" w:rsidR="00770276" w:rsidRPr="00E14109" w:rsidRDefault="00916BDF" w:rsidP="00CA0374">
      <w:pPr>
        <w:rPr>
          <w:rFonts w:cstheme="minorHAnsi"/>
          <w:sz w:val="20"/>
          <w:szCs w:val="20"/>
        </w:rPr>
      </w:pPr>
      <w:r>
        <w:rPr>
          <w:rFonts w:cstheme="minorHAnsi"/>
          <w:sz w:val="20"/>
          <w:szCs w:val="20"/>
        </w:rPr>
        <w:t xml:space="preserve">The Tipping the Scales consensus recommendations include </w:t>
      </w:r>
      <w:r w:rsidR="00765FBF">
        <w:rPr>
          <w:rFonts w:cstheme="minorHAnsi"/>
          <w:sz w:val="20"/>
          <w:szCs w:val="20"/>
        </w:rPr>
        <w:t>a number of</w:t>
      </w:r>
      <w:r w:rsidR="00890655">
        <w:rPr>
          <w:rFonts w:cstheme="minorHAnsi"/>
          <w:sz w:val="20"/>
          <w:szCs w:val="20"/>
        </w:rPr>
        <w:t xml:space="preserve"> other</w:t>
      </w:r>
      <w:r w:rsidR="00765FBF">
        <w:rPr>
          <w:rFonts w:cstheme="minorHAnsi"/>
          <w:sz w:val="20"/>
          <w:szCs w:val="20"/>
        </w:rPr>
        <w:t xml:space="preserve"> </w:t>
      </w:r>
      <w:r>
        <w:rPr>
          <w:rFonts w:cstheme="minorHAnsi"/>
          <w:sz w:val="20"/>
          <w:szCs w:val="20"/>
        </w:rPr>
        <w:t xml:space="preserve">policy reforms to </w:t>
      </w:r>
      <w:r w:rsidR="00B54F05">
        <w:rPr>
          <w:rFonts w:cstheme="minorHAnsi"/>
          <w:sz w:val="20"/>
          <w:szCs w:val="20"/>
        </w:rPr>
        <w:t xml:space="preserve">reduce overweight and obesity </w:t>
      </w:r>
      <w:r w:rsidR="004510DC">
        <w:rPr>
          <w:rFonts w:cstheme="minorHAnsi"/>
          <w:sz w:val="20"/>
          <w:szCs w:val="20"/>
        </w:rPr>
        <w:t xml:space="preserve">by </w:t>
      </w:r>
      <w:r>
        <w:rPr>
          <w:rFonts w:cstheme="minorHAnsi"/>
          <w:sz w:val="20"/>
          <w:szCs w:val="20"/>
        </w:rPr>
        <w:t>crea</w:t>
      </w:r>
      <w:r w:rsidR="004510DC">
        <w:rPr>
          <w:rFonts w:cstheme="minorHAnsi"/>
          <w:sz w:val="20"/>
          <w:szCs w:val="20"/>
        </w:rPr>
        <w:t>ting</w:t>
      </w:r>
      <w:r>
        <w:rPr>
          <w:rFonts w:cstheme="minorHAnsi"/>
          <w:sz w:val="20"/>
          <w:szCs w:val="20"/>
        </w:rPr>
        <w:t xml:space="preserve"> </w:t>
      </w:r>
      <w:r w:rsidR="00C1438E">
        <w:rPr>
          <w:rFonts w:cstheme="minorHAnsi"/>
          <w:sz w:val="20"/>
          <w:szCs w:val="20"/>
        </w:rPr>
        <w:t xml:space="preserve">environments that support healthy choices for all Australians, including for those with mental illness who </w:t>
      </w:r>
      <w:r w:rsidR="00D84CCF">
        <w:rPr>
          <w:rFonts w:cstheme="minorHAnsi"/>
          <w:sz w:val="20"/>
          <w:szCs w:val="20"/>
        </w:rPr>
        <w:t>experience higher risk factors for chronic disease.</w:t>
      </w:r>
      <w:r w:rsidR="00C1438E">
        <w:rPr>
          <w:rFonts w:cstheme="minorHAnsi"/>
          <w:sz w:val="20"/>
          <w:szCs w:val="20"/>
        </w:rPr>
        <w:t xml:space="preserve"> </w:t>
      </w:r>
    </w:p>
    <w:p w14:paraId="1047B296" w14:textId="77777777" w:rsidR="00B33AA6" w:rsidRDefault="00B33AA6" w:rsidP="00095ADE">
      <w:pPr>
        <w:spacing w:before="100" w:beforeAutospacing="1"/>
        <w:rPr>
          <w:rFonts w:cstheme="minorHAnsi"/>
          <w:b/>
          <w:sz w:val="20"/>
          <w:szCs w:val="20"/>
        </w:rPr>
      </w:pPr>
    </w:p>
    <w:p w14:paraId="32902B75" w14:textId="77777777" w:rsidR="00B33AA6" w:rsidRDefault="00B33AA6" w:rsidP="00095ADE">
      <w:pPr>
        <w:spacing w:before="100" w:beforeAutospacing="1"/>
        <w:rPr>
          <w:rFonts w:cstheme="minorHAnsi"/>
          <w:b/>
          <w:sz w:val="20"/>
          <w:szCs w:val="20"/>
        </w:rPr>
      </w:pPr>
    </w:p>
    <w:p w14:paraId="1F7ADEBF" w14:textId="299ACBFB" w:rsidR="00DC77D1" w:rsidRPr="00457A3B" w:rsidRDefault="00FF3545" w:rsidP="00095ADE">
      <w:pPr>
        <w:spacing w:before="100" w:beforeAutospacing="1"/>
        <w:rPr>
          <w:rFonts w:cstheme="minorHAnsi"/>
          <w:b/>
          <w:sz w:val="20"/>
          <w:szCs w:val="20"/>
        </w:rPr>
      </w:pPr>
      <w:r>
        <w:rPr>
          <w:rFonts w:cstheme="minorHAnsi"/>
          <w:b/>
          <w:sz w:val="20"/>
          <w:szCs w:val="20"/>
        </w:rPr>
        <w:t>Thank you for considering this submission</w:t>
      </w:r>
      <w:r w:rsidR="00852531">
        <w:rPr>
          <w:rFonts w:cstheme="minorHAnsi"/>
          <w:b/>
          <w:sz w:val="20"/>
          <w:szCs w:val="20"/>
        </w:rPr>
        <w:t xml:space="preserve">. </w:t>
      </w:r>
    </w:p>
    <w:sectPr w:rsidR="00DC77D1" w:rsidRPr="00457A3B" w:rsidSect="000A3866">
      <w:headerReference w:type="default" r:id="rId14"/>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4C904" w14:textId="77777777" w:rsidR="00191590" w:rsidRDefault="00191590" w:rsidP="00DC77D1">
      <w:pPr>
        <w:spacing w:after="0" w:line="240" w:lineRule="auto"/>
      </w:pPr>
      <w:r>
        <w:separator/>
      </w:r>
    </w:p>
  </w:endnote>
  <w:endnote w:type="continuationSeparator" w:id="0">
    <w:p w14:paraId="3CA23609" w14:textId="77777777" w:rsidR="00191590" w:rsidRDefault="00191590" w:rsidP="00DC7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831242"/>
      <w:docPartObj>
        <w:docPartGallery w:val="Page Numbers (Bottom of Page)"/>
        <w:docPartUnique/>
      </w:docPartObj>
    </w:sdtPr>
    <w:sdtEndPr>
      <w:rPr>
        <w:noProof/>
      </w:rPr>
    </w:sdtEndPr>
    <w:sdtContent>
      <w:p w14:paraId="718BCFD6" w14:textId="77777777" w:rsidR="00145644" w:rsidRDefault="00145644">
        <w:pPr>
          <w:pStyle w:val="Footer"/>
          <w:jc w:val="right"/>
        </w:pPr>
        <w:r>
          <w:fldChar w:fldCharType="begin"/>
        </w:r>
        <w:r>
          <w:instrText xml:space="preserve"> PAGE   \* MERGEFORMAT </w:instrText>
        </w:r>
        <w:r>
          <w:fldChar w:fldCharType="separate"/>
        </w:r>
        <w:r w:rsidR="00C93C31">
          <w:rPr>
            <w:noProof/>
          </w:rPr>
          <w:t>9</w:t>
        </w:r>
        <w:r>
          <w:rPr>
            <w:noProof/>
          </w:rPr>
          <w:fldChar w:fldCharType="end"/>
        </w:r>
      </w:p>
    </w:sdtContent>
  </w:sdt>
  <w:p w14:paraId="1BB145D6" w14:textId="77777777" w:rsidR="00145644" w:rsidRDefault="001456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A0C6B" w14:textId="77777777" w:rsidR="00191590" w:rsidRDefault="00191590" w:rsidP="00DC77D1">
      <w:pPr>
        <w:spacing w:after="0" w:line="240" w:lineRule="auto"/>
      </w:pPr>
      <w:r>
        <w:separator/>
      </w:r>
    </w:p>
  </w:footnote>
  <w:footnote w:type="continuationSeparator" w:id="0">
    <w:p w14:paraId="1A9809D3" w14:textId="77777777" w:rsidR="00191590" w:rsidRDefault="00191590" w:rsidP="00DC77D1">
      <w:pPr>
        <w:spacing w:after="0" w:line="240" w:lineRule="auto"/>
      </w:pPr>
      <w:r>
        <w:continuationSeparator/>
      </w:r>
    </w:p>
  </w:footnote>
  <w:footnote w:id="1">
    <w:p w14:paraId="21DACB5C" w14:textId="77777777" w:rsidR="00145644" w:rsidRPr="00250A5A" w:rsidRDefault="00145644" w:rsidP="00DC77D1">
      <w:pPr>
        <w:pStyle w:val="NoSpacing"/>
        <w:rPr>
          <w:sz w:val="18"/>
          <w:szCs w:val="18"/>
        </w:rPr>
      </w:pPr>
      <w:r w:rsidRPr="00250A5A">
        <w:rPr>
          <w:rStyle w:val="FootnoteReference"/>
          <w:sz w:val="18"/>
          <w:szCs w:val="18"/>
          <w:vertAlign w:val="baseline"/>
        </w:rPr>
        <w:footnoteRef/>
      </w:r>
      <w:r w:rsidRPr="00250A5A">
        <w:rPr>
          <w:rStyle w:val="FootnoteReference"/>
          <w:sz w:val="18"/>
          <w:szCs w:val="18"/>
          <w:vertAlign w:val="baseline"/>
        </w:rPr>
        <w:t xml:space="preserve"> </w:t>
      </w:r>
      <w:r w:rsidRPr="00250A5A">
        <w:rPr>
          <w:sz w:val="18"/>
          <w:szCs w:val="18"/>
        </w:rPr>
        <w:t xml:space="preserve">Lawrence D, Hancock KJ, </w:t>
      </w:r>
      <w:proofErr w:type="spellStart"/>
      <w:r w:rsidRPr="00250A5A">
        <w:rPr>
          <w:sz w:val="18"/>
          <w:szCs w:val="18"/>
        </w:rPr>
        <w:t>Kisely</w:t>
      </w:r>
      <w:proofErr w:type="spellEnd"/>
      <w:r w:rsidRPr="00250A5A">
        <w:rPr>
          <w:sz w:val="18"/>
          <w:szCs w:val="18"/>
        </w:rPr>
        <w:t xml:space="preserve"> S. The gap in life expectancy from preventable physical illness in psychiatric patients in Western Australia: retrospective analysis of population-based registers. British Medical Journal. 2013</w:t>
      </w:r>
      <w:proofErr w:type="gramStart"/>
      <w:r w:rsidRPr="00250A5A">
        <w:rPr>
          <w:sz w:val="18"/>
          <w:szCs w:val="18"/>
        </w:rPr>
        <w:t>;346:f2539</w:t>
      </w:r>
      <w:proofErr w:type="gramEnd"/>
      <w:r w:rsidRPr="00250A5A">
        <w:rPr>
          <w:sz w:val="18"/>
          <w:szCs w:val="18"/>
        </w:rPr>
        <w:t>.</w:t>
      </w:r>
    </w:p>
  </w:footnote>
  <w:footnote w:id="2">
    <w:p w14:paraId="61B85AEB" w14:textId="77777777" w:rsidR="00E86AD1" w:rsidRPr="001463E3" w:rsidRDefault="00E86AD1">
      <w:pPr>
        <w:pStyle w:val="FootnoteText"/>
        <w:rPr>
          <w:sz w:val="18"/>
          <w:szCs w:val="18"/>
        </w:rPr>
      </w:pPr>
      <w:r w:rsidRPr="00250A5A">
        <w:rPr>
          <w:rStyle w:val="FootnoteReference"/>
          <w:sz w:val="18"/>
          <w:szCs w:val="18"/>
          <w:vertAlign w:val="baseline"/>
        </w:rPr>
        <w:footnoteRef/>
      </w:r>
      <w:r w:rsidRPr="00250A5A">
        <w:rPr>
          <w:sz w:val="18"/>
          <w:szCs w:val="18"/>
        </w:rPr>
        <w:t xml:space="preserve"> Roberts R, Lockett H, </w:t>
      </w:r>
      <w:proofErr w:type="spellStart"/>
      <w:r w:rsidRPr="00250A5A">
        <w:rPr>
          <w:sz w:val="18"/>
          <w:szCs w:val="18"/>
        </w:rPr>
        <w:t>Bagnall</w:t>
      </w:r>
      <w:proofErr w:type="spellEnd"/>
      <w:r w:rsidRPr="00250A5A">
        <w:rPr>
          <w:sz w:val="18"/>
          <w:szCs w:val="18"/>
        </w:rPr>
        <w:t xml:space="preserve"> C, </w:t>
      </w:r>
      <w:proofErr w:type="spellStart"/>
      <w:r w:rsidRPr="00250A5A">
        <w:rPr>
          <w:sz w:val="18"/>
          <w:szCs w:val="18"/>
        </w:rPr>
        <w:t>Maylea</w:t>
      </w:r>
      <w:proofErr w:type="spellEnd"/>
      <w:r w:rsidRPr="00250A5A">
        <w:rPr>
          <w:sz w:val="18"/>
          <w:szCs w:val="18"/>
        </w:rPr>
        <w:t xml:space="preserve"> C, Hopwood M. Improving the physical health of people living with mental illness in Australia and New Zealand. Australian Journal of Rural Health. </w:t>
      </w:r>
      <w:r w:rsidR="001463E3" w:rsidRPr="00250A5A">
        <w:rPr>
          <w:sz w:val="18"/>
          <w:szCs w:val="18"/>
        </w:rPr>
        <w:t>2018</w:t>
      </w:r>
      <w:proofErr w:type="gramStart"/>
      <w:r w:rsidR="001463E3" w:rsidRPr="00250A5A">
        <w:rPr>
          <w:sz w:val="18"/>
          <w:szCs w:val="18"/>
        </w:rPr>
        <w:t>;26:354</w:t>
      </w:r>
      <w:proofErr w:type="gramEnd"/>
      <w:r w:rsidR="001463E3" w:rsidRPr="00250A5A">
        <w:rPr>
          <w:sz w:val="18"/>
          <w:szCs w:val="18"/>
        </w:rPr>
        <w:t>-362.</w:t>
      </w:r>
      <w:r w:rsidR="001463E3" w:rsidRPr="001463E3">
        <w:rPr>
          <w:sz w:val="18"/>
          <w:szCs w:val="18"/>
        </w:rPr>
        <w:t xml:space="preserve"> </w:t>
      </w:r>
    </w:p>
  </w:footnote>
  <w:footnote w:id="3">
    <w:p w14:paraId="182DA132" w14:textId="088BDA17" w:rsidR="009E3E45" w:rsidRPr="00250A5A" w:rsidRDefault="009E3E45" w:rsidP="009E3E45">
      <w:pPr>
        <w:pStyle w:val="NoSpacing"/>
        <w:rPr>
          <w:sz w:val="18"/>
          <w:szCs w:val="18"/>
        </w:rPr>
      </w:pPr>
      <w:r w:rsidRPr="00250A5A">
        <w:rPr>
          <w:rStyle w:val="FootnoteReference"/>
          <w:sz w:val="18"/>
          <w:szCs w:val="18"/>
          <w:vertAlign w:val="baseline"/>
        </w:rPr>
        <w:footnoteRef/>
      </w:r>
      <w:r w:rsidRPr="00250A5A">
        <w:rPr>
          <w:rStyle w:val="FootnoteReference"/>
          <w:sz w:val="18"/>
          <w:szCs w:val="18"/>
          <w:vertAlign w:val="baseline"/>
        </w:rPr>
        <w:t xml:space="preserve"> </w:t>
      </w:r>
      <w:r w:rsidRPr="00250A5A">
        <w:rPr>
          <w:sz w:val="18"/>
          <w:szCs w:val="18"/>
        </w:rPr>
        <w:t xml:space="preserve">Harris B, Duggan M, </w:t>
      </w:r>
      <w:proofErr w:type="spellStart"/>
      <w:r w:rsidRPr="00250A5A">
        <w:rPr>
          <w:sz w:val="18"/>
          <w:szCs w:val="18"/>
        </w:rPr>
        <w:t>Batterham</w:t>
      </w:r>
      <w:proofErr w:type="spellEnd"/>
      <w:r w:rsidRPr="00250A5A">
        <w:rPr>
          <w:sz w:val="18"/>
          <w:szCs w:val="18"/>
        </w:rPr>
        <w:t xml:space="preserve"> P, Bartlem K, Clinton-</w:t>
      </w:r>
      <w:proofErr w:type="spellStart"/>
      <w:r w:rsidRPr="00250A5A">
        <w:rPr>
          <w:sz w:val="18"/>
          <w:szCs w:val="18"/>
        </w:rPr>
        <w:t>McHarg</w:t>
      </w:r>
      <w:proofErr w:type="spellEnd"/>
      <w:r w:rsidRPr="00250A5A">
        <w:rPr>
          <w:sz w:val="18"/>
          <w:szCs w:val="18"/>
        </w:rPr>
        <w:t xml:space="preserve"> T, Dunbar J, et al. Australia’s mental and physical health tracker. Technical paper No. 2018-06. Australian Health Policy Collaboration. Aug 2018. </w:t>
      </w:r>
    </w:p>
  </w:footnote>
  <w:footnote w:id="4">
    <w:p w14:paraId="298DCB1D" w14:textId="77777777" w:rsidR="009E3E45" w:rsidRPr="00250A5A" w:rsidRDefault="009E3E45" w:rsidP="009E3E45">
      <w:pPr>
        <w:pStyle w:val="NoSpacing"/>
        <w:rPr>
          <w:sz w:val="18"/>
          <w:szCs w:val="18"/>
        </w:rPr>
      </w:pPr>
      <w:r w:rsidRPr="00250A5A">
        <w:rPr>
          <w:rStyle w:val="FootnoteReference"/>
          <w:sz w:val="18"/>
          <w:szCs w:val="18"/>
          <w:vertAlign w:val="baseline"/>
        </w:rPr>
        <w:footnoteRef/>
      </w:r>
      <w:r w:rsidRPr="00250A5A">
        <w:rPr>
          <w:sz w:val="18"/>
          <w:szCs w:val="18"/>
        </w:rPr>
        <w:t xml:space="preserve"> </w:t>
      </w:r>
      <w:proofErr w:type="spellStart"/>
      <w:r w:rsidRPr="00250A5A">
        <w:rPr>
          <w:sz w:val="18"/>
          <w:szCs w:val="18"/>
        </w:rPr>
        <w:t>Iwagami</w:t>
      </w:r>
      <w:proofErr w:type="spellEnd"/>
      <w:r w:rsidRPr="00250A5A">
        <w:rPr>
          <w:sz w:val="18"/>
          <w:szCs w:val="18"/>
        </w:rPr>
        <w:t xml:space="preserve"> M, Mansfield KE, Hayes JF, Walters K, Osborn DP, Smeeth L, et al. Severe mental illness and chronic kidney disease: a cross-sectional study in the United Kingdom. Clinical Epidemiology. 2018</w:t>
      </w:r>
      <w:proofErr w:type="gramStart"/>
      <w:r w:rsidRPr="00250A5A">
        <w:rPr>
          <w:sz w:val="18"/>
          <w:szCs w:val="18"/>
        </w:rPr>
        <w:t>;10:421</w:t>
      </w:r>
      <w:proofErr w:type="gramEnd"/>
      <w:r w:rsidRPr="00250A5A">
        <w:rPr>
          <w:sz w:val="18"/>
          <w:szCs w:val="18"/>
        </w:rPr>
        <w:t xml:space="preserve">-429. </w:t>
      </w:r>
    </w:p>
  </w:footnote>
  <w:footnote w:id="5">
    <w:p w14:paraId="3FB5EA1B" w14:textId="77777777" w:rsidR="009E3E45" w:rsidRPr="00250A5A" w:rsidRDefault="009E3E45" w:rsidP="009E3E45">
      <w:pPr>
        <w:pStyle w:val="FootnoteText"/>
        <w:rPr>
          <w:sz w:val="18"/>
          <w:szCs w:val="18"/>
        </w:rPr>
      </w:pPr>
      <w:r w:rsidRPr="00250A5A">
        <w:rPr>
          <w:rStyle w:val="FootnoteReference"/>
          <w:sz w:val="18"/>
          <w:szCs w:val="18"/>
          <w:vertAlign w:val="baseline"/>
        </w:rPr>
        <w:footnoteRef/>
      </w:r>
      <w:r w:rsidRPr="00250A5A">
        <w:rPr>
          <w:sz w:val="18"/>
          <w:szCs w:val="18"/>
        </w:rPr>
        <w:t xml:space="preserve"> Reilly S, </w:t>
      </w:r>
      <w:proofErr w:type="spellStart"/>
      <w:r w:rsidRPr="00250A5A">
        <w:rPr>
          <w:sz w:val="18"/>
          <w:szCs w:val="18"/>
        </w:rPr>
        <w:t>Olier</w:t>
      </w:r>
      <w:proofErr w:type="spellEnd"/>
      <w:r w:rsidRPr="00250A5A">
        <w:rPr>
          <w:sz w:val="18"/>
          <w:szCs w:val="18"/>
        </w:rPr>
        <w:t xml:space="preserve"> I, Planner C, Doran T, Reeves D, Ashcroft DM, et al. Inequalities in physical comorbidity: a longitudinal comparative cohort study of people with severe mental illness in the UK. BMJ Open. 2015</w:t>
      </w:r>
      <w:proofErr w:type="gramStart"/>
      <w:r w:rsidRPr="00250A5A">
        <w:rPr>
          <w:sz w:val="18"/>
          <w:szCs w:val="18"/>
        </w:rPr>
        <w:t>;5</w:t>
      </w:r>
      <w:proofErr w:type="gramEnd"/>
      <w:r w:rsidRPr="00250A5A">
        <w:rPr>
          <w:sz w:val="18"/>
          <w:szCs w:val="18"/>
        </w:rPr>
        <w:t>(12).</w:t>
      </w:r>
    </w:p>
  </w:footnote>
  <w:footnote w:id="6">
    <w:p w14:paraId="697EA5ED" w14:textId="5FCE4E6A" w:rsidR="00AB2ECF" w:rsidRPr="00250A5A" w:rsidRDefault="00AB2ECF">
      <w:pPr>
        <w:pStyle w:val="FootnoteText"/>
        <w:rPr>
          <w:sz w:val="18"/>
          <w:szCs w:val="18"/>
        </w:rPr>
      </w:pPr>
      <w:r w:rsidRPr="00250A5A">
        <w:rPr>
          <w:rStyle w:val="FootnoteReference"/>
          <w:sz w:val="18"/>
          <w:szCs w:val="18"/>
          <w:vertAlign w:val="baseline"/>
        </w:rPr>
        <w:footnoteRef/>
      </w:r>
      <w:r w:rsidRPr="00250A5A">
        <w:rPr>
          <w:sz w:val="18"/>
          <w:szCs w:val="18"/>
        </w:rPr>
        <w:t xml:space="preserve"> Harris B, Duggan M, </w:t>
      </w:r>
      <w:proofErr w:type="spellStart"/>
      <w:r w:rsidRPr="00250A5A">
        <w:rPr>
          <w:sz w:val="18"/>
          <w:szCs w:val="18"/>
        </w:rPr>
        <w:t>Batterham</w:t>
      </w:r>
      <w:proofErr w:type="spellEnd"/>
      <w:r w:rsidRPr="00250A5A">
        <w:rPr>
          <w:sz w:val="18"/>
          <w:szCs w:val="18"/>
        </w:rPr>
        <w:t xml:space="preserve"> P, Bartlem K, Clinton-</w:t>
      </w:r>
      <w:proofErr w:type="spellStart"/>
      <w:r w:rsidRPr="00250A5A">
        <w:rPr>
          <w:sz w:val="18"/>
          <w:szCs w:val="18"/>
        </w:rPr>
        <w:t>McHarg</w:t>
      </w:r>
      <w:proofErr w:type="spellEnd"/>
      <w:r w:rsidRPr="00250A5A">
        <w:rPr>
          <w:sz w:val="18"/>
          <w:szCs w:val="18"/>
        </w:rPr>
        <w:t xml:space="preserve"> T, Dunbar J, et al. Australia’s mental and physical health tracker. </w:t>
      </w:r>
    </w:p>
  </w:footnote>
  <w:footnote w:id="7">
    <w:p w14:paraId="5CD4D1DA" w14:textId="77777777" w:rsidR="00305EAB" w:rsidRPr="00250A5A" w:rsidRDefault="00305EAB">
      <w:pPr>
        <w:pStyle w:val="FootnoteText"/>
        <w:rPr>
          <w:sz w:val="18"/>
          <w:szCs w:val="18"/>
        </w:rPr>
      </w:pPr>
      <w:r w:rsidRPr="00250A5A">
        <w:rPr>
          <w:rStyle w:val="FootnoteReference"/>
          <w:sz w:val="18"/>
          <w:szCs w:val="18"/>
          <w:vertAlign w:val="baseline"/>
        </w:rPr>
        <w:footnoteRef/>
      </w:r>
      <w:r w:rsidRPr="00250A5A">
        <w:rPr>
          <w:sz w:val="18"/>
          <w:szCs w:val="18"/>
        </w:rPr>
        <w:t xml:space="preserve"> Keeping Body and Mind Together: Improving the physical health and life expectancy of people with serious mental illness. Melbourne. The Royal Australian and New Zealand College of Psychiatrists. 2015. </w:t>
      </w:r>
    </w:p>
  </w:footnote>
  <w:footnote w:id="8">
    <w:p w14:paraId="6B838ECE" w14:textId="783A4CBD" w:rsidR="00305EAB" w:rsidRPr="00250A5A" w:rsidRDefault="00305EAB">
      <w:pPr>
        <w:pStyle w:val="FootnoteText"/>
        <w:rPr>
          <w:sz w:val="18"/>
          <w:szCs w:val="18"/>
        </w:rPr>
      </w:pPr>
      <w:r w:rsidRPr="00250A5A">
        <w:rPr>
          <w:rStyle w:val="FootnoteReference"/>
          <w:sz w:val="18"/>
          <w:szCs w:val="18"/>
          <w:vertAlign w:val="baseline"/>
        </w:rPr>
        <w:footnoteRef/>
      </w:r>
      <w:r w:rsidRPr="00250A5A">
        <w:rPr>
          <w:sz w:val="18"/>
          <w:szCs w:val="18"/>
        </w:rPr>
        <w:t xml:space="preserve"> Harris B, Duggan M, </w:t>
      </w:r>
      <w:proofErr w:type="spellStart"/>
      <w:r w:rsidRPr="00250A5A">
        <w:rPr>
          <w:sz w:val="18"/>
          <w:szCs w:val="18"/>
        </w:rPr>
        <w:t>Batterham</w:t>
      </w:r>
      <w:proofErr w:type="spellEnd"/>
      <w:r w:rsidRPr="00250A5A">
        <w:rPr>
          <w:sz w:val="18"/>
          <w:szCs w:val="18"/>
        </w:rPr>
        <w:t xml:space="preserve"> P, Bartlem K, Clinton-</w:t>
      </w:r>
      <w:proofErr w:type="spellStart"/>
      <w:r w:rsidRPr="00250A5A">
        <w:rPr>
          <w:sz w:val="18"/>
          <w:szCs w:val="18"/>
        </w:rPr>
        <w:t>McHarg</w:t>
      </w:r>
      <w:proofErr w:type="spellEnd"/>
      <w:r w:rsidRPr="00250A5A">
        <w:rPr>
          <w:sz w:val="18"/>
          <w:szCs w:val="18"/>
        </w:rPr>
        <w:t xml:space="preserve"> T, Dunbar J, et al. Australia’s mental and physical health tracker. </w:t>
      </w:r>
    </w:p>
  </w:footnote>
  <w:footnote w:id="9">
    <w:p w14:paraId="310A6348" w14:textId="77777777" w:rsidR="0044059B" w:rsidRPr="00250A5A" w:rsidRDefault="0044059B" w:rsidP="00D8681B">
      <w:pPr>
        <w:pStyle w:val="NoSpacing"/>
        <w:rPr>
          <w:sz w:val="18"/>
          <w:szCs w:val="18"/>
        </w:rPr>
      </w:pPr>
      <w:r w:rsidRPr="00250A5A">
        <w:rPr>
          <w:rStyle w:val="FootnoteReference"/>
          <w:sz w:val="18"/>
          <w:szCs w:val="18"/>
          <w:vertAlign w:val="baseline"/>
        </w:rPr>
        <w:footnoteRef/>
      </w:r>
      <w:r w:rsidRPr="00250A5A">
        <w:rPr>
          <w:sz w:val="18"/>
          <w:szCs w:val="18"/>
        </w:rPr>
        <w:t xml:space="preserve"> </w:t>
      </w:r>
      <w:r w:rsidR="002A3EE8" w:rsidRPr="00250A5A">
        <w:rPr>
          <w:sz w:val="18"/>
          <w:szCs w:val="18"/>
        </w:rPr>
        <w:t xml:space="preserve">Mendelsohn CP, Kirby DP, and Castle DJ. Smoking and mental illness. An update for psychiatrists. </w:t>
      </w:r>
      <w:proofErr w:type="spellStart"/>
      <w:r w:rsidR="002A3EE8" w:rsidRPr="00250A5A">
        <w:rPr>
          <w:sz w:val="18"/>
          <w:szCs w:val="18"/>
        </w:rPr>
        <w:t>Australas</w:t>
      </w:r>
      <w:proofErr w:type="spellEnd"/>
      <w:r w:rsidR="002A3EE8" w:rsidRPr="00250A5A">
        <w:rPr>
          <w:sz w:val="18"/>
          <w:szCs w:val="18"/>
        </w:rPr>
        <w:t xml:space="preserve"> Psychiatry, 2015; 23(1):37–43.</w:t>
      </w:r>
    </w:p>
  </w:footnote>
  <w:footnote w:id="10">
    <w:p w14:paraId="768F911A" w14:textId="77777777" w:rsidR="00145644" w:rsidRPr="00250A5A" w:rsidRDefault="00145644" w:rsidP="00D8681B">
      <w:pPr>
        <w:pStyle w:val="NoSpacing"/>
        <w:rPr>
          <w:sz w:val="18"/>
          <w:szCs w:val="18"/>
        </w:rPr>
      </w:pPr>
      <w:r w:rsidRPr="00250A5A">
        <w:rPr>
          <w:rStyle w:val="FootnoteReference"/>
          <w:sz w:val="18"/>
          <w:szCs w:val="18"/>
          <w:vertAlign w:val="baseline"/>
        </w:rPr>
        <w:footnoteRef/>
      </w:r>
      <w:r w:rsidRPr="00250A5A">
        <w:rPr>
          <w:sz w:val="18"/>
          <w:szCs w:val="18"/>
        </w:rPr>
        <w:t xml:space="preserve"> Australian Bureau of Statistics Table Builder, using data from the National Health Survey 2014–15. </w:t>
      </w:r>
    </w:p>
  </w:footnote>
  <w:footnote w:id="11">
    <w:p w14:paraId="7CBE8B60" w14:textId="77777777" w:rsidR="00145644" w:rsidRPr="00250A5A" w:rsidRDefault="00145644">
      <w:pPr>
        <w:pStyle w:val="NoSpacing"/>
        <w:rPr>
          <w:sz w:val="18"/>
          <w:szCs w:val="18"/>
        </w:rPr>
      </w:pPr>
      <w:r w:rsidRPr="00250A5A">
        <w:rPr>
          <w:rStyle w:val="FootnoteReference"/>
          <w:sz w:val="18"/>
          <w:szCs w:val="18"/>
          <w:vertAlign w:val="baseline"/>
        </w:rPr>
        <w:footnoteRef/>
      </w:r>
      <w:r w:rsidRPr="00250A5A">
        <w:rPr>
          <w:sz w:val="18"/>
          <w:szCs w:val="18"/>
        </w:rPr>
        <w:t xml:space="preserve"> </w:t>
      </w:r>
      <w:r w:rsidR="009F7C56" w:rsidRPr="00250A5A">
        <w:rPr>
          <w:sz w:val="18"/>
          <w:szCs w:val="18"/>
        </w:rPr>
        <w:t xml:space="preserve">Australian Institute of Health and Welfare. National Drug Strategy Household Survey (NDSHS). 2106 key findings tables. Canberra: AIHW, 2017. Available from: </w:t>
      </w:r>
      <w:hyperlink r:id="rId1" w:tgtFrame="_blank" w:history="1">
        <w:r w:rsidR="009F7C56" w:rsidRPr="00250A5A">
          <w:rPr>
            <w:rStyle w:val="Hyperlink"/>
            <w:sz w:val="18"/>
            <w:szCs w:val="18"/>
            <w:lang w:val="en"/>
          </w:rPr>
          <w:t>https://www.aihw.gov.au/reports/illicit-use-of-drugs/2016-ndshs-detailed/data</w:t>
        </w:r>
      </w:hyperlink>
    </w:p>
  </w:footnote>
  <w:footnote w:id="12">
    <w:p w14:paraId="34F5E8AC" w14:textId="77777777" w:rsidR="002A3EE8" w:rsidRPr="00250A5A" w:rsidRDefault="002A3EE8" w:rsidP="00D8681B">
      <w:pPr>
        <w:pStyle w:val="NoSpacing"/>
        <w:rPr>
          <w:sz w:val="18"/>
          <w:szCs w:val="18"/>
        </w:rPr>
      </w:pPr>
      <w:r w:rsidRPr="00250A5A">
        <w:rPr>
          <w:rStyle w:val="FootnoteReference"/>
          <w:sz w:val="18"/>
          <w:szCs w:val="18"/>
          <w:vertAlign w:val="baseline"/>
        </w:rPr>
        <w:footnoteRef/>
      </w:r>
      <w:r w:rsidRPr="00250A5A">
        <w:rPr>
          <w:sz w:val="18"/>
          <w:szCs w:val="18"/>
        </w:rPr>
        <w:t xml:space="preserve"> Cooper J, Mancuso SG, Borland R, Slade T, </w:t>
      </w:r>
      <w:proofErr w:type="spellStart"/>
      <w:r w:rsidRPr="00250A5A">
        <w:rPr>
          <w:sz w:val="18"/>
          <w:szCs w:val="18"/>
        </w:rPr>
        <w:t>Galletly</w:t>
      </w:r>
      <w:proofErr w:type="spellEnd"/>
      <w:r w:rsidRPr="00250A5A">
        <w:rPr>
          <w:sz w:val="18"/>
          <w:szCs w:val="18"/>
        </w:rPr>
        <w:t xml:space="preserve"> C, et al. Tobacco smoking among people living with a psychotic illness: The second Australian survey of psychosis. Australian and New Zealand Journal of Psychiatry, 2012; 46(9):851–63.</w:t>
      </w:r>
    </w:p>
  </w:footnote>
  <w:footnote w:id="13">
    <w:p w14:paraId="58EBDFA1" w14:textId="77777777" w:rsidR="002A3EE8" w:rsidRPr="00250A5A" w:rsidRDefault="002A3EE8" w:rsidP="00D8681B">
      <w:pPr>
        <w:pStyle w:val="NoSpacing"/>
        <w:rPr>
          <w:sz w:val="18"/>
          <w:szCs w:val="18"/>
        </w:rPr>
      </w:pPr>
      <w:r w:rsidRPr="00250A5A">
        <w:rPr>
          <w:rStyle w:val="FootnoteReference"/>
          <w:sz w:val="18"/>
          <w:szCs w:val="18"/>
          <w:vertAlign w:val="baseline"/>
        </w:rPr>
        <w:footnoteRef/>
      </w:r>
      <w:r w:rsidRPr="00250A5A">
        <w:rPr>
          <w:sz w:val="18"/>
          <w:szCs w:val="18"/>
        </w:rPr>
        <w:t xml:space="preserve"> </w:t>
      </w:r>
      <w:proofErr w:type="spellStart"/>
      <w:r w:rsidRPr="00250A5A">
        <w:rPr>
          <w:sz w:val="18"/>
          <w:szCs w:val="18"/>
        </w:rPr>
        <w:t>Jablensky</w:t>
      </w:r>
      <w:proofErr w:type="spellEnd"/>
      <w:r w:rsidRPr="00250A5A">
        <w:rPr>
          <w:sz w:val="18"/>
          <w:szCs w:val="18"/>
        </w:rPr>
        <w:t xml:space="preserve"> A, McGrath J, </w:t>
      </w:r>
      <w:proofErr w:type="spellStart"/>
      <w:r w:rsidRPr="00250A5A">
        <w:rPr>
          <w:sz w:val="18"/>
          <w:szCs w:val="18"/>
        </w:rPr>
        <w:t>Herrman</w:t>
      </w:r>
      <w:proofErr w:type="spellEnd"/>
      <w:r w:rsidRPr="00250A5A">
        <w:rPr>
          <w:sz w:val="18"/>
          <w:szCs w:val="18"/>
        </w:rPr>
        <w:t xml:space="preserve"> H, Castle D, </w:t>
      </w:r>
      <w:proofErr w:type="spellStart"/>
      <w:r w:rsidRPr="00250A5A">
        <w:rPr>
          <w:sz w:val="18"/>
          <w:szCs w:val="18"/>
        </w:rPr>
        <w:t>Gureje</w:t>
      </w:r>
      <w:proofErr w:type="spellEnd"/>
      <w:r w:rsidRPr="00250A5A">
        <w:rPr>
          <w:sz w:val="18"/>
          <w:szCs w:val="18"/>
        </w:rPr>
        <w:t xml:space="preserve"> O, et al. People living with psychotic illness:  An Australian study 1997−98. Mental Health Branch, Commonwealth Department of Health and Aged </w:t>
      </w:r>
      <w:proofErr w:type="spellStart"/>
      <w:r w:rsidRPr="00250A5A">
        <w:rPr>
          <w:sz w:val="18"/>
          <w:szCs w:val="18"/>
        </w:rPr>
        <w:t>Care.Canberra</w:t>
      </w:r>
      <w:proofErr w:type="spellEnd"/>
      <w:r w:rsidRPr="00250A5A">
        <w:rPr>
          <w:sz w:val="18"/>
          <w:szCs w:val="18"/>
        </w:rPr>
        <w:t xml:space="preserve"> 1999.</w:t>
      </w:r>
    </w:p>
  </w:footnote>
  <w:footnote w:id="14">
    <w:p w14:paraId="6BEF18D3" w14:textId="77777777" w:rsidR="00145644" w:rsidRPr="00250A5A" w:rsidRDefault="00145644">
      <w:pPr>
        <w:pStyle w:val="NoSpacing"/>
        <w:rPr>
          <w:sz w:val="18"/>
          <w:szCs w:val="18"/>
        </w:rPr>
      </w:pPr>
      <w:r w:rsidRPr="00250A5A">
        <w:rPr>
          <w:rStyle w:val="FootnoteReference"/>
          <w:sz w:val="18"/>
          <w:szCs w:val="18"/>
          <w:vertAlign w:val="baseline"/>
        </w:rPr>
        <w:footnoteRef/>
      </w:r>
      <w:r w:rsidRPr="00250A5A">
        <w:rPr>
          <w:sz w:val="18"/>
          <w:szCs w:val="18"/>
        </w:rPr>
        <w:t xml:space="preserve"> Prochaska JJ. Smoking and mental illness-breaking the link. The New England Journal of Medicine. 2011</w:t>
      </w:r>
      <w:proofErr w:type="gramStart"/>
      <w:r w:rsidRPr="00250A5A">
        <w:rPr>
          <w:sz w:val="18"/>
          <w:szCs w:val="18"/>
        </w:rPr>
        <w:t>;365:196</w:t>
      </w:r>
      <w:proofErr w:type="gramEnd"/>
      <w:r w:rsidRPr="00250A5A">
        <w:rPr>
          <w:sz w:val="18"/>
          <w:szCs w:val="18"/>
        </w:rPr>
        <w:t>-8.</w:t>
      </w:r>
    </w:p>
  </w:footnote>
  <w:footnote w:id="15">
    <w:p w14:paraId="4E9841B9" w14:textId="77777777" w:rsidR="00145644" w:rsidRPr="00DE66A1" w:rsidRDefault="00145644">
      <w:pPr>
        <w:pStyle w:val="NoSpacing"/>
        <w:rPr>
          <w:sz w:val="18"/>
          <w:szCs w:val="18"/>
        </w:rPr>
      </w:pPr>
      <w:r w:rsidRPr="00DE66A1">
        <w:rPr>
          <w:rStyle w:val="FootnoteReference"/>
          <w:sz w:val="18"/>
          <w:szCs w:val="18"/>
          <w:vertAlign w:val="baseline"/>
        </w:rPr>
        <w:footnoteRef/>
      </w:r>
      <w:r w:rsidRPr="00DE66A1">
        <w:rPr>
          <w:sz w:val="18"/>
          <w:szCs w:val="18"/>
        </w:rPr>
        <w:t xml:space="preserve"> Banham L, </w:t>
      </w:r>
      <w:proofErr w:type="spellStart"/>
      <w:r w:rsidRPr="00DE66A1">
        <w:rPr>
          <w:sz w:val="18"/>
          <w:szCs w:val="18"/>
        </w:rPr>
        <w:t>Gilbody</w:t>
      </w:r>
      <w:proofErr w:type="spellEnd"/>
      <w:r w:rsidRPr="00DE66A1">
        <w:rPr>
          <w:sz w:val="18"/>
          <w:szCs w:val="18"/>
        </w:rPr>
        <w:t xml:space="preserve"> S. Smoking cessation in severe mental illness: What works? Addiction. 2010</w:t>
      </w:r>
      <w:proofErr w:type="gramStart"/>
      <w:r w:rsidRPr="00DE66A1">
        <w:rPr>
          <w:sz w:val="18"/>
          <w:szCs w:val="18"/>
        </w:rPr>
        <w:t>;105:1176</w:t>
      </w:r>
      <w:proofErr w:type="gramEnd"/>
      <w:r w:rsidRPr="00DE66A1">
        <w:rPr>
          <w:sz w:val="18"/>
          <w:szCs w:val="18"/>
        </w:rPr>
        <w:t>-89.</w:t>
      </w:r>
    </w:p>
  </w:footnote>
  <w:footnote w:id="16">
    <w:p w14:paraId="421E45C7" w14:textId="77777777" w:rsidR="006428FC" w:rsidRPr="00DE66A1" w:rsidRDefault="006428FC" w:rsidP="00D8681B">
      <w:pPr>
        <w:pStyle w:val="NoSpacing"/>
        <w:rPr>
          <w:sz w:val="18"/>
          <w:szCs w:val="18"/>
        </w:rPr>
      </w:pPr>
      <w:r w:rsidRPr="00DE66A1">
        <w:rPr>
          <w:rStyle w:val="FootnoteReference"/>
          <w:sz w:val="18"/>
          <w:szCs w:val="18"/>
          <w:vertAlign w:val="baseline"/>
        </w:rPr>
        <w:footnoteRef/>
      </w:r>
      <w:r w:rsidRPr="00DE66A1">
        <w:rPr>
          <w:sz w:val="18"/>
          <w:szCs w:val="18"/>
        </w:rPr>
        <w:t xml:space="preserve"> </w:t>
      </w:r>
      <w:proofErr w:type="spellStart"/>
      <w:r w:rsidRPr="00DE66A1">
        <w:rPr>
          <w:sz w:val="18"/>
          <w:szCs w:val="18"/>
        </w:rPr>
        <w:t>Sankaranarayanan</w:t>
      </w:r>
      <w:proofErr w:type="spellEnd"/>
      <w:r w:rsidRPr="00DE66A1">
        <w:rPr>
          <w:sz w:val="18"/>
          <w:szCs w:val="18"/>
        </w:rPr>
        <w:t xml:space="preserve"> A, Castle D. Burden associated with smoking as a suicidal risk factor in an Australian sample of patients with psychosis. </w:t>
      </w:r>
      <w:proofErr w:type="spellStart"/>
      <w:r w:rsidRPr="00DE66A1">
        <w:rPr>
          <w:sz w:val="18"/>
          <w:szCs w:val="18"/>
        </w:rPr>
        <w:t>Australas</w:t>
      </w:r>
      <w:proofErr w:type="spellEnd"/>
      <w:r w:rsidRPr="00DE66A1">
        <w:rPr>
          <w:sz w:val="18"/>
          <w:szCs w:val="18"/>
        </w:rPr>
        <w:t xml:space="preserve"> Psychiatry. 2016</w:t>
      </w:r>
      <w:proofErr w:type="gramStart"/>
      <w:r w:rsidRPr="00DE66A1">
        <w:rPr>
          <w:sz w:val="18"/>
          <w:szCs w:val="18"/>
        </w:rPr>
        <w:t>;24</w:t>
      </w:r>
      <w:proofErr w:type="gramEnd"/>
      <w:r w:rsidRPr="00DE66A1">
        <w:rPr>
          <w:sz w:val="18"/>
          <w:szCs w:val="18"/>
        </w:rPr>
        <w:t xml:space="preserve">(5):437-40. </w:t>
      </w:r>
    </w:p>
  </w:footnote>
  <w:footnote w:id="17">
    <w:p w14:paraId="1E67A887" w14:textId="77777777" w:rsidR="006428FC" w:rsidRPr="00DE66A1" w:rsidRDefault="006428FC" w:rsidP="00D8681B">
      <w:pPr>
        <w:pStyle w:val="NoSpacing"/>
        <w:rPr>
          <w:sz w:val="18"/>
          <w:szCs w:val="18"/>
        </w:rPr>
      </w:pPr>
      <w:r w:rsidRPr="00DE66A1">
        <w:rPr>
          <w:rStyle w:val="FootnoteReference"/>
          <w:sz w:val="18"/>
          <w:szCs w:val="18"/>
          <w:vertAlign w:val="baseline"/>
        </w:rPr>
        <w:footnoteRef/>
      </w:r>
      <w:r w:rsidRPr="00DE66A1">
        <w:rPr>
          <w:sz w:val="18"/>
          <w:szCs w:val="18"/>
        </w:rPr>
        <w:t xml:space="preserve"> Pedersen W, von </w:t>
      </w:r>
      <w:proofErr w:type="spellStart"/>
      <w:r w:rsidRPr="00DE66A1">
        <w:rPr>
          <w:sz w:val="18"/>
          <w:szCs w:val="18"/>
        </w:rPr>
        <w:t>Soest</w:t>
      </w:r>
      <w:proofErr w:type="spellEnd"/>
      <w:r w:rsidRPr="00DE66A1">
        <w:rPr>
          <w:sz w:val="18"/>
          <w:szCs w:val="18"/>
        </w:rPr>
        <w:t xml:space="preserve"> T. Smoking, nicotine dependence and mental health among young adults: a 13 year population-based longitudinal study. Addiction. 2008</w:t>
      </w:r>
      <w:proofErr w:type="gramStart"/>
      <w:r w:rsidRPr="00DE66A1">
        <w:rPr>
          <w:sz w:val="18"/>
          <w:szCs w:val="18"/>
        </w:rPr>
        <w:t>;104</w:t>
      </w:r>
      <w:proofErr w:type="gramEnd"/>
      <w:r w:rsidRPr="00DE66A1">
        <w:rPr>
          <w:sz w:val="18"/>
          <w:szCs w:val="18"/>
        </w:rPr>
        <w:t xml:space="preserve">(1):129-137. </w:t>
      </w:r>
    </w:p>
  </w:footnote>
  <w:footnote w:id="18">
    <w:p w14:paraId="09B91697" w14:textId="77777777" w:rsidR="006428FC" w:rsidRPr="00DE66A1" w:rsidRDefault="006428FC" w:rsidP="00D8681B">
      <w:pPr>
        <w:pStyle w:val="NoSpacing"/>
        <w:rPr>
          <w:sz w:val="18"/>
          <w:szCs w:val="18"/>
        </w:rPr>
      </w:pPr>
      <w:r w:rsidRPr="00DE66A1">
        <w:rPr>
          <w:rStyle w:val="FootnoteReference"/>
          <w:sz w:val="18"/>
          <w:szCs w:val="18"/>
          <w:vertAlign w:val="baseline"/>
        </w:rPr>
        <w:footnoteRef/>
      </w:r>
      <w:r w:rsidRPr="00DE66A1">
        <w:rPr>
          <w:sz w:val="18"/>
          <w:szCs w:val="18"/>
        </w:rPr>
        <w:t xml:space="preserve"> De Leon J, Diaz FJ. A meta-analysis of worldwide studies demonstrates an association between schizophrenia and tobacco smoking behaviours. Schizophrenia Research. 2005</w:t>
      </w:r>
      <w:proofErr w:type="gramStart"/>
      <w:r w:rsidRPr="00DE66A1">
        <w:rPr>
          <w:sz w:val="18"/>
          <w:szCs w:val="18"/>
        </w:rPr>
        <w:t>;76</w:t>
      </w:r>
      <w:proofErr w:type="gramEnd"/>
      <w:r w:rsidRPr="00DE66A1">
        <w:rPr>
          <w:sz w:val="18"/>
          <w:szCs w:val="18"/>
        </w:rPr>
        <w:t xml:space="preserve">(2-3):135-57. </w:t>
      </w:r>
    </w:p>
  </w:footnote>
  <w:footnote w:id="19">
    <w:p w14:paraId="6A025580" w14:textId="77777777" w:rsidR="003864D3" w:rsidRPr="00DE66A1" w:rsidRDefault="003864D3">
      <w:pPr>
        <w:pStyle w:val="FootnoteText"/>
        <w:rPr>
          <w:sz w:val="18"/>
          <w:szCs w:val="18"/>
        </w:rPr>
      </w:pPr>
      <w:r w:rsidRPr="00DE66A1">
        <w:rPr>
          <w:rStyle w:val="FootnoteReference"/>
          <w:sz w:val="18"/>
          <w:szCs w:val="18"/>
          <w:vertAlign w:val="baseline"/>
        </w:rPr>
        <w:footnoteRef/>
      </w:r>
      <w:r w:rsidRPr="00DE66A1">
        <w:rPr>
          <w:sz w:val="18"/>
          <w:szCs w:val="18"/>
        </w:rPr>
        <w:t xml:space="preserve"> Keeping Body and Mind Together: Improving the physical health and life expectancy of people with serious mental illness. Melbourne. The Royal Australian and New Zealand College of Psychiatrists. 2015.</w:t>
      </w:r>
    </w:p>
  </w:footnote>
  <w:footnote w:id="20">
    <w:p w14:paraId="76970AFB" w14:textId="77777777" w:rsidR="003864D3" w:rsidRPr="00DE66A1" w:rsidRDefault="003864D3">
      <w:pPr>
        <w:pStyle w:val="FootnoteText"/>
        <w:rPr>
          <w:sz w:val="18"/>
          <w:szCs w:val="18"/>
        </w:rPr>
      </w:pPr>
      <w:r w:rsidRPr="00DE66A1">
        <w:rPr>
          <w:rStyle w:val="FootnoteReference"/>
          <w:sz w:val="18"/>
          <w:szCs w:val="18"/>
          <w:vertAlign w:val="baseline"/>
        </w:rPr>
        <w:footnoteRef/>
      </w:r>
      <w:r w:rsidRPr="00DE66A1">
        <w:rPr>
          <w:sz w:val="18"/>
          <w:szCs w:val="18"/>
        </w:rPr>
        <w:t xml:space="preserve"> Ibid </w:t>
      </w:r>
    </w:p>
  </w:footnote>
  <w:footnote w:id="21">
    <w:p w14:paraId="1B8D2636" w14:textId="77777777" w:rsidR="00145644" w:rsidRPr="00DE66A1" w:rsidRDefault="00145644">
      <w:pPr>
        <w:pStyle w:val="FootnoteText"/>
        <w:rPr>
          <w:sz w:val="18"/>
          <w:szCs w:val="18"/>
        </w:rPr>
      </w:pPr>
      <w:r w:rsidRPr="00DE66A1">
        <w:rPr>
          <w:rStyle w:val="FootnoteReference"/>
          <w:sz w:val="18"/>
          <w:szCs w:val="18"/>
          <w:vertAlign w:val="baseline"/>
        </w:rPr>
        <w:footnoteRef/>
      </w:r>
      <w:r w:rsidRPr="00DE66A1">
        <w:rPr>
          <w:sz w:val="18"/>
          <w:szCs w:val="18"/>
        </w:rPr>
        <w:t xml:space="preserve"> Jackson CA, Dobson AJ, Tooth LR, Mishra GD. Lifestyle and socioeconomic determinants of multimorbidity patterns among mid-aged women: a longitudinal study. </w:t>
      </w:r>
      <w:proofErr w:type="spellStart"/>
      <w:r w:rsidRPr="00DE66A1">
        <w:rPr>
          <w:sz w:val="18"/>
          <w:szCs w:val="18"/>
        </w:rPr>
        <w:t>PloS</w:t>
      </w:r>
      <w:proofErr w:type="spellEnd"/>
      <w:r w:rsidRPr="00DE66A1">
        <w:rPr>
          <w:sz w:val="18"/>
          <w:szCs w:val="18"/>
        </w:rPr>
        <w:t xml:space="preserve"> one. 2016</w:t>
      </w:r>
      <w:proofErr w:type="gramStart"/>
      <w:r w:rsidRPr="00DE66A1">
        <w:rPr>
          <w:sz w:val="18"/>
          <w:szCs w:val="18"/>
        </w:rPr>
        <w:t>;11</w:t>
      </w:r>
      <w:proofErr w:type="gramEnd"/>
      <w:r w:rsidRPr="00DE66A1">
        <w:rPr>
          <w:sz w:val="18"/>
          <w:szCs w:val="18"/>
        </w:rPr>
        <w:t xml:space="preserve">(6):e0156804. </w:t>
      </w:r>
    </w:p>
  </w:footnote>
  <w:footnote w:id="22">
    <w:p w14:paraId="525F5E76" w14:textId="77777777" w:rsidR="00645C99" w:rsidRPr="00DE66A1" w:rsidRDefault="00645C99">
      <w:pPr>
        <w:pStyle w:val="FootnoteText"/>
        <w:rPr>
          <w:sz w:val="18"/>
          <w:szCs w:val="18"/>
        </w:rPr>
      </w:pPr>
      <w:r w:rsidRPr="00DE66A1">
        <w:rPr>
          <w:rStyle w:val="FootnoteReference"/>
          <w:sz w:val="18"/>
          <w:szCs w:val="18"/>
          <w:vertAlign w:val="baseline"/>
        </w:rPr>
        <w:footnoteRef/>
      </w:r>
      <w:r w:rsidRPr="00DE66A1">
        <w:rPr>
          <w:sz w:val="18"/>
          <w:szCs w:val="18"/>
        </w:rPr>
        <w:t xml:space="preserve"> </w:t>
      </w:r>
      <w:r w:rsidR="00E3759C" w:rsidRPr="00DE66A1">
        <w:rPr>
          <w:sz w:val="18"/>
          <w:szCs w:val="18"/>
        </w:rPr>
        <w:t xml:space="preserve">PwC </w:t>
      </w:r>
      <w:r w:rsidR="00DB42EA" w:rsidRPr="00DE66A1">
        <w:rPr>
          <w:sz w:val="18"/>
          <w:szCs w:val="18"/>
        </w:rPr>
        <w:t>2015</w:t>
      </w:r>
      <w:r w:rsidR="00E3759C" w:rsidRPr="00DE66A1">
        <w:rPr>
          <w:sz w:val="18"/>
          <w:szCs w:val="18"/>
        </w:rPr>
        <w:t>. Weighing the cost of obesity: A case for action</w:t>
      </w:r>
      <w:r w:rsidR="00DB42EA" w:rsidRPr="00DE66A1">
        <w:rPr>
          <w:sz w:val="18"/>
          <w:szCs w:val="18"/>
        </w:rPr>
        <w:t xml:space="preserve">. </w:t>
      </w:r>
    </w:p>
  </w:footnote>
  <w:footnote w:id="23">
    <w:p w14:paraId="35DEA12B" w14:textId="77777777" w:rsidR="00F7131E" w:rsidRPr="00DE66A1" w:rsidRDefault="00F7131E" w:rsidP="00F7131E">
      <w:pPr>
        <w:pStyle w:val="FootnoteText"/>
        <w:rPr>
          <w:sz w:val="18"/>
          <w:szCs w:val="18"/>
        </w:rPr>
      </w:pPr>
      <w:r w:rsidRPr="00DE66A1">
        <w:rPr>
          <w:rStyle w:val="FootnoteReference"/>
          <w:sz w:val="18"/>
          <w:szCs w:val="18"/>
          <w:vertAlign w:val="baseline"/>
        </w:rPr>
        <w:footnoteRef/>
      </w:r>
      <w:r w:rsidRPr="00DE66A1">
        <w:rPr>
          <w:sz w:val="18"/>
          <w:szCs w:val="18"/>
        </w:rPr>
        <w:t xml:space="preserve"> Australia’s mental health and physical health tracker.</w:t>
      </w:r>
    </w:p>
  </w:footnote>
  <w:footnote w:id="24">
    <w:p w14:paraId="38D9BAE6" w14:textId="77777777" w:rsidR="00F7131E" w:rsidRPr="00DE66A1" w:rsidRDefault="00F7131E" w:rsidP="00F7131E">
      <w:pPr>
        <w:pStyle w:val="FootnoteText"/>
        <w:rPr>
          <w:sz w:val="18"/>
          <w:szCs w:val="18"/>
        </w:rPr>
      </w:pPr>
      <w:r w:rsidRPr="00DE66A1">
        <w:rPr>
          <w:rStyle w:val="FootnoteReference"/>
          <w:sz w:val="18"/>
          <w:szCs w:val="18"/>
          <w:vertAlign w:val="baseline"/>
        </w:rPr>
        <w:footnoteRef/>
      </w:r>
      <w:r w:rsidRPr="00DE66A1">
        <w:rPr>
          <w:sz w:val="18"/>
          <w:szCs w:val="18"/>
        </w:rPr>
        <w:t xml:space="preserve"> Morgan VA, McGrath JJ, </w:t>
      </w:r>
      <w:proofErr w:type="spellStart"/>
      <w:r w:rsidRPr="00DE66A1">
        <w:rPr>
          <w:sz w:val="18"/>
          <w:szCs w:val="18"/>
        </w:rPr>
        <w:t>Jablensky</w:t>
      </w:r>
      <w:proofErr w:type="spellEnd"/>
      <w:r w:rsidRPr="00DE66A1">
        <w:rPr>
          <w:sz w:val="18"/>
          <w:szCs w:val="18"/>
        </w:rPr>
        <w:t xml:space="preserve"> A, </w:t>
      </w:r>
      <w:proofErr w:type="spellStart"/>
      <w:r w:rsidRPr="00DE66A1">
        <w:rPr>
          <w:sz w:val="18"/>
          <w:szCs w:val="18"/>
        </w:rPr>
        <w:t>Badcock</w:t>
      </w:r>
      <w:proofErr w:type="spellEnd"/>
      <w:r w:rsidRPr="00DE66A1">
        <w:rPr>
          <w:sz w:val="18"/>
          <w:szCs w:val="18"/>
        </w:rPr>
        <w:t xml:space="preserve"> JC, </w:t>
      </w:r>
      <w:proofErr w:type="spellStart"/>
      <w:r w:rsidRPr="00DE66A1">
        <w:rPr>
          <w:sz w:val="18"/>
          <w:szCs w:val="18"/>
        </w:rPr>
        <w:t>Waterreus</w:t>
      </w:r>
      <w:proofErr w:type="spellEnd"/>
      <w:r w:rsidRPr="00DE66A1">
        <w:rPr>
          <w:sz w:val="18"/>
          <w:szCs w:val="18"/>
        </w:rPr>
        <w:t xml:space="preserve"> A, Bush R, et al. Psychosis prevalence and physical, metabolic and cognitive co-morbidity: data from the second Australian national survey of psychosis. Psychological Medicine. 2014</w:t>
      </w:r>
      <w:proofErr w:type="gramStart"/>
      <w:r w:rsidRPr="00DE66A1">
        <w:rPr>
          <w:sz w:val="18"/>
          <w:szCs w:val="18"/>
        </w:rPr>
        <w:t>;44</w:t>
      </w:r>
      <w:proofErr w:type="gramEnd"/>
      <w:r w:rsidRPr="00DE66A1">
        <w:rPr>
          <w:sz w:val="18"/>
          <w:szCs w:val="18"/>
        </w:rPr>
        <w:t xml:space="preserve">(10):2163-76. </w:t>
      </w:r>
    </w:p>
  </w:footnote>
  <w:footnote w:id="25">
    <w:p w14:paraId="5D90D584" w14:textId="6181FE26" w:rsidR="00C91D7F" w:rsidRPr="00F94F68" w:rsidRDefault="00C91D7F" w:rsidP="00C91D7F">
      <w:pPr>
        <w:pStyle w:val="FootnoteText"/>
        <w:rPr>
          <w:sz w:val="18"/>
          <w:szCs w:val="18"/>
        </w:rPr>
      </w:pPr>
      <w:r w:rsidRPr="00DE66A1">
        <w:rPr>
          <w:rStyle w:val="FootnoteReference"/>
          <w:sz w:val="18"/>
          <w:szCs w:val="18"/>
          <w:vertAlign w:val="baseline"/>
        </w:rPr>
        <w:footnoteRef/>
      </w:r>
      <w:r w:rsidRPr="00DE66A1">
        <w:rPr>
          <w:sz w:val="18"/>
          <w:szCs w:val="18"/>
        </w:rPr>
        <w:t xml:space="preserve"> Australian Institute of Health and Welfare. Risk factors to health. </w:t>
      </w:r>
      <w:r w:rsidR="00254B31">
        <w:rPr>
          <w:sz w:val="18"/>
          <w:szCs w:val="18"/>
        </w:rPr>
        <w:t xml:space="preserve">Available from: </w:t>
      </w:r>
      <w:r w:rsidRPr="00DE66A1">
        <w:rPr>
          <w:sz w:val="18"/>
          <w:szCs w:val="18"/>
        </w:rPr>
        <w:t>https://www.aihw.gov.au/reports/risk-factors/risk-factors-to-health/contents/excessive-alcohol-consumption</w:t>
      </w:r>
    </w:p>
  </w:footnote>
  <w:footnote w:id="26">
    <w:p w14:paraId="185C1B39" w14:textId="0EC298AC" w:rsidR="00C91D7F" w:rsidRPr="00FD080A" w:rsidRDefault="00C91D7F" w:rsidP="00C91D7F">
      <w:pPr>
        <w:pStyle w:val="FootnoteText"/>
        <w:rPr>
          <w:sz w:val="18"/>
          <w:szCs w:val="18"/>
        </w:rPr>
      </w:pPr>
      <w:r w:rsidRPr="00FD080A">
        <w:rPr>
          <w:rStyle w:val="FootnoteReference"/>
          <w:sz w:val="18"/>
          <w:szCs w:val="18"/>
          <w:vertAlign w:val="baseline"/>
        </w:rPr>
        <w:footnoteRef/>
      </w:r>
      <w:r w:rsidRPr="00FD080A">
        <w:rPr>
          <w:sz w:val="18"/>
          <w:szCs w:val="18"/>
        </w:rPr>
        <w:t xml:space="preserve"> Australia’s mental health and physical health tracker.</w:t>
      </w:r>
    </w:p>
  </w:footnote>
  <w:footnote w:id="27">
    <w:p w14:paraId="208D0D43" w14:textId="77777777" w:rsidR="00C91D7F" w:rsidRPr="00FD080A" w:rsidRDefault="00C91D7F" w:rsidP="00C91D7F">
      <w:pPr>
        <w:pStyle w:val="FootnoteText"/>
        <w:rPr>
          <w:sz w:val="18"/>
          <w:szCs w:val="18"/>
        </w:rPr>
      </w:pPr>
      <w:r w:rsidRPr="00FD080A">
        <w:rPr>
          <w:rStyle w:val="FootnoteReference"/>
          <w:sz w:val="18"/>
          <w:szCs w:val="18"/>
          <w:vertAlign w:val="baseline"/>
        </w:rPr>
        <w:footnoteRef/>
      </w:r>
      <w:r w:rsidRPr="00FD080A">
        <w:rPr>
          <w:sz w:val="18"/>
          <w:szCs w:val="18"/>
        </w:rPr>
        <w:t xml:space="preserve"> Morgan VA, McGrath JJ, </w:t>
      </w:r>
      <w:proofErr w:type="spellStart"/>
      <w:r w:rsidRPr="00FD080A">
        <w:rPr>
          <w:sz w:val="18"/>
          <w:szCs w:val="18"/>
        </w:rPr>
        <w:t>Jablensky</w:t>
      </w:r>
      <w:proofErr w:type="spellEnd"/>
      <w:r w:rsidRPr="00FD080A">
        <w:rPr>
          <w:sz w:val="18"/>
          <w:szCs w:val="18"/>
        </w:rPr>
        <w:t xml:space="preserve"> A, </w:t>
      </w:r>
      <w:proofErr w:type="spellStart"/>
      <w:r w:rsidRPr="00FD080A">
        <w:rPr>
          <w:sz w:val="18"/>
          <w:szCs w:val="18"/>
        </w:rPr>
        <w:t>Badcock</w:t>
      </w:r>
      <w:proofErr w:type="spellEnd"/>
      <w:r w:rsidRPr="00FD080A">
        <w:rPr>
          <w:sz w:val="18"/>
          <w:szCs w:val="18"/>
        </w:rPr>
        <w:t xml:space="preserve"> JC, </w:t>
      </w:r>
      <w:proofErr w:type="spellStart"/>
      <w:r w:rsidRPr="00FD080A">
        <w:rPr>
          <w:sz w:val="18"/>
          <w:szCs w:val="18"/>
        </w:rPr>
        <w:t>Waterreus</w:t>
      </w:r>
      <w:proofErr w:type="spellEnd"/>
      <w:r w:rsidRPr="00FD080A">
        <w:rPr>
          <w:sz w:val="18"/>
          <w:szCs w:val="18"/>
        </w:rPr>
        <w:t xml:space="preserve"> A, Bush R, et al. Psychosis prevalence and physical, metabolic and cognitive co-morbidity: data from the second Australian national survey of psychosis. Psychological Medicine. 2014</w:t>
      </w:r>
      <w:proofErr w:type="gramStart"/>
      <w:r w:rsidRPr="00FD080A">
        <w:rPr>
          <w:sz w:val="18"/>
          <w:szCs w:val="18"/>
        </w:rPr>
        <w:t>;44</w:t>
      </w:r>
      <w:proofErr w:type="gramEnd"/>
      <w:r w:rsidRPr="00FD080A">
        <w:rPr>
          <w:sz w:val="18"/>
          <w:szCs w:val="18"/>
        </w:rPr>
        <w:t>(10):2163-76.</w:t>
      </w:r>
    </w:p>
  </w:footnote>
  <w:footnote w:id="28">
    <w:p w14:paraId="2FB7B7EC" w14:textId="77777777" w:rsidR="009E3E45" w:rsidRPr="00FD080A" w:rsidRDefault="009E3E45" w:rsidP="009E3E45">
      <w:pPr>
        <w:pStyle w:val="FootnoteText"/>
        <w:rPr>
          <w:sz w:val="18"/>
          <w:szCs w:val="18"/>
        </w:rPr>
      </w:pPr>
      <w:r w:rsidRPr="00FD080A">
        <w:rPr>
          <w:rStyle w:val="FootnoteReference"/>
          <w:sz w:val="18"/>
          <w:szCs w:val="18"/>
          <w:vertAlign w:val="baseline"/>
        </w:rPr>
        <w:footnoteRef/>
      </w:r>
      <w:r w:rsidRPr="00FD080A">
        <w:rPr>
          <w:sz w:val="18"/>
          <w:szCs w:val="18"/>
        </w:rPr>
        <w:t xml:space="preserve"> Australian Bureau of Statistics. National Health Survey: First Results, 2014-15. Canberra 2015.</w:t>
      </w:r>
    </w:p>
  </w:footnote>
  <w:footnote w:id="29">
    <w:p w14:paraId="3617B785" w14:textId="77777777" w:rsidR="009E3E45" w:rsidRPr="00FD080A" w:rsidRDefault="009E3E45" w:rsidP="009E3E45">
      <w:pPr>
        <w:pStyle w:val="FootnoteText"/>
        <w:rPr>
          <w:sz w:val="18"/>
          <w:szCs w:val="18"/>
        </w:rPr>
      </w:pPr>
      <w:r w:rsidRPr="00FD080A">
        <w:rPr>
          <w:rStyle w:val="FootnoteReference"/>
          <w:sz w:val="18"/>
          <w:szCs w:val="18"/>
          <w:vertAlign w:val="baseline"/>
        </w:rPr>
        <w:footnoteRef/>
      </w:r>
      <w:r w:rsidRPr="00FD080A">
        <w:rPr>
          <w:sz w:val="18"/>
          <w:szCs w:val="18"/>
        </w:rPr>
        <w:t xml:space="preserve"> Royal Australian &amp; New Zealand College of Psychiatrists and Australian Health Policy Collaboration. The economic cost of serious mental illness and comorbidities in Australia and New Zealand: a report for the Royal Australian &amp; New Zealand College of Psychiatrist and the Australian Health Policy Collaboration by Victoria Institute of Strategic Economic Studies. Melbourne RANZCP 2016. </w:t>
      </w:r>
    </w:p>
  </w:footnote>
  <w:footnote w:id="30">
    <w:p w14:paraId="46E83A8A" w14:textId="77777777" w:rsidR="00CB02E4" w:rsidRPr="00FD080A" w:rsidRDefault="00CB02E4">
      <w:pPr>
        <w:pStyle w:val="FootnoteText"/>
        <w:rPr>
          <w:sz w:val="18"/>
          <w:szCs w:val="18"/>
        </w:rPr>
      </w:pPr>
      <w:r w:rsidRPr="00FD080A">
        <w:rPr>
          <w:rStyle w:val="FootnoteReference"/>
          <w:sz w:val="18"/>
          <w:szCs w:val="18"/>
          <w:vertAlign w:val="baseline"/>
        </w:rPr>
        <w:footnoteRef/>
      </w:r>
      <w:r w:rsidRPr="00FD080A">
        <w:rPr>
          <w:sz w:val="18"/>
          <w:szCs w:val="18"/>
        </w:rPr>
        <w:t xml:space="preserve"> Ibid </w:t>
      </w:r>
    </w:p>
  </w:footnote>
  <w:footnote w:id="31">
    <w:p w14:paraId="561A9613" w14:textId="77777777" w:rsidR="001C29E5" w:rsidRPr="00FD080A" w:rsidRDefault="001C29E5">
      <w:pPr>
        <w:pStyle w:val="FootnoteText"/>
        <w:rPr>
          <w:sz w:val="18"/>
          <w:szCs w:val="18"/>
        </w:rPr>
      </w:pPr>
      <w:r w:rsidRPr="00FD080A">
        <w:rPr>
          <w:rStyle w:val="FootnoteReference"/>
          <w:sz w:val="18"/>
          <w:szCs w:val="18"/>
          <w:vertAlign w:val="baseline"/>
        </w:rPr>
        <w:footnoteRef/>
      </w:r>
      <w:r w:rsidRPr="00FD080A">
        <w:rPr>
          <w:sz w:val="18"/>
          <w:szCs w:val="18"/>
        </w:rPr>
        <w:t xml:space="preserve"> Duggan M. Beyond the fragments: Preventing the costs and consequences of chronic physical and mental diseases. Australian Health Policy Collaboration. Issues paper No.2015-05. Australian Health Policy Collaboration, Melbourne. 2015.</w:t>
      </w:r>
    </w:p>
  </w:footnote>
  <w:footnote w:id="32">
    <w:p w14:paraId="54FC3DDA" w14:textId="77777777" w:rsidR="00145644" w:rsidRPr="00FD080A" w:rsidRDefault="00145644" w:rsidP="003E0BA2">
      <w:pPr>
        <w:pStyle w:val="NoSpacing"/>
        <w:rPr>
          <w:rFonts w:cstheme="minorHAnsi"/>
          <w:sz w:val="18"/>
          <w:szCs w:val="18"/>
        </w:rPr>
      </w:pPr>
      <w:r w:rsidRPr="00FD080A">
        <w:rPr>
          <w:rStyle w:val="FootnoteReference"/>
          <w:sz w:val="18"/>
          <w:szCs w:val="18"/>
          <w:vertAlign w:val="baseline"/>
        </w:rPr>
        <w:footnoteRef/>
      </w:r>
      <w:r w:rsidRPr="00FD080A">
        <w:rPr>
          <w:sz w:val="18"/>
          <w:szCs w:val="18"/>
        </w:rPr>
        <w:t xml:space="preserve"> </w:t>
      </w:r>
      <w:r w:rsidRPr="00FD080A">
        <w:rPr>
          <w:rFonts w:cstheme="minorHAnsi"/>
          <w:sz w:val="18"/>
          <w:szCs w:val="18"/>
        </w:rPr>
        <w:t xml:space="preserve">Taylor G, McNeill A, </w:t>
      </w:r>
      <w:proofErr w:type="spellStart"/>
      <w:r w:rsidRPr="00FD080A">
        <w:rPr>
          <w:rFonts w:cstheme="minorHAnsi"/>
          <w:sz w:val="18"/>
          <w:szCs w:val="18"/>
        </w:rPr>
        <w:t>Girling</w:t>
      </w:r>
      <w:proofErr w:type="spellEnd"/>
      <w:r w:rsidRPr="00FD080A">
        <w:rPr>
          <w:rFonts w:cstheme="minorHAnsi"/>
          <w:sz w:val="18"/>
          <w:szCs w:val="18"/>
        </w:rPr>
        <w:t xml:space="preserve"> A, </w:t>
      </w:r>
      <w:proofErr w:type="spellStart"/>
      <w:r w:rsidRPr="00FD080A">
        <w:rPr>
          <w:rFonts w:cstheme="minorHAnsi"/>
          <w:sz w:val="18"/>
          <w:szCs w:val="18"/>
        </w:rPr>
        <w:t>Farly</w:t>
      </w:r>
      <w:proofErr w:type="spellEnd"/>
      <w:r w:rsidRPr="00FD080A">
        <w:rPr>
          <w:rFonts w:cstheme="minorHAnsi"/>
          <w:sz w:val="18"/>
          <w:szCs w:val="18"/>
        </w:rPr>
        <w:t xml:space="preserve"> A, </w:t>
      </w:r>
      <w:proofErr w:type="spellStart"/>
      <w:r w:rsidRPr="00FD080A">
        <w:rPr>
          <w:rFonts w:cstheme="minorHAnsi"/>
          <w:sz w:val="18"/>
          <w:szCs w:val="18"/>
        </w:rPr>
        <w:t>Lindson</w:t>
      </w:r>
      <w:proofErr w:type="spellEnd"/>
      <w:r w:rsidRPr="00FD080A">
        <w:rPr>
          <w:rFonts w:cstheme="minorHAnsi"/>
          <w:sz w:val="18"/>
          <w:szCs w:val="18"/>
        </w:rPr>
        <w:t>-Hawley N, Aveyard P. Change in mental health after smoking cessation: systematic review and meta-analysis. BMJ 2014;348:g1151</w:t>
      </w:r>
    </w:p>
  </w:footnote>
  <w:footnote w:id="33">
    <w:p w14:paraId="6BDDC410" w14:textId="6B727E8A" w:rsidR="00145644" w:rsidRPr="00205271" w:rsidRDefault="00145644" w:rsidP="003E0BA2">
      <w:pPr>
        <w:pStyle w:val="FootnoteText"/>
        <w:rPr>
          <w:rFonts w:cstheme="minorHAnsi"/>
          <w:sz w:val="18"/>
          <w:szCs w:val="18"/>
        </w:rPr>
      </w:pPr>
      <w:r w:rsidRPr="00FD080A">
        <w:rPr>
          <w:rStyle w:val="FootnoteReference"/>
          <w:rFonts w:cstheme="minorHAnsi"/>
          <w:sz w:val="18"/>
          <w:szCs w:val="18"/>
          <w:vertAlign w:val="baseline"/>
        </w:rPr>
        <w:footnoteRef/>
      </w:r>
      <w:r w:rsidRPr="00FD080A">
        <w:rPr>
          <w:rFonts w:cstheme="minorHAnsi"/>
          <w:sz w:val="18"/>
          <w:szCs w:val="18"/>
        </w:rPr>
        <w:t xml:space="preserve"> </w:t>
      </w:r>
      <w:r w:rsidR="00CB02E4" w:rsidRPr="00FD080A">
        <w:rPr>
          <w:rFonts w:cstheme="minorHAnsi"/>
          <w:sz w:val="18"/>
          <w:szCs w:val="18"/>
        </w:rPr>
        <w:t>Australian Retail Tobacconist. Volume 108 October-November-December 2018.</w:t>
      </w:r>
      <w:r w:rsidR="00AB2ECF" w:rsidRPr="00FD080A">
        <w:rPr>
          <w:rFonts w:cstheme="minorHAnsi"/>
          <w:sz w:val="18"/>
          <w:szCs w:val="18"/>
        </w:rPr>
        <w:t xml:space="preserve"> Based on an “average pack” of 20 cigarettes, at an average cost of $27</w:t>
      </w:r>
      <w:r w:rsidR="00FD080A">
        <w:rPr>
          <w:rFonts w:cstheme="minorHAnsi"/>
          <w:sz w:val="18"/>
          <w:szCs w:val="18"/>
        </w:rPr>
        <w:t>AUD</w:t>
      </w:r>
      <w:r w:rsidR="00AB2ECF" w:rsidRPr="00FD080A">
        <w:rPr>
          <w:rFonts w:cstheme="minorHAnsi"/>
          <w:sz w:val="18"/>
          <w:szCs w:val="18"/>
        </w:rPr>
        <w:t>/pack.</w:t>
      </w:r>
      <w:r w:rsidR="00AB2ECF">
        <w:rPr>
          <w:rFonts w:cstheme="minorHAnsi"/>
          <w:sz w:val="18"/>
          <w:szCs w:val="18"/>
        </w:rPr>
        <w:t xml:space="preserve"> </w:t>
      </w:r>
    </w:p>
  </w:footnote>
  <w:footnote w:id="34">
    <w:p w14:paraId="35B77AEC" w14:textId="77777777" w:rsidR="00205271" w:rsidRPr="00346629" w:rsidRDefault="00205271">
      <w:pPr>
        <w:pStyle w:val="FootnoteText"/>
        <w:rPr>
          <w:rFonts w:cstheme="minorHAnsi"/>
          <w:sz w:val="18"/>
          <w:szCs w:val="18"/>
        </w:rPr>
      </w:pPr>
      <w:r w:rsidRPr="00346629">
        <w:rPr>
          <w:rStyle w:val="FootnoteReference"/>
          <w:rFonts w:cstheme="minorHAnsi"/>
          <w:sz w:val="18"/>
          <w:szCs w:val="18"/>
          <w:vertAlign w:val="baseline"/>
        </w:rPr>
        <w:footnoteRef/>
      </w:r>
      <w:r w:rsidRPr="00346629">
        <w:rPr>
          <w:rFonts w:cstheme="minorHAnsi"/>
          <w:sz w:val="18"/>
          <w:szCs w:val="18"/>
        </w:rPr>
        <w:t xml:space="preserve"> </w:t>
      </w:r>
      <w:r w:rsidRPr="00346629">
        <w:rPr>
          <w:rFonts w:cstheme="minorHAnsi"/>
          <w:sz w:val="18"/>
          <w:szCs w:val="18"/>
          <w:lang w:val="en"/>
        </w:rPr>
        <w:t>Lucas C, Martin J. Smoking and drug interactions. Australian Prescriber 2013</w:t>
      </w:r>
      <w:proofErr w:type="gramStart"/>
      <w:r w:rsidRPr="00346629">
        <w:rPr>
          <w:rFonts w:cstheme="minorHAnsi"/>
          <w:sz w:val="18"/>
          <w:szCs w:val="18"/>
          <w:lang w:val="en"/>
        </w:rPr>
        <w:t>;36:102</w:t>
      </w:r>
      <w:proofErr w:type="gramEnd"/>
      <w:r w:rsidRPr="00346629">
        <w:rPr>
          <w:rFonts w:cstheme="minorHAnsi"/>
          <w:sz w:val="18"/>
          <w:szCs w:val="18"/>
          <w:lang w:val="en"/>
        </w:rPr>
        <w:t>-104.</w:t>
      </w:r>
    </w:p>
  </w:footnote>
  <w:footnote w:id="35">
    <w:p w14:paraId="5AF372CB" w14:textId="77777777" w:rsidR="00DD123C" w:rsidRPr="00346629" w:rsidRDefault="00DD123C">
      <w:pPr>
        <w:pStyle w:val="FootnoteText"/>
      </w:pPr>
      <w:r w:rsidRPr="00346629">
        <w:rPr>
          <w:rStyle w:val="FootnoteReference"/>
          <w:rFonts w:cstheme="minorHAnsi"/>
          <w:sz w:val="18"/>
          <w:szCs w:val="18"/>
          <w:vertAlign w:val="baseline"/>
        </w:rPr>
        <w:footnoteRef/>
      </w:r>
      <w:r w:rsidRPr="00346629">
        <w:rPr>
          <w:rFonts w:cstheme="minorHAnsi"/>
          <w:sz w:val="18"/>
          <w:szCs w:val="18"/>
        </w:rPr>
        <w:t xml:space="preserve"> </w:t>
      </w:r>
      <w:r w:rsidR="00205271" w:rsidRPr="00346629">
        <w:rPr>
          <w:rFonts w:cstheme="minorHAnsi"/>
          <w:sz w:val="18"/>
          <w:szCs w:val="18"/>
          <w:lang w:val="en"/>
        </w:rPr>
        <w:t>NHS/Specialist Pharmacy Service/</w:t>
      </w:r>
      <w:proofErr w:type="spellStart"/>
      <w:r w:rsidR="00205271" w:rsidRPr="00346629">
        <w:rPr>
          <w:rFonts w:cstheme="minorHAnsi"/>
          <w:sz w:val="18"/>
          <w:szCs w:val="18"/>
          <w:lang w:val="en"/>
        </w:rPr>
        <w:t>UKMi</w:t>
      </w:r>
      <w:proofErr w:type="spellEnd"/>
      <w:r w:rsidR="00205271" w:rsidRPr="00346629">
        <w:rPr>
          <w:rFonts w:cstheme="minorHAnsi"/>
          <w:sz w:val="18"/>
          <w:szCs w:val="18"/>
          <w:lang w:val="en"/>
        </w:rPr>
        <w:t>. Medicines Q&amp;As. (</w:t>
      </w:r>
      <w:proofErr w:type="spellStart"/>
      <w:r w:rsidR="00205271" w:rsidRPr="00346629">
        <w:rPr>
          <w:rFonts w:cstheme="minorHAnsi"/>
          <w:sz w:val="18"/>
          <w:szCs w:val="18"/>
          <w:lang w:val="en"/>
        </w:rPr>
        <w:t>UKMi</w:t>
      </w:r>
      <w:proofErr w:type="spellEnd"/>
      <w:r w:rsidR="00205271" w:rsidRPr="00346629">
        <w:rPr>
          <w:rFonts w:cstheme="minorHAnsi"/>
          <w:sz w:val="18"/>
          <w:szCs w:val="18"/>
          <w:lang w:val="en"/>
        </w:rPr>
        <w:t xml:space="preserve"> Q&amp;A 136.4) </w:t>
      </w:r>
      <w:proofErr w:type="gramStart"/>
      <w:r w:rsidR="00205271" w:rsidRPr="00346629">
        <w:rPr>
          <w:rFonts w:cstheme="minorHAnsi"/>
          <w:sz w:val="18"/>
          <w:szCs w:val="18"/>
          <w:lang w:val="en"/>
        </w:rPr>
        <w:t>What</w:t>
      </w:r>
      <w:proofErr w:type="gramEnd"/>
      <w:r w:rsidR="00205271" w:rsidRPr="00346629">
        <w:rPr>
          <w:rFonts w:cstheme="minorHAnsi"/>
          <w:sz w:val="18"/>
          <w:szCs w:val="18"/>
          <w:lang w:val="en"/>
        </w:rPr>
        <w:t xml:space="preserve"> are the clinically significant drug interactions with cigarette smoking? Prepared November 2017. Available </w:t>
      </w:r>
      <w:hyperlink r:id="rId2" w:history="1">
        <w:r w:rsidR="00205271" w:rsidRPr="00346629">
          <w:rPr>
            <w:rStyle w:val="Hyperlink"/>
            <w:rFonts w:cstheme="minorHAnsi"/>
            <w:color w:val="auto"/>
            <w:sz w:val="18"/>
            <w:szCs w:val="18"/>
            <w:lang w:val="en"/>
          </w:rPr>
          <w:t>https://www.sps.nhs.uk/wp-content/uploads/2017/11/UKMI_QA_Drug-interactions-with-smoking-cigarettes_update_Nov-2017.pdf</w:t>
        </w:r>
      </w:hyperlink>
    </w:p>
  </w:footnote>
  <w:footnote w:id="36">
    <w:p w14:paraId="4887C564" w14:textId="59BF6A21" w:rsidR="00145644" w:rsidRPr="00346629" w:rsidRDefault="00145644" w:rsidP="003E0BA2">
      <w:pPr>
        <w:pStyle w:val="NoSpacing"/>
        <w:rPr>
          <w:rFonts w:ascii="Calibri" w:hAnsi="Calibri"/>
          <w:noProof/>
          <w:sz w:val="18"/>
          <w:szCs w:val="18"/>
        </w:rPr>
      </w:pPr>
      <w:r w:rsidRPr="00346629">
        <w:rPr>
          <w:rStyle w:val="FootnoteReference"/>
          <w:color w:val="000000" w:themeColor="text1"/>
          <w:sz w:val="18"/>
          <w:szCs w:val="18"/>
          <w:vertAlign w:val="baseline"/>
        </w:rPr>
        <w:footnoteRef/>
      </w:r>
      <w:r w:rsidRPr="00346629">
        <w:rPr>
          <w:sz w:val="18"/>
          <w:szCs w:val="18"/>
        </w:rPr>
        <w:t xml:space="preserve"> </w:t>
      </w:r>
      <w:proofErr w:type="spellStart"/>
      <w:r w:rsidRPr="00346629">
        <w:rPr>
          <w:sz w:val="18"/>
          <w:szCs w:val="18"/>
        </w:rPr>
        <w:t>Schuch</w:t>
      </w:r>
      <w:proofErr w:type="spellEnd"/>
      <w:r w:rsidRPr="00346629">
        <w:rPr>
          <w:sz w:val="18"/>
          <w:szCs w:val="18"/>
        </w:rPr>
        <w:t xml:space="preserve"> FB, </w:t>
      </w:r>
      <w:proofErr w:type="spellStart"/>
      <w:r w:rsidRPr="00346629">
        <w:rPr>
          <w:sz w:val="18"/>
          <w:szCs w:val="18"/>
        </w:rPr>
        <w:t>Vancampfort</w:t>
      </w:r>
      <w:proofErr w:type="spellEnd"/>
      <w:r w:rsidRPr="00346629">
        <w:rPr>
          <w:sz w:val="18"/>
          <w:szCs w:val="18"/>
        </w:rPr>
        <w:t xml:space="preserve"> D, Firth J, Rosenbaum S, Ward PB, Silva ES, et al. Physical activity and incident depression: A meta-analysis of prospective cohort studies. American Journal of Psychiatry. 2018</w:t>
      </w:r>
      <w:proofErr w:type="gramStart"/>
      <w:r w:rsidRPr="00346629">
        <w:rPr>
          <w:sz w:val="18"/>
          <w:szCs w:val="18"/>
        </w:rPr>
        <w:t>;175</w:t>
      </w:r>
      <w:proofErr w:type="gramEnd"/>
      <w:r w:rsidRPr="00346629">
        <w:rPr>
          <w:sz w:val="18"/>
          <w:szCs w:val="18"/>
        </w:rPr>
        <w:t xml:space="preserve">(7):631-648. </w:t>
      </w:r>
    </w:p>
  </w:footnote>
  <w:footnote w:id="37">
    <w:p w14:paraId="1BAC5988" w14:textId="77777777" w:rsidR="00145644" w:rsidRPr="00346629" w:rsidRDefault="00145644" w:rsidP="003E0BA2">
      <w:pPr>
        <w:pStyle w:val="NoSpacing"/>
        <w:rPr>
          <w:sz w:val="18"/>
          <w:szCs w:val="18"/>
        </w:rPr>
      </w:pPr>
      <w:r w:rsidRPr="00346629">
        <w:rPr>
          <w:rStyle w:val="FootnoteReference"/>
          <w:color w:val="000000" w:themeColor="text1"/>
          <w:sz w:val="18"/>
          <w:szCs w:val="18"/>
          <w:vertAlign w:val="baseline"/>
        </w:rPr>
        <w:footnoteRef/>
      </w:r>
      <w:r w:rsidRPr="00346629">
        <w:rPr>
          <w:sz w:val="18"/>
          <w:szCs w:val="18"/>
        </w:rPr>
        <w:t xml:space="preserve"> </w:t>
      </w:r>
      <w:hyperlink r:id="rId3" w:history="1">
        <w:r w:rsidRPr="00346629">
          <w:rPr>
            <w:rStyle w:val="Hyperlink"/>
            <w:color w:val="000000" w:themeColor="text1"/>
            <w:sz w:val="18"/>
            <w:szCs w:val="18"/>
            <w:u w:val="none"/>
          </w:rPr>
          <w:t>Rebar</w:t>
        </w:r>
      </w:hyperlink>
      <w:r w:rsidRPr="00346629">
        <w:rPr>
          <w:rStyle w:val="Hyperlink"/>
          <w:color w:val="000000" w:themeColor="text1"/>
          <w:sz w:val="18"/>
          <w:szCs w:val="18"/>
          <w:u w:val="none"/>
        </w:rPr>
        <w:t xml:space="preserve"> AL, Stanton R, </w:t>
      </w:r>
      <w:proofErr w:type="spellStart"/>
      <w:r w:rsidRPr="00346629">
        <w:rPr>
          <w:rStyle w:val="Hyperlink"/>
          <w:color w:val="000000" w:themeColor="text1"/>
          <w:sz w:val="18"/>
          <w:szCs w:val="18"/>
          <w:u w:val="none"/>
        </w:rPr>
        <w:t>Geard</w:t>
      </w:r>
      <w:proofErr w:type="spellEnd"/>
      <w:r w:rsidRPr="00346629">
        <w:rPr>
          <w:rStyle w:val="Hyperlink"/>
          <w:color w:val="000000" w:themeColor="text1"/>
          <w:sz w:val="18"/>
          <w:szCs w:val="18"/>
          <w:u w:val="none"/>
        </w:rPr>
        <w:t xml:space="preserve"> D, Short C, Duncan MJ, </w:t>
      </w:r>
      <w:proofErr w:type="spellStart"/>
      <w:r w:rsidRPr="00346629">
        <w:rPr>
          <w:rStyle w:val="Hyperlink"/>
          <w:color w:val="000000" w:themeColor="text1"/>
          <w:sz w:val="18"/>
          <w:szCs w:val="18"/>
          <w:u w:val="none"/>
        </w:rPr>
        <w:t>Vandelanotte</w:t>
      </w:r>
      <w:proofErr w:type="spellEnd"/>
      <w:r w:rsidRPr="00346629">
        <w:rPr>
          <w:rStyle w:val="Hyperlink"/>
          <w:color w:val="000000" w:themeColor="text1"/>
          <w:sz w:val="18"/>
          <w:szCs w:val="18"/>
          <w:u w:val="none"/>
        </w:rPr>
        <w:t xml:space="preserve"> C. A meta-meta-analysis of the effect of physical activity on depression and anxiety in non-clinical adult populations. Health psychology review. 2015</w:t>
      </w:r>
      <w:proofErr w:type="gramStart"/>
      <w:r w:rsidRPr="00346629">
        <w:rPr>
          <w:rStyle w:val="Hyperlink"/>
          <w:color w:val="000000" w:themeColor="text1"/>
          <w:sz w:val="18"/>
          <w:szCs w:val="18"/>
          <w:u w:val="none"/>
        </w:rPr>
        <w:t>;9</w:t>
      </w:r>
      <w:proofErr w:type="gramEnd"/>
      <w:r w:rsidRPr="00346629">
        <w:rPr>
          <w:rStyle w:val="Hyperlink"/>
          <w:color w:val="000000" w:themeColor="text1"/>
          <w:sz w:val="18"/>
          <w:szCs w:val="18"/>
          <w:u w:val="none"/>
        </w:rPr>
        <w:t xml:space="preserve">(3):366-78. </w:t>
      </w:r>
    </w:p>
  </w:footnote>
  <w:footnote w:id="38">
    <w:p w14:paraId="3DF385D5" w14:textId="77777777" w:rsidR="00145644" w:rsidRPr="00346629" w:rsidRDefault="00145644" w:rsidP="003E0BA2">
      <w:pPr>
        <w:pStyle w:val="NoSpacing"/>
        <w:rPr>
          <w:rFonts w:ascii="Calibri" w:hAnsi="Calibri"/>
          <w:noProof/>
          <w:sz w:val="18"/>
          <w:szCs w:val="18"/>
        </w:rPr>
      </w:pPr>
      <w:r w:rsidRPr="00346629">
        <w:rPr>
          <w:rStyle w:val="FootnoteReference"/>
          <w:color w:val="000000" w:themeColor="text1"/>
          <w:sz w:val="18"/>
          <w:szCs w:val="18"/>
          <w:vertAlign w:val="baseline"/>
        </w:rPr>
        <w:footnoteRef/>
      </w:r>
      <w:r w:rsidRPr="00346629">
        <w:rPr>
          <w:sz w:val="18"/>
          <w:szCs w:val="18"/>
        </w:rPr>
        <w:t xml:space="preserve"> </w:t>
      </w:r>
      <w:hyperlink r:id="rId4" w:history="1">
        <w:r w:rsidRPr="00346629">
          <w:rPr>
            <w:rStyle w:val="Hyperlink"/>
            <w:color w:val="000000" w:themeColor="text1"/>
            <w:sz w:val="18"/>
            <w:szCs w:val="18"/>
            <w:u w:val="none"/>
          </w:rPr>
          <w:t>Rosenbaum</w:t>
        </w:r>
      </w:hyperlink>
      <w:r w:rsidRPr="00346629">
        <w:rPr>
          <w:rStyle w:val="Hyperlink"/>
          <w:color w:val="000000" w:themeColor="text1"/>
          <w:sz w:val="18"/>
          <w:szCs w:val="18"/>
          <w:u w:val="none"/>
        </w:rPr>
        <w:t xml:space="preserve"> S, Tiedemann A, Sherrington C, Curtis J, Ward PB. Physical activity interventions for people with mental illness: a systematic review and meta-analysis. Journal of Clinical Psychiatry. 2014</w:t>
      </w:r>
      <w:proofErr w:type="gramStart"/>
      <w:r w:rsidRPr="00346629">
        <w:rPr>
          <w:rStyle w:val="Hyperlink"/>
          <w:color w:val="000000" w:themeColor="text1"/>
          <w:sz w:val="18"/>
          <w:szCs w:val="18"/>
          <w:u w:val="none"/>
        </w:rPr>
        <w:t>;75</w:t>
      </w:r>
      <w:proofErr w:type="gramEnd"/>
      <w:r w:rsidRPr="00346629">
        <w:rPr>
          <w:rStyle w:val="Hyperlink"/>
          <w:color w:val="000000" w:themeColor="text1"/>
          <w:sz w:val="18"/>
          <w:szCs w:val="18"/>
          <w:u w:val="none"/>
        </w:rPr>
        <w:t>(9):964-74.</w:t>
      </w:r>
    </w:p>
  </w:footnote>
  <w:footnote w:id="39">
    <w:p w14:paraId="42620489" w14:textId="77777777" w:rsidR="00145644" w:rsidRPr="00346629" w:rsidRDefault="00145644" w:rsidP="003E0BA2">
      <w:pPr>
        <w:pStyle w:val="NoSpacing"/>
        <w:rPr>
          <w:rFonts w:ascii="Calibri" w:hAnsi="Calibri"/>
          <w:noProof/>
          <w:sz w:val="18"/>
          <w:szCs w:val="18"/>
        </w:rPr>
      </w:pPr>
      <w:r w:rsidRPr="00346629">
        <w:rPr>
          <w:rStyle w:val="FootnoteReference"/>
          <w:color w:val="000000" w:themeColor="text1"/>
          <w:sz w:val="18"/>
          <w:szCs w:val="18"/>
          <w:vertAlign w:val="baseline"/>
        </w:rPr>
        <w:footnoteRef/>
      </w:r>
      <w:r w:rsidRPr="00346629">
        <w:rPr>
          <w:sz w:val="18"/>
          <w:szCs w:val="18"/>
        </w:rPr>
        <w:t xml:space="preserve"> </w:t>
      </w:r>
      <w:r w:rsidRPr="00346629">
        <w:rPr>
          <w:rStyle w:val="Hyperlink"/>
          <w:color w:val="000000" w:themeColor="text1"/>
          <w:sz w:val="18"/>
          <w:szCs w:val="18"/>
          <w:u w:val="none"/>
        </w:rPr>
        <w:t xml:space="preserve">Cooney GM, </w:t>
      </w:r>
      <w:proofErr w:type="spellStart"/>
      <w:r w:rsidRPr="00346629">
        <w:rPr>
          <w:rStyle w:val="Hyperlink"/>
          <w:color w:val="000000" w:themeColor="text1"/>
          <w:sz w:val="18"/>
          <w:szCs w:val="18"/>
          <w:u w:val="none"/>
        </w:rPr>
        <w:t>Dwan</w:t>
      </w:r>
      <w:proofErr w:type="spellEnd"/>
      <w:r w:rsidRPr="00346629">
        <w:rPr>
          <w:rStyle w:val="Hyperlink"/>
          <w:color w:val="000000" w:themeColor="text1"/>
          <w:sz w:val="18"/>
          <w:szCs w:val="18"/>
          <w:u w:val="none"/>
        </w:rPr>
        <w:t xml:space="preserve"> K, </w:t>
      </w:r>
      <w:proofErr w:type="spellStart"/>
      <w:r w:rsidRPr="00346629">
        <w:rPr>
          <w:rStyle w:val="Hyperlink"/>
          <w:color w:val="000000" w:themeColor="text1"/>
          <w:sz w:val="18"/>
          <w:szCs w:val="18"/>
          <w:u w:val="none"/>
        </w:rPr>
        <w:t>Greig</w:t>
      </w:r>
      <w:proofErr w:type="spellEnd"/>
      <w:r w:rsidRPr="00346629">
        <w:rPr>
          <w:rStyle w:val="Hyperlink"/>
          <w:color w:val="000000" w:themeColor="text1"/>
          <w:sz w:val="18"/>
          <w:szCs w:val="18"/>
          <w:u w:val="none"/>
        </w:rPr>
        <w:t xml:space="preserve"> CA, Lawlor DA, </w:t>
      </w:r>
      <w:proofErr w:type="spellStart"/>
      <w:r w:rsidRPr="00346629">
        <w:rPr>
          <w:rStyle w:val="Hyperlink"/>
          <w:color w:val="000000" w:themeColor="text1"/>
          <w:sz w:val="18"/>
          <w:szCs w:val="18"/>
          <w:u w:val="none"/>
        </w:rPr>
        <w:t>Rimer</w:t>
      </w:r>
      <w:proofErr w:type="spellEnd"/>
      <w:r w:rsidRPr="00346629">
        <w:rPr>
          <w:rStyle w:val="Hyperlink"/>
          <w:color w:val="000000" w:themeColor="text1"/>
          <w:sz w:val="18"/>
          <w:szCs w:val="18"/>
          <w:u w:val="none"/>
        </w:rPr>
        <w:t xml:space="preserve"> J, Waugh FR, et al. Exercise for depression. Cochrane Database of Systematic Reviews. 2013. </w:t>
      </w:r>
    </w:p>
  </w:footnote>
  <w:footnote w:id="40">
    <w:p w14:paraId="4554D289" w14:textId="77777777" w:rsidR="00145644" w:rsidRPr="00346629" w:rsidRDefault="00145644" w:rsidP="003E0BA2">
      <w:pPr>
        <w:pStyle w:val="NoSpacing"/>
        <w:rPr>
          <w:rFonts w:ascii="Calibri" w:hAnsi="Calibri"/>
          <w:noProof/>
          <w:sz w:val="18"/>
          <w:szCs w:val="18"/>
        </w:rPr>
      </w:pPr>
      <w:r w:rsidRPr="00346629">
        <w:rPr>
          <w:rStyle w:val="FootnoteReference"/>
          <w:color w:val="000000" w:themeColor="text1"/>
          <w:sz w:val="18"/>
          <w:szCs w:val="18"/>
          <w:vertAlign w:val="baseline"/>
        </w:rPr>
        <w:footnoteRef/>
      </w:r>
      <w:r w:rsidRPr="00346629">
        <w:rPr>
          <w:sz w:val="18"/>
          <w:szCs w:val="18"/>
        </w:rPr>
        <w:t xml:space="preserve"> </w:t>
      </w:r>
      <w:r w:rsidRPr="00346629">
        <w:rPr>
          <w:rStyle w:val="Hyperlink"/>
          <w:color w:val="000000" w:themeColor="text1"/>
          <w:sz w:val="18"/>
          <w:szCs w:val="18"/>
          <w:u w:val="none"/>
        </w:rPr>
        <w:t>Firth J, Cotter J, Elliot R, French P, Yung AR. A systematic review and meta-analysis of exercise interventions in schizophrenia patients. Psychological medicine. 2015</w:t>
      </w:r>
      <w:proofErr w:type="gramStart"/>
      <w:r w:rsidRPr="00346629">
        <w:rPr>
          <w:rStyle w:val="Hyperlink"/>
          <w:color w:val="000000" w:themeColor="text1"/>
          <w:sz w:val="18"/>
          <w:szCs w:val="18"/>
          <w:u w:val="none"/>
        </w:rPr>
        <w:t>;45</w:t>
      </w:r>
      <w:proofErr w:type="gramEnd"/>
      <w:r w:rsidRPr="00346629">
        <w:rPr>
          <w:rStyle w:val="Hyperlink"/>
          <w:color w:val="000000" w:themeColor="text1"/>
          <w:sz w:val="18"/>
          <w:szCs w:val="18"/>
          <w:u w:val="none"/>
        </w:rPr>
        <w:t xml:space="preserve">(7):1343-61. </w:t>
      </w:r>
    </w:p>
  </w:footnote>
  <w:footnote w:id="41">
    <w:p w14:paraId="621DB8A5" w14:textId="77777777" w:rsidR="00145644" w:rsidRPr="00346629" w:rsidRDefault="00145644" w:rsidP="003E0BA2">
      <w:pPr>
        <w:pStyle w:val="NoSpacing"/>
        <w:rPr>
          <w:rFonts w:ascii="Calibri" w:hAnsi="Calibri"/>
          <w:noProof/>
          <w:sz w:val="18"/>
          <w:szCs w:val="18"/>
        </w:rPr>
      </w:pPr>
      <w:r w:rsidRPr="00346629">
        <w:rPr>
          <w:rStyle w:val="FootnoteReference"/>
          <w:color w:val="000000" w:themeColor="text1"/>
          <w:sz w:val="18"/>
          <w:szCs w:val="18"/>
          <w:vertAlign w:val="baseline"/>
        </w:rPr>
        <w:footnoteRef/>
      </w:r>
      <w:r w:rsidRPr="00346629">
        <w:rPr>
          <w:sz w:val="18"/>
          <w:szCs w:val="18"/>
        </w:rPr>
        <w:t xml:space="preserve"> </w:t>
      </w:r>
      <w:r w:rsidRPr="00346629">
        <w:rPr>
          <w:rStyle w:val="Hyperlink"/>
          <w:rFonts w:ascii="Calibri" w:hAnsi="Calibri"/>
          <w:noProof/>
          <w:color w:val="000000" w:themeColor="text1"/>
          <w:sz w:val="18"/>
          <w:szCs w:val="18"/>
          <w:u w:val="none"/>
        </w:rPr>
        <w:t>Jacka FN, O’Neill A, Opie R, Itsiopoulos C, Cotton S, Mohebbi M, et al. A randomised controlled trial of dietary improvement for adults with major depression (the “SMILES” trial). BMC Medicine. 2017;15(23)</w:t>
      </w:r>
      <w:r w:rsidRPr="00346629">
        <w:rPr>
          <w:rStyle w:val="Hyperlink"/>
          <w:rFonts w:ascii="Calibri" w:hAnsi="Calibri"/>
          <w:noProof/>
          <w:color w:val="000000" w:themeColor="text1"/>
          <w:sz w:val="18"/>
          <w:szCs w:val="18"/>
        </w:rPr>
        <w:t xml:space="preserve"> </w:t>
      </w:r>
    </w:p>
  </w:footnote>
  <w:footnote w:id="42">
    <w:p w14:paraId="29417AD8" w14:textId="77777777" w:rsidR="00E748B7" w:rsidRPr="00346629" w:rsidRDefault="00E748B7" w:rsidP="00E748B7">
      <w:pPr>
        <w:pStyle w:val="FootnoteText"/>
        <w:rPr>
          <w:sz w:val="18"/>
          <w:szCs w:val="18"/>
        </w:rPr>
      </w:pPr>
      <w:r w:rsidRPr="00346629">
        <w:rPr>
          <w:rStyle w:val="FootnoteReference"/>
          <w:sz w:val="18"/>
          <w:szCs w:val="18"/>
          <w:vertAlign w:val="baseline"/>
        </w:rPr>
        <w:footnoteRef/>
      </w:r>
      <w:r w:rsidRPr="00346629">
        <w:rPr>
          <w:sz w:val="18"/>
          <w:szCs w:val="18"/>
        </w:rPr>
        <w:t xml:space="preserve"> Prochaska JJ, Das S, Young-Wolff Kelly C. Smoking, mental illness, and public health. Annual Review of Public Health. 2017</w:t>
      </w:r>
      <w:proofErr w:type="gramStart"/>
      <w:r w:rsidRPr="00346629">
        <w:rPr>
          <w:sz w:val="18"/>
          <w:szCs w:val="18"/>
        </w:rPr>
        <w:t>;38:165</w:t>
      </w:r>
      <w:proofErr w:type="gramEnd"/>
      <w:r w:rsidRPr="00346629">
        <w:rPr>
          <w:sz w:val="18"/>
          <w:szCs w:val="18"/>
        </w:rPr>
        <w:t xml:space="preserve">-185. </w:t>
      </w:r>
    </w:p>
  </w:footnote>
  <w:footnote w:id="43">
    <w:p w14:paraId="50126F55" w14:textId="77777777" w:rsidR="00E748B7" w:rsidRPr="00346629" w:rsidRDefault="00E748B7" w:rsidP="00E748B7">
      <w:pPr>
        <w:pStyle w:val="NoSpacing"/>
        <w:rPr>
          <w:sz w:val="18"/>
          <w:szCs w:val="18"/>
          <w:lang w:val="en"/>
        </w:rPr>
      </w:pPr>
      <w:r w:rsidRPr="00346629">
        <w:rPr>
          <w:rStyle w:val="FootnoteReference"/>
          <w:sz w:val="18"/>
          <w:szCs w:val="18"/>
          <w:vertAlign w:val="baseline"/>
        </w:rPr>
        <w:footnoteRef/>
      </w:r>
      <w:r w:rsidRPr="00346629">
        <w:rPr>
          <w:sz w:val="18"/>
          <w:szCs w:val="18"/>
        </w:rPr>
        <w:t xml:space="preserve"> </w:t>
      </w:r>
      <w:r w:rsidRPr="00346629">
        <w:rPr>
          <w:sz w:val="18"/>
          <w:szCs w:val="18"/>
          <w:lang w:val="en"/>
        </w:rPr>
        <w:t xml:space="preserve">Cook BL, Wayne GF, </w:t>
      </w:r>
      <w:proofErr w:type="spellStart"/>
      <w:r w:rsidRPr="00346629">
        <w:rPr>
          <w:sz w:val="18"/>
          <w:szCs w:val="18"/>
          <w:lang w:val="en"/>
        </w:rPr>
        <w:t>Kafali</w:t>
      </w:r>
      <w:proofErr w:type="spellEnd"/>
      <w:r w:rsidRPr="00346629">
        <w:rPr>
          <w:sz w:val="18"/>
          <w:szCs w:val="18"/>
          <w:lang w:val="en"/>
        </w:rPr>
        <w:t xml:space="preserve"> EN, Liu Z, Shu C, et al. Trends in smoking among adults with mental illness and association between mental health treatment and smoking cessation. Journal of the American Medical Association, 2014; 311(2):172–82. </w:t>
      </w:r>
    </w:p>
  </w:footnote>
  <w:footnote w:id="44">
    <w:p w14:paraId="6E45F8ED" w14:textId="77777777" w:rsidR="00E748B7" w:rsidRPr="00346629" w:rsidRDefault="00E748B7" w:rsidP="00E748B7">
      <w:pPr>
        <w:pStyle w:val="NoSpacing"/>
        <w:rPr>
          <w:sz w:val="18"/>
          <w:szCs w:val="18"/>
          <w:lang w:val="en"/>
        </w:rPr>
      </w:pPr>
      <w:r w:rsidRPr="00346629">
        <w:rPr>
          <w:rStyle w:val="FootnoteReference"/>
          <w:sz w:val="18"/>
          <w:szCs w:val="18"/>
          <w:vertAlign w:val="baseline"/>
        </w:rPr>
        <w:footnoteRef/>
      </w:r>
      <w:r w:rsidRPr="00346629">
        <w:rPr>
          <w:sz w:val="18"/>
          <w:szCs w:val="18"/>
        </w:rPr>
        <w:t xml:space="preserve"> </w:t>
      </w:r>
      <w:r w:rsidRPr="00346629">
        <w:rPr>
          <w:sz w:val="18"/>
          <w:szCs w:val="18"/>
          <w:lang w:val="en"/>
        </w:rPr>
        <w:t>Prochaska JJ. Failure to treat tobacco use in mental health and addiction treatment settings: A form of harm reduction? Drug and Alcohol Dependence, 2010; 110(3):177–82.</w:t>
      </w:r>
    </w:p>
  </w:footnote>
  <w:footnote w:id="45">
    <w:p w14:paraId="0D6B8F44" w14:textId="77777777" w:rsidR="00E748B7" w:rsidRPr="004D7E03" w:rsidRDefault="00E748B7" w:rsidP="00E748B7">
      <w:pPr>
        <w:pStyle w:val="FootnoteText"/>
        <w:rPr>
          <w:sz w:val="18"/>
          <w:szCs w:val="18"/>
        </w:rPr>
      </w:pPr>
      <w:r w:rsidRPr="00346629">
        <w:rPr>
          <w:rStyle w:val="FootnoteReference"/>
          <w:sz w:val="18"/>
          <w:szCs w:val="18"/>
          <w:vertAlign w:val="baseline"/>
        </w:rPr>
        <w:footnoteRef/>
      </w:r>
      <w:r w:rsidRPr="00346629">
        <w:rPr>
          <w:sz w:val="18"/>
          <w:szCs w:val="18"/>
        </w:rPr>
        <w:t xml:space="preserve"> </w:t>
      </w:r>
      <w:proofErr w:type="spellStart"/>
      <w:r w:rsidRPr="00346629">
        <w:rPr>
          <w:sz w:val="18"/>
          <w:szCs w:val="18"/>
        </w:rPr>
        <w:t>Siru</w:t>
      </w:r>
      <w:proofErr w:type="spellEnd"/>
      <w:r w:rsidRPr="00346629">
        <w:rPr>
          <w:sz w:val="18"/>
          <w:szCs w:val="18"/>
        </w:rPr>
        <w:t xml:space="preserve"> R, </w:t>
      </w:r>
      <w:proofErr w:type="spellStart"/>
      <w:r w:rsidRPr="00346629">
        <w:rPr>
          <w:sz w:val="18"/>
          <w:szCs w:val="18"/>
        </w:rPr>
        <w:t>Hulse</w:t>
      </w:r>
      <w:proofErr w:type="spellEnd"/>
      <w:r w:rsidRPr="00346629">
        <w:rPr>
          <w:sz w:val="18"/>
          <w:szCs w:val="18"/>
        </w:rPr>
        <w:t xml:space="preserve"> GK, Tait RJ. Assessing motivation to quit smoking in people with mental illness: a review. Addiction. 2009; 104:719–33</w:t>
      </w:r>
    </w:p>
  </w:footnote>
  <w:footnote w:id="46">
    <w:p w14:paraId="7C510539" w14:textId="77777777" w:rsidR="00405448" w:rsidRPr="00346629" w:rsidRDefault="00405448" w:rsidP="00405448">
      <w:pPr>
        <w:pStyle w:val="FootnoteText"/>
        <w:rPr>
          <w:sz w:val="18"/>
          <w:szCs w:val="18"/>
        </w:rPr>
      </w:pPr>
      <w:r w:rsidRPr="00346629">
        <w:rPr>
          <w:rStyle w:val="FootnoteReference"/>
          <w:sz w:val="18"/>
          <w:szCs w:val="18"/>
          <w:vertAlign w:val="baseline"/>
        </w:rPr>
        <w:footnoteRef/>
      </w:r>
      <w:r w:rsidRPr="00346629">
        <w:rPr>
          <w:sz w:val="18"/>
          <w:szCs w:val="18"/>
        </w:rPr>
        <w:t xml:space="preserve"> Mental health services in brief 2018. Australian Government. Australian Institute of Health and Welfare [cited March 2019]. Available from: </w:t>
      </w:r>
      <w:hyperlink r:id="rId5" w:history="1">
        <w:r w:rsidRPr="00346629">
          <w:rPr>
            <w:rStyle w:val="Hyperlink"/>
            <w:sz w:val="18"/>
            <w:szCs w:val="18"/>
          </w:rPr>
          <w:t>https://www.aihw.gov.au/reports/mental-health-services/mental-health-services-in-australia/report-contents/summary-of-mental-health-services-in-australia/overview</w:t>
        </w:r>
      </w:hyperlink>
      <w:r w:rsidRPr="00346629">
        <w:rPr>
          <w:sz w:val="18"/>
          <w:szCs w:val="18"/>
        </w:rPr>
        <w:t xml:space="preserve"> </w:t>
      </w:r>
    </w:p>
  </w:footnote>
  <w:footnote w:id="47">
    <w:p w14:paraId="4B4257B7" w14:textId="104C345D" w:rsidR="00405448" w:rsidRPr="00346629" w:rsidRDefault="00405448" w:rsidP="00405448">
      <w:pPr>
        <w:pStyle w:val="FootnoteText"/>
        <w:rPr>
          <w:sz w:val="18"/>
          <w:szCs w:val="18"/>
        </w:rPr>
      </w:pPr>
      <w:r w:rsidRPr="00346629">
        <w:rPr>
          <w:rStyle w:val="FootnoteReference"/>
          <w:sz w:val="18"/>
          <w:szCs w:val="18"/>
          <w:vertAlign w:val="baseline"/>
        </w:rPr>
        <w:footnoteRef/>
      </w:r>
      <w:r w:rsidRPr="00346629">
        <w:rPr>
          <w:sz w:val="18"/>
          <w:szCs w:val="18"/>
        </w:rPr>
        <w:t xml:space="preserve"> AIHW Chronic disease overview. </w:t>
      </w:r>
      <w:r w:rsidR="00AC67B3" w:rsidRPr="00346629">
        <w:rPr>
          <w:sz w:val="18"/>
          <w:szCs w:val="18"/>
        </w:rPr>
        <w:t xml:space="preserve">Available from: </w:t>
      </w:r>
      <w:r w:rsidRPr="00346629">
        <w:rPr>
          <w:sz w:val="18"/>
          <w:szCs w:val="18"/>
        </w:rPr>
        <w:t>https://www.aihw.gov.au/reports-data/health-conditions-disability-deaths/chronic-disease/overview</w:t>
      </w:r>
    </w:p>
  </w:footnote>
  <w:footnote w:id="48">
    <w:p w14:paraId="4B2BD2A2" w14:textId="77777777" w:rsidR="00502621" w:rsidRPr="00346629" w:rsidRDefault="00502621">
      <w:pPr>
        <w:pStyle w:val="FootnoteText"/>
        <w:rPr>
          <w:sz w:val="18"/>
          <w:szCs w:val="18"/>
        </w:rPr>
      </w:pPr>
      <w:r w:rsidRPr="00346629">
        <w:rPr>
          <w:rStyle w:val="FootnoteReference"/>
          <w:sz w:val="18"/>
          <w:szCs w:val="18"/>
          <w:vertAlign w:val="baseline"/>
        </w:rPr>
        <w:footnoteRef/>
      </w:r>
      <w:r w:rsidRPr="00346629">
        <w:rPr>
          <w:sz w:val="18"/>
          <w:szCs w:val="18"/>
        </w:rPr>
        <w:t xml:space="preserve"> </w:t>
      </w:r>
      <w:r w:rsidR="00193F1A" w:rsidRPr="00346629">
        <w:rPr>
          <w:sz w:val="18"/>
          <w:szCs w:val="18"/>
        </w:rPr>
        <w:t xml:space="preserve">Royal Australian College of General Practitioners. 2018. Guidelines for preventive activities in general practice. 9th </w:t>
      </w:r>
      <w:proofErr w:type="spellStart"/>
      <w:r w:rsidR="00193F1A" w:rsidRPr="00346629">
        <w:rPr>
          <w:sz w:val="18"/>
          <w:szCs w:val="18"/>
        </w:rPr>
        <w:t>edn</w:t>
      </w:r>
      <w:proofErr w:type="spellEnd"/>
      <w:r w:rsidR="00193F1A" w:rsidRPr="00346629">
        <w:rPr>
          <w:sz w:val="18"/>
          <w:szCs w:val="18"/>
        </w:rPr>
        <w:t>, updated. East Melbourne, Vic: RACGP</w:t>
      </w:r>
    </w:p>
  </w:footnote>
  <w:footnote w:id="49">
    <w:p w14:paraId="08E6EDB1" w14:textId="77777777" w:rsidR="00AA05EC" w:rsidRDefault="00AA05EC">
      <w:pPr>
        <w:pStyle w:val="FootnoteText"/>
      </w:pPr>
      <w:r w:rsidRPr="00346629">
        <w:rPr>
          <w:rStyle w:val="FootnoteReference"/>
          <w:sz w:val="18"/>
          <w:szCs w:val="18"/>
          <w:vertAlign w:val="baseline"/>
        </w:rPr>
        <w:footnoteRef/>
      </w:r>
      <w:r w:rsidRPr="00346629">
        <w:rPr>
          <w:sz w:val="18"/>
          <w:szCs w:val="18"/>
        </w:rPr>
        <w:t xml:space="preserve"> The Tackling Tobacco Program. Melbourne: Cancer Council Victoria [cited March 2019]. Available from https://www.quit.org.au/resources/community-services/tackling-tobacco-program/</w:t>
      </w:r>
    </w:p>
  </w:footnote>
  <w:footnote w:id="50">
    <w:p w14:paraId="1E394A89" w14:textId="77777777" w:rsidR="00205271" w:rsidRPr="00346629" w:rsidRDefault="00205271" w:rsidP="0053020C">
      <w:pPr>
        <w:pStyle w:val="NoSpacing"/>
        <w:rPr>
          <w:sz w:val="18"/>
          <w:szCs w:val="18"/>
        </w:rPr>
      </w:pPr>
      <w:r w:rsidRPr="00346629">
        <w:rPr>
          <w:rStyle w:val="FootnoteReference"/>
          <w:sz w:val="18"/>
          <w:szCs w:val="18"/>
          <w:vertAlign w:val="baseline"/>
        </w:rPr>
        <w:footnoteRef/>
      </w:r>
      <w:bookmarkStart w:id="2" w:name="_Hlk4074947"/>
      <w:r w:rsidR="0053020C" w:rsidRPr="00346629">
        <w:rPr>
          <w:sz w:val="18"/>
          <w:szCs w:val="18"/>
        </w:rPr>
        <w:t xml:space="preserve">Quit Victoria and </w:t>
      </w:r>
      <w:proofErr w:type="spellStart"/>
      <w:r w:rsidR="0053020C" w:rsidRPr="00346629">
        <w:rPr>
          <w:sz w:val="18"/>
          <w:szCs w:val="18"/>
        </w:rPr>
        <w:t>NorthWestern</w:t>
      </w:r>
      <w:proofErr w:type="spellEnd"/>
      <w:r w:rsidR="0053020C" w:rsidRPr="00346629">
        <w:rPr>
          <w:sz w:val="18"/>
          <w:szCs w:val="18"/>
        </w:rPr>
        <w:t xml:space="preserve"> Mental Health. 2019. Unpublished data from the “Tackling Tobacco” project.  </w:t>
      </w:r>
      <w:r w:rsidRPr="00346629">
        <w:rPr>
          <w:sz w:val="18"/>
          <w:szCs w:val="18"/>
        </w:rPr>
        <w:t xml:space="preserve"> </w:t>
      </w:r>
      <w:bookmarkEnd w:id="2"/>
    </w:p>
  </w:footnote>
  <w:footnote w:id="51">
    <w:p w14:paraId="16ED3C32" w14:textId="77777777" w:rsidR="00C955F7" w:rsidRPr="00346629" w:rsidRDefault="00C955F7" w:rsidP="0053020C">
      <w:pPr>
        <w:pStyle w:val="NoSpacing"/>
        <w:rPr>
          <w:sz w:val="18"/>
          <w:szCs w:val="18"/>
        </w:rPr>
      </w:pPr>
      <w:r w:rsidRPr="00346629">
        <w:rPr>
          <w:rStyle w:val="FootnoteReference"/>
          <w:sz w:val="18"/>
          <w:szCs w:val="18"/>
          <w:vertAlign w:val="baseline"/>
        </w:rPr>
        <w:footnoteRef/>
      </w:r>
      <w:r w:rsidRPr="00346629">
        <w:rPr>
          <w:sz w:val="18"/>
          <w:szCs w:val="18"/>
        </w:rPr>
        <w:t xml:space="preserve"> </w:t>
      </w:r>
      <w:proofErr w:type="spellStart"/>
      <w:r w:rsidRPr="00346629">
        <w:rPr>
          <w:sz w:val="18"/>
          <w:szCs w:val="18"/>
        </w:rPr>
        <w:t>Sheals</w:t>
      </w:r>
      <w:proofErr w:type="spellEnd"/>
      <w:r w:rsidRPr="00346629">
        <w:rPr>
          <w:sz w:val="18"/>
          <w:szCs w:val="18"/>
        </w:rPr>
        <w:t xml:space="preserve"> K, </w:t>
      </w:r>
      <w:proofErr w:type="spellStart"/>
      <w:r w:rsidRPr="00346629">
        <w:rPr>
          <w:sz w:val="18"/>
          <w:szCs w:val="18"/>
        </w:rPr>
        <w:t>Tombor</w:t>
      </w:r>
      <w:proofErr w:type="spellEnd"/>
      <w:r w:rsidRPr="00346629">
        <w:rPr>
          <w:sz w:val="18"/>
          <w:szCs w:val="18"/>
        </w:rPr>
        <w:t xml:space="preserve"> I, McNeill A, Shahab L. A mixed-method systematic review and meta-analysis of mental health professionals’ attitudes toward smoking and smoking cessation among people with mental illness. 2016</w:t>
      </w:r>
      <w:proofErr w:type="gramStart"/>
      <w:r w:rsidRPr="00346629">
        <w:rPr>
          <w:sz w:val="18"/>
          <w:szCs w:val="18"/>
        </w:rPr>
        <w:t>;111</w:t>
      </w:r>
      <w:proofErr w:type="gramEnd"/>
      <w:r w:rsidRPr="00346629">
        <w:rPr>
          <w:sz w:val="18"/>
          <w:szCs w:val="18"/>
        </w:rPr>
        <w:t xml:space="preserve">(9):1536-53. </w:t>
      </w:r>
    </w:p>
  </w:footnote>
  <w:footnote w:id="52">
    <w:p w14:paraId="262AF626" w14:textId="77777777" w:rsidR="00C955F7" w:rsidRPr="00346629" w:rsidRDefault="00C955F7" w:rsidP="0053020C">
      <w:pPr>
        <w:pStyle w:val="NoSpacing"/>
      </w:pPr>
      <w:r w:rsidRPr="00346629">
        <w:rPr>
          <w:rStyle w:val="FootnoteReference"/>
          <w:sz w:val="18"/>
          <w:szCs w:val="18"/>
          <w:vertAlign w:val="baseline"/>
        </w:rPr>
        <w:footnoteRef/>
      </w:r>
      <w:r w:rsidRPr="00346629">
        <w:rPr>
          <w:sz w:val="18"/>
          <w:szCs w:val="18"/>
        </w:rPr>
        <w:t xml:space="preserve"> Sharma R, </w:t>
      </w:r>
      <w:proofErr w:type="spellStart"/>
      <w:r w:rsidRPr="00346629">
        <w:rPr>
          <w:sz w:val="18"/>
          <w:szCs w:val="18"/>
        </w:rPr>
        <w:t>Meurk</w:t>
      </w:r>
      <w:proofErr w:type="spellEnd"/>
      <w:r w:rsidRPr="00346629">
        <w:rPr>
          <w:sz w:val="18"/>
          <w:szCs w:val="18"/>
        </w:rPr>
        <w:t xml:space="preserve"> C, Bell S, Ford P, Gartner C. Australian mental health care practitioners’ practices and attitudes for encouraging smoking cessation and tobacco harm reduction in smokers with severe menta; illness. International Journal of Mental Health Nursing. 2018</w:t>
      </w:r>
      <w:proofErr w:type="gramStart"/>
      <w:r w:rsidRPr="00346629">
        <w:rPr>
          <w:sz w:val="18"/>
          <w:szCs w:val="18"/>
        </w:rPr>
        <w:t>;27</w:t>
      </w:r>
      <w:proofErr w:type="gramEnd"/>
      <w:r w:rsidRPr="00346629">
        <w:rPr>
          <w:sz w:val="18"/>
          <w:szCs w:val="18"/>
        </w:rPr>
        <w:t>(1):247-257.</w:t>
      </w:r>
      <w:r w:rsidRPr="00346629">
        <w:t xml:space="preserve"> </w:t>
      </w:r>
    </w:p>
  </w:footnote>
  <w:footnote w:id="53">
    <w:p w14:paraId="68B26992" w14:textId="77777777" w:rsidR="00137774" w:rsidRPr="00346629" w:rsidRDefault="00137774" w:rsidP="00137774">
      <w:pPr>
        <w:pStyle w:val="FootnoteText"/>
      </w:pPr>
      <w:r w:rsidRPr="00346629">
        <w:rPr>
          <w:rStyle w:val="FootnoteReference"/>
          <w:sz w:val="18"/>
          <w:szCs w:val="18"/>
          <w:vertAlign w:val="baseline"/>
        </w:rPr>
        <w:footnoteRef/>
      </w:r>
      <w:r w:rsidRPr="00346629">
        <w:rPr>
          <w:sz w:val="18"/>
          <w:szCs w:val="18"/>
        </w:rPr>
        <w:t xml:space="preserve"> </w:t>
      </w:r>
      <w:r w:rsidRPr="00346629">
        <w:rPr>
          <w:rFonts w:ascii="Calibri" w:hAnsi="Calibri" w:cs="Calibri"/>
          <w:noProof/>
          <w:sz w:val="18"/>
          <w:szCs w:val="18"/>
        </w:rPr>
        <w:t>Mullen KA, Manuel DG, Hawken SJ, Pipe AL, Coyle D, Hobler LA, et al. Effectiveness of a hospital-initiated smoking cessation programme: 2 year health and helathcare outcomes Tobacco control. 2017;26(293-299).</w:t>
      </w:r>
    </w:p>
  </w:footnote>
  <w:footnote w:id="54">
    <w:p w14:paraId="1F88FB87" w14:textId="77777777" w:rsidR="00E748B7" w:rsidRPr="004D7E03" w:rsidRDefault="00E748B7" w:rsidP="00E748B7">
      <w:pPr>
        <w:pStyle w:val="NoSpacing"/>
        <w:rPr>
          <w:rFonts w:cstheme="minorHAnsi"/>
          <w:color w:val="454545"/>
          <w:sz w:val="18"/>
          <w:szCs w:val="18"/>
        </w:rPr>
      </w:pPr>
      <w:r w:rsidRPr="00346629">
        <w:rPr>
          <w:rStyle w:val="FootnoteReference"/>
          <w:sz w:val="18"/>
          <w:szCs w:val="18"/>
          <w:vertAlign w:val="baseline"/>
        </w:rPr>
        <w:footnoteRef/>
      </w:r>
      <w:r w:rsidRPr="00346629">
        <w:rPr>
          <w:sz w:val="18"/>
          <w:szCs w:val="18"/>
        </w:rPr>
        <w:t xml:space="preserve"> </w:t>
      </w:r>
      <w:proofErr w:type="spellStart"/>
      <w:r w:rsidRPr="00346629">
        <w:rPr>
          <w:rFonts w:cstheme="minorHAnsi"/>
          <w:sz w:val="18"/>
          <w:szCs w:val="18"/>
        </w:rPr>
        <w:t>Kotz</w:t>
      </w:r>
      <w:proofErr w:type="spellEnd"/>
      <w:r w:rsidRPr="00346629">
        <w:rPr>
          <w:rFonts w:cstheme="minorHAnsi"/>
          <w:sz w:val="18"/>
          <w:szCs w:val="18"/>
        </w:rPr>
        <w:t xml:space="preserve"> D, Brown J, West R. 'Real-world' effectiveness of smoking cessation treatments: a population study. Addiction. 2014 Mar</w:t>
      </w:r>
      <w:proofErr w:type="gramStart"/>
      <w:r w:rsidRPr="00346629">
        <w:rPr>
          <w:rFonts w:cstheme="minorHAnsi"/>
          <w:sz w:val="18"/>
          <w:szCs w:val="18"/>
        </w:rPr>
        <w:t>;109</w:t>
      </w:r>
      <w:proofErr w:type="gramEnd"/>
      <w:r w:rsidRPr="00346629">
        <w:rPr>
          <w:rFonts w:cstheme="minorHAnsi"/>
          <w:sz w:val="18"/>
          <w:szCs w:val="18"/>
        </w:rPr>
        <w:t>(3):491-9.</w:t>
      </w:r>
    </w:p>
  </w:footnote>
  <w:footnote w:id="55">
    <w:p w14:paraId="65263CB0" w14:textId="77777777" w:rsidR="00145644" w:rsidRPr="002F48B3" w:rsidRDefault="00145644" w:rsidP="00411586">
      <w:pPr>
        <w:pStyle w:val="NoSpacing"/>
        <w:rPr>
          <w:sz w:val="18"/>
          <w:szCs w:val="18"/>
        </w:rPr>
      </w:pPr>
      <w:r w:rsidRPr="002F48B3">
        <w:rPr>
          <w:rStyle w:val="FootnoteReference"/>
          <w:sz w:val="18"/>
          <w:szCs w:val="18"/>
          <w:vertAlign w:val="baseline"/>
        </w:rPr>
        <w:footnoteRef/>
      </w:r>
      <w:r w:rsidRPr="002F48B3">
        <w:rPr>
          <w:sz w:val="18"/>
          <w:szCs w:val="18"/>
        </w:rPr>
        <w:t xml:space="preserve"> Clinical practice guidelines for the management of overweight and obesity in adults, adolescents and children in Australia. National Health and Medical Research Council. Department of Health. Canberra, 2013. Available from: </w:t>
      </w:r>
      <w:hyperlink r:id="rId6" w:history="1">
        <w:r w:rsidRPr="002F48B3">
          <w:rPr>
            <w:rStyle w:val="Hyperlink"/>
            <w:sz w:val="18"/>
            <w:szCs w:val="18"/>
          </w:rPr>
          <w:t>https://nhmrc.gov.au/sites/default/files/documents/reports/clinical%20guidelines/n57-obesity-guidelines-.pdf</w:t>
        </w:r>
      </w:hyperlink>
      <w:r w:rsidRPr="002F48B3">
        <w:rPr>
          <w:sz w:val="18"/>
          <w:szCs w:val="18"/>
        </w:rPr>
        <w:t xml:space="preserve"> </w:t>
      </w:r>
    </w:p>
  </w:footnote>
  <w:footnote w:id="56">
    <w:p w14:paraId="06F31331" w14:textId="77777777" w:rsidR="00145644" w:rsidRPr="002F48B3" w:rsidRDefault="00145644" w:rsidP="00411586">
      <w:pPr>
        <w:pStyle w:val="NoSpacing"/>
        <w:rPr>
          <w:sz w:val="18"/>
          <w:szCs w:val="18"/>
        </w:rPr>
      </w:pPr>
      <w:r w:rsidRPr="002F48B3">
        <w:rPr>
          <w:rStyle w:val="FootnoteReference"/>
          <w:sz w:val="18"/>
          <w:szCs w:val="18"/>
          <w:vertAlign w:val="baseline"/>
        </w:rPr>
        <w:footnoteRef/>
      </w:r>
      <w:r w:rsidRPr="002F48B3">
        <w:rPr>
          <w:sz w:val="18"/>
          <w:szCs w:val="18"/>
        </w:rPr>
        <w:t xml:space="preserve"> Lifeprogram.org.au. Melbourne: Diabetes Victoria [cited Jan 2019]. Available from </w:t>
      </w:r>
      <w:hyperlink r:id="rId7" w:history="1">
        <w:r w:rsidRPr="002F48B3">
          <w:rPr>
            <w:rStyle w:val="Hyperlink"/>
            <w:sz w:val="18"/>
            <w:szCs w:val="18"/>
          </w:rPr>
          <w:t>https://www.lifeprogram.org.au/</w:t>
        </w:r>
      </w:hyperlink>
      <w:r w:rsidRPr="002F48B3">
        <w:rPr>
          <w:sz w:val="18"/>
          <w:szCs w:val="18"/>
        </w:rPr>
        <w:t xml:space="preserve"> </w:t>
      </w:r>
    </w:p>
  </w:footnote>
  <w:footnote w:id="57">
    <w:p w14:paraId="3633FDD1" w14:textId="77777777" w:rsidR="008F2ECB" w:rsidRPr="002F48B3" w:rsidRDefault="008F2ECB">
      <w:pPr>
        <w:pStyle w:val="FootnoteText"/>
        <w:rPr>
          <w:sz w:val="18"/>
          <w:szCs w:val="18"/>
        </w:rPr>
      </w:pPr>
      <w:r w:rsidRPr="002F48B3">
        <w:rPr>
          <w:rStyle w:val="FootnoteReference"/>
          <w:sz w:val="18"/>
          <w:szCs w:val="18"/>
          <w:vertAlign w:val="baseline"/>
        </w:rPr>
        <w:footnoteRef/>
      </w:r>
      <w:r w:rsidRPr="002F48B3">
        <w:rPr>
          <w:sz w:val="18"/>
          <w:szCs w:val="18"/>
        </w:rPr>
        <w:t xml:space="preserve"> My Health for Life. Available from </w:t>
      </w:r>
      <w:hyperlink r:id="rId8" w:history="1">
        <w:r w:rsidRPr="002F48B3">
          <w:rPr>
            <w:rStyle w:val="Hyperlink"/>
            <w:sz w:val="18"/>
            <w:szCs w:val="18"/>
          </w:rPr>
          <w:t>https://www.myhealthforlife.com.au/</w:t>
        </w:r>
      </w:hyperlink>
      <w:r w:rsidRPr="002F48B3">
        <w:rPr>
          <w:sz w:val="18"/>
          <w:szCs w:val="18"/>
        </w:rPr>
        <w:t xml:space="preserve"> </w:t>
      </w:r>
    </w:p>
  </w:footnote>
  <w:footnote w:id="58">
    <w:p w14:paraId="039D0B8D" w14:textId="77777777" w:rsidR="00145644" w:rsidRPr="002F48B3" w:rsidRDefault="00145644" w:rsidP="00411586">
      <w:pPr>
        <w:pStyle w:val="FootnoteText"/>
        <w:rPr>
          <w:sz w:val="18"/>
          <w:szCs w:val="18"/>
        </w:rPr>
      </w:pPr>
      <w:r w:rsidRPr="002F48B3">
        <w:rPr>
          <w:rStyle w:val="FootnoteReference"/>
          <w:sz w:val="18"/>
          <w:szCs w:val="18"/>
          <w:vertAlign w:val="baseline"/>
        </w:rPr>
        <w:footnoteRef/>
      </w:r>
      <w:r w:rsidRPr="002F48B3">
        <w:rPr>
          <w:sz w:val="18"/>
          <w:szCs w:val="18"/>
        </w:rPr>
        <w:t xml:space="preserve"> Achievementprogram.health.vic.gov.au. Melbourne: Cancer Council Victoria and Victoria State Government [cited Jan 2019]. Available from </w:t>
      </w:r>
      <w:hyperlink r:id="rId9" w:history="1">
        <w:r w:rsidRPr="002F48B3">
          <w:rPr>
            <w:rStyle w:val="Hyperlink"/>
            <w:sz w:val="18"/>
            <w:szCs w:val="18"/>
          </w:rPr>
          <w:t>https://www.achievementprogram.health.vic.gov.au/</w:t>
        </w:r>
      </w:hyperlink>
      <w:r w:rsidRPr="002F48B3">
        <w:rPr>
          <w:sz w:val="18"/>
          <w:szCs w:val="18"/>
        </w:rPr>
        <w:t xml:space="preserve"> </w:t>
      </w:r>
    </w:p>
  </w:footnote>
  <w:footnote w:id="59">
    <w:p w14:paraId="3AD0E4C8" w14:textId="7AFFCDA4" w:rsidR="004F6C5C" w:rsidRPr="002F48B3" w:rsidRDefault="004F6C5C">
      <w:pPr>
        <w:pStyle w:val="FootnoteText"/>
        <w:rPr>
          <w:sz w:val="18"/>
          <w:szCs w:val="18"/>
        </w:rPr>
      </w:pPr>
      <w:r w:rsidRPr="002F48B3">
        <w:rPr>
          <w:rStyle w:val="FootnoteReference"/>
          <w:sz w:val="18"/>
          <w:szCs w:val="18"/>
          <w:vertAlign w:val="baseline"/>
        </w:rPr>
        <w:footnoteRef/>
      </w:r>
      <w:r w:rsidRPr="002F48B3">
        <w:rPr>
          <w:sz w:val="18"/>
          <w:szCs w:val="18"/>
        </w:rPr>
        <w:t xml:space="preserve"> </w:t>
      </w:r>
      <w:r w:rsidR="00FB44DC" w:rsidRPr="002F48B3">
        <w:rPr>
          <w:sz w:val="18"/>
          <w:szCs w:val="18"/>
        </w:rPr>
        <w:t xml:space="preserve">Beyond the fragments: Preventing the costs and consequences of chronic physical and mental diseases. Australian Health Policy Collaboration. </w:t>
      </w:r>
    </w:p>
  </w:footnote>
  <w:footnote w:id="60">
    <w:p w14:paraId="7AE5AE36" w14:textId="77777777" w:rsidR="00145644" w:rsidRPr="009851DC" w:rsidRDefault="00145644" w:rsidP="00CA0374">
      <w:pPr>
        <w:pStyle w:val="FootnoteText"/>
        <w:rPr>
          <w:sz w:val="18"/>
          <w:szCs w:val="18"/>
        </w:rPr>
      </w:pPr>
      <w:r w:rsidRPr="002F48B3">
        <w:rPr>
          <w:rStyle w:val="FootnoteReference"/>
          <w:sz w:val="18"/>
          <w:szCs w:val="18"/>
          <w:vertAlign w:val="baseline"/>
        </w:rPr>
        <w:footnoteRef/>
      </w:r>
      <w:r w:rsidRPr="002F48B3">
        <w:rPr>
          <w:sz w:val="18"/>
          <w:szCs w:val="18"/>
        </w:rPr>
        <w:t xml:space="preserve"> Tipping the scales. Australian Obesity Prevention Consensus.</w:t>
      </w:r>
      <w:r w:rsidRPr="002F48B3">
        <w:rPr>
          <w:i/>
          <w:sz w:val="18"/>
          <w:szCs w:val="18"/>
        </w:rPr>
        <w:t xml:space="preserve"> </w:t>
      </w:r>
      <w:r w:rsidRPr="002F48B3">
        <w:rPr>
          <w:sz w:val="18"/>
          <w:szCs w:val="18"/>
        </w:rPr>
        <w:t xml:space="preserve">Global Obesity Centre (GLOBE) and Obesity Policy Coalition. Australia: 2017. Available from: </w:t>
      </w:r>
      <w:hyperlink r:id="rId10" w:history="1">
        <w:r w:rsidRPr="002F48B3">
          <w:rPr>
            <w:rStyle w:val="Hyperlink"/>
            <w:sz w:val="18"/>
            <w:szCs w:val="18"/>
          </w:rPr>
          <w:t>http://www.opc.org.au/downloads/tipping-the-scales/tipping-the-scales.pdf</w:t>
        </w:r>
      </w:hyperlink>
      <w:r w:rsidRPr="009851DC">
        <w:rPr>
          <w:sz w:val="18"/>
          <w:szCs w:val="18"/>
        </w:rPr>
        <w:t xml:space="preserve"> </w:t>
      </w:r>
    </w:p>
  </w:footnote>
  <w:footnote w:id="61">
    <w:p w14:paraId="58593A7D" w14:textId="77777777" w:rsidR="00CC54A2" w:rsidRPr="00346629" w:rsidRDefault="00CC54A2">
      <w:pPr>
        <w:pStyle w:val="FootnoteText"/>
        <w:rPr>
          <w:sz w:val="18"/>
          <w:szCs w:val="18"/>
        </w:rPr>
      </w:pPr>
      <w:r w:rsidRPr="00346629">
        <w:rPr>
          <w:rStyle w:val="FootnoteReference"/>
          <w:sz w:val="18"/>
          <w:szCs w:val="18"/>
          <w:vertAlign w:val="baseline"/>
        </w:rPr>
        <w:footnoteRef/>
      </w:r>
      <w:r w:rsidRPr="00346629">
        <w:rPr>
          <w:sz w:val="18"/>
          <w:szCs w:val="18"/>
        </w:rPr>
        <w:t xml:space="preserve"> Leroy P, </w:t>
      </w:r>
      <w:proofErr w:type="spellStart"/>
      <w:r w:rsidRPr="00346629">
        <w:rPr>
          <w:sz w:val="18"/>
          <w:szCs w:val="18"/>
        </w:rPr>
        <w:t>Requillart</w:t>
      </w:r>
      <w:proofErr w:type="spellEnd"/>
      <w:r w:rsidRPr="00346629">
        <w:rPr>
          <w:sz w:val="18"/>
          <w:szCs w:val="18"/>
        </w:rPr>
        <w:t xml:space="preserve"> V, et al. An assessment of the potential health impacts of food reformulation. European Journal of Clinical Nutrition. 2016. 70, 694-699.</w:t>
      </w:r>
    </w:p>
  </w:footnote>
  <w:footnote w:id="62">
    <w:p w14:paraId="7225A466" w14:textId="77777777" w:rsidR="00CE7EA4" w:rsidRPr="00346629" w:rsidRDefault="00CE7EA4" w:rsidP="00CE7EA4">
      <w:pPr>
        <w:pStyle w:val="FootnoteText"/>
        <w:rPr>
          <w:sz w:val="18"/>
          <w:szCs w:val="18"/>
        </w:rPr>
      </w:pPr>
      <w:r w:rsidRPr="00346629">
        <w:rPr>
          <w:rStyle w:val="FootnoteReference"/>
          <w:sz w:val="18"/>
          <w:szCs w:val="18"/>
          <w:vertAlign w:val="baseline"/>
        </w:rPr>
        <w:footnoteRef/>
      </w:r>
      <w:r w:rsidRPr="00346629">
        <w:rPr>
          <w:sz w:val="18"/>
          <w:szCs w:val="18"/>
        </w:rPr>
        <w:t xml:space="preserve"> National Heart Foundation of Australia 2012. Rapid review of the evidence. Effectiveness of food reformulation as a strategy to improve population health. Melbourne.</w:t>
      </w:r>
    </w:p>
  </w:footnote>
  <w:footnote w:id="63">
    <w:p w14:paraId="2920D8D7" w14:textId="77777777" w:rsidR="00CE7EA4" w:rsidRPr="00346629" w:rsidRDefault="00CE7EA4" w:rsidP="00CE7EA4">
      <w:pPr>
        <w:pStyle w:val="FootnoteText"/>
      </w:pPr>
      <w:r w:rsidRPr="00346629">
        <w:rPr>
          <w:rStyle w:val="FootnoteReference"/>
          <w:sz w:val="18"/>
          <w:szCs w:val="18"/>
          <w:vertAlign w:val="baseline"/>
        </w:rPr>
        <w:footnoteRef/>
      </w:r>
      <w:r w:rsidRPr="00346629">
        <w:rPr>
          <w:sz w:val="18"/>
          <w:szCs w:val="18"/>
        </w:rPr>
        <w:t xml:space="preserve"> Friel S, Hattersley L, et al. Addressing inequities in healthy eating. Health Promotion International. 2015. Vol 30; Supp 2, pp77-88.</w:t>
      </w:r>
    </w:p>
  </w:footnote>
  <w:footnote w:id="64">
    <w:p w14:paraId="6C2B6647" w14:textId="77777777" w:rsidR="008E5A2D" w:rsidRPr="00E14109" w:rsidRDefault="008E5A2D">
      <w:pPr>
        <w:pStyle w:val="FootnoteText"/>
        <w:rPr>
          <w:sz w:val="18"/>
          <w:szCs w:val="18"/>
        </w:rPr>
      </w:pPr>
      <w:r w:rsidRPr="00346629">
        <w:rPr>
          <w:rStyle w:val="FootnoteReference"/>
          <w:sz w:val="18"/>
          <w:szCs w:val="18"/>
          <w:vertAlign w:val="baseline"/>
        </w:rPr>
        <w:footnoteRef/>
      </w:r>
      <w:r w:rsidRPr="00346629">
        <w:rPr>
          <w:sz w:val="18"/>
          <w:szCs w:val="18"/>
        </w:rPr>
        <w:t xml:space="preserve"> Heart Foundation. </w:t>
      </w:r>
      <w:hyperlink r:id="rId11" w:history="1">
        <w:r w:rsidRPr="00346629">
          <w:rPr>
            <w:rStyle w:val="Hyperlink"/>
            <w:sz w:val="18"/>
            <w:szCs w:val="18"/>
          </w:rPr>
          <w:t>http://www.healthyactivebydesign.com.au/</w:t>
        </w:r>
      </w:hyperlink>
      <w:r w:rsidRPr="00E14109">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06573" w14:textId="6771752E" w:rsidR="001012C4" w:rsidRDefault="001012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E4E41" w14:textId="36A8F9CC" w:rsidR="001012C4" w:rsidRPr="000A3866" w:rsidRDefault="006509C5" w:rsidP="000A3866">
    <w:pPr>
      <w:pStyle w:val="Header"/>
      <w:jc w:val="center"/>
      <w:rPr>
        <w:rFonts w:ascii="Arial" w:hAnsi="Arial" w:cs="Arial"/>
        <w:b/>
        <w:sz w:val="20"/>
        <w:szCs w:val="20"/>
      </w:rPr>
    </w:pPr>
    <w:r w:rsidRPr="000A3866">
      <w:rPr>
        <w:rFonts w:ascii="Arial" w:hAnsi="Arial" w:cs="Arial"/>
        <w:b/>
        <w:sz w:val="20"/>
        <w:szCs w:val="20"/>
      </w:rPr>
      <w:t>AUSTRALIAN CHRONIC DISEASE PREVENTION ALLIANCE</w:t>
    </w:r>
  </w:p>
  <w:p w14:paraId="29ADA0D9" w14:textId="55386C4E" w:rsidR="00EE6EAC" w:rsidRDefault="00EE6EAC" w:rsidP="00EE6EAC">
    <w:pPr>
      <w:pStyle w:val="Header"/>
      <w:jc w:val="center"/>
    </w:pPr>
    <w:r>
      <w:rPr>
        <w:noProof/>
        <w:lang w:eastAsia="en-AU"/>
      </w:rPr>
      <w:drawing>
        <wp:inline distT="0" distB="0" distL="0" distR="0" wp14:anchorId="709FCBA4" wp14:editId="41C50843">
          <wp:extent cx="5731510" cy="8401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dpa_logo 2018(no_header).png"/>
                  <pic:cNvPicPr/>
                </pic:nvPicPr>
                <pic:blipFill rotWithShape="1">
                  <a:blip r:embed="rId1">
                    <a:extLst>
                      <a:ext uri="{28A0092B-C50C-407E-A947-70E740481C1C}">
                        <a14:useLocalDpi xmlns:a14="http://schemas.microsoft.com/office/drawing/2010/main" val="0"/>
                      </a:ext>
                    </a:extLst>
                  </a:blip>
                  <a:srcRect t="25000" b="18013"/>
                  <a:stretch/>
                </pic:blipFill>
                <pic:spPr bwMode="auto">
                  <a:xfrm>
                    <a:off x="0" y="0"/>
                    <a:ext cx="5731510" cy="840105"/>
                  </a:xfrm>
                  <a:prstGeom prst="rect">
                    <a:avLst/>
                  </a:prstGeom>
                  <a:ln>
                    <a:noFill/>
                  </a:ln>
                  <a:extLst>
                    <a:ext uri="{53640926-AAD7-44D8-BBD7-CCE9431645EC}">
                      <a14:shadowObscured xmlns:a14="http://schemas.microsoft.com/office/drawing/2010/main"/>
                    </a:ext>
                  </a:extLst>
                </pic:spPr>
              </pic:pic>
            </a:graphicData>
          </a:graphic>
        </wp:inline>
      </w:drawing>
    </w:r>
  </w:p>
  <w:p w14:paraId="0B83D710" w14:textId="1A5B6195" w:rsidR="00C834BC" w:rsidRDefault="00C834BC" w:rsidP="00EE6EAC">
    <w:pPr>
      <w:pStyle w:val="Header"/>
      <w:jc w:val="center"/>
    </w:pPr>
  </w:p>
  <w:p w14:paraId="32F62A8C" w14:textId="3D8B6BB3" w:rsidR="00EE6EAC" w:rsidRDefault="00EE6EAC" w:rsidP="00EE6EAC">
    <w:pPr>
      <w:pStyle w:val="Header"/>
      <w:jc w:val="both"/>
    </w:pPr>
  </w:p>
  <w:p w14:paraId="0E922C7A" w14:textId="76DA6702" w:rsidR="00EE6EAC" w:rsidRDefault="00EE6EAC" w:rsidP="00EE6EAC">
    <w:pPr>
      <w:pStyle w:val="Header"/>
      <w:jc w:val="center"/>
    </w:pPr>
    <w:r>
      <w:rPr>
        <w:noProof/>
        <w:lang w:eastAsia="en-AU"/>
      </w:rPr>
      <w:drawing>
        <wp:inline distT="0" distB="0" distL="0" distR="0" wp14:anchorId="33AEB0D0" wp14:editId="4FC1E36B">
          <wp:extent cx="841830" cy="4020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it_CMYK.jpg"/>
                  <pic:cNvPicPr/>
                </pic:nvPicPr>
                <pic:blipFill>
                  <a:blip r:embed="rId2">
                    <a:extLst>
                      <a:ext uri="{28A0092B-C50C-407E-A947-70E740481C1C}">
                        <a14:useLocalDpi xmlns:a14="http://schemas.microsoft.com/office/drawing/2010/main" val="0"/>
                      </a:ext>
                    </a:extLst>
                  </a:blip>
                  <a:stretch>
                    <a:fillRect/>
                  </a:stretch>
                </pic:blipFill>
                <pic:spPr>
                  <a:xfrm>
                    <a:off x="0" y="0"/>
                    <a:ext cx="884921" cy="422602"/>
                  </a:xfrm>
                  <a:prstGeom prst="rect">
                    <a:avLst/>
                  </a:prstGeom>
                </pic:spPr>
              </pic:pic>
            </a:graphicData>
          </a:graphic>
        </wp:inline>
      </w:drawing>
    </w:r>
  </w:p>
  <w:p w14:paraId="24874193" w14:textId="77777777" w:rsidR="00EE6EAC" w:rsidRDefault="00EE6EAC" w:rsidP="00EE6EAC">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16A53"/>
    <w:multiLevelType w:val="hybridMultilevel"/>
    <w:tmpl w:val="EBF474D8"/>
    <w:lvl w:ilvl="0" w:tplc="CB96BFF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8C7E38"/>
    <w:multiLevelType w:val="hybridMultilevel"/>
    <w:tmpl w:val="DBB2C9B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99B3984"/>
    <w:multiLevelType w:val="hybridMultilevel"/>
    <w:tmpl w:val="17322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51346"/>
    <w:multiLevelType w:val="hybridMultilevel"/>
    <w:tmpl w:val="37344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2109B9"/>
    <w:multiLevelType w:val="hybridMultilevel"/>
    <w:tmpl w:val="79ECE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A408BD"/>
    <w:multiLevelType w:val="hybridMultilevel"/>
    <w:tmpl w:val="EC565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4B751F"/>
    <w:multiLevelType w:val="hybridMultilevel"/>
    <w:tmpl w:val="DF488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CD5E06"/>
    <w:multiLevelType w:val="hybridMultilevel"/>
    <w:tmpl w:val="98F0C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B43A83"/>
    <w:multiLevelType w:val="hybridMultilevel"/>
    <w:tmpl w:val="17322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7"/>
  </w:num>
  <w:num w:numId="5">
    <w:abstractNumId w:val="5"/>
  </w:num>
  <w:num w:numId="6">
    <w:abstractNumId w:val="2"/>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7D1"/>
    <w:rsid w:val="0000264F"/>
    <w:rsid w:val="000061DF"/>
    <w:rsid w:val="000074A1"/>
    <w:rsid w:val="00011A09"/>
    <w:rsid w:val="00014B27"/>
    <w:rsid w:val="0001768F"/>
    <w:rsid w:val="000248DF"/>
    <w:rsid w:val="000371F7"/>
    <w:rsid w:val="00037CF6"/>
    <w:rsid w:val="00041268"/>
    <w:rsid w:val="000413BB"/>
    <w:rsid w:val="00045D96"/>
    <w:rsid w:val="0005122A"/>
    <w:rsid w:val="000521F0"/>
    <w:rsid w:val="0005290B"/>
    <w:rsid w:val="00056412"/>
    <w:rsid w:val="000613C0"/>
    <w:rsid w:val="000677A5"/>
    <w:rsid w:val="00075053"/>
    <w:rsid w:val="00076D29"/>
    <w:rsid w:val="00080441"/>
    <w:rsid w:val="000827D7"/>
    <w:rsid w:val="00094146"/>
    <w:rsid w:val="00095ADE"/>
    <w:rsid w:val="00096C09"/>
    <w:rsid w:val="000A0277"/>
    <w:rsid w:val="000A1BA3"/>
    <w:rsid w:val="000A3866"/>
    <w:rsid w:val="000B1EDD"/>
    <w:rsid w:val="000B2949"/>
    <w:rsid w:val="000B3D9D"/>
    <w:rsid w:val="000C10CF"/>
    <w:rsid w:val="000C1407"/>
    <w:rsid w:val="000C1EA7"/>
    <w:rsid w:val="000C3804"/>
    <w:rsid w:val="000C3BDC"/>
    <w:rsid w:val="000E01BF"/>
    <w:rsid w:val="000E5E13"/>
    <w:rsid w:val="000E67E5"/>
    <w:rsid w:val="000E7AB2"/>
    <w:rsid w:val="000F1000"/>
    <w:rsid w:val="000F1F77"/>
    <w:rsid w:val="00100477"/>
    <w:rsid w:val="001012C4"/>
    <w:rsid w:val="00105B81"/>
    <w:rsid w:val="00110A46"/>
    <w:rsid w:val="0011179D"/>
    <w:rsid w:val="00111A70"/>
    <w:rsid w:val="00112896"/>
    <w:rsid w:val="001149FA"/>
    <w:rsid w:val="00114C71"/>
    <w:rsid w:val="00114D94"/>
    <w:rsid w:val="0012543A"/>
    <w:rsid w:val="00130F12"/>
    <w:rsid w:val="00131738"/>
    <w:rsid w:val="00132DC7"/>
    <w:rsid w:val="00133B02"/>
    <w:rsid w:val="00133B79"/>
    <w:rsid w:val="00134ADD"/>
    <w:rsid w:val="00137774"/>
    <w:rsid w:val="001417B8"/>
    <w:rsid w:val="00145383"/>
    <w:rsid w:val="00145644"/>
    <w:rsid w:val="0014634B"/>
    <w:rsid w:val="001463E3"/>
    <w:rsid w:val="0015120A"/>
    <w:rsid w:val="00160325"/>
    <w:rsid w:val="00161D2F"/>
    <w:rsid w:val="00161F82"/>
    <w:rsid w:val="001627D8"/>
    <w:rsid w:val="00163DD6"/>
    <w:rsid w:val="0016642C"/>
    <w:rsid w:val="00175657"/>
    <w:rsid w:val="00177EDE"/>
    <w:rsid w:val="001825B8"/>
    <w:rsid w:val="00184B79"/>
    <w:rsid w:val="0018685D"/>
    <w:rsid w:val="0018787F"/>
    <w:rsid w:val="001909C9"/>
    <w:rsid w:val="00191590"/>
    <w:rsid w:val="00193CD6"/>
    <w:rsid w:val="00193F1A"/>
    <w:rsid w:val="0019578B"/>
    <w:rsid w:val="00196635"/>
    <w:rsid w:val="001A44FF"/>
    <w:rsid w:val="001A7419"/>
    <w:rsid w:val="001B1AF5"/>
    <w:rsid w:val="001C016B"/>
    <w:rsid w:val="001C208D"/>
    <w:rsid w:val="001C2148"/>
    <w:rsid w:val="001C29E5"/>
    <w:rsid w:val="001C4C3B"/>
    <w:rsid w:val="001C682A"/>
    <w:rsid w:val="001D2208"/>
    <w:rsid w:val="001D455D"/>
    <w:rsid w:val="001E2F45"/>
    <w:rsid w:val="001E3F7D"/>
    <w:rsid w:val="001F06B7"/>
    <w:rsid w:val="001F0989"/>
    <w:rsid w:val="001F1CF5"/>
    <w:rsid w:val="00201597"/>
    <w:rsid w:val="00205271"/>
    <w:rsid w:val="00207755"/>
    <w:rsid w:val="00210DF1"/>
    <w:rsid w:val="0021785E"/>
    <w:rsid w:val="00226147"/>
    <w:rsid w:val="0023558F"/>
    <w:rsid w:val="00235B95"/>
    <w:rsid w:val="002424D1"/>
    <w:rsid w:val="00243223"/>
    <w:rsid w:val="00250A5A"/>
    <w:rsid w:val="002519AA"/>
    <w:rsid w:val="002542CB"/>
    <w:rsid w:val="00254B31"/>
    <w:rsid w:val="00256F36"/>
    <w:rsid w:val="00264D85"/>
    <w:rsid w:val="00272248"/>
    <w:rsid w:val="00273BB0"/>
    <w:rsid w:val="0028497D"/>
    <w:rsid w:val="002907C4"/>
    <w:rsid w:val="00291257"/>
    <w:rsid w:val="002936EB"/>
    <w:rsid w:val="00297C06"/>
    <w:rsid w:val="002A3EE8"/>
    <w:rsid w:val="002A6C03"/>
    <w:rsid w:val="002B063D"/>
    <w:rsid w:val="002B7A58"/>
    <w:rsid w:val="002C080E"/>
    <w:rsid w:val="002C1818"/>
    <w:rsid w:val="002C2234"/>
    <w:rsid w:val="002D017D"/>
    <w:rsid w:val="002D1270"/>
    <w:rsid w:val="002D1A36"/>
    <w:rsid w:val="002D3817"/>
    <w:rsid w:val="002D795C"/>
    <w:rsid w:val="002E1310"/>
    <w:rsid w:val="002E6EB8"/>
    <w:rsid w:val="002F4655"/>
    <w:rsid w:val="002F48B3"/>
    <w:rsid w:val="002F5E88"/>
    <w:rsid w:val="00302693"/>
    <w:rsid w:val="00303760"/>
    <w:rsid w:val="00304AA3"/>
    <w:rsid w:val="00304D55"/>
    <w:rsid w:val="00305EAB"/>
    <w:rsid w:val="0030653E"/>
    <w:rsid w:val="00320B3E"/>
    <w:rsid w:val="003229E8"/>
    <w:rsid w:val="0032505D"/>
    <w:rsid w:val="00325B31"/>
    <w:rsid w:val="003328A1"/>
    <w:rsid w:val="003362A7"/>
    <w:rsid w:val="00340309"/>
    <w:rsid w:val="0034374D"/>
    <w:rsid w:val="0034445D"/>
    <w:rsid w:val="00346629"/>
    <w:rsid w:val="00346DE8"/>
    <w:rsid w:val="003500FF"/>
    <w:rsid w:val="00353070"/>
    <w:rsid w:val="00355214"/>
    <w:rsid w:val="00360991"/>
    <w:rsid w:val="0036545C"/>
    <w:rsid w:val="00367CA0"/>
    <w:rsid w:val="00371E1E"/>
    <w:rsid w:val="00372E09"/>
    <w:rsid w:val="00381F74"/>
    <w:rsid w:val="0038232A"/>
    <w:rsid w:val="00383570"/>
    <w:rsid w:val="003847D2"/>
    <w:rsid w:val="003855EF"/>
    <w:rsid w:val="003864D3"/>
    <w:rsid w:val="003959C7"/>
    <w:rsid w:val="00397A1E"/>
    <w:rsid w:val="003A11EB"/>
    <w:rsid w:val="003A3A60"/>
    <w:rsid w:val="003A6BD6"/>
    <w:rsid w:val="003B1DFF"/>
    <w:rsid w:val="003B3DE8"/>
    <w:rsid w:val="003B52C4"/>
    <w:rsid w:val="003B5C82"/>
    <w:rsid w:val="003B69CD"/>
    <w:rsid w:val="003C361E"/>
    <w:rsid w:val="003C740A"/>
    <w:rsid w:val="003D45C4"/>
    <w:rsid w:val="003E0BA2"/>
    <w:rsid w:val="003E0DA6"/>
    <w:rsid w:val="003F0882"/>
    <w:rsid w:val="003F0D94"/>
    <w:rsid w:val="003F4B09"/>
    <w:rsid w:val="004042AD"/>
    <w:rsid w:val="0040434D"/>
    <w:rsid w:val="00405448"/>
    <w:rsid w:val="004054AA"/>
    <w:rsid w:val="00405EE3"/>
    <w:rsid w:val="00411586"/>
    <w:rsid w:val="004160D9"/>
    <w:rsid w:val="00417E4C"/>
    <w:rsid w:val="0042230E"/>
    <w:rsid w:val="00433937"/>
    <w:rsid w:val="004375FC"/>
    <w:rsid w:val="00437E4A"/>
    <w:rsid w:val="0044059B"/>
    <w:rsid w:val="00441B09"/>
    <w:rsid w:val="004453B6"/>
    <w:rsid w:val="004510DC"/>
    <w:rsid w:val="00455950"/>
    <w:rsid w:val="00457A3B"/>
    <w:rsid w:val="00464AD1"/>
    <w:rsid w:val="00471BEE"/>
    <w:rsid w:val="00472845"/>
    <w:rsid w:val="004759EC"/>
    <w:rsid w:val="00477705"/>
    <w:rsid w:val="00485957"/>
    <w:rsid w:val="004902B7"/>
    <w:rsid w:val="004A17D8"/>
    <w:rsid w:val="004A658B"/>
    <w:rsid w:val="004A7791"/>
    <w:rsid w:val="004B088E"/>
    <w:rsid w:val="004B134F"/>
    <w:rsid w:val="004B286B"/>
    <w:rsid w:val="004B52BD"/>
    <w:rsid w:val="004C6519"/>
    <w:rsid w:val="004D7E03"/>
    <w:rsid w:val="004E2F55"/>
    <w:rsid w:val="004E5418"/>
    <w:rsid w:val="004E6283"/>
    <w:rsid w:val="004F50D3"/>
    <w:rsid w:val="004F5D0B"/>
    <w:rsid w:val="004F6C5C"/>
    <w:rsid w:val="004F7504"/>
    <w:rsid w:val="00502621"/>
    <w:rsid w:val="00504864"/>
    <w:rsid w:val="00511F20"/>
    <w:rsid w:val="005227E1"/>
    <w:rsid w:val="00525B58"/>
    <w:rsid w:val="00525C89"/>
    <w:rsid w:val="0053020C"/>
    <w:rsid w:val="00532552"/>
    <w:rsid w:val="00533100"/>
    <w:rsid w:val="00534417"/>
    <w:rsid w:val="00536304"/>
    <w:rsid w:val="00536694"/>
    <w:rsid w:val="00541D79"/>
    <w:rsid w:val="00543A7D"/>
    <w:rsid w:val="00543EA2"/>
    <w:rsid w:val="00551AFB"/>
    <w:rsid w:val="00556CDF"/>
    <w:rsid w:val="00561323"/>
    <w:rsid w:val="0056264A"/>
    <w:rsid w:val="00575963"/>
    <w:rsid w:val="00581D45"/>
    <w:rsid w:val="0059680E"/>
    <w:rsid w:val="005B0AD8"/>
    <w:rsid w:val="005B2C8B"/>
    <w:rsid w:val="005B780F"/>
    <w:rsid w:val="005C4DB0"/>
    <w:rsid w:val="005C6EE6"/>
    <w:rsid w:val="005C7DF5"/>
    <w:rsid w:val="005D61AD"/>
    <w:rsid w:val="005D7A17"/>
    <w:rsid w:val="005D7F70"/>
    <w:rsid w:val="005E0DFD"/>
    <w:rsid w:val="005F1BCE"/>
    <w:rsid w:val="005F2B4B"/>
    <w:rsid w:val="005F4B75"/>
    <w:rsid w:val="005F5279"/>
    <w:rsid w:val="005F7AC1"/>
    <w:rsid w:val="0060748C"/>
    <w:rsid w:val="00607949"/>
    <w:rsid w:val="006111A9"/>
    <w:rsid w:val="0061284B"/>
    <w:rsid w:val="006211BE"/>
    <w:rsid w:val="006218B7"/>
    <w:rsid w:val="00622B0B"/>
    <w:rsid w:val="00640C35"/>
    <w:rsid w:val="006428FC"/>
    <w:rsid w:val="00645C99"/>
    <w:rsid w:val="006461BB"/>
    <w:rsid w:val="006509C5"/>
    <w:rsid w:val="00663204"/>
    <w:rsid w:val="006663E1"/>
    <w:rsid w:val="00670F36"/>
    <w:rsid w:val="00672D44"/>
    <w:rsid w:val="00674C42"/>
    <w:rsid w:val="00685D54"/>
    <w:rsid w:val="00690C4F"/>
    <w:rsid w:val="00691917"/>
    <w:rsid w:val="00695E95"/>
    <w:rsid w:val="006A2431"/>
    <w:rsid w:val="006A3694"/>
    <w:rsid w:val="006A494E"/>
    <w:rsid w:val="006B3F4A"/>
    <w:rsid w:val="006C315D"/>
    <w:rsid w:val="006C3F0B"/>
    <w:rsid w:val="006D5037"/>
    <w:rsid w:val="006E15E7"/>
    <w:rsid w:val="006F48A2"/>
    <w:rsid w:val="00716DCB"/>
    <w:rsid w:val="00721CB0"/>
    <w:rsid w:val="00722338"/>
    <w:rsid w:val="007246A6"/>
    <w:rsid w:val="00725F88"/>
    <w:rsid w:val="00735016"/>
    <w:rsid w:val="007362B4"/>
    <w:rsid w:val="00752E6A"/>
    <w:rsid w:val="00753537"/>
    <w:rsid w:val="0075415B"/>
    <w:rsid w:val="00755289"/>
    <w:rsid w:val="007555D0"/>
    <w:rsid w:val="0075771E"/>
    <w:rsid w:val="007614B3"/>
    <w:rsid w:val="0076463A"/>
    <w:rsid w:val="00765FBF"/>
    <w:rsid w:val="00770276"/>
    <w:rsid w:val="00781EF3"/>
    <w:rsid w:val="00787A78"/>
    <w:rsid w:val="00791BD7"/>
    <w:rsid w:val="00792F70"/>
    <w:rsid w:val="007A1373"/>
    <w:rsid w:val="007A1DB8"/>
    <w:rsid w:val="007A57A8"/>
    <w:rsid w:val="007A5D5C"/>
    <w:rsid w:val="007B5F22"/>
    <w:rsid w:val="007C31B1"/>
    <w:rsid w:val="007C4F90"/>
    <w:rsid w:val="007C675B"/>
    <w:rsid w:val="007C6C72"/>
    <w:rsid w:val="007D0052"/>
    <w:rsid w:val="007D544B"/>
    <w:rsid w:val="007E0E25"/>
    <w:rsid w:val="007E6DC4"/>
    <w:rsid w:val="007E74AB"/>
    <w:rsid w:val="007F1281"/>
    <w:rsid w:val="007F732B"/>
    <w:rsid w:val="00802DA4"/>
    <w:rsid w:val="00807E4D"/>
    <w:rsid w:val="008216D4"/>
    <w:rsid w:val="00824DD2"/>
    <w:rsid w:val="0084188D"/>
    <w:rsid w:val="00842809"/>
    <w:rsid w:val="00842A46"/>
    <w:rsid w:val="0084467C"/>
    <w:rsid w:val="00852531"/>
    <w:rsid w:val="00852812"/>
    <w:rsid w:val="00852C6E"/>
    <w:rsid w:val="00853E14"/>
    <w:rsid w:val="00857D0D"/>
    <w:rsid w:val="00863355"/>
    <w:rsid w:val="00871C19"/>
    <w:rsid w:val="00872711"/>
    <w:rsid w:val="00875C34"/>
    <w:rsid w:val="00877113"/>
    <w:rsid w:val="00885CA0"/>
    <w:rsid w:val="00890655"/>
    <w:rsid w:val="00890680"/>
    <w:rsid w:val="00891979"/>
    <w:rsid w:val="008949B0"/>
    <w:rsid w:val="008A037D"/>
    <w:rsid w:val="008A59C1"/>
    <w:rsid w:val="008A61EF"/>
    <w:rsid w:val="008B0692"/>
    <w:rsid w:val="008B72B2"/>
    <w:rsid w:val="008C09E7"/>
    <w:rsid w:val="008C26A9"/>
    <w:rsid w:val="008C3CC9"/>
    <w:rsid w:val="008C5BC1"/>
    <w:rsid w:val="008C6EFD"/>
    <w:rsid w:val="008D42C1"/>
    <w:rsid w:val="008E5A2D"/>
    <w:rsid w:val="008E71A3"/>
    <w:rsid w:val="008F2ECB"/>
    <w:rsid w:val="008F38E6"/>
    <w:rsid w:val="008F3B1F"/>
    <w:rsid w:val="008F47A2"/>
    <w:rsid w:val="008F5D94"/>
    <w:rsid w:val="008F61E7"/>
    <w:rsid w:val="008F6BC4"/>
    <w:rsid w:val="00900C9A"/>
    <w:rsid w:val="0090174B"/>
    <w:rsid w:val="00911BD2"/>
    <w:rsid w:val="009165C5"/>
    <w:rsid w:val="00916BDF"/>
    <w:rsid w:val="00917E66"/>
    <w:rsid w:val="0092013F"/>
    <w:rsid w:val="009216A2"/>
    <w:rsid w:val="00922F50"/>
    <w:rsid w:val="00930A39"/>
    <w:rsid w:val="009312EB"/>
    <w:rsid w:val="00935725"/>
    <w:rsid w:val="00936170"/>
    <w:rsid w:val="00940FA4"/>
    <w:rsid w:val="00943D3B"/>
    <w:rsid w:val="009576EA"/>
    <w:rsid w:val="00965E79"/>
    <w:rsid w:val="009670EE"/>
    <w:rsid w:val="00973C94"/>
    <w:rsid w:val="0097401E"/>
    <w:rsid w:val="0098242D"/>
    <w:rsid w:val="0098245F"/>
    <w:rsid w:val="0098463A"/>
    <w:rsid w:val="00984BAB"/>
    <w:rsid w:val="00985512"/>
    <w:rsid w:val="009863D3"/>
    <w:rsid w:val="00986A9E"/>
    <w:rsid w:val="00993FCE"/>
    <w:rsid w:val="009A2846"/>
    <w:rsid w:val="009A63E9"/>
    <w:rsid w:val="009C01EB"/>
    <w:rsid w:val="009E0B4B"/>
    <w:rsid w:val="009E3E45"/>
    <w:rsid w:val="009E597E"/>
    <w:rsid w:val="009F5BDD"/>
    <w:rsid w:val="009F67A5"/>
    <w:rsid w:val="009F7C56"/>
    <w:rsid w:val="00A04D93"/>
    <w:rsid w:val="00A075CE"/>
    <w:rsid w:val="00A1657F"/>
    <w:rsid w:val="00A2003E"/>
    <w:rsid w:val="00A20245"/>
    <w:rsid w:val="00A26D48"/>
    <w:rsid w:val="00A316F3"/>
    <w:rsid w:val="00A33755"/>
    <w:rsid w:val="00A355C8"/>
    <w:rsid w:val="00A415AB"/>
    <w:rsid w:val="00A42A28"/>
    <w:rsid w:val="00A4718A"/>
    <w:rsid w:val="00A47F1E"/>
    <w:rsid w:val="00A50033"/>
    <w:rsid w:val="00A5064E"/>
    <w:rsid w:val="00A516BD"/>
    <w:rsid w:val="00A537E6"/>
    <w:rsid w:val="00A54761"/>
    <w:rsid w:val="00A612F4"/>
    <w:rsid w:val="00A64234"/>
    <w:rsid w:val="00A66551"/>
    <w:rsid w:val="00A74DC8"/>
    <w:rsid w:val="00A8340D"/>
    <w:rsid w:val="00A83B51"/>
    <w:rsid w:val="00A845F2"/>
    <w:rsid w:val="00A8799A"/>
    <w:rsid w:val="00AA05EC"/>
    <w:rsid w:val="00AA4EE6"/>
    <w:rsid w:val="00AA711C"/>
    <w:rsid w:val="00AB055E"/>
    <w:rsid w:val="00AB0B7F"/>
    <w:rsid w:val="00AB2ECF"/>
    <w:rsid w:val="00AB6320"/>
    <w:rsid w:val="00AB72A2"/>
    <w:rsid w:val="00AB7747"/>
    <w:rsid w:val="00AC1F4A"/>
    <w:rsid w:val="00AC20FF"/>
    <w:rsid w:val="00AC2BFF"/>
    <w:rsid w:val="00AC3656"/>
    <w:rsid w:val="00AC67B3"/>
    <w:rsid w:val="00AD34DD"/>
    <w:rsid w:val="00AD4800"/>
    <w:rsid w:val="00AD4E4D"/>
    <w:rsid w:val="00AD641C"/>
    <w:rsid w:val="00AE1AEC"/>
    <w:rsid w:val="00AE4352"/>
    <w:rsid w:val="00AF2263"/>
    <w:rsid w:val="00AF2446"/>
    <w:rsid w:val="00AF5017"/>
    <w:rsid w:val="00B06F8B"/>
    <w:rsid w:val="00B13109"/>
    <w:rsid w:val="00B136A7"/>
    <w:rsid w:val="00B146ED"/>
    <w:rsid w:val="00B259A1"/>
    <w:rsid w:val="00B3101C"/>
    <w:rsid w:val="00B31213"/>
    <w:rsid w:val="00B33AA6"/>
    <w:rsid w:val="00B416A3"/>
    <w:rsid w:val="00B429A0"/>
    <w:rsid w:val="00B43F06"/>
    <w:rsid w:val="00B5269C"/>
    <w:rsid w:val="00B54F05"/>
    <w:rsid w:val="00B72566"/>
    <w:rsid w:val="00B73DC4"/>
    <w:rsid w:val="00B7438B"/>
    <w:rsid w:val="00B769AD"/>
    <w:rsid w:val="00B80856"/>
    <w:rsid w:val="00B91600"/>
    <w:rsid w:val="00B93C86"/>
    <w:rsid w:val="00B95E6E"/>
    <w:rsid w:val="00B96140"/>
    <w:rsid w:val="00B97062"/>
    <w:rsid w:val="00BA2338"/>
    <w:rsid w:val="00BA3D38"/>
    <w:rsid w:val="00BA72CC"/>
    <w:rsid w:val="00BA7F0A"/>
    <w:rsid w:val="00BB3BE8"/>
    <w:rsid w:val="00BB4480"/>
    <w:rsid w:val="00BB5814"/>
    <w:rsid w:val="00BB794B"/>
    <w:rsid w:val="00BB7DE0"/>
    <w:rsid w:val="00BC5529"/>
    <w:rsid w:val="00BD2035"/>
    <w:rsid w:val="00BE01A9"/>
    <w:rsid w:val="00BE361B"/>
    <w:rsid w:val="00BE619F"/>
    <w:rsid w:val="00BE7CE1"/>
    <w:rsid w:val="00BF5E1A"/>
    <w:rsid w:val="00BF6A76"/>
    <w:rsid w:val="00C1438E"/>
    <w:rsid w:val="00C179B2"/>
    <w:rsid w:val="00C213B8"/>
    <w:rsid w:val="00C2196D"/>
    <w:rsid w:val="00C26444"/>
    <w:rsid w:val="00C323FE"/>
    <w:rsid w:val="00C33381"/>
    <w:rsid w:val="00C344DE"/>
    <w:rsid w:val="00C41DA1"/>
    <w:rsid w:val="00C42F9A"/>
    <w:rsid w:val="00C541A5"/>
    <w:rsid w:val="00C564B6"/>
    <w:rsid w:val="00C73822"/>
    <w:rsid w:val="00C815D6"/>
    <w:rsid w:val="00C816EE"/>
    <w:rsid w:val="00C82DE3"/>
    <w:rsid w:val="00C834BC"/>
    <w:rsid w:val="00C83B50"/>
    <w:rsid w:val="00C874C6"/>
    <w:rsid w:val="00C8782D"/>
    <w:rsid w:val="00C90667"/>
    <w:rsid w:val="00C919FE"/>
    <w:rsid w:val="00C91D7F"/>
    <w:rsid w:val="00C92D29"/>
    <w:rsid w:val="00C93C31"/>
    <w:rsid w:val="00C955F7"/>
    <w:rsid w:val="00C9570B"/>
    <w:rsid w:val="00C95CC1"/>
    <w:rsid w:val="00CA0374"/>
    <w:rsid w:val="00CA0CC0"/>
    <w:rsid w:val="00CA4E1F"/>
    <w:rsid w:val="00CA65ED"/>
    <w:rsid w:val="00CA78D1"/>
    <w:rsid w:val="00CB02E4"/>
    <w:rsid w:val="00CB30C1"/>
    <w:rsid w:val="00CB7258"/>
    <w:rsid w:val="00CB7571"/>
    <w:rsid w:val="00CC07ED"/>
    <w:rsid w:val="00CC0AA0"/>
    <w:rsid w:val="00CC54A2"/>
    <w:rsid w:val="00CD46A0"/>
    <w:rsid w:val="00CD697B"/>
    <w:rsid w:val="00CE30BF"/>
    <w:rsid w:val="00CE6F26"/>
    <w:rsid w:val="00CE7EA4"/>
    <w:rsid w:val="00CF0885"/>
    <w:rsid w:val="00CF4150"/>
    <w:rsid w:val="00CF4545"/>
    <w:rsid w:val="00CF6F11"/>
    <w:rsid w:val="00CF6FC2"/>
    <w:rsid w:val="00D117A6"/>
    <w:rsid w:val="00D11E56"/>
    <w:rsid w:val="00D223F1"/>
    <w:rsid w:val="00D26856"/>
    <w:rsid w:val="00D30E5A"/>
    <w:rsid w:val="00D36B23"/>
    <w:rsid w:val="00D37A2F"/>
    <w:rsid w:val="00D400CD"/>
    <w:rsid w:val="00D55784"/>
    <w:rsid w:val="00D611B5"/>
    <w:rsid w:val="00D6575B"/>
    <w:rsid w:val="00D66D20"/>
    <w:rsid w:val="00D67516"/>
    <w:rsid w:val="00D77CF9"/>
    <w:rsid w:val="00D84CCF"/>
    <w:rsid w:val="00D8681B"/>
    <w:rsid w:val="00DA20E2"/>
    <w:rsid w:val="00DA2D78"/>
    <w:rsid w:val="00DA3260"/>
    <w:rsid w:val="00DA5B66"/>
    <w:rsid w:val="00DA6035"/>
    <w:rsid w:val="00DB42EA"/>
    <w:rsid w:val="00DC74A1"/>
    <w:rsid w:val="00DC77D1"/>
    <w:rsid w:val="00DD123C"/>
    <w:rsid w:val="00DD1C59"/>
    <w:rsid w:val="00DD3CBF"/>
    <w:rsid w:val="00DD5261"/>
    <w:rsid w:val="00DD6488"/>
    <w:rsid w:val="00DD7C97"/>
    <w:rsid w:val="00DE5244"/>
    <w:rsid w:val="00DE66A1"/>
    <w:rsid w:val="00DF007C"/>
    <w:rsid w:val="00DF5902"/>
    <w:rsid w:val="00DF7655"/>
    <w:rsid w:val="00DF7662"/>
    <w:rsid w:val="00E0085B"/>
    <w:rsid w:val="00E01F27"/>
    <w:rsid w:val="00E03055"/>
    <w:rsid w:val="00E10C68"/>
    <w:rsid w:val="00E14109"/>
    <w:rsid w:val="00E23C29"/>
    <w:rsid w:val="00E2560D"/>
    <w:rsid w:val="00E26754"/>
    <w:rsid w:val="00E30979"/>
    <w:rsid w:val="00E31F6C"/>
    <w:rsid w:val="00E32491"/>
    <w:rsid w:val="00E35F40"/>
    <w:rsid w:val="00E3759C"/>
    <w:rsid w:val="00E46A2D"/>
    <w:rsid w:val="00E556CD"/>
    <w:rsid w:val="00E61CF3"/>
    <w:rsid w:val="00E63A76"/>
    <w:rsid w:val="00E71823"/>
    <w:rsid w:val="00E71E66"/>
    <w:rsid w:val="00E748B7"/>
    <w:rsid w:val="00E7736A"/>
    <w:rsid w:val="00E77738"/>
    <w:rsid w:val="00E86AD1"/>
    <w:rsid w:val="00E87857"/>
    <w:rsid w:val="00E90DE1"/>
    <w:rsid w:val="00E91D46"/>
    <w:rsid w:val="00E9240E"/>
    <w:rsid w:val="00E96401"/>
    <w:rsid w:val="00EB1F24"/>
    <w:rsid w:val="00EB2EA4"/>
    <w:rsid w:val="00EB2FB9"/>
    <w:rsid w:val="00EB30CB"/>
    <w:rsid w:val="00EB7F70"/>
    <w:rsid w:val="00EC04C9"/>
    <w:rsid w:val="00EC1444"/>
    <w:rsid w:val="00EC3FE6"/>
    <w:rsid w:val="00EC71AE"/>
    <w:rsid w:val="00EE3A3C"/>
    <w:rsid w:val="00EE6EAC"/>
    <w:rsid w:val="00EF3524"/>
    <w:rsid w:val="00EF560B"/>
    <w:rsid w:val="00F010EA"/>
    <w:rsid w:val="00F07C10"/>
    <w:rsid w:val="00F07D3E"/>
    <w:rsid w:val="00F13B59"/>
    <w:rsid w:val="00F21B61"/>
    <w:rsid w:val="00F2213E"/>
    <w:rsid w:val="00F2358A"/>
    <w:rsid w:val="00F26DBD"/>
    <w:rsid w:val="00F27DEA"/>
    <w:rsid w:val="00F3006F"/>
    <w:rsid w:val="00F31473"/>
    <w:rsid w:val="00F35462"/>
    <w:rsid w:val="00F43D12"/>
    <w:rsid w:val="00F45D07"/>
    <w:rsid w:val="00F5168F"/>
    <w:rsid w:val="00F536B2"/>
    <w:rsid w:val="00F60479"/>
    <w:rsid w:val="00F611E8"/>
    <w:rsid w:val="00F62F9C"/>
    <w:rsid w:val="00F63AB3"/>
    <w:rsid w:val="00F64375"/>
    <w:rsid w:val="00F65192"/>
    <w:rsid w:val="00F673B9"/>
    <w:rsid w:val="00F67CD4"/>
    <w:rsid w:val="00F711A0"/>
    <w:rsid w:val="00F7131E"/>
    <w:rsid w:val="00F74048"/>
    <w:rsid w:val="00F80509"/>
    <w:rsid w:val="00F80988"/>
    <w:rsid w:val="00F82C27"/>
    <w:rsid w:val="00F8331E"/>
    <w:rsid w:val="00F85A15"/>
    <w:rsid w:val="00F93702"/>
    <w:rsid w:val="00F94F68"/>
    <w:rsid w:val="00F957A4"/>
    <w:rsid w:val="00F95A7B"/>
    <w:rsid w:val="00FA5874"/>
    <w:rsid w:val="00FB07DB"/>
    <w:rsid w:val="00FB1583"/>
    <w:rsid w:val="00FB2B99"/>
    <w:rsid w:val="00FB44DC"/>
    <w:rsid w:val="00FB4B65"/>
    <w:rsid w:val="00FB5400"/>
    <w:rsid w:val="00FB6400"/>
    <w:rsid w:val="00FB6E24"/>
    <w:rsid w:val="00FB7916"/>
    <w:rsid w:val="00FB797C"/>
    <w:rsid w:val="00FC02CB"/>
    <w:rsid w:val="00FC5CDF"/>
    <w:rsid w:val="00FC7677"/>
    <w:rsid w:val="00FC77BB"/>
    <w:rsid w:val="00FC7DEE"/>
    <w:rsid w:val="00FD080A"/>
    <w:rsid w:val="00FD14F5"/>
    <w:rsid w:val="00FE048D"/>
    <w:rsid w:val="00FE48A7"/>
    <w:rsid w:val="00FF3545"/>
    <w:rsid w:val="00FF5807"/>
    <w:rsid w:val="2DA3D239"/>
    <w:rsid w:val="3089D059"/>
    <w:rsid w:val="7FC721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CC6A1B"/>
  <w15:docId w15:val="{2B19822B-3D58-43C3-854E-D96A61E0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4D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7D1"/>
    <w:pPr>
      <w:ind w:left="720"/>
      <w:contextualSpacing/>
    </w:pPr>
  </w:style>
  <w:style w:type="paragraph" w:styleId="FootnoteText">
    <w:name w:val="footnote text"/>
    <w:basedOn w:val="Normal"/>
    <w:link w:val="FootnoteTextChar"/>
    <w:uiPriority w:val="99"/>
    <w:semiHidden/>
    <w:unhideWhenUsed/>
    <w:rsid w:val="00DC77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77D1"/>
    <w:rPr>
      <w:sz w:val="20"/>
      <w:szCs w:val="20"/>
    </w:rPr>
  </w:style>
  <w:style w:type="character" w:styleId="FootnoteReference">
    <w:name w:val="footnote reference"/>
    <w:basedOn w:val="DefaultParagraphFont"/>
    <w:uiPriority w:val="99"/>
    <w:semiHidden/>
    <w:unhideWhenUsed/>
    <w:rsid w:val="00DC77D1"/>
    <w:rPr>
      <w:vertAlign w:val="superscript"/>
    </w:rPr>
  </w:style>
  <w:style w:type="paragraph" w:styleId="NoSpacing">
    <w:name w:val="No Spacing"/>
    <w:uiPriority w:val="1"/>
    <w:qFormat/>
    <w:rsid w:val="00DC77D1"/>
    <w:pPr>
      <w:spacing w:after="0" w:line="240" w:lineRule="auto"/>
    </w:pPr>
  </w:style>
  <w:style w:type="character" w:customStyle="1" w:styleId="Heading1Char">
    <w:name w:val="Heading 1 Char"/>
    <w:basedOn w:val="DefaultParagraphFont"/>
    <w:link w:val="Heading1"/>
    <w:uiPriority w:val="9"/>
    <w:rsid w:val="00824DD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24DD2"/>
    <w:rPr>
      <w:color w:val="0563C1" w:themeColor="hyperlink"/>
      <w:u w:val="single"/>
    </w:rPr>
  </w:style>
  <w:style w:type="character" w:customStyle="1" w:styleId="UnresolvedMention1">
    <w:name w:val="Unresolved Mention1"/>
    <w:basedOn w:val="DefaultParagraphFont"/>
    <w:uiPriority w:val="99"/>
    <w:semiHidden/>
    <w:unhideWhenUsed/>
    <w:rsid w:val="009E597E"/>
    <w:rPr>
      <w:color w:val="605E5C"/>
      <w:shd w:val="clear" w:color="auto" w:fill="E1DFDD"/>
    </w:rPr>
  </w:style>
  <w:style w:type="character" w:styleId="CommentReference">
    <w:name w:val="annotation reference"/>
    <w:basedOn w:val="DefaultParagraphFont"/>
    <w:uiPriority w:val="99"/>
    <w:semiHidden/>
    <w:unhideWhenUsed/>
    <w:rsid w:val="0075415B"/>
    <w:rPr>
      <w:sz w:val="16"/>
      <w:szCs w:val="16"/>
    </w:rPr>
  </w:style>
  <w:style w:type="paragraph" w:styleId="CommentText">
    <w:name w:val="annotation text"/>
    <w:basedOn w:val="Normal"/>
    <w:link w:val="CommentTextChar"/>
    <w:uiPriority w:val="99"/>
    <w:semiHidden/>
    <w:unhideWhenUsed/>
    <w:rsid w:val="0075415B"/>
    <w:pPr>
      <w:spacing w:line="240" w:lineRule="auto"/>
    </w:pPr>
    <w:rPr>
      <w:sz w:val="20"/>
      <w:szCs w:val="20"/>
    </w:rPr>
  </w:style>
  <w:style w:type="character" w:customStyle="1" w:styleId="CommentTextChar">
    <w:name w:val="Comment Text Char"/>
    <w:basedOn w:val="DefaultParagraphFont"/>
    <w:link w:val="CommentText"/>
    <w:uiPriority w:val="99"/>
    <w:semiHidden/>
    <w:rsid w:val="0075415B"/>
    <w:rPr>
      <w:sz w:val="20"/>
      <w:szCs w:val="20"/>
    </w:rPr>
  </w:style>
  <w:style w:type="paragraph" w:styleId="CommentSubject">
    <w:name w:val="annotation subject"/>
    <w:basedOn w:val="CommentText"/>
    <w:next w:val="CommentText"/>
    <w:link w:val="CommentSubjectChar"/>
    <w:uiPriority w:val="99"/>
    <w:semiHidden/>
    <w:unhideWhenUsed/>
    <w:rsid w:val="0075415B"/>
    <w:rPr>
      <w:b/>
      <w:bCs/>
    </w:rPr>
  </w:style>
  <w:style w:type="character" w:customStyle="1" w:styleId="CommentSubjectChar">
    <w:name w:val="Comment Subject Char"/>
    <w:basedOn w:val="CommentTextChar"/>
    <w:link w:val="CommentSubject"/>
    <w:uiPriority w:val="99"/>
    <w:semiHidden/>
    <w:rsid w:val="0075415B"/>
    <w:rPr>
      <w:b/>
      <w:bCs/>
      <w:sz w:val="20"/>
      <w:szCs w:val="20"/>
    </w:rPr>
  </w:style>
  <w:style w:type="paragraph" w:styleId="BalloonText">
    <w:name w:val="Balloon Text"/>
    <w:basedOn w:val="Normal"/>
    <w:link w:val="BalloonTextChar"/>
    <w:uiPriority w:val="99"/>
    <w:semiHidden/>
    <w:unhideWhenUsed/>
    <w:rsid w:val="00754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15B"/>
    <w:rPr>
      <w:rFonts w:ascii="Segoe UI" w:hAnsi="Segoe UI" w:cs="Segoe UI"/>
      <w:sz w:val="18"/>
      <w:szCs w:val="18"/>
    </w:rPr>
  </w:style>
  <w:style w:type="character" w:styleId="FollowedHyperlink">
    <w:name w:val="FollowedHyperlink"/>
    <w:basedOn w:val="DefaultParagraphFont"/>
    <w:uiPriority w:val="99"/>
    <w:semiHidden/>
    <w:unhideWhenUsed/>
    <w:rsid w:val="00721CB0"/>
    <w:rPr>
      <w:color w:val="954F72" w:themeColor="followedHyperlink"/>
      <w:u w:val="single"/>
    </w:rPr>
  </w:style>
  <w:style w:type="paragraph" w:styleId="Header">
    <w:name w:val="header"/>
    <w:basedOn w:val="Normal"/>
    <w:link w:val="HeaderChar"/>
    <w:uiPriority w:val="99"/>
    <w:unhideWhenUsed/>
    <w:rsid w:val="00612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84B"/>
  </w:style>
  <w:style w:type="paragraph" w:styleId="Footer">
    <w:name w:val="footer"/>
    <w:basedOn w:val="Normal"/>
    <w:link w:val="FooterChar"/>
    <w:uiPriority w:val="99"/>
    <w:unhideWhenUsed/>
    <w:rsid w:val="00612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84B"/>
  </w:style>
  <w:style w:type="character" w:customStyle="1" w:styleId="UnresolvedMention2">
    <w:name w:val="Unresolved Mention2"/>
    <w:basedOn w:val="DefaultParagraphFont"/>
    <w:uiPriority w:val="99"/>
    <w:semiHidden/>
    <w:unhideWhenUsed/>
    <w:rsid w:val="00B13109"/>
    <w:rPr>
      <w:color w:val="605E5C"/>
      <w:shd w:val="clear" w:color="auto" w:fill="E1DFDD"/>
    </w:rPr>
  </w:style>
  <w:style w:type="character" w:customStyle="1" w:styleId="UnresolvedMention">
    <w:name w:val="Unresolved Mention"/>
    <w:basedOn w:val="DefaultParagraphFont"/>
    <w:uiPriority w:val="99"/>
    <w:semiHidden/>
    <w:unhideWhenUsed/>
    <w:rsid w:val="008F2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30036">
      <w:bodyDiv w:val="1"/>
      <w:marLeft w:val="0"/>
      <w:marRight w:val="0"/>
      <w:marTop w:val="0"/>
      <w:marBottom w:val="0"/>
      <w:divBdr>
        <w:top w:val="none" w:sz="0" w:space="0" w:color="auto"/>
        <w:left w:val="none" w:sz="0" w:space="0" w:color="auto"/>
        <w:bottom w:val="none" w:sz="0" w:space="0" w:color="auto"/>
        <w:right w:val="none" w:sz="0" w:space="0" w:color="auto"/>
      </w:divBdr>
      <w:divsChild>
        <w:div w:id="444347588">
          <w:marLeft w:val="0"/>
          <w:marRight w:val="0"/>
          <w:marTop w:val="0"/>
          <w:marBottom w:val="0"/>
          <w:divBdr>
            <w:top w:val="none" w:sz="0" w:space="0" w:color="auto"/>
            <w:left w:val="none" w:sz="0" w:space="0" w:color="auto"/>
            <w:bottom w:val="none" w:sz="0" w:space="0" w:color="auto"/>
            <w:right w:val="none" w:sz="0" w:space="0" w:color="auto"/>
          </w:divBdr>
        </w:div>
        <w:div w:id="2048218624">
          <w:marLeft w:val="0"/>
          <w:marRight w:val="0"/>
          <w:marTop w:val="0"/>
          <w:marBottom w:val="0"/>
          <w:divBdr>
            <w:top w:val="none" w:sz="0" w:space="0" w:color="auto"/>
            <w:left w:val="none" w:sz="0" w:space="0" w:color="auto"/>
            <w:bottom w:val="none" w:sz="0" w:space="0" w:color="auto"/>
            <w:right w:val="none" w:sz="0" w:space="0" w:color="auto"/>
          </w:divBdr>
        </w:div>
        <w:div w:id="477108876">
          <w:marLeft w:val="0"/>
          <w:marRight w:val="0"/>
          <w:marTop w:val="0"/>
          <w:marBottom w:val="0"/>
          <w:divBdr>
            <w:top w:val="none" w:sz="0" w:space="0" w:color="auto"/>
            <w:left w:val="none" w:sz="0" w:space="0" w:color="auto"/>
            <w:bottom w:val="none" w:sz="0" w:space="0" w:color="auto"/>
            <w:right w:val="none" w:sz="0" w:space="0" w:color="auto"/>
          </w:divBdr>
        </w:div>
      </w:divsChild>
    </w:div>
    <w:div w:id="135297270">
      <w:bodyDiv w:val="1"/>
      <w:marLeft w:val="0"/>
      <w:marRight w:val="0"/>
      <w:marTop w:val="0"/>
      <w:marBottom w:val="0"/>
      <w:divBdr>
        <w:top w:val="none" w:sz="0" w:space="0" w:color="auto"/>
        <w:left w:val="none" w:sz="0" w:space="0" w:color="auto"/>
        <w:bottom w:val="none" w:sz="0" w:space="0" w:color="auto"/>
        <w:right w:val="none" w:sz="0" w:space="0" w:color="auto"/>
      </w:divBdr>
    </w:div>
    <w:div w:id="734549585">
      <w:bodyDiv w:val="1"/>
      <w:marLeft w:val="0"/>
      <w:marRight w:val="0"/>
      <w:marTop w:val="0"/>
      <w:marBottom w:val="0"/>
      <w:divBdr>
        <w:top w:val="none" w:sz="0" w:space="0" w:color="auto"/>
        <w:left w:val="none" w:sz="0" w:space="0" w:color="auto"/>
        <w:bottom w:val="none" w:sz="0" w:space="0" w:color="auto"/>
        <w:right w:val="none" w:sz="0" w:space="0" w:color="auto"/>
      </w:divBdr>
    </w:div>
    <w:div w:id="81541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yhealthforlife.com.au/" TargetMode="External"/><Relationship Id="rId3" Type="http://schemas.openxmlformats.org/officeDocument/2006/relationships/hyperlink" Target="https://www.ncbi.nlm.nih.gov/pubmed/25739893" TargetMode="External"/><Relationship Id="rId7" Type="http://schemas.openxmlformats.org/officeDocument/2006/relationships/hyperlink" Target="https://www.lifeprogram.org.au/" TargetMode="External"/><Relationship Id="rId2" Type="http://schemas.openxmlformats.org/officeDocument/2006/relationships/hyperlink" Target="https://www.sps.nhs.uk/wp-content/uploads/2017/11/UKMI_QA_Drug-interactions-with-smoking-cigarettes_update_Nov-2017.pdf" TargetMode="External"/><Relationship Id="rId1" Type="http://schemas.openxmlformats.org/officeDocument/2006/relationships/hyperlink" Target="https://www.aihw.gov.au/reports/illicit-use-of-drugs/2016-ndshs-detailed/data" TargetMode="External"/><Relationship Id="rId6" Type="http://schemas.openxmlformats.org/officeDocument/2006/relationships/hyperlink" Target="https://nhmrc.gov.au/sites/default/files/documents/reports/clinical%20guidelines/n57-obesity-guidelines-.pdf" TargetMode="External"/><Relationship Id="rId11" Type="http://schemas.openxmlformats.org/officeDocument/2006/relationships/hyperlink" Target="http://www.healthyactivebydesign.com.au/" TargetMode="External"/><Relationship Id="rId5" Type="http://schemas.openxmlformats.org/officeDocument/2006/relationships/hyperlink" Target="https://www.aihw.gov.au/reports/mental-health-services/mental-health-services-in-australia/report-contents/summary-of-mental-health-services-in-australia/overview" TargetMode="External"/><Relationship Id="rId10" Type="http://schemas.openxmlformats.org/officeDocument/2006/relationships/hyperlink" Target="http://www.opc.org.au/downloads/tipping-the-scales/tipping-the-scales.pdf" TargetMode="External"/><Relationship Id="rId4" Type="http://schemas.openxmlformats.org/officeDocument/2006/relationships/hyperlink" Target="https://www.ncbi.nlm.nih.gov/pubmed/24813261" TargetMode="External"/><Relationship Id="rId9" Type="http://schemas.openxmlformats.org/officeDocument/2006/relationships/hyperlink" Target="https://www.achievementprogram.health.vic.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A231B-D85D-4D4C-BDBF-141A66DA88AD}">
  <ds:schemaRefs>
    <ds:schemaRef ds:uri="http://schemas.microsoft.com/sharepoint/v3/contenttype/forms"/>
  </ds:schemaRefs>
</ds:datastoreItem>
</file>

<file path=customXml/itemProps2.xml><?xml version="1.0" encoding="utf-8"?>
<ds:datastoreItem xmlns:ds="http://schemas.openxmlformats.org/officeDocument/2006/customXml" ds:itemID="{B70C7915-9FE7-404E-B5DC-C3BA046AD2F0}">
  <ds:schemaRefs>
    <ds:schemaRef ds:uri="http://schemas.microsoft.com/sharepoint/events"/>
  </ds:schemaRefs>
</ds:datastoreItem>
</file>

<file path=customXml/itemProps3.xml><?xml version="1.0" encoding="utf-8"?>
<ds:datastoreItem xmlns:ds="http://schemas.openxmlformats.org/officeDocument/2006/customXml" ds:itemID="{DEC5EB83-45DB-460F-81F9-D73ABF696B9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f4bcce7-ac1a-4c9d-aa3e-7e77695652db"/>
    <ds:schemaRef ds:uri="http://www.w3.org/XML/1998/namespace"/>
    <ds:schemaRef ds:uri="http://purl.org/dc/dcmitype/"/>
  </ds:schemaRefs>
</ds:datastoreItem>
</file>

<file path=customXml/itemProps4.xml><?xml version="1.0" encoding="utf-8"?>
<ds:datastoreItem xmlns:ds="http://schemas.openxmlformats.org/officeDocument/2006/customXml" ds:itemID="{B6E54B8E-4649-4F1E-8047-348943EC27B9}">
  <ds:schemaRefs>
    <ds:schemaRef ds:uri="http://schemas.microsoft.com/office/2006/metadata/customXsn"/>
  </ds:schemaRefs>
</ds:datastoreItem>
</file>

<file path=customXml/itemProps5.xml><?xml version="1.0" encoding="utf-8"?>
<ds:datastoreItem xmlns:ds="http://schemas.openxmlformats.org/officeDocument/2006/customXml" ds:itemID="{71EFA04E-1489-4BB1-B87B-4B2E2CFB7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BF4EFA-AEBA-46ED-A772-6385EA4B6309}">
  <ds:schemaRefs>
    <ds:schemaRef ds:uri="Microsoft.SharePoint.Taxonomy.ContentTypeSync"/>
  </ds:schemaRefs>
</ds:datastoreItem>
</file>

<file path=customXml/itemProps7.xml><?xml version="1.0" encoding="utf-8"?>
<ds:datastoreItem xmlns:ds="http://schemas.openxmlformats.org/officeDocument/2006/customXml" ds:itemID="{DD9C7912-52EF-4E84-8E14-5D06E709B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3366</Words>
  <Characters>19495</Characters>
  <Application>Microsoft Office Word</Application>
  <DocSecurity>0</DocSecurity>
  <Lines>249</Lines>
  <Paragraphs>84</Paragraphs>
  <ScaleCrop>false</ScaleCrop>
  <HeadingPairs>
    <vt:vector size="2" baseType="variant">
      <vt:variant>
        <vt:lpstr>Title</vt:lpstr>
      </vt:variant>
      <vt:variant>
        <vt:i4>1</vt:i4>
      </vt:variant>
    </vt:vector>
  </HeadingPairs>
  <TitlesOfParts>
    <vt:vector size="1" baseType="lpstr">
      <vt:lpstr>Submission 140 - Australian Chronic Disease Prevention Alliance (ACDPA, comprising Diabetes Australia, Cancer Council Australia, National Heart Foundation of Australia, Kidney Health Australia and the Stroke Foundation) and Quit Victoria - Mental Health -</vt:lpstr>
    </vt:vector>
  </TitlesOfParts>
  <Company>Australian Chronic Disease Prevention Alliance (ACDPA, comprising Diabetes Australia, Cancer Council Australia, National Heart Foundation of Australia, Kidney Health Australia and the Stroke Foundation) and Quit Victoria </Company>
  <LinksUpToDate>false</LinksUpToDate>
  <CharactersWithSpaces>22777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140 - Australian Chronic Disease Prevention Alliance (ACDPA - comprising Diabetes Australia, Cancer Council Australia, National Heart Foundation of Australia, Kidney Health Australia and the Stroke Foundation) and Quit Victoria - Mental Health - Public inquiry</dc:title>
  <dc:creator>Australian Chronic Disease Prevention Alliance (ACDPA, comprising Diabetes Australia, Cancer Council Australia, National Heart Foundation of Australia, Kidney Health Australia and the Stroke Foundation) and Quit Victoria </dc:creator>
  <cp:keywords/>
  <cp:lastModifiedBy>Productivity Commission</cp:lastModifiedBy>
  <cp:revision>4</cp:revision>
  <dcterms:created xsi:type="dcterms:W3CDTF">2019-04-09T06:23:00Z</dcterms:created>
  <dcterms:modified xsi:type="dcterms:W3CDTF">2019-04-10T00:37:00Z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AuthorIds_UIVersion_18432">
    <vt:lpwstr>12</vt:lpwstr>
  </property>
  <property fmtid="{D5CDD505-2E9C-101B-9397-08002B2CF9AE}" pid="4" name="c401844703f64372bb0e85d87d761fe6">
    <vt:lpwstr>Reference Only|923c7a19-3b10-4b1a-aa53-490b73d512fc</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