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644dedb30aba40db" Type="http://schemas.microsoft.com/office/2006/relationships/ui/extensibility"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456"/>
        <w:gridCol w:w="7614"/>
      </w:tblGrid>
      <w:tr w:rsidR="002C6013" w14:paraId="0A17489A" w14:textId="77777777" w:rsidTr="002C6013">
        <w:trPr>
          <w:cnfStyle w:val="100000000000" w:firstRow="1" w:lastRow="0" w:firstColumn="0" w:lastColumn="0" w:oddVBand="0" w:evenVBand="0" w:oddHBand="0" w:evenHBand="0" w:firstRowFirstColumn="0" w:firstRowLastColumn="0" w:lastRowFirstColumn="0" w:lastRowLastColumn="0"/>
          <w:trHeight w:val="1476"/>
        </w:trPr>
        <w:tc>
          <w:tcPr>
            <w:tcW w:w="9070" w:type="dxa"/>
            <w:gridSpan w:val="2"/>
            <w:tcMar>
              <w:top w:w="0" w:type="nil"/>
              <w:left w:w="0" w:type="nil"/>
              <w:bottom w:w="0" w:type="nil"/>
              <w:right w:w="0" w:type="nil"/>
            </w:tcMar>
          </w:tcPr>
          <w:p w14:paraId="458E95D8" w14:textId="77777777" w:rsidR="002C6013" w:rsidRDefault="002C6013" w:rsidP="002C6013">
            <w:pPr>
              <w:pStyle w:val="Head20"/>
            </w:pPr>
          </w:p>
        </w:tc>
      </w:tr>
      <w:tr w:rsidR="002C6013" w14:paraId="1CB3C149" w14:textId="77777777" w:rsidTr="002C6013">
        <w:tc>
          <w:tcPr>
            <w:tcW w:w="9070" w:type="dxa"/>
            <w:gridSpan w:val="2"/>
            <w:tcMar>
              <w:top w:w="0" w:type="nil"/>
              <w:left w:w="0" w:type="nil"/>
              <w:bottom w:w="170" w:type="dxa"/>
              <w:right w:w="0" w:type="nil"/>
            </w:tcMar>
          </w:tcPr>
          <w:p w14:paraId="3A48FA36" w14:textId="08B67427" w:rsidR="002C6013" w:rsidRDefault="00F114A9" w:rsidP="002C6013">
            <w:pPr>
              <w:pStyle w:val="ReportTitle"/>
            </w:pPr>
            <w:r>
              <w:t>Submission to Productivity Commission Review of Philanthropy</w:t>
            </w:r>
          </w:p>
        </w:tc>
      </w:tr>
      <w:tr w:rsidR="002C6013" w14:paraId="0C2D5F02" w14:textId="77777777" w:rsidTr="008122E4">
        <w:tc>
          <w:tcPr>
            <w:tcW w:w="1456" w:type="dxa"/>
            <w:tcBorders>
              <w:top w:val="single" w:sz="24" w:space="0" w:color="B2BB1E"/>
            </w:tcBorders>
            <w:tcMar>
              <w:top w:w="0" w:type="nil"/>
              <w:left w:w="0" w:type="nil"/>
              <w:bottom w:w="0" w:type="nil"/>
              <w:right w:w="0" w:type="nil"/>
            </w:tcMar>
          </w:tcPr>
          <w:p w14:paraId="370AD4ED" w14:textId="77777777" w:rsidR="002C6013" w:rsidRDefault="002C6013" w:rsidP="002C6013"/>
        </w:tc>
        <w:tc>
          <w:tcPr>
            <w:tcW w:w="7614" w:type="dxa"/>
          </w:tcPr>
          <w:p w14:paraId="359765E9" w14:textId="77777777" w:rsidR="002C6013" w:rsidRDefault="002C6013" w:rsidP="002C6013"/>
        </w:tc>
      </w:tr>
      <w:tr w:rsidR="002C6013" w14:paraId="4E424009" w14:textId="77777777" w:rsidTr="007E76B0">
        <w:trPr>
          <w:trHeight w:val="2799"/>
        </w:trPr>
        <w:tc>
          <w:tcPr>
            <w:tcW w:w="9070" w:type="dxa"/>
            <w:gridSpan w:val="2"/>
            <w:tcMar>
              <w:top w:w="0" w:type="nil"/>
              <w:left w:w="0" w:type="nil"/>
              <w:bottom w:w="0" w:type="nil"/>
              <w:right w:w="0" w:type="nil"/>
            </w:tcMar>
          </w:tcPr>
          <w:p w14:paraId="43A28E84" w14:textId="26D153E4" w:rsidR="002C6013" w:rsidRPr="002C6013" w:rsidRDefault="00F114A9" w:rsidP="002C6013">
            <w:pPr>
              <w:pStyle w:val="Head20"/>
            </w:pPr>
            <w:r>
              <w:t>Social Ventures Australia</w:t>
            </w:r>
          </w:p>
        </w:tc>
      </w:tr>
    </w:tbl>
    <w:p w14:paraId="74CDECCA" w14:textId="77777777" w:rsidR="00F114A9" w:rsidRDefault="00F114A9" w:rsidP="00F114A9">
      <w:pPr>
        <w:pStyle w:val="Cover-Bottom"/>
        <w:framePr w:w="0" w:hRule="auto" w:wrap="auto" w:vAnchor="margin" w:hAnchor="text" w:yAlign="inline"/>
      </w:pPr>
      <w:r>
        <w:t>For further information please contact:</w:t>
      </w:r>
    </w:p>
    <w:p w14:paraId="1B01EB1C" w14:textId="77777777" w:rsidR="00F114A9" w:rsidRDefault="00F114A9" w:rsidP="00F114A9">
      <w:pPr>
        <w:pStyle w:val="Cover-Bottom"/>
        <w:framePr w:w="0" w:hRule="auto" w:wrap="auto" w:vAnchor="margin" w:hAnchor="text" w:yAlign="inline"/>
      </w:pPr>
      <w:r>
        <w:t>Patrick Flynn,</w:t>
      </w:r>
    </w:p>
    <w:p w14:paraId="33A5500A" w14:textId="77777777" w:rsidR="00F114A9" w:rsidRDefault="00F114A9" w:rsidP="00F114A9">
      <w:pPr>
        <w:pStyle w:val="Cover-Bottom"/>
        <w:framePr w:w="0" w:hRule="auto" w:wrap="auto" w:vAnchor="margin" w:hAnchor="text" w:yAlign="inline"/>
      </w:pPr>
      <w:r>
        <w:t>Director, Public Affairs</w:t>
      </w:r>
    </w:p>
    <w:p w14:paraId="67FC5251" w14:textId="77777777" w:rsidR="00F114A9" w:rsidRDefault="00F114A9" w:rsidP="00F114A9">
      <w:pPr>
        <w:pStyle w:val="Cover-Bottom"/>
        <w:framePr w:w="0" w:hRule="auto" w:wrap="auto" w:vAnchor="margin" w:hAnchor="text" w:yAlign="inline"/>
      </w:pPr>
      <w:r>
        <w:t>Social Ventures Australia</w:t>
      </w:r>
    </w:p>
    <w:p w14:paraId="55EEE097" w14:textId="77777777" w:rsidR="00F114A9" w:rsidRDefault="00F114A9" w:rsidP="00F114A9">
      <w:pPr>
        <w:pStyle w:val="Cover-Bottom"/>
        <w:framePr w:w="0" w:hRule="auto" w:wrap="auto" w:vAnchor="margin" w:hAnchor="text" w:yAlign="inline"/>
      </w:pPr>
    </w:p>
    <w:p w14:paraId="482AE1AA" w14:textId="7DE0DC46" w:rsidR="00F114A9" w:rsidRDefault="00F114A9" w:rsidP="00F114A9">
      <w:pPr>
        <w:pStyle w:val="Cover-Bottom"/>
        <w:framePr w:w="0" w:hRule="auto" w:wrap="auto" w:vAnchor="margin" w:hAnchor="text" w:yAlign="inline"/>
      </w:pPr>
      <w:r>
        <w:t>May 2023</w:t>
      </w:r>
    </w:p>
    <w:p w14:paraId="68D31304" w14:textId="77777777" w:rsidR="007E76B0" w:rsidRDefault="007E76B0" w:rsidP="007E76B0">
      <w:pPr>
        <w:pStyle w:val="NoSpacing"/>
      </w:pPr>
    </w:p>
    <w:p w14:paraId="048D6FA7" w14:textId="77777777" w:rsidR="007E76B0" w:rsidRDefault="007E76B0" w:rsidP="007E76B0">
      <w:pPr>
        <w:pStyle w:val="NoSpacing"/>
      </w:pPr>
    </w:p>
    <w:sdt>
      <w:sdtPr>
        <w:alias w:val="Client Branding"/>
        <w:tag w:val="Client Branding"/>
        <w:id w:val="1179783961"/>
        <w:showingPlcHdr/>
        <w:picture/>
      </w:sdtPr>
      <w:sdtContent>
        <w:p w14:paraId="4100FC0F" w14:textId="1A3DD6F6" w:rsidR="007E76B0" w:rsidRDefault="00F114A9" w:rsidP="007E76B0">
          <w:pPr>
            <w:pStyle w:val="NoSpacing"/>
          </w:pPr>
          <w:r>
            <w:rPr>
              <w:noProof/>
            </w:rPr>
            <w:drawing>
              <wp:inline distT="0" distB="0" distL="0" distR="0" wp14:anchorId="49E3850B" wp14:editId="421CF04D">
                <wp:extent cx="1269365" cy="1269365"/>
                <wp:effectExtent l="0" t="0" r="6985" b="6985"/>
                <wp:docPr id="13327703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70353"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9365" cy="1269365"/>
                        </a:xfrm>
                        <a:prstGeom prst="rect">
                          <a:avLst/>
                        </a:prstGeom>
                        <a:noFill/>
                        <a:ln>
                          <a:noFill/>
                        </a:ln>
                      </pic:spPr>
                    </pic:pic>
                  </a:graphicData>
                </a:graphic>
              </wp:inline>
            </w:drawing>
          </w:r>
        </w:p>
      </w:sdtContent>
    </w:sdt>
    <w:p w14:paraId="5DD2B399" w14:textId="77777777" w:rsidR="007E76B0" w:rsidRDefault="007E76B0" w:rsidP="007E76B0">
      <w:pPr>
        <w:pStyle w:val="NoSpacing"/>
      </w:pPr>
    </w:p>
    <w:p w14:paraId="7740E0DA" w14:textId="77777777" w:rsidR="007E76B0" w:rsidRDefault="007E76B0">
      <w:pPr>
        <w:adjustRightInd/>
        <w:snapToGrid/>
        <w:spacing w:before="0" w:after="0" w:line="240" w:lineRule="auto"/>
      </w:pPr>
      <w:r>
        <w:br w:type="page"/>
      </w:r>
    </w:p>
    <w:p w14:paraId="46D393E0" w14:textId="77777777" w:rsidR="00F114A9" w:rsidRDefault="00F114A9" w:rsidP="00A9170A">
      <w:pPr>
        <w:pStyle w:val="TOCHeading"/>
      </w:pPr>
      <w:bookmarkStart w:id="0" w:name="_Toc136018059"/>
      <w:r>
        <w:lastRenderedPageBreak/>
        <w:t>Table of contents</w:t>
      </w:r>
    </w:p>
    <w:bookmarkEnd w:id="0"/>
    <w:p w14:paraId="4456FB05" w14:textId="31CA4CBD" w:rsidR="00A9170A" w:rsidRDefault="00A9170A">
      <w:pPr>
        <w:pStyle w:val="TOC1"/>
        <w:rPr>
          <w:rFonts w:eastAsiaTheme="minorEastAsia" w:cstheme="minorBidi"/>
          <w:noProof/>
          <w:snapToGrid/>
          <w:color w:val="auto"/>
          <w:kern w:val="2"/>
          <w:sz w:val="22"/>
          <w:szCs w:val="22"/>
          <w:lang w:eastAsia="en-AU"/>
          <w14:ligatures w14:val="standardContextual"/>
        </w:rPr>
      </w:pPr>
      <w:r>
        <w:fldChar w:fldCharType="begin"/>
      </w:r>
      <w:r>
        <w:instrText xml:space="preserve"> TOC \o "1-1" \h \z \t "Heading 2,2,Box header,3" </w:instrText>
      </w:r>
      <w:r>
        <w:fldChar w:fldCharType="separate"/>
      </w:r>
      <w:hyperlink w:anchor="_Toc136441121" w:history="1">
        <w:r w:rsidRPr="0028697E">
          <w:rPr>
            <w:rStyle w:val="Hyperlink"/>
            <w:noProof/>
          </w:rPr>
          <w:t>Introduction</w:t>
        </w:r>
        <w:r>
          <w:rPr>
            <w:noProof/>
            <w:webHidden/>
          </w:rPr>
          <w:tab/>
        </w:r>
        <w:r>
          <w:rPr>
            <w:noProof/>
            <w:webHidden/>
          </w:rPr>
          <w:fldChar w:fldCharType="begin"/>
        </w:r>
        <w:r>
          <w:rPr>
            <w:noProof/>
            <w:webHidden/>
          </w:rPr>
          <w:instrText xml:space="preserve"> PAGEREF _Toc136441121 \h </w:instrText>
        </w:r>
        <w:r>
          <w:rPr>
            <w:noProof/>
            <w:webHidden/>
          </w:rPr>
        </w:r>
        <w:r>
          <w:rPr>
            <w:noProof/>
            <w:webHidden/>
          </w:rPr>
          <w:fldChar w:fldCharType="separate"/>
        </w:r>
        <w:r w:rsidR="00B828CD">
          <w:rPr>
            <w:noProof/>
            <w:webHidden/>
          </w:rPr>
          <w:t>3</w:t>
        </w:r>
        <w:r>
          <w:rPr>
            <w:noProof/>
            <w:webHidden/>
          </w:rPr>
          <w:fldChar w:fldCharType="end"/>
        </w:r>
      </w:hyperlink>
    </w:p>
    <w:p w14:paraId="57E8CC53" w14:textId="3E9DCA8D" w:rsidR="00A9170A" w:rsidRDefault="00000000">
      <w:pPr>
        <w:pStyle w:val="TOC1"/>
        <w:rPr>
          <w:rFonts w:eastAsiaTheme="minorEastAsia" w:cstheme="minorBidi"/>
          <w:noProof/>
          <w:snapToGrid/>
          <w:color w:val="auto"/>
          <w:kern w:val="2"/>
          <w:sz w:val="22"/>
          <w:szCs w:val="22"/>
          <w:lang w:eastAsia="en-AU"/>
          <w14:ligatures w14:val="standardContextual"/>
        </w:rPr>
      </w:pPr>
      <w:hyperlink w:anchor="_Toc136441122" w:history="1">
        <w:r w:rsidR="00A9170A" w:rsidRPr="0028697E">
          <w:rPr>
            <w:rStyle w:val="Hyperlink"/>
            <w:noProof/>
          </w:rPr>
          <w:t>About SVA</w:t>
        </w:r>
        <w:r w:rsidR="00A9170A">
          <w:rPr>
            <w:noProof/>
            <w:webHidden/>
          </w:rPr>
          <w:tab/>
        </w:r>
        <w:r w:rsidR="00A9170A">
          <w:rPr>
            <w:noProof/>
            <w:webHidden/>
          </w:rPr>
          <w:fldChar w:fldCharType="begin"/>
        </w:r>
        <w:r w:rsidR="00A9170A">
          <w:rPr>
            <w:noProof/>
            <w:webHidden/>
          </w:rPr>
          <w:instrText xml:space="preserve"> PAGEREF _Toc136441122 \h </w:instrText>
        </w:r>
        <w:r w:rsidR="00A9170A">
          <w:rPr>
            <w:noProof/>
            <w:webHidden/>
          </w:rPr>
        </w:r>
        <w:r w:rsidR="00A9170A">
          <w:rPr>
            <w:noProof/>
            <w:webHidden/>
          </w:rPr>
          <w:fldChar w:fldCharType="separate"/>
        </w:r>
        <w:r w:rsidR="00B828CD">
          <w:rPr>
            <w:noProof/>
            <w:webHidden/>
          </w:rPr>
          <w:t>3</w:t>
        </w:r>
        <w:r w:rsidR="00A9170A">
          <w:rPr>
            <w:noProof/>
            <w:webHidden/>
          </w:rPr>
          <w:fldChar w:fldCharType="end"/>
        </w:r>
      </w:hyperlink>
    </w:p>
    <w:p w14:paraId="18F3805E" w14:textId="619A8A5E" w:rsidR="00A9170A" w:rsidRDefault="00000000">
      <w:pPr>
        <w:pStyle w:val="TOC1"/>
        <w:rPr>
          <w:rFonts w:eastAsiaTheme="minorEastAsia" w:cstheme="minorBidi"/>
          <w:noProof/>
          <w:snapToGrid/>
          <w:color w:val="auto"/>
          <w:kern w:val="2"/>
          <w:sz w:val="22"/>
          <w:szCs w:val="22"/>
          <w:lang w:eastAsia="en-AU"/>
          <w14:ligatures w14:val="standardContextual"/>
        </w:rPr>
      </w:pPr>
      <w:hyperlink w:anchor="_Toc136441123" w:history="1">
        <w:r w:rsidR="00A9170A" w:rsidRPr="0028697E">
          <w:rPr>
            <w:rStyle w:val="Hyperlink"/>
            <w:noProof/>
          </w:rPr>
          <w:t>1. Tendencies and motivations for Australians’ charitable giving</w:t>
        </w:r>
        <w:r w:rsidR="00A9170A">
          <w:rPr>
            <w:noProof/>
            <w:webHidden/>
          </w:rPr>
          <w:tab/>
        </w:r>
        <w:r w:rsidR="00A9170A">
          <w:rPr>
            <w:noProof/>
            <w:webHidden/>
          </w:rPr>
          <w:fldChar w:fldCharType="begin"/>
        </w:r>
        <w:r w:rsidR="00A9170A">
          <w:rPr>
            <w:noProof/>
            <w:webHidden/>
          </w:rPr>
          <w:instrText xml:space="preserve"> PAGEREF _Toc136441123 \h </w:instrText>
        </w:r>
        <w:r w:rsidR="00A9170A">
          <w:rPr>
            <w:noProof/>
            <w:webHidden/>
          </w:rPr>
        </w:r>
        <w:r w:rsidR="00A9170A">
          <w:rPr>
            <w:noProof/>
            <w:webHidden/>
          </w:rPr>
          <w:fldChar w:fldCharType="separate"/>
        </w:r>
        <w:r w:rsidR="00B828CD">
          <w:rPr>
            <w:noProof/>
            <w:webHidden/>
          </w:rPr>
          <w:t>4</w:t>
        </w:r>
        <w:r w:rsidR="00A9170A">
          <w:rPr>
            <w:noProof/>
            <w:webHidden/>
          </w:rPr>
          <w:fldChar w:fldCharType="end"/>
        </w:r>
      </w:hyperlink>
    </w:p>
    <w:p w14:paraId="5090656C" w14:textId="273D1F96" w:rsidR="00A9170A" w:rsidRDefault="00000000">
      <w:pPr>
        <w:pStyle w:val="TOC2"/>
        <w:rPr>
          <w:rFonts w:eastAsiaTheme="minorEastAsia" w:cstheme="minorBidi"/>
          <w:noProof/>
          <w:snapToGrid/>
          <w:color w:val="auto"/>
          <w:kern w:val="2"/>
          <w:sz w:val="22"/>
          <w:szCs w:val="22"/>
          <w:lang w:eastAsia="en-AU"/>
          <w14:ligatures w14:val="standardContextual"/>
        </w:rPr>
      </w:pPr>
      <w:hyperlink w:anchor="_Toc136441124" w:history="1">
        <w:r w:rsidR="00A9170A" w:rsidRPr="0028697E">
          <w:rPr>
            <w:rStyle w:val="Hyperlink"/>
            <w:noProof/>
          </w:rPr>
          <w:t>Trends in Australian charitable giving</w:t>
        </w:r>
        <w:r w:rsidR="00A9170A">
          <w:rPr>
            <w:noProof/>
            <w:webHidden/>
          </w:rPr>
          <w:tab/>
        </w:r>
        <w:r w:rsidR="00A9170A">
          <w:rPr>
            <w:noProof/>
            <w:webHidden/>
          </w:rPr>
          <w:fldChar w:fldCharType="begin"/>
        </w:r>
        <w:r w:rsidR="00A9170A">
          <w:rPr>
            <w:noProof/>
            <w:webHidden/>
          </w:rPr>
          <w:instrText xml:space="preserve"> PAGEREF _Toc136441124 \h </w:instrText>
        </w:r>
        <w:r w:rsidR="00A9170A">
          <w:rPr>
            <w:noProof/>
            <w:webHidden/>
          </w:rPr>
        </w:r>
        <w:r w:rsidR="00A9170A">
          <w:rPr>
            <w:noProof/>
            <w:webHidden/>
          </w:rPr>
          <w:fldChar w:fldCharType="separate"/>
        </w:r>
        <w:r w:rsidR="00B828CD">
          <w:rPr>
            <w:noProof/>
            <w:webHidden/>
          </w:rPr>
          <w:t>4</w:t>
        </w:r>
        <w:r w:rsidR="00A9170A">
          <w:rPr>
            <w:noProof/>
            <w:webHidden/>
          </w:rPr>
          <w:fldChar w:fldCharType="end"/>
        </w:r>
      </w:hyperlink>
    </w:p>
    <w:p w14:paraId="4E8FC0D1" w14:textId="44E89952" w:rsidR="00A9170A" w:rsidRDefault="00000000">
      <w:pPr>
        <w:pStyle w:val="TOC2"/>
        <w:rPr>
          <w:rFonts w:eastAsiaTheme="minorEastAsia" w:cstheme="minorBidi"/>
          <w:noProof/>
          <w:snapToGrid/>
          <w:color w:val="auto"/>
          <w:kern w:val="2"/>
          <w:sz w:val="22"/>
          <w:szCs w:val="22"/>
          <w:lang w:eastAsia="en-AU"/>
          <w14:ligatures w14:val="standardContextual"/>
        </w:rPr>
      </w:pPr>
      <w:hyperlink w:anchor="_Toc136441125" w:history="1">
        <w:r w:rsidR="00A9170A" w:rsidRPr="0028697E">
          <w:rPr>
            <w:rStyle w:val="Hyperlink"/>
            <w:noProof/>
          </w:rPr>
          <w:t>Role of government and philanthropy</w:t>
        </w:r>
        <w:r w:rsidR="00A9170A">
          <w:rPr>
            <w:noProof/>
            <w:webHidden/>
          </w:rPr>
          <w:tab/>
        </w:r>
        <w:r w:rsidR="00A9170A">
          <w:rPr>
            <w:noProof/>
            <w:webHidden/>
          </w:rPr>
          <w:fldChar w:fldCharType="begin"/>
        </w:r>
        <w:r w:rsidR="00A9170A">
          <w:rPr>
            <w:noProof/>
            <w:webHidden/>
          </w:rPr>
          <w:instrText xml:space="preserve"> PAGEREF _Toc136441125 \h </w:instrText>
        </w:r>
        <w:r w:rsidR="00A9170A">
          <w:rPr>
            <w:noProof/>
            <w:webHidden/>
          </w:rPr>
        </w:r>
        <w:r w:rsidR="00A9170A">
          <w:rPr>
            <w:noProof/>
            <w:webHidden/>
          </w:rPr>
          <w:fldChar w:fldCharType="separate"/>
        </w:r>
        <w:r w:rsidR="00B828CD">
          <w:rPr>
            <w:noProof/>
            <w:webHidden/>
          </w:rPr>
          <w:t>4</w:t>
        </w:r>
        <w:r w:rsidR="00A9170A">
          <w:rPr>
            <w:noProof/>
            <w:webHidden/>
          </w:rPr>
          <w:fldChar w:fldCharType="end"/>
        </w:r>
      </w:hyperlink>
    </w:p>
    <w:p w14:paraId="7BE4F0EE" w14:textId="28950F98" w:rsidR="00A9170A" w:rsidRDefault="00000000">
      <w:pPr>
        <w:pStyle w:val="TOC3"/>
        <w:rPr>
          <w:rFonts w:eastAsiaTheme="minorEastAsia" w:cstheme="minorBidi"/>
          <w:noProof/>
          <w:snapToGrid/>
          <w:color w:val="auto"/>
          <w:kern w:val="2"/>
          <w:sz w:val="22"/>
          <w:szCs w:val="22"/>
          <w:lang w:eastAsia="en-AU"/>
          <w14:ligatures w14:val="standardContextual"/>
        </w:rPr>
      </w:pPr>
      <w:hyperlink w:anchor="_Toc136441126" w:history="1">
        <w:r w:rsidR="00A9170A" w:rsidRPr="0028697E">
          <w:rPr>
            <w:rStyle w:val="Hyperlink"/>
            <w:noProof/>
          </w:rPr>
          <w:t>Box 1: Philanthropy as a test bed for innovation: Evidence for Learning</w:t>
        </w:r>
        <w:r w:rsidR="00A9170A">
          <w:rPr>
            <w:noProof/>
            <w:webHidden/>
          </w:rPr>
          <w:tab/>
        </w:r>
        <w:r w:rsidR="00A9170A">
          <w:rPr>
            <w:noProof/>
            <w:webHidden/>
          </w:rPr>
          <w:fldChar w:fldCharType="begin"/>
        </w:r>
        <w:r w:rsidR="00A9170A">
          <w:rPr>
            <w:noProof/>
            <w:webHidden/>
          </w:rPr>
          <w:instrText xml:space="preserve"> PAGEREF _Toc136441126 \h </w:instrText>
        </w:r>
        <w:r w:rsidR="00A9170A">
          <w:rPr>
            <w:noProof/>
            <w:webHidden/>
          </w:rPr>
        </w:r>
        <w:r w:rsidR="00A9170A">
          <w:rPr>
            <w:noProof/>
            <w:webHidden/>
          </w:rPr>
          <w:fldChar w:fldCharType="separate"/>
        </w:r>
        <w:r w:rsidR="00B828CD">
          <w:rPr>
            <w:noProof/>
            <w:webHidden/>
          </w:rPr>
          <w:t>4</w:t>
        </w:r>
        <w:r w:rsidR="00A9170A">
          <w:rPr>
            <w:noProof/>
            <w:webHidden/>
          </w:rPr>
          <w:fldChar w:fldCharType="end"/>
        </w:r>
      </w:hyperlink>
    </w:p>
    <w:p w14:paraId="18FBE6F4" w14:textId="5822763A" w:rsidR="00A9170A" w:rsidRDefault="00000000">
      <w:pPr>
        <w:pStyle w:val="TOC2"/>
        <w:rPr>
          <w:rFonts w:eastAsiaTheme="minorEastAsia" w:cstheme="minorBidi"/>
          <w:noProof/>
          <w:snapToGrid/>
          <w:color w:val="auto"/>
          <w:kern w:val="2"/>
          <w:sz w:val="22"/>
          <w:szCs w:val="22"/>
          <w:lang w:eastAsia="en-AU"/>
          <w14:ligatures w14:val="standardContextual"/>
        </w:rPr>
      </w:pPr>
      <w:hyperlink w:anchor="_Toc136441127" w:history="1">
        <w:r w:rsidR="00A9170A" w:rsidRPr="0028697E">
          <w:rPr>
            <w:rStyle w:val="Hyperlink"/>
            <w:noProof/>
          </w:rPr>
          <w:t>First Nations people and communities</w:t>
        </w:r>
        <w:r w:rsidR="00A9170A">
          <w:rPr>
            <w:noProof/>
            <w:webHidden/>
          </w:rPr>
          <w:tab/>
        </w:r>
        <w:r w:rsidR="00A9170A">
          <w:rPr>
            <w:noProof/>
            <w:webHidden/>
          </w:rPr>
          <w:fldChar w:fldCharType="begin"/>
        </w:r>
        <w:r w:rsidR="00A9170A">
          <w:rPr>
            <w:noProof/>
            <w:webHidden/>
          </w:rPr>
          <w:instrText xml:space="preserve"> PAGEREF _Toc136441127 \h </w:instrText>
        </w:r>
        <w:r w:rsidR="00A9170A">
          <w:rPr>
            <w:noProof/>
            <w:webHidden/>
          </w:rPr>
        </w:r>
        <w:r w:rsidR="00A9170A">
          <w:rPr>
            <w:noProof/>
            <w:webHidden/>
          </w:rPr>
          <w:fldChar w:fldCharType="separate"/>
        </w:r>
        <w:r w:rsidR="00B828CD">
          <w:rPr>
            <w:noProof/>
            <w:webHidden/>
          </w:rPr>
          <w:t>5</w:t>
        </w:r>
        <w:r w:rsidR="00A9170A">
          <w:rPr>
            <w:noProof/>
            <w:webHidden/>
          </w:rPr>
          <w:fldChar w:fldCharType="end"/>
        </w:r>
      </w:hyperlink>
    </w:p>
    <w:p w14:paraId="12D7E84C" w14:textId="557FE3BA" w:rsidR="00A9170A" w:rsidRDefault="00000000">
      <w:pPr>
        <w:pStyle w:val="TOC1"/>
        <w:rPr>
          <w:rFonts w:eastAsiaTheme="minorEastAsia" w:cstheme="minorBidi"/>
          <w:noProof/>
          <w:snapToGrid/>
          <w:color w:val="auto"/>
          <w:kern w:val="2"/>
          <w:sz w:val="22"/>
          <w:szCs w:val="22"/>
          <w:lang w:eastAsia="en-AU"/>
          <w14:ligatures w14:val="standardContextual"/>
        </w:rPr>
      </w:pPr>
      <w:hyperlink w:anchor="_Toc136441128" w:history="1">
        <w:r w:rsidR="00A9170A" w:rsidRPr="0028697E">
          <w:rPr>
            <w:rStyle w:val="Hyperlink"/>
            <w:noProof/>
          </w:rPr>
          <w:t>2. Opportunities to increase philanthropic giving</w:t>
        </w:r>
        <w:r w:rsidR="00A9170A">
          <w:rPr>
            <w:noProof/>
            <w:webHidden/>
          </w:rPr>
          <w:tab/>
        </w:r>
        <w:r w:rsidR="00A9170A">
          <w:rPr>
            <w:noProof/>
            <w:webHidden/>
          </w:rPr>
          <w:fldChar w:fldCharType="begin"/>
        </w:r>
        <w:r w:rsidR="00A9170A">
          <w:rPr>
            <w:noProof/>
            <w:webHidden/>
          </w:rPr>
          <w:instrText xml:space="preserve"> PAGEREF _Toc136441128 \h </w:instrText>
        </w:r>
        <w:r w:rsidR="00A9170A">
          <w:rPr>
            <w:noProof/>
            <w:webHidden/>
          </w:rPr>
        </w:r>
        <w:r w:rsidR="00A9170A">
          <w:rPr>
            <w:noProof/>
            <w:webHidden/>
          </w:rPr>
          <w:fldChar w:fldCharType="separate"/>
        </w:r>
        <w:r w:rsidR="00B828CD">
          <w:rPr>
            <w:noProof/>
            <w:webHidden/>
          </w:rPr>
          <w:t>6</w:t>
        </w:r>
        <w:r w:rsidR="00A9170A">
          <w:rPr>
            <w:noProof/>
            <w:webHidden/>
          </w:rPr>
          <w:fldChar w:fldCharType="end"/>
        </w:r>
      </w:hyperlink>
    </w:p>
    <w:p w14:paraId="7FF77449" w14:textId="6CE5433F" w:rsidR="00A9170A" w:rsidRDefault="00000000">
      <w:pPr>
        <w:pStyle w:val="TOC2"/>
        <w:rPr>
          <w:rFonts w:eastAsiaTheme="minorEastAsia" w:cstheme="minorBidi"/>
          <w:noProof/>
          <w:snapToGrid/>
          <w:color w:val="auto"/>
          <w:kern w:val="2"/>
          <w:sz w:val="22"/>
          <w:szCs w:val="22"/>
          <w:lang w:eastAsia="en-AU"/>
          <w14:ligatures w14:val="standardContextual"/>
        </w:rPr>
      </w:pPr>
      <w:hyperlink w:anchor="_Toc136441129" w:history="1">
        <w:r w:rsidR="00A9170A" w:rsidRPr="0028697E">
          <w:rPr>
            <w:rStyle w:val="Hyperlink"/>
            <w:noProof/>
          </w:rPr>
          <w:t>Effective and efficient use of donations</w:t>
        </w:r>
        <w:r w:rsidR="00A9170A">
          <w:rPr>
            <w:noProof/>
            <w:webHidden/>
          </w:rPr>
          <w:tab/>
        </w:r>
        <w:r w:rsidR="00A9170A">
          <w:rPr>
            <w:noProof/>
            <w:webHidden/>
          </w:rPr>
          <w:fldChar w:fldCharType="begin"/>
        </w:r>
        <w:r w:rsidR="00A9170A">
          <w:rPr>
            <w:noProof/>
            <w:webHidden/>
          </w:rPr>
          <w:instrText xml:space="preserve"> PAGEREF _Toc136441129 \h </w:instrText>
        </w:r>
        <w:r w:rsidR="00A9170A">
          <w:rPr>
            <w:noProof/>
            <w:webHidden/>
          </w:rPr>
        </w:r>
        <w:r w:rsidR="00A9170A">
          <w:rPr>
            <w:noProof/>
            <w:webHidden/>
          </w:rPr>
          <w:fldChar w:fldCharType="separate"/>
        </w:r>
        <w:r w:rsidR="00B828CD">
          <w:rPr>
            <w:noProof/>
            <w:webHidden/>
          </w:rPr>
          <w:t>6</w:t>
        </w:r>
        <w:r w:rsidR="00A9170A">
          <w:rPr>
            <w:noProof/>
            <w:webHidden/>
          </w:rPr>
          <w:fldChar w:fldCharType="end"/>
        </w:r>
      </w:hyperlink>
    </w:p>
    <w:p w14:paraId="53351C10" w14:textId="03960D37" w:rsidR="00A9170A" w:rsidRDefault="00000000">
      <w:pPr>
        <w:pStyle w:val="TOC3"/>
        <w:rPr>
          <w:rFonts w:eastAsiaTheme="minorEastAsia" w:cstheme="minorBidi"/>
          <w:noProof/>
          <w:snapToGrid/>
          <w:color w:val="auto"/>
          <w:kern w:val="2"/>
          <w:sz w:val="22"/>
          <w:szCs w:val="22"/>
          <w:lang w:eastAsia="en-AU"/>
          <w14:ligatures w14:val="standardContextual"/>
        </w:rPr>
      </w:pPr>
      <w:hyperlink w:anchor="_Toc136441130" w:history="1">
        <w:r w:rsidR="00A9170A" w:rsidRPr="0028697E">
          <w:rPr>
            <w:rStyle w:val="Hyperlink"/>
            <w:noProof/>
          </w:rPr>
          <w:t>Box 2: Paying what it takes – the Australian landscape</w:t>
        </w:r>
        <w:r w:rsidR="00A9170A">
          <w:rPr>
            <w:noProof/>
            <w:webHidden/>
          </w:rPr>
          <w:tab/>
        </w:r>
        <w:r w:rsidR="00A9170A">
          <w:rPr>
            <w:noProof/>
            <w:webHidden/>
          </w:rPr>
          <w:fldChar w:fldCharType="begin"/>
        </w:r>
        <w:r w:rsidR="00A9170A">
          <w:rPr>
            <w:noProof/>
            <w:webHidden/>
          </w:rPr>
          <w:instrText xml:space="preserve"> PAGEREF _Toc136441130 \h </w:instrText>
        </w:r>
        <w:r w:rsidR="00A9170A">
          <w:rPr>
            <w:noProof/>
            <w:webHidden/>
          </w:rPr>
        </w:r>
        <w:r w:rsidR="00A9170A">
          <w:rPr>
            <w:noProof/>
            <w:webHidden/>
          </w:rPr>
          <w:fldChar w:fldCharType="separate"/>
        </w:r>
        <w:r w:rsidR="00B828CD">
          <w:rPr>
            <w:noProof/>
            <w:webHidden/>
          </w:rPr>
          <w:t>7</w:t>
        </w:r>
        <w:r w:rsidR="00A9170A">
          <w:rPr>
            <w:noProof/>
            <w:webHidden/>
          </w:rPr>
          <w:fldChar w:fldCharType="end"/>
        </w:r>
      </w:hyperlink>
    </w:p>
    <w:p w14:paraId="37828248" w14:textId="57035208" w:rsidR="00A9170A" w:rsidRDefault="00000000">
      <w:pPr>
        <w:pStyle w:val="TOC2"/>
        <w:rPr>
          <w:rFonts w:eastAsiaTheme="minorEastAsia" w:cstheme="minorBidi"/>
          <w:noProof/>
          <w:snapToGrid/>
          <w:color w:val="auto"/>
          <w:kern w:val="2"/>
          <w:sz w:val="22"/>
          <w:szCs w:val="22"/>
          <w:lang w:eastAsia="en-AU"/>
          <w14:ligatures w14:val="standardContextual"/>
        </w:rPr>
      </w:pPr>
      <w:hyperlink w:anchor="_Toc136441131" w:history="1">
        <w:r w:rsidR="00A9170A" w:rsidRPr="0028697E">
          <w:rPr>
            <w:rStyle w:val="Hyperlink"/>
            <w:noProof/>
          </w:rPr>
          <w:t>Supporting NFPs to raise capital</w:t>
        </w:r>
        <w:r w:rsidR="00A9170A">
          <w:rPr>
            <w:noProof/>
            <w:webHidden/>
          </w:rPr>
          <w:tab/>
        </w:r>
        <w:r w:rsidR="00A9170A">
          <w:rPr>
            <w:noProof/>
            <w:webHidden/>
          </w:rPr>
          <w:fldChar w:fldCharType="begin"/>
        </w:r>
        <w:r w:rsidR="00A9170A">
          <w:rPr>
            <w:noProof/>
            <w:webHidden/>
          </w:rPr>
          <w:instrText xml:space="preserve"> PAGEREF _Toc136441131 \h </w:instrText>
        </w:r>
        <w:r w:rsidR="00A9170A">
          <w:rPr>
            <w:noProof/>
            <w:webHidden/>
          </w:rPr>
        </w:r>
        <w:r w:rsidR="00A9170A">
          <w:rPr>
            <w:noProof/>
            <w:webHidden/>
          </w:rPr>
          <w:fldChar w:fldCharType="separate"/>
        </w:r>
        <w:r w:rsidR="00B828CD">
          <w:rPr>
            <w:noProof/>
            <w:webHidden/>
          </w:rPr>
          <w:t>8</w:t>
        </w:r>
        <w:r w:rsidR="00A9170A">
          <w:rPr>
            <w:noProof/>
            <w:webHidden/>
          </w:rPr>
          <w:fldChar w:fldCharType="end"/>
        </w:r>
      </w:hyperlink>
    </w:p>
    <w:p w14:paraId="24CCD049" w14:textId="7903059D" w:rsidR="00A9170A" w:rsidRDefault="00000000">
      <w:pPr>
        <w:pStyle w:val="TOC1"/>
        <w:rPr>
          <w:rFonts w:eastAsiaTheme="minorEastAsia" w:cstheme="minorBidi"/>
          <w:noProof/>
          <w:snapToGrid/>
          <w:color w:val="auto"/>
          <w:kern w:val="2"/>
          <w:sz w:val="22"/>
          <w:szCs w:val="22"/>
          <w:lang w:eastAsia="en-AU"/>
          <w14:ligatures w14:val="standardContextual"/>
        </w:rPr>
      </w:pPr>
      <w:hyperlink w:anchor="_Toc136441132" w:history="1">
        <w:r w:rsidR="00A9170A" w:rsidRPr="0028697E">
          <w:rPr>
            <w:rStyle w:val="Hyperlink"/>
            <w:noProof/>
          </w:rPr>
          <w:t>3. Current barriers to philanthropic giving</w:t>
        </w:r>
        <w:r w:rsidR="00A9170A">
          <w:rPr>
            <w:noProof/>
            <w:webHidden/>
          </w:rPr>
          <w:tab/>
        </w:r>
        <w:r w:rsidR="00A9170A">
          <w:rPr>
            <w:noProof/>
            <w:webHidden/>
          </w:rPr>
          <w:fldChar w:fldCharType="begin"/>
        </w:r>
        <w:r w:rsidR="00A9170A">
          <w:rPr>
            <w:noProof/>
            <w:webHidden/>
          </w:rPr>
          <w:instrText xml:space="preserve"> PAGEREF _Toc136441132 \h </w:instrText>
        </w:r>
        <w:r w:rsidR="00A9170A">
          <w:rPr>
            <w:noProof/>
            <w:webHidden/>
          </w:rPr>
        </w:r>
        <w:r w:rsidR="00A9170A">
          <w:rPr>
            <w:noProof/>
            <w:webHidden/>
          </w:rPr>
          <w:fldChar w:fldCharType="separate"/>
        </w:r>
        <w:r w:rsidR="00B828CD">
          <w:rPr>
            <w:noProof/>
            <w:webHidden/>
          </w:rPr>
          <w:t>9</w:t>
        </w:r>
        <w:r w:rsidR="00A9170A">
          <w:rPr>
            <w:noProof/>
            <w:webHidden/>
          </w:rPr>
          <w:fldChar w:fldCharType="end"/>
        </w:r>
      </w:hyperlink>
    </w:p>
    <w:p w14:paraId="605F48F9" w14:textId="5D4C8448" w:rsidR="00A9170A" w:rsidRDefault="00000000">
      <w:pPr>
        <w:pStyle w:val="TOC2"/>
        <w:rPr>
          <w:rFonts w:eastAsiaTheme="minorEastAsia" w:cstheme="minorBidi"/>
          <w:noProof/>
          <w:snapToGrid/>
          <w:color w:val="auto"/>
          <w:kern w:val="2"/>
          <w:sz w:val="22"/>
          <w:szCs w:val="22"/>
          <w:lang w:eastAsia="en-AU"/>
          <w14:ligatures w14:val="standardContextual"/>
        </w:rPr>
      </w:pPr>
      <w:hyperlink w:anchor="_Toc136441133" w:history="1">
        <w:r w:rsidR="00A9170A" w:rsidRPr="0028697E">
          <w:rPr>
            <w:rStyle w:val="Hyperlink"/>
            <w:noProof/>
          </w:rPr>
          <w:t>Measuring and comparing NFP effectiveness</w:t>
        </w:r>
        <w:r w:rsidR="00A9170A">
          <w:rPr>
            <w:noProof/>
            <w:webHidden/>
          </w:rPr>
          <w:tab/>
        </w:r>
        <w:r w:rsidR="00A9170A">
          <w:rPr>
            <w:noProof/>
            <w:webHidden/>
          </w:rPr>
          <w:fldChar w:fldCharType="begin"/>
        </w:r>
        <w:r w:rsidR="00A9170A">
          <w:rPr>
            <w:noProof/>
            <w:webHidden/>
          </w:rPr>
          <w:instrText xml:space="preserve"> PAGEREF _Toc136441133 \h </w:instrText>
        </w:r>
        <w:r w:rsidR="00A9170A">
          <w:rPr>
            <w:noProof/>
            <w:webHidden/>
          </w:rPr>
        </w:r>
        <w:r w:rsidR="00A9170A">
          <w:rPr>
            <w:noProof/>
            <w:webHidden/>
          </w:rPr>
          <w:fldChar w:fldCharType="separate"/>
        </w:r>
        <w:r w:rsidR="00B828CD">
          <w:rPr>
            <w:noProof/>
            <w:webHidden/>
          </w:rPr>
          <w:t>9</w:t>
        </w:r>
        <w:r w:rsidR="00A9170A">
          <w:rPr>
            <w:noProof/>
            <w:webHidden/>
          </w:rPr>
          <w:fldChar w:fldCharType="end"/>
        </w:r>
      </w:hyperlink>
    </w:p>
    <w:p w14:paraId="427F6B19" w14:textId="3134EFC8" w:rsidR="00A9170A" w:rsidRDefault="00000000">
      <w:pPr>
        <w:pStyle w:val="TOC3"/>
        <w:rPr>
          <w:rFonts w:eastAsiaTheme="minorEastAsia" w:cstheme="minorBidi"/>
          <w:noProof/>
          <w:snapToGrid/>
          <w:color w:val="auto"/>
          <w:kern w:val="2"/>
          <w:sz w:val="22"/>
          <w:szCs w:val="22"/>
          <w:lang w:eastAsia="en-AU"/>
          <w14:ligatures w14:val="standardContextual"/>
        </w:rPr>
      </w:pPr>
      <w:hyperlink w:anchor="_Toc136441134" w:history="1">
        <w:r w:rsidR="00A9170A" w:rsidRPr="0028697E">
          <w:rPr>
            <w:rStyle w:val="Hyperlink"/>
            <w:noProof/>
          </w:rPr>
          <w:t>Box 3: Shared outcomes frameworks</w:t>
        </w:r>
        <w:r w:rsidR="00A9170A">
          <w:rPr>
            <w:noProof/>
            <w:webHidden/>
          </w:rPr>
          <w:tab/>
        </w:r>
        <w:r w:rsidR="00A9170A">
          <w:rPr>
            <w:noProof/>
            <w:webHidden/>
          </w:rPr>
          <w:fldChar w:fldCharType="begin"/>
        </w:r>
        <w:r w:rsidR="00A9170A">
          <w:rPr>
            <w:noProof/>
            <w:webHidden/>
          </w:rPr>
          <w:instrText xml:space="preserve"> PAGEREF _Toc136441134 \h </w:instrText>
        </w:r>
        <w:r w:rsidR="00A9170A">
          <w:rPr>
            <w:noProof/>
            <w:webHidden/>
          </w:rPr>
        </w:r>
        <w:r w:rsidR="00A9170A">
          <w:rPr>
            <w:noProof/>
            <w:webHidden/>
          </w:rPr>
          <w:fldChar w:fldCharType="separate"/>
        </w:r>
        <w:r w:rsidR="00B828CD">
          <w:rPr>
            <w:noProof/>
            <w:webHidden/>
          </w:rPr>
          <w:t>10</w:t>
        </w:r>
        <w:r w:rsidR="00A9170A">
          <w:rPr>
            <w:noProof/>
            <w:webHidden/>
          </w:rPr>
          <w:fldChar w:fldCharType="end"/>
        </w:r>
      </w:hyperlink>
    </w:p>
    <w:p w14:paraId="2D3C747A" w14:textId="5B86BA32" w:rsidR="00A9170A" w:rsidRDefault="00000000">
      <w:pPr>
        <w:pStyle w:val="TOC3"/>
        <w:rPr>
          <w:rFonts w:eastAsiaTheme="minorEastAsia" w:cstheme="minorBidi"/>
          <w:noProof/>
          <w:snapToGrid/>
          <w:color w:val="auto"/>
          <w:kern w:val="2"/>
          <w:sz w:val="22"/>
          <w:szCs w:val="22"/>
          <w:lang w:eastAsia="en-AU"/>
          <w14:ligatures w14:val="standardContextual"/>
        </w:rPr>
      </w:pPr>
      <w:hyperlink w:anchor="_Toc136441135" w:history="1">
        <w:r w:rsidR="00A9170A" w:rsidRPr="0028697E">
          <w:rPr>
            <w:rStyle w:val="Hyperlink"/>
            <w:noProof/>
          </w:rPr>
          <w:t>Box 4: A case study of evaluating the work of a First Nations organisation</w:t>
        </w:r>
        <w:r w:rsidR="00A9170A">
          <w:rPr>
            <w:noProof/>
            <w:webHidden/>
          </w:rPr>
          <w:tab/>
        </w:r>
        <w:r w:rsidR="00A9170A">
          <w:rPr>
            <w:noProof/>
            <w:webHidden/>
          </w:rPr>
          <w:fldChar w:fldCharType="begin"/>
        </w:r>
        <w:r w:rsidR="00A9170A">
          <w:rPr>
            <w:noProof/>
            <w:webHidden/>
          </w:rPr>
          <w:instrText xml:space="preserve"> PAGEREF _Toc136441135 \h </w:instrText>
        </w:r>
        <w:r w:rsidR="00A9170A">
          <w:rPr>
            <w:noProof/>
            <w:webHidden/>
          </w:rPr>
        </w:r>
        <w:r w:rsidR="00A9170A">
          <w:rPr>
            <w:noProof/>
            <w:webHidden/>
          </w:rPr>
          <w:fldChar w:fldCharType="separate"/>
        </w:r>
        <w:r w:rsidR="00B828CD">
          <w:rPr>
            <w:noProof/>
            <w:webHidden/>
          </w:rPr>
          <w:t>11</w:t>
        </w:r>
        <w:r w:rsidR="00A9170A">
          <w:rPr>
            <w:noProof/>
            <w:webHidden/>
          </w:rPr>
          <w:fldChar w:fldCharType="end"/>
        </w:r>
      </w:hyperlink>
    </w:p>
    <w:p w14:paraId="034D305C" w14:textId="150A66F4" w:rsidR="00A9170A" w:rsidRDefault="00000000">
      <w:pPr>
        <w:pStyle w:val="TOC2"/>
        <w:rPr>
          <w:rFonts w:eastAsiaTheme="minorEastAsia" w:cstheme="minorBidi"/>
          <w:noProof/>
          <w:snapToGrid/>
          <w:color w:val="auto"/>
          <w:kern w:val="2"/>
          <w:sz w:val="22"/>
          <w:szCs w:val="22"/>
          <w:lang w:eastAsia="en-AU"/>
          <w14:ligatures w14:val="standardContextual"/>
        </w:rPr>
      </w:pPr>
      <w:hyperlink w:anchor="_Toc136441136" w:history="1">
        <w:r w:rsidR="00A9170A" w:rsidRPr="0028697E">
          <w:rPr>
            <w:rStyle w:val="Hyperlink"/>
            <w:noProof/>
          </w:rPr>
          <w:t>Regulatory burden</w:t>
        </w:r>
        <w:r w:rsidR="00A9170A">
          <w:rPr>
            <w:noProof/>
            <w:webHidden/>
          </w:rPr>
          <w:tab/>
        </w:r>
        <w:r w:rsidR="00A9170A">
          <w:rPr>
            <w:noProof/>
            <w:webHidden/>
          </w:rPr>
          <w:fldChar w:fldCharType="begin"/>
        </w:r>
        <w:r w:rsidR="00A9170A">
          <w:rPr>
            <w:noProof/>
            <w:webHidden/>
          </w:rPr>
          <w:instrText xml:space="preserve"> PAGEREF _Toc136441136 \h </w:instrText>
        </w:r>
        <w:r w:rsidR="00A9170A">
          <w:rPr>
            <w:noProof/>
            <w:webHidden/>
          </w:rPr>
        </w:r>
        <w:r w:rsidR="00A9170A">
          <w:rPr>
            <w:noProof/>
            <w:webHidden/>
          </w:rPr>
          <w:fldChar w:fldCharType="separate"/>
        </w:r>
        <w:r w:rsidR="00B828CD">
          <w:rPr>
            <w:noProof/>
            <w:webHidden/>
          </w:rPr>
          <w:t>12</w:t>
        </w:r>
        <w:r w:rsidR="00A9170A">
          <w:rPr>
            <w:noProof/>
            <w:webHidden/>
          </w:rPr>
          <w:fldChar w:fldCharType="end"/>
        </w:r>
      </w:hyperlink>
    </w:p>
    <w:p w14:paraId="4344EA33" w14:textId="1BBA55B7" w:rsidR="00A9170A" w:rsidRDefault="00000000">
      <w:pPr>
        <w:pStyle w:val="TOC1"/>
        <w:rPr>
          <w:rFonts w:eastAsiaTheme="minorEastAsia" w:cstheme="minorBidi"/>
          <w:noProof/>
          <w:snapToGrid/>
          <w:color w:val="auto"/>
          <w:kern w:val="2"/>
          <w:sz w:val="22"/>
          <w:szCs w:val="22"/>
          <w:lang w:eastAsia="en-AU"/>
          <w14:ligatures w14:val="standardContextual"/>
        </w:rPr>
      </w:pPr>
      <w:hyperlink w:anchor="_Toc136441137" w:history="1">
        <w:r w:rsidR="00A9170A" w:rsidRPr="0028697E">
          <w:rPr>
            <w:rStyle w:val="Hyperlink"/>
            <w:noProof/>
          </w:rPr>
          <w:t>4. Appropriateness of current sources of data related to philanthropic giving</w:t>
        </w:r>
        <w:r w:rsidR="00A9170A">
          <w:rPr>
            <w:noProof/>
            <w:webHidden/>
          </w:rPr>
          <w:tab/>
        </w:r>
        <w:r w:rsidR="00A9170A">
          <w:rPr>
            <w:noProof/>
            <w:webHidden/>
          </w:rPr>
          <w:fldChar w:fldCharType="begin"/>
        </w:r>
        <w:r w:rsidR="00A9170A">
          <w:rPr>
            <w:noProof/>
            <w:webHidden/>
          </w:rPr>
          <w:instrText xml:space="preserve"> PAGEREF _Toc136441137 \h </w:instrText>
        </w:r>
        <w:r w:rsidR="00A9170A">
          <w:rPr>
            <w:noProof/>
            <w:webHidden/>
          </w:rPr>
        </w:r>
        <w:r w:rsidR="00A9170A">
          <w:rPr>
            <w:noProof/>
            <w:webHidden/>
          </w:rPr>
          <w:fldChar w:fldCharType="separate"/>
        </w:r>
        <w:r w:rsidR="00B828CD">
          <w:rPr>
            <w:noProof/>
            <w:webHidden/>
          </w:rPr>
          <w:t>13</w:t>
        </w:r>
        <w:r w:rsidR="00A9170A">
          <w:rPr>
            <w:noProof/>
            <w:webHidden/>
          </w:rPr>
          <w:fldChar w:fldCharType="end"/>
        </w:r>
      </w:hyperlink>
    </w:p>
    <w:p w14:paraId="45D989E2" w14:textId="30918FFA" w:rsidR="00A9170A" w:rsidRDefault="00000000">
      <w:pPr>
        <w:pStyle w:val="TOC1"/>
        <w:rPr>
          <w:rFonts w:eastAsiaTheme="minorEastAsia" w:cstheme="minorBidi"/>
          <w:noProof/>
          <w:snapToGrid/>
          <w:color w:val="auto"/>
          <w:kern w:val="2"/>
          <w:sz w:val="22"/>
          <w:szCs w:val="22"/>
          <w:lang w:eastAsia="en-AU"/>
          <w14:ligatures w14:val="standardContextual"/>
        </w:rPr>
      </w:pPr>
      <w:hyperlink w:anchor="_Toc136441138" w:history="1">
        <w:r w:rsidR="00A9170A" w:rsidRPr="0028697E">
          <w:rPr>
            <w:rStyle w:val="Hyperlink"/>
            <w:noProof/>
          </w:rPr>
          <w:t>5. The tax expenditure framework that applies to charities, and the effectiveness and fairness of the deductible gift recipient framework</w:t>
        </w:r>
        <w:r w:rsidR="00A9170A">
          <w:rPr>
            <w:noProof/>
            <w:webHidden/>
          </w:rPr>
          <w:tab/>
        </w:r>
        <w:r w:rsidR="00A9170A">
          <w:rPr>
            <w:noProof/>
            <w:webHidden/>
          </w:rPr>
          <w:fldChar w:fldCharType="begin"/>
        </w:r>
        <w:r w:rsidR="00A9170A">
          <w:rPr>
            <w:noProof/>
            <w:webHidden/>
          </w:rPr>
          <w:instrText xml:space="preserve"> PAGEREF _Toc136441138 \h </w:instrText>
        </w:r>
        <w:r w:rsidR="00A9170A">
          <w:rPr>
            <w:noProof/>
            <w:webHidden/>
          </w:rPr>
        </w:r>
        <w:r w:rsidR="00A9170A">
          <w:rPr>
            <w:noProof/>
            <w:webHidden/>
          </w:rPr>
          <w:fldChar w:fldCharType="separate"/>
        </w:r>
        <w:r w:rsidR="00B828CD">
          <w:rPr>
            <w:noProof/>
            <w:webHidden/>
          </w:rPr>
          <w:t>14</w:t>
        </w:r>
        <w:r w:rsidR="00A9170A">
          <w:rPr>
            <w:noProof/>
            <w:webHidden/>
          </w:rPr>
          <w:fldChar w:fldCharType="end"/>
        </w:r>
      </w:hyperlink>
    </w:p>
    <w:p w14:paraId="458B8E66" w14:textId="3B1E7F1D" w:rsidR="00A9170A" w:rsidRDefault="00000000">
      <w:pPr>
        <w:pStyle w:val="TOC1"/>
        <w:rPr>
          <w:rFonts w:eastAsiaTheme="minorEastAsia" w:cstheme="minorBidi"/>
          <w:noProof/>
          <w:snapToGrid/>
          <w:color w:val="auto"/>
          <w:kern w:val="2"/>
          <w:sz w:val="22"/>
          <w:szCs w:val="22"/>
          <w:lang w:eastAsia="en-AU"/>
          <w14:ligatures w14:val="standardContextual"/>
        </w:rPr>
      </w:pPr>
      <w:hyperlink w:anchor="_Toc136441139" w:history="1">
        <w:r w:rsidR="00A9170A" w:rsidRPr="0028697E">
          <w:rPr>
            <w:rStyle w:val="Hyperlink"/>
            <w:noProof/>
          </w:rPr>
          <w:t>6. Reforms to address barriers or harness opportunities to increase philanthropy</w:t>
        </w:r>
        <w:r w:rsidR="00A9170A">
          <w:rPr>
            <w:noProof/>
            <w:webHidden/>
          </w:rPr>
          <w:tab/>
        </w:r>
        <w:r w:rsidR="00A9170A">
          <w:rPr>
            <w:noProof/>
            <w:webHidden/>
          </w:rPr>
          <w:fldChar w:fldCharType="begin"/>
        </w:r>
        <w:r w:rsidR="00A9170A">
          <w:rPr>
            <w:noProof/>
            <w:webHidden/>
          </w:rPr>
          <w:instrText xml:space="preserve"> PAGEREF _Toc136441139 \h </w:instrText>
        </w:r>
        <w:r w:rsidR="00A9170A">
          <w:rPr>
            <w:noProof/>
            <w:webHidden/>
          </w:rPr>
        </w:r>
        <w:r w:rsidR="00A9170A">
          <w:rPr>
            <w:noProof/>
            <w:webHidden/>
          </w:rPr>
          <w:fldChar w:fldCharType="separate"/>
        </w:r>
        <w:r w:rsidR="00B828CD">
          <w:rPr>
            <w:noProof/>
            <w:webHidden/>
          </w:rPr>
          <w:t>15</w:t>
        </w:r>
        <w:r w:rsidR="00A9170A">
          <w:rPr>
            <w:noProof/>
            <w:webHidden/>
          </w:rPr>
          <w:fldChar w:fldCharType="end"/>
        </w:r>
      </w:hyperlink>
    </w:p>
    <w:p w14:paraId="11866BDE" w14:textId="15E2BD18" w:rsidR="00A9170A" w:rsidRDefault="00A9170A" w:rsidP="00F114A9">
      <w:pPr>
        <w:pStyle w:val="Heading1"/>
      </w:pPr>
      <w:r>
        <w:fldChar w:fldCharType="end"/>
      </w:r>
    </w:p>
    <w:p w14:paraId="04BAC3E8" w14:textId="77777777" w:rsidR="00A9170A" w:rsidRDefault="00A9170A">
      <w:pPr>
        <w:adjustRightInd/>
        <w:snapToGrid/>
        <w:spacing w:before="0" w:after="0" w:line="240" w:lineRule="auto"/>
        <w:rPr>
          <w:rFonts w:cstheme="majorHAnsi"/>
          <w:bCs/>
          <w:color w:val="auto"/>
          <w:kern w:val="32"/>
          <w:sz w:val="32"/>
          <w:szCs w:val="32"/>
        </w:rPr>
      </w:pPr>
      <w:r>
        <w:br w:type="page"/>
      </w:r>
    </w:p>
    <w:p w14:paraId="17BDEC74" w14:textId="576CD1D5" w:rsidR="00F114A9" w:rsidRDefault="00F114A9" w:rsidP="00A9170A">
      <w:pPr>
        <w:pStyle w:val="Heading1"/>
      </w:pPr>
      <w:bookmarkStart w:id="1" w:name="_Toc136441121"/>
      <w:r w:rsidRPr="00A9170A">
        <w:lastRenderedPageBreak/>
        <w:t>Introduction</w:t>
      </w:r>
      <w:bookmarkEnd w:id="1"/>
    </w:p>
    <w:p w14:paraId="7CE59A0F" w14:textId="3A959690" w:rsidR="00F114A9" w:rsidRDefault="00F114A9" w:rsidP="00F114A9">
      <w:r>
        <w:t>Social Ventures Australia (SVA) thanks the Productivity Commission for the opportunity to provide a submission to the Commission’s Review of Philanthropy.</w:t>
      </w:r>
    </w:p>
    <w:p w14:paraId="0F5435B3" w14:textId="77777777" w:rsidR="00F114A9" w:rsidRDefault="00F114A9" w:rsidP="00F114A9">
      <w:r>
        <w:t>In this submission we focus on some specific issues where SVA has particular interest and expertise. While we have structured the submission against the Terms of Reference, we have not sought to comment on every issue raised in the Terms, or in the Call for Submissions, or to duplicate material that others are better placed to provide, except where we are offering support for a shared view.</w:t>
      </w:r>
    </w:p>
    <w:p w14:paraId="2C9CDE6F" w14:textId="77777777" w:rsidR="00F114A9" w:rsidRDefault="00F114A9" w:rsidP="00F114A9">
      <w:r>
        <w:t>We would welcome the opportunity to discuss the issues raised in this submission further with the Commissioners and staff of the Inquiry.</w:t>
      </w:r>
    </w:p>
    <w:p w14:paraId="190E09F7" w14:textId="77777777" w:rsidR="00F114A9" w:rsidRDefault="00F114A9" w:rsidP="00F114A9">
      <w:pPr>
        <w:pStyle w:val="Heading1"/>
      </w:pPr>
      <w:bookmarkStart w:id="2" w:name="_Toc136018060"/>
      <w:bookmarkStart w:id="3" w:name="_Toc136021476"/>
      <w:bookmarkStart w:id="4" w:name="_Toc136365529"/>
      <w:bookmarkStart w:id="5" w:name="_Toc136441122"/>
      <w:r w:rsidRPr="006C4EBA">
        <w:t>About SVA</w:t>
      </w:r>
      <w:bookmarkEnd w:id="2"/>
      <w:bookmarkEnd w:id="3"/>
      <w:bookmarkEnd w:id="4"/>
      <w:bookmarkEnd w:id="5"/>
    </w:p>
    <w:p w14:paraId="4AA100B4" w14:textId="77777777" w:rsidR="00F114A9" w:rsidRDefault="00F114A9" w:rsidP="00F114A9">
      <w:r w:rsidRPr="009B1379">
        <w:t xml:space="preserve">Social Ventures Australia (SVA) is a not-for-profit (NFP) organisation with the mission to alleviate disadvantage, towards an Australia where all people and communities thrive. We influence systems to deliver better social outcomes for people by learning what works in communities, helping organisations be more effective, sharing our perspectives, </w:t>
      </w:r>
      <w:r>
        <w:t xml:space="preserve">and </w:t>
      </w:r>
      <w:r w:rsidRPr="009B1379">
        <w:t>advocating for change</w:t>
      </w:r>
      <w:r>
        <w:t>.</w:t>
      </w:r>
      <w:r w:rsidRPr="009B1379">
        <w:t xml:space="preserve"> </w:t>
      </w:r>
    </w:p>
    <w:p w14:paraId="1DA4C72B" w14:textId="06AECF95" w:rsidR="00F114A9" w:rsidRDefault="00F114A9" w:rsidP="00F114A9">
      <w:r>
        <w:t xml:space="preserve">This submission draws on our </w:t>
      </w:r>
      <w:r w:rsidR="00A9170A">
        <w:t>20-year</w:t>
      </w:r>
      <w:r>
        <w:t xml:space="preserve"> history as an intermediary in the social purpose sector, working with a wide range of NFPs </w:t>
      </w:r>
      <w:r w:rsidRPr="00D21F91">
        <w:t xml:space="preserve">and philanthropic funders through our Consulting, Impact Investing, and Programs arms. In this work, we have looked at the issue of philanthropy from multiple angles. We are a recipient of philanthropic funds ourselves, and have also been venture philanthropists supporting other organisations. We have worked with NFPs seeking funding, </w:t>
      </w:r>
      <w:r w:rsidR="00A9170A" w:rsidRPr="00D21F91">
        <w:t>and</w:t>
      </w:r>
      <w:r w:rsidRPr="00D21F91">
        <w:t xml:space="preserve"> with a range of philanthropic clients, corporate and private, big and small, to help them develop more effective granting strategies. We supported Philanthropy Australia to develop their </w:t>
      </w:r>
      <w:hyperlink r:id="rId12" w:history="1">
        <w:r w:rsidRPr="00D21F91">
          <w:rPr>
            <w:rStyle w:val="Hyperlink"/>
            <w:rFonts w:asciiTheme="minorHAnsi" w:hAnsiTheme="minorHAnsi" w:cs="Times New Roman"/>
          </w:rPr>
          <w:t>Blueprint to Grow Structured Giving</w:t>
        </w:r>
      </w:hyperlink>
      <w:r>
        <w:t>, and have partnered with them on a range of other projects</w:t>
      </w:r>
      <w:r w:rsidRPr="00D21F91">
        <w:t>.</w:t>
      </w:r>
    </w:p>
    <w:p w14:paraId="557984ED" w14:textId="77777777" w:rsidR="00F114A9" w:rsidRDefault="00F114A9" w:rsidP="00F114A9">
      <w:r>
        <w:t>In particular, this submission draws on two projects related to the charity and NFP sector that SVA has recently undertaken:</w:t>
      </w:r>
    </w:p>
    <w:p w14:paraId="31ED5CCD" w14:textId="77777777" w:rsidR="00F114A9" w:rsidRDefault="00F114A9" w:rsidP="00F114A9">
      <w:pPr>
        <w:pStyle w:val="ListBullet"/>
      </w:pPr>
      <w:r>
        <w:t xml:space="preserve">The </w:t>
      </w:r>
      <w:hyperlink r:id="rId13" w:history="1">
        <w:r w:rsidRPr="008C6EEE">
          <w:rPr>
            <w:rStyle w:val="Hyperlink"/>
            <w:rFonts w:asciiTheme="minorHAnsi" w:hAnsiTheme="minorHAnsi" w:cs="Times New Roman"/>
            <w:i/>
            <w:iCs/>
          </w:rPr>
          <w:t>Partners in Recovery</w:t>
        </w:r>
      </w:hyperlink>
      <w:r>
        <w:t xml:space="preserve"> project, in partnership with the Centre for Social Impact. This project tracked the financial health of the charity sector through the COVID-19 </w:t>
      </w:r>
      <w:proofErr w:type="gramStart"/>
      <w:r>
        <w:t>pandemic, and</w:t>
      </w:r>
      <w:proofErr w:type="gramEnd"/>
      <w:r>
        <w:t xml:space="preserve"> investigated a range of issues related to charity capacity, capability and viability.</w:t>
      </w:r>
    </w:p>
    <w:p w14:paraId="7A0E031B" w14:textId="77777777" w:rsidR="00F114A9" w:rsidRDefault="00F114A9" w:rsidP="00F114A9">
      <w:pPr>
        <w:pStyle w:val="ListBullet"/>
      </w:pPr>
      <w:r>
        <w:t xml:space="preserve">The </w:t>
      </w:r>
      <w:hyperlink r:id="rId14" w:history="1">
        <w:r w:rsidRPr="008C6EEE">
          <w:rPr>
            <w:rStyle w:val="Hyperlink"/>
            <w:rFonts w:asciiTheme="minorHAnsi" w:hAnsiTheme="minorHAnsi" w:cs="Times New Roman"/>
            <w:i/>
            <w:iCs/>
          </w:rPr>
          <w:t>Paying What It Takes</w:t>
        </w:r>
      </w:hyperlink>
      <w:r>
        <w:rPr>
          <w:i/>
          <w:iCs/>
        </w:rPr>
        <w:t xml:space="preserve"> </w:t>
      </w:r>
      <w:r>
        <w:t>project, in partnership with the Centre for Social Impact and Philanthropy Australia. This project explored the issue of underinvestment in NFP capability by funders, with particular attention to understanding indirect costs of delivering their work.</w:t>
      </w:r>
    </w:p>
    <w:p w14:paraId="069A0C76" w14:textId="77777777" w:rsidR="00F114A9" w:rsidRDefault="00F114A9" w:rsidP="00F114A9">
      <w:pPr>
        <w:spacing w:before="120"/>
        <w:rPr>
          <w:iCs/>
        </w:rPr>
      </w:pPr>
      <w:bookmarkStart w:id="6" w:name="_Hlk136199684"/>
      <w:r>
        <w:rPr>
          <w:iCs/>
        </w:rPr>
        <w:t xml:space="preserve">SVA also has a long track record of supporting NFPs to </w:t>
      </w:r>
      <w:hyperlink r:id="rId15" w:history="1">
        <w:r w:rsidRPr="008C6EEE">
          <w:rPr>
            <w:rStyle w:val="Hyperlink"/>
            <w:rFonts w:asciiTheme="minorHAnsi" w:hAnsiTheme="minorHAnsi" w:cs="Times New Roman"/>
            <w:iCs/>
          </w:rPr>
          <w:t>improve and measure their own effectiveness</w:t>
        </w:r>
      </w:hyperlink>
      <w:r>
        <w:rPr>
          <w:iCs/>
        </w:rPr>
        <w:t xml:space="preserve"> – working with clients and partners, and developing tools for the sector. We are a leader in impact measurement in Australia, </w:t>
      </w:r>
      <w:r>
        <w:t xml:space="preserve">supporting </w:t>
      </w:r>
      <w:r>
        <w:rPr>
          <w:rFonts w:eastAsia="Times New Roman"/>
        </w:rPr>
        <w:t xml:space="preserve">hundreds of </w:t>
      </w:r>
      <w:r>
        <w:t xml:space="preserve">clients </w:t>
      </w:r>
      <w:r>
        <w:rPr>
          <w:rFonts w:eastAsia="Times New Roman"/>
        </w:rPr>
        <w:t>in their impact measurement work over the past 20 years, including Social Value and</w:t>
      </w:r>
      <w:r>
        <w:t xml:space="preserve"> Social Return on Investment </w:t>
      </w:r>
      <w:r>
        <w:rPr>
          <w:rFonts w:eastAsia="Times New Roman"/>
        </w:rPr>
        <w:t>(SROI) analyses and reports. In addition, we run the</w:t>
      </w:r>
      <w:r>
        <w:t xml:space="preserve"> internationally accredited </w:t>
      </w:r>
      <w:hyperlink r:id="rId16" w:history="1">
        <w:r w:rsidRPr="00692A7E">
          <w:rPr>
            <w:rStyle w:val="Hyperlink"/>
            <w:rFonts w:asciiTheme="minorHAnsi" w:eastAsia="Times New Roman" w:hAnsiTheme="minorHAnsi" w:cs="Times New Roman"/>
          </w:rPr>
          <w:t>Social Value and SROI practitioner training</w:t>
        </w:r>
      </w:hyperlink>
      <w:r>
        <w:rPr>
          <w:rFonts w:eastAsia="Times New Roman"/>
        </w:rPr>
        <w:t>, having trained 1000s of people across Australia, New Zealand and Singapore.</w:t>
      </w:r>
      <w:r>
        <w:t xml:space="preserve"> </w:t>
      </w:r>
      <w:r>
        <w:rPr>
          <w:iCs/>
        </w:rPr>
        <w:t xml:space="preserve">We also developed </w:t>
      </w:r>
      <w:hyperlink r:id="rId17" w:history="1">
        <w:r w:rsidRPr="006C4EBA">
          <w:rPr>
            <w:rStyle w:val="Hyperlink"/>
            <w:rFonts w:asciiTheme="minorHAnsi" w:hAnsiTheme="minorHAnsi" w:cs="Times New Roman"/>
            <w:iCs/>
          </w:rPr>
          <w:t>Fundamentals for Impact</w:t>
        </w:r>
      </w:hyperlink>
      <w:r>
        <w:rPr>
          <w:iCs/>
        </w:rPr>
        <w:t xml:space="preserve">, a tool to help organisations answer critical questions about their own effectiveness. </w:t>
      </w:r>
    </w:p>
    <w:bookmarkEnd w:id="6"/>
    <w:p w14:paraId="5EDCC2D6" w14:textId="77777777" w:rsidR="00F114A9" w:rsidRDefault="00F114A9" w:rsidP="00F114A9">
      <w:pPr>
        <w:spacing w:before="120"/>
        <w:rPr>
          <w:iCs/>
        </w:rPr>
      </w:pPr>
      <w:r>
        <w:rPr>
          <w:iCs/>
        </w:rPr>
        <w:t xml:space="preserve">Our work in Impact Investing, particularly on </w:t>
      </w:r>
      <w:hyperlink r:id="rId18" w:history="1">
        <w:r w:rsidRPr="008C6EEE">
          <w:rPr>
            <w:rStyle w:val="Hyperlink"/>
            <w:rFonts w:asciiTheme="minorHAnsi" w:hAnsiTheme="minorHAnsi" w:cs="Times New Roman"/>
            <w:iCs/>
          </w:rPr>
          <w:t>social impact bonds and other forms of outcomes contracting</w:t>
        </w:r>
      </w:hyperlink>
      <w:r>
        <w:rPr>
          <w:iCs/>
        </w:rPr>
        <w:t>, has also contributed to our understanding of effective outcomes measurement.</w:t>
      </w:r>
    </w:p>
    <w:p w14:paraId="562B7FE1" w14:textId="77777777" w:rsidR="00F114A9" w:rsidRDefault="00F114A9" w:rsidP="00F114A9">
      <w:pPr>
        <w:pStyle w:val="Heading1"/>
      </w:pPr>
      <w:bookmarkStart w:id="7" w:name="_Toc136018061"/>
      <w:bookmarkStart w:id="8" w:name="_Toc136021477"/>
      <w:bookmarkStart w:id="9" w:name="_Toc136365530"/>
      <w:bookmarkStart w:id="10" w:name="_Toc136441123"/>
      <w:r>
        <w:lastRenderedPageBreak/>
        <w:t>1. Tendencies and motivations for Australians’ charitable giving</w:t>
      </w:r>
      <w:bookmarkEnd w:id="7"/>
      <w:bookmarkEnd w:id="8"/>
      <w:bookmarkEnd w:id="9"/>
      <w:bookmarkEnd w:id="10"/>
    </w:p>
    <w:p w14:paraId="5DD5C968" w14:textId="77777777" w:rsidR="00F114A9" w:rsidRDefault="00F114A9" w:rsidP="00F114A9">
      <w:pPr>
        <w:pStyle w:val="Heading2"/>
      </w:pPr>
      <w:bookmarkStart w:id="11" w:name="_Toc136018062"/>
      <w:bookmarkStart w:id="12" w:name="_Toc136021478"/>
      <w:bookmarkStart w:id="13" w:name="_Toc136365531"/>
      <w:bookmarkStart w:id="14" w:name="_Toc136441124"/>
      <w:r>
        <w:t>Trends in Australian charitable giving</w:t>
      </w:r>
      <w:bookmarkEnd w:id="11"/>
      <w:bookmarkEnd w:id="12"/>
      <w:bookmarkEnd w:id="13"/>
      <w:bookmarkEnd w:id="14"/>
    </w:p>
    <w:p w14:paraId="6D9C7F7B" w14:textId="77777777" w:rsidR="00F114A9" w:rsidRDefault="00F114A9" w:rsidP="00F114A9">
      <w:r>
        <w:t>We share the Commission’s concern, noted in the Call for Submissions paper, that the proportion of Australians donating to charity is decreasing. Previous SVA analysis found that the proportion of Australians giving has been trending down for 15 years. If this trajectory continues, levels could drop to 21% by 2030. If action is taken to arrest the trend, Australia could avoid $4.2 billion in lost donations in 2030, with total value of $16 billion in saved donations between 2023 and 2030</w:t>
      </w:r>
      <w:r w:rsidRPr="00D51A95">
        <w:rPr>
          <w:i/>
          <w:iCs/>
        </w:rPr>
        <w:t>.</w:t>
      </w:r>
      <w:r w:rsidRPr="00D51A95">
        <w:rPr>
          <w:rStyle w:val="FootnoteReference"/>
          <w:rFonts w:eastAsia="Times New Roman"/>
          <w:color w:val="000000"/>
        </w:rPr>
        <w:footnoteReference w:id="1"/>
      </w:r>
    </w:p>
    <w:p w14:paraId="27D396AF" w14:textId="77777777" w:rsidR="00F114A9" w:rsidRDefault="00F114A9" w:rsidP="00F114A9">
      <w:pPr>
        <w:pStyle w:val="Heading2"/>
      </w:pPr>
      <w:bookmarkStart w:id="15" w:name="_Toc136018063"/>
      <w:bookmarkStart w:id="16" w:name="_Toc136021479"/>
      <w:bookmarkStart w:id="17" w:name="_Toc136365532"/>
      <w:bookmarkStart w:id="18" w:name="_Toc136441125"/>
      <w:r>
        <w:t>Role of government and philanthropy</w:t>
      </w:r>
      <w:bookmarkEnd w:id="15"/>
      <w:bookmarkEnd w:id="16"/>
      <w:bookmarkEnd w:id="17"/>
      <w:bookmarkEnd w:id="18"/>
    </w:p>
    <w:p w14:paraId="7B487AEE" w14:textId="77777777" w:rsidR="00F114A9" w:rsidRDefault="00F114A9" w:rsidP="00F114A9">
      <w:r>
        <w:t>SVA believes that it is primarily government’s role to provide a social safety net, and that government should not expect philanthropy to replace government service provision or support. We also believe that philanthropy can play an important role in civic society. Philanthropy may be better placed to, for example, take on higher risk by piloting innovative approaches, or directly meet the needs of local communities. Government can learn from these activities to improve its own policies and programs (see Box 1: Philanthropy as a test bed for innovation).</w:t>
      </w:r>
    </w:p>
    <w:p w14:paraId="26A107FB" w14:textId="77777777" w:rsidR="00F114A9" w:rsidRDefault="00F114A9" w:rsidP="00F114A9">
      <w:r>
        <w:t xml:space="preserve">We are strongly in favour of government supporting philanthropic activity in Australia, including </w:t>
      </w:r>
      <w:proofErr w:type="gramStart"/>
      <w:r>
        <w:t>through the use of</w:t>
      </w:r>
      <w:proofErr w:type="gramEnd"/>
      <w:r>
        <w:t xml:space="preserve"> tax concessions and related measures. However, government should retain a focus on the outcomes it wishes to achieve. In some cases, the value generated from philanthropy that is incentive by such concessions may be lower than the value that government could achieve by receiving and using that revenue itself. Furthermore, if government wants to incentivise philanthropy it should do so in ways that are fair and equitable to all charities. As discussed further below, the current Deductible Gift Recipient framework is not fair or equitable, and arbitrarily privileges some types of charities over others. </w:t>
      </w:r>
    </w:p>
    <w:p w14:paraId="0681C991" w14:textId="77777777" w:rsidR="002B7E67" w:rsidRDefault="002B7E67" w:rsidP="002B7E67">
      <w:pPr>
        <w:pStyle w:val="Boxheade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bookmarkStart w:id="19" w:name="_Toc136021480"/>
      <w:bookmarkStart w:id="20" w:name="_Toc136365533"/>
      <w:bookmarkStart w:id="21" w:name="_Hlk136200057"/>
      <w:bookmarkStart w:id="22" w:name="_Hlk136200109"/>
    </w:p>
    <w:p w14:paraId="0ABBE40E" w14:textId="63D53C93" w:rsidR="00F114A9" w:rsidRDefault="00F114A9" w:rsidP="002B7E67">
      <w:pPr>
        <w:pStyle w:val="Boxheade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bookmarkStart w:id="23" w:name="_Toc136441126"/>
      <w:r>
        <w:t>Box 1: Philanthropy as a test bed for innovation: Evidence for Learning</w:t>
      </w:r>
      <w:bookmarkEnd w:id="19"/>
      <w:bookmarkEnd w:id="20"/>
      <w:bookmarkEnd w:id="23"/>
    </w:p>
    <w:p w14:paraId="6528A594" w14:textId="77777777" w:rsidR="00F114A9" w:rsidRDefault="00F114A9" w:rsidP="002B7E67">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r>
        <w:t xml:space="preserve">Established in 2015, </w:t>
      </w:r>
      <w:hyperlink r:id="rId19" w:history="1">
        <w:r w:rsidRPr="00EE5D2A">
          <w:rPr>
            <w:rStyle w:val="Hyperlink"/>
            <w:rFonts w:asciiTheme="minorHAnsi" w:hAnsiTheme="minorHAnsi" w:cstheme="majorHAnsi"/>
          </w:rPr>
          <w:t>Evidence for Learning</w:t>
        </w:r>
      </w:hyperlink>
      <w:r w:rsidRPr="001B061B">
        <w:t xml:space="preserve"> </w:t>
      </w:r>
      <w:r>
        <w:t xml:space="preserve">(E4L) </w:t>
      </w:r>
      <w:r w:rsidRPr="001B061B">
        <w:t xml:space="preserve">is an independent, not-for-profit organisation committed to ensuring all children </w:t>
      </w:r>
      <w:r>
        <w:t>and young people</w:t>
      </w:r>
      <w:r w:rsidRPr="001B061B">
        <w:t xml:space="preserve"> throughout Australia, regardless of background, make the best possible learning progress.</w:t>
      </w:r>
      <w:r>
        <w:t xml:space="preserve"> It does </w:t>
      </w:r>
      <w:r w:rsidRPr="001B061B">
        <w:t>this by improving the quality, availability and use of evidence in education and collaborating with education researchers, policy makers, systems leaders, educators, professional learning providers, philanthropists and the wider community.</w:t>
      </w:r>
    </w:p>
    <w:p w14:paraId="63651D51" w14:textId="77777777" w:rsidR="00F114A9" w:rsidRDefault="00F114A9" w:rsidP="002B7E67">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eastAsia="Times New Roman"/>
        </w:rPr>
      </w:pPr>
      <w:r>
        <w:rPr>
          <w:rFonts w:eastAsia="Times New Roman"/>
        </w:rPr>
        <w:t xml:space="preserve">SVA incubated E4L because it saw that there was a gap in the Australian education system in supporting system-wide adoption of evidence-based practice. </w:t>
      </w:r>
      <w:bookmarkStart w:id="24" w:name="_Hlk136360832"/>
      <w:r>
        <w:rPr>
          <w:rFonts w:eastAsia="Times New Roman"/>
        </w:rPr>
        <w:t>It partnered with philanthropy, including the Commonwealth Bank, the Bryan Family Foundation, BHP Foundation, the Eureka Benevolent Foundation, the Ian Potter Foundation, a family foundation, and the William Buckland Foundation to establish and operate E4L as a pilot project to demonstrate the value of an Australian education evidence institution.</w:t>
      </w:r>
    </w:p>
    <w:bookmarkEnd w:id="24"/>
    <w:p w14:paraId="3922A49D" w14:textId="77777777" w:rsidR="00F114A9" w:rsidRDefault="00F114A9" w:rsidP="002B7E67">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eastAsia="Times New Roman"/>
        </w:rPr>
      </w:pPr>
      <w:r>
        <w:rPr>
          <w:rFonts w:eastAsia="Times New Roman"/>
        </w:rPr>
        <w:t xml:space="preserve">With philanthropic support, SVA worked to advocate for the establishment of a national, government-funded, education evidence broker. This included making </w:t>
      </w:r>
      <w:hyperlink r:id="rId20" w:history="1">
        <w:r w:rsidRPr="007F2929">
          <w:rPr>
            <w:rStyle w:val="Hyperlink"/>
            <w:rFonts w:asciiTheme="minorHAnsi" w:eastAsia="Times New Roman" w:hAnsiTheme="minorHAnsi" w:cstheme="majorHAnsi"/>
          </w:rPr>
          <w:t>submissions</w:t>
        </w:r>
      </w:hyperlink>
      <w:r>
        <w:rPr>
          <w:rFonts w:eastAsia="Times New Roman"/>
        </w:rPr>
        <w:t xml:space="preserve"> to the Productivity Commission </w:t>
      </w:r>
      <w:hyperlink r:id="rId21" w:history="1">
        <w:r w:rsidRPr="007F2929">
          <w:rPr>
            <w:rStyle w:val="Hyperlink"/>
            <w:rFonts w:asciiTheme="minorHAnsi" w:eastAsia="Times New Roman" w:hAnsiTheme="minorHAnsi" w:cstheme="majorHAnsi"/>
          </w:rPr>
          <w:t>Inquiry into the Education Evidence Base</w:t>
        </w:r>
      </w:hyperlink>
      <w:r>
        <w:rPr>
          <w:rFonts w:eastAsia="Times New Roman"/>
        </w:rPr>
        <w:t xml:space="preserve">. The inquiry adopted many of SVA’s recommendations, including the call to establish a national education evidence institute. After further advocacy, the Commonwealth Government agreed to establish the </w:t>
      </w:r>
      <w:hyperlink r:id="rId22" w:history="1">
        <w:r w:rsidRPr="007F2929">
          <w:rPr>
            <w:rStyle w:val="Hyperlink"/>
            <w:rFonts w:asciiTheme="minorHAnsi" w:eastAsia="Times New Roman" w:hAnsiTheme="minorHAnsi" w:cstheme="majorHAnsi"/>
          </w:rPr>
          <w:t>Australian Education Research Organisation (AERO)</w:t>
        </w:r>
      </w:hyperlink>
      <w:r>
        <w:rPr>
          <w:rFonts w:eastAsia="Times New Roman"/>
        </w:rPr>
        <w:t xml:space="preserve"> as a part of the national education architecture.</w:t>
      </w:r>
    </w:p>
    <w:p w14:paraId="0111DC01" w14:textId="77777777" w:rsidR="00F114A9" w:rsidRDefault="00F114A9" w:rsidP="002B7E67">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eastAsia="Times New Roman"/>
        </w:rPr>
      </w:pPr>
      <w:r>
        <w:rPr>
          <w:rFonts w:eastAsia="Times New Roman"/>
        </w:rPr>
        <w:lastRenderedPageBreak/>
        <w:t>This advocacy was possible because philanthropy was willing to support an innovative approach to improving education outcomes in Australia. Without E4L as a demonstration project, it would have been much riskier for government to embark on creating an education evidence institute, and they may not have pursued it.</w:t>
      </w:r>
      <w:bookmarkEnd w:id="21"/>
    </w:p>
    <w:p w14:paraId="79C6B339" w14:textId="77777777" w:rsidR="002B7E67" w:rsidRDefault="002B7E67" w:rsidP="002B7E67">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eastAsia="Times New Roman"/>
        </w:rPr>
      </w:pPr>
    </w:p>
    <w:p w14:paraId="5524F3EC" w14:textId="77777777" w:rsidR="002B7E67" w:rsidRDefault="002B7E67" w:rsidP="002B7E67">
      <w:pPr>
        <w:rPr>
          <w:rFonts w:eastAsia="Times New Roman"/>
        </w:rPr>
      </w:pPr>
    </w:p>
    <w:p w14:paraId="2531B1FC" w14:textId="77777777" w:rsidR="00F114A9" w:rsidRDefault="00F114A9" w:rsidP="00F114A9">
      <w:pPr>
        <w:pStyle w:val="Heading2"/>
      </w:pPr>
      <w:bookmarkStart w:id="25" w:name="_Toc136018064"/>
      <w:bookmarkStart w:id="26" w:name="_Toc136021481"/>
      <w:bookmarkStart w:id="27" w:name="_Toc136365534"/>
      <w:bookmarkStart w:id="28" w:name="_Toc136441127"/>
      <w:bookmarkEnd w:id="22"/>
      <w:r>
        <w:t>First Nations people and communities</w:t>
      </w:r>
      <w:bookmarkEnd w:id="25"/>
      <w:bookmarkEnd w:id="26"/>
      <w:bookmarkEnd w:id="27"/>
      <w:bookmarkEnd w:id="28"/>
    </w:p>
    <w:p w14:paraId="7E85DD0C" w14:textId="2AF53FB2" w:rsidR="00F114A9" w:rsidRPr="00CC2A33" w:rsidRDefault="00F114A9" w:rsidP="00F114A9">
      <w:r w:rsidRPr="007F2929">
        <w:t>SVA has worked with many First Nations organisations that are creating change in out of home care, education, employment</w:t>
      </w:r>
      <w:r w:rsidR="00A9170A">
        <w:t>,</w:t>
      </w:r>
      <w:r w:rsidRPr="007F2929">
        <w:t xml:space="preserve"> and justice as well as those creating connections to country and culture. We are proud of the work we’ve done, and we’ve learnt a great deal working with leaders in organisations who have generously shared their wisdom and experience. As a non-</w:t>
      </w:r>
      <w:r>
        <w:t xml:space="preserve">First Nations </w:t>
      </w:r>
      <w:r w:rsidRPr="007F2929">
        <w:t>organisation, we aim to share our perspective as a contribution to thinking and debate</w:t>
      </w:r>
      <w:r>
        <w:t xml:space="preserve">. </w:t>
      </w:r>
      <w:r w:rsidRPr="007F2929">
        <w:t xml:space="preserve">This perspective is informed by the recommendations and voices of Aboriginal and Torres Strait Islander peoples and organisations with whom we have worked. However, we believe that, consistent with the principles of self-determination, the views and perspectives of Aboriginal and Torres Strait Islander peoples and organisations must be prioritised throughout this </w:t>
      </w:r>
      <w:r>
        <w:t>inquiry</w:t>
      </w:r>
      <w:r w:rsidRPr="007F2929">
        <w:t xml:space="preserve"> process to drive future outcomes.</w:t>
      </w:r>
    </w:p>
    <w:p w14:paraId="707E0C28" w14:textId="77777777" w:rsidR="00F114A9" w:rsidRDefault="00F114A9" w:rsidP="00F114A9">
      <w:pPr>
        <w:rPr>
          <w:rFonts w:eastAsia="Times New Roman"/>
        </w:rPr>
      </w:pPr>
      <w:r w:rsidRPr="007F2929">
        <w:rPr>
          <w:rFonts w:eastAsia="Times New Roman"/>
        </w:rPr>
        <w:t>It is clear to SVA from our own professional experiences that embedding the voices of First Nations peoples in decision making is a precondition to improving health and wellbeing of those peoples. First Nations peoples know what works in their communities,</w:t>
      </w:r>
      <w:r>
        <w:rPr>
          <w:rFonts w:eastAsia="Times New Roman"/>
        </w:rPr>
        <w:t xml:space="preserve"> and</w:t>
      </w:r>
      <w:r w:rsidRPr="007F2929">
        <w:rPr>
          <w:rFonts w:eastAsia="Times New Roman"/>
        </w:rPr>
        <w:t xml:space="preserve"> they are the experts in their own live</w:t>
      </w:r>
      <w:r>
        <w:rPr>
          <w:rFonts w:eastAsia="Times New Roman"/>
        </w:rPr>
        <w:t>s.</w:t>
      </w:r>
    </w:p>
    <w:p w14:paraId="2EA54741" w14:textId="77777777" w:rsidR="00F114A9" w:rsidRPr="00CF515B" w:rsidRDefault="00F114A9" w:rsidP="00F114A9">
      <w:r>
        <w:t>We are pleased to see that the Call for Submissions acknowledges the importance of ‘</w:t>
      </w:r>
      <w:r w:rsidRPr="00860218">
        <w:rPr>
          <w:i/>
          <w:iCs/>
        </w:rPr>
        <w:t>recognising different definitions, perspectives and norms relating to philanthropy among different cultures and communities, including but not limited to: – Aboriginal and Torres Strait Islander people – culturally and linguistically diverse communities – faith-based groups – younger and older Australians</w:t>
      </w:r>
      <w:r>
        <w:t>.’</w:t>
      </w:r>
      <w:r w:rsidRPr="006465E9">
        <w:t xml:space="preserve"> </w:t>
      </w:r>
      <w:r>
        <w:t xml:space="preserve">While we do not have specific expertise related to this issue, we have worked closely with First Nations people and communities </w:t>
      </w:r>
      <w:proofErr w:type="gramStart"/>
      <w:r>
        <w:t>in particular and</w:t>
      </w:r>
      <w:proofErr w:type="gramEnd"/>
      <w:r>
        <w:t xml:space="preserve"> developed an understanding of the importance of centring </w:t>
      </w:r>
      <w:r w:rsidRPr="00C20626">
        <w:t>First Nations voices. We discuss this further in Box 4 below.</w:t>
      </w:r>
    </w:p>
    <w:p w14:paraId="15AB51AC" w14:textId="77777777" w:rsidR="00F114A9" w:rsidRPr="00251BCA" w:rsidRDefault="00F114A9" w:rsidP="00F114A9">
      <w:r>
        <w:t xml:space="preserve">Similarly, we are pleased to see that the unique position of Aboriginal Community Controlled Organisations is noted in the Call for Submissions. We encourage the Commissioners to consider the </w:t>
      </w:r>
      <w:proofErr w:type="gramStart"/>
      <w:r>
        <w:t>particular needs</w:t>
      </w:r>
      <w:proofErr w:type="gramEnd"/>
      <w:r>
        <w:t xml:space="preserve"> and interests of this important part of the not-for-profit sector, and to prioritise the views of First </w:t>
      </w:r>
      <w:r w:rsidRPr="00251BCA">
        <w:t>Nations people and communities in developing recommendations relevant to this sector.</w:t>
      </w:r>
    </w:p>
    <w:p w14:paraId="6868EAC8" w14:textId="77777777" w:rsidR="00F114A9" w:rsidRDefault="00F114A9" w:rsidP="00F114A9">
      <w:r w:rsidRPr="00251BCA">
        <w:t>We also encourage the Commission to consider the unique power relationships involved in philanthropic engagements between non-First Nations funders and First Nations recipient organisations, and how this may perpetuate problematic dynamics if not appropriately addressed.</w:t>
      </w:r>
    </w:p>
    <w:p w14:paraId="5A469A72" w14:textId="77777777" w:rsidR="00F114A9" w:rsidRDefault="00F114A9" w:rsidP="00F114A9">
      <w:r>
        <w:br w:type="page"/>
      </w:r>
    </w:p>
    <w:p w14:paraId="4EB0BF5A" w14:textId="77777777" w:rsidR="00F114A9" w:rsidRDefault="00F114A9" w:rsidP="00F114A9">
      <w:pPr>
        <w:pStyle w:val="Heading1"/>
      </w:pPr>
      <w:bookmarkStart w:id="29" w:name="_Toc136018065"/>
      <w:bookmarkStart w:id="30" w:name="_Toc136021482"/>
      <w:bookmarkStart w:id="31" w:name="_Toc136441128"/>
      <w:bookmarkStart w:id="32" w:name="_Toc136365535"/>
      <w:r w:rsidRPr="007F6D0B">
        <w:lastRenderedPageBreak/>
        <w:t>2. Opportunities to increase philanthropic giving</w:t>
      </w:r>
      <w:bookmarkEnd w:id="29"/>
      <w:bookmarkEnd w:id="30"/>
      <w:bookmarkEnd w:id="31"/>
      <w:r w:rsidRPr="007F6D0B">
        <w:t xml:space="preserve"> </w:t>
      </w:r>
      <w:bookmarkEnd w:id="32"/>
    </w:p>
    <w:p w14:paraId="6DA9C2F9" w14:textId="77777777" w:rsidR="00F114A9" w:rsidRDefault="00F114A9" w:rsidP="00F114A9">
      <w:pPr>
        <w:pStyle w:val="Heading2"/>
      </w:pPr>
      <w:bookmarkStart w:id="33" w:name="_Toc136018066"/>
      <w:bookmarkStart w:id="34" w:name="_Toc136021484"/>
      <w:bookmarkStart w:id="35" w:name="_Toc136365536"/>
      <w:bookmarkStart w:id="36" w:name="_Toc136441129"/>
      <w:r>
        <w:t>Effective and efficient use of donations</w:t>
      </w:r>
      <w:bookmarkEnd w:id="33"/>
      <w:bookmarkEnd w:id="34"/>
      <w:bookmarkEnd w:id="35"/>
      <w:bookmarkEnd w:id="36"/>
    </w:p>
    <w:p w14:paraId="24A9BE26" w14:textId="77777777" w:rsidR="00F114A9" w:rsidRDefault="00F114A9" w:rsidP="00F114A9">
      <w:r>
        <w:t>It is reasonable to assume that philanthropists – from large foundations to individual small donors - want to see their donations used efficiently and effectively. Growing giving will require donors to maintain or increase their confidence that their donations are being used appropriately – to generate improved economic, social or environmental outcomes.</w:t>
      </w:r>
    </w:p>
    <w:p w14:paraId="1EF07CAB" w14:textId="77777777" w:rsidR="00F114A9" w:rsidRDefault="00F114A9" w:rsidP="00F114A9">
      <w:r>
        <w:t xml:space="preserve">Unfortunately, the narrative around NFP effectiveness too often defaults to an emphasis on using funds for direct service delivery, not ‘overhead’ or indirect costs. This is sometimes phrased as wanting their money to go to ‘people in need’ or ‘frontline services’. </w:t>
      </w:r>
      <w:r w:rsidRPr="00386115">
        <w:t>This attitude towards indirect costs is common despite significant evidence showing that indirect costs do not indicate the efficiency or effectiveness of an NFP.</w:t>
      </w:r>
      <w:r>
        <w:rPr>
          <w:rStyle w:val="FootnoteReference"/>
        </w:rPr>
        <w:footnoteReference w:id="2"/>
      </w:r>
      <w:r>
        <w:t xml:space="preserve"> </w:t>
      </w:r>
      <w:r w:rsidRPr="00386115">
        <w:t>In fact, the opposite is often true. Spending insufficient resources on indirect costs has been shown to reduce overall NFP effectiveness.</w:t>
      </w:r>
      <w:r>
        <w:rPr>
          <w:rStyle w:val="FootnoteReference"/>
        </w:rPr>
        <w:footnoteReference w:id="3"/>
      </w:r>
      <w:r w:rsidRPr="00386115">
        <w:t xml:space="preserve"> This is intuitive – an organisation that can invest in training its staff, building good financial systems, and measuring its impact is much better placed to be effective than one that cannot.</w:t>
      </w:r>
    </w:p>
    <w:p w14:paraId="0AEB5CD4" w14:textId="77777777" w:rsidR="00F114A9" w:rsidRDefault="00F114A9" w:rsidP="00F114A9">
      <w:pPr>
        <w:rPr>
          <w:rFonts w:eastAsia="Times New Roman"/>
        </w:rPr>
      </w:pPr>
      <w:r>
        <w:t xml:space="preserve">Recent research from SVA, the Centre for Social Impact (CSI) and Philanthropy Australia on ‘Paying What It Takes’ has shown that NFPs in Australia are, in general, not funded for the actual cost of what they do (see Box 2). </w:t>
      </w:r>
      <w:r>
        <w:rPr>
          <w:rFonts w:eastAsia="Times New Roman"/>
        </w:rPr>
        <w:t>We found that indirect costs account for an average of 33 per cent of expenditure across a range of Australian NFPs, but that funding agreements tend to only provide between 0 and 20% for such purposes. This leaves NFPs with little choice but to underinvest in critical capabilities.</w:t>
      </w:r>
    </w:p>
    <w:p w14:paraId="0254E70B" w14:textId="77777777" w:rsidR="00F114A9" w:rsidRDefault="00F114A9" w:rsidP="00F114A9">
      <w:r>
        <w:t>This challenge is compounded by the fact that NFPs often run on thin margins, with limited reserves and little ability to raise capital to invest in their own future capability.</w:t>
      </w:r>
      <w:r>
        <w:rPr>
          <w:rStyle w:val="FootnoteReference"/>
        </w:rPr>
        <w:footnoteReference w:id="4"/>
      </w:r>
      <w:r>
        <w:t xml:space="preserve"> US research has shown that one of the key drivers of this financial vulnerability is insufficient funding of not-for-profit indirect costs.</w:t>
      </w:r>
      <w:r>
        <w:rPr>
          <w:rStyle w:val="FootnoteReference"/>
        </w:rPr>
        <w:footnoteReference w:id="5"/>
      </w:r>
      <w:r>
        <w:t xml:space="preserve"> </w:t>
      </w:r>
      <w:r w:rsidRPr="007F6D0B">
        <w:t xml:space="preserve">This is called the ‘non-profit starvation cycle’, in which funders having inaccurate expectations of how much overhead is needed to run a </w:t>
      </w:r>
      <w:r>
        <w:t>NFP</w:t>
      </w:r>
      <w:r w:rsidRPr="007F6D0B">
        <w:t xml:space="preserve"> means these organisations underrepresent their costs. This leads to a sector starved of the necessary core funding required to create resilient </w:t>
      </w:r>
      <w:r>
        <w:t>NFPs</w:t>
      </w:r>
      <w:r w:rsidRPr="007F6D0B">
        <w:t xml:space="preserve"> delivering long-term impact on complex social issue</w:t>
      </w:r>
      <w:r>
        <w:t>s. Our research indicates that similar dynamics are operating in Australia.</w:t>
      </w:r>
    </w:p>
    <w:p w14:paraId="0E30430D" w14:textId="77777777" w:rsidR="00F114A9" w:rsidRDefault="00F114A9" w:rsidP="00F114A9">
      <w:pPr>
        <w:rPr>
          <w:shd w:val="clear" w:color="auto" w:fill="FFFFFF"/>
        </w:rPr>
      </w:pPr>
      <w:r>
        <w:t xml:space="preserve">For charities to run efficiently and effectively – and to make the best use of donations to improve outcomes - investment in indirect costs is critical. They include vital functions such as IT, finance, human resources, measurement and evaluation. Without these functions, the organisation operates less </w:t>
      </w:r>
      <w:proofErr w:type="gramStart"/>
      <w:r>
        <w:t>effectively</w:t>
      </w:r>
      <w:proofErr w:type="gramEnd"/>
      <w:r>
        <w:t xml:space="preserve"> and its impact is reduced. </w:t>
      </w:r>
      <w:r>
        <w:rPr>
          <w:shd w:val="clear" w:color="auto" w:fill="FFFFFF"/>
        </w:rPr>
        <w:t>By one measure, Australian businesses spend twice the amount that NFPs do per employee on key capabilities such as training, IT, quality, and marketing.</w:t>
      </w:r>
      <w:r>
        <w:rPr>
          <w:rStyle w:val="FootnoteReference"/>
          <w:shd w:val="clear" w:color="auto" w:fill="FFFFFF"/>
        </w:rPr>
        <w:footnoteReference w:id="6"/>
      </w:r>
      <w:r>
        <w:rPr>
          <w:shd w:val="clear" w:color="auto" w:fill="FFFFFF"/>
        </w:rPr>
        <w:t xml:space="preserve"> This leaves NFPs both less efficient and more vulnerable to external shocks. </w:t>
      </w:r>
    </w:p>
    <w:p w14:paraId="6C890A16" w14:textId="77777777" w:rsidR="00F114A9" w:rsidRDefault="00F114A9" w:rsidP="00F114A9">
      <w:r>
        <w:t>Technology provides an illustrative example here. Few would argue with the proposition that having effective technology systems and equipment is important for an organisation of any scale to run efficiently. However, many NFPs have difficulty in accessing the resources needed to establish and maintain such systems. Prior to the pandemic, only 43% of non-profits surveyed were using cloud-</w:t>
      </w:r>
      <w:r>
        <w:lastRenderedPageBreak/>
        <w:t>based systems.</w:t>
      </w:r>
      <w:r>
        <w:rPr>
          <w:rStyle w:val="FootnoteReference"/>
        </w:rPr>
        <w:footnoteReference w:id="7"/>
      </w:r>
      <w:r>
        <w:t xml:space="preserve"> This lagging investment in technology made the shift to remote work more challenging for many organisations. At the same time, 55% of NFPs reported that funding and costs was the major barrier to making better use of technology.</w:t>
      </w:r>
      <w:r>
        <w:rPr>
          <w:rStyle w:val="FootnoteReference"/>
        </w:rPr>
        <w:footnoteReference w:id="8"/>
      </w:r>
      <w:r>
        <w:t xml:space="preserve"> With growing concerns about cybersecurity, donors may reasonably expect that NFPs will have appropriate systems in place to protect critical data. However, this will be extremely difficult to achieve if donors are not prepared to fund the appropriate infrastructure and skills within the organisation.</w:t>
      </w:r>
      <w:r w:rsidRPr="004364DB">
        <w:t xml:space="preserve"> </w:t>
      </w:r>
      <w:r>
        <w:t xml:space="preserve">In 2022, </w:t>
      </w:r>
      <w:r w:rsidRPr="004364DB">
        <w:t>only 47% of organisations indicated that they provide cyber-security awareness training to their staff</w:t>
      </w:r>
      <w:r>
        <w:t>, and 45% do not have a data breach response plan. Budget and funding constraints, along with access to affordable, skilled, technical resources, remain the biggest barriers to change.</w:t>
      </w:r>
      <w:r>
        <w:rPr>
          <w:rStyle w:val="FootnoteReference"/>
        </w:rPr>
        <w:footnoteReference w:id="9"/>
      </w:r>
      <w:r>
        <w:t xml:space="preserve"> </w:t>
      </w:r>
    </w:p>
    <w:p w14:paraId="336A5940" w14:textId="77777777" w:rsidR="002B7E67" w:rsidRDefault="002B7E67" w:rsidP="002B7E67">
      <w:pPr>
        <w:pStyle w:val="Boxheader"/>
        <w:pBdr>
          <w:top w:val="single" w:sz="8" w:space="1" w:color="002D62" w:themeColor="background2"/>
          <w:left w:val="single" w:sz="8" w:space="4" w:color="002D62" w:themeColor="background2"/>
          <w:bottom w:val="single" w:sz="8" w:space="1" w:color="002D62" w:themeColor="background2"/>
          <w:right w:val="single" w:sz="8" w:space="4" w:color="002D62" w:themeColor="background2"/>
        </w:pBdr>
      </w:pPr>
      <w:bookmarkStart w:id="37" w:name="_Toc136021485"/>
      <w:bookmarkStart w:id="38" w:name="_Toc136365537"/>
    </w:p>
    <w:p w14:paraId="6054DFF5" w14:textId="186D47DB" w:rsidR="00F114A9" w:rsidRPr="002B7E67" w:rsidRDefault="00F114A9" w:rsidP="002B7E67">
      <w:pPr>
        <w:pStyle w:val="Boxheader"/>
        <w:pBdr>
          <w:top w:val="single" w:sz="8" w:space="1" w:color="002D62" w:themeColor="background2"/>
          <w:left w:val="single" w:sz="8" w:space="4" w:color="002D62" w:themeColor="background2"/>
          <w:bottom w:val="single" w:sz="8" w:space="1" w:color="002D62" w:themeColor="background2"/>
          <w:right w:val="single" w:sz="8" w:space="4" w:color="002D62" w:themeColor="background2"/>
        </w:pBdr>
      </w:pPr>
      <w:bookmarkStart w:id="39" w:name="_Toc136441130"/>
      <w:r w:rsidRPr="002B7E67">
        <w:t>Box 2: Paying what it takes – the Australian landscape</w:t>
      </w:r>
      <w:r w:rsidRPr="002B7E67">
        <w:rPr>
          <w:rStyle w:val="FootnoteReference"/>
          <w:rFonts w:eastAsia="Times New Roman"/>
        </w:rPr>
        <w:footnoteReference w:id="10"/>
      </w:r>
      <w:bookmarkEnd w:id="37"/>
      <w:bookmarkEnd w:id="38"/>
      <w:bookmarkEnd w:id="39"/>
    </w:p>
    <w:p w14:paraId="33209E7C" w14:textId="505AD7A6" w:rsidR="00F114A9" w:rsidRDefault="00F114A9" w:rsidP="002B7E67">
      <w:pPr>
        <w:pBdr>
          <w:top w:val="single" w:sz="8" w:space="1" w:color="002D62" w:themeColor="background2"/>
          <w:left w:val="single" w:sz="8" w:space="4" w:color="002D62" w:themeColor="background2"/>
          <w:bottom w:val="single" w:sz="8" w:space="1" w:color="002D62" w:themeColor="background2"/>
          <w:right w:val="single" w:sz="8" w:space="4" w:color="002D62" w:themeColor="background2"/>
        </w:pBdr>
        <w:rPr>
          <w:snapToGrid/>
          <w:lang w:eastAsia="en-AU"/>
        </w:rPr>
      </w:pPr>
      <w:r>
        <w:rPr>
          <w:snapToGrid/>
          <w:lang w:eastAsia="en-AU"/>
        </w:rPr>
        <w:t xml:space="preserve">Research </w:t>
      </w:r>
      <w:r w:rsidRPr="00B15D52">
        <w:rPr>
          <w:snapToGrid/>
          <w:lang w:eastAsia="en-AU"/>
        </w:rPr>
        <w:t>shows the extent to which NFPs are underpaid for their indirect costs in Australia. Nine Australian NFPs, which ranged in size from $100m to $100k in annual revenue and worked across the arts, disability, and family services sectors, agreed to open their books for analysis. These NFPs had average indirect costs of 33% of their total expenses, with a range from 26% to 47% (</w:t>
      </w:r>
      <w:r w:rsidR="002B7E67">
        <w:rPr>
          <w:snapToGrid/>
          <w:lang w:eastAsia="en-AU"/>
        </w:rPr>
        <w:t>s</w:t>
      </w:r>
      <w:r w:rsidRPr="00B15D52">
        <w:rPr>
          <w:snapToGrid/>
          <w:lang w:eastAsia="en-AU"/>
        </w:rPr>
        <w:t>ee Figure 1)</w:t>
      </w:r>
      <w:r w:rsidR="002B7E67">
        <w:rPr>
          <w:snapToGrid/>
          <w:lang w:eastAsia="en-AU"/>
        </w:rPr>
        <w:t>.</w:t>
      </w:r>
      <w:r w:rsidRPr="00B15D52">
        <w:rPr>
          <w:snapToGrid/>
          <w:lang w:eastAsia="en-AU"/>
        </w:rPr>
        <w:t xml:space="preserve"> This far exceeded what is normally included in funding agreements (which generally range between 0% and 20%). This figure is also higher than what NFPs regarded as the maximum that philanthropy is willing to pay.</w:t>
      </w:r>
    </w:p>
    <w:p w14:paraId="41ACD29C" w14:textId="1E189539" w:rsidR="00A9170A" w:rsidRPr="00B15D52" w:rsidRDefault="00A9170A" w:rsidP="002B7E67">
      <w:pPr>
        <w:pBdr>
          <w:top w:val="single" w:sz="8" w:space="1" w:color="002D62" w:themeColor="background2"/>
          <w:left w:val="single" w:sz="8" w:space="4" w:color="002D62" w:themeColor="background2"/>
          <w:bottom w:val="single" w:sz="8" w:space="1" w:color="002D62" w:themeColor="background2"/>
          <w:right w:val="single" w:sz="8" w:space="4" w:color="002D62" w:themeColor="background2"/>
        </w:pBdr>
        <w:rPr>
          <w:snapToGrid/>
          <w:lang w:eastAsia="en-AU"/>
        </w:rPr>
      </w:pPr>
      <w:r w:rsidRPr="00A9170A">
        <w:rPr>
          <w:sz w:val="16"/>
          <w:szCs w:val="16"/>
        </w:rPr>
        <w:t>Figure 1. Surveyed NFPs had average indirect costs of 33%</w:t>
      </w:r>
    </w:p>
    <w:p w14:paraId="056CC4C8" w14:textId="0578C52A" w:rsidR="00F114A9" w:rsidRDefault="00F114A9" w:rsidP="002B7E67">
      <w:pPr>
        <w:pBdr>
          <w:top w:val="single" w:sz="8" w:space="1" w:color="002D62" w:themeColor="background2"/>
          <w:left w:val="single" w:sz="8" w:space="4" w:color="002D62" w:themeColor="background2"/>
          <w:bottom w:val="single" w:sz="8" w:space="1" w:color="002D62" w:themeColor="background2"/>
          <w:right w:val="single" w:sz="8" w:space="4" w:color="002D62" w:themeColor="background2"/>
        </w:pBdr>
      </w:pPr>
      <w:r w:rsidRPr="00B15D52">
        <w:rPr>
          <w:noProof/>
        </w:rPr>
        <w:drawing>
          <wp:inline distT="0" distB="0" distL="0" distR="0" wp14:anchorId="018B61B1" wp14:editId="7D421F91">
            <wp:extent cx="5775158" cy="2336910"/>
            <wp:effectExtent l="0" t="0" r="0" b="6350"/>
            <wp:docPr id="1353019875" name="Picture 1353019875" descr="A chart showing that indirect costs make up between 28 and 42% of indirect costs in 9 organisations, with an average of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19875" name="Picture 1353019875" descr="A chart showing that indirect costs make up between 28 and 42% of indirect costs in 9 organisations, with an average of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84922" cy="2340861"/>
                    </a:xfrm>
                    <a:prstGeom prst="rect">
                      <a:avLst/>
                    </a:prstGeom>
                    <a:noFill/>
                    <a:ln>
                      <a:noFill/>
                    </a:ln>
                  </pic:spPr>
                </pic:pic>
              </a:graphicData>
            </a:graphic>
          </wp:inline>
        </w:drawing>
      </w:r>
    </w:p>
    <w:p w14:paraId="38C5D5F1" w14:textId="77777777" w:rsidR="00F114A9" w:rsidRDefault="00F114A9" w:rsidP="002B7E67">
      <w:pPr>
        <w:pBdr>
          <w:top w:val="single" w:sz="8" w:space="1" w:color="002D62" w:themeColor="background2"/>
          <w:left w:val="single" w:sz="8" w:space="4" w:color="002D62" w:themeColor="background2"/>
          <w:bottom w:val="single" w:sz="8" w:space="1" w:color="002D62" w:themeColor="background2"/>
          <w:right w:val="single" w:sz="8" w:space="4" w:color="002D62" w:themeColor="background2"/>
        </w:pBdr>
      </w:pPr>
      <w:r>
        <w:t xml:space="preserve">The research also found that: </w:t>
      </w:r>
    </w:p>
    <w:p w14:paraId="18AD5B9D" w14:textId="77777777" w:rsidR="00F114A9" w:rsidRDefault="00F114A9" w:rsidP="002B7E67">
      <w:pPr>
        <w:pStyle w:val="ListBullet"/>
        <w:pBdr>
          <w:top w:val="single" w:sz="8" w:space="1" w:color="002D62" w:themeColor="background2"/>
          <w:left w:val="single" w:sz="8" w:space="4" w:color="002D62" w:themeColor="background2"/>
          <w:bottom w:val="single" w:sz="8" w:space="1" w:color="002D62" w:themeColor="background2"/>
          <w:right w:val="single" w:sz="8" w:space="4" w:color="002D62" w:themeColor="background2"/>
        </w:pBdr>
      </w:pPr>
      <w:r w:rsidRPr="005A0881">
        <w:t xml:space="preserve">Indirect costs do not indicate the efficiency or effectiveness of a not-for-profit </w:t>
      </w:r>
    </w:p>
    <w:p w14:paraId="4DA06070" w14:textId="77777777" w:rsidR="00F114A9" w:rsidRDefault="00F114A9" w:rsidP="002B7E67">
      <w:pPr>
        <w:pStyle w:val="ListBullet"/>
        <w:pBdr>
          <w:top w:val="single" w:sz="8" w:space="1" w:color="002D62" w:themeColor="background2"/>
          <w:left w:val="single" w:sz="8" w:space="4" w:color="002D62" w:themeColor="background2"/>
          <w:bottom w:val="single" w:sz="8" w:space="1" w:color="002D62" w:themeColor="background2"/>
          <w:right w:val="single" w:sz="8" w:space="4" w:color="002D62" w:themeColor="background2"/>
        </w:pBdr>
      </w:pPr>
      <w:r w:rsidRPr="005A0881">
        <w:t xml:space="preserve">Caps on indirect costs leads to lower capability and effectiveness </w:t>
      </w:r>
    </w:p>
    <w:p w14:paraId="1CA090B1" w14:textId="77777777" w:rsidR="00F114A9" w:rsidRDefault="00F114A9" w:rsidP="002B7E67">
      <w:pPr>
        <w:pStyle w:val="ListBullet"/>
        <w:pBdr>
          <w:top w:val="single" w:sz="8" w:space="1" w:color="002D62" w:themeColor="background2"/>
          <w:left w:val="single" w:sz="8" w:space="4" w:color="002D62" w:themeColor="background2"/>
          <w:bottom w:val="single" w:sz="8" w:space="1" w:color="002D62" w:themeColor="background2"/>
          <w:right w:val="single" w:sz="8" w:space="4" w:color="002D62" w:themeColor="background2"/>
        </w:pBdr>
      </w:pPr>
      <w:r w:rsidRPr="005A0881">
        <w:t>The drivers of indirect cost underfunding are complex and interrelated</w:t>
      </w:r>
    </w:p>
    <w:p w14:paraId="5B0EE2CA" w14:textId="77777777" w:rsidR="002B7E67" w:rsidRDefault="002B7E67" w:rsidP="002B7E67">
      <w:pPr>
        <w:pBdr>
          <w:top w:val="single" w:sz="8" w:space="1" w:color="002D62" w:themeColor="background2"/>
          <w:left w:val="single" w:sz="8" w:space="4" w:color="002D62" w:themeColor="background2"/>
          <w:bottom w:val="single" w:sz="8" w:space="1" w:color="002D62" w:themeColor="background2"/>
          <w:right w:val="single" w:sz="8" w:space="4" w:color="002D62" w:themeColor="background2"/>
        </w:pBdr>
      </w:pPr>
    </w:p>
    <w:p w14:paraId="56DB8E45" w14:textId="77777777" w:rsidR="00F114A9" w:rsidRDefault="00F114A9" w:rsidP="00F114A9">
      <w:r>
        <w:t>I</w:t>
      </w:r>
      <w:r w:rsidRPr="00C92FD4">
        <w:t xml:space="preserve">ncreased demand for outcomes measurement, which is typically an indirect cost for </w:t>
      </w:r>
      <w:r>
        <w:t>NFPs</w:t>
      </w:r>
      <w:r w:rsidRPr="00C92FD4">
        <w:t xml:space="preserve">, and trends towards greater regulation means pressure on indirect costs is rising. Currently, </w:t>
      </w:r>
      <w:r>
        <w:t>NFPs</w:t>
      </w:r>
      <w:r w:rsidRPr="00C92FD4">
        <w:t xml:space="preserve"> spend </w:t>
      </w:r>
      <w:r w:rsidRPr="00C92FD4">
        <w:lastRenderedPageBreak/>
        <w:t xml:space="preserve">significant time searching for untied funding to shore up existing programs and introduce </w:t>
      </w:r>
      <w:proofErr w:type="gramStart"/>
      <w:r w:rsidRPr="00C92FD4">
        <w:t>work-arounds</w:t>
      </w:r>
      <w:proofErr w:type="gramEnd"/>
      <w:r w:rsidRPr="00C92FD4">
        <w:t xml:space="preserve"> to mask indirect costs. This underinvestment increases risk for beneficiaries as well as risk of non-compliance with regulations or funder requirements.</w:t>
      </w:r>
    </w:p>
    <w:p w14:paraId="3FEDE135" w14:textId="77777777" w:rsidR="00F114A9" w:rsidRDefault="00F114A9" w:rsidP="00F114A9">
      <w:r>
        <w:t xml:space="preserve">There are multiple actions that governments could take to increase the efficient and effective use of donations by addressing the issue of paying for the full costs of services. These include: </w:t>
      </w:r>
    </w:p>
    <w:p w14:paraId="23E57690" w14:textId="77777777" w:rsidR="00F114A9" w:rsidRDefault="00F114A9" w:rsidP="00F114A9">
      <w:pPr>
        <w:pStyle w:val="ListBullet"/>
      </w:pPr>
      <w:r>
        <w:t xml:space="preserve">Adequately funding indirect costs in its contracts with NFPs. This would model best </w:t>
      </w:r>
      <w:proofErr w:type="gramStart"/>
      <w:r>
        <w:t>practice, and</w:t>
      </w:r>
      <w:proofErr w:type="gramEnd"/>
      <w:r>
        <w:t xml:space="preserve"> reduce the need for NFPs to cross-subsidise government programs with philanthropic funding – in turn increasing the good they can do with philanthropic funds.</w:t>
      </w:r>
    </w:p>
    <w:p w14:paraId="350230A7" w14:textId="77777777" w:rsidR="00F114A9" w:rsidRDefault="00F114A9" w:rsidP="00F114A9">
      <w:pPr>
        <w:pStyle w:val="ListBullet"/>
      </w:pPr>
      <w:r>
        <w:t>Ensure that public communications about the importance of NFPs and giving do not include false dichotomies about direct and indirect costs.</w:t>
      </w:r>
    </w:p>
    <w:p w14:paraId="3011554E" w14:textId="77777777" w:rsidR="00F114A9" w:rsidRDefault="00F114A9" w:rsidP="00F114A9">
      <w:pPr>
        <w:pStyle w:val="ListBullet"/>
      </w:pPr>
      <w:r>
        <w:t>Avoid creating ‘unfunded mandates’ where NFPs are required to bear the cost of decisions made by government. Governments already do this for some direct costs – for example, in providing additional funding to service providers whose employees are granted significant wage rises by the Fair Work Commission.</w:t>
      </w:r>
      <w:r>
        <w:rPr>
          <w:rStyle w:val="FootnoteReference"/>
          <w:rFonts w:eastAsia="Times New Roman"/>
        </w:rPr>
        <w:footnoteReference w:id="11"/>
      </w:r>
      <w:r>
        <w:t xml:space="preserve"> If government introduces requirements that impose additional indirect costs on NFPs, such as new regulatory requirements that may necessitate additional back-office capacity, then it should also fund those mandates.</w:t>
      </w:r>
    </w:p>
    <w:p w14:paraId="240254A0" w14:textId="77777777" w:rsidR="00F114A9" w:rsidRPr="00E03CEC" w:rsidRDefault="00F114A9" w:rsidP="00F114A9">
      <w:pPr>
        <w:pStyle w:val="Heading2"/>
      </w:pPr>
      <w:bookmarkStart w:id="40" w:name="_Toc136365538"/>
      <w:bookmarkStart w:id="41" w:name="_Toc136441131"/>
      <w:r>
        <w:t>Supporting NFPs to raise capital</w:t>
      </w:r>
      <w:bookmarkEnd w:id="40"/>
      <w:bookmarkEnd w:id="41"/>
    </w:p>
    <w:p w14:paraId="087535F3" w14:textId="77777777" w:rsidR="00F114A9" w:rsidRDefault="00F114A9" w:rsidP="00F114A9">
      <w:r>
        <w:t xml:space="preserve">NFPs have </w:t>
      </w:r>
      <w:proofErr w:type="gramStart"/>
      <w:r>
        <w:t>particular challenges</w:t>
      </w:r>
      <w:proofErr w:type="gramEnd"/>
      <w:r>
        <w:t xml:space="preserve"> in raising capital.</w:t>
      </w:r>
      <w:r>
        <w:rPr>
          <w:rStyle w:val="FootnoteReference"/>
        </w:rPr>
        <w:footnoteReference w:id="12"/>
      </w:r>
      <w:r>
        <w:t xml:space="preserve"> </w:t>
      </w:r>
      <w:r w:rsidRPr="007A2A2F">
        <w:t xml:space="preserve">Unlike businesses, </w:t>
      </w:r>
      <w:r>
        <w:t>NFPs</w:t>
      </w:r>
      <w:r w:rsidRPr="007A2A2F">
        <w:t xml:space="preserve"> can’t raise equity from shareholders. Most aren’t </w:t>
      </w:r>
      <w:proofErr w:type="gramStart"/>
      <w:r w:rsidRPr="007A2A2F">
        <w:t>in a position</w:t>
      </w:r>
      <w:proofErr w:type="gramEnd"/>
      <w:r w:rsidRPr="007A2A2F">
        <w:t xml:space="preserve"> to take on debt to help them smooth their income, adapt their business model or invest in rebuilding. Although on paper some large charities appear to have a large asset base, many of their assets are necessary for them to pursue their purpose, such as a hospital for a health charity, or a campus for an educational institution and cannot be used as a source of funds. Moreover, charities cannot easily take out loans against these assets, because their constrained and inflexible revenue streams can be unattractive propositions for lenders. Charity boards may also be understandably reluctant to take on the risk of debt due to the uncertainty of future revenue sources to repay these debts and the organisational risks and personal liabilities they may face.</w:t>
      </w:r>
    </w:p>
    <w:p w14:paraId="13A36B1F" w14:textId="77777777" w:rsidR="00F114A9" w:rsidRDefault="00F114A9" w:rsidP="00F114A9">
      <w:r>
        <w:t>Without access to capital, it is difficult for NFPs to invest in their own future capability and growth, as noted above.</w:t>
      </w:r>
    </w:p>
    <w:p w14:paraId="7F512E71" w14:textId="77777777" w:rsidR="00F114A9" w:rsidRDefault="00F114A9" w:rsidP="00F114A9">
      <w:r>
        <w:t>We encourage the Commission to consider options for donors to support NFPs to raise and harness capital, including:</w:t>
      </w:r>
    </w:p>
    <w:p w14:paraId="686FAF5E" w14:textId="77777777" w:rsidR="00F114A9" w:rsidRDefault="00F114A9" w:rsidP="00F114A9">
      <w:pPr>
        <w:pStyle w:val="ListBullet"/>
      </w:pPr>
      <w:r>
        <w:t>Options for donors to transfer assets to NFPs via advance bequest arrangements. In these models, a donor places an asset in trust for the benefit of the NFP upon the donor’s passing. The NFP can use the asset as a capital base, while the donor still receives an income stream from the asset while they are alive.</w:t>
      </w:r>
    </w:p>
    <w:p w14:paraId="1FA78EFA" w14:textId="77777777" w:rsidR="00F114A9" w:rsidRDefault="00F114A9" w:rsidP="00F114A9">
      <w:pPr>
        <w:pStyle w:val="ListBullet"/>
      </w:pPr>
      <w:r>
        <w:t>Options to encourage donors, particularly large foundations, to use their corpus to invest in charities as a means of providing patient low-cost capital via impact investing approaches.</w:t>
      </w:r>
    </w:p>
    <w:p w14:paraId="7A24E0E3" w14:textId="77777777" w:rsidR="00F114A9" w:rsidRDefault="00F114A9" w:rsidP="00F114A9">
      <w:pPr>
        <w:pStyle w:val="ListBullet"/>
      </w:pPr>
      <w:r>
        <w:t>Options for blended funding models that combine returnable and non-returnable capital, as recommended by the government’s Social Impact Investing Taskforce.</w:t>
      </w:r>
    </w:p>
    <w:p w14:paraId="73D45D06" w14:textId="77777777" w:rsidR="00F114A9" w:rsidRDefault="00F114A9" w:rsidP="00F114A9">
      <w:pPr>
        <w:adjustRightInd/>
        <w:snapToGrid/>
        <w:spacing w:before="0" w:after="0" w:line="240" w:lineRule="auto"/>
        <w:rPr>
          <w:rFonts w:cstheme="majorHAnsi"/>
          <w:bCs/>
          <w:color w:val="auto"/>
          <w:kern w:val="32"/>
          <w:sz w:val="32"/>
          <w:szCs w:val="32"/>
          <w:highlight w:val="yellow"/>
        </w:rPr>
      </w:pPr>
      <w:bookmarkStart w:id="42" w:name="_Toc136018067"/>
      <w:bookmarkStart w:id="43" w:name="_Toc136021486"/>
      <w:r>
        <w:rPr>
          <w:highlight w:val="yellow"/>
        </w:rPr>
        <w:br w:type="page"/>
      </w:r>
    </w:p>
    <w:p w14:paraId="3501930F" w14:textId="77777777" w:rsidR="00F114A9" w:rsidRDefault="00F114A9" w:rsidP="00F114A9">
      <w:pPr>
        <w:pStyle w:val="Heading1"/>
      </w:pPr>
      <w:bookmarkStart w:id="44" w:name="_Toc136365539"/>
      <w:bookmarkStart w:id="45" w:name="_Toc136441132"/>
      <w:r w:rsidRPr="004A56CA">
        <w:lastRenderedPageBreak/>
        <w:t>3. Current barriers to philanthropic giving</w:t>
      </w:r>
      <w:bookmarkEnd w:id="42"/>
      <w:bookmarkEnd w:id="43"/>
      <w:bookmarkEnd w:id="44"/>
      <w:bookmarkEnd w:id="45"/>
      <w:r>
        <w:t xml:space="preserve"> </w:t>
      </w:r>
    </w:p>
    <w:p w14:paraId="1873853C" w14:textId="77777777" w:rsidR="00F114A9" w:rsidRPr="00EA10B8" w:rsidRDefault="00F114A9" w:rsidP="00F114A9">
      <w:pPr>
        <w:pStyle w:val="Heading2"/>
      </w:pPr>
      <w:bookmarkStart w:id="46" w:name="_Toc136018068"/>
      <w:bookmarkStart w:id="47" w:name="_Toc136021487"/>
      <w:bookmarkStart w:id="48" w:name="_Toc136365540"/>
      <w:bookmarkStart w:id="49" w:name="_Toc136441133"/>
      <w:r>
        <w:t>Measuring and comparing NFP effectiveness</w:t>
      </w:r>
      <w:bookmarkEnd w:id="46"/>
      <w:bookmarkEnd w:id="47"/>
      <w:bookmarkEnd w:id="48"/>
      <w:bookmarkEnd w:id="49"/>
    </w:p>
    <w:p w14:paraId="22CB2005" w14:textId="77777777" w:rsidR="00F114A9" w:rsidRDefault="00F114A9" w:rsidP="00F114A9">
      <w:r>
        <w:t xml:space="preserve">SVA strongly supports efforts to better understand NFP effectiveness, and as noted above we have done extensive work in this area. We understand that donors are interested in having their money go to where it can do </w:t>
      </w:r>
      <w:proofErr w:type="gramStart"/>
      <w:r>
        <w:t>most good</w:t>
      </w:r>
      <w:proofErr w:type="gramEnd"/>
      <w:r>
        <w:t>, and that NFPs are interested in generating better outcomes for the cause they are working towards.</w:t>
      </w:r>
    </w:p>
    <w:p w14:paraId="659835C2" w14:textId="77777777" w:rsidR="00F114A9" w:rsidRDefault="00F114A9" w:rsidP="00F114A9">
      <w:r>
        <w:t xml:space="preserve">However, based on this experience, we strongly believe that there is no single set of measures that can comprehensively assess the effectiveness of charities in a comparative way. Measuring effectiveness well requires a focus on outcomes relevant to the purpose of the organisation, not a generic set of criteria.  We also know that rigorously measuring effectiveness can require a significant investment of time and resources which, as noted in the previous section, are not easy for NFPs to access. </w:t>
      </w:r>
    </w:p>
    <w:p w14:paraId="1B533A6E" w14:textId="77777777" w:rsidR="00F114A9" w:rsidRDefault="00F114A9" w:rsidP="00F114A9">
      <w:r>
        <w:t xml:space="preserve">For these reasons we are concerned that, if not well-designed, an Australian charity comparison site could introduce perverse incentives for charities that may </w:t>
      </w:r>
      <w:r w:rsidRPr="00581B5C">
        <w:rPr>
          <w:i/>
          <w:iCs/>
        </w:rPr>
        <w:t>decrease</w:t>
      </w:r>
      <w:r>
        <w:t xml:space="preserve"> the effectiveness of philanthropic giving. This may occur because:</w:t>
      </w:r>
    </w:p>
    <w:p w14:paraId="62F55777" w14:textId="77777777" w:rsidR="00F114A9" w:rsidRDefault="00F114A9" w:rsidP="00F114A9">
      <w:pPr>
        <w:pStyle w:val="ListBullet"/>
      </w:pPr>
      <w:r>
        <w:t>Not all charities undertake activities that are well-suited to straightforward impact measurements. By the nature of their work and charitable purpose, some NFPs will have a much harder time defining and measuring their outputs and outcomes – for example, those working on complex issues with long time horizons for change. Comparison sites could result in lower donations to such activities, even when they are performing a critical role in society. It may also encourage charities to move their activities towards those which are easier to measure, rather than those that are most effective.</w:t>
      </w:r>
    </w:p>
    <w:p w14:paraId="79295156" w14:textId="77777777" w:rsidR="00F114A9" w:rsidRDefault="00F114A9" w:rsidP="00F114A9">
      <w:pPr>
        <w:pStyle w:val="ListBullet"/>
      </w:pPr>
      <w:r>
        <w:t>Some comparison sites use measures that disincentivise charities from investing in their own capability and future effectiveness. While measures such as ‘percentage of expenditure on overhead’ may appeal because they can be applied to charities regardless of their type of activity, they end up, at best, with charities spending effort on reclassifying expenditure to meet benchmarks. At worst, they make charities reluctant to spend on functions classified as indirect costs despite, as noted above, these functions being critical for the effectiveness of the organisation.</w:t>
      </w:r>
    </w:p>
    <w:p w14:paraId="412239AB" w14:textId="77777777" w:rsidR="00F114A9" w:rsidRDefault="00F114A9" w:rsidP="00F114A9">
      <w:r>
        <w:t>To the extent that government is interested in removing barriers to giving, we suggest that ‘comparing charity effectiveness’ is not the solution. Instead, government should focus on supporting charities to assess their impact (through dollars, access to data and capability), and highlight examples of good practice. Donors can then make choices about which organisations they support.</w:t>
      </w:r>
    </w:p>
    <w:p w14:paraId="590B1E7A" w14:textId="77777777" w:rsidR="00F114A9" w:rsidRDefault="00F114A9" w:rsidP="00F114A9">
      <w:r>
        <w:t>If government wants to support donors to assess and compare charities based on evidence and effectiveness, it should:</w:t>
      </w:r>
    </w:p>
    <w:p w14:paraId="1A9D017E" w14:textId="77777777" w:rsidR="00F114A9" w:rsidRDefault="00F114A9" w:rsidP="00F114A9">
      <w:pPr>
        <w:pStyle w:val="ListBullet"/>
      </w:pPr>
      <w:r>
        <w:t xml:space="preserve">Support charities to conduct rigorous evaluation of their own impact. This could include funding evaluation as part of service delivery contracts; supporting the development of shared impact measurement methodologies, tools and frameworks (see Box 3); and sharing available information on effectiveness by publishing government-commissioned evaluations. </w:t>
      </w:r>
    </w:p>
    <w:p w14:paraId="144F0A14" w14:textId="77777777" w:rsidR="00F114A9" w:rsidRDefault="00F114A9" w:rsidP="00F114A9">
      <w:pPr>
        <w:pStyle w:val="ListBullet"/>
      </w:pPr>
      <w:r>
        <w:t>Avoid using comparison metrics that create perverse incentives for charities, such as measures of indirect costs that incentivise charities to underinvest in their own capacity</w:t>
      </w:r>
    </w:p>
    <w:p w14:paraId="374269CC" w14:textId="77777777" w:rsidR="00F114A9" w:rsidRDefault="00F114A9" w:rsidP="00F114A9">
      <w:pPr>
        <w:pStyle w:val="ListBullet"/>
      </w:pPr>
      <w:r>
        <w:t xml:space="preserve">Demonstrate the importance of evaluating effectiveness by evaluating its own activity for </w:t>
      </w:r>
      <w:proofErr w:type="gramStart"/>
      <w:r>
        <w:t>effectiveness, and</w:t>
      </w:r>
      <w:proofErr w:type="gramEnd"/>
      <w:r>
        <w:t xml:space="preserve"> sharing those results.</w:t>
      </w:r>
    </w:p>
    <w:p w14:paraId="09E18A5C" w14:textId="77777777" w:rsidR="00F114A9" w:rsidRDefault="00F114A9" w:rsidP="00F114A9">
      <w:r>
        <w:t xml:space="preserve">There are some metrics used by international comparison sites that could be considered for adoption in Australia – for example, asking charities to report the number of independent board members, and </w:t>
      </w:r>
      <w:r>
        <w:lastRenderedPageBreak/>
        <w:t xml:space="preserve">the existence of a </w:t>
      </w:r>
      <w:proofErr w:type="gramStart"/>
      <w:r>
        <w:t>conflict of interest</w:t>
      </w:r>
      <w:proofErr w:type="gramEnd"/>
      <w:r>
        <w:t xml:space="preserve"> policy, in their Annual Information Statements to the ACNC. However, these are better thought of as measures of ‘accountability’ rather than ‘effectiveness’.</w:t>
      </w:r>
    </w:p>
    <w:p w14:paraId="22A68B70" w14:textId="77777777" w:rsidR="002B7E67" w:rsidRDefault="002B7E67" w:rsidP="002B7E67">
      <w:pPr>
        <w:pStyle w:val="Boxheade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bookmarkStart w:id="50" w:name="_Toc136365541"/>
    </w:p>
    <w:p w14:paraId="1C0B5C4A" w14:textId="583C76CD" w:rsidR="00F114A9" w:rsidRDefault="00F114A9" w:rsidP="002B7E67">
      <w:pPr>
        <w:pStyle w:val="Boxheade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bookmarkStart w:id="51" w:name="_Toc136441134"/>
      <w:r>
        <w:t>Box 3: Shared outcomes frameworks</w:t>
      </w:r>
      <w:bookmarkEnd w:id="50"/>
      <w:bookmarkEnd w:id="51"/>
      <w:r>
        <w:t xml:space="preserve"> </w:t>
      </w:r>
    </w:p>
    <w:p w14:paraId="7AE05680" w14:textId="77777777" w:rsidR="00F114A9" w:rsidRPr="004D165A" w:rsidRDefault="00F114A9" w:rsidP="002B7E67">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r>
        <w:t>One way to improve the ability of NFPs to measure effectiveness is the use of</w:t>
      </w:r>
      <w:r w:rsidRPr="004D165A">
        <w:t xml:space="preserve"> shared evaluation and measurement framework. If government, communities and </w:t>
      </w:r>
      <w:r>
        <w:t>NFPs</w:t>
      </w:r>
      <w:r w:rsidRPr="004D165A">
        <w:t xml:space="preserve"> have an agreed set of outcomes they are pursuing, and therefore a common understanding of what success looks like, this can reduce fragmentation and lay the foundation for greater collaboration</w:t>
      </w:r>
      <w:r>
        <w:t>, as well as saving time and effort by reducing duplication</w:t>
      </w:r>
      <w:r w:rsidRPr="004D165A">
        <w:t>.</w:t>
      </w:r>
    </w:p>
    <w:p w14:paraId="0B63619E" w14:textId="77777777" w:rsidR="00F114A9" w:rsidRPr="004D165A" w:rsidRDefault="00F114A9" w:rsidP="002B7E67">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r w:rsidRPr="004D165A">
        <w:t>SVA has been involved in the development of several of these frameworks</w:t>
      </w:r>
      <w:r>
        <w:t xml:space="preserve"> and related tools, including:</w:t>
      </w:r>
    </w:p>
    <w:p w14:paraId="7EA49A46" w14:textId="77777777" w:rsidR="00F114A9" w:rsidRPr="004D165A" w:rsidRDefault="00F114A9" w:rsidP="002B7E67">
      <w:pPr>
        <w:pStyle w:val="ListBullet"/>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r w:rsidRPr="004D165A">
        <w:t>a Disability Housing Outcomes Framework</w:t>
      </w:r>
      <w:r>
        <w:t>, developed in partnership with the disability housing sector.</w:t>
      </w:r>
      <w:r>
        <w:rPr>
          <w:rStyle w:val="FootnoteReference"/>
        </w:rPr>
        <w:footnoteReference w:id="13"/>
      </w:r>
      <w:r>
        <w:t xml:space="preserve"> This work includes a tool that service providers can use to measure their performance against the framework.</w:t>
      </w:r>
    </w:p>
    <w:p w14:paraId="0BBF7242" w14:textId="77777777" w:rsidR="00F114A9" w:rsidRDefault="00F114A9" w:rsidP="002B7E67">
      <w:pPr>
        <w:pStyle w:val="ListBullet"/>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r>
        <w:t xml:space="preserve">a shared outcomes framework for the </w:t>
      </w:r>
      <w:r w:rsidRPr="004D165A">
        <w:t xml:space="preserve">South Australian homelessness sector </w:t>
      </w:r>
      <w:r>
        <w:rPr>
          <w:rStyle w:val="FootnoteReference"/>
        </w:rPr>
        <w:footnoteReference w:id="14"/>
      </w:r>
    </w:p>
    <w:p w14:paraId="4A8F0726" w14:textId="77777777" w:rsidR="00F114A9" w:rsidRDefault="00F114A9" w:rsidP="002B7E67">
      <w:pPr>
        <w:pStyle w:val="ListBullet"/>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r>
        <w:t>Review for Outcomes, an online hub for youth employment program providers that provides free access to tools and resources to enable good practice in program measurement.</w:t>
      </w:r>
      <w:r>
        <w:rPr>
          <w:rStyle w:val="FootnoteReference"/>
        </w:rPr>
        <w:footnoteReference w:id="15"/>
      </w:r>
      <w:r>
        <w:t xml:space="preserve"> It includes an outcomes framework, outcomes template, and surveys</w:t>
      </w:r>
    </w:p>
    <w:p w14:paraId="6C1206FB" w14:textId="77777777" w:rsidR="00F114A9" w:rsidRDefault="00F114A9" w:rsidP="002B7E67">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r>
        <w:t xml:space="preserve">We encourage the Commission to consider how shared outcomes frameworks could be more widely used as a means of assessing effectiveness. </w:t>
      </w:r>
    </w:p>
    <w:p w14:paraId="6E47EC2D" w14:textId="77777777" w:rsidR="002B7E67" w:rsidRDefault="002B7E67" w:rsidP="002B7E67">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p>
    <w:p w14:paraId="215EB25A" w14:textId="77777777" w:rsidR="00F114A9" w:rsidRPr="000B52B7" w:rsidRDefault="00F114A9" w:rsidP="00F114A9">
      <w:pPr>
        <w:rPr>
          <w:rFonts w:ascii="Arial" w:hAnsi="Arial" w:cs="Arial"/>
        </w:rPr>
      </w:pPr>
      <w:r w:rsidRPr="1D4AC15C">
        <w:rPr>
          <w:rFonts w:ascii="Arial" w:hAnsi="Arial" w:cs="Arial"/>
        </w:rPr>
        <w:t xml:space="preserve">We would encourage government </w:t>
      </w:r>
      <w:r>
        <w:rPr>
          <w:rFonts w:ascii="Arial" w:hAnsi="Arial" w:cs="Arial"/>
        </w:rPr>
        <w:t>and philanthropists</w:t>
      </w:r>
      <w:r w:rsidRPr="000B52B7">
        <w:rPr>
          <w:rFonts w:ascii="Arial" w:hAnsi="Arial" w:cs="Arial"/>
        </w:rPr>
        <w:t xml:space="preserve"> </w:t>
      </w:r>
      <w:r w:rsidRPr="1D4AC15C">
        <w:rPr>
          <w:rFonts w:ascii="Arial" w:hAnsi="Arial" w:cs="Arial"/>
        </w:rPr>
        <w:t xml:space="preserve">to be particularly aware of the challenges of effective </w:t>
      </w:r>
      <w:r>
        <w:t>evaluation</w:t>
      </w:r>
      <w:r w:rsidRPr="1D4AC15C">
        <w:rPr>
          <w:rFonts w:ascii="Arial" w:hAnsi="Arial" w:cs="Arial"/>
        </w:rPr>
        <w:t xml:space="preserve"> of programs involving First Nations people and communities. Data sovereignty and self-determination must be central to the design and delivery of programs and services in these communities. </w:t>
      </w:r>
    </w:p>
    <w:p w14:paraId="48ECFA51" w14:textId="77777777" w:rsidR="00F114A9" w:rsidRPr="000B52B7" w:rsidRDefault="00F114A9" w:rsidP="00F114A9">
      <w:pPr>
        <w:rPr>
          <w:rFonts w:ascii="Arial" w:hAnsi="Arial" w:cs="Arial"/>
        </w:rPr>
      </w:pPr>
      <w:r w:rsidRPr="000B52B7">
        <w:rPr>
          <w:rFonts w:ascii="Arial" w:hAnsi="Arial" w:cs="Arial"/>
        </w:rPr>
        <w:t>SVA has worked with many First Nations organisations to evaluate the impact of their programs and policies, some commissioned by the organisations themselves and some by external bodies such as governments</w:t>
      </w:r>
      <w:r>
        <w:rPr>
          <w:rFonts w:ascii="Arial" w:hAnsi="Arial" w:cs="Arial"/>
        </w:rPr>
        <w:t xml:space="preserve"> (Box 4)</w:t>
      </w:r>
      <w:r w:rsidRPr="000B52B7">
        <w:rPr>
          <w:rFonts w:ascii="Arial" w:hAnsi="Arial" w:cs="Arial"/>
        </w:rPr>
        <w:t>. Based on that experience, and the many conversations with First Nations leaders, evaluators and civil servants that we have had as part of the work, we have identified five areas for improving evaluation practice to recognise and support the right of First Nations self-determination. They are:</w:t>
      </w:r>
    </w:p>
    <w:p w14:paraId="464BC42D" w14:textId="77777777" w:rsidR="00F114A9" w:rsidRPr="00E80FF0" w:rsidRDefault="00F114A9" w:rsidP="00A9170A">
      <w:pPr>
        <w:pStyle w:val="ListBullet"/>
        <w:numPr>
          <w:ilvl w:val="0"/>
          <w:numId w:val="17"/>
        </w:numPr>
        <w:adjustRightInd/>
        <w:snapToGrid/>
        <w:spacing w:before="0" w:line="276" w:lineRule="auto"/>
        <w:contextualSpacing/>
        <w:rPr>
          <w:lang w:eastAsia="en-AU"/>
        </w:rPr>
      </w:pPr>
      <w:r w:rsidRPr="00E80FF0">
        <w:rPr>
          <w:lang w:eastAsia="en-AU"/>
        </w:rPr>
        <w:t>Evaluation commissioners should invest in more and better evaluations to build a stronger evidence base</w:t>
      </w:r>
    </w:p>
    <w:p w14:paraId="63B1C883" w14:textId="77777777" w:rsidR="00F114A9" w:rsidRPr="00E80FF0" w:rsidRDefault="00F114A9" w:rsidP="00A9170A">
      <w:pPr>
        <w:pStyle w:val="ListBullet"/>
        <w:numPr>
          <w:ilvl w:val="0"/>
          <w:numId w:val="17"/>
        </w:numPr>
        <w:adjustRightInd/>
        <w:snapToGrid/>
        <w:spacing w:before="0" w:line="276" w:lineRule="auto"/>
        <w:contextualSpacing/>
        <w:rPr>
          <w:lang w:eastAsia="en-AU"/>
        </w:rPr>
      </w:pPr>
      <w:r w:rsidRPr="00E80FF0">
        <w:rPr>
          <w:lang w:eastAsia="en-AU"/>
        </w:rPr>
        <w:t>Evaluation commissioners and evaluators should ensure Aboriginal and Torres Strait Islander people take the lead in defining what ‘successful’ policies and programs look like</w:t>
      </w:r>
    </w:p>
    <w:p w14:paraId="36664572" w14:textId="77777777" w:rsidR="00F114A9" w:rsidRPr="00E80FF0" w:rsidRDefault="00F114A9" w:rsidP="00A9170A">
      <w:pPr>
        <w:pStyle w:val="ListBullet"/>
        <w:numPr>
          <w:ilvl w:val="0"/>
          <w:numId w:val="17"/>
        </w:numPr>
        <w:adjustRightInd/>
        <w:snapToGrid/>
        <w:spacing w:before="0" w:line="276" w:lineRule="auto"/>
        <w:contextualSpacing/>
        <w:rPr>
          <w:lang w:eastAsia="en-AU"/>
        </w:rPr>
      </w:pPr>
      <w:r w:rsidRPr="00E80FF0">
        <w:rPr>
          <w:lang w:eastAsia="en-AU"/>
        </w:rPr>
        <w:t>Evaluators should use genuinely participatory and culturally appropriate methods for gathering data and consulting community (and evaluation commissioners need to pay for these methods)</w:t>
      </w:r>
    </w:p>
    <w:p w14:paraId="0C8309EC" w14:textId="77777777" w:rsidR="00F114A9" w:rsidRDefault="00F114A9" w:rsidP="00A9170A">
      <w:pPr>
        <w:pStyle w:val="ListBullet"/>
        <w:numPr>
          <w:ilvl w:val="0"/>
          <w:numId w:val="17"/>
        </w:numPr>
        <w:adjustRightInd/>
        <w:snapToGrid/>
        <w:spacing w:before="0" w:line="276" w:lineRule="auto"/>
        <w:contextualSpacing/>
        <w:rPr>
          <w:lang w:eastAsia="en-AU"/>
        </w:rPr>
      </w:pPr>
      <w:r w:rsidRPr="00E80FF0">
        <w:rPr>
          <w:lang w:eastAsia="en-AU"/>
        </w:rPr>
        <w:t>Evaluation commissioners should invest in building the capacity of Aboriginal and Torres Strait Islander organisations in evaluation, learning and improvement – not just funding external evaluations for compliance and funding acquittals</w:t>
      </w:r>
    </w:p>
    <w:p w14:paraId="1A205E9B" w14:textId="77777777" w:rsidR="00F114A9" w:rsidRPr="00E80FF0" w:rsidRDefault="00F114A9" w:rsidP="00A9170A">
      <w:pPr>
        <w:pStyle w:val="ListBullet"/>
        <w:numPr>
          <w:ilvl w:val="0"/>
          <w:numId w:val="17"/>
        </w:numPr>
        <w:adjustRightInd/>
        <w:snapToGrid/>
        <w:spacing w:before="0" w:line="276" w:lineRule="auto"/>
        <w:contextualSpacing/>
        <w:rPr>
          <w:lang w:eastAsia="en-AU"/>
        </w:rPr>
      </w:pPr>
      <w:r w:rsidRPr="00E80FF0">
        <w:rPr>
          <w:lang w:eastAsia="en-AU"/>
        </w:rPr>
        <w:lastRenderedPageBreak/>
        <w:t>Evaluation commissioners and evaluators should ensure evaluations collect information about strengths, opportunities and existing resources</w:t>
      </w:r>
      <w:r>
        <w:rPr>
          <w:rStyle w:val="FootnoteReference"/>
          <w:lang w:eastAsia="en-AU"/>
        </w:rPr>
        <w:footnoteReference w:id="16"/>
      </w:r>
    </w:p>
    <w:p w14:paraId="66DA18CD" w14:textId="77777777" w:rsidR="00F114A9" w:rsidRDefault="00F114A9" w:rsidP="00F114A9">
      <w:r>
        <w:t>Any comparison site that includes organisations working with First Nations people and communities, including First Nations-controlled organisations, will need to be mindful of these dynamics.</w:t>
      </w:r>
    </w:p>
    <w:p w14:paraId="4D84617C" w14:textId="77777777" w:rsidR="00A9170A" w:rsidRDefault="00A9170A" w:rsidP="00A9170A">
      <w:pPr>
        <w:pStyle w:val="Boxheade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bookmarkStart w:id="52" w:name="_Toc136021488"/>
      <w:bookmarkStart w:id="53" w:name="_Toc136365542"/>
    </w:p>
    <w:p w14:paraId="57F66F07" w14:textId="282AFB98" w:rsidR="00F114A9" w:rsidRDefault="00F114A9" w:rsidP="00A9170A">
      <w:pPr>
        <w:pStyle w:val="Boxheade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pPr>
      <w:bookmarkStart w:id="54" w:name="_Toc136441135"/>
      <w:r>
        <w:t>Box 4: A case study of evaluating the work of a First Nations organisation</w:t>
      </w:r>
      <w:r>
        <w:rPr>
          <w:rStyle w:val="FootnoteReference"/>
        </w:rPr>
        <w:footnoteReference w:id="17"/>
      </w:r>
      <w:bookmarkEnd w:id="52"/>
      <w:bookmarkEnd w:id="53"/>
      <w:bookmarkEnd w:id="54"/>
    </w:p>
    <w:p w14:paraId="240E315E" w14:textId="77777777" w:rsidR="00F114A9" w:rsidRPr="00977C70" w:rsidRDefault="00F114A9" w:rsidP="00A9170A">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ascii="Arial" w:hAnsi="Arial" w:cs="Arial"/>
        </w:rPr>
      </w:pPr>
      <w:proofErr w:type="spellStart"/>
      <w:r w:rsidRPr="00977C70">
        <w:t>Kanyirninpa</w:t>
      </w:r>
      <w:proofErr w:type="spellEnd"/>
      <w:r w:rsidRPr="00977C70">
        <w:t xml:space="preserve"> </w:t>
      </w:r>
      <w:proofErr w:type="spellStart"/>
      <w:r w:rsidRPr="00977C70">
        <w:t>Jukurrpa</w:t>
      </w:r>
      <w:proofErr w:type="spellEnd"/>
      <w:r w:rsidRPr="00977C70">
        <w:t xml:space="preserve"> (KJ) is a Martu organisation – Martu are the traditional custodians of a vast area in the Western Desert of the Pilbara. In 2020, KJ engaged Social Ventures Australia Consulting to evaluate their impact on Martu communities between 2010 and 2020. The evaluation had to reflect Martu’s experiences and feelings about KJ’s impact on their communities over the past 10 years. It was therefore important that the methodology was pegged</w:t>
      </w:r>
      <w:r w:rsidRPr="002227F4">
        <w:t xml:space="preserve"> by outcomes that Martu value, was adaptive to Martu communities and captured the Martu voice. Further, it was critical that the evaluation did not impose conventional evaluative methods to quantify impact at the expense of authentic Martu assessments of KJ. This approach of centring the methodology around Martu (as opposed to imposing conventional methods) is in line with the Productivity Commission Indigenous Evaluation Strategy.</w:t>
      </w:r>
      <w:r w:rsidRPr="266DFE71">
        <w:rPr>
          <w:rStyle w:val="FootnoteReference"/>
          <w:rFonts w:ascii="Arial" w:hAnsi="Arial" w:cs="Arial"/>
        </w:rPr>
        <w:footnoteReference w:id="18"/>
      </w:r>
    </w:p>
    <w:p w14:paraId="4F88A41C" w14:textId="77777777" w:rsidR="00F114A9" w:rsidRPr="00977C70" w:rsidRDefault="00F114A9" w:rsidP="00A9170A">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ascii="Arial" w:hAnsi="Arial" w:cs="Arial"/>
        </w:rPr>
      </w:pPr>
      <w:r w:rsidRPr="00977C70">
        <w:rPr>
          <w:rFonts w:ascii="Arial" w:hAnsi="Arial" w:cs="Arial"/>
        </w:rPr>
        <w:t xml:space="preserve">To ensure this intention carried through the project, </w:t>
      </w:r>
      <w:proofErr w:type="gramStart"/>
      <w:r w:rsidRPr="00977C70">
        <w:rPr>
          <w:rFonts w:ascii="Arial" w:hAnsi="Arial" w:cs="Arial"/>
        </w:rPr>
        <w:t>a number of</w:t>
      </w:r>
      <w:proofErr w:type="gramEnd"/>
      <w:r w:rsidRPr="00977C70">
        <w:rPr>
          <w:rFonts w:ascii="Arial" w:hAnsi="Arial" w:cs="Arial"/>
        </w:rPr>
        <w:t xml:space="preserve"> guiding principles were set and embedded into the evaluation’s design:</w:t>
      </w:r>
    </w:p>
    <w:p w14:paraId="480CB285" w14:textId="77777777" w:rsidR="00F114A9" w:rsidRPr="00977C70" w:rsidRDefault="00F114A9" w:rsidP="00A9170A">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ascii="Arial" w:hAnsi="Arial" w:cs="Arial"/>
        </w:rPr>
      </w:pPr>
      <w:r w:rsidRPr="00977C70">
        <w:rPr>
          <w:rFonts w:ascii="Arial" w:hAnsi="Arial" w:cs="Arial"/>
          <w:b/>
          <w:bCs/>
        </w:rPr>
        <w:t>Who:</w:t>
      </w:r>
      <w:r w:rsidRPr="00977C70">
        <w:rPr>
          <w:rFonts w:ascii="Arial" w:hAnsi="Arial" w:cs="Arial"/>
        </w:rPr>
        <w:t xml:space="preserve"> This is a Martu story, by Martu, for Martu and ‘whitefellas’ – This project was a chance for Martu to describe what outcomes are important to them and for all programs impacting Martu to be measured against those outcomes. The project was a chance for Martu to consider what has been successful (or not) from KJ’s work over the past 10 years, using a Martu frame of reference.</w:t>
      </w:r>
    </w:p>
    <w:p w14:paraId="2A2964D2" w14:textId="77777777" w:rsidR="00F114A9" w:rsidRPr="00977C70" w:rsidRDefault="00F114A9" w:rsidP="00A9170A">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ascii="Arial" w:hAnsi="Arial" w:cs="Arial"/>
        </w:rPr>
      </w:pPr>
      <w:r w:rsidRPr="00977C70">
        <w:rPr>
          <w:rFonts w:ascii="Arial" w:hAnsi="Arial" w:cs="Arial"/>
          <w:b/>
          <w:bCs/>
        </w:rPr>
        <w:t>How:</w:t>
      </w:r>
      <w:r w:rsidRPr="00977C70">
        <w:rPr>
          <w:rFonts w:ascii="Arial" w:hAnsi="Arial" w:cs="Arial"/>
        </w:rPr>
        <w:t xml:space="preserve"> Martu voices are central to the evaluation – The evaluation needed to tell the story of Martu experiences </w:t>
      </w:r>
      <w:proofErr w:type="gramStart"/>
      <w:r w:rsidRPr="00977C70">
        <w:rPr>
          <w:rFonts w:ascii="Arial" w:hAnsi="Arial" w:cs="Arial"/>
        </w:rPr>
        <w:t>as a result of</w:t>
      </w:r>
      <w:proofErr w:type="gramEnd"/>
      <w:r w:rsidRPr="00977C70">
        <w:rPr>
          <w:rFonts w:ascii="Arial" w:hAnsi="Arial" w:cs="Arial"/>
        </w:rPr>
        <w:t xml:space="preserve"> KJ’s contribution. Martu informed the design of the evaluation criteria and method for consultation. The consultation approach in Martu communities also needed to be led by Martu wherever possible and appropriate.</w:t>
      </w:r>
    </w:p>
    <w:p w14:paraId="110D913A" w14:textId="77777777" w:rsidR="00F114A9" w:rsidRPr="00977C70" w:rsidRDefault="00F114A9" w:rsidP="00A9170A">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ascii="Arial" w:hAnsi="Arial" w:cs="Arial"/>
        </w:rPr>
      </w:pPr>
      <w:r w:rsidRPr="00977C70">
        <w:rPr>
          <w:rFonts w:ascii="Arial" w:hAnsi="Arial" w:cs="Arial"/>
          <w:b/>
          <w:bCs/>
        </w:rPr>
        <w:t>What:</w:t>
      </w:r>
      <w:r w:rsidRPr="00977C70">
        <w:rPr>
          <w:rFonts w:ascii="Arial" w:hAnsi="Arial" w:cs="Arial"/>
        </w:rPr>
        <w:t xml:space="preserve"> The output of the evaluation will be shared with different audiences and complement other Martu and KJ research and stories – For Martu communities, this evaluation needed to support the evolution of how KJ and other organisations work with Martu. For funding bodies, this evaluation demonstrates the impact KJ has made on Martu communities through their support and investment over the past 10 years.</w:t>
      </w:r>
    </w:p>
    <w:p w14:paraId="508915BE" w14:textId="77777777" w:rsidR="00F114A9" w:rsidRPr="00977C70" w:rsidRDefault="00F114A9" w:rsidP="00A9170A">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ascii="Arial" w:hAnsi="Arial" w:cs="Arial"/>
        </w:rPr>
      </w:pPr>
      <w:r w:rsidRPr="00977C70">
        <w:rPr>
          <w:rFonts w:ascii="Arial" w:hAnsi="Arial" w:cs="Arial"/>
        </w:rPr>
        <w:t>To ensure these principles were embedded from the outset, there were two key design elements that ensured Martu voices were central to the evaluation:</w:t>
      </w:r>
    </w:p>
    <w:p w14:paraId="3613F24A" w14:textId="77777777" w:rsidR="00F114A9" w:rsidRPr="00977C70" w:rsidRDefault="00F114A9" w:rsidP="00A9170A">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ascii="Arial" w:hAnsi="Arial" w:cs="Arial"/>
        </w:rPr>
      </w:pPr>
      <w:r w:rsidRPr="00977C70">
        <w:rPr>
          <w:rFonts w:ascii="Arial" w:hAnsi="Arial" w:cs="Arial"/>
        </w:rPr>
        <w:t>Firstly, two discovery workshops were held at the beginning of the evaluation with Martu Leadership Program (MLP) members to develop a list of Martu outcomes. These outcomes formed the foundation of the project and were used as indicators to assess KJ’s contribution. The outcomes were also reviewed at each Martu community consultation to ensure there was confirmation by the broader community. The 11 outcomes are split by traditional (outcomes relating to the traditional Martu identity) and modern outcomes (outcomes relating to how Martu live in the modern world). The first five are traditional outcomes with the remaining six being modern outcomes.</w:t>
      </w:r>
    </w:p>
    <w:p w14:paraId="3642D9AC" w14:textId="77777777" w:rsidR="00F114A9" w:rsidRDefault="00F114A9" w:rsidP="00A9170A">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ascii="Arial" w:hAnsi="Arial" w:cs="Arial"/>
        </w:rPr>
      </w:pPr>
      <w:r w:rsidRPr="1D4AC15C">
        <w:rPr>
          <w:rFonts w:ascii="Arial" w:hAnsi="Arial" w:cs="Arial"/>
        </w:rPr>
        <w:lastRenderedPageBreak/>
        <w:t>Secondly, three to five MLP members were involved as co-facilitators in subsequent community consultation sessions. MLP members led workshops and acted as translators.</w:t>
      </w:r>
    </w:p>
    <w:p w14:paraId="15DA27E4" w14:textId="77777777" w:rsidR="00A9170A" w:rsidRPr="00977C70" w:rsidRDefault="00A9170A" w:rsidP="00A9170A">
      <w:pPr>
        <w:pBdr>
          <w:top w:val="single" w:sz="8" w:space="1" w:color="002D62" w:themeColor="background2"/>
          <w:left w:val="single" w:sz="8" w:space="1" w:color="002D62" w:themeColor="background2"/>
          <w:bottom w:val="single" w:sz="8" w:space="1" w:color="002D62" w:themeColor="background2"/>
          <w:right w:val="single" w:sz="8" w:space="1" w:color="002D62" w:themeColor="background2"/>
        </w:pBdr>
        <w:rPr>
          <w:rFonts w:ascii="Arial" w:hAnsi="Arial" w:cs="Arial"/>
        </w:rPr>
      </w:pPr>
    </w:p>
    <w:p w14:paraId="10FA12A9" w14:textId="77777777" w:rsidR="00F114A9" w:rsidRPr="00A7116C" w:rsidRDefault="00F114A9" w:rsidP="00F114A9">
      <w:pPr>
        <w:pStyle w:val="Heading2"/>
      </w:pPr>
      <w:bookmarkStart w:id="55" w:name="_Toc136365543"/>
      <w:bookmarkStart w:id="56" w:name="_Toc136441136"/>
      <w:r>
        <w:t>Regulatory burden</w:t>
      </w:r>
      <w:bookmarkEnd w:id="55"/>
      <w:bookmarkEnd w:id="56"/>
    </w:p>
    <w:p w14:paraId="64AAA65F" w14:textId="77777777" w:rsidR="00F114A9" w:rsidRPr="00144010" w:rsidRDefault="00F114A9" w:rsidP="00F114A9">
      <w:r>
        <w:t xml:space="preserve">As we noted in our </w:t>
      </w:r>
      <w:r w:rsidRPr="00A9170A">
        <w:rPr>
          <w:i/>
          <w:iCs/>
        </w:rPr>
        <w:t xml:space="preserve">Partners </w:t>
      </w:r>
      <w:proofErr w:type="gramStart"/>
      <w:r w:rsidRPr="00A9170A">
        <w:rPr>
          <w:i/>
          <w:iCs/>
        </w:rPr>
        <w:t>In</w:t>
      </w:r>
      <w:proofErr w:type="gramEnd"/>
      <w:r w:rsidRPr="00A9170A">
        <w:rPr>
          <w:i/>
          <w:iCs/>
        </w:rPr>
        <w:t xml:space="preserve"> Recovery</w:t>
      </w:r>
      <w:r>
        <w:t xml:space="preserve"> work, and as many other organisations have raised, current regulations on fundraising activity are burdensome for charities to navigate, particularly for organisations that operate across more than one jurisdiction. We are pleased to see that the Commonwealth Government has committed to working with the States and Territories to modernise the regime, and hope to see improvement in this long-standing issue soon.</w:t>
      </w:r>
    </w:p>
    <w:p w14:paraId="01BD8792" w14:textId="77777777" w:rsidR="00F114A9" w:rsidRDefault="00F114A9" w:rsidP="00F114A9">
      <w:pPr>
        <w:adjustRightInd/>
        <w:snapToGrid/>
        <w:spacing w:before="0" w:after="0" w:line="240" w:lineRule="auto"/>
        <w:rPr>
          <w:rFonts w:cstheme="majorHAnsi"/>
          <w:bCs/>
          <w:color w:val="auto"/>
          <w:kern w:val="32"/>
          <w:sz w:val="32"/>
          <w:szCs w:val="32"/>
        </w:rPr>
      </w:pPr>
      <w:r>
        <w:br w:type="page"/>
      </w:r>
    </w:p>
    <w:p w14:paraId="5F06A595" w14:textId="77777777" w:rsidR="00F114A9" w:rsidRDefault="00F114A9" w:rsidP="00F114A9">
      <w:pPr>
        <w:pStyle w:val="Heading1"/>
      </w:pPr>
      <w:bookmarkStart w:id="57" w:name="_Toc136018071"/>
      <w:bookmarkStart w:id="58" w:name="_Toc136021491"/>
      <w:bookmarkStart w:id="59" w:name="_Toc136365544"/>
      <w:bookmarkStart w:id="60" w:name="_Toc136441137"/>
      <w:r>
        <w:lastRenderedPageBreak/>
        <w:t>4. Appropriateness of current sources of data related to philanthropic giving</w:t>
      </w:r>
      <w:bookmarkEnd w:id="57"/>
      <w:bookmarkEnd w:id="58"/>
      <w:bookmarkEnd w:id="59"/>
      <w:bookmarkEnd w:id="60"/>
      <w:r>
        <w:t xml:space="preserve"> </w:t>
      </w:r>
    </w:p>
    <w:p w14:paraId="1D0B3228" w14:textId="77777777" w:rsidR="00F114A9" w:rsidRDefault="00F114A9" w:rsidP="00F114A9">
      <w:r>
        <w:t>When considering data related to philanthropic giving, we identify two categories:</w:t>
      </w:r>
    </w:p>
    <w:p w14:paraId="518FD7A9" w14:textId="1402C499" w:rsidR="00F114A9" w:rsidRDefault="00F114A9" w:rsidP="00F114A9">
      <w:pPr>
        <w:pStyle w:val="ListBullet"/>
      </w:pPr>
      <w:r>
        <w:t xml:space="preserve">Data about givers and giving – who gives, how much, to whom, </w:t>
      </w:r>
      <w:proofErr w:type="gramStart"/>
      <w:r>
        <w:t>when,</w:t>
      </w:r>
      <w:proofErr w:type="gramEnd"/>
      <w:r>
        <w:t xml:space="preserve"> how and why</w:t>
      </w:r>
      <w:r w:rsidR="00A9170A">
        <w:t>.</w:t>
      </w:r>
    </w:p>
    <w:p w14:paraId="165151E7" w14:textId="3DC0B261" w:rsidR="00F114A9" w:rsidRDefault="00F114A9" w:rsidP="00F114A9">
      <w:pPr>
        <w:pStyle w:val="ListBullet"/>
      </w:pPr>
      <w:r>
        <w:t>Data about recipients that could inform giving – data which helps to understand the effectiveness of philanthropic giving, including the impact created by the recipient organisation</w:t>
      </w:r>
      <w:r w:rsidR="00A9170A">
        <w:t>.</w:t>
      </w:r>
    </w:p>
    <w:p w14:paraId="48BFC6C9" w14:textId="77777777" w:rsidR="00F114A9" w:rsidRDefault="00F114A9" w:rsidP="00F114A9">
      <w:r>
        <w:t>The second category was discussed in the previous section. Here we focus on the first category.</w:t>
      </w:r>
    </w:p>
    <w:p w14:paraId="0039EBE2" w14:textId="13957C7E" w:rsidR="00F114A9" w:rsidRDefault="00F114A9" w:rsidP="00F114A9">
      <w:pPr>
        <w:rPr>
          <w:color w:val="000000"/>
        </w:rPr>
      </w:pPr>
      <w:r>
        <w:t xml:space="preserve">Data about giving in Australia is fragmented across a wide range of sources, and some is not publicly available at all. </w:t>
      </w:r>
      <w:r>
        <w:rPr>
          <w:color w:val="000000"/>
        </w:rPr>
        <w:t xml:space="preserve">For example, we have found in previous research that publicly available datasets make it very difficult to ascertain giving levels of wealthy Australians. Income tax data (and therefore data about tax-deductible donations) cannot be meaningfully linked with wealth data. Given the importance of </w:t>
      </w:r>
      <w:r w:rsidR="00A9170A">
        <w:rPr>
          <w:color w:val="000000"/>
        </w:rPr>
        <w:t>high-net-worth</w:t>
      </w:r>
      <w:r>
        <w:rPr>
          <w:color w:val="000000"/>
        </w:rPr>
        <w:t xml:space="preserve"> individuals and families to philanthropy in Australia, it would be helpful to better understand giving levels from this group.</w:t>
      </w:r>
    </w:p>
    <w:p w14:paraId="491AEEEE" w14:textId="77777777" w:rsidR="00F114A9" w:rsidRDefault="00F114A9" w:rsidP="00F114A9">
      <w:r>
        <w:t xml:space="preserve">Many data sources also have a significant lag time – for example, at the time of writing in May 2023, the latest available Australian Charities Report covers the 2020 reporting period, which for some charities means it relates to the 2019-20 financial year – in other words, it includes several months of pre-pandemic data. While we recognise the challenges in gathering and compiling the large amount of data required for this report, it is a significant impediment to understanding what is happening to charity finances in a timeframe that is useful for policy development. While some data is provided in a more timely manner via data.gov.au, it is challenging to analyse and interpret. We would like to see the ACNC resourced to more effectively share data with the sector so it can better understand contemporary trends. </w:t>
      </w:r>
    </w:p>
    <w:p w14:paraId="294CF249" w14:textId="77777777" w:rsidR="00F114A9" w:rsidRDefault="00F114A9" w:rsidP="00F114A9">
      <w:r>
        <w:t>During the Covid-19 pandemic, government made significant advances in providing timely information on economic and social trends, such as the ABS providing frequent updates on employment rates based on data collected by the ATO’ single-touch payroll system. We encourage government to continue to seek opportunities to do more of this.</w:t>
      </w:r>
    </w:p>
    <w:p w14:paraId="07F7A9DF" w14:textId="77777777" w:rsidR="00F114A9" w:rsidRDefault="00F114A9" w:rsidP="00F114A9">
      <w:pPr>
        <w:rPr>
          <w:color w:val="000000"/>
        </w:rPr>
      </w:pPr>
      <w:r>
        <w:rPr>
          <w:color w:val="000000"/>
        </w:rPr>
        <w:t>We note that Philanthropy Australia has prepared a proposal for a National Giving and Community Participation Dataset, which would, amongst other things, support researchers and government to better ascertain the effectiveness of current policies and suggest improvements. While we support this proposal in principle, we ask the Commission to seek to minimise the administrative burden created for not-for-profit organisations in the creation of such a dataset. This might involve better linking of existing datasets and other forms of data matching, rather than mandating the collection of new data.</w:t>
      </w:r>
    </w:p>
    <w:p w14:paraId="433C9133" w14:textId="77777777" w:rsidR="00F114A9" w:rsidRPr="000B52B7" w:rsidRDefault="00F114A9" w:rsidP="00F114A9">
      <w:pPr>
        <w:rPr>
          <w:rFonts w:ascii="Arial" w:hAnsi="Arial" w:cs="Arial"/>
        </w:rPr>
      </w:pPr>
      <w:r>
        <w:rPr>
          <w:color w:val="000000"/>
        </w:rPr>
        <w:t xml:space="preserve">There is a particular challenge regarding accessing data on First Nations organisations.  Because not all First Nations charities report to the ACNC, there is no single source of data available on this important part of the sector. This makes it challenging to analyse and target support. We reiterate that consideration of data-related issues relevant to First Nations people, communities and organisations should centre </w:t>
      </w:r>
      <w:r>
        <w:rPr>
          <w:rFonts w:ascii="Arial" w:hAnsi="Arial" w:cs="Arial"/>
        </w:rPr>
        <w:t>d</w:t>
      </w:r>
      <w:r w:rsidRPr="000B52B7">
        <w:rPr>
          <w:rFonts w:ascii="Arial" w:hAnsi="Arial" w:cs="Arial"/>
        </w:rPr>
        <w:t>ata sovereignty and self-determination</w:t>
      </w:r>
      <w:r>
        <w:rPr>
          <w:rFonts w:ascii="Arial" w:hAnsi="Arial" w:cs="Arial"/>
        </w:rPr>
        <w:t>, and not increase the regulatory burden on these organisations.</w:t>
      </w:r>
    </w:p>
    <w:p w14:paraId="059B2C6B" w14:textId="77777777" w:rsidR="00F114A9" w:rsidRDefault="00F114A9" w:rsidP="00F114A9">
      <w:pPr>
        <w:adjustRightInd/>
        <w:snapToGrid/>
        <w:spacing w:before="0" w:after="0" w:line="240" w:lineRule="auto"/>
      </w:pPr>
      <w:r>
        <w:br w:type="page"/>
      </w:r>
    </w:p>
    <w:p w14:paraId="2D03C503" w14:textId="77777777" w:rsidR="00F114A9" w:rsidRDefault="00F114A9" w:rsidP="00F114A9">
      <w:pPr>
        <w:pStyle w:val="Heading1"/>
      </w:pPr>
      <w:bookmarkStart w:id="61" w:name="_Toc136018072"/>
      <w:bookmarkStart w:id="62" w:name="_Toc136021492"/>
      <w:bookmarkStart w:id="63" w:name="_Toc136365545"/>
      <w:bookmarkStart w:id="64" w:name="_Toc136441138"/>
      <w:r>
        <w:lastRenderedPageBreak/>
        <w:t>5. The tax expenditure framework that applies to charities, and the effectiveness and fairness of the deductible gift recipient framework</w:t>
      </w:r>
      <w:bookmarkEnd w:id="61"/>
      <w:bookmarkEnd w:id="62"/>
      <w:bookmarkEnd w:id="63"/>
      <w:bookmarkEnd w:id="64"/>
      <w:r>
        <w:t xml:space="preserve"> </w:t>
      </w:r>
    </w:p>
    <w:p w14:paraId="04A9CA27" w14:textId="77777777" w:rsidR="00F114A9" w:rsidRDefault="00F114A9" w:rsidP="00F114A9">
      <w:pPr>
        <w:rPr>
          <w:i/>
          <w:iCs/>
        </w:rPr>
      </w:pPr>
      <w:r>
        <w:t>We support the widespread view across the not-for-profit sector that the current Deductible Gift Recipient (DGR) framework is not effective or fair – as noted by the Community Council for Australia (CCA) and the Stronger Charities Alliance (SCA) in their submissions to this inquiry. As the Call for Submissions notes, there have been many inquiries into the DGR framework, including by the Productivity Commission itself</w:t>
      </w:r>
      <w:r>
        <w:rPr>
          <w:rStyle w:val="FootnoteReference"/>
        </w:rPr>
        <w:footnoteReference w:id="19"/>
      </w:r>
      <w:r>
        <w:t xml:space="preserve"> - none have found the current system fit for purpose. </w:t>
      </w:r>
    </w:p>
    <w:p w14:paraId="00BCE747" w14:textId="77777777" w:rsidR="00F114A9" w:rsidRDefault="00F114A9" w:rsidP="00F114A9">
      <w:r>
        <w:t xml:space="preserve">Obtaining DGR status can be challenging for many organisations. As SCA’s submission notes, current </w:t>
      </w:r>
      <w:r w:rsidRPr="00274509">
        <w:t>DGR</w:t>
      </w:r>
      <w:r>
        <w:t xml:space="preserve"> arrangements are</w:t>
      </w:r>
      <w:r w:rsidRPr="00274509">
        <w:t xml:space="preserve"> </w:t>
      </w:r>
      <w:r>
        <w:t>‘</w:t>
      </w:r>
      <w:r w:rsidRPr="00644C59">
        <w:rPr>
          <w:i/>
          <w:iCs/>
        </w:rPr>
        <w:t>outdated as they do not capture the diversity and current realities of the Australian charity sector. While charities have to demonstrate partial or complete compliance with a DGR category, many charities do not always neatly fit into one of the fifty-plus categories. Some important purposes, such as democracy, are not represented in the existing categories at all.</w:t>
      </w:r>
      <w:r>
        <w:t>’</w:t>
      </w:r>
    </w:p>
    <w:p w14:paraId="6A014F9B" w14:textId="77777777" w:rsidR="00F114A9" w:rsidRDefault="00F114A9" w:rsidP="00F114A9">
      <w:r>
        <w:t xml:space="preserve">Even if eligible, the process of obtaining DGR status can be lengthy and expensive. The current system is unfair to smaller charities, to charities pursuing what many consider important charitable purposes that happen to fall outside DGR categories, to charities that work across multiple categories (such as many First Nations-led charities), and those that do not have access to the political and legal support required to obtain a listing. </w:t>
      </w:r>
    </w:p>
    <w:p w14:paraId="4F57CBB8" w14:textId="77777777" w:rsidR="00F114A9" w:rsidRPr="0082159A" w:rsidRDefault="00F114A9" w:rsidP="00F114A9">
      <w:r>
        <w:t xml:space="preserve">Furthermore, many philanthropic giving vehicles, including private ancillary funds, public ancillary funds, and community foundations, can only give to organisations with ‘Item 1’ DGR status. This means that organisations who are not able to access this status are ineligible to access a significant potential source of philanthropic support </w:t>
      </w:r>
      <w:r w:rsidRPr="00644C59">
        <w:rPr>
          <w:i/>
          <w:iCs/>
        </w:rPr>
        <w:t>at all</w:t>
      </w:r>
      <w:r>
        <w:t>, in addition to their inability to access the incentive of tax deductibility for general donations.</w:t>
      </w:r>
    </w:p>
    <w:p w14:paraId="762F320C" w14:textId="77777777" w:rsidR="00F114A9" w:rsidRDefault="00F114A9" w:rsidP="00F114A9">
      <w:pPr>
        <w:adjustRightInd/>
        <w:snapToGrid/>
        <w:spacing w:before="0" w:after="0" w:line="240" w:lineRule="auto"/>
        <w:rPr>
          <w:rFonts w:cstheme="majorHAnsi"/>
          <w:bCs/>
          <w:color w:val="auto"/>
          <w:kern w:val="32"/>
          <w:sz w:val="32"/>
          <w:szCs w:val="32"/>
        </w:rPr>
      </w:pPr>
      <w:r>
        <w:br w:type="page"/>
      </w:r>
    </w:p>
    <w:p w14:paraId="0B9FFF42" w14:textId="77777777" w:rsidR="00F114A9" w:rsidRDefault="00F114A9" w:rsidP="00F114A9">
      <w:pPr>
        <w:pStyle w:val="Heading1"/>
      </w:pPr>
      <w:bookmarkStart w:id="65" w:name="_Toc136018073"/>
      <w:bookmarkStart w:id="66" w:name="_Toc136021493"/>
      <w:bookmarkStart w:id="67" w:name="_Toc136365546"/>
      <w:bookmarkStart w:id="68" w:name="_Toc136441139"/>
      <w:r>
        <w:lastRenderedPageBreak/>
        <w:t>6. Reforms to address barriers or harness opportunities to increase philanthropy</w:t>
      </w:r>
      <w:bookmarkEnd w:id="65"/>
      <w:bookmarkEnd w:id="66"/>
      <w:bookmarkEnd w:id="67"/>
      <w:bookmarkEnd w:id="68"/>
    </w:p>
    <w:p w14:paraId="1410350F" w14:textId="77777777" w:rsidR="00F114A9" w:rsidRDefault="00F114A9" w:rsidP="00F114A9">
      <w:r>
        <w:t>Too often in public debate, the role of not-for-profits is reduced to the provision of services for those most in need. This is a critical role for NFPs, and in many cases government relies on them to do this work. However, NFPs also generate significant intangible value for the community – even (perhaps especially) those who are not funded by government. This may include:</w:t>
      </w:r>
    </w:p>
    <w:p w14:paraId="4CD04F20" w14:textId="77777777" w:rsidR="00F114A9" w:rsidRDefault="00F114A9" w:rsidP="00F114A9">
      <w:pPr>
        <w:pStyle w:val="ListBullet"/>
      </w:pPr>
      <w:r>
        <w:t>Building community connectedness and support, which may reduce the reliance of individuals on government services. For example, local sporting clubs serve as informal hubs of community connectedness in regional towns, which can contribute to improved social and health outcomes.</w:t>
      </w:r>
      <w:r>
        <w:rPr>
          <w:rStyle w:val="FootnoteReference"/>
        </w:rPr>
        <w:footnoteReference w:id="20"/>
      </w:r>
    </w:p>
    <w:p w14:paraId="6E784DD2" w14:textId="77777777" w:rsidR="00F114A9" w:rsidRDefault="00F114A9" w:rsidP="00F114A9">
      <w:pPr>
        <w:pStyle w:val="ListBullet"/>
      </w:pPr>
      <w:r>
        <w:t>Supporting community resilience, which can help communities recover more effectively from natural disasters.</w:t>
      </w:r>
    </w:p>
    <w:p w14:paraId="184E7145" w14:textId="77777777" w:rsidR="00F114A9" w:rsidRDefault="00F114A9" w:rsidP="00F114A9">
      <w:pPr>
        <w:pStyle w:val="ListBullet"/>
      </w:pPr>
      <w:r>
        <w:t>Filling gaps in the provision of government services – for example, the significant role that ACCOs and other NFPs played during the peak of the Covid-19 pandemic in translating and disseminating critical health information to their communities.</w:t>
      </w:r>
    </w:p>
    <w:p w14:paraId="145C20D6" w14:textId="77777777" w:rsidR="00F114A9" w:rsidRDefault="00F114A9" w:rsidP="00F114A9">
      <w:pPr>
        <w:pStyle w:val="ListBullet"/>
      </w:pPr>
      <w:r>
        <w:t>Providing expert advice and advocacy to government based on their experience working closely with communities.</w:t>
      </w:r>
    </w:p>
    <w:p w14:paraId="2D647122" w14:textId="77777777" w:rsidR="00F114A9" w:rsidRDefault="00F114A9" w:rsidP="00F114A9">
      <w:r>
        <w:t>To the extent that government operates in ways that hamper charity effectiveness, it is losing out on this potential value created via government and philanthropic funding.</w:t>
      </w:r>
    </w:p>
    <w:p w14:paraId="0154F275" w14:textId="77777777" w:rsidR="00F114A9" w:rsidRDefault="00F114A9" w:rsidP="00F114A9">
      <w:r>
        <w:t>If government wants to leverage maximum value from philanthropic giving, it should consider ways in which it can support charities to be more effective. This may include:</w:t>
      </w:r>
    </w:p>
    <w:p w14:paraId="32E62276" w14:textId="77777777" w:rsidR="00F114A9" w:rsidRDefault="00F114A9" w:rsidP="00F114A9">
      <w:pPr>
        <w:pStyle w:val="ListBullet"/>
      </w:pPr>
      <w:r>
        <w:t>Funding the full cost of services it purchases (see Section 2)</w:t>
      </w:r>
    </w:p>
    <w:p w14:paraId="41C4C5EF" w14:textId="6589B214" w:rsidR="00F114A9" w:rsidRDefault="00F114A9" w:rsidP="00F114A9">
      <w:pPr>
        <w:pStyle w:val="ListBullet"/>
      </w:pPr>
      <w:r>
        <w:t xml:space="preserve">Minimising the use of problematic funding structures, such as </w:t>
      </w:r>
      <w:r w:rsidR="00A9170A">
        <w:t>short-term</w:t>
      </w:r>
      <w:r>
        <w:t xml:space="preserve"> contracts which reduce flexibility and stability of NFPs, and competitive tendering models that encourage cost minimisation at the expense of quality services.</w:t>
      </w:r>
    </w:p>
    <w:p w14:paraId="34EA4897" w14:textId="77777777" w:rsidR="00F114A9" w:rsidRPr="001735E5" w:rsidRDefault="00F114A9" w:rsidP="00F114A9">
      <w:pPr>
        <w:pStyle w:val="ListBullet"/>
      </w:pPr>
      <w:r>
        <w:t>Valuing the expertise that charities bring to discussions about government policies and programs. In some cases, government actively discourages charity advocacy via ‘gag clauses’ in contracts and other legal restrictions on advocacy.</w:t>
      </w:r>
      <w:r>
        <w:rPr>
          <w:rStyle w:val="FootnoteReference"/>
        </w:rPr>
        <w:footnoteReference w:id="21"/>
      </w:r>
      <w:r>
        <w:t xml:space="preserve"> More broadly, charities are not always given a seat at the table in major economic and social discussions. For example, charities employ 1 in 10 of the Australian workforce, but do not have the same access to relevant decision-makers as business lobbies that represent a much smaller group of employees.</w:t>
      </w:r>
    </w:p>
    <w:p w14:paraId="1AEF9416" w14:textId="77777777" w:rsidR="00F114A9" w:rsidRPr="006465E9" w:rsidRDefault="00F114A9" w:rsidP="00F114A9">
      <w:pPr>
        <w:spacing w:before="120"/>
      </w:pPr>
      <w:r>
        <w:t xml:space="preserve">We refer the Commission to our </w:t>
      </w:r>
      <w:r w:rsidRPr="00A9170A">
        <w:rPr>
          <w:i/>
          <w:iCs/>
        </w:rPr>
        <w:t>Partners in Recovery</w:t>
      </w:r>
      <w:r>
        <w:t xml:space="preserve"> series of research reports, which consider in greater depth how governments can support not-for-profits to operate to their full potential, thus improving the value generated by both government and philanthropic spending.</w:t>
      </w:r>
    </w:p>
    <w:p w14:paraId="7410D18D" w14:textId="77777777" w:rsidR="00F114A9" w:rsidRDefault="00F114A9" w:rsidP="00F114A9">
      <w:r>
        <w:t xml:space="preserve"> </w:t>
      </w:r>
    </w:p>
    <w:p w14:paraId="44440BF4" w14:textId="77777777" w:rsidR="00F114A9" w:rsidRDefault="00F114A9" w:rsidP="00F114A9">
      <w:pPr>
        <w:spacing w:before="120"/>
      </w:pPr>
    </w:p>
    <w:p w14:paraId="11593DA5" w14:textId="77777777" w:rsidR="00BB4D24" w:rsidRPr="00BB4D24" w:rsidRDefault="00BB4D24" w:rsidP="00C87AC3"/>
    <w:sectPr w:rsidR="00BB4D24" w:rsidRPr="00BB4D24" w:rsidSect="00716244">
      <w:headerReference w:type="default" r:id="rId24"/>
      <w:footerReference w:type="default" r:id="rId25"/>
      <w:headerReference w:type="first" r:id="rId26"/>
      <w:footerReference w:type="first" r:id="rId27"/>
      <w:type w:val="continuous"/>
      <w:pgSz w:w="11906" w:h="16838" w:code="9"/>
      <w:pgMar w:top="1134" w:right="1418" w:bottom="1134" w:left="1418" w:header="850" w:footer="340" w:gutter="0"/>
      <w:cols w:space="5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F636" w14:textId="77777777" w:rsidR="007126C4" w:rsidRDefault="007126C4" w:rsidP="00F44FB8">
      <w:r>
        <w:separator/>
      </w:r>
    </w:p>
  </w:endnote>
  <w:endnote w:type="continuationSeparator" w:id="0">
    <w:p w14:paraId="15C8F325" w14:textId="77777777" w:rsidR="007126C4" w:rsidRDefault="007126C4" w:rsidP="00F4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ayout w:type="fixed"/>
      <w:tblLook w:val="04A0" w:firstRow="1" w:lastRow="0" w:firstColumn="1" w:lastColumn="0" w:noHBand="0" w:noVBand="1"/>
    </w:tblPr>
    <w:tblGrid>
      <w:gridCol w:w="7230"/>
      <w:gridCol w:w="1840"/>
    </w:tblGrid>
    <w:tr w:rsidR="00BB4D24" w14:paraId="6ACDA274" w14:textId="77777777" w:rsidTr="004D5ADD">
      <w:trPr>
        <w:cnfStyle w:val="100000000000" w:firstRow="1" w:lastRow="0" w:firstColumn="0" w:lastColumn="0" w:oddVBand="0" w:evenVBand="0" w:oddHBand="0" w:evenHBand="0" w:firstRowFirstColumn="0" w:firstRowLastColumn="0" w:lastRowFirstColumn="0" w:lastRowLastColumn="0"/>
        <w:trHeight w:val="566"/>
      </w:trPr>
      <w:tc>
        <w:tcPr>
          <w:tcW w:w="7230" w:type="dxa"/>
          <w:tcMar>
            <w:top w:w="0" w:type="nil"/>
            <w:left w:w="0" w:type="nil"/>
            <w:bottom w:w="0" w:type="nil"/>
            <w:right w:w="0" w:type="nil"/>
          </w:tcMar>
          <w:vAlign w:val="bottom"/>
        </w:tcPr>
        <w:p w14:paraId="6B983EAF" w14:textId="77777777" w:rsidR="00BB4D24" w:rsidRDefault="00000000" w:rsidP="00BB4D24">
          <w:pPr>
            <w:pStyle w:val="Footer"/>
          </w:pPr>
          <w:hyperlink r:id="rId1" w:history="1">
            <w:r w:rsidR="00BB4D24" w:rsidRPr="00757536">
              <w:rPr>
                <w:rStyle w:val="Hyperlink"/>
                <w:rFonts w:asciiTheme="minorHAnsi" w:hAnsiTheme="minorHAnsi" w:cs="Times New Roman"/>
                <w:sz w:val="16"/>
              </w:rPr>
              <w:t>info@socialventures.com.au</w:t>
            </w:r>
          </w:hyperlink>
          <w:r w:rsidR="00BB4D24">
            <w:t xml:space="preserve">  </w:t>
          </w:r>
          <w:r w:rsidR="00BB4D24" w:rsidRPr="00BB4D24">
            <w:rPr>
              <w:color w:val="B2BB1E"/>
            </w:rPr>
            <w:t>|</w:t>
          </w:r>
          <w:r w:rsidR="00BB4D24">
            <w:t xml:space="preserve">  </w:t>
          </w:r>
          <w:proofErr w:type="gramStart"/>
          <w:r w:rsidR="00BB4D24">
            <w:t xml:space="preserve">socialventures.com.au  </w:t>
          </w:r>
          <w:r w:rsidR="00BB4D24" w:rsidRPr="00BB4D24">
            <w:rPr>
              <w:color w:val="B2BB1E"/>
            </w:rPr>
            <w:t>|</w:t>
          </w:r>
          <w:proofErr w:type="gramEnd"/>
          <w:r w:rsidR="00BB4D24">
            <w:t xml:space="preserve">  @Social_Ventures</w:t>
          </w:r>
        </w:p>
      </w:tc>
      <w:tc>
        <w:tcPr>
          <w:tcW w:w="1840" w:type="dxa"/>
          <w:tcMar>
            <w:top w:w="0" w:type="nil"/>
            <w:left w:w="0" w:type="nil"/>
            <w:bottom w:w="0" w:type="nil"/>
            <w:right w:w="0" w:type="nil"/>
          </w:tcMar>
          <w:vAlign w:val="bottom"/>
        </w:tcPr>
        <w:p w14:paraId="4AA9AFE4" w14:textId="5F53ECA5" w:rsidR="00BB4D24" w:rsidRDefault="00BB4D24" w:rsidP="00BB4D24">
          <w:pPr>
            <w:pStyle w:val="Footer"/>
            <w:jc w:val="right"/>
          </w:pPr>
          <w:r>
            <w:fldChar w:fldCharType="begin"/>
          </w:r>
          <w:r>
            <w:instrText xml:space="preserve"> PAGE  \* Arabic </w:instrText>
          </w:r>
          <w:r>
            <w:fldChar w:fldCharType="separate"/>
          </w:r>
          <w:r>
            <w:rPr>
              <w:noProof/>
            </w:rPr>
            <w:t>1</w:t>
          </w:r>
          <w:r>
            <w:fldChar w:fldCharType="end"/>
          </w:r>
        </w:p>
      </w:tc>
    </w:tr>
  </w:tbl>
  <w:p w14:paraId="6DDE3A2B" w14:textId="77777777" w:rsidR="00BB4D24" w:rsidRDefault="00BB4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ayout w:type="fixed"/>
      <w:tblLook w:val="04A0" w:firstRow="1" w:lastRow="0" w:firstColumn="1" w:lastColumn="0" w:noHBand="0" w:noVBand="1"/>
    </w:tblPr>
    <w:tblGrid>
      <w:gridCol w:w="7230"/>
      <w:gridCol w:w="1840"/>
    </w:tblGrid>
    <w:tr w:rsidR="007E76B0" w14:paraId="7B0CFFA9" w14:textId="77777777" w:rsidTr="007E76B0">
      <w:trPr>
        <w:cnfStyle w:val="100000000000" w:firstRow="1" w:lastRow="0" w:firstColumn="0" w:lastColumn="0" w:oddVBand="0" w:evenVBand="0" w:oddHBand="0" w:evenHBand="0" w:firstRowFirstColumn="0" w:firstRowLastColumn="0" w:lastRowFirstColumn="0" w:lastRowLastColumn="0"/>
        <w:trHeight w:val="566"/>
      </w:trPr>
      <w:tc>
        <w:tcPr>
          <w:tcW w:w="7230" w:type="dxa"/>
          <w:tcMar>
            <w:top w:w="0" w:type="nil"/>
            <w:left w:w="0" w:type="nil"/>
            <w:bottom w:w="0" w:type="nil"/>
            <w:right w:w="0" w:type="nil"/>
          </w:tcMar>
          <w:vAlign w:val="bottom"/>
        </w:tcPr>
        <w:p w14:paraId="6DB89893" w14:textId="77777777" w:rsidR="007E76B0" w:rsidRDefault="00000000" w:rsidP="007E76B0">
          <w:pPr>
            <w:pStyle w:val="Footer"/>
          </w:pPr>
          <w:hyperlink r:id="rId1" w:history="1">
            <w:r w:rsidR="007E76B0" w:rsidRPr="00757536">
              <w:rPr>
                <w:rStyle w:val="Hyperlink"/>
                <w:rFonts w:asciiTheme="minorHAnsi" w:hAnsiTheme="minorHAnsi" w:cs="Times New Roman"/>
                <w:sz w:val="16"/>
              </w:rPr>
              <w:t>info@socialventures.com.au</w:t>
            </w:r>
          </w:hyperlink>
          <w:r w:rsidR="007E76B0">
            <w:t xml:space="preserve">  </w:t>
          </w:r>
          <w:r w:rsidR="007E76B0" w:rsidRPr="00BB4D24">
            <w:rPr>
              <w:color w:val="B2BB1E"/>
            </w:rPr>
            <w:t>|</w:t>
          </w:r>
          <w:r w:rsidR="007E76B0">
            <w:t xml:space="preserve">  </w:t>
          </w:r>
          <w:proofErr w:type="gramStart"/>
          <w:r w:rsidR="007E76B0">
            <w:t xml:space="preserve">socialventures.com.au  </w:t>
          </w:r>
          <w:r w:rsidR="007E76B0" w:rsidRPr="00BB4D24">
            <w:rPr>
              <w:color w:val="B2BB1E"/>
            </w:rPr>
            <w:t>|</w:t>
          </w:r>
          <w:proofErr w:type="gramEnd"/>
          <w:r w:rsidR="007E76B0">
            <w:t xml:space="preserve">  @Social_Ventures</w:t>
          </w:r>
        </w:p>
      </w:tc>
      <w:tc>
        <w:tcPr>
          <w:tcW w:w="1840" w:type="dxa"/>
          <w:tcMar>
            <w:top w:w="0" w:type="nil"/>
            <w:left w:w="0" w:type="nil"/>
            <w:bottom w:w="0" w:type="nil"/>
            <w:right w:w="0" w:type="nil"/>
          </w:tcMar>
          <w:vAlign w:val="bottom"/>
        </w:tcPr>
        <w:p w14:paraId="5DC21E30" w14:textId="3A8F5F1D" w:rsidR="007E76B0" w:rsidRDefault="007E76B0" w:rsidP="007E76B0">
          <w:pPr>
            <w:pStyle w:val="Footer"/>
            <w:jc w:val="right"/>
          </w:pPr>
          <w:r>
            <w:fldChar w:fldCharType="begin"/>
          </w:r>
          <w:r>
            <w:instrText xml:space="preserve"> PAGE  \* Arabic </w:instrText>
          </w:r>
          <w:r>
            <w:fldChar w:fldCharType="separate"/>
          </w:r>
          <w:r>
            <w:rPr>
              <w:noProof/>
            </w:rPr>
            <w:t>1</w:t>
          </w:r>
          <w:r>
            <w:fldChar w:fldCharType="end"/>
          </w:r>
        </w:p>
      </w:tc>
    </w:tr>
  </w:tbl>
  <w:p w14:paraId="3CB8E9A3" w14:textId="77777777" w:rsidR="007E76B0" w:rsidRDefault="007E7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349E" w14:textId="77777777" w:rsidR="007126C4" w:rsidRPr="008C2B3C" w:rsidRDefault="007126C4" w:rsidP="00F44FB8">
      <w:pPr>
        <w:pStyle w:val="Footer"/>
      </w:pPr>
    </w:p>
  </w:footnote>
  <w:footnote w:type="continuationSeparator" w:id="0">
    <w:p w14:paraId="2126C55F" w14:textId="77777777" w:rsidR="007126C4" w:rsidRDefault="007126C4" w:rsidP="00F44FB8">
      <w:r>
        <w:continuationSeparator/>
      </w:r>
    </w:p>
  </w:footnote>
  <w:footnote w:id="1">
    <w:p w14:paraId="0F253930" w14:textId="77777777" w:rsidR="00F114A9" w:rsidRPr="00D51A95" w:rsidRDefault="00F114A9" w:rsidP="00F114A9">
      <w:pPr>
        <w:pStyle w:val="FootnoteText"/>
      </w:pPr>
      <w:r>
        <w:rPr>
          <w:rStyle w:val="FootnoteReference"/>
        </w:rPr>
        <w:footnoteRef/>
      </w:r>
      <w:r>
        <w:t xml:space="preserve"> D Hume and S King, ‘</w:t>
      </w:r>
      <w:hyperlink r:id="rId1" w:history="1">
        <w:r w:rsidRPr="00D51A95">
          <w:rPr>
            <w:rStyle w:val="Hyperlink"/>
            <w:rFonts w:asciiTheme="minorHAnsi" w:hAnsiTheme="minorHAnsi" w:cs="Times New Roman"/>
            <w:sz w:val="14"/>
          </w:rPr>
          <w:t>Insights to grow philanthropic giving for not-for-profits</w:t>
        </w:r>
      </w:hyperlink>
      <w:r>
        <w:t xml:space="preserve">’ </w:t>
      </w:r>
      <w:r>
        <w:rPr>
          <w:i/>
          <w:iCs/>
        </w:rPr>
        <w:t>SVA Quarterly</w:t>
      </w:r>
      <w:r>
        <w:t>, 30 June 2021, accessed May 2023</w:t>
      </w:r>
    </w:p>
  </w:footnote>
  <w:footnote w:id="2">
    <w:p w14:paraId="220FAEE5" w14:textId="77777777" w:rsidR="00F114A9" w:rsidRDefault="00F114A9" w:rsidP="00F114A9">
      <w:pPr>
        <w:pStyle w:val="FootnoteText"/>
      </w:pPr>
      <w:r>
        <w:rPr>
          <w:rStyle w:val="FootnoteReference"/>
        </w:rPr>
        <w:footnoteRef/>
      </w:r>
      <w:r>
        <w:t xml:space="preserve"> ML </w:t>
      </w:r>
      <w:proofErr w:type="spellStart"/>
      <w:r>
        <w:t>Caviola</w:t>
      </w:r>
      <w:proofErr w:type="spellEnd"/>
      <w:r>
        <w:t xml:space="preserve">, N </w:t>
      </w:r>
      <w:proofErr w:type="spellStart"/>
      <w:r>
        <w:t>Faulmüller</w:t>
      </w:r>
      <w:proofErr w:type="spellEnd"/>
      <w:r>
        <w:t xml:space="preserve">, JA Everett, J Savulescu and G </w:t>
      </w:r>
      <w:proofErr w:type="spellStart"/>
      <w:r>
        <w:t>Kahane</w:t>
      </w:r>
      <w:proofErr w:type="spellEnd"/>
      <w:r>
        <w:t xml:space="preserve">, ‘The evaluability bias in charitable giving: saving administration costs or saving lives?’ </w:t>
      </w:r>
      <w:r w:rsidRPr="00F429FF">
        <w:rPr>
          <w:i/>
          <w:iCs/>
        </w:rPr>
        <w:t>Judgement and Decision Making</w:t>
      </w:r>
      <w:r>
        <w:t>, 9(4):303–316, doi:10.13140/2.1.1028.9287.</w:t>
      </w:r>
    </w:p>
  </w:footnote>
  <w:footnote w:id="3">
    <w:p w14:paraId="4EB55378" w14:textId="77777777" w:rsidR="00F114A9" w:rsidRPr="00D51A95" w:rsidRDefault="00F114A9" w:rsidP="00F114A9">
      <w:pPr>
        <w:pStyle w:val="FootnoteText"/>
      </w:pPr>
      <w:r>
        <w:rPr>
          <w:rStyle w:val="FootnoteReference"/>
        </w:rPr>
        <w:footnoteRef/>
      </w:r>
      <w:r>
        <w:t xml:space="preserve"> </w:t>
      </w:r>
      <w:r w:rsidRPr="000C7E82">
        <w:rPr>
          <w:rFonts w:eastAsia="MS Mincho"/>
        </w:rPr>
        <w:t xml:space="preserve">P Rooney and </w:t>
      </w:r>
      <w:r>
        <w:rPr>
          <w:rFonts w:eastAsia="MS Mincho"/>
        </w:rPr>
        <w:t xml:space="preserve">H </w:t>
      </w:r>
      <w:r w:rsidRPr="000C7E82">
        <w:rPr>
          <w:rFonts w:eastAsia="MS Mincho"/>
        </w:rPr>
        <w:t>Frederick,</w:t>
      </w:r>
      <w:r>
        <w:rPr>
          <w:rFonts w:eastAsia="MS Mincho"/>
        </w:rPr>
        <w:t xml:space="preserve"> </w:t>
      </w:r>
      <w:hyperlink r:id="rId2" w:history="1">
        <w:r w:rsidRPr="000C7E82">
          <w:rPr>
            <w:rStyle w:val="Hyperlink"/>
            <w:rFonts w:asciiTheme="minorHAnsi" w:eastAsia="MS Mincho" w:hAnsiTheme="minorHAnsi" w:cs="Times New Roman"/>
            <w:i/>
            <w:iCs/>
            <w:sz w:val="14"/>
          </w:rPr>
          <w:t xml:space="preserve">Paying for </w:t>
        </w:r>
        <w:r>
          <w:rPr>
            <w:rStyle w:val="Hyperlink"/>
            <w:rFonts w:asciiTheme="minorHAnsi" w:eastAsia="MS Mincho" w:hAnsiTheme="minorHAnsi" w:cs="Times New Roman"/>
            <w:i/>
            <w:iCs/>
            <w:sz w:val="14"/>
          </w:rPr>
          <w:t>o</w:t>
        </w:r>
        <w:r w:rsidRPr="000C7E82">
          <w:rPr>
            <w:rStyle w:val="Hyperlink"/>
            <w:rFonts w:asciiTheme="minorHAnsi" w:eastAsia="MS Mincho" w:hAnsiTheme="minorHAnsi" w:cs="Times New Roman"/>
            <w:i/>
            <w:iCs/>
            <w:sz w:val="14"/>
          </w:rPr>
          <w:t xml:space="preserve">verhead: </w:t>
        </w:r>
        <w:r>
          <w:rPr>
            <w:rStyle w:val="Hyperlink"/>
            <w:rFonts w:asciiTheme="minorHAnsi" w:eastAsia="MS Mincho" w:hAnsiTheme="minorHAnsi" w:cs="Times New Roman"/>
            <w:i/>
            <w:iCs/>
            <w:sz w:val="14"/>
          </w:rPr>
          <w:t>a</w:t>
        </w:r>
        <w:r w:rsidRPr="000C7E82">
          <w:rPr>
            <w:rStyle w:val="Hyperlink"/>
            <w:rFonts w:asciiTheme="minorHAnsi" w:eastAsia="MS Mincho" w:hAnsiTheme="minorHAnsi" w:cs="Times New Roman"/>
            <w:i/>
            <w:iCs/>
            <w:sz w:val="14"/>
          </w:rPr>
          <w:t xml:space="preserve"> </w:t>
        </w:r>
        <w:r>
          <w:rPr>
            <w:rStyle w:val="Hyperlink"/>
            <w:rFonts w:asciiTheme="minorHAnsi" w:eastAsia="MS Mincho" w:hAnsiTheme="minorHAnsi" w:cs="Times New Roman"/>
            <w:i/>
            <w:iCs/>
            <w:sz w:val="14"/>
          </w:rPr>
          <w:t>s</w:t>
        </w:r>
        <w:r w:rsidRPr="000C7E82">
          <w:rPr>
            <w:rStyle w:val="Hyperlink"/>
            <w:rFonts w:asciiTheme="minorHAnsi" w:eastAsia="MS Mincho" w:hAnsiTheme="minorHAnsi" w:cs="Times New Roman"/>
            <w:i/>
            <w:iCs/>
            <w:sz w:val="14"/>
          </w:rPr>
          <w:t xml:space="preserve">tudy of the </w:t>
        </w:r>
        <w:r>
          <w:rPr>
            <w:rStyle w:val="Hyperlink"/>
            <w:rFonts w:asciiTheme="minorHAnsi" w:eastAsia="MS Mincho" w:hAnsiTheme="minorHAnsi" w:cs="Times New Roman"/>
            <w:i/>
            <w:iCs/>
            <w:sz w:val="14"/>
          </w:rPr>
          <w:t>i</w:t>
        </w:r>
        <w:r w:rsidRPr="000C7E82">
          <w:rPr>
            <w:rStyle w:val="Hyperlink"/>
            <w:rFonts w:asciiTheme="minorHAnsi" w:eastAsia="MS Mincho" w:hAnsiTheme="minorHAnsi" w:cs="Times New Roman"/>
            <w:i/>
            <w:iCs/>
            <w:sz w:val="14"/>
          </w:rPr>
          <w:t xml:space="preserve">mpact of </w:t>
        </w:r>
        <w:r>
          <w:rPr>
            <w:rStyle w:val="Hyperlink"/>
            <w:rFonts w:asciiTheme="minorHAnsi" w:eastAsia="MS Mincho" w:hAnsiTheme="minorHAnsi" w:cs="Times New Roman"/>
            <w:i/>
            <w:iCs/>
            <w:sz w:val="14"/>
          </w:rPr>
          <w:t>f</w:t>
        </w:r>
        <w:r w:rsidRPr="000C7E82">
          <w:rPr>
            <w:rStyle w:val="Hyperlink"/>
            <w:rFonts w:asciiTheme="minorHAnsi" w:eastAsia="MS Mincho" w:hAnsiTheme="minorHAnsi" w:cs="Times New Roman"/>
            <w:i/>
            <w:iCs/>
            <w:sz w:val="14"/>
          </w:rPr>
          <w:t xml:space="preserve">oundations’ </w:t>
        </w:r>
        <w:r>
          <w:rPr>
            <w:rStyle w:val="Hyperlink"/>
            <w:rFonts w:asciiTheme="minorHAnsi" w:eastAsia="MS Mincho" w:hAnsiTheme="minorHAnsi" w:cs="Times New Roman"/>
            <w:i/>
            <w:iCs/>
            <w:sz w:val="14"/>
          </w:rPr>
          <w:t>ov</w:t>
        </w:r>
        <w:r w:rsidRPr="000C7E82">
          <w:rPr>
            <w:rStyle w:val="Hyperlink"/>
            <w:rFonts w:asciiTheme="minorHAnsi" w:eastAsia="MS Mincho" w:hAnsiTheme="minorHAnsi" w:cs="Times New Roman"/>
            <w:i/>
            <w:iCs/>
            <w:sz w:val="14"/>
          </w:rPr>
          <w:t xml:space="preserve">erhead </w:t>
        </w:r>
        <w:r>
          <w:rPr>
            <w:rStyle w:val="Hyperlink"/>
            <w:rFonts w:asciiTheme="minorHAnsi" w:eastAsia="MS Mincho" w:hAnsiTheme="minorHAnsi" w:cs="Times New Roman"/>
            <w:i/>
            <w:iCs/>
            <w:sz w:val="14"/>
          </w:rPr>
          <w:t>p</w:t>
        </w:r>
        <w:r w:rsidRPr="000C7E82">
          <w:rPr>
            <w:rStyle w:val="Hyperlink"/>
            <w:rFonts w:asciiTheme="minorHAnsi" w:eastAsia="MS Mincho" w:hAnsiTheme="minorHAnsi" w:cs="Times New Roman"/>
            <w:i/>
            <w:iCs/>
            <w:sz w:val="14"/>
          </w:rPr>
          <w:t xml:space="preserve">ayment </w:t>
        </w:r>
        <w:r>
          <w:rPr>
            <w:rStyle w:val="Hyperlink"/>
            <w:rFonts w:asciiTheme="minorHAnsi" w:eastAsia="MS Mincho" w:hAnsiTheme="minorHAnsi" w:cs="Times New Roman"/>
            <w:i/>
            <w:iCs/>
            <w:sz w:val="14"/>
          </w:rPr>
          <w:t>p</w:t>
        </w:r>
        <w:r w:rsidRPr="000C7E82">
          <w:rPr>
            <w:rStyle w:val="Hyperlink"/>
            <w:rFonts w:asciiTheme="minorHAnsi" w:eastAsia="MS Mincho" w:hAnsiTheme="minorHAnsi" w:cs="Times New Roman"/>
            <w:i/>
            <w:iCs/>
            <w:sz w:val="14"/>
          </w:rPr>
          <w:t xml:space="preserve">olicies on </w:t>
        </w:r>
        <w:r>
          <w:rPr>
            <w:rStyle w:val="Hyperlink"/>
            <w:rFonts w:asciiTheme="minorHAnsi" w:eastAsia="MS Mincho" w:hAnsiTheme="minorHAnsi" w:cs="Times New Roman"/>
            <w:i/>
            <w:iCs/>
            <w:sz w:val="14"/>
          </w:rPr>
          <w:t>e</w:t>
        </w:r>
        <w:r w:rsidRPr="000C7E82">
          <w:rPr>
            <w:rStyle w:val="Hyperlink"/>
            <w:rFonts w:asciiTheme="minorHAnsi" w:eastAsia="MS Mincho" w:hAnsiTheme="minorHAnsi" w:cs="Times New Roman"/>
            <w:i/>
            <w:iCs/>
            <w:sz w:val="14"/>
          </w:rPr>
          <w:t xml:space="preserve">ducational and </w:t>
        </w:r>
        <w:r>
          <w:rPr>
            <w:rStyle w:val="Hyperlink"/>
            <w:rFonts w:asciiTheme="minorHAnsi" w:eastAsia="MS Mincho" w:hAnsiTheme="minorHAnsi" w:cs="Times New Roman"/>
            <w:i/>
            <w:iCs/>
            <w:sz w:val="14"/>
          </w:rPr>
          <w:t>h</w:t>
        </w:r>
        <w:r w:rsidRPr="000C7E82">
          <w:rPr>
            <w:rStyle w:val="Hyperlink"/>
            <w:rFonts w:asciiTheme="minorHAnsi" w:eastAsia="MS Mincho" w:hAnsiTheme="minorHAnsi" w:cs="Times New Roman"/>
            <w:i/>
            <w:iCs/>
            <w:sz w:val="14"/>
          </w:rPr>
          <w:t xml:space="preserve">uman </w:t>
        </w:r>
        <w:r>
          <w:rPr>
            <w:rStyle w:val="Hyperlink"/>
            <w:rFonts w:asciiTheme="minorHAnsi" w:eastAsia="MS Mincho" w:hAnsiTheme="minorHAnsi" w:cs="Times New Roman"/>
            <w:i/>
            <w:iCs/>
            <w:sz w:val="14"/>
          </w:rPr>
          <w:t>s</w:t>
        </w:r>
        <w:r w:rsidRPr="000C7E82">
          <w:rPr>
            <w:rStyle w:val="Hyperlink"/>
            <w:rFonts w:asciiTheme="minorHAnsi" w:eastAsia="MS Mincho" w:hAnsiTheme="minorHAnsi" w:cs="Times New Roman"/>
            <w:i/>
            <w:iCs/>
            <w:sz w:val="14"/>
          </w:rPr>
          <w:t xml:space="preserve">ervice </w:t>
        </w:r>
        <w:r>
          <w:rPr>
            <w:rStyle w:val="Hyperlink"/>
            <w:rFonts w:asciiTheme="minorHAnsi" w:eastAsia="MS Mincho" w:hAnsiTheme="minorHAnsi" w:cs="Times New Roman"/>
            <w:i/>
            <w:iCs/>
            <w:sz w:val="14"/>
          </w:rPr>
          <w:t>o</w:t>
        </w:r>
        <w:r w:rsidRPr="000C7E82">
          <w:rPr>
            <w:rStyle w:val="Hyperlink"/>
            <w:rFonts w:asciiTheme="minorHAnsi" w:eastAsia="MS Mincho" w:hAnsiTheme="minorHAnsi" w:cs="Times New Roman"/>
            <w:i/>
            <w:iCs/>
            <w:sz w:val="14"/>
          </w:rPr>
          <w:t>rganizations</w:t>
        </w:r>
      </w:hyperlink>
      <w:r w:rsidRPr="000C7E82">
        <w:rPr>
          <w:rFonts w:eastAsia="MS Mincho"/>
        </w:rPr>
        <w:t>,</w:t>
      </w:r>
      <w:r>
        <w:rPr>
          <w:rFonts w:eastAsia="MS Mincho"/>
        </w:rPr>
        <w:t xml:space="preserve"> The Centre on Philanthropy at Indiana University, </w:t>
      </w:r>
      <w:r w:rsidRPr="000C7E82">
        <w:rPr>
          <w:rFonts w:eastAsia="MS Mincho"/>
        </w:rPr>
        <w:t>2007</w:t>
      </w:r>
      <w:r>
        <w:rPr>
          <w:rFonts w:eastAsia="MS Mincho"/>
        </w:rPr>
        <w:t>, accessed May 2023.</w:t>
      </w:r>
    </w:p>
  </w:footnote>
  <w:footnote w:id="4">
    <w:p w14:paraId="1D4FF8FD" w14:textId="77777777" w:rsidR="00F114A9" w:rsidRPr="000C7E82" w:rsidRDefault="00F114A9" w:rsidP="00F114A9">
      <w:pPr>
        <w:pStyle w:val="FootnoteText"/>
      </w:pPr>
      <w:r>
        <w:rPr>
          <w:rStyle w:val="FootnoteReference"/>
        </w:rPr>
        <w:footnoteRef/>
      </w:r>
      <w:r>
        <w:t xml:space="preserve"> Social Ventures Australia (SVA) and Centre for Social Impact (CSI), </w:t>
      </w:r>
      <w:hyperlink r:id="rId3" w:history="1">
        <w:r w:rsidRPr="00A138DB">
          <w:rPr>
            <w:rStyle w:val="Hyperlink"/>
            <w:rFonts w:asciiTheme="minorHAnsi" w:hAnsiTheme="minorHAnsi" w:cs="Times New Roman"/>
            <w:sz w:val="14"/>
          </w:rPr>
          <w:t>Partners in recovery: why charities need tailored support</w:t>
        </w:r>
      </w:hyperlink>
      <w:r>
        <w:t xml:space="preserve">, </w:t>
      </w:r>
      <w:r>
        <w:rPr>
          <w:i/>
          <w:iCs/>
        </w:rPr>
        <w:t>Partners in Recovery</w:t>
      </w:r>
      <w:r>
        <w:t>, 2020, accessed May 2023</w:t>
      </w:r>
    </w:p>
  </w:footnote>
  <w:footnote w:id="5">
    <w:p w14:paraId="200FC5F3" w14:textId="77777777" w:rsidR="00F114A9" w:rsidRDefault="00F114A9" w:rsidP="00F114A9">
      <w:pPr>
        <w:pStyle w:val="FootnoteText"/>
      </w:pPr>
      <w:r>
        <w:rPr>
          <w:rStyle w:val="FootnoteReference"/>
        </w:rPr>
        <w:footnoteRef/>
      </w:r>
      <w:r>
        <w:t xml:space="preserve"> </w:t>
      </w:r>
      <w:r w:rsidRPr="007F6D0B">
        <w:t>AG Gregory</w:t>
      </w:r>
      <w:r>
        <w:t xml:space="preserve"> and</w:t>
      </w:r>
      <w:r w:rsidRPr="007F6D0B">
        <w:t xml:space="preserve"> D Howard, </w:t>
      </w:r>
      <w:hyperlink r:id="rId4" w:history="1">
        <w:r w:rsidRPr="000C7E82">
          <w:rPr>
            <w:rStyle w:val="Hyperlink"/>
            <w:rFonts w:asciiTheme="minorHAnsi" w:hAnsiTheme="minorHAnsi" w:cs="Times New Roman"/>
            <w:sz w:val="14"/>
          </w:rPr>
          <w:t xml:space="preserve">‘The </w:t>
        </w:r>
        <w:proofErr w:type="spellStart"/>
        <w:r w:rsidRPr="000C7E82">
          <w:rPr>
            <w:rStyle w:val="Hyperlink"/>
            <w:rFonts w:asciiTheme="minorHAnsi" w:hAnsiTheme="minorHAnsi" w:cs="Times New Roman"/>
            <w:sz w:val="14"/>
          </w:rPr>
          <w:t>nonprofit</w:t>
        </w:r>
        <w:proofErr w:type="spellEnd"/>
        <w:r w:rsidRPr="000C7E82">
          <w:rPr>
            <w:rStyle w:val="Hyperlink"/>
            <w:rFonts w:asciiTheme="minorHAnsi" w:hAnsiTheme="minorHAnsi" w:cs="Times New Roman"/>
            <w:sz w:val="14"/>
          </w:rPr>
          <w:t xml:space="preserve"> starvation cycle’</w:t>
        </w:r>
      </w:hyperlink>
      <w:r w:rsidRPr="007F6D0B">
        <w:t xml:space="preserve">, </w:t>
      </w:r>
      <w:r w:rsidRPr="00F429FF">
        <w:rPr>
          <w:i/>
          <w:iCs/>
        </w:rPr>
        <w:t>Stanford Social Innovation Review</w:t>
      </w:r>
      <w:r w:rsidRPr="007F6D0B">
        <w:t xml:space="preserve">, 2009, accessed </w:t>
      </w:r>
      <w:r>
        <w:t>May 2023</w:t>
      </w:r>
      <w:r w:rsidRPr="007F6D0B">
        <w:t>.</w:t>
      </w:r>
    </w:p>
  </w:footnote>
  <w:footnote w:id="6">
    <w:p w14:paraId="1829AC0F" w14:textId="77777777" w:rsidR="00F114A9" w:rsidRDefault="00F114A9" w:rsidP="00F114A9">
      <w:pPr>
        <w:pStyle w:val="FootnoteText"/>
      </w:pPr>
      <w:r>
        <w:rPr>
          <w:rStyle w:val="FootnoteReference"/>
        </w:rPr>
        <w:footnoteRef/>
      </w:r>
      <w:r>
        <w:t xml:space="preserve"> SVA and CSI,</w:t>
      </w:r>
      <w:r w:rsidRPr="00A138DB">
        <w:t xml:space="preserve"> </w:t>
      </w:r>
      <w:hyperlink r:id="rId5" w:history="1">
        <w:r w:rsidRPr="00F429FF">
          <w:rPr>
            <w:rStyle w:val="Hyperlink"/>
            <w:rFonts w:asciiTheme="minorHAnsi" w:hAnsiTheme="minorHAnsi" w:cs="Times New Roman"/>
            <w:i/>
            <w:iCs/>
            <w:sz w:val="14"/>
          </w:rPr>
          <w:t>Paying what it takes: funding indirect cost to create long-term impact</w:t>
        </w:r>
      </w:hyperlink>
      <w:r>
        <w:t>, SVA, 2022, accessed May 2023</w:t>
      </w:r>
    </w:p>
  </w:footnote>
  <w:footnote w:id="7">
    <w:p w14:paraId="11BA7872" w14:textId="77777777" w:rsidR="00F114A9" w:rsidRDefault="00F114A9" w:rsidP="00F114A9">
      <w:pPr>
        <w:pStyle w:val="FootnoteText"/>
      </w:pPr>
      <w:r>
        <w:rPr>
          <w:rStyle w:val="FootnoteReference"/>
        </w:rPr>
        <w:footnoteRef/>
      </w:r>
      <w:r>
        <w:t xml:space="preserve"> </w:t>
      </w:r>
      <w:r w:rsidRPr="00C92FD4">
        <w:t>Infoxchange</w:t>
      </w:r>
      <w:r>
        <w:t xml:space="preserve">, </w:t>
      </w:r>
      <w:hyperlink r:id="rId6" w:history="1">
        <w:r w:rsidRPr="00F429FF">
          <w:rPr>
            <w:rStyle w:val="Hyperlink"/>
            <w:rFonts w:asciiTheme="minorHAnsi" w:hAnsiTheme="minorHAnsi" w:cs="Times New Roman"/>
            <w:i/>
            <w:iCs/>
            <w:sz w:val="14"/>
          </w:rPr>
          <w:t>Digital technology in the not-for-profit sector – 2019 report</w:t>
        </w:r>
      </w:hyperlink>
      <w:r>
        <w:t>,</w:t>
      </w:r>
      <w:r w:rsidRPr="004364DB">
        <w:t xml:space="preserve"> </w:t>
      </w:r>
      <w:r>
        <w:t>Infoxchange, 2019, accessed May 2023</w:t>
      </w:r>
    </w:p>
  </w:footnote>
  <w:footnote w:id="8">
    <w:p w14:paraId="39AB5B59" w14:textId="77777777" w:rsidR="00F114A9" w:rsidRDefault="00F114A9" w:rsidP="00F114A9">
      <w:pPr>
        <w:pStyle w:val="FootnoteText"/>
      </w:pPr>
      <w:r>
        <w:rPr>
          <w:rStyle w:val="FootnoteReference"/>
        </w:rPr>
        <w:footnoteRef/>
      </w:r>
      <w:r>
        <w:t xml:space="preserve"> </w:t>
      </w:r>
      <w:r w:rsidRPr="00C92FD4">
        <w:t>Infoxchange</w:t>
      </w:r>
      <w:r>
        <w:t xml:space="preserve">, </w:t>
      </w:r>
      <w:hyperlink r:id="rId7" w:history="1">
        <w:r w:rsidRPr="00F429FF">
          <w:rPr>
            <w:rStyle w:val="Hyperlink"/>
            <w:rFonts w:asciiTheme="minorHAnsi" w:hAnsiTheme="minorHAnsi" w:cs="Times New Roman"/>
            <w:i/>
            <w:iCs/>
            <w:sz w:val="14"/>
          </w:rPr>
          <w:t>Digital technology in the not-for-profit sector – 2019 report</w:t>
        </w:r>
      </w:hyperlink>
    </w:p>
  </w:footnote>
  <w:footnote w:id="9">
    <w:p w14:paraId="7DDC2611" w14:textId="77777777" w:rsidR="00F114A9" w:rsidRPr="004364DB" w:rsidRDefault="00F114A9" w:rsidP="00F114A9">
      <w:pPr>
        <w:pStyle w:val="FootnoteText"/>
      </w:pPr>
      <w:r>
        <w:rPr>
          <w:rStyle w:val="FootnoteReference"/>
        </w:rPr>
        <w:footnoteRef/>
      </w:r>
      <w:r>
        <w:t xml:space="preserve"> Infoxchange, </w:t>
      </w:r>
      <w:hyperlink r:id="rId8" w:history="1">
        <w:r w:rsidRPr="004364DB">
          <w:rPr>
            <w:rStyle w:val="Hyperlink"/>
            <w:rFonts w:asciiTheme="minorHAnsi" w:hAnsiTheme="minorHAnsi" w:cs="Times New Roman"/>
            <w:i/>
            <w:iCs/>
            <w:sz w:val="14"/>
          </w:rPr>
          <w:t>Digital technology in the not-for-profit sector – 2022 report</w:t>
        </w:r>
      </w:hyperlink>
      <w:r>
        <w:t>, Infoxchange, 2022, accessed May 2023</w:t>
      </w:r>
    </w:p>
  </w:footnote>
  <w:footnote w:id="10">
    <w:p w14:paraId="01AD57FC" w14:textId="77777777" w:rsidR="00F114A9" w:rsidRDefault="00F114A9" w:rsidP="00F114A9">
      <w:pPr>
        <w:pStyle w:val="FootnoteText"/>
      </w:pPr>
      <w:r>
        <w:rPr>
          <w:rStyle w:val="FootnoteReference"/>
        </w:rPr>
        <w:footnoteRef/>
      </w:r>
      <w:r>
        <w:t xml:space="preserve"> SVA and CSI,</w:t>
      </w:r>
      <w:r w:rsidRPr="00A138DB">
        <w:t xml:space="preserve"> </w:t>
      </w:r>
      <w:hyperlink r:id="rId9" w:history="1">
        <w:r w:rsidRPr="00C438E6">
          <w:rPr>
            <w:rStyle w:val="Hyperlink"/>
            <w:rFonts w:asciiTheme="minorHAnsi" w:hAnsiTheme="minorHAnsi" w:cs="Times New Roman"/>
            <w:i/>
            <w:iCs/>
            <w:sz w:val="14"/>
          </w:rPr>
          <w:t>Paying what it takes: funding indirect cost to create long-term impact</w:t>
        </w:r>
      </w:hyperlink>
    </w:p>
  </w:footnote>
  <w:footnote w:id="11">
    <w:p w14:paraId="7215111F" w14:textId="77777777" w:rsidR="00F114A9" w:rsidRDefault="00F114A9" w:rsidP="00F114A9">
      <w:pPr>
        <w:pStyle w:val="FootnoteText"/>
      </w:pPr>
      <w:r>
        <w:rPr>
          <w:rStyle w:val="FootnoteReference"/>
        </w:rPr>
        <w:footnoteRef/>
      </w:r>
      <w:r>
        <w:t xml:space="preserve"> See, for example, the provision of increased funding to the aged care sector in recognition of the Fair Work Commission’s decision to grant sector workers a 15% pay increase.</w:t>
      </w:r>
    </w:p>
  </w:footnote>
  <w:footnote w:id="12">
    <w:p w14:paraId="2D3EC368" w14:textId="77777777" w:rsidR="00F114A9" w:rsidRDefault="00F114A9" w:rsidP="00F114A9">
      <w:pPr>
        <w:pStyle w:val="FootnoteText"/>
      </w:pPr>
      <w:r>
        <w:rPr>
          <w:rStyle w:val="FootnoteReference"/>
        </w:rPr>
        <w:footnoteRef/>
      </w:r>
      <w:r>
        <w:t xml:space="preserve"> SVA and CSI, </w:t>
      </w:r>
      <w:hyperlink r:id="rId10" w:history="1">
        <w:r w:rsidRPr="00A138DB">
          <w:rPr>
            <w:rStyle w:val="Hyperlink"/>
            <w:rFonts w:asciiTheme="minorHAnsi" w:hAnsiTheme="minorHAnsi" w:cs="Times New Roman"/>
            <w:sz w:val="14"/>
          </w:rPr>
          <w:t>Partners in recovery: why charities need tailored support</w:t>
        </w:r>
      </w:hyperlink>
    </w:p>
  </w:footnote>
  <w:footnote w:id="13">
    <w:p w14:paraId="5BDB41F9" w14:textId="77777777" w:rsidR="00F114A9" w:rsidRPr="00A92AD0" w:rsidRDefault="00F114A9" w:rsidP="00F114A9">
      <w:pPr>
        <w:pStyle w:val="FootnoteText"/>
        <w:rPr>
          <w:szCs w:val="14"/>
          <w:highlight w:val="yellow"/>
        </w:rPr>
      </w:pPr>
      <w:r w:rsidRPr="0066760D">
        <w:rPr>
          <w:rStyle w:val="FootnoteReference"/>
        </w:rPr>
        <w:footnoteRef/>
      </w:r>
      <w:r w:rsidRPr="0066760D">
        <w:t xml:space="preserve"> SVA</w:t>
      </w:r>
      <w:r w:rsidRPr="00A92AD0">
        <w:rPr>
          <w:szCs w:val="14"/>
        </w:rPr>
        <w:t xml:space="preserve">, </w:t>
      </w:r>
      <w:hyperlink r:id="rId11" w:history="1">
        <w:r w:rsidRPr="00A92AD0">
          <w:rPr>
            <w:rStyle w:val="Hyperlink"/>
            <w:rFonts w:cstheme="minorBidi"/>
            <w:i/>
            <w:iCs/>
            <w:sz w:val="14"/>
            <w:szCs w:val="14"/>
          </w:rPr>
          <w:t>Disability Housing Outcomes Framework</w:t>
        </w:r>
      </w:hyperlink>
      <w:r w:rsidRPr="00A92AD0">
        <w:rPr>
          <w:szCs w:val="14"/>
        </w:rPr>
        <w:t xml:space="preserve"> [website], n.d., accessed March 2023</w:t>
      </w:r>
    </w:p>
  </w:footnote>
  <w:footnote w:id="14">
    <w:p w14:paraId="057EDB75" w14:textId="77777777" w:rsidR="00F114A9" w:rsidRPr="00A92AD0" w:rsidRDefault="00F114A9" w:rsidP="00F114A9">
      <w:pPr>
        <w:pStyle w:val="FootnoteText"/>
        <w:rPr>
          <w:szCs w:val="14"/>
        </w:rPr>
      </w:pPr>
      <w:r w:rsidRPr="00A92AD0">
        <w:rPr>
          <w:rStyle w:val="FootnoteReference"/>
          <w:szCs w:val="14"/>
        </w:rPr>
        <w:footnoteRef/>
      </w:r>
      <w:r w:rsidRPr="00A92AD0">
        <w:rPr>
          <w:szCs w:val="14"/>
        </w:rPr>
        <w:t xml:space="preserve"> N Elliot, ‘</w:t>
      </w:r>
      <w:hyperlink r:id="rId12" w:history="1">
        <w:r w:rsidRPr="00A92AD0">
          <w:rPr>
            <w:rStyle w:val="Hyperlink"/>
            <w:rFonts w:cstheme="minorBidi"/>
            <w:sz w:val="14"/>
            <w:szCs w:val="14"/>
          </w:rPr>
          <w:t xml:space="preserve">Shared measurement: easier than you </w:t>
        </w:r>
        <w:proofErr w:type="spellStart"/>
        <w:r w:rsidRPr="00A92AD0">
          <w:rPr>
            <w:rStyle w:val="Hyperlink"/>
            <w:rFonts w:cstheme="minorBidi"/>
            <w:sz w:val="14"/>
            <w:szCs w:val="14"/>
          </w:rPr>
          <w:t>think</w:t>
        </w:r>
      </w:hyperlink>
      <w:hyperlink r:id="rId13" w:history="1">
        <w:r w:rsidRPr="00A92AD0">
          <w:rPr>
            <w:rStyle w:val="Hyperlink"/>
            <w:rFonts w:cstheme="minorBidi"/>
            <w:sz w:val="14"/>
            <w:szCs w:val="14"/>
          </w:rPr>
          <w:t>Shared</w:t>
        </w:r>
        <w:proofErr w:type="spellEnd"/>
        <w:r w:rsidRPr="00A92AD0">
          <w:rPr>
            <w:rStyle w:val="Hyperlink"/>
            <w:rFonts w:cstheme="minorBidi"/>
            <w:sz w:val="14"/>
            <w:szCs w:val="14"/>
          </w:rPr>
          <w:t xml:space="preserve"> measurement: easier than you think</w:t>
        </w:r>
      </w:hyperlink>
      <w:r w:rsidRPr="00A92AD0">
        <w:rPr>
          <w:szCs w:val="14"/>
        </w:rPr>
        <w:t xml:space="preserve">’ </w:t>
      </w:r>
      <w:r w:rsidRPr="00A92AD0">
        <w:rPr>
          <w:i/>
          <w:iCs/>
          <w:szCs w:val="14"/>
        </w:rPr>
        <w:t>SVA Quarterly</w:t>
      </w:r>
      <w:r w:rsidRPr="00A92AD0">
        <w:rPr>
          <w:szCs w:val="14"/>
        </w:rPr>
        <w:t xml:space="preserve">, 14 March 2014, accessed March 2023 </w:t>
      </w:r>
    </w:p>
  </w:footnote>
  <w:footnote w:id="15">
    <w:p w14:paraId="6EB5BD7D" w14:textId="77777777" w:rsidR="00F114A9" w:rsidRPr="00A92AD0" w:rsidRDefault="00F114A9" w:rsidP="00F114A9">
      <w:pPr>
        <w:pStyle w:val="FootnoteText"/>
        <w:rPr>
          <w:szCs w:val="14"/>
        </w:rPr>
      </w:pPr>
      <w:r w:rsidRPr="00A92AD0">
        <w:rPr>
          <w:rStyle w:val="FootnoteReference"/>
          <w:szCs w:val="14"/>
        </w:rPr>
        <w:footnoteRef/>
      </w:r>
      <w:r w:rsidRPr="00A92AD0">
        <w:rPr>
          <w:szCs w:val="14"/>
        </w:rPr>
        <w:t xml:space="preserve"> L Fowkes, ‘</w:t>
      </w:r>
      <w:hyperlink r:id="rId14" w:history="1">
        <w:r w:rsidRPr="00A92AD0">
          <w:rPr>
            <w:rStyle w:val="Hyperlink"/>
            <w:rFonts w:cstheme="minorBidi"/>
            <w:sz w:val="14"/>
            <w:szCs w:val="14"/>
          </w:rPr>
          <w:t>How SVA’s Review project supports improvements in youth employment outcomes</w:t>
        </w:r>
      </w:hyperlink>
      <w:r w:rsidRPr="00A92AD0">
        <w:rPr>
          <w:szCs w:val="14"/>
        </w:rPr>
        <w:t xml:space="preserve">’, </w:t>
      </w:r>
      <w:r w:rsidRPr="00A92AD0">
        <w:rPr>
          <w:i/>
          <w:iCs/>
          <w:szCs w:val="14"/>
        </w:rPr>
        <w:t>SVA Blog</w:t>
      </w:r>
      <w:r w:rsidRPr="00A92AD0">
        <w:rPr>
          <w:szCs w:val="14"/>
        </w:rPr>
        <w:t>, SVA website, 2021, accessed March 2023</w:t>
      </w:r>
    </w:p>
  </w:footnote>
  <w:footnote w:id="16">
    <w:p w14:paraId="4D336822" w14:textId="77777777" w:rsidR="00F114A9" w:rsidRPr="000E250E" w:rsidRDefault="00F114A9" w:rsidP="00F114A9">
      <w:pPr>
        <w:pStyle w:val="FootnoteText"/>
      </w:pPr>
      <w:r w:rsidRPr="000E250E">
        <w:rPr>
          <w:rStyle w:val="FootnoteReference"/>
        </w:rPr>
        <w:footnoteRef/>
      </w:r>
      <w:r w:rsidRPr="000E250E">
        <w:t xml:space="preserve"> For further detail, see J </w:t>
      </w:r>
      <w:r w:rsidRPr="00CC0481">
        <w:t>Finighan and B Ferguson, ‘</w:t>
      </w:r>
      <w:hyperlink r:id="rId15" w:history="1">
        <w:r w:rsidRPr="00CC0481">
          <w:rPr>
            <w:rStyle w:val="Hyperlink"/>
            <w:rFonts w:cstheme="minorBidi"/>
            <w:sz w:val="14"/>
            <w:szCs w:val="14"/>
          </w:rPr>
          <w:t>How can evaluation better recognise Indigenous self-determination?</w:t>
        </w:r>
      </w:hyperlink>
      <w:r w:rsidRPr="00CC0481">
        <w:t xml:space="preserve">’, </w:t>
      </w:r>
      <w:r w:rsidRPr="00CC0481">
        <w:rPr>
          <w:i/>
          <w:iCs/>
        </w:rPr>
        <w:t xml:space="preserve">SVA Quarterly, </w:t>
      </w:r>
      <w:r w:rsidRPr="00CC0481">
        <w:t>28 August 2019, accessed March 2023 and</w:t>
      </w:r>
      <w:r w:rsidRPr="00CC0481">
        <w:rPr>
          <w:i/>
          <w:iCs/>
        </w:rPr>
        <w:t xml:space="preserve"> </w:t>
      </w:r>
      <w:r w:rsidRPr="00CC0481">
        <w:t>J Eades and B</w:t>
      </w:r>
      <w:r w:rsidRPr="000E250E">
        <w:t xml:space="preserve"> Ferguson (2018) </w:t>
      </w:r>
      <w:r>
        <w:t>‘</w:t>
      </w:r>
      <w:hyperlink r:id="rId16" w:history="1">
        <w:r w:rsidRPr="00F429FF">
          <w:rPr>
            <w:rStyle w:val="Hyperlink"/>
            <w:rFonts w:cstheme="minorBidi"/>
            <w:sz w:val="14"/>
            <w:szCs w:val="14"/>
          </w:rPr>
          <w:t>Data sovereignty, community control and better outcomes</w:t>
        </w:r>
      </w:hyperlink>
      <w:r w:rsidRPr="00F429FF">
        <w:rPr>
          <w:sz w:val="12"/>
          <w:szCs w:val="14"/>
        </w:rPr>
        <w:t>’</w:t>
      </w:r>
      <w:r>
        <w:t>,</w:t>
      </w:r>
      <w:r w:rsidRPr="000E250E">
        <w:t xml:space="preserve"> </w:t>
      </w:r>
      <w:r w:rsidRPr="000E250E">
        <w:rPr>
          <w:i/>
          <w:iCs/>
        </w:rPr>
        <w:t>SVA Quarterly</w:t>
      </w:r>
      <w:r w:rsidRPr="000E250E">
        <w:t>, 29 November 2018, accessed March 2023</w:t>
      </w:r>
    </w:p>
  </w:footnote>
  <w:footnote w:id="17">
    <w:p w14:paraId="482EC6C7" w14:textId="77777777" w:rsidR="00F114A9" w:rsidRPr="00B9693A" w:rsidRDefault="00F114A9" w:rsidP="00F114A9">
      <w:pPr>
        <w:pStyle w:val="FootnoteText"/>
        <w:rPr>
          <w:highlight w:val="yellow"/>
        </w:rPr>
      </w:pPr>
      <w:r w:rsidRPr="000E250E">
        <w:rPr>
          <w:rStyle w:val="FootnoteReference"/>
        </w:rPr>
        <w:footnoteRef/>
      </w:r>
      <w:r w:rsidRPr="000E250E">
        <w:t xml:space="preserve"> A Kwok and S Faivel, </w:t>
      </w:r>
      <w:r>
        <w:t>‘</w:t>
      </w:r>
      <w:hyperlink r:id="rId17" w:history="1">
        <w:r w:rsidRPr="00F429FF">
          <w:rPr>
            <w:rStyle w:val="Hyperlink"/>
            <w:rFonts w:cstheme="minorBidi"/>
            <w:sz w:val="14"/>
            <w:szCs w:val="14"/>
          </w:rPr>
          <w:t>Indigenous evaluation: how you do it is as important as what you find out</w:t>
        </w:r>
      </w:hyperlink>
      <w:r w:rsidRPr="000E250E">
        <w:t xml:space="preserve">’ </w:t>
      </w:r>
      <w:r w:rsidRPr="000E250E">
        <w:rPr>
          <w:i/>
          <w:iCs/>
        </w:rPr>
        <w:t xml:space="preserve">SVA Quarterly, </w:t>
      </w:r>
      <w:r w:rsidRPr="000E250E">
        <w:t>26 May 2022, accessed March 2023</w:t>
      </w:r>
      <w:r>
        <w:t xml:space="preserve"> </w:t>
      </w:r>
    </w:p>
  </w:footnote>
  <w:footnote w:id="18">
    <w:p w14:paraId="458CA5BF" w14:textId="77777777" w:rsidR="00F114A9" w:rsidRPr="0066760D" w:rsidRDefault="00F114A9" w:rsidP="00F114A9">
      <w:pPr>
        <w:pStyle w:val="FootnoteText"/>
      </w:pPr>
      <w:r w:rsidRPr="0066760D">
        <w:rPr>
          <w:rStyle w:val="FootnoteReference"/>
        </w:rPr>
        <w:footnoteRef/>
      </w:r>
      <w:r w:rsidRPr="0066760D">
        <w:t xml:space="preserve"> Productivity Commission</w:t>
      </w:r>
      <w:r w:rsidRPr="00A35F2D">
        <w:rPr>
          <w:szCs w:val="14"/>
        </w:rPr>
        <w:t xml:space="preserve">, </w:t>
      </w:r>
      <w:hyperlink r:id="rId18" w:anchor="report" w:history="1">
        <w:r w:rsidRPr="00F429FF">
          <w:rPr>
            <w:rStyle w:val="Hyperlink"/>
            <w:rFonts w:cstheme="minorBidi"/>
            <w:i/>
            <w:iCs/>
            <w:sz w:val="14"/>
            <w:szCs w:val="14"/>
          </w:rPr>
          <w:t>Indigenous Evaluation Strategy</w:t>
        </w:r>
      </w:hyperlink>
      <w:r w:rsidRPr="00A35F2D">
        <w:rPr>
          <w:i/>
          <w:iCs/>
          <w:szCs w:val="14"/>
        </w:rPr>
        <w:t>,</w:t>
      </w:r>
      <w:r w:rsidRPr="0066760D">
        <w:rPr>
          <w:i/>
          <w:iCs/>
        </w:rPr>
        <w:t xml:space="preserve"> </w:t>
      </w:r>
      <w:r w:rsidRPr="0066760D">
        <w:t>Productivity Commission, Australian Government, 2020, accessed March 2023</w:t>
      </w:r>
    </w:p>
  </w:footnote>
  <w:footnote w:id="19">
    <w:p w14:paraId="3FBF67FA" w14:textId="77777777" w:rsidR="00F114A9" w:rsidRDefault="00F114A9" w:rsidP="00F114A9">
      <w:pPr>
        <w:pStyle w:val="FootnoteText"/>
      </w:pPr>
      <w:r>
        <w:rPr>
          <w:rStyle w:val="FootnoteReference"/>
        </w:rPr>
        <w:footnoteRef/>
      </w:r>
      <w:r>
        <w:t xml:space="preserve"> Productivity Commission, </w:t>
      </w:r>
      <w:hyperlink r:id="rId19" w:history="1">
        <w:r w:rsidRPr="00F429FF">
          <w:rPr>
            <w:rStyle w:val="Hyperlink"/>
            <w:rFonts w:asciiTheme="minorHAnsi" w:hAnsiTheme="minorHAnsi" w:cs="Times New Roman"/>
            <w:i/>
            <w:iCs/>
            <w:sz w:val="14"/>
          </w:rPr>
          <w:t>Contribution of the not-for-profit sector</w:t>
        </w:r>
      </w:hyperlink>
      <w:r>
        <w:t>, Productivity Commission, 2010, accessed May 2023</w:t>
      </w:r>
    </w:p>
  </w:footnote>
  <w:footnote w:id="20">
    <w:p w14:paraId="2D04C8A0" w14:textId="77777777" w:rsidR="00F114A9" w:rsidRDefault="00F114A9" w:rsidP="00F114A9">
      <w:pPr>
        <w:pStyle w:val="FootnoteText"/>
      </w:pPr>
      <w:r>
        <w:rPr>
          <w:rStyle w:val="FootnoteReference"/>
        </w:rPr>
        <w:footnoteRef/>
      </w:r>
      <w:r>
        <w:t xml:space="preserve"> See, for example, Centre for Sport and Social Impact, </w:t>
      </w:r>
      <w:hyperlink r:id="rId20" w:history="1">
        <w:r w:rsidRPr="00A35F2D">
          <w:rPr>
            <w:rStyle w:val="Hyperlink"/>
            <w:rFonts w:asciiTheme="minorHAnsi" w:hAnsiTheme="minorHAnsi" w:cs="Times New Roman"/>
            <w:i/>
            <w:iCs/>
            <w:sz w:val="14"/>
          </w:rPr>
          <w:t>Social glue? The contribution of sport and active recreation to community wellbeing’</w:t>
        </w:r>
      </w:hyperlink>
      <w:r>
        <w:rPr>
          <w:i/>
          <w:iCs/>
        </w:rPr>
        <w:t xml:space="preserve">, </w:t>
      </w:r>
      <w:r>
        <w:t xml:space="preserve">La Trobe University Centre for Sport and Social Impact, 2008, accessed May 2023 </w:t>
      </w:r>
    </w:p>
  </w:footnote>
  <w:footnote w:id="21">
    <w:p w14:paraId="2B915DB2" w14:textId="77777777" w:rsidR="00F114A9" w:rsidRDefault="00F114A9" w:rsidP="00F114A9">
      <w:pPr>
        <w:pStyle w:val="FootnoteText"/>
      </w:pPr>
      <w:r>
        <w:rPr>
          <w:rStyle w:val="FootnoteReference"/>
        </w:rPr>
        <w:footnoteRef/>
      </w:r>
      <w:r>
        <w:t xml:space="preserve"> This issue is discussed in more depth in submissions to this inquiry from the Community Council for Australia and the Stronger Charities Alliance.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ayout w:type="fixed"/>
      <w:tblLook w:val="04A0" w:firstRow="1" w:lastRow="0" w:firstColumn="1" w:lastColumn="0" w:noHBand="0" w:noVBand="1"/>
    </w:tblPr>
    <w:tblGrid>
      <w:gridCol w:w="9070"/>
    </w:tblGrid>
    <w:tr w:rsidR="007E76B0" w14:paraId="7B74F99F" w14:textId="77777777" w:rsidTr="004D5ADD">
      <w:trPr>
        <w:cnfStyle w:val="100000000000" w:firstRow="1" w:lastRow="0" w:firstColumn="0" w:lastColumn="0" w:oddVBand="0" w:evenVBand="0" w:oddHBand="0" w:evenHBand="0" w:firstRowFirstColumn="0" w:firstRowLastColumn="0" w:lastRowFirstColumn="0" w:lastRowLastColumn="0"/>
        <w:trHeight w:val="1558"/>
      </w:trPr>
      <w:tc>
        <w:tcPr>
          <w:tcW w:w="10233" w:type="dxa"/>
          <w:tcMar>
            <w:top w:w="0" w:type="nil"/>
            <w:left w:w="0" w:type="nil"/>
            <w:bottom w:w="0" w:type="nil"/>
            <w:right w:w="0" w:type="nil"/>
          </w:tcMar>
        </w:tcPr>
        <w:p w14:paraId="69584C53" w14:textId="77777777" w:rsidR="007E76B0" w:rsidRDefault="001161E5" w:rsidP="007E76B0">
          <w:pPr>
            <w:pStyle w:val="Header"/>
            <w:jc w:val="right"/>
          </w:pPr>
          <w:r>
            <w:rPr>
              <w:noProof/>
              <w:lang w:eastAsia="en-AU"/>
            </w:rPr>
            <w:drawing>
              <wp:inline distT="0" distB="0" distL="0" distR="0" wp14:anchorId="1487354B" wp14:editId="507165FD">
                <wp:extent cx="1252331" cy="69151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45570"/>
                        <a:stretch/>
                      </pic:blipFill>
                      <pic:spPr bwMode="auto">
                        <a:xfrm>
                          <a:off x="0" y="0"/>
                          <a:ext cx="1295123" cy="715144"/>
                        </a:xfrm>
                        <a:prstGeom prst="rect">
                          <a:avLst/>
                        </a:prstGeom>
                        <a:ln>
                          <a:noFill/>
                        </a:ln>
                        <a:extLst>
                          <a:ext uri="{53640926-AAD7-44D8-BBD7-CCE9431645EC}">
                            <a14:shadowObscured xmlns:a14="http://schemas.microsoft.com/office/drawing/2010/main"/>
                          </a:ext>
                        </a:extLst>
                      </pic:spPr>
                    </pic:pic>
                  </a:graphicData>
                </a:graphic>
              </wp:inline>
            </w:drawing>
          </w:r>
        </w:p>
      </w:tc>
    </w:tr>
  </w:tbl>
  <w:p w14:paraId="51993110" w14:textId="77777777" w:rsidR="007E76B0" w:rsidRDefault="007E7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ayout w:type="fixed"/>
      <w:tblLook w:val="04A0" w:firstRow="1" w:lastRow="0" w:firstColumn="1" w:lastColumn="0" w:noHBand="0" w:noVBand="1"/>
    </w:tblPr>
    <w:tblGrid>
      <w:gridCol w:w="9070"/>
    </w:tblGrid>
    <w:tr w:rsidR="00716244" w14:paraId="741BC717" w14:textId="77777777" w:rsidTr="002C6013">
      <w:trPr>
        <w:cnfStyle w:val="100000000000" w:firstRow="1" w:lastRow="0" w:firstColumn="0" w:lastColumn="0" w:oddVBand="0" w:evenVBand="0" w:oddHBand="0" w:evenHBand="0" w:firstRowFirstColumn="0" w:firstRowLastColumn="0" w:lastRowFirstColumn="0" w:lastRowLastColumn="0"/>
        <w:trHeight w:val="1558"/>
      </w:trPr>
      <w:tc>
        <w:tcPr>
          <w:tcW w:w="10233" w:type="dxa"/>
          <w:tcMar>
            <w:top w:w="0" w:type="nil"/>
            <w:left w:w="0" w:type="nil"/>
            <w:bottom w:w="0" w:type="nil"/>
            <w:right w:w="0" w:type="nil"/>
          </w:tcMar>
        </w:tcPr>
        <w:p w14:paraId="6B92A6F4" w14:textId="77777777" w:rsidR="00716244" w:rsidRDefault="001161E5" w:rsidP="001161E5">
          <w:pPr>
            <w:pStyle w:val="Header"/>
            <w:jc w:val="right"/>
          </w:pPr>
          <w:bookmarkStart w:id="69" w:name="Logo"/>
          <w:bookmarkStart w:id="70" w:name="_Hlk522616933"/>
          <w:bookmarkEnd w:id="69"/>
          <w:r>
            <w:rPr>
              <w:noProof/>
              <w:lang w:eastAsia="en-AU"/>
            </w:rPr>
            <w:drawing>
              <wp:inline distT="0" distB="0" distL="0" distR="0" wp14:anchorId="7ED51492" wp14:editId="29627B32">
                <wp:extent cx="2302354" cy="691979"/>
                <wp:effectExtent l="0" t="0" r="317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9427" cy="715144"/>
                        </a:xfrm>
                        <a:prstGeom prst="rect">
                          <a:avLst/>
                        </a:prstGeom>
                        <a:ln>
                          <a:noFill/>
                        </a:ln>
                        <a:extLst>
                          <a:ext uri="{53640926-AAD7-44D8-BBD7-CCE9431645EC}">
                            <a14:shadowObscured xmlns:a14="http://schemas.microsoft.com/office/drawing/2010/main"/>
                          </a:ext>
                        </a:extLst>
                      </pic:spPr>
                    </pic:pic>
                  </a:graphicData>
                </a:graphic>
              </wp:inline>
            </w:drawing>
          </w:r>
        </w:p>
      </w:tc>
    </w:tr>
    <w:bookmarkEnd w:id="70"/>
  </w:tbl>
  <w:p w14:paraId="68B1AAAC" w14:textId="77777777" w:rsidR="00716244" w:rsidRDefault="00716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CC23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8099A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CE1A6DE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EB0060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DA773A0"/>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B5733E"/>
    <w:multiLevelType w:val="multilevel"/>
    <w:tmpl w:val="6B147B06"/>
    <w:styleLink w:val="AppendixList"/>
    <w:lvl w:ilvl="0">
      <w:start w:val="1"/>
      <w:numFmt w:val="upperLetter"/>
      <w:lvlText w:val="Appendix %1"/>
      <w:lvlJc w:val="left"/>
      <w:pPr>
        <w:ind w:left="1871" w:hanging="187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C1807B3"/>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D6D0372"/>
    <w:multiLevelType w:val="multilevel"/>
    <w:tmpl w:val="BDE220C8"/>
    <w:styleLink w:val="NumberedHeadings"/>
    <w:lvl w:ilvl="0">
      <w:start w:val="1"/>
      <w:numFmt w:val="decimal"/>
      <w:lvlText w:val="%1"/>
      <w:lvlJc w:val="left"/>
      <w:pPr>
        <w:ind w:left="556" w:hanging="55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E073698"/>
    <w:multiLevelType w:val="multilevel"/>
    <w:tmpl w:val="985EBDE4"/>
    <w:styleLink w:val="TableList"/>
    <w:lvl w:ilvl="0">
      <w:start w:val="1"/>
      <w:numFmt w:val="decimal"/>
      <w:lvlText w:val="%1"/>
      <w:lvlJc w:val="left"/>
      <w:pPr>
        <w:ind w:left="284" w:hanging="284"/>
      </w:pPr>
      <w:rPr>
        <w:rFonts w:hint="default"/>
      </w:rPr>
    </w:lvl>
    <w:lvl w:ilvl="1">
      <w:start w:val="1"/>
      <w:numFmt w:val="none"/>
      <w:lvlText w:val=""/>
      <w:lvlJc w:val="left"/>
      <w:pPr>
        <w:ind w:left="357" w:hanging="357"/>
      </w:pPr>
      <w:rPr>
        <w:rFonts w:hint="default"/>
      </w:rPr>
    </w:lvl>
    <w:lvl w:ilvl="2">
      <w:start w:val="1"/>
      <w:numFmt w:val="none"/>
      <w:lvlText w:val=""/>
      <w:lvlJc w:val="left"/>
      <w:pPr>
        <w:ind w:left="357" w:hanging="357"/>
      </w:pPr>
      <w:rPr>
        <w:rFonts w:hint="default"/>
      </w:rPr>
    </w:lvl>
    <w:lvl w:ilvl="3">
      <w:start w:val="1"/>
      <w:numFmt w:val="none"/>
      <w:lvlText w:val=""/>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0" w15:restartNumberingAfterBreak="0">
    <w:nsid w:val="2215379E"/>
    <w:multiLevelType w:val="multilevel"/>
    <w:tmpl w:val="A1F6C80E"/>
    <w:styleLink w:val="ListNumbers"/>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none"/>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 w15:restartNumberingAfterBreak="0">
    <w:nsid w:val="26A014D5"/>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FB35FA"/>
    <w:multiLevelType w:val="multilevel"/>
    <w:tmpl w:val="B8E8550A"/>
    <w:styleLink w:val="ListBullets"/>
    <w:lvl w:ilvl="0">
      <w:start w:val="1"/>
      <w:numFmt w:val="bullet"/>
      <w:pStyle w:val="ListBullet"/>
      <w:lvlText w:val="●"/>
      <w:lvlJc w:val="left"/>
      <w:pPr>
        <w:ind w:left="340" w:hanging="340"/>
      </w:pPr>
      <w:rPr>
        <w:rFonts w:ascii="Arial" w:hAnsi="Arial" w:hint="default"/>
        <w:b w:val="0"/>
        <w:i w:val="0"/>
        <w:color w:val="B3B936"/>
        <w:sz w:val="20"/>
      </w:rPr>
    </w:lvl>
    <w:lvl w:ilvl="1">
      <w:start w:val="1"/>
      <w:numFmt w:val="bullet"/>
      <w:pStyle w:val="ListBullet2"/>
      <w:lvlText w:val="-"/>
      <w:lvlJc w:val="left"/>
      <w:pPr>
        <w:ind w:left="567" w:hanging="227"/>
      </w:pPr>
      <w:rPr>
        <w:rFonts w:ascii="Times New Roman" w:hAnsi="Times New Roman" w:cs="Times New Roman" w:hint="default"/>
        <w:b w:val="0"/>
        <w:i w:val="0"/>
        <w:color w:val="B3B936"/>
        <w:sz w:val="18"/>
      </w:rPr>
    </w:lvl>
    <w:lvl w:ilvl="2">
      <w:start w:val="1"/>
      <w:numFmt w:val="none"/>
      <w:lvlText w:val=""/>
      <w:lvlJc w:val="left"/>
      <w:pPr>
        <w:tabs>
          <w:tab w:val="num" w:pos="907"/>
        </w:tabs>
        <w:ind w:left="737" w:firstLine="0"/>
      </w:pPr>
      <w:rPr>
        <w:rFonts w:hint="default"/>
        <w:color w:val="auto"/>
        <w:sz w:val="20"/>
      </w:rPr>
    </w:lvl>
    <w:lvl w:ilvl="3">
      <w:start w:val="1"/>
      <w:numFmt w:val="none"/>
      <w:lvlText w:val=""/>
      <w:lvlJc w:val="left"/>
      <w:pPr>
        <w:tabs>
          <w:tab w:val="num" w:pos="1355"/>
        </w:tabs>
        <w:ind w:left="1428" w:hanging="357"/>
      </w:pPr>
      <w:rPr>
        <w:rFonts w:hint="default"/>
      </w:rPr>
    </w:lvl>
    <w:lvl w:ilvl="4">
      <w:start w:val="1"/>
      <w:numFmt w:val="none"/>
      <w:lvlText w:val=""/>
      <w:lvlJc w:val="left"/>
      <w:pPr>
        <w:tabs>
          <w:tab w:val="num" w:pos="1712"/>
        </w:tabs>
        <w:ind w:left="1785" w:hanging="357"/>
      </w:pPr>
      <w:rPr>
        <w:rFonts w:hint="default"/>
      </w:rPr>
    </w:lvl>
    <w:lvl w:ilvl="5">
      <w:start w:val="1"/>
      <w:numFmt w:val="none"/>
      <w:lvlText w:val=""/>
      <w:lvlJc w:val="left"/>
      <w:pPr>
        <w:tabs>
          <w:tab w:val="num" w:pos="2069"/>
        </w:tabs>
        <w:ind w:left="2142" w:hanging="357"/>
      </w:pPr>
      <w:rPr>
        <w:rFonts w:hint="default"/>
      </w:rPr>
    </w:lvl>
    <w:lvl w:ilvl="6">
      <w:start w:val="1"/>
      <w:numFmt w:val="none"/>
      <w:lvlText w:val=""/>
      <w:lvlJc w:val="left"/>
      <w:pPr>
        <w:tabs>
          <w:tab w:val="num" w:pos="2426"/>
        </w:tabs>
        <w:ind w:left="2499" w:hanging="357"/>
      </w:pPr>
      <w:rPr>
        <w:rFonts w:hint="default"/>
      </w:rPr>
    </w:lvl>
    <w:lvl w:ilvl="7">
      <w:start w:val="1"/>
      <w:numFmt w:val="none"/>
      <w:lvlText w:val=""/>
      <w:lvlJc w:val="left"/>
      <w:pPr>
        <w:tabs>
          <w:tab w:val="num" w:pos="2783"/>
        </w:tabs>
        <w:ind w:left="2856" w:hanging="357"/>
      </w:pPr>
      <w:rPr>
        <w:rFonts w:hint="default"/>
      </w:rPr>
    </w:lvl>
    <w:lvl w:ilvl="8">
      <w:start w:val="1"/>
      <w:numFmt w:val="none"/>
      <w:lvlText w:val=""/>
      <w:lvlJc w:val="left"/>
      <w:pPr>
        <w:tabs>
          <w:tab w:val="num" w:pos="3140"/>
        </w:tabs>
        <w:ind w:left="3213" w:hanging="357"/>
      </w:pPr>
      <w:rPr>
        <w:rFonts w:hint="default"/>
      </w:rPr>
    </w:lvl>
  </w:abstractNum>
  <w:abstractNum w:abstractNumId="13" w15:restartNumberingAfterBreak="0">
    <w:nsid w:val="3984498F"/>
    <w:multiLevelType w:val="multilevel"/>
    <w:tmpl w:val="D3D05450"/>
    <w:numStyleLink w:val="Bullets"/>
  </w:abstractNum>
  <w:abstractNum w:abstractNumId="14" w15:restartNumberingAfterBreak="0">
    <w:nsid w:val="52413FAF"/>
    <w:multiLevelType w:val="hybridMultilevel"/>
    <w:tmpl w:val="9A7647DC"/>
    <w:lvl w:ilvl="0" w:tplc="88D6DD1A">
      <w:start w:val="1"/>
      <w:numFmt w:val="bullet"/>
      <w:pStyle w:val="Style1"/>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5" w15:restartNumberingAfterBreak="0">
    <w:nsid w:val="605B5A53"/>
    <w:multiLevelType w:val="multilevel"/>
    <w:tmpl w:val="81BEC2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0E1502C"/>
    <w:multiLevelType w:val="multilevel"/>
    <w:tmpl w:val="D3D05450"/>
    <w:styleLink w:val="Bullets"/>
    <w:lvl w:ilvl="0">
      <w:start w:val="1"/>
      <w:numFmt w:val="bullet"/>
      <w:lvlText w:val=""/>
      <w:lvlJc w:val="left"/>
      <w:pPr>
        <w:ind w:left="284" w:hanging="284"/>
      </w:pPr>
      <w:rPr>
        <w:rFonts w:ascii="Symbol" w:hAnsi="Symbol" w:hint="default"/>
        <w:color w:val="000000" w:themeColor="text2"/>
      </w:rPr>
    </w:lvl>
    <w:lvl w:ilvl="1">
      <w:start w:val="1"/>
      <w:numFmt w:val="bullet"/>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7" w15:restartNumberingAfterBreak="0">
    <w:nsid w:val="721138DB"/>
    <w:multiLevelType w:val="multilevel"/>
    <w:tmpl w:val="878A2900"/>
    <w:styleLink w:val="TableBulletList"/>
    <w:lvl w:ilvl="0">
      <w:start w:val="1"/>
      <w:numFmt w:val="bullet"/>
      <w:lvlText w:val=""/>
      <w:lvlJc w:val="left"/>
      <w:pPr>
        <w:ind w:left="357" w:hanging="357"/>
      </w:pPr>
      <w:rPr>
        <w:rFonts w:ascii="Wingdings" w:hAnsi="Wingdings" w:hint="default"/>
        <w:color w:val="002D62" w:themeColor="accent1"/>
      </w:rPr>
    </w:lvl>
    <w:lvl w:ilvl="1">
      <w:start w:val="1"/>
      <w:numFmt w:val="bullet"/>
      <w:lvlText w:val="o"/>
      <w:lvlJc w:val="left"/>
      <w:pPr>
        <w:ind w:left="357" w:firstLine="0"/>
      </w:pPr>
      <w:rPr>
        <w:rFonts w:ascii="Courier New" w:hAnsi="Courier New" w:hint="default"/>
        <w:color w:val="002D62" w:themeColor="accent1"/>
      </w:rPr>
    </w:lvl>
    <w:lvl w:ilvl="2">
      <w:start w:val="1"/>
      <w:numFmt w:val="bullet"/>
      <w:lvlText w:val="–"/>
      <w:lvlJc w:val="left"/>
      <w:pPr>
        <w:ind w:left="357" w:firstLine="357"/>
      </w:pPr>
      <w:rPr>
        <w:rFonts w:ascii="Arial" w:hAnsi="Arial" w:hint="default"/>
        <w:color w:val="002D62" w:themeColor="accent1"/>
      </w:rPr>
    </w:lvl>
    <w:lvl w:ilvl="3">
      <w:start w:val="1"/>
      <w:numFmt w:val="decimal"/>
      <w:lvlText w:val="(%4)"/>
      <w:lvlJc w:val="left"/>
      <w:pPr>
        <w:ind w:left="1428" w:firstLine="0"/>
      </w:pPr>
      <w:rPr>
        <w:rFonts w:hint="default"/>
      </w:rPr>
    </w:lvl>
    <w:lvl w:ilvl="4">
      <w:start w:val="1"/>
      <w:numFmt w:val="lowerLetter"/>
      <w:lvlText w:val="(%5)"/>
      <w:lvlJc w:val="left"/>
      <w:pPr>
        <w:ind w:left="1785" w:firstLine="0"/>
      </w:pPr>
      <w:rPr>
        <w:rFonts w:hint="default"/>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num w:numId="1" w16cid:durableId="659506558">
    <w:abstractNumId w:val="3"/>
  </w:num>
  <w:num w:numId="2" w16cid:durableId="2004504923">
    <w:abstractNumId w:val="2"/>
  </w:num>
  <w:num w:numId="3" w16cid:durableId="108206877">
    <w:abstractNumId w:val="1"/>
  </w:num>
  <w:num w:numId="4" w16cid:durableId="1070618942">
    <w:abstractNumId w:val="0"/>
  </w:num>
  <w:num w:numId="5" w16cid:durableId="1785535727">
    <w:abstractNumId w:val="4"/>
  </w:num>
  <w:num w:numId="6" w16cid:durableId="1914847444">
    <w:abstractNumId w:val="11"/>
  </w:num>
  <w:num w:numId="7" w16cid:durableId="1690066239">
    <w:abstractNumId w:val="5"/>
  </w:num>
  <w:num w:numId="8" w16cid:durableId="2057855721">
    <w:abstractNumId w:val="7"/>
  </w:num>
  <w:num w:numId="9" w16cid:durableId="1052775917">
    <w:abstractNumId w:val="10"/>
  </w:num>
  <w:num w:numId="10" w16cid:durableId="2043436277">
    <w:abstractNumId w:val="12"/>
  </w:num>
  <w:num w:numId="11" w16cid:durableId="1428648144">
    <w:abstractNumId w:val="6"/>
  </w:num>
  <w:num w:numId="12" w16cid:durableId="415368406">
    <w:abstractNumId w:val="9"/>
  </w:num>
  <w:num w:numId="13" w16cid:durableId="1249994872">
    <w:abstractNumId w:val="15"/>
  </w:num>
  <w:num w:numId="14" w16cid:durableId="622659453">
    <w:abstractNumId w:val="8"/>
  </w:num>
  <w:num w:numId="15" w16cid:durableId="1690985092">
    <w:abstractNumId w:val="17"/>
  </w:num>
  <w:num w:numId="16" w16cid:durableId="1916666974">
    <w:abstractNumId w:val="16"/>
  </w:num>
  <w:num w:numId="17" w16cid:durableId="1132481932">
    <w:abstractNumId w:val="13"/>
  </w:num>
  <w:num w:numId="18" w16cid:durableId="146257387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A9"/>
    <w:rsid w:val="000018A1"/>
    <w:rsid w:val="00002D6C"/>
    <w:rsid w:val="000045C0"/>
    <w:rsid w:val="000110B8"/>
    <w:rsid w:val="00011374"/>
    <w:rsid w:val="00011BAA"/>
    <w:rsid w:val="000137DE"/>
    <w:rsid w:val="00013F2F"/>
    <w:rsid w:val="0001409F"/>
    <w:rsid w:val="00014FF2"/>
    <w:rsid w:val="00020FC9"/>
    <w:rsid w:val="000212BA"/>
    <w:rsid w:val="00021475"/>
    <w:rsid w:val="000215FE"/>
    <w:rsid w:val="00023C2E"/>
    <w:rsid w:val="00023CC8"/>
    <w:rsid w:val="00024AEB"/>
    <w:rsid w:val="00026629"/>
    <w:rsid w:val="000269C0"/>
    <w:rsid w:val="00033C6B"/>
    <w:rsid w:val="0003451C"/>
    <w:rsid w:val="00034B0B"/>
    <w:rsid w:val="00035647"/>
    <w:rsid w:val="00037ED9"/>
    <w:rsid w:val="00041291"/>
    <w:rsid w:val="00041552"/>
    <w:rsid w:val="000423EB"/>
    <w:rsid w:val="00043398"/>
    <w:rsid w:val="00043EC0"/>
    <w:rsid w:val="000447E2"/>
    <w:rsid w:val="00044EDF"/>
    <w:rsid w:val="00045AAF"/>
    <w:rsid w:val="00046882"/>
    <w:rsid w:val="0005129D"/>
    <w:rsid w:val="00053025"/>
    <w:rsid w:val="00053170"/>
    <w:rsid w:val="00054C04"/>
    <w:rsid w:val="00055B86"/>
    <w:rsid w:val="00060AD5"/>
    <w:rsid w:val="00060B33"/>
    <w:rsid w:val="000621BB"/>
    <w:rsid w:val="000658AD"/>
    <w:rsid w:val="00066F19"/>
    <w:rsid w:val="00070395"/>
    <w:rsid w:val="00071132"/>
    <w:rsid w:val="00072199"/>
    <w:rsid w:val="000734BB"/>
    <w:rsid w:val="00073961"/>
    <w:rsid w:val="000754E2"/>
    <w:rsid w:val="00076843"/>
    <w:rsid w:val="00076B00"/>
    <w:rsid w:val="00076F88"/>
    <w:rsid w:val="00077A3D"/>
    <w:rsid w:val="000804E4"/>
    <w:rsid w:val="00081A4A"/>
    <w:rsid w:val="000830DC"/>
    <w:rsid w:val="00084C14"/>
    <w:rsid w:val="00084C68"/>
    <w:rsid w:val="00085F2F"/>
    <w:rsid w:val="0009093A"/>
    <w:rsid w:val="00093181"/>
    <w:rsid w:val="00093D6F"/>
    <w:rsid w:val="00093F30"/>
    <w:rsid w:val="0009638E"/>
    <w:rsid w:val="000964FA"/>
    <w:rsid w:val="00096A64"/>
    <w:rsid w:val="0009736E"/>
    <w:rsid w:val="000A228B"/>
    <w:rsid w:val="000A4A09"/>
    <w:rsid w:val="000A4DC0"/>
    <w:rsid w:val="000A671C"/>
    <w:rsid w:val="000B1024"/>
    <w:rsid w:val="000B20BE"/>
    <w:rsid w:val="000B23E7"/>
    <w:rsid w:val="000B24AA"/>
    <w:rsid w:val="000B29F8"/>
    <w:rsid w:val="000B4264"/>
    <w:rsid w:val="000B650A"/>
    <w:rsid w:val="000B6A9F"/>
    <w:rsid w:val="000B7685"/>
    <w:rsid w:val="000C088D"/>
    <w:rsid w:val="000C4A97"/>
    <w:rsid w:val="000C550D"/>
    <w:rsid w:val="000C55C3"/>
    <w:rsid w:val="000C6732"/>
    <w:rsid w:val="000D1A53"/>
    <w:rsid w:val="000D1BC1"/>
    <w:rsid w:val="000D1CF6"/>
    <w:rsid w:val="000D4F74"/>
    <w:rsid w:val="000D57B3"/>
    <w:rsid w:val="000D611C"/>
    <w:rsid w:val="000E3EF0"/>
    <w:rsid w:val="000E4A5D"/>
    <w:rsid w:val="000E59B7"/>
    <w:rsid w:val="000E771D"/>
    <w:rsid w:val="000F0051"/>
    <w:rsid w:val="000F0942"/>
    <w:rsid w:val="000F3783"/>
    <w:rsid w:val="000F39D1"/>
    <w:rsid w:val="000F420F"/>
    <w:rsid w:val="000F5F26"/>
    <w:rsid w:val="000F6618"/>
    <w:rsid w:val="000F6FDF"/>
    <w:rsid w:val="000F79B5"/>
    <w:rsid w:val="00100D4B"/>
    <w:rsid w:val="00103006"/>
    <w:rsid w:val="001031D2"/>
    <w:rsid w:val="00106E56"/>
    <w:rsid w:val="0010753D"/>
    <w:rsid w:val="00110911"/>
    <w:rsid w:val="00110FFE"/>
    <w:rsid w:val="00111715"/>
    <w:rsid w:val="00112372"/>
    <w:rsid w:val="00114171"/>
    <w:rsid w:val="00115127"/>
    <w:rsid w:val="00115B30"/>
    <w:rsid w:val="001161E5"/>
    <w:rsid w:val="00116B1D"/>
    <w:rsid w:val="001175D1"/>
    <w:rsid w:val="001208E1"/>
    <w:rsid w:val="00120D26"/>
    <w:rsid w:val="00121079"/>
    <w:rsid w:val="00121581"/>
    <w:rsid w:val="00121728"/>
    <w:rsid w:val="00122724"/>
    <w:rsid w:val="00124A59"/>
    <w:rsid w:val="00124CBE"/>
    <w:rsid w:val="0013128A"/>
    <w:rsid w:val="00131BB0"/>
    <w:rsid w:val="001336F6"/>
    <w:rsid w:val="00134C31"/>
    <w:rsid w:val="00134C3B"/>
    <w:rsid w:val="00134F53"/>
    <w:rsid w:val="0013573A"/>
    <w:rsid w:val="00135ACA"/>
    <w:rsid w:val="0013633F"/>
    <w:rsid w:val="0013698D"/>
    <w:rsid w:val="00137984"/>
    <w:rsid w:val="00143AE5"/>
    <w:rsid w:val="00146951"/>
    <w:rsid w:val="0015245A"/>
    <w:rsid w:val="00153308"/>
    <w:rsid w:val="00154C8B"/>
    <w:rsid w:val="0015702B"/>
    <w:rsid w:val="001600D7"/>
    <w:rsid w:val="00160B63"/>
    <w:rsid w:val="00161186"/>
    <w:rsid w:val="001615AC"/>
    <w:rsid w:val="00162C56"/>
    <w:rsid w:val="001630E7"/>
    <w:rsid w:val="00163281"/>
    <w:rsid w:val="00163A05"/>
    <w:rsid w:val="00163DC5"/>
    <w:rsid w:val="00165085"/>
    <w:rsid w:val="00167CB6"/>
    <w:rsid w:val="0017047E"/>
    <w:rsid w:val="0017119E"/>
    <w:rsid w:val="00172DD8"/>
    <w:rsid w:val="00174530"/>
    <w:rsid w:val="001747FE"/>
    <w:rsid w:val="001748C2"/>
    <w:rsid w:val="00176E3C"/>
    <w:rsid w:val="00177077"/>
    <w:rsid w:val="00177264"/>
    <w:rsid w:val="0017772C"/>
    <w:rsid w:val="00177FD5"/>
    <w:rsid w:val="001802B1"/>
    <w:rsid w:val="0018202E"/>
    <w:rsid w:val="00182644"/>
    <w:rsid w:val="0018296D"/>
    <w:rsid w:val="00182AFB"/>
    <w:rsid w:val="00184205"/>
    <w:rsid w:val="00186F12"/>
    <w:rsid w:val="00187BC5"/>
    <w:rsid w:val="00191642"/>
    <w:rsid w:val="00191B1F"/>
    <w:rsid w:val="0019255E"/>
    <w:rsid w:val="00193CEC"/>
    <w:rsid w:val="00194D01"/>
    <w:rsid w:val="0019533A"/>
    <w:rsid w:val="001955AA"/>
    <w:rsid w:val="00195762"/>
    <w:rsid w:val="00195D8D"/>
    <w:rsid w:val="00195F27"/>
    <w:rsid w:val="0019651A"/>
    <w:rsid w:val="00196CB3"/>
    <w:rsid w:val="00196F06"/>
    <w:rsid w:val="001A0BAC"/>
    <w:rsid w:val="001A1864"/>
    <w:rsid w:val="001A1D62"/>
    <w:rsid w:val="001A20D0"/>
    <w:rsid w:val="001A25FE"/>
    <w:rsid w:val="001A2C8A"/>
    <w:rsid w:val="001A4048"/>
    <w:rsid w:val="001A47CE"/>
    <w:rsid w:val="001A4E06"/>
    <w:rsid w:val="001A6455"/>
    <w:rsid w:val="001A64AB"/>
    <w:rsid w:val="001A693F"/>
    <w:rsid w:val="001A7E61"/>
    <w:rsid w:val="001B08B6"/>
    <w:rsid w:val="001B1351"/>
    <w:rsid w:val="001B4095"/>
    <w:rsid w:val="001B4C0E"/>
    <w:rsid w:val="001C097A"/>
    <w:rsid w:val="001C18B0"/>
    <w:rsid w:val="001C3A10"/>
    <w:rsid w:val="001C4AAF"/>
    <w:rsid w:val="001C58D8"/>
    <w:rsid w:val="001D1140"/>
    <w:rsid w:val="001D132D"/>
    <w:rsid w:val="001D22AE"/>
    <w:rsid w:val="001D27D8"/>
    <w:rsid w:val="001D2C6F"/>
    <w:rsid w:val="001D51EF"/>
    <w:rsid w:val="001D6422"/>
    <w:rsid w:val="001D644E"/>
    <w:rsid w:val="001D67E8"/>
    <w:rsid w:val="001D6934"/>
    <w:rsid w:val="001D696E"/>
    <w:rsid w:val="001E1533"/>
    <w:rsid w:val="001E1D6D"/>
    <w:rsid w:val="001E1FE4"/>
    <w:rsid w:val="001E28A2"/>
    <w:rsid w:val="001E3E53"/>
    <w:rsid w:val="001E458B"/>
    <w:rsid w:val="001E5C0F"/>
    <w:rsid w:val="001E5EDA"/>
    <w:rsid w:val="001E6150"/>
    <w:rsid w:val="001E7D8D"/>
    <w:rsid w:val="001F08A4"/>
    <w:rsid w:val="001F2103"/>
    <w:rsid w:val="001F443D"/>
    <w:rsid w:val="001F554C"/>
    <w:rsid w:val="001F5A9F"/>
    <w:rsid w:val="00202012"/>
    <w:rsid w:val="002021FE"/>
    <w:rsid w:val="00203643"/>
    <w:rsid w:val="00203B9F"/>
    <w:rsid w:val="002105FC"/>
    <w:rsid w:val="00210ED4"/>
    <w:rsid w:val="00211FC2"/>
    <w:rsid w:val="002124C1"/>
    <w:rsid w:val="00214434"/>
    <w:rsid w:val="00217E74"/>
    <w:rsid w:val="00224E5C"/>
    <w:rsid w:val="00225803"/>
    <w:rsid w:val="002266C0"/>
    <w:rsid w:val="00230CAD"/>
    <w:rsid w:val="00235429"/>
    <w:rsid w:val="00236770"/>
    <w:rsid w:val="00237E80"/>
    <w:rsid w:val="002414B7"/>
    <w:rsid w:val="00241B9E"/>
    <w:rsid w:val="002435A8"/>
    <w:rsid w:val="00243DF5"/>
    <w:rsid w:val="00243F1A"/>
    <w:rsid w:val="00245C2F"/>
    <w:rsid w:val="002462B5"/>
    <w:rsid w:val="00250737"/>
    <w:rsid w:val="0025095E"/>
    <w:rsid w:val="00250974"/>
    <w:rsid w:val="00252445"/>
    <w:rsid w:val="00252F1E"/>
    <w:rsid w:val="002539D6"/>
    <w:rsid w:val="00253ACD"/>
    <w:rsid w:val="00254F42"/>
    <w:rsid w:val="002646D9"/>
    <w:rsid w:val="00266EB3"/>
    <w:rsid w:val="00266F12"/>
    <w:rsid w:val="00270446"/>
    <w:rsid w:val="00272A46"/>
    <w:rsid w:val="00272B8E"/>
    <w:rsid w:val="00274046"/>
    <w:rsid w:val="00274D9F"/>
    <w:rsid w:val="002752E0"/>
    <w:rsid w:val="00276ECF"/>
    <w:rsid w:val="0027708B"/>
    <w:rsid w:val="002770FD"/>
    <w:rsid w:val="0028069F"/>
    <w:rsid w:val="00282486"/>
    <w:rsid w:val="00284F89"/>
    <w:rsid w:val="002858D0"/>
    <w:rsid w:val="00287335"/>
    <w:rsid w:val="00287994"/>
    <w:rsid w:val="00290028"/>
    <w:rsid w:val="00293C82"/>
    <w:rsid w:val="002942F5"/>
    <w:rsid w:val="0029485E"/>
    <w:rsid w:val="0029578D"/>
    <w:rsid w:val="00296D53"/>
    <w:rsid w:val="002A21E7"/>
    <w:rsid w:val="002A5D66"/>
    <w:rsid w:val="002A6921"/>
    <w:rsid w:val="002A69B3"/>
    <w:rsid w:val="002A7F70"/>
    <w:rsid w:val="002B7E67"/>
    <w:rsid w:val="002C24EA"/>
    <w:rsid w:val="002C2E35"/>
    <w:rsid w:val="002C4797"/>
    <w:rsid w:val="002C489B"/>
    <w:rsid w:val="002C6013"/>
    <w:rsid w:val="002C6C9D"/>
    <w:rsid w:val="002D3597"/>
    <w:rsid w:val="002D35FA"/>
    <w:rsid w:val="002D3AB0"/>
    <w:rsid w:val="002D6F2A"/>
    <w:rsid w:val="002D754E"/>
    <w:rsid w:val="002D7E84"/>
    <w:rsid w:val="002E030B"/>
    <w:rsid w:val="002E0612"/>
    <w:rsid w:val="002E1338"/>
    <w:rsid w:val="002E203E"/>
    <w:rsid w:val="002E33FF"/>
    <w:rsid w:val="002E380E"/>
    <w:rsid w:val="002E3CC5"/>
    <w:rsid w:val="002E5017"/>
    <w:rsid w:val="002E5F2E"/>
    <w:rsid w:val="002E5F7A"/>
    <w:rsid w:val="002E61F6"/>
    <w:rsid w:val="002E6EEE"/>
    <w:rsid w:val="002E72A8"/>
    <w:rsid w:val="002E7A3D"/>
    <w:rsid w:val="002E7ADE"/>
    <w:rsid w:val="002F0EA7"/>
    <w:rsid w:val="002F277D"/>
    <w:rsid w:val="002F2988"/>
    <w:rsid w:val="002F423E"/>
    <w:rsid w:val="002F5B1B"/>
    <w:rsid w:val="002F6456"/>
    <w:rsid w:val="00303E9D"/>
    <w:rsid w:val="00304BB6"/>
    <w:rsid w:val="003050D2"/>
    <w:rsid w:val="00305530"/>
    <w:rsid w:val="0031110D"/>
    <w:rsid w:val="00312D17"/>
    <w:rsid w:val="00312E78"/>
    <w:rsid w:val="003148A8"/>
    <w:rsid w:val="003154CC"/>
    <w:rsid w:val="00315E97"/>
    <w:rsid w:val="003164E9"/>
    <w:rsid w:val="00316B3C"/>
    <w:rsid w:val="00317E06"/>
    <w:rsid w:val="0032252C"/>
    <w:rsid w:val="00322A54"/>
    <w:rsid w:val="0032514D"/>
    <w:rsid w:val="003253BC"/>
    <w:rsid w:val="00326084"/>
    <w:rsid w:val="003274EB"/>
    <w:rsid w:val="003317CF"/>
    <w:rsid w:val="003326E2"/>
    <w:rsid w:val="00336E78"/>
    <w:rsid w:val="00340677"/>
    <w:rsid w:val="00340E37"/>
    <w:rsid w:val="00342A17"/>
    <w:rsid w:val="00346440"/>
    <w:rsid w:val="00346949"/>
    <w:rsid w:val="00351042"/>
    <w:rsid w:val="003514B9"/>
    <w:rsid w:val="00351812"/>
    <w:rsid w:val="00352BED"/>
    <w:rsid w:val="00352F09"/>
    <w:rsid w:val="0035358C"/>
    <w:rsid w:val="003537A8"/>
    <w:rsid w:val="0035414D"/>
    <w:rsid w:val="00355630"/>
    <w:rsid w:val="00355CD0"/>
    <w:rsid w:val="00357FC4"/>
    <w:rsid w:val="0036057C"/>
    <w:rsid w:val="003633D3"/>
    <w:rsid w:val="003633DE"/>
    <w:rsid w:val="00363989"/>
    <w:rsid w:val="00363EF1"/>
    <w:rsid w:val="00363F67"/>
    <w:rsid w:val="00364089"/>
    <w:rsid w:val="00365BF7"/>
    <w:rsid w:val="00372CCA"/>
    <w:rsid w:val="00372EE5"/>
    <w:rsid w:val="00373ADD"/>
    <w:rsid w:val="00373D27"/>
    <w:rsid w:val="00373F15"/>
    <w:rsid w:val="0037607C"/>
    <w:rsid w:val="003774B2"/>
    <w:rsid w:val="00381130"/>
    <w:rsid w:val="00382D21"/>
    <w:rsid w:val="00383001"/>
    <w:rsid w:val="003847BD"/>
    <w:rsid w:val="00386383"/>
    <w:rsid w:val="003868B9"/>
    <w:rsid w:val="00386E1B"/>
    <w:rsid w:val="00387CBB"/>
    <w:rsid w:val="003900D9"/>
    <w:rsid w:val="00390370"/>
    <w:rsid w:val="00391A4F"/>
    <w:rsid w:val="00395355"/>
    <w:rsid w:val="00396C73"/>
    <w:rsid w:val="00397485"/>
    <w:rsid w:val="00397A9C"/>
    <w:rsid w:val="003A24EE"/>
    <w:rsid w:val="003A2C79"/>
    <w:rsid w:val="003A4EBF"/>
    <w:rsid w:val="003A5268"/>
    <w:rsid w:val="003A6EEE"/>
    <w:rsid w:val="003B1B50"/>
    <w:rsid w:val="003B1E6A"/>
    <w:rsid w:val="003B5ED6"/>
    <w:rsid w:val="003B6047"/>
    <w:rsid w:val="003C03A5"/>
    <w:rsid w:val="003C0DF9"/>
    <w:rsid w:val="003C19E9"/>
    <w:rsid w:val="003C469C"/>
    <w:rsid w:val="003C5762"/>
    <w:rsid w:val="003D16D3"/>
    <w:rsid w:val="003D1BE4"/>
    <w:rsid w:val="003D4985"/>
    <w:rsid w:val="003D55B6"/>
    <w:rsid w:val="003D5F88"/>
    <w:rsid w:val="003E081D"/>
    <w:rsid w:val="003E33D1"/>
    <w:rsid w:val="003E3A89"/>
    <w:rsid w:val="003E4E65"/>
    <w:rsid w:val="003E55DA"/>
    <w:rsid w:val="003E66C9"/>
    <w:rsid w:val="003F2C9B"/>
    <w:rsid w:val="003F2D8C"/>
    <w:rsid w:val="003F33F1"/>
    <w:rsid w:val="003F362E"/>
    <w:rsid w:val="003F6525"/>
    <w:rsid w:val="003F6B41"/>
    <w:rsid w:val="003F6F8D"/>
    <w:rsid w:val="00404F98"/>
    <w:rsid w:val="00405652"/>
    <w:rsid w:val="00411196"/>
    <w:rsid w:val="0041273E"/>
    <w:rsid w:val="004139D0"/>
    <w:rsid w:val="00415D50"/>
    <w:rsid w:val="004161A5"/>
    <w:rsid w:val="00417203"/>
    <w:rsid w:val="0042094B"/>
    <w:rsid w:val="004213CE"/>
    <w:rsid w:val="004218C6"/>
    <w:rsid w:val="004233B2"/>
    <w:rsid w:val="00424E11"/>
    <w:rsid w:val="00425F0B"/>
    <w:rsid w:val="00426AB6"/>
    <w:rsid w:val="004272B0"/>
    <w:rsid w:val="004276A2"/>
    <w:rsid w:val="004302E2"/>
    <w:rsid w:val="00430F1C"/>
    <w:rsid w:val="00431F05"/>
    <w:rsid w:val="004447FF"/>
    <w:rsid w:val="00445523"/>
    <w:rsid w:val="004458DE"/>
    <w:rsid w:val="00445C7D"/>
    <w:rsid w:val="00445F7E"/>
    <w:rsid w:val="00452C91"/>
    <w:rsid w:val="00453128"/>
    <w:rsid w:val="0045334E"/>
    <w:rsid w:val="00453506"/>
    <w:rsid w:val="00455655"/>
    <w:rsid w:val="00455ED8"/>
    <w:rsid w:val="00455FE3"/>
    <w:rsid w:val="00461BEF"/>
    <w:rsid w:val="00462038"/>
    <w:rsid w:val="00463152"/>
    <w:rsid w:val="0046328C"/>
    <w:rsid w:val="004636D1"/>
    <w:rsid w:val="0046406B"/>
    <w:rsid w:val="0046438E"/>
    <w:rsid w:val="004654B8"/>
    <w:rsid w:val="00465D5A"/>
    <w:rsid w:val="004700C1"/>
    <w:rsid w:val="00470E30"/>
    <w:rsid w:val="00472F35"/>
    <w:rsid w:val="004736B9"/>
    <w:rsid w:val="00474474"/>
    <w:rsid w:val="0047620D"/>
    <w:rsid w:val="004773D4"/>
    <w:rsid w:val="00477A57"/>
    <w:rsid w:val="004829E3"/>
    <w:rsid w:val="00483071"/>
    <w:rsid w:val="0048411C"/>
    <w:rsid w:val="00484AF9"/>
    <w:rsid w:val="00484B58"/>
    <w:rsid w:val="00484E21"/>
    <w:rsid w:val="004863DE"/>
    <w:rsid w:val="004872E3"/>
    <w:rsid w:val="004905C4"/>
    <w:rsid w:val="00490D39"/>
    <w:rsid w:val="00490EEC"/>
    <w:rsid w:val="004926BC"/>
    <w:rsid w:val="00493432"/>
    <w:rsid w:val="004940D2"/>
    <w:rsid w:val="00494805"/>
    <w:rsid w:val="00495969"/>
    <w:rsid w:val="00495D06"/>
    <w:rsid w:val="004971DD"/>
    <w:rsid w:val="004A0432"/>
    <w:rsid w:val="004A0E9B"/>
    <w:rsid w:val="004A225D"/>
    <w:rsid w:val="004A3BAC"/>
    <w:rsid w:val="004A3EBF"/>
    <w:rsid w:val="004A4065"/>
    <w:rsid w:val="004A4217"/>
    <w:rsid w:val="004A61C7"/>
    <w:rsid w:val="004B027D"/>
    <w:rsid w:val="004B048E"/>
    <w:rsid w:val="004B31AB"/>
    <w:rsid w:val="004B420C"/>
    <w:rsid w:val="004B4E23"/>
    <w:rsid w:val="004B5D07"/>
    <w:rsid w:val="004B6B21"/>
    <w:rsid w:val="004B6BF9"/>
    <w:rsid w:val="004B7680"/>
    <w:rsid w:val="004B7944"/>
    <w:rsid w:val="004C0D60"/>
    <w:rsid w:val="004C1560"/>
    <w:rsid w:val="004C1BB5"/>
    <w:rsid w:val="004C2841"/>
    <w:rsid w:val="004C2E40"/>
    <w:rsid w:val="004C331B"/>
    <w:rsid w:val="004C54BF"/>
    <w:rsid w:val="004C667B"/>
    <w:rsid w:val="004D1546"/>
    <w:rsid w:val="004D1EA1"/>
    <w:rsid w:val="004D2509"/>
    <w:rsid w:val="004D4B8E"/>
    <w:rsid w:val="004D5A14"/>
    <w:rsid w:val="004D65A9"/>
    <w:rsid w:val="004E04C2"/>
    <w:rsid w:val="004E0A68"/>
    <w:rsid w:val="004E1786"/>
    <w:rsid w:val="004E17F8"/>
    <w:rsid w:val="004E26E2"/>
    <w:rsid w:val="004E2E09"/>
    <w:rsid w:val="004E32C1"/>
    <w:rsid w:val="004E39EE"/>
    <w:rsid w:val="004E41C8"/>
    <w:rsid w:val="004E49A9"/>
    <w:rsid w:val="004E52BD"/>
    <w:rsid w:val="004E586A"/>
    <w:rsid w:val="004E70A5"/>
    <w:rsid w:val="004F2853"/>
    <w:rsid w:val="004F46BC"/>
    <w:rsid w:val="004F5A59"/>
    <w:rsid w:val="004F6052"/>
    <w:rsid w:val="004F7883"/>
    <w:rsid w:val="004F7D00"/>
    <w:rsid w:val="005010D4"/>
    <w:rsid w:val="00504DC0"/>
    <w:rsid w:val="0050514C"/>
    <w:rsid w:val="00505508"/>
    <w:rsid w:val="00505968"/>
    <w:rsid w:val="005068B7"/>
    <w:rsid w:val="00507330"/>
    <w:rsid w:val="00507A09"/>
    <w:rsid w:val="00507CE0"/>
    <w:rsid w:val="005112E1"/>
    <w:rsid w:val="00512D06"/>
    <w:rsid w:val="005142DB"/>
    <w:rsid w:val="00514F65"/>
    <w:rsid w:val="00514F66"/>
    <w:rsid w:val="0051652F"/>
    <w:rsid w:val="00516E94"/>
    <w:rsid w:val="005202F7"/>
    <w:rsid w:val="00522823"/>
    <w:rsid w:val="00524EFE"/>
    <w:rsid w:val="0052650E"/>
    <w:rsid w:val="0053044D"/>
    <w:rsid w:val="005310EB"/>
    <w:rsid w:val="00531BAE"/>
    <w:rsid w:val="00532274"/>
    <w:rsid w:val="00532A5F"/>
    <w:rsid w:val="0053579F"/>
    <w:rsid w:val="00535C81"/>
    <w:rsid w:val="00536566"/>
    <w:rsid w:val="00536B2D"/>
    <w:rsid w:val="00537E72"/>
    <w:rsid w:val="0054207D"/>
    <w:rsid w:val="005469D7"/>
    <w:rsid w:val="00547719"/>
    <w:rsid w:val="00550E16"/>
    <w:rsid w:val="005521C0"/>
    <w:rsid w:val="0055234B"/>
    <w:rsid w:val="00553B98"/>
    <w:rsid w:val="005551E4"/>
    <w:rsid w:val="00557653"/>
    <w:rsid w:val="00562716"/>
    <w:rsid w:val="00562747"/>
    <w:rsid w:val="0056349A"/>
    <w:rsid w:val="005659C8"/>
    <w:rsid w:val="005704C3"/>
    <w:rsid w:val="005704FB"/>
    <w:rsid w:val="00570902"/>
    <w:rsid w:val="00570B04"/>
    <w:rsid w:val="00570B35"/>
    <w:rsid w:val="00570CB9"/>
    <w:rsid w:val="005731E2"/>
    <w:rsid w:val="005739D7"/>
    <w:rsid w:val="00574F29"/>
    <w:rsid w:val="00575E85"/>
    <w:rsid w:val="00576B17"/>
    <w:rsid w:val="00580E9F"/>
    <w:rsid w:val="00584C43"/>
    <w:rsid w:val="0058518C"/>
    <w:rsid w:val="00586CC2"/>
    <w:rsid w:val="0058700C"/>
    <w:rsid w:val="00587A41"/>
    <w:rsid w:val="00590DC5"/>
    <w:rsid w:val="00592698"/>
    <w:rsid w:val="0059454F"/>
    <w:rsid w:val="00595144"/>
    <w:rsid w:val="005961FB"/>
    <w:rsid w:val="00597CF4"/>
    <w:rsid w:val="005A0722"/>
    <w:rsid w:val="005A243B"/>
    <w:rsid w:val="005A2E7F"/>
    <w:rsid w:val="005A3253"/>
    <w:rsid w:val="005A385A"/>
    <w:rsid w:val="005A4C13"/>
    <w:rsid w:val="005A4CAE"/>
    <w:rsid w:val="005A6114"/>
    <w:rsid w:val="005A6C06"/>
    <w:rsid w:val="005A7F22"/>
    <w:rsid w:val="005B0427"/>
    <w:rsid w:val="005B0B05"/>
    <w:rsid w:val="005B1866"/>
    <w:rsid w:val="005B2B87"/>
    <w:rsid w:val="005B3A83"/>
    <w:rsid w:val="005B42A5"/>
    <w:rsid w:val="005B629D"/>
    <w:rsid w:val="005B6859"/>
    <w:rsid w:val="005C00DA"/>
    <w:rsid w:val="005C0FF9"/>
    <w:rsid w:val="005C391C"/>
    <w:rsid w:val="005C47C8"/>
    <w:rsid w:val="005D012B"/>
    <w:rsid w:val="005D0783"/>
    <w:rsid w:val="005D1644"/>
    <w:rsid w:val="005D190C"/>
    <w:rsid w:val="005D2D6D"/>
    <w:rsid w:val="005D3069"/>
    <w:rsid w:val="005D46F0"/>
    <w:rsid w:val="005D553F"/>
    <w:rsid w:val="005D5E9D"/>
    <w:rsid w:val="005D673E"/>
    <w:rsid w:val="005D676D"/>
    <w:rsid w:val="005D76B7"/>
    <w:rsid w:val="005E0DAC"/>
    <w:rsid w:val="005E0F19"/>
    <w:rsid w:val="005E25DB"/>
    <w:rsid w:val="005E313F"/>
    <w:rsid w:val="005E54E3"/>
    <w:rsid w:val="005E6549"/>
    <w:rsid w:val="00600B06"/>
    <w:rsid w:val="0060129A"/>
    <w:rsid w:val="006022E2"/>
    <w:rsid w:val="00602E9E"/>
    <w:rsid w:val="00602F33"/>
    <w:rsid w:val="006103AF"/>
    <w:rsid w:val="00610DC2"/>
    <w:rsid w:val="006110FF"/>
    <w:rsid w:val="00611A7E"/>
    <w:rsid w:val="00611D8A"/>
    <w:rsid w:val="00615B69"/>
    <w:rsid w:val="00617DBB"/>
    <w:rsid w:val="00620B19"/>
    <w:rsid w:val="006211B7"/>
    <w:rsid w:val="00621ED9"/>
    <w:rsid w:val="00621F98"/>
    <w:rsid w:val="0062231D"/>
    <w:rsid w:val="00624D10"/>
    <w:rsid w:val="00624F79"/>
    <w:rsid w:val="00625E35"/>
    <w:rsid w:val="006262E5"/>
    <w:rsid w:val="006264CB"/>
    <w:rsid w:val="00627137"/>
    <w:rsid w:val="00627252"/>
    <w:rsid w:val="00630F96"/>
    <w:rsid w:val="0063244E"/>
    <w:rsid w:val="006349F5"/>
    <w:rsid w:val="00635C27"/>
    <w:rsid w:val="006362B4"/>
    <w:rsid w:val="00636530"/>
    <w:rsid w:val="00636A0C"/>
    <w:rsid w:val="006371E2"/>
    <w:rsid w:val="006403A0"/>
    <w:rsid w:val="00640555"/>
    <w:rsid w:val="00640DB7"/>
    <w:rsid w:val="00641316"/>
    <w:rsid w:val="00641C84"/>
    <w:rsid w:val="00641FD5"/>
    <w:rsid w:val="00643C23"/>
    <w:rsid w:val="00644490"/>
    <w:rsid w:val="00645247"/>
    <w:rsid w:val="00645601"/>
    <w:rsid w:val="00645920"/>
    <w:rsid w:val="00645C03"/>
    <w:rsid w:val="006507AC"/>
    <w:rsid w:val="0065081B"/>
    <w:rsid w:val="006520B1"/>
    <w:rsid w:val="0065225F"/>
    <w:rsid w:val="0065344E"/>
    <w:rsid w:val="00654FD2"/>
    <w:rsid w:val="006557C8"/>
    <w:rsid w:val="0065586C"/>
    <w:rsid w:val="006560E3"/>
    <w:rsid w:val="006579C7"/>
    <w:rsid w:val="0066207C"/>
    <w:rsid w:val="006633EF"/>
    <w:rsid w:val="00664C6B"/>
    <w:rsid w:val="0066780B"/>
    <w:rsid w:val="00674DE8"/>
    <w:rsid w:val="006751B7"/>
    <w:rsid w:val="006764C6"/>
    <w:rsid w:val="0067689C"/>
    <w:rsid w:val="006771C3"/>
    <w:rsid w:val="00680465"/>
    <w:rsid w:val="00680680"/>
    <w:rsid w:val="00680AB3"/>
    <w:rsid w:val="0068239A"/>
    <w:rsid w:val="00683119"/>
    <w:rsid w:val="00683BCF"/>
    <w:rsid w:val="0068672D"/>
    <w:rsid w:val="00690626"/>
    <w:rsid w:val="006915A0"/>
    <w:rsid w:val="00695CBE"/>
    <w:rsid w:val="00696731"/>
    <w:rsid w:val="00696E03"/>
    <w:rsid w:val="006A0831"/>
    <w:rsid w:val="006A49D5"/>
    <w:rsid w:val="006A54A9"/>
    <w:rsid w:val="006A7341"/>
    <w:rsid w:val="006B0BD7"/>
    <w:rsid w:val="006B5F7A"/>
    <w:rsid w:val="006C40A9"/>
    <w:rsid w:val="006C4573"/>
    <w:rsid w:val="006C4741"/>
    <w:rsid w:val="006C563F"/>
    <w:rsid w:val="006C6DCF"/>
    <w:rsid w:val="006C7AB4"/>
    <w:rsid w:val="006D02CD"/>
    <w:rsid w:val="006D1E86"/>
    <w:rsid w:val="006D26B5"/>
    <w:rsid w:val="006D2F72"/>
    <w:rsid w:val="006E1E87"/>
    <w:rsid w:val="006E1F2F"/>
    <w:rsid w:val="006E21A5"/>
    <w:rsid w:val="006E294B"/>
    <w:rsid w:val="006E5680"/>
    <w:rsid w:val="006E58C9"/>
    <w:rsid w:val="006E6430"/>
    <w:rsid w:val="006E654A"/>
    <w:rsid w:val="006E7C2E"/>
    <w:rsid w:val="006F04FA"/>
    <w:rsid w:val="006F17A9"/>
    <w:rsid w:val="006F3113"/>
    <w:rsid w:val="006F3291"/>
    <w:rsid w:val="006F4976"/>
    <w:rsid w:val="006F4E0B"/>
    <w:rsid w:val="006F6A9E"/>
    <w:rsid w:val="00701503"/>
    <w:rsid w:val="0070180F"/>
    <w:rsid w:val="00701F68"/>
    <w:rsid w:val="00702A9C"/>
    <w:rsid w:val="00703486"/>
    <w:rsid w:val="007047DF"/>
    <w:rsid w:val="007066C8"/>
    <w:rsid w:val="00706BA2"/>
    <w:rsid w:val="00707479"/>
    <w:rsid w:val="00711811"/>
    <w:rsid w:val="007126C4"/>
    <w:rsid w:val="00712CEA"/>
    <w:rsid w:val="007133C4"/>
    <w:rsid w:val="00714D58"/>
    <w:rsid w:val="007150E8"/>
    <w:rsid w:val="00716244"/>
    <w:rsid w:val="00717983"/>
    <w:rsid w:val="007203D1"/>
    <w:rsid w:val="00721D01"/>
    <w:rsid w:val="00722D90"/>
    <w:rsid w:val="0072528B"/>
    <w:rsid w:val="007254E1"/>
    <w:rsid w:val="00727EA3"/>
    <w:rsid w:val="0073462B"/>
    <w:rsid w:val="00734985"/>
    <w:rsid w:val="00735243"/>
    <w:rsid w:val="00735EB6"/>
    <w:rsid w:val="00737952"/>
    <w:rsid w:val="007420B5"/>
    <w:rsid w:val="007424D9"/>
    <w:rsid w:val="0074394D"/>
    <w:rsid w:val="00744390"/>
    <w:rsid w:val="00746055"/>
    <w:rsid w:val="00746EFF"/>
    <w:rsid w:val="007476A2"/>
    <w:rsid w:val="00754672"/>
    <w:rsid w:val="007568EC"/>
    <w:rsid w:val="00756F4B"/>
    <w:rsid w:val="007579A1"/>
    <w:rsid w:val="0076084C"/>
    <w:rsid w:val="00760BAB"/>
    <w:rsid w:val="007633BB"/>
    <w:rsid w:val="00764C65"/>
    <w:rsid w:val="00766F5B"/>
    <w:rsid w:val="0077018B"/>
    <w:rsid w:val="00770C7C"/>
    <w:rsid w:val="00771992"/>
    <w:rsid w:val="00771C47"/>
    <w:rsid w:val="00772CB5"/>
    <w:rsid w:val="00772D18"/>
    <w:rsid w:val="007774A1"/>
    <w:rsid w:val="0077765E"/>
    <w:rsid w:val="00777682"/>
    <w:rsid w:val="0077793E"/>
    <w:rsid w:val="00777C85"/>
    <w:rsid w:val="00780134"/>
    <w:rsid w:val="00781925"/>
    <w:rsid w:val="0078246F"/>
    <w:rsid w:val="00785DD3"/>
    <w:rsid w:val="00785F4F"/>
    <w:rsid w:val="0078685E"/>
    <w:rsid w:val="00786995"/>
    <w:rsid w:val="00786B42"/>
    <w:rsid w:val="007870EE"/>
    <w:rsid w:val="0079098F"/>
    <w:rsid w:val="00790E5A"/>
    <w:rsid w:val="007914A7"/>
    <w:rsid w:val="0079253D"/>
    <w:rsid w:val="007927DC"/>
    <w:rsid w:val="00792A85"/>
    <w:rsid w:val="0079773B"/>
    <w:rsid w:val="007A0429"/>
    <w:rsid w:val="007A0541"/>
    <w:rsid w:val="007A11E1"/>
    <w:rsid w:val="007A15E9"/>
    <w:rsid w:val="007A1953"/>
    <w:rsid w:val="007A302B"/>
    <w:rsid w:val="007A39D2"/>
    <w:rsid w:val="007A4ED9"/>
    <w:rsid w:val="007A58CF"/>
    <w:rsid w:val="007A6388"/>
    <w:rsid w:val="007A7FE8"/>
    <w:rsid w:val="007B40B8"/>
    <w:rsid w:val="007B5AE4"/>
    <w:rsid w:val="007B66F1"/>
    <w:rsid w:val="007C0117"/>
    <w:rsid w:val="007C143D"/>
    <w:rsid w:val="007C2CE4"/>
    <w:rsid w:val="007C5A97"/>
    <w:rsid w:val="007C5B1D"/>
    <w:rsid w:val="007C5BE7"/>
    <w:rsid w:val="007C72FC"/>
    <w:rsid w:val="007D2A7C"/>
    <w:rsid w:val="007D2BB2"/>
    <w:rsid w:val="007D2BE2"/>
    <w:rsid w:val="007E2B15"/>
    <w:rsid w:val="007E4C88"/>
    <w:rsid w:val="007E5F0A"/>
    <w:rsid w:val="007E76B0"/>
    <w:rsid w:val="007F0DA5"/>
    <w:rsid w:val="007F3017"/>
    <w:rsid w:val="007F5039"/>
    <w:rsid w:val="007F7069"/>
    <w:rsid w:val="007F711C"/>
    <w:rsid w:val="007F7265"/>
    <w:rsid w:val="00800286"/>
    <w:rsid w:val="008015C5"/>
    <w:rsid w:val="00801A6E"/>
    <w:rsid w:val="00801AD7"/>
    <w:rsid w:val="00801EDD"/>
    <w:rsid w:val="008048FD"/>
    <w:rsid w:val="008056F7"/>
    <w:rsid w:val="00805F19"/>
    <w:rsid w:val="008064D9"/>
    <w:rsid w:val="008075EA"/>
    <w:rsid w:val="00810294"/>
    <w:rsid w:val="008112BE"/>
    <w:rsid w:val="008118AF"/>
    <w:rsid w:val="008122E4"/>
    <w:rsid w:val="0081290D"/>
    <w:rsid w:val="00814A65"/>
    <w:rsid w:val="008160CA"/>
    <w:rsid w:val="0081770D"/>
    <w:rsid w:val="00817888"/>
    <w:rsid w:val="00821951"/>
    <w:rsid w:val="00823EEF"/>
    <w:rsid w:val="008263CE"/>
    <w:rsid w:val="008304CC"/>
    <w:rsid w:val="00830878"/>
    <w:rsid w:val="0083194E"/>
    <w:rsid w:val="008324C4"/>
    <w:rsid w:val="0083480F"/>
    <w:rsid w:val="00835336"/>
    <w:rsid w:val="00835922"/>
    <w:rsid w:val="00837C00"/>
    <w:rsid w:val="00840003"/>
    <w:rsid w:val="00840DB9"/>
    <w:rsid w:val="00842EFF"/>
    <w:rsid w:val="00844A72"/>
    <w:rsid w:val="00844D3A"/>
    <w:rsid w:val="0084540C"/>
    <w:rsid w:val="00846938"/>
    <w:rsid w:val="0085261A"/>
    <w:rsid w:val="00852909"/>
    <w:rsid w:val="00853484"/>
    <w:rsid w:val="00854962"/>
    <w:rsid w:val="00854CAA"/>
    <w:rsid w:val="008555A9"/>
    <w:rsid w:val="00856668"/>
    <w:rsid w:val="00860F7D"/>
    <w:rsid w:val="00862254"/>
    <w:rsid w:val="0086386C"/>
    <w:rsid w:val="00871255"/>
    <w:rsid w:val="00872CDD"/>
    <w:rsid w:val="0087373C"/>
    <w:rsid w:val="008739D9"/>
    <w:rsid w:val="00873B4D"/>
    <w:rsid w:val="0088025D"/>
    <w:rsid w:val="0088208C"/>
    <w:rsid w:val="00885B4E"/>
    <w:rsid w:val="0088652A"/>
    <w:rsid w:val="008870C0"/>
    <w:rsid w:val="00890F91"/>
    <w:rsid w:val="00893069"/>
    <w:rsid w:val="0089314C"/>
    <w:rsid w:val="00893BED"/>
    <w:rsid w:val="00894252"/>
    <w:rsid w:val="00896294"/>
    <w:rsid w:val="00896378"/>
    <w:rsid w:val="00896A80"/>
    <w:rsid w:val="00896C80"/>
    <w:rsid w:val="00896D0E"/>
    <w:rsid w:val="008A0D7D"/>
    <w:rsid w:val="008A0F4E"/>
    <w:rsid w:val="008A15BC"/>
    <w:rsid w:val="008A1838"/>
    <w:rsid w:val="008A1BA4"/>
    <w:rsid w:val="008A2FDD"/>
    <w:rsid w:val="008A4A6C"/>
    <w:rsid w:val="008A6764"/>
    <w:rsid w:val="008A7191"/>
    <w:rsid w:val="008A7283"/>
    <w:rsid w:val="008A7971"/>
    <w:rsid w:val="008A7BDA"/>
    <w:rsid w:val="008A7CBD"/>
    <w:rsid w:val="008B2C5C"/>
    <w:rsid w:val="008B3869"/>
    <w:rsid w:val="008B3995"/>
    <w:rsid w:val="008B698C"/>
    <w:rsid w:val="008C2B3C"/>
    <w:rsid w:val="008C2D42"/>
    <w:rsid w:val="008C2FE3"/>
    <w:rsid w:val="008C349D"/>
    <w:rsid w:val="008C3EB9"/>
    <w:rsid w:val="008C495A"/>
    <w:rsid w:val="008C5178"/>
    <w:rsid w:val="008C6119"/>
    <w:rsid w:val="008C6A77"/>
    <w:rsid w:val="008C7783"/>
    <w:rsid w:val="008C7CC9"/>
    <w:rsid w:val="008D03C7"/>
    <w:rsid w:val="008D0932"/>
    <w:rsid w:val="008D10E9"/>
    <w:rsid w:val="008D155E"/>
    <w:rsid w:val="008D192E"/>
    <w:rsid w:val="008D237B"/>
    <w:rsid w:val="008D34D0"/>
    <w:rsid w:val="008D378F"/>
    <w:rsid w:val="008D50C3"/>
    <w:rsid w:val="008D5CC7"/>
    <w:rsid w:val="008E0C59"/>
    <w:rsid w:val="008E1C99"/>
    <w:rsid w:val="008E2667"/>
    <w:rsid w:val="008E2954"/>
    <w:rsid w:val="008E2970"/>
    <w:rsid w:val="008E50B8"/>
    <w:rsid w:val="008E6B3E"/>
    <w:rsid w:val="008F0193"/>
    <w:rsid w:val="008F304B"/>
    <w:rsid w:val="008F506C"/>
    <w:rsid w:val="008F6BFA"/>
    <w:rsid w:val="008F6EDD"/>
    <w:rsid w:val="00904B41"/>
    <w:rsid w:val="009062D7"/>
    <w:rsid w:val="009107BA"/>
    <w:rsid w:val="009109EF"/>
    <w:rsid w:val="00911C92"/>
    <w:rsid w:val="009139D5"/>
    <w:rsid w:val="00913F23"/>
    <w:rsid w:val="0091793C"/>
    <w:rsid w:val="00922FB4"/>
    <w:rsid w:val="0092496C"/>
    <w:rsid w:val="009250CF"/>
    <w:rsid w:val="00932E3C"/>
    <w:rsid w:val="0093300A"/>
    <w:rsid w:val="00933269"/>
    <w:rsid w:val="00933411"/>
    <w:rsid w:val="009355D9"/>
    <w:rsid w:val="00935EB2"/>
    <w:rsid w:val="00936C29"/>
    <w:rsid w:val="00937D2D"/>
    <w:rsid w:val="00937FAE"/>
    <w:rsid w:val="00941491"/>
    <w:rsid w:val="00941D40"/>
    <w:rsid w:val="00942CCA"/>
    <w:rsid w:val="0094322E"/>
    <w:rsid w:val="009456F8"/>
    <w:rsid w:val="00946456"/>
    <w:rsid w:val="00946E85"/>
    <w:rsid w:val="00947372"/>
    <w:rsid w:val="00947C32"/>
    <w:rsid w:val="00950BAA"/>
    <w:rsid w:val="009518B2"/>
    <w:rsid w:val="009519BD"/>
    <w:rsid w:val="009521DF"/>
    <w:rsid w:val="00952A6A"/>
    <w:rsid w:val="009625C4"/>
    <w:rsid w:val="009628A9"/>
    <w:rsid w:val="009646F8"/>
    <w:rsid w:val="00964E5F"/>
    <w:rsid w:val="00966617"/>
    <w:rsid w:val="009721EA"/>
    <w:rsid w:val="00973440"/>
    <w:rsid w:val="009741D6"/>
    <w:rsid w:val="00974936"/>
    <w:rsid w:val="00975E80"/>
    <w:rsid w:val="009774F9"/>
    <w:rsid w:val="00980B0F"/>
    <w:rsid w:val="0098204B"/>
    <w:rsid w:val="00983E08"/>
    <w:rsid w:val="00985129"/>
    <w:rsid w:val="00991200"/>
    <w:rsid w:val="009916C9"/>
    <w:rsid w:val="00992CA8"/>
    <w:rsid w:val="00994244"/>
    <w:rsid w:val="00994EB2"/>
    <w:rsid w:val="00995A09"/>
    <w:rsid w:val="009967D6"/>
    <w:rsid w:val="0099700C"/>
    <w:rsid w:val="009A1950"/>
    <w:rsid w:val="009A1B23"/>
    <w:rsid w:val="009A46FE"/>
    <w:rsid w:val="009A4AA1"/>
    <w:rsid w:val="009A4B1E"/>
    <w:rsid w:val="009A7180"/>
    <w:rsid w:val="009A7DF3"/>
    <w:rsid w:val="009A7EFE"/>
    <w:rsid w:val="009B0B7F"/>
    <w:rsid w:val="009B35D2"/>
    <w:rsid w:val="009B3C3F"/>
    <w:rsid w:val="009B3DD6"/>
    <w:rsid w:val="009B3FDB"/>
    <w:rsid w:val="009B4476"/>
    <w:rsid w:val="009B4A6E"/>
    <w:rsid w:val="009B5BD3"/>
    <w:rsid w:val="009B616F"/>
    <w:rsid w:val="009B7E0F"/>
    <w:rsid w:val="009C3C3D"/>
    <w:rsid w:val="009C48A0"/>
    <w:rsid w:val="009C5917"/>
    <w:rsid w:val="009C619C"/>
    <w:rsid w:val="009C711B"/>
    <w:rsid w:val="009C7854"/>
    <w:rsid w:val="009D2D64"/>
    <w:rsid w:val="009D7470"/>
    <w:rsid w:val="009E0E24"/>
    <w:rsid w:val="009E125D"/>
    <w:rsid w:val="009E476F"/>
    <w:rsid w:val="009E4A65"/>
    <w:rsid w:val="009E4C7C"/>
    <w:rsid w:val="009E5F4A"/>
    <w:rsid w:val="009F1C58"/>
    <w:rsid w:val="009F2195"/>
    <w:rsid w:val="009F2689"/>
    <w:rsid w:val="009F2CDD"/>
    <w:rsid w:val="009F4F91"/>
    <w:rsid w:val="009F7BFF"/>
    <w:rsid w:val="00A010F1"/>
    <w:rsid w:val="00A01F87"/>
    <w:rsid w:val="00A034C6"/>
    <w:rsid w:val="00A037A9"/>
    <w:rsid w:val="00A04080"/>
    <w:rsid w:val="00A0636D"/>
    <w:rsid w:val="00A07140"/>
    <w:rsid w:val="00A0736A"/>
    <w:rsid w:val="00A10B50"/>
    <w:rsid w:val="00A111EA"/>
    <w:rsid w:val="00A13CE4"/>
    <w:rsid w:val="00A142E4"/>
    <w:rsid w:val="00A2153D"/>
    <w:rsid w:val="00A24131"/>
    <w:rsid w:val="00A2419F"/>
    <w:rsid w:val="00A242AB"/>
    <w:rsid w:val="00A25F48"/>
    <w:rsid w:val="00A277D9"/>
    <w:rsid w:val="00A306F2"/>
    <w:rsid w:val="00A30FF6"/>
    <w:rsid w:val="00A31C06"/>
    <w:rsid w:val="00A34532"/>
    <w:rsid w:val="00A34A1C"/>
    <w:rsid w:val="00A34B46"/>
    <w:rsid w:val="00A3599F"/>
    <w:rsid w:val="00A36EDA"/>
    <w:rsid w:val="00A37207"/>
    <w:rsid w:val="00A430C4"/>
    <w:rsid w:val="00A43106"/>
    <w:rsid w:val="00A43A40"/>
    <w:rsid w:val="00A51B24"/>
    <w:rsid w:val="00A51FF7"/>
    <w:rsid w:val="00A521C3"/>
    <w:rsid w:val="00A52CF9"/>
    <w:rsid w:val="00A53568"/>
    <w:rsid w:val="00A53990"/>
    <w:rsid w:val="00A53A88"/>
    <w:rsid w:val="00A55018"/>
    <w:rsid w:val="00A55B76"/>
    <w:rsid w:val="00A579D2"/>
    <w:rsid w:val="00A6014C"/>
    <w:rsid w:val="00A6237A"/>
    <w:rsid w:val="00A72265"/>
    <w:rsid w:val="00A73FC5"/>
    <w:rsid w:val="00A74098"/>
    <w:rsid w:val="00A77E6E"/>
    <w:rsid w:val="00A802D3"/>
    <w:rsid w:val="00A80794"/>
    <w:rsid w:val="00A824FB"/>
    <w:rsid w:val="00A85E00"/>
    <w:rsid w:val="00A90227"/>
    <w:rsid w:val="00A9170A"/>
    <w:rsid w:val="00A91D65"/>
    <w:rsid w:val="00A92AC2"/>
    <w:rsid w:val="00A92C0B"/>
    <w:rsid w:val="00A93565"/>
    <w:rsid w:val="00A9491A"/>
    <w:rsid w:val="00A95078"/>
    <w:rsid w:val="00A95358"/>
    <w:rsid w:val="00A95D4E"/>
    <w:rsid w:val="00A9671C"/>
    <w:rsid w:val="00AA1DA2"/>
    <w:rsid w:val="00AA4087"/>
    <w:rsid w:val="00AA76F8"/>
    <w:rsid w:val="00AA7B23"/>
    <w:rsid w:val="00AB1C9E"/>
    <w:rsid w:val="00AB328F"/>
    <w:rsid w:val="00AB3353"/>
    <w:rsid w:val="00AB3D0A"/>
    <w:rsid w:val="00AB3F7E"/>
    <w:rsid w:val="00AB7E66"/>
    <w:rsid w:val="00AC1242"/>
    <w:rsid w:val="00AC1382"/>
    <w:rsid w:val="00AC297E"/>
    <w:rsid w:val="00AC601B"/>
    <w:rsid w:val="00AC66B0"/>
    <w:rsid w:val="00AC67F8"/>
    <w:rsid w:val="00AC7448"/>
    <w:rsid w:val="00AC786E"/>
    <w:rsid w:val="00AD00CD"/>
    <w:rsid w:val="00AD162A"/>
    <w:rsid w:val="00AD35FF"/>
    <w:rsid w:val="00AD4191"/>
    <w:rsid w:val="00AD6691"/>
    <w:rsid w:val="00AD7A65"/>
    <w:rsid w:val="00AE11E6"/>
    <w:rsid w:val="00AE14E4"/>
    <w:rsid w:val="00AE1F98"/>
    <w:rsid w:val="00AE4978"/>
    <w:rsid w:val="00AE57B3"/>
    <w:rsid w:val="00AF031F"/>
    <w:rsid w:val="00AF0741"/>
    <w:rsid w:val="00AF0803"/>
    <w:rsid w:val="00AF09B1"/>
    <w:rsid w:val="00AF0FF9"/>
    <w:rsid w:val="00AF16D5"/>
    <w:rsid w:val="00AF2BC4"/>
    <w:rsid w:val="00AF366E"/>
    <w:rsid w:val="00AF3C0F"/>
    <w:rsid w:val="00AF40E9"/>
    <w:rsid w:val="00AF46BF"/>
    <w:rsid w:val="00AF6508"/>
    <w:rsid w:val="00AF725B"/>
    <w:rsid w:val="00B0027B"/>
    <w:rsid w:val="00B0057D"/>
    <w:rsid w:val="00B01E02"/>
    <w:rsid w:val="00B02024"/>
    <w:rsid w:val="00B03EC8"/>
    <w:rsid w:val="00B0457F"/>
    <w:rsid w:val="00B04F15"/>
    <w:rsid w:val="00B05AAF"/>
    <w:rsid w:val="00B06FCB"/>
    <w:rsid w:val="00B119BD"/>
    <w:rsid w:val="00B11AE9"/>
    <w:rsid w:val="00B13ABD"/>
    <w:rsid w:val="00B167CD"/>
    <w:rsid w:val="00B21B65"/>
    <w:rsid w:val="00B22430"/>
    <w:rsid w:val="00B2381E"/>
    <w:rsid w:val="00B239C5"/>
    <w:rsid w:val="00B23A32"/>
    <w:rsid w:val="00B23C16"/>
    <w:rsid w:val="00B24DB0"/>
    <w:rsid w:val="00B26F3A"/>
    <w:rsid w:val="00B272D7"/>
    <w:rsid w:val="00B303E2"/>
    <w:rsid w:val="00B3081C"/>
    <w:rsid w:val="00B32125"/>
    <w:rsid w:val="00B32512"/>
    <w:rsid w:val="00B330EB"/>
    <w:rsid w:val="00B34BC5"/>
    <w:rsid w:val="00B356A5"/>
    <w:rsid w:val="00B3609C"/>
    <w:rsid w:val="00B37641"/>
    <w:rsid w:val="00B377A5"/>
    <w:rsid w:val="00B37F5E"/>
    <w:rsid w:val="00B41A01"/>
    <w:rsid w:val="00B45A2A"/>
    <w:rsid w:val="00B533DF"/>
    <w:rsid w:val="00B53980"/>
    <w:rsid w:val="00B53BC1"/>
    <w:rsid w:val="00B53CDF"/>
    <w:rsid w:val="00B54450"/>
    <w:rsid w:val="00B5448A"/>
    <w:rsid w:val="00B5594A"/>
    <w:rsid w:val="00B56E4B"/>
    <w:rsid w:val="00B6003B"/>
    <w:rsid w:val="00B6161A"/>
    <w:rsid w:val="00B61F7A"/>
    <w:rsid w:val="00B62C9C"/>
    <w:rsid w:val="00B633EE"/>
    <w:rsid w:val="00B64CC4"/>
    <w:rsid w:val="00B651D0"/>
    <w:rsid w:val="00B6535A"/>
    <w:rsid w:val="00B666A7"/>
    <w:rsid w:val="00B67403"/>
    <w:rsid w:val="00B74648"/>
    <w:rsid w:val="00B74E3A"/>
    <w:rsid w:val="00B75192"/>
    <w:rsid w:val="00B7539D"/>
    <w:rsid w:val="00B75C0A"/>
    <w:rsid w:val="00B808CB"/>
    <w:rsid w:val="00B81F1F"/>
    <w:rsid w:val="00B8268F"/>
    <w:rsid w:val="00B828CD"/>
    <w:rsid w:val="00B83F18"/>
    <w:rsid w:val="00B83F5C"/>
    <w:rsid w:val="00B85060"/>
    <w:rsid w:val="00B873BB"/>
    <w:rsid w:val="00B8772F"/>
    <w:rsid w:val="00B90E8D"/>
    <w:rsid w:val="00B92B18"/>
    <w:rsid w:val="00B949FF"/>
    <w:rsid w:val="00B95049"/>
    <w:rsid w:val="00B955C8"/>
    <w:rsid w:val="00B9789B"/>
    <w:rsid w:val="00B978BC"/>
    <w:rsid w:val="00BA0BEE"/>
    <w:rsid w:val="00BA132F"/>
    <w:rsid w:val="00BA35C1"/>
    <w:rsid w:val="00BA3A74"/>
    <w:rsid w:val="00BA5644"/>
    <w:rsid w:val="00BA5F96"/>
    <w:rsid w:val="00BA6024"/>
    <w:rsid w:val="00BA7037"/>
    <w:rsid w:val="00BB1414"/>
    <w:rsid w:val="00BB2CA1"/>
    <w:rsid w:val="00BB4D24"/>
    <w:rsid w:val="00BB5A73"/>
    <w:rsid w:val="00BB6268"/>
    <w:rsid w:val="00BC0965"/>
    <w:rsid w:val="00BC18D4"/>
    <w:rsid w:val="00BC2BF1"/>
    <w:rsid w:val="00BC4314"/>
    <w:rsid w:val="00BD097C"/>
    <w:rsid w:val="00BD10F7"/>
    <w:rsid w:val="00BD1439"/>
    <w:rsid w:val="00BD1CA1"/>
    <w:rsid w:val="00BD1CDF"/>
    <w:rsid w:val="00BD1D02"/>
    <w:rsid w:val="00BD2BBA"/>
    <w:rsid w:val="00BD3599"/>
    <w:rsid w:val="00BD667F"/>
    <w:rsid w:val="00BD6D71"/>
    <w:rsid w:val="00BE0507"/>
    <w:rsid w:val="00BE0B9F"/>
    <w:rsid w:val="00BE0C68"/>
    <w:rsid w:val="00BE146E"/>
    <w:rsid w:val="00BE1A8C"/>
    <w:rsid w:val="00BE2316"/>
    <w:rsid w:val="00BE23D5"/>
    <w:rsid w:val="00BE33A5"/>
    <w:rsid w:val="00BE62F3"/>
    <w:rsid w:val="00BE6AB5"/>
    <w:rsid w:val="00BE708A"/>
    <w:rsid w:val="00BE70FF"/>
    <w:rsid w:val="00BE743C"/>
    <w:rsid w:val="00BE7C3A"/>
    <w:rsid w:val="00BF06EE"/>
    <w:rsid w:val="00BF1407"/>
    <w:rsid w:val="00BF18A3"/>
    <w:rsid w:val="00BF2512"/>
    <w:rsid w:val="00BF5510"/>
    <w:rsid w:val="00BF583D"/>
    <w:rsid w:val="00C0102E"/>
    <w:rsid w:val="00C034BC"/>
    <w:rsid w:val="00C03830"/>
    <w:rsid w:val="00C04712"/>
    <w:rsid w:val="00C053BC"/>
    <w:rsid w:val="00C05F0F"/>
    <w:rsid w:val="00C066E1"/>
    <w:rsid w:val="00C110CB"/>
    <w:rsid w:val="00C117D9"/>
    <w:rsid w:val="00C132D5"/>
    <w:rsid w:val="00C1480B"/>
    <w:rsid w:val="00C150FA"/>
    <w:rsid w:val="00C1527C"/>
    <w:rsid w:val="00C15F7E"/>
    <w:rsid w:val="00C1677C"/>
    <w:rsid w:val="00C17F6E"/>
    <w:rsid w:val="00C20D44"/>
    <w:rsid w:val="00C223CC"/>
    <w:rsid w:val="00C22CA3"/>
    <w:rsid w:val="00C23A74"/>
    <w:rsid w:val="00C2457A"/>
    <w:rsid w:val="00C2491D"/>
    <w:rsid w:val="00C260B4"/>
    <w:rsid w:val="00C30190"/>
    <w:rsid w:val="00C30E16"/>
    <w:rsid w:val="00C32592"/>
    <w:rsid w:val="00C33A65"/>
    <w:rsid w:val="00C3425E"/>
    <w:rsid w:val="00C34A74"/>
    <w:rsid w:val="00C36293"/>
    <w:rsid w:val="00C36EB2"/>
    <w:rsid w:val="00C37116"/>
    <w:rsid w:val="00C413D5"/>
    <w:rsid w:val="00C41707"/>
    <w:rsid w:val="00C43E38"/>
    <w:rsid w:val="00C4459B"/>
    <w:rsid w:val="00C47725"/>
    <w:rsid w:val="00C479B6"/>
    <w:rsid w:val="00C50144"/>
    <w:rsid w:val="00C50885"/>
    <w:rsid w:val="00C50B2A"/>
    <w:rsid w:val="00C576D5"/>
    <w:rsid w:val="00C625B3"/>
    <w:rsid w:val="00C63303"/>
    <w:rsid w:val="00C63870"/>
    <w:rsid w:val="00C63C26"/>
    <w:rsid w:val="00C66EC7"/>
    <w:rsid w:val="00C66F38"/>
    <w:rsid w:val="00C674EB"/>
    <w:rsid w:val="00C70557"/>
    <w:rsid w:val="00C70CCB"/>
    <w:rsid w:val="00C70E9B"/>
    <w:rsid w:val="00C73F1A"/>
    <w:rsid w:val="00C74CF6"/>
    <w:rsid w:val="00C75AF0"/>
    <w:rsid w:val="00C75DA5"/>
    <w:rsid w:val="00C761D6"/>
    <w:rsid w:val="00C77600"/>
    <w:rsid w:val="00C804E8"/>
    <w:rsid w:val="00C82030"/>
    <w:rsid w:val="00C82EE7"/>
    <w:rsid w:val="00C83C78"/>
    <w:rsid w:val="00C845E0"/>
    <w:rsid w:val="00C84A21"/>
    <w:rsid w:val="00C84B5F"/>
    <w:rsid w:val="00C86E97"/>
    <w:rsid w:val="00C878D3"/>
    <w:rsid w:val="00C87AC3"/>
    <w:rsid w:val="00C9039B"/>
    <w:rsid w:val="00C90582"/>
    <w:rsid w:val="00C91419"/>
    <w:rsid w:val="00C91507"/>
    <w:rsid w:val="00C92C00"/>
    <w:rsid w:val="00C9357F"/>
    <w:rsid w:val="00C945B3"/>
    <w:rsid w:val="00C96BB3"/>
    <w:rsid w:val="00CA0BCB"/>
    <w:rsid w:val="00CA1129"/>
    <w:rsid w:val="00CA2D57"/>
    <w:rsid w:val="00CA49E1"/>
    <w:rsid w:val="00CA4CBB"/>
    <w:rsid w:val="00CA6483"/>
    <w:rsid w:val="00CA684E"/>
    <w:rsid w:val="00CA6ADA"/>
    <w:rsid w:val="00CA7FBB"/>
    <w:rsid w:val="00CB0317"/>
    <w:rsid w:val="00CB0D24"/>
    <w:rsid w:val="00CB3014"/>
    <w:rsid w:val="00CB4333"/>
    <w:rsid w:val="00CB451C"/>
    <w:rsid w:val="00CB60AF"/>
    <w:rsid w:val="00CB70E2"/>
    <w:rsid w:val="00CB71A1"/>
    <w:rsid w:val="00CC1A08"/>
    <w:rsid w:val="00CC27FB"/>
    <w:rsid w:val="00CC2987"/>
    <w:rsid w:val="00CC2D75"/>
    <w:rsid w:val="00CC557C"/>
    <w:rsid w:val="00CC5587"/>
    <w:rsid w:val="00CC611E"/>
    <w:rsid w:val="00CC6D03"/>
    <w:rsid w:val="00CC6F9F"/>
    <w:rsid w:val="00CD1D36"/>
    <w:rsid w:val="00CD28A5"/>
    <w:rsid w:val="00CD35AB"/>
    <w:rsid w:val="00CD5614"/>
    <w:rsid w:val="00CD5A86"/>
    <w:rsid w:val="00CD5CE6"/>
    <w:rsid w:val="00CD6097"/>
    <w:rsid w:val="00CD6F2E"/>
    <w:rsid w:val="00CE0389"/>
    <w:rsid w:val="00CE18F5"/>
    <w:rsid w:val="00CE35CF"/>
    <w:rsid w:val="00CE4133"/>
    <w:rsid w:val="00CE57A5"/>
    <w:rsid w:val="00CE6664"/>
    <w:rsid w:val="00CE6801"/>
    <w:rsid w:val="00CE7583"/>
    <w:rsid w:val="00CF3CCC"/>
    <w:rsid w:val="00CF4088"/>
    <w:rsid w:val="00CF46F2"/>
    <w:rsid w:val="00CF522D"/>
    <w:rsid w:val="00CF6253"/>
    <w:rsid w:val="00CF65AF"/>
    <w:rsid w:val="00CF7BCD"/>
    <w:rsid w:val="00CF7E4E"/>
    <w:rsid w:val="00D01357"/>
    <w:rsid w:val="00D0147F"/>
    <w:rsid w:val="00D02E2E"/>
    <w:rsid w:val="00D0447E"/>
    <w:rsid w:val="00D04B05"/>
    <w:rsid w:val="00D06023"/>
    <w:rsid w:val="00D07497"/>
    <w:rsid w:val="00D10C84"/>
    <w:rsid w:val="00D114B6"/>
    <w:rsid w:val="00D13FA2"/>
    <w:rsid w:val="00D14BC0"/>
    <w:rsid w:val="00D14D2B"/>
    <w:rsid w:val="00D168D5"/>
    <w:rsid w:val="00D16A6C"/>
    <w:rsid w:val="00D16D4A"/>
    <w:rsid w:val="00D20519"/>
    <w:rsid w:val="00D2084B"/>
    <w:rsid w:val="00D20874"/>
    <w:rsid w:val="00D21DB7"/>
    <w:rsid w:val="00D248DB"/>
    <w:rsid w:val="00D25C27"/>
    <w:rsid w:val="00D2638C"/>
    <w:rsid w:val="00D2641F"/>
    <w:rsid w:val="00D274DF"/>
    <w:rsid w:val="00D3296C"/>
    <w:rsid w:val="00D336AF"/>
    <w:rsid w:val="00D340CC"/>
    <w:rsid w:val="00D340EA"/>
    <w:rsid w:val="00D36786"/>
    <w:rsid w:val="00D42377"/>
    <w:rsid w:val="00D425CA"/>
    <w:rsid w:val="00D4271F"/>
    <w:rsid w:val="00D42EA1"/>
    <w:rsid w:val="00D43DFE"/>
    <w:rsid w:val="00D44238"/>
    <w:rsid w:val="00D44B8C"/>
    <w:rsid w:val="00D4530E"/>
    <w:rsid w:val="00D4591A"/>
    <w:rsid w:val="00D45FA1"/>
    <w:rsid w:val="00D468F1"/>
    <w:rsid w:val="00D50CFD"/>
    <w:rsid w:val="00D50FBF"/>
    <w:rsid w:val="00D51358"/>
    <w:rsid w:val="00D52270"/>
    <w:rsid w:val="00D61300"/>
    <w:rsid w:val="00D61970"/>
    <w:rsid w:val="00D62A6C"/>
    <w:rsid w:val="00D63624"/>
    <w:rsid w:val="00D64300"/>
    <w:rsid w:val="00D66A6F"/>
    <w:rsid w:val="00D70F52"/>
    <w:rsid w:val="00D7134F"/>
    <w:rsid w:val="00D72571"/>
    <w:rsid w:val="00D73E00"/>
    <w:rsid w:val="00D74355"/>
    <w:rsid w:val="00D822FA"/>
    <w:rsid w:val="00D82441"/>
    <w:rsid w:val="00D82A93"/>
    <w:rsid w:val="00D876C9"/>
    <w:rsid w:val="00D906F8"/>
    <w:rsid w:val="00D908B6"/>
    <w:rsid w:val="00D91E45"/>
    <w:rsid w:val="00D925A8"/>
    <w:rsid w:val="00D92BF3"/>
    <w:rsid w:val="00D932EF"/>
    <w:rsid w:val="00D9626C"/>
    <w:rsid w:val="00D96E58"/>
    <w:rsid w:val="00D97C6A"/>
    <w:rsid w:val="00D97E11"/>
    <w:rsid w:val="00DA0BE9"/>
    <w:rsid w:val="00DA16EC"/>
    <w:rsid w:val="00DA21DA"/>
    <w:rsid w:val="00DA22C7"/>
    <w:rsid w:val="00DA378F"/>
    <w:rsid w:val="00DA5A57"/>
    <w:rsid w:val="00DA664C"/>
    <w:rsid w:val="00DA6AE8"/>
    <w:rsid w:val="00DA6F0E"/>
    <w:rsid w:val="00DA6F3A"/>
    <w:rsid w:val="00DA7A94"/>
    <w:rsid w:val="00DB07CF"/>
    <w:rsid w:val="00DB0DA1"/>
    <w:rsid w:val="00DB1866"/>
    <w:rsid w:val="00DB1872"/>
    <w:rsid w:val="00DB1C8C"/>
    <w:rsid w:val="00DB6462"/>
    <w:rsid w:val="00DB693D"/>
    <w:rsid w:val="00DC1FD9"/>
    <w:rsid w:val="00DC2307"/>
    <w:rsid w:val="00DC2BDB"/>
    <w:rsid w:val="00DC3391"/>
    <w:rsid w:val="00DC3CED"/>
    <w:rsid w:val="00DC4F53"/>
    <w:rsid w:val="00DC5519"/>
    <w:rsid w:val="00DC57F2"/>
    <w:rsid w:val="00DC723E"/>
    <w:rsid w:val="00DC7568"/>
    <w:rsid w:val="00DC7AF4"/>
    <w:rsid w:val="00DD0B50"/>
    <w:rsid w:val="00DD381B"/>
    <w:rsid w:val="00DD4E68"/>
    <w:rsid w:val="00DD5228"/>
    <w:rsid w:val="00DD6E7E"/>
    <w:rsid w:val="00DE1F69"/>
    <w:rsid w:val="00DE23F2"/>
    <w:rsid w:val="00DE62F4"/>
    <w:rsid w:val="00DE7118"/>
    <w:rsid w:val="00DF0394"/>
    <w:rsid w:val="00DF192E"/>
    <w:rsid w:val="00DF2241"/>
    <w:rsid w:val="00DF2BE8"/>
    <w:rsid w:val="00DF41E7"/>
    <w:rsid w:val="00DF557E"/>
    <w:rsid w:val="00DF7A97"/>
    <w:rsid w:val="00E01827"/>
    <w:rsid w:val="00E02CC6"/>
    <w:rsid w:val="00E03BD2"/>
    <w:rsid w:val="00E04140"/>
    <w:rsid w:val="00E06753"/>
    <w:rsid w:val="00E07745"/>
    <w:rsid w:val="00E1457C"/>
    <w:rsid w:val="00E14680"/>
    <w:rsid w:val="00E14A83"/>
    <w:rsid w:val="00E15650"/>
    <w:rsid w:val="00E15ED5"/>
    <w:rsid w:val="00E171E3"/>
    <w:rsid w:val="00E20C9C"/>
    <w:rsid w:val="00E222D1"/>
    <w:rsid w:val="00E22579"/>
    <w:rsid w:val="00E22E58"/>
    <w:rsid w:val="00E2309F"/>
    <w:rsid w:val="00E24DD8"/>
    <w:rsid w:val="00E25F9A"/>
    <w:rsid w:val="00E2632E"/>
    <w:rsid w:val="00E317C4"/>
    <w:rsid w:val="00E33233"/>
    <w:rsid w:val="00E3548C"/>
    <w:rsid w:val="00E379B0"/>
    <w:rsid w:val="00E425FC"/>
    <w:rsid w:val="00E42642"/>
    <w:rsid w:val="00E44353"/>
    <w:rsid w:val="00E5096C"/>
    <w:rsid w:val="00E5266E"/>
    <w:rsid w:val="00E52B69"/>
    <w:rsid w:val="00E52FA8"/>
    <w:rsid w:val="00E54137"/>
    <w:rsid w:val="00E545AC"/>
    <w:rsid w:val="00E548D5"/>
    <w:rsid w:val="00E56BA0"/>
    <w:rsid w:val="00E6317B"/>
    <w:rsid w:val="00E673B5"/>
    <w:rsid w:val="00E674A2"/>
    <w:rsid w:val="00E67521"/>
    <w:rsid w:val="00E67713"/>
    <w:rsid w:val="00E70AD3"/>
    <w:rsid w:val="00E72FA9"/>
    <w:rsid w:val="00E731D5"/>
    <w:rsid w:val="00E73C69"/>
    <w:rsid w:val="00E746B8"/>
    <w:rsid w:val="00E768E7"/>
    <w:rsid w:val="00E76BC3"/>
    <w:rsid w:val="00E804C9"/>
    <w:rsid w:val="00E8101B"/>
    <w:rsid w:val="00E81237"/>
    <w:rsid w:val="00E81A64"/>
    <w:rsid w:val="00E84C36"/>
    <w:rsid w:val="00E84E34"/>
    <w:rsid w:val="00E85073"/>
    <w:rsid w:val="00E875CE"/>
    <w:rsid w:val="00E877C5"/>
    <w:rsid w:val="00E87BDA"/>
    <w:rsid w:val="00E90C6F"/>
    <w:rsid w:val="00E91CDA"/>
    <w:rsid w:val="00E943C2"/>
    <w:rsid w:val="00E94943"/>
    <w:rsid w:val="00E95C55"/>
    <w:rsid w:val="00E97D9C"/>
    <w:rsid w:val="00EA03F6"/>
    <w:rsid w:val="00EA1747"/>
    <w:rsid w:val="00EA20C0"/>
    <w:rsid w:val="00EA2F41"/>
    <w:rsid w:val="00EA507C"/>
    <w:rsid w:val="00EA5845"/>
    <w:rsid w:val="00EA723E"/>
    <w:rsid w:val="00EB15D3"/>
    <w:rsid w:val="00EB174B"/>
    <w:rsid w:val="00EB1AE1"/>
    <w:rsid w:val="00EB2235"/>
    <w:rsid w:val="00EB30BD"/>
    <w:rsid w:val="00EB35ED"/>
    <w:rsid w:val="00EB4017"/>
    <w:rsid w:val="00EB4569"/>
    <w:rsid w:val="00EB67BE"/>
    <w:rsid w:val="00EB7D98"/>
    <w:rsid w:val="00EC20EF"/>
    <w:rsid w:val="00EC328D"/>
    <w:rsid w:val="00EC3581"/>
    <w:rsid w:val="00EC3592"/>
    <w:rsid w:val="00EC7B66"/>
    <w:rsid w:val="00ED08E9"/>
    <w:rsid w:val="00ED1C41"/>
    <w:rsid w:val="00ED2214"/>
    <w:rsid w:val="00ED262E"/>
    <w:rsid w:val="00ED2762"/>
    <w:rsid w:val="00ED28D2"/>
    <w:rsid w:val="00ED2E0F"/>
    <w:rsid w:val="00ED519E"/>
    <w:rsid w:val="00ED5286"/>
    <w:rsid w:val="00ED54C8"/>
    <w:rsid w:val="00ED5CA6"/>
    <w:rsid w:val="00ED6795"/>
    <w:rsid w:val="00ED763B"/>
    <w:rsid w:val="00ED7D17"/>
    <w:rsid w:val="00EE120C"/>
    <w:rsid w:val="00EE3206"/>
    <w:rsid w:val="00EE3284"/>
    <w:rsid w:val="00EE473B"/>
    <w:rsid w:val="00EE4F41"/>
    <w:rsid w:val="00EE57B5"/>
    <w:rsid w:val="00EE693E"/>
    <w:rsid w:val="00EE6E98"/>
    <w:rsid w:val="00EF186C"/>
    <w:rsid w:val="00EF18A1"/>
    <w:rsid w:val="00EF2569"/>
    <w:rsid w:val="00EF25BA"/>
    <w:rsid w:val="00EF435D"/>
    <w:rsid w:val="00EF4446"/>
    <w:rsid w:val="00EF4577"/>
    <w:rsid w:val="00EF46EB"/>
    <w:rsid w:val="00EF59F0"/>
    <w:rsid w:val="00F003D6"/>
    <w:rsid w:val="00F0077B"/>
    <w:rsid w:val="00F01CCF"/>
    <w:rsid w:val="00F01D15"/>
    <w:rsid w:val="00F02774"/>
    <w:rsid w:val="00F02E9C"/>
    <w:rsid w:val="00F04B7F"/>
    <w:rsid w:val="00F04D3B"/>
    <w:rsid w:val="00F05263"/>
    <w:rsid w:val="00F061A8"/>
    <w:rsid w:val="00F111A3"/>
    <w:rsid w:val="00F114A9"/>
    <w:rsid w:val="00F12238"/>
    <w:rsid w:val="00F13D82"/>
    <w:rsid w:val="00F14700"/>
    <w:rsid w:val="00F14BD6"/>
    <w:rsid w:val="00F153A1"/>
    <w:rsid w:val="00F154F8"/>
    <w:rsid w:val="00F1608F"/>
    <w:rsid w:val="00F20685"/>
    <w:rsid w:val="00F215D1"/>
    <w:rsid w:val="00F22367"/>
    <w:rsid w:val="00F22D46"/>
    <w:rsid w:val="00F23314"/>
    <w:rsid w:val="00F2433A"/>
    <w:rsid w:val="00F26E87"/>
    <w:rsid w:val="00F2750C"/>
    <w:rsid w:val="00F3077A"/>
    <w:rsid w:val="00F309BF"/>
    <w:rsid w:val="00F31873"/>
    <w:rsid w:val="00F318FD"/>
    <w:rsid w:val="00F31FD9"/>
    <w:rsid w:val="00F3334C"/>
    <w:rsid w:val="00F33A90"/>
    <w:rsid w:val="00F34340"/>
    <w:rsid w:val="00F343A9"/>
    <w:rsid w:val="00F34B5A"/>
    <w:rsid w:val="00F34D72"/>
    <w:rsid w:val="00F34F10"/>
    <w:rsid w:val="00F36221"/>
    <w:rsid w:val="00F36358"/>
    <w:rsid w:val="00F4033C"/>
    <w:rsid w:val="00F40808"/>
    <w:rsid w:val="00F4136D"/>
    <w:rsid w:val="00F43A5B"/>
    <w:rsid w:val="00F44116"/>
    <w:rsid w:val="00F44310"/>
    <w:rsid w:val="00F44B5F"/>
    <w:rsid w:val="00F44FB8"/>
    <w:rsid w:val="00F451EE"/>
    <w:rsid w:val="00F459CA"/>
    <w:rsid w:val="00F467F3"/>
    <w:rsid w:val="00F500F8"/>
    <w:rsid w:val="00F521AA"/>
    <w:rsid w:val="00F5235A"/>
    <w:rsid w:val="00F53908"/>
    <w:rsid w:val="00F55A80"/>
    <w:rsid w:val="00F56432"/>
    <w:rsid w:val="00F56498"/>
    <w:rsid w:val="00F56A75"/>
    <w:rsid w:val="00F5714F"/>
    <w:rsid w:val="00F602EF"/>
    <w:rsid w:val="00F62DA9"/>
    <w:rsid w:val="00F64E75"/>
    <w:rsid w:val="00F65E9B"/>
    <w:rsid w:val="00F67B0E"/>
    <w:rsid w:val="00F70FF5"/>
    <w:rsid w:val="00F71073"/>
    <w:rsid w:val="00F731E8"/>
    <w:rsid w:val="00F73E49"/>
    <w:rsid w:val="00F77125"/>
    <w:rsid w:val="00F7747D"/>
    <w:rsid w:val="00F806BC"/>
    <w:rsid w:val="00F82CAF"/>
    <w:rsid w:val="00F838AB"/>
    <w:rsid w:val="00F867D6"/>
    <w:rsid w:val="00F86E93"/>
    <w:rsid w:val="00F87753"/>
    <w:rsid w:val="00F907CA"/>
    <w:rsid w:val="00F94F63"/>
    <w:rsid w:val="00F9506A"/>
    <w:rsid w:val="00F95CD8"/>
    <w:rsid w:val="00F9692D"/>
    <w:rsid w:val="00F97BE1"/>
    <w:rsid w:val="00F97C9F"/>
    <w:rsid w:val="00FA0E98"/>
    <w:rsid w:val="00FA1AAF"/>
    <w:rsid w:val="00FA1DF9"/>
    <w:rsid w:val="00FA204C"/>
    <w:rsid w:val="00FA20FA"/>
    <w:rsid w:val="00FA2694"/>
    <w:rsid w:val="00FA2756"/>
    <w:rsid w:val="00FA2F73"/>
    <w:rsid w:val="00FA33BF"/>
    <w:rsid w:val="00FA3732"/>
    <w:rsid w:val="00FA4413"/>
    <w:rsid w:val="00FA4FA2"/>
    <w:rsid w:val="00FA6FC3"/>
    <w:rsid w:val="00FA772A"/>
    <w:rsid w:val="00FA7E4A"/>
    <w:rsid w:val="00FB08AA"/>
    <w:rsid w:val="00FB14D6"/>
    <w:rsid w:val="00FB269B"/>
    <w:rsid w:val="00FB57B3"/>
    <w:rsid w:val="00FB5920"/>
    <w:rsid w:val="00FB6996"/>
    <w:rsid w:val="00FB6D77"/>
    <w:rsid w:val="00FC0CCD"/>
    <w:rsid w:val="00FC0D4C"/>
    <w:rsid w:val="00FC15C3"/>
    <w:rsid w:val="00FC31E7"/>
    <w:rsid w:val="00FC3F21"/>
    <w:rsid w:val="00FC4EA8"/>
    <w:rsid w:val="00FC6CDB"/>
    <w:rsid w:val="00FC7931"/>
    <w:rsid w:val="00FC7F53"/>
    <w:rsid w:val="00FD003C"/>
    <w:rsid w:val="00FD2838"/>
    <w:rsid w:val="00FD2B78"/>
    <w:rsid w:val="00FD370B"/>
    <w:rsid w:val="00FD3C09"/>
    <w:rsid w:val="00FD3FB9"/>
    <w:rsid w:val="00FD4E37"/>
    <w:rsid w:val="00FD576E"/>
    <w:rsid w:val="00FD5EAE"/>
    <w:rsid w:val="00FD7AFD"/>
    <w:rsid w:val="00FE149E"/>
    <w:rsid w:val="00FE165B"/>
    <w:rsid w:val="00FE288F"/>
    <w:rsid w:val="00FE2FBD"/>
    <w:rsid w:val="00FE5F09"/>
    <w:rsid w:val="00FE6A4B"/>
    <w:rsid w:val="00FE6C57"/>
    <w:rsid w:val="00FF3BEF"/>
    <w:rsid w:val="00FF4550"/>
    <w:rsid w:val="00FF4D6C"/>
    <w:rsid w:val="00FF733F"/>
    <w:rsid w:val="00FF79AD"/>
    <w:rsid w:val="00FF7B8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DC137"/>
  <w15:docId w15:val="{FBE28478-C351-4C02-8195-D6B39FA6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9" w:unhideWhenUsed="1" w:qFormat="1"/>
    <w:lsdException w:name="annotation text" w:semiHidden="1" w:uiPriority="97" w:unhideWhenUsed="1"/>
    <w:lsdException w:name="header" w:semiHidden="1" w:uiPriority="9" w:unhideWhenUsed="1" w:qFormat="1"/>
    <w:lsdException w:name="footer" w:semiHidden="1" w:uiPriority="9" w:unhideWhenUsed="1" w:qFormat="1"/>
    <w:lsdException w:name="index heading" w:semiHidden="1" w:uiPriority="97" w:unhideWhenUsed="1"/>
    <w:lsdException w:name="caption" w:semiHidden="1" w:uiPriority="0" w:unhideWhenUsed="1" w:qFormat="1"/>
    <w:lsdException w:name="table of figures" w:semiHidden="1" w:uiPriority="0" w:unhideWhenUsed="1"/>
    <w:lsdException w:name="envelope address" w:semiHidden="1" w:uiPriority="97" w:unhideWhenUsed="1"/>
    <w:lsdException w:name="envelope return" w:semiHidden="1" w:uiPriority="97" w:unhideWhenUsed="1"/>
    <w:lsdException w:name="footnote reference" w:semiHidden="1" w:uiPriority="99" w:unhideWhenUsed="1"/>
    <w:lsdException w:name="annotation reference" w:semiHidden="1" w:uiPriority="97" w:unhideWhenUsed="1"/>
    <w:lsdException w:name="line number" w:semiHidden="1" w:uiPriority="97" w:unhideWhenUsed="1"/>
    <w:lsdException w:name="page number" w:semiHidden="1" w:uiPriority="0"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3"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semiHidden="1" w:uiPriority="0"/>
    <w:lsdException w:name="List Bullet 2" w:semiHidden="1" w:uiPriority="3" w:unhideWhenUsed="1" w:qFormat="1"/>
    <w:lsdException w:name="List Bullet 3" w:semiHidden="1" w:uiPriority="2" w:unhideWhenUsed="1" w:qFormat="1"/>
    <w:lsdException w:name="List Bullet 4" w:semiHidden="1" w:uiPriority="2" w:unhideWhenUsed="1"/>
    <w:lsdException w:name="List Bullet 5" w:semiHidden="1" w:uiPriority="2" w:unhideWhenUsed="1"/>
    <w:lsdException w:name="List Number 2" w:semiHidden="1" w:uiPriority="3" w:unhideWhenUsed="1" w:qFormat="1"/>
    <w:lsdException w:name="List Number 3" w:semiHidden="1" w:uiPriority="0" w:unhideWhenUsed="1" w:qFormat="1"/>
    <w:lsdException w:name="List Number 4" w:semiHidden="1" w:uiPriority="3" w:unhideWhenUsed="1"/>
    <w:lsdException w:name="List Number 5" w:semiHidden="1" w:uiPriority="3" w:unhideWhenUsed="1"/>
    <w:lsdException w:name="Title" w:uiPriority="0"/>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iPriority="10"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qFormat="1"/>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9"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Grid" w:uiPriority="59"/>
    <w:lsdException w:name="Table Theme" w:semiHidden="1" w:unhideWhenUsed="1"/>
    <w:lsdException w:name="Placeholder Text" w:semiHidden="1" w:uiPriority="0"/>
    <w:lsdException w:name="No Spacing"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0"/>
    <w:lsdException w:name="Quote" w:uiPriority="0" w:qFormat="1"/>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4A9"/>
    <w:pPr>
      <w:adjustRightInd w:val="0"/>
      <w:snapToGrid w:val="0"/>
      <w:spacing w:before="90" w:after="120" w:line="288" w:lineRule="auto"/>
    </w:pPr>
    <w:rPr>
      <w:rFonts w:asciiTheme="minorHAnsi" w:eastAsia="MS Mincho" w:hAnsiTheme="minorHAnsi"/>
      <w:snapToGrid w:val="0"/>
      <w:color w:val="000000" w:themeColor="text2"/>
      <w:lang w:val="en-AU" w:eastAsia="ja-JP"/>
    </w:rPr>
  </w:style>
  <w:style w:type="paragraph" w:styleId="Heading1">
    <w:name w:val="heading 1"/>
    <w:aliases w:val="Head 2"/>
    <w:basedOn w:val="Normal"/>
    <w:next w:val="Normal"/>
    <w:uiPriority w:val="2"/>
    <w:qFormat/>
    <w:rsid w:val="00111715"/>
    <w:pPr>
      <w:keepNext/>
      <w:spacing w:before="0" w:after="200" w:line="240" w:lineRule="auto"/>
      <w:outlineLvl w:val="0"/>
    </w:pPr>
    <w:rPr>
      <w:rFonts w:cstheme="majorHAnsi"/>
      <w:bCs/>
      <w:color w:val="auto"/>
      <w:kern w:val="32"/>
      <w:sz w:val="32"/>
      <w:szCs w:val="32"/>
    </w:rPr>
  </w:style>
  <w:style w:type="paragraph" w:styleId="Heading2">
    <w:name w:val="heading 2"/>
    <w:aliases w:val="Head 3"/>
    <w:basedOn w:val="Normal"/>
    <w:next w:val="Normal"/>
    <w:link w:val="Heading2Char"/>
    <w:uiPriority w:val="3"/>
    <w:qFormat/>
    <w:rsid w:val="00111715"/>
    <w:pPr>
      <w:keepNext/>
      <w:spacing w:before="120" w:line="240" w:lineRule="auto"/>
      <w:outlineLvl w:val="1"/>
    </w:pPr>
    <w:rPr>
      <w:rFonts w:cstheme="majorHAnsi"/>
      <w:b/>
      <w:bCs/>
      <w:iCs/>
      <w:color w:val="auto"/>
      <w:sz w:val="22"/>
      <w:szCs w:val="28"/>
    </w:rPr>
  </w:style>
  <w:style w:type="paragraph" w:styleId="Heading3">
    <w:name w:val="heading 3"/>
    <w:basedOn w:val="Normal"/>
    <w:next w:val="Normal"/>
    <w:semiHidden/>
    <w:qFormat/>
    <w:rsid w:val="00AE57B3"/>
    <w:pPr>
      <w:keepNext/>
      <w:spacing w:after="100"/>
      <w:contextualSpacing/>
      <w:outlineLvl w:val="2"/>
    </w:pPr>
    <w:rPr>
      <w:rFonts w:asciiTheme="majorHAnsi" w:hAnsiTheme="majorHAnsi" w:cstheme="majorHAnsi"/>
      <w:bCs/>
      <w:szCs w:val="26"/>
    </w:rPr>
  </w:style>
  <w:style w:type="paragraph" w:styleId="Heading4">
    <w:name w:val="heading 4"/>
    <w:basedOn w:val="Normal"/>
    <w:next w:val="Normal"/>
    <w:semiHidden/>
    <w:qFormat/>
    <w:rsid w:val="00C63303"/>
    <w:pPr>
      <w:keepNext/>
      <w:numPr>
        <w:ilvl w:val="3"/>
        <w:numId w:val="13"/>
      </w:numPr>
      <w:spacing w:line="216" w:lineRule="atLeast"/>
      <w:outlineLvl w:val="3"/>
    </w:pPr>
    <w:rPr>
      <w:rFonts w:asciiTheme="majorHAnsi" w:hAnsiTheme="majorHAnsi" w:cstheme="majorHAnsi"/>
      <w:b/>
      <w:bCs/>
      <w:szCs w:val="28"/>
    </w:rPr>
  </w:style>
  <w:style w:type="paragraph" w:styleId="Heading5">
    <w:name w:val="heading 5"/>
    <w:basedOn w:val="Normal"/>
    <w:next w:val="Normal"/>
    <w:semiHidden/>
    <w:qFormat/>
    <w:rsid w:val="00C63303"/>
    <w:pPr>
      <w:numPr>
        <w:ilvl w:val="4"/>
        <w:numId w:val="13"/>
      </w:numPr>
      <w:spacing w:before="240" w:after="60"/>
      <w:outlineLvl w:val="4"/>
    </w:pPr>
    <w:rPr>
      <w:rFonts w:asciiTheme="majorHAnsi" w:hAnsiTheme="majorHAnsi" w:cstheme="majorHAnsi"/>
      <w:b/>
      <w:bCs/>
      <w:i/>
      <w:iCs/>
      <w:sz w:val="16"/>
      <w:szCs w:val="26"/>
    </w:rPr>
  </w:style>
  <w:style w:type="paragraph" w:styleId="Heading6">
    <w:name w:val="heading 6"/>
    <w:basedOn w:val="Normal"/>
    <w:next w:val="Normal"/>
    <w:semiHidden/>
    <w:rsid w:val="00C63303"/>
    <w:pPr>
      <w:numPr>
        <w:ilvl w:val="5"/>
        <w:numId w:val="13"/>
      </w:numPr>
      <w:spacing w:before="240" w:after="60"/>
      <w:outlineLvl w:val="5"/>
    </w:pPr>
    <w:rPr>
      <w:rFonts w:asciiTheme="majorHAnsi" w:hAnsiTheme="majorHAnsi" w:cstheme="majorHAnsi"/>
      <w:b/>
      <w:bCs/>
      <w:sz w:val="16"/>
      <w:szCs w:val="22"/>
    </w:rPr>
  </w:style>
  <w:style w:type="paragraph" w:styleId="Heading7">
    <w:name w:val="heading 7"/>
    <w:basedOn w:val="Normal"/>
    <w:next w:val="Normal"/>
    <w:semiHidden/>
    <w:rsid w:val="00C63303"/>
    <w:pPr>
      <w:numPr>
        <w:ilvl w:val="6"/>
        <w:numId w:val="13"/>
      </w:numPr>
      <w:spacing w:before="240" w:after="60"/>
      <w:outlineLvl w:val="6"/>
    </w:pPr>
    <w:rPr>
      <w:rFonts w:asciiTheme="majorHAnsi" w:hAnsiTheme="majorHAnsi" w:cstheme="majorHAnsi"/>
      <w:sz w:val="24"/>
    </w:rPr>
  </w:style>
  <w:style w:type="paragraph" w:styleId="Heading8">
    <w:name w:val="heading 8"/>
    <w:basedOn w:val="Normal"/>
    <w:next w:val="Normal"/>
    <w:semiHidden/>
    <w:rsid w:val="00C63303"/>
    <w:pPr>
      <w:numPr>
        <w:ilvl w:val="7"/>
        <w:numId w:val="13"/>
      </w:numPr>
      <w:spacing w:before="240" w:after="60"/>
      <w:outlineLvl w:val="7"/>
    </w:pPr>
    <w:rPr>
      <w:rFonts w:asciiTheme="majorHAnsi" w:hAnsiTheme="majorHAnsi" w:cstheme="majorHAnsi"/>
      <w:i/>
      <w:iCs/>
      <w:sz w:val="24"/>
    </w:rPr>
  </w:style>
  <w:style w:type="paragraph" w:styleId="Heading9">
    <w:name w:val="heading 9"/>
    <w:basedOn w:val="Normal"/>
    <w:next w:val="Normal"/>
    <w:semiHidden/>
    <w:rsid w:val="00C63303"/>
    <w:pPr>
      <w:numPr>
        <w:ilvl w:val="8"/>
        <w:numId w:val="13"/>
      </w:numPr>
      <w:spacing w:before="240" w:after="60"/>
      <w:outlineLvl w:val="8"/>
    </w:pPr>
    <w:rPr>
      <w:rFonts w:asciiTheme="majorHAnsi"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
    <w:qFormat/>
    <w:rsid w:val="00562747"/>
    <w:rPr>
      <w:rFonts w:ascii="Calibri" w:eastAsia="MS Mincho" w:hAnsi="Calibri"/>
      <w:snapToGrid w:val="0"/>
      <w:sz w:val="16"/>
      <w:lang w:val="en-AU" w:eastAsia="ja-JP"/>
    </w:rPr>
  </w:style>
  <w:style w:type="paragraph" w:styleId="Footer">
    <w:name w:val="footer"/>
    <w:link w:val="FooterChar"/>
    <w:uiPriority w:val="9"/>
    <w:qFormat/>
    <w:rsid w:val="007E76B0"/>
    <w:rPr>
      <w:rFonts w:asciiTheme="minorHAnsi" w:eastAsia="MS Mincho" w:hAnsiTheme="minorHAnsi"/>
      <w:snapToGrid w:val="0"/>
      <w:color w:val="002D62" w:themeColor="accent1"/>
      <w:sz w:val="16"/>
      <w:lang w:val="en-AU" w:eastAsia="ja-JP"/>
    </w:rPr>
  </w:style>
  <w:style w:type="table" w:styleId="TableGrid">
    <w:name w:val="Table Grid"/>
    <w:basedOn w:val="TableNormal"/>
    <w:uiPriority w:val="59"/>
    <w:rsid w:val="00C63303"/>
    <w:pPr>
      <w:adjustRightInd w:val="0"/>
      <w:snapToGrid w:val="0"/>
    </w:pPr>
    <w:rPr>
      <w:sz w:val="17"/>
    </w:rPr>
    <w:tblPr>
      <w:tblCellMar>
        <w:left w:w="0" w:type="dxa"/>
        <w:right w:w="0" w:type="dxa"/>
      </w:tblCellMar>
    </w:tblPr>
    <w:tcPr>
      <w:tcMar>
        <w:top w:w="57" w:type="dxa"/>
        <w:left w:w="57" w:type="dxa"/>
        <w:bottom w:w="57" w:type="dxa"/>
        <w:right w:w="57" w:type="dxa"/>
      </w:tcMar>
    </w:tcPr>
    <w:tblStylePr w:type="firstRow">
      <w:rPr>
        <w:rFonts w:asciiTheme="majorHAnsi" w:hAnsiTheme="majorHAnsi" w:cstheme="majorHAnsi"/>
      </w:rPr>
    </w:tblStylePr>
  </w:style>
  <w:style w:type="paragraph" w:styleId="ListBullet">
    <w:name w:val="List Bullet"/>
    <w:basedOn w:val="Normal"/>
    <w:uiPriority w:val="3"/>
    <w:qFormat/>
    <w:rsid w:val="00746EFF"/>
    <w:pPr>
      <w:numPr>
        <w:numId w:val="10"/>
      </w:numPr>
      <w:spacing w:line="240" w:lineRule="auto"/>
    </w:pPr>
  </w:style>
  <w:style w:type="paragraph" w:customStyle="1" w:styleId="ContactDetails">
    <w:name w:val="Contact Details"/>
    <w:basedOn w:val="Normal"/>
    <w:qFormat/>
    <w:rsid w:val="0076084C"/>
    <w:pPr>
      <w:spacing w:before="0" w:after="0" w:line="240" w:lineRule="atLeast"/>
    </w:pPr>
    <w:rPr>
      <w:sz w:val="19"/>
    </w:rPr>
  </w:style>
  <w:style w:type="paragraph" w:customStyle="1" w:styleId="DividerTitle">
    <w:name w:val="Divider Title"/>
    <w:basedOn w:val="Normal"/>
    <w:semiHidden/>
    <w:rsid w:val="00C63303"/>
    <w:pPr>
      <w:spacing w:line="400" w:lineRule="atLeast"/>
    </w:pPr>
    <w:rPr>
      <w:caps/>
      <w:kern w:val="60"/>
      <w:sz w:val="50"/>
    </w:rPr>
  </w:style>
  <w:style w:type="paragraph" w:customStyle="1" w:styleId="DividerIntro">
    <w:name w:val="Divider Intro"/>
    <w:basedOn w:val="Normal"/>
    <w:semiHidden/>
    <w:rsid w:val="00C63303"/>
    <w:rPr>
      <w:caps/>
      <w:sz w:val="28"/>
    </w:rPr>
  </w:style>
  <w:style w:type="paragraph" w:styleId="FootnoteText">
    <w:name w:val="footnote text"/>
    <w:basedOn w:val="Normal"/>
    <w:link w:val="FootnoteTextChar"/>
    <w:uiPriority w:val="99"/>
    <w:qFormat/>
    <w:rsid w:val="00A9671C"/>
    <w:pPr>
      <w:tabs>
        <w:tab w:val="left" w:pos="320"/>
      </w:tabs>
      <w:adjustRightInd/>
      <w:snapToGrid/>
      <w:spacing w:before="0" w:after="0" w:line="240" w:lineRule="auto"/>
      <w:ind w:left="284" w:hanging="284"/>
    </w:pPr>
    <w:rPr>
      <w:rFonts w:eastAsia="Times New Roman"/>
      <w:spacing w:val="-3"/>
      <w:sz w:val="14"/>
      <w:szCs w:val="16"/>
      <w:lang w:eastAsia="en-AU"/>
    </w:rPr>
  </w:style>
  <w:style w:type="character" w:customStyle="1" w:styleId="FootnoteTextChar">
    <w:name w:val="Footnote Text Char"/>
    <w:basedOn w:val="DefaultParagraphFont"/>
    <w:link w:val="FootnoteText"/>
    <w:uiPriority w:val="99"/>
    <w:rsid w:val="00A9671C"/>
    <w:rPr>
      <w:rFonts w:ascii="Arial" w:eastAsia="Times New Roman" w:hAnsi="Arial"/>
      <w:snapToGrid w:val="0"/>
      <w:color w:val="000000" w:themeColor="text2"/>
      <w:spacing w:val="-3"/>
      <w:sz w:val="14"/>
      <w:szCs w:val="16"/>
      <w:lang w:val="en-AU" w:eastAsia="en-AU"/>
    </w:rPr>
  </w:style>
  <w:style w:type="paragraph" w:customStyle="1" w:styleId="Source">
    <w:name w:val="Source"/>
    <w:semiHidden/>
    <w:qFormat/>
    <w:rsid w:val="00C63303"/>
    <w:pPr>
      <w:numPr>
        <w:numId w:val="5"/>
      </w:numPr>
    </w:pPr>
    <w:rPr>
      <w:rFonts w:asciiTheme="minorHAnsi" w:eastAsia="Times New Roman" w:hAnsiTheme="minorHAnsi" w:cstheme="minorHAnsi"/>
      <w:spacing w:val="-3"/>
      <w:sz w:val="16"/>
      <w:szCs w:val="14"/>
      <w:lang w:val="en-AU" w:eastAsia="en-AU"/>
    </w:rPr>
  </w:style>
  <w:style w:type="numbering" w:styleId="111111">
    <w:name w:val="Outline List 2"/>
    <w:basedOn w:val="NoList"/>
    <w:uiPriority w:val="97"/>
    <w:semiHidden/>
    <w:rsid w:val="00C63303"/>
    <w:pPr>
      <w:numPr>
        <w:numId w:val="6"/>
      </w:numPr>
    </w:pPr>
  </w:style>
  <w:style w:type="numbering" w:styleId="1ai">
    <w:name w:val="Outline List 1"/>
    <w:basedOn w:val="NoList"/>
    <w:uiPriority w:val="97"/>
    <w:semiHidden/>
    <w:rsid w:val="00C63303"/>
    <w:pPr>
      <w:numPr>
        <w:numId w:val="7"/>
      </w:numPr>
    </w:pPr>
  </w:style>
  <w:style w:type="numbering" w:styleId="ArticleSection">
    <w:name w:val="Outline List 3"/>
    <w:basedOn w:val="NoList"/>
    <w:uiPriority w:val="97"/>
    <w:semiHidden/>
    <w:rsid w:val="00C63303"/>
    <w:pPr>
      <w:numPr>
        <w:numId w:val="8"/>
      </w:numPr>
    </w:pPr>
  </w:style>
  <w:style w:type="paragraph" w:styleId="BalloonText">
    <w:name w:val="Balloon Text"/>
    <w:basedOn w:val="Normal"/>
    <w:link w:val="BalloonTextChar"/>
    <w:semiHidden/>
    <w:rsid w:val="00C63303"/>
    <w:rPr>
      <w:sz w:val="16"/>
      <w:szCs w:val="16"/>
    </w:rPr>
  </w:style>
  <w:style w:type="character" w:customStyle="1" w:styleId="BalloonTextChar">
    <w:name w:val="Balloon Text Char"/>
    <w:basedOn w:val="DefaultParagraphFont"/>
    <w:link w:val="BalloonText"/>
    <w:semiHidden/>
    <w:rsid w:val="00D20874"/>
    <w:rPr>
      <w:rFonts w:ascii="Calibri" w:eastAsia="MS Mincho" w:hAnsi="Calibri"/>
      <w:snapToGrid w:val="0"/>
      <w:color w:val="000000" w:themeColor="text2"/>
      <w:sz w:val="16"/>
      <w:szCs w:val="16"/>
      <w:lang w:val="en-AU" w:eastAsia="ja-JP"/>
    </w:rPr>
  </w:style>
  <w:style w:type="paragraph" w:styleId="Bibliography">
    <w:name w:val="Bibliography"/>
    <w:basedOn w:val="Normal"/>
    <w:next w:val="Normal"/>
    <w:semiHidden/>
    <w:unhideWhenUsed/>
    <w:rsid w:val="00C63303"/>
  </w:style>
  <w:style w:type="paragraph" w:styleId="BlockText">
    <w:name w:val="Block Text"/>
    <w:basedOn w:val="Normal"/>
    <w:semiHidden/>
    <w:rsid w:val="00C63303"/>
    <w:pPr>
      <w:pBdr>
        <w:top w:val="single" w:sz="2" w:space="10" w:color="002D62" w:themeColor="accent1" w:shadow="1" w:frame="1"/>
        <w:left w:val="single" w:sz="2" w:space="10" w:color="002D62" w:themeColor="accent1" w:shadow="1" w:frame="1"/>
        <w:bottom w:val="single" w:sz="2" w:space="10" w:color="002D62" w:themeColor="accent1" w:shadow="1" w:frame="1"/>
        <w:right w:val="single" w:sz="2" w:space="10" w:color="002D62" w:themeColor="accent1" w:shadow="1" w:frame="1"/>
      </w:pBdr>
      <w:ind w:left="1152" w:right="1152"/>
    </w:pPr>
    <w:rPr>
      <w:rFonts w:eastAsiaTheme="minorEastAsia"/>
      <w:i/>
      <w:iCs/>
      <w:color w:val="002D62" w:themeColor="accent1"/>
    </w:rPr>
  </w:style>
  <w:style w:type="paragraph" w:styleId="BodyText">
    <w:name w:val="Body Text"/>
    <w:basedOn w:val="Normal"/>
    <w:link w:val="BodyTextChar"/>
    <w:semiHidden/>
    <w:rsid w:val="00C63303"/>
  </w:style>
  <w:style w:type="character" w:customStyle="1" w:styleId="BodyTextChar">
    <w:name w:val="Body Text Char"/>
    <w:basedOn w:val="DefaultParagraphFont"/>
    <w:link w:val="BodyText"/>
    <w:semiHidden/>
    <w:rsid w:val="00D20874"/>
    <w:rPr>
      <w:rFonts w:ascii="Calibri" w:eastAsia="MS Mincho" w:hAnsi="Calibri"/>
      <w:snapToGrid w:val="0"/>
      <w:color w:val="000000" w:themeColor="text2"/>
      <w:lang w:val="en-AU" w:eastAsia="ja-JP"/>
    </w:rPr>
  </w:style>
  <w:style w:type="paragraph" w:styleId="BodyText2">
    <w:name w:val="Body Text 2"/>
    <w:basedOn w:val="Normal"/>
    <w:link w:val="BodyText2Char"/>
    <w:semiHidden/>
    <w:rsid w:val="00C63303"/>
    <w:pPr>
      <w:spacing w:line="480" w:lineRule="auto"/>
    </w:pPr>
  </w:style>
  <w:style w:type="character" w:customStyle="1" w:styleId="BodyText2Char">
    <w:name w:val="Body Text 2 Char"/>
    <w:basedOn w:val="DefaultParagraphFont"/>
    <w:link w:val="BodyText2"/>
    <w:semiHidden/>
    <w:rsid w:val="00D20874"/>
    <w:rPr>
      <w:rFonts w:ascii="Calibri" w:eastAsia="MS Mincho" w:hAnsi="Calibri"/>
      <w:snapToGrid w:val="0"/>
      <w:color w:val="000000" w:themeColor="text2"/>
      <w:lang w:val="en-AU" w:eastAsia="ja-JP"/>
    </w:rPr>
  </w:style>
  <w:style w:type="paragraph" w:styleId="BodyText3">
    <w:name w:val="Body Text 3"/>
    <w:basedOn w:val="Normal"/>
    <w:link w:val="BodyText3Char"/>
    <w:semiHidden/>
    <w:rsid w:val="00C63303"/>
    <w:rPr>
      <w:sz w:val="16"/>
      <w:szCs w:val="16"/>
    </w:rPr>
  </w:style>
  <w:style w:type="character" w:customStyle="1" w:styleId="BodyText3Char">
    <w:name w:val="Body Text 3 Char"/>
    <w:basedOn w:val="DefaultParagraphFont"/>
    <w:link w:val="BodyText3"/>
    <w:semiHidden/>
    <w:rsid w:val="00D20874"/>
    <w:rPr>
      <w:rFonts w:ascii="Calibri" w:eastAsia="MS Mincho" w:hAnsi="Calibri"/>
      <w:snapToGrid w:val="0"/>
      <w:color w:val="000000" w:themeColor="text2"/>
      <w:sz w:val="16"/>
      <w:szCs w:val="16"/>
      <w:lang w:val="en-AU" w:eastAsia="ja-JP"/>
    </w:rPr>
  </w:style>
  <w:style w:type="paragraph" w:styleId="BodyTextFirstIndent">
    <w:name w:val="Body Text First Indent"/>
    <w:basedOn w:val="BodyText"/>
    <w:link w:val="BodyTextFirstIndentChar"/>
    <w:semiHidden/>
    <w:rsid w:val="00C63303"/>
    <w:pPr>
      <w:ind w:firstLine="360"/>
    </w:pPr>
  </w:style>
  <w:style w:type="character" w:customStyle="1" w:styleId="BodyTextFirstIndentChar">
    <w:name w:val="Body Text First Indent Char"/>
    <w:basedOn w:val="BodyTextChar"/>
    <w:link w:val="BodyTextFirstIndent"/>
    <w:semiHidden/>
    <w:rsid w:val="00D20874"/>
    <w:rPr>
      <w:rFonts w:ascii="Calibri" w:eastAsia="MS Mincho" w:hAnsi="Calibri"/>
      <w:snapToGrid w:val="0"/>
      <w:color w:val="000000" w:themeColor="text2"/>
      <w:lang w:val="en-AU" w:eastAsia="ja-JP"/>
    </w:rPr>
  </w:style>
  <w:style w:type="paragraph" w:styleId="BodyTextIndent">
    <w:name w:val="Body Text Indent"/>
    <w:basedOn w:val="Normal"/>
    <w:link w:val="BodyTextIndentChar"/>
    <w:semiHidden/>
    <w:rsid w:val="00C63303"/>
    <w:pPr>
      <w:ind w:left="283"/>
    </w:pPr>
  </w:style>
  <w:style w:type="character" w:customStyle="1" w:styleId="BodyTextIndentChar">
    <w:name w:val="Body Text Indent Char"/>
    <w:basedOn w:val="DefaultParagraphFont"/>
    <w:link w:val="BodyTextIndent"/>
    <w:semiHidden/>
    <w:rsid w:val="00D20874"/>
    <w:rPr>
      <w:rFonts w:ascii="Calibri" w:eastAsia="MS Mincho" w:hAnsi="Calibri"/>
      <w:snapToGrid w:val="0"/>
      <w:color w:val="000000" w:themeColor="text2"/>
      <w:lang w:val="en-AU" w:eastAsia="ja-JP"/>
    </w:rPr>
  </w:style>
  <w:style w:type="paragraph" w:styleId="BodyTextFirstIndent2">
    <w:name w:val="Body Text First Indent 2"/>
    <w:basedOn w:val="BodyTextIndent"/>
    <w:link w:val="BodyTextFirstIndent2Char"/>
    <w:semiHidden/>
    <w:rsid w:val="00C63303"/>
    <w:pPr>
      <w:ind w:left="360" w:firstLine="360"/>
    </w:pPr>
  </w:style>
  <w:style w:type="character" w:customStyle="1" w:styleId="BodyTextFirstIndent2Char">
    <w:name w:val="Body Text First Indent 2 Char"/>
    <w:basedOn w:val="BodyTextIndentChar"/>
    <w:link w:val="BodyTextFirstIndent2"/>
    <w:semiHidden/>
    <w:rsid w:val="00D20874"/>
    <w:rPr>
      <w:rFonts w:ascii="Calibri" w:eastAsia="MS Mincho" w:hAnsi="Calibri"/>
      <w:snapToGrid w:val="0"/>
      <w:color w:val="000000" w:themeColor="text2"/>
      <w:lang w:val="en-AU" w:eastAsia="ja-JP"/>
    </w:rPr>
  </w:style>
  <w:style w:type="paragraph" w:styleId="BodyTextIndent2">
    <w:name w:val="Body Text Indent 2"/>
    <w:basedOn w:val="Normal"/>
    <w:link w:val="BodyTextIndent2Char"/>
    <w:semiHidden/>
    <w:rsid w:val="00C63303"/>
    <w:pPr>
      <w:spacing w:line="480" w:lineRule="auto"/>
      <w:ind w:left="283"/>
    </w:pPr>
  </w:style>
  <w:style w:type="character" w:customStyle="1" w:styleId="BodyTextIndent2Char">
    <w:name w:val="Body Text Indent 2 Char"/>
    <w:basedOn w:val="DefaultParagraphFont"/>
    <w:link w:val="BodyTextIndent2"/>
    <w:semiHidden/>
    <w:rsid w:val="00D20874"/>
    <w:rPr>
      <w:rFonts w:ascii="Calibri" w:eastAsia="MS Mincho" w:hAnsi="Calibri"/>
      <w:snapToGrid w:val="0"/>
      <w:color w:val="000000" w:themeColor="text2"/>
      <w:lang w:val="en-AU" w:eastAsia="ja-JP"/>
    </w:rPr>
  </w:style>
  <w:style w:type="paragraph" w:styleId="BodyTextIndent3">
    <w:name w:val="Body Text Indent 3"/>
    <w:basedOn w:val="Normal"/>
    <w:link w:val="BodyTextIndent3Char"/>
    <w:semiHidden/>
    <w:rsid w:val="00C63303"/>
    <w:pPr>
      <w:ind w:left="283"/>
    </w:pPr>
    <w:rPr>
      <w:sz w:val="16"/>
      <w:szCs w:val="16"/>
    </w:rPr>
  </w:style>
  <w:style w:type="character" w:customStyle="1" w:styleId="BodyTextIndent3Char">
    <w:name w:val="Body Text Indent 3 Char"/>
    <w:basedOn w:val="DefaultParagraphFont"/>
    <w:link w:val="BodyTextIndent3"/>
    <w:semiHidden/>
    <w:rsid w:val="00D20874"/>
    <w:rPr>
      <w:rFonts w:ascii="Calibri" w:eastAsia="MS Mincho" w:hAnsi="Calibri"/>
      <w:snapToGrid w:val="0"/>
      <w:color w:val="000000" w:themeColor="text2"/>
      <w:sz w:val="16"/>
      <w:szCs w:val="16"/>
      <w:lang w:val="en-AU" w:eastAsia="ja-JP"/>
    </w:rPr>
  </w:style>
  <w:style w:type="character" w:styleId="BookTitle">
    <w:name w:val="Book Title"/>
    <w:basedOn w:val="DefaultParagraphFont"/>
    <w:semiHidden/>
    <w:rsid w:val="00C63303"/>
    <w:rPr>
      <w:rFonts w:asciiTheme="minorHAnsi" w:hAnsiTheme="minorHAnsi" w:cstheme="minorHAnsi"/>
      <w:b/>
      <w:bCs/>
      <w:smallCaps/>
      <w:spacing w:val="5"/>
    </w:rPr>
  </w:style>
  <w:style w:type="paragraph" w:styleId="Closing">
    <w:name w:val="Closing"/>
    <w:basedOn w:val="Normal"/>
    <w:link w:val="ClosingChar"/>
    <w:semiHidden/>
    <w:rsid w:val="00C63303"/>
    <w:pPr>
      <w:ind w:left="4252"/>
    </w:pPr>
  </w:style>
  <w:style w:type="character" w:customStyle="1" w:styleId="ClosingChar">
    <w:name w:val="Closing Char"/>
    <w:basedOn w:val="DefaultParagraphFont"/>
    <w:link w:val="Closing"/>
    <w:semiHidden/>
    <w:rsid w:val="00D20874"/>
    <w:rPr>
      <w:rFonts w:ascii="Calibri" w:eastAsia="MS Mincho" w:hAnsi="Calibri"/>
      <w:snapToGrid w:val="0"/>
      <w:color w:val="000000" w:themeColor="text2"/>
      <w:lang w:val="en-AU" w:eastAsia="ja-JP"/>
    </w:rPr>
  </w:style>
  <w:style w:type="table" w:styleId="ColorfulGrid">
    <w:name w:val="Colorful Grid"/>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ACD2FF"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5AA5FF" w:themeFill="accent1" w:themeFillTint="66"/>
      </w:tcPr>
    </w:tblStylePr>
    <w:tblStylePr w:type="lastRow">
      <w:rPr>
        <w:b/>
        <w:bCs/>
        <w:color w:val="000000" w:themeColor="text1"/>
      </w:rPr>
      <w:tblPr/>
      <w:tcPr>
        <w:shd w:val="clear" w:color="auto" w:fill="5AA5FF" w:themeFill="accent1" w:themeFillTint="66"/>
      </w:tcPr>
    </w:tblStylePr>
    <w:tblStylePr w:type="firstCol">
      <w:rPr>
        <w:color w:val="FFFFFF" w:themeColor="background1"/>
      </w:rPr>
      <w:tblPr/>
      <w:tcPr>
        <w:shd w:val="clear" w:color="auto" w:fill="002149" w:themeFill="accent1" w:themeFillShade="BF"/>
      </w:tcPr>
    </w:tblStylePr>
    <w:tblStylePr w:type="lastCol">
      <w:rPr>
        <w:color w:val="FFFFFF" w:themeColor="background1"/>
      </w:rPr>
      <w:tblPr/>
      <w:tcPr>
        <w:shd w:val="clear" w:color="auto" w:fill="002149" w:themeFill="accent1" w:themeFillShade="BF"/>
      </w:tcPr>
    </w:tblStylePr>
    <w:tblStylePr w:type="band1Vert">
      <w:tblPr/>
      <w:tcPr>
        <w:shd w:val="clear" w:color="auto" w:fill="318FFF" w:themeFill="accent1" w:themeFillTint="7F"/>
      </w:tcPr>
    </w:tblStylePr>
    <w:tblStylePr w:type="band1Horz">
      <w:tblPr/>
      <w:tcPr>
        <w:shd w:val="clear" w:color="auto" w:fill="318FFF" w:themeFill="accent1" w:themeFillTint="7F"/>
      </w:tcPr>
    </w:tblStylePr>
  </w:style>
  <w:style w:type="table" w:styleId="ColorfulGrid-Accent2">
    <w:name w:val="Colorful Grid Accent 2"/>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BEE4FF"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7DCAFF" w:themeFill="accent2" w:themeFillTint="66"/>
      </w:tcPr>
    </w:tblStylePr>
    <w:tblStylePr w:type="lastRow">
      <w:rPr>
        <w:b/>
        <w:bCs/>
        <w:color w:val="000000" w:themeColor="text1"/>
      </w:rPr>
      <w:tblPr/>
      <w:tcPr>
        <w:shd w:val="clear" w:color="auto" w:fill="7DCAFF" w:themeFill="accent2" w:themeFillTint="66"/>
      </w:tcPr>
    </w:tblStylePr>
    <w:tblStylePr w:type="firstCol">
      <w:rPr>
        <w:color w:val="FFFFFF" w:themeColor="background1"/>
      </w:rPr>
      <w:tblPr/>
      <w:tcPr>
        <w:shd w:val="clear" w:color="auto" w:fill="00528B" w:themeFill="accent2" w:themeFillShade="BF"/>
      </w:tcPr>
    </w:tblStylePr>
    <w:tblStylePr w:type="lastCol">
      <w:rPr>
        <w:color w:val="FFFFFF" w:themeColor="background1"/>
      </w:rPr>
      <w:tblPr/>
      <w:tcPr>
        <w:shd w:val="clear" w:color="auto" w:fill="00528B" w:themeFill="accent2" w:themeFillShade="BF"/>
      </w:tc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ColorfulGrid-Accent3">
    <w:name w:val="Colorful Grid Accent 3"/>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DDF0FA"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BE1F5" w:themeFill="accent3" w:themeFillTint="66"/>
      </w:tcPr>
    </w:tblStylePr>
    <w:tblStylePr w:type="lastRow">
      <w:rPr>
        <w:b/>
        <w:bCs/>
        <w:color w:val="000000" w:themeColor="text1"/>
      </w:rPr>
      <w:tblPr/>
      <w:tcPr>
        <w:shd w:val="clear" w:color="auto" w:fill="BBE1F5" w:themeFill="accent3" w:themeFillTint="66"/>
      </w:tcPr>
    </w:tblStylePr>
    <w:tblStylePr w:type="firstCol">
      <w:rPr>
        <w:color w:val="FFFFFF" w:themeColor="background1"/>
      </w:rPr>
      <w:tblPr/>
      <w:tcPr>
        <w:shd w:val="clear" w:color="auto" w:fill="1E92D0" w:themeFill="accent3" w:themeFillShade="BF"/>
      </w:tcPr>
    </w:tblStylePr>
    <w:tblStylePr w:type="lastCol">
      <w:rPr>
        <w:color w:val="FFFFFF" w:themeColor="background1"/>
      </w:rPr>
      <w:tblPr/>
      <w:tcPr>
        <w:shd w:val="clear" w:color="auto" w:fill="1E92D0" w:themeFill="accent3" w:themeFillShade="BF"/>
      </w:tcPr>
    </w:tblStylePr>
    <w:tblStylePr w:type="band1Vert">
      <w:tblPr/>
      <w:tcPr>
        <w:shd w:val="clear" w:color="auto" w:fill="ABDAF3" w:themeFill="accent3" w:themeFillTint="7F"/>
      </w:tcPr>
    </w:tblStylePr>
    <w:tblStylePr w:type="band1Horz">
      <w:tblPr/>
      <w:tcPr>
        <w:shd w:val="clear" w:color="auto" w:fill="ABDAF3" w:themeFill="accent3" w:themeFillTint="7F"/>
      </w:tcPr>
    </w:tblStylePr>
  </w:style>
  <w:style w:type="table" w:styleId="ColorfulGrid-Accent4">
    <w:name w:val="Colorful Grid Accent 4"/>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F1EDE4"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3DCC9" w:themeFill="accent4" w:themeFillTint="66"/>
      </w:tcPr>
    </w:tblStylePr>
    <w:tblStylePr w:type="lastRow">
      <w:rPr>
        <w:b/>
        <w:bCs/>
        <w:color w:val="000000" w:themeColor="text1"/>
      </w:rPr>
      <w:tblPr/>
      <w:tcPr>
        <w:shd w:val="clear" w:color="auto" w:fill="E3DCC9" w:themeFill="accent4" w:themeFillTint="66"/>
      </w:tcPr>
    </w:tblStylePr>
    <w:tblStylePr w:type="firstCol">
      <w:rPr>
        <w:color w:val="FFFFFF" w:themeColor="background1"/>
      </w:rPr>
      <w:tblPr/>
      <w:tcPr>
        <w:shd w:val="clear" w:color="auto" w:fill="96854E" w:themeFill="accent4" w:themeFillShade="BF"/>
      </w:tcPr>
    </w:tblStylePr>
    <w:tblStylePr w:type="lastCol">
      <w:rPr>
        <w:color w:val="FFFFFF" w:themeColor="background1"/>
      </w:rPr>
      <w:tblPr/>
      <w:tcPr>
        <w:shd w:val="clear" w:color="auto" w:fill="96854E" w:themeFill="accent4" w:themeFillShade="BF"/>
      </w:tcPr>
    </w:tblStylePr>
    <w:tblStylePr w:type="band1Vert">
      <w:tblPr/>
      <w:tcPr>
        <w:shd w:val="clear" w:color="auto" w:fill="DCD4BC" w:themeFill="accent4" w:themeFillTint="7F"/>
      </w:tcPr>
    </w:tblStylePr>
    <w:tblStylePr w:type="band1Horz">
      <w:tblPr/>
      <w:tcPr>
        <w:shd w:val="clear" w:color="auto" w:fill="DCD4BC" w:themeFill="accent4" w:themeFillTint="7F"/>
      </w:tcPr>
    </w:tblStylePr>
  </w:style>
  <w:style w:type="table" w:styleId="ColorfulGrid-Accent5">
    <w:name w:val="Colorful Grid Accent 5"/>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EFF0EE"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0E1DD" w:themeFill="accent5" w:themeFillTint="66"/>
      </w:tcPr>
    </w:tblStylePr>
    <w:tblStylePr w:type="lastRow">
      <w:rPr>
        <w:b/>
        <w:bCs/>
        <w:color w:val="000000" w:themeColor="text1"/>
      </w:rPr>
      <w:tblPr/>
      <w:tcPr>
        <w:shd w:val="clear" w:color="auto" w:fill="E0E1DD" w:themeFill="accent5" w:themeFillTint="66"/>
      </w:tcPr>
    </w:tblStylePr>
    <w:tblStylePr w:type="firstCol">
      <w:rPr>
        <w:color w:val="FFFFFF" w:themeColor="background1"/>
      </w:rPr>
      <w:tblPr/>
      <w:tcPr>
        <w:shd w:val="clear" w:color="auto" w:fill="868B7B" w:themeFill="accent5" w:themeFillShade="BF"/>
      </w:tcPr>
    </w:tblStylePr>
    <w:tblStylePr w:type="lastCol">
      <w:rPr>
        <w:color w:val="FFFFFF" w:themeColor="background1"/>
      </w:rPr>
      <w:tblPr/>
      <w:tcPr>
        <w:shd w:val="clear" w:color="auto" w:fill="868B7B" w:themeFill="accent5" w:themeFillShade="BF"/>
      </w:tcPr>
    </w:tblStylePr>
    <w:tblStylePr w:type="band1Vert">
      <w:tblPr/>
      <w:tcPr>
        <w:shd w:val="clear" w:color="auto" w:fill="D8DAD5" w:themeFill="accent5" w:themeFillTint="7F"/>
      </w:tcPr>
    </w:tblStylePr>
    <w:tblStylePr w:type="band1Horz">
      <w:tblPr/>
      <w:tcPr>
        <w:shd w:val="clear" w:color="auto" w:fill="D8DAD5" w:themeFill="accent5" w:themeFillTint="7F"/>
      </w:tcPr>
    </w:tblStylePr>
  </w:style>
  <w:style w:type="table" w:styleId="ColorfulGrid-Accent6">
    <w:name w:val="Colorful Grid Accent 6"/>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FEECD1"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DDAA3" w:themeFill="accent6" w:themeFillTint="66"/>
      </w:tcPr>
    </w:tblStylePr>
    <w:tblStylePr w:type="lastRow">
      <w:rPr>
        <w:b/>
        <w:bCs/>
        <w:color w:val="000000" w:themeColor="text1"/>
      </w:rPr>
      <w:tblPr/>
      <w:tcPr>
        <w:shd w:val="clear" w:color="auto" w:fill="FDDAA3" w:themeFill="accent6" w:themeFillTint="66"/>
      </w:tcPr>
    </w:tblStylePr>
    <w:tblStylePr w:type="firstCol">
      <w:rPr>
        <w:color w:val="FFFFFF" w:themeColor="background1"/>
      </w:rPr>
      <w:tblPr/>
      <w:tcPr>
        <w:shd w:val="clear" w:color="auto" w:fill="CA7E04" w:themeFill="accent6" w:themeFillShade="BF"/>
      </w:tcPr>
    </w:tblStylePr>
    <w:tblStylePr w:type="lastCol">
      <w:rPr>
        <w:color w:val="FFFFFF" w:themeColor="background1"/>
      </w:rPr>
      <w:tblPr/>
      <w:tcPr>
        <w:shd w:val="clear" w:color="auto" w:fill="CA7E04" w:themeFill="accent6" w:themeFillShade="BF"/>
      </w:tcPr>
    </w:tblStylePr>
    <w:tblStylePr w:type="band1Vert">
      <w:tblPr/>
      <w:tcPr>
        <w:shd w:val="clear" w:color="auto" w:fill="FCD18C" w:themeFill="accent6" w:themeFillTint="7F"/>
      </w:tcPr>
    </w:tblStylePr>
    <w:tblStylePr w:type="band1Horz">
      <w:tblPr/>
      <w:tcPr>
        <w:shd w:val="clear" w:color="auto" w:fill="FCD18C" w:themeFill="accent6" w:themeFillTint="7F"/>
      </w:tcPr>
    </w:tblStylePr>
  </w:style>
  <w:style w:type="table" w:styleId="ColorfulList">
    <w:name w:val="Colorful List"/>
    <w:basedOn w:val="TableNormal"/>
    <w:uiPriority w:val="98"/>
    <w:rsid w:val="00C6330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C63303"/>
    <w:rPr>
      <w:color w:val="000000" w:themeColor="text1"/>
    </w:rPr>
    <w:tblPr>
      <w:tblStyleRowBandSize w:val="1"/>
      <w:tblStyleColBandSize w:val="1"/>
    </w:tblPr>
    <w:tcPr>
      <w:shd w:val="clear" w:color="auto" w:fill="D6E8FF"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98"/>
    <w:rsid w:val="00C63303"/>
    <w:rPr>
      <w:color w:val="000000" w:themeColor="text1"/>
    </w:rPr>
    <w:tblPr>
      <w:tblStyleRowBandSize w:val="1"/>
      <w:tblStyleColBandSize w:val="1"/>
    </w:tblPr>
    <w:tcPr>
      <w:shd w:val="clear" w:color="auto" w:fill="DFF2FF"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2" w:themeFillTint="3F"/>
      </w:tcPr>
    </w:tblStylePr>
    <w:tblStylePr w:type="band1Horz">
      <w:tblPr/>
      <w:tcPr>
        <w:shd w:val="clear" w:color="auto" w:fill="BEE4FF" w:themeFill="accent2" w:themeFillTint="33"/>
      </w:tcPr>
    </w:tblStylePr>
  </w:style>
  <w:style w:type="table" w:styleId="ColorfulList-Accent3">
    <w:name w:val="Colorful List Accent 3"/>
    <w:basedOn w:val="TableNormal"/>
    <w:uiPriority w:val="98"/>
    <w:rsid w:val="00C63303"/>
    <w:rPr>
      <w:color w:val="000000" w:themeColor="text1"/>
    </w:rPr>
    <w:tblPr>
      <w:tblStyleRowBandSize w:val="1"/>
      <w:tblStyleColBandSize w:val="1"/>
    </w:tblPr>
    <w:tcPr>
      <w:shd w:val="clear" w:color="auto" w:fill="EEF7FC"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A08E54" w:themeFill="accent4" w:themeFillShade="CC"/>
      </w:tcPr>
    </w:tblStylePr>
    <w:tblStylePr w:type="lastRow">
      <w:rPr>
        <w:b/>
        <w:bCs/>
        <w:color w:val="A08E5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F9" w:themeFill="accent3" w:themeFillTint="3F"/>
      </w:tcPr>
    </w:tblStylePr>
    <w:tblStylePr w:type="band1Horz">
      <w:tblPr/>
      <w:tcPr>
        <w:shd w:val="clear" w:color="auto" w:fill="DDF0FA" w:themeFill="accent3" w:themeFillTint="33"/>
      </w:tcPr>
    </w:tblStylePr>
  </w:style>
  <w:style w:type="table" w:styleId="ColorfulList-Accent4">
    <w:name w:val="Colorful List Accent 4"/>
    <w:basedOn w:val="TableNormal"/>
    <w:uiPriority w:val="98"/>
    <w:rsid w:val="00C63303"/>
    <w:rPr>
      <w:color w:val="000000" w:themeColor="text1"/>
    </w:rPr>
    <w:tblPr>
      <w:tblStyleRowBandSize w:val="1"/>
      <w:tblStyleColBandSize w:val="1"/>
    </w:tblPr>
    <w:tcPr>
      <w:shd w:val="clear" w:color="auto" w:fill="F8F6F1"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209DDE" w:themeFill="accent3" w:themeFillShade="CC"/>
      </w:tcPr>
    </w:tblStylePr>
    <w:tblStylePr w:type="lastRow">
      <w:rPr>
        <w:b/>
        <w:bCs/>
        <w:color w:val="209DD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9DD" w:themeFill="accent4" w:themeFillTint="3F"/>
      </w:tcPr>
    </w:tblStylePr>
    <w:tblStylePr w:type="band1Horz">
      <w:tblPr/>
      <w:tcPr>
        <w:shd w:val="clear" w:color="auto" w:fill="F1EDE4" w:themeFill="accent4" w:themeFillTint="33"/>
      </w:tcPr>
    </w:tblStylePr>
  </w:style>
  <w:style w:type="table" w:styleId="ColorfulList-Accent5">
    <w:name w:val="Colorful List Accent 5"/>
    <w:basedOn w:val="TableNormal"/>
    <w:uiPriority w:val="98"/>
    <w:rsid w:val="00C63303"/>
    <w:rPr>
      <w:color w:val="000000" w:themeColor="text1"/>
    </w:rPr>
    <w:tblPr>
      <w:tblStyleRowBandSize w:val="1"/>
      <w:tblStyleColBandSize w:val="1"/>
    </w:tblPr>
    <w:tcPr>
      <w:shd w:val="clear" w:color="auto" w:fill="F7F7F6"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D78604" w:themeFill="accent6" w:themeFillShade="CC"/>
      </w:tcPr>
    </w:tblStylePr>
    <w:tblStylePr w:type="lastRow">
      <w:rPr>
        <w:b/>
        <w:bCs/>
        <w:color w:val="D786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CEA" w:themeFill="accent5" w:themeFillTint="3F"/>
      </w:tcPr>
    </w:tblStylePr>
    <w:tblStylePr w:type="band1Horz">
      <w:tblPr/>
      <w:tcPr>
        <w:shd w:val="clear" w:color="auto" w:fill="EFF0EE" w:themeFill="accent5" w:themeFillTint="33"/>
      </w:tcPr>
    </w:tblStylePr>
  </w:style>
  <w:style w:type="table" w:styleId="ColorfulList-Accent6">
    <w:name w:val="Colorful List Accent 6"/>
    <w:basedOn w:val="TableNormal"/>
    <w:uiPriority w:val="98"/>
    <w:rsid w:val="00C63303"/>
    <w:rPr>
      <w:color w:val="000000" w:themeColor="text1"/>
    </w:rPr>
    <w:tblPr>
      <w:tblStyleRowBandSize w:val="1"/>
      <w:tblStyleColBandSize w:val="1"/>
    </w:tblPr>
    <w:tcPr>
      <w:shd w:val="clear" w:color="auto" w:fill="FEF6E8"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8F9485" w:themeFill="accent5" w:themeFillShade="CC"/>
      </w:tcPr>
    </w:tblStylePr>
    <w:tblStylePr w:type="lastRow">
      <w:rPr>
        <w:b/>
        <w:bCs/>
        <w:color w:val="8F948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8C6" w:themeFill="accent6" w:themeFillTint="3F"/>
      </w:tcPr>
    </w:tblStylePr>
    <w:tblStylePr w:type="band1Horz">
      <w:tblPr/>
      <w:tcPr>
        <w:shd w:val="clear" w:color="auto" w:fill="FEECD1" w:themeFill="accent6" w:themeFillTint="33"/>
      </w:tcPr>
    </w:tblStylePr>
  </w:style>
  <w:style w:type="table" w:styleId="ColorfulShading">
    <w:name w:val="Colorful Shading"/>
    <w:basedOn w:val="TableNormal"/>
    <w:uiPriority w:val="98"/>
    <w:rsid w:val="00C63303"/>
    <w:rPr>
      <w:color w:val="000000" w:themeColor="text1"/>
    </w:rPr>
    <w:tblPr>
      <w:tblStyleRowBandSize w:val="1"/>
      <w:tblStyleColBandSize w:val="1"/>
      <w:tblBorders>
        <w:top w:val="single" w:sz="24" w:space="0" w:color="006F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C63303"/>
    <w:rPr>
      <w:color w:val="000000" w:themeColor="text1"/>
    </w:rPr>
    <w:tblPr>
      <w:tblStyleRowBandSize w:val="1"/>
      <w:tblStyleColBandSize w:val="1"/>
      <w:tblBorders>
        <w:top w:val="single" w:sz="24" w:space="0" w:color="006FBA" w:themeColor="accent2"/>
        <w:left w:val="single" w:sz="4" w:space="0" w:color="002D62" w:themeColor="accent1"/>
        <w:bottom w:val="single" w:sz="4" w:space="0" w:color="002D62" w:themeColor="accent1"/>
        <w:right w:val="single" w:sz="4" w:space="0" w:color="002D62" w:themeColor="accent1"/>
        <w:insideH w:val="single" w:sz="4" w:space="0" w:color="FFFFFF" w:themeColor="background1"/>
        <w:insideV w:val="single" w:sz="4" w:space="0" w:color="FFFFFF" w:themeColor="background1"/>
      </w:tblBorders>
    </w:tblPr>
    <w:tcPr>
      <w:shd w:val="clear" w:color="auto" w:fill="D6E8FF"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A" w:themeFill="accent1" w:themeFillShade="99"/>
      </w:tcPr>
    </w:tblStylePr>
    <w:tblStylePr w:type="firstCol">
      <w:rPr>
        <w:color w:val="FFFFFF" w:themeColor="background1"/>
      </w:rPr>
      <w:tblPr/>
      <w:tcPr>
        <w:tcBorders>
          <w:top w:val="nil"/>
          <w:left w:val="nil"/>
          <w:bottom w:val="nil"/>
          <w:right w:val="nil"/>
          <w:insideH w:val="single" w:sz="4" w:space="0" w:color="001A3A" w:themeColor="accent1" w:themeShade="99"/>
          <w:insideV w:val="nil"/>
        </w:tcBorders>
        <w:shd w:val="clear" w:color="auto" w:fill="001A3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A" w:themeFill="accent1" w:themeFillShade="99"/>
      </w:tcPr>
    </w:tblStylePr>
    <w:tblStylePr w:type="band1Vert">
      <w:tblPr/>
      <w:tcPr>
        <w:shd w:val="clear" w:color="auto" w:fill="5AA5FF" w:themeFill="accent1" w:themeFillTint="66"/>
      </w:tcPr>
    </w:tblStylePr>
    <w:tblStylePr w:type="band1Horz">
      <w:tblPr/>
      <w:tcPr>
        <w:shd w:val="clear" w:color="auto" w:fill="31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C63303"/>
    <w:rPr>
      <w:color w:val="000000" w:themeColor="text1"/>
    </w:rPr>
    <w:tblPr>
      <w:tblStyleRowBandSize w:val="1"/>
      <w:tblStyleColBandSize w:val="1"/>
      <w:tblBorders>
        <w:top w:val="single" w:sz="24" w:space="0" w:color="006FBA" w:themeColor="accent2"/>
        <w:left w:val="single" w:sz="4" w:space="0" w:color="006FBA" w:themeColor="accent2"/>
        <w:bottom w:val="single" w:sz="4" w:space="0" w:color="006FBA" w:themeColor="accent2"/>
        <w:right w:val="single" w:sz="4" w:space="0" w:color="006FBA" w:themeColor="accent2"/>
        <w:insideH w:val="single" w:sz="4" w:space="0" w:color="FFFFFF" w:themeColor="background1"/>
        <w:insideV w:val="single" w:sz="4" w:space="0" w:color="FFFFFF" w:themeColor="background1"/>
      </w:tblBorders>
    </w:tblPr>
    <w:tcPr>
      <w:shd w:val="clear" w:color="auto" w:fill="DFF2FF"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2" w:themeFillShade="99"/>
      </w:tcPr>
    </w:tblStylePr>
    <w:tblStylePr w:type="firstCol">
      <w:rPr>
        <w:color w:val="FFFFFF" w:themeColor="background1"/>
      </w:rPr>
      <w:tblPr/>
      <w:tcPr>
        <w:tcBorders>
          <w:top w:val="nil"/>
          <w:left w:val="nil"/>
          <w:bottom w:val="nil"/>
          <w:right w:val="nil"/>
          <w:insideH w:val="single" w:sz="4" w:space="0" w:color="00426F" w:themeColor="accent2" w:themeShade="99"/>
          <w:insideV w:val="nil"/>
        </w:tcBorders>
        <w:shd w:val="clear" w:color="auto" w:fill="0042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2" w:themeFillShade="99"/>
      </w:tcPr>
    </w:tblStylePr>
    <w:tblStylePr w:type="band1Vert">
      <w:tblPr/>
      <w:tcPr>
        <w:shd w:val="clear" w:color="auto" w:fill="7DCAFF" w:themeFill="accent2" w:themeFillTint="66"/>
      </w:tcPr>
    </w:tblStylePr>
    <w:tblStylePr w:type="band1Horz">
      <w:tblPr/>
      <w:tcPr>
        <w:shd w:val="clear" w:color="auto" w:fill="5DB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C63303"/>
    <w:rPr>
      <w:color w:val="000000" w:themeColor="text1"/>
    </w:rPr>
    <w:tblPr>
      <w:tblStyleRowBandSize w:val="1"/>
      <w:tblStyleColBandSize w:val="1"/>
      <w:tblBorders>
        <w:top w:val="single" w:sz="24" w:space="0" w:color="B9AA79" w:themeColor="accent4"/>
        <w:left w:val="single" w:sz="4" w:space="0" w:color="58B6E7" w:themeColor="accent3"/>
        <w:bottom w:val="single" w:sz="4" w:space="0" w:color="58B6E7" w:themeColor="accent3"/>
        <w:right w:val="single" w:sz="4" w:space="0" w:color="58B6E7" w:themeColor="accent3"/>
        <w:insideH w:val="single" w:sz="4" w:space="0" w:color="FFFFFF" w:themeColor="background1"/>
        <w:insideV w:val="single" w:sz="4" w:space="0" w:color="FFFFFF" w:themeColor="background1"/>
      </w:tblBorders>
    </w:tblPr>
    <w:tcPr>
      <w:shd w:val="clear" w:color="auto" w:fill="EEF7FC"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B9AA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75A7" w:themeFill="accent3" w:themeFillShade="99"/>
      </w:tcPr>
    </w:tblStylePr>
    <w:tblStylePr w:type="firstCol">
      <w:rPr>
        <w:color w:val="FFFFFF" w:themeColor="background1"/>
      </w:rPr>
      <w:tblPr/>
      <w:tcPr>
        <w:tcBorders>
          <w:top w:val="nil"/>
          <w:left w:val="nil"/>
          <w:bottom w:val="nil"/>
          <w:right w:val="nil"/>
          <w:insideH w:val="single" w:sz="4" w:space="0" w:color="1875A7" w:themeColor="accent3" w:themeShade="99"/>
          <w:insideV w:val="nil"/>
        </w:tcBorders>
        <w:shd w:val="clear" w:color="auto" w:fill="1875A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75A7" w:themeFill="accent3" w:themeFillShade="99"/>
      </w:tcPr>
    </w:tblStylePr>
    <w:tblStylePr w:type="band1Vert">
      <w:tblPr/>
      <w:tcPr>
        <w:shd w:val="clear" w:color="auto" w:fill="BBE1F5" w:themeFill="accent3" w:themeFillTint="66"/>
      </w:tcPr>
    </w:tblStylePr>
    <w:tblStylePr w:type="band1Horz">
      <w:tblPr/>
      <w:tcPr>
        <w:shd w:val="clear" w:color="auto" w:fill="ABDAF3" w:themeFill="accent3" w:themeFillTint="7F"/>
      </w:tcPr>
    </w:tblStylePr>
  </w:style>
  <w:style w:type="table" w:styleId="ColorfulShading-Accent4">
    <w:name w:val="Colorful Shading Accent 4"/>
    <w:basedOn w:val="TableNormal"/>
    <w:uiPriority w:val="98"/>
    <w:rsid w:val="00C63303"/>
    <w:rPr>
      <w:color w:val="000000" w:themeColor="text1"/>
    </w:rPr>
    <w:tblPr>
      <w:tblStyleRowBandSize w:val="1"/>
      <w:tblStyleColBandSize w:val="1"/>
      <w:tblBorders>
        <w:top w:val="single" w:sz="24" w:space="0" w:color="58B6E7" w:themeColor="accent3"/>
        <w:left w:val="single" w:sz="4" w:space="0" w:color="B9AA79" w:themeColor="accent4"/>
        <w:bottom w:val="single" w:sz="4" w:space="0" w:color="B9AA79" w:themeColor="accent4"/>
        <w:right w:val="single" w:sz="4" w:space="0" w:color="B9AA79" w:themeColor="accent4"/>
        <w:insideH w:val="single" w:sz="4" w:space="0" w:color="FFFFFF" w:themeColor="background1"/>
        <w:insideV w:val="single" w:sz="4" w:space="0" w:color="FFFFFF" w:themeColor="background1"/>
      </w:tblBorders>
    </w:tblPr>
    <w:tcPr>
      <w:shd w:val="clear" w:color="auto" w:fill="F8F6F1"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58B6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6A3F" w:themeFill="accent4" w:themeFillShade="99"/>
      </w:tcPr>
    </w:tblStylePr>
    <w:tblStylePr w:type="firstCol">
      <w:rPr>
        <w:color w:val="FFFFFF" w:themeColor="background1"/>
      </w:rPr>
      <w:tblPr/>
      <w:tcPr>
        <w:tcBorders>
          <w:top w:val="nil"/>
          <w:left w:val="nil"/>
          <w:bottom w:val="nil"/>
          <w:right w:val="nil"/>
          <w:insideH w:val="single" w:sz="4" w:space="0" w:color="786A3F" w:themeColor="accent4" w:themeShade="99"/>
          <w:insideV w:val="nil"/>
        </w:tcBorders>
        <w:shd w:val="clear" w:color="auto" w:fill="786A3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6A3F" w:themeFill="accent4" w:themeFillShade="99"/>
      </w:tcPr>
    </w:tblStylePr>
    <w:tblStylePr w:type="band1Vert">
      <w:tblPr/>
      <w:tcPr>
        <w:shd w:val="clear" w:color="auto" w:fill="E3DCC9" w:themeFill="accent4" w:themeFillTint="66"/>
      </w:tcPr>
    </w:tblStylePr>
    <w:tblStylePr w:type="band1Horz">
      <w:tblPr/>
      <w:tcPr>
        <w:shd w:val="clear" w:color="auto" w:fill="DCD4B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C63303"/>
    <w:rPr>
      <w:color w:val="000000" w:themeColor="text1"/>
    </w:rPr>
    <w:tblPr>
      <w:tblStyleRowBandSize w:val="1"/>
      <w:tblStyleColBandSize w:val="1"/>
      <w:tblBorders>
        <w:top w:val="single" w:sz="24" w:space="0" w:color="FAA41A" w:themeColor="accent6"/>
        <w:left w:val="single" w:sz="4" w:space="0" w:color="B2B5AB" w:themeColor="accent5"/>
        <w:bottom w:val="single" w:sz="4" w:space="0" w:color="B2B5AB" w:themeColor="accent5"/>
        <w:right w:val="single" w:sz="4" w:space="0" w:color="B2B5AB" w:themeColor="accent5"/>
        <w:insideH w:val="single" w:sz="4" w:space="0" w:color="FFFFFF" w:themeColor="background1"/>
        <w:insideV w:val="single" w:sz="4" w:space="0" w:color="FFFFFF" w:themeColor="background1"/>
      </w:tblBorders>
    </w:tblPr>
    <w:tcPr>
      <w:shd w:val="clear" w:color="auto" w:fill="F7F7F6"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AA41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C7063" w:themeFill="accent5" w:themeFillShade="99"/>
      </w:tcPr>
    </w:tblStylePr>
    <w:tblStylePr w:type="firstCol">
      <w:rPr>
        <w:color w:val="FFFFFF" w:themeColor="background1"/>
      </w:rPr>
      <w:tblPr/>
      <w:tcPr>
        <w:tcBorders>
          <w:top w:val="nil"/>
          <w:left w:val="nil"/>
          <w:bottom w:val="nil"/>
          <w:right w:val="nil"/>
          <w:insideH w:val="single" w:sz="4" w:space="0" w:color="6C7063" w:themeColor="accent5" w:themeShade="99"/>
          <w:insideV w:val="nil"/>
        </w:tcBorders>
        <w:shd w:val="clear" w:color="auto" w:fill="6C70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C7063" w:themeFill="accent5" w:themeFillShade="99"/>
      </w:tcPr>
    </w:tblStylePr>
    <w:tblStylePr w:type="band1Vert">
      <w:tblPr/>
      <w:tcPr>
        <w:shd w:val="clear" w:color="auto" w:fill="E0E1DD" w:themeFill="accent5" w:themeFillTint="66"/>
      </w:tcPr>
    </w:tblStylePr>
    <w:tblStylePr w:type="band1Horz">
      <w:tblPr/>
      <w:tcPr>
        <w:shd w:val="clear" w:color="auto" w:fill="D8DAD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C63303"/>
    <w:rPr>
      <w:color w:val="000000" w:themeColor="text1"/>
    </w:rPr>
    <w:tblPr>
      <w:tblStyleRowBandSize w:val="1"/>
      <w:tblStyleColBandSize w:val="1"/>
      <w:tblBorders>
        <w:top w:val="single" w:sz="24" w:space="0" w:color="B2B5AB" w:themeColor="accent5"/>
        <w:left w:val="single" w:sz="4" w:space="0" w:color="FAA41A" w:themeColor="accent6"/>
        <w:bottom w:val="single" w:sz="4" w:space="0" w:color="FAA41A" w:themeColor="accent6"/>
        <w:right w:val="single" w:sz="4" w:space="0" w:color="FAA41A" w:themeColor="accent6"/>
        <w:insideH w:val="single" w:sz="4" w:space="0" w:color="FFFFFF" w:themeColor="background1"/>
        <w:insideV w:val="single" w:sz="4" w:space="0" w:color="FFFFFF" w:themeColor="background1"/>
      </w:tblBorders>
    </w:tblPr>
    <w:tcPr>
      <w:shd w:val="clear" w:color="auto" w:fill="FEF6E8"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B2B5A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403" w:themeFill="accent6" w:themeFillShade="99"/>
      </w:tcPr>
    </w:tblStylePr>
    <w:tblStylePr w:type="firstCol">
      <w:rPr>
        <w:color w:val="FFFFFF" w:themeColor="background1"/>
      </w:rPr>
      <w:tblPr/>
      <w:tcPr>
        <w:tcBorders>
          <w:top w:val="nil"/>
          <w:left w:val="nil"/>
          <w:bottom w:val="nil"/>
          <w:right w:val="nil"/>
          <w:insideH w:val="single" w:sz="4" w:space="0" w:color="A16403" w:themeColor="accent6" w:themeShade="99"/>
          <w:insideV w:val="nil"/>
        </w:tcBorders>
        <w:shd w:val="clear" w:color="auto" w:fill="A164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16403" w:themeFill="accent6" w:themeFillShade="99"/>
      </w:tcPr>
    </w:tblStylePr>
    <w:tblStylePr w:type="band1Vert">
      <w:tblPr/>
      <w:tcPr>
        <w:shd w:val="clear" w:color="auto" w:fill="FDDAA3" w:themeFill="accent6" w:themeFillTint="66"/>
      </w:tcPr>
    </w:tblStylePr>
    <w:tblStylePr w:type="band1Horz">
      <w:tblPr/>
      <w:tcPr>
        <w:shd w:val="clear" w:color="auto" w:fill="FCD1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C63303"/>
    <w:rPr>
      <w:rFonts w:asciiTheme="minorHAnsi" w:hAnsiTheme="minorHAnsi" w:cstheme="minorHAnsi"/>
      <w:sz w:val="16"/>
      <w:szCs w:val="16"/>
    </w:rPr>
  </w:style>
  <w:style w:type="paragraph" w:styleId="CommentText">
    <w:name w:val="annotation text"/>
    <w:basedOn w:val="Normal"/>
    <w:link w:val="CommentTextChar"/>
    <w:semiHidden/>
    <w:rsid w:val="00C63303"/>
  </w:style>
  <w:style w:type="character" w:customStyle="1" w:styleId="CommentTextChar">
    <w:name w:val="Comment Text Char"/>
    <w:basedOn w:val="DefaultParagraphFont"/>
    <w:link w:val="CommentText"/>
    <w:semiHidden/>
    <w:rsid w:val="00D20874"/>
    <w:rPr>
      <w:rFonts w:ascii="Calibri" w:eastAsia="MS Mincho" w:hAnsi="Calibri"/>
      <w:snapToGrid w:val="0"/>
      <w:color w:val="000000" w:themeColor="text2"/>
      <w:lang w:val="en-AU" w:eastAsia="ja-JP"/>
    </w:rPr>
  </w:style>
  <w:style w:type="paragraph" w:styleId="CommentSubject">
    <w:name w:val="annotation subject"/>
    <w:basedOn w:val="CommentText"/>
    <w:next w:val="CommentText"/>
    <w:link w:val="CommentSubjectChar"/>
    <w:semiHidden/>
    <w:rsid w:val="00C63303"/>
    <w:rPr>
      <w:b/>
      <w:bCs/>
    </w:rPr>
  </w:style>
  <w:style w:type="character" w:customStyle="1" w:styleId="CommentSubjectChar">
    <w:name w:val="Comment Subject Char"/>
    <w:basedOn w:val="CommentTextChar"/>
    <w:link w:val="CommentSubject"/>
    <w:semiHidden/>
    <w:rsid w:val="00D20874"/>
    <w:rPr>
      <w:rFonts w:ascii="Calibri" w:eastAsia="MS Mincho" w:hAnsi="Calibri"/>
      <w:b/>
      <w:bCs/>
      <w:snapToGrid w:val="0"/>
      <w:color w:val="000000" w:themeColor="text2"/>
      <w:lang w:val="en-AU" w:eastAsia="ja-JP"/>
    </w:rPr>
  </w:style>
  <w:style w:type="table" w:styleId="DarkList">
    <w:name w:val="Dark List"/>
    <w:basedOn w:val="TableNormal"/>
    <w:uiPriority w:val="98"/>
    <w:rsid w:val="00C6330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C63303"/>
    <w:rPr>
      <w:color w:val="FFFFFF" w:themeColor="background1"/>
    </w:rPr>
    <w:tblPr>
      <w:tblStyleRowBandSize w:val="1"/>
      <w:tblStyleColBandSize w:val="1"/>
    </w:tblPr>
    <w:tcPr>
      <w:shd w:val="clear" w:color="auto" w:fill="002D62"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63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14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149" w:themeFill="accent1" w:themeFillShade="BF"/>
      </w:tcPr>
    </w:tblStylePr>
    <w:tblStylePr w:type="band1Vert">
      <w:tblPr/>
      <w:tcPr>
        <w:tcBorders>
          <w:top w:val="nil"/>
          <w:left w:val="nil"/>
          <w:bottom w:val="nil"/>
          <w:right w:val="nil"/>
          <w:insideH w:val="nil"/>
          <w:insideV w:val="nil"/>
        </w:tcBorders>
        <w:shd w:val="clear" w:color="auto" w:fill="002149" w:themeFill="accent1" w:themeFillShade="BF"/>
      </w:tcPr>
    </w:tblStylePr>
    <w:tblStylePr w:type="band1Horz">
      <w:tblPr/>
      <w:tcPr>
        <w:tcBorders>
          <w:top w:val="nil"/>
          <w:left w:val="nil"/>
          <w:bottom w:val="nil"/>
          <w:right w:val="nil"/>
          <w:insideH w:val="nil"/>
          <w:insideV w:val="nil"/>
        </w:tcBorders>
        <w:shd w:val="clear" w:color="auto" w:fill="002149" w:themeFill="accent1" w:themeFillShade="BF"/>
      </w:tcPr>
    </w:tblStylePr>
  </w:style>
  <w:style w:type="table" w:styleId="DarkList-Accent2">
    <w:name w:val="Dark List Accent 2"/>
    <w:basedOn w:val="TableNormal"/>
    <w:uiPriority w:val="98"/>
    <w:rsid w:val="00C63303"/>
    <w:rPr>
      <w:color w:val="FFFFFF" w:themeColor="background1"/>
    </w:rPr>
    <w:tblPr>
      <w:tblStyleRowBandSize w:val="1"/>
      <w:tblStyleColBandSize w:val="1"/>
    </w:tblPr>
    <w:tcPr>
      <w:shd w:val="clear" w:color="auto" w:fill="006FBA"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8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8B" w:themeFill="accent2" w:themeFillShade="BF"/>
      </w:tcPr>
    </w:tblStylePr>
    <w:tblStylePr w:type="band1Vert">
      <w:tblPr/>
      <w:tcPr>
        <w:tcBorders>
          <w:top w:val="nil"/>
          <w:left w:val="nil"/>
          <w:bottom w:val="nil"/>
          <w:right w:val="nil"/>
          <w:insideH w:val="nil"/>
          <w:insideV w:val="nil"/>
        </w:tcBorders>
        <w:shd w:val="clear" w:color="auto" w:fill="00528B" w:themeFill="accent2" w:themeFillShade="BF"/>
      </w:tcPr>
    </w:tblStylePr>
    <w:tblStylePr w:type="band1Horz">
      <w:tblPr/>
      <w:tcPr>
        <w:tcBorders>
          <w:top w:val="nil"/>
          <w:left w:val="nil"/>
          <w:bottom w:val="nil"/>
          <w:right w:val="nil"/>
          <w:insideH w:val="nil"/>
          <w:insideV w:val="nil"/>
        </w:tcBorders>
        <w:shd w:val="clear" w:color="auto" w:fill="00528B" w:themeFill="accent2" w:themeFillShade="BF"/>
      </w:tcPr>
    </w:tblStylePr>
  </w:style>
  <w:style w:type="table" w:styleId="DarkList-Accent3">
    <w:name w:val="Dark List Accent 3"/>
    <w:basedOn w:val="TableNormal"/>
    <w:uiPriority w:val="98"/>
    <w:rsid w:val="00C63303"/>
    <w:rPr>
      <w:color w:val="FFFFFF" w:themeColor="background1"/>
    </w:rPr>
    <w:tblPr>
      <w:tblStyleRowBandSize w:val="1"/>
      <w:tblStyleColBandSize w:val="1"/>
    </w:tblPr>
    <w:tcPr>
      <w:shd w:val="clear" w:color="auto" w:fill="58B6E7"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618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92D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92D0" w:themeFill="accent3" w:themeFillShade="BF"/>
      </w:tcPr>
    </w:tblStylePr>
    <w:tblStylePr w:type="band1Vert">
      <w:tblPr/>
      <w:tcPr>
        <w:tcBorders>
          <w:top w:val="nil"/>
          <w:left w:val="nil"/>
          <w:bottom w:val="nil"/>
          <w:right w:val="nil"/>
          <w:insideH w:val="nil"/>
          <w:insideV w:val="nil"/>
        </w:tcBorders>
        <w:shd w:val="clear" w:color="auto" w:fill="1E92D0" w:themeFill="accent3" w:themeFillShade="BF"/>
      </w:tcPr>
    </w:tblStylePr>
    <w:tblStylePr w:type="band1Horz">
      <w:tblPr/>
      <w:tcPr>
        <w:tcBorders>
          <w:top w:val="nil"/>
          <w:left w:val="nil"/>
          <w:bottom w:val="nil"/>
          <w:right w:val="nil"/>
          <w:insideH w:val="nil"/>
          <w:insideV w:val="nil"/>
        </w:tcBorders>
        <w:shd w:val="clear" w:color="auto" w:fill="1E92D0" w:themeFill="accent3" w:themeFillShade="BF"/>
      </w:tcPr>
    </w:tblStylePr>
  </w:style>
  <w:style w:type="table" w:styleId="DarkList-Accent4">
    <w:name w:val="Dark List Accent 4"/>
    <w:basedOn w:val="TableNormal"/>
    <w:uiPriority w:val="98"/>
    <w:rsid w:val="00C63303"/>
    <w:rPr>
      <w:color w:val="FFFFFF" w:themeColor="background1"/>
    </w:rPr>
    <w:tblPr>
      <w:tblStyleRowBandSize w:val="1"/>
      <w:tblStyleColBandSize w:val="1"/>
    </w:tblPr>
    <w:tcPr>
      <w:shd w:val="clear" w:color="auto" w:fill="B9AA79"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583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6854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6854E" w:themeFill="accent4" w:themeFillShade="BF"/>
      </w:tcPr>
    </w:tblStylePr>
    <w:tblStylePr w:type="band1Vert">
      <w:tblPr/>
      <w:tcPr>
        <w:tcBorders>
          <w:top w:val="nil"/>
          <w:left w:val="nil"/>
          <w:bottom w:val="nil"/>
          <w:right w:val="nil"/>
          <w:insideH w:val="nil"/>
          <w:insideV w:val="nil"/>
        </w:tcBorders>
        <w:shd w:val="clear" w:color="auto" w:fill="96854E" w:themeFill="accent4" w:themeFillShade="BF"/>
      </w:tcPr>
    </w:tblStylePr>
    <w:tblStylePr w:type="band1Horz">
      <w:tblPr/>
      <w:tcPr>
        <w:tcBorders>
          <w:top w:val="nil"/>
          <w:left w:val="nil"/>
          <w:bottom w:val="nil"/>
          <w:right w:val="nil"/>
          <w:insideH w:val="nil"/>
          <w:insideV w:val="nil"/>
        </w:tcBorders>
        <w:shd w:val="clear" w:color="auto" w:fill="96854E" w:themeFill="accent4" w:themeFillShade="BF"/>
      </w:tcPr>
    </w:tblStylePr>
  </w:style>
  <w:style w:type="table" w:styleId="DarkList-Accent5">
    <w:name w:val="Dark List Accent 5"/>
    <w:basedOn w:val="TableNormal"/>
    <w:uiPriority w:val="98"/>
    <w:rsid w:val="00C63303"/>
    <w:rPr>
      <w:color w:val="FFFFFF" w:themeColor="background1"/>
    </w:rPr>
    <w:tblPr>
      <w:tblStyleRowBandSize w:val="1"/>
      <w:tblStyleColBandSize w:val="1"/>
    </w:tblPr>
    <w:tcPr>
      <w:shd w:val="clear" w:color="auto" w:fill="B2B5AB"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68B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68B7B" w:themeFill="accent5" w:themeFillShade="BF"/>
      </w:tcPr>
    </w:tblStylePr>
    <w:tblStylePr w:type="band1Vert">
      <w:tblPr/>
      <w:tcPr>
        <w:tcBorders>
          <w:top w:val="nil"/>
          <w:left w:val="nil"/>
          <w:bottom w:val="nil"/>
          <w:right w:val="nil"/>
          <w:insideH w:val="nil"/>
          <w:insideV w:val="nil"/>
        </w:tcBorders>
        <w:shd w:val="clear" w:color="auto" w:fill="868B7B" w:themeFill="accent5" w:themeFillShade="BF"/>
      </w:tcPr>
    </w:tblStylePr>
    <w:tblStylePr w:type="band1Horz">
      <w:tblPr/>
      <w:tcPr>
        <w:tcBorders>
          <w:top w:val="nil"/>
          <w:left w:val="nil"/>
          <w:bottom w:val="nil"/>
          <w:right w:val="nil"/>
          <w:insideH w:val="nil"/>
          <w:insideV w:val="nil"/>
        </w:tcBorders>
        <w:shd w:val="clear" w:color="auto" w:fill="868B7B" w:themeFill="accent5" w:themeFillShade="BF"/>
      </w:tcPr>
    </w:tblStylePr>
  </w:style>
  <w:style w:type="table" w:styleId="DarkList-Accent6">
    <w:name w:val="Dark List Accent 6"/>
    <w:basedOn w:val="TableNormal"/>
    <w:uiPriority w:val="98"/>
    <w:rsid w:val="00C63303"/>
    <w:rPr>
      <w:color w:val="FFFFFF" w:themeColor="background1"/>
    </w:rPr>
    <w:tblPr>
      <w:tblStyleRowBandSize w:val="1"/>
      <w:tblStyleColBandSize w:val="1"/>
    </w:tblPr>
    <w:tcPr>
      <w:shd w:val="clear" w:color="auto" w:fill="FAA41A"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3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A7E0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A7E04" w:themeFill="accent6" w:themeFillShade="BF"/>
      </w:tcPr>
    </w:tblStylePr>
    <w:tblStylePr w:type="band1Vert">
      <w:tblPr/>
      <w:tcPr>
        <w:tcBorders>
          <w:top w:val="nil"/>
          <w:left w:val="nil"/>
          <w:bottom w:val="nil"/>
          <w:right w:val="nil"/>
          <w:insideH w:val="nil"/>
          <w:insideV w:val="nil"/>
        </w:tcBorders>
        <w:shd w:val="clear" w:color="auto" w:fill="CA7E04" w:themeFill="accent6" w:themeFillShade="BF"/>
      </w:tcPr>
    </w:tblStylePr>
    <w:tblStylePr w:type="band1Horz">
      <w:tblPr/>
      <w:tcPr>
        <w:tcBorders>
          <w:top w:val="nil"/>
          <w:left w:val="nil"/>
          <w:bottom w:val="nil"/>
          <w:right w:val="nil"/>
          <w:insideH w:val="nil"/>
          <w:insideV w:val="nil"/>
        </w:tcBorders>
        <w:shd w:val="clear" w:color="auto" w:fill="CA7E04" w:themeFill="accent6" w:themeFillShade="BF"/>
      </w:tcPr>
    </w:tblStylePr>
  </w:style>
  <w:style w:type="paragraph" w:styleId="DocumentMap">
    <w:name w:val="Document Map"/>
    <w:basedOn w:val="Normal"/>
    <w:link w:val="DocumentMapChar"/>
    <w:semiHidden/>
    <w:rsid w:val="00C63303"/>
    <w:rPr>
      <w:sz w:val="16"/>
      <w:szCs w:val="16"/>
    </w:rPr>
  </w:style>
  <w:style w:type="character" w:customStyle="1" w:styleId="DocumentMapChar">
    <w:name w:val="Document Map Char"/>
    <w:basedOn w:val="DefaultParagraphFont"/>
    <w:link w:val="DocumentMap"/>
    <w:semiHidden/>
    <w:rsid w:val="00D20874"/>
    <w:rPr>
      <w:rFonts w:ascii="Calibri" w:eastAsia="MS Mincho" w:hAnsi="Calibri"/>
      <w:snapToGrid w:val="0"/>
      <w:color w:val="000000" w:themeColor="text2"/>
      <w:sz w:val="16"/>
      <w:szCs w:val="16"/>
      <w:lang w:val="en-AU" w:eastAsia="ja-JP"/>
    </w:rPr>
  </w:style>
  <w:style w:type="paragraph" w:styleId="E-mailSignature">
    <w:name w:val="E-mail Signature"/>
    <w:basedOn w:val="Normal"/>
    <w:link w:val="E-mailSignatureChar"/>
    <w:semiHidden/>
    <w:rsid w:val="00C63303"/>
  </w:style>
  <w:style w:type="character" w:customStyle="1" w:styleId="E-mailSignatureChar">
    <w:name w:val="E-mail Signature Char"/>
    <w:basedOn w:val="DefaultParagraphFont"/>
    <w:link w:val="E-mailSignature"/>
    <w:semiHidden/>
    <w:rsid w:val="00D20874"/>
    <w:rPr>
      <w:rFonts w:ascii="Calibri" w:eastAsia="MS Mincho" w:hAnsi="Calibri"/>
      <w:snapToGrid w:val="0"/>
      <w:color w:val="000000" w:themeColor="text2"/>
      <w:lang w:val="en-AU" w:eastAsia="ja-JP"/>
    </w:rPr>
  </w:style>
  <w:style w:type="character" w:styleId="Emphasis">
    <w:name w:val="Emphasis"/>
    <w:basedOn w:val="DefaultParagraphFont"/>
    <w:semiHidden/>
    <w:rsid w:val="00C63303"/>
    <w:rPr>
      <w:rFonts w:asciiTheme="minorHAnsi" w:hAnsiTheme="minorHAnsi" w:cstheme="minorHAnsi"/>
      <w:i/>
      <w:iCs/>
    </w:rPr>
  </w:style>
  <w:style w:type="character" w:styleId="EndnoteReference">
    <w:name w:val="endnote reference"/>
    <w:basedOn w:val="DefaultParagraphFont"/>
    <w:semiHidden/>
    <w:rsid w:val="00C63303"/>
    <w:rPr>
      <w:rFonts w:asciiTheme="minorHAnsi" w:hAnsiTheme="minorHAnsi" w:cstheme="minorHAnsi"/>
      <w:vertAlign w:val="superscript"/>
    </w:rPr>
  </w:style>
  <w:style w:type="paragraph" w:styleId="EndnoteText">
    <w:name w:val="endnote text"/>
    <w:basedOn w:val="Normal"/>
    <w:link w:val="EndnoteTextChar"/>
    <w:semiHidden/>
    <w:rsid w:val="00C63303"/>
  </w:style>
  <w:style w:type="character" w:customStyle="1" w:styleId="EndnoteTextChar">
    <w:name w:val="Endnote Text Char"/>
    <w:basedOn w:val="DefaultParagraphFont"/>
    <w:link w:val="EndnoteText"/>
    <w:semiHidden/>
    <w:rsid w:val="00D20874"/>
    <w:rPr>
      <w:rFonts w:ascii="Calibri" w:eastAsia="MS Mincho" w:hAnsi="Calibri"/>
      <w:snapToGrid w:val="0"/>
      <w:color w:val="000000" w:themeColor="text2"/>
      <w:lang w:val="en-AU" w:eastAsia="ja-JP"/>
    </w:rPr>
  </w:style>
  <w:style w:type="paragraph" w:styleId="EnvelopeAddress">
    <w:name w:val="envelope address"/>
    <w:basedOn w:val="Normal"/>
    <w:semiHidden/>
    <w:rsid w:val="00C63303"/>
    <w:pPr>
      <w:framePr w:w="7920" w:h="1980" w:hRule="exact" w:hSpace="180" w:wrap="auto" w:hAnchor="page" w:xAlign="center" w:yAlign="bottom"/>
      <w:ind w:left="2880"/>
    </w:pPr>
    <w:rPr>
      <w:rFonts w:eastAsiaTheme="majorEastAsia"/>
      <w:sz w:val="24"/>
    </w:rPr>
  </w:style>
  <w:style w:type="paragraph" w:styleId="EnvelopeReturn">
    <w:name w:val="envelope return"/>
    <w:basedOn w:val="Normal"/>
    <w:semiHidden/>
    <w:rsid w:val="00C63303"/>
    <w:rPr>
      <w:rFonts w:eastAsiaTheme="majorEastAsia"/>
    </w:rPr>
  </w:style>
  <w:style w:type="character" w:styleId="FollowedHyperlink">
    <w:name w:val="FollowedHyperlink"/>
    <w:basedOn w:val="DefaultParagraphFont"/>
    <w:semiHidden/>
    <w:rsid w:val="00C63303"/>
    <w:rPr>
      <w:rFonts w:asciiTheme="minorHAnsi" w:hAnsiTheme="minorHAnsi" w:cstheme="minorHAnsi"/>
      <w:color w:val="998542" w:themeColor="followedHyperlink"/>
      <w:u w:val="single"/>
    </w:rPr>
  </w:style>
  <w:style w:type="character" w:styleId="FootnoteReference">
    <w:name w:val="footnote reference"/>
    <w:basedOn w:val="DefaultParagraphFont"/>
    <w:uiPriority w:val="99"/>
    <w:rsid w:val="00C63303"/>
    <w:rPr>
      <w:rFonts w:asciiTheme="minorHAnsi" w:hAnsiTheme="minorHAnsi" w:cstheme="minorHAnsi"/>
      <w:vertAlign w:val="superscript"/>
    </w:rPr>
  </w:style>
  <w:style w:type="character" w:styleId="HTMLAcronym">
    <w:name w:val="HTML Acronym"/>
    <w:basedOn w:val="DefaultParagraphFont"/>
    <w:semiHidden/>
    <w:rsid w:val="00C63303"/>
    <w:rPr>
      <w:rFonts w:asciiTheme="minorHAnsi" w:hAnsiTheme="minorHAnsi" w:cstheme="minorHAnsi"/>
    </w:rPr>
  </w:style>
  <w:style w:type="paragraph" w:styleId="HTMLAddress">
    <w:name w:val="HTML Address"/>
    <w:basedOn w:val="Normal"/>
    <w:link w:val="HTMLAddressChar"/>
    <w:semiHidden/>
    <w:rsid w:val="00C63303"/>
    <w:rPr>
      <w:i/>
      <w:iCs/>
    </w:rPr>
  </w:style>
  <w:style w:type="character" w:customStyle="1" w:styleId="HTMLAddressChar">
    <w:name w:val="HTML Address Char"/>
    <w:basedOn w:val="DefaultParagraphFont"/>
    <w:link w:val="HTMLAddress"/>
    <w:semiHidden/>
    <w:rsid w:val="00D20874"/>
    <w:rPr>
      <w:rFonts w:ascii="Calibri" w:eastAsia="MS Mincho" w:hAnsi="Calibri"/>
      <w:i/>
      <w:iCs/>
      <w:snapToGrid w:val="0"/>
      <w:color w:val="000000" w:themeColor="text2"/>
      <w:lang w:val="en-AU" w:eastAsia="ja-JP"/>
    </w:rPr>
  </w:style>
  <w:style w:type="character" w:styleId="HTMLCite">
    <w:name w:val="HTML Cite"/>
    <w:basedOn w:val="DefaultParagraphFont"/>
    <w:semiHidden/>
    <w:rsid w:val="00C63303"/>
    <w:rPr>
      <w:rFonts w:asciiTheme="minorHAnsi" w:hAnsiTheme="minorHAnsi" w:cstheme="minorHAnsi"/>
      <w:i/>
      <w:iCs/>
    </w:rPr>
  </w:style>
  <w:style w:type="character" w:styleId="HTMLCode">
    <w:name w:val="HTML Code"/>
    <w:basedOn w:val="DefaultParagraphFont"/>
    <w:semiHidden/>
    <w:rsid w:val="00C63303"/>
    <w:rPr>
      <w:rFonts w:ascii="Consolas" w:hAnsi="Consolas" w:cs="Consolas"/>
      <w:sz w:val="20"/>
      <w:szCs w:val="20"/>
    </w:rPr>
  </w:style>
  <w:style w:type="character" w:styleId="HTMLDefinition">
    <w:name w:val="HTML Definition"/>
    <w:basedOn w:val="DefaultParagraphFont"/>
    <w:semiHidden/>
    <w:rsid w:val="00C63303"/>
    <w:rPr>
      <w:rFonts w:asciiTheme="minorHAnsi" w:hAnsiTheme="minorHAnsi" w:cstheme="minorHAnsi"/>
      <w:i/>
      <w:iCs/>
    </w:rPr>
  </w:style>
  <w:style w:type="character" w:styleId="HTMLKeyboard">
    <w:name w:val="HTML Keyboard"/>
    <w:basedOn w:val="DefaultParagraphFont"/>
    <w:semiHidden/>
    <w:rsid w:val="00C63303"/>
    <w:rPr>
      <w:rFonts w:ascii="Consolas" w:hAnsi="Consolas" w:cs="Consolas"/>
      <w:sz w:val="20"/>
      <w:szCs w:val="20"/>
    </w:rPr>
  </w:style>
  <w:style w:type="paragraph" w:styleId="HTMLPreformatted">
    <w:name w:val="HTML Preformatted"/>
    <w:basedOn w:val="Normal"/>
    <w:link w:val="HTMLPreformattedChar"/>
    <w:semiHidden/>
    <w:rsid w:val="00C63303"/>
  </w:style>
  <w:style w:type="character" w:customStyle="1" w:styleId="HTMLPreformattedChar">
    <w:name w:val="HTML Preformatted Char"/>
    <w:basedOn w:val="DefaultParagraphFont"/>
    <w:link w:val="HTMLPreformatted"/>
    <w:semiHidden/>
    <w:rsid w:val="00D20874"/>
    <w:rPr>
      <w:rFonts w:ascii="Calibri" w:eastAsia="MS Mincho" w:hAnsi="Calibri"/>
      <w:snapToGrid w:val="0"/>
      <w:color w:val="000000" w:themeColor="text2"/>
      <w:lang w:val="en-AU" w:eastAsia="ja-JP"/>
    </w:rPr>
  </w:style>
  <w:style w:type="character" w:styleId="HTMLSample">
    <w:name w:val="HTML Sample"/>
    <w:basedOn w:val="DefaultParagraphFont"/>
    <w:semiHidden/>
    <w:rsid w:val="00C63303"/>
    <w:rPr>
      <w:rFonts w:ascii="Consolas" w:hAnsi="Consolas" w:cs="Consolas"/>
      <w:sz w:val="24"/>
      <w:szCs w:val="24"/>
    </w:rPr>
  </w:style>
  <w:style w:type="character" w:styleId="HTMLTypewriter">
    <w:name w:val="HTML Typewriter"/>
    <w:basedOn w:val="DefaultParagraphFont"/>
    <w:semiHidden/>
    <w:rsid w:val="00C63303"/>
    <w:rPr>
      <w:rFonts w:ascii="Consolas" w:hAnsi="Consolas" w:cs="Consolas"/>
      <w:sz w:val="20"/>
      <w:szCs w:val="20"/>
    </w:rPr>
  </w:style>
  <w:style w:type="character" w:styleId="HTMLVariable">
    <w:name w:val="HTML Variable"/>
    <w:basedOn w:val="DefaultParagraphFont"/>
    <w:semiHidden/>
    <w:rsid w:val="00C63303"/>
    <w:rPr>
      <w:rFonts w:asciiTheme="minorHAnsi" w:hAnsiTheme="minorHAnsi" w:cstheme="minorHAnsi"/>
      <w:i/>
      <w:iCs/>
    </w:rPr>
  </w:style>
  <w:style w:type="character" w:styleId="Hyperlink">
    <w:name w:val="Hyperlink"/>
    <w:basedOn w:val="DefaultParagraphFont"/>
    <w:uiPriority w:val="99"/>
    <w:rsid w:val="007C5A97"/>
    <w:rPr>
      <w:rFonts w:ascii="Arial" w:hAnsi="Arial" w:cstheme="minorHAnsi"/>
      <w:color w:val="002D62" w:themeColor="accent1"/>
      <w:sz w:val="20"/>
      <w:u w:val="single"/>
    </w:rPr>
  </w:style>
  <w:style w:type="paragraph" w:styleId="Index1">
    <w:name w:val="index 1"/>
    <w:basedOn w:val="Normal"/>
    <w:next w:val="Normal"/>
    <w:autoRedefine/>
    <w:semiHidden/>
    <w:rsid w:val="00C63303"/>
    <w:pPr>
      <w:ind w:left="200" w:hanging="200"/>
    </w:pPr>
  </w:style>
  <w:style w:type="paragraph" w:styleId="Index2">
    <w:name w:val="index 2"/>
    <w:basedOn w:val="Normal"/>
    <w:next w:val="Normal"/>
    <w:autoRedefine/>
    <w:semiHidden/>
    <w:rsid w:val="00C63303"/>
    <w:pPr>
      <w:ind w:left="400" w:hanging="200"/>
    </w:pPr>
  </w:style>
  <w:style w:type="paragraph" w:styleId="Index3">
    <w:name w:val="index 3"/>
    <w:basedOn w:val="Normal"/>
    <w:next w:val="Normal"/>
    <w:autoRedefine/>
    <w:semiHidden/>
    <w:rsid w:val="00C63303"/>
    <w:pPr>
      <w:ind w:left="600" w:hanging="200"/>
    </w:pPr>
  </w:style>
  <w:style w:type="paragraph" w:styleId="Index4">
    <w:name w:val="index 4"/>
    <w:basedOn w:val="Normal"/>
    <w:next w:val="Normal"/>
    <w:autoRedefine/>
    <w:semiHidden/>
    <w:rsid w:val="00C63303"/>
    <w:pPr>
      <w:ind w:left="800" w:hanging="200"/>
    </w:pPr>
  </w:style>
  <w:style w:type="paragraph" w:styleId="Index5">
    <w:name w:val="index 5"/>
    <w:basedOn w:val="Normal"/>
    <w:next w:val="Normal"/>
    <w:autoRedefine/>
    <w:semiHidden/>
    <w:rsid w:val="00C63303"/>
    <w:pPr>
      <w:ind w:left="1000" w:hanging="200"/>
    </w:pPr>
  </w:style>
  <w:style w:type="paragraph" w:styleId="Index6">
    <w:name w:val="index 6"/>
    <w:basedOn w:val="Normal"/>
    <w:next w:val="Normal"/>
    <w:autoRedefine/>
    <w:semiHidden/>
    <w:rsid w:val="00C63303"/>
    <w:pPr>
      <w:ind w:left="1200" w:hanging="200"/>
    </w:pPr>
  </w:style>
  <w:style w:type="paragraph" w:styleId="Index7">
    <w:name w:val="index 7"/>
    <w:basedOn w:val="Normal"/>
    <w:next w:val="Normal"/>
    <w:autoRedefine/>
    <w:semiHidden/>
    <w:rsid w:val="00C63303"/>
    <w:pPr>
      <w:ind w:left="1400" w:hanging="200"/>
    </w:pPr>
  </w:style>
  <w:style w:type="paragraph" w:styleId="Index8">
    <w:name w:val="index 8"/>
    <w:basedOn w:val="Normal"/>
    <w:next w:val="Normal"/>
    <w:autoRedefine/>
    <w:semiHidden/>
    <w:rsid w:val="00C63303"/>
    <w:pPr>
      <w:ind w:left="1600" w:hanging="200"/>
    </w:pPr>
  </w:style>
  <w:style w:type="paragraph" w:styleId="Index9">
    <w:name w:val="index 9"/>
    <w:basedOn w:val="Normal"/>
    <w:next w:val="Normal"/>
    <w:autoRedefine/>
    <w:semiHidden/>
    <w:rsid w:val="00C63303"/>
    <w:pPr>
      <w:ind w:left="1800" w:hanging="200"/>
    </w:pPr>
  </w:style>
  <w:style w:type="paragraph" w:styleId="IndexHeading">
    <w:name w:val="index heading"/>
    <w:basedOn w:val="Normal"/>
    <w:next w:val="Index1"/>
    <w:semiHidden/>
    <w:rsid w:val="00C63303"/>
    <w:rPr>
      <w:rFonts w:asciiTheme="majorHAnsi" w:eastAsiaTheme="majorEastAsia" w:hAnsiTheme="majorHAnsi" w:cstheme="majorHAnsi"/>
      <w:b/>
      <w:bCs/>
    </w:rPr>
  </w:style>
  <w:style w:type="character" w:styleId="IntenseEmphasis">
    <w:name w:val="Intense Emphasis"/>
    <w:basedOn w:val="DefaultParagraphFont"/>
    <w:semiHidden/>
    <w:rsid w:val="00C63303"/>
    <w:rPr>
      <w:rFonts w:asciiTheme="minorHAnsi" w:hAnsiTheme="minorHAnsi" w:cstheme="minorHAnsi"/>
      <w:b/>
      <w:bCs/>
      <w:i/>
      <w:iCs/>
      <w:color w:val="002D62" w:themeColor="accent1"/>
    </w:rPr>
  </w:style>
  <w:style w:type="paragraph" w:styleId="IntenseQuote">
    <w:name w:val="Intense Quote"/>
    <w:basedOn w:val="Normal"/>
    <w:next w:val="Normal"/>
    <w:link w:val="IntenseQuoteChar"/>
    <w:semiHidden/>
    <w:rsid w:val="00C63303"/>
    <w:pPr>
      <w:pBdr>
        <w:bottom w:val="single" w:sz="4" w:space="4" w:color="002D62" w:themeColor="accent1"/>
      </w:pBdr>
      <w:spacing w:before="200"/>
      <w:ind w:left="936" w:right="936"/>
    </w:pPr>
    <w:rPr>
      <w:b/>
      <w:bCs/>
      <w:i/>
      <w:iCs/>
      <w:color w:val="002D62" w:themeColor="accent1"/>
    </w:rPr>
  </w:style>
  <w:style w:type="character" w:customStyle="1" w:styleId="IntenseQuoteChar">
    <w:name w:val="Intense Quote Char"/>
    <w:basedOn w:val="DefaultParagraphFont"/>
    <w:link w:val="IntenseQuote"/>
    <w:semiHidden/>
    <w:rsid w:val="00D20874"/>
    <w:rPr>
      <w:rFonts w:ascii="Calibri" w:eastAsia="MS Mincho" w:hAnsi="Calibri"/>
      <w:b/>
      <w:bCs/>
      <w:i/>
      <w:iCs/>
      <w:snapToGrid w:val="0"/>
      <w:color w:val="002D62" w:themeColor="accent1"/>
      <w:lang w:val="en-AU" w:eastAsia="ja-JP"/>
    </w:rPr>
  </w:style>
  <w:style w:type="character" w:styleId="IntenseReference">
    <w:name w:val="Intense Reference"/>
    <w:basedOn w:val="DefaultParagraphFont"/>
    <w:semiHidden/>
    <w:rsid w:val="00C63303"/>
    <w:rPr>
      <w:rFonts w:asciiTheme="minorHAnsi" w:hAnsiTheme="minorHAnsi" w:cstheme="minorHAnsi"/>
      <w:b/>
      <w:bCs/>
      <w:smallCaps/>
      <w:color w:val="006FBA" w:themeColor="accent2"/>
      <w:spacing w:val="5"/>
      <w:u w:val="single"/>
    </w:rPr>
  </w:style>
  <w:style w:type="table" w:styleId="LightGrid">
    <w:name w:val="Light Grid"/>
    <w:basedOn w:val="TableNormal"/>
    <w:uiPriority w:val="98"/>
    <w:rsid w:val="00C633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C63303"/>
    <w:tblPr>
      <w:tblStyleRowBandSize w:val="1"/>
      <w:tblStyleColBandSize w:val="1"/>
      <w:tblBorders>
        <w:top w:val="single" w:sz="8" w:space="0" w:color="002D62" w:themeColor="accent1"/>
        <w:left w:val="single" w:sz="8" w:space="0" w:color="002D62" w:themeColor="accent1"/>
        <w:bottom w:val="single" w:sz="8" w:space="0" w:color="002D62" w:themeColor="accent1"/>
        <w:right w:val="single" w:sz="8" w:space="0" w:color="002D62" w:themeColor="accent1"/>
        <w:insideH w:val="single" w:sz="8" w:space="0" w:color="002D62" w:themeColor="accent1"/>
        <w:insideV w:val="single" w:sz="8" w:space="0" w:color="002D62"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2D62" w:themeColor="accent1"/>
          <w:left w:val="single" w:sz="8" w:space="0" w:color="002D62" w:themeColor="accent1"/>
          <w:bottom w:val="single" w:sz="18" w:space="0" w:color="002D62" w:themeColor="accent1"/>
          <w:right w:val="single" w:sz="8" w:space="0" w:color="002D62" w:themeColor="accent1"/>
          <w:insideH w:val="nil"/>
          <w:insideV w:val="single" w:sz="8" w:space="0" w:color="002D6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D62" w:themeColor="accent1"/>
          <w:left w:val="single" w:sz="8" w:space="0" w:color="002D62" w:themeColor="accent1"/>
          <w:bottom w:val="single" w:sz="8" w:space="0" w:color="002D62" w:themeColor="accent1"/>
          <w:right w:val="single" w:sz="8" w:space="0" w:color="002D62" w:themeColor="accent1"/>
          <w:insideH w:val="nil"/>
          <w:insideV w:val="single" w:sz="8" w:space="0" w:color="002D6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D62" w:themeColor="accent1"/>
          <w:left w:val="single" w:sz="8" w:space="0" w:color="002D62" w:themeColor="accent1"/>
          <w:bottom w:val="single" w:sz="8" w:space="0" w:color="002D62" w:themeColor="accent1"/>
          <w:right w:val="single" w:sz="8" w:space="0" w:color="002D62" w:themeColor="accent1"/>
        </w:tcBorders>
      </w:tcPr>
    </w:tblStylePr>
    <w:tblStylePr w:type="band1Vert">
      <w:tblPr/>
      <w:tcPr>
        <w:tcBorders>
          <w:top w:val="single" w:sz="8" w:space="0" w:color="002D62" w:themeColor="accent1"/>
          <w:left w:val="single" w:sz="8" w:space="0" w:color="002D62" w:themeColor="accent1"/>
          <w:bottom w:val="single" w:sz="8" w:space="0" w:color="002D62" w:themeColor="accent1"/>
          <w:right w:val="single" w:sz="8" w:space="0" w:color="002D62" w:themeColor="accent1"/>
        </w:tcBorders>
        <w:shd w:val="clear" w:color="auto" w:fill="99C7FF" w:themeFill="accent1" w:themeFillTint="3F"/>
      </w:tcPr>
    </w:tblStylePr>
    <w:tblStylePr w:type="band1Horz">
      <w:tblPr/>
      <w:tcPr>
        <w:tcBorders>
          <w:top w:val="single" w:sz="8" w:space="0" w:color="002D62" w:themeColor="accent1"/>
          <w:left w:val="single" w:sz="8" w:space="0" w:color="002D62" w:themeColor="accent1"/>
          <w:bottom w:val="single" w:sz="8" w:space="0" w:color="002D62" w:themeColor="accent1"/>
          <w:right w:val="single" w:sz="8" w:space="0" w:color="002D62" w:themeColor="accent1"/>
          <w:insideV w:val="single" w:sz="8" w:space="0" w:color="002D62" w:themeColor="accent1"/>
        </w:tcBorders>
        <w:shd w:val="clear" w:color="auto" w:fill="99C7FF" w:themeFill="accent1" w:themeFillTint="3F"/>
      </w:tcPr>
    </w:tblStylePr>
    <w:tblStylePr w:type="band2Horz">
      <w:tblPr/>
      <w:tcPr>
        <w:tcBorders>
          <w:top w:val="single" w:sz="8" w:space="0" w:color="002D62" w:themeColor="accent1"/>
          <w:left w:val="single" w:sz="8" w:space="0" w:color="002D62" w:themeColor="accent1"/>
          <w:bottom w:val="single" w:sz="8" w:space="0" w:color="002D62" w:themeColor="accent1"/>
          <w:right w:val="single" w:sz="8" w:space="0" w:color="002D62" w:themeColor="accent1"/>
          <w:insideV w:val="single" w:sz="8" w:space="0" w:color="002D62" w:themeColor="accent1"/>
        </w:tcBorders>
      </w:tcPr>
    </w:tblStylePr>
  </w:style>
  <w:style w:type="table" w:styleId="LightGrid-Accent2">
    <w:name w:val="Light Grid Accent 2"/>
    <w:basedOn w:val="TableNormal"/>
    <w:uiPriority w:val="98"/>
    <w:rsid w:val="00C63303"/>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6FBA" w:themeColor="accent2"/>
          <w:left w:val="single" w:sz="8" w:space="0" w:color="006FBA" w:themeColor="accent2"/>
          <w:bottom w:val="single" w:sz="18" w:space="0" w:color="006FBA" w:themeColor="accent2"/>
          <w:right w:val="single" w:sz="8" w:space="0" w:color="006FBA" w:themeColor="accent2"/>
          <w:insideH w:val="nil"/>
          <w:insideV w:val="single" w:sz="8" w:space="0" w:color="006F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insideH w:val="nil"/>
          <w:insideV w:val="single" w:sz="8" w:space="0" w:color="006F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shd w:val="clear" w:color="auto" w:fill="AEDEFF" w:themeFill="accent2" w:themeFillTint="3F"/>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shd w:val="clear" w:color="auto" w:fill="AEDEFF" w:themeFill="accent2" w:themeFillTint="3F"/>
      </w:tcPr>
    </w:tblStylePr>
    <w:tblStylePr w:type="band2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tcPr>
    </w:tblStylePr>
  </w:style>
  <w:style w:type="table" w:styleId="LightGrid-Accent3">
    <w:name w:val="Light Grid Accent 3"/>
    <w:basedOn w:val="TableNormal"/>
    <w:uiPriority w:val="98"/>
    <w:rsid w:val="00C63303"/>
    <w:tblPr>
      <w:tblStyleRowBandSize w:val="1"/>
      <w:tblStyleColBandSize w:val="1"/>
      <w:tblBorders>
        <w:top w:val="single" w:sz="8" w:space="0" w:color="58B6E7" w:themeColor="accent3"/>
        <w:left w:val="single" w:sz="8" w:space="0" w:color="58B6E7" w:themeColor="accent3"/>
        <w:bottom w:val="single" w:sz="8" w:space="0" w:color="58B6E7" w:themeColor="accent3"/>
        <w:right w:val="single" w:sz="8" w:space="0" w:color="58B6E7" w:themeColor="accent3"/>
        <w:insideH w:val="single" w:sz="8" w:space="0" w:color="58B6E7" w:themeColor="accent3"/>
        <w:insideV w:val="single" w:sz="8" w:space="0" w:color="58B6E7"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58B6E7" w:themeColor="accent3"/>
          <w:left w:val="single" w:sz="8" w:space="0" w:color="58B6E7" w:themeColor="accent3"/>
          <w:bottom w:val="single" w:sz="18" w:space="0" w:color="58B6E7" w:themeColor="accent3"/>
          <w:right w:val="single" w:sz="8" w:space="0" w:color="58B6E7" w:themeColor="accent3"/>
          <w:insideH w:val="nil"/>
          <w:insideV w:val="single" w:sz="8" w:space="0" w:color="58B6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E7" w:themeColor="accent3"/>
          <w:left w:val="single" w:sz="8" w:space="0" w:color="58B6E7" w:themeColor="accent3"/>
          <w:bottom w:val="single" w:sz="8" w:space="0" w:color="58B6E7" w:themeColor="accent3"/>
          <w:right w:val="single" w:sz="8" w:space="0" w:color="58B6E7" w:themeColor="accent3"/>
          <w:insideH w:val="nil"/>
          <w:insideV w:val="single" w:sz="8" w:space="0" w:color="58B6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E7" w:themeColor="accent3"/>
          <w:left w:val="single" w:sz="8" w:space="0" w:color="58B6E7" w:themeColor="accent3"/>
          <w:bottom w:val="single" w:sz="8" w:space="0" w:color="58B6E7" w:themeColor="accent3"/>
          <w:right w:val="single" w:sz="8" w:space="0" w:color="58B6E7" w:themeColor="accent3"/>
        </w:tcBorders>
      </w:tcPr>
    </w:tblStylePr>
    <w:tblStylePr w:type="band1Vert">
      <w:tblPr/>
      <w:tcPr>
        <w:tcBorders>
          <w:top w:val="single" w:sz="8" w:space="0" w:color="58B6E7" w:themeColor="accent3"/>
          <w:left w:val="single" w:sz="8" w:space="0" w:color="58B6E7" w:themeColor="accent3"/>
          <w:bottom w:val="single" w:sz="8" w:space="0" w:color="58B6E7" w:themeColor="accent3"/>
          <w:right w:val="single" w:sz="8" w:space="0" w:color="58B6E7" w:themeColor="accent3"/>
        </w:tcBorders>
        <w:shd w:val="clear" w:color="auto" w:fill="D5ECF9" w:themeFill="accent3" w:themeFillTint="3F"/>
      </w:tcPr>
    </w:tblStylePr>
    <w:tblStylePr w:type="band1Horz">
      <w:tblPr/>
      <w:tcPr>
        <w:tcBorders>
          <w:top w:val="single" w:sz="8" w:space="0" w:color="58B6E7" w:themeColor="accent3"/>
          <w:left w:val="single" w:sz="8" w:space="0" w:color="58B6E7" w:themeColor="accent3"/>
          <w:bottom w:val="single" w:sz="8" w:space="0" w:color="58B6E7" w:themeColor="accent3"/>
          <w:right w:val="single" w:sz="8" w:space="0" w:color="58B6E7" w:themeColor="accent3"/>
          <w:insideV w:val="single" w:sz="8" w:space="0" w:color="58B6E7" w:themeColor="accent3"/>
        </w:tcBorders>
        <w:shd w:val="clear" w:color="auto" w:fill="D5ECF9" w:themeFill="accent3" w:themeFillTint="3F"/>
      </w:tcPr>
    </w:tblStylePr>
    <w:tblStylePr w:type="band2Horz">
      <w:tblPr/>
      <w:tcPr>
        <w:tcBorders>
          <w:top w:val="single" w:sz="8" w:space="0" w:color="58B6E7" w:themeColor="accent3"/>
          <w:left w:val="single" w:sz="8" w:space="0" w:color="58B6E7" w:themeColor="accent3"/>
          <w:bottom w:val="single" w:sz="8" w:space="0" w:color="58B6E7" w:themeColor="accent3"/>
          <w:right w:val="single" w:sz="8" w:space="0" w:color="58B6E7" w:themeColor="accent3"/>
          <w:insideV w:val="single" w:sz="8" w:space="0" w:color="58B6E7" w:themeColor="accent3"/>
        </w:tcBorders>
      </w:tcPr>
    </w:tblStylePr>
  </w:style>
  <w:style w:type="table" w:styleId="LightGrid-Accent4">
    <w:name w:val="Light Grid Accent 4"/>
    <w:basedOn w:val="TableNormal"/>
    <w:uiPriority w:val="98"/>
    <w:rsid w:val="00C63303"/>
    <w:tblPr>
      <w:tblStyleRowBandSize w:val="1"/>
      <w:tblStyleColBandSize w:val="1"/>
      <w:tblBorders>
        <w:top w:val="single" w:sz="8" w:space="0" w:color="B9AA79" w:themeColor="accent4"/>
        <w:left w:val="single" w:sz="8" w:space="0" w:color="B9AA79" w:themeColor="accent4"/>
        <w:bottom w:val="single" w:sz="8" w:space="0" w:color="B9AA79" w:themeColor="accent4"/>
        <w:right w:val="single" w:sz="8" w:space="0" w:color="B9AA79" w:themeColor="accent4"/>
        <w:insideH w:val="single" w:sz="8" w:space="0" w:color="B9AA79" w:themeColor="accent4"/>
        <w:insideV w:val="single" w:sz="8" w:space="0" w:color="B9AA79"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B9AA79" w:themeColor="accent4"/>
          <w:left w:val="single" w:sz="8" w:space="0" w:color="B9AA79" w:themeColor="accent4"/>
          <w:bottom w:val="single" w:sz="18" w:space="0" w:color="B9AA79" w:themeColor="accent4"/>
          <w:right w:val="single" w:sz="8" w:space="0" w:color="B9AA79" w:themeColor="accent4"/>
          <w:insideH w:val="nil"/>
          <w:insideV w:val="single" w:sz="8" w:space="0" w:color="B9AA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AA79" w:themeColor="accent4"/>
          <w:left w:val="single" w:sz="8" w:space="0" w:color="B9AA79" w:themeColor="accent4"/>
          <w:bottom w:val="single" w:sz="8" w:space="0" w:color="B9AA79" w:themeColor="accent4"/>
          <w:right w:val="single" w:sz="8" w:space="0" w:color="B9AA79" w:themeColor="accent4"/>
          <w:insideH w:val="nil"/>
          <w:insideV w:val="single" w:sz="8" w:space="0" w:color="B9AA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AA79" w:themeColor="accent4"/>
          <w:left w:val="single" w:sz="8" w:space="0" w:color="B9AA79" w:themeColor="accent4"/>
          <w:bottom w:val="single" w:sz="8" w:space="0" w:color="B9AA79" w:themeColor="accent4"/>
          <w:right w:val="single" w:sz="8" w:space="0" w:color="B9AA79" w:themeColor="accent4"/>
        </w:tcBorders>
      </w:tcPr>
    </w:tblStylePr>
    <w:tblStylePr w:type="band1Vert">
      <w:tblPr/>
      <w:tcPr>
        <w:tcBorders>
          <w:top w:val="single" w:sz="8" w:space="0" w:color="B9AA79" w:themeColor="accent4"/>
          <w:left w:val="single" w:sz="8" w:space="0" w:color="B9AA79" w:themeColor="accent4"/>
          <w:bottom w:val="single" w:sz="8" w:space="0" w:color="B9AA79" w:themeColor="accent4"/>
          <w:right w:val="single" w:sz="8" w:space="0" w:color="B9AA79" w:themeColor="accent4"/>
        </w:tcBorders>
        <w:shd w:val="clear" w:color="auto" w:fill="EDE9DD" w:themeFill="accent4" w:themeFillTint="3F"/>
      </w:tcPr>
    </w:tblStylePr>
    <w:tblStylePr w:type="band1Horz">
      <w:tblPr/>
      <w:tcPr>
        <w:tcBorders>
          <w:top w:val="single" w:sz="8" w:space="0" w:color="B9AA79" w:themeColor="accent4"/>
          <w:left w:val="single" w:sz="8" w:space="0" w:color="B9AA79" w:themeColor="accent4"/>
          <w:bottom w:val="single" w:sz="8" w:space="0" w:color="B9AA79" w:themeColor="accent4"/>
          <w:right w:val="single" w:sz="8" w:space="0" w:color="B9AA79" w:themeColor="accent4"/>
          <w:insideV w:val="single" w:sz="8" w:space="0" w:color="B9AA79" w:themeColor="accent4"/>
        </w:tcBorders>
        <w:shd w:val="clear" w:color="auto" w:fill="EDE9DD" w:themeFill="accent4" w:themeFillTint="3F"/>
      </w:tcPr>
    </w:tblStylePr>
    <w:tblStylePr w:type="band2Horz">
      <w:tblPr/>
      <w:tcPr>
        <w:tcBorders>
          <w:top w:val="single" w:sz="8" w:space="0" w:color="B9AA79" w:themeColor="accent4"/>
          <w:left w:val="single" w:sz="8" w:space="0" w:color="B9AA79" w:themeColor="accent4"/>
          <w:bottom w:val="single" w:sz="8" w:space="0" w:color="B9AA79" w:themeColor="accent4"/>
          <w:right w:val="single" w:sz="8" w:space="0" w:color="B9AA79" w:themeColor="accent4"/>
          <w:insideV w:val="single" w:sz="8" w:space="0" w:color="B9AA79" w:themeColor="accent4"/>
        </w:tcBorders>
      </w:tcPr>
    </w:tblStylePr>
  </w:style>
  <w:style w:type="table" w:styleId="LightGrid-Accent5">
    <w:name w:val="Light Grid Accent 5"/>
    <w:basedOn w:val="TableNormal"/>
    <w:uiPriority w:val="98"/>
    <w:rsid w:val="00C63303"/>
    <w:tblPr>
      <w:tblStyleRowBandSize w:val="1"/>
      <w:tblStyleColBandSize w:val="1"/>
      <w:tblBorders>
        <w:top w:val="single" w:sz="8" w:space="0" w:color="B2B5AB" w:themeColor="accent5"/>
        <w:left w:val="single" w:sz="8" w:space="0" w:color="B2B5AB" w:themeColor="accent5"/>
        <w:bottom w:val="single" w:sz="8" w:space="0" w:color="B2B5AB" w:themeColor="accent5"/>
        <w:right w:val="single" w:sz="8" w:space="0" w:color="B2B5AB" w:themeColor="accent5"/>
        <w:insideH w:val="single" w:sz="8" w:space="0" w:color="B2B5AB" w:themeColor="accent5"/>
        <w:insideV w:val="single" w:sz="8" w:space="0" w:color="B2B5AB"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B2B5AB" w:themeColor="accent5"/>
          <w:left w:val="single" w:sz="8" w:space="0" w:color="B2B5AB" w:themeColor="accent5"/>
          <w:bottom w:val="single" w:sz="18" w:space="0" w:color="B2B5AB" w:themeColor="accent5"/>
          <w:right w:val="single" w:sz="8" w:space="0" w:color="B2B5AB" w:themeColor="accent5"/>
          <w:insideH w:val="nil"/>
          <w:insideV w:val="single" w:sz="8" w:space="0" w:color="B2B5A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5AB" w:themeColor="accent5"/>
          <w:left w:val="single" w:sz="8" w:space="0" w:color="B2B5AB" w:themeColor="accent5"/>
          <w:bottom w:val="single" w:sz="8" w:space="0" w:color="B2B5AB" w:themeColor="accent5"/>
          <w:right w:val="single" w:sz="8" w:space="0" w:color="B2B5AB" w:themeColor="accent5"/>
          <w:insideH w:val="nil"/>
          <w:insideV w:val="single" w:sz="8" w:space="0" w:color="B2B5A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5AB" w:themeColor="accent5"/>
          <w:left w:val="single" w:sz="8" w:space="0" w:color="B2B5AB" w:themeColor="accent5"/>
          <w:bottom w:val="single" w:sz="8" w:space="0" w:color="B2B5AB" w:themeColor="accent5"/>
          <w:right w:val="single" w:sz="8" w:space="0" w:color="B2B5AB" w:themeColor="accent5"/>
        </w:tcBorders>
      </w:tcPr>
    </w:tblStylePr>
    <w:tblStylePr w:type="band1Vert">
      <w:tblPr/>
      <w:tcPr>
        <w:tcBorders>
          <w:top w:val="single" w:sz="8" w:space="0" w:color="B2B5AB" w:themeColor="accent5"/>
          <w:left w:val="single" w:sz="8" w:space="0" w:color="B2B5AB" w:themeColor="accent5"/>
          <w:bottom w:val="single" w:sz="8" w:space="0" w:color="B2B5AB" w:themeColor="accent5"/>
          <w:right w:val="single" w:sz="8" w:space="0" w:color="B2B5AB" w:themeColor="accent5"/>
        </w:tcBorders>
        <w:shd w:val="clear" w:color="auto" w:fill="EBECEA" w:themeFill="accent5" w:themeFillTint="3F"/>
      </w:tcPr>
    </w:tblStylePr>
    <w:tblStylePr w:type="band1Horz">
      <w:tblPr/>
      <w:tcPr>
        <w:tcBorders>
          <w:top w:val="single" w:sz="8" w:space="0" w:color="B2B5AB" w:themeColor="accent5"/>
          <w:left w:val="single" w:sz="8" w:space="0" w:color="B2B5AB" w:themeColor="accent5"/>
          <w:bottom w:val="single" w:sz="8" w:space="0" w:color="B2B5AB" w:themeColor="accent5"/>
          <w:right w:val="single" w:sz="8" w:space="0" w:color="B2B5AB" w:themeColor="accent5"/>
          <w:insideV w:val="single" w:sz="8" w:space="0" w:color="B2B5AB" w:themeColor="accent5"/>
        </w:tcBorders>
        <w:shd w:val="clear" w:color="auto" w:fill="EBECEA" w:themeFill="accent5" w:themeFillTint="3F"/>
      </w:tcPr>
    </w:tblStylePr>
    <w:tblStylePr w:type="band2Horz">
      <w:tblPr/>
      <w:tcPr>
        <w:tcBorders>
          <w:top w:val="single" w:sz="8" w:space="0" w:color="B2B5AB" w:themeColor="accent5"/>
          <w:left w:val="single" w:sz="8" w:space="0" w:color="B2B5AB" w:themeColor="accent5"/>
          <w:bottom w:val="single" w:sz="8" w:space="0" w:color="B2B5AB" w:themeColor="accent5"/>
          <w:right w:val="single" w:sz="8" w:space="0" w:color="B2B5AB" w:themeColor="accent5"/>
          <w:insideV w:val="single" w:sz="8" w:space="0" w:color="B2B5AB" w:themeColor="accent5"/>
        </w:tcBorders>
      </w:tcPr>
    </w:tblStylePr>
  </w:style>
  <w:style w:type="table" w:styleId="LightGrid-Accent6">
    <w:name w:val="Light Grid Accent 6"/>
    <w:basedOn w:val="TableNormal"/>
    <w:uiPriority w:val="98"/>
    <w:rsid w:val="00C63303"/>
    <w:tblPr>
      <w:tblStyleRowBandSize w:val="1"/>
      <w:tblStyleColBandSize w:val="1"/>
      <w:tblBorders>
        <w:top w:val="single" w:sz="8" w:space="0" w:color="FAA41A" w:themeColor="accent6"/>
        <w:left w:val="single" w:sz="8" w:space="0" w:color="FAA41A" w:themeColor="accent6"/>
        <w:bottom w:val="single" w:sz="8" w:space="0" w:color="FAA41A" w:themeColor="accent6"/>
        <w:right w:val="single" w:sz="8" w:space="0" w:color="FAA41A" w:themeColor="accent6"/>
        <w:insideH w:val="single" w:sz="8" w:space="0" w:color="FAA41A" w:themeColor="accent6"/>
        <w:insideV w:val="single" w:sz="8" w:space="0" w:color="FAA41A"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FAA41A" w:themeColor="accent6"/>
          <w:left w:val="single" w:sz="8" w:space="0" w:color="FAA41A" w:themeColor="accent6"/>
          <w:bottom w:val="single" w:sz="18" w:space="0" w:color="FAA41A" w:themeColor="accent6"/>
          <w:right w:val="single" w:sz="8" w:space="0" w:color="FAA41A" w:themeColor="accent6"/>
          <w:insideH w:val="nil"/>
          <w:insideV w:val="single" w:sz="8" w:space="0" w:color="FAA41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A41A" w:themeColor="accent6"/>
          <w:left w:val="single" w:sz="8" w:space="0" w:color="FAA41A" w:themeColor="accent6"/>
          <w:bottom w:val="single" w:sz="8" w:space="0" w:color="FAA41A" w:themeColor="accent6"/>
          <w:right w:val="single" w:sz="8" w:space="0" w:color="FAA41A" w:themeColor="accent6"/>
          <w:insideH w:val="nil"/>
          <w:insideV w:val="single" w:sz="8" w:space="0" w:color="FAA41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A41A" w:themeColor="accent6"/>
          <w:left w:val="single" w:sz="8" w:space="0" w:color="FAA41A" w:themeColor="accent6"/>
          <w:bottom w:val="single" w:sz="8" w:space="0" w:color="FAA41A" w:themeColor="accent6"/>
          <w:right w:val="single" w:sz="8" w:space="0" w:color="FAA41A" w:themeColor="accent6"/>
        </w:tcBorders>
      </w:tcPr>
    </w:tblStylePr>
    <w:tblStylePr w:type="band1Vert">
      <w:tblPr/>
      <w:tcPr>
        <w:tcBorders>
          <w:top w:val="single" w:sz="8" w:space="0" w:color="FAA41A" w:themeColor="accent6"/>
          <w:left w:val="single" w:sz="8" w:space="0" w:color="FAA41A" w:themeColor="accent6"/>
          <w:bottom w:val="single" w:sz="8" w:space="0" w:color="FAA41A" w:themeColor="accent6"/>
          <w:right w:val="single" w:sz="8" w:space="0" w:color="FAA41A" w:themeColor="accent6"/>
        </w:tcBorders>
        <w:shd w:val="clear" w:color="auto" w:fill="FDE8C6" w:themeFill="accent6" w:themeFillTint="3F"/>
      </w:tcPr>
    </w:tblStylePr>
    <w:tblStylePr w:type="band1Horz">
      <w:tblPr/>
      <w:tcPr>
        <w:tcBorders>
          <w:top w:val="single" w:sz="8" w:space="0" w:color="FAA41A" w:themeColor="accent6"/>
          <w:left w:val="single" w:sz="8" w:space="0" w:color="FAA41A" w:themeColor="accent6"/>
          <w:bottom w:val="single" w:sz="8" w:space="0" w:color="FAA41A" w:themeColor="accent6"/>
          <w:right w:val="single" w:sz="8" w:space="0" w:color="FAA41A" w:themeColor="accent6"/>
          <w:insideV w:val="single" w:sz="8" w:space="0" w:color="FAA41A" w:themeColor="accent6"/>
        </w:tcBorders>
        <w:shd w:val="clear" w:color="auto" w:fill="FDE8C6" w:themeFill="accent6" w:themeFillTint="3F"/>
      </w:tcPr>
    </w:tblStylePr>
    <w:tblStylePr w:type="band2Horz">
      <w:tblPr/>
      <w:tcPr>
        <w:tcBorders>
          <w:top w:val="single" w:sz="8" w:space="0" w:color="FAA41A" w:themeColor="accent6"/>
          <w:left w:val="single" w:sz="8" w:space="0" w:color="FAA41A" w:themeColor="accent6"/>
          <w:bottom w:val="single" w:sz="8" w:space="0" w:color="FAA41A" w:themeColor="accent6"/>
          <w:right w:val="single" w:sz="8" w:space="0" w:color="FAA41A" w:themeColor="accent6"/>
          <w:insideV w:val="single" w:sz="8" w:space="0" w:color="FAA41A" w:themeColor="accent6"/>
        </w:tcBorders>
      </w:tcPr>
    </w:tblStylePr>
  </w:style>
  <w:style w:type="table" w:styleId="LightList">
    <w:name w:val="Light List"/>
    <w:basedOn w:val="TableNormal"/>
    <w:uiPriority w:val="98"/>
    <w:rsid w:val="00C633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C63303"/>
    <w:tblPr>
      <w:tblStyleRowBandSize w:val="1"/>
      <w:tblStyleColBandSize w:val="1"/>
      <w:tblBorders>
        <w:top w:val="single" w:sz="8" w:space="0" w:color="002D62" w:themeColor="accent1"/>
        <w:left w:val="single" w:sz="8" w:space="0" w:color="002D62" w:themeColor="accent1"/>
        <w:bottom w:val="single" w:sz="8" w:space="0" w:color="002D62" w:themeColor="accent1"/>
        <w:right w:val="single" w:sz="8" w:space="0" w:color="002D62"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2D62" w:themeFill="accent1"/>
      </w:tcPr>
    </w:tblStylePr>
    <w:tblStylePr w:type="lastRow">
      <w:pPr>
        <w:spacing w:before="0" w:after="0" w:line="240" w:lineRule="auto"/>
      </w:pPr>
      <w:rPr>
        <w:b/>
        <w:bCs/>
      </w:rPr>
      <w:tblPr/>
      <w:tcPr>
        <w:tcBorders>
          <w:top w:val="double" w:sz="6" w:space="0" w:color="002D62" w:themeColor="accent1"/>
          <w:left w:val="single" w:sz="8" w:space="0" w:color="002D62" w:themeColor="accent1"/>
          <w:bottom w:val="single" w:sz="8" w:space="0" w:color="002D62" w:themeColor="accent1"/>
          <w:right w:val="single" w:sz="8" w:space="0" w:color="002D62" w:themeColor="accent1"/>
        </w:tcBorders>
      </w:tcPr>
    </w:tblStylePr>
    <w:tblStylePr w:type="firstCol">
      <w:rPr>
        <w:b/>
        <w:bCs/>
      </w:rPr>
    </w:tblStylePr>
    <w:tblStylePr w:type="lastCol">
      <w:rPr>
        <w:b/>
        <w:bCs/>
      </w:rPr>
    </w:tblStylePr>
    <w:tblStylePr w:type="band1Vert">
      <w:tblPr/>
      <w:tcPr>
        <w:tcBorders>
          <w:top w:val="single" w:sz="8" w:space="0" w:color="002D62" w:themeColor="accent1"/>
          <w:left w:val="single" w:sz="8" w:space="0" w:color="002D62" w:themeColor="accent1"/>
          <w:bottom w:val="single" w:sz="8" w:space="0" w:color="002D62" w:themeColor="accent1"/>
          <w:right w:val="single" w:sz="8" w:space="0" w:color="002D62" w:themeColor="accent1"/>
        </w:tcBorders>
      </w:tcPr>
    </w:tblStylePr>
    <w:tblStylePr w:type="band1Horz">
      <w:tblPr/>
      <w:tcPr>
        <w:tcBorders>
          <w:top w:val="single" w:sz="8" w:space="0" w:color="002D62" w:themeColor="accent1"/>
          <w:left w:val="single" w:sz="8" w:space="0" w:color="002D62" w:themeColor="accent1"/>
          <w:bottom w:val="single" w:sz="8" w:space="0" w:color="002D62" w:themeColor="accent1"/>
          <w:right w:val="single" w:sz="8" w:space="0" w:color="002D62" w:themeColor="accent1"/>
        </w:tcBorders>
      </w:tcPr>
    </w:tblStylePr>
  </w:style>
  <w:style w:type="table" w:styleId="LightList-Accent2">
    <w:name w:val="Light List Accent 2"/>
    <w:basedOn w:val="TableNormal"/>
    <w:uiPriority w:val="98"/>
    <w:rsid w:val="00C63303"/>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6FBA" w:themeFill="accent2"/>
      </w:tcPr>
    </w:tblStylePr>
    <w:tblStylePr w:type="lastRow">
      <w:pPr>
        <w:spacing w:before="0" w:after="0" w:line="240" w:lineRule="auto"/>
      </w:pPr>
      <w:rPr>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tcBorders>
      </w:tcPr>
    </w:tblStylePr>
    <w:tblStylePr w:type="firstCol">
      <w:rPr>
        <w:b/>
        <w:bCs/>
      </w:rPr>
    </w:tblStylePr>
    <w:tblStylePr w:type="lastCol">
      <w:rPr>
        <w:b/>
        <w:bCs/>
      </w:r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style>
  <w:style w:type="table" w:styleId="LightList-Accent3">
    <w:name w:val="Light List Accent 3"/>
    <w:basedOn w:val="TableNormal"/>
    <w:uiPriority w:val="98"/>
    <w:rsid w:val="00C63303"/>
    <w:tblPr>
      <w:tblStyleRowBandSize w:val="1"/>
      <w:tblStyleColBandSize w:val="1"/>
      <w:tblBorders>
        <w:top w:val="single" w:sz="8" w:space="0" w:color="58B6E7" w:themeColor="accent3"/>
        <w:left w:val="single" w:sz="8" w:space="0" w:color="58B6E7" w:themeColor="accent3"/>
        <w:bottom w:val="single" w:sz="8" w:space="0" w:color="58B6E7" w:themeColor="accent3"/>
        <w:right w:val="single" w:sz="8" w:space="0" w:color="58B6E7"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58B6E7" w:themeFill="accent3"/>
      </w:tcPr>
    </w:tblStylePr>
    <w:tblStylePr w:type="lastRow">
      <w:pPr>
        <w:spacing w:before="0" w:after="0" w:line="240" w:lineRule="auto"/>
      </w:pPr>
      <w:rPr>
        <w:b/>
        <w:bCs/>
      </w:rPr>
      <w:tblPr/>
      <w:tcPr>
        <w:tcBorders>
          <w:top w:val="double" w:sz="6" w:space="0" w:color="58B6E7" w:themeColor="accent3"/>
          <w:left w:val="single" w:sz="8" w:space="0" w:color="58B6E7" w:themeColor="accent3"/>
          <w:bottom w:val="single" w:sz="8" w:space="0" w:color="58B6E7" w:themeColor="accent3"/>
          <w:right w:val="single" w:sz="8" w:space="0" w:color="58B6E7" w:themeColor="accent3"/>
        </w:tcBorders>
      </w:tcPr>
    </w:tblStylePr>
    <w:tblStylePr w:type="firstCol">
      <w:rPr>
        <w:b/>
        <w:bCs/>
      </w:rPr>
    </w:tblStylePr>
    <w:tblStylePr w:type="lastCol">
      <w:rPr>
        <w:b/>
        <w:bCs/>
      </w:rPr>
    </w:tblStylePr>
    <w:tblStylePr w:type="band1Vert">
      <w:tblPr/>
      <w:tcPr>
        <w:tcBorders>
          <w:top w:val="single" w:sz="8" w:space="0" w:color="58B6E7" w:themeColor="accent3"/>
          <w:left w:val="single" w:sz="8" w:space="0" w:color="58B6E7" w:themeColor="accent3"/>
          <w:bottom w:val="single" w:sz="8" w:space="0" w:color="58B6E7" w:themeColor="accent3"/>
          <w:right w:val="single" w:sz="8" w:space="0" w:color="58B6E7" w:themeColor="accent3"/>
        </w:tcBorders>
      </w:tcPr>
    </w:tblStylePr>
    <w:tblStylePr w:type="band1Horz">
      <w:tblPr/>
      <w:tcPr>
        <w:tcBorders>
          <w:top w:val="single" w:sz="8" w:space="0" w:color="58B6E7" w:themeColor="accent3"/>
          <w:left w:val="single" w:sz="8" w:space="0" w:color="58B6E7" w:themeColor="accent3"/>
          <w:bottom w:val="single" w:sz="8" w:space="0" w:color="58B6E7" w:themeColor="accent3"/>
          <w:right w:val="single" w:sz="8" w:space="0" w:color="58B6E7" w:themeColor="accent3"/>
        </w:tcBorders>
      </w:tcPr>
    </w:tblStylePr>
  </w:style>
  <w:style w:type="table" w:styleId="LightList-Accent4">
    <w:name w:val="Light List Accent 4"/>
    <w:basedOn w:val="TableNormal"/>
    <w:uiPriority w:val="98"/>
    <w:rsid w:val="00C63303"/>
    <w:tblPr>
      <w:tblStyleRowBandSize w:val="1"/>
      <w:tblStyleColBandSize w:val="1"/>
      <w:tblBorders>
        <w:top w:val="single" w:sz="8" w:space="0" w:color="B9AA79" w:themeColor="accent4"/>
        <w:left w:val="single" w:sz="8" w:space="0" w:color="B9AA79" w:themeColor="accent4"/>
        <w:bottom w:val="single" w:sz="8" w:space="0" w:color="B9AA79" w:themeColor="accent4"/>
        <w:right w:val="single" w:sz="8" w:space="0" w:color="B9AA79"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B9AA79" w:themeFill="accent4"/>
      </w:tcPr>
    </w:tblStylePr>
    <w:tblStylePr w:type="lastRow">
      <w:pPr>
        <w:spacing w:before="0" w:after="0" w:line="240" w:lineRule="auto"/>
      </w:pPr>
      <w:rPr>
        <w:b/>
        <w:bCs/>
      </w:rPr>
      <w:tblPr/>
      <w:tcPr>
        <w:tcBorders>
          <w:top w:val="double" w:sz="6" w:space="0" w:color="B9AA79" w:themeColor="accent4"/>
          <w:left w:val="single" w:sz="8" w:space="0" w:color="B9AA79" w:themeColor="accent4"/>
          <w:bottom w:val="single" w:sz="8" w:space="0" w:color="B9AA79" w:themeColor="accent4"/>
          <w:right w:val="single" w:sz="8" w:space="0" w:color="B9AA79" w:themeColor="accent4"/>
        </w:tcBorders>
      </w:tcPr>
    </w:tblStylePr>
    <w:tblStylePr w:type="firstCol">
      <w:rPr>
        <w:b/>
        <w:bCs/>
      </w:rPr>
    </w:tblStylePr>
    <w:tblStylePr w:type="lastCol">
      <w:rPr>
        <w:b/>
        <w:bCs/>
      </w:rPr>
    </w:tblStylePr>
    <w:tblStylePr w:type="band1Vert">
      <w:tblPr/>
      <w:tcPr>
        <w:tcBorders>
          <w:top w:val="single" w:sz="8" w:space="0" w:color="B9AA79" w:themeColor="accent4"/>
          <w:left w:val="single" w:sz="8" w:space="0" w:color="B9AA79" w:themeColor="accent4"/>
          <w:bottom w:val="single" w:sz="8" w:space="0" w:color="B9AA79" w:themeColor="accent4"/>
          <w:right w:val="single" w:sz="8" w:space="0" w:color="B9AA79" w:themeColor="accent4"/>
        </w:tcBorders>
      </w:tcPr>
    </w:tblStylePr>
    <w:tblStylePr w:type="band1Horz">
      <w:tblPr/>
      <w:tcPr>
        <w:tcBorders>
          <w:top w:val="single" w:sz="8" w:space="0" w:color="B9AA79" w:themeColor="accent4"/>
          <w:left w:val="single" w:sz="8" w:space="0" w:color="B9AA79" w:themeColor="accent4"/>
          <w:bottom w:val="single" w:sz="8" w:space="0" w:color="B9AA79" w:themeColor="accent4"/>
          <w:right w:val="single" w:sz="8" w:space="0" w:color="B9AA79" w:themeColor="accent4"/>
        </w:tcBorders>
      </w:tcPr>
    </w:tblStylePr>
  </w:style>
  <w:style w:type="table" w:styleId="LightList-Accent5">
    <w:name w:val="Light List Accent 5"/>
    <w:basedOn w:val="TableNormal"/>
    <w:uiPriority w:val="98"/>
    <w:rsid w:val="00C63303"/>
    <w:tblPr>
      <w:tblStyleRowBandSize w:val="1"/>
      <w:tblStyleColBandSize w:val="1"/>
      <w:tblBorders>
        <w:top w:val="single" w:sz="8" w:space="0" w:color="B2B5AB" w:themeColor="accent5"/>
        <w:left w:val="single" w:sz="8" w:space="0" w:color="B2B5AB" w:themeColor="accent5"/>
        <w:bottom w:val="single" w:sz="8" w:space="0" w:color="B2B5AB" w:themeColor="accent5"/>
        <w:right w:val="single" w:sz="8" w:space="0" w:color="B2B5AB"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B2B5AB" w:themeFill="accent5"/>
      </w:tcPr>
    </w:tblStylePr>
    <w:tblStylePr w:type="lastRow">
      <w:pPr>
        <w:spacing w:before="0" w:after="0" w:line="240" w:lineRule="auto"/>
      </w:pPr>
      <w:rPr>
        <w:b/>
        <w:bCs/>
      </w:rPr>
      <w:tblPr/>
      <w:tcPr>
        <w:tcBorders>
          <w:top w:val="double" w:sz="6" w:space="0" w:color="B2B5AB" w:themeColor="accent5"/>
          <w:left w:val="single" w:sz="8" w:space="0" w:color="B2B5AB" w:themeColor="accent5"/>
          <w:bottom w:val="single" w:sz="8" w:space="0" w:color="B2B5AB" w:themeColor="accent5"/>
          <w:right w:val="single" w:sz="8" w:space="0" w:color="B2B5AB" w:themeColor="accent5"/>
        </w:tcBorders>
      </w:tcPr>
    </w:tblStylePr>
    <w:tblStylePr w:type="firstCol">
      <w:rPr>
        <w:b/>
        <w:bCs/>
      </w:rPr>
    </w:tblStylePr>
    <w:tblStylePr w:type="lastCol">
      <w:rPr>
        <w:b/>
        <w:bCs/>
      </w:rPr>
    </w:tblStylePr>
    <w:tblStylePr w:type="band1Vert">
      <w:tblPr/>
      <w:tcPr>
        <w:tcBorders>
          <w:top w:val="single" w:sz="8" w:space="0" w:color="B2B5AB" w:themeColor="accent5"/>
          <w:left w:val="single" w:sz="8" w:space="0" w:color="B2B5AB" w:themeColor="accent5"/>
          <w:bottom w:val="single" w:sz="8" w:space="0" w:color="B2B5AB" w:themeColor="accent5"/>
          <w:right w:val="single" w:sz="8" w:space="0" w:color="B2B5AB" w:themeColor="accent5"/>
        </w:tcBorders>
      </w:tcPr>
    </w:tblStylePr>
    <w:tblStylePr w:type="band1Horz">
      <w:tblPr/>
      <w:tcPr>
        <w:tcBorders>
          <w:top w:val="single" w:sz="8" w:space="0" w:color="B2B5AB" w:themeColor="accent5"/>
          <w:left w:val="single" w:sz="8" w:space="0" w:color="B2B5AB" w:themeColor="accent5"/>
          <w:bottom w:val="single" w:sz="8" w:space="0" w:color="B2B5AB" w:themeColor="accent5"/>
          <w:right w:val="single" w:sz="8" w:space="0" w:color="B2B5AB" w:themeColor="accent5"/>
        </w:tcBorders>
      </w:tcPr>
    </w:tblStylePr>
  </w:style>
  <w:style w:type="table" w:styleId="LightList-Accent6">
    <w:name w:val="Light List Accent 6"/>
    <w:basedOn w:val="TableNormal"/>
    <w:uiPriority w:val="98"/>
    <w:rsid w:val="00C63303"/>
    <w:tblPr>
      <w:tblStyleRowBandSize w:val="1"/>
      <w:tblStyleColBandSize w:val="1"/>
      <w:tblBorders>
        <w:top w:val="single" w:sz="8" w:space="0" w:color="FAA41A" w:themeColor="accent6"/>
        <w:left w:val="single" w:sz="8" w:space="0" w:color="FAA41A" w:themeColor="accent6"/>
        <w:bottom w:val="single" w:sz="8" w:space="0" w:color="FAA41A" w:themeColor="accent6"/>
        <w:right w:val="single" w:sz="8" w:space="0" w:color="FAA41A"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AA41A" w:themeFill="accent6"/>
      </w:tcPr>
    </w:tblStylePr>
    <w:tblStylePr w:type="lastRow">
      <w:pPr>
        <w:spacing w:before="0" w:after="0" w:line="240" w:lineRule="auto"/>
      </w:pPr>
      <w:rPr>
        <w:b/>
        <w:bCs/>
      </w:rPr>
      <w:tblPr/>
      <w:tcPr>
        <w:tcBorders>
          <w:top w:val="double" w:sz="6" w:space="0" w:color="FAA41A" w:themeColor="accent6"/>
          <w:left w:val="single" w:sz="8" w:space="0" w:color="FAA41A" w:themeColor="accent6"/>
          <w:bottom w:val="single" w:sz="8" w:space="0" w:color="FAA41A" w:themeColor="accent6"/>
          <w:right w:val="single" w:sz="8" w:space="0" w:color="FAA41A" w:themeColor="accent6"/>
        </w:tcBorders>
      </w:tcPr>
    </w:tblStylePr>
    <w:tblStylePr w:type="firstCol">
      <w:rPr>
        <w:b/>
        <w:bCs/>
      </w:rPr>
    </w:tblStylePr>
    <w:tblStylePr w:type="lastCol">
      <w:rPr>
        <w:b/>
        <w:bCs/>
      </w:rPr>
    </w:tblStylePr>
    <w:tblStylePr w:type="band1Vert">
      <w:tblPr/>
      <w:tcPr>
        <w:tcBorders>
          <w:top w:val="single" w:sz="8" w:space="0" w:color="FAA41A" w:themeColor="accent6"/>
          <w:left w:val="single" w:sz="8" w:space="0" w:color="FAA41A" w:themeColor="accent6"/>
          <w:bottom w:val="single" w:sz="8" w:space="0" w:color="FAA41A" w:themeColor="accent6"/>
          <w:right w:val="single" w:sz="8" w:space="0" w:color="FAA41A" w:themeColor="accent6"/>
        </w:tcBorders>
      </w:tcPr>
    </w:tblStylePr>
    <w:tblStylePr w:type="band1Horz">
      <w:tblPr/>
      <w:tcPr>
        <w:tcBorders>
          <w:top w:val="single" w:sz="8" w:space="0" w:color="FAA41A" w:themeColor="accent6"/>
          <w:left w:val="single" w:sz="8" w:space="0" w:color="FAA41A" w:themeColor="accent6"/>
          <w:bottom w:val="single" w:sz="8" w:space="0" w:color="FAA41A" w:themeColor="accent6"/>
          <w:right w:val="single" w:sz="8" w:space="0" w:color="FAA41A" w:themeColor="accent6"/>
        </w:tcBorders>
      </w:tcPr>
    </w:tblStylePr>
  </w:style>
  <w:style w:type="table" w:styleId="LightShading">
    <w:name w:val="Light Shading"/>
    <w:basedOn w:val="TableNormal"/>
    <w:uiPriority w:val="98"/>
    <w:rsid w:val="00C6330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C63303"/>
    <w:rPr>
      <w:color w:val="002149" w:themeColor="accent1" w:themeShade="BF"/>
    </w:rPr>
    <w:tblPr>
      <w:tblStyleRowBandSize w:val="1"/>
      <w:tblStyleColBandSize w:val="1"/>
      <w:tblBorders>
        <w:top w:val="single" w:sz="8" w:space="0" w:color="002D62" w:themeColor="accent1"/>
        <w:bottom w:val="single" w:sz="8" w:space="0" w:color="002D62"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2D62" w:themeColor="accent1"/>
          <w:left w:val="nil"/>
          <w:bottom w:val="single" w:sz="8" w:space="0" w:color="002D62" w:themeColor="accent1"/>
          <w:right w:val="nil"/>
          <w:insideH w:val="nil"/>
          <w:insideV w:val="nil"/>
        </w:tcBorders>
      </w:tcPr>
    </w:tblStylePr>
    <w:tblStylePr w:type="lastRow">
      <w:pPr>
        <w:spacing w:before="0" w:after="0" w:line="240" w:lineRule="auto"/>
      </w:pPr>
      <w:rPr>
        <w:b/>
        <w:bCs/>
      </w:rPr>
      <w:tblPr/>
      <w:tcPr>
        <w:tcBorders>
          <w:top w:val="single" w:sz="8" w:space="0" w:color="002D62" w:themeColor="accent1"/>
          <w:left w:val="nil"/>
          <w:bottom w:val="single" w:sz="8" w:space="0" w:color="002D6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7FF" w:themeFill="accent1" w:themeFillTint="3F"/>
      </w:tcPr>
    </w:tblStylePr>
    <w:tblStylePr w:type="band1Horz">
      <w:tblPr/>
      <w:tcPr>
        <w:tcBorders>
          <w:left w:val="nil"/>
          <w:right w:val="nil"/>
          <w:insideH w:val="nil"/>
          <w:insideV w:val="nil"/>
        </w:tcBorders>
        <w:shd w:val="clear" w:color="auto" w:fill="99C7FF" w:themeFill="accent1" w:themeFillTint="3F"/>
      </w:tcPr>
    </w:tblStylePr>
  </w:style>
  <w:style w:type="table" w:styleId="LightShading-Accent2">
    <w:name w:val="Light Shading Accent 2"/>
    <w:basedOn w:val="TableNormal"/>
    <w:uiPriority w:val="98"/>
    <w:rsid w:val="00C63303"/>
    <w:rPr>
      <w:color w:val="00528B" w:themeColor="accent2" w:themeShade="BF"/>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6FBA" w:themeColor="accent2"/>
          <w:left w:val="nil"/>
          <w:bottom w:val="single" w:sz="8" w:space="0" w:color="006FBA" w:themeColor="accent2"/>
          <w:right w:val="nil"/>
          <w:insideH w:val="nil"/>
          <w:insideV w:val="nil"/>
        </w:tcBorders>
      </w:tcPr>
    </w:tblStylePr>
    <w:tblStylePr w:type="lastRow">
      <w:pPr>
        <w:spacing w:before="0" w:after="0" w:line="240" w:lineRule="auto"/>
      </w:pPr>
      <w:rPr>
        <w:b/>
        <w:bCs/>
      </w:rPr>
      <w:tblPr/>
      <w:tcPr>
        <w:tcBorders>
          <w:top w:val="single" w:sz="8" w:space="0" w:color="006FBA" w:themeColor="accent2"/>
          <w:left w:val="nil"/>
          <w:bottom w:val="single" w:sz="8" w:space="0" w:color="006F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left w:val="nil"/>
          <w:right w:val="nil"/>
          <w:insideH w:val="nil"/>
          <w:insideV w:val="nil"/>
        </w:tcBorders>
        <w:shd w:val="clear" w:color="auto" w:fill="AEDEFF" w:themeFill="accent2" w:themeFillTint="3F"/>
      </w:tcPr>
    </w:tblStylePr>
  </w:style>
  <w:style w:type="table" w:styleId="LightShading-Accent3">
    <w:name w:val="Light Shading Accent 3"/>
    <w:basedOn w:val="TableNormal"/>
    <w:uiPriority w:val="98"/>
    <w:rsid w:val="00C63303"/>
    <w:rPr>
      <w:color w:val="1E92D0" w:themeColor="accent3" w:themeShade="BF"/>
    </w:rPr>
    <w:tblPr>
      <w:tblStyleRowBandSize w:val="1"/>
      <w:tblStyleColBandSize w:val="1"/>
      <w:tblBorders>
        <w:top w:val="single" w:sz="8" w:space="0" w:color="58B6E7" w:themeColor="accent3"/>
        <w:bottom w:val="single" w:sz="8" w:space="0" w:color="58B6E7"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58B6E7" w:themeColor="accent3"/>
          <w:left w:val="nil"/>
          <w:bottom w:val="single" w:sz="8" w:space="0" w:color="58B6E7" w:themeColor="accent3"/>
          <w:right w:val="nil"/>
          <w:insideH w:val="nil"/>
          <w:insideV w:val="nil"/>
        </w:tcBorders>
      </w:tcPr>
    </w:tblStylePr>
    <w:tblStylePr w:type="lastRow">
      <w:pPr>
        <w:spacing w:before="0" w:after="0" w:line="240" w:lineRule="auto"/>
      </w:pPr>
      <w:rPr>
        <w:b/>
        <w:bCs/>
      </w:rPr>
      <w:tblPr/>
      <w:tcPr>
        <w:tcBorders>
          <w:top w:val="single" w:sz="8" w:space="0" w:color="58B6E7" w:themeColor="accent3"/>
          <w:left w:val="nil"/>
          <w:bottom w:val="single" w:sz="8" w:space="0" w:color="58B6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F9" w:themeFill="accent3" w:themeFillTint="3F"/>
      </w:tcPr>
    </w:tblStylePr>
    <w:tblStylePr w:type="band1Horz">
      <w:tblPr/>
      <w:tcPr>
        <w:tcBorders>
          <w:left w:val="nil"/>
          <w:right w:val="nil"/>
          <w:insideH w:val="nil"/>
          <w:insideV w:val="nil"/>
        </w:tcBorders>
        <w:shd w:val="clear" w:color="auto" w:fill="D5ECF9" w:themeFill="accent3" w:themeFillTint="3F"/>
      </w:tcPr>
    </w:tblStylePr>
  </w:style>
  <w:style w:type="table" w:styleId="LightShading-Accent4">
    <w:name w:val="Light Shading Accent 4"/>
    <w:basedOn w:val="TableNormal"/>
    <w:uiPriority w:val="98"/>
    <w:rsid w:val="00C63303"/>
    <w:rPr>
      <w:color w:val="96854E" w:themeColor="accent4" w:themeShade="BF"/>
    </w:rPr>
    <w:tblPr>
      <w:tblStyleRowBandSize w:val="1"/>
      <w:tblStyleColBandSize w:val="1"/>
      <w:tblBorders>
        <w:top w:val="single" w:sz="8" w:space="0" w:color="B9AA79" w:themeColor="accent4"/>
        <w:bottom w:val="single" w:sz="8" w:space="0" w:color="B9AA79"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B9AA79" w:themeColor="accent4"/>
          <w:left w:val="nil"/>
          <w:bottom w:val="single" w:sz="8" w:space="0" w:color="B9AA79" w:themeColor="accent4"/>
          <w:right w:val="nil"/>
          <w:insideH w:val="nil"/>
          <w:insideV w:val="nil"/>
        </w:tcBorders>
      </w:tcPr>
    </w:tblStylePr>
    <w:tblStylePr w:type="lastRow">
      <w:pPr>
        <w:spacing w:before="0" w:after="0" w:line="240" w:lineRule="auto"/>
      </w:pPr>
      <w:rPr>
        <w:b/>
        <w:bCs/>
      </w:rPr>
      <w:tblPr/>
      <w:tcPr>
        <w:tcBorders>
          <w:top w:val="single" w:sz="8" w:space="0" w:color="B9AA79" w:themeColor="accent4"/>
          <w:left w:val="nil"/>
          <w:bottom w:val="single" w:sz="8" w:space="0" w:color="B9AA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9DD" w:themeFill="accent4" w:themeFillTint="3F"/>
      </w:tcPr>
    </w:tblStylePr>
    <w:tblStylePr w:type="band1Horz">
      <w:tblPr/>
      <w:tcPr>
        <w:tcBorders>
          <w:left w:val="nil"/>
          <w:right w:val="nil"/>
          <w:insideH w:val="nil"/>
          <w:insideV w:val="nil"/>
        </w:tcBorders>
        <w:shd w:val="clear" w:color="auto" w:fill="EDE9DD" w:themeFill="accent4" w:themeFillTint="3F"/>
      </w:tcPr>
    </w:tblStylePr>
  </w:style>
  <w:style w:type="table" w:styleId="LightShading-Accent5">
    <w:name w:val="Light Shading Accent 5"/>
    <w:basedOn w:val="TableNormal"/>
    <w:uiPriority w:val="98"/>
    <w:rsid w:val="00C63303"/>
    <w:rPr>
      <w:color w:val="868B7B" w:themeColor="accent5" w:themeShade="BF"/>
    </w:rPr>
    <w:tblPr>
      <w:tblStyleRowBandSize w:val="1"/>
      <w:tblStyleColBandSize w:val="1"/>
      <w:tblBorders>
        <w:top w:val="single" w:sz="8" w:space="0" w:color="B2B5AB" w:themeColor="accent5"/>
        <w:bottom w:val="single" w:sz="8" w:space="0" w:color="B2B5AB"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B2B5AB" w:themeColor="accent5"/>
          <w:left w:val="nil"/>
          <w:bottom w:val="single" w:sz="8" w:space="0" w:color="B2B5AB" w:themeColor="accent5"/>
          <w:right w:val="nil"/>
          <w:insideH w:val="nil"/>
          <w:insideV w:val="nil"/>
        </w:tcBorders>
      </w:tcPr>
    </w:tblStylePr>
    <w:tblStylePr w:type="lastRow">
      <w:pPr>
        <w:spacing w:before="0" w:after="0" w:line="240" w:lineRule="auto"/>
      </w:pPr>
      <w:rPr>
        <w:b/>
        <w:bCs/>
      </w:rPr>
      <w:tblPr/>
      <w:tcPr>
        <w:tcBorders>
          <w:top w:val="single" w:sz="8" w:space="0" w:color="B2B5AB" w:themeColor="accent5"/>
          <w:left w:val="nil"/>
          <w:bottom w:val="single" w:sz="8" w:space="0" w:color="B2B5A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CEA" w:themeFill="accent5" w:themeFillTint="3F"/>
      </w:tcPr>
    </w:tblStylePr>
    <w:tblStylePr w:type="band1Horz">
      <w:tblPr/>
      <w:tcPr>
        <w:tcBorders>
          <w:left w:val="nil"/>
          <w:right w:val="nil"/>
          <w:insideH w:val="nil"/>
          <w:insideV w:val="nil"/>
        </w:tcBorders>
        <w:shd w:val="clear" w:color="auto" w:fill="EBECEA" w:themeFill="accent5" w:themeFillTint="3F"/>
      </w:tcPr>
    </w:tblStylePr>
  </w:style>
  <w:style w:type="table" w:styleId="LightShading-Accent6">
    <w:name w:val="Light Shading Accent 6"/>
    <w:basedOn w:val="TableNormal"/>
    <w:uiPriority w:val="98"/>
    <w:rsid w:val="00C63303"/>
    <w:rPr>
      <w:color w:val="CA7E04" w:themeColor="accent6" w:themeShade="BF"/>
    </w:rPr>
    <w:tblPr>
      <w:tblStyleRowBandSize w:val="1"/>
      <w:tblStyleColBandSize w:val="1"/>
      <w:tblBorders>
        <w:top w:val="single" w:sz="8" w:space="0" w:color="FAA41A" w:themeColor="accent6"/>
        <w:bottom w:val="single" w:sz="8" w:space="0" w:color="FAA41A"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FAA41A" w:themeColor="accent6"/>
          <w:left w:val="nil"/>
          <w:bottom w:val="single" w:sz="8" w:space="0" w:color="FAA41A" w:themeColor="accent6"/>
          <w:right w:val="nil"/>
          <w:insideH w:val="nil"/>
          <w:insideV w:val="nil"/>
        </w:tcBorders>
      </w:tcPr>
    </w:tblStylePr>
    <w:tblStylePr w:type="lastRow">
      <w:pPr>
        <w:spacing w:before="0" w:after="0" w:line="240" w:lineRule="auto"/>
      </w:pPr>
      <w:rPr>
        <w:b/>
        <w:bCs/>
      </w:rPr>
      <w:tblPr/>
      <w:tcPr>
        <w:tcBorders>
          <w:top w:val="single" w:sz="8" w:space="0" w:color="FAA41A" w:themeColor="accent6"/>
          <w:left w:val="nil"/>
          <w:bottom w:val="single" w:sz="8" w:space="0" w:color="FAA41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8C6" w:themeFill="accent6" w:themeFillTint="3F"/>
      </w:tcPr>
    </w:tblStylePr>
    <w:tblStylePr w:type="band1Horz">
      <w:tblPr/>
      <w:tcPr>
        <w:tcBorders>
          <w:left w:val="nil"/>
          <w:right w:val="nil"/>
          <w:insideH w:val="nil"/>
          <w:insideV w:val="nil"/>
        </w:tcBorders>
        <w:shd w:val="clear" w:color="auto" w:fill="FDE8C6" w:themeFill="accent6" w:themeFillTint="3F"/>
      </w:tcPr>
    </w:tblStylePr>
  </w:style>
  <w:style w:type="character" w:styleId="LineNumber">
    <w:name w:val="line number"/>
    <w:basedOn w:val="DefaultParagraphFont"/>
    <w:semiHidden/>
    <w:rsid w:val="00C63303"/>
    <w:rPr>
      <w:rFonts w:asciiTheme="minorHAnsi" w:hAnsiTheme="minorHAnsi" w:cstheme="minorHAnsi"/>
    </w:rPr>
  </w:style>
  <w:style w:type="paragraph" w:styleId="List">
    <w:name w:val="List"/>
    <w:basedOn w:val="Normal"/>
    <w:semiHidden/>
    <w:rsid w:val="00C63303"/>
    <w:pPr>
      <w:ind w:left="283" w:hanging="283"/>
      <w:contextualSpacing/>
    </w:pPr>
  </w:style>
  <w:style w:type="paragraph" w:styleId="List2">
    <w:name w:val="List 2"/>
    <w:basedOn w:val="Normal"/>
    <w:semiHidden/>
    <w:rsid w:val="00C63303"/>
    <w:pPr>
      <w:ind w:left="566" w:hanging="283"/>
      <w:contextualSpacing/>
    </w:pPr>
  </w:style>
  <w:style w:type="paragraph" w:styleId="List3">
    <w:name w:val="List 3"/>
    <w:basedOn w:val="Normal"/>
    <w:semiHidden/>
    <w:rsid w:val="00C63303"/>
    <w:pPr>
      <w:ind w:left="849" w:hanging="283"/>
      <w:contextualSpacing/>
    </w:pPr>
  </w:style>
  <w:style w:type="paragraph" w:styleId="List4">
    <w:name w:val="List 4"/>
    <w:basedOn w:val="Normal"/>
    <w:semiHidden/>
    <w:rsid w:val="00C63303"/>
    <w:pPr>
      <w:ind w:left="1132" w:hanging="283"/>
      <w:contextualSpacing/>
    </w:pPr>
  </w:style>
  <w:style w:type="numbering" w:customStyle="1" w:styleId="ListNumbers">
    <w:name w:val="ListNumbers"/>
    <w:uiPriority w:val="99"/>
    <w:rsid w:val="004F46BC"/>
    <w:pPr>
      <w:numPr>
        <w:numId w:val="9"/>
      </w:numPr>
    </w:pPr>
  </w:style>
  <w:style w:type="paragraph" w:styleId="ListBullet2">
    <w:name w:val="List Bullet 2"/>
    <w:basedOn w:val="Normal"/>
    <w:uiPriority w:val="3"/>
    <w:qFormat/>
    <w:rsid w:val="00746EFF"/>
    <w:pPr>
      <w:numPr>
        <w:ilvl w:val="1"/>
        <w:numId w:val="10"/>
      </w:numPr>
    </w:pPr>
  </w:style>
  <w:style w:type="paragraph" w:styleId="ListBullet4">
    <w:name w:val="List Bullet 4"/>
    <w:basedOn w:val="Normal"/>
    <w:semiHidden/>
    <w:rsid w:val="00C63303"/>
    <w:pPr>
      <w:numPr>
        <w:numId w:val="1"/>
      </w:numPr>
      <w:contextualSpacing/>
    </w:pPr>
  </w:style>
  <w:style w:type="paragraph" w:styleId="ListBullet5">
    <w:name w:val="List Bullet 5"/>
    <w:basedOn w:val="Normal"/>
    <w:semiHidden/>
    <w:rsid w:val="00C63303"/>
    <w:pPr>
      <w:numPr>
        <w:numId w:val="2"/>
      </w:numPr>
      <w:contextualSpacing/>
    </w:pPr>
  </w:style>
  <w:style w:type="paragraph" w:styleId="ListContinue">
    <w:name w:val="List Continue"/>
    <w:basedOn w:val="Normal"/>
    <w:semiHidden/>
    <w:rsid w:val="00C63303"/>
    <w:pPr>
      <w:ind w:left="283"/>
      <w:contextualSpacing/>
    </w:pPr>
  </w:style>
  <w:style w:type="paragraph" w:styleId="ListContinue2">
    <w:name w:val="List Continue 2"/>
    <w:basedOn w:val="Normal"/>
    <w:semiHidden/>
    <w:rsid w:val="00C63303"/>
    <w:pPr>
      <w:ind w:left="566"/>
      <w:contextualSpacing/>
    </w:pPr>
  </w:style>
  <w:style w:type="paragraph" w:styleId="ListContinue3">
    <w:name w:val="List Continue 3"/>
    <w:basedOn w:val="Normal"/>
    <w:semiHidden/>
    <w:rsid w:val="00C63303"/>
    <w:pPr>
      <w:ind w:left="849"/>
      <w:contextualSpacing/>
    </w:pPr>
  </w:style>
  <w:style w:type="paragraph" w:styleId="ListContinue4">
    <w:name w:val="List Continue 4"/>
    <w:basedOn w:val="Normal"/>
    <w:semiHidden/>
    <w:rsid w:val="00C63303"/>
    <w:pPr>
      <w:ind w:left="1132"/>
      <w:contextualSpacing/>
    </w:pPr>
  </w:style>
  <w:style w:type="paragraph" w:styleId="ListContinue5">
    <w:name w:val="List Continue 5"/>
    <w:basedOn w:val="Normal"/>
    <w:semiHidden/>
    <w:rsid w:val="00C63303"/>
    <w:pPr>
      <w:ind w:left="1415"/>
      <w:contextualSpacing/>
    </w:pPr>
  </w:style>
  <w:style w:type="paragraph" w:customStyle="1" w:styleId="Details">
    <w:name w:val="Details"/>
    <w:basedOn w:val="Normal"/>
    <w:qFormat/>
    <w:rsid w:val="00BC0965"/>
    <w:pPr>
      <w:spacing w:before="0" w:after="0"/>
      <w:jc w:val="center"/>
    </w:pPr>
    <w:rPr>
      <w:b/>
      <w:caps/>
    </w:rPr>
  </w:style>
  <w:style w:type="paragraph" w:styleId="ListNumber4">
    <w:name w:val="List Number 4"/>
    <w:basedOn w:val="Normal"/>
    <w:semiHidden/>
    <w:rsid w:val="00C63303"/>
    <w:pPr>
      <w:numPr>
        <w:numId w:val="3"/>
      </w:numPr>
      <w:contextualSpacing/>
    </w:pPr>
  </w:style>
  <w:style w:type="paragraph" w:styleId="ListNumber5">
    <w:name w:val="List Number 5"/>
    <w:basedOn w:val="Normal"/>
    <w:uiPriority w:val="3"/>
    <w:semiHidden/>
    <w:rsid w:val="00C63303"/>
    <w:pPr>
      <w:numPr>
        <w:numId w:val="4"/>
      </w:numPr>
      <w:contextualSpacing/>
    </w:pPr>
  </w:style>
  <w:style w:type="paragraph" w:styleId="MacroText">
    <w:name w:val="macro"/>
    <w:link w:val="MacroTextChar"/>
    <w:semiHidden/>
    <w:rsid w:val="00C63303"/>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theme="minorHAnsi"/>
      <w:kern w:val="20"/>
      <w:lang w:val="en-AU" w:eastAsia="zh-CN"/>
    </w:rPr>
  </w:style>
  <w:style w:type="character" w:customStyle="1" w:styleId="MacroTextChar">
    <w:name w:val="Macro Text Char"/>
    <w:basedOn w:val="DefaultParagraphFont"/>
    <w:link w:val="MacroText"/>
    <w:semiHidden/>
    <w:rsid w:val="00D20874"/>
    <w:rPr>
      <w:rFonts w:asciiTheme="minorHAnsi" w:hAnsiTheme="minorHAnsi" w:cstheme="minorHAnsi"/>
      <w:kern w:val="20"/>
      <w:lang w:val="en-AU" w:eastAsia="zh-CN"/>
    </w:rPr>
  </w:style>
  <w:style w:type="table" w:styleId="MediumGrid1">
    <w:name w:val="Medium Grid 1"/>
    <w:basedOn w:val="TableNormal"/>
    <w:uiPriority w:val="98"/>
    <w:rsid w:val="00C6330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C63303"/>
    <w:tblPr>
      <w:tblStyleRowBandSize w:val="1"/>
      <w:tblStyleColBandSize w:val="1"/>
      <w:tblBorders>
        <w:top w:val="single" w:sz="8" w:space="0" w:color="005CC9" w:themeColor="accent1" w:themeTint="BF"/>
        <w:left w:val="single" w:sz="8" w:space="0" w:color="005CC9" w:themeColor="accent1" w:themeTint="BF"/>
        <w:bottom w:val="single" w:sz="8" w:space="0" w:color="005CC9" w:themeColor="accent1" w:themeTint="BF"/>
        <w:right w:val="single" w:sz="8" w:space="0" w:color="005CC9" w:themeColor="accent1" w:themeTint="BF"/>
        <w:insideH w:val="single" w:sz="8" w:space="0" w:color="005CC9" w:themeColor="accent1" w:themeTint="BF"/>
        <w:insideV w:val="single" w:sz="8" w:space="0" w:color="005CC9" w:themeColor="accent1" w:themeTint="BF"/>
      </w:tblBorders>
    </w:tblPr>
    <w:tcPr>
      <w:shd w:val="clear" w:color="auto" w:fill="99C7FF"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05CC9" w:themeColor="accent1" w:themeTint="BF"/>
        </w:tcBorders>
      </w:tcPr>
    </w:tblStylePr>
    <w:tblStylePr w:type="firstCol">
      <w:rPr>
        <w:b/>
        <w:bCs/>
      </w:rPr>
    </w:tblStylePr>
    <w:tblStylePr w:type="lastCol">
      <w:rPr>
        <w:b/>
        <w:bCs/>
      </w:rPr>
    </w:tblStylePr>
    <w:tblStylePr w:type="band1Vert">
      <w:tblPr/>
      <w:tcPr>
        <w:shd w:val="clear" w:color="auto" w:fill="318FFF" w:themeFill="accent1" w:themeFillTint="7F"/>
      </w:tcPr>
    </w:tblStylePr>
    <w:tblStylePr w:type="band1Horz">
      <w:tblPr/>
      <w:tcPr>
        <w:shd w:val="clear" w:color="auto" w:fill="318FFF" w:themeFill="accent1" w:themeFillTint="7F"/>
      </w:tcPr>
    </w:tblStylePr>
  </w:style>
  <w:style w:type="table" w:styleId="MediumGrid1-Accent2">
    <w:name w:val="Medium Grid 1 Accent 2"/>
    <w:basedOn w:val="TableNormal"/>
    <w:uiPriority w:val="98"/>
    <w:rsid w:val="00C63303"/>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insideV w:val="single" w:sz="8" w:space="0" w:color="0C9CFF" w:themeColor="accent2" w:themeTint="BF"/>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C9CFF" w:themeColor="accent2" w:themeTint="BF"/>
        </w:tcBorders>
      </w:tcPr>
    </w:tblStylePr>
    <w:tblStylePr w:type="firstCol">
      <w:rPr>
        <w:b/>
        <w:bCs/>
      </w:rPr>
    </w:tblStylePr>
    <w:tblStylePr w:type="lastCol">
      <w:rPr>
        <w:b/>
        <w:bCs/>
      </w:r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MediumGrid1-Accent3">
    <w:name w:val="Medium Grid 1 Accent 3"/>
    <w:basedOn w:val="TableNormal"/>
    <w:uiPriority w:val="98"/>
    <w:rsid w:val="00C63303"/>
    <w:tblPr>
      <w:tblStyleRowBandSize w:val="1"/>
      <w:tblStyleColBandSize w:val="1"/>
      <w:tblBorders>
        <w:top w:val="single" w:sz="8" w:space="0" w:color="81C7ED" w:themeColor="accent3" w:themeTint="BF"/>
        <w:left w:val="single" w:sz="8" w:space="0" w:color="81C7ED" w:themeColor="accent3" w:themeTint="BF"/>
        <w:bottom w:val="single" w:sz="8" w:space="0" w:color="81C7ED" w:themeColor="accent3" w:themeTint="BF"/>
        <w:right w:val="single" w:sz="8" w:space="0" w:color="81C7ED" w:themeColor="accent3" w:themeTint="BF"/>
        <w:insideH w:val="single" w:sz="8" w:space="0" w:color="81C7ED" w:themeColor="accent3" w:themeTint="BF"/>
        <w:insideV w:val="single" w:sz="8" w:space="0" w:color="81C7ED" w:themeColor="accent3" w:themeTint="BF"/>
      </w:tblBorders>
    </w:tblPr>
    <w:tcPr>
      <w:shd w:val="clear" w:color="auto" w:fill="D5ECF9"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81C7ED" w:themeColor="accent3" w:themeTint="BF"/>
        </w:tcBorders>
      </w:tcPr>
    </w:tblStylePr>
    <w:tblStylePr w:type="firstCol">
      <w:rPr>
        <w:b/>
        <w:bCs/>
      </w:rPr>
    </w:tblStylePr>
    <w:tblStylePr w:type="lastCol">
      <w:rPr>
        <w:b/>
        <w:bCs/>
      </w:rPr>
    </w:tblStylePr>
    <w:tblStylePr w:type="band1Vert">
      <w:tblPr/>
      <w:tcPr>
        <w:shd w:val="clear" w:color="auto" w:fill="ABDAF3" w:themeFill="accent3" w:themeFillTint="7F"/>
      </w:tcPr>
    </w:tblStylePr>
    <w:tblStylePr w:type="band1Horz">
      <w:tblPr/>
      <w:tcPr>
        <w:shd w:val="clear" w:color="auto" w:fill="ABDAF3" w:themeFill="accent3" w:themeFillTint="7F"/>
      </w:tcPr>
    </w:tblStylePr>
  </w:style>
  <w:style w:type="table" w:styleId="MediumGrid1-Accent4">
    <w:name w:val="Medium Grid 1 Accent 4"/>
    <w:basedOn w:val="TableNormal"/>
    <w:uiPriority w:val="98"/>
    <w:rsid w:val="00C63303"/>
    <w:tblPr>
      <w:tblStyleRowBandSize w:val="1"/>
      <w:tblStyleColBandSize w:val="1"/>
      <w:tblBorders>
        <w:top w:val="single" w:sz="8" w:space="0" w:color="CABF9A" w:themeColor="accent4" w:themeTint="BF"/>
        <w:left w:val="single" w:sz="8" w:space="0" w:color="CABF9A" w:themeColor="accent4" w:themeTint="BF"/>
        <w:bottom w:val="single" w:sz="8" w:space="0" w:color="CABF9A" w:themeColor="accent4" w:themeTint="BF"/>
        <w:right w:val="single" w:sz="8" w:space="0" w:color="CABF9A" w:themeColor="accent4" w:themeTint="BF"/>
        <w:insideH w:val="single" w:sz="8" w:space="0" w:color="CABF9A" w:themeColor="accent4" w:themeTint="BF"/>
        <w:insideV w:val="single" w:sz="8" w:space="0" w:color="CABF9A" w:themeColor="accent4" w:themeTint="BF"/>
      </w:tblBorders>
    </w:tblPr>
    <w:tcPr>
      <w:shd w:val="clear" w:color="auto" w:fill="EDE9DD"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CABF9A" w:themeColor="accent4" w:themeTint="BF"/>
        </w:tcBorders>
      </w:tcPr>
    </w:tblStylePr>
    <w:tblStylePr w:type="firstCol">
      <w:rPr>
        <w:b/>
        <w:bCs/>
      </w:rPr>
    </w:tblStylePr>
    <w:tblStylePr w:type="lastCol">
      <w:rPr>
        <w:b/>
        <w:bCs/>
      </w:rPr>
    </w:tblStylePr>
    <w:tblStylePr w:type="band1Vert">
      <w:tblPr/>
      <w:tcPr>
        <w:shd w:val="clear" w:color="auto" w:fill="DCD4BC" w:themeFill="accent4" w:themeFillTint="7F"/>
      </w:tcPr>
    </w:tblStylePr>
    <w:tblStylePr w:type="band1Horz">
      <w:tblPr/>
      <w:tcPr>
        <w:shd w:val="clear" w:color="auto" w:fill="DCD4BC" w:themeFill="accent4" w:themeFillTint="7F"/>
      </w:tcPr>
    </w:tblStylePr>
  </w:style>
  <w:style w:type="table" w:styleId="MediumGrid1-Accent5">
    <w:name w:val="Medium Grid 1 Accent 5"/>
    <w:basedOn w:val="TableNormal"/>
    <w:uiPriority w:val="98"/>
    <w:rsid w:val="00C63303"/>
    <w:tblPr>
      <w:tblStyleRowBandSize w:val="1"/>
      <w:tblStyleColBandSize w:val="1"/>
      <w:tblBorders>
        <w:top w:val="single" w:sz="8" w:space="0" w:color="C5C7BF" w:themeColor="accent5" w:themeTint="BF"/>
        <w:left w:val="single" w:sz="8" w:space="0" w:color="C5C7BF" w:themeColor="accent5" w:themeTint="BF"/>
        <w:bottom w:val="single" w:sz="8" w:space="0" w:color="C5C7BF" w:themeColor="accent5" w:themeTint="BF"/>
        <w:right w:val="single" w:sz="8" w:space="0" w:color="C5C7BF" w:themeColor="accent5" w:themeTint="BF"/>
        <w:insideH w:val="single" w:sz="8" w:space="0" w:color="C5C7BF" w:themeColor="accent5" w:themeTint="BF"/>
        <w:insideV w:val="single" w:sz="8" w:space="0" w:color="C5C7BF" w:themeColor="accent5" w:themeTint="BF"/>
      </w:tblBorders>
    </w:tblPr>
    <w:tcPr>
      <w:shd w:val="clear" w:color="auto" w:fill="EBECEA"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C5C7BF" w:themeColor="accent5" w:themeTint="BF"/>
        </w:tcBorders>
      </w:tcPr>
    </w:tblStylePr>
    <w:tblStylePr w:type="firstCol">
      <w:rPr>
        <w:b/>
        <w:bCs/>
      </w:rPr>
    </w:tblStylePr>
    <w:tblStylePr w:type="lastCol">
      <w:rPr>
        <w:b/>
        <w:bCs/>
      </w:rPr>
    </w:tblStylePr>
    <w:tblStylePr w:type="band1Vert">
      <w:tblPr/>
      <w:tcPr>
        <w:shd w:val="clear" w:color="auto" w:fill="D8DAD5" w:themeFill="accent5" w:themeFillTint="7F"/>
      </w:tcPr>
    </w:tblStylePr>
    <w:tblStylePr w:type="band1Horz">
      <w:tblPr/>
      <w:tcPr>
        <w:shd w:val="clear" w:color="auto" w:fill="D8DAD5" w:themeFill="accent5" w:themeFillTint="7F"/>
      </w:tcPr>
    </w:tblStylePr>
  </w:style>
  <w:style w:type="table" w:styleId="MediumGrid1-Accent6">
    <w:name w:val="Medium Grid 1 Accent 6"/>
    <w:basedOn w:val="TableNormal"/>
    <w:uiPriority w:val="98"/>
    <w:rsid w:val="00C63303"/>
    <w:tblPr>
      <w:tblStyleRowBandSize w:val="1"/>
      <w:tblStyleColBandSize w:val="1"/>
      <w:tblBorders>
        <w:top w:val="single" w:sz="8" w:space="0" w:color="FBBA53" w:themeColor="accent6" w:themeTint="BF"/>
        <w:left w:val="single" w:sz="8" w:space="0" w:color="FBBA53" w:themeColor="accent6" w:themeTint="BF"/>
        <w:bottom w:val="single" w:sz="8" w:space="0" w:color="FBBA53" w:themeColor="accent6" w:themeTint="BF"/>
        <w:right w:val="single" w:sz="8" w:space="0" w:color="FBBA53" w:themeColor="accent6" w:themeTint="BF"/>
        <w:insideH w:val="single" w:sz="8" w:space="0" w:color="FBBA53" w:themeColor="accent6" w:themeTint="BF"/>
        <w:insideV w:val="single" w:sz="8" w:space="0" w:color="FBBA53" w:themeColor="accent6" w:themeTint="BF"/>
      </w:tblBorders>
    </w:tblPr>
    <w:tcPr>
      <w:shd w:val="clear" w:color="auto" w:fill="FDE8C6"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FBBA53" w:themeColor="accent6" w:themeTint="BF"/>
        </w:tcBorders>
      </w:tcPr>
    </w:tblStylePr>
    <w:tblStylePr w:type="firstCol">
      <w:rPr>
        <w:b/>
        <w:bCs/>
      </w:rPr>
    </w:tblStylePr>
    <w:tblStylePr w:type="lastCol">
      <w:rPr>
        <w:b/>
        <w:bCs/>
      </w:rPr>
    </w:tblStylePr>
    <w:tblStylePr w:type="band1Vert">
      <w:tblPr/>
      <w:tcPr>
        <w:shd w:val="clear" w:color="auto" w:fill="FCD18C" w:themeFill="accent6" w:themeFillTint="7F"/>
      </w:tcPr>
    </w:tblStylePr>
    <w:tblStylePr w:type="band1Horz">
      <w:tblPr/>
      <w:tcPr>
        <w:shd w:val="clear" w:color="auto" w:fill="FCD18C" w:themeFill="accent6" w:themeFillTint="7F"/>
      </w:tcPr>
    </w:tblStylePr>
  </w:style>
  <w:style w:type="table" w:styleId="MediumGrid2">
    <w:name w:val="Medium Grid 2"/>
    <w:basedOn w:val="TableNormal"/>
    <w:uiPriority w:val="98"/>
    <w:rsid w:val="00C63303"/>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C63303"/>
    <w:rPr>
      <w:rFonts w:eastAsiaTheme="majorEastAsia"/>
      <w:color w:val="000000" w:themeColor="text1"/>
    </w:rPr>
    <w:tblPr>
      <w:tblStyleRowBandSize w:val="1"/>
      <w:tblStyleColBandSize w:val="1"/>
      <w:tblBorders>
        <w:top w:val="single" w:sz="8" w:space="0" w:color="002D62" w:themeColor="accent1"/>
        <w:left w:val="single" w:sz="8" w:space="0" w:color="002D62" w:themeColor="accent1"/>
        <w:bottom w:val="single" w:sz="8" w:space="0" w:color="002D62" w:themeColor="accent1"/>
        <w:right w:val="single" w:sz="8" w:space="0" w:color="002D62" w:themeColor="accent1"/>
        <w:insideH w:val="single" w:sz="8" w:space="0" w:color="002D62" w:themeColor="accent1"/>
        <w:insideV w:val="single" w:sz="8" w:space="0" w:color="002D62" w:themeColor="accent1"/>
      </w:tblBorders>
    </w:tblPr>
    <w:tcPr>
      <w:shd w:val="clear" w:color="auto" w:fill="99C7FF"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18FFF" w:themeFill="accent1" w:themeFillTint="7F"/>
      </w:tcPr>
    </w:tblStylePr>
    <w:tblStylePr w:type="band1Horz">
      <w:tblPr/>
      <w:tcPr>
        <w:tcBorders>
          <w:insideH w:val="single" w:sz="6" w:space="0" w:color="002D62" w:themeColor="accent1"/>
          <w:insideV w:val="single" w:sz="6" w:space="0" w:color="002D62" w:themeColor="accent1"/>
        </w:tcBorders>
        <w:shd w:val="clear" w:color="auto" w:fill="31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C63303"/>
    <w:rPr>
      <w:rFonts w:eastAsiaTheme="majorEastAsia"/>
      <w:color w:val="000000" w:themeColor="text1"/>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F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4FF" w:themeFill="accent2" w:themeFillTint="33"/>
      </w:tcPr>
    </w:tblStylePr>
    <w:tblStylePr w:type="band1Vert">
      <w:tblPr/>
      <w:tcPr>
        <w:shd w:val="clear" w:color="auto" w:fill="5DBDFF" w:themeFill="accent2" w:themeFillTint="7F"/>
      </w:tcPr>
    </w:tblStylePr>
    <w:tblStylePr w:type="band1Horz">
      <w:tblPr/>
      <w:tcPr>
        <w:tcBorders>
          <w:insideH w:val="single" w:sz="6" w:space="0" w:color="006FBA" w:themeColor="accent2"/>
          <w:insideV w:val="single" w:sz="6" w:space="0" w:color="006FBA" w:themeColor="accent2"/>
        </w:tcBorders>
        <w:shd w:val="clear" w:color="auto" w:fill="5DB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C63303"/>
    <w:rPr>
      <w:rFonts w:eastAsiaTheme="majorEastAsia"/>
      <w:color w:val="000000" w:themeColor="text1"/>
    </w:rPr>
    <w:tblPr>
      <w:tblStyleRowBandSize w:val="1"/>
      <w:tblStyleColBandSize w:val="1"/>
      <w:tblBorders>
        <w:top w:val="single" w:sz="8" w:space="0" w:color="58B6E7" w:themeColor="accent3"/>
        <w:left w:val="single" w:sz="8" w:space="0" w:color="58B6E7" w:themeColor="accent3"/>
        <w:bottom w:val="single" w:sz="8" w:space="0" w:color="58B6E7" w:themeColor="accent3"/>
        <w:right w:val="single" w:sz="8" w:space="0" w:color="58B6E7" w:themeColor="accent3"/>
        <w:insideH w:val="single" w:sz="8" w:space="0" w:color="58B6E7" w:themeColor="accent3"/>
        <w:insideV w:val="single" w:sz="8" w:space="0" w:color="58B6E7" w:themeColor="accent3"/>
      </w:tblBorders>
    </w:tblPr>
    <w:tcPr>
      <w:shd w:val="clear" w:color="auto" w:fill="D5ECF9"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EF7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A" w:themeFill="accent3" w:themeFillTint="33"/>
      </w:tcPr>
    </w:tblStylePr>
    <w:tblStylePr w:type="band1Vert">
      <w:tblPr/>
      <w:tcPr>
        <w:shd w:val="clear" w:color="auto" w:fill="ABDAF3" w:themeFill="accent3" w:themeFillTint="7F"/>
      </w:tcPr>
    </w:tblStylePr>
    <w:tblStylePr w:type="band1Horz">
      <w:tblPr/>
      <w:tcPr>
        <w:tcBorders>
          <w:insideH w:val="single" w:sz="6" w:space="0" w:color="58B6E7" w:themeColor="accent3"/>
          <w:insideV w:val="single" w:sz="6" w:space="0" w:color="58B6E7" w:themeColor="accent3"/>
        </w:tcBorders>
        <w:shd w:val="clear" w:color="auto" w:fill="ABDA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C63303"/>
    <w:rPr>
      <w:rFonts w:eastAsiaTheme="majorEastAsia"/>
      <w:color w:val="000000" w:themeColor="text1"/>
    </w:rPr>
    <w:tblPr>
      <w:tblStyleRowBandSize w:val="1"/>
      <w:tblStyleColBandSize w:val="1"/>
      <w:tblBorders>
        <w:top w:val="single" w:sz="8" w:space="0" w:color="B9AA79" w:themeColor="accent4"/>
        <w:left w:val="single" w:sz="8" w:space="0" w:color="B9AA79" w:themeColor="accent4"/>
        <w:bottom w:val="single" w:sz="8" w:space="0" w:color="B9AA79" w:themeColor="accent4"/>
        <w:right w:val="single" w:sz="8" w:space="0" w:color="B9AA79" w:themeColor="accent4"/>
        <w:insideH w:val="single" w:sz="8" w:space="0" w:color="B9AA79" w:themeColor="accent4"/>
        <w:insideV w:val="single" w:sz="8" w:space="0" w:color="B9AA79" w:themeColor="accent4"/>
      </w:tblBorders>
    </w:tblPr>
    <w:tcPr>
      <w:shd w:val="clear" w:color="auto" w:fill="EDE9DD"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8F6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DE4" w:themeFill="accent4" w:themeFillTint="33"/>
      </w:tcPr>
    </w:tblStylePr>
    <w:tblStylePr w:type="band1Vert">
      <w:tblPr/>
      <w:tcPr>
        <w:shd w:val="clear" w:color="auto" w:fill="DCD4BC" w:themeFill="accent4" w:themeFillTint="7F"/>
      </w:tcPr>
    </w:tblStylePr>
    <w:tblStylePr w:type="band1Horz">
      <w:tblPr/>
      <w:tcPr>
        <w:tcBorders>
          <w:insideH w:val="single" w:sz="6" w:space="0" w:color="B9AA79" w:themeColor="accent4"/>
          <w:insideV w:val="single" w:sz="6" w:space="0" w:color="B9AA79" w:themeColor="accent4"/>
        </w:tcBorders>
        <w:shd w:val="clear" w:color="auto" w:fill="DCD4B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C63303"/>
    <w:rPr>
      <w:rFonts w:eastAsiaTheme="majorEastAsia"/>
      <w:color w:val="000000" w:themeColor="text1"/>
    </w:rPr>
    <w:tblPr>
      <w:tblStyleRowBandSize w:val="1"/>
      <w:tblStyleColBandSize w:val="1"/>
      <w:tblBorders>
        <w:top w:val="single" w:sz="8" w:space="0" w:color="B2B5AB" w:themeColor="accent5"/>
        <w:left w:val="single" w:sz="8" w:space="0" w:color="B2B5AB" w:themeColor="accent5"/>
        <w:bottom w:val="single" w:sz="8" w:space="0" w:color="B2B5AB" w:themeColor="accent5"/>
        <w:right w:val="single" w:sz="8" w:space="0" w:color="B2B5AB" w:themeColor="accent5"/>
        <w:insideH w:val="single" w:sz="8" w:space="0" w:color="B2B5AB" w:themeColor="accent5"/>
        <w:insideV w:val="single" w:sz="8" w:space="0" w:color="B2B5AB" w:themeColor="accent5"/>
      </w:tblBorders>
    </w:tblPr>
    <w:tcPr>
      <w:shd w:val="clear" w:color="auto" w:fill="EBECEA"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7F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EE" w:themeFill="accent5" w:themeFillTint="33"/>
      </w:tcPr>
    </w:tblStylePr>
    <w:tblStylePr w:type="band1Vert">
      <w:tblPr/>
      <w:tcPr>
        <w:shd w:val="clear" w:color="auto" w:fill="D8DAD5" w:themeFill="accent5" w:themeFillTint="7F"/>
      </w:tcPr>
    </w:tblStylePr>
    <w:tblStylePr w:type="band1Horz">
      <w:tblPr/>
      <w:tcPr>
        <w:tcBorders>
          <w:insideH w:val="single" w:sz="6" w:space="0" w:color="B2B5AB" w:themeColor="accent5"/>
          <w:insideV w:val="single" w:sz="6" w:space="0" w:color="B2B5AB" w:themeColor="accent5"/>
        </w:tcBorders>
        <w:shd w:val="clear" w:color="auto" w:fill="D8DA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C63303"/>
    <w:rPr>
      <w:rFonts w:eastAsiaTheme="majorEastAsia"/>
      <w:color w:val="000000" w:themeColor="text1"/>
    </w:rPr>
    <w:tblPr>
      <w:tblStyleRowBandSize w:val="1"/>
      <w:tblStyleColBandSize w:val="1"/>
      <w:tblBorders>
        <w:top w:val="single" w:sz="8" w:space="0" w:color="FAA41A" w:themeColor="accent6"/>
        <w:left w:val="single" w:sz="8" w:space="0" w:color="FAA41A" w:themeColor="accent6"/>
        <w:bottom w:val="single" w:sz="8" w:space="0" w:color="FAA41A" w:themeColor="accent6"/>
        <w:right w:val="single" w:sz="8" w:space="0" w:color="FAA41A" w:themeColor="accent6"/>
        <w:insideH w:val="single" w:sz="8" w:space="0" w:color="FAA41A" w:themeColor="accent6"/>
        <w:insideV w:val="single" w:sz="8" w:space="0" w:color="FAA41A" w:themeColor="accent6"/>
      </w:tblBorders>
    </w:tblPr>
    <w:tcPr>
      <w:shd w:val="clear" w:color="auto" w:fill="FDE8C6"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EF6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CD1" w:themeFill="accent6" w:themeFillTint="33"/>
      </w:tcPr>
    </w:tblStylePr>
    <w:tblStylePr w:type="band1Vert">
      <w:tblPr/>
      <w:tcPr>
        <w:shd w:val="clear" w:color="auto" w:fill="FCD18C" w:themeFill="accent6" w:themeFillTint="7F"/>
      </w:tcPr>
    </w:tblStylePr>
    <w:tblStylePr w:type="band1Horz">
      <w:tblPr/>
      <w:tcPr>
        <w:tcBorders>
          <w:insideH w:val="single" w:sz="6" w:space="0" w:color="FAA41A" w:themeColor="accent6"/>
          <w:insideV w:val="single" w:sz="6" w:space="0" w:color="FAA41A" w:themeColor="accent6"/>
        </w:tcBorders>
        <w:shd w:val="clear" w:color="auto" w:fill="FCD1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7FF"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D6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D6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D6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D6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1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18FFF" w:themeFill="accent1" w:themeFillTint="7F"/>
      </w:tcPr>
    </w:tblStylePr>
  </w:style>
  <w:style w:type="table" w:styleId="MediumGrid3-Accent2">
    <w:name w:val="Medium Grid 3 Accent 2"/>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DFF" w:themeFill="accent2" w:themeFillTint="7F"/>
      </w:tcPr>
    </w:tblStylePr>
  </w:style>
  <w:style w:type="table" w:styleId="MediumGrid3-Accent3">
    <w:name w:val="Medium Grid 3 Accent 3"/>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F9"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F3" w:themeFill="accent3" w:themeFillTint="7F"/>
      </w:tcPr>
    </w:tblStylePr>
  </w:style>
  <w:style w:type="table" w:styleId="MediumGrid3-Accent4">
    <w:name w:val="Medium Grid 3 Accent 4"/>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9DD"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AA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AA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AA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AA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D4B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D4BC" w:themeFill="accent4" w:themeFillTint="7F"/>
      </w:tcPr>
    </w:tblStylePr>
  </w:style>
  <w:style w:type="table" w:styleId="MediumGrid3-Accent5">
    <w:name w:val="Medium Grid 3 Accent 5"/>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CEA"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5A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5A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5A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5A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A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AD5" w:themeFill="accent5" w:themeFillTint="7F"/>
      </w:tcPr>
    </w:tblStylePr>
  </w:style>
  <w:style w:type="table" w:styleId="MediumGrid3-Accent6">
    <w:name w:val="Medium Grid 3 Accent 6"/>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8C6"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A41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A41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A41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A41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1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18C" w:themeFill="accent6" w:themeFillTint="7F"/>
      </w:tcPr>
    </w:tblStylePr>
  </w:style>
  <w:style w:type="table" w:styleId="MediumList1">
    <w:name w:val="Medium List 1"/>
    <w:basedOn w:val="TableNormal"/>
    <w:uiPriority w:val="98"/>
    <w:rsid w:val="00C6330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C63303"/>
    <w:rPr>
      <w:color w:val="000000" w:themeColor="text1"/>
    </w:rPr>
    <w:tblPr>
      <w:tblStyleRowBandSize w:val="1"/>
      <w:tblStyleColBandSize w:val="1"/>
      <w:tblBorders>
        <w:top w:val="single" w:sz="8" w:space="0" w:color="002D62" w:themeColor="accent1"/>
        <w:bottom w:val="single" w:sz="8" w:space="0" w:color="002D62"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2D62" w:themeColor="accent1"/>
        </w:tcBorders>
      </w:tcPr>
    </w:tblStylePr>
    <w:tblStylePr w:type="lastRow">
      <w:rPr>
        <w:b/>
        <w:bCs/>
        <w:color w:val="000000" w:themeColor="text2"/>
      </w:rPr>
      <w:tblPr/>
      <w:tcPr>
        <w:tcBorders>
          <w:top w:val="single" w:sz="8" w:space="0" w:color="002D62" w:themeColor="accent1"/>
          <w:bottom w:val="single" w:sz="8" w:space="0" w:color="002D62" w:themeColor="accent1"/>
        </w:tcBorders>
      </w:tcPr>
    </w:tblStylePr>
    <w:tblStylePr w:type="firstCol">
      <w:rPr>
        <w:b/>
        <w:bCs/>
      </w:rPr>
    </w:tblStylePr>
    <w:tblStylePr w:type="lastCol">
      <w:rPr>
        <w:b/>
        <w:bCs/>
      </w:rPr>
      <w:tblPr/>
      <w:tcPr>
        <w:tcBorders>
          <w:top w:val="single" w:sz="8" w:space="0" w:color="002D62" w:themeColor="accent1"/>
          <w:bottom w:val="single" w:sz="8" w:space="0" w:color="002D62" w:themeColor="accent1"/>
        </w:tcBorders>
      </w:tcPr>
    </w:tblStylePr>
    <w:tblStylePr w:type="band1Vert">
      <w:tblPr/>
      <w:tcPr>
        <w:shd w:val="clear" w:color="auto" w:fill="99C7FF" w:themeFill="accent1" w:themeFillTint="3F"/>
      </w:tcPr>
    </w:tblStylePr>
    <w:tblStylePr w:type="band1Horz">
      <w:tblPr/>
      <w:tcPr>
        <w:shd w:val="clear" w:color="auto" w:fill="99C7FF" w:themeFill="accent1" w:themeFillTint="3F"/>
      </w:tcPr>
    </w:tblStylePr>
  </w:style>
  <w:style w:type="table" w:styleId="MediumList1-Accent2">
    <w:name w:val="Medium List 1 Accent 2"/>
    <w:basedOn w:val="TableNormal"/>
    <w:uiPriority w:val="98"/>
    <w:rsid w:val="00C63303"/>
    <w:rPr>
      <w:color w:val="000000" w:themeColor="text1"/>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6FBA" w:themeColor="accent2"/>
        </w:tcBorders>
      </w:tcPr>
    </w:tblStylePr>
    <w:tblStylePr w:type="lastRow">
      <w:rPr>
        <w:b/>
        <w:bCs/>
        <w:color w:val="000000" w:themeColor="text2"/>
      </w:rPr>
      <w:tblPr/>
      <w:tcPr>
        <w:tcBorders>
          <w:top w:val="single" w:sz="8" w:space="0" w:color="006FBA" w:themeColor="accent2"/>
          <w:bottom w:val="single" w:sz="8" w:space="0" w:color="006FBA" w:themeColor="accent2"/>
        </w:tcBorders>
      </w:tcPr>
    </w:tblStylePr>
    <w:tblStylePr w:type="firstCol">
      <w:rPr>
        <w:b/>
        <w:bCs/>
      </w:rPr>
    </w:tblStylePr>
    <w:tblStylePr w:type="lastCol">
      <w:rPr>
        <w:b/>
        <w:bCs/>
      </w:rPr>
      <w:tblPr/>
      <w:tcPr>
        <w:tcBorders>
          <w:top w:val="single" w:sz="8" w:space="0" w:color="006FBA" w:themeColor="accent2"/>
          <w:bottom w:val="single" w:sz="8" w:space="0" w:color="006FBA" w:themeColor="accent2"/>
        </w:tcBorders>
      </w:tcPr>
    </w:tblStylePr>
    <w:tblStylePr w:type="band1Vert">
      <w:tblPr/>
      <w:tcPr>
        <w:shd w:val="clear" w:color="auto" w:fill="AEDEFF" w:themeFill="accent2" w:themeFillTint="3F"/>
      </w:tcPr>
    </w:tblStylePr>
    <w:tblStylePr w:type="band1Horz">
      <w:tblPr/>
      <w:tcPr>
        <w:shd w:val="clear" w:color="auto" w:fill="AEDEFF" w:themeFill="accent2" w:themeFillTint="3F"/>
      </w:tcPr>
    </w:tblStylePr>
  </w:style>
  <w:style w:type="table" w:styleId="MediumList1-Accent3">
    <w:name w:val="Medium List 1 Accent 3"/>
    <w:basedOn w:val="TableNormal"/>
    <w:uiPriority w:val="98"/>
    <w:rsid w:val="00C63303"/>
    <w:rPr>
      <w:color w:val="000000" w:themeColor="text1"/>
    </w:rPr>
    <w:tblPr>
      <w:tblStyleRowBandSize w:val="1"/>
      <w:tblStyleColBandSize w:val="1"/>
      <w:tblBorders>
        <w:top w:val="single" w:sz="8" w:space="0" w:color="58B6E7" w:themeColor="accent3"/>
        <w:bottom w:val="single" w:sz="8" w:space="0" w:color="58B6E7"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58B6E7" w:themeColor="accent3"/>
        </w:tcBorders>
      </w:tcPr>
    </w:tblStylePr>
    <w:tblStylePr w:type="lastRow">
      <w:rPr>
        <w:b/>
        <w:bCs/>
        <w:color w:val="000000" w:themeColor="text2"/>
      </w:rPr>
      <w:tblPr/>
      <w:tcPr>
        <w:tcBorders>
          <w:top w:val="single" w:sz="8" w:space="0" w:color="58B6E7" w:themeColor="accent3"/>
          <w:bottom w:val="single" w:sz="8" w:space="0" w:color="58B6E7" w:themeColor="accent3"/>
        </w:tcBorders>
      </w:tcPr>
    </w:tblStylePr>
    <w:tblStylePr w:type="firstCol">
      <w:rPr>
        <w:b/>
        <w:bCs/>
      </w:rPr>
    </w:tblStylePr>
    <w:tblStylePr w:type="lastCol">
      <w:rPr>
        <w:b/>
        <w:bCs/>
      </w:rPr>
      <w:tblPr/>
      <w:tcPr>
        <w:tcBorders>
          <w:top w:val="single" w:sz="8" w:space="0" w:color="58B6E7" w:themeColor="accent3"/>
          <w:bottom w:val="single" w:sz="8" w:space="0" w:color="58B6E7" w:themeColor="accent3"/>
        </w:tcBorders>
      </w:tcPr>
    </w:tblStylePr>
    <w:tblStylePr w:type="band1Vert">
      <w:tblPr/>
      <w:tcPr>
        <w:shd w:val="clear" w:color="auto" w:fill="D5ECF9" w:themeFill="accent3" w:themeFillTint="3F"/>
      </w:tcPr>
    </w:tblStylePr>
    <w:tblStylePr w:type="band1Horz">
      <w:tblPr/>
      <w:tcPr>
        <w:shd w:val="clear" w:color="auto" w:fill="D5ECF9" w:themeFill="accent3" w:themeFillTint="3F"/>
      </w:tcPr>
    </w:tblStylePr>
  </w:style>
  <w:style w:type="table" w:styleId="MediumList1-Accent4">
    <w:name w:val="Medium List 1 Accent 4"/>
    <w:basedOn w:val="TableNormal"/>
    <w:uiPriority w:val="98"/>
    <w:rsid w:val="00C63303"/>
    <w:rPr>
      <w:color w:val="000000" w:themeColor="text1"/>
    </w:rPr>
    <w:tblPr>
      <w:tblStyleRowBandSize w:val="1"/>
      <w:tblStyleColBandSize w:val="1"/>
      <w:tblBorders>
        <w:top w:val="single" w:sz="8" w:space="0" w:color="B9AA79" w:themeColor="accent4"/>
        <w:bottom w:val="single" w:sz="8" w:space="0" w:color="B9AA79"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B9AA79" w:themeColor="accent4"/>
        </w:tcBorders>
      </w:tcPr>
    </w:tblStylePr>
    <w:tblStylePr w:type="lastRow">
      <w:rPr>
        <w:b/>
        <w:bCs/>
        <w:color w:val="000000" w:themeColor="text2"/>
      </w:rPr>
      <w:tblPr/>
      <w:tcPr>
        <w:tcBorders>
          <w:top w:val="single" w:sz="8" w:space="0" w:color="B9AA79" w:themeColor="accent4"/>
          <w:bottom w:val="single" w:sz="8" w:space="0" w:color="B9AA79" w:themeColor="accent4"/>
        </w:tcBorders>
      </w:tcPr>
    </w:tblStylePr>
    <w:tblStylePr w:type="firstCol">
      <w:rPr>
        <w:b/>
        <w:bCs/>
      </w:rPr>
    </w:tblStylePr>
    <w:tblStylePr w:type="lastCol">
      <w:rPr>
        <w:b/>
        <w:bCs/>
      </w:rPr>
      <w:tblPr/>
      <w:tcPr>
        <w:tcBorders>
          <w:top w:val="single" w:sz="8" w:space="0" w:color="B9AA79" w:themeColor="accent4"/>
          <w:bottom w:val="single" w:sz="8" w:space="0" w:color="B9AA79" w:themeColor="accent4"/>
        </w:tcBorders>
      </w:tcPr>
    </w:tblStylePr>
    <w:tblStylePr w:type="band1Vert">
      <w:tblPr/>
      <w:tcPr>
        <w:shd w:val="clear" w:color="auto" w:fill="EDE9DD" w:themeFill="accent4" w:themeFillTint="3F"/>
      </w:tcPr>
    </w:tblStylePr>
    <w:tblStylePr w:type="band1Horz">
      <w:tblPr/>
      <w:tcPr>
        <w:shd w:val="clear" w:color="auto" w:fill="EDE9DD" w:themeFill="accent4" w:themeFillTint="3F"/>
      </w:tcPr>
    </w:tblStylePr>
  </w:style>
  <w:style w:type="table" w:styleId="MediumList1-Accent5">
    <w:name w:val="Medium List 1 Accent 5"/>
    <w:basedOn w:val="TableNormal"/>
    <w:uiPriority w:val="98"/>
    <w:rsid w:val="00C63303"/>
    <w:rPr>
      <w:color w:val="000000" w:themeColor="text1"/>
    </w:rPr>
    <w:tblPr>
      <w:tblStyleRowBandSize w:val="1"/>
      <w:tblStyleColBandSize w:val="1"/>
      <w:tblBorders>
        <w:top w:val="single" w:sz="8" w:space="0" w:color="B2B5AB" w:themeColor="accent5"/>
        <w:bottom w:val="single" w:sz="8" w:space="0" w:color="B2B5AB"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B2B5AB" w:themeColor="accent5"/>
        </w:tcBorders>
      </w:tcPr>
    </w:tblStylePr>
    <w:tblStylePr w:type="lastRow">
      <w:rPr>
        <w:b/>
        <w:bCs/>
        <w:color w:val="000000" w:themeColor="text2"/>
      </w:rPr>
      <w:tblPr/>
      <w:tcPr>
        <w:tcBorders>
          <w:top w:val="single" w:sz="8" w:space="0" w:color="B2B5AB" w:themeColor="accent5"/>
          <w:bottom w:val="single" w:sz="8" w:space="0" w:color="B2B5AB" w:themeColor="accent5"/>
        </w:tcBorders>
      </w:tcPr>
    </w:tblStylePr>
    <w:tblStylePr w:type="firstCol">
      <w:rPr>
        <w:b/>
        <w:bCs/>
      </w:rPr>
    </w:tblStylePr>
    <w:tblStylePr w:type="lastCol">
      <w:rPr>
        <w:b/>
        <w:bCs/>
      </w:rPr>
      <w:tblPr/>
      <w:tcPr>
        <w:tcBorders>
          <w:top w:val="single" w:sz="8" w:space="0" w:color="B2B5AB" w:themeColor="accent5"/>
          <w:bottom w:val="single" w:sz="8" w:space="0" w:color="B2B5AB" w:themeColor="accent5"/>
        </w:tcBorders>
      </w:tcPr>
    </w:tblStylePr>
    <w:tblStylePr w:type="band1Vert">
      <w:tblPr/>
      <w:tcPr>
        <w:shd w:val="clear" w:color="auto" w:fill="EBECEA" w:themeFill="accent5" w:themeFillTint="3F"/>
      </w:tcPr>
    </w:tblStylePr>
    <w:tblStylePr w:type="band1Horz">
      <w:tblPr/>
      <w:tcPr>
        <w:shd w:val="clear" w:color="auto" w:fill="EBECEA" w:themeFill="accent5" w:themeFillTint="3F"/>
      </w:tcPr>
    </w:tblStylePr>
  </w:style>
  <w:style w:type="table" w:styleId="MediumList1-Accent6">
    <w:name w:val="Medium List 1 Accent 6"/>
    <w:basedOn w:val="TableNormal"/>
    <w:uiPriority w:val="98"/>
    <w:rsid w:val="00C63303"/>
    <w:rPr>
      <w:color w:val="000000" w:themeColor="text1"/>
    </w:rPr>
    <w:tblPr>
      <w:tblStyleRowBandSize w:val="1"/>
      <w:tblStyleColBandSize w:val="1"/>
      <w:tblBorders>
        <w:top w:val="single" w:sz="8" w:space="0" w:color="FAA41A" w:themeColor="accent6"/>
        <w:bottom w:val="single" w:sz="8" w:space="0" w:color="FAA41A"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FAA41A" w:themeColor="accent6"/>
        </w:tcBorders>
      </w:tcPr>
    </w:tblStylePr>
    <w:tblStylePr w:type="lastRow">
      <w:rPr>
        <w:b/>
        <w:bCs/>
        <w:color w:val="000000" w:themeColor="text2"/>
      </w:rPr>
      <w:tblPr/>
      <w:tcPr>
        <w:tcBorders>
          <w:top w:val="single" w:sz="8" w:space="0" w:color="FAA41A" w:themeColor="accent6"/>
          <w:bottom w:val="single" w:sz="8" w:space="0" w:color="FAA41A" w:themeColor="accent6"/>
        </w:tcBorders>
      </w:tcPr>
    </w:tblStylePr>
    <w:tblStylePr w:type="firstCol">
      <w:rPr>
        <w:b/>
        <w:bCs/>
      </w:rPr>
    </w:tblStylePr>
    <w:tblStylePr w:type="lastCol">
      <w:rPr>
        <w:b/>
        <w:bCs/>
      </w:rPr>
      <w:tblPr/>
      <w:tcPr>
        <w:tcBorders>
          <w:top w:val="single" w:sz="8" w:space="0" w:color="FAA41A" w:themeColor="accent6"/>
          <w:bottom w:val="single" w:sz="8" w:space="0" w:color="FAA41A" w:themeColor="accent6"/>
        </w:tcBorders>
      </w:tcPr>
    </w:tblStylePr>
    <w:tblStylePr w:type="band1Vert">
      <w:tblPr/>
      <w:tcPr>
        <w:shd w:val="clear" w:color="auto" w:fill="FDE8C6" w:themeFill="accent6" w:themeFillTint="3F"/>
      </w:tcPr>
    </w:tblStylePr>
    <w:tblStylePr w:type="band1Horz">
      <w:tblPr/>
      <w:tcPr>
        <w:shd w:val="clear" w:color="auto" w:fill="FDE8C6" w:themeFill="accent6" w:themeFillTint="3F"/>
      </w:tcPr>
    </w:tblStylePr>
  </w:style>
  <w:style w:type="table" w:styleId="MediumList2">
    <w:name w:val="Medium List 2"/>
    <w:basedOn w:val="TableNormal"/>
    <w:uiPriority w:val="98"/>
    <w:rsid w:val="00C63303"/>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C63303"/>
    <w:rPr>
      <w:rFonts w:eastAsiaTheme="majorEastAsia"/>
      <w:color w:val="000000" w:themeColor="text1"/>
    </w:rPr>
    <w:tblPr>
      <w:tblStyleRowBandSize w:val="1"/>
      <w:tblStyleColBandSize w:val="1"/>
      <w:tblBorders>
        <w:top w:val="single" w:sz="8" w:space="0" w:color="002D62" w:themeColor="accent1"/>
        <w:left w:val="single" w:sz="8" w:space="0" w:color="002D62" w:themeColor="accent1"/>
        <w:bottom w:val="single" w:sz="8" w:space="0" w:color="002D62" w:themeColor="accent1"/>
        <w:right w:val="single" w:sz="8" w:space="0" w:color="002D62"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2D62" w:themeColor="accent1"/>
          <w:right w:val="nil"/>
          <w:insideH w:val="nil"/>
          <w:insideV w:val="nil"/>
        </w:tcBorders>
        <w:shd w:val="clear" w:color="auto" w:fill="FFFFFF" w:themeFill="background1"/>
      </w:tcPr>
    </w:tblStylePr>
    <w:tblStylePr w:type="lastRow">
      <w:tblPr/>
      <w:tcPr>
        <w:tcBorders>
          <w:top w:val="single" w:sz="8" w:space="0" w:color="002D6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D62" w:themeColor="accent1"/>
          <w:insideH w:val="nil"/>
          <w:insideV w:val="nil"/>
        </w:tcBorders>
        <w:shd w:val="clear" w:color="auto" w:fill="FFFFFF" w:themeFill="background1"/>
      </w:tcPr>
    </w:tblStylePr>
    <w:tblStylePr w:type="lastCol">
      <w:tblPr/>
      <w:tcPr>
        <w:tcBorders>
          <w:top w:val="nil"/>
          <w:left w:val="single" w:sz="8" w:space="0" w:color="002D6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7FF" w:themeFill="accent1" w:themeFillTint="3F"/>
      </w:tcPr>
    </w:tblStylePr>
    <w:tblStylePr w:type="band1Horz">
      <w:tblPr/>
      <w:tcPr>
        <w:tcBorders>
          <w:top w:val="nil"/>
          <w:bottom w:val="nil"/>
          <w:insideH w:val="nil"/>
          <w:insideV w:val="nil"/>
        </w:tcBorders>
        <w:shd w:val="clear" w:color="auto" w:fill="99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C63303"/>
    <w:rPr>
      <w:rFonts w:eastAsiaTheme="majorEastAsia"/>
      <w:color w:val="000000" w:themeColor="text1"/>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tblPr/>
      <w:tcPr>
        <w:tcBorders>
          <w:top w:val="single" w:sz="8" w:space="0" w:color="006F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A" w:themeColor="accent2"/>
          <w:insideH w:val="nil"/>
          <w:insideV w:val="nil"/>
        </w:tcBorders>
        <w:shd w:val="clear" w:color="auto" w:fill="FFFFFF" w:themeFill="background1"/>
      </w:tcPr>
    </w:tblStylePr>
    <w:tblStylePr w:type="lastCol">
      <w:tblPr/>
      <w:tcPr>
        <w:tcBorders>
          <w:top w:val="nil"/>
          <w:left w:val="single" w:sz="8" w:space="0" w:color="006F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top w:val="nil"/>
          <w:bottom w:val="nil"/>
          <w:insideH w:val="nil"/>
          <w:insideV w:val="nil"/>
        </w:tcBorders>
        <w:shd w:val="clear" w:color="auto" w:fill="AE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C63303"/>
    <w:rPr>
      <w:rFonts w:eastAsiaTheme="majorEastAsia"/>
      <w:color w:val="000000" w:themeColor="text1"/>
    </w:rPr>
    <w:tblPr>
      <w:tblStyleRowBandSize w:val="1"/>
      <w:tblStyleColBandSize w:val="1"/>
      <w:tblBorders>
        <w:top w:val="single" w:sz="8" w:space="0" w:color="58B6E7" w:themeColor="accent3"/>
        <w:left w:val="single" w:sz="8" w:space="0" w:color="58B6E7" w:themeColor="accent3"/>
        <w:bottom w:val="single" w:sz="8" w:space="0" w:color="58B6E7" w:themeColor="accent3"/>
        <w:right w:val="single" w:sz="8" w:space="0" w:color="58B6E7"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58B6E7" w:themeColor="accent3"/>
          <w:right w:val="nil"/>
          <w:insideH w:val="nil"/>
          <w:insideV w:val="nil"/>
        </w:tcBorders>
        <w:shd w:val="clear" w:color="auto" w:fill="FFFFFF" w:themeFill="background1"/>
      </w:tcPr>
    </w:tblStylePr>
    <w:tblStylePr w:type="lastRow">
      <w:tblPr/>
      <w:tcPr>
        <w:tcBorders>
          <w:top w:val="single" w:sz="8" w:space="0" w:color="58B6E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E7" w:themeColor="accent3"/>
          <w:insideH w:val="nil"/>
          <w:insideV w:val="nil"/>
        </w:tcBorders>
        <w:shd w:val="clear" w:color="auto" w:fill="FFFFFF" w:themeFill="background1"/>
      </w:tcPr>
    </w:tblStylePr>
    <w:tblStylePr w:type="lastCol">
      <w:tblPr/>
      <w:tcPr>
        <w:tcBorders>
          <w:top w:val="nil"/>
          <w:left w:val="single" w:sz="8" w:space="0" w:color="58B6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F9" w:themeFill="accent3" w:themeFillTint="3F"/>
      </w:tcPr>
    </w:tblStylePr>
    <w:tblStylePr w:type="band1Horz">
      <w:tblPr/>
      <w:tcPr>
        <w:tcBorders>
          <w:top w:val="nil"/>
          <w:bottom w:val="nil"/>
          <w:insideH w:val="nil"/>
          <w:insideV w:val="nil"/>
        </w:tcBorders>
        <w:shd w:val="clear" w:color="auto" w:fill="D5ECF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C63303"/>
    <w:rPr>
      <w:rFonts w:eastAsiaTheme="majorEastAsia"/>
      <w:color w:val="000000" w:themeColor="text1"/>
    </w:rPr>
    <w:tblPr>
      <w:tblStyleRowBandSize w:val="1"/>
      <w:tblStyleColBandSize w:val="1"/>
      <w:tblBorders>
        <w:top w:val="single" w:sz="8" w:space="0" w:color="B9AA79" w:themeColor="accent4"/>
        <w:left w:val="single" w:sz="8" w:space="0" w:color="B9AA79" w:themeColor="accent4"/>
        <w:bottom w:val="single" w:sz="8" w:space="0" w:color="B9AA79" w:themeColor="accent4"/>
        <w:right w:val="single" w:sz="8" w:space="0" w:color="B9AA79"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B9AA79" w:themeColor="accent4"/>
          <w:right w:val="nil"/>
          <w:insideH w:val="nil"/>
          <w:insideV w:val="nil"/>
        </w:tcBorders>
        <w:shd w:val="clear" w:color="auto" w:fill="FFFFFF" w:themeFill="background1"/>
      </w:tcPr>
    </w:tblStylePr>
    <w:tblStylePr w:type="lastRow">
      <w:tblPr/>
      <w:tcPr>
        <w:tcBorders>
          <w:top w:val="single" w:sz="8" w:space="0" w:color="B9AA7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AA79" w:themeColor="accent4"/>
          <w:insideH w:val="nil"/>
          <w:insideV w:val="nil"/>
        </w:tcBorders>
        <w:shd w:val="clear" w:color="auto" w:fill="FFFFFF" w:themeFill="background1"/>
      </w:tcPr>
    </w:tblStylePr>
    <w:tblStylePr w:type="lastCol">
      <w:tblPr/>
      <w:tcPr>
        <w:tcBorders>
          <w:top w:val="nil"/>
          <w:left w:val="single" w:sz="8" w:space="0" w:color="B9AA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9DD" w:themeFill="accent4" w:themeFillTint="3F"/>
      </w:tcPr>
    </w:tblStylePr>
    <w:tblStylePr w:type="band1Horz">
      <w:tblPr/>
      <w:tcPr>
        <w:tcBorders>
          <w:top w:val="nil"/>
          <w:bottom w:val="nil"/>
          <w:insideH w:val="nil"/>
          <w:insideV w:val="nil"/>
        </w:tcBorders>
        <w:shd w:val="clear" w:color="auto" w:fill="EDE9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C63303"/>
    <w:rPr>
      <w:rFonts w:eastAsiaTheme="majorEastAsia"/>
      <w:color w:val="000000" w:themeColor="text1"/>
    </w:rPr>
    <w:tblPr>
      <w:tblStyleRowBandSize w:val="1"/>
      <w:tblStyleColBandSize w:val="1"/>
      <w:tblBorders>
        <w:top w:val="single" w:sz="8" w:space="0" w:color="B2B5AB" w:themeColor="accent5"/>
        <w:left w:val="single" w:sz="8" w:space="0" w:color="B2B5AB" w:themeColor="accent5"/>
        <w:bottom w:val="single" w:sz="8" w:space="0" w:color="B2B5AB" w:themeColor="accent5"/>
        <w:right w:val="single" w:sz="8" w:space="0" w:color="B2B5AB"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B2B5AB" w:themeColor="accent5"/>
          <w:right w:val="nil"/>
          <w:insideH w:val="nil"/>
          <w:insideV w:val="nil"/>
        </w:tcBorders>
        <w:shd w:val="clear" w:color="auto" w:fill="FFFFFF" w:themeFill="background1"/>
      </w:tcPr>
    </w:tblStylePr>
    <w:tblStylePr w:type="lastRow">
      <w:tblPr/>
      <w:tcPr>
        <w:tcBorders>
          <w:top w:val="single" w:sz="8" w:space="0" w:color="B2B5A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5AB" w:themeColor="accent5"/>
          <w:insideH w:val="nil"/>
          <w:insideV w:val="nil"/>
        </w:tcBorders>
        <w:shd w:val="clear" w:color="auto" w:fill="FFFFFF" w:themeFill="background1"/>
      </w:tcPr>
    </w:tblStylePr>
    <w:tblStylePr w:type="lastCol">
      <w:tblPr/>
      <w:tcPr>
        <w:tcBorders>
          <w:top w:val="nil"/>
          <w:left w:val="single" w:sz="8" w:space="0" w:color="B2B5A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CEA" w:themeFill="accent5" w:themeFillTint="3F"/>
      </w:tcPr>
    </w:tblStylePr>
    <w:tblStylePr w:type="band1Horz">
      <w:tblPr/>
      <w:tcPr>
        <w:tcBorders>
          <w:top w:val="nil"/>
          <w:bottom w:val="nil"/>
          <w:insideH w:val="nil"/>
          <w:insideV w:val="nil"/>
        </w:tcBorders>
        <w:shd w:val="clear" w:color="auto" w:fill="EBEC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C63303"/>
    <w:rPr>
      <w:rFonts w:eastAsiaTheme="majorEastAsia"/>
      <w:color w:val="000000" w:themeColor="text1"/>
    </w:rPr>
    <w:tblPr>
      <w:tblStyleRowBandSize w:val="1"/>
      <w:tblStyleColBandSize w:val="1"/>
      <w:tblBorders>
        <w:top w:val="single" w:sz="8" w:space="0" w:color="FAA41A" w:themeColor="accent6"/>
        <w:left w:val="single" w:sz="8" w:space="0" w:color="FAA41A" w:themeColor="accent6"/>
        <w:bottom w:val="single" w:sz="8" w:space="0" w:color="FAA41A" w:themeColor="accent6"/>
        <w:right w:val="single" w:sz="8" w:space="0" w:color="FAA41A"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FAA41A" w:themeColor="accent6"/>
          <w:right w:val="nil"/>
          <w:insideH w:val="nil"/>
          <w:insideV w:val="nil"/>
        </w:tcBorders>
        <w:shd w:val="clear" w:color="auto" w:fill="FFFFFF" w:themeFill="background1"/>
      </w:tcPr>
    </w:tblStylePr>
    <w:tblStylePr w:type="lastRow">
      <w:tblPr/>
      <w:tcPr>
        <w:tcBorders>
          <w:top w:val="single" w:sz="8" w:space="0" w:color="FAA41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A41A" w:themeColor="accent6"/>
          <w:insideH w:val="nil"/>
          <w:insideV w:val="nil"/>
        </w:tcBorders>
        <w:shd w:val="clear" w:color="auto" w:fill="FFFFFF" w:themeFill="background1"/>
      </w:tcPr>
    </w:tblStylePr>
    <w:tblStylePr w:type="lastCol">
      <w:tblPr/>
      <w:tcPr>
        <w:tcBorders>
          <w:top w:val="nil"/>
          <w:left w:val="single" w:sz="8" w:space="0" w:color="FAA41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8C6" w:themeFill="accent6" w:themeFillTint="3F"/>
      </w:tcPr>
    </w:tblStylePr>
    <w:tblStylePr w:type="band1Horz">
      <w:tblPr/>
      <w:tcPr>
        <w:tcBorders>
          <w:top w:val="nil"/>
          <w:bottom w:val="nil"/>
          <w:insideH w:val="nil"/>
          <w:insideV w:val="nil"/>
        </w:tcBorders>
        <w:shd w:val="clear" w:color="auto" w:fill="FDE8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C6330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C63303"/>
    <w:tblPr>
      <w:tblStyleRowBandSize w:val="1"/>
      <w:tblStyleColBandSize w:val="1"/>
      <w:tblBorders>
        <w:top w:val="single" w:sz="8" w:space="0" w:color="005CC9" w:themeColor="accent1" w:themeTint="BF"/>
        <w:left w:val="single" w:sz="8" w:space="0" w:color="005CC9" w:themeColor="accent1" w:themeTint="BF"/>
        <w:bottom w:val="single" w:sz="8" w:space="0" w:color="005CC9" w:themeColor="accent1" w:themeTint="BF"/>
        <w:right w:val="single" w:sz="8" w:space="0" w:color="005CC9" w:themeColor="accent1" w:themeTint="BF"/>
        <w:insideH w:val="single" w:sz="8" w:space="0" w:color="005CC9"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05CC9" w:themeColor="accent1" w:themeTint="BF"/>
          <w:left w:val="single" w:sz="8" w:space="0" w:color="005CC9" w:themeColor="accent1" w:themeTint="BF"/>
          <w:bottom w:val="single" w:sz="8" w:space="0" w:color="005CC9" w:themeColor="accent1" w:themeTint="BF"/>
          <w:right w:val="single" w:sz="8" w:space="0" w:color="005CC9" w:themeColor="accent1" w:themeTint="BF"/>
          <w:insideH w:val="nil"/>
          <w:insideV w:val="nil"/>
        </w:tcBorders>
        <w:shd w:val="clear" w:color="auto" w:fill="002D62" w:themeFill="accent1"/>
      </w:tcPr>
    </w:tblStylePr>
    <w:tblStylePr w:type="lastRow">
      <w:pPr>
        <w:spacing w:before="0" w:after="0" w:line="240" w:lineRule="auto"/>
      </w:pPr>
      <w:rPr>
        <w:b/>
        <w:bCs/>
      </w:rPr>
      <w:tblPr/>
      <w:tcPr>
        <w:tcBorders>
          <w:top w:val="double" w:sz="6" w:space="0" w:color="005CC9" w:themeColor="accent1" w:themeTint="BF"/>
          <w:left w:val="single" w:sz="8" w:space="0" w:color="005CC9" w:themeColor="accent1" w:themeTint="BF"/>
          <w:bottom w:val="single" w:sz="8" w:space="0" w:color="005CC9" w:themeColor="accent1" w:themeTint="BF"/>
          <w:right w:val="single" w:sz="8" w:space="0" w:color="005C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99C7FF" w:themeFill="accent1" w:themeFillTint="3F"/>
      </w:tcPr>
    </w:tblStylePr>
    <w:tblStylePr w:type="band1Horz">
      <w:tblPr/>
      <w:tcPr>
        <w:tcBorders>
          <w:insideH w:val="nil"/>
          <w:insideV w:val="nil"/>
        </w:tcBorders>
        <w:shd w:val="clear" w:color="auto" w:fill="99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C63303"/>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shd w:val="clear" w:color="auto" w:fill="006FBA" w:themeFill="accent2"/>
      </w:tcPr>
    </w:tblStylePr>
    <w:tblStylePr w:type="lastRow">
      <w:pPr>
        <w:spacing w:before="0" w:after="0" w:line="240" w:lineRule="auto"/>
      </w:pPr>
      <w:rPr>
        <w:b/>
        <w:bCs/>
      </w:rPr>
      <w:tblPr/>
      <w:tcPr>
        <w:tcBorders>
          <w:top w:val="double" w:sz="6"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2" w:themeFillTint="3F"/>
      </w:tcPr>
    </w:tblStylePr>
    <w:tblStylePr w:type="band1Horz">
      <w:tblPr/>
      <w:tcPr>
        <w:tcBorders>
          <w:insideH w:val="nil"/>
          <w:insideV w:val="nil"/>
        </w:tcBorders>
        <w:shd w:val="clear" w:color="auto" w:fill="AED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C63303"/>
    <w:tblPr>
      <w:tblStyleRowBandSize w:val="1"/>
      <w:tblStyleColBandSize w:val="1"/>
      <w:tblBorders>
        <w:top w:val="single" w:sz="8" w:space="0" w:color="81C7ED" w:themeColor="accent3" w:themeTint="BF"/>
        <w:left w:val="single" w:sz="8" w:space="0" w:color="81C7ED" w:themeColor="accent3" w:themeTint="BF"/>
        <w:bottom w:val="single" w:sz="8" w:space="0" w:color="81C7ED" w:themeColor="accent3" w:themeTint="BF"/>
        <w:right w:val="single" w:sz="8" w:space="0" w:color="81C7ED" w:themeColor="accent3" w:themeTint="BF"/>
        <w:insideH w:val="single" w:sz="8" w:space="0" w:color="81C7E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81C7ED" w:themeColor="accent3" w:themeTint="BF"/>
          <w:left w:val="single" w:sz="8" w:space="0" w:color="81C7ED" w:themeColor="accent3" w:themeTint="BF"/>
          <w:bottom w:val="single" w:sz="8" w:space="0" w:color="81C7ED" w:themeColor="accent3" w:themeTint="BF"/>
          <w:right w:val="single" w:sz="8" w:space="0" w:color="81C7ED" w:themeColor="accent3" w:themeTint="BF"/>
          <w:insideH w:val="nil"/>
          <w:insideV w:val="nil"/>
        </w:tcBorders>
        <w:shd w:val="clear" w:color="auto" w:fill="58B6E7" w:themeFill="accent3"/>
      </w:tcPr>
    </w:tblStylePr>
    <w:tblStylePr w:type="lastRow">
      <w:pPr>
        <w:spacing w:before="0" w:after="0" w:line="240" w:lineRule="auto"/>
      </w:pPr>
      <w:rPr>
        <w:b/>
        <w:bCs/>
      </w:rPr>
      <w:tblPr/>
      <w:tcPr>
        <w:tcBorders>
          <w:top w:val="double" w:sz="6" w:space="0" w:color="81C7ED" w:themeColor="accent3" w:themeTint="BF"/>
          <w:left w:val="single" w:sz="8" w:space="0" w:color="81C7ED" w:themeColor="accent3" w:themeTint="BF"/>
          <w:bottom w:val="single" w:sz="8" w:space="0" w:color="81C7ED" w:themeColor="accent3" w:themeTint="BF"/>
          <w:right w:val="single" w:sz="8" w:space="0" w:color="81C7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CF9" w:themeFill="accent3" w:themeFillTint="3F"/>
      </w:tcPr>
    </w:tblStylePr>
    <w:tblStylePr w:type="band1Horz">
      <w:tblPr/>
      <w:tcPr>
        <w:tcBorders>
          <w:insideH w:val="nil"/>
          <w:insideV w:val="nil"/>
        </w:tcBorders>
        <w:shd w:val="clear" w:color="auto" w:fill="D5ECF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C63303"/>
    <w:tblPr>
      <w:tblStyleRowBandSize w:val="1"/>
      <w:tblStyleColBandSize w:val="1"/>
      <w:tblBorders>
        <w:top w:val="single" w:sz="8" w:space="0" w:color="CABF9A" w:themeColor="accent4" w:themeTint="BF"/>
        <w:left w:val="single" w:sz="8" w:space="0" w:color="CABF9A" w:themeColor="accent4" w:themeTint="BF"/>
        <w:bottom w:val="single" w:sz="8" w:space="0" w:color="CABF9A" w:themeColor="accent4" w:themeTint="BF"/>
        <w:right w:val="single" w:sz="8" w:space="0" w:color="CABF9A" w:themeColor="accent4" w:themeTint="BF"/>
        <w:insideH w:val="single" w:sz="8" w:space="0" w:color="CABF9A"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CABF9A" w:themeColor="accent4" w:themeTint="BF"/>
          <w:left w:val="single" w:sz="8" w:space="0" w:color="CABF9A" w:themeColor="accent4" w:themeTint="BF"/>
          <w:bottom w:val="single" w:sz="8" w:space="0" w:color="CABF9A" w:themeColor="accent4" w:themeTint="BF"/>
          <w:right w:val="single" w:sz="8" w:space="0" w:color="CABF9A" w:themeColor="accent4" w:themeTint="BF"/>
          <w:insideH w:val="nil"/>
          <w:insideV w:val="nil"/>
        </w:tcBorders>
        <w:shd w:val="clear" w:color="auto" w:fill="B9AA79" w:themeFill="accent4"/>
      </w:tcPr>
    </w:tblStylePr>
    <w:tblStylePr w:type="lastRow">
      <w:pPr>
        <w:spacing w:before="0" w:after="0" w:line="240" w:lineRule="auto"/>
      </w:pPr>
      <w:rPr>
        <w:b/>
        <w:bCs/>
      </w:rPr>
      <w:tblPr/>
      <w:tcPr>
        <w:tcBorders>
          <w:top w:val="double" w:sz="6" w:space="0" w:color="CABF9A" w:themeColor="accent4" w:themeTint="BF"/>
          <w:left w:val="single" w:sz="8" w:space="0" w:color="CABF9A" w:themeColor="accent4" w:themeTint="BF"/>
          <w:bottom w:val="single" w:sz="8" w:space="0" w:color="CABF9A" w:themeColor="accent4" w:themeTint="BF"/>
          <w:right w:val="single" w:sz="8" w:space="0" w:color="CABF9A"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9DD" w:themeFill="accent4" w:themeFillTint="3F"/>
      </w:tcPr>
    </w:tblStylePr>
    <w:tblStylePr w:type="band1Horz">
      <w:tblPr/>
      <w:tcPr>
        <w:tcBorders>
          <w:insideH w:val="nil"/>
          <w:insideV w:val="nil"/>
        </w:tcBorders>
        <w:shd w:val="clear" w:color="auto" w:fill="EDE9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C63303"/>
    <w:tblPr>
      <w:tblStyleRowBandSize w:val="1"/>
      <w:tblStyleColBandSize w:val="1"/>
      <w:tblBorders>
        <w:top w:val="single" w:sz="8" w:space="0" w:color="C5C7BF" w:themeColor="accent5" w:themeTint="BF"/>
        <w:left w:val="single" w:sz="8" w:space="0" w:color="C5C7BF" w:themeColor="accent5" w:themeTint="BF"/>
        <w:bottom w:val="single" w:sz="8" w:space="0" w:color="C5C7BF" w:themeColor="accent5" w:themeTint="BF"/>
        <w:right w:val="single" w:sz="8" w:space="0" w:color="C5C7BF" w:themeColor="accent5" w:themeTint="BF"/>
        <w:insideH w:val="single" w:sz="8" w:space="0" w:color="C5C7B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C5C7BF" w:themeColor="accent5" w:themeTint="BF"/>
          <w:left w:val="single" w:sz="8" w:space="0" w:color="C5C7BF" w:themeColor="accent5" w:themeTint="BF"/>
          <w:bottom w:val="single" w:sz="8" w:space="0" w:color="C5C7BF" w:themeColor="accent5" w:themeTint="BF"/>
          <w:right w:val="single" w:sz="8" w:space="0" w:color="C5C7BF" w:themeColor="accent5" w:themeTint="BF"/>
          <w:insideH w:val="nil"/>
          <w:insideV w:val="nil"/>
        </w:tcBorders>
        <w:shd w:val="clear" w:color="auto" w:fill="B2B5AB" w:themeFill="accent5"/>
      </w:tcPr>
    </w:tblStylePr>
    <w:tblStylePr w:type="lastRow">
      <w:pPr>
        <w:spacing w:before="0" w:after="0" w:line="240" w:lineRule="auto"/>
      </w:pPr>
      <w:rPr>
        <w:b/>
        <w:bCs/>
      </w:rPr>
      <w:tblPr/>
      <w:tcPr>
        <w:tcBorders>
          <w:top w:val="double" w:sz="6" w:space="0" w:color="C5C7BF" w:themeColor="accent5" w:themeTint="BF"/>
          <w:left w:val="single" w:sz="8" w:space="0" w:color="C5C7BF" w:themeColor="accent5" w:themeTint="BF"/>
          <w:bottom w:val="single" w:sz="8" w:space="0" w:color="C5C7BF" w:themeColor="accent5" w:themeTint="BF"/>
          <w:right w:val="single" w:sz="8" w:space="0" w:color="C5C7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ECEA" w:themeFill="accent5" w:themeFillTint="3F"/>
      </w:tcPr>
    </w:tblStylePr>
    <w:tblStylePr w:type="band1Horz">
      <w:tblPr/>
      <w:tcPr>
        <w:tcBorders>
          <w:insideH w:val="nil"/>
          <w:insideV w:val="nil"/>
        </w:tcBorders>
        <w:shd w:val="clear" w:color="auto" w:fill="EBEC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C63303"/>
    <w:tblPr>
      <w:tblStyleRowBandSize w:val="1"/>
      <w:tblStyleColBandSize w:val="1"/>
      <w:tblBorders>
        <w:top w:val="single" w:sz="8" w:space="0" w:color="FBBA53" w:themeColor="accent6" w:themeTint="BF"/>
        <w:left w:val="single" w:sz="8" w:space="0" w:color="FBBA53" w:themeColor="accent6" w:themeTint="BF"/>
        <w:bottom w:val="single" w:sz="8" w:space="0" w:color="FBBA53" w:themeColor="accent6" w:themeTint="BF"/>
        <w:right w:val="single" w:sz="8" w:space="0" w:color="FBBA53" w:themeColor="accent6" w:themeTint="BF"/>
        <w:insideH w:val="single" w:sz="8" w:space="0" w:color="FBBA53"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FBBA53" w:themeColor="accent6" w:themeTint="BF"/>
          <w:left w:val="single" w:sz="8" w:space="0" w:color="FBBA53" w:themeColor="accent6" w:themeTint="BF"/>
          <w:bottom w:val="single" w:sz="8" w:space="0" w:color="FBBA53" w:themeColor="accent6" w:themeTint="BF"/>
          <w:right w:val="single" w:sz="8" w:space="0" w:color="FBBA53" w:themeColor="accent6" w:themeTint="BF"/>
          <w:insideH w:val="nil"/>
          <w:insideV w:val="nil"/>
        </w:tcBorders>
        <w:shd w:val="clear" w:color="auto" w:fill="FAA41A" w:themeFill="accent6"/>
      </w:tcPr>
    </w:tblStylePr>
    <w:tblStylePr w:type="lastRow">
      <w:pPr>
        <w:spacing w:before="0" w:after="0" w:line="240" w:lineRule="auto"/>
      </w:pPr>
      <w:rPr>
        <w:b/>
        <w:bCs/>
      </w:rPr>
      <w:tblPr/>
      <w:tcPr>
        <w:tcBorders>
          <w:top w:val="double" w:sz="6" w:space="0" w:color="FBBA53" w:themeColor="accent6" w:themeTint="BF"/>
          <w:left w:val="single" w:sz="8" w:space="0" w:color="FBBA53" w:themeColor="accent6" w:themeTint="BF"/>
          <w:bottom w:val="single" w:sz="8" w:space="0" w:color="FBBA53" w:themeColor="accent6" w:themeTint="BF"/>
          <w:right w:val="single" w:sz="8" w:space="0" w:color="FBBA5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8C6" w:themeFill="accent6" w:themeFillTint="3F"/>
      </w:tcPr>
    </w:tblStylePr>
    <w:tblStylePr w:type="band1Horz">
      <w:tblPr/>
      <w:tcPr>
        <w:tcBorders>
          <w:insideH w:val="nil"/>
          <w:insideV w:val="nil"/>
        </w:tcBorders>
        <w:shd w:val="clear" w:color="auto" w:fill="FDE8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2D6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D62" w:themeFill="accent1"/>
      </w:tcPr>
    </w:tblStylePr>
    <w:tblStylePr w:type="lastCol">
      <w:rPr>
        <w:b/>
        <w:bCs/>
        <w:color w:val="FFFFFF" w:themeColor="background1"/>
      </w:rPr>
      <w:tblPr/>
      <w:tcPr>
        <w:tcBorders>
          <w:left w:val="nil"/>
          <w:right w:val="nil"/>
          <w:insideH w:val="nil"/>
          <w:insideV w:val="nil"/>
        </w:tcBorders>
        <w:shd w:val="clear" w:color="auto" w:fill="002D6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6F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A" w:themeFill="accent2"/>
      </w:tcPr>
    </w:tblStylePr>
    <w:tblStylePr w:type="lastCol">
      <w:rPr>
        <w:b/>
        <w:bCs/>
        <w:color w:val="FFFFFF" w:themeColor="background1"/>
      </w:rPr>
      <w:tblPr/>
      <w:tcPr>
        <w:tcBorders>
          <w:left w:val="nil"/>
          <w:right w:val="nil"/>
          <w:insideH w:val="nil"/>
          <w:insideV w:val="nil"/>
        </w:tcBorders>
        <w:shd w:val="clear" w:color="auto" w:fill="006F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58B6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B6E7" w:themeFill="accent3"/>
      </w:tcPr>
    </w:tblStylePr>
    <w:tblStylePr w:type="lastCol">
      <w:rPr>
        <w:b/>
        <w:bCs/>
        <w:color w:val="FFFFFF" w:themeColor="background1"/>
      </w:rPr>
      <w:tblPr/>
      <w:tcPr>
        <w:tcBorders>
          <w:left w:val="nil"/>
          <w:right w:val="nil"/>
          <w:insideH w:val="nil"/>
          <w:insideV w:val="nil"/>
        </w:tcBorders>
        <w:shd w:val="clear" w:color="auto" w:fill="58B6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B9AA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9AA79" w:themeFill="accent4"/>
      </w:tcPr>
    </w:tblStylePr>
    <w:tblStylePr w:type="lastCol">
      <w:rPr>
        <w:b/>
        <w:bCs/>
        <w:color w:val="FFFFFF" w:themeColor="background1"/>
      </w:rPr>
      <w:tblPr/>
      <w:tcPr>
        <w:tcBorders>
          <w:left w:val="nil"/>
          <w:right w:val="nil"/>
          <w:insideH w:val="nil"/>
          <w:insideV w:val="nil"/>
        </w:tcBorders>
        <w:shd w:val="clear" w:color="auto" w:fill="B9AA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B2B5A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5AB" w:themeFill="accent5"/>
      </w:tcPr>
    </w:tblStylePr>
    <w:tblStylePr w:type="lastCol">
      <w:rPr>
        <w:b/>
        <w:bCs/>
        <w:color w:val="FFFFFF" w:themeColor="background1"/>
      </w:rPr>
      <w:tblPr/>
      <w:tcPr>
        <w:tcBorders>
          <w:left w:val="nil"/>
          <w:right w:val="nil"/>
          <w:insideH w:val="nil"/>
          <w:insideV w:val="nil"/>
        </w:tcBorders>
        <w:shd w:val="clear" w:color="auto" w:fill="B2B5A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AA41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A41A" w:themeFill="accent6"/>
      </w:tcPr>
    </w:tblStylePr>
    <w:tblStylePr w:type="lastCol">
      <w:rPr>
        <w:b/>
        <w:bCs/>
        <w:color w:val="FFFFFF" w:themeColor="background1"/>
      </w:rPr>
      <w:tblPr/>
      <w:tcPr>
        <w:tcBorders>
          <w:left w:val="nil"/>
          <w:right w:val="nil"/>
          <w:insideH w:val="nil"/>
          <w:insideV w:val="nil"/>
        </w:tcBorders>
        <w:shd w:val="clear" w:color="auto" w:fill="FAA41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C6330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 w:val="24"/>
    </w:rPr>
  </w:style>
  <w:style w:type="character" w:customStyle="1" w:styleId="MessageHeaderChar">
    <w:name w:val="Message Header Char"/>
    <w:basedOn w:val="DefaultParagraphFont"/>
    <w:link w:val="MessageHeader"/>
    <w:semiHidden/>
    <w:rsid w:val="00D20874"/>
    <w:rPr>
      <w:rFonts w:ascii="Calibri" w:eastAsiaTheme="majorEastAsia" w:hAnsi="Calibri"/>
      <w:snapToGrid w:val="0"/>
      <w:color w:val="000000" w:themeColor="text2"/>
      <w:sz w:val="24"/>
      <w:shd w:val="pct20" w:color="auto" w:fill="auto"/>
      <w:lang w:val="en-AU" w:eastAsia="ja-JP"/>
    </w:rPr>
  </w:style>
  <w:style w:type="paragraph" w:styleId="NormalWeb">
    <w:name w:val="Normal (Web)"/>
    <w:basedOn w:val="Normal"/>
    <w:semiHidden/>
    <w:rsid w:val="00C63303"/>
    <w:rPr>
      <w:sz w:val="24"/>
    </w:rPr>
  </w:style>
  <w:style w:type="paragraph" w:styleId="NormalIndent">
    <w:name w:val="Normal Indent"/>
    <w:basedOn w:val="Normal"/>
    <w:semiHidden/>
    <w:rsid w:val="00C63303"/>
    <w:pPr>
      <w:ind w:left="720"/>
    </w:pPr>
  </w:style>
  <w:style w:type="paragraph" w:styleId="NoteHeading">
    <w:name w:val="Note Heading"/>
    <w:basedOn w:val="Normal"/>
    <w:next w:val="Normal"/>
    <w:link w:val="NoteHeadingChar"/>
    <w:semiHidden/>
    <w:rsid w:val="00C63303"/>
    <w:rPr>
      <w:rFonts w:asciiTheme="majorHAnsi" w:hAnsiTheme="majorHAnsi" w:cstheme="majorHAnsi"/>
    </w:rPr>
  </w:style>
  <w:style w:type="character" w:customStyle="1" w:styleId="NoteHeadingChar">
    <w:name w:val="Note Heading Char"/>
    <w:basedOn w:val="DefaultParagraphFont"/>
    <w:link w:val="NoteHeading"/>
    <w:semiHidden/>
    <w:rsid w:val="00D20874"/>
    <w:rPr>
      <w:rFonts w:asciiTheme="majorHAnsi" w:eastAsia="MS Mincho" w:hAnsiTheme="majorHAnsi" w:cstheme="majorHAnsi"/>
      <w:snapToGrid w:val="0"/>
      <w:color w:val="000000" w:themeColor="text2"/>
      <w:lang w:val="en-AU" w:eastAsia="ja-JP"/>
    </w:rPr>
  </w:style>
  <w:style w:type="character" w:styleId="PlaceholderText">
    <w:name w:val="Placeholder Text"/>
    <w:basedOn w:val="DefaultParagraphFont"/>
    <w:semiHidden/>
    <w:rsid w:val="00C63303"/>
    <w:rPr>
      <w:rFonts w:asciiTheme="minorHAnsi" w:hAnsiTheme="minorHAnsi" w:cstheme="minorHAnsi"/>
      <w:color w:val="808080"/>
    </w:rPr>
  </w:style>
  <w:style w:type="paragraph" w:styleId="PlainText">
    <w:name w:val="Plain Text"/>
    <w:basedOn w:val="Normal"/>
    <w:link w:val="PlainTextChar"/>
    <w:semiHidden/>
    <w:rsid w:val="00C63303"/>
    <w:rPr>
      <w:sz w:val="21"/>
      <w:szCs w:val="21"/>
    </w:rPr>
  </w:style>
  <w:style w:type="character" w:customStyle="1" w:styleId="PlainTextChar">
    <w:name w:val="Plain Text Char"/>
    <w:basedOn w:val="DefaultParagraphFont"/>
    <w:link w:val="PlainText"/>
    <w:semiHidden/>
    <w:rsid w:val="00D20874"/>
    <w:rPr>
      <w:rFonts w:ascii="Calibri" w:eastAsia="MS Mincho" w:hAnsi="Calibri"/>
      <w:snapToGrid w:val="0"/>
      <w:color w:val="000000" w:themeColor="text2"/>
      <w:sz w:val="21"/>
      <w:szCs w:val="21"/>
      <w:lang w:val="en-AU" w:eastAsia="ja-JP"/>
    </w:rPr>
  </w:style>
  <w:style w:type="paragraph" w:styleId="Salutation">
    <w:name w:val="Salutation"/>
    <w:basedOn w:val="Normal"/>
    <w:next w:val="Normal"/>
    <w:link w:val="SalutationChar"/>
    <w:semiHidden/>
    <w:rsid w:val="00C63303"/>
  </w:style>
  <w:style w:type="character" w:customStyle="1" w:styleId="SalutationChar">
    <w:name w:val="Salutation Char"/>
    <w:basedOn w:val="DefaultParagraphFont"/>
    <w:link w:val="Salutation"/>
    <w:semiHidden/>
    <w:rsid w:val="00D20874"/>
    <w:rPr>
      <w:rFonts w:ascii="Calibri" w:eastAsia="MS Mincho" w:hAnsi="Calibri"/>
      <w:snapToGrid w:val="0"/>
      <w:color w:val="000000" w:themeColor="text2"/>
      <w:lang w:val="en-AU" w:eastAsia="ja-JP"/>
    </w:rPr>
  </w:style>
  <w:style w:type="paragraph" w:styleId="Signature">
    <w:name w:val="Signature"/>
    <w:basedOn w:val="Normal"/>
    <w:link w:val="SignatureChar"/>
    <w:semiHidden/>
    <w:rsid w:val="00C63303"/>
    <w:pPr>
      <w:ind w:left="4252"/>
    </w:pPr>
  </w:style>
  <w:style w:type="character" w:customStyle="1" w:styleId="SignatureChar">
    <w:name w:val="Signature Char"/>
    <w:basedOn w:val="DefaultParagraphFont"/>
    <w:link w:val="Signature"/>
    <w:semiHidden/>
    <w:rsid w:val="00D20874"/>
    <w:rPr>
      <w:rFonts w:ascii="Calibri" w:eastAsia="MS Mincho" w:hAnsi="Calibri"/>
      <w:snapToGrid w:val="0"/>
      <w:color w:val="000000" w:themeColor="text2"/>
      <w:lang w:val="en-AU" w:eastAsia="ja-JP"/>
    </w:rPr>
  </w:style>
  <w:style w:type="character" w:styleId="Strong">
    <w:name w:val="Strong"/>
    <w:basedOn w:val="DefaultParagraphFont"/>
    <w:semiHidden/>
    <w:rsid w:val="00C63303"/>
    <w:rPr>
      <w:rFonts w:asciiTheme="minorHAnsi" w:hAnsiTheme="minorHAnsi" w:cstheme="minorHAnsi"/>
      <w:b/>
      <w:bCs/>
    </w:rPr>
  </w:style>
  <w:style w:type="paragraph" w:styleId="Subtitle">
    <w:name w:val="Subtitle"/>
    <w:basedOn w:val="Normal"/>
    <w:next w:val="Normal"/>
    <w:link w:val="SubtitleChar"/>
    <w:semiHidden/>
    <w:rsid w:val="00C63303"/>
    <w:pPr>
      <w:numPr>
        <w:ilvl w:val="1"/>
      </w:numPr>
    </w:pPr>
    <w:rPr>
      <w:rFonts w:eastAsiaTheme="majorEastAsia"/>
      <w:i/>
      <w:iCs/>
      <w:color w:val="002D62" w:themeColor="accent1"/>
      <w:spacing w:val="15"/>
      <w:sz w:val="24"/>
    </w:rPr>
  </w:style>
  <w:style w:type="character" w:customStyle="1" w:styleId="SubtitleChar">
    <w:name w:val="Subtitle Char"/>
    <w:basedOn w:val="DefaultParagraphFont"/>
    <w:link w:val="Subtitle"/>
    <w:semiHidden/>
    <w:rsid w:val="00D20874"/>
    <w:rPr>
      <w:rFonts w:ascii="Calibri" w:eastAsiaTheme="majorEastAsia" w:hAnsi="Calibri"/>
      <w:i/>
      <w:iCs/>
      <w:snapToGrid w:val="0"/>
      <w:color w:val="002D62" w:themeColor="accent1"/>
      <w:spacing w:val="15"/>
      <w:sz w:val="24"/>
      <w:lang w:val="en-AU" w:eastAsia="ja-JP"/>
    </w:rPr>
  </w:style>
  <w:style w:type="character" w:styleId="SubtleEmphasis">
    <w:name w:val="Subtle Emphasis"/>
    <w:basedOn w:val="DefaultParagraphFont"/>
    <w:semiHidden/>
    <w:rsid w:val="00C63303"/>
    <w:rPr>
      <w:rFonts w:asciiTheme="minorHAnsi" w:hAnsiTheme="minorHAnsi" w:cstheme="minorHAnsi"/>
      <w:i/>
      <w:iCs/>
      <w:color w:val="808080" w:themeColor="text1" w:themeTint="7F"/>
    </w:rPr>
  </w:style>
  <w:style w:type="character" w:styleId="SubtleReference">
    <w:name w:val="Subtle Reference"/>
    <w:basedOn w:val="DefaultParagraphFont"/>
    <w:semiHidden/>
    <w:rsid w:val="00C63303"/>
    <w:rPr>
      <w:rFonts w:asciiTheme="minorHAnsi" w:hAnsiTheme="minorHAnsi" w:cstheme="minorHAnsi"/>
      <w:smallCaps/>
      <w:color w:val="006FBA" w:themeColor="accent2"/>
      <w:u w:val="single"/>
    </w:rPr>
  </w:style>
  <w:style w:type="table" w:styleId="Table3Deffects1">
    <w:name w:val="Table 3D effects 1"/>
    <w:basedOn w:val="TableNormal"/>
    <w:uiPriority w:val="98"/>
    <w:rsid w:val="00C63303"/>
    <w:pPr>
      <w:adjustRightInd w:val="0"/>
      <w:snapToGrid w:val="0"/>
      <w:spacing w:after="80" w:line="240" w:lineRule="atLeast"/>
    </w:pP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C63303"/>
    <w:pPr>
      <w:adjustRightInd w:val="0"/>
      <w:snapToGrid w:val="0"/>
      <w:spacing w:after="80" w:line="240" w:lineRule="atLeast"/>
    </w:pPr>
    <w:tblPr>
      <w:tblStyleRowBandSize w:val="1"/>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C63303"/>
    <w:pPr>
      <w:adjustRightInd w:val="0"/>
      <w:snapToGrid w:val="0"/>
      <w:spacing w:after="80" w:line="240" w:lineRule="atLeast"/>
    </w:pPr>
    <w:tblPr>
      <w:tblStyleRowBandSize w:val="1"/>
      <w:tblStyleColBandSize w:val="1"/>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C63303"/>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C63303"/>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C63303"/>
    <w:pPr>
      <w:adjustRightInd w:val="0"/>
      <w:snapToGrid w:val="0"/>
      <w:spacing w:after="8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C63303"/>
    <w:pPr>
      <w:adjustRightInd w:val="0"/>
      <w:snapToGrid w:val="0"/>
      <w:spacing w:after="8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C63303"/>
    <w:pPr>
      <w:adjustRightInd w:val="0"/>
      <w:snapToGrid w:val="0"/>
      <w:spacing w:after="8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C63303"/>
    <w:pPr>
      <w:adjustRightInd w:val="0"/>
      <w:snapToGrid w:val="0"/>
      <w:spacing w:after="80" w:line="240" w:lineRule="atLeast"/>
    </w:p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C63303"/>
    <w:pPr>
      <w:adjustRightInd w:val="0"/>
      <w:snapToGrid w:val="0"/>
      <w:spacing w:after="8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C63303"/>
    <w:pPr>
      <w:adjustRightInd w:val="0"/>
      <w:snapToGrid w:val="0"/>
      <w:spacing w:after="8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C63303"/>
    <w:pPr>
      <w:adjustRightInd w:val="0"/>
      <w:snapToGrid w:val="0"/>
      <w:spacing w:after="80" w:line="240" w:lineRule="atLeast"/>
    </w:pPr>
    <w:rPr>
      <w:b/>
      <w:bCs/>
    </w:r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C63303"/>
    <w:pPr>
      <w:adjustRightInd w:val="0"/>
      <w:snapToGrid w:val="0"/>
      <w:spacing w:after="8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C63303"/>
    <w:pPr>
      <w:adjustRightInd w:val="0"/>
      <w:snapToGrid w:val="0"/>
      <w:spacing w:after="80" w:line="240" w:lineRule="atLeast"/>
    </w:p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C63303"/>
    <w:pPr>
      <w:adjustRightInd w:val="0"/>
      <w:snapToGrid w:val="0"/>
      <w:spacing w:after="8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C63303"/>
    <w:pPr>
      <w:adjustRightInd w:val="0"/>
      <w:snapToGrid w:val="0"/>
      <w:spacing w:after="80" w:line="240" w:lineRule="atLeast"/>
    </w:p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C63303"/>
    <w:pPr>
      <w:adjustRightInd w:val="0"/>
      <w:snapToGrid w:val="0"/>
      <w:spacing w:after="8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C63303"/>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C63303"/>
    <w:pPr>
      <w:adjustRightInd w:val="0"/>
      <w:snapToGrid w:val="0"/>
      <w:spacing w:after="80" w:line="240" w:lineRule="atLeast"/>
    </w:p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C63303"/>
    <w:pPr>
      <w:adjustRightInd w:val="0"/>
      <w:snapToGrid w:val="0"/>
      <w:spacing w:after="8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C63303"/>
    <w:pPr>
      <w:adjustRightInd w:val="0"/>
      <w:snapToGrid w:val="0"/>
      <w:spacing w:after="8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C63303"/>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C63303"/>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C63303"/>
    <w:pPr>
      <w:adjustRightInd w:val="0"/>
      <w:snapToGrid w:val="0"/>
      <w:spacing w:after="8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C63303"/>
    <w:pPr>
      <w:adjustRightInd w:val="0"/>
      <w:snapToGrid w:val="0"/>
      <w:spacing w:after="8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C63303"/>
    <w:pPr>
      <w:adjustRightInd w:val="0"/>
      <w:snapToGrid w:val="0"/>
      <w:spacing w:after="80"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C63303"/>
    <w:pPr>
      <w:adjustRightInd w:val="0"/>
      <w:snapToGrid w:val="0"/>
      <w:spacing w:after="80"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C63303"/>
    <w:pPr>
      <w:adjustRightInd w:val="0"/>
      <w:snapToGrid w:val="0"/>
      <w:spacing w:after="80"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C63303"/>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C63303"/>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C63303"/>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C63303"/>
    <w:pPr>
      <w:adjustRightInd w:val="0"/>
      <w:snapToGrid w:val="0"/>
      <w:spacing w:after="8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C63303"/>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63303"/>
    <w:pPr>
      <w:ind w:left="200" w:hanging="200"/>
    </w:pPr>
  </w:style>
  <w:style w:type="table" w:styleId="TableProfessional">
    <w:name w:val="Table Professional"/>
    <w:basedOn w:val="TableNormal"/>
    <w:uiPriority w:val="98"/>
    <w:rsid w:val="00C63303"/>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C63303"/>
    <w:pPr>
      <w:adjustRightInd w:val="0"/>
      <w:snapToGrid w:val="0"/>
      <w:spacing w:after="80"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C63303"/>
    <w:pPr>
      <w:adjustRightInd w:val="0"/>
      <w:snapToGrid w:val="0"/>
      <w:spacing w:after="80" w:line="24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C63303"/>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C63303"/>
    <w:pPr>
      <w:adjustRightInd w:val="0"/>
      <w:snapToGrid w:val="0"/>
      <w:spacing w:after="80" w:line="24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C63303"/>
    <w:pPr>
      <w:adjustRightInd w:val="0"/>
      <w:snapToGrid w:val="0"/>
      <w:spacing w:after="80"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C63303"/>
    <w:pPr>
      <w:adjustRightInd w:val="0"/>
      <w:snapToGrid w:val="0"/>
      <w:spacing w:after="8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rsid w:val="00C63303"/>
    <w:pPr>
      <w:adjustRightInd w:val="0"/>
      <w:snapToGrid w:val="0"/>
      <w:spacing w:after="8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8"/>
    <w:rsid w:val="00C63303"/>
    <w:pPr>
      <w:adjustRightInd w:val="0"/>
      <w:snapToGrid w:val="0"/>
      <w:spacing w:after="8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8"/>
    <w:rsid w:val="00C63303"/>
    <w:pPr>
      <w:adjustRightInd w:val="0"/>
      <w:snapToGrid w:val="0"/>
      <w:spacing w:after="8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TOAHeading">
    <w:name w:val="toa heading"/>
    <w:basedOn w:val="Normal"/>
    <w:next w:val="Normal"/>
    <w:semiHidden/>
    <w:rsid w:val="00C63303"/>
    <w:rPr>
      <w:rFonts w:asciiTheme="majorHAnsi" w:eastAsiaTheme="majorEastAsia" w:hAnsiTheme="majorHAnsi" w:cstheme="majorHAnsi"/>
      <w:b/>
      <w:bCs/>
      <w:sz w:val="24"/>
    </w:rPr>
  </w:style>
  <w:style w:type="paragraph" w:styleId="TOC5">
    <w:name w:val="toc 5"/>
    <w:basedOn w:val="Normal"/>
    <w:next w:val="Normal"/>
    <w:autoRedefine/>
    <w:semiHidden/>
    <w:rsid w:val="00C63303"/>
    <w:pPr>
      <w:spacing w:after="100"/>
      <w:ind w:left="800"/>
    </w:pPr>
  </w:style>
  <w:style w:type="paragraph" w:styleId="TOC6">
    <w:name w:val="toc 6"/>
    <w:basedOn w:val="Normal"/>
    <w:next w:val="Normal"/>
    <w:autoRedefine/>
    <w:semiHidden/>
    <w:rsid w:val="00C63303"/>
    <w:pPr>
      <w:spacing w:after="100"/>
      <w:ind w:left="1000"/>
    </w:pPr>
  </w:style>
  <w:style w:type="paragraph" w:styleId="TOC7">
    <w:name w:val="toc 7"/>
    <w:basedOn w:val="Normal"/>
    <w:next w:val="Normal"/>
    <w:autoRedefine/>
    <w:semiHidden/>
    <w:rsid w:val="00C63303"/>
    <w:pPr>
      <w:spacing w:after="100"/>
      <w:ind w:left="1200"/>
    </w:pPr>
  </w:style>
  <w:style w:type="paragraph" w:styleId="TOC8">
    <w:name w:val="toc 8"/>
    <w:basedOn w:val="Normal"/>
    <w:next w:val="Normal"/>
    <w:autoRedefine/>
    <w:semiHidden/>
    <w:rsid w:val="00C63303"/>
    <w:pPr>
      <w:spacing w:after="100"/>
      <w:ind w:left="1400"/>
    </w:pPr>
  </w:style>
  <w:style w:type="paragraph" w:styleId="TOC9">
    <w:name w:val="toc 9"/>
    <w:basedOn w:val="Normal"/>
    <w:next w:val="Normal"/>
    <w:autoRedefine/>
    <w:semiHidden/>
    <w:rsid w:val="00C63303"/>
    <w:pPr>
      <w:spacing w:after="100"/>
      <w:ind w:left="1600"/>
    </w:pPr>
  </w:style>
  <w:style w:type="table" w:customStyle="1" w:styleId="LayoutGrid">
    <w:name w:val="Layout Grid"/>
    <w:basedOn w:val="TableNormal"/>
    <w:uiPriority w:val="99"/>
    <w:rsid w:val="00EE3284"/>
    <w:rPr>
      <w:rFonts w:asciiTheme="minorHAnsi" w:hAnsiTheme="minorHAnsi"/>
    </w:rPr>
    <w:tblPr>
      <w:tblCellMar>
        <w:left w:w="0" w:type="dxa"/>
        <w:right w:w="0" w:type="dxa"/>
      </w:tblCellMar>
    </w:tblPr>
  </w:style>
  <w:style w:type="character" w:customStyle="1" w:styleId="HeaderChar">
    <w:name w:val="Header Char"/>
    <w:basedOn w:val="DefaultParagraphFont"/>
    <w:link w:val="Header"/>
    <w:uiPriority w:val="9"/>
    <w:rsid w:val="00D20874"/>
    <w:rPr>
      <w:rFonts w:ascii="Calibri" w:eastAsia="MS Mincho" w:hAnsi="Calibri"/>
      <w:snapToGrid w:val="0"/>
      <w:sz w:val="16"/>
      <w:lang w:val="en-AU" w:eastAsia="ja-JP"/>
    </w:rPr>
  </w:style>
  <w:style w:type="paragraph" w:customStyle="1" w:styleId="Headline">
    <w:name w:val="Headline"/>
    <w:basedOn w:val="Normal"/>
    <w:next w:val="Normal"/>
    <w:semiHidden/>
    <w:qFormat/>
    <w:rsid w:val="008112BE"/>
    <w:pPr>
      <w:framePr w:w="10206" w:h="1758" w:hRule="exact" w:vSpace="284" w:wrap="around" w:vAnchor="text" w:hAnchor="text" w:y="1"/>
      <w:pBdr>
        <w:top w:val="dotted" w:sz="12" w:space="15" w:color="000000" w:themeColor="text2"/>
        <w:bottom w:val="dotted" w:sz="12" w:space="0" w:color="000000" w:themeColor="text2"/>
      </w:pBdr>
    </w:pPr>
    <w:rPr>
      <w:caps/>
      <w:sz w:val="50"/>
    </w:rPr>
  </w:style>
  <w:style w:type="paragraph" w:customStyle="1" w:styleId="HeaderTitle">
    <w:name w:val="Header Title"/>
    <w:basedOn w:val="Header"/>
    <w:uiPriority w:val="1"/>
    <w:qFormat/>
    <w:rsid w:val="000C6732"/>
    <w:pPr>
      <w:spacing w:before="360" w:line="300" w:lineRule="atLeast"/>
    </w:pPr>
    <w:rPr>
      <w:rFonts w:ascii="Arial" w:hAnsi="Arial"/>
      <w:caps/>
      <w:color w:val="FFFFFF"/>
      <w:sz w:val="34"/>
    </w:rPr>
  </w:style>
  <w:style w:type="numbering" w:customStyle="1" w:styleId="ListBullets">
    <w:name w:val="ListBullets"/>
    <w:uiPriority w:val="99"/>
    <w:rsid w:val="00746EFF"/>
    <w:pPr>
      <w:numPr>
        <w:numId w:val="10"/>
      </w:numPr>
    </w:pPr>
  </w:style>
  <w:style w:type="numbering" w:customStyle="1" w:styleId="AppendixList">
    <w:name w:val="Appendix List"/>
    <w:uiPriority w:val="99"/>
    <w:rsid w:val="00A52CF9"/>
    <w:pPr>
      <w:numPr>
        <w:numId w:val="11"/>
      </w:numPr>
    </w:pPr>
  </w:style>
  <w:style w:type="numbering" w:customStyle="1" w:styleId="TableList">
    <w:name w:val="TableList"/>
    <w:uiPriority w:val="99"/>
    <w:rsid w:val="00EE693E"/>
    <w:pPr>
      <w:numPr>
        <w:numId w:val="12"/>
      </w:numPr>
    </w:pPr>
  </w:style>
  <w:style w:type="character" w:customStyle="1" w:styleId="Mention1">
    <w:name w:val="Mention1"/>
    <w:basedOn w:val="DefaultParagraphFont"/>
    <w:semiHidden/>
    <w:unhideWhenUsed/>
    <w:rsid w:val="00CF4088"/>
    <w:rPr>
      <w:color w:val="2B579A"/>
      <w:shd w:val="clear" w:color="auto" w:fill="E6E6E6"/>
    </w:rPr>
  </w:style>
  <w:style w:type="paragraph" w:customStyle="1" w:styleId="FooterContacts">
    <w:name w:val="Footer Contacts"/>
    <w:basedOn w:val="Footer"/>
    <w:link w:val="FooterContactsChar"/>
    <w:uiPriority w:val="11"/>
    <w:qFormat/>
    <w:rsid w:val="004A61C7"/>
    <w:pPr>
      <w:adjustRightInd w:val="0"/>
      <w:snapToGrid w:val="0"/>
    </w:pPr>
    <w:rPr>
      <w:rFonts w:cstheme="majorHAnsi"/>
      <w:color w:val="FFFFFF"/>
      <w:spacing w:val="-2"/>
      <w:sz w:val="20"/>
    </w:rPr>
  </w:style>
  <w:style w:type="numbering" w:customStyle="1" w:styleId="NumberedHeadings">
    <w:name w:val="Numbered Headings"/>
    <w:uiPriority w:val="99"/>
    <w:rsid w:val="00176E3C"/>
    <w:pPr>
      <w:numPr>
        <w:numId w:val="14"/>
      </w:numPr>
    </w:pPr>
  </w:style>
  <w:style w:type="paragraph" w:customStyle="1" w:styleId="IntroCopy">
    <w:name w:val="IntroCopy"/>
    <w:basedOn w:val="Normal"/>
    <w:semiHidden/>
    <w:rsid w:val="00ED28D2"/>
    <w:pPr>
      <w:framePr w:w="10206" w:vSpace="57" w:wrap="around" w:hAnchor="margin" w:y="1362" w:anchorLock="1"/>
      <w:spacing w:after="1100" w:line="360" w:lineRule="atLeast"/>
      <w:ind w:right="1701"/>
      <w:contextualSpacing/>
    </w:pPr>
    <w:rPr>
      <w:color w:val="002D62" w:themeColor="accent1"/>
      <w:sz w:val="28"/>
    </w:rPr>
  </w:style>
  <w:style w:type="character" w:customStyle="1" w:styleId="FooterChar">
    <w:name w:val="Footer Char"/>
    <w:link w:val="Footer"/>
    <w:uiPriority w:val="9"/>
    <w:rsid w:val="007E76B0"/>
    <w:rPr>
      <w:rFonts w:asciiTheme="minorHAnsi" w:eastAsia="MS Mincho" w:hAnsiTheme="minorHAnsi"/>
      <w:snapToGrid w:val="0"/>
      <w:color w:val="002D62" w:themeColor="accent1"/>
      <w:sz w:val="16"/>
      <w:lang w:val="en-AU" w:eastAsia="ja-JP"/>
    </w:rPr>
  </w:style>
  <w:style w:type="numbering" w:customStyle="1" w:styleId="TableBulletList">
    <w:name w:val="TableBullet List"/>
    <w:uiPriority w:val="99"/>
    <w:rsid w:val="00250974"/>
    <w:pPr>
      <w:numPr>
        <w:numId w:val="15"/>
      </w:numPr>
    </w:pPr>
  </w:style>
  <w:style w:type="character" w:customStyle="1" w:styleId="FooterContactsChar">
    <w:name w:val="Footer Contacts Char"/>
    <w:basedOn w:val="FooterChar"/>
    <w:link w:val="FooterContacts"/>
    <w:uiPriority w:val="11"/>
    <w:rsid w:val="004A61C7"/>
    <w:rPr>
      <w:rFonts w:ascii="Arial" w:eastAsia="MS Mincho" w:hAnsi="Arial" w:cstheme="majorHAnsi"/>
      <w:snapToGrid w:val="0"/>
      <w:color w:val="FFFFFF"/>
      <w:spacing w:val="-2"/>
      <w:sz w:val="16"/>
      <w:lang w:val="en-AU" w:eastAsia="ja-JP"/>
    </w:rPr>
  </w:style>
  <w:style w:type="paragraph" w:customStyle="1" w:styleId="Head20">
    <w:name w:val="Head 2.0"/>
    <w:basedOn w:val="HeaderTitle"/>
    <w:qFormat/>
    <w:rsid w:val="00111715"/>
    <w:pPr>
      <w:adjustRightInd w:val="0"/>
      <w:snapToGrid w:val="0"/>
      <w:spacing w:before="0" w:after="200" w:line="240" w:lineRule="auto"/>
    </w:pPr>
    <w:rPr>
      <w:rFonts w:asciiTheme="minorHAnsi" w:hAnsiTheme="minorHAnsi"/>
      <w:caps w:val="0"/>
      <w:color w:val="auto"/>
      <w:sz w:val="32"/>
    </w:rPr>
  </w:style>
  <w:style w:type="paragraph" w:customStyle="1" w:styleId="CalloutHeading">
    <w:name w:val="Callout Heading"/>
    <w:basedOn w:val="Normal"/>
    <w:next w:val="CalloutText"/>
    <w:qFormat/>
    <w:rsid w:val="00D64300"/>
    <w:pPr>
      <w:spacing w:before="120"/>
      <w:ind w:left="170" w:right="57"/>
    </w:pPr>
    <w:rPr>
      <w:b/>
      <w:color w:val="002D62" w:themeColor="accent1"/>
      <w:sz w:val="26"/>
    </w:rPr>
  </w:style>
  <w:style w:type="paragraph" w:customStyle="1" w:styleId="CalloutText">
    <w:name w:val="Callout Text"/>
    <w:basedOn w:val="Normal"/>
    <w:qFormat/>
    <w:rsid w:val="00D64300"/>
    <w:pPr>
      <w:ind w:left="170" w:right="57"/>
    </w:pPr>
    <w:rPr>
      <w:rFonts w:cstheme="majorHAnsi"/>
    </w:rPr>
  </w:style>
  <w:style w:type="character" w:customStyle="1" w:styleId="UnresolvedMention1">
    <w:name w:val="Unresolved Mention1"/>
    <w:basedOn w:val="DefaultParagraphFont"/>
    <w:uiPriority w:val="99"/>
    <w:semiHidden/>
    <w:unhideWhenUsed/>
    <w:rsid w:val="0013633F"/>
    <w:rPr>
      <w:color w:val="808080"/>
      <w:shd w:val="clear" w:color="auto" w:fill="E6E6E6"/>
    </w:rPr>
  </w:style>
  <w:style w:type="paragraph" w:customStyle="1" w:styleId="TableBullets">
    <w:name w:val="Table Bullets"/>
    <w:basedOn w:val="ListBullet"/>
    <w:next w:val="Normal"/>
    <w:qFormat/>
    <w:rsid w:val="0062231D"/>
    <w:pPr>
      <w:spacing w:line="240" w:lineRule="atLeast"/>
      <w:ind w:left="425" w:hanging="227"/>
    </w:pPr>
  </w:style>
  <w:style w:type="paragraph" w:styleId="NoSpacing">
    <w:name w:val="No Spacing"/>
    <w:rsid w:val="0076084C"/>
    <w:pPr>
      <w:adjustRightInd w:val="0"/>
      <w:snapToGrid w:val="0"/>
    </w:pPr>
    <w:rPr>
      <w:rFonts w:ascii="Arial" w:eastAsia="MS Mincho" w:hAnsi="Arial"/>
      <w:snapToGrid w:val="0"/>
      <w:color w:val="000000" w:themeColor="text2"/>
      <w:lang w:val="en-AU" w:eastAsia="ja-JP"/>
    </w:rPr>
  </w:style>
  <w:style w:type="paragraph" w:customStyle="1" w:styleId="PrintInstructions">
    <w:name w:val="Print Instructions"/>
    <w:basedOn w:val="Normal"/>
    <w:qFormat/>
    <w:rsid w:val="005B6859"/>
    <w:rPr>
      <w:vanish/>
      <w:color w:val="FF0000"/>
      <w:sz w:val="24"/>
    </w:rPr>
  </w:style>
  <w:style w:type="paragraph" w:customStyle="1" w:styleId="ReportTitle">
    <w:name w:val="Report Title"/>
    <w:basedOn w:val="Normal"/>
    <w:qFormat/>
    <w:rsid w:val="00716244"/>
    <w:pPr>
      <w:spacing w:line="240" w:lineRule="auto"/>
    </w:pPr>
    <w:rPr>
      <w:rFonts w:ascii="Georgia" w:hAnsi="Georgia"/>
      <w:sz w:val="60"/>
    </w:rPr>
  </w:style>
  <w:style w:type="character" w:styleId="UnresolvedMention">
    <w:name w:val="Unresolved Mention"/>
    <w:basedOn w:val="DefaultParagraphFont"/>
    <w:uiPriority w:val="99"/>
    <w:semiHidden/>
    <w:unhideWhenUsed/>
    <w:rsid w:val="007E76B0"/>
    <w:rPr>
      <w:color w:val="605E5C"/>
      <w:shd w:val="clear" w:color="auto" w:fill="E1DFDD"/>
    </w:rPr>
  </w:style>
  <w:style w:type="character" w:styleId="Mention">
    <w:name w:val="Mention"/>
    <w:basedOn w:val="DefaultParagraphFont"/>
    <w:uiPriority w:val="99"/>
    <w:unhideWhenUsed/>
    <w:rsid w:val="00F114A9"/>
    <w:rPr>
      <w:color w:val="2B579A"/>
      <w:shd w:val="clear" w:color="auto" w:fill="E1DFDD"/>
    </w:rPr>
  </w:style>
  <w:style w:type="numbering" w:customStyle="1" w:styleId="Bullets">
    <w:name w:val="Bullets"/>
    <w:uiPriority w:val="99"/>
    <w:rsid w:val="00F114A9"/>
    <w:pPr>
      <w:numPr>
        <w:numId w:val="16"/>
      </w:numPr>
    </w:pPr>
  </w:style>
  <w:style w:type="paragraph" w:styleId="TOC1">
    <w:name w:val="toc 1"/>
    <w:basedOn w:val="Normal"/>
    <w:next w:val="Normal"/>
    <w:autoRedefine/>
    <w:uiPriority w:val="39"/>
    <w:unhideWhenUsed/>
    <w:rsid w:val="00F114A9"/>
    <w:pPr>
      <w:tabs>
        <w:tab w:val="right" w:leader="dot" w:pos="9060"/>
      </w:tabs>
      <w:spacing w:after="100"/>
    </w:pPr>
  </w:style>
  <w:style w:type="paragraph" w:styleId="TOC2">
    <w:name w:val="toc 2"/>
    <w:basedOn w:val="Normal"/>
    <w:next w:val="Normal"/>
    <w:autoRedefine/>
    <w:uiPriority w:val="39"/>
    <w:unhideWhenUsed/>
    <w:rsid w:val="00F114A9"/>
    <w:pPr>
      <w:tabs>
        <w:tab w:val="right" w:leader="dot" w:pos="9060"/>
      </w:tabs>
      <w:spacing w:after="100"/>
      <w:ind w:left="200"/>
    </w:pPr>
  </w:style>
  <w:style w:type="paragraph" w:styleId="TOC3">
    <w:name w:val="toc 3"/>
    <w:basedOn w:val="Normal"/>
    <w:next w:val="Normal"/>
    <w:autoRedefine/>
    <w:uiPriority w:val="39"/>
    <w:unhideWhenUsed/>
    <w:rsid w:val="00F114A9"/>
    <w:pPr>
      <w:tabs>
        <w:tab w:val="right" w:leader="dot" w:pos="9060"/>
      </w:tabs>
      <w:spacing w:after="100"/>
      <w:ind w:left="400"/>
    </w:pPr>
    <w:rPr>
      <w:color w:val="002D62" w:themeColor="background2"/>
    </w:rPr>
  </w:style>
  <w:style w:type="paragraph" w:customStyle="1" w:styleId="Cover-Bottom">
    <w:name w:val="Cover - Bottom"/>
    <w:basedOn w:val="Normal"/>
    <w:qFormat/>
    <w:rsid w:val="00F114A9"/>
    <w:pPr>
      <w:framePr w:w="5250" w:h="5670" w:wrap="around" w:vAnchor="page" w:hAnchor="margin" w:y="8506" w:anchorLock="1"/>
      <w:adjustRightInd/>
      <w:snapToGrid/>
      <w:spacing w:before="0" w:after="360" w:line="276" w:lineRule="auto"/>
      <w:contextualSpacing/>
    </w:pPr>
    <w:rPr>
      <w:rFonts w:eastAsiaTheme="minorHAnsi" w:cstheme="minorBidi"/>
      <w:snapToGrid/>
      <w:color w:val="auto"/>
      <w:szCs w:val="22"/>
      <w:lang w:eastAsia="en-US"/>
    </w:rPr>
  </w:style>
  <w:style w:type="paragraph" w:customStyle="1" w:styleId="Style1">
    <w:name w:val="Style1"/>
    <w:basedOn w:val="CalloutText"/>
    <w:qFormat/>
    <w:rsid w:val="00F114A9"/>
    <w:pPr>
      <w:numPr>
        <w:numId w:val="18"/>
      </w:numPr>
      <w:ind w:left="360"/>
    </w:pPr>
  </w:style>
  <w:style w:type="paragraph" w:customStyle="1" w:styleId="Boxheader">
    <w:name w:val="Box header"/>
    <w:basedOn w:val="Heading2"/>
    <w:next w:val="Normal"/>
    <w:link w:val="BoxheaderChar"/>
    <w:qFormat/>
    <w:rsid w:val="002B7E67"/>
    <w:pPr>
      <w:pBdr>
        <w:top w:val="single" w:sz="4" w:space="1" w:color="auto"/>
        <w:left w:val="single" w:sz="4" w:space="4" w:color="auto"/>
        <w:bottom w:val="single" w:sz="4" w:space="1" w:color="auto"/>
        <w:right w:val="single" w:sz="4" w:space="4" w:color="auto"/>
      </w:pBdr>
    </w:pPr>
    <w:rPr>
      <w:color w:val="002D62" w:themeColor="background2"/>
    </w:rPr>
  </w:style>
  <w:style w:type="paragraph" w:styleId="Title">
    <w:name w:val="Title"/>
    <w:basedOn w:val="Normal"/>
    <w:next w:val="Normal"/>
    <w:link w:val="TitleChar"/>
    <w:rsid w:val="00A9170A"/>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Heading2Char">
    <w:name w:val="Heading 2 Char"/>
    <w:aliases w:val="Head 3 Char"/>
    <w:basedOn w:val="DefaultParagraphFont"/>
    <w:link w:val="Heading2"/>
    <w:uiPriority w:val="3"/>
    <w:rsid w:val="002B7E67"/>
    <w:rPr>
      <w:rFonts w:asciiTheme="minorHAnsi" w:eastAsia="MS Mincho" w:hAnsiTheme="minorHAnsi" w:cstheme="majorHAnsi"/>
      <w:b/>
      <w:bCs/>
      <w:iCs/>
      <w:snapToGrid w:val="0"/>
      <w:sz w:val="22"/>
      <w:szCs w:val="28"/>
      <w:lang w:val="en-AU" w:eastAsia="ja-JP"/>
    </w:rPr>
  </w:style>
  <w:style w:type="character" w:customStyle="1" w:styleId="BoxheaderChar">
    <w:name w:val="Box header Char"/>
    <w:basedOn w:val="Heading2Char"/>
    <w:link w:val="Boxheader"/>
    <w:rsid w:val="002B7E67"/>
    <w:rPr>
      <w:rFonts w:asciiTheme="minorHAnsi" w:eastAsia="MS Mincho" w:hAnsiTheme="minorHAnsi" w:cstheme="majorHAnsi"/>
      <w:b/>
      <w:bCs/>
      <w:iCs/>
      <w:snapToGrid w:val="0"/>
      <w:color w:val="002D62" w:themeColor="background2"/>
      <w:sz w:val="22"/>
      <w:szCs w:val="28"/>
      <w:lang w:val="en-AU" w:eastAsia="ja-JP"/>
    </w:rPr>
  </w:style>
  <w:style w:type="character" w:customStyle="1" w:styleId="TitleChar">
    <w:name w:val="Title Char"/>
    <w:basedOn w:val="DefaultParagraphFont"/>
    <w:link w:val="Title"/>
    <w:rsid w:val="00A9170A"/>
    <w:rPr>
      <w:rFonts w:asciiTheme="majorHAnsi" w:eastAsiaTheme="majorEastAsia" w:hAnsiTheme="majorHAnsi" w:cstheme="majorBidi"/>
      <w:snapToGrid w:val="0"/>
      <w:spacing w:val="-10"/>
      <w:kern w:val="28"/>
      <w:sz w:val="56"/>
      <w:szCs w:val="56"/>
      <w:lang w:val="en-AU" w:eastAsia="ja-JP"/>
    </w:rPr>
  </w:style>
  <w:style w:type="paragraph" w:styleId="TOCHeading">
    <w:name w:val="TOC Heading"/>
    <w:basedOn w:val="Heading1"/>
    <w:next w:val="Normal"/>
    <w:unhideWhenUsed/>
    <w:rsid w:val="00A9170A"/>
    <w:pPr>
      <w:keepLines/>
      <w:spacing w:before="240" w:after="0" w:line="288" w:lineRule="auto"/>
      <w:outlineLvl w:val="9"/>
    </w:pPr>
    <w:rPr>
      <w:rFonts w:asciiTheme="majorHAnsi" w:eastAsiaTheme="majorEastAsia" w:hAnsiTheme="majorHAnsi" w:cstheme="majorBidi"/>
      <w:bCs w:val="0"/>
      <w:color w:val="002149"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9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ventures.com.au/partners-in-recovery/" TargetMode="External"/><Relationship Id="rId18" Type="http://schemas.openxmlformats.org/officeDocument/2006/relationships/hyperlink" Target="https://www.socialventures.com.au/sva-quarterly/a-guide-to-outcomes-contracting-and-social-impact-bond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pc.gov.au/inquiries/completed/education-evidence" TargetMode="External"/><Relationship Id="rId7" Type="http://schemas.openxmlformats.org/officeDocument/2006/relationships/settings" Target="settings.xml"/><Relationship Id="rId12" Type="http://schemas.openxmlformats.org/officeDocument/2006/relationships/hyperlink" Target="https://www.philanthropy.org.au/our-impact/a-blueprint-to-grow-structured-giving/" TargetMode="External"/><Relationship Id="rId17" Type="http://schemas.openxmlformats.org/officeDocument/2006/relationships/hyperlink" Target="https://www.socialventures.com.au/learning-insights/sva-fundamentals-impac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ocialventures.com.au/consulting/sroi-training/" TargetMode="External"/><Relationship Id="rId20" Type="http://schemas.openxmlformats.org/officeDocument/2006/relationships/hyperlink" Target="https://www.pc.gov.au/__data/assets/pdf_file/0004/199714/sub059-education-evidenc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ocialventures.com.au/sva-quarterly/a-guide-to-social-impact-measurement/"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videnceforlearning.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ventures.com.au/work/paying-what-it-takes-report/" TargetMode="External"/><Relationship Id="rId22" Type="http://schemas.openxmlformats.org/officeDocument/2006/relationships/hyperlink" Target="https://www.edresearch.edu.au/"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nfo@socialventures.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ocialventures.com.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nfoxchange.org/au/digital-technology-not-for-profit-sector" TargetMode="External"/><Relationship Id="rId13" Type="http://schemas.openxmlformats.org/officeDocument/2006/relationships/hyperlink" Target="../Shared%20measurement:%20easier%20than%20you%20think" TargetMode="External"/><Relationship Id="rId18" Type="http://schemas.openxmlformats.org/officeDocument/2006/relationships/hyperlink" Target="https://www.pc.gov.au/inquiries/completed/indigenous-evaluation" TargetMode="External"/><Relationship Id="rId3" Type="http://schemas.openxmlformats.org/officeDocument/2006/relationships/hyperlink" Target="https://www.socialventures.com.au/work/covid-19-policy-snapshot-why-charities-need-tailored-support/" TargetMode="External"/><Relationship Id="rId7" Type="http://schemas.openxmlformats.org/officeDocument/2006/relationships/hyperlink" Target="https://www.infoxchange.org/au/digital-technology-not-for-profit-sector" TargetMode="External"/><Relationship Id="rId12" Type="http://schemas.openxmlformats.org/officeDocument/2006/relationships/hyperlink" Target="https://svaltd.sharepoint.com/sites/ReportssubmissionsPA/Shared%20Documents/2.%20Reports_Submissions/Submissions/Shared%20measurement:%20easier%20than%20you%20think" TargetMode="External"/><Relationship Id="rId17" Type="http://schemas.openxmlformats.org/officeDocument/2006/relationships/hyperlink" Target="https://www.socialventures.com.au/sva-quarterly/indigenous-evaluation-how-you-do-it-is-as-important-as-what-you-find-out/" TargetMode="External"/><Relationship Id="rId2" Type="http://schemas.openxmlformats.org/officeDocument/2006/relationships/hyperlink" Target="https://scholarworks.iupui.edu/handle/1805/6367" TargetMode="External"/><Relationship Id="rId16" Type="http://schemas.openxmlformats.org/officeDocument/2006/relationships/hyperlink" Target="https://www.socialventures.com.au/sva-quarterly/data-sovereignty-community-control-and-better-outcomes/" TargetMode="External"/><Relationship Id="rId20" Type="http://schemas.openxmlformats.org/officeDocument/2006/relationships/hyperlink" Target="https://www.latrobe.edu.au/__data/assets/pdf_file/0009/741852/CSSI_POAP_VicHealth-2008-12-Social-Glue_20160714.pdf" TargetMode="External"/><Relationship Id="rId1" Type="http://schemas.openxmlformats.org/officeDocument/2006/relationships/hyperlink" Target="https://www.socialventures.com.au/sva-quarterly/insights-to-grow-philanthropic-giving-for-not-for-profits" TargetMode="External"/><Relationship Id="rId6" Type="http://schemas.openxmlformats.org/officeDocument/2006/relationships/hyperlink" Target="https://www.infoxchange.org/au/digital-technology-not-for-profit-sector" TargetMode="External"/><Relationship Id="rId11" Type="http://schemas.openxmlformats.org/officeDocument/2006/relationships/hyperlink" Target="https://disabilityhousingoutcomes.com/" TargetMode="External"/><Relationship Id="rId5" Type="http://schemas.openxmlformats.org/officeDocument/2006/relationships/hyperlink" Target="https://www.socialventures.com.au/work/paying-what-it-takes-report/" TargetMode="External"/><Relationship Id="rId15" Type="http://schemas.openxmlformats.org/officeDocument/2006/relationships/hyperlink" Target="https://www.socialventures.com.au/sva-quarterly/how-can-evaluation-better-recognise-indigenous-self-determination/" TargetMode="External"/><Relationship Id="rId10" Type="http://schemas.openxmlformats.org/officeDocument/2006/relationships/hyperlink" Target="https://www.socialventures.com.au/work/covid-19-policy-snapshot-why-charities-need-tailored-support/" TargetMode="External"/><Relationship Id="rId19" Type="http://schemas.openxmlformats.org/officeDocument/2006/relationships/hyperlink" Target="https://www.pc.gov.au/inquiries/completed/not-for-profit" TargetMode="External"/><Relationship Id="rId4" Type="http://schemas.openxmlformats.org/officeDocument/2006/relationships/hyperlink" Target="https://ssir.org/articles/entry/the_nonprofit_starvation_cycle" TargetMode="External"/><Relationship Id="rId9" Type="http://schemas.openxmlformats.org/officeDocument/2006/relationships/hyperlink" Target="https://www.socialventures.com.au/work/paying-what-it-takes-report/" TargetMode="External"/><Relationship Id="rId14" Type="http://schemas.openxmlformats.org/officeDocument/2006/relationships/hyperlink" Target="https://www.socialventures.com.au/blog/how-svas-review-project-supports-improvements-in-youth-employment-progra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SVA_Colours">
  <a:themeElements>
    <a:clrScheme name="SVA Consulting Colours">
      <a:dk1>
        <a:srgbClr val="000000"/>
      </a:dk1>
      <a:lt1>
        <a:srgbClr val="FFFFFF"/>
      </a:lt1>
      <a:dk2>
        <a:srgbClr val="000000"/>
      </a:dk2>
      <a:lt2>
        <a:srgbClr val="002D62"/>
      </a:lt2>
      <a:accent1>
        <a:srgbClr val="002D62"/>
      </a:accent1>
      <a:accent2>
        <a:srgbClr val="006FBA"/>
      </a:accent2>
      <a:accent3>
        <a:srgbClr val="58B6E7"/>
      </a:accent3>
      <a:accent4>
        <a:srgbClr val="B9AA79"/>
      </a:accent4>
      <a:accent5>
        <a:srgbClr val="B2B5AB"/>
      </a:accent5>
      <a:accent6>
        <a:srgbClr val="FAA41A"/>
      </a:accent6>
      <a:hlink>
        <a:srgbClr val="6E5023"/>
      </a:hlink>
      <a:folHlink>
        <a:srgbClr val="998542"/>
      </a:folHlink>
    </a:clrScheme>
    <a:fontScheme name="SVA Fonts">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Grey">
      <a:srgbClr val="B1B3AA"/>
    </a:custClr>
    <a:custClr name="Olive">
      <a:srgbClr val="B1A87A"/>
    </a:custClr>
    <a:custClr name="Green">
      <a:srgbClr val="B2B935"/>
    </a:custClr>
  </a:custClrLst>
  <a:extLst>
    <a:ext uri="{05A4C25C-085E-4340-85A3-A5531E510DB2}">
      <thm15:themeFamily xmlns:thm15="http://schemas.microsoft.com/office/thememl/2012/main" name="Master_SVA.potx" id="{FF92C3A6-D1A4-47C0-BD04-734457185EFA}" vid="{8EA6CDFD-41E1-4B8F-913F-076706CFB140}"/>
    </a:ext>
  </a:extLst>
</a:theme>
</file>

<file path=customUI/customUI.xml><?xml version="1.0" encoding="utf-8"?>
<customUI xmlns="http://schemas.microsoft.com/office/2006/01/customui">
  <ribbon>
    <tabs>
      <tab id="customTab" label="SVA" insertBeforeMso="TabHome">
        <group id="customGroup" label="Styles">
          <button idMso="StylesPane" label="View Styles" size="large" imageMso="ChangeStylesMenu"/>
          <separator id="styleSep"/>
          <button idMso="StyleNormal" visible="true" size="large" label="Normal" imageMso="AlignLeft"/>
          <separator id="separator1"/>
          <button idMso="Heading1Apply" size="normal" label="Heading 1" imageMso="_1"/>
          <button idMso="Heading2Apply" size="normal" label="Heading 2" imageMso="_2"/>
          <menu id="MenuStyles" label="Other Styles" size="normal" imageMso="Bullets">
            <toggleButton idMso="Bold" label="Bold" imageMso="Bold"/>
            <toggleButton idMso="Italic" label="Italic" imageMso="Italic"/>
            <toggleButton idMso="Underline" label="Underline" imageMso="Underline"/>
          </menu>
          <separator id="test"/>
          <menu id="SplitMenuBullet" label="Bullets" size="normal" imageMso="Bullets">
            <button id="Style_List_Bullet_1" label="Bullets Level 1" onAction="RibbonXOnAction" tag="ApplyStyle_List_Bullet" imageMso="Bullets"/>
            <button id="Style_List_Bullet_2" label="Bullets Level 2" onAction="RibbonXOnAction" tag="ApplyStyle_List_Bullet_2" imageMso="Bullets"/>
          </menu>
          <button id="Style_Hyperlink" label="Hyperlink" onAction="RibbonXOnAction" tag="ApplyStyle_Hyperlink" imageMso="Hyperlink"/>
          <dialogBoxLauncher>
            <button idMso="StylesPane"/>
          </dialogBoxLauncher>
        </group>
        <group id="customGroup3" label="Tools">
          <button id="InsertCallout" label="Insert Callout" size="large" imageMso="SmartArtAddShape" visible="true" onAction="InsertCallout"/>
          <separator id="separator"/>
          <button id="PasteUnformatted" label="Paste Unformatted" size="large" onAction="PasteUnformatted" imageMso="Paste"/>
          <toggleButton idMso="TableShowGridlines" visible="true" size="large" label="Show Gridlines"/>
          <toggleButton idMso="ParagraphMarks" visible="true"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9" ma:contentTypeDescription="Create a new document." ma:contentTypeScope="" ma:versionID="c7c797a36ad07e0b036581716d8a2b24">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f61da0fa3abbbd8314f808437009013a"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C3502-BF63-4DB6-A789-7CB685F509AB}">
  <ds:schemaRefs>
    <ds:schemaRef ds:uri="http://schemas.microsoft.com/office/2006/metadata/properties"/>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612EB94F-56E4-448F-90F5-D0BDEC9ED105}">
  <ds:schemaRefs>
    <ds:schemaRef ds:uri="http://schemas.openxmlformats.org/officeDocument/2006/bibliography"/>
  </ds:schemaRefs>
</ds:datastoreItem>
</file>

<file path=customXml/itemProps3.xml><?xml version="1.0" encoding="utf-8"?>
<ds:datastoreItem xmlns:ds="http://schemas.openxmlformats.org/officeDocument/2006/customXml" ds:itemID="{03409936-24AB-42D6-A0F4-E7F5BA0D345C}">
  <ds:schemaRefs>
    <ds:schemaRef ds:uri="http://schemas.microsoft.com/sharepoint/v3/contenttype/forms"/>
  </ds:schemaRefs>
</ds:datastoreItem>
</file>

<file path=customXml/itemProps4.xml><?xml version="1.0" encoding="utf-8"?>
<ds:datastoreItem xmlns:ds="http://schemas.openxmlformats.org/officeDocument/2006/customXml" ds:itemID="{389E753D-A116-4E5D-A24C-AEBA77B1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6042</Words>
  <Characters>34445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Submission 262 - Social Ventures Australia (SVA) - Philanthropy - Public inquiry</vt:lpstr>
    </vt:vector>
  </TitlesOfParts>
  <Company>Social Ventures Australia (SVA) </Company>
  <LinksUpToDate>false</LinksUpToDate>
  <CharactersWithSpaces>40407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262 - Social Ventures Australia (SVA) - Philanthropy - Public inquiry</dc:title>
  <dc:subject/>
  <dc:creator>Social Ventures Australia (SVA) </dc:creator>
  <cp:keywords/>
  <cp:lastModifiedBy>Chris Alston</cp:lastModifiedBy>
  <cp:revision>4</cp:revision>
  <cp:lastPrinted>2023-06-07T03:08:00Z</cp:lastPrinted>
  <dcterms:created xsi:type="dcterms:W3CDTF">2023-05-31T06:00:00Z</dcterms:created>
  <dcterms:modified xsi:type="dcterms:W3CDTF">2023-06-07T03:09:00Z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