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3F" w:rsidRDefault="004B313F" w:rsidP="004B313F">
      <w:pPr>
        <w:shd w:val="clear" w:color="auto" w:fill="FFFFFF"/>
        <w:spacing w:before="120"/>
        <w:rPr>
          <w:rFonts w:ascii="Calibri" w:eastAsia="Times New Roman" w:hAnsi="Calibri"/>
          <w:color w:val="000000"/>
        </w:rPr>
      </w:pPr>
      <w:bookmarkStart w:id="0" w:name="_GoBack"/>
      <w:bookmarkEnd w:id="0"/>
      <w:r>
        <w:rPr>
          <w:rFonts w:ascii="Calibri" w:eastAsia="Times New Roman" w:hAnsi="Calibri"/>
          <w:color w:val="000000"/>
        </w:rPr>
        <w:t xml:space="preserve">Dear Imogen </w:t>
      </w:r>
    </w:p>
    <w:p w:rsidR="004B313F" w:rsidRDefault="004B313F" w:rsidP="004B313F">
      <w:pPr>
        <w:shd w:val="clear" w:color="auto" w:fill="FFFFFF"/>
        <w:spacing w:before="120"/>
        <w:rPr>
          <w:rFonts w:eastAsia="Times New Roman"/>
          <w:color w:val="000000"/>
          <w:sz w:val="20"/>
          <w:szCs w:val="20"/>
        </w:rPr>
      </w:pP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 xml:space="preserve">Thank you for your correspondence, I am sorry that sometimes my passion for the welfare of companion pets makes my vernacular colourful, but then again don’t we all have things in life that we find destressing to point of despair.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 xml:space="preserve">Imogen, imagen a time in Melbourne when redhead kids where the norm and the Westgate Bridge was only a blue print and the Vic Market was the place to be on a Saturday morning (still is). That was a snippet of my youth in Melbourne the late 60, s and even now Melbourne is my town; the faces are new and I am older but the food is moor divers “yum”. As you know Australian culture is made a new all the time and as it is progressive in its acceptance of other cultures we truly are the land of the free.  What I have observed is the social leverage migration dose make on a culture with slow supple lifestyle and economic influencing elements.  For myself I have witness wave, after wave of humans escaping all manner of hardships to live a life of freedom and the right to be them self’s. For this I am proud to be an Australian and part of an enabling culture that stands for the betterment of humanity and overseas we as a nation are noted for many things gun controls, our economic robustness, the list is not limited.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highlight w:val="yellow"/>
        </w:rPr>
        <w:t>You should know because I wish it;</w:t>
      </w:r>
      <w:r>
        <w:rPr>
          <w:rFonts w:ascii="Calibri" w:eastAsia="Times New Roman" w:hAnsi="Calibri"/>
          <w:color w:val="000000"/>
        </w:rPr>
        <w:t xml:space="preserve"> I am not racist, some of my best friends are from all over the globe some are from as an example Vietnam, India so on, each one of my friends have divers culturally different back grounds and there’s nothing wrong with that.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 xml:space="preserve">However, If I when to parts of India and tried to eat a cow I would be shunned or even killed, if was in Vietnam walking in the markets I may be sickened to see cats and dogs up for sale as food. The Indians that migrate to Australia know we consume cows before arriving, so on.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For me I always thought that it was law in Australia that you could not, should not eat your cat and dogs. So When it made headlines of the man in Melbourne doing what is his homeland culturally accepted, I was stupefied by the stupidity that we the Australian companion pet owners really believed that under law they were safe. All I am seeking is a law that most Australians assume is a law.</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highlight w:val="yellow"/>
        </w:rPr>
        <w:t>Better understanding the economics of Companion pet industries in Australia and the need for protection for the employment out comes, the fiscally co-depend pet industries.</w:t>
      </w:r>
      <w:r>
        <w:rPr>
          <w:rFonts w:ascii="Calibri" w:eastAsia="Times New Roman" w:hAnsi="Calibri"/>
          <w:color w:val="000000"/>
        </w:rPr>
        <w:t xml:space="preserve">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 xml:space="preserve">Imogen as a professional and a Senior Research Economist, ask this question of yourself or as you could probably formulate a better one this I am certain of;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How much of the Australian economic landscape is co-dependent on the fiscal revenue stream derived from the companion pet industry’s?</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lang w:val="en-US"/>
        </w:rPr>
        <w:t xml:space="preserve">AUSTRALIAN PET INDUSTRY STATISTICS IN A NUTSHELL in 2012: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lang w:val="en-US"/>
        </w:rPr>
        <w:t>Of all the pets in Australia, and around 8 million households owning a pet: 4.2 Million were dogs</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lang w:val="en-US"/>
        </w:rPr>
        <w:t>3.3 Million were cats -The Pet Industry was estimated at around A$7 Billion</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lang w:val="en-US"/>
        </w:rPr>
        <w:t>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highlight w:val="yellow"/>
        </w:rPr>
        <w:lastRenderedPageBreak/>
        <w:t>$7 Billion a year”</w:t>
      </w:r>
      <w:r>
        <w:rPr>
          <w:rFonts w:ascii="Calibri" w:eastAsia="Times New Roman" w:hAnsi="Calibri"/>
          <w:color w:val="000000"/>
        </w:rPr>
        <w:t xml:space="preserve"> Imogen” and newer symbiotic fiscal developments for markets in pet insurance once again the list is far from limited, the sphere of influence on the Australian economics should not be set aside.  Reliance on the lesser legal standing that the act- “of reliance on the underlining social acceptance that prevents consumption of companion pets could break down and destroy  a well-developed $7 Billion a year market”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You see Imogen, companion pets even play a large part in our economy as well as the dreamy loveable child hood memory of play with your pet, you know this is how we all learn responsibility’s and the guidelines of life and helps define who we become as an Adult.</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 xml:space="preserve">I hope by now you Imogen have a better understanding of why I would have a new law put in place that we don’t as yet need and may never. </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rPr>
        <w:t xml:space="preserve">I hope the Productivity Commission can supply me and </w:t>
      </w:r>
      <w:r>
        <w:rPr>
          <w:rFonts w:ascii="Calibri" w:eastAsia="Times New Roman" w:hAnsi="Calibri"/>
          <w:color w:val="000000"/>
          <w:lang w:val="en-US"/>
        </w:rPr>
        <w:t>8 million households owning a pet, a peace of mind and protected a $7 Billion a year market</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lang w:val="en-US"/>
        </w:rPr>
        <w:t>Thanks Lance Payne “Life Ninja”</w:t>
      </w:r>
    </w:p>
    <w:p w:rsidR="004B313F" w:rsidRDefault="004B313F" w:rsidP="004B313F">
      <w:pPr>
        <w:shd w:val="clear" w:color="auto" w:fill="FFFFFF"/>
        <w:spacing w:before="120"/>
        <w:rPr>
          <w:rFonts w:eastAsia="Times New Roman"/>
          <w:color w:val="000000"/>
          <w:sz w:val="20"/>
          <w:szCs w:val="20"/>
        </w:rPr>
      </w:pPr>
      <w:r>
        <w:rPr>
          <w:rFonts w:ascii="Calibri" w:eastAsia="Times New Roman" w:hAnsi="Calibri"/>
          <w:color w:val="000000"/>
          <w:lang w:val="en-US"/>
        </w:rPr>
        <w:t xml:space="preserve">PS nice name  and you add this as a </w:t>
      </w:r>
      <w:r>
        <w:rPr>
          <w:rFonts w:ascii="Calibri" w:eastAsia="Times New Roman" w:hAnsi="Calibri"/>
          <w:color w:val="000000"/>
        </w:rPr>
        <w:t xml:space="preserve">submission if you would </w:t>
      </w:r>
    </w:p>
    <w:p w:rsidR="00D62195" w:rsidRDefault="00D62195" w:rsidP="004B313F">
      <w:pPr>
        <w:spacing w:before="120"/>
      </w:pPr>
    </w:p>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3F"/>
    <w:rsid w:val="004B313F"/>
    <w:rsid w:val="008C41E4"/>
    <w:rsid w:val="00D62195"/>
    <w:rsid w:val="00F07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3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13F"/>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4B3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3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13F"/>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4B3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387E353-5C0D-408D-BB6F-F8516881A529}">
  <ds:schemaRefs>
    <ds:schemaRef ds:uri="Microsoft.SharePoint.Taxonomy.ContentTypeSync"/>
  </ds:schemaRefs>
</ds:datastoreItem>
</file>

<file path=customXml/itemProps2.xml><?xml version="1.0" encoding="utf-8"?>
<ds:datastoreItem xmlns:ds="http://schemas.openxmlformats.org/officeDocument/2006/customXml" ds:itemID="{0204BE66-8185-4E83-9BD8-794B96F06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05A33-DB9A-4F31-8B19-E30683B7FA6D}">
  <ds:schemaRefs>
    <ds:schemaRef ds:uri="http://schemas.microsoft.com/office/2006/metadata/properties"/>
    <ds:schemaRef ds:uri="http://purl.org/dc/dcmitype/"/>
    <ds:schemaRef ds:uri="http://purl.org/dc/elements/1.1/"/>
    <ds:schemaRef ds:uri="http://schemas.microsoft.com/office/2006/documentManagement/types"/>
    <ds:schemaRef ds:uri="8044c801-d84b-4ee1-a77e-678f8dcdee17"/>
    <ds:schemaRef ds:uri="http://www.w3.org/XML/1998/namespace"/>
    <ds:schemaRef ds:uri="3f4bcce7-ac1a-4c9d-aa3e-7e77695652db"/>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7793277-4ECA-46F1-95D7-EDB78035799D}">
  <ds:schemaRefs>
    <ds:schemaRef ds:uri="http://schemas.microsoft.com/sharepoint/v3/contenttype/forms"/>
  </ds:schemaRefs>
</ds:datastoreItem>
</file>

<file path=customXml/itemProps5.xml><?xml version="1.0" encoding="utf-8"?>
<ds:datastoreItem xmlns:ds="http://schemas.openxmlformats.org/officeDocument/2006/customXml" ds:itemID="{20402E7F-D59A-4B5A-B733-E18B77418686}">
  <ds:schemaRefs>
    <ds:schemaRef ds:uri="http://schemas.microsoft.com/sharepoint/events"/>
  </ds:schemaRefs>
</ds:datastoreItem>
</file>

<file path=customXml/itemProps6.xml><?xml version="1.0" encoding="utf-8"?>
<ds:datastoreItem xmlns:ds="http://schemas.openxmlformats.org/officeDocument/2006/customXml" ds:itemID="{BB401720-313C-4F5E-9695-AE6F49FD87E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Submission DR273 - Lance Payne - Regulation of Agriculture - Public inquiry</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DR273 - Lance Payne - Regulation of Agriculture - Public inquiry</dc:title>
  <dc:creator>Lance Payne</dc:creator>
  <cp:keywords/>
  <cp:lastModifiedBy>Pimperl, Mark</cp:lastModifiedBy>
  <cp:revision>2</cp:revision>
  <dcterms:created xsi:type="dcterms:W3CDTF">2016-08-31T01:53:00Z</dcterms:created>
  <dcterms:modified xsi:type="dcterms:W3CDTF">2016-09-06T03:03:00Z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