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AD9B3" w14:textId="77777777" w:rsidR="00E401D9" w:rsidRPr="00ED564E" w:rsidRDefault="00E401D9" w:rsidP="00ED564E">
      <w:pPr>
        <w:spacing w:after="120"/>
        <w:rPr>
          <w:rFonts w:cs="Arial"/>
        </w:rPr>
      </w:pPr>
      <w:r w:rsidRPr="00ED564E">
        <w:rPr>
          <w:rFonts w:cs="Arial"/>
        </w:rPr>
        <w:t>8 September 2016</w:t>
      </w:r>
    </w:p>
    <w:p w14:paraId="0B9792E4" w14:textId="77777777" w:rsidR="00E401D9" w:rsidRPr="00ED564E" w:rsidRDefault="00E401D9" w:rsidP="00ED564E">
      <w:pPr>
        <w:spacing w:after="120"/>
        <w:rPr>
          <w:rFonts w:cs="Arial"/>
        </w:rPr>
      </w:pPr>
    </w:p>
    <w:p w14:paraId="40FCD2F7" w14:textId="702705AC" w:rsidR="005C6E8C" w:rsidRPr="00ED564E" w:rsidRDefault="005C6E8C" w:rsidP="00ED564E">
      <w:pPr>
        <w:spacing w:after="120"/>
        <w:rPr>
          <w:rFonts w:cs="Arial"/>
        </w:rPr>
      </w:pPr>
      <w:proofErr w:type="spellStart"/>
      <w:r w:rsidRPr="00ED564E">
        <w:rPr>
          <w:rFonts w:cs="Arial"/>
        </w:rPr>
        <w:t>Ms</w:t>
      </w:r>
      <w:proofErr w:type="spellEnd"/>
      <w:r w:rsidRPr="00ED564E">
        <w:rPr>
          <w:rFonts w:cs="Arial"/>
        </w:rPr>
        <w:t xml:space="preserve"> Angela MacRae and </w:t>
      </w:r>
      <w:proofErr w:type="spellStart"/>
      <w:r w:rsidRPr="00ED564E">
        <w:rPr>
          <w:rFonts w:cs="Arial"/>
        </w:rPr>
        <w:t>Ms</w:t>
      </w:r>
      <w:proofErr w:type="spellEnd"/>
      <w:r w:rsidRPr="00ED564E">
        <w:rPr>
          <w:rFonts w:cs="Arial"/>
        </w:rPr>
        <w:t xml:space="preserve"> Karen Chester</w:t>
      </w:r>
      <w:r w:rsidR="00ED564E" w:rsidRPr="00ED564E">
        <w:rPr>
          <w:rFonts w:cs="Arial"/>
        </w:rPr>
        <w:br/>
      </w:r>
      <w:r w:rsidRPr="00114EE9">
        <w:rPr>
          <w:rFonts w:cs="Arial"/>
          <w:b/>
        </w:rPr>
        <w:t xml:space="preserve">Superannuation </w:t>
      </w:r>
      <w:r w:rsidR="00ED564E" w:rsidRPr="00114EE9">
        <w:rPr>
          <w:rFonts w:cs="Arial"/>
          <w:b/>
        </w:rPr>
        <w:br/>
      </w:r>
      <w:r w:rsidR="00ED564E" w:rsidRPr="00ED564E">
        <w:rPr>
          <w:rFonts w:cs="Arial"/>
        </w:rPr>
        <w:t>Productivity Commission</w:t>
      </w:r>
      <w:r w:rsidR="00ED564E" w:rsidRPr="00ED564E">
        <w:rPr>
          <w:rFonts w:cs="Arial"/>
        </w:rPr>
        <w:br/>
        <w:t>Locked Bag 2, Collins St East</w:t>
      </w:r>
      <w:r w:rsidR="00ED564E" w:rsidRPr="00ED564E">
        <w:rPr>
          <w:rFonts w:cs="Arial"/>
        </w:rPr>
        <w:br/>
      </w:r>
      <w:r w:rsidRPr="00ED564E">
        <w:rPr>
          <w:rFonts w:cs="Arial"/>
        </w:rPr>
        <w:t>Melbourne VIC 8003</w:t>
      </w:r>
    </w:p>
    <w:p w14:paraId="3F7BF37F" w14:textId="77777777" w:rsidR="005C6E8C" w:rsidRPr="00ED564E" w:rsidRDefault="005C6E8C" w:rsidP="00ED564E">
      <w:pPr>
        <w:spacing w:after="120"/>
        <w:rPr>
          <w:rFonts w:cs="Arial"/>
        </w:rPr>
      </w:pPr>
    </w:p>
    <w:p w14:paraId="2184D1B5" w14:textId="1629898F" w:rsidR="005C6E8C" w:rsidRPr="00ED564E" w:rsidRDefault="005C6E8C" w:rsidP="00ED564E">
      <w:pPr>
        <w:spacing w:after="120"/>
        <w:rPr>
          <w:rFonts w:cs="Arial"/>
        </w:rPr>
      </w:pPr>
      <w:r w:rsidRPr="00ED564E">
        <w:rPr>
          <w:rFonts w:cs="Arial"/>
          <w:i/>
        </w:rPr>
        <w:t>Via online submission at http://www.pc.gov.au/inquiries/current/superannuation/competitiveness-efficiency</w:t>
      </w:r>
    </w:p>
    <w:p w14:paraId="528F0359" w14:textId="77777777" w:rsidR="005C6E8C" w:rsidRPr="00ED564E" w:rsidRDefault="005C6E8C" w:rsidP="00ED564E">
      <w:pPr>
        <w:spacing w:after="120"/>
        <w:rPr>
          <w:rFonts w:cs="Arial"/>
        </w:rPr>
      </w:pPr>
    </w:p>
    <w:p w14:paraId="28C1CC40" w14:textId="0A55EFFC" w:rsidR="005C6E8C" w:rsidRPr="00ED564E" w:rsidRDefault="005C6E8C" w:rsidP="00ED564E">
      <w:pPr>
        <w:spacing w:after="120"/>
        <w:rPr>
          <w:rFonts w:cs="Arial"/>
        </w:rPr>
      </w:pPr>
      <w:r w:rsidRPr="00ED564E">
        <w:rPr>
          <w:rFonts w:cs="Arial"/>
        </w:rPr>
        <w:t xml:space="preserve">Dear </w:t>
      </w:r>
      <w:proofErr w:type="spellStart"/>
      <w:r w:rsidRPr="00ED564E">
        <w:rPr>
          <w:rFonts w:cs="Arial"/>
        </w:rPr>
        <w:t>Ms</w:t>
      </w:r>
      <w:proofErr w:type="spellEnd"/>
      <w:r w:rsidRPr="00ED564E">
        <w:rPr>
          <w:rFonts w:cs="Arial"/>
        </w:rPr>
        <w:t xml:space="preserve"> MacRae and </w:t>
      </w:r>
      <w:proofErr w:type="spellStart"/>
      <w:r w:rsidRPr="00ED564E">
        <w:rPr>
          <w:rFonts w:cs="Arial"/>
        </w:rPr>
        <w:t>Ms</w:t>
      </w:r>
      <w:proofErr w:type="spellEnd"/>
      <w:r w:rsidRPr="00ED564E">
        <w:rPr>
          <w:rFonts w:cs="Arial"/>
        </w:rPr>
        <w:t xml:space="preserve"> Chester</w:t>
      </w:r>
    </w:p>
    <w:p w14:paraId="2DC56F92" w14:textId="77777777" w:rsidR="005C6E8C" w:rsidRPr="00ED564E" w:rsidRDefault="005C6E8C" w:rsidP="00ED564E">
      <w:pPr>
        <w:spacing w:after="120"/>
        <w:rPr>
          <w:rFonts w:cs="Arial"/>
        </w:rPr>
      </w:pPr>
    </w:p>
    <w:p w14:paraId="1DE45603" w14:textId="65B76C91" w:rsidR="005C6E8C" w:rsidRPr="00ED564E" w:rsidRDefault="0058234D" w:rsidP="00ED564E">
      <w:pPr>
        <w:spacing w:after="120"/>
        <w:rPr>
          <w:rFonts w:cs="Arial"/>
          <w:b/>
        </w:rPr>
      </w:pPr>
      <w:r w:rsidRPr="00ED564E">
        <w:rPr>
          <w:rFonts w:cs="Arial"/>
          <w:b/>
        </w:rPr>
        <w:t>Re: Submission - Inquiry into the Competitiveness and Efficiency of the Superannuation System</w:t>
      </w:r>
    </w:p>
    <w:p w14:paraId="1D354818" w14:textId="77777777" w:rsidR="005C6E8C" w:rsidRPr="00ED564E" w:rsidRDefault="005C6E8C" w:rsidP="00ED564E">
      <w:pPr>
        <w:spacing w:after="120"/>
        <w:rPr>
          <w:rFonts w:cs="Arial"/>
        </w:rPr>
      </w:pPr>
    </w:p>
    <w:p w14:paraId="0EF12D85" w14:textId="73019400" w:rsidR="0058234D" w:rsidRPr="00ED564E" w:rsidRDefault="0058234D" w:rsidP="00ED564E">
      <w:pPr>
        <w:spacing w:after="120"/>
        <w:rPr>
          <w:rFonts w:cs="Arial"/>
        </w:rPr>
      </w:pPr>
      <w:r w:rsidRPr="00ED564E">
        <w:rPr>
          <w:rFonts w:cs="Arial"/>
        </w:rPr>
        <w:t xml:space="preserve">The purpose of this </w:t>
      </w:r>
      <w:r w:rsidR="00260C29">
        <w:rPr>
          <w:rFonts w:cs="Arial"/>
        </w:rPr>
        <w:t>submission</w:t>
      </w:r>
      <w:r w:rsidRPr="00ED564E">
        <w:rPr>
          <w:rFonts w:cs="Arial"/>
        </w:rPr>
        <w:t xml:space="preserve"> is to provide commentary and insight on the efficiency of the superannuation system, with particular reference to </w:t>
      </w:r>
      <w:r w:rsidR="008C6BF5" w:rsidRPr="00ED564E">
        <w:rPr>
          <w:rFonts w:cs="Arial"/>
        </w:rPr>
        <w:t xml:space="preserve">processes and regulation aimed at reducing </w:t>
      </w:r>
      <w:r w:rsidRPr="00ED564E">
        <w:rPr>
          <w:rFonts w:cs="Arial"/>
        </w:rPr>
        <w:t xml:space="preserve">the number of small lost and unclaimed super accounts.  </w:t>
      </w:r>
    </w:p>
    <w:p w14:paraId="5D1CCA67" w14:textId="77777777" w:rsidR="008C6BF5" w:rsidRPr="00ED564E" w:rsidRDefault="008C6BF5" w:rsidP="00ED564E">
      <w:pPr>
        <w:spacing w:after="120"/>
        <w:rPr>
          <w:rFonts w:cs="Arial"/>
        </w:rPr>
      </w:pPr>
      <w:r w:rsidRPr="00ED564E">
        <w:rPr>
          <w:rFonts w:cs="Arial"/>
        </w:rPr>
        <w:t xml:space="preserve">Attached is a report prepared by </w:t>
      </w:r>
      <w:proofErr w:type="spellStart"/>
      <w:r w:rsidRPr="00ED564E">
        <w:rPr>
          <w:rFonts w:cs="Arial"/>
        </w:rPr>
        <w:t>AUSfund</w:t>
      </w:r>
      <w:proofErr w:type="spellEnd"/>
      <w:r w:rsidRPr="00ED564E">
        <w:rPr>
          <w:rFonts w:cs="Arial"/>
        </w:rPr>
        <w:t>, an Eligible Rollover Fund (ERF) established in 1994 with the aim of reuniting people with their unclaimed super money.</w:t>
      </w:r>
    </w:p>
    <w:p w14:paraId="04DC11AE" w14:textId="161DA0C0" w:rsidR="008C6BF5" w:rsidRPr="00ED564E" w:rsidRDefault="008C6BF5" w:rsidP="00ED564E">
      <w:pPr>
        <w:spacing w:after="120"/>
        <w:rPr>
          <w:rFonts w:cs="Arial"/>
        </w:rPr>
      </w:pPr>
      <w:r w:rsidRPr="00ED564E">
        <w:rPr>
          <w:rFonts w:cs="Arial"/>
        </w:rPr>
        <w:t>If you wish to discuss this report and its recommendations in further detail, please contact me</w:t>
      </w:r>
      <w:r w:rsidR="00B77196">
        <w:rPr>
          <w:rFonts w:cs="Arial"/>
        </w:rPr>
        <w:t>.</w:t>
      </w:r>
      <w:r w:rsidRPr="00ED564E">
        <w:rPr>
          <w:rFonts w:cs="Arial"/>
        </w:rPr>
        <w:t xml:space="preserve"> </w:t>
      </w:r>
    </w:p>
    <w:p w14:paraId="25B07B7E" w14:textId="77777777" w:rsidR="00ED564E" w:rsidRPr="00ED564E" w:rsidRDefault="00ED564E" w:rsidP="00ED564E">
      <w:pPr>
        <w:spacing w:after="120"/>
        <w:rPr>
          <w:rFonts w:cs="Arial"/>
        </w:rPr>
      </w:pPr>
    </w:p>
    <w:p w14:paraId="4EDF305A" w14:textId="77777777" w:rsidR="008C6BF5" w:rsidRPr="00ED564E" w:rsidRDefault="008C6BF5" w:rsidP="00ED564E">
      <w:pPr>
        <w:spacing w:after="120"/>
        <w:rPr>
          <w:rFonts w:cs="Arial"/>
        </w:rPr>
      </w:pPr>
      <w:r w:rsidRPr="00ED564E">
        <w:rPr>
          <w:rFonts w:cs="Arial"/>
        </w:rPr>
        <w:t xml:space="preserve">Yours sincerely, </w:t>
      </w:r>
    </w:p>
    <w:p w14:paraId="6187B767" w14:textId="77777777" w:rsidR="008C6BF5" w:rsidRPr="00ED564E" w:rsidRDefault="008C6BF5" w:rsidP="00ED564E">
      <w:pPr>
        <w:spacing w:after="120"/>
        <w:rPr>
          <w:rFonts w:cs="Arial"/>
        </w:rPr>
      </w:pPr>
      <w:bookmarkStart w:id="0" w:name="_GoBack"/>
      <w:bookmarkEnd w:id="0"/>
    </w:p>
    <w:p w14:paraId="72BCC64F" w14:textId="77777777" w:rsidR="008C6BF5" w:rsidRPr="00ED564E" w:rsidRDefault="008C6BF5" w:rsidP="00ED564E">
      <w:pPr>
        <w:spacing w:after="120"/>
        <w:rPr>
          <w:rFonts w:cs="Arial"/>
        </w:rPr>
      </w:pPr>
    </w:p>
    <w:p w14:paraId="41467F0A" w14:textId="77777777" w:rsidR="00260C29" w:rsidRDefault="00260C29" w:rsidP="00ED564E">
      <w:pPr>
        <w:spacing w:after="120"/>
        <w:rPr>
          <w:rFonts w:cs="Arial"/>
        </w:rPr>
      </w:pPr>
    </w:p>
    <w:p w14:paraId="4F10AEA6" w14:textId="4705D7B8" w:rsidR="008C6BF5" w:rsidRPr="00ED564E" w:rsidRDefault="008C6BF5" w:rsidP="00ED564E">
      <w:pPr>
        <w:spacing w:after="120"/>
        <w:rPr>
          <w:rFonts w:cs="Arial"/>
        </w:rPr>
      </w:pPr>
      <w:r w:rsidRPr="00ED564E">
        <w:rPr>
          <w:rFonts w:cs="Arial"/>
        </w:rPr>
        <w:t>Cath Bowtell</w:t>
      </w:r>
    </w:p>
    <w:p w14:paraId="7B656D75" w14:textId="6AEB2236" w:rsidR="00E401D9" w:rsidRPr="00ED564E" w:rsidRDefault="008C6BF5" w:rsidP="00ED564E">
      <w:pPr>
        <w:spacing w:after="120"/>
        <w:rPr>
          <w:rFonts w:cs="Arial"/>
          <w:color w:val="404040" w:themeColor="text1" w:themeTint="BF"/>
        </w:rPr>
      </w:pPr>
      <w:r w:rsidRPr="00ED564E">
        <w:rPr>
          <w:rFonts w:cs="Arial"/>
        </w:rPr>
        <w:t>Chief Executive</w:t>
      </w:r>
      <w:r w:rsidR="00E401D9" w:rsidRPr="00ED564E">
        <w:rPr>
          <w:rFonts w:cs="Arial"/>
        </w:rPr>
        <w:br w:type="page"/>
      </w:r>
    </w:p>
    <w:p w14:paraId="74CB3A11" w14:textId="2274F5F9" w:rsidR="00990749" w:rsidRPr="00ED564E" w:rsidRDefault="00FA642E" w:rsidP="00ED564E">
      <w:pPr>
        <w:pStyle w:val="Heading2"/>
        <w:rPr>
          <w:rFonts w:ascii="Arial" w:hAnsi="Arial" w:cs="Arial"/>
          <w:b w:val="0"/>
        </w:rPr>
      </w:pPr>
      <w:r w:rsidRPr="00ED564E">
        <w:rPr>
          <w:rFonts w:ascii="Arial" w:hAnsi="Arial" w:cs="Arial"/>
          <w:b w:val="0"/>
        </w:rPr>
        <w:lastRenderedPageBreak/>
        <w:t>S</w:t>
      </w:r>
      <w:r w:rsidR="00990749" w:rsidRPr="00ED564E">
        <w:rPr>
          <w:rFonts w:ascii="Arial" w:hAnsi="Arial" w:cs="Arial"/>
          <w:b w:val="0"/>
        </w:rPr>
        <w:t>ubmission in response to</w:t>
      </w:r>
      <w:r w:rsidR="00ED564E" w:rsidRPr="00ED564E">
        <w:rPr>
          <w:rFonts w:ascii="Arial" w:hAnsi="Arial" w:cs="Arial"/>
          <w:b w:val="0"/>
        </w:rPr>
        <w:t xml:space="preserve"> </w:t>
      </w:r>
      <w:r w:rsidR="00990749" w:rsidRPr="00ED564E">
        <w:rPr>
          <w:rFonts w:ascii="Arial" w:hAnsi="Arial" w:cs="Arial"/>
          <w:b w:val="0"/>
        </w:rPr>
        <w:t xml:space="preserve">Productivity Commission Inquiry into the Competitiveness and Efficiency of the Superannuation System </w:t>
      </w:r>
    </w:p>
    <w:p w14:paraId="23C04B79" w14:textId="77777777" w:rsidR="00762CA4" w:rsidRDefault="00762CA4" w:rsidP="00762CA4"/>
    <w:p w14:paraId="40145632" w14:textId="45073EE4" w:rsidR="00990749" w:rsidRPr="00ED564E" w:rsidRDefault="00FA642E" w:rsidP="00ED564E">
      <w:pPr>
        <w:pStyle w:val="Heading1"/>
        <w:rPr>
          <w:rFonts w:ascii="Arial" w:hAnsi="Arial" w:cs="Arial"/>
          <w:b/>
        </w:rPr>
      </w:pPr>
      <w:r w:rsidRPr="00ED564E">
        <w:rPr>
          <w:rFonts w:ascii="Arial" w:hAnsi="Arial" w:cs="Arial"/>
          <w:b/>
        </w:rPr>
        <w:t xml:space="preserve">Lost and inactive superannuation accounts </w:t>
      </w:r>
    </w:p>
    <w:p w14:paraId="5AA771D9" w14:textId="77777777" w:rsidR="00FA642E" w:rsidRPr="00ED564E" w:rsidRDefault="00FA642E" w:rsidP="00990749">
      <w:pPr>
        <w:rPr>
          <w:rFonts w:cs="Arial"/>
        </w:rPr>
      </w:pPr>
    </w:p>
    <w:p w14:paraId="673B8DD5" w14:textId="77777777" w:rsidR="00990749" w:rsidRPr="00ED564E" w:rsidRDefault="00990749" w:rsidP="00990749">
      <w:pPr>
        <w:rPr>
          <w:rFonts w:cs="Arial"/>
        </w:rPr>
      </w:pPr>
      <w:r w:rsidRPr="00ED564E">
        <w:rPr>
          <w:rFonts w:cs="Arial"/>
        </w:rPr>
        <w:t xml:space="preserve">At a minimum an efficient retirement savings system should protect against the erosion of members’ capital through fees and charges. Over time, the amount put into super should at least be equal to the amount that members can access upon retirement. </w:t>
      </w:r>
    </w:p>
    <w:p w14:paraId="103B6D94" w14:textId="77777777" w:rsidR="00990749" w:rsidRPr="00ED564E" w:rsidRDefault="00990749" w:rsidP="00990749">
      <w:pPr>
        <w:rPr>
          <w:rFonts w:cs="Arial"/>
        </w:rPr>
      </w:pPr>
    </w:p>
    <w:p w14:paraId="72BD2421" w14:textId="77777777" w:rsidR="00990749" w:rsidRDefault="00990749" w:rsidP="00990749">
      <w:pPr>
        <w:rPr>
          <w:rFonts w:cs="Arial"/>
        </w:rPr>
      </w:pPr>
      <w:r w:rsidRPr="00ED564E">
        <w:rPr>
          <w:rFonts w:cs="Arial"/>
        </w:rPr>
        <w:t xml:space="preserve">Similarly, an efficient system should discourage the duplication of fees and charges, particularly for consumers that are not actively choosing to participate in the retirement savings system. </w:t>
      </w:r>
    </w:p>
    <w:p w14:paraId="612BD70A" w14:textId="77777777" w:rsidR="00762CA4" w:rsidRDefault="00762CA4" w:rsidP="00990749">
      <w:pPr>
        <w:rPr>
          <w:rFonts w:cs="Arial"/>
        </w:rPr>
      </w:pPr>
    </w:p>
    <w:p w14:paraId="05F5911B" w14:textId="77777777" w:rsidR="00762CA4" w:rsidRPr="00ED564E" w:rsidRDefault="00762CA4" w:rsidP="00990749">
      <w:pPr>
        <w:rPr>
          <w:rFonts w:cs="Arial"/>
        </w:rPr>
      </w:pPr>
    </w:p>
    <w:p w14:paraId="2EDCCB85" w14:textId="77777777" w:rsidR="00990749" w:rsidRPr="00ED564E" w:rsidRDefault="00990749" w:rsidP="00990749">
      <w:pPr>
        <w:pStyle w:val="Heading2"/>
        <w:rPr>
          <w:rFonts w:ascii="Arial" w:hAnsi="Arial" w:cs="Arial"/>
        </w:rPr>
      </w:pPr>
      <w:r w:rsidRPr="00ED564E">
        <w:rPr>
          <w:rFonts w:ascii="Arial" w:hAnsi="Arial" w:cs="Arial"/>
        </w:rPr>
        <w:t>Incidence of small lost and inactive accounts</w:t>
      </w:r>
    </w:p>
    <w:p w14:paraId="6778794B" w14:textId="220480F1" w:rsidR="00990749" w:rsidRPr="00ED564E" w:rsidRDefault="00990749" w:rsidP="00990749">
      <w:pPr>
        <w:rPr>
          <w:rFonts w:cs="Arial"/>
        </w:rPr>
      </w:pPr>
      <w:r w:rsidRPr="00ED564E">
        <w:rPr>
          <w:rFonts w:cs="Arial"/>
        </w:rPr>
        <w:t xml:space="preserve">The growth of temporary, casual and part-time jobs means that the number of inactive accounts continues to grow. </w:t>
      </w:r>
    </w:p>
    <w:p w14:paraId="1A655182" w14:textId="77777777" w:rsidR="00FA642E" w:rsidRPr="00ED564E" w:rsidRDefault="00FA642E" w:rsidP="00990749">
      <w:pPr>
        <w:rPr>
          <w:rFonts w:cs="Arial"/>
        </w:rPr>
      </w:pPr>
    </w:p>
    <w:p w14:paraId="13D21322" w14:textId="260FFFB4" w:rsidR="00990749" w:rsidRPr="00ED564E" w:rsidRDefault="00990749" w:rsidP="00990749">
      <w:pPr>
        <w:rPr>
          <w:rFonts w:cs="Arial"/>
          <w:b/>
        </w:rPr>
      </w:pPr>
      <w:r w:rsidRPr="00ED564E">
        <w:rPr>
          <w:rFonts w:cs="Arial"/>
          <w:b/>
        </w:rPr>
        <w:t>Table 1</w:t>
      </w:r>
      <w:r w:rsidR="00200F05" w:rsidRPr="00ED564E">
        <w:rPr>
          <w:rFonts w:cs="Arial"/>
          <w:b/>
        </w:rPr>
        <w:t>:</w:t>
      </w:r>
      <w:r w:rsidRPr="00ED564E">
        <w:rPr>
          <w:rFonts w:cs="Arial"/>
          <w:b/>
        </w:rPr>
        <w:t xml:space="preserve"> Number of inactive super accounts </w:t>
      </w:r>
    </w:p>
    <w:tbl>
      <w:tblPr>
        <w:tblW w:w="5000" w:type="pct"/>
        <w:tblLook w:val="04A0" w:firstRow="1" w:lastRow="0" w:firstColumn="1" w:lastColumn="0" w:noHBand="0" w:noVBand="1"/>
      </w:tblPr>
      <w:tblGrid>
        <w:gridCol w:w="3123"/>
        <w:gridCol w:w="2744"/>
        <w:gridCol w:w="3131"/>
      </w:tblGrid>
      <w:tr w:rsidR="00990749" w:rsidRPr="00ED564E" w14:paraId="5E7EFB37" w14:textId="77777777" w:rsidTr="00990749">
        <w:trPr>
          <w:trHeight w:val="283"/>
        </w:trPr>
        <w:tc>
          <w:tcPr>
            <w:tcW w:w="1735" w:type="pct"/>
            <w:tcBorders>
              <w:top w:val="single" w:sz="4" w:space="0" w:color="auto"/>
              <w:left w:val="single" w:sz="4" w:space="0" w:color="auto"/>
            </w:tcBorders>
          </w:tcPr>
          <w:p w14:paraId="7D34AD81" w14:textId="77777777" w:rsidR="00990749" w:rsidRPr="00ED564E" w:rsidRDefault="00990749" w:rsidP="00990749">
            <w:pPr>
              <w:jc w:val="right"/>
              <w:rPr>
                <w:rFonts w:cs="Arial"/>
                <w:bCs/>
                <w:sz w:val="20"/>
                <w:szCs w:val="20"/>
              </w:rPr>
            </w:pPr>
          </w:p>
        </w:tc>
        <w:tc>
          <w:tcPr>
            <w:tcW w:w="1525" w:type="pct"/>
            <w:tcBorders>
              <w:top w:val="single" w:sz="4" w:space="0" w:color="auto"/>
              <w:bottom w:val="single" w:sz="4" w:space="0" w:color="auto"/>
            </w:tcBorders>
            <w:hideMark/>
          </w:tcPr>
          <w:p w14:paraId="68F129DE" w14:textId="77777777" w:rsidR="00990749" w:rsidRPr="00ED564E" w:rsidRDefault="00990749" w:rsidP="00990749">
            <w:pPr>
              <w:jc w:val="right"/>
              <w:rPr>
                <w:rFonts w:cs="Arial"/>
                <w:b/>
                <w:bCs/>
                <w:sz w:val="20"/>
                <w:szCs w:val="20"/>
              </w:rPr>
            </w:pPr>
            <w:r w:rsidRPr="00ED564E">
              <w:rPr>
                <w:rFonts w:cs="Arial"/>
                <w:b/>
                <w:bCs/>
                <w:sz w:val="20"/>
                <w:szCs w:val="20"/>
              </w:rPr>
              <w:t>Member accounts</w:t>
            </w:r>
          </w:p>
        </w:tc>
        <w:tc>
          <w:tcPr>
            <w:tcW w:w="1740" w:type="pct"/>
            <w:tcBorders>
              <w:top w:val="single" w:sz="4" w:space="0" w:color="auto"/>
              <w:bottom w:val="single" w:sz="4" w:space="0" w:color="auto"/>
              <w:right w:val="single" w:sz="4" w:space="0" w:color="auto"/>
            </w:tcBorders>
            <w:hideMark/>
          </w:tcPr>
          <w:p w14:paraId="06E01B2B" w14:textId="77777777" w:rsidR="00990749" w:rsidRPr="00ED564E" w:rsidRDefault="00990749" w:rsidP="00990749">
            <w:pPr>
              <w:jc w:val="right"/>
              <w:rPr>
                <w:rFonts w:cs="Arial"/>
                <w:b/>
                <w:bCs/>
                <w:sz w:val="20"/>
                <w:szCs w:val="20"/>
              </w:rPr>
            </w:pPr>
            <w:r w:rsidRPr="00ED564E">
              <w:rPr>
                <w:rFonts w:cs="Arial"/>
                <w:b/>
                <w:bCs/>
                <w:sz w:val="20"/>
                <w:szCs w:val="20"/>
              </w:rPr>
              <w:t>Benefits ($’000)</w:t>
            </w:r>
          </w:p>
        </w:tc>
      </w:tr>
      <w:tr w:rsidR="00990749" w:rsidRPr="00ED564E" w14:paraId="377F922A" w14:textId="77777777" w:rsidTr="00990749">
        <w:trPr>
          <w:trHeight w:val="283"/>
        </w:trPr>
        <w:tc>
          <w:tcPr>
            <w:tcW w:w="1735" w:type="pct"/>
            <w:tcBorders>
              <w:left w:val="single" w:sz="4" w:space="0" w:color="auto"/>
              <w:bottom w:val="single" w:sz="4" w:space="0" w:color="auto"/>
            </w:tcBorders>
            <w:hideMark/>
          </w:tcPr>
          <w:p w14:paraId="48784878" w14:textId="77777777" w:rsidR="00990749" w:rsidRPr="00ED564E" w:rsidRDefault="00990749" w:rsidP="00990749">
            <w:pPr>
              <w:rPr>
                <w:rFonts w:cs="Arial"/>
                <w:b/>
                <w:bCs/>
                <w:sz w:val="20"/>
                <w:szCs w:val="20"/>
              </w:rPr>
            </w:pPr>
            <w:r w:rsidRPr="00ED564E">
              <w:rPr>
                <w:rFonts w:cs="Arial"/>
                <w:b/>
                <w:bCs/>
                <w:sz w:val="20"/>
                <w:szCs w:val="20"/>
              </w:rPr>
              <w:t>Whole super sector</w:t>
            </w:r>
          </w:p>
        </w:tc>
        <w:tc>
          <w:tcPr>
            <w:tcW w:w="1525" w:type="pct"/>
            <w:tcBorders>
              <w:top w:val="single" w:sz="4" w:space="0" w:color="auto"/>
              <w:bottom w:val="single" w:sz="4" w:space="0" w:color="auto"/>
            </w:tcBorders>
            <w:hideMark/>
          </w:tcPr>
          <w:p w14:paraId="4980F51E" w14:textId="77777777" w:rsidR="00990749" w:rsidRPr="00ED564E" w:rsidRDefault="00990749" w:rsidP="00990749">
            <w:pPr>
              <w:jc w:val="right"/>
              <w:rPr>
                <w:rFonts w:cs="Arial"/>
                <w:b/>
                <w:bCs/>
                <w:sz w:val="20"/>
                <w:szCs w:val="20"/>
              </w:rPr>
            </w:pPr>
            <w:r w:rsidRPr="00ED564E">
              <w:rPr>
                <w:rFonts w:cs="Arial"/>
                <w:b/>
                <w:bCs/>
                <w:sz w:val="20"/>
                <w:szCs w:val="20"/>
              </w:rPr>
              <w:t>27,986,740</w:t>
            </w:r>
          </w:p>
        </w:tc>
        <w:tc>
          <w:tcPr>
            <w:tcW w:w="1740" w:type="pct"/>
            <w:tcBorders>
              <w:top w:val="single" w:sz="4" w:space="0" w:color="auto"/>
              <w:bottom w:val="single" w:sz="4" w:space="0" w:color="auto"/>
              <w:right w:val="single" w:sz="4" w:space="0" w:color="auto"/>
            </w:tcBorders>
            <w:hideMark/>
          </w:tcPr>
          <w:p w14:paraId="73484B59" w14:textId="77777777" w:rsidR="00990749" w:rsidRPr="00ED564E" w:rsidRDefault="00990749" w:rsidP="00990749">
            <w:pPr>
              <w:jc w:val="right"/>
              <w:rPr>
                <w:rFonts w:cs="Arial"/>
                <w:b/>
                <w:bCs/>
                <w:sz w:val="20"/>
                <w:szCs w:val="20"/>
              </w:rPr>
            </w:pPr>
            <w:r w:rsidRPr="00ED564E">
              <w:rPr>
                <w:rFonts w:cs="Arial"/>
                <w:b/>
                <w:bCs/>
                <w:sz w:val="20"/>
                <w:szCs w:val="20"/>
              </w:rPr>
              <w:t>1,175,058,548</w:t>
            </w:r>
          </w:p>
        </w:tc>
      </w:tr>
      <w:tr w:rsidR="00990749" w:rsidRPr="00ED564E" w14:paraId="6801A703" w14:textId="77777777" w:rsidTr="00990749">
        <w:trPr>
          <w:trHeight w:val="283"/>
        </w:trPr>
        <w:tc>
          <w:tcPr>
            <w:tcW w:w="1735" w:type="pct"/>
            <w:tcBorders>
              <w:top w:val="single" w:sz="4" w:space="0" w:color="auto"/>
              <w:left w:val="single" w:sz="4" w:space="0" w:color="auto"/>
            </w:tcBorders>
            <w:hideMark/>
          </w:tcPr>
          <w:p w14:paraId="34172043" w14:textId="77777777" w:rsidR="00990749" w:rsidRPr="00ED564E" w:rsidRDefault="00990749" w:rsidP="00990749">
            <w:pPr>
              <w:rPr>
                <w:rFonts w:cs="Arial"/>
                <w:bCs/>
                <w:sz w:val="20"/>
                <w:szCs w:val="20"/>
              </w:rPr>
            </w:pPr>
            <w:r w:rsidRPr="00ED564E">
              <w:rPr>
                <w:rFonts w:cs="Arial"/>
                <w:bCs/>
                <w:sz w:val="20"/>
                <w:szCs w:val="20"/>
              </w:rPr>
              <w:t>Active</w:t>
            </w:r>
          </w:p>
        </w:tc>
        <w:tc>
          <w:tcPr>
            <w:tcW w:w="1525" w:type="pct"/>
            <w:tcBorders>
              <w:top w:val="single" w:sz="4" w:space="0" w:color="auto"/>
            </w:tcBorders>
            <w:hideMark/>
          </w:tcPr>
          <w:p w14:paraId="763D7D5B" w14:textId="77777777" w:rsidR="00990749" w:rsidRPr="00ED564E" w:rsidRDefault="00990749" w:rsidP="00990749">
            <w:pPr>
              <w:jc w:val="right"/>
              <w:rPr>
                <w:rFonts w:cs="Arial"/>
                <w:bCs/>
                <w:sz w:val="20"/>
                <w:szCs w:val="20"/>
              </w:rPr>
            </w:pPr>
            <w:r w:rsidRPr="00ED564E">
              <w:rPr>
                <w:rFonts w:cs="Arial"/>
                <w:bCs/>
                <w:sz w:val="20"/>
                <w:szCs w:val="20"/>
              </w:rPr>
              <w:t>19,357,887</w:t>
            </w:r>
          </w:p>
        </w:tc>
        <w:tc>
          <w:tcPr>
            <w:tcW w:w="1740" w:type="pct"/>
            <w:tcBorders>
              <w:top w:val="single" w:sz="4" w:space="0" w:color="auto"/>
              <w:right w:val="single" w:sz="4" w:space="0" w:color="auto"/>
            </w:tcBorders>
            <w:hideMark/>
          </w:tcPr>
          <w:p w14:paraId="2FFF1627" w14:textId="77777777" w:rsidR="00990749" w:rsidRPr="00ED564E" w:rsidRDefault="00990749" w:rsidP="00990749">
            <w:pPr>
              <w:jc w:val="right"/>
              <w:rPr>
                <w:rFonts w:cs="Arial"/>
                <w:bCs/>
                <w:sz w:val="20"/>
                <w:szCs w:val="20"/>
              </w:rPr>
            </w:pPr>
            <w:r w:rsidRPr="00ED564E">
              <w:rPr>
                <w:rFonts w:cs="Arial"/>
                <w:bCs/>
                <w:sz w:val="20"/>
                <w:szCs w:val="20"/>
              </w:rPr>
              <w:t>1,066,075,782</w:t>
            </w:r>
          </w:p>
        </w:tc>
      </w:tr>
      <w:tr w:rsidR="00990749" w:rsidRPr="00ED564E" w14:paraId="4D60DA0D" w14:textId="77777777" w:rsidTr="00990749">
        <w:trPr>
          <w:trHeight w:val="283"/>
        </w:trPr>
        <w:tc>
          <w:tcPr>
            <w:tcW w:w="1735" w:type="pct"/>
            <w:tcBorders>
              <w:left w:val="single" w:sz="4" w:space="0" w:color="auto"/>
            </w:tcBorders>
            <w:hideMark/>
          </w:tcPr>
          <w:p w14:paraId="22711DEB" w14:textId="77777777" w:rsidR="00990749" w:rsidRPr="00ED564E" w:rsidRDefault="00990749" w:rsidP="00990749">
            <w:pPr>
              <w:rPr>
                <w:rFonts w:cs="Arial"/>
                <w:bCs/>
                <w:sz w:val="20"/>
                <w:szCs w:val="20"/>
              </w:rPr>
            </w:pPr>
            <w:r w:rsidRPr="00ED564E">
              <w:rPr>
                <w:rFonts w:cs="Arial"/>
                <w:bCs/>
                <w:sz w:val="20"/>
                <w:szCs w:val="20"/>
              </w:rPr>
              <w:t>Inactive</w:t>
            </w:r>
          </w:p>
        </w:tc>
        <w:tc>
          <w:tcPr>
            <w:tcW w:w="1525" w:type="pct"/>
            <w:hideMark/>
          </w:tcPr>
          <w:p w14:paraId="68959590" w14:textId="77777777" w:rsidR="00990749" w:rsidRPr="00ED564E" w:rsidRDefault="00990749" w:rsidP="00990749">
            <w:pPr>
              <w:jc w:val="right"/>
              <w:rPr>
                <w:rFonts w:cs="Arial"/>
                <w:bCs/>
                <w:sz w:val="20"/>
                <w:szCs w:val="20"/>
              </w:rPr>
            </w:pPr>
            <w:r w:rsidRPr="00ED564E">
              <w:rPr>
                <w:rFonts w:cs="Arial"/>
                <w:bCs/>
                <w:sz w:val="20"/>
                <w:szCs w:val="20"/>
              </w:rPr>
              <w:t>7,949,379</w:t>
            </w:r>
          </w:p>
        </w:tc>
        <w:tc>
          <w:tcPr>
            <w:tcW w:w="1740" w:type="pct"/>
            <w:tcBorders>
              <w:right w:val="single" w:sz="4" w:space="0" w:color="auto"/>
            </w:tcBorders>
            <w:hideMark/>
          </w:tcPr>
          <w:p w14:paraId="4D97A34F" w14:textId="77777777" w:rsidR="00990749" w:rsidRPr="00ED564E" w:rsidRDefault="00990749" w:rsidP="00990749">
            <w:pPr>
              <w:jc w:val="right"/>
              <w:rPr>
                <w:rFonts w:cs="Arial"/>
                <w:bCs/>
                <w:sz w:val="20"/>
                <w:szCs w:val="20"/>
              </w:rPr>
            </w:pPr>
            <w:r w:rsidRPr="00ED564E">
              <w:rPr>
                <w:rFonts w:cs="Arial"/>
                <w:bCs/>
                <w:sz w:val="20"/>
                <w:szCs w:val="20"/>
              </w:rPr>
              <w:t>98,149,429</w:t>
            </w:r>
          </w:p>
        </w:tc>
      </w:tr>
      <w:tr w:rsidR="00990749" w:rsidRPr="00ED564E" w14:paraId="46C26DF1" w14:textId="77777777" w:rsidTr="00990749">
        <w:trPr>
          <w:trHeight w:val="283"/>
        </w:trPr>
        <w:tc>
          <w:tcPr>
            <w:tcW w:w="1735" w:type="pct"/>
            <w:tcBorders>
              <w:left w:val="single" w:sz="4" w:space="0" w:color="auto"/>
            </w:tcBorders>
            <w:hideMark/>
          </w:tcPr>
          <w:p w14:paraId="179A0216" w14:textId="77777777" w:rsidR="00990749" w:rsidRPr="00ED564E" w:rsidRDefault="00990749" w:rsidP="00990749">
            <w:pPr>
              <w:rPr>
                <w:rFonts w:cs="Arial"/>
                <w:bCs/>
                <w:sz w:val="20"/>
                <w:szCs w:val="20"/>
              </w:rPr>
            </w:pPr>
            <w:r w:rsidRPr="00ED564E">
              <w:rPr>
                <w:rFonts w:cs="Arial"/>
                <w:bCs/>
                <w:sz w:val="20"/>
                <w:szCs w:val="20"/>
              </w:rPr>
              <w:t>Lost</w:t>
            </w:r>
          </w:p>
        </w:tc>
        <w:tc>
          <w:tcPr>
            <w:tcW w:w="1525" w:type="pct"/>
            <w:hideMark/>
          </w:tcPr>
          <w:p w14:paraId="0A4EC5E9" w14:textId="77777777" w:rsidR="00990749" w:rsidRPr="00ED564E" w:rsidRDefault="00990749" w:rsidP="00990749">
            <w:pPr>
              <w:jc w:val="right"/>
              <w:rPr>
                <w:rFonts w:cs="Arial"/>
                <w:bCs/>
                <w:sz w:val="20"/>
                <w:szCs w:val="20"/>
              </w:rPr>
            </w:pPr>
            <w:r w:rsidRPr="00ED564E">
              <w:rPr>
                <w:rFonts w:cs="Arial"/>
                <w:bCs/>
                <w:sz w:val="20"/>
                <w:szCs w:val="20"/>
              </w:rPr>
              <w:t>631,756</w:t>
            </w:r>
          </w:p>
        </w:tc>
        <w:tc>
          <w:tcPr>
            <w:tcW w:w="1740" w:type="pct"/>
            <w:tcBorders>
              <w:right w:val="single" w:sz="4" w:space="0" w:color="auto"/>
            </w:tcBorders>
            <w:hideMark/>
          </w:tcPr>
          <w:p w14:paraId="0B0B2CCD" w14:textId="77777777" w:rsidR="00990749" w:rsidRPr="00ED564E" w:rsidRDefault="00990749" w:rsidP="00990749">
            <w:pPr>
              <w:jc w:val="right"/>
              <w:rPr>
                <w:rFonts w:cs="Arial"/>
                <w:bCs/>
                <w:sz w:val="20"/>
                <w:szCs w:val="20"/>
              </w:rPr>
            </w:pPr>
            <w:r w:rsidRPr="00ED564E">
              <w:rPr>
                <w:rFonts w:cs="Arial"/>
                <w:bCs/>
                <w:sz w:val="20"/>
                <w:szCs w:val="20"/>
              </w:rPr>
              <w:t>6,947,308</w:t>
            </w:r>
          </w:p>
        </w:tc>
      </w:tr>
      <w:tr w:rsidR="00990749" w:rsidRPr="00ED564E" w14:paraId="6F013E9A" w14:textId="77777777" w:rsidTr="00990749">
        <w:trPr>
          <w:trHeight w:val="283"/>
        </w:trPr>
        <w:tc>
          <w:tcPr>
            <w:tcW w:w="1735" w:type="pct"/>
            <w:tcBorders>
              <w:left w:val="single" w:sz="4" w:space="0" w:color="auto"/>
            </w:tcBorders>
          </w:tcPr>
          <w:p w14:paraId="2C009C9B" w14:textId="77777777" w:rsidR="00990749" w:rsidRPr="00ED564E" w:rsidRDefault="00990749" w:rsidP="00990749">
            <w:pPr>
              <w:rPr>
                <w:rFonts w:cs="Arial"/>
                <w:bCs/>
                <w:sz w:val="20"/>
                <w:szCs w:val="20"/>
              </w:rPr>
            </w:pPr>
          </w:p>
        </w:tc>
        <w:tc>
          <w:tcPr>
            <w:tcW w:w="1525" w:type="pct"/>
          </w:tcPr>
          <w:p w14:paraId="2E84A8EC" w14:textId="77777777" w:rsidR="00990749" w:rsidRPr="00ED564E" w:rsidRDefault="00990749" w:rsidP="00990749">
            <w:pPr>
              <w:jc w:val="right"/>
              <w:rPr>
                <w:rFonts w:cs="Arial"/>
                <w:bCs/>
                <w:sz w:val="20"/>
                <w:szCs w:val="20"/>
              </w:rPr>
            </w:pPr>
          </w:p>
        </w:tc>
        <w:tc>
          <w:tcPr>
            <w:tcW w:w="1740" w:type="pct"/>
            <w:tcBorders>
              <w:right w:val="single" w:sz="4" w:space="0" w:color="auto"/>
            </w:tcBorders>
          </w:tcPr>
          <w:p w14:paraId="32512B92" w14:textId="77777777" w:rsidR="00990749" w:rsidRPr="00ED564E" w:rsidRDefault="00990749" w:rsidP="00990749">
            <w:pPr>
              <w:jc w:val="right"/>
              <w:rPr>
                <w:rFonts w:cs="Arial"/>
                <w:bCs/>
                <w:sz w:val="20"/>
                <w:szCs w:val="20"/>
              </w:rPr>
            </w:pPr>
          </w:p>
        </w:tc>
      </w:tr>
      <w:tr w:rsidR="00990749" w:rsidRPr="00ED564E" w14:paraId="2385FC14" w14:textId="77777777" w:rsidTr="00990749">
        <w:trPr>
          <w:trHeight w:val="283"/>
        </w:trPr>
        <w:tc>
          <w:tcPr>
            <w:tcW w:w="1735" w:type="pct"/>
            <w:tcBorders>
              <w:left w:val="single" w:sz="4" w:space="0" w:color="auto"/>
              <w:bottom w:val="single" w:sz="4" w:space="0" w:color="auto"/>
            </w:tcBorders>
            <w:hideMark/>
          </w:tcPr>
          <w:p w14:paraId="1DCB8D7D" w14:textId="77777777" w:rsidR="00990749" w:rsidRPr="00ED564E" w:rsidRDefault="00990749" w:rsidP="00990749">
            <w:pPr>
              <w:rPr>
                <w:rFonts w:cs="Arial"/>
                <w:b/>
                <w:bCs/>
                <w:sz w:val="20"/>
                <w:szCs w:val="20"/>
              </w:rPr>
            </w:pPr>
            <w:r w:rsidRPr="00ED564E">
              <w:rPr>
                <w:rFonts w:cs="Arial"/>
                <w:b/>
                <w:bCs/>
                <w:sz w:val="20"/>
                <w:szCs w:val="20"/>
              </w:rPr>
              <w:t>In ERFs</w:t>
            </w:r>
          </w:p>
        </w:tc>
        <w:tc>
          <w:tcPr>
            <w:tcW w:w="1525" w:type="pct"/>
            <w:tcBorders>
              <w:bottom w:val="single" w:sz="4" w:space="0" w:color="auto"/>
            </w:tcBorders>
            <w:hideMark/>
          </w:tcPr>
          <w:p w14:paraId="24FFAB56" w14:textId="77777777" w:rsidR="00990749" w:rsidRPr="00ED564E" w:rsidRDefault="00990749" w:rsidP="00990749">
            <w:pPr>
              <w:jc w:val="right"/>
              <w:rPr>
                <w:rFonts w:cs="Arial"/>
                <w:b/>
                <w:bCs/>
                <w:sz w:val="20"/>
                <w:szCs w:val="20"/>
              </w:rPr>
            </w:pPr>
            <w:r w:rsidRPr="00ED564E">
              <w:rPr>
                <w:rFonts w:cs="Arial"/>
                <w:b/>
                <w:bCs/>
                <w:sz w:val="20"/>
                <w:szCs w:val="20"/>
              </w:rPr>
              <w:t>3,496,236</w:t>
            </w:r>
          </w:p>
        </w:tc>
        <w:tc>
          <w:tcPr>
            <w:tcW w:w="1740" w:type="pct"/>
            <w:tcBorders>
              <w:bottom w:val="single" w:sz="4" w:space="0" w:color="auto"/>
              <w:right w:val="single" w:sz="4" w:space="0" w:color="auto"/>
            </w:tcBorders>
            <w:hideMark/>
          </w:tcPr>
          <w:p w14:paraId="7F5CBB2F" w14:textId="77777777" w:rsidR="00990749" w:rsidRPr="00ED564E" w:rsidRDefault="00990749" w:rsidP="00990749">
            <w:pPr>
              <w:jc w:val="right"/>
              <w:rPr>
                <w:rFonts w:cs="Arial"/>
                <w:b/>
                <w:bCs/>
                <w:sz w:val="20"/>
                <w:szCs w:val="20"/>
              </w:rPr>
            </w:pPr>
            <w:r w:rsidRPr="00ED564E">
              <w:rPr>
                <w:rFonts w:cs="Arial"/>
                <w:b/>
                <w:bCs/>
                <w:sz w:val="20"/>
                <w:szCs w:val="20"/>
              </w:rPr>
              <w:t>4,923,341</w:t>
            </w:r>
          </w:p>
        </w:tc>
      </w:tr>
      <w:tr w:rsidR="00990749" w:rsidRPr="00ED564E" w14:paraId="3F28B4B9" w14:textId="77777777" w:rsidTr="00990749">
        <w:trPr>
          <w:trHeight w:val="283"/>
        </w:trPr>
        <w:tc>
          <w:tcPr>
            <w:tcW w:w="1735" w:type="pct"/>
            <w:tcBorders>
              <w:top w:val="single" w:sz="4" w:space="0" w:color="auto"/>
              <w:left w:val="single" w:sz="4" w:space="0" w:color="auto"/>
            </w:tcBorders>
            <w:hideMark/>
          </w:tcPr>
          <w:p w14:paraId="6624446F" w14:textId="77777777" w:rsidR="00990749" w:rsidRPr="00ED564E" w:rsidRDefault="00990749" w:rsidP="00990749">
            <w:pPr>
              <w:rPr>
                <w:rFonts w:cs="Arial"/>
                <w:bCs/>
                <w:sz w:val="20"/>
                <w:szCs w:val="20"/>
              </w:rPr>
            </w:pPr>
            <w:r w:rsidRPr="00ED564E">
              <w:rPr>
                <w:rFonts w:cs="Arial"/>
                <w:bCs/>
                <w:sz w:val="20"/>
                <w:szCs w:val="20"/>
              </w:rPr>
              <w:t>Active</w:t>
            </w:r>
          </w:p>
        </w:tc>
        <w:tc>
          <w:tcPr>
            <w:tcW w:w="1525" w:type="pct"/>
            <w:tcBorders>
              <w:top w:val="single" w:sz="4" w:space="0" w:color="auto"/>
            </w:tcBorders>
            <w:hideMark/>
          </w:tcPr>
          <w:p w14:paraId="186246DF" w14:textId="77777777" w:rsidR="00990749" w:rsidRPr="00ED564E" w:rsidRDefault="00990749" w:rsidP="00990749">
            <w:pPr>
              <w:jc w:val="right"/>
              <w:rPr>
                <w:rFonts w:cs="Arial"/>
                <w:bCs/>
                <w:sz w:val="20"/>
                <w:szCs w:val="20"/>
              </w:rPr>
            </w:pPr>
            <w:r w:rsidRPr="00ED564E">
              <w:rPr>
                <w:rFonts w:cs="Arial"/>
                <w:bCs/>
                <w:sz w:val="20"/>
                <w:szCs w:val="20"/>
              </w:rPr>
              <w:t>931,440</w:t>
            </w:r>
          </w:p>
        </w:tc>
        <w:tc>
          <w:tcPr>
            <w:tcW w:w="1740" w:type="pct"/>
            <w:tcBorders>
              <w:top w:val="single" w:sz="4" w:space="0" w:color="auto"/>
              <w:right w:val="single" w:sz="4" w:space="0" w:color="auto"/>
            </w:tcBorders>
            <w:hideMark/>
          </w:tcPr>
          <w:p w14:paraId="0D4585BF" w14:textId="77777777" w:rsidR="00990749" w:rsidRPr="00ED564E" w:rsidRDefault="00990749" w:rsidP="00990749">
            <w:pPr>
              <w:jc w:val="right"/>
              <w:rPr>
                <w:rFonts w:cs="Arial"/>
                <w:bCs/>
                <w:sz w:val="20"/>
                <w:szCs w:val="20"/>
              </w:rPr>
            </w:pPr>
            <w:r w:rsidRPr="00ED564E">
              <w:rPr>
                <w:rFonts w:cs="Arial"/>
                <w:bCs/>
                <w:sz w:val="20"/>
                <w:szCs w:val="20"/>
              </w:rPr>
              <w:t>2,113,879</w:t>
            </w:r>
          </w:p>
        </w:tc>
      </w:tr>
      <w:tr w:rsidR="00990749" w:rsidRPr="00ED564E" w14:paraId="7FED4B38" w14:textId="77777777" w:rsidTr="00990749">
        <w:trPr>
          <w:trHeight w:val="283"/>
        </w:trPr>
        <w:tc>
          <w:tcPr>
            <w:tcW w:w="1735" w:type="pct"/>
            <w:tcBorders>
              <w:left w:val="single" w:sz="4" w:space="0" w:color="auto"/>
            </w:tcBorders>
            <w:hideMark/>
          </w:tcPr>
          <w:p w14:paraId="17A9E9DD" w14:textId="77777777" w:rsidR="00990749" w:rsidRPr="00ED564E" w:rsidRDefault="00990749" w:rsidP="00990749">
            <w:pPr>
              <w:rPr>
                <w:rFonts w:cs="Arial"/>
                <w:bCs/>
                <w:sz w:val="20"/>
                <w:szCs w:val="20"/>
              </w:rPr>
            </w:pPr>
            <w:r w:rsidRPr="00ED564E">
              <w:rPr>
                <w:rFonts w:cs="Arial"/>
                <w:bCs/>
                <w:sz w:val="20"/>
                <w:szCs w:val="20"/>
              </w:rPr>
              <w:t>Inactive</w:t>
            </w:r>
          </w:p>
        </w:tc>
        <w:tc>
          <w:tcPr>
            <w:tcW w:w="1525" w:type="pct"/>
            <w:hideMark/>
          </w:tcPr>
          <w:p w14:paraId="6C7D6FCA" w14:textId="77777777" w:rsidR="00990749" w:rsidRPr="00ED564E" w:rsidRDefault="00990749" w:rsidP="00990749">
            <w:pPr>
              <w:jc w:val="right"/>
              <w:rPr>
                <w:rFonts w:cs="Arial"/>
                <w:bCs/>
                <w:sz w:val="20"/>
                <w:szCs w:val="20"/>
              </w:rPr>
            </w:pPr>
            <w:r w:rsidRPr="00ED564E">
              <w:rPr>
                <w:rFonts w:cs="Arial"/>
                <w:bCs/>
                <w:sz w:val="20"/>
                <w:szCs w:val="20"/>
              </w:rPr>
              <w:t>2,475,457</w:t>
            </w:r>
          </w:p>
        </w:tc>
        <w:tc>
          <w:tcPr>
            <w:tcW w:w="1740" w:type="pct"/>
            <w:tcBorders>
              <w:right w:val="single" w:sz="4" w:space="0" w:color="auto"/>
            </w:tcBorders>
            <w:hideMark/>
          </w:tcPr>
          <w:p w14:paraId="2336948B" w14:textId="77777777" w:rsidR="00990749" w:rsidRPr="00ED564E" w:rsidRDefault="00990749" w:rsidP="00990749">
            <w:pPr>
              <w:jc w:val="right"/>
              <w:rPr>
                <w:rFonts w:cs="Arial"/>
                <w:bCs/>
                <w:sz w:val="20"/>
                <w:szCs w:val="20"/>
              </w:rPr>
            </w:pPr>
            <w:r w:rsidRPr="00ED564E">
              <w:rPr>
                <w:rFonts w:cs="Arial"/>
                <w:bCs/>
                <w:sz w:val="20"/>
                <w:szCs w:val="20"/>
              </w:rPr>
              <w:t>2,458,832</w:t>
            </w:r>
          </w:p>
        </w:tc>
      </w:tr>
      <w:tr w:rsidR="00990749" w:rsidRPr="00ED564E" w14:paraId="1BF81A4C" w14:textId="77777777" w:rsidTr="00990749">
        <w:trPr>
          <w:trHeight w:val="283"/>
        </w:trPr>
        <w:tc>
          <w:tcPr>
            <w:tcW w:w="1735" w:type="pct"/>
            <w:tcBorders>
              <w:left w:val="single" w:sz="4" w:space="0" w:color="auto"/>
              <w:bottom w:val="single" w:sz="4" w:space="0" w:color="auto"/>
            </w:tcBorders>
            <w:hideMark/>
          </w:tcPr>
          <w:p w14:paraId="4D6BA26C" w14:textId="77777777" w:rsidR="00990749" w:rsidRPr="00ED564E" w:rsidRDefault="00990749" w:rsidP="00990749">
            <w:pPr>
              <w:rPr>
                <w:rFonts w:cs="Arial"/>
                <w:bCs/>
                <w:sz w:val="20"/>
                <w:szCs w:val="20"/>
              </w:rPr>
            </w:pPr>
            <w:r w:rsidRPr="00ED564E">
              <w:rPr>
                <w:rFonts w:cs="Arial"/>
                <w:bCs/>
                <w:sz w:val="20"/>
                <w:szCs w:val="20"/>
              </w:rPr>
              <w:t>Lost</w:t>
            </w:r>
          </w:p>
        </w:tc>
        <w:tc>
          <w:tcPr>
            <w:tcW w:w="1525" w:type="pct"/>
            <w:tcBorders>
              <w:bottom w:val="single" w:sz="4" w:space="0" w:color="auto"/>
            </w:tcBorders>
            <w:hideMark/>
          </w:tcPr>
          <w:p w14:paraId="3542E579" w14:textId="77777777" w:rsidR="00990749" w:rsidRPr="00ED564E" w:rsidRDefault="00990749" w:rsidP="00990749">
            <w:pPr>
              <w:jc w:val="right"/>
              <w:rPr>
                <w:rFonts w:cs="Arial"/>
                <w:bCs/>
                <w:sz w:val="20"/>
                <w:szCs w:val="20"/>
              </w:rPr>
            </w:pPr>
            <w:r w:rsidRPr="00ED564E">
              <w:rPr>
                <w:rFonts w:cs="Arial"/>
                <w:bCs/>
                <w:sz w:val="20"/>
                <w:szCs w:val="20"/>
              </w:rPr>
              <w:t>89,339</w:t>
            </w:r>
          </w:p>
        </w:tc>
        <w:tc>
          <w:tcPr>
            <w:tcW w:w="1740" w:type="pct"/>
            <w:tcBorders>
              <w:bottom w:val="single" w:sz="4" w:space="0" w:color="auto"/>
              <w:right w:val="single" w:sz="4" w:space="0" w:color="auto"/>
            </w:tcBorders>
            <w:hideMark/>
          </w:tcPr>
          <w:p w14:paraId="626A1D6F" w14:textId="77777777" w:rsidR="00990749" w:rsidRPr="00ED564E" w:rsidRDefault="00990749" w:rsidP="00990749">
            <w:pPr>
              <w:jc w:val="right"/>
              <w:rPr>
                <w:rFonts w:cs="Arial"/>
                <w:bCs/>
                <w:sz w:val="20"/>
                <w:szCs w:val="20"/>
              </w:rPr>
            </w:pPr>
            <w:r w:rsidRPr="00ED564E">
              <w:rPr>
                <w:rFonts w:cs="Arial"/>
                <w:bCs/>
                <w:sz w:val="20"/>
                <w:szCs w:val="20"/>
              </w:rPr>
              <w:t>350,630</w:t>
            </w:r>
          </w:p>
        </w:tc>
      </w:tr>
    </w:tbl>
    <w:p w14:paraId="18158976" w14:textId="77777777" w:rsidR="00990749" w:rsidRPr="00ED564E" w:rsidRDefault="00990749" w:rsidP="00990749">
      <w:pPr>
        <w:rPr>
          <w:rFonts w:cs="Arial"/>
          <w:sz w:val="18"/>
          <w:szCs w:val="18"/>
        </w:rPr>
      </w:pPr>
      <w:r w:rsidRPr="00ED564E">
        <w:rPr>
          <w:rFonts w:cs="Arial"/>
          <w:sz w:val="18"/>
          <w:szCs w:val="18"/>
        </w:rPr>
        <w:t>Source: APRA Annual Fund Level Superannuation Statistics, 30 June 2015.</w:t>
      </w:r>
    </w:p>
    <w:p w14:paraId="5D6634E3" w14:textId="77777777" w:rsidR="00ED564E" w:rsidRDefault="00ED564E">
      <w:pPr>
        <w:spacing w:line="240" w:lineRule="auto"/>
        <w:rPr>
          <w:rFonts w:eastAsiaTheme="majorEastAsia" w:cs="Arial"/>
          <w:b/>
          <w:bCs/>
          <w:color w:val="4F81BD" w:themeColor="accent1"/>
          <w:sz w:val="32"/>
          <w:szCs w:val="26"/>
          <w:lang w:val="en-AU"/>
        </w:rPr>
      </w:pPr>
      <w:r>
        <w:rPr>
          <w:rFonts w:cs="Arial"/>
        </w:rPr>
        <w:br w:type="page"/>
      </w:r>
    </w:p>
    <w:p w14:paraId="01BC7E9B" w14:textId="404620D4" w:rsidR="00990749" w:rsidRPr="00ED564E" w:rsidRDefault="00990749" w:rsidP="00990749">
      <w:pPr>
        <w:pStyle w:val="Heading2"/>
        <w:rPr>
          <w:rFonts w:ascii="Arial" w:hAnsi="Arial" w:cs="Arial"/>
        </w:rPr>
      </w:pPr>
      <w:r w:rsidRPr="00ED564E">
        <w:rPr>
          <w:rFonts w:ascii="Arial" w:hAnsi="Arial" w:cs="Arial"/>
        </w:rPr>
        <w:lastRenderedPageBreak/>
        <w:t>Impact of small lost and inactive accounts</w:t>
      </w:r>
    </w:p>
    <w:p w14:paraId="3751AA0B" w14:textId="77777777" w:rsidR="00990749" w:rsidRPr="00ED564E" w:rsidRDefault="00990749" w:rsidP="00990749">
      <w:pPr>
        <w:rPr>
          <w:rFonts w:cs="Arial"/>
          <w:bCs/>
        </w:rPr>
      </w:pPr>
      <w:r w:rsidRPr="00ED564E">
        <w:rPr>
          <w:rFonts w:cs="Arial"/>
          <w:bCs/>
        </w:rPr>
        <w:t>Low balance, inactive and lost accounts are predominantly held by young people who are more likely to be impacted by short-term employment and lower incomes.</w:t>
      </w:r>
    </w:p>
    <w:p w14:paraId="40A1B829" w14:textId="77777777" w:rsidR="00E2026B" w:rsidRPr="00ED564E" w:rsidRDefault="00E2026B" w:rsidP="00990749">
      <w:pPr>
        <w:rPr>
          <w:rFonts w:cs="Arial"/>
          <w:bCs/>
        </w:rPr>
      </w:pPr>
    </w:p>
    <w:p w14:paraId="52F54881" w14:textId="50F1724D" w:rsidR="00990749" w:rsidRPr="00ED564E" w:rsidRDefault="00990749" w:rsidP="00990749">
      <w:pPr>
        <w:rPr>
          <w:rFonts w:cs="Arial"/>
          <w:b/>
        </w:rPr>
      </w:pPr>
      <w:r w:rsidRPr="00ED564E">
        <w:rPr>
          <w:rFonts w:cs="Arial"/>
          <w:b/>
        </w:rPr>
        <w:t>Table 2</w:t>
      </w:r>
      <w:r w:rsidR="00200F05" w:rsidRPr="00ED564E">
        <w:rPr>
          <w:rFonts w:cs="Arial"/>
          <w:b/>
        </w:rPr>
        <w:t>:</w:t>
      </w:r>
      <w:r w:rsidRPr="00ED564E">
        <w:rPr>
          <w:rFonts w:cs="Arial"/>
          <w:b/>
        </w:rPr>
        <w:t xml:space="preserve"> Average superannuation account balance by age and gender</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419"/>
        <w:gridCol w:w="1062"/>
        <w:gridCol w:w="1303"/>
        <w:gridCol w:w="1303"/>
        <w:gridCol w:w="1303"/>
        <w:gridCol w:w="1303"/>
        <w:gridCol w:w="1305"/>
      </w:tblGrid>
      <w:tr w:rsidR="00990749" w:rsidRPr="00ED564E" w14:paraId="003B3681" w14:textId="77777777" w:rsidTr="00ED564E">
        <w:trPr>
          <w:trHeight w:val="283"/>
        </w:trPr>
        <w:tc>
          <w:tcPr>
            <w:tcW w:w="789" w:type="pct"/>
            <w:tcBorders>
              <w:bottom w:val="nil"/>
            </w:tcBorders>
          </w:tcPr>
          <w:p w14:paraId="26EB6BE9" w14:textId="77777777" w:rsidR="00990749" w:rsidRPr="00ED564E" w:rsidRDefault="00990749" w:rsidP="00990749">
            <w:pPr>
              <w:rPr>
                <w:rFonts w:cs="Arial"/>
                <w:b/>
                <w:bCs/>
                <w:sz w:val="20"/>
                <w:szCs w:val="20"/>
              </w:rPr>
            </w:pPr>
          </w:p>
        </w:tc>
        <w:tc>
          <w:tcPr>
            <w:tcW w:w="2038" w:type="pct"/>
            <w:gridSpan w:val="3"/>
            <w:tcBorders>
              <w:bottom w:val="nil"/>
            </w:tcBorders>
          </w:tcPr>
          <w:p w14:paraId="30978477" w14:textId="51801F32" w:rsidR="00990749" w:rsidRPr="00ED564E" w:rsidRDefault="00990749" w:rsidP="00E401D9">
            <w:pPr>
              <w:jc w:val="right"/>
              <w:rPr>
                <w:rFonts w:cs="Arial"/>
                <w:b/>
                <w:bCs/>
                <w:sz w:val="20"/>
                <w:szCs w:val="20"/>
              </w:rPr>
            </w:pPr>
            <w:r w:rsidRPr="00ED564E">
              <w:rPr>
                <w:rFonts w:cs="Arial"/>
                <w:b/>
                <w:bCs/>
                <w:sz w:val="20"/>
                <w:szCs w:val="20"/>
              </w:rPr>
              <w:t xml:space="preserve">Mean superannuation balance </w:t>
            </w:r>
          </w:p>
        </w:tc>
        <w:tc>
          <w:tcPr>
            <w:tcW w:w="2173" w:type="pct"/>
            <w:gridSpan w:val="3"/>
            <w:tcBorders>
              <w:bottom w:val="nil"/>
            </w:tcBorders>
          </w:tcPr>
          <w:p w14:paraId="3FC19343" w14:textId="3B399C0D" w:rsidR="00990749" w:rsidRPr="00ED564E" w:rsidRDefault="00990749" w:rsidP="00E401D9">
            <w:pPr>
              <w:jc w:val="right"/>
              <w:rPr>
                <w:rFonts w:cs="Arial"/>
                <w:b/>
                <w:bCs/>
                <w:sz w:val="20"/>
                <w:szCs w:val="20"/>
              </w:rPr>
            </w:pPr>
            <w:r w:rsidRPr="00ED564E">
              <w:rPr>
                <w:rFonts w:cs="Arial"/>
                <w:b/>
                <w:bCs/>
                <w:sz w:val="20"/>
                <w:szCs w:val="20"/>
              </w:rPr>
              <w:t xml:space="preserve">Median superannuation balance </w:t>
            </w:r>
          </w:p>
        </w:tc>
      </w:tr>
      <w:tr w:rsidR="00990749" w:rsidRPr="00ED564E" w14:paraId="0FE60749" w14:textId="77777777" w:rsidTr="00ED564E">
        <w:trPr>
          <w:trHeight w:val="283"/>
        </w:trPr>
        <w:tc>
          <w:tcPr>
            <w:tcW w:w="789" w:type="pct"/>
            <w:tcBorders>
              <w:top w:val="nil"/>
              <w:bottom w:val="single" w:sz="4" w:space="0" w:color="auto"/>
            </w:tcBorders>
          </w:tcPr>
          <w:p w14:paraId="7AA69913" w14:textId="77777777" w:rsidR="00990749" w:rsidRPr="00ED564E" w:rsidRDefault="00990749" w:rsidP="00990749">
            <w:pPr>
              <w:rPr>
                <w:rFonts w:cs="Arial"/>
                <w:b/>
                <w:bCs/>
                <w:sz w:val="20"/>
                <w:szCs w:val="20"/>
              </w:rPr>
            </w:pPr>
            <w:r w:rsidRPr="00ED564E">
              <w:rPr>
                <w:rFonts w:cs="Arial"/>
                <w:b/>
                <w:bCs/>
                <w:sz w:val="20"/>
                <w:szCs w:val="20"/>
              </w:rPr>
              <w:t>Age</w:t>
            </w:r>
          </w:p>
        </w:tc>
        <w:tc>
          <w:tcPr>
            <w:tcW w:w="590" w:type="pct"/>
            <w:tcBorders>
              <w:top w:val="nil"/>
              <w:bottom w:val="single" w:sz="4" w:space="0" w:color="auto"/>
            </w:tcBorders>
          </w:tcPr>
          <w:p w14:paraId="644B602B" w14:textId="77777777" w:rsidR="00990749" w:rsidRPr="00ED564E" w:rsidRDefault="00990749" w:rsidP="00990749">
            <w:pPr>
              <w:jc w:val="right"/>
              <w:rPr>
                <w:rFonts w:cs="Arial"/>
                <w:b/>
                <w:bCs/>
                <w:sz w:val="20"/>
                <w:szCs w:val="20"/>
              </w:rPr>
            </w:pPr>
            <w:r w:rsidRPr="00ED564E">
              <w:rPr>
                <w:rFonts w:cs="Arial"/>
                <w:b/>
                <w:bCs/>
                <w:sz w:val="20"/>
                <w:szCs w:val="20"/>
              </w:rPr>
              <w:t>Male</w:t>
            </w:r>
          </w:p>
        </w:tc>
        <w:tc>
          <w:tcPr>
            <w:tcW w:w="724" w:type="pct"/>
            <w:tcBorders>
              <w:top w:val="nil"/>
              <w:bottom w:val="single" w:sz="4" w:space="0" w:color="auto"/>
            </w:tcBorders>
          </w:tcPr>
          <w:p w14:paraId="3AB539D9" w14:textId="77777777" w:rsidR="00990749" w:rsidRPr="00ED564E" w:rsidRDefault="00990749" w:rsidP="00990749">
            <w:pPr>
              <w:jc w:val="right"/>
              <w:rPr>
                <w:rFonts w:cs="Arial"/>
                <w:b/>
                <w:bCs/>
                <w:sz w:val="20"/>
                <w:szCs w:val="20"/>
              </w:rPr>
            </w:pPr>
            <w:r w:rsidRPr="00ED564E">
              <w:rPr>
                <w:rFonts w:cs="Arial"/>
                <w:b/>
                <w:bCs/>
                <w:sz w:val="20"/>
                <w:szCs w:val="20"/>
              </w:rPr>
              <w:t>Female</w:t>
            </w:r>
          </w:p>
        </w:tc>
        <w:tc>
          <w:tcPr>
            <w:tcW w:w="724" w:type="pct"/>
            <w:tcBorders>
              <w:top w:val="nil"/>
              <w:bottom w:val="single" w:sz="4" w:space="0" w:color="auto"/>
            </w:tcBorders>
          </w:tcPr>
          <w:p w14:paraId="557906B5" w14:textId="77777777" w:rsidR="00990749" w:rsidRPr="00ED564E" w:rsidRDefault="00990749" w:rsidP="00990749">
            <w:pPr>
              <w:jc w:val="right"/>
              <w:rPr>
                <w:rFonts w:cs="Arial"/>
                <w:b/>
                <w:bCs/>
                <w:sz w:val="20"/>
                <w:szCs w:val="20"/>
              </w:rPr>
            </w:pPr>
            <w:r w:rsidRPr="00ED564E">
              <w:rPr>
                <w:rFonts w:cs="Arial"/>
                <w:b/>
                <w:bCs/>
                <w:sz w:val="20"/>
                <w:szCs w:val="20"/>
              </w:rPr>
              <w:t>Persons</w:t>
            </w:r>
          </w:p>
        </w:tc>
        <w:tc>
          <w:tcPr>
            <w:tcW w:w="724" w:type="pct"/>
            <w:tcBorders>
              <w:top w:val="nil"/>
              <w:bottom w:val="single" w:sz="4" w:space="0" w:color="auto"/>
            </w:tcBorders>
          </w:tcPr>
          <w:p w14:paraId="1F033588" w14:textId="77777777" w:rsidR="00990749" w:rsidRPr="00ED564E" w:rsidRDefault="00990749" w:rsidP="00990749">
            <w:pPr>
              <w:jc w:val="right"/>
              <w:rPr>
                <w:rFonts w:cs="Arial"/>
                <w:b/>
                <w:bCs/>
                <w:sz w:val="20"/>
                <w:szCs w:val="20"/>
              </w:rPr>
            </w:pPr>
            <w:r w:rsidRPr="00ED564E">
              <w:rPr>
                <w:rFonts w:cs="Arial"/>
                <w:b/>
                <w:bCs/>
                <w:sz w:val="20"/>
                <w:szCs w:val="20"/>
              </w:rPr>
              <w:t>Male</w:t>
            </w:r>
          </w:p>
        </w:tc>
        <w:tc>
          <w:tcPr>
            <w:tcW w:w="724" w:type="pct"/>
            <w:tcBorders>
              <w:top w:val="nil"/>
              <w:bottom w:val="single" w:sz="4" w:space="0" w:color="auto"/>
            </w:tcBorders>
          </w:tcPr>
          <w:p w14:paraId="59296BD6" w14:textId="77777777" w:rsidR="00990749" w:rsidRPr="00ED564E" w:rsidRDefault="00990749" w:rsidP="00990749">
            <w:pPr>
              <w:jc w:val="right"/>
              <w:rPr>
                <w:rFonts w:cs="Arial"/>
                <w:b/>
                <w:bCs/>
                <w:sz w:val="20"/>
                <w:szCs w:val="20"/>
              </w:rPr>
            </w:pPr>
            <w:r w:rsidRPr="00ED564E">
              <w:rPr>
                <w:rFonts w:cs="Arial"/>
                <w:b/>
                <w:bCs/>
                <w:sz w:val="20"/>
                <w:szCs w:val="20"/>
              </w:rPr>
              <w:t>Female</w:t>
            </w:r>
          </w:p>
        </w:tc>
        <w:tc>
          <w:tcPr>
            <w:tcW w:w="724" w:type="pct"/>
            <w:tcBorders>
              <w:top w:val="nil"/>
              <w:bottom w:val="single" w:sz="4" w:space="0" w:color="auto"/>
            </w:tcBorders>
          </w:tcPr>
          <w:p w14:paraId="251ACAE2" w14:textId="77777777" w:rsidR="00990749" w:rsidRPr="00ED564E" w:rsidRDefault="00990749" w:rsidP="00990749">
            <w:pPr>
              <w:jc w:val="right"/>
              <w:rPr>
                <w:rFonts w:cs="Arial"/>
                <w:b/>
                <w:bCs/>
                <w:sz w:val="20"/>
                <w:szCs w:val="20"/>
              </w:rPr>
            </w:pPr>
            <w:r w:rsidRPr="00ED564E">
              <w:rPr>
                <w:rFonts w:cs="Arial"/>
                <w:b/>
                <w:bCs/>
                <w:sz w:val="20"/>
                <w:szCs w:val="20"/>
              </w:rPr>
              <w:t>Persons</w:t>
            </w:r>
          </w:p>
        </w:tc>
      </w:tr>
      <w:tr w:rsidR="00990749" w:rsidRPr="00ED564E" w14:paraId="1BB5A0A6" w14:textId="77777777" w:rsidTr="00ED564E">
        <w:trPr>
          <w:trHeight w:val="283"/>
        </w:trPr>
        <w:tc>
          <w:tcPr>
            <w:tcW w:w="789" w:type="pct"/>
            <w:tcBorders>
              <w:top w:val="single" w:sz="4" w:space="0" w:color="auto"/>
            </w:tcBorders>
          </w:tcPr>
          <w:p w14:paraId="06B2446E" w14:textId="77777777" w:rsidR="00990749" w:rsidRPr="00ED564E" w:rsidRDefault="00990749" w:rsidP="00990749">
            <w:pPr>
              <w:rPr>
                <w:rFonts w:cs="Arial"/>
                <w:b/>
                <w:bCs/>
                <w:sz w:val="20"/>
                <w:szCs w:val="20"/>
              </w:rPr>
            </w:pPr>
            <w:r w:rsidRPr="00ED564E">
              <w:rPr>
                <w:rFonts w:cs="Arial"/>
                <w:b/>
                <w:bCs/>
                <w:sz w:val="20"/>
                <w:szCs w:val="20"/>
              </w:rPr>
              <w:t>15-19 years</w:t>
            </w:r>
          </w:p>
        </w:tc>
        <w:tc>
          <w:tcPr>
            <w:tcW w:w="590" w:type="pct"/>
            <w:tcBorders>
              <w:top w:val="single" w:sz="4" w:space="0" w:color="auto"/>
            </w:tcBorders>
          </w:tcPr>
          <w:p w14:paraId="7FF7D951" w14:textId="77777777" w:rsidR="00990749" w:rsidRPr="00ED564E" w:rsidRDefault="00990749" w:rsidP="00990749">
            <w:pPr>
              <w:jc w:val="right"/>
              <w:rPr>
                <w:rFonts w:cs="Arial"/>
                <w:bCs/>
                <w:sz w:val="20"/>
                <w:szCs w:val="20"/>
              </w:rPr>
            </w:pPr>
            <w:r w:rsidRPr="00ED564E">
              <w:rPr>
                <w:rFonts w:cs="Arial"/>
                <w:bCs/>
                <w:sz w:val="20"/>
                <w:szCs w:val="20"/>
              </w:rPr>
              <w:t>375</w:t>
            </w:r>
          </w:p>
        </w:tc>
        <w:tc>
          <w:tcPr>
            <w:tcW w:w="724" w:type="pct"/>
            <w:tcBorders>
              <w:top w:val="single" w:sz="4" w:space="0" w:color="auto"/>
            </w:tcBorders>
          </w:tcPr>
          <w:p w14:paraId="625902D1" w14:textId="77777777" w:rsidR="00990749" w:rsidRPr="00ED564E" w:rsidRDefault="00990749" w:rsidP="00990749">
            <w:pPr>
              <w:jc w:val="right"/>
              <w:rPr>
                <w:rFonts w:cs="Arial"/>
                <w:bCs/>
                <w:sz w:val="20"/>
                <w:szCs w:val="20"/>
              </w:rPr>
            </w:pPr>
            <w:r w:rsidRPr="00ED564E">
              <w:rPr>
                <w:rFonts w:cs="Arial"/>
                <w:bCs/>
                <w:sz w:val="20"/>
                <w:szCs w:val="20"/>
              </w:rPr>
              <w:t>262</w:t>
            </w:r>
          </w:p>
        </w:tc>
        <w:tc>
          <w:tcPr>
            <w:tcW w:w="724" w:type="pct"/>
            <w:tcBorders>
              <w:top w:val="single" w:sz="4" w:space="0" w:color="auto"/>
            </w:tcBorders>
          </w:tcPr>
          <w:p w14:paraId="0BCDF8A6" w14:textId="77777777" w:rsidR="00990749" w:rsidRPr="00ED564E" w:rsidRDefault="00990749" w:rsidP="00990749">
            <w:pPr>
              <w:jc w:val="right"/>
              <w:rPr>
                <w:rFonts w:cs="Arial"/>
                <w:bCs/>
                <w:sz w:val="20"/>
                <w:szCs w:val="20"/>
              </w:rPr>
            </w:pPr>
            <w:r w:rsidRPr="00ED564E">
              <w:rPr>
                <w:rFonts w:cs="Arial"/>
                <w:bCs/>
                <w:sz w:val="20"/>
                <w:szCs w:val="20"/>
              </w:rPr>
              <w:t>320</w:t>
            </w:r>
          </w:p>
        </w:tc>
        <w:tc>
          <w:tcPr>
            <w:tcW w:w="724" w:type="pct"/>
            <w:tcBorders>
              <w:top w:val="single" w:sz="4" w:space="0" w:color="auto"/>
            </w:tcBorders>
          </w:tcPr>
          <w:p w14:paraId="77C8C148" w14:textId="77777777" w:rsidR="00990749" w:rsidRPr="00ED564E" w:rsidRDefault="00990749" w:rsidP="00990749">
            <w:pPr>
              <w:jc w:val="right"/>
              <w:rPr>
                <w:rFonts w:cs="Arial"/>
                <w:bCs/>
                <w:sz w:val="20"/>
                <w:szCs w:val="20"/>
              </w:rPr>
            </w:pPr>
            <w:r w:rsidRPr="00ED564E">
              <w:rPr>
                <w:rFonts w:cs="Arial"/>
                <w:bCs/>
                <w:sz w:val="20"/>
                <w:szCs w:val="20"/>
              </w:rPr>
              <w:t>-</w:t>
            </w:r>
          </w:p>
        </w:tc>
        <w:tc>
          <w:tcPr>
            <w:tcW w:w="724" w:type="pct"/>
            <w:tcBorders>
              <w:top w:val="single" w:sz="4" w:space="0" w:color="auto"/>
            </w:tcBorders>
          </w:tcPr>
          <w:p w14:paraId="6BABE436" w14:textId="77777777" w:rsidR="00990749" w:rsidRPr="00ED564E" w:rsidRDefault="00990749" w:rsidP="00990749">
            <w:pPr>
              <w:jc w:val="right"/>
              <w:rPr>
                <w:rFonts w:cs="Arial"/>
                <w:bCs/>
                <w:sz w:val="20"/>
                <w:szCs w:val="20"/>
              </w:rPr>
            </w:pPr>
            <w:r w:rsidRPr="00ED564E">
              <w:rPr>
                <w:rFonts w:cs="Arial"/>
                <w:bCs/>
                <w:sz w:val="20"/>
                <w:szCs w:val="20"/>
              </w:rPr>
              <w:t>-</w:t>
            </w:r>
          </w:p>
        </w:tc>
        <w:tc>
          <w:tcPr>
            <w:tcW w:w="724" w:type="pct"/>
            <w:tcBorders>
              <w:top w:val="single" w:sz="4" w:space="0" w:color="auto"/>
            </w:tcBorders>
          </w:tcPr>
          <w:p w14:paraId="3C5ECB9A" w14:textId="77777777" w:rsidR="00990749" w:rsidRPr="00ED564E" w:rsidRDefault="00990749" w:rsidP="00990749">
            <w:pPr>
              <w:jc w:val="right"/>
              <w:rPr>
                <w:rFonts w:cs="Arial"/>
                <w:bCs/>
                <w:sz w:val="20"/>
                <w:szCs w:val="20"/>
              </w:rPr>
            </w:pPr>
            <w:r w:rsidRPr="00ED564E">
              <w:rPr>
                <w:rFonts w:cs="Arial"/>
                <w:bCs/>
                <w:sz w:val="20"/>
                <w:szCs w:val="20"/>
              </w:rPr>
              <w:t>-</w:t>
            </w:r>
          </w:p>
        </w:tc>
      </w:tr>
      <w:tr w:rsidR="00990749" w:rsidRPr="00ED564E" w14:paraId="232D9B97" w14:textId="77777777" w:rsidTr="00ED564E">
        <w:trPr>
          <w:trHeight w:val="283"/>
        </w:trPr>
        <w:tc>
          <w:tcPr>
            <w:tcW w:w="789" w:type="pct"/>
          </w:tcPr>
          <w:p w14:paraId="21E0C1A5" w14:textId="77777777" w:rsidR="00990749" w:rsidRPr="00ED564E" w:rsidRDefault="00990749" w:rsidP="00990749">
            <w:pPr>
              <w:rPr>
                <w:rFonts w:cs="Arial"/>
                <w:b/>
                <w:bCs/>
                <w:sz w:val="20"/>
                <w:szCs w:val="20"/>
              </w:rPr>
            </w:pPr>
            <w:r w:rsidRPr="00ED564E">
              <w:rPr>
                <w:rFonts w:cs="Arial"/>
                <w:b/>
                <w:bCs/>
                <w:sz w:val="20"/>
                <w:szCs w:val="20"/>
              </w:rPr>
              <w:t>20-24 years</w:t>
            </w:r>
          </w:p>
        </w:tc>
        <w:tc>
          <w:tcPr>
            <w:tcW w:w="590" w:type="pct"/>
          </w:tcPr>
          <w:p w14:paraId="46719967" w14:textId="77777777" w:rsidR="00990749" w:rsidRPr="00ED564E" w:rsidRDefault="00990749" w:rsidP="00990749">
            <w:pPr>
              <w:jc w:val="right"/>
              <w:rPr>
                <w:rFonts w:cs="Arial"/>
                <w:bCs/>
                <w:sz w:val="20"/>
                <w:szCs w:val="20"/>
              </w:rPr>
            </w:pPr>
            <w:r w:rsidRPr="00ED564E">
              <w:rPr>
                <w:rFonts w:cs="Arial"/>
                <w:bCs/>
                <w:sz w:val="20"/>
                <w:szCs w:val="20"/>
              </w:rPr>
              <w:t>6,265</w:t>
            </w:r>
          </w:p>
        </w:tc>
        <w:tc>
          <w:tcPr>
            <w:tcW w:w="724" w:type="pct"/>
          </w:tcPr>
          <w:p w14:paraId="0F16E2AE" w14:textId="77777777" w:rsidR="00990749" w:rsidRPr="00ED564E" w:rsidRDefault="00990749" w:rsidP="00990749">
            <w:pPr>
              <w:jc w:val="right"/>
              <w:rPr>
                <w:rFonts w:cs="Arial"/>
                <w:bCs/>
                <w:sz w:val="20"/>
                <w:szCs w:val="20"/>
              </w:rPr>
            </w:pPr>
            <w:r w:rsidRPr="00ED564E">
              <w:rPr>
                <w:rFonts w:cs="Arial"/>
                <w:bCs/>
                <w:sz w:val="20"/>
                <w:szCs w:val="20"/>
              </w:rPr>
              <w:t>3,941</w:t>
            </w:r>
          </w:p>
        </w:tc>
        <w:tc>
          <w:tcPr>
            <w:tcW w:w="724" w:type="pct"/>
          </w:tcPr>
          <w:p w14:paraId="7C02F404" w14:textId="77777777" w:rsidR="00990749" w:rsidRPr="00ED564E" w:rsidRDefault="00990749" w:rsidP="00990749">
            <w:pPr>
              <w:jc w:val="right"/>
              <w:rPr>
                <w:rFonts w:cs="Arial"/>
                <w:bCs/>
                <w:sz w:val="20"/>
                <w:szCs w:val="20"/>
              </w:rPr>
            </w:pPr>
            <w:r w:rsidRPr="00ED564E">
              <w:rPr>
                <w:rFonts w:cs="Arial"/>
                <w:bCs/>
                <w:sz w:val="20"/>
                <w:szCs w:val="20"/>
              </w:rPr>
              <w:t>5,118</w:t>
            </w:r>
          </w:p>
        </w:tc>
        <w:tc>
          <w:tcPr>
            <w:tcW w:w="724" w:type="pct"/>
          </w:tcPr>
          <w:p w14:paraId="1858303F" w14:textId="77777777" w:rsidR="00990749" w:rsidRPr="00ED564E" w:rsidRDefault="00990749" w:rsidP="00990749">
            <w:pPr>
              <w:jc w:val="right"/>
              <w:rPr>
                <w:rFonts w:cs="Arial"/>
                <w:bCs/>
                <w:sz w:val="20"/>
                <w:szCs w:val="20"/>
              </w:rPr>
            </w:pPr>
            <w:r w:rsidRPr="00ED564E">
              <w:rPr>
                <w:rFonts w:cs="Arial"/>
                <w:bCs/>
                <w:sz w:val="20"/>
                <w:szCs w:val="20"/>
              </w:rPr>
              <w:t>2,400</w:t>
            </w:r>
          </w:p>
        </w:tc>
        <w:tc>
          <w:tcPr>
            <w:tcW w:w="724" w:type="pct"/>
          </w:tcPr>
          <w:p w14:paraId="0A3F9EDB" w14:textId="77777777" w:rsidR="00990749" w:rsidRPr="00ED564E" w:rsidRDefault="00990749" w:rsidP="00990749">
            <w:pPr>
              <w:jc w:val="right"/>
              <w:rPr>
                <w:rFonts w:cs="Arial"/>
                <w:bCs/>
                <w:sz w:val="20"/>
                <w:szCs w:val="20"/>
              </w:rPr>
            </w:pPr>
            <w:r w:rsidRPr="00ED564E">
              <w:rPr>
                <w:rFonts w:cs="Arial"/>
                <w:bCs/>
                <w:sz w:val="20"/>
                <w:szCs w:val="20"/>
              </w:rPr>
              <w:t>1,800</w:t>
            </w:r>
          </w:p>
        </w:tc>
        <w:tc>
          <w:tcPr>
            <w:tcW w:w="724" w:type="pct"/>
          </w:tcPr>
          <w:p w14:paraId="45BDF35A" w14:textId="77777777" w:rsidR="00990749" w:rsidRPr="00ED564E" w:rsidRDefault="00990749" w:rsidP="00990749">
            <w:pPr>
              <w:jc w:val="right"/>
              <w:rPr>
                <w:rFonts w:cs="Arial"/>
                <w:bCs/>
                <w:sz w:val="20"/>
                <w:szCs w:val="20"/>
              </w:rPr>
            </w:pPr>
            <w:r w:rsidRPr="00ED564E">
              <w:rPr>
                <w:rFonts w:cs="Arial"/>
                <w:bCs/>
                <w:sz w:val="20"/>
                <w:szCs w:val="20"/>
              </w:rPr>
              <w:t>2,000</w:t>
            </w:r>
          </w:p>
        </w:tc>
      </w:tr>
      <w:tr w:rsidR="00990749" w:rsidRPr="00ED564E" w14:paraId="6CDAF8B6" w14:textId="77777777" w:rsidTr="00ED564E">
        <w:trPr>
          <w:trHeight w:val="283"/>
        </w:trPr>
        <w:tc>
          <w:tcPr>
            <w:tcW w:w="789" w:type="pct"/>
          </w:tcPr>
          <w:p w14:paraId="27B6A5CE" w14:textId="77777777" w:rsidR="00990749" w:rsidRPr="00ED564E" w:rsidRDefault="00990749" w:rsidP="00990749">
            <w:pPr>
              <w:rPr>
                <w:rFonts w:cs="Arial"/>
                <w:b/>
                <w:bCs/>
                <w:sz w:val="20"/>
                <w:szCs w:val="20"/>
              </w:rPr>
            </w:pPr>
            <w:r w:rsidRPr="00ED564E">
              <w:rPr>
                <w:rFonts w:cs="Arial"/>
                <w:b/>
                <w:bCs/>
                <w:sz w:val="20"/>
                <w:szCs w:val="20"/>
              </w:rPr>
              <w:t>25-29 years</w:t>
            </w:r>
          </w:p>
        </w:tc>
        <w:tc>
          <w:tcPr>
            <w:tcW w:w="590" w:type="pct"/>
          </w:tcPr>
          <w:p w14:paraId="2503A149" w14:textId="77777777" w:rsidR="00990749" w:rsidRPr="00ED564E" w:rsidRDefault="00990749" w:rsidP="00990749">
            <w:pPr>
              <w:jc w:val="right"/>
              <w:rPr>
                <w:rFonts w:cs="Arial"/>
                <w:bCs/>
                <w:sz w:val="20"/>
                <w:szCs w:val="20"/>
              </w:rPr>
            </w:pPr>
            <w:r w:rsidRPr="00ED564E">
              <w:rPr>
                <w:rFonts w:cs="Arial"/>
                <w:bCs/>
                <w:sz w:val="20"/>
                <w:szCs w:val="20"/>
              </w:rPr>
              <w:t>18,072</w:t>
            </w:r>
          </w:p>
        </w:tc>
        <w:tc>
          <w:tcPr>
            <w:tcW w:w="724" w:type="pct"/>
          </w:tcPr>
          <w:p w14:paraId="174F3202" w14:textId="77777777" w:rsidR="00990749" w:rsidRPr="00ED564E" w:rsidRDefault="00990749" w:rsidP="00990749">
            <w:pPr>
              <w:jc w:val="right"/>
              <w:rPr>
                <w:rFonts w:cs="Arial"/>
                <w:bCs/>
                <w:sz w:val="20"/>
                <w:szCs w:val="20"/>
              </w:rPr>
            </w:pPr>
            <w:r w:rsidRPr="00ED564E">
              <w:rPr>
                <w:rFonts w:cs="Arial"/>
                <w:bCs/>
                <w:sz w:val="20"/>
                <w:szCs w:val="20"/>
              </w:rPr>
              <w:t>14,812</w:t>
            </w:r>
          </w:p>
        </w:tc>
        <w:tc>
          <w:tcPr>
            <w:tcW w:w="724" w:type="pct"/>
          </w:tcPr>
          <w:p w14:paraId="543E2AF3" w14:textId="77777777" w:rsidR="00990749" w:rsidRPr="00ED564E" w:rsidRDefault="00990749" w:rsidP="00990749">
            <w:pPr>
              <w:jc w:val="right"/>
              <w:rPr>
                <w:rFonts w:cs="Arial"/>
                <w:bCs/>
                <w:sz w:val="20"/>
                <w:szCs w:val="20"/>
              </w:rPr>
            </w:pPr>
            <w:r w:rsidRPr="00ED564E">
              <w:rPr>
                <w:rFonts w:cs="Arial"/>
                <w:bCs/>
                <w:sz w:val="20"/>
                <w:szCs w:val="20"/>
              </w:rPr>
              <w:t>16,441</w:t>
            </w:r>
          </w:p>
        </w:tc>
        <w:tc>
          <w:tcPr>
            <w:tcW w:w="724" w:type="pct"/>
          </w:tcPr>
          <w:p w14:paraId="70029D44" w14:textId="77777777" w:rsidR="00990749" w:rsidRPr="00ED564E" w:rsidRDefault="00990749" w:rsidP="00990749">
            <w:pPr>
              <w:jc w:val="right"/>
              <w:rPr>
                <w:rFonts w:cs="Arial"/>
                <w:bCs/>
                <w:sz w:val="20"/>
                <w:szCs w:val="20"/>
              </w:rPr>
            </w:pPr>
            <w:r w:rsidRPr="00ED564E">
              <w:rPr>
                <w:rFonts w:cs="Arial"/>
                <w:bCs/>
                <w:sz w:val="20"/>
                <w:szCs w:val="20"/>
              </w:rPr>
              <w:t>12,000</w:t>
            </w:r>
          </w:p>
        </w:tc>
        <w:tc>
          <w:tcPr>
            <w:tcW w:w="724" w:type="pct"/>
          </w:tcPr>
          <w:p w14:paraId="2F58369C" w14:textId="77777777" w:rsidR="00990749" w:rsidRPr="00ED564E" w:rsidRDefault="00990749" w:rsidP="00990749">
            <w:pPr>
              <w:jc w:val="right"/>
              <w:rPr>
                <w:rFonts w:cs="Arial"/>
                <w:bCs/>
                <w:sz w:val="20"/>
                <w:szCs w:val="20"/>
              </w:rPr>
            </w:pPr>
            <w:r w:rsidRPr="00ED564E">
              <w:rPr>
                <w:rFonts w:cs="Arial"/>
                <w:bCs/>
                <w:sz w:val="20"/>
                <w:szCs w:val="20"/>
              </w:rPr>
              <w:t>9,000</w:t>
            </w:r>
          </w:p>
        </w:tc>
        <w:tc>
          <w:tcPr>
            <w:tcW w:w="724" w:type="pct"/>
          </w:tcPr>
          <w:p w14:paraId="6633D0B7" w14:textId="77777777" w:rsidR="00990749" w:rsidRPr="00ED564E" w:rsidRDefault="00990749" w:rsidP="00990749">
            <w:pPr>
              <w:jc w:val="right"/>
              <w:rPr>
                <w:rFonts w:cs="Arial"/>
                <w:bCs/>
                <w:sz w:val="20"/>
                <w:szCs w:val="20"/>
              </w:rPr>
            </w:pPr>
            <w:r w:rsidRPr="00ED564E">
              <w:rPr>
                <w:rFonts w:cs="Arial"/>
                <w:bCs/>
                <w:sz w:val="20"/>
                <w:szCs w:val="20"/>
              </w:rPr>
              <w:t>10,000</w:t>
            </w:r>
          </w:p>
        </w:tc>
      </w:tr>
      <w:tr w:rsidR="00990749" w:rsidRPr="00ED564E" w14:paraId="22A7835B" w14:textId="77777777" w:rsidTr="00ED564E">
        <w:trPr>
          <w:trHeight w:val="283"/>
        </w:trPr>
        <w:tc>
          <w:tcPr>
            <w:tcW w:w="789" w:type="pct"/>
          </w:tcPr>
          <w:p w14:paraId="27843E1A" w14:textId="77777777" w:rsidR="00990749" w:rsidRPr="00ED564E" w:rsidRDefault="00990749" w:rsidP="00990749">
            <w:pPr>
              <w:rPr>
                <w:rFonts w:cs="Arial"/>
                <w:b/>
                <w:bCs/>
                <w:sz w:val="20"/>
                <w:szCs w:val="20"/>
              </w:rPr>
            </w:pPr>
            <w:r w:rsidRPr="00ED564E">
              <w:rPr>
                <w:rFonts w:cs="Arial"/>
                <w:b/>
                <w:bCs/>
                <w:sz w:val="20"/>
                <w:szCs w:val="20"/>
              </w:rPr>
              <w:t>30-34 years</w:t>
            </w:r>
          </w:p>
        </w:tc>
        <w:tc>
          <w:tcPr>
            <w:tcW w:w="590" w:type="pct"/>
          </w:tcPr>
          <w:p w14:paraId="174F3926" w14:textId="77777777" w:rsidR="00990749" w:rsidRPr="00ED564E" w:rsidRDefault="00990749" w:rsidP="00990749">
            <w:pPr>
              <w:jc w:val="right"/>
              <w:rPr>
                <w:rFonts w:cs="Arial"/>
                <w:bCs/>
                <w:sz w:val="20"/>
                <w:szCs w:val="20"/>
              </w:rPr>
            </w:pPr>
            <w:r w:rsidRPr="00ED564E">
              <w:rPr>
                <w:rFonts w:cs="Arial"/>
                <w:bCs/>
                <w:sz w:val="20"/>
                <w:szCs w:val="20"/>
              </w:rPr>
              <w:t>36,373</w:t>
            </w:r>
          </w:p>
        </w:tc>
        <w:tc>
          <w:tcPr>
            <w:tcW w:w="724" w:type="pct"/>
          </w:tcPr>
          <w:p w14:paraId="55502824" w14:textId="77777777" w:rsidR="00990749" w:rsidRPr="00ED564E" w:rsidRDefault="00990749" w:rsidP="00990749">
            <w:pPr>
              <w:jc w:val="right"/>
              <w:rPr>
                <w:rFonts w:cs="Arial"/>
                <w:bCs/>
                <w:sz w:val="20"/>
                <w:szCs w:val="20"/>
              </w:rPr>
            </w:pPr>
            <w:r w:rsidRPr="00ED564E">
              <w:rPr>
                <w:rFonts w:cs="Arial"/>
                <w:bCs/>
                <w:sz w:val="20"/>
                <w:szCs w:val="20"/>
              </w:rPr>
              <w:t>25,549</w:t>
            </w:r>
          </w:p>
        </w:tc>
        <w:tc>
          <w:tcPr>
            <w:tcW w:w="724" w:type="pct"/>
          </w:tcPr>
          <w:p w14:paraId="7F20D5E6" w14:textId="77777777" w:rsidR="00990749" w:rsidRPr="00ED564E" w:rsidRDefault="00990749" w:rsidP="00990749">
            <w:pPr>
              <w:jc w:val="right"/>
              <w:rPr>
                <w:rFonts w:cs="Arial"/>
                <w:bCs/>
                <w:sz w:val="20"/>
                <w:szCs w:val="20"/>
              </w:rPr>
            </w:pPr>
            <w:r w:rsidRPr="00ED564E">
              <w:rPr>
                <w:rFonts w:cs="Arial"/>
                <w:bCs/>
                <w:sz w:val="20"/>
                <w:szCs w:val="20"/>
              </w:rPr>
              <w:t>30,937</w:t>
            </w:r>
          </w:p>
        </w:tc>
        <w:tc>
          <w:tcPr>
            <w:tcW w:w="724" w:type="pct"/>
          </w:tcPr>
          <w:p w14:paraId="29BADD2E" w14:textId="77777777" w:rsidR="00990749" w:rsidRPr="00ED564E" w:rsidRDefault="00990749" w:rsidP="00990749">
            <w:pPr>
              <w:jc w:val="right"/>
              <w:rPr>
                <w:rFonts w:cs="Arial"/>
                <w:bCs/>
                <w:sz w:val="20"/>
                <w:szCs w:val="20"/>
              </w:rPr>
            </w:pPr>
            <w:r w:rsidRPr="00ED564E">
              <w:rPr>
                <w:rFonts w:cs="Arial"/>
                <w:bCs/>
                <w:sz w:val="20"/>
                <w:szCs w:val="20"/>
              </w:rPr>
              <w:t>25,000</w:t>
            </w:r>
          </w:p>
        </w:tc>
        <w:tc>
          <w:tcPr>
            <w:tcW w:w="724" w:type="pct"/>
          </w:tcPr>
          <w:p w14:paraId="00C3F486" w14:textId="77777777" w:rsidR="00990749" w:rsidRPr="00ED564E" w:rsidRDefault="00990749" w:rsidP="00990749">
            <w:pPr>
              <w:jc w:val="right"/>
              <w:rPr>
                <w:rFonts w:cs="Arial"/>
                <w:bCs/>
                <w:sz w:val="20"/>
                <w:szCs w:val="20"/>
              </w:rPr>
            </w:pPr>
            <w:r w:rsidRPr="00ED564E">
              <w:rPr>
                <w:rFonts w:cs="Arial"/>
                <w:bCs/>
                <w:sz w:val="20"/>
                <w:szCs w:val="20"/>
              </w:rPr>
              <w:t>18,000</w:t>
            </w:r>
          </w:p>
        </w:tc>
        <w:tc>
          <w:tcPr>
            <w:tcW w:w="724" w:type="pct"/>
          </w:tcPr>
          <w:p w14:paraId="78885EBD" w14:textId="77777777" w:rsidR="00990749" w:rsidRPr="00ED564E" w:rsidRDefault="00990749" w:rsidP="00990749">
            <w:pPr>
              <w:jc w:val="right"/>
              <w:rPr>
                <w:rFonts w:cs="Arial"/>
                <w:bCs/>
                <w:sz w:val="20"/>
                <w:szCs w:val="20"/>
              </w:rPr>
            </w:pPr>
            <w:r w:rsidRPr="00ED564E">
              <w:rPr>
                <w:rFonts w:cs="Arial"/>
                <w:bCs/>
                <w:sz w:val="20"/>
                <w:szCs w:val="20"/>
              </w:rPr>
              <w:t>20,000</w:t>
            </w:r>
          </w:p>
        </w:tc>
      </w:tr>
      <w:tr w:rsidR="00990749" w:rsidRPr="00ED564E" w14:paraId="04FA1BB7" w14:textId="77777777" w:rsidTr="00ED564E">
        <w:trPr>
          <w:trHeight w:val="283"/>
        </w:trPr>
        <w:tc>
          <w:tcPr>
            <w:tcW w:w="789" w:type="pct"/>
          </w:tcPr>
          <w:p w14:paraId="0F670152" w14:textId="77777777" w:rsidR="00990749" w:rsidRPr="00ED564E" w:rsidRDefault="00990749" w:rsidP="00990749">
            <w:pPr>
              <w:rPr>
                <w:rFonts w:cs="Arial"/>
                <w:b/>
                <w:bCs/>
                <w:sz w:val="20"/>
                <w:szCs w:val="20"/>
              </w:rPr>
            </w:pPr>
            <w:r w:rsidRPr="00ED564E">
              <w:rPr>
                <w:rFonts w:cs="Arial"/>
                <w:b/>
                <w:bCs/>
                <w:sz w:val="20"/>
                <w:szCs w:val="20"/>
              </w:rPr>
              <w:t xml:space="preserve">35 and over </w:t>
            </w:r>
          </w:p>
        </w:tc>
        <w:tc>
          <w:tcPr>
            <w:tcW w:w="590" w:type="pct"/>
          </w:tcPr>
          <w:p w14:paraId="7DAA504C" w14:textId="77777777" w:rsidR="00990749" w:rsidRPr="00ED564E" w:rsidRDefault="00990749" w:rsidP="00990749">
            <w:pPr>
              <w:jc w:val="right"/>
              <w:rPr>
                <w:rFonts w:cs="Arial"/>
                <w:bCs/>
                <w:sz w:val="20"/>
                <w:szCs w:val="20"/>
              </w:rPr>
            </w:pPr>
            <w:r w:rsidRPr="00ED564E">
              <w:rPr>
                <w:rFonts w:cs="Arial"/>
                <w:bCs/>
                <w:sz w:val="20"/>
                <w:szCs w:val="20"/>
              </w:rPr>
              <w:t>55,279+</w:t>
            </w:r>
          </w:p>
        </w:tc>
        <w:tc>
          <w:tcPr>
            <w:tcW w:w="724" w:type="pct"/>
          </w:tcPr>
          <w:p w14:paraId="09D76594" w14:textId="77777777" w:rsidR="00990749" w:rsidRPr="00ED564E" w:rsidRDefault="00990749" w:rsidP="00990749">
            <w:pPr>
              <w:jc w:val="right"/>
              <w:rPr>
                <w:rFonts w:cs="Arial"/>
                <w:bCs/>
                <w:sz w:val="20"/>
                <w:szCs w:val="20"/>
              </w:rPr>
            </w:pPr>
            <w:r w:rsidRPr="00ED564E">
              <w:rPr>
                <w:rFonts w:cs="Arial"/>
                <w:bCs/>
                <w:sz w:val="20"/>
                <w:szCs w:val="20"/>
              </w:rPr>
              <w:t>34,812+</w:t>
            </w:r>
          </w:p>
        </w:tc>
        <w:tc>
          <w:tcPr>
            <w:tcW w:w="724" w:type="pct"/>
          </w:tcPr>
          <w:p w14:paraId="27609CE2" w14:textId="77777777" w:rsidR="00990749" w:rsidRPr="00ED564E" w:rsidRDefault="00990749" w:rsidP="00990749">
            <w:pPr>
              <w:jc w:val="right"/>
              <w:rPr>
                <w:rFonts w:cs="Arial"/>
                <w:bCs/>
                <w:sz w:val="20"/>
                <w:szCs w:val="20"/>
              </w:rPr>
            </w:pPr>
            <w:r w:rsidRPr="00ED564E">
              <w:rPr>
                <w:rFonts w:cs="Arial"/>
                <w:bCs/>
                <w:sz w:val="20"/>
                <w:szCs w:val="20"/>
              </w:rPr>
              <w:t>44,938+</w:t>
            </w:r>
          </w:p>
        </w:tc>
        <w:tc>
          <w:tcPr>
            <w:tcW w:w="724" w:type="pct"/>
          </w:tcPr>
          <w:p w14:paraId="406F53D5" w14:textId="77777777" w:rsidR="00990749" w:rsidRPr="00ED564E" w:rsidRDefault="00990749" w:rsidP="00990749">
            <w:pPr>
              <w:jc w:val="right"/>
              <w:rPr>
                <w:rFonts w:cs="Arial"/>
                <w:bCs/>
                <w:sz w:val="20"/>
                <w:szCs w:val="20"/>
              </w:rPr>
            </w:pPr>
            <w:r w:rsidRPr="00ED564E">
              <w:rPr>
                <w:rFonts w:cs="Arial"/>
                <w:bCs/>
                <w:sz w:val="20"/>
                <w:szCs w:val="20"/>
              </w:rPr>
              <w:t>40,000+</w:t>
            </w:r>
          </w:p>
        </w:tc>
        <w:tc>
          <w:tcPr>
            <w:tcW w:w="724" w:type="pct"/>
          </w:tcPr>
          <w:p w14:paraId="09EFE208" w14:textId="77777777" w:rsidR="00990749" w:rsidRPr="00ED564E" w:rsidRDefault="00990749" w:rsidP="00990749">
            <w:pPr>
              <w:jc w:val="right"/>
              <w:rPr>
                <w:rFonts w:cs="Arial"/>
                <w:bCs/>
                <w:sz w:val="20"/>
                <w:szCs w:val="20"/>
              </w:rPr>
            </w:pPr>
            <w:r w:rsidRPr="00ED564E">
              <w:rPr>
                <w:rFonts w:cs="Arial"/>
                <w:bCs/>
                <w:sz w:val="20"/>
                <w:szCs w:val="20"/>
              </w:rPr>
              <w:t>21,000+</w:t>
            </w:r>
          </w:p>
        </w:tc>
        <w:tc>
          <w:tcPr>
            <w:tcW w:w="724" w:type="pct"/>
          </w:tcPr>
          <w:p w14:paraId="52BF039A" w14:textId="77777777" w:rsidR="00990749" w:rsidRPr="00ED564E" w:rsidRDefault="00990749" w:rsidP="00990749">
            <w:pPr>
              <w:jc w:val="right"/>
              <w:rPr>
                <w:rFonts w:cs="Arial"/>
                <w:bCs/>
                <w:sz w:val="20"/>
                <w:szCs w:val="20"/>
              </w:rPr>
            </w:pPr>
            <w:r w:rsidRPr="00ED564E">
              <w:rPr>
                <w:rFonts w:cs="Arial"/>
                <w:bCs/>
                <w:sz w:val="20"/>
                <w:szCs w:val="20"/>
              </w:rPr>
              <w:t>30,000+</w:t>
            </w:r>
          </w:p>
        </w:tc>
      </w:tr>
    </w:tbl>
    <w:p w14:paraId="0A05FD1F" w14:textId="77D4D260" w:rsidR="00990749" w:rsidRPr="00ED564E" w:rsidRDefault="00990749" w:rsidP="00990749">
      <w:pPr>
        <w:rPr>
          <w:rFonts w:cs="Arial"/>
          <w:bCs/>
          <w:sz w:val="18"/>
          <w:szCs w:val="18"/>
        </w:rPr>
      </w:pPr>
      <w:r w:rsidRPr="00ED564E">
        <w:rPr>
          <w:rFonts w:cs="Arial"/>
          <w:bCs/>
          <w:sz w:val="18"/>
          <w:szCs w:val="18"/>
        </w:rPr>
        <w:t>Source: ASFA Superannuation account balances by age and gender</w:t>
      </w:r>
      <w:r w:rsidR="00E401D9" w:rsidRPr="00ED564E">
        <w:rPr>
          <w:rFonts w:cs="Arial"/>
          <w:bCs/>
          <w:sz w:val="18"/>
          <w:szCs w:val="18"/>
        </w:rPr>
        <w:t>, 2013/14 data, released</w:t>
      </w:r>
      <w:r w:rsidRPr="00ED564E">
        <w:rPr>
          <w:rFonts w:cs="Arial"/>
          <w:bCs/>
          <w:sz w:val="18"/>
          <w:szCs w:val="18"/>
        </w:rPr>
        <w:t xml:space="preserve"> December 2015.</w:t>
      </w:r>
    </w:p>
    <w:p w14:paraId="22CC463C" w14:textId="77777777" w:rsidR="00990749" w:rsidRPr="00ED564E" w:rsidRDefault="00990749" w:rsidP="00990749">
      <w:pPr>
        <w:rPr>
          <w:rFonts w:cs="Arial"/>
        </w:rPr>
      </w:pPr>
    </w:p>
    <w:p w14:paraId="6839F8BE" w14:textId="3BB95DDB" w:rsidR="00E2026B" w:rsidRDefault="00990749" w:rsidP="00762CA4">
      <w:pPr>
        <w:rPr>
          <w:rFonts w:cs="Arial"/>
        </w:rPr>
      </w:pPr>
      <w:r w:rsidRPr="00ED564E">
        <w:rPr>
          <w:rFonts w:cs="Arial"/>
        </w:rPr>
        <w:t xml:space="preserve">The abolition of Member Benefit Protection has left a policy gap in respect to protecting small accounts that can be quickly eroded, and has seen a decline in the use of rollover funds to act as a clearing house for inactive accounts.  While the ATO increased its focus on account consolidation in recent years, there is room for further government action. </w:t>
      </w:r>
    </w:p>
    <w:p w14:paraId="5152664F" w14:textId="77777777" w:rsidR="00762CA4" w:rsidRDefault="00762CA4" w:rsidP="00762CA4">
      <w:pPr>
        <w:rPr>
          <w:rFonts w:cs="Arial"/>
        </w:rPr>
      </w:pPr>
    </w:p>
    <w:p w14:paraId="12594696" w14:textId="77777777" w:rsidR="00762CA4" w:rsidRPr="00ED564E" w:rsidRDefault="00762CA4" w:rsidP="00762CA4">
      <w:pPr>
        <w:rPr>
          <w:rFonts w:cs="Arial"/>
        </w:rPr>
      </w:pPr>
    </w:p>
    <w:p w14:paraId="0A4084B6" w14:textId="77777777" w:rsidR="00990749" w:rsidRPr="00ED564E" w:rsidRDefault="00990749" w:rsidP="00990749">
      <w:pPr>
        <w:pStyle w:val="Heading3"/>
        <w:rPr>
          <w:rFonts w:ascii="Arial" w:hAnsi="Arial" w:cs="Arial"/>
        </w:rPr>
      </w:pPr>
      <w:r w:rsidRPr="00ED564E">
        <w:rPr>
          <w:rFonts w:ascii="Arial" w:hAnsi="Arial" w:cs="Arial"/>
        </w:rPr>
        <w:t xml:space="preserve">Erosion of capital through fees and charges </w:t>
      </w:r>
    </w:p>
    <w:p w14:paraId="682FF875" w14:textId="77777777" w:rsidR="00990749" w:rsidRPr="00ED564E" w:rsidRDefault="00990749" w:rsidP="00990749">
      <w:pPr>
        <w:rPr>
          <w:rFonts w:cs="Arial"/>
        </w:rPr>
      </w:pPr>
      <w:r w:rsidRPr="00ED564E">
        <w:rPr>
          <w:rFonts w:cs="Arial"/>
        </w:rPr>
        <w:t xml:space="preserve">Research undertaken by Rice Warner on behalf of Industry Fund Services suggests that on average a $500 account in the average </w:t>
      </w:r>
      <w:proofErr w:type="spellStart"/>
      <w:r w:rsidRPr="00ED564E">
        <w:rPr>
          <w:rFonts w:cs="Arial"/>
        </w:rPr>
        <w:t>MySuper</w:t>
      </w:r>
      <w:proofErr w:type="spellEnd"/>
      <w:r w:rsidRPr="00ED564E">
        <w:rPr>
          <w:rFonts w:cs="Arial"/>
        </w:rPr>
        <w:t xml:space="preserve"> product would be eroded by fees and insurance within two years, well before the five year deadline for compulsory transfer.  The same account would continue to grow in an average ERF. Over the longer term, accounts as high as $6,000 were shown to erode to around 75% of their original value over 10 years.</w:t>
      </w:r>
    </w:p>
    <w:p w14:paraId="3B81C640" w14:textId="2C24853A" w:rsidR="00E401D9" w:rsidRPr="00ED564E" w:rsidRDefault="00E401D9">
      <w:pPr>
        <w:spacing w:line="240" w:lineRule="auto"/>
        <w:rPr>
          <w:rFonts w:cs="Arial"/>
          <w:b/>
        </w:rPr>
      </w:pPr>
    </w:p>
    <w:p w14:paraId="135B7F24" w14:textId="3A0DB912" w:rsidR="00990749" w:rsidRPr="00ED564E" w:rsidRDefault="00990749" w:rsidP="00990749">
      <w:pPr>
        <w:rPr>
          <w:rFonts w:cs="Arial"/>
          <w:b/>
        </w:rPr>
      </w:pPr>
      <w:r w:rsidRPr="00ED564E">
        <w:rPr>
          <w:rFonts w:cs="Arial"/>
          <w:b/>
        </w:rPr>
        <w:t xml:space="preserve">Table 3: Member projection analysis for an inactivity period of 10 years in an average </w:t>
      </w:r>
      <w:proofErr w:type="spellStart"/>
      <w:r w:rsidRPr="00ED564E">
        <w:rPr>
          <w:rFonts w:cs="Arial"/>
          <w:b/>
        </w:rPr>
        <w:t>ERF</w:t>
      </w:r>
      <w:proofErr w:type="spellEnd"/>
      <w:r w:rsidRPr="00ED564E">
        <w:rPr>
          <w:rFonts w:cs="Arial"/>
          <w:b/>
        </w:rPr>
        <w:t xml:space="preserve"> vs an average super fund (with and without default insurance)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2356"/>
        <w:gridCol w:w="2356"/>
        <w:gridCol w:w="2833"/>
      </w:tblGrid>
      <w:tr w:rsidR="00990749" w:rsidRPr="00ED564E" w14:paraId="78276C4B" w14:textId="77777777" w:rsidTr="00990749">
        <w:trPr>
          <w:trHeight w:val="283"/>
        </w:trPr>
        <w:tc>
          <w:tcPr>
            <w:tcW w:w="808" w:type="pct"/>
            <w:vMerge w:val="restart"/>
            <w:tcBorders>
              <w:top w:val="single" w:sz="4" w:space="0" w:color="auto"/>
              <w:left w:val="single" w:sz="4" w:space="0" w:color="auto"/>
              <w:right w:val="single" w:sz="4" w:space="0" w:color="auto"/>
            </w:tcBorders>
            <w:vAlign w:val="center"/>
          </w:tcPr>
          <w:p w14:paraId="38294B5D" w14:textId="77777777" w:rsidR="00990749" w:rsidRPr="00ED564E" w:rsidRDefault="00990749" w:rsidP="00990749">
            <w:pPr>
              <w:rPr>
                <w:rFonts w:cs="Arial"/>
                <w:b/>
                <w:sz w:val="20"/>
                <w:szCs w:val="20"/>
              </w:rPr>
            </w:pPr>
            <w:r w:rsidRPr="00ED564E">
              <w:rPr>
                <w:rFonts w:cs="Arial"/>
                <w:b/>
                <w:sz w:val="20"/>
                <w:szCs w:val="20"/>
              </w:rPr>
              <w:t>Initial Balance</w:t>
            </w:r>
          </w:p>
        </w:tc>
        <w:tc>
          <w:tcPr>
            <w:tcW w:w="4192" w:type="pct"/>
            <w:gridSpan w:val="3"/>
            <w:tcBorders>
              <w:top w:val="single" w:sz="4" w:space="0" w:color="auto"/>
              <w:left w:val="single" w:sz="4" w:space="0" w:color="auto"/>
              <w:bottom w:val="single" w:sz="4" w:space="0" w:color="auto"/>
              <w:right w:val="single" w:sz="4" w:space="0" w:color="auto"/>
            </w:tcBorders>
            <w:vAlign w:val="center"/>
          </w:tcPr>
          <w:p w14:paraId="233D0CF9" w14:textId="77777777" w:rsidR="00990749" w:rsidRPr="00ED564E" w:rsidRDefault="00990749" w:rsidP="00990749">
            <w:pPr>
              <w:jc w:val="center"/>
              <w:rPr>
                <w:rFonts w:cs="Arial"/>
                <w:b/>
                <w:sz w:val="20"/>
                <w:szCs w:val="20"/>
              </w:rPr>
            </w:pPr>
            <w:r w:rsidRPr="00ED564E">
              <w:rPr>
                <w:rFonts w:cs="Arial"/>
                <w:b/>
                <w:sz w:val="20"/>
                <w:szCs w:val="20"/>
              </w:rPr>
              <w:t>Median account balance after an inactivity period of 10 years ($)</w:t>
            </w:r>
          </w:p>
        </w:tc>
      </w:tr>
      <w:tr w:rsidR="00990749" w:rsidRPr="00ED564E" w14:paraId="21640399" w14:textId="77777777" w:rsidTr="00990749">
        <w:trPr>
          <w:trHeight w:val="283"/>
        </w:trPr>
        <w:tc>
          <w:tcPr>
            <w:tcW w:w="808" w:type="pct"/>
            <w:vMerge/>
            <w:tcBorders>
              <w:left w:val="single" w:sz="4" w:space="0" w:color="auto"/>
              <w:right w:val="single" w:sz="4" w:space="0" w:color="auto"/>
            </w:tcBorders>
          </w:tcPr>
          <w:p w14:paraId="1B727029" w14:textId="77777777" w:rsidR="00990749" w:rsidRPr="00ED564E" w:rsidRDefault="00990749" w:rsidP="00990749">
            <w:pPr>
              <w:rPr>
                <w:rFonts w:cs="Arial"/>
                <w:sz w:val="20"/>
                <w:szCs w:val="20"/>
              </w:rPr>
            </w:pPr>
          </w:p>
        </w:tc>
        <w:tc>
          <w:tcPr>
            <w:tcW w:w="1309" w:type="pct"/>
            <w:vMerge w:val="restart"/>
            <w:tcBorders>
              <w:top w:val="single" w:sz="4" w:space="0" w:color="auto"/>
              <w:left w:val="single" w:sz="4" w:space="0" w:color="auto"/>
              <w:right w:val="single" w:sz="4" w:space="0" w:color="auto"/>
            </w:tcBorders>
            <w:vAlign w:val="center"/>
          </w:tcPr>
          <w:p w14:paraId="10459290" w14:textId="77777777" w:rsidR="00990749" w:rsidRPr="00ED564E" w:rsidRDefault="00990749" w:rsidP="00990749">
            <w:pPr>
              <w:jc w:val="center"/>
              <w:rPr>
                <w:rFonts w:cs="Arial"/>
                <w:b/>
                <w:sz w:val="20"/>
                <w:szCs w:val="20"/>
              </w:rPr>
            </w:pPr>
            <w:r w:rsidRPr="00ED564E">
              <w:rPr>
                <w:rFonts w:cs="Arial"/>
                <w:b/>
                <w:sz w:val="20"/>
                <w:szCs w:val="20"/>
              </w:rPr>
              <w:t>Average ERF</w:t>
            </w:r>
          </w:p>
        </w:tc>
        <w:tc>
          <w:tcPr>
            <w:tcW w:w="2883" w:type="pct"/>
            <w:gridSpan w:val="2"/>
            <w:tcBorders>
              <w:top w:val="single" w:sz="4" w:space="0" w:color="auto"/>
              <w:left w:val="single" w:sz="4" w:space="0" w:color="auto"/>
              <w:right w:val="single" w:sz="4" w:space="0" w:color="auto"/>
            </w:tcBorders>
          </w:tcPr>
          <w:p w14:paraId="58146498" w14:textId="77777777" w:rsidR="00990749" w:rsidRPr="00ED564E" w:rsidRDefault="00990749" w:rsidP="00990749">
            <w:pPr>
              <w:jc w:val="center"/>
              <w:rPr>
                <w:rFonts w:cs="Arial"/>
                <w:b/>
                <w:sz w:val="20"/>
                <w:szCs w:val="20"/>
              </w:rPr>
            </w:pPr>
            <w:r w:rsidRPr="00ED564E">
              <w:rPr>
                <w:rFonts w:cs="Arial"/>
                <w:b/>
                <w:sz w:val="20"/>
                <w:szCs w:val="20"/>
              </w:rPr>
              <w:t xml:space="preserve">Average </w:t>
            </w:r>
            <w:proofErr w:type="spellStart"/>
            <w:r w:rsidRPr="00ED564E">
              <w:rPr>
                <w:rFonts w:cs="Arial"/>
                <w:b/>
                <w:sz w:val="20"/>
                <w:szCs w:val="20"/>
              </w:rPr>
              <w:t>MySuper</w:t>
            </w:r>
            <w:proofErr w:type="spellEnd"/>
            <w:r w:rsidRPr="00ED564E">
              <w:rPr>
                <w:rFonts w:cs="Arial"/>
                <w:b/>
                <w:sz w:val="20"/>
                <w:szCs w:val="20"/>
              </w:rPr>
              <w:t xml:space="preserve"> Account</w:t>
            </w:r>
          </w:p>
        </w:tc>
      </w:tr>
      <w:tr w:rsidR="00990749" w:rsidRPr="00ED564E" w14:paraId="6B8D8BBD" w14:textId="77777777" w:rsidTr="00990749">
        <w:trPr>
          <w:trHeight w:val="283"/>
        </w:trPr>
        <w:tc>
          <w:tcPr>
            <w:tcW w:w="808" w:type="pct"/>
            <w:vMerge/>
            <w:tcBorders>
              <w:left w:val="single" w:sz="4" w:space="0" w:color="auto"/>
              <w:bottom w:val="single" w:sz="4" w:space="0" w:color="auto"/>
              <w:right w:val="single" w:sz="4" w:space="0" w:color="auto"/>
            </w:tcBorders>
          </w:tcPr>
          <w:p w14:paraId="14EAB909" w14:textId="77777777" w:rsidR="00990749" w:rsidRPr="00ED564E" w:rsidRDefault="00990749" w:rsidP="00990749">
            <w:pPr>
              <w:rPr>
                <w:rFonts w:cs="Arial"/>
                <w:sz w:val="20"/>
                <w:szCs w:val="20"/>
              </w:rPr>
            </w:pPr>
          </w:p>
        </w:tc>
        <w:tc>
          <w:tcPr>
            <w:tcW w:w="1309" w:type="pct"/>
            <w:vMerge/>
            <w:tcBorders>
              <w:left w:val="single" w:sz="4" w:space="0" w:color="auto"/>
              <w:bottom w:val="single" w:sz="4" w:space="0" w:color="auto"/>
              <w:right w:val="single" w:sz="4" w:space="0" w:color="auto"/>
            </w:tcBorders>
          </w:tcPr>
          <w:p w14:paraId="0BC94771" w14:textId="77777777" w:rsidR="00990749" w:rsidRPr="00ED564E" w:rsidRDefault="00990749" w:rsidP="00990749">
            <w:pPr>
              <w:jc w:val="center"/>
              <w:rPr>
                <w:rFonts w:cs="Arial"/>
                <w:b/>
                <w:sz w:val="20"/>
                <w:szCs w:val="20"/>
              </w:rPr>
            </w:pPr>
          </w:p>
        </w:tc>
        <w:tc>
          <w:tcPr>
            <w:tcW w:w="1309" w:type="pct"/>
            <w:tcBorders>
              <w:left w:val="single" w:sz="4" w:space="0" w:color="auto"/>
              <w:bottom w:val="single" w:sz="4" w:space="0" w:color="auto"/>
            </w:tcBorders>
          </w:tcPr>
          <w:p w14:paraId="43C6843B" w14:textId="77777777" w:rsidR="00990749" w:rsidRPr="00ED564E" w:rsidRDefault="00990749" w:rsidP="00990749">
            <w:pPr>
              <w:jc w:val="center"/>
              <w:rPr>
                <w:rFonts w:cs="Arial"/>
                <w:b/>
                <w:sz w:val="20"/>
                <w:szCs w:val="20"/>
              </w:rPr>
            </w:pPr>
            <w:r w:rsidRPr="00ED564E">
              <w:rPr>
                <w:rFonts w:cs="Arial"/>
                <w:b/>
                <w:sz w:val="20"/>
                <w:szCs w:val="20"/>
              </w:rPr>
              <w:t>No insurance</w:t>
            </w:r>
          </w:p>
        </w:tc>
        <w:tc>
          <w:tcPr>
            <w:tcW w:w="1574" w:type="pct"/>
            <w:tcBorders>
              <w:bottom w:val="single" w:sz="4" w:space="0" w:color="auto"/>
              <w:right w:val="single" w:sz="4" w:space="0" w:color="auto"/>
            </w:tcBorders>
          </w:tcPr>
          <w:p w14:paraId="31CB9E88" w14:textId="77777777" w:rsidR="00990749" w:rsidRPr="00ED564E" w:rsidRDefault="00990749" w:rsidP="00990749">
            <w:pPr>
              <w:jc w:val="center"/>
              <w:rPr>
                <w:rFonts w:cs="Arial"/>
                <w:b/>
                <w:sz w:val="20"/>
                <w:szCs w:val="20"/>
              </w:rPr>
            </w:pPr>
            <w:r w:rsidRPr="00ED564E">
              <w:rPr>
                <w:rFonts w:cs="Arial"/>
                <w:b/>
                <w:sz w:val="20"/>
                <w:szCs w:val="20"/>
              </w:rPr>
              <w:t xml:space="preserve">Default insurance </w:t>
            </w:r>
          </w:p>
        </w:tc>
      </w:tr>
      <w:tr w:rsidR="00990749" w:rsidRPr="00ED564E" w14:paraId="625DCE62" w14:textId="77777777" w:rsidTr="00990749">
        <w:trPr>
          <w:trHeight w:val="283"/>
        </w:trPr>
        <w:tc>
          <w:tcPr>
            <w:tcW w:w="808" w:type="pct"/>
            <w:tcBorders>
              <w:top w:val="single" w:sz="4" w:space="0" w:color="auto"/>
              <w:left w:val="single" w:sz="4" w:space="0" w:color="auto"/>
              <w:right w:val="single" w:sz="4" w:space="0" w:color="auto"/>
            </w:tcBorders>
          </w:tcPr>
          <w:p w14:paraId="3036C4AD" w14:textId="77777777" w:rsidR="00990749" w:rsidRPr="00ED564E" w:rsidRDefault="00990749" w:rsidP="00990749">
            <w:pPr>
              <w:rPr>
                <w:rFonts w:cs="Arial"/>
                <w:b/>
                <w:sz w:val="20"/>
                <w:szCs w:val="20"/>
              </w:rPr>
            </w:pPr>
            <w:r w:rsidRPr="00ED564E">
              <w:rPr>
                <w:rFonts w:cs="Arial"/>
                <w:b/>
                <w:sz w:val="20"/>
                <w:szCs w:val="20"/>
              </w:rPr>
              <w:t>$500</w:t>
            </w:r>
          </w:p>
        </w:tc>
        <w:tc>
          <w:tcPr>
            <w:tcW w:w="1309" w:type="pct"/>
            <w:tcBorders>
              <w:top w:val="single" w:sz="4" w:space="0" w:color="auto"/>
              <w:left w:val="single" w:sz="4" w:space="0" w:color="auto"/>
              <w:right w:val="single" w:sz="4" w:space="0" w:color="auto"/>
            </w:tcBorders>
          </w:tcPr>
          <w:p w14:paraId="4023F3CB" w14:textId="77777777" w:rsidR="00990749" w:rsidRPr="00ED564E" w:rsidRDefault="00990749" w:rsidP="00990749">
            <w:pPr>
              <w:jc w:val="center"/>
              <w:rPr>
                <w:rFonts w:cs="Arial"/>
                <w:sz w:val="20"/>
                <w:szCs w:val="20"/>
              </w:rPr>
            </w:pPr>
            <w:r w:rsidRPr="00ED564E">
              <w:rPr>
                <w:rFonts w:cs="Arial"/>
                <w:sz w:val="20"/>
                <w:szCs w:val="20"/>
              </w:rPr>
              <w:t>522</w:t>
            </w:r>
          </w:p>
        </w:tc>
        <w:tc>
          <w:tcPr>
            <w:tcW w:w="1309" w:type="pct"/>
            <w:tcBorders>
              <w:top w:val="single" w:sz="4" w:space="0" w:color="auto"/>
              <w:left w:val="single" w:sz="4" w:space="0" w:color="auto"/>
            </w:tcBorders>
          </w:tcPr>
          <w:p w14:paraId="3E4C8F82" w14:textId="77777777" w:rsidR="00990749" w:rsidRPr="00ED564E" w:rsidRDefault="00990749" w:rsidP="00990749">
            <w:pPr>
              <w:jc w:val="center"/>
              <w:rPr>
                <w:rFonts w:cs="Arial"/>
                <w:sz w:val="20"/>
                <w:szCs w:val="20"/>
              </w:rPr>
            </w:pPr>
            <w:r w:rsidRPr="00ED564E">
              <w:rPr>
                <w:rFonts w:cs="Arial"/>
                <w:sz w:val="20"/>
                <w:szCs w:val="20"/>
              </w:rPr>
              <w:t>Nil by year 8</w:t>
            </w:r>
          </w:p>
        </w:tc>
        <w:tc>
          <w:tcPr>
            <w:tcW w:w="1574" w:type="pct"/>
            <w:tcBorders>
              <w:top w:val="single" w:sz="4" w:space="0" w:color="auto"/>
              <w:right w:val="single" w:sz="4" w:space="0" w:color="auto"/>
            </w:tcBorders>
          </w:tcPr>
          <w:p w14:paraId="1A2A431F" w14:textId="77777777" w:rsidR="00990749" w:rsidRPr="00ED564E" w:rsidRDefault="00990749" w:rsidP="00990749">
            <w:pPr>
              <w:jc w:val="center"/>
              <w:rPr>
                <w:rFonts w:cs="Arial"/>
                <w:sz w:val="20"/>
                <w:szCs w:val="20"/>
              </w:rPr>
            </w:pPr>
            <w:r w:rsidRPr="00ED564E">
              <w:rPr>
                <w:rFonts w:cs="Arial"/>
                <w:sz w:val="20"/>
                <w:szCs w:val="20"/>
              </w:rPr>
              <w:t>Nil by year 2</w:t>
            </w:r>
          </w:p>
        </w:tc>
      </w:tr>
      <w:tr w:rsidR="00990749" w:rsidRPr="00ED564E" w14:paraId="55FD57B6" w14:textId="77777777" w:rsidTr="00990749">
        <w:trPr>
          <w:trHeight w:val="283"/>
        </w:trPr>
        <w:tc>
          <w:tcPr>
            <w:tcW w:w="808" w:type="pct"/>
            <w:tcBorders>
              <w:left w:val="single" w:sz="4" w:space="0" w:color="auto"/>
              <w:right w:val="single" w:sz="4" w:space="0" w:color="auto"/>
            </w:tcBorders>
          </w:tcPr>
          <w:p w14:paraId="43C36270" w14:textId="77777777" w:rsidR="00990749" w:rsidRPr="00ED564E" w:rsidRDefault="00990749" w:rsidP="00990749">
            <w:pPr>
              <w:rPr>
                <w:rFonts w:cs="Arial"/>
                <w:b/>
                <w:sz w:val="20"/>
                <w:szCs w:val="20"/>
              </w:rPr>
            </w:pPr>
            <w:r w:rsidRPr="00ED564E">
              <w:rPr>
                <w:rFonts w:cs="Arial"/>
                <w:b/>
                <w:sz w:val="20"/>
                <w:szCs w:val="20"/>
              </w:rPr>
              <w:t>$1,000</w:t>
            </w:r>
          </w:p>
        </w:tc>
        <w:tc>
          <w:tcPr>
            <w:tcW w:w="1309" w:type="pct"/>
            <w:tcBorders>
              <w:left w:val="single" w:sz="4" w:space="0" w:color="auto"/>
              <w:right w:val="single" w:sz="4" w:space="0" w:color="auto"/>
            </w:tcBorders>
          </w:tcPr>
          <w:p w14:paraId="39A43E8D" w14:textId="77777777" w:rsidR="00990749" w:rsidRPr="00ED564E" w:rsidRDefault="00990749" w:rsidP="00990749">
            <w:pPr>
              <w:jc w:val="center"/>
              <w:rPr>
                <w:rFonts w:cs="Arial"/>
                <w:sz w:val="20"/>
                <w:szCs w:val="20"/>
              </w:rPr>
            </w:pPr>
            <w:r w:rsidRPr="00ED564E">
              <w:rPr>
                <w:rFonts w:cs="Arial"/>
                <w:sz w:val="20"/>
                <w:szCs w:val="20"/>
              </w:rPr>
              <w:t>1,153</w:t>
            </w:r>
          </w:p>
        </w:tc>
        <w:tc>
          <w:tcPr>
            <w:tcW w:w="1309" w:type="pct"/>
            <w:tcBorders>
              <w:left w:val="single" w:sz="4" w:space="0" w:color="auto"/>
            </w:tcBorders>
          </w:tcPr>
          <w:p w14:paraId="6D007538" w14:textId="77777777" w:rsidR="00990749" w:rsidRPr="00ED564E" w:rsidRDefault="00990749" w:rsidP="00990749">
            <w:pPr>
              <w:jc w:val="center"/>
              <w:rPr>
                <w:rFonts w:cs="Arial"/>
                <w:sz w:val="20"/>
                <w:szCs w:val="20"/>
              </w:rPr>
            </w:pPr>
            <w:r w:rsidRPr="00ED564E">
              <w:rPr>
                <w:rFonts w:cs="Arial"/>
                <w:sz w:val="20"/>
                <w:szCs w:val="20"/>
              </w:rPr>
              <w:t>667</w:t>
            </w:r>
          </w:p>
        </w:tc>
        <w:tc>
          <w:tcPr>
            <w:tcW w:w="1574" w:type="pct"/>
            <w:tcBorders>
              <w:right w:val="single" w:sz="4" w:space="0" w:color="auto"/>
            </w:tcBorders>
          </w:tcPr>
          <w:p w14:paraId="459DE8EB" w14:textId="77777777" w:rsidR="00990749" w:rsidRPr="00ED564E" w:rsidRDefault="00990749" w:rsidP="00990749">
            <w:pPr>
              <w:jc w:val="center"/>
              <w:rPr>
                <w:rFonts w:cs="Arial"/>
                <w:sz w:val="20"/>
                <w:szCs w:val="20"/>
              </w:rPr>
            </w:pPr>
            <w:r w:rsidRPr="00ED564E">
              <w:rPr>
                <w:rFonts w:cs="Arial"/>
                <w:sz w:val="20"/>
                <w:szCs w:val="20"/>
              </w:rPr>
              <w:t>Nil by year 3</w:t>
            </w:r>
          </w:p>
        </w:tc>
      </w:tr>
      <w:tr w:rsidR="00990749" w:rsidRPr="00ED564E" w14:paraId="256863C3" w14:textId="77777777" w:rsidTr="00990749">
        <w:trPr>
          <w:trHeight w:val="283"/>
        </w:trPr>
        <w:tc>
          <w:tcPr>
            <w:tcW w:w="808" w:type="pct"/>
            <w:tcBorders>
              <w:left w:val="single" w:sz="4" w:space="0" w:color="auto"/>
              <w:right w:val="single" w:sz="4" w:space="0" w:color="auto"/>
            </w:tcBorders>
          </w:tcPr>
          <w:p w14:paraId="731AC0DF" w14:textId="77777777" w:rsidR="00990749" w:rsidRPr="00ED564E" w:rsidRDefault="00990749" w:rsidP="00990749">
            <w:pPr>
              <w:rPr>
                <w:rFonts w:cs="Arial"/>
                <w:b/>
                <w:sz w:val="20"/>
                <w:szCs w:val="20"/>
              </w:rPr>
            </w:pPr>
            <w:r w:rsidRPr="00ED564E">
              <w:rPr>
                <w:rFonts w:cs="Arial"/>
                <w:b/>
                <w:sz w:val="20"/>
                <w:szCs w:val="20"/>
              </w:rPr>
              <w:t>$4,000</w:t>
            </w:r>
          </w:p>
        </w:tc>
        <w:tc>
          <w:tcPr>
            <w:tcW w:w="1309" w:type="pct"/>
            <w:tcBorders>
              <w:left w:val="single" w:sz="4" w:space="0" w:color="auto"/>
              <w:right w:val="single" w:sz="4" w:space="0" w:color="auto"/>
            </w:tcBorders>
          </w:tcPr>
          <w:p w14:paraId="64663075" w14:textId="77777777" w:rsidR="00990749" w:rsidRPr="00ED564E" w:rsidRDefault="00990749" w:rsidP="00990749">
            <w:pPr>
              <w:jc w:val="center"/>
              <w:rPr>
                <w:rFonts w:cs="Arial"/>
                <w:sz w:val="20"/>
                <w:szCs w:val="20"/>
              </w:rPr>
            </w:pPr>
            <w:r w:rsidRPr="00ED564E">
              <w:rPr>
                <w:rFonts w:cs="Arial"/>
                <w:sz w:val="20"/>
                <w:szCs w:val="20"/>
              </w:rPr>
              <w:t>4,994</w:t>
            </w:r>
          </w:p>
        </w:tc>
        <w:tc>
          <w:tcPr>
            <w:tcW w:w="1309" w:type="pct"/>
            <w:tcBorders>
              <w:left w:val="single" w:sz="4" w:space="0" w:color="auto"/>
            </w:tcBorders>
          </w:tcPr>
          <w:p w14:paraId="3F5DE5AD" w14:textId="77777777" w:rsidR="00990749" w:rsidRPr="00ED564E" w:rsidRDefault="00990749" w:rsidP="00990749">
            <w:pPr>
              <w:jc w:val="center"/>
              <w:rPr>
                <w:rFonts w:cs="Arial"/>
                <w:sz w:val="20"/>
                <w:szCs w:val="20"/>
              </w:rPr>
            </w:pPr>
            <w:r w:rsidRPr="00ED564E">
              <w:rPr>
                <w:rFonts w:cs="Arial"/>
                <w:sz w:val="20"/>
                <w:szCs w:val="20"/>
              </w:rPr>
              <w:t>5,520</w:t>
            </w:r>
          </w:p>
        </w:tc>
        <w:tc>
          <w:tcPr>
            <w:tcW w:w="1574" w:type="pct"/>
            <w:tcBorders>
              <w:right w:val="single" w:sz="4" w:space="0" w:color="auto"/>
            </w:tcBorders>
          </w:tcPr>
          <w:p w14:paraId="1040EA47" w14:textId="77777777" w:rsidR="00990749" w:rsidRPr="00ED564E" w:rsidRDefault="00990749" w:rsidP="00990749">
            <w:pPr>
              <w:jc w:val="center"/>
              <w:rPr>
                <w:rFonts w:cs="Arial"/>
                <w:sz w:val="20"/>
                <w:szCs w:val="20"/>
              </w:rPr>
            </w:pPr>
            <w:r w:rsidRPr="00ED564E">
              <w:rPr>
                <w:rFonts w:cs="Arial"/>
                <w:sz w:val="20"/>
                <w:szCs w:val="20"/>
              </w:rPr>
              <w:t>1,741</w:t>
            </w:r>
          </w:p>
        </w:tc>
      </w:tr>
      <w:tr w:rsidR="00990749" w:rsidRPr="00ED564E" w14:paraId="6A57E849" w14:textId="77777777" w:rsidTr="00990749">
        <w:trPr>
          <w:trHeight w:val="283"/>
        </w:trPr>
        <w:tc>
          <w:tcPr>
            <w:tcW w:w="808" w:type="pct"/>
            <w:tcBorders>
              <w:left w:val="single" w:sz="4" w:space="0" w:color="auto"/>
              <w:bottom w:val="single" w:sz="4" w:space="0" w:color="auto"/>
              <w:right w:val="single" w:sz="4" w:space="0" w:color="auto"/>
            </w:tcBorders>
          </w:tcPr>
          <w:p w14:paraId="30C7EBA2" w14:textId="77777777" w:rsidR="00990749" w:rsidRPr="00ED564E" w:rsidRDefault="00990749" w:rsidP="00990749">
            <w:pPr>
              <w:rPr>
                <w:rFonts w:cs="Arial"/>
                <w:b/>
                <w:sz w:val="20"/>
                <w:szCs w:val="20"/>
              </w:rPr>
            </w:pPr>
            <w:r w:rsidRPr="00ED564E">
              <w:rPr>
                <w:rFonts w:cs="Arial"/>
                <w:b/>
                <w:sz w:val="20"/>
                <w:szCs w:val="20"/>
              </w:rPr>
              <w:t>$6,000</w:t>
            </w:r>
          </w:p>
        </w:tc>
        <w:tc>
          <w:tcPr>
            <w:tcW w:w="1309" w:type="pct"/>
            <w:tcBorders>
              <w:left w:val="single" w:sz="4" w:space="0" w:color="auto"/>
              <w:bottom w:val="single" w:sz="4" w:space="0" w:color="auto"/>
              <w:right w:val="single" w:sz="4" w:space="0" w:color="auto"/>
            </w:tcBorders>
          </w:tcPr>
          <w:p w14:paraId="00A77DBF" w14:textId="77777777" w:rsidR="00990749" w:rsidRPr="00ED564E" w:rsidRDefault="00990749" w:rsidP="00990749">
            <w:pPr>
              <w:jc w:val="center"/>
              <w:rPr>
                <w:rFonts w:cs="Arial"/>
                <w:sz w:val="20"/>
                <w:szCs w:val="20"/>
              </w:rPr>
            </w:pPr>
            <w:r w:rsidRPr="00ED564E">
              <w:rPr>
                <w:rFonts w:cs="Arial"/>
                <w:sz w:val="20"/>
                <w:szCs w:val="20"/>
              </w:rPr>
              <w:t>7,546</w:t>
            </w:r>
          </w:p>
        </w:tc>
        <w:tc>
          <w:tcPr>
            <w:tcW w:w="1309" w:type="pct"/>
            <w:tcBorders>
              <w:left w:val="single" w:sz="4" w:space="0" w:color="auto"/>
              <w:bottom w:val="single" w:sz="4" w:space="0" w:color="auto"/>
            </w:tcBorders>
          </w:tcPr>
          <w:p w14:paraId="348FBE56" w14:textId="77777777" w:rsidR="00990749" w:rsidRPr="00ED564E" w:rsidRDefault="00990749" w:rsidP="00990749">
            <w:pPr>
              <w:jc w:val="center"/>
              <w:rPr>
                <w:rFonts w:cs="Arial"/>
                <w:sz w:val="20"/>
                <w:szCs w:val="20"/>
              </w:rPr>
            </w:pPr>
            <w:r w:rsidRPr="00ED564E">
              <w:rPr>
                <w:rFonts w:cs="Arial"/>
                <w:sz w:val="20"/>
                <w:szCs w:val="20"/>
              </w:rPr>
              <w:t>8,756</w:t>
            </w:r>
          </w:p>
        </w:tc>
        <w:tc>
          <w:tcPr>
            <w:tcW w:w="1574" w:type="pct"/>
            <w:tcBorders>
              <w:bottom w:val="single" w:sz="4" w:space="0" w:color="auto"/>
              <w:right w:val="single" w:sz="4" w:space="0" w:color="auto"/>
            </w:tcBorders>
          </w:tcPr>
          <w:p w14:paraId="0985BAB2" w14:textId="77777777" w:rsidR="00990749" w:rsidRPr="00ED564E" w:rsidRDefault="00990749" w:rsidP="00990749">
            <w:pPr>
              <w:jc w:val="center"/>
              <w:rPr>
                <w:rFonts w:cs="Arial"/>
                <w:sz w:val="20"/>
                <w:szCs w:val="20"/>
              </w:rPr>
            </w:pPr>
            <w:r w:rsidRPr="00ED564E">
              <w:rPr>
                <w:rFonts w:cs="Arial"/>
                <w:sz w:val="20"/>
                <w:szCs w:val="20"/>
              </w:rPr>
              <w:t>4,977</w:t>
            </w:r>
          </w:p>
        </w:tc>
      </w:tr>
    </w:tbl>
    <w:p w14:paraId="497721C2" w14:textId="77777777" w:rsidR="00990749" w:rsidRPr="00ED564E" w:rsidRDefault="00990749" w:rsidP="00990749">
      <w:pPr>
        <w:rPr>
          <w:rFonts w:cs="Arial"/>
          <w:sz w:val="18"/>
          <w:szCs w:val="18"/>
        </w:rPr>
      </w:pPr>
      <w:r w:rsidRPr="00ED564E">
        <w:rPr>
          <w:rFonts w:cs="Arial"/>
          <w:sz w:val="18"/>
          <w:szCs w:val="18"/>
        </w:rPr>
        <w:t xml:space="preserve">Source: </w:t>
      </w:r>
      <w:proofErr w:type="spellStart"/>
      <w:r w:rsidRPr="00ED564E">
        <w:rPr>
          <w:rFonts w:cs="Arial"/>
          <w:sz w:val="18"/>
          <w:szCs w:val="18"/>
        </w:rPr>
        <w:t>RiceWarner</w:t>
      </w:r>
      <w:proofErr w:type="spellEnd"/>
      <w:r w:rsidRPr="00ED564E">
        <w:rPr>
          <w:rFonts w:cs="Arial"/>
          <w:sz w:val="18"/>
          <w:szCs w:val="18"/>
        </w:rPr>
        <w:t xml:space="preserve"> </w:t>
      </w:r>
      <w:proofErr w:type="spellStart"/>
      <w:r w:rsidRPr="00ED564E">
        <w:rPr>
          <w:rFonts w:cs="Arial"/>
          <w:sz w:val="18"/>
          <w:szCs w:val="18"/>
        </w:rPr>
        <w:t>ERF</w:t>
      </w:r>
      <w:proofErr w:type="spellEnd"/>
      <w:r w:rsidRPr="00ED564E">
        <w:rPr>
          <w:rFonts w:cs="Arial"/>
          <w:sz w:val="18"/>
          <w:szCs w:val="18"/>
        </w:rPr>
        <w:t xml:space="preserve"> Research, October 2015</w:t>
      </w:r>
    </w:p>
    <w:p w14:paraId="7A56DA8D" w14:textId="77777777" w:rsidR="00990749" w:rsidRPr="00ED564E" w:rsidRDefault="00990749" w:rsidP="00990749">
      <w:pPr>
        <w:pStyle w:val="Heading3"/>
        <w:rPr>
          <w:rFonts w:ascii="Arial" w:hAnsi="Arial" w:cs="Arial"/>
        </w:rPr>
      </w:pPr>
      <w:r w:rsidRPr="00ED564E">
        <w:rPr>
          <w:rFonts w:ascii="Arial" w:hAnsi="Arial" w:cs="Arial"/>
        </w:rPr>
        <w:lastRenderedPageBreak/>
        <w:t>Super System Efficiency was adversely impacted by the removal of Member Protection</w:t>
      </w:r>
    </w:p>
    <w:p w14:paraId="710B5392" w14:textId="77777777" w:rsidR="00990749" w:rsidRPr="00ED564E" w:rsidRDefault="00990749" w:rsidP="00990749">
      <w:pPr>
        <w:rPr>
          <w:rFonts w:cs="Arial"/>
        </w:rPr>
      </w:pPr>
      <w:r w:rsidRPr="00ED564E">
        <w:rPr>
          <w:rFonts w:cs="Arial"/>
        </w:rPr>
        <w:t xml:space="preserve">Lack of regulation of </w:t>
      </w:r>
      <w:proofErr w:type="spellStart"/>
      <w:r w:rsidRPr="00ED564E">
        <w:rPr>
          <w:rFonts w:cs="Arial"/>
        </w:rPr>
        <w:t>MySuper</w:t>
      </w:r>
      <w:proofErr w:type="spellEnd"/>
      <w:r w:rsidRPr="00ED564E">
        <w:rPr>
          <w:rFonts w:cs="Arial"/>
        </w:rPr>
        <w:t xml:space="preserve"> fund practices for lost and inactive accounts adversely impacts super system efficiency for low paid workers.</w:t>
      </w:r>
    </w:p>
    <w:p w14:paraId="2D7B08A5" w14:textId="77777777" w:rsidR="00E2026B" w:rsidRPr="00ED564E" w:rsidRDefault="00E2026B" w:rsidP="00990749">
      <w:pPr>
        <w:rPr>
          <w:rFonts w:cs="Arial"/>
          <w:bCs/>
        </w:rPr>
      </w:pPr>
    </w:p>
    <w:p w14:paraId="5A920E16" w14:textId="77777777" w:rsidR="00990749" w:rsidRPr="00ED564E" w:rsidRDefault="00990749" w:rsidP="00990749">
      <w:pPr>
        <w:rPr>
          <w:rFonts w:cs="Arial"/>
        </w:rPr>
      </w:pPr>
      <w:r w:rsidRPr="00ED564E">
        <w:rPr>
          <w:rFonts w:cs="Arial"/>
        </w:rPr>
        <w:t xml:space="preserve">Since the abolition of Member Protection, the use of ERFs has declined and accounts are increasingly held by Funds until they reach the criteria for mandatory transfer to the ATO.  </w:t>
      </w:r>
      <w:proofErr w:type="spellStart"/>
      <w:r w:rsidRPr="00ED564E">
        <w:rPr>
          <w:rFonts w:cs="Arial"/>
        </w:rPr>
        <w:t>AUSfund</w:t>
      </w:r>
      <w:proofErr w:type="spellEnd"/>
      <w:r w:rsidRPr="00ED564E">
        <w:rPr>
          <w:rFonts w:cs="Arial"/>
        </w:rPr>
        <w:t xml:space="preserve"> has observed a decline in Participating Fund transfers of approximately 70% since the introduction of </w:t>
      </w:r>
      <w:proofErr w:type="spellStart"/>
      <w:r w:rsidRPr="00ED564E">
        <w:rPr>
          <w:rFonts w:cs="Arial"/>
        </w:rPr>
        <w:t>MySuper</w:t>
      </w:r>
      <w:proofErr w:type="spellEnd"/>
      <w:r w:rsidRPr="00ED564E">
        <w:rPr>
          <w:rFonts w:cs="Arial"/>
        </w:rPr>
        <w:t xml:space="preserve"> regulations. </w:t>
      </w:r>
    </w:p>
    <w:p w14:paraId="64076932" w14:textId="77777777" w:rsidR="00E2026B" w:rsidRPr="00ED564E" w:rsidRDefault="00E2026B" w:rsidP="00990749">
      <w:pPr>
        <w:rPr>
          <w:rFonts w:cs="Arial"/>
        </w:rPr>
      </w:pPr>
    </w:p>
    <w:p w14:paraId="30333A2F" w14:textId="5E8A57F6" w:rsidR="00990749" w:rsidRPr="00ED564E" w:rsidRDefault="00990749" w:rsidP="00990749">
      <w:pPr>
        <w:rPr>
          <w:rFonts w:cs="Arial"/>
        </w:rPr>
      </w:pPr>
      <w:r w:rsidRPr="00ED564E">
        <w:rPr>
          <w:rFonts w:cs="Arial"/>
        </w:rPr>
        <w:t>While Fund members retain the benefit of a full service account, including investment choice and insurance, in practice the application of fees (and where applicable insurance premiums) can quickly see these benefits eroded.</w:t>
      </w:r>
    </w:p>
    <w:p w14:paraId="0B5B9968" w14:textId="77777777" w:rsidR="00E2026B" w:rsidRPr="00ED564E" w:rsidRDefault="00E2026B" w:rsidP="00990749">
      <w:pPr>
        <w:rPr>
          <w:rFonts w:cs="Arial"/>
        </w:rPr>
      </w:pPr>
    </w:p>
    <w:p w14:paraId="384BEEE6" w14:textId="77777777" w:rsidR="00990749" w:rsidRPr="00ED564E" w:rsidRDefault="00990749" w:rsidP="00990749">
      <w:pPr>
        <w:rPr>
          <w:rFonts w:cs="Arial"/>
        </w:rPr>
      </w:pPr>
      <w:r w:rsidRPr="00ED564E">
        <w:rPr>
          <w:rFonts w:cs="Arial"/>
        </w:rPr>
        <w:t>Where transfers are made, exit fees can vary from nil to over $100 for even the smallest accounts. Multiple accounts with multiple administration fees and insurance fees being applied are a huge cost on superannuation savings of Australian workers.</w:t>
      </w:r>
    </w:p>
    <w:p w14:paraId="5418D005" w14:textId="77777777" w:rsidR="00E2026B" w:rsidRPr="00ED564E" w:rsidRDefault="00E2026B" w:rsidP="00990749">
      <w:pPr>
        <w:rPr>
          <w:rFonts w:cs="Arial"/>
        </w:rPr>
      </w:pPr>
    </w:p>
    <w:p w14:paraId="7E6D3177" w14:textId="6CAC7621" w:rsidR="00E2026B" w:rsidRPr="00ED564E" w:rsidRDefault="00990749" w:rsidP="00990749">
      <w:pPr>
        <w:rPr>
          <w:rStyle w:val="Emphasis"/>
          <w:rFonts w:cs="Arial"/>
          <w:i w:val="0"/>
        </w:rPr>
      </w:pPr>
      <w:r w:rsidRPr="00ED564E">
        <w:rPr>
          <w:rFonts w:cs="Arial"/>
        </w:rPr>
        <w:t>At the same time, transfer to the ATO is sub-optimal</w:t>
      </w:r>
      <w:r w:rsidR="0034789C" w:rsidRPr="00ED564E">
        <w:rPr>
          <w:rFonts w:cs="Arial"/>
        </w:rPr>
        <w:t xml:space="preserve"> for all but the smallest accounts</w:t>
      </w:r>
      <w:r w:rsidRPr="00ED564E">
        <w:rPr>
          <w:rFonts w:cs="Arial"/>
        </w:rPr>
        <w:t xml:space="preserve">. </w:t>
      </w:r>
    </w:p>
    <w:p w14:paraId="77EE7878" w14:textId="77777777" w:rsidR="00E2026B" w:rsidRPr="00ED564E" w:rsidRDefault="00E2026B" w:rsidP="00990749">
      <w:pPr>
        <w:rPr>
          <w:rStyle w:val="Emphasis"/>
          <w:rFonts w:cs="Arial"/>
          <w:i w:val="0"/>
        </w:rPr>
      </w:pPr>
    </w:p>
    <w:p w14:paraId="32DC8576" w14:textId="77777777" w:rsidR="00990749" w:rsidRPr="00ED564E" w:rsidRDefault="00990749" w:rsidP="00990749">
      <w:pPr>
        <w:rPr>
          <w:rFonts w:cs="Arial"/>
        </w:rPr>
      </w:pPr>
    </w:p>
    <w:p w14:paraId="50F8C6D3" w14:textId="77777777" w:rsidR="00990749" w:rsidRPr="00ED564E" w:rsidRDefault="00990749" w:rsidP="00990749">
      <w:pPr>
        <w:pStyle w:val="Heading2"/>
        <w:rPr>
          <w:rFonts w:ascii="Arial" w:hAnsi="Arial" w:cs="Arial"/>
        </w:rPr>
      </w:pPr>
      <w:r w:rsidRPr="00ED564E">
        <w:rPr>
          <w:rFonts w:ascii="Arial" w:hAnsi="Arial" w:cs="Arial"/>
        </w:rPr>
        <w:t xml:space="preserve">Rollover funds can play a role in account consolidation </w:t>
      </w:r>
    </w:p>
    <w:p w14:paraId="38CC7D85" w14:textId="77777777" w:rsidR="00762CA4" w:rsidRDefault="00990749">
      <w:pPr>
        <w:rPr>
          <w:rFonts w:cs="Arial"/>
        </w:rPr>
      </w:pPr>
      <w:r w:rsidRPr="00ED564E">
        <w:rPr>
          <w:rFonts w:cs="Arial"/>
        </w:rPr>
        <w:t xml:space="preserve">Prior to the abolition of Member Protection, Eligible Rollover Funds played a significant role in account consolation.  The table below, drawn from data provided by </w:t>
      </w:r>
      <w:proofErr w:type="spellStart"/>
      <w:r w:rsidRPr="00ED564E">
        <w:rPr>
          <w:rFonts w:cs="Arial"/>
        </w:rPr>
        <w:t>AUSfund</w:t>
      </w:r>
      <w:proofErr w:type="spellEnd"/>
      <w:r w:rsidRPr="00ED564E">
        <w:rPr>
          <w:rFonts w:cs="Arial"/>
        </w:rPr>
        <w:t>, illustrates the potential for ERFs to reunite inactive accounts with active super accounts.</w:t>
      </w:r>
    </w:p>
    <w:p w14:paraId="25019A0B" w14:textId="77777777" w:rsidR="00762CA4" w:rsidRDefault="00762CA4">
      <w:pPr>
        <w:rPr>
          <w:rFonts w:cs="Arial"/>
        </w:rPr>
      </w:pPr>
    </w:p>
    <w:p w14:paraId="5E5A0B87" w14:textId="17F82073" w:rsidR="00E401D9" w:rsidRPr="00ED564E" w:rsidRDefault="00990749">
      <w:pPr>
        <w:rPr>
          <w:rFonts w:cs="Arial"/>
          <w:b/>
        </w:rPr>
      </w:pPr>
      <w:r w:rsidRPr="00ED564E">
        <w:rPr>
          <w:rFonts w:cs="Arial"/>
        </w:rPr>
        <w:t xml:space="preserve"> </w:t>
      </w:r>
      <w:r w:rsidR="00E401D9" w:rsidRPr="00ED564E">
        <w:rPr>
          <w:rFonts w:cs="Arial"/>
          <w:b/>
        </w:rPr>
        <w:br w:type="page"/>
      </w:r>
    </w:p>
    <w:p w14:paraId="0BACE08B" w14:textId="03368A08" w:rsidR="00990749" w:rsidRPr="00ED564E" w:rsidRDefault="00990749" w:rsidP="00990749">
      <w:pPr>
        <w:rPr>
          <w:rFonts w:cs="Arial"/>
          <w:b/>
        </w:rPr>
      </w:pPr>
      <w:r w:rsidRPr="00ED564E">
        <w:rPr>
          <w:rFonts w:cs="Arial"/>
          <w:b/>
        </w:rPr>
        <w:lastRenderedPageBreak/>
        <w:t xml:space="preserve">Table </w:t>
      </w:r>
      <w:r w:rsidR="0034789C" w:rsidRPr="00ED564E">
        <w:rPr>
          <w:rFonts w:cs="Arial"/>
          <w:b/>
        </w:rPr>
        <w:t>4</w:t>
      </w:r>
      <w:r w:rsidRPr="00ED564E">
        <w:rPr>
          <w:rFonts w:cs="Arial"/>
          <w:b/>
        </w:rPr>
        <w:t xml:space="preserve">: </w:t>
      </w:r>
      <w:proofErr w:type="spellStart"/>
      <w:r w:rsidRPr="00ED564E">
        <w:rPr>
          <w:rFonts w:cs="Arial"/>
          <w:b/>
        </w:rPr>
        <w:t>AUSfund</w:t>
      </w:r>
      <w:proofErr w:type="spellEnd"/>
      <w:r w:rsidRPr="00ED564E">
        <w:rPr>
          <w:rFonts w:cs="Arial"/>
          <w:b/>
        </w:rPr>
        <w:t xml:space="preserve"> transfers in and out with and without the Member Protection and Cross Fund Matching provisions</w:t>
      </w:r>
    </w:p>
    <w:tbl>
      <w:tblPr>
        <w:tblW w:w="5000" w:type="pct"/>
        <w:tblLayout w:type="fixed"/>
        <w:tblLook w:val="04A0" w:firstRow="1" w:lastRow="0" w:firstColumn="1" w:lastColumn="0" w:noHBand="0" w:noVBand="1"/>
      </w:tblPr>
      <w:tblGrid>
        <w:gridCol w:w="1068"/>
        <w:gridCol w:w="1003"/>
        <w:gridCol w:w="1351"/>
        <w:gridCol w:w="968"/>
        <w:gridCol w:w="939"/>
        <w:gridCol w:w="938"/>
        <w:gridCol w:w="885"/>
        <w:gridCol w:w="968"/>
        <w:gridCol w:w="878"/>
      </w:tblGrid>
      <w:tr w:rsidR="00CB0598" w:rsidRPr="00CB0598" w14:paraId="788E718A" w14:textId="77777777" w:rsidTr="00CB0598">
        <w:trPr>
          <w:trHeight w:val="300"/>
        </w:trPr>
        <w:tc>
          <w:tcPr>
            <w:tcW w:w="593" w:type="pct"/>
            <w:tcBorders>
              <w:top w:val="single" w:sz="4" w:space="0" w:color="auto"/>
              <w:left w:val="single" w:sz="4" w:space="0" w:color="auto"/>
              <w:bottom w:val="nil"/>
              <w:right w:val="nil"/>
            </w:tcBorders>
          </w:tcPr>
          <w:p w14:paraId="022EF11E" w14:textId="77777777" w:rsidR="00990749" w:rsidRPr="00CB0598" w:rsidRDefault="00990749" w:rsidP="00990749">
            <w:pPr>
              <w:jc w:val="center"/>
              <w:rPr>
                <w:rFonts w:eastAsia="Times New Roman" w:cs="Arial"/>
                <w:b/>
                <w:sz w:val="18"/>
                <w:szCs w:val="18"/>
                <w:lang w:val="en-GB" w:eastAsia="en-GB"/>
              </w:rPr>
            </w:pPr>
          </w:p>
        </w:tc>
        <w:tc>
          <w:tcPr>
            <w:tcW w:w="557" w:type="pct"/>
            <w:tcBorders>
              <w:top w:val="single" w:sz="4" w:space="0" w:color="auto"/>
              <w:left w:val="nil"/>
              <w:bottom w:val="nil"/>
              <w:right w:val="single" w:sz="4" w:space="0" w:color="auto"/>
            </w:tcBorders>
            <w:shd w:val="clear" w:color="auto" w:fill="auto"/>
          </w:tcPr>
          <w:p w14:paraId="5DE4BD5A" w14:textId="77777777" w:rsidR="00990749" w:rsidRPr="00CB0598" w:rsidRDefault="00990749" w:rsidP="00990749">
            <w:pPr>
              <w:jc w:val="center"/>
              <w:rPr>
                <w:rFonts w:eastAsia="Times New Roman" w:cs="Arial"/>
                <w:b/>
                <w:sz w:val="18"/>
                <w:szCs w:val="18"/>
                <w:lang w:val="en-GB" w:eastAsia="en-GB"/>
              </w:rPr>
            </w:pPr>
          </w:p>
        </w:tc>
        <w:tc>
          <w:tcPr>
            <w:tcW w:w="18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40FB0B" w14:textId="77777777" w:rsidR="00990749" w:rsidRPr="00CB0598" w:rsidRDefault="00990749" w:rsidP="00990749">
            <w:pPr>
              <w:jc w:val="center"/>
              <w:rPr>
                <w:rFonts w:eastAsia="Times New Roman" w:cs="Arial"/>
                <w:b/>
                <w:sz w:val="18"/>
                <w:szCs w:val="18"/>
                <w:lang w:val="en-GB" w:eastAsia="en-GB"/>
              </w:rPr>
            </w:pPr>
            <w:r w:rsidRPr="00CB0598">
              <w:rPr>
                <w:rFonts w:eastAsia="Times New Roman" w:cs="Arial"/>
                <w:b/>
                <w:sz w:val="18"/>
                <w:szCs w:val="18"/>
                <w:lang w:val="en-GB" w:eastAsia="en-GB"/>
              </w:rPr>
              <w:t xml:space="preserve">Transfers into </w:t>
            </w:r>
            <w:proofErr w:type="spellStart"/>
            <w:r w:rsidRPr="00CB0598">
              <w:rPr>
                <w:rFonts w:eastAsia="Times New Roman" w:cs="Arial"/>
                <w:b/>
                <w:sz w:val="18"/>
                <w:szCs w:val="18"/>
                <w:lang w:val="en-GB" w:eastAsia="en-GB"/>
              </w:rPr>
              <w:t>AUSfund</w:t>
            </w:r>
            <w:proofErr w:type="spellEnd"/>
          </w:p>
        </w:tc>
        <w:tc>
          <w:tcPr>
            <w:tcW w:w="101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B9B33" w14:textId="77777777" w:rsidR="00990749" w:rsidRPr="00CB0598" w:rsidRDefault="00990749" w:rsidP="00990749">
            <w:pPr>
              <w:jc w:val="center"/>
              <w:rPr>
                <w:rFonts w:eastAsia="Times New Roman" w:cs="Arial"/>
                <w:b/>
                <w:sz w:val="18"/>
                <w:szCs w:val="18"/>
                <w:lang w:val="en-GB" w:eastAsia="en-GB"/>
              </w:rPr>
            </w:pPr>
            <w:r w:rsidRPr="00CB0598">
              <w:rPr>
                <w:rFonts w:eastAsia="Times New Roman" w:cs="Arial"/>
                <w:b/>
                <w:sz w:val="18"/>
                <w:szCs w:val="18"/>
                <w:lang w:val="en-GB" w:eastAsia="en-GB"/>
              </w:rPr>
              <w:t>Transfers Out via Cross Fund Matching</w:t>
            </w: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FB4C" w14:textId="77777777" w:rsidR="00990749" w:rsidRPr="00CB0598" w:rsidRDefault="00990749" w:rsidP="00990749">
            <w:pPr>
              <w:jc w:val="center"/>
              <w:rPr>
                <w:rFonts w:eastAsia="Times New Roman" w:cs="Arial"/>
                <w:b/>
                <w:sz w:val="18"/>
                <w:szCs w:val="18"/>
                <w:lang w:val="en-GB" w:eastAsia="en-GB"/>
              </w:rPr>
            </w:pPr>
            <w:r w:rsidRPr="00CB0598">
              <w:rPr>
                <w:rFonts w:eastAsia="Times New Roman" w:cs="Arial"/>
                <w:b/>
                <w:sz w:val="18"/>
                <w:szCs w:val="18"/>
                <w:lang w:val="en-GB" w:eastAsia="en-GB"/>
              </w:rPr>
              <w:t>Transfer Out via Individual Rollout</w:t>
            </w:r>
          </w:p>
        </w:tc>
      </w:tr>
      <w:tr w:rsidR="00CB0598" w:rsidRPr="00CB0598" w14:paraId="7C26728B" w14:textId="77777777" w:rsidTr="00CB0598">
        <w:trPr>
          <w:trHeight w:val="300"/>
        </w:trPr>
        <w:tc>
          <w:tcPr>
            <w:tcW w:w="593" w:type="pct"/>
            <w:tcBorders>
              <w:top w:val="nil"/>
              <w:left w:val="single" w:sz="4" w:space="0" w:color="auto"/>
              <w:bottom w:val="single" w:sz="4" w:space="0" w:color="auto"/>
              <w:right w:val="nil"/>
            </w:tcBorders>
          </w:tcPr>
          <w:p w14:paraId="0BA6C0A9" w14:textId="77777777" w:rsidR="00990749" w:rsidRPr="00CB0598" w:rsidRDefault="00990749" w:rsidP="00990749">
            <w:pPr>
              <w:rPr>
                <w:rFonts w:eastAsia="Times New Roman" w:cs="Arial"/>
                <w:b/>
                <w:sz w:val="18"/>
                <w:szCs w:val="18"/>
                <w:lang w:val="en-GB" w:eastAsia="en-GB"/>
              </w:rPr>
            </w:pPr>
          </w:p>
        </w:tc>
        <w:tc>
          <w:tcPr>
            <w:tcW w:w="557" w:type="pct"/>
            <w:tcBorders>
              <w:top w:val="nil"/>
              <w:left w:val="nil"/>
              <w:bottom w:val="single" w:sz="4" w:space="0" w:color="auto"/>
              <w:right w:val="single" w:sz="4" w:space="0" w:color="auto"/>
            </w:tcBorders>
            <w:shd w:val="clear" w:color="auto" w:fill="auto"/>
            <w:noWrap/>
            <w:vAlign w:val="bottom"/>
            <w:hideMark/>
          </w:tcPr>
          <w:p w14:paraId="1739BABC" w14:textId="77777777" w:rsidR="00990749" w:rsidRPr="00CB0598" w:rsidRDefault="00990749" w:rsidP="00990749">
            <w:pPr>
              <w:rPr>
                <w:rFonts w:eastAsia="Times New Roman" w:cs="Arial"/>
                <w:b/>
                <w:sz w:val="18"/>
                <w:szCs w:val="18"/>
                <w:lang w:val="en-GB" w:eastAsia="en-GB"/>
              </w:rPr>
            </w:pPr>
          </w:p>
        </w:tc>
        <w:tc>
          <w:tcPr>
            <w:tcW w:w="751" w:type="pct"/>
            <w:tcBorders>
              <w:top w:val="single" w:sz="4" w:space="0" w:color="auto"/>
              <w:left w:val="single" w:sz="4" w:space="0" w:color="auto"/>
              <w:bottom w:val="single" w:sz="4" w:space="0" w:color="auto"/>
              <w:right w:val="nil"/>
            </w:tcBorders>
            <w:shd w:val="clear" w:color="auto" w:fill="auto"/>
            <w:tcMar>
              <w:left w:w="57" w:type="dxa"/>
              <w:right w:w="57" w:type="dxa"/>
            </w:tcMar>
            <w:vAlign w:val="bottom"/>
          </w:tcPr>
          <w:p w14:paraId="1CBD7FA3" w14:textId="77777777" w:rsidR="00990749" w:rsidRPr="00CB0598" w:rsidRDefault="00990749" w:rsidP="00990749">
            <w:pPr>
              <w:jc w:val="center"/>
              <w:rPr>
                <w:rFonts w:eastAsia="Times New Roman" w:cs="Arial"/>
                <w:b/>
                <w:sz w:val="18"/>
                <w:szCs w:val="18"/>
                <w:lang w:val="en-GB" w:eastAsia="en-GB"/>
              </w:rPr>
            </w:pPr>
            <w:r w:rsidRPr="00CB0598">
              <w:rPr>
                <w:rFonts w:eastAsia="Times New Roman" w:cs="Arial"/>
                <w:b/>
                <w:sz w:val="18"/>
                <w:szCs w:val="18"/>
                <w:lang w:val="en-GB" w:eastAsia="en-GB"/>
              </w:rPr>
              <w:t>Participating</w:t>
            </w:r>
          </w:p>
          <w:p w14:paraId="2CD652AE" w14:textId="77777777" w:rsidR="00990749" w:rsidRPr="00CB0598" w:rsidRDefault="00990749" w:rsidP="00990749">
            <w:pPr>
              <w:jc w:val="center"/>
              <w:rPr>
                <w:rFonts w:eastAsia="Times New Roman" w:cs="Arial"/>
                <w:b/>
                <w:sz w:val="18"/>
                <w:szCs w:val="18"/>
                <w:lang w:val="en-GB" w:eastAsia="en-GB"/>
              </w:rPr>
            </w:pPr>
            <w:r w:rsidRPr="00CB0598">
              <w:rPr>
                <w:rFonts w:eastAsia="Times New Roman" w:cs="Arial"/>
                <w:b/>
                <w:sz w:val="18"/>
                <w:szCs w:val="18"/>
                <w:lang w:val="en-GB" w:eastAsia="en-GB"/>
              </w:rPr>
              <w:t>Funds</w:t>
            </w:r>
          </w:p>
        </w:tc>
        <w:tc>
          <w:tcPr>
            <w:tcW w:w="538" w:type="pct"/>
            <w:tcBorders>
              <w:top w:val="single" w:sz="4" w:space="0" w:color="auto"/>
              <w:left w:val="nil"/>
              <w:bottom w:val="single" w:sz="4" w:space="0" w:color="auto"/>
              <w:right w:val="nil"/>
            </w:tcBorders>
            <w:shd w:val="clear" w:color="auto" w:fill="auto"/>
            <w:tcMar>
              <w:left w:w="57" w:type="dxa"/>
              <w:right w:w="57" w:type="dxa"/>
            </w:tcMar>
            <w:vAlign w:val="bottom"/>
          </w:tcPr>
          <w:p w14:paraId="352E951C" w14:textId="266ED176" w:rsidR="00990749" w:rsidRPr="00CB0598" w:rsidRDefault="00990749" w:rsidP="00CB0598">
            <w:pPr>
              <w:jc w:val="center"/>
              <w:rPr>
                <w:rFonts w:eastAsia="Times New Roman" w:cs="Arial"/>
                <w:b/>
                <w:sz w:val="18"/>
                <w:szCs w:val="18"/>
                <w:lang w:val="en-GB" w:eastAsia="en-GB"/>
              </w:rPr>
            </w:pPr>
            <w:r w:rsidRPr="00CB0598">
              <w:rPr>
                <w:rFonts w:eastAsia="Times New Roman" w:cs="Arial"/>
                <w:b/>
                <w:sz w:val="18"/>
                <w:szCs w:val="18"/>
                <w:lang w:val="en-GB" w:eastAsia="en-GB"/>
              </w:rPr>
              <w:t>Av</w:t>
            </w:r>
            <w:r w:rsidR="0034789C" w:rsidRPr="00CB0598">
              <w:rPr>
                <w:rFonts w:eastAsia="Times New Roman" w:cs="Arial"/>
                <w:b/>
                <w:sz w:val="18"/>
                <w:szCs w:val="18"/>
                <w:lang w:val="en-GB" w:eastAsia="en-GB"/>
              </w:rPr>
              <w:t>era</w:t>
            </w:r>
            <w:r w:rsidRPr="00CB0598">
              <w:rPr>
                <w:rFonts w:eastAsia="Times New Roman" w:cs="Arial"/>
                <w:b/>
                <w:sz w:val="18"/>
                <w:szCs w:val="18"/>
                <w:lang w:val="en-GB" w:eastAsia="en-GB"/>
              </w:rPr>
              <w:t>g</w:t>
            </w:r>
            <w:r w:rsidR="0034789C" w:rsidRPr="00CB0598">
              <w:rPr>
                <w:rFonts w:eastAsia="Times New Roman" w:cs="Arial"/>
                <w:b/>
                <w:sz w:val="18"/>
                <w:szCs w:val="18"/>
                <w:lang w:val="en-GB" w:eastAsia="en-GB"/>
              </w:rPr>
              <w:t>e</w:t>
            </w:r>
            <w:r w:rsidRPr="00CB0598">
              <w:rPr>
                <w:rFonts w:eastAsia="Times New Roman" w:cs="Arial"/>
                <w:b/>
                <w:sz w:val="18"/>
                <w:szCs w:val="18"/>
                <w:lang w:val="en-GB" w:eastAsia="en-GB"/>
              </w:rPr>
              <w:t xml:space="preserve"> account balance</w:t>
            </w:r>
          </w:p>
        </w:tc>
        <w:tc>
          <w:tcPr>
            <w:tcW w:w="522"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hideMark/>
          </w:tcPr>
          <w:p w14:paraId="571B19FA" w14:textId="77777777" w:rsidR="00990749" w:rsidRPr="00CB0598" w:rsidRDefault="00990749" w:rsidP="00CB0598">
            <w:pPr>
              <w:jc w:val="center"/>
              <w:rPr>
                <w:rFonts w:eastAsia="Times New Roman" w:cs="Arial"/>
                <w:b/>
                <w:sz w:val="18"/>
                <w:szCs w:val="18"/>
                <w:lang w:val="en-GB" w:eastAsia="en-GB"/>
              </w:rPr>
            </w:pPr>
            <w:r w:rsidRPr="00CB0598">
              <w:rPr>
                <w:rFonts w:eastAsia="Times New Roman" w:cs="Arial"/>
                <w:b/>
                <w:sz w:val="18"/>
                <w:szCs w:val="18"/>
                <w:lang w:val="en-GB" w:eastAsia="en-GB"/>
              </w:rPr>
              <w:t>Members</w:t>
            </w:r>
          </w:p>
        </w:tc>
        <w:tc>
          <w:tcPr>
            <w:tcW w:w="521" w:type="pct"/>
            <w:tcBorders>
              <w:top w:val="single" w:sz="4" w:space="0" w:color="auto"/>
              <w:left w:val="single" w:sz="4" w:space="0" w:color="auto"/>
              <w:bottom w:val="single" w:sz="4" w:space="0" w:color="auto"/>
              <w:right w:val="nil"/>
            </w:tcBorders>
            <w:shd w:val="clear" w:color="auto" w:fill="auto"/>
            <w:noWrap/>
            <w:tcMar>
              <w:left w:w="57" w:type="dxa"/>
              <w:right w:w="57" w:type="dxa"/>
            </w:tcMar>
            <w:vAlign w:val="bottom"/>
            <w:hideMark/>
          </w:tcPr>
          <w:p w14:paraId="45C07E9C" w14:textId="77777777" w:rsidR="00990749" w:rsidRPr="00CB0598" w:rsidRDefault="00990749" w:rsidP="00CB0598">
            <w:pPr>
              <w:jc w:val="center"/>
              <w:rPr>
                <w:rFonts w:eastAsia="Times New Roman" w:cs="Arial"/>
                <w:b/>
                <w:sz w:val="18"/>
                <w:szCs w:val="18"/>
                <w:lang w:val="en-GB" w:eastAsia="en-GB"/>
              </w:rPr>
            </w:pPr>
            <w:r w:rsidRPr="00CB0598">
              <w:rPr>
                <w:rFonts w:eastAsia="Times New Roman" w:cs="Arial"/>
                <w:b/>
                <w:sz w:val="18"/>
                <w:szCs w:val="18"/>
                <w:lang w:val="en-GB" w:eastAsia="en-GB"/>
              </w:rPr>
              <w:t>Members</w:t>
            </w:r>
          </w:p>
        </w:tc>
        <w:tc>
          <w:tcPr>
            <w:tcW w:w="492"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hideMark/>
          </w:tcPr>
          <w:p w14:paraId="04C60B01" w14:textId="77777777" w:rsidR="00990749" w:rsidRPr="00CB0598" w:rsidRDefault="00990749" w:rsidP="00CB0598">
            <w:pPr>
              <w:jc w:val="center"/>
              <w:rPr>
                <w:rFonts w:eastAsia="Times New Roman" w:cs="Arial"/>
                <w:b/>
                <w:sz w:val="18"/>
                <w:szCs w:val="18"/>
                <w:lang w:val="en-GB" w:eastAsia="en-GB"/>
              </w:rPr>
            </w:pPr>
            <w:r w:rsidRPr="00CB0598">
              <w:rPr>
                <w:rFonts w:eastAsia="Times New Roman" w:cs="Arial"/>
                <w:b/>
                <w:sz w:val="18"/>
                <w:szCs w:val="18"/>
                <w:lang w:val="en-GB" w:eastAsia="en-GB"/>
              </w:rPr>
              <w:t>Success rate %</w:t>
            </w:r>
          </w:p>
        </w:tc>
        <w:tc>
          <w:tcPr>
            <w:tcW w:w="538" w:type="pct"/>
            <w:tcBorders>
              <w:top w:val="single" w:sz="4" w:space="0" w:color="auto"/>
              <w:left w:val="single" w:sz="4" w:space="0" w:color="auto"/>
              <w:bottom w:val="single" w:sz="4" w:space="0" w:color="auto"/>
              <w:right w:val="nil"/>
            </w:tcBorders>
            <w:shd w:val="clear" w:color="auto" w:fill="auto"/>
            <w:noWrap/>
            <w:tcMar>
              <w:left w:w="57" w:type="dxa"/>
              <w:right w:w="57" w:type="dxa"/>
            </w:tcMar>
            <w:vAlign w:val="bottom"/>
            <w:hideMark/>
          </w:tcPr>
          <w:p w14:paraId="3CA0E128" w14:textId="77777777" w:rsidR="00990749" w:rsidRPr="00CB0598" w:rsidRDefault="00990749" w:rsidP="00CB0598">
            <w:pPr>
              <w:jc w:val="center"/>
              <w:rPr>
                <w:rFonts w:eastAsia="Times New Roman" w:cs="Arial"/>
                <w:b/>
                <w:sz w:val="18"/>
                <w:szCs w:val="18"/>
                <w:lang w:val="en-GB" w:eastAsia="en-GB"/>
              </w:rPr>
            </w:pPr>
            <w:r w:rsidRPr="00CB0598">
              <w:rPr>
                <w:rFonts w:eastAsia="Times New Roman" w:cs="Arial"/>
                <w:b/>
                <w:sz w:val="18"/>
                <w:szCs w:val="18"/>
                <w:lang w:val="en-GB" w:eastAsia="en-GB"/>
              </w:rPr>
              <w:t>Members</w:t>
            </w:r>
          </w:p>
        </w:tc>
        <w:tc>
          <w:tcPr>
            <w:tcW w:w="488"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bottom"/>
            <w:hideMark/>
          </w:tcPr>
          <w:p w14:paraId="02EA936D" w14:textId="77777777" w:rsidR="00990749" w:rsidRPr="00CB0598" w:rsidRDefault="00990749" w:rsidP="00CB0598">
            <w:pPr>
              <w:jc w:val="center"/>
              <w:rPr>
                <w:rFonts w:eastAsia="Times New Roman" w:cs="Arial"/>
                <w:b/>
                <w:sz w:val="18"/>
                <w:szCs w:val="18"/>
                <w:lang w:val="en-GB" w:eastAsia="en-GB"/>
              </w:rPr>
            </w:pPr>
            <w:r w:rsidRPr="00CB0598">
              <w:rPr>
                <w:rFonts w:eastAsia="Times New Roman" w:cs="Arial"/>
                <w:b/>
                <w:sz w:val="18"/>
                <w:szCs w:val="18"/>
                <w:lang w:val="en-GB" w:eastAsia="en-GB"/>
              </w:rPr>
              <w:t>Success rate %</w:t>
            </w:r>
          </w:p>
        </w:tc>
      </w:tr>
      <w:tr w:rsidR="00CB0598" w:rsidRPr="00CB0598" w14:paraId="727D9BBF" w14:textId="77777777" w:rsidTr="004963FF">
        <w:trPr>
          <w:trHeight w:val="283"/>
        </w:trPr>
        <w:tc>
          <w:tcPr>
            <w:tcW w:w="593" w:type="pct"/>
            <w:vMerge w:val="restart"/>
            <w:tcBorders>
              <w:top w:val="single" w:sz="4" w:space="0" w:color="auto"/>
              <w:left w:val="single" w:sz="4" w:space="0" w:color="auto"/>
              <w:right w:val="single" w:sz="4" w:space="0" w:color="auto"/>
            </w:tcBorders>
          </w:tcPr>
          <w:p w14:paraId="6A05364E" w14:textId="77777777" w:rsidR="00990749" w:rsidRPr="00CB0598" w:rsidRDefault="00990749" w:rsidP="00990749">
            <w:pPr>
              <w:rPr>
                <w:rFonts w:eastAsia="Times New Roman" w:cs="Arial"/>
                <w:sz w:val="18"/>
                <w:szCs w:val="18"/>
                <w:lang w:val="en-GB" w:eastAsia="en-GB"/>
              </w:rPr>
            </w:pPr>
            <w:r w:rsidRPr="00CB0598">
              <w:rPr>
                <w:rFonts w:eastAsia="Times New Roman" w:cs="Arial"/>
                <w:sz w:val="18"/>
                <w:szCs w:val="18"/>
                <w:lang w:val="en-GB" w:eastAsia="en-GB"/>
              </w:rPr>
              <w:t>Member Protection</w:t>
            </w:r>
          </w:p>
        </w:tc>
        <w:tc>
          <w:tcPr>
            <w:tcW w:w="557" w:type="pct"/>
            <w:tcBorders>
              <w:top w:val="single" w:sz="4" w:space="0" w:color="auto"/>
              <w:left w:val="single" w:sz="4" w:space="0" w:color="auto"/>
              <w:bottom w:val="nil"/>
              <w:right w:val="single" w:sz="4" w:space="0" w:color="auto"/>
            </w:tcBorders>
            <w:shd w:val="clear" w:color="auto" w:fill="auto"/>
            <w:noWrap/>
            <w:vAlign w:val="center"/>
            <w:hideMark/>
          </w:tcPr>
          <w:p w14:paraId="6501502F" w14:textId="77777777" w:rsidR="00990749" w:rsidRPr="00CB0598" w:rsidRDefault="00990749" w:rsidP="004963FF">
            <w:pPr>
              <w:rPr>
                <w:rFonts w:eastAsia="Times New Roman" w:cs="Arial"/>
                <w:sz w:val="18"/>
                <w:szCs w:val="18"/>
                <w:lang w:val="en-GB" w:eastAsia="en-GB"/>
              </w:rPr>
            </w:pPr>
            <w:r w:rsidRPr="00CB0598">
              <w:rPr>
                <w:rFonts w:eastAsia="Times New Roman" w:cs="Arial"/>
                <w:sz w:val="18"/>
                <w:szCs w:val="18"/>
                <w:lang w:val="en-GB" w:eastAsia="en-GB"/>
              </w:rPr>
              <w:t>2009/10</w:t>
            </w:r>
          </w:p>
        </w:tc>
        <w:tc>
          <w:tcPr>
            <w:tcW w:w="751" w:type="pct"/>
            <w:tcBorders>
              <w:top w:val="single" w:sz="4" w:space="0" w:color="auto"/>
              <w:left w:val="single" w:sz="4" w:space="0" w:color="auto"/>
              <w:bottom w:val="nil"/>
              <w:right w:val="nil"/>
            </w:tcBorders>
            <w:shd w:val="clear" w:color="auto" w:fill="auto"/>
            <w:vAlign w:val="center"/>
          </w:tcPr>
          <w:p w14:paraId="7E6E12F5"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58</w:t>
            </w:r>
          </w:p>
        </w:tc>
        <w:tc>
          <w:tcPr>
            <w:tcW w:w="538" w:type="pct"/>
            <w:tcBorders>
              <w:top w:val="single" w:sz="4" w:space="0" w:color="auto"/>
              <w:left w:val="nil"/>
              <w:bottom w:val="nil"/>
              <w:right w:val="nil"/>
            </w:tcBorders>
            <w:shd w:val="clear" w:color="auto" w:fill="auto"/>
            <w:vAlign w:val="center"/>
          </w:tcPr>
          <w:p w14:paraId="5FDA32D2"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277</w:t>
            </w:r>
          </w:p>
        </w:tc>
        <w:tc>
          <w:tcPr>
            <w:tcW w:w="522" w:type="pct"/>
            <w:tcBorders>
              <w:top w:val="single" w:sz="4" w:space="0" w:color="auto"/>
              <w:left w:val="nil"/>
              <w:bottom w:val="nil"/>
              <w:right w:val="single" w:sz="4" w:space="0" w:color="auto"/>
            </w:tcBorders>
            <w:shd w:val="clear" w:color="auto" w:fill="auto"/>
            <w:noWrap/>
            <w:vAlign w:val="center"/>
            <w:hideMark/>
          </w:tcPr>
          <w:p w14:paraId="50DC78D5"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341,096</w:t>
            </w:r>
          </w:p>
        </w:tc>
        <w:tc>
          <w:tcPr>
            <w:tcW w:w="521" w:type="pct"/>
            <w:tcBorders>
              <w:top w:val="single" w:sz="4" w:space="0" w:color="auto"/>
              <w:left w:val="single" w:sz="4" w:space="0" w:color="auto"/>
              <w:bottom w:val="nil"/>
              <w:right w:val="nil"/>
            </w:tcBorders>
            <w:shd w:val="clear" w:color="auto" w:fill="auto"/>
            <w:noWrap/>
            <w:vAlign w:val="center"/>
            <w:hideMark/>
          </w:tcPr>
          <w:p w14:paraId="3514555A"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64,417</w:t>
            </w:r>
          </w:p>
        </w:tc>
        <w:tc>
          <w:tcPr>
            <w:tcW w:w="492" w:type="pct"/>
            <w:tcBorders>
              <w:top w:val="single" w:sz="4" w:space="0" w:color="auto"/>
              <w:left w:val="nil"/>
              <w:bottom w:val="nil"/>
              <w:right w:val="single" w:sz="4" w:space="0" w:color="auto"/>
            </w:tcBorders>
            <w:shd w:val="clear" w:color="auto" w:fill="auto"/>
            <w:noWrap/>
            <w:vAlign w:val="center"/>
            <w:hideMark/>
          </w:tcPr>
          <w:p w14:paraId="681B2C98"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19%</w:t>
            </w:r>
          </w:p>
        </w:tc>
        <w:tc>
          <w:tcPr>
            <w:tcW w:w="538" w:type="pct"/>
            <w:tcBorders>
              <w:top w:val="single" w:sz="4" w:space="0" w:color="auto"/>
              <w:left w:val="single" w:sz="4" w:space="0" w:color="auto"/>
              <w:bottom w:val="nil"/>
              <w:right w:val="nil"/>
            </w:tcBorders>
            <w:shd w:val="clear" w:color="auto" w:fill="auto"/>
            <w:noWrap/>
            <w:vAlign w:val="center"/>
            <w:hideMark/>
          </w:tcPr>
          <w:p w14:paraId="758AA752"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58,414</w:t>
            </w:r>
          </w:p>
        </w:tc>
        <w:tc>
          <w:tcPr>
            <w:tcW w:w="488" w:type="pct"/>
            <w:tcBorders>
              <w:top w:val="single" w:sz="4" w:space="0" w:color="auto"/>
              <w:left w:val="nil"/>
              <w:bottom w:val="nil"/>
              <w:right w:val="single" w:sz="4" w:space="0" w:color="auto"/>
            </w:tcBorders>
            <w:shd w:val="clear" w:color="auto" w:fill="auto"/>
            <w:noWrap/>
            <w:vAlign w:val="center"/>
            <w:hideMark/>
          </w:tcPr>
          <w:p w14:paraId="6341E867"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17%</w:t>
            </w:r>
          </w:p>
        </w:tc>
      </w:tr>
      <w:tr w:rsidR="00CB0598" w:rsidRPr="00CB0598" w14:paraId="604A31C4" w14:textId="77777777" w:rsidTr="004963FF">
        <w:trPr>
          <w:trHeight w:val="283"/>
        </w:trPr>
        <w:tc>
          <w:tcPr>
            <w:tcW w:w="593" w:type="pct"/>
            <w:vMerge/>
            <w:tcBorders>
              <w:left w:val="single" w:sz="4" w:space="0" w:color="auto"/>
              <w:right w:val="single" w:sz="4" w:space="0" w:color="auto"/>
            </w:tcBorders>
          </w:tcPr>
          <w:p w14:paraId="57CCD08B" w14:textId="77777777" w:rsidR="00990749" w:rsidRPr="00CB0598" w:rsidRDefault="00990749" w:rsidP="00990749">
            <w:pPr>
              <w:rPr>
                <w:rFonts w:eastAsia="Times New Roman" w:cs="Arial"/>
                <w:sz w:val="18"/>
                <w:szCs w:val="18"/>
                <w:lang w:val="en-GB" w:eastAsia="en-GB"/>
              </w:rPr>
            </w:pPr>
          </w:p>
        </w:tc>
        <w:tc>
          <w:tcPr>
            <w:tcW w:w="557" w:type="pct"/>
            <w:tcBorders>
              <w:top w:val="nil"/>
              <w:left w:val="single" w:sz="4" w:space="0" w:color="auto"/>
              <w:bottom w:val="nil"/>
              <w:right w:val="single" w:sz="4" w:space="0" w:color="auto"/>
            </w:tcBorders>
            <w:shd w:val="clear" w:color="auto" w:fill="auto"/>
            <w:noWrap/>
            <w:vAlign w:val="center"/>
            <w:hideMark/>
          </w:tcPr>
          <w:p w14:paraId="67693C63" w14:textId="77777777" w:rsidR="00990749" w:rsidRPr="00CB0598" w:rsidRDefault="00990749" w:rsidP="004963FF">
            <w:pPr>
              <w:rPr>
                <w:rFonts w:eastAsia="Times New Roman" w:cs="Arial"/>
                <w:sz w:val="18"/>
                <w:szCs w:val="18"/>
                <w:lang w:val="en-GB" w:eastAsia="en-GB"/>
              </w:rPr>
            </w:pPr>
            <w:r w:rsidRPr="00CB0598">
              <w:rPr>
                <w:rFonts w:eastAsia="Times New Roman" w:cs="Arial"/>
                <w:sz w:val="18"/>
                <w:szCs w:val="18"/>
                <w:lang w:val="en-GB" w:eastAsia="en-GB"/>
              </w:rPr>
              <w:t>2010/11</w:t>
            </w:r>
          </w:p>
        </w:tc>
        <w:tc>
          <w:tcPr>
            <w:tcW w:w="751" w:type="pct"/>
            <w:tcBorders>
              <w:top w:val="nil"/>
              <w:left w:val="single" w:sz="4" w:space="0" w:color="auto"/>
              <w:bottom w:val="nil"/>
              <w:right w:val="nil"/>
            </w:tcBorders>
            <w:shd w:val="clear" w:color="auto" w:fill="auto"/>
            <w:vAlign w:val="center"/>
          </w:tcPr>
          <w:p w14:paraId="4B3E7E47"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51</w:t>
            </w:r>
          </w:p>
        </w:tc>
        <w:tc>
          <w:tcPr>
            <w:tcW w:w="538" w:type="pct"/>
            <w:tcBorders>
              <w:top w:val="nil"/>
              <w:left w:val="nil"/>
              <w:bottom w:val="nil"/>
              <w:right w:val="nil"/>
            </w:tcBorders>
            <w:shd w:val="clear" w:color="auto" w:fill="auto"/>
            <w:vAlign w:val="center"/>
          </w:tcPr>
          <w:p w14:paraId="377F3B3E"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279</w:t>
            </w:r>
          </w:p>
        </w:tc>
        <w:tc>
          <w:tcPr>
            <w:tcW w:w="522" w:type="pct"/>
            <w:tcBorders>
              <w:top w:val="nil"/>
              <w:left w:val="nil"/>
              <w:bottom w:val="nil"/>
              <w:right w:val="single" w:sz="4" w:space="0" w:color="auto"/>
            </w:tcBorders>
            <w:shd w:val="clear" w:color="auto" w:fill="auto"/>
            <w:noWrap/>
            <w:vAlign w:val="center"/>
            <w:hideMark/>
          </w:tcPr>
          <w:p w14:paraId="27107E02"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174,695</w:t>
            </w:r>
          </w:p>
        </w:tc>
        <w:tc>
          <w:tcPr>
            <w:tcW w:w="521" w:type="pct"/>
            <w:tcBorders>
              <w:top w:val="nil"/>
              <w:left w:val="single" w:sz="4" w:space="0" w:color="auto"/>
              <w:bottom w:val="nil"/>
              <w:right w:val="nil"/>
            </w:tcBorders>
            <w:shd w:val="clear" w:color="auto" w:fill="auto"/>
            <w:noWrap/>
            <w:vAlign w:val="center"/>
            <w:hideMark/>
          </w:tcPr>
          <w:p w14:paraId="3EBEED51"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78,325</w:t>
            </w:r>
          </w:p>
        </w:tc>
        <w:tc>
          <w:tcPr>
            <w:tcW w:w="492" w:type="pct"/>
            <w:tcBorders>
              <w:top w:val="nil"/>
              <w:left w:val="nil"/>
              <w:bottom w:val="nil"/>
              <w:right w:val="single" w:sz="4" w:space="0" w:color="auto"/>
            </w:tcBorders>
            <w:shd w:val="clear" w:color="auto" w:fill="auto"/>
            <w:noWrap/>
            <w:vAlign w:val="center"/>
            <w:hideMark/>
          </w:tcPr>
          <w:p w14:paraId="3DA3070E"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45%</w:t>
            </w:r>
          </w:p>
        </w:tc>
        <w:tc>
          <w:tcPr>
            <w:tcW w:w="538" w:type="pct"/>
            <w:tcBorders>
              <w:top w:val="nil"/>
              <w:left w:val="single" w:sz="4" w:space="0" w:color="auto"/>
              <w:bottom w:val="nil"/>
              <w:right w:val="nil"/>
            </w:tcBorders>
            <w:shd w:val="clear" w:color="auto" w:fill="auto"/>
            <w:noWrap/>
            <w:vAlign w:val="center"/>
            <w:hideMark/>
          </w:tcPr>
          <w:p w14:paraId="32527AA1"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44,211</w:t>
            </w:r>
          </w:p>
        </w:tc>
        <w:tc>
          <w:tcPr>
            <w:tcW w:w="488" w:type="pct"/>
            <w:tcBorders>
              <w:top w:val="nil"/>
              <w:left w:val="nil"/>
              <w:bottom w:val="nil"/>
              <w:right w:val="single" w:sz="4" w:space="0" w:color="auto"/>
            </w:tcBorders>
            <w:shd w:val="clear" w:color="auto" w:fill="auto"/>
            <w:noWrap/>
            <w:vAlign w:val="center"/>
            <w:hideMark/>
          </w:tcPr>
          <w:p w14:paraId="21374476"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25%</w:t>
            </w:r>
          </w:p>
        </w:tc>
      </w:tr>
      <w:tr w:rsidR="00CB0598" w:rsidRPr="00CB0598" w14:paraId="5777F745" w14:textId="77777777" w:rsidTr="004963FF">
        <w:trPr>
          <w:trHeight w:val="283"/>
        </w:trPr>
        <w:tc>
          <w:tcPr>
            <w:tcW w:w="593" w:type="pct"/>
            <w:vMerge/>
            <w:tcBorders>
              <w:left w:val="single" w:sz="4" w:space="0" w:color="auto"/>
              <w:right w:val="single" w:sz="4" w:space="0" w:color="auto"/>
            </w:tcBorders>
          </w:tcPr>
          <w:p w14:paraId="1964104F" w14:textId="77777777" w:rsidR="00990749" w:rsidRPr="00CB0598" w:rsidRDefault="00990749" w:rsidP="00990749">
            <w:pPr>
              <w:rPr>
                <w:rFonts w:eastAsia="Times New Roman" w:cs="Arial"/>
                <w:sz w:val="18"/>
                <w:szCs w:val="18"/>
                <w:lang w:val="en-GB" w:eastAsia="en-GB"/>
              </w:rPr>
            </w:pPr>
          </w:p>
        </w:tc>
        <w:tc>
          <w:tcPr>
            <w:tcW w:w="557" w:type="pct"/>
            <w:tcBorders>
              <w:top w:val="nil"/>
              <w:left w:val="single" w:sz="4" w:space="0" w:color="auto"/>
              <w:right w:val="single" w:sz="4" w:space="0" w:color="auto"/>
            </w:tcBorders>
            <w:shd w:val="clear" w:color="auto" w:fill="auto"/>
            <w:noWrap/>
            <w:vAlign w:val="center"/>
            <w:hideMark/>
          </w:tcPr>
          <w:p w14:paraId="2ED273F4" w14:textId="77777777" w:rsidR="00990749" w:rsidRPr="00CB0598" w:rsidRDefault="00990749" w:rsidP="004963FF">
            <w:pPr>
              <w:rPr>
                <w:rFonts w:eastAsia="Times New Roman" w:cs="Arial"/>
                <w:sz w:val="18"/>
                <w:szCs w:val="18"/>
                <w:lang w:val="en-GB" w:eastAsia="en-GB"/>
              </w:rPr>
            </w:pPr>
            <w:r w:rsidRPr="00CB0598">
              <w:rPr>
                <w:rFonts w:eastAsia="Times New Roman" w:cs="Arial"/>
                <w:sz w:val="18"/>
                <w:szCs w:val="18"/>
                <w:lang w:val="en-GB" w:eastAsia="en-GB"/>
              </w:rPr>
              <w:t>2011/12</w:t>
            </w:r>
          </w:p>
        </w:tc>
        <w:tc>
          <w:tcPr>
            <w:tcW w:w="751" w:type="pct"/>
            <w:tcBorders>
              <w:top w:val="nil"/>
              <w:left w:val="single" w:sz="4" w:space="0" w:color="auto"/>
              <w:right w:val="nil"/>
            </w:tcBorders>
            <w:shd w:val="clear" w:color="auto" w:fill="auto"/>
            <w:vAlign w:val="center"/>
          </w:tcPr>
          <w:p w14:paraId="5AB71588"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55</w:t>
            </w:r>
          </w:p>
        </w:tc>
        <w:tc>
          <w:tcPr>
            <w:tcW w:w="538" w:type="pct"/>
            <w:tcBorders>
              <w:top w:val="nil"/>
              <w:left w:val="nil"/>
              <w:right w:val="nil"/>
            </w:tcBorders>
            <w:shd w:val="clear" w:color="auto" w:fill="auto"/>
            <w:vAlign w:val="center"/>
          </w:tcPr>
          <w:p w14:paraId="3CC1DD98"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279</w:t>
            </w:r>
          </w:p>
        </w:tc>
        <w:tc>
          <w:tcPr>
            <w:tcW w:w="522" w:type="pct"/>
            <w:tcBorders>
              <w:top w:val="nil"/>
              <w:left w:val="nil"/>
              <w:right w:val="single" w:sz="4" w:space="0" w:color="auto"/>
            </w:tcBorders>
            <w:shd w:val="clear" w:color="auto" w:fill="auto"/>
            <w:noWrap/>
            <w:vAlign w:val="center"/>
            <w:hideMark/>
          </w:tcPr>
          <w:p w14:paraId="745EEC3A"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281,190</w:t>
            </w:r>
          </w:p>
        </w:tc>
        <w:tc>
          <w:tcPr>
            <w:tcW w:w="521" w:type="pct"/>
            <w:tcBorders>
              <w:top w:val="nil"/>
              <w:left w:val="single" w:sz="4" w:space="0" w:color="auto"/>
              <w:right w:val="nil"/>
            </w:tcBorders>
            <w:shd w:val="clear" w:color="auto" w:fill="auto"/>
            <w:noWrap/>
            <w:vAlign w:val="center"/>
            <w:hideMark/>
          </w:tcPr>
          <w:p w14:paraId="78996F5E"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53,498</w:t>
            </w:r>
          </w:p>
        </w:tc>
        <w:tc>
          <w:tcPr>
            <w:tcW w:w="492" w:type="pct"/>
            <w:tcBorders>
              <w:top w:val="nil"/>
              <w:left w:val="nil"/>
              <w:right w:val="single" w:sz="4" w:space="0" w:color="auto"/>
            </w:tcBorders>
            <w:shd w:val="clear" w:color="auto" w:fill="auto"/>
            <w:noWrap/>
            <w:vAlign w:val="center"/>
            <w:hideMark/>
          </w:tcPr>
          <w:p w14:paraId="3152648E"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19%</w:t>
            </w:r>
          </w:p>
        </w:tc>
        <w:tc>
          <w:tcPr>
            <w:tcW w:w="538" w:type="pct"/>
            <w:tcBorders>
              <w:top w:val="nil"/>
              <w:left w:val="single" w:sz="4" w:space="0" w:color="auto"/>
              <w:right w:val="nil"/>
            </w:tcBorders>
            <w:shd w:val="clear" w:color="auto" w:fill="auto"/>
            <w:noWrap/>
            <w:vAlign w:val="center"/>
            <w:hideMark/>
          </w:tcPr>
          <w:p w14:paraId="40E87BB8"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36,299</w:t>
            </w:r>
          </w:p>
        </w:tc>
        <w:tc>
          <w:tcPr>
            <w:tcW w:w="488" w:type="pct"/>
            <w:tcBorders>
              <w:top w:val="nil"/>
              <w:left w:val="nil"/>
              <w:right w:val="single" w:sz="4" w:space="0" w:color="auto"/>
            </w:tcBorders>
            <w:shd w:val="clear" w:color="auto" w:fill="auto"/>
            <w:noWrap/>
            <w:vAlign w:val="center"/>
            <w:hideMark/>
          </w:tcPr>
          <w:p w14:paraId="31DF1D68"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13%</w:t>
            </w:r>
          </w:p>
        </w:tc>
      </w:tr>
      <w:tr w:rsidR="00CB0598" w:rsidRPr="00CB0598" w14:paraId="23A2EEF1" w14:textId="77777777" w:rsidTr="004963FF">
        <w:trPr>
          <w:trHeight w:val="283"/>
        </w:trPr>
        <w:tc>
          <w:tcPr>
            <w:tcW w:w="593" w:type="pct"/>
            <w:vMerge/>
            <w:tcBorders>
              <w:left w:val="single" w:sz="4" w:space="0" w:color="auto"/>
              <w:right w:val="single" w:sz="4" w:space="0" w:color="auto"/>
            </w:tcBorders>
          </w:tcPr>
          <w:p w14:paraId="3055FFC3" w14:textId="77777777" w:rsidR="00990749" w:rsidRPr="00CB0598" w:rsidRDefault="00990749" w:rsidP="00990749">
            <w:pPr>
              <w:rPr>
                <w:rFonts w:eastAsia="Times New Roman" w:cs="Arial"/>
                <w:sz w:val="18"/>
                <w:szCs w:val="18"/>
                <w:lang w:val="en-GB" w:eastAsia="en-GB"/>
              </w:rPr>
            </w:pPr>
          </w:p>
        </w:tc>
        <w:tc>
          <w:tcPr>
            <w:tcW w:w="557" w:type="pct"/>
            <w:tcBorders>
              <w:top w:val="nil"/>
              <w:left w:val="single" w:sz="4" w:space="0" w:color="auto"/>
              <w:bottom w:val="single" w:sz="4" w:space="0" w:color="auto"/>
              <w:right w:val="single" w:sz="4" w:space="0" w:color="auto"/>
            </w:tcBorders>
            <w:shd w:val="clear" w:color="auto" w:fill="auto"/>
            <w:noWrap/>
            <w:vAlign w:val="center"/>
            <w:hideMark/>
          </w:tcPr>
          <w:p w14:paraId="6E41B2AE" w14:textId="77777777" w:rsidR="00990749" w:rsidRPr="00CB0598" w:rsidRDefault="00990749" w:rsidP="004963FF">
            <w:pPr>
              <w:rPr>
                <w:rFonts w:eastAsia="Times New Roman" w:cs="Arial"/>
                <w:sz w:val="18"/>
                <w:szCs w:val="18"/>
                <w:lang w:val="en-GB" w:eastAsia="en-GB"/>
              </w:rPr>
            </w:pPr>
            <w:r w:rsidRPr="00CB0598">
              <w:rPr>
                <w:rFonts w:eastAsia="Times New Roman" w:cs="Arial"/>
                <w:sz w:val="18"/>
                <w:szCs w:val="18"/>
                <w:lang w:val="en-GB" w:eastAsia="en-GB"/>
              </w:rPr>
              <w:t>2012/13*</w:t>
            </w:r>
          </w:p>
        </w:tc>
        <w:tc>
          <w:tcPr>
            <w:tcW w:w="751" w:type="pct"/>
            <w:tcBorders>
              <w:top w:val="nil"/>
              <w:left w:val="single" w:sz="4" w:space="0" w:color="auto"/>
              <w:bottom w:val="single" w:sz="4" w:space="0" w:color="auto"/>
              <w:right w:val="nil"/>
            </w:tcBorders>
            <w:shd w:val="clear" w:color="auto" w:fill="auto"/>
            <w:vAlign w:val="center"/>
          </w:tcPr>
          <w:p w14:paraId="6970AB0E"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46</w:t>
            </w:r>
          </w:p>
        </w:tc>
        <w:tc>
          <w:tcPr>
            <w:tcW w:w="538" w:type="pct"/>
            <w:tcBorders>
              <w:top w:val="nil"/>
              <w:left w:val="nil"/>
              <w:bottom w:val="single" w:sz="4" w:space="0" w:color="auto"/>
              <w:right w:val="nil"/>
            </w:tcBorders>
            <w:shd w:val="clear" w:color="auto" w:fill="auto"/>
            <w:vAlign w:val="center"/>
          </w:tcPr>
          <w:p w14:paraId="225F1CDE"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287</w:t>
            </w:r>
          </w:p>
        </w:tc>
        <w:tc>
          <w:tcPr>
            <w:tcW w:w="522" w:type="pct"/>
            <w:tcBorders>
              <w:top w:val="nil"/>
              <w:left w:val="nil"/>
              <w:bottom w:val="single" w:sz="4" w:space="0" w:color="auto"/>
              <w:right w:val="single" w:sz="4" w:space="0" w:color="auto"/>
            </w:tcBorders>
            <w:shd w:val="clear" w:color="auto" w:fill="auto"/>
            <w:noWrap/>
            <w:vAlign w:val="center"/>
            <w:hideMark/>
          </w:tcPr>
          <w:p w14:paraId="35E32FE4"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213,230</w:t>
            </w:r>
          </w:p>
        </w:tc>
        <w:tc>
          <w:tcPr>
            <w:tcW w:w="521" w:type="pct"/>
            <w:tcBorders>
              <w:top w:val="nil"/>
              <w:left w:val="single" w:sz="4" w:space="0" w:color="auto"/>
              <w:bottom w:val="single" w:sz="4" w:space="0" w:color="auto"/>
              <w:right w:val="nil"/>
            </w:tcBorders>
            <w:shd w:val="clear" w:color="auto" w:fill="auto"/>
            <w:noWrap/>
            <w:vAlign w:val="center"/>
            <w:hideMark/>
          </w:tcPr>
          <w:p w14:paraId="67B0FCFE"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122,516</w:t>
            </w:r>
          </w:p>
        </w:tc>
        <w:tc>
          <w:tcPr>
            <w:tcW w:w="492" w:type="pct"/>
            <w:tcBorders>
              <w:top w:val="nil"/>
              <w:left w:val="nil"/>
              <w:bottom w:val="single" w:sz="4" w:space="0" w:color="auto"/>
              <w:right w:val="single" w:sz="4" w:space="0" w:color="auto"/>
            </w:tcBorders>
            <w:shd w:val="clear" w:color="auto" w:fill="auto"/>
            <w:noWrap/>
            <w:vAlign w:val="center"/>
            <w:hideMark/>
          </w:tcPr>
          <w:p w14:paraId="0BE67AD6"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57%</w:t>
            </w:r>
          </w:p>
        </w:tc>
        <w:tc>
          <w:tcPr>
            <w:tcW w:w="538" w:type="pct"/>
            <w:tcBorders>
              <w:top w:val="nil"/>
              <w:left w:val="single" w:sz="4" w:space="0" w:color="auto"/>
              <w:bottom w:val="single" w:sz="4" w:space="0" w:color="auto"/>
              <w:right w:val="nil"/>
            </w:tcBorders>
            <w:shd w:val="clear" w:color="auto" w:fill="auto"/>
            <w:noWrap/>
            <w:vAlign w:val="center"/>
            <w:hideMark/>
          </w:tcPr>
          <w:p w14:paraId="24032010"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40,785</w:t>
            </w:r>
          </w:p>
        </w:tc>
        <w:tc>
          <w:tcPr>
            <w:tcW w:w="488" w:type="pct"/>
            <w:tcBorders>
              <w:top w:val="nil"/>
              <w:left w:val="nil"/>
              <w:bottom w:val="single" w:sz="4" w:space="0" w:color="auto"/>
              <w:right w:val="single" w:sz="4" w:space="0" w:color="auto"/>
            </w:tcBorders>
            <w:shd w:val="clear" w:color="auto" w:fill="auto"/>
            <w:noWrap/>
            <w:vAlign w:val="center"/>
            <w:hideMark/>
          </w:tcPr>
          <w:p w14:paraId="26F1C1C2"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19%</w:t>
            </w:r>
          </w:p>
        </w:tc>
      </w:tr>
      <w:tr w:rsidR="00CB0598" w:rsidRPr="00CB0598" w14:paraId="4824051A" w14:textId="77777777" w:rsidTr="004963FF">
        <w:trPr>
          <w:trHeight w:val="283"/>
        </w:trPr>
        <w:tc>
          <w:tcPr>
            <w:tcW w:w="593" w:type="pct"/>
            <w:vMerge/>
            <w:tcBorders>
              <w:left w:val="single" w:sz="4" w:space="0" w:color="auto"/>
              <w:bottom w:val="single" w:sz="4" w:space="0" w:color="auto"/>
              <w:right w:val="single" w:sz="4" w:space="0" w:color="auto"/>
            </w:tcBorders>
          </w:tcPr>
          <w:p w14:paraId="3CB5679F" w14:textId="77777777" w:rsidR="00990749" w:rsidRPr="00CB0598" w:rsidRDefault="00990749" w:rsidP="00990749">
            <w:pPr>
              <w:jc w:val="center"/>
              <w:rPr>
                <w:rFonts w:eastAsia="Times New Roman" w:cs="Arial"/>
                <w:b/>
                <w:bCs/>
                <w:sz w:val="18"/>
                <w:szCs w:val="18"/>
                <w:lang w:val="en-GB" w:eastAsia="en-GB"/>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510F6" w14:textId="77777777" w:rsidR="00990749" w:rsidRPr="00CB0598" w:rsidRDefault="00990749" w:rsidP="004963FF">
            <w:pPr>
              <w:rPr>
                <w:rFonts w:eastAsia="Times New Roman" w:cs="Arial"/>
                <w:b/>
                <w:bCs/>
                <w:sz w:val="18"/>
                <w:szCs w:val="18"/>
                <w:lang w:val="en-GB" w:eastAsia="en-GB"/>
              </w:rPr>
            </w:pPr>
            <w:r w:rsidRPr="00CB0598">
              <w:rPr>
                <w:rFonts w:eastAsia="Times New Roman" w:cs="Arial"/>
                <w:b/>
                <w:bCs/>
                <w:sz w:val="18"/>
                <w:szCs w:val="18"/>
                <w:lang w:val="en-GB" w:eastAsia="en-GB"/>
              </w:rPr>
              <w:t>Average</w:t>
            </w:r>
          </w:p>
        </w:tc>
        <w:tc>
          <w:tcPr>
            <w:tcW w:w="751" w:type="pct"/>
            <w:tcBorders>
              <w:top w:val="single" w:sz="4" w:space="0" w:color="auto"/>
              <w:left w:val="single" w:sz="4" w:space="0" w:color="auto"/>
              <w:bottom w:val="single" w:sz="4" w:space="0" w:color="auto"/>
              <w:right w:val="nil"/>
            </w:tcBorders>
            <w:shd w:val="clear" w:color="auto" w:fill="auto"/>
            <w:vAlign w:val="center"/>
          </w:tcPr>
          <w:p w14:paraId="58786ACF" w14:textId="77777777" w:rsidR="00990749" w:rsidRPr="00CB0598" w:rsidRDefault="00990749" w:rsidP="004963FF">
            <w:pPr>
              <w:jc w:val="center"/>
              <w:rPr>
                <w:rFonts w:eastAsia="Times New Roman" w:cs="Arial"/>
                <w:sz w:val="18"/>
                <w:szCs w:val="18"/>
                <w:lang w:val="en-GB" w:eastAsia="en-GB"/>
              </w:rPr>
            </w:pPr>
          </w:p>
        </w:tc>
        <w:tc>
          <w:tcPr>
            <w:tcW w:w="538" w:type="pct"/>
            <w:tcBorders>
              <w:top w:val="single" w:sz="4" w:space="0" w:color="auto"/>
              <w:left w:val="nil"/>
              <w:bottom w:val="single" w:sz="4" w:space="0" w:color="auto"/>
              <w:right w:val="nil"/>
            </w:tcBorders>
            <w:shd w:val="clear" w:color="auto" w:fill="auto"/>
            <w:vAlign w:val="center"/>
          </w:tcPr>
          <w:p w14:paraId="1EA65EF1" w14:textId="77777777" w:rsidR="00990749" w:rsidRPr="00CB0598" w:rsidRDefault="00990749" w:rsidP="004963FF">
            <w:pPr>
              <w:jc w:val="center"/>
              <w:rPr>
                <w:rFonts w:eastAsia="Times New Roman" w:cs="Arial"/>
                <w:b/>
                <w:sz w:val="18"/>
                <w:szCs w:val="18"/>
                <w:lang w:val="en-GB" w:eastAsia="en-GB"/>
              </w:rPr>
            </w:pPr>
            <w:r w:rsidRPr="00CB0598">
              <w:rPr>
                <w:rFonts w:eastAsia="Times New Roman" w:cs="Arial"/>
                <w:b/>
                <w:sz w:val="18"/>
                <w:szCs w:val="18"/>
                <w:lang w:val="en-GB" w:eastAsia="en-GB"/>
              </w:rPr>
              <w:t>$281</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6F9511EC"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252,553</w:t>
            </w:r>
          </w:p>
        </w:tc>
        <w:tc>
          <w:tcPr>
            <w:tcW w:w="521" w:type="pct"/>
            <w:tcBorders>
              <w:top w:val="single" w:sz="4" w:space="0" w:color="auto"/>
              <w:left w:val="single" w:sz="4" w:space="0" w:color="auto"/>
              <w:bottom w:val="single" w:sz="4" w:space="0" w:color="auto"/>
              <w:right w:val="nil"/>
            </w:tcBorders>
            <w:shd w:val="clear" w:color="auto" w:fill="auto"/>
            <w:noWrap/>
            <w:vAlign w:val="center"/>
            <w:hideMark/>
          </w:tcPr>
          <w:p w14:paraId="44DD8AC9"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79,689</w:t>
            </w:r>
          </w:p>
        </w:tc>
        <w:tc>
          <w:tcPr>
            <w:tcW w:w="492" w:type="pct"/>
            <w:tcBorders>
              <w:top w:val="single" w:sz="4" w:space="0" w:color="auto"/>
              <w:left w:val="nil"/>
              <w:bottom w:val="single" w:sz="4" w:space="0" w:color="auto"/>
              <w:right w:val="single" w:sz="4" w:space="0" w:color="auto"/>
            </w:tcBorders>
            <w:shd w:val="clear" w:color="auto" w:fill="auto"/>
            <w:noWrap/>
            <w:vAlign w:val="center"/>
            <w:hideMark/>
          </w:tcPr>
          <w:p w14:paraId="02222B32"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35%</w:t>
            </w:r>
          </w:p>
        </w:tc>
        <w:tc>
          <w:tcPr>
            <w:tcW w:w="538" w:type="pct"/>
            <w:tcBorders>
              <w:top w:val="single" w:sz="4" w:space="0" w:color="auto"/>
              <w:left w:val="single" w:sz="4" w:space="0" w:color="auto"/>
              <w:bottom w:val="single" w:sz="4" w:space="0" w:color="auto"/>
              <w:right w:val="nil"/>
            </w:tcBorders>
            <w:shd w:val="clear" w:color="auto" w:fill="auto"/>
            <w:noWrap/>
            <w:vAlign w:val="center"/>
            <w:hideMark/>
          </w:tcPr>
          <w:p w14:paraId="73DFDF66"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44,927</w:t>
            </w:r>
          </w:p>
        </w:tc>
        <w:tc>
          <w:tcPr>
            <w:tcW w:w="488" w:type="pct"/>
            <w:tcBorders>
              <w:top w:val="single" w:sz="4" w:space="0" w:color="auto"/>
              <w:left w:val="nil"/>
              <w:bottom w:val="single" w:sz="4" w:space="0" w:color="auto"/>
              <w:right w:val="single" w:sz="4" w:space="0" w:color="auto"/>
            </w:tcBorders>
            <w:shd w:val="clear" w:color="auto" w:fill="auto"/>
            <w:noWrap/>
            <w:vAlign w:val="center"/>
            <w:hideMark/>
          </w:tcPr>
          <w:p w14:paraId="6E8A3BC6"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19%</w:t>
            </w:r>
          </w:p>
        </w:tc>
      </w:tr>
      <w:tr w:rsidR="00CB0598" w:rsidRPr="00CB0598" w14:paraId="42474674" w14:textId="77777777" w:rsidTr="004963FF">
        <w:trPr>
          <w:trHeight w:val="283"/>
        </w:trPr>
        <w:tc>
          <w:tcPr>
            <w:tcW w:w="593" w:type="pct"/>
            <w:vMerge w:val="restart"/>
            <w:tcBorders>
              <w:top w:val="single" w:sz="4" w:space="0" w:color="auto"/>
              <w:left w:val="single" w:sz="4" w:space="0" w:color="auto"/>
              <w:bottom w:val="single" w:sz="4" w:space="0" w:color="auto"/>
              <w:right w:val="single" w:sz="4" w:space="0" w:color="auto"/>
            </w:tcBorders>
          </w:tcPr>
          <w:p w14:paraId="28E49F1F" w14:textId="77777777" w:rsidR="00990749" w:rsidRPr="00CB0598" w:rsidRDefault="00990749" w:rsidP="00200F05">
            <w:pPr>
              <w:rPr>
                <w:rFonts w:eastAsia="Times New Roman" w:cs="Arial"/>
                <w:b/>
                <w:bCs/>
                <w:sz w:val="18"/>
                <w:szCs w:val="18"/>
                <w:lang w:val="en-GB" w:eastAsia="en-GB"/>
              </w:rPr>
            </w:pPr>
            <w:r w:rsidRPr="00CB0598">
              <w:rPr>
                <w:rFonts w:eastAsia="Times New Roman" w:cs="Arial"/>
                <w:sz w:val="18"/>
                <w:szCs w:val="18"/>
                <w:lang w:val="en-GB" w:eastAsia="en-GB"/>
              </w:rPr>
              <w:t>No Member Protection</w:t>
            </w:r>
          </w:p>
        </w:tc>
        <w:tc>
          <w:tcPr>
            <w:tcW w:w="557" w:type="pct"/>
            <w:tcBorders>
              <w:top w:val="single" w:sz="4" w:space="0" w:color="auto"/>
              <w:left w:val="single" w:sz="4" w:space="0" w:color="auto"/>
              <w:bottom w:val="nil"/>
              <w:right w:val="single" w:sz="4" w:space="0" w:color="auto"/>
            </w:tcBorders>
            <w:shd w:val="clear" w:color="auto" w:fill="auto"/>
            <w:noWrap/>
            <w:vAlign w:val="center"/>
          </w:tcPr>
          <w:p w14:paraId="65B93895" w14:textId="77777777" w:rsidR="00990749" w:rsidRPr="00CB0598" w:rsidRDefault="00990749" w:rsidP="004963FF">
            <w:pPr>
              <w:rPr>
                <w:rFonts w:eastAsia="Times New Roman" w:cs="Arial"/>
                <w:sz w:val="18"/>
                <w:szCs w:val="18"/>
                <w:lang w:val="en-GB" w:eastAsia="en-GB"/>
              </w:rPr>
            </w:pPr>
            <w:r w:rsidRPr="00CB0598">
              <w:rPr>
                <w:rFonts w:eastAsia="Times New Roman" w:cs="Arial"/>
                <w:sz w:val="18"/>
                <w:szCs w:val="18"/>
                <w:lang w:val="en-GB" w:eastAsia="en-GB"/>
              </w:rPr>
              <w:t>2013/14</w:t>
            </w:r>
          </w:p>
        </w:tc>
        <w:tc>
          <w:tcPr>
            <w:tcW w:w="751" w:type="pct"/>
            <w:tcBorders>
              <w:top w:val="single" w:sz="4" w:space="0" w:color="auto"/>
              <w:left w:val="single" w:sz="4" w:space="0" w:color="auto"/>
              <w:bottom w:val="nil"/>
              <w:right w:val="nil"/>
            </w:tcBorders>
            <w:shd w:val="clear" w:color="auto" w:fill="auto"/>
            <w:vAlign w:val="center"/>
          </w:tcPr>
          <w:p w14:paraId="0DBCA18C"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24</w:t>
            </w:r>
          </w:p>
        </w:tc>
        <w:tc>
          <w:tcPr>
            <w:tcW w:w="538" w:type="pct"/>
            <w:tcBorders>
              <w:top w:val="single" w:sz="4" w:space="0" w:color="auto"/>
              <w:left w:val="nil"/>
              <w:bottom w:val="nil"/>
              <w:right w:val="nil"/>
            </w:tcBorders>
            <w:shd w:val="clear" w:color="auto" w:fill="auto"/>
            <w:vAlign w:val="center"/>
          </w:tcPr>
          <w:p w14:paraId="188E1D2D"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532</w:t>
            </w:r>
          </w:p>
        </w:tc>
        <w:tc>
          <w:tcPr>
            <w:tcW w:w="522" w:type="pct"/>
            <w:tcBorders>
              <w:top w:val="single" w:sz="4" w:space="0" w:color="auto"/>
              <w:left w:val="nil"/>
              <w:bottom w:val="nil"/>
              <w:right w:val="single" w:sz="4" w:space="0" w:color="auto"/>
            </w:tcBorders>
            <w:shd w:val="clear" w:color="auto" w:fill="auto"/>
            <w:noWrap/>
            <w:vAlign w:val="center"/>
          </w:tcPr>
          <w:p w14:paraId="1F020C5C"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49,179</w:t>
            </w:r>
          </w:p>
        </w:tc>
        <w:tc>
          <w:tcPr>
            <w:tcW w:w="521" w:type="pct"/>
            <w:tcBorders>
              <w:top w:val="single" w:sz="4" w:space="0" w:color="auto"/>
              <w:left w:val="single" w:sz="4" w:space="0" w:color="auto"/>
              <w:bottom w:val="nil"/>
              <w:right w:val="nil"/>
            </w:tcBorders>
            <w:shd w:val="clear" w:color="auto" w:fill="auto"/>
            <w:noWrap/>
            <w:vAlign w:val="center"/>
          </w:tcPr>
          <w:p w14:paraId="2CA0E410"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492" w:type="pct"/>
            <w:tcBorders>
              <w:top w:val="single" w:sz="4" w:space="0" w:color="auto"/>
              <w:left w:val="nil"/>
              <w:bottom w:val="nil"/>
              <w:right w:val="single" w:sz="4" w:space="0" w:color="auto"/>
            </w:tcBorders>
            <w:shd w:val="clear" w:color="auto" w:fill="auto"/>
            <w:noWrap/>
            <w:vAlign w:val="center"/>
          </w:tcPr>
          <w:p w14:paraId="335A0DF5"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538" w:type="pct"/>
            <w:tcBorders>
              <w:top w:val="single" w:sz="4" w:space="0" w:color="auto"/>
              <w:left w:val="single" w:sz="4" w:space="0" w:color="auto"/>
              <w:bottom w:val="nil"/>
              <w:right w:val="nil"/>
            </w:tcBorders>
            <w:shd w:val="clear" w:color="auto" w:fill="auto"/>
            <w:noWrap/>
            <w:vAlign w:val="center"/>
          </w:tcPr>
          <w:p w14:paraId="20D6492C"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26,422</w:t>
            </w:r>
          </w:p>
        </w:tc>
        <w:tc>
          <w:tcPr>
            <w:tcW w:w="488" w:type="pct"/>
            <w:tcBorders>
              <w:top w:val="single" w:sz="4" w:space="0" w:color="auto"/>
              <w:left w:val="nil"/>
              <w:bottom w:val="nil"/>
              <w:right w:val="single" w:sz="4" w:space="0" w:color="auto"/>
            </w:tcBorders>
            <w:shd w:val="clear" w:color="auto" w:fill="auto"/>
            <w:noWrap/>
            <w:vAlign w:val="center"/>
          </w:tcPr>
          <w:p w14:paraId="57C1D64E" w14:textId="77777777" w:rsidR="00990749" w:rsidRPr="00CB0598" w:rsidRDefault="00990749" w:rsidP="004963FF">
            <w:pPr>
              <w:jc w:val="center"/>
              <w:rPr>
                <w:rFonts w:eastAsia="Times New Roman" w:cs="Arial"/>
                <w:b/>
                <w:bCs/>
                <w:sz w:val="18"/>
                <w:szCs w:val="18"/>
                <w:lang w:val="en-GB" w:eastAsia="en-GB"/>
              </w:rPr>
            </w:pPr>
          </w:p>
        </w:tc>
      </w:tr>
      <w:tr w:rsidR="00CB0598" w:rsidRPr="00CB0598" w14:paraId="357D9D27" w14:textId="77777777" w:rsidTr="004963FF">
        <w:trPr>
          <w:trHeight w:val="283"/>
        </w:trPr>
        <w:tc>
          <w:tcPr>
            <w:tcW w:w="593" w:type="pct"/>
            <w:vMerge/>
            <w:tcBorders>
              <w:left w:val="single" w:sz="4" w:space="0" w:color="auto"/>
              <w:bottom w:val="single" w:sz="4" w:space="0" w:color="auto"/>
              <w:right w:val="single" w:sz="4" w:space="0" w:color="auto"/>
            </w:tcBorders>
          </w:tcPr>
          <w:p w14:paraId="43669AFE" w14:textId="77777777" w:rsidR="00990749" w:rsidRPr="00CB0598" w:rsidRDefault="00990749" w:rsidP="00990749">
            <w:pPr>
              <w:jc w:val="center"/>
              <w:rPr>
                <w:rFonts w:eastAsia="Times New Roman" w:cs="Arial"/>
                <w:b/>
                <w:bCs/>
                <w:sz w:val="18"/>
                <w:szCs w:val="18"/>
                <w:lang w:val="en-GB" w:eastAsia="en-GB"/>
              </w:rPr>
            </w:pPr>
          </w:p>
        </w:tc>
        <w:tc>
          <w:tcPr>
            <w:tcW w:w="557" w:type="pct"/>
            <w:tcBorders>
              <w:top w:val="nil"/>
              <w:left w:val="single" w:sz="4" w:space="0" w:color="auto"/>
              <w:right w:val="single" w:sz="4" w:space="0" w:color="auto"/>
            </w:tcBorders>
            <w:shd w:val="clear" w:color="auto" w:fill="auto"/>
            <w:noWrap/>
            <w:vAlign w:val="center"/>
          </w:tcPr>
          <w:p w14:paraId="5254EDB8" w14:textId="77777777" w:rsidR="00990749" w:rsidRPr="00CB0598" w:rsidRDefault="00990749" w:rsidP="004963FF">
            <w:pPr>
              <w:rPr>
                <w:rFonts w:eastAsia="Times New Roman" w:cs="Arial"/>
                <w:sz w:val="18"/>
                <w:szCs w:val="18"/>
                <w:lang w:val="en-GB" w:eastAsia="en-GB"/>
              </w:rPr>
            </w:pPr>
            <w:r w:rsidRPr="00CB0598">
              <w:rPr>
                <w:rFonts w:eastAsia="Times New Roman" w:cs="Arial"/>
                <w:sz w:val="18"/>
                <w:szCs w:val="18"/>
                <w:lang w:val="en-GB" w:eastAsia="en-GB"/>
              </w:rPr>
              <w:t>2014/15</w:t>
            </w:r>
          </w:p>
        </w:tc>
        <w:tc>
          <w:tcPr>
            <w:tcW w:w="751" w:type="pct"/>
            <w:tcBorders>
              <w:top w:val="nil"/>
              <w:left w:val="single" w:sz="4" w:space="0" w:color="auto"/>
              <w:right w:val="nil"/>
            </w:tcBorders>
            <w:shd w:val="clear" w:color="auto" w:fill="auto"/>
            <w:vAlign w:val="center"/>
          </w:tcPr>
          <w:p w14:paraId="1F3097D1"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13</w:t>
            </w:r>
          </w:p>
        </w:tc>
        <w:tc>
          <w:tcPr>
            <w:tcW w:w="538" w:type="pct"/>
            <w:tcBorders>
              <w:top w:val="nil"/>
              <w:left w:val="nil"/>
              <w:right w:val="nil"/>
            </w:tcBorders>
            <w:shd w:val="clear" w:color="auto" w:fill="auto"/>
            <w:vAlign w:val="center"/>
          </w:tcPr>
          <w:p w14:paraId="263CFCF3"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616</w:t>
            </w:r>
          </w:p>
        </w:tc>
        <w:tc>
          <w:tcPr>
            <w:tcW w:w="522" w:type="pct"/>
            <w:tcBorders>
              <w:top w:val="nil"/>
              <w:left w:val="nil"/>
              <w:right w:val="single" w:sz="4" w:space="0" w:color="auto"/>
            </w:tcBorders>
            <w:shd w:val="clear" w:color="auto" w:fill="auto"/>
            <w:noWrap/>
            <w:vAlign w:val="center"/>
          </w:tcPr>
          <w:p w14:paraId="0CC0CFD2"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36,512</w:t>
            </w:r>
          </w:p>
        </w:tc>
        <w:tc>
          <w:tcPr>
            <w:tcW w:w="521" w:type="pct"/>
            <w:tcBorders>
              <w:top w:val="nil"/>
              <w:left w:val="single" w:sz="4" w:space="0" w:color="auto"/>
              <w:right w:val="nil"/>
            </w:tcBorders>
            <w:shd w:val="clear" w:color="auto" w:fill="auto"/>
            <w:noWrap/>
            <w:vAlign w:val="center"/>
          </w:tcPr>
          <w:p w14:paraId="5BF16116"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492" w:type="pct"/>
            <w:tcBorders>
              <w:top w:val="nil"/>
              <w:left w:val="nil"/>
              <w:right w:val="single" w:sz="4" w:space="0" w:color="auto"/>
            </w:tcBorders>
            <w:shd w:val="clear" w:color="auto" w:fill="auto"/>
            <w:noWrap/>
            <w:vAlign w:val="center"/>
          </w:tcPr>
          <w:p w14:paraId="562672DD"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538" w:type="pct"/>
            <w:tcBorders>
              <w:top w:val="nil"/>
              <w:left w:val="single" w:sz="4" w:space="0" w:color="auto"/>
              <w:right w:val="nil"/>
            </w:tcBorders>
            <w:shd w:val="clear" w:color="auto" w:fill="auto"/>
            <w:noWrap/>
            <w:vAlign w:val="center"/>
          </w:tcPr>
          <w:p w14:paraId="1C117B61"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21,218</w:t>
            </w:r>
          </w:p>
        </w:tc>
        <w:tc>
          <w:tcPr>
            <w:tcW w:w="488" w:type="pct"/>
            <w:tcBorders>
              <w:top w:val="nil"/>
              <w:left w:val="nil"/>
              <w:right w:val="single" w:sz="4" w:space="0" w:color="auto"/>
            </w:tcBorders>
            <w:shd w:val="clear" w:color="auto" w:fill="auto"/>
            <w:noWrap/>
            <w:vAlign w:val="center"/>
          </w:tcPr>
          <w:p w14:paraId="65B6EBB6" w14:textId="77777777" w:rsidR="00990749" w:rsidRPr="00CB0598" w:rsidRDefault="00990749" w:rsidP="004963FF">
            <w:pPr>
              <w:jc w:val="center"/>
              <w:rPr>
                <w:rFonts w:eastAsia="Times New Roman" w:cs="Arial"/>
                <w:b/>
                <w:bCs/>
                <w:sz w:val="18"/>
                <w:szCs w:val="18"/>
                <w:lang w:val="en-GB" w:eastAsia="en-GB"/>
              </w:rPr>
            </w:pPr>
          </w:p>
        </w:tc>
      </w:tr>
      <w:tr w:rsidR="00CB0598" w:rsidRPr="00CB0598" w14:paraId="26EC09CD" w14:textId="77777777" w:rsidTr="004963FF">
        <w:trPr>
          <w:trHeight w:val="283"/>
        </w:trPr>
        <w:tc>
          <w:tcPr>
            <w:tcW w:w="593" w:type="pct"/>
            <w:vMerge/>
            <w:tcBorders>
              <w:left w:val="single" w:sz="4" w:space="0" w:color="auto"/>
              <w:bottom w:val="single" w:sz="4" w:space="0" w:color="auto"/>
              <w:right w:val="single" w:sz="4" w:space="0" w:color="auto"/>
            </w:tcBorders>
          </w:tcPr>
          <w:p w14:paraId="2F02BA8F" w14:textId="77777777" w:rsidR="00990749" w:rsidRPr="00CB0598" w:rsidRDefault="00990749" w:rsidP="00990749">
            <w:pPr>
              <w:jc w:val="center"/>
              <w:rPr>
                <w:rFonts w:eastAsia="Times New Roman" w:cs="Arial"/>
                <w:b/>
                <w:bCs/>
                <w:sz w:val="18"/>
                <w:szCs w:val="18"/>
                <w:lang w:val="en-GB" w:eastAsia="en-GB"/>
              </w:rPr>
            </w:pPr>
          </w:p>
        </w:tc>
        <w:tc>
          <w:tcPr>
            <w:tcW w:w="557" w:type="pct"/>
            <w:tcBorders>
              <w:top w:val="nil"/>
              <w:left w:val="single" w:sz="4" w:space="0" w:color="auto"/>
              <w:bottom w:val="single" w:sz="4" w:space="0" w:color="auto"/>
              <w:right w:val="single" w:sz="4" w:space="0" w:color="auto"/>
            </w:tcBorders>
            <w:shd w:val="clear" w:color="auto" w:fill="auto"/>
            <w:noWrap/>
            <w:vAlign w:val="center"/>
          </w:tcPr>
          <w:p w14:paraId="16BBCE2D" w14:textId="77777777" w:rsidR="00990749" w:rsidRPr="00CB0598" w:rsidRDefault="00990749" w:rsidP="004963FF">
            <w:pPr>
              <w:rPr>
                <w:rFonts w:eastAsia="Times New Roman" w:cs="Arial"/>
                <w:sz w:val="18"/>
                <w:szCs w:val="18"/>
                <w:lang w:val="en-GB" w:eastAsia="en-GB"/>
              </w:rPr>
            </w:pPr>
            <w:r w:rsidRPr="00CB0598">
              <w:rPr>
                <w:rFonts w:eastAsia="Times New Roman" w:cs="Arial"/>
                <w:sz w:val="18"/>
                <w:szCs w:val="18"/>
                <w:lang w:val="en-GB" w:eastAsia="en-GB"/>
              </w:rPr>
              <w:t>2015/16</w:t>
            </w:r>
          </w:p>
        </w:tc>
        <w:tc>
          <w:tcPr>
            <w:tcW w:w="751" w:type="pct"/>
            <w:tcBorders>
              <w:top w:val="nil"/>
              <w:left w:val="single" w:sz="4" w:space="0" w:color="auto"/>
              <w:bottom w:val="single" w:sz="4" w:space="0" w:color="auto"/>
              <w:right w:val="nil"/>
            </w:tcBorders>
            <w:shd w:val="clear" w:color="auto" w:fill="auto"/>
            <w:vAlign w:val="center"/>
          </w:tcPr>
          <w:p w14:paraId="3DE1601A"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10</w:t>
            </w:r>
          </w:p>
        </w:tc>
        <w:tc>
          <w:tcPr>
            <w:tcW w:w="538" w:type="pct"/>
            <w:tcBorders>
              <w:top w:val="nil"/>
              <w:left w:val="nil"/>
              <w:bottom w:val="single" w:sz="4" w:space="0" w:color="auto"/>
              <w:right w:val="nil"/>
            </w:tcBorders>
            <w:shd w:val="clear" w:color="auto" w:fill="auto"/>
            <w:vAlign w:val="center"/>
          </w:tcPr>
          <w:p w14:paraId="0A30916D"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468</w:t>
            </w:r>
          </w:p>
        </w:tc>
        <w:tc>
          <w:tcPr>
            <w:tcW w:w="522" w:type="pct"/>
            <w:tcBorders>
              <w:top w:val="nil"/>
              <w:left w:val="nil"/>
              <w:bottom w:val="single" w:sz="4" w:space="0" w:color="auto"/>
              <w:right w:val="single" w:sz="4" w:space="0" w:color="auto"/>
            </w:tcBorders>
            <w:shd w:val="clear" w:color="auto" w:fill="auto"/>
            <w:noWrap/>
            <w:vAlign w:val="center"/>
          </w:tcPr>
          <w:p w14:paraId="0447BD1F"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24,410</w:t>
            </w:r>
          </w:p>
        </w:tc>
        <w:tc>
          <w:tcPr>
            <w:tcW w:w="521" w:type="pct"/>
            <w:tcBorders>
              <w:top w:val="nil"/>
              <w:left w:val="single" w:sz="4" w:space="0" w:color="auto"/>
              <w:bottom w:val="single" w:sz="4" w:space="0" w:color="auto"/>
              <w:right w:val="nil"/>
            </w:tcBorders>
            <w:shd w:val="clear" w:color="auto" w:fill="auto"/>
            <w:noWrap/>
            <w:vAlign w:val="center"/>
          </w:tcPr>
          <w:p w14:paraId="4F2EFC6B"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492" w:type="pct"/>
            <w:tcBorders>
              <w:top w:val="nil"/>
              <w:left w:val="nil"/>
              <w:bottom w:val="single" w:sz="4" w:space="0" w:color="auto"/>
              <w:right w:val="single" w:sz="4" w:space="0" w:color="auto"/>
            </w:tcBorders>
            <w:shd w:val="clear" w:color="auto" w:fill="auto"/>
            <w:noWrap/>
            <w:vAlign w:val="center"/>
          </w:tcPr>
          <w:p w14:paraId="58966A83"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538" w:type="pct"/>
            <w:tcBorders>
              <w:top w:val="nil"/>
              <w:left w:val="single" w:sz="4" w:space="0" w:color="auto"/>
              <w:bottom w:val="single" w:sz="4" w:space="0" w:color="auto"/>
              <w:right w:val="nil"/>
            </w:tcBorders>
            <w:shd w:val="clear" w:color="auto" w:fill="auto"/>
            <w:noWrap/>
            <w:vAlign w:val="center"/>
          </w:tcPr>
          <w:p w14:paraId="1D811509" w14:textId="77777777" w:rsidR="00990749" w:rsidRPr="00CB0598" w:rsidRDefault="00990749" w:rsidP="004963FF">
            <w:pPr>
              <w:jc w:val="center"/>
              <w:rPr>
                <w:rFonts w:eastAsia="Times New Roman" w:cs="Arial"/>
                <w:sz w:val="18"/>
                <w:szCs w:val="18"/>
                <w:lang w:val="en-GB" w:eastAsia="en-GB"/>
              </w:rPr>
            </w:pPr>
            <w:r w:rsidRPr="00CB0598">
              <w:rPr>
                <w:rFonts w:eastAsia="Times New Roman" w:cs="Arial"/>
                <w:sz w:val="18"/>
                <w:szCs w:val="18"/>
                <w:lang w:val="en-GB" w:eastAsia="en-GB"/>
              </w:rPr>
              <w:t>15,508</w:t>
            </w:r>
          </w:p>
        </w:tc>
        <w:tc>
          <w:tcPr>
            <w:tcW w:w="488" w:type="pct"/>
            <w:tcBorders>
              <w:top w:val="nil"/>
              <w:left w:val="nil"/>
              <w:bottom w:val="single" w:sz="4" w:space="0" w:color="auto"/>
              <w:right w:val="single" w:sz="4" w:space="0" w:color="auto"/>
            </w:tcBorders>
            <w:shd w:val="clear" w:color="auto" w:fill="auto"/>
            <w:noWrap/>
            <w:vAlign w:val="center"/>
          </w:tcPr>
          <w:p w14:paraId="7C10ADE4" w14:textId="77777777" w:rsidR="00990749" w:rsidRPr="00CB0598" w:rsidRDefault="00990749" w:rsidP="004963FF">
            <w:pPr>
              <w:jc w:val="center"/>
              <w:rPr>
                <w:rFonts w:eastAsia="Times New Roman" w:cs="Arial"/>
                <w:b/>
                <w:bCs/>
                <w:sz w:val="18"/>
                <w:szCs w:val="18"/>
                <w:lang w:val="en-GB" w:eastAsia="en-GB"/>
              </w:rPr>
            </w:pPr>
          </w:p>
        </w:tc>
      </w:tr>
      <w:tr w:rsidR="00CB0598" w:rsidRPr="00CB0598" w14:paraId="3D8B0FBF" w14:textId="77777777" w:rsidTr="004963FF">
        <w:trPr>
          <w:trHeight w:val="283"/>
        </w:trPr>
        <w:tc>
          <w:tcPr>
            <w:tcW w:w="593" w:type="pct"/>
            <w:vMerge/>
            <w:tcBorders>
              <w:left w:val="single" w:sz="4" w:space="0" w:color="auto"/>
              <w:bottom w:val="single" w:sz="4" w:space="0" w:color="auto"/>
              <w:right w:val="single" w:sz="4" w:space="0" w:color="auto"/>
            </w:tcBorders>
            <w:vAlign w:val="center"/>
          </w:tcPr>
          <w:p w14:paraId="4840CE9F" w14:textId="77777777" w:rsidR="00990749" w:rsidRPr="00CB0598" w:rsidRDefault="00990749" w:rsidP="00990749">
            <w:pPr>
              <w:jc w:val="center"/>
              <w:rPr>
                <w:rFonts w:eastAsia="Times New Roman" w:cs="Arial"/>
                <w:b/>
                <w:bCs/>
                <w:sz w:val="18"/>
                <w:szCs w:val="18"/>
                <w:lang w:val="en-GB" w:eastAsia="en-GB"/>
              </w:rPr>
            </w:pPr>
          </w:p>
        </w:tc>
        <w:tc>
          <w:tcPr>
            <w:tcW w:w="5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378BC" w14:textId="77777777" w:rsidR="00990749" w:rsidRPr="00CB0598" w:rsidRDefault="00990749" w:rsidP="004963FF">
            <w:pPr>
              <w:rPr>
                <w:rFonts w:eastAsia="Times New Roman" w:cs="Arial"/>
                <w:b/>
                <w:sz w:val="18"/>
                <w:szCs w:val="18"/>
                <w:lang w:val="en-GB" w:eastAsia="en-GB"/>
              </w:rPr>
            </w:pPr>
            <w:r w:rsidRPr="00CB0598">
              <w:rPr>
                <w:rFonts w:eastAsia="Times New Roman" w:cs="Arial"/>
                <w:b/>
                <w:bCs/>
                <w:sz w:val="18"/>
                <w:szCs w:val="18"/>
                <w:lang w:val="en-GB" w:eastAsia="en-GB"/>
              </w:rPr>
              <w:t>Average</w:t>
            </w:r>
          </w:p>
        </w:tc>
        <w:tc>
          <w:tcPr>
            <w:tcW w:w="751" w:type="pct"/>
            <w:tcBorders>
              <w:top w:val="single" w:sz="4" w:space="0" w:color="auto"/>
              <w:left w:val="single" w:sz="4" w:space="0" w:color="auto"/>
              <w:bottom w:val="single" w:sz="4" w:space="0" w:color="auto"/>
              <w:right w:val="nil"/>
            </w:tcBorders>
            <w:shd w:val="clear" w:color="auto" w:fill="auto"/>
            <w:vAlign w:val="center"/>
          </w:tcPr>
          <w:p w14:paraId="2C7BAF5F" w14:textId="77777777" w:rsidR="00990749" w:rsidRPr="00CB0598" w:rsidRDefault="00990749" w:rsidP="004963FF">
            <w:pPr>
              <w:jc w:val="center"/>
              <w:rPr>
                <w:rFonts w:eastAsia="Times New Roman" w:cs="Arial"/>
                <w:b/>
                <w:sz w:val="18"/>
                <w:szCs w:val="18"/>
                <w:lang w:val="en-GB" w:eastAsia="en-GB"/>
              </w:rPr>
            </w:pPr>
          </w:p>
        </w:tc>
        <w:tc>
          <w:tcPr>
            <w:tcW w:w="538" w:type="pct"/>
            <w:tcBorders>
              <w:top w:val="single" w:sz="4" w:space="0" w:color="auto"/>
              <w:left w:val="nil"/>
              <w:bottom w:val="single" w:sz="4" w:space="0" w:color="auto"/>
              <w:right w:val="nil"/>
            </w:tcBorders>
            <w:shd w:val="clear" w:color="auto" w:fill="auto"/>
            <w:vAlign w:val="center"/>
          </w:tcPr>
          <w:p w14:paraId="200398B8" w14:textId="77777777" w:rsidR="00990749" w:rsidRPr="00CB0598" w:rsidRDefault="00990749" w:rsidP="004963FF">
            <w:pPr>
              <w:jc w:val="center"/>
              <w:rPr>
                <w:rFonts w:eastAsia="Times New Roman" w:cs="Arial"/>
                <w:b/>
                <w:sz w:val="18"/>
                <w:szCs w:val="18"/>
                <w:lang w:val="en-GB" w:eastAsia="en-GB"/>
              </w:rPr>
            </w:pPr>
            <w:r w:rsidRPr="00CB0598">
              <w:rPr>
                <w:rFonts w:eastAsia="Times New Roman" w:cs="Arial"/>
                <w:b/>
                <w:sz w:val="18"/>
                <w:szCs w:val="18"/>
                <w:lang w:val="en-GB" w:eastAsia="en-GB"/>
              </w:rPr>
              <w:t>$539</w:t>
            </w:r>
          </w:p>
        </w:tc>
        <w:tc>
          <w:tcPr>
            <w:tcW w:w="522" w:type="pct"/>
            <w:tcBorders>
              <w:top w:val="single" w:sz="4" w:space="0" w:color="auto"/>
              <w:left w:val="nil"/>
              <w:bottom w:val="single" w:sz="4" w:space="0" w:color="auto"/>
              <w:right w:val="single" w:sz="4" w:space="0" w:color="auto"/>
            </w:tcBorders>
            <w:shd w:val="clear" w:color="auto" w:fill="auto"/>
            <w:noWrap/>
            <w:vAlign w:val="center"/>
          </w:tcPr>
          <w:p w14:paraId="45069014" w14:textId="77777777" w:rsidR="00990749" w:rsidRPr="00CB0598" w:rsidRDefault="00990749" w:rsidP="004963FF">
            <w:pPr>
              <w:jc w:val="center"/>
              <w:rPr>
                <w:rFonts w:eastAsia="Times New Roman" w:cs="Arial"/>
                <w:b/>
                <w:sz w:val="18"/>
                <w:szCs w:val="18"/>
                <w:lang w:val="en-GB" w:eastAsia="en-GB"/>
              </w:rPr>
            </w:pPr>
            <w:r w:rsidRPr="00CB0598">
              <w:rPr>
                <w:rFonts w:eastAsia="Times New Roman" w:cs="Arial"/>
                <w:b/>
                <w:sz w:val="18"/>
                <w:szCs w:val="18"/>
                <w:lang w:val="en-GB" w:eastAsia="en-GB"/>
              </w:rPr>
              <w:t>36,700</w:t>
            </w:r>
          </w:p>
        </w:tc>
        <w:tc>
          <w:tcPr>
            <w:tcW w:w="521" w:type="pct"/>
            <w:tcBorders>
              <w:top w:val="single" w:sz="4" w:space="0" w:color="auto"/>
              <w:left w:val="single" w:sz="4" w:space="0" w:color="auto"/>
              <w:bottom w:val="single" w:sz="4" w:space="0" w:color="auto"/>
              <w:right w:val="nil"/>
            </w:tcBorders>
            <w:shd w:val="clear" w:color="auto" w:fill="auto"/>
            <w:noWrap/>
            <w:vAlign w:val="center"/>
          </w:tcPr>
          <w:p w14:paraId="27D222D0"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492" w:type="pct"/>
            <w:tcBorders>
              <w:top w:val="single" w:sz="4" w:space="0" w:color="auto"/>
              <w:left w:val="nil"/>
              <w:bottom w:val="single" w:sz="4" w:space="0" w:color="auto"/>
              <w:right w:val="single" w:sz="4" w:space="0" w:color="auto"/>
            </w:tcBorders>
            <w:shd w:val="clear" w:color="auto" w:fill="auto"/>
            <w:noWrap/>
            <w:vAlign w:val="center"/>
          </w:tcPr>
          <w:p w14:paraId="438E4D58"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w:t>
            </w:r>
          </w:p>
        </w:tc>
        <w:tc>
          <w:tcPr>
            <w:tcW w:w="538" w:type="pct"/>
            <w:tcBorders>
              <w:top w:val="single" w:sz="4" w:space="0" w:color="auto"/>
              <w:left w:val="single" w:sz="4" w:space="0" w:color="auto"/>
              <w:bottom w:val="single" w:sz="4" w:space="0" w:color="auto"/>
              <w:right w:val="nil"/>
            </w:tcBorders>
            <w:shd w:val="clear" w:color="auto" w:fill="auto"/>
            <w:noWrap/>
            <w:vAlign w:val="center"/>
          </w:tcPr>
          <w:p w14:paraId="453A0342" w14:textId="77777777" w:rsidR="00990749" w:rsidRPr="00CB0598" w:rsidRDefault="00990749" w:rsidP="004963FF">
            <w:pPr>
              <w:jc w:val="center"/>
              <w:rPr>
                <w:rFonts w:eastAsia="Times New Roman" w:cs="Arial"/>
                <w:b/>
                <w:bCs/>
                <w:sz w:val="18"/>
                <w:szCs w:val="18"/>
                <w:lang w:val="en-GB" w:eastAsia="en-GB"/>
              </w:rPr>
            </w:pPr>
            <w:r w:rsidRPr="00CB0598">
              <w:rPr>
                <w:rFonts w:eastAsia="Times New Roman" w:cs="Arial"/>
                <w:b/>
                <w:bCs/>
                <w:sz w:val="18"/>
                <w:szCs w:val="18"/>
                <w:lang w:val="en-GB" w:eastAsia="en-GB"/>
              </w:rPr>
              <w:t>20,049</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5D9BD018" w14:textId="77777777" w:rsidR="00990749" w:rsidRPr="00CB0598" w:rsidRDefault="00990749" w:rsidP="004963FF">
            <w:pPr>
              <w:jc w:val="center"/>
              <w:rPr>
                <w:rFonts w:eastAsia="Times New Roman" w:cs="Arial"/>
                <w:b/>
                <w:bCs/>
                <w:sz w:val="18"/>
                <w:szCs w:val="18"/>
                <w:lang w:val="en-GB" w:eastAsia="en-GB"/>
              </w:rPr>
            </w:pPr>
          </w:p>
        </w:tc>
      </w:tr>
    </w:tbl>
    <w:p w14:paraId="1AE7E2DD" w14:textId="2CDFA486" w:rsidR="00990749" w:rsidRPr="00ED564E" w:rsidRDefault="00990749" w:rsidP="00990749">
      <w:pPr>
        <w:rPr>
          <w:rFonts w:cs="Arial"/>
          <w:b/>
          <w:i/>
        </w:rPr>
      </w:pPr>
      <w:r w:rsidRPr="00ED564E">
        <w:rPr>
          <w:rFonts w:cs="Arial"/>
          <w:b/>
          <w:bCs/>
          <w:sz w:val="18"/>
          <w:szCs w:val="18"/>
        </w:rPr>
        <w:t>*</w:t>
      </w:r>
      <w:r w:rsidRPr="00ED564E">
        <w:rPr>
          <w:rFonts w:cs="Arial"/>
          <w:sz w:val="18"/>
          <w:szCs w:val="18"/>
        </w:rPr>
        <w:t xml:space="preserve">Cross fund matching was not carried out since 2013 due to the requirement for member consent to ‘match’ out an account. This impediment has recently been removed and </w:t>
      </w:r>
      <w:proofErr w:type="spellStart"/>
      <w:r w:rsidRPr="00ED564E">
        <w:rPr>
          <w:rFonts w:cs="Arial"/>
          <w:sz w:val="18"/>
          <w:szCs w:val="18"/>
        </w:rPr>
        <w:t>AUSfund</w:t>
      </w:r>
      <w:proofErr w:type="spellEnd"/>
      <w:r w:rsidRPr="00ED564E">
        <w:rPr>
          <w:rFonts w:cs="Arial"/>
          <w:sz w:val="18"/>
          <w:szCs w:val="18"/>
        </w:rPr>
        <w:t xml:space="preserve"> is in the process of reactivating its cross fund matching program.</w:t>
      </w:r>
    </w:p>
    <w:p w14:paraId="4CF6EEE8" w14:textId="77777777" w:rsidR="00990749" w:rsidRPr="00ED564E" w:rsidRDefault="00990749" w:rsidP="00990749">
      <w:pPr>
        <w:rPr>
          <w:rFonts w:cs="Arial"/>
          <w:b/>
        </w:rPr>
      </w:pPr>
    </w:p>
    <w:p w14:paraId="6874FDD0" w14:textId="39BDF984" w:rsidR="009F7E4B" w:rsidRDefault="00666695" w:rsidP="00990749">
      <w:pPr>
        <w:rPr>
          <w:rFonts w:cs="Arial"/>
        </w:rPr>
      </w:pPr>
      <w:r w:rsidRPr="00ED564E">
        <w:rPr>
          <w:rFonts w:cs="Arial"/>
        </w:rPr>
        <w:t>Whil</w:t>
      </w:r>
      <w:r w:rsidR="009F7E4B" w:rsidRPr="00ED564E">
        <w:rPr>
          <w:rFonts w:cs="Arial"/>
        </w:rPr>
        <w:t>e</w:t>
      </w:r>
      <w:r w:rsidRPr="00ED564E">
        <w:rPr>
          <w:rFonts w:cs="Arial"/>
        </w:rPr>
        <w:t xml:space="preserve"> the ATO</w:t>
      </w:r>
      <w:r w:rsidR="009F7E4B" w:rsidRPr="00ED564E">
        <w:rPr>
          <w:rFonts w:cs="Arial"/>
        </w:rPr>
        <w:t xml:space="preserve"> is actively encouraging consumers to consolidate their super accounts, its activities are restricted to consumers with a </w:t>
      </w:r>
      <w:proofErr w:type="spellStart"/>
      <w:r w:rsidR="009F7E4B" w:rsidRPr="00ED564E">
        <w:rPr>
          <w:rFonts w:cs="Arial"/>
        </w:rPr>
        <w:t>MyGov</w:t>
      </w:r>
      <w:proofErr w:type="spellEnd"/>
      <w:r w:rsidR="009F7E4B" w:rsidRPr="00ED564E">
        <w:rPr>
          <w:rFonts w:cs="Arial"/>
        </w:rPr>
        <w:t xml:space="preserve"> account. </w:t>
      </w:r>
    </w:p>
    <w:p w14:paraId="481A09AE" w14:textId="77777777" w:rsidR="005C2518" w:rsidRDefault="005C2518" w:rsidP="00990749">
      <w:pPr>
        <w:rPr>
          <w:rFonts w:cs="Arial"/>
        </w:rPr>
      </w:pPr>
    </w:p>
    <w:p w14:paraId="497F6FA9" w14:textId="77777777" w:rsidR="00762CA4" w:rsidRPr="00ED564E" w:rsidRDefault="00762CA4" w:rsidP="00990749">
      <w:pPr>
        <w:rPr>
          <w:rFonts w:cs="Arial"/>
        </w:rPr>
      </w:pPr>
    </w:p>
    <w:p w14:paraId="38382415" w14:textId="77777777" w:rsidR="00990749" w:rsidRPr="00ED564E" w:rsidRDefault="00990749" w:rsidP="00990749">
      <w:pPr>
        <w:pStyle w:val="Heading2"/>
        <w:rPr>
          <w:rFonts w:ascii="Arial" w:hAnsi="Arial" w:cs="Arial"/>
        </w:rPr>
      </w:pPr>
      <w:r w:rsidRPr="00ED564E">
        <w:rPr>
          <w:rFonts w:ascii="Arial" w:hAnsi="Arial" w:cs="Arial"/>
        </w:rPr>
        <w:t>Recommendations</w:t>
      </w:r>
    </w:p>
    <w:p w14:paraId="5CCCFF63" w14:textId="77777777" w:rsidR="00990749" w:rsidRPr="00ED564E" w:rsidRDefault="00990749" w:rsidP="00990749">
      <w:pPr>
        <w:rPr>
          <w:rFonts w:cs="Arial"/>
        </w:rPr>
      </w:pPr>
      <w:r w:rsidRPr="00ED564E">
        <w:rPr>
          <w:rFonts w:cs="Arial"/>
        </w:rPr>
        <w:t xml:space="preserve">Recent amendments to SIS Regulations to facilitate cross fund matching are an important reform, but do not go far enough. </w:t>
      </w:r>
    </w:p>
    <w:p w14:paraId="4DB9BF58" w14:textId="77777777" w:rsidR="00E2026B" w:rsidRPr="00ED564E" w:rsidRDefault="00E2026B" w:rsidP="00990749">
      <w:pPr>
        <w:rPr>
          <w:rFonts w:cs="Arial"/>
        </w:rPr>
      </w:pPr>
    </w:p>
    <w:p w14:paraId="3F6E56ED" w14:textId="77777777" w:rsidR="00990749" w:rsidRPr="00ED564E" w:rsidRDefault="00990749" w:rsidP="00990749">
      <w:pPr>
        <w:rPr>
          <w:rFonts w:cs="Arial"/>
        </w:rPr>
      </w:pPr>
      <w:r w:rsidRPr="00ED564E">
        <w:rPr>
          <w:rFonts w:cs="Arial"/>
        </w:rPr>
        <w:t>The following reforms would foster a more efficient rollover sector.</w:t>
      </w:r>
    </w:p>
    <w:p w14:paraId="69EE6F6E" w14:textId="77777777" w:rsidR="00E2026B" w:rsidRPr="00ED564E" w:rsidRDefault="00E2026B" w:rsidP="00990749">
      <w:pPr>
        <w:rPr>
          <w:rFonts w:cs="Arial"/>
        </w:rPr>
      </w:pPr>
    </w:p>
    <w:p w14:paraId="07099366" w14:textId="77777777" w:rsidR="00990749" w:rsidRPr="00ED564E" w:rsidRDefault="00990749" w:rsidP="00990749">
      <w:pPr>
        <w:pStyle w:val="ListParagraph"/>
        <w:numPr>
          <w:ilvl w:val="0"/>
          <w:numId w:val="1"/>
        </w:numPr>
        <w:rPr>
          <w:rFonts w:cs="Arial"/>
        </w:rPr>
      </w:pPr>
      <w:r w:rsidRPr="00ED564E">
        <w:rPr>
          <w:rFonts w:cs="Arial"/>
        </w:rPr>
        <w:t xml:space="preserve">APRA should monitor the policies adopted by RSEs in respect to small and inactive accounts, including if required thorough the adoption of a prudential standard.  This would include requiring Trustees to have regard to the point at which capital is eroded by fees and charges. </w:t>
      </w:r>
    </w:p>
    <w:p w14:paraId="7B35AE57" w14:textId="77777777" w:rsidR="00E2026B" w:rsidRPr="00ED564E" w:rsidRDefault="00E2026B" w:rsidP="00E2026B">
      <w:pPr>
        <w:pStyle w:val="ListParagraph"/>
        <w:rPr>
          <w:rFonts w:cs="Arial"/>
        </w:rPr>
      </w:pPr>
    </w:p>
    <w:p w14:paraId="1568669B" w14:textId="77777777" w:rsidR="00990749" w:rsidRPr="00ED564E" w:rsidRDefault="00990749" w:rsidP="00990749">
      <w:pPr>
        <w:pStyle w:val="ListParagraph"/>
        <w:numPr>
          <w:ilvl w:val="0"/>
          <w:numId w:val="1"/>
        </w:numPr>
        <w:rPr>
          <w:rFonts w:cs="Arial"/>
        </w:rPr>
      </w:pPr>
      <w:r w:rsidRPr="00ED564E">
        <w:rPr>
          <w:rFonts w:cs="Arial"/>
        </w:rPr>
        <w:t xml:space="preserve">The regulations should facilitate transfer of ATO held monies to rollover funds. At present ERFs can only accept rollovers from RSEs, and not from the ATO. </w:t>
      </w:r>
    </w:p>
    <w:p w14:paraId="613504C6" w14:textId="714CD476" w:rsidR="00990749" w:rsidRDefault="00990749" w:rsidP="00990749">
      <w:pPr>
        <w:rPr>
          <w:rFonts w:cs="Arial"/>
        </w:rPr>
      </w:pPr>
      <w:r w:rsidRPr="00ED564E">
        <w:rPr>
          <w:rFonts w:cs="Arial"/>
        </w:rPr>
        <w:lastRenderedPageBreak/>
        <w:t xml:space="preserve">Moreover, some ERFs charge high fees and deliver poor investment performance while others compare more than </w:t>
      </w:r>
      <w:proofErr w:type="spellStart"/>
      <w:r w:rsidRPr="00ED564E">
        <w:rPr>
          <w:rFonts w:cs="Arial"/>
        </w:rPr>
        <w:t>favourably</w:t>
      </w:r>
      <w:proofErr w:type="spellEnd"/>
      <w:r w:rsidRPr="00ED564E">
        <w:rPr>
          <w:rFonts w:cs="Arial"/>
        </w:rPr>
        <w:t xml:space="preserve"> with the lowest cost </w:t>
      </w:r>
      <w:proofErr w:type="spellStart"/>
      <w:r w:rsidRPr="00ED564E">
        <w:rPr>
          <w:rFonts w:cs="Arial"/>
        </w:rPr>
        <w:t>MySuper</w:t>
      </w:r>
      <w:proofErr w:type="spellEnd"/>
      <w:r w:rsidRPr="00ED564E">
        <w:rPr>
          <w:rFonts w:cs="Arial"/>
        </w:rPr>
        <w:t xml:space="preserve"> funds. APRA should increase its supervision of the ERF sector to ensure ERF trustees are meeting their regulatory obligations</w:t>
      </w:r>
      <w:r w:rsidR="00666695" w:rsidRPr="00ED564E">
        <w:rPr>
          <w:rFonts w:cs="Arial"/>
        </w:rPr>
        <w:t>, and should pay particular attention to related-party arrangements in the ERF sector</w:t>
      </w:r>
      <w:r w:rsidRPr="00ED564E">
        <w:rPr>
          <w:rFonts w:cs="Arial"/>
        </w:rPr>
        <w:t>.</w:t>
      </w:r>
    </w:p>
    <w:p w14:paraId="38EB942A" w14:textId="77777777" w:rsidR="00762CA4" w:rsidRDefault="00762CA4" w:rsidP="00990749">
      <w:pPr>
        <w:rPr>
          <w:rFonts w:cs="Arial"/>
        </w:rPr>
      </w:pPr>
    </w:p>
    <w:p w14:paraId="409FED11" w14:textId="77777777" w:rsidR="00762CA4" w:rsidRDefault="00762CA4" w:rsidP="00990749">
      <w:pPr>
        <w:rPr>
          <w:rFonts w:cs="Arial"/>
          <w:b/>
          <w:i/>
        </w:rPr>
      </w:pPr>
    </w:p>
    <w:p w14:paraId="52568EE6" w14:textId="77777777" w:rsidR="00762CA4" w:rsidRPr="00ED564E" w:rsidRDefault="00762CA4" w:rsidP="00990749">
      <w:pPr>
        <w:rPr>
          <w:rFonts w:cs="Arial"/>
          <w:b/>
          <w:i/>
        </w:rPr>
      </w:pPr>
    </w:p>
    <w:p w14:paraId="1F5BC6DC" w14:textId="368752D0" w:rsidR="00990749" w:rsidRPr="00ED564E" w:rsidRDefault="00990749" w:rsidP="00990749">
      <w:pPr>
        <w:pStyle w:val="Heading2"/>
        <w:rPr>
          <w:rFonts w:ascii="Arial" w:hAnsi="Arial" w:cs="Arial"/>
        </w:rPr>
      </w:pPr>
      <w:r w:rsidRPr="00ED564E">
        <w:rPr>
          <w:rFonts w:ascii="Arial" w:hAnsi="Arial" w:cs="Arial"/>
        </w:rPr>
        <w:t>Definitions</w:t>
      </w:r>
    </w:p>
    <w:p w14:paraId="763929DC" w14:textId="77777777" w:rsidR="004963FF" w:rsidRDefault="00990749" w:rsidP="00990749">
      <w:pPr>
        <w:rPr>
          <w:rFonts w:cs="Arial"/>
          <w:i/>
        </w:rPr>
      </w:pPr>
      <w:r w:rsidRPr="00ED564E">
        <w:rPr>
          <w:rFonts w:cs="Arial"/>
          <w:b/>
          <w:i/>
        </w:rPr>
        <w:t>Inactive member account</w:t>
      </w:r>
      <w:r w:rsidRPr="00ED564E">
        <w:rPr>
          <w:rFonts w:cs="Arial"/>
          <w:i/>
        </w:rPr>
        <w:t xml:space="preserve"> represents a member account that has not received any contributions, rollovers or transfers, or made any benefit payments within the last two years but which has not been closed as the member is contactable. </w:t>
      </w:r>
    </w:p>
    <w:p w14:paraId="6BF15867" w14:textId="77777777" w:rsidR="004963FF" w:rsidRPr="004963FF" w:rsidRDefault="00990749" w:rsidP="004963FF">
      <w:pPr>
        <w:pStyle w:val="ListParagraph"/>
        <w:numPr>
          <w:ilvl w:val="0"/>
          <w:numId w:val="2"/>
        </w:numPr>
        <w:rPr>
          <w:rFonts w:cs="Arial"/>
          <w:i/>
        </w:rPr>
      </w:pPr>
      <w:r w:rsidRPr="004963FF">
        <w:rPr>
          <w:rFonts w:cs="Arial"/>
          <w:i/>
        </w:rPr>
        <w:t xml:space="preserve">Includes: members that joined an RSE, as a standard employer-sponsored member, more than two years ago and there have been no contributions or rollover amounts in respect of that member within the past five years. </w:t>
      </w:r>
    </w:p>
    <w:p w14:paraId="1EE8B114" w14:textId="24D95710" w:rsidR="00990749" w:rsidRPr="004963FF" w:rsidRDefault="00990749" w:rsidP="004963FF">
      <w:pPr>
        <w:pStyle w:val="ListParagraph"/>
        <w:numPr>
          <w:ilvl w:val="0"/>
          <w:numId w:val="2"/>
        </w:numPr>
        <w:rPr>
          <w:rFonts w:cs="Arial"/>
          <w:i/>
        </w:rPr>
      </w:pPr>
      <w:r w:rsidRPr="004963FF">
        <w:rPr>
          <w:rFonts w:cs="Arial"/>
          <w:i/>
        </w:rPr>
        <w:t>Excludes: lost member accounts and active member accounts.</w:t>
      </w:r>
    </w:p>
    <w:p w14:paraId="556E4893" w14:textId="77777777" w:rsidR="00E2026B" w:rsidRPr="00ED564E" w:rsidRDefault="00E2026B" w:rsidP="00990749">
      <w:pPr>
        <w:rPr>
          <w:rFonts w:cs="Arial"/>
          <w:i/>
        </w:rPr>
      </w:pPr>
    </w:p>
    <w:p w14:paraId="69F9D09D" w14:textId="77777777" w:rsidR="004963FF" w:rsidRDefault="00990749" w:rsidP="00990749">
      <w:pPr>
        <w:rPr>
          <w:rFonts w:cs="Arial"/>
          <w:i/>
        </w:rPr>
      </w:pPr>
      <w:r w:rsidRPr="00ED564E">
        <w:rPr>
          <w:rFonts w:cs="Arial"/>
          <w:b/>
          <w:i/>
        </w:rPr>
        <w:t>Lost member account</w:t>
      </w:r>
      <w:r w:rsidRPr="00ED564E">
        <w:rPr>
          <w:rFonts w:cs="Arial"/>
          <w:i/>
        </w:rPr>
        <w:t xml:space="preserve"> represents the account of a member who is inactive and is </w:t>
      </w:r>
      <w:proofErr w:type="spellStart"/>
      <w:r w:rsidRPr="00ED564E">
        <w:rPr>
          <w:rFonts w:cs="Arial"/>
          <w:i/>
        </w:rPr>
        <w:t>uncontactable</w:t>
      </w:r>
      <w:proofErr w:type="spellEnd"/>
      <w:r w:rsidRPr="00ED564E">
        <w:rPr>
          <w:rFonts w:cs="Arial"/>
          <w:i/>
        </w:rPr>
        <w:t xml:space="preserve"> or who transferred from another RSE as a lost member. </w:t>
      </w:r>
    </w:p>
    <w:p w14:paraId="1AB78212" w14:textId="2FC4F838" w:rsidR="009F7E4B" w:rsidRPr="004963FF" w:rsidRDefault="00990749" w:rsidP="004963FF">
      <w:pPr>
        <w:pStyle w:val="ListParagraph"/>
        <w:numPr>
          <w:ilvl w:val="0"/>
          <w:numId w:val="3"/>
        </w:numPr>
        <w:rPr>
          <w:rFonts w:cs="Arial"/>
          <w:i/>
        </w:rPr>
      </w:pPr>
      <w:r w:rsidRPr="004963FF">
        <w:rPr>
          <w:rFonts w:cs="Arial"/>
          <w:i/>
        </w:rPr>
        <w:t xml:space="preserve">Excludes: members that have confirmed their address in the past two years, members that have indicated that they want to remain a member, inactive member accounts and active member accounts. </w:t>
      </w:r>
    </w:p>
    <w:p w14:paraId="2FDABCF5" w14:textId="77777777" w:rsidR="009F7E4B" w:rsidRPr="00ED564E" w:rsidRDefault="009F7E4B" w:rsidP="00990749">
      <w:pPr>
        <w:rPr>
          <w:rFonts w:cs="Arial"/>
          <w:i/>
        </w:rPr>
      </w:pPr>
    </w:p>
    <w:p w14:paraId="5FDE06DC" w14:textId="0D05BAC5" w:rsidR="00990749" w:rsidRPr="00ED564E" w:rsidRDefault="00990749" w:rsidP="00990749">
      <w:pPr>
        <w:rPr>
          <w:rFonts w:cs="Arial"/>
          <w:i/>
        </w:rPr>
      </w:pPr>
      <w:r w:rsidRPr="00ED564E">
        <w:rPr>
          <w:rFonts w:cs="Arial"/>
          <w:i/>
        </w:rPr>
        <w:t>Reference: SIS Regulations r. 1.03A</w:t>
      </w:r>
    </w:p>
    <w:p w14:paraId="63BA0168" w14:textId="77777777" w:rsidR="00990749" w:rsidRPr="00ED564E" w:rsidRDefault="00990749" w:rsidP="00990749">
      <w:pPr>
        <w:rPr>
          <w:rFonts w:cs="Arial"/>
        </w:rPr>
      </w:pPr>
    </w:p>
    <w:p w14:paraId="0D4699A6" w14:textId="29F2320D" w:rsidR="009723F5" w:rsidRPr="00ED564E" w:rsidRDefault="009723F5" w:rsidP="00B11074">
      <w:pPr>
        <w:tabs>
          <w:tab w:val="left" w:pos="2540"/>
        </w:tabs>
        <w:rPr>
          <w:rFonts w:cs="Arial"/>
        </w:rPr>
      </w:pPr>
    </w:p>
    <w:sectPr w:rsidR="009723F5" w:rsidRPr="00ED564E" w:rsidSect="005C2518">
      <w:headerReference w:type="default" r:id="rId14"/>
      <w:footerReference w:type="default" r:id="rId15"/>
      <w:headerReference w:type="first" r:id="rId16"/>
      <w:footerReference w:type="first" r:id="rId17"/>
      <w:pgSz w:w="11900" w:h="16840"/>
      <w:pgMar w:top="3402" w:right="1559" w:bottom="1843"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783A5" w14:textId="77777777" w:rsidR="005C2518" w:rsidRDefault="005C2518" w:rsidP="00B11074">
      <w:r>
        <w:separator/>
      </w:r>
    </w:p>
  </w:endnote>
  <w:endnote w:type="continuationSeparator" w:id="0">
    <w:p w14:paraId="6B357F99" w14:textId="77777777" w:rsidR="005C2518" w:rsidRDefault="005C2518" w:rsidP="00B1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HelveticaNeue LT 67 MdCn">
    <w:altName w:val="Courier"/>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 LT 57 Cn">
    <w:altName w:val="Courier"/>
    <w:charset w:val="00"/>
    <w:family w:val="auto"/>
    <w:pitch w:val="variable"/>
    <w:sig w:usb0="00000003" w:usb1="00000000" w:usb2="00000000" w:usb3="00000000" w:csb0="00000001" w:csb1="00000000"/>
  </w:font>
  <w:font w:name="Lucida Grande">
    <w:altName w:val="Helvetica LT Condense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8317" w14:textId="4C9BE99A" w:rsidR="005C2518" w:rsidRDefault="005C2518">
    <w:pPr>
      <w:pStyle w:val="Footer"/>
    </w:pPr>
    <w:r>
      <w:rPr>
        <w:noProof/>
        <w:lang w:val="en-AU" w:eastAsia="en-AU"/>
      </w:rPr>
      <w:drawing>
        <wp:anchor distT="0" distB="0" distL="114300" distR="114300" simplePos="0" relativeHeight="251676672" behindDoc="1" locked="0" layoutInCell="1" allowOverlap="1" wp14:anchorId="145D854D" wp14:editId="557F6A00">
          <wp:simplePos x="0" y="0"/>
          <wp:positionH relativeFrom="column">
            <wp:posOffset>-1010285</wp:posOffset>
          </wp:positionH>
          <wp:positionV relativeFrom="paragraph">
            <wp:posOffset>-33655</wp:posOffset>
          </wp:positionV>
          <wp:extent cx="7595870" cy="6616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fund_Letterhead_0416_footer.jpg"/>
                  <pic:cNvPicPr/>
                </pic:nvPicPr>
                <pic:blipFill>
                  <a:blip r:embed="rId1">
                    <a:extLst>
                      <a:ext uri="{28A0092B-C50C-407E-A947-70E740481C1C}">
                        <a14:useLocalDpi xmlns:a14="http://schemas.microsoft.com/office/drawing/2010/main" val="0"/>
                      </a:ext>
                    </a:extLst>
                  </a:blip>
                  <a:stretch>
                    <a:fillRect/>
                  </a:stretch>
                </pic:blipFill>
                <pic:spPr>
                  <a:xfrm>
                    <a:off x="0" y="0"/>
                    <a:ext cx="7595870" cy="66167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3B01D" w14:textId="6B714C2B" w:rsidR="005C2518" w:rsidRDefault="005C2518">
    <w:pPr>
      <w:pStyle w:val="Footer"/>
    </w:pPr>
    <w:r>
      <w:rPr>
        <w:noProof/>
        <w:lang w:val="en-AU" w:eastAsia="en-AU"/>
      </w:rPr>
      <w:drawing>
        <wp:anchor distT="0" distB="0" distL="114300" distR="114300" simplePos="0" relativeHeight="251674624" behindDoc="1" locked="0" layoutInCell="1" allowOverlap="1" wp14:anchorId="4C51CFCD" wp14:editId="5E8DB40D">
          <wp:simplePos x="0" y="0"/>
          <wp:positionH relativeFrom="column">
            <wp:posOffset>-1010285</wp:posOffset>
          </wp:positionH>
          <wp:positionV relativeFrom="paragraph">
            <wp:posOffset>-33655</wp:posOffset>
          </wp:positionV>
          <wp:extent cx="7595870" cy="66167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fund_Letterhead_0416_footer.jpg"/>
                  <pic:cNvPicPr/>
                </pic:nvPicPr>
                <pic:blipFill>
                  <a:blip r:embed="rId1">
                    <a:extLst>
                      <a:ext uri="{28A0092B-C50C-407E-A947-70E740481C1C}">
                        <a14:useLocalDpi xmlns:a14="http://schemas.microsoft.com/office/drawing/2010/main" val="0"/>
                      </a:ext>
                    </a:extLst>
                  </a:blip>
                  <a:stretch>
                    <a:fillRect/>
                  </a:stretch>
                </pic:blipFill>
                <pic:spPr>
                  <a:xfrm>
                    <a:off x="0" y="0"/>
                    <a:ext cx="7595870" cy="6616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126AE" w14:textId="77777777" w:rsidR="005C2518" w:rsidRDefault="005C2518" w:rsidP="00B11074">
      <w:r>
        <w:separator/>
      </w:r>
    </w:p>
  </w:footnote>
  <w:footnote w:type="continuationSeparator" w:id="0">
    <w:p w14:paraId="03DDA4F8" w14:textId="77777777" w:rsidR="005C2518" w:rsidRDefault="005C2518" w:rsidP="00B11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9DBCC" w14:textId="77777777" w:rsidR="005C2518" w:rsidRDefault="005C2518">
    <w:pPr>
      <w:pStyle w:val="Header"/>
    </w:pPr>
    <w:r>
      <w:rPr>
        <w:noProof/>
        <w:lang w:val="en-AU" w:eastAsia="en-AU"/>
      </w:rPr>
      <w:drawing>
        <wp:anchor distT="0" distB="0" distL="114300" distR="114300" simplePos="0" relativeHeight="251665408" behindDoc="1" locked="0" layoutInCell="1" allowOverlap="1" wp14:anchorId="3D8D0644" wp14:editId="66363D43">
          <wp:simplePos x="0" y="0"/>
          <wp:positionH relativeFrom="margin">
            <wp:posOffset>-1005205</wp:posOffset>
          </wp:positionH>
          <wp:positionV relativeFrom="margin">
            <wp:posOffset>-4461510</wp:posOffset>
          </wp:positionV>
          <wp:extent cx="7595870" cy="3818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fund_Letterhead_Header.jpg"/>
                  <pic:cNvPicPr/>
                </pic:nvPicPr>
                <pic:blipFill rotWithShape="1">
                  <a:blip r:embed="rId1">
                    <a:extLst>
                      <a:ext uri="{28A0092B-C50C-407E-A947-70E740481C1C}">
                        <a14:useLocalDpi xmlns:a14="http://schemas.microsoft.com/office/drawing/2010/main" val="0"/>
                      </a:ext>
                    </a:extLst>
                  </a:blip>
                  <a:srcRect t="-60216" b="60216"/>
                  <a:stretch/>
                </pic:blipFill>
                <pic:spPr>
                  <a:xfrm>
                    <a:off x="0" y="0"/>
                    <a:ext cx="7595870" cy="38188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84B62" w14:textId="2CD9FBCF" w:rsidR="005C2518" w:rsidRDefault="005C2518">
    <w:pPr>
      <w:pStyle w:val="Header"/>
    </w:pPr>
    <w:r>
      <w:rPr>
        <w:noProof/>
        <w:lang w:val="en-AU" w:eastAsia="en-AU"/>
      </w:rPr>
      <w:drawing>
        <wp:anchor distT="0" distB="0" distL="114300" distR="114300" simplePos="0" relativeHeight="251673600" behindDoc="1" locked="0" layoutInCell="1" allowOverlap="1" wp14:anchorId="4CD16ACD" wp14:editId="6AE338D4">
          <wp:simplePos x="0" y="0"/>
          <wp:positionH relativeFrom="column">
            <wp:posOffset>-1010285</wp:posOffset>
          </wp:positionH>
          <wp:positionV relativeFrom="paragraph">
            <wp:posOffset>-449580</wp:posOffset>
          </wp:positionV>
          <wp:extent cx="7595870" cy="31426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fund_Letterhead_0416_header.jpg"/>
                  <pic:cNvPicPr/>
                </pic:nvPicPr>
                <pic:blipFill>
                  <a:blip r:embed="rId1">
                    <a:extLst>
                      <a:ext uri="{28A0092B-C50C-407E-A947-70E740481C1C}">
                        <a14:useLocalDpi xmlns:a14="http://schemas.microsoft.com/office/drawing/2010/main" val="0"/>
                      </a:ext>
                    </a:extLst>
                  </a:blip>
                  <a:stretch>
                    <a:fillRect/>
                  </a:stretch>
                </pic:blipFill>
                <pic:spPr>
                  <a:xfrm>
                    <a:off x="0" y="0"/>
                    <a:ext cx="7595870" cy="3142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355F"/>
    <w:multiLevelType w:val="hybridMultilevel"/>
    <w:tmpl w:val="B9E04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720B5F"/>
    <w:multiLevelType w:val="hybridMultilevel"/>
    <w:tmpl w:val="DA14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ED7DDD"/>
    <w:multiLevelType w:val="hybridMultilevel"/>
    <w:tmpl w:val="D51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74"/>
    <w:rsid w:val="00114EE9"/>
    <w:rsid w:val="001433B5"/>
    <w:rsid w:val="00200F05"/>
    <w:rsid w:val="00260C29"/>
    <w:rsid w:val="0034789C"/>
    <w:rsid w:val="00396DD7"/>
    <w:rsid w:val="00427557"/>
    <w:rsid w:val="00453172"/>
    <w:rsid w:val="004963FF"/>
    <w:rsid w:val="004974DA"/>
    <w:rsid w:val="0058234D"/>
    <w:rsid w:val="005C2518"/>
    <w:rsid w:val="005C6E8C"/>
    <w:rsid w:val="00666695"/>
    <w:rsid w:val="0072402C"/>
    <w:rsid w:val="00762CA4"/>
    <w:rsid w:val="0076523E"/>
    <w:rsid w:val="00793B1E"/>
    <w:rsid w:val="008C6BF5"/>
    <w:rsid w:val="0095287F"/>
    <w:rsid w:val="009723F5"/>
    <w:rsid w:val="00990749"/>
    <w:rsid w:val="009F7E4B"/>
    <w:rsid w:val="00B11074"/>
    <w:rsid w:val="00B77196"/>
    <w:rsid w:val="00C04BC2"/>
    <w:rsid w:val="00CB0598"/>
    <w:rsid w:val="00CE5AB1"/>
    <w:rsid w:val="00D62FAC"/>
    <w:rsid w:val="00E00E14"/>
    <w:rsid w:val="00E2026B"/>
    <w:rsid w:val="00E401D9"/>
    <w:rsid w:val="00ED564E"/>
    <w:rsid w:val="00FA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0929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4E"/>
    <w:pPr>
      <w:spacing w:line="276" w:lineRule="auto"/>
    </w:pPr>
    <w:rPr>
      <w:rFonts w:ascii="Arial" w:hAnsi="Arial"/>
      <w:sz w:val="22"/>
    </w:rPr>
  </w:style>
  <w:style w:type="paragraph" w:styleId="Heading1">
    <w:name w:val="heading 1"/>
    <w:basedOn w:val="Normal"/>
    <w:next w:val="Normal"/>
    <w:link w:val="Heading1Char"/>
    <w:uiPriority w:val="9"/>
    <w:qFormat/>
    <w:rsid w:val="00ED564E"/>
    <w:pPr>
      <w:keepNext/>
      <w:keepLines/>
      <w:spacing w:before="240"/>
      <w:outlineLvl w:val="0"/>
    </w:pPr>
    <w:rPr>
      <w:rFonts w:ascii="HelveticaNeue LT 67 MdCn" w:eastAsiaTheme="majorEastAsia" w:hAnsi="HelveticaNeue LT 67 MdCn" w:cstheme="majorBidi"/>
      <w:color w:val="365F91" w:themeColor="accent1" w:themeShade="BF"/>
      <w:sz w:val="36"/>
      <w:szCs w:val="32"/>
      <w:lang w:val="en-AU"/>
    </w:rPr>
  </w:style>
  <w:style w:type="paragraph" w:styleId="Heading2">
    <w:name w:val="heading 2"/>
    <w:basedOn w:val="Normal"/>
    <w:next w:val="Normal"/>
    <w:link w:val="Heading2Char"/>
    <w:uiPriority w:val="9"/>
    <w:unhideWhenUsed/>
    <w:qFormat/>
    <w:rsid w:val="00ED564E"/>
    <w:pPr>
      <w:keepNext/>
      <w:keepLines/>
      <w:spacing w:before="200"/>
      <w:outlineLvl w:val="1"/>
    </w:pPr>
    <w:rPr>
      <w:rFonts w:ascii="HelveticaNeue LT 57 Cn" w:eastAsiaTheme="majorEastAsia" w:hAnsi="HelveticaNeue LT 57 Cn" w:cstheme="majorBidi"/>
      <w:b/>
      <w:bCs/>
      <w:color w:val="4F81BD" w:themeColor="accent1"/>
      <w:sz w:val="32"/>
      <w:szCs w:val="26"/>
      <w:lang w:val="en-AU"/>
    </w:rPr>
  </w:style>
  <w:style w:type="paragraph" w:styleId="Heading3">
    <w:name w:val="heading 3"/>
    <w:basedOn w:val="Normal"/>
    <w:next w:val="Normal"/>
    <w:link w:val="Heading3Char"/>
    <w:uiPriority w:val="9"/>
    <w:unhideWhenUsed/>
    <w:qFormat/>
    <w:rsid w:val="00ED564E"/>
    <w:pPr>
      <w:keepNext/>
      <w:keepLines/>
      <w:spacing w:before="200" w:after="60"/>
      <w:outlineLvl w:val="2"/>
    </w:pPr>
    <w:rPr>
      <w:rFonts w:ascii="HelveticaNeue LT 67 MdCn" w:eastAsiaTheme="majorEastAsia" w:hAnsi="HelveticaNeue LT 67 MdCn" w:cstheme="majorBidi"/>
      <w:b/>
      <w:bCs/>
      <w:color w:val="7F7F7F" w:themeColor="text1" w:themeTint="80"/>
      <w:sz w:val="28"/>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074"/>
    <w:pPr>
      <w:tabs>
        <w:tab w:val="center" w:pos="4320"/>
        <w:tab w:val="right" w:pos="8640"/>
      </w:tabs>
    </w:pPr>
  </w:style>
  <w:style w:type="character" w:customStyle="1" w:styleId="HeaderChar">
    <w:name w:val="Header Char"/>
    <w:basedOn w:val="DefaultParagraphFont"/>
    <w:link w:val="Header"/>
    <w:uiPriority w:val="99"/>
    <w:rsid w:val="00B11074"/>
  </w:style>
  <w:style w:type="paragraph" w:styleId="Footer">
    <w:name w:val="footer"/>
    <w:basedOn w:val="Normal"/>
    <w:link w:val="FooterChar"/>
    <w:uiPriority w:val="99"/>
    <w:unhideWhenUsed/>
    <w:rsid w:val="00B11074"/>
    <w:pPr>
      <w:tabs>
        <w:tab w:val="center" w:pos="4320"/>
        <w:tab w:val="right" w:pos="8640"/>
      </w:tabs>
    </w:pPr>
  </w:style>
  <w:style w:type="character" w:customStyle="1" w:styleId="FooterChar">
    <w:name w:val="Footer Char"/>
    <w:basedOn w:val="DefaultParagraphFont"/>
    <w:link w:val="Footer"/>
    <w:uiPriority w:val="99"/>
    <w:rsid w:val="00B11074"/>
  </w:style>
  <w:style w:type="paragraph" w:styleId="BalloonText">
    <w:name w:val="Balloon Text"/>
    <w:basedOn w:val="Normal"/>
    <w:link w:val="BalloonTextChar"/>
    <w:uiPriority w:val="99"/>
    <w:semiHidden/>
    <w:unhideWhenUsed/>
    <w:rsid w:val="00B11074"/>
    <w:rPr>
      <w:rFonts w:ascii="Lucida Grande" w:hAnsi="Lucida Grande"/>
      <w:sz w:val="18"/>
      <w:szCs w:val="18"/>
    </w:rPr>
  </w:style>
  <w:style w:type="character" w:customStyle="1" w:styleId="BalloonTextChar">
    <w:name w:val="Balloon Text Char"/>
    <w:basedOn w:val="DefaultParagraphFont"/>
    <w:link w:val="BalloonText"/>
    <w:uiPriority w:val="99"/>
    <w:semiHidden/>
    <w:rsid w:val="00B11074"/>
    <w:rPr>
      <w:rFonts w:ascii="Lucida Grande" w:hAnsi="Lucida Grande"/>
      <w:sz w:val="18"/>
      <w:szCs w:val="18"/>
    </w:rPr>
  </w:style>
  <w:style w:type="character" w:customStyle="1" w:styleId="Heading1Char">
    <w:name w:val="Heading 1 Char"/>
    <w:basedOn w:val="DefaultParagraphFont"/>
    <w:link w:val="Heading1"/>
    <w:uiPriority w:val="9"/>
    <w:rsid w:val="00ED564E"/>
    <w:rPr>
      <w:rFonts w:ascii="HelveticaNeue LT 67 MdCn" w:eastAsiaTheme="majorEastAsia" w:hAnsi="HelveticaNeue LT 67 MdCn" w:cstheme="majorBidi"/>
      <w:color w:val="365F91" w:themeColor="accent1" w:themeShade="BF"/>
      <w:sz w:val="36"/>
      <w:szCs w:val="32"/>
      <w:lang w:val="en-AU"/>
    </w:rPr>
  </w:style>
  <w:style w:type="character" w:customStyle="1" w:styleId="Heading2Char">
    <w:name w:val="Heading 2 Char"/>
    <w:basedOn w:val="DefaultParagraphFont"/>
    <w:link w:val="Heading2"/>
    <w:uiPriority w:val="9"/>
    <w:rsid w:val="00ED564E"/>
    <w:rPr>
      <w:rFonts w:ascii="HelveticaNeue LT 57 Cn" w:eastAsiaTheme="majorEastAsia" w:hAnsi="HelveticaNeue LT 57 Cn" w:cstheme="majorBidi"/>
      <w:b/>
      <w:bCs/>
      <w:color w:val="4F81BD" w:themeColor="accent1"/>
      <w:sz w:val="32"/>
      <w:szCs w:val="26"/>
      <w:lang w:val="en-AU"/>
    </w:rPr>
  </w:style>
  <w:style w:type="character" w:customStyle="1" w:styleId="Heading3Char">
    <w:name w:val="Heading 3 Char"/>
    <w:basedOn w:val="DefaultParagraphFont"/>
    <w:link w:val="Heading3"/>
    <w:uiPriority w:val="9"/>
    <w:rsid w:val="00ED564E"/>
    <w:rPr>
      <w:rFonts w:ascii="HelveticaNeue LT 67 MdCn" w:eastAsiaTheme="majorEastAsia" w:hAnsi="HelveticaNeue LT 67 MdCn" w:cstheme="majorBidi"/>
      <w:b/>
      <w:bCs/>
      <w:color w:val="7F7F7F" w:themeColor="text1" w:themeTint="80"/>
      <w:sz w:val="28"/>
      <w:szCs w:val="22"/>
      <w:lang w:val="en-AU"/>
    </w:rPr>
  </w:style>
  <w:style w:type="character" w:styleId="Emphasis">
    <w:name w:val="Emphasis"/>
    <w:basedOn w:val="DefaultParagraphFont"/>
    <w:uiPriority w:val="20"/>
    <w:qFormat/>
    <w:rsid w:val="00990749"/>
    <w:rPr>
      <w:i/>
      <w:iCs/>
    </w:rPr>
  </w:style>
  <w:style w:type="table" w:styleId="TableGrid">
    <w:name w:val="Table Grid"/>
    <w:basedOn w:val="TableNormal"/>
    <w:uiPriority w:val="59"/>
    <w:rsid w:val="00990749"/>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sclaimer">
    <w:name w:val="disclaimer"/>
    <w:basedOn w:val="DefaultParagraphFont"/>
    <w:rsid w:val="00990749"/>
  </w:style>
  <w:style w:type="paragraph" w:styleId="ListParagraph">
    <w:name w:val="List Paragraph"/>
    <w:basedOn w:val="Normal"/>
    <w:uiPriority w:val="34"/>
    <w:qFormat/>
    <w:rsid w:val="00990749"/>
    <w:pPr>
      <w:spacing w:after="200"/>
      <w:ind w:left="720"/>
      <w:contextualSpacing/>
    </w:pPr>
    <w:rPr>
      <w:rFonts w:eastAsiaTheme="minorHAnsi"/>
      <w:szCs w:val="22"/>
      <w:lang w:val="en-AU"/>
    </w:rPr>
  </w:style>
  <w:style w:type="character" w:styleId="Hyperlink">
    <w:name w:val="Hyperlink"/>
    <w:basedOn w:val="DefaultParagraphFont"/>
    <w:uiPriority w:val="99"/>
    <w:unhideWhenUsed/>
    <w:rsid w:val="005C6E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4E"/>
    <w:pPr>
      <w:spacing w:line="276" w:lineRule="auto"/>
    </w:pPr>
    <w:rPr>
      <w:rFonts w:ascii="Arial" w:hAnsi="Arial"/>
      <w:sz w:val="22"/>
    </w:rPr>
  </w:style>
  <w:style w:type="paragraph" w:styleId="Heading1">
    <w:name w:val="heading 1"/>
    <w:basedOn w:val="Normal"/>
    <w:next w:val="Normal"/>
    <w:link w:val="Heading1Char"/>
    <w:uiPriority w:val="9"/>
    <w:qFormat/>
    <w:rsid w:val="00ED564E"/>
    <w:pPr>
      <w:keepNext/>
      <w:keepLines/>
      <w:spacing w:before="240"/>
      <w:outlineLvl w:val="0"/>
    </w:pPr>
    <w:rPr>
      <w:rFonts w:ascii="HelveticaNeue LT 67 MdCn" w:eastAsiaTheme="majorEastAsia" w:hAnsi="HelveticaNeue LT 67 MdCn" w:cstheme="majorBidi"/>
      <w:color w:val="365F91" w:themeColor="accent1" w:themeShade="BF"/>
      <w:sz w:val="36"/>
      <w:szCs w:val="32"/>
      <w:lang w:val="en-AU"/>
    </w:rPr>
  </w:style>
  <w:style w:type="paragraph" w:styleId="Heading2">
    <w:name w:val="heading 2"/>
    <w:basedOn w:val="Normal"/>
    <w:next w:val="Normal"/>
    <w:link w:val="Heading2Char"/>
    <w:uiPriority w:val="9"/>
    <w:unhideWhenUsed/>
    <w:qFormat/>
    <w:rsid w:val="00ED564E"/>
    <w:pPr>
      <w:keepNext/>
      <w:keepLines/>
      <w:spacing w:before="200"/>
      <w:outlineLvl w:val="1"/>
    </w:pPr>
    <w:rPr>
      <w:rFonts w:ascii="HelveticaNeue LT 57 Cn" w:eastAsiaTheme="majorEastAsia" w:hAnsi="HelveticaNeue LT 57 Cn" w:cstheme="majorBidi"/>
      <w:b/>
      <w:bCs/>
      <w:color w:val="4F81BD" w:themeColor="accent1"/>
      <w:sz w:val="32"/>
      <w:szCs w:val="26"/>
      <w:lang w:val="en-AU"/>
    </w:rPr>
  </w:style>
  <w:style w:type="paragraph" w:styleId="Heading3">
    <w:name w:val="heading 3"/>
    <w:basedOn w:val="Normal"/>
    <w:next w:val="Normal"/>
    <w:link w:val="Heading3Char"/>
    <w:uiPriority w:val="9"/>
    <w:unhideWhenUsed/>
    <w:qFormat/>
    <w:rsid w:val="00ED564E"/>
    <w:pPr>
      <w:keepNext/>
      <w:keepLines/>
      <w:spacing w:before="200" w:after="60"/>
      <w:outlineLvl w:val="2"/>
    </w:pPr>
    <w:rPr>
      <w:rFonts w:ascii="HelveticaNeue LT 67 MdCn" w:eastAsiaTheme="majorEastAsia" w:hAnsi="HelveticaNeue LT 67 MdCn" w:cstheme="majorBidi"/>
      <w:b/>
      <w:bCs/>
      <w:color w:val="7F7F7F" w:themeColor="text1" w:themeTint="80"/>
      <w:sz w:val="28"/>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074"/>
    <w:pPr>
      <w:tabs>
        <w:tab w:val="center" w:pos="4320"/>
        <w:tab w:val="right" w:pos="8640"/>
      </w:tabs>
    </w:pPr>
  </w:style>
  <w:style w:type="character" w:customStyle="1" w:styleId="HeaderChar">
    <w:name w:val="Header Char"/>
    <w:basedOn w:val="DefaultParagraphFont"/>
    <w:link w:val="Header"/>
    <w:uiPriority w:val="99"/>
    <w:rsid w:val="00B11074"/>
  </w:style>
  <w:style w:type="paragraph" w:styleId="Footer">
    <w:name w:val="footer"/>
    <w:basedOn w:val="Normal"/>
    <w:link w:val="FooterChar"/>
    <w:uiPriority w:val="99"/>
    <w:unhideWhenUsed/>
    <w:rsid w:val="00B11074"/>
    <w:pPr>
      <w:tabs>
        <w:tab w:val="center" w:pos="4320"/>
        <w:tab w:val="right" w:pos="8640"/>
      </w:tabs>
    </w:pPr>
  </w:style>
  <w:style w:type="character" w:customStyle="1" w:styleId="FooterChar">
    <w:name w:val="Footer Char"/>
    <w:basedOn w:val="DefaultParagraphFont"/>
    <w:link w:val="Footer"/>
    <w:uiPriority w:val="99"/>
    <w:rsid w:val="00B11074"/>
  </w:style>
  <w:style w:type="paragraph" w:styleId="BalloonText">
    <w:name w:val="Balloon Text"/>
    <w:basedOn w:val="Normal"/>
    <w:link w:val="BalloonTextChar"/>
    <w:uiPriority w:val="99"/>
    <w:semiHidden/>
    <w:unhideWhenUsed/>
    <w:rsid w:val="00B11074"/>
    <w:rPr>
      <w:rFonts w:ascii="Lucida Grande" w:hAnsi="Lucida Grande"/>
      <w:sz w:val="18"/>
      <w:szCs w:val="18"/>
    </w:rPr>
  </w:style>
  <w:style w:type="character" w:customStyle="1" w:styleId="BalloonTextChar">
    <w:name w:val="Balloon Text Char"/>
    <w:basedOn w:val="DefaultParagraphFont"/>
    <w:link w:val="BalloonText"/>
    <w:uiPriority w:val="99"/>
    <w:semiHidden/>
    <w:rsid w:val="00B11074"/>
    <w:rPr>
      <w:rFonts w:ascii="Lucida Grande" w:hAnsi="Lucida Grande"/>
      <w:sz w:val="18"/>
      <w:szCs w:val="18"/>
    </w:rPr>
  </w:style>
  <w:style w:type="character" w:customStyle="1" w:styleId="Heading1Char">
    <w:name w:val="Heading 1 Char"/>
    <w:basedOn w:val="DefaultParagraphFont"/>
    <w:link w:val="Heading1"/>
    <w:uiPriority w:val="9"/>
    <w:rsid w:val="00ED564E"/>
    <w:rPr>
      <w:rFonts w:ascii="HelveticaNeue LT 67 MdCn" w:eastAsiaTheme="majorEastAsia" w:hAnsi="HelveticaNeue LT 67 MdCn" w:cstheme="majorBidi"/>
      <w:color w:val="365F91" w:themeColor="accent1" w:themeShade="BF"/>
      <w:sz w:val="36"/>
      <w:szCs w:val="32"/>
      <w:lang w:val="en-AU"/>
    </w:rPr>
  </w:style>
  <w:style w:type="character" w:customStyle="1" w:styleId="Heading2Char">
    <w:name w:val="Heading 2 Char"/>
    <w:basedOn w:val="DefaultParagraphFont"/>
    <w:link w:val="Heading2"/>
    <w:uiPriority w:val="9"/>
    <w:rsid w:val="00ED564E"/>
    <w:rPr>
      <w:rFonts w:ascii="HelveticaNeue LT 57 Cn" w:eastAsiaTheme="majorEastAsia" w:hAnsi="HelveticaNeue LT 57 Cn" w:cstheme="majorBidi"/>
      <w:b/>
      <w:bCs/>
      <w:color w:val="4F81BD" w:themeColor="accent1"/>
      <w:sz w:val="32"/>
      <w:szCs w:val="26"/>
      <w:lang w:val="en-AU"/>
    </w:rPr>
  </w:style>
  <w:style w:type="character" w:customStyle="1" w:styleId="Heading3Char">
    <w:name w:val="Heading 3 Char"/>
    <w:basedOn w:val="DefaultParagraphFont"/>
    <w:link w:val="Heading3"/>
    <w:uiPriority w:val="9"/>
    <w:rsid w:val="00ED564E"/>
    <w:rPr>
      <w:rFonts w:ascii="HelveticaNeue LT 67 MdCn" w:eastAsiaTheme="majorEastAsia" w:hAnsi="HelveticaNeue LT 67 MdCn" w:cstheme="majorBidi"/>
      <w:b/>
      <w:bCs/>
      <w:color w:val="7F7F7F" w:themeColor="text1" w:themeTint="80"/>
      <w:sz w:val="28"/>
      <w:szCs w:val="22"/>
      <w:lang w:val="en-AU"/>
    </w:rPr>
  </w:style>
  <w:style w:type="character" w:styleId="Emphasis">
    <w:name w:val="Emphasis"/>
    <w:basedOn w:val="DefaultParagraphFont"/>
    <w:uiPriority w:val="20"/>
    <w:qFormat/>
    <w:rsid w:val="00990749"/>
    <w:rPr>
      <w:i/>
      <w:iCs/>
    </w:rPr>
  </w:style>
  <w:style w:type="table" w:styleId="TableGrid">
    <w:name w:val="Table Grid"/>
    <w:basedOn w:val="TableNormal"/>
    <w:uiPriority w:val="59"/>
    <w:rsid w:val="00990749"/>
    <w:rPr>
      <w:rFonts w:eastAsiaTheme="minorHAnsi"/>
      <w:sz w:val="22"/>
      <w:szCs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sclaimer">
    <w:name w:val="disclaimer"/>
    <w:basedOn w:val="DefaultParagraphFont"/>
    <w:rsid w:val="00990749"/>
  </w:style>
  <w:style w:type="paragraph" w:styleId="ListParagraph">
    <w:name w:val="List Paragraph"/>
    <w:basedOn w:val="Normal"/>
    <w:uiPriority w:val="34"/>
    <w:qFormat/>
    <w:rsid w:val="00990749"/>
    <w:pPr>
      <w:spacing w:after="200"/>
      <w:ind w:left="720"/>
      <w:contextualSpacing/>
    </w:pPr>
    <w:rPr>
      <w:rFonts w:eastAsiaTheme="minorHAnsi"/>
      <w:szCs w:val="22"/>
      <w:lang w:val="en-AU"/>
    </w:rPr>
  </w:style>
  <w:style w:type="character" w:styleId="Hyperlink">
    <w:name w:val="Hyperlink"/>
    <w:basedOn w:val="DefaultParagraphFont"/>
    <w:uiPriority w:val="99"/>
    <w:unhideWhenUsed/>
    <w:rsid w:val="005C6E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3D5DBC-9C7E-43FC-B2A7-CEFFD27DC10D}">
  <ds:schemaRefs>
    <ds:schemaRef ds:uri="http://schemas.microsoft.com/sharepoint/v3/contenttype/forms"/>
  </ds:schemaRefs>
</ds:datastoreItem>
</file>

<file path=customXml/itemProps2.xml><?xml version="1.0" encoding="utf-8"?>
<ds:datastoreItem xmlns:ds="http://schemas.openxmlformats.org/officeDocument/2006/customXml" ds:itemID="{1E04D63A-387F-44C9-A211-3C61421FD312}">
  <ds:schemaRefs>
    <ds:schemaRef ds:uri="http://schemas.microsoft.com/sharepoint/events"/>
  </ds:schemaRefs>
</ds:datastoreItem>
</file>

<file path=customXml/itemProps3.xml><?xml version="1.0" encoding="utf-8"?>
<ds:datastoreItem xmlns:ds="http://schemas.openxmlformats.org/officeDocument/2006/customXml" ds:itemID="{E9B1DF7B-9939-4842-9D15-838B61F0577B}">
  <ds:schemaRefs>
    <ds:schemaRef ds:uri="http://schemas.microsoft.com/office/2006/metadata/customXsn"/>
  </ds:schemaRefs>
</ds:datastoreItem>
</file>

<file path=customXml/itemProps4.xml><?xml version="1.0" encoding="utf-8"?>
<ds:datastoreItem xmlns:ds="http://schemas.openxmlformats.org/officeDocument/2006/customXml" ds:itemID="{BB599058-56D5-42E1-9286-043731B371A7}">
  <ds:schemaRefs>
    <ds:schemaRef ds:uri="Microsoft.SharePoint.Taxonomy.ContentTypeSync"/>
  </ds:schemaRefs>
</ds:datastoreItem>
</file>

<file path=customXml/itemProps5.xml><?xml version="1.0" encoding="utf-8"?>
<ds:datastoreItem xmlns:ds="http://schemas.openxmlformats.org/officeDocument/2006/customXml" ds:itemID="{46F240BB-8B41-4FC6-87C9-38875069F61D}">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8044c801-d84b-4ee1-a77e-678f8dcdee17"/>
    <ds:schemaRef ds:uri="3f4bcce7-ac1a-4c9d-aa3e-7e77695652db"/>
    <ds:schemaRef ds:uri="http://purl.org/dc/dcmitype/"/>
    <ds:schemaRef ds:uri="http://purl.org/dc/terms/"/>
  </ds:schemaRefs>
</ds:datastoreItem>
</file>

<file path=customXml/itemProps6.xml><?xml version="1.0" encoding="utf-8"?>
<ds:datastoreItem xmlns:ds="http://schemas.openxmlformats.org/officeDocument/2006/customXml" ds:itemID="{347824BF-060E-4297-8491-20D725BD0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DR65 - AUSfund - Superannuation Competitiveness and Efficiency - Public inquiry</vt:lpstr>
    </vt:vector>
  </TitlesOfParts>
  <Company>AUSfund</Company>
  <LinksUpToDate>false</LinksUpToDate>
  <CharactersWithSpaces>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DR65 - AUSfund - Superannuation Competitiveness and Efficiency - Public inquiry</dc:title>
  <dc:creator>AUSfund</dc:creator>
  <cp:keywords/>
  <cp:lastModifiedBy>Productivity Commission</cp:lastModifiedBy>
  <cp:revision>10</cp:revision>
  <cp:lastPrinted>2016-09-07T02:26:00Z</cp:lastPrinted>
  <dcterms:created xsi:type="dcterms:W3CDTF">2016-09-07T05:27:00Z</dcterms:created>
  <dcterms:modified xsi:type="dcterms:W3CDTF">2016-09-08T05:25:00Z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