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2D409" w14:textId="77777777" w:rsidR="00563B01" w:rsidRPr="00982F7E" w:rsidRDefault="00563B01" w:rsidP="00563B01">
      <w:pPr>
        <w:keepNext/>
        <w:keepLines/>
        <w:suppressAutoHyphens/>
        <w:autoSpaceDE w:val="0"/>
        <w:autoSpaceDN w:val="0"/>
        <w:adjustRightInd w:val="0"/>
        <w:jc w:val="center"/>
        <w:textAlignment w:val="center"/>
        <w:outlineLvl w:val="0"/>
        <w:rPr>
          <w:rFonts w:cs="HelveticaNeue-Bold"/>
          <w:b/>
          <w:bCs/>
          <w:color w:val="000000"/>
          <w:sz w:val="72"/>
          <w:szCs w:val="72"/>
        </w:rPr>
      </w:pPr>
    </w:p>
    <w:p w14:paraId="650D5095" w14:textId="77777777" w:rsidR="00563B01" w:rsidRPr="00982F7E" w:rsidRDefault="00563B01" w:rsidP="00563B01">
      <w:pPr>
        <w:keepNext/>
        <w:keepLines/>
        <w:suppressAutoHyphens/>
        <w:autoSpaceDE w:val="0"/>
        <w:autoSpaceDN w:val="0"/>
        <w:adjustRightInd w:val="0"/>
        <w:jc w:val="right"/>
        <w:textAlignment w:val="center"/>
        <w:outlineLvl w:val="0"/>
        <w:rPr>
          <w:rFonts w:cs="HelveticaNeue-Bold"/>
          <w:b/>
          <w:bCs/>
          <w:color w:val="000000"/>
          <w:sz w:val="56"/>
          <w:szCs w:val="56"/>
        </w:rPr>
      </w:pPr>
    </w:p>
    <w:p w14:paraId="4AD952F3" w14:textId="77777777" w:rsidR="00563B01" w:rsidRPr="00982F7E" w:rsidRDefault="00563B01" w:rsidP="00563B01">
      <w:pPr>
        <w:keepNext/>
        <w:keepLines/>
        <w:suppressAutoHyphens/>
        <w:autoSpaceDE w:val="0"/>
        <w:autoSpaceDN w:val="0"/>
        <w:adjustRightInd w:val="0"/>
        <w:jc w:val="center"/>
        <w:textAlignment w:val="center"/>
        <w:outlineLvl w:val="0"/>
        <w:rPr>
          <w:rFonts w:cs="HelveticaNeue-Bold"/>
          <w:b/>
          <w:bCs/>
          <w:color w:val="000000"/>
          <w:sz w:val="56"/>
          <w:szCs w:val="56"/>
        </w:rPr>
      </w:pPr>
    </w:p>
    <w:p w14:paraId="0E50008F" w14:textId="77777777" w:rsidR="00563B01" w:rsidRPr="00982F7E" w:rsidRDefault="00563B01" w:rsidP="00563B01">
      <w:pPr>
        <w:keepNext/>
        <w:keepLines/>
        <w:suppressAutoHyphens/>
        <w:autoSpaceDE w:val="0"/>
        <w:autoSpaceDN w:val="0"/>
        <w:adjustRightInd w:val="0"/>
        <w:jc w:val="center"/>
        <w:textAlignment w:val="center"/>
        <w:outlineLvl w:val="0"/>
        <w:rPr>
          <w:rFonts w:cs="HelveticaNeue-Bold"/>
          <w:b/>
          <w:bCs/>
          <w:color w:val="000000"/>
          <w:sz w:val="56"/>
          <w:szCs w:val="56"/>
        </w:rPr>
      </w:pPr>
    </w:p>
    <w:p w14:paraId="53B4EA38" w14:textId="77777777" w:rsidR="00563B01" w:rsidRPr="00982F7E" w:rsidRDefault="008A6201" w:rsidP="00563B01">
      <w:pPr>
        <w:keepNext/>
        <w:keepLines/>
        <w:suppressAutoHyphens/>
        <w:autoSpaceDE w:val="0"/>
        <w:autoSpaceDN w:val="0"/>
        <w:adjustRightInd w:val="0"/>
        <w:jc w:val="center"/>
        <w:textAlignment w:val="center"/>
        <w:outlineLvl w:val="0"/>
        <w:rPr>
          <w:rFonts w:cs="HelveticaNeue-Bold"/>
          <w:b/>
          <w:bCs/>
          <w:sz w:val="56"/>
          <w:szCs w:val="56"/>
        </w:rPr>
      </w:pPr>
      <w:r>
        <w:rPr>
          <w:b/>
          <w:sz w:val="56"/>
          <w:szCs w:val="56"/>
        </w:rPr>
        <w:t xml:space="preserve">Productivity Commission Review </w:t>
      </w:r>
      <w:r w:rsidR="00702FEC">
        <w:rPr>
          <w:b/>
          <w:sz w:val="56"/>
          <w:szCs w:val="56"/>
        </w:rPr>
        <w:t xml:space="preserve">of the </w:t>
      </w:r>
      <w:r w:rsidR="00E06598" w:rsidRPr="00982F7E">
        <w:rPr>
          <w:b/>
          <w:sz w:val="56"/>
          <w:szCs w:val="56"/>
        </w:rPr>
        <w:t>Nati</w:t>
      </w:r>
      <w:r>
        <w:rPr>
          <w:b/>
          <w:sz w:val="56"/>
          <w:szCs w:val="56"/>
        </w:rPr>
        <w:t>onal Disability Agreement</w:t>
      </w:r>
      <w:r w:rsidR="00843734" w:rsidRPr="00982F7E">
        <w:rPr>
          <w:b/>
          <w:sz w:val="56"/>
          <w:szCs w:val="56"/>
        </w:rPr>
        <w:t xml:space="preserve"> </w:t>
      </w:r>
      <w:r w:rsidR="00E06598" w:rsidRPr="00982F7E">
        <w:rPr>
          <w:b/>
          <w:sz w:val="56"/>
          <w:szCs w:val="56"/>
        </w:rPr>
        <w:t xml:space="preserve"> </w:t>
      </w:r>
      <w:r w:rsidR="00FE5E1C" w:rsidRPr="00982F7E">
        <w:rPr>
          <w:b/>
          <w:sz w:val="56"/>
          <w:szCs w:val="56"/>
        </w:rPr>
        <w:t xml:space="preserve"> </w:t>
      </w:r>
    </w:p>
    <w:p w14:paraId="5E8A3D7C" w14:textId="77777777" w:rsidR="00563B01" w:rsidRPr="00982F7E" w:rsidRDefault="00563B01" w:rsidP="00563B01">
      <w:pPr>
        <w:keepNext/>
        <w:keepLines/>
        <w:suppressAutoHyphens/>
        <w:autoSpaceDE w:val="0"/>
        <w:autoSpaceDN w:val="0"/>
        <w:adjustRightInd w:val="0"/>
        <w:textAlignment w:val="center"/>
        <w:outlineLvl w:val="0"/>
        <w:rPr>
          <w:rFonts w:cs="HelveticaNeue-Bold"/>
          <w:b/>
          <w:bCs/>
          <w:sz w:val="32"/>
          <w:szCs w:val="32"/>
        </w:rPr>
      </w:pPr>
    </w:p>
    <w:p w14:paraId="7865A166" w14:textId="77777777" w:rsidR="00563B01" w:rsidRPr="00982F7E" w:rsidRDefault="00563B01" w:rsidP="00563B01">
      <w:pPr>
        <w:keepNext/>
        <w:keepLines/>
        <w:suppressAutoHyphens/>
        <w:autoSpaceDE w:val="0"/>
        <w:autoSpaceDN w:val="0"/>
        <w:adjustRightInd w:val="0"/>
        <w:textAlignment w:val="center"/>
        <w:outlineLvl w:val="0"/>
        <w:rPr>
          <w:rFonts w:cs="HelveticaNeue-Bold"/>
          <w:b/>
          <w:bCs/>
          <w:sz w:val="32"/>
          <w:szCs w:val="32"/>
        </w:rPr>
      </w:pPr>
    </w:p>
    <w:p w14:paraId="6DEDC0B6" w14:textId="77777777" w:rsidR="00563B01" w:rsidRPr="00982F7E" w:rsidRDefault="00563B01" w:rsidP="00563B01">
      <w:pPr>
        <w:keepNext/>
        <w:keepLines/>
        <w:suppressAutoHyphens/>
        <w:autoSpaceDE w:val="0"/>
        <w:autoSpaceDN w:val="0"/>
        <w:adjustRightInd w:val="0"/>
        <w:textAlignment w:val="center"/>
        <w:outlineLvl w:val="0"/>
        <w:rPr>
          <w:rFonts w:cs="HelveticaNeue-Bold"/>
          <w:b/>
          <w:bCs/>
          <w:sz w:val="32"/>
          <w:szCs w:val="32"/>
        </w:rPr>
      </w:pPr>
    </w:p>
    <w:p w14:paraId="5506ED4B" w14:textId="77777777" w:rsidR="00563B01" w:rsidRPr="00982F7E" w:rsidRDefault="00563B01" w:rsidP="00563B01">
      <w:pPr>
        <w:keepNext/>
        <w:keepLines/>
        <w:suppressAutoHyphens/>
        <w:autoSpaceDE w:val="0"/>
        <w:autoSpaceDN w:val="0"/>
        <w:adjustRightInd w:val="0"/>
        <w:textAlignment w:val="center"/>
        <w:outlineLvl w:val="0"/>
        <w:rPr>
          <w:rFonts w:cs="HelveticaNeue-Bold"/>
          <w:b/>
          <w:bCs/>
          <w:sz w:val="32"/>
          <w:szCs w:val="32"/>
        </w:rPr>
      </w:pPr>
    </w:p>
    <w:p w14:paraId="05CA34BC" w14:textId="77777777" w:rsidR="00563B01" w:rsidRPr="00982F7E" w:rsidRDefault="00563B01" w:rsidP="00563B01">
      <w:pPr>
        <w:keepNext/>
        <w:keepLines/>
        <w:suppressAutoHyphens/>
        <w:autoSpaceDE w:val="0"/>
        <w:autoSpaceDN w:val="0"/>
        <w:adjustRightInd w:val="0"/>
        <w:textAlignment w:val="center"/>
        <w:outlineLvl w:val="0"/>
        <w:rPr>
          <w:rFonts w:cs="HelveticaNeue-Bold"/>
          <w:b/>
          <w:bCs/>
          <w:sz w:val="32"/>
          <w:szCs w:val="32"/>
        </w:rPr>
      </w:pPr>
    </w:p>
    <w:p w14:paraId="3955C5A6" w14:textId="77777777" w:rsidR="00563B01" w:rsidRPr="00982F7E" w:rsidRDefault="00563B01" w:rsidP="00563B01">
      <w:pPr>
        <w:keepNext/>
        <w:keepLines/>
        <w:suppressAutoHyphens/>
        <w:autoSpaceDE w:val="0"/>
        <w:autoSpaceDN w:val="0"/>
        <w:adjustRightInd w:val="0"/>
        <w:textAlignment w:val="center"/>
        <w:outlineLvl w:val="0"/>
        <w:rPr>
          <w:rFonts w:cs="HelveticaNeue-Bold"/>
          <w:b/>
          <w:bCs/>
          <w:sz w:val="32"/>
          <w:szCs w:val="32"/>
        </w:rPr>
      </w:pPr>
    </w:p>
    <w:p w14:paraId="2A8C315F" w14:textId="77777777" w:rsidR="00563B01" w:rsidRPr="00982F7E" w:rsidRDefault="00563B01" w:rsidP="00563B01">
      <w:pPr>
        <w:keepNext/>
        <w:keepLines/>
        <w:suppressAutoHyphens/>
        <w:autoSpaceDE w:val="0"/>
        <w:autoSpaceDN w:val="0"/>
        <w:adjustRightInd w:val="0"/>
        <w:jc w:val="center"/>
        <w:textAlignment w:val="center"/>
        <w:outlineLvl w:val="0"/>
        <w:rPr>
          <w:rFonts w:cs="HelveticaNeue-Bold"/>
          <w:b/>
          <w:bCs/>
          <w:sz w:val="36"/>
          <w:szCs w:val="36"/>
        </w:rPr>
      </w:pPr>
    </w:p>
    <w:p w14:paraId="5F4EC89A" w14:textId="77777777" w:rsidR="00563B01" w:rsidRPr="00982F7E" w:rsidRDefault="00563B01" w:rsidP="00563B01">
      <w:pPr>
        <w:keepNext/>
        <w:keepLines/>
        <w:suppressAutoHyphens/>
        <w:autoSpaceDE w:val="0"/>
        <w:autoSpaceDN w:val="0"/>
        <w:adjustRightInd w:val="0"/>
        <w:jc w:val="center"/>
        <w:textAlignment w:val="center"/>
        <w:outlineLvl w:val="0"/>
        <w:rPr>
          <w:rFonts w:cs="HelveticaNeue-Bold"/>
          <w:b/>
          <w:bCs/>
          <w:sz w:val="36"/>
          <w:szCs w:val="36"/>
        </w:rPr>
      </w:pPr>
    </w:p>
    <w:p w14:paraId="6C729389" w14:textId="77777777" w:rsidR="00F01C5B" w:rsidRPr="00982F7E" w:rsidRDefault="00F01C5B" w:rsidP="00F01C5B">
      <w:pPr>
        <w:jc w:val="center"/>
        <w:rPr>
          <w:rFonts w:cs="HelveticaNeue-Bold"/>
          <w:b/>
          <w:bCs/>
          <w:sz w:val="36"/>
          <w:szCs w:val="36"/>
        </w:rPr>
      </w:pPr>
      <w:r w:rsidRPr="00982F7E">
        <w:rPr>
          <w:rFonts w:cs="HelveticaNeue-Bold"/>
          <w:b/>
          <w:bCs/>
          <w:sz w:val="36"/>
          <w:szCs w:val="36"/>
        </w:rPr>
        <w:t xml:space="preserve">Joint submission by </w:t>
      </w:r>
    </w:p>
    <w:p w14:paraId="0292D593" w14:textId="77777777" w:rsidR="00F01C5B" w:rsidRPr="00982F7E" w:rsidRDefault="00F01C5B" w:rsidP="00F01C5B">
      <w:pPr>
        <w:jc w:val="center"/>
        <w:rPr>
          <w:rFonts w:cs="HelveticaNeue-Bold"/>
          <w:b/>
          <w:bCs/>
          <w:sz w:val="36"/>
          <w:szCs w:val="36"/>
        </w:rPr>
      </w:pPr>
      <w:r w:rsidRPr="00982F7E">
        <w:rPr>
          <w:rFonts w:cs="HelveticaNeue-Bold"/>
          <w:b/>
          <w:bCs/>
          <w:sz w:val="36"/>
          <w:szCs w:val="36"/>
        </w:rPr>
        <w:t>Children and Young People with Disability Australia &amp;</w:t>
      </w:r>
    </w:p>
    <w:p w14:paraId="561823F8" w14:textId="77777777" w:rsidR="00F01C5B" w:rsidRPr="00982F7E" w:rsidRDefault="00F01C5B" w:rsidP="00F01C5B">
      <w:pPr>
        <w:jc w:val="center"/>
        <w:rPr>
          <w:rFonts w:cs="HelveticaNeue-Bold"/>
          <w:b/>
          <w:bCs/>
          <w:sz w:val="36"/>
          <w:szCs w:val="36"/>
        </w:rPr>
      </w:pPr>
      <w:r w:rsidRPr="00982F7E">
        <w:rPr>
          <w:rFonts w:cs="HelveticaNeue-Bold"/>
          <w:b/>
          <w:bCs/>
          <w:sz w:val="36"/>
          <w:szCs w:val="36"/>
        </w:rPr>
        <w:t>Young People in Nursing Home National Alliance</w:t>
      </w:r>
    </w:p>
    <w:p w14:paraId="7728CA71" w14:textId="77777777" w:rsidR="00563B01" w:rsidRPr="00982F7E" w:rsidRDefault="00563B01" w:rsidP="00563B01">
      <w:pPr>
        <w:jc w:val="center"/>
        <w:rPr>
          <w:sz w:val="36"/>
          <w:szCs w:val="36"/>
        </w:rPr>
      </w:pPr>
      <w:r w:rsidRPr="00982F7E">
        <w:rPr>
          <w:rFonts w:cs="HelveticaNeue-Bold"/>
          <w:b/>
          <w:bCs/>
          <w:sz w:val="36"/>
          <w:szCs w:val="36"/>
        </w:rPr>
        <w:t xml:space="preserve">Submission – </w:t>
      </w:r>
      <w:r w:rsidR="00E06598" w:rsidRPr="00982F7E">
        <w:rPr>
          <w:rFonts w:cs="HelveticaNeue-Bold"/>
          <w:b/>
          <w:bCs/>
          <w:sz w:val="36"/>
          <w:szCs w:val="36"/>
        </w:rPr>
        <w:t>August</w:t>
      </w:r>
      <w:r w:rsidRPr="00982F7E">
        <w:rPr>
          <w:rFonts w:cs="HelveticaNeue-Bold"/>
          <w:b/>
          <w:bCs/>
          <w:sz w:val="36"/>
          <w:szCs w:val="36"/>
        </w:rPr>
        <w:t xml:space="preserve"> 2018</w:t>
      </w:r>
    </w:p>
    <w:p w14:paraId="72EB50BA" w14:textId="77777777" w:rsidR="00563B01" w:rsidRPr="00982F7E" w:rsidRDefault="00563B01" w:rsidP="00563B01">
      <w:pPr>
        <w:rPr>
          <w:b/>
        </w:rPr>
      </w:pPr>
      <w:r w:rsidRPr="00982F7E">
        <w:rPr>
          <w:b/>
        </w:rPr>
        <w:br w:type="page"/>
      </w:r>
    </w:p>
    <w:p w14:paraId="4884DD31" w14:textId="77777777" w:rsidR="00F2236B" w:rsidRPr="00982F7E" w:rsidRDefault="000A125E">
      <w:pPr>
        <w:rPr>
          <w:b/>
          <w:sz w:val="28"/>
          <w:szCs w:val="28"/>
        </w:rPr>
      </w:pPr>
      <w:r w:rsidRPr="00982F7E">
        <w:rPr>
          <w:b/>
          <w:sz w:val="28"/>
          <w:szCs w:val="28"/>
        </w:rPr>
        <w:lastRenderedPageBreak/>
        <w:t>INTRODUCTION</w:t>
      </w:r>
    </w:p>
    <w:p w14:paraId="2C2670C0" w14:textId="77777777" w:rsidR="006756A7" w:rsidRDefault="006756A7" w:rsidP="006756A7">
      <w:r>
        <w:t xml:space="preserve">The </w:t>
      </w:r>
      <w:r w:rsidRPr="00021B17">
        <w:rPr>
          <w:i/>
        </w:rPr>
        <w:t>National Disability Agreement</w:t>
      </w:r>
      <w:r>
        <w:rPr>
          <w:rStyle w:val="FootnoteReference"/>
        </w:rPr>
        <w:footnoteReference w:id="1"/>
      </w:r>
      <w:r>
        <w:t xml:space="preserve"> (NDA) currently contains the agreed outcomes, aims, reform priorities and delineated responsibilities of Australian governments in relation to specialist disability service provision. However, the introduction of the National Disability Insurance Scheme in 2009 has seen transformational change in the disability service system.  </w:t>
      </w:r>
    </w:p>
    <w:p w14:paraId="59C04852" w14:textId="74A6B09F" w:rsidR="006756A7" w:rsidRDefault="006756A7" w:rsidP="006756A7">
      <w:r>
        <w:t xml:space="preserve">The NDIS has fundamentally </w:t>
      </w:r>
      <w:r w:rsidR="001A4FC7">
        <w:t>altered how</w:t>
      </w:r>
      <w:r>
        <w:t xml:space="preserve"> disability services are provided in Australia. Commonwealth, State and Territory roles have changed to incorporate individualised funding and a market approach to the provision of specialist disability services. The role of the States and Territories in workforce development, quality assurance, direct service delivery and policy making is markedly different in the NDIS environment.</w:t>
      </w:r>
    </w:p>
    <w:p w14:paraId="40A35212" w14:textId="77777777" w:rsidR="006756A7" w:rsidRDefault="006756A7" w:rsidP="006756A7">
      <w:r>
        <w:t xml:space="preserve">Another fundamental consideration in this review is the </w:t>
      </w:r>
      <w:r w:rsidRPr="00EC7B10">
        <w:rPr>
          <w:i/>
        </w:rPr>
        <w:t>National Disability Strategy 2010-2020</w:t>
      </w:r>
      <w:r>
        <w:rPr>
          <w:rStyle w:val="FootnoteReference"/>
          <w:i/>
        </w:rPr>
        <w:footnoteReference w:id="2"/>
      </w:r>
      <w:r>
        <w:t xml:space="preserve"> </w:t>
      </w:r>
      <w:bookmarkStart w:id="0" w:name="_GoBack"/>
      <w:bookmarkEnd w:id="0"/>
      <w:r>
        <w:t>(NDS). The strategy is a high level policy framework to ‘guide government activity across mainstream and disability-specific areas of public policy’</w:t>
      </w:r>
      <w:r>
        <w:rPr>
          <w:rStyle w:val="FootnoteReference"/>
        </w:rPr>
        <w:footnoteReference w:id="3"/>
      </w:r>
      <w:r>
        <w:t xml:space="preserve"> and articulates how Australia meets its obligations under the United Nations </w:t>
      </w:r>
      <w:r w:rsidRPr="008B766C">
        <w:rPr>
          <w:i/>
        </w:rPr>
        <w:t>Convention on the Rights of Persons with Disabilities</w:t>
      </w:r>
      <w:r>
        <w:t xml:space="preserve"> (CRPD)</w:t>
      </w:r>
      <w:r>
        <w:rPr>
          <w:rStyle w:val="FootnoteReference"/>
        </w:rPr>
        <w:footnoteReference w:id="4"/>
      </w:r>
      <w:r>
        <w:t xml:space="preserve">. </w:t>
      </w:r>
    </w:p>
    <w:p w14:paraId="5490660A" w14:textId="16D6DFA1" w:rsidR="006756A7" w:rsidRDefault="006756A7" w:rsidP="006756A7">
      <w:r>
        <w:t xml:space="preserve">At present, the NDA does not reflect these significant reform and changes in public policy. Nor does it address the National Disability Strategy’s intention of guiding government activity across mainstream and disability-specific areas of public policy.  With the NDIS’ sustainability dependent on the active engagement of non disability or mainstream programs, a more congruent </w:t>
      </w:r>
      <w:r w:rsidR="001A4FC7">
        <w:t>relationship</w:t>
      </w:r>
      <w:r>
        <w:t xml:space="preserve"> between the NDA and NDS is needed. Relationships, roles and accountabilities are presently ill defined and require rationalisation.</w:t>
      </w:r>
    </w:p>
    <w:p w14:paraId="42A75DE2" w14:textId="00182EAF" w:rsidR="006756A7" w:rsidRDefault="006756A7" w:rsidP="006756A7">
      <w:r>
        <w:t xml:space="preserve">Children and Young People with Disability Australia (CYDA) and Young People in Nursing Homes National Alliance </w:t>
      </w:r>
      <w:r w:rsidRPr="00DC5BFD">
        <w:t>(YPINH</w:t>
      </w:r>
      <w:r w:rsidR="00EF169A">
        <w:t>NA</w:t>
      </w:r>
      <w:r w:rsidRPr="00DC5BFD">
        <w:t>)</w:t>
      </w:r>
      <w:r>
        <w:t xml:space="preserve"> welcome this review of the NDA as an opportunity for the NDA to redefine its relationship with both the NDIS and the NDS; examine how disability service provision will be articulated for those Australians ineligible for the NDIS; interrogate the NDIS market’s interactions with the broader community sector; and reveal how outcomes are measured across the different reform initiatives.</w:t>
      </w:r>
    </w:p>
    <w:p w14:paraId="29C96F2F" w14:textId="77777777" w:rsidR="00563B01" w:rsidRPr="00EC16F6" w:rsidRDefault="00563B01" w:rsidP="003021E7">
      <w:pPr>
        <w:rPr>
          <w:b/>
          <w:sz w:val="28"/>
          <w:szCs w:val="28"/>
        </w:rPr>
      </w:pPr>
      <w:r w:rsidRPr="00EC16F6">
        <w:rPr>
          <w:rFonts w:cs="Arial"/>
          <w:b/>
          <w:sz w:val="28"/>
          <w:szCs w:val="28"/>
        </w:rPr>
        <w:t>CHILDREN AND YOUNG PEOPLE WITH DISABILITY AUSTRALIA</w:t>
      </w:r>
      <w:r w:rsidR="003021E7" w:rsidRPr="00EC16F6">
        <w:rPr>
          <w:rFonts w:cs="Arial"/>
          <w:b/>
          <w:sz w:val="28"/>
          <w:szCs w:val="28"/>
        </w:rPr>
        <w:t xml:space="preserve"> </w:t>
      </w:r>
    </w:p>
    <w:p w14:paraId="2FBB2DE0" w14:textId="77777777" w:rsidR="00563B01" w:rsidRPr="00EC16F6" w:rsidRDefault="00563B01" w:rsidP="00563B01">
      <w:r w:rsidRPr="00EC16F6">
        <w:t xml:space="preserve">CYDA is the national representative organisation for children and young people with disability, aged 0 to 25 years. The organisation is primarily funded through the Department of Social Services and is a not for profit organisation. CYDA has a national membership of 5300 </w:t>
      </w:r>
      <w:r w:rsidRPr="00EC16F6">
        <w:rPr>
          <w:rFonts w:eastAsia="Times New Roman" w:cs="Times New Roman"/>
        </w:rPr>
        <w:t>and a growing social media presence with 22 500 followers across the three major platforms of Facebook, Twitter and LinkedIn</w:t>
      </w:r>
      <w:r w:rsidRPr="00EC16F6">
        <w:t xml:space="preserve">.  </w:t>
      </w:r>
    </w:p>
    <w:p w14:paraId="3ADBAF03" w14:textId="77777777" w:rsidR="00563B01" w:rsidRPr="00EC16F6" w:rsidRDefault="00563B01" w:rsidP="00563B01">
      <w:r w:rsidRPr="00EC16F6">
        <w:t>CYDA provides a link between the direct experiences of children and young people with disability to federal government and other key stakeholders. This link is essential for the creation of a true appreciation of the experiences and challenges faced by children and young people with disability.</w:t>
      </w:r>
    </w:p>
    <w:p w14:paraId="18D5C841" w14:textId="77777777" w:rsidR="00563B01" w:rsidRPr="00EC16F6" w:rsidRDefault="00563B01" w:rsidP="00563B01">
      <w:r w:rsidRPr="00EC16F6">
        <w:lastRenderedPageBreak/>
        <w:t>CYDA’s vision is that children and young people with disability living in Australia are afforded every opportunity to thrive, achieve their potential and that their rights and interests as individuals, members of a family and their community are met.</w:t>
      </w:r>
    </w:p>
    <w:p w14:paraId="5C702800" w14:textId="77777777" w:rsidR="00563B01" w:rsidRPr="00EC16F6" w:rsidRDefault="00563B01" w:rsidP="00563B01">
      <w:r w:rsidRPr="00EC16F6">
        <w:t>CYDA’s purpose is to advocate systemically at the national level for the rights and interests of all children and young people with disability living in Australia and it undertakes the following to achieve its purpose:</w:t>
      </w:r>
    </w:p>
    <w:p w14:paraId="55BB5F4A" w14:textId="77777777" w:rsidR="00563B01" w:rsidRPr="00EC16F6" w:rsidRDefault="00563B01" w:rsidP="00563B01">
      <w:pPr>
        <w:numPr>
          <w:ilvl w:val="0"/>
          <w:numId w:val="1"/>
        </w:numPr>
        <w:spacing w:after="0" w:line="240" w:lineRule="auto"/>
        <w:contextualSpacing/>
      </w:pPr>
      <w:r w:rsidRPr="00EC16F6">
        <w:rPr>
          <w:b/>
        </w:rPr>
        <w:t>Listen and respond</w:t>
      </w:r>
      <w:r w:rsidRPr="00EC16F6">
        <w:t xml:space="preserve"> to the voices and experiences of children and young people with disability;</w:t>
      </w:r>
    </w:p>
    <w:p w14:paraId="10438B2D" w14:textId="77777777" w:rsidR="00563B01" w:rsidRPr="00EC16F6" w:rsidRDefault="00563B01" w:rsidP="00563B01">
      <w:pPr>
        <w:numPr>
          <w:ilvl w:val="0"/>
          <w:numId w:val="1"/>
        </w:numPr>
        <w:spacing w:after="0" w:line="240" w:lineRule="auto"/>
        <w:ind w:left="714" w:hanging="357"/>
        <w:contextualSpacing/>
      </w:pPr>
      <w:r w:rsidRPr="00EC16F6">
        <w:rPr>
          <w:b/>
        </w:rPr>
        <w:t>Advocate</w:t>
      </w:r>
      <w:r w:rsidRPr="00EC16F6">
        <w:t xml:space="preserve"> for children and young people with disability for equal opportunities, participation and inclusion in the Australian community;</w:t>
      </w:r>
    </w:p>
    <w:p w14:paraId="0A3F0967" w14:textId="77777777" w:rsidR="00563B01" w:rsidRPr="00EC16F6" w:rsidRDefault="00563B01" w:rsidP="00563B01">
      <w:pPr>
        <w:numPr>
          <w:ilvl w:val="0"/>
          <w:numId w:val="1"/>
        </w:numPr>
        <w:spacing w:after="0" w:line="240" w:lineRule="auto"/>
        <w:ind w:left="714" w:hanging="357"/>
        <w:contextualSpacing/>
      </w:pPr>
      <w:r w:rsidRPr="00EC16F6">
        <w:rPr>
          <w:b/>
        </w:rPr>
        <w:t>Educate</w:t>
      </w:r>
      <w:r w:rsidRPr="00EC16F6">
        <w:t xml:space="preserve"> national public policy makers and the broader community about the experiences of children and young people with disability;</w:t>
      </w:r>
    </w:p>
    <w:p w14:paraId="2F5875E8" w14:textId="77777777" w:rsidR="00563B01" w:rsidRPr="00EC16F6" w:rsidRDefault="00563B01" w:rsidP="00563B01">
      <w:pPr>
        <w:numPr>
          <w:ilvl w:val="0"/>
          <w:numId w:val="1"/>
        </w:numPr>
        <w:spacing w:after="0" w:line="240" w:lineRule="auto"/>
        <w:ind w:left="714" w:hanging="357"/>
        <w:contextualSpacing/>
      </w:pPr>
      <w:r w:rsidRPr="00EC16F6">
        <w:rPr>
          <w:b/>
        </w:rPr>
        <w:t>Inform</w:t>
      </w:r>
      <w:r w:rsidRPr="00EC16F6">
        <w:t xml:space="preserve"> children and young people with disability, their families and care givers about their citizenship rights and entitlements; and</w:t>
      </w:r>
    </w:p>
    <w:p w14:paraId="6FB015AD" w14:textId="77777777" w:rsidR="00ED0F9F" w:rsidRPr="00EC16F6" w:rsidRDefault="00563B01" w:rsidP="00E415D0">
      <w:pPr>
        <w:numPr>
          <w:ilvl w:val="0"/>
          <w:numId w:val="1"/>
        </w:numPr>
        <w:spacing w:after="0" w:line="240" w:lineRule="auto"/>
        <w:ind w:left="714" w:hanging="357"/>
        <w:contextualSpacing/>
      </w:pPr>
      <w:r w:rsidRPr="00EC16F6">
        <w:rPr>
          <w:b/>
        </w:rPr>
        <w:t>Celebrate</w:t>
      </w:r>
      <w:r w:rsidRPr="00EC16F6">
        <w:t xml:space="preserve"> the successes and achievements of children and young people with disability.</w:t>
      </w:r>
      <w:r w:rsidR="00710936" w:rsidRPr="00EC16F6">
        <w:br/>
      </w:r>
    </w:p>
    <w:p w14:paraId="513C8A3A" w14:textId="77777777" w:rsidR="00DC5BFD" w:rsidRPr="003A78EF" w:rsidRDefault="00475C5E" w:rsidP="008A6201">
      <w:pPr>
        <w:pStyle w:val="Heading1"/>
        <w:spacing w:after="240"/>
      </w:pPr>
      <w:r w:rsidRPr="003A78EF">
        <w:rPr>
          <w:sz w:val="28"/>
          <w:szCs w:val="28"/>
        </w:rPr>
        <w:t xml:space="preserve">THE </w:t>
      </w:r>
      <w:r w:rsidR="003D15D2" w:rsidRPr="003A78EF">
        <w:rPr>
          <w:sz w:val="28"/>
          <w:szCs w:val="28"/>
        </w:rPr>
        <w:t xml:space="preserve">YOUNG PEOPLE IN NURSING HOMES NATIONAL ALLIANCE </w:t>
      </w:r>
    </w:p>
    <w:p w14:paraId="1A8FC0FE" w14:textId="3AC39E68" w:rsidR="00DC5BFD" w:rsidRPr="00EC16F6" w:rsidRDefault="00DC5BFD" w:rsidP="00DC5BFD">
      <w:pPr>
        <w:spacing w:after="200" w:line="240" w:lineRule="auto"/>
        <w:jc w:val="both"/>
      </w:pPr>
      <w:r w:rsidRPr="00EC16F6">
        <w:t>The Alliance is a national peak organisation that promotes the rights of young disabled Australians with complex health</w:t>
      </w:r>
      <w:r w:rsidR="00810F88" w:rsidRPr="00EC16F6">
        <w:t xml:space="preserve"> </w:t>
      </w:r>
      <w:r w:rsidRPr="00EC16F6">
        <w:t>needs living in residential aged care facilities or at risk of placement there (YPINH</w:t>
      </w:r>
      <w:r w:rsidR="00EF169A">
        <w:t>NA</w:t>
      </w:r>
      <w:r w:rsidRPr="00EC16F6">
        <w:t xml:space="preserve">); and supports these people </w:t>
      </w:r>
      <w:r w:rsidR="00895AC1" w:rsidRPr="00EC16F6">
        <w:t>to navigate service systems.</w:t>
      </w:r>
    </w:p>
    <w:p w14:paraId="17EB95A9" w14:textId="77777777" w:rsidR="00DC5BFD" w:rsidRPr="00EC16F6" w:rsidRDefault="00DC5BFD" w:rsidP="00DC5BFD">
      <w:pPr>
        <w:spacing w:after="200" w:line="240" w:lineRule="auto"/>
        <w:jc w:val="both"/>
      </w:pPr>
      <w:r w:rsidRPr="00EC16F6">
        <w:t xml:space="preserve">As Australia’s first national peak representing younger people with disability and high and complex health and other support needs, the Alliance draws its membership from all stakeholder groups including YPINH, family members and friends, service providers, disability, health and aged care representatives, members of various national and state peak bodies, government representatives and advocacy groups. </w:t>
      </w:r>
    </w:p>
    <w:p w14:paraId="43D92F83" w14:textId="7DA0C369" w:rsidR="00DC5BFD" w:rsidRPr="00EC16F6" w:rsidRDefault="00DC5BFD" w:rsidP="00DC5BFD">
      <w:pPr>
        <w:spacing w:after="120" w:line="240" w:lineRule="auto"/>
        <w:jc w:val="both"/>
      </w:pPr>
      <w:r w:rsidRPr="00EC16F6">
        <w:t>We encourage a partnership approach to resolution of the YPINH issue by State and Commonwealth governments; develop policy initiatives at state and federal levels that promote the dignity, well</w:t>
      </w:r>
      <w:r w:rsidR="006C521D" w:rsidRPr="00EC16F6">
        <w:t>-</w:t>
      </w:r>
      <w:r w:rsidRPr="00EC16F6">
        <w:t>being and independence of YPINH</w:t>
      </w:r>
      <w:r w:rsidR="00EF169A">
        <w:t>NA</w:t>
      </w:r>
      <w:r w:rsidRPr="00EC16F6">
        <w:t xml:space="preserve"> and their active participation in their communities; and ensure that young people living in nursing homes and their families have</w:t>
      </w:r>
    </w:p>
    <w:p w14:paraId="7E009A7D" w14:textId="77777777" w:rsidR="00DC5BFD" w:rsidRPr="00EC16F6" w:rsidRDefault="00DC5BFD" w:rsidP="00DC5BFD">
      <w:pPr>
        <w:numPr>
          <w:ilvl w:val="0"/>
          <w:numId w:val="10"/>
        </w:numPr>
        <w:spacing w:after="120" w:line="240" w:lineRule="auto"/>
        <w:ind w:left="426" w:hanging="284"/>
        <w:jc w:val="both"/>
      </w:pPr>
      <w:r w:rsidRPr="00EC16F6">
        <w:t xml:space="preserve">A voice about where they want to live and how they want to be supported, the capacity to participate in efforts to achieve this, and </w:t>
      </w:r>
    </w:p>
    <w:p w14:paraId="7833AECF" w14:textId="77777777" w:rsidR="00DC5BFD" w:rsidRPr="00EC16F6" w:rsidRDefault="00DC5BFD" w:rsidP="00DC5BFD">
      <w:pPr>
        <w:numPr>
          <w:ilvl w:val="0"/>
          <w:numId w:val="10"/>
        </w:numPr>
        <w:spacing w:after="200" w:line="240" w:lineRule="auto"/>
        <w:ind w:left="426" w:hanging="284"/>
        <w:jc w:val="both"/>
      </w:pPr>
      <w:r w:rsidRPr="00EC16F6">
        <w:t xml:space="preserve">'A place of the table', so they can be actively involved in the service responses needed to have "lives worth living" in the community. </w:t>
      </w:r>
    </w:p>
    <w:p w14:paraId="71C62FB6" w14:textId="77777777" w:rsidR="00DC5BFD" w:rsidRPr="00EC16F6" w:rsidRDefault="00DC5BFD" w:rsidP="00DC5BFD">
      <w:pPr>
        <w:spacing w:after="120" w:line="240" w:lineRule="auto"/>
        <w:jc w:val="both"/>
      </w:pPr>
      <w:r w:rsidRPr="00EC16F6">
        <w:t xml:space="preserve">As the pre-eminent national voice on this issue, the </w:t>
      </w:r>
      <w:r w:rsidRPr="00EC16F6">
        <w:rPr>
          <w:iCs/>
        </w:rPr>
        <w:t>National</w:t>
      </w:r>
      <w:r w:rsidRPr="00EC16F6">
        <w:rPr>
          <w:i/>
          <w:iCs/>
        </w:rPr>
        <w:t xml:space="preserve"> </w:t>
      </w:r>
      <w:r w:rsidRPr="00EC16F6">
        <w:rPr>
          <w:iCs/>
        </w:rPr>
        <w:t>Alliance’s</w:t>
      </w:r>
      <w:r w:rsidRPr="00EC16F6">
        <w:rPr>
          <w:i/>
          <w:iCs/>
        </w:rPr>
        <w:t xml:space="preserve"> </w:t>
      </w:r>
      <w:r w:rsidRPr="00EC16F6">
        <w:t>primary objectives are to</w:t>
      </w:r>
    </w:p>
    <w:p w14:paraId="5B214457" w14:textId="1B759380" w:rsidR="00DC5BFD" w:rsidRPr="00EC16F6" w:rsidRDefault="00DC5BFD" w:rsidP="00DC5BFD">
      <w:pPr>
        <w:numPr>
          <w:ilvl w:val="0"/>
          <w:numId w:val="10"/>
        </w:numPr>
        <w:spacing w:after="80" w:line="240" w:lineRule="auto"/>
        <w:ind w:left="426" w:hanging="284"/>
        <w:jc w:val="both"/>
      </w:pPr>
      <w:r w:rsidRPr="00EC16F6">
        <w:t>Raise awareness of the plight of YPINH</w:t>
      </w:r>
      <w:r w:rsidR="00EF169A">
        <w:t>NA</w:t>
      </w:r>
    </w:p>
    <w:p w14:paraId="264794C0" w14:textId="08A84ED3" w:rsidR="00DC5BFD" w:rsidRPr="00EC16F6" w:rsidRDefault="00DC5BFD" w:rsidP="00DC5BFD">
      <w:pPr>
        <w:numPr>
          <w:ilvl w:val="0"/>
          <w:numId w:val="10"/>
        </w:numPr>
        <w:spacing w:after="80" w:line="240" w:lineRule="auto"/>
        <w:ind w:left="426" w:hanging="284"/>
        <w:jc w:val="both"/>
      </w:pPr>
      <w:r w:rsidRPr="00EC16F6">
        <w:t>Address the systemic reforms required to resolve the YPINH</w:t>
      </w:r>
      <w:r w:rsidR="00EF169A">
        <w:t>NA</w:t>
      </w:r>
      <w:r w:rsidRPr="00EC16F6">
        <w:t xml:space="preserve"> issue and address the urgent need for community based accommodation and support options for young people with high and complex needs</w:t>
      </w:r>
    </w:p>
    <w:p w14:paraId="232246BE" w14:textId="77777777" w:rsidR="00DC5BFD" w:rsidRPr="00EC16F6" w:rsidRDefault="00DC5BFD" w:rsidP="00DC5BFD">
      <w:pPr>
        <w:numPr>
          <w:ilvl w:val="0"/>
          <w:numId w:val="10"/>
        </w:numPr>
        <w:spacing w:after="80" w:line="240" w:lineRule="auto"/>
        <w:ind w:left="426" w:hanging="284"/>
        <w:jc w:val="both"/>
      </w:pPr>
      <w:r w:rsidRPr="00EC16F6">
        <w:t>Work with government and non-government agencies to develop sustainable funding and organisational alternatives that deliver ‘lives worth living’ to young people with high and complex clinical and other support needs</w:t>
      </w:r>
    </w:p>
    <w:p w14:paraId="7500BB51" w14:textId="3BE4A668" w:rsidR="00DC5BFD" w:rsidRPr="00EC16F6" w:rsidRDefault="00DC5BFD" w:rsidP="00DC5BFD">
      <w:pPr>
        <w:numPr>
          <w:ilvl w:val="0"/>
          <w:numId w:val="10"/>
        </w:numPr>
        <w:spacing w:after="200" w:line="240" w:lineRule="auto"/>
        <w:ind w:left="426" w:hanging="284"/>
        <w:jc w:val="both"/>
      </w:pPr>
      <w:r w:rsidRPr="00EC16F6">
        <w:t>Provide on-going support to YPINH</w:t>
      </w:r>
      <w:r w:rsidR="00EF169A">
        <w:t>NA</w:t>
      </w:r>
      <w:r w:rsidRPr="00EC16F6">
        <w:t>, their friends and family members.</w:t>
      </w:r>
    </w:p>
    <w:p w14:paraId="381EF987" w14:textId="4DD0AEA2" w:rsidR="00DC5BFD" w:rsidRPr="00EC16F6" w:rsidRDefault="00DC5BFD" w:rsidP="00DC5BFD">
      <w:pPr>
        <w:widowControl w:val="0"/>
        <w:autoSpaceDE w:val="0"/>
        <w:autoSpaceDN w:val="0"/>
        <w:adjustRightInd w:val="0"/>
        <w:spacing w:after="200" w:line="240" w:lineRule="auto"/>
        <w:jc w:val="both"/>
      </w:pPr>
      <w:r w:rsidRPr="00EC16F6">
        <w:t>Since its inception in 2002, the Alliance has argued for a lifetime care approach to development of supports and services for disabled Australians; and for collaborative arrangements between programs and portfolio areas including health, disability, aged care and housing to provide the integrated service pathways YPINH</w:t>
      </w:r>
      <w:r w:rsidR="00EF169A">
        <w:t>NA</w:t>
      </w:r>
      <w:r w:rsidRPr="00EC16F6">
        <w:t xml:space="preserve"> and others with disability require.</w:t>
      </w:r>
    </w:p>
    <w:p w14:paraId="1757877D" w14:textId="77777777" w:rsidR="00B823BA" w:rsidRPr="00EC16F6" w:rsidRDefault="00B823BA" w:rsidP="00E415D0">
      <w:pPr>
        <w:rPr>
          <w:b/>
          <w:sz w:val="28"/>
          <w:szCs w:val="28"/>
        </w:rPr>
      </w:pPr>
      <w:r w:rsidRPr="00EC16F6">
        <w:rPr>
          <w:b/>
          <w:sz w:val="28"/>
          <w:szCs w:val="28"/>
        </w:rPr>
        <w:t xml:space="preserve">LEGISLATION &amp; </w:t>
      </w:r>
      <w:r w:rsidR="00E415D0" w:rsidRPr="00EC16F6">
        <w:rPr>
          <w:b/>
          <w:sz w:val="28"/>
          <w:szCs w:val="28"/>
        </w:rPr>
        <w:t>POLICY CONTEXT</w:t>
      </w:r>
      <w:r w:rsidR="00501E7D" w:rsidRPr="00EC16F6">
        <w:rPr>
          <w:b/>
          <w:sz w:val="28"/>
          <w:szCs w:val="28"/>
        </w:rPr>
        <w:t xml:space="preserve"> </w:t>
      </w:r>
    </w:p>
    <w:p w14:paraId="13F578EA" w14:textId="77777777" w:rsidR="00B823BA" w:rsidRPr="00EC16F6" w:rsidRDefault="00B823BA" w:rsidP="00E415D0">
      <w:pPr>
        <w:rPr>
          <w:b/>
        </w:rPr>
      </w:pPr>
      <w:r w:rsidRPr="00EC16F6">
        <w:rPr>
          <w:b/>
        </w:rPr>
        <w:t xml:space="preserve">Policy Architecture </w:t>
      </w:r>
    </w:p>
    <w:p w14:paraId="4B2C6CD1" w14:textId="59C8684C" w:rsidR="00DF75A5" w:rsidRDefault="00543003" w:rsidP="00E415D0">
      <w:r w:rsidRPr="00EC16F6">
        <w:t>CYDA and YPIN</w:t>
      </w:r>
      <w:r w:rsidR="00356AE1" w:rsidRPr="00EC16F6">
        <w:t>H</w:t>
      </w:r>
      <w:r w:rsidR="00EF169A">
        <w:t>NA</w:t>
      </w:r>
      <w:r w:rsidRPr="00EC16F6">
        <w:t xml:space="preserve"> </w:t>
      </w:r>
      <w:r w:rsidR="00AB5D72">
        <w:t>see</w:t>
      </w:r>
      <w:r w:rsidR="00DF75A5">
        <w:t>s</w:t>
      </w:r>
      <w:r w:rsidR="00475C5E" w:rsidRPr="00EC16F6">
        <w:t xml:space="preserve"> </w:t>
      </w:r>
      <w:r w:rsidRPr="00EC16F6">
        <w:t xml:space="preserve">the </w:t>
      </w:r>
      <w:r w:rsidR="00E66851" w:rsidRPr="00EC16F6">
        <w:t xml:space="preserve">characterisation of the NDIS in Figure 1 </w:t>
      </w:r>
      <w:r w:rsidR="00895AC1" w:rsidRPr="00EC16F6">
        <w:t xml:space="preserve">as </w:t>
      </w:r>
      <w:r w:rsidR="00475C5E">
        <w:t>an entity</w:t>
      </w:r>
      <w:r w:rsidR="00E66851" w:rsidRPr="00EC16F6">
        <w:t xml:space="preserve"> equal to and separate from the NDA and NDS</w:t>
      </w:r>
      <w:r w:rsidR="00A56711" w:rsidRPr="00EC16F6">
        <w:t>,</w:t>
      </w:r>
      <w:r w:rsidR="00E66851" w:rsidRPr="00EC16F6">
        <w:t xml:space="preserve"> </w:t>
      </w:r>
      <w:r w:rsidR="00AB5D72">
        <w:t xml:space="preserve">as </w:t>
      </w:r>
      <w:r w:rsidR="00DF75A5">
        <w:t>inaccurate.</w:t>
      </w:r>
    </w:p>
    <w:p w14:paraId="02577688" w14:textId="77777777" w:rsidR="00E66851" w:rsidRPr="00EC16F6" w:rsidRDefault="00DF75A5" w:rsidP="00E415D0">
      <w:r>
        <w:t xml:space="preserve">The NDIS is an operational entity not a policy mechanism. </w:t>
      </w:r>
      <w:r w:rsidR="008930C7">
        <w:t>While i</w:t>
      </w:r>
      <w:r>
        <w:t xml:space="preserve">ts implementation has </w:t>
      </w:r>
      <w:r w:rsidR="008930C7">
        <w:t>focussed attention away from the NDA and NDS, the</w:t>
      </w:r>
      <w:r w:rsidR="00E26769">
        <w:t xml:space="preserve"> latter’s</w:t>
      </w:r>
      <w:r w:rsidR="008930C7">
        <w:t xml:space="preserve"> </w:t>
      </w:r>
      <w:r w:rsidR="00AA256F">
        <w:t>capacity</w:t>
      </w:r>
      <w:r w:rsidR="00E26769">
        <w:t xml:space="preserve"> to </w:t>
      </w:r>
      <w:r w:rsidR="00AA256F">
        <w:t>set policy objectives to improve the lives of Australians with disability, cannot be underestimated.</w:t>
      </w:r>
      <w:r w:rsidR="00E26769">
        <w:t xml:space="preserve"> </w:t>
      </w:r>
    </w:p>
    <w:p w14:paraId="706AE265" w14:textId="77777777" w:rsidR="00543003" w:rsidRPr="00EC16F6" w:rsidRDefault="00326E3A" w:rsidP="00E415D0">
      <w:r>
        <w:t>As an instrument of government, t</w:t>
      </w:r>
      <w:r w:rsidR="008D4E0A" w:rsidRPr="00EC16F6">
        <w:t xml:space="preserve">he NDIS </w:t>
      </w:r>
      <w:r w:rsidR="000875C1" w:rsidRPr="00EC16F6">
        <w:t>addresses</w:t>
      </w:r>
      <w:r w:rsidR="00BF3A15" w:rsidRPr="00EC16F6">
        <w:t xml:space="preserve"> only one</w:t>
      </w:r>
      <w:r w:rsidR="008D4E0A" w:rsidRPr="00EC16F6">
        <w:t xml:space="preserve"> aspect of disability policy</w:t>
      </w:r>
      <w:r>
        <w:t xml:space="preserve">: that of </w:t>
      </w:r>
      <w:r w:rsidR="008D4E0A" w:rsidRPr="00EC16F6">
        <w:t>service provision</w:t>
      </w:r>
      <w:r w:rsidR="004072B4">
        <w:t xml:space="preserve">. </w:t>
      </w:r>
      <w:r w:rsidR="008D4E0A" w:rsidRPr="00EC16F6">
        <w:t>While the transformat</w:t>
      </w:r>
      <w:r w:rsidR="00660DEC" w:rsidRPr="00EC16F6">
        <w:t>ive</w:t>
      </w:r>
      <w:r w:rsidR="008D4E0A" w:rsidRPr="00EC16F6">
        <w:t xml:space="preserve"> nature of the </w:t>
      </w:r>
      <w:r w:rsidR="00A56711" w:rsidRPr="00EC16F6">
        <w:t>NDIS is acknowledged</w:t>
      </w:r>
      <w:r w:rsidR="00660DEC" w:rsidRPr="00EC16F6">
        <w:t>, it cannot deliver on the objectives and outcomes of the NDA</w:t>
      </w:r>
      <w:r w:rsidR="004072B4">
        <w:t xml:space="preserve"> by itself</w:t>
      </w:r>
      <w:r w:rsidR="00660DEC" w:rsidRPr="00EC16F6">
        <w:t xml:space="preserve">. </w:t>
      </w:r>
      <w:r w:rsidR="00E00E27">
        <w:t>L</w:t>
      </w:r>
      <w:r w:rsidR="004072B4" w:rsidRPr="00EC16F6">
        <w:t>est it overshadow the more important policy imperatives</w:t>
      </w:r>
      <w:r w:rsidR="004072B4" w:rsidRPr="00EC16F6" w:rsidDel="004072B4">
        <w:t xml:space="preserve"> </w:t>
      </w:r>
      <w:r w:rsidR="004072B4">
        <w:t>represented by the NDA and the NDS, t</w:t>
      </w:r>
      <w:r w:rsidR="00C3305C" w:rsidRPr="00EC16F6">
        <w:t xml:space="preserve">his review </w:t>
      </w:r>
      <w:r w:rsidR="004072B4">
        <w:t>must remain</w:t>
      </w:r>
      <w:r w:rsidR="00C3305C" w:rsidRPr="00EC16F6">
        <w:t xml:space="preserve"> cognisant of the limited place of the NDIS in the wider disability and human services </w:t>
      </w:r>
      <w:r w:rsidR="008D4E0A" w:rsidRPr="00EC16F6">
        <w:t>policy</w:t>
      </w:r>
      <w:r w:rsidR="00184C4A" w:rsidRPr="00EC16F6">
        <w:t xml:space="preserve"> arena. </w:t>
      </w:r>
    </w:p>
    <w:p w14:paraId="4F7C363A" w14:textId="77777777" w:rsidR="00ED0F9F" w:rsidRPr="00EC16F6" w:rsidRDefault="00B823BA" w:rsidP="00E415D0">
      <w:pPr>
        <w:rPr>
          <w:b/>
        </w:rPr>
      </w:pPr>
      <w:r w:rsidRPr="00EC16F6">
        <w:rPr>
          <w:b/>
        </w:rPr>
        <w:t xml:space="preserve">Assessment Framework </w:t>
      </w:r>
    </w:p>
    <w:p w14:paraId="6B393173" w14:textId="77777777" w:rsidR="00732769" w:rsidRPr="00EC16F6" w:rsidRDefault="00E00E27" w:rsidP="00E415D0">
      <w:r>
        <w:t>As it is stated,</w:t>
      </w:r>
      <w:r w:rsidR="001E2DA6" w:rsidRPr="00EC16F6">
        <w:t xml:space="preserve"> the framework </w:t>
      </w:r>
      <w:r w:rsidRPr="00EC16F6">
        <w:t xml:space="preserve">proposed </w:t>
      </w:r>
      <w:r w:rsidR="001E2DA6" w:rsidRPr="00EC16F6">
        <w:t xml:space="preserve">for assessing the NDA </w:t>
      </w:r>
      <w:r>
        <w:t>lacks</w:t>
      </w:r>
      <w:r w:rsidR="00A56711" w:rsidRPr="00EC16F6">
        <w:t xml:space="preserve"> a clear </w:t>
      </w:r>
      <w:r w:rsidR="001E2DA6" w:rsidRPr="00EC16F6">
        <w:t>international human rights</w:t>
      </w:r>
      <w:r>
        <w:t xml:space="preserve"> </w:t>
      </w:r>
      <w:r w:rsidRPr="00EC16F6">
        <w:t>focus</w:t>
      </w:r>
      <w:r w:rsidR="00624DFA" w:rsidRPr="00EC16F6">
        <w:t>.</w:t>
      </w:r>
    </w:p>
    <w:p w14:paraId="0C2AF594" w14:textId="2BCF286C" w:rsidR="002B0C40" w:rsidRPr="00982F7E" w:rsidRDefault="001E2DA6" w:rsidP="003F1FF4">
      <w:r w:rsidRPr="00EC16F6">
        <w:t xml:space="preserve">As a Party to the </w:t>
      </w:r>
      <w:r w:rsidRPr="00982F7E">
        <w:t xml:space="preserve">CRPD, </w:t>
      </w:r>
      <w:r w:rsidR="00732769" w:rsidRPr="00EC16F6">
        <w:t xml:space="preserve">Australia has an obligation to ensure the human rights of people with disability are upheld. </w:t>
      </w:r>
      <w:r w:rsidR="003F1FF4" w:rsidRPr="00EC16F6">
        <w:t xml:space="preserve">Australia’s commitment to </w:t>
      </w:r>
      <w:r w:rsidR="00C25900">
        <w:t>its</w:t>
      </w:r>
      <w:r w:rsidR="003F1FF4" w:rsidRPr="00EC16F6">
        <w:t xml:space="preserve"> obligations under the CRPD is </w:t>
      </w:r>
      <w:r w:rsidR="002B0C40" w:rsidRPr="00EC16F6">
        <w:t xml:space="preserve">embedded </w:t>
      </w:r>
      <w:r w:rsidR="003F1FF4" w:rsidRPr="00EC16F6">
        <w:t>in the NDA</w:t>
      </w:r>
      <w:r w:rsidR="003F1FF4" w:rsidRPr="00EC16F6">
        <w:rPr>
          <w:rStyle w:val="FootnoteReference"/>
        </w:rPr>
        <w:footnoteReference w:id="5"/>
      </w:r>
      <w:r w:rsidR="003F1FF4" w:rsidRPr="00EC16F6">
        <w:t>, the NDS</w:t>
      </w:r>
      <w:r w:rsidR="003F1FF4" w:rsidRPr="00EC16F6">
        <w:rPr>
          <w:rStyle w:val="FootnoteReference"/>
        </w:rPr>
        <w:footnoteReference w:id="6"/>
      </w:r>
      <w:r w:rsidR="003F1FF4" w:rsidRPr="00EC16F6">
        <w:t xml:space="preserve"> and the </w:t>
      </w:r>
      <w:r w:rsidR="003F1FF4" w:rsidRPr="00982F7E">
        <w:rPr>
          <w:i/>
        </w:rPr>
        <w:t>National Disability Insurance Schem</w:t>
      </w:r>
      <w:r w:rsidR="003F1FF4" w:rsidRPr="00EC16F6">
        <w:rPr>
          <w:i/>
        </w:rPr>
        <w:t>e Act 2013</w:t>
      </w:r>
      <w:r w:rsidR="003F1FF4" w:rsidRPr="00EC16F6">
        <w:rPr>
          <w:rStyle w:val="FootnoteReference"/>
          <w:i/>
        </w:rPr>
        <w:footnoteReference w:id="7"/>
      </w:r>
      <w:r w:rsidR="003F1FF4" w:rsidRPr="00EC16F6">
        <w:rPr>
          <w:i/>
        </w:rPr>
        <w:t>.</w:t>
      </w:r>
    </w:p>
    <w:p w14:paraId="671BD859" w14:textId="77777777" w:rsidR="003F1FF4" w:rsidRPr="00EC16F6" w:rsidRDefault="003F1FF4" w:rsidP="003F1FF4">
      <w:r w:rsidRPr="00EC16F6">
        <w:t xml:space="preserve">The CRPD is therefore fundamental to framing and assessing </w:t>
      </w:r>
      <w:r w:rsidR="002B0C40" w:rsidRPr="00EC16F6">
        <w:t xml:space="preserve">the actions and responsibilities of Australian Governments under the NDA. </w:t>
      </w:r>
    </w:p>
    <w:p w14:paraId="3247C744" w14:textId="78561794" w:rsidR="008D4E0A" w:rsidRPr="00EC16F6" w:rsidRDefault="00C25900" w:rsidP="003F1FF4">
      <w:r>
        <w:t>Both</w:t>
      </w:r>
      <w:r w:rsidR="008D4E0A" w:rsidRPr="00EC16F6">
        <w:t xml:space="preserve"> CYDA and YPINH</w:t>
      </w:r>
      <w:r w:rsidR="00EF169A">
        <w:t>NA</w:t>
      </w:r>
      <w:r w:rsidR="008D4E0A" w:rsidRPr="00EC16F6">
        <w:t xml:space="preserve"> </w:t>
      </w:r>
      <w:r>
        <w:t>believe</w:t>
      </w:r>
      <w:r w:rsidR="008D4E0A" w:rsidRPr="00EC16F6">
        <w:t xml:space="preserve"> the Productivity Commission should adopt a rights framework in relation to the NDA review. This includes assessing the agreement through</w:t>
      </w:r>
      <w:r w:rsidR="00184C4A" w:rsidRPr="00EC16F6">
        <w:t xml:space="preserve"> a</w:t>
      </w:r>
      <w:r w:rsidR="008D4E0A" w:rsidRPr="00EC16F6">
        <w:t xml:space="preserve"> </w:t>
      </w:r>
      <w:r w:rsidR="00184C4A" w:rsidRPr="00EC16F6">
        <w:t>human rights</w:t>
      </w:r>
      <w:r w:rsidR="008D4E0A" w:rsidRPr="00EC16F6">
        <w:t xml:space="preserve"> lens</w:t>
      </w:r>
      <w:r w:rsidR="003C5B92" w:rsidRPr="00EC16F6">
        <w:t xml:space="preserve"> and </w:t>
      </w:r>
      <w:r w:rsidR="00184C4A" w:rsidRPr="00EC16F6">
        <w:t>provid</w:t>
      </w:r>
      <w:r w:rsidR="00456753">
        <w:t>ing</w:t>
      </w:r>
      <w:r w:rsidR="00184C4A" w:rsidRPr="00EC16F6">
        <w:t xml:space="preserve"> an</w:t>
      </w:r>
      <w:r w:rsidR="003C5B92" w:rsidRPr="00EC16F6">
        <w:t xml:space="preserve"> explicit</w:t>
      </w:r>
      <w:r w:rsidR="00184C4A" w:rsidRPr="00EC16F6">
        <w:t xml:space="preserve"> </w:t>
      </w:r>
      <w:r w:rsidR="003C5B92" w:rsidRPr="00EC16F6">
        <w:t xml:space="preserve">commitment that a </w:t>
      </w:r>
      <w:r w:rsidR="00184C4A" w:rsidRPr="00EC16F6">
        <w:t>future</w:t>
      </w:r>
      <w:r w:rsidR="003C5B92" w:rsidRPr="00EC16F6">
        <w:t xml:space="preserve"> NDA will align and give effect to Australia’s obligations under the CRPD.</w:t>
      </w:r>
      <w:r w:rsidR="008D4E0A" w:rsidRPr="00EC16F6">
        <w:t xml:space="preserve"> </w:t>
      </w:r>
    </w:p>
    <w:p w14:paraId="06B45BFD" w14:textId="77777777" w:rsidR="00C7164D" w:rsidRPr="00EC16F6" w:rsidRDefault="00624DFA" w:rsidP="00E415D0">
      <w:pPr>
        <w:rPr>
          <w:b/>
          <w:i/>
          <w:sz w:val="20"/>
          <w:szCs w:val="20"/>
        </w:rPr>
      </w:pPr>
      <w:r w:rsidRPr="00EC16F6">
        <w:rPr>
          <w:b/>
          <w:i/>
          <w:sz w:val="20"/>
          <w:szCs w:val="20"/>
        </w:rPr>
        <w:t xml:space="preserve">Recommendation 1: </w:t>
      </w:r>
      <w:r w:rsidR="008B2874" w:rsidRPr="00EC16F6">
        <w:rPr>
          <w:b/>
          <w:i/>
          <w:sz w:val="20"/>
          <w:szCs w:val="20"/>
        </w:rPr>
        <w:t>The Productivity Commission adopt a ri</w:t>
      </w:r>
      <w:r w:rsidR="00AC1ABE" w:rsidRPr="00EC16F6">
        <w:rPr>
          <w:b/>
          <w:i/>
          <w:sz w:val="20"/>
          <w:szCs w:val="20"/>
        </w:rPr>
        <w:t>ghts</w:t>
      </w:r>
      <w:r w:rsidR="008B2874" w:rsidRPr="00EC16F6">
        <w:rPr>
          <w:b/>
          <w:i/>
          <w:sz w:val="20"/>
          <w:szCs w:val="20"/>
        </w:rPr>
        <w:t xml:space="preserve"> based framework to assess the NDA.</w:t>
      </w:r>
    </w:p>
    <w:p w14:paraId="5039BC0C" w14:textId="77777777" w:rsidR="004F4F9F" w:rsidRPr="00EC16F6" w:rsidRDefault="00C7164D" w:rsidP="00E415D0">
      <w:pPr>
        <w:rPr>
          <w:b/>
          <w:i/>
          <w:sz w:val="20"/>
          <w:szCs w:val="20"/>
        </w:rPr>
      </w:pPr>
      <w:r w:rsidRPr="00EC16F6">
        <w:rPr>
          <w:b/>
          <w:i/>
          <w:sz w:val="20"/>
          <w:szCs w:val="20"/>
        </w:rPr>
        <w:t xml:space="preserve">Recommendation 2: </w:t>
      </w:r>
      <w:r w:rsidR="008B2874" w:rsidRPr="00EC16F6">
        <w:rPr>
          <w:b/>
          <w:i/>
          <w:sz w:val="20"/>
          <w:szCs w:val="20"/>
        </w:rPr>
        <w:t xml:space="preserve">A </w:t>
      </w:r>
      <w:r w:rsidR="00AC1ABE" w:rsidRPr="00EC16F6">
        <w:rPr>
          <w:b/>
          <w:i/>
          <w:sz w:val="20"/>
          <w:szCs w:val="20"/>
        </w:rPr>
        <w:t>future</w:t>
      </w:r>
      <w:r w:rsidR="008B2874" w:rsidRPr="00EC16F6">
        <w:rPr>
          <w:b/>
          <w:i/>
          <w:sz w:val="20"/>
          <w:szCs w:val="20"/>
        </w:rPr>
        <w:t xml:space="preserve"> NDA clearly articulates that the Agreement gives key consideration to and aligns with Australia’s obligations under the CRPD and other relevant human rights obligations.   </w:t>
      </w:r>
    </w:p>
    <w:p w14:paraId="51EFE89B" w14:textId="77777777" w:rsidR="00356AE1" w:rsidRPr="00EC16F6" w:rsidRDefault="00C47C01" w:rsidP="00E415D0">
      <w:pPr>
        <w:rPr>
          <w:b/>
        </w:rPr>
      </w:pPr>
      <w:r w:rsidRPr="008A6201">
        <w:rPr>
          <w:b/>
        </w:rPr>
        <w:t xml:space="preserve">Establishment of Second National Disability </w:t>
      </w:r>
      <w:r w:rsidR="002B0C40" w:rsidRPr="008A6201">
        <w:rPr>
          <w:b/>
        </w:rPr>
        <w:t>Strategy</w:t>
      </w:r>
    </w:p>
    <w:p w14:paraId="7BBB70C0" w14:textId="77777777" w:rsidR="00F632EA" w:rsidRPr="00EC16F6" w:rsidRDefault="008B2874" w:rsidP="005D5439">
      <w:r w:rsidRPr="00EC16F6">
        <w:t xml:space="preserve">A Second Disability Strategy is currently being </w:t>
      </w:r>
      <w:r w:rsidR="00456753">
        <w:t>reviewed</w:t>
      </w:r>
      <w:r w:rsidRPr="00EC16F6">
        <w:t xml:space="preserve"> to provide a framework beyond 2020</w:t>
      </w:r>
      <w:r w:rsidR="003C5B92" w:rsidRPr="00EC16F6">
        <w:rPr>
          <w:rStyle w:val="FootnoteReference"/>
        </w:rPr>
        <w:footnoteReference w:id="8"/>
      </w:r>
      <w:r w:rsidR="003C5B92" w:rsidRPr="00EC16F6">
        <w:t xml:space="preserve">. </w:t>
      </w:r>
      <w:r w:rsidR="005D5439">
        <w:t xml:space="preserve">The NDA review process offers an important opportunity to </w:t>
      </w:r>
      <w:r w:rsidR="00F632EA" w:rsidRPr="00EC16F6">
        <w:t xml:space="preserve">inform </w:t>
      </w:r>
      <w:r w:rsidR="005D5439">
        <w:t>a re</w:t>
      </w:r>
      <w:r w:rsidRPr="00EC16F6">
        <w:t>new</w:t>
      </w:r>
      <w:r w:rsidR="005D5439">
        <w:t>ed</w:t>
      </w:r>
      <w:r w:rsidRPr="00EC16F6">
        <w:t xml:space="preserve"> NDS.</w:t>
      </w:r>
    </w:p>
    <w:p w14:paraId="60E16BE9" w14:textId="77777777" w:rsidR="00FA2B84" w:rsidRPr="00EC16F6" w:rsidRDefault="00501E7D" w:rsidP="00E415D0">
      <w:pPr>
        <w:rPr>
          <w:b/>
          <w:sz w:val="28"/>
          <w:szCs w:val="28"/>
        </w:rPr>
      </w:pPr>
      <w:r w:rsidRPr="00982F7E">
        <w:rPr>
          <w:b/>
          <w:sz w:val="28"/>
          <w:szCs w:val="28"/>
        </w:rPr>
        <w:t xml:space="preserve">PURPOSE </w:t>
      </w:r>
      <w:r w:rsidR="00FA2B84" w:rsidRPr="00EC16F6">
        <w:rPr>
          <w:b/>
          <w:sz w:val="28"/>
          <w:szCs w:val="28"/>
        </w:rPr>
        <w:t xml:space="preserve">AND SCOPE </w:t>
      </w:r>
      <w:r w:rsidR="001707BE" w:rsidRPr="00EC16F6">
        <w:rPr>
          <w:b/>
          <w:sz w:val="28"/>
          <w:szCs w:val="28"/>
        </w:rPr>
        <w:t>OF NDA</w:t>
      </w:r>
    </w:p>
    <w:p w14:paraId="42F5B4B8" w14:textId="108D784F" w:rsidR="009B696C" w:rsidRPr="00EC16F6" w:rsidRDefault="00FC44A9" w:rsidP="00E415D0">
      <w:r>
        <w:t xml:space="preserve">The arrival of the </w:t>
      </w:r>
      <w:r w:rsidR="001A4FC7">
        <w:t xml:space="preserve">NDIS </w:t>
      </w:r>
      <w:r w:rsidR="001A4FC7" w:rsidRPr="00EC16F6">
        <w:t>and</w:t>
      </w:r>
      <w:r w:rsidR="002D1C85" w:rsidRPr="00EC16F6">
        <w:t xml:space="preserve"> the changed roles of governments since the original NDA was agreed</w:t>
      </w:r>
      <w:r>
        <w:t xml:space="preserve"> demonstrates</w:t>
      </w:r>
      <w:r w:rsidR="007D7AE2">
        <w:t xml:space="preserve"> the need for a </w:t>
      </w:r>
      <w:r>
        <w:t>differently invigorated NDA</w:t>
      </w:r>
      <w:r w:rsidR="002D1C85" w:rsidRPr="00EC16F6">
        <w:t xml:space="preserve">.  </w:t>
      </w:r>
      <w:r w:rsidR="00B0106F">
        <w:t xml:space="preserve">Indeed, </w:t>
      </w:r>
      <w:r w:rsidR="001F14AB" w:rsidRPr="00EC16F6">
        <w:t xml:space="preserve">the implementation of the NDIS has raised a number of issues including </w:t>
      </w:r>
      <w:r w:rsidR="00505038" w:rsidRPr="00EC16F6">
        <w:t xml:space="preserve">how </w:t>
      </w:r>
      <w:r w:rsidR="001F14AB" w:rsidRPr="00EC16F6">
        <w:t>people with disability who are not participants of the scheme</w:t>
      </w:r>
      <w:r w:rsidR="00B0106F">
        <w:t xml:space="preserve"> will</w:t>
      </w:r>
      <w:r w:rsidR="00505038" w:rsidRPr="00EC16F6">
        <w:t xml:space="preserve"> receive individual services as well as </w:t>
      </w:r>
      <w:r w:rsidR="00B0106F">
        <w:t xml:space="preserve">be able to </w:t>
      </w:r>
      <w:r w:rsidR="00505038" w:rsidRPr="00EC16F6">
        <w:t>access community support</w:t>
      </w:r>
      <w:r w:rsidR="001F14AB" w:rsidRPr="00EC16F6">
        <w:t xml:space="preserve">. </w:t>
      </w:r>
    </w:p>
    <w:p w14:paraId="6722BFF9" w14:textId="77777777" w:rsidR="009B696C" w:rsidRPr="00EC16F6" w:rsidRDefault="00B0106F" w:rsidP="009B696C">
      <w:r>
        <w:t>As example, w</w:t>
      </w:r>
      <w:r w:rsidR="009B696C" w:rsidRPr="00EC16F6">
        <w:t>hen the NDIS is fully implemented in 2019-2020, around 475 000 people with disability will receive individualised support under the scheme</w:t>
      </w:r>
      <w:r w:rsidR="009B696C" w:rsidRPr="00EC16F6">
        <w:rPr>
          <w:rStyle w:val="FootnoteReference"/>
        </w:rPr>
        <w:footnoteReference w:id="9"/>
      </w:r>
      <w:r w:rsidR="009B696C" w:rsidRPr="00EC16F6">
        <w:t>. This represents only 11</w:t>
      </w:r>
      <w:r>
        <w:t xml:space="preserve">% </w:t>
      </w:r>
      <w:r w:rsidR="009B696C" w:rsidRPr="00EC16F6">
        <w:t>of the 4.3 million people with disability in Australia</w:t>
      </w:r>
      <w:r w:rsidR="009B696C" w:rsidRPr="00EC16F6">
        <w:rPr>
          <w:rStyle w:val="FootnoteReference"/>
        </w:rPr>
        <w:footnoteReference w:id="10"/>
      </w:r>
      <w:r w:rsidR="009B696C" w:rsidRPr="00EC16F6">
        <w:t xml:space="preserve">. Many people with disability who are not NDIS participants will continue to require specialist disability services. </w:t>
      </w:r>
    </w:p>
    <w:p w14:paraId="3B2B9816" w14:textId="77777777" w:rsidR="009B696C" w:rsidRPr="00EC16F6" w:rsidRDefault="009B696C" w:rsidP="00E415D0">
      <w:r w:rsidRPr="00982F7E">
        <w:t>Despite strong cross</w:t>
      </w:r>
      <w:r w:rsidRPr="00EC16F6">
        <w:t xml:space="preserve">-jurisdictional commitment to the principle of continuity of support, service gaps have emerged where services and supports are not being provided or have been withdrawn due to uncertainty about who is responsible for funding them. </w:t>
      </w:r>
    </w:p>
    <w:p w14:paraId="12765BA9" w14:textId="19D37F28" w:rsidR="00F632EA" w:rsidRPr="00EC16F6" w:rsidRDefault="001F14AB" w:rsidP="00E415D0">
      <w:r w:rsidRPr="00EC16F6">
        <w:t>CYDA and YPINH</w:t>
      </w:r>
      <w:r w:rsidR="00EF169A">
        <w:t>NA</w:t>
      </w:r>
      <w:r w:rsidRPr="00EC16F6">
        <w:t xml:space="preserve"> believe that </w:t>
      </w:r>
      <w:r w:rsidR="008247F1" w:rsidRPr="00EC16F6">
        <w:t>a key</w:t>
      </w:r>
      <w:r w:rsidRPr="00EC16F6">
        <w:t xml:space="preserve"> purpose of a </w:t>
      </w:r>
      <w:r w:rsidR="008247F1" w:rsidRPr="00EC16F6">
        <w:t xml:space="preserve">future </w:t>
      </w:r>
      <w:r w:rsidRPr="00EC16F6">
        <w:t>NDA should be directed toward addressing and resolving th</w:t>
      </w:r>
      <w:r w:rsidR="008247F1" w:rsidRPr="00EC16F6">
        <w:t>is</w:t>
      </w:r>
      <w:r w:rsidRPr="00EC16F6">
        <w:t xml:space="preserve"> issue</w:t>
      </w:r>
      <w:r w:rsidR="008247F1" w:rsidRPr="00EC16F6">
        <w:t xml:space="preserve"> and defining the roles of governments in the NDIS</w:t>
      </w:r>
      <w:r w:rsidR="009B696C" w:rsidRPr="00EC16F6">
        <w:t xml:space="preserve"> environment vis-à-vis the CRPD. This is the missing element of the NDIS reform as recommended by the Productivity Commission in 2011</w:t>
      </w:r>
      <w:r w:rsidR="00A766EF">
        <w:t xml:space="preserve"> and called</w:t>
      </w:r>
      <w:r w:rsidR="009B696C" w:rsidRPr="00EC16F6">
        <w:t xml:space="preserve"> Tier 2.</w:t>
      </w:r>
    </w:p>
    <w:p w14:paraId="61A729CD" w14:textId="77777777" w:rsidR="008676C3" w:rsidRPr="00EC16F6" w:rsidRDefault="008676C3" w:rsidP="00C24224">
      <w:r w:rsidRPr="00982F7E">
        <w:t>There also exists a significant degree of uncertainty regarding the current and future d</w:t>
      </w:r>
      <w:r w:rsidRPr="00EC16F6">
        <w:t xml:space="preserve">irection of </w:t>
      </w:r>
      <w:r w:rsidR="00A766EF">
        <w:t xml:space="preserve">the NDIS’ </w:t>
      </w:r>
      <w:r w:rsidRPr="00EC16F6">
        <w:t>Information, Linkages and Capacity Building (ILC)</w:t>
      </w:r>
      <w:r w:rsidR="00A766EF">
        <w:t xml:space="preserve"> program,</w:t>
      </w:r>
      <w:r w:rsidRPr="00EC16F6">
        <w:t xml:space="preserve"> including the purpose and scope of </w:t>
      </w:r>
      <w:r w:rsidR="00A766EF">
        <w:t xml:space="preserve">ILC funded </w:t>
      </w:r>
      <w:r w:rsidRPr="00EC16F6">
        <w:t>projects a</w:t>
      </w:r>
      <w:r w:rsidR="008B2874" w:rsidRPr="00EC16F6">
        <w:t xml:space="preserve">nd </w:t>
      </w:r>
      <w:r w:rsidR="000C3821">
        <w:t>whether</w:t>
      </w:r>
      <w:r w:rsidR="008B2874" w:rsidRPr="00EC16F6">
        <w:t xml:space="preserve"> they will be provided to NDIS participants, other people with disability or both.</w:t>
      </w:r>
    </w:p>
    <w:p w14:paraId="64FB7B48" w14:textId="77777777" w:rsidR="00EB406A" w:rsidRPr="00EC16F6" w:rsidRDefault="000C3821" w:rsidP="00C24224">
      <w:r w:rsidRPr="00EC16F6">
        <w:t xml:space="preserve">Unresolved issues relating to the interface of the NDIS and mainstream services </w:t>
      </w:r>
      <w:r>
        <w:t xml:space="preserve">only </w:t>
      </w:r>
      <w:r w:rsidRPr="00EC16F6">
        <w:t>compound challenges regarding the withdrawal of specialist disability</w:t>
      </w:r>
      <w:r w:rsidR="008676C3" w:rsidRPr="00EC16F6">
        <w:t xml:space="preserve"> services. </w:t>
      </w:r>
      <w:r w:rsidR="00F212FA" w:rsidRPr="00EC16F6">
        <w:t xml:space="preserve">While the </w:t>
      </w:r>
      <w:r w:rsidR="00F212FA" w:rsidRPr="00EC16F6">
        <w:rPr>
          <w:i/>
        </w:rPr>
        <w:t>National Disability Insurance Scheme Rules (Supports for Participants) 2013</w:t>
      </w:r>
      <w:r w:rsidR="00F212FA" w:rsidRPr="00EC16F6">
        <w:rPr>
          <w:rStyle w:val="FootnoteReference"/>
        </w:rPr>
        <w:footnoteReference w:id="11"/>
      </w:r>
      <w:r w:rsidR="00F212FA" w:rsidRPr="00EC16F6">
        <w:t xml:space="preserve"> and the </w:t>
      </w:r>
      <w:r w:rsidR="00EB406A" w:rsidRPr="00982F7E">
        <w:rPr>
          <w:i/>
        </w:rPr>
        <w:t xml:space="preserve">Principles to Determine the Responsibilities </w:t>
      </w:r>
      <w:r w:rsidR="00EB406A" w:rsidRPr="00EC16F6">
        <w:rPr>
          <w:i/>
        </w:rPr>
        <w:t>of the NDIS and Other Service Systems</w:t>
      </w:r>
      <w:r w:rsidR="00EB406A" w:rsidRPr="00EC16F6">
        <w:rPr>
          <w:rStyle w:val="FootnoteReference"/>
        </w:rPr>
        <w:footnoteReference w:id="12"/>
      </w:r>
      <w:r w:rsidR="00EB406A" w:rsidRPr="00EC16F6">
        <w:t xml:space="preserve"> set out high level guidance for the delineation of responsibilities there remain</w:t>
      </w:r>
      <w:r w:rsidR="008B2874" w:rsidRPr="00982F7E">
        <w:t>s</w:t>
      </w:r>
      <w:r w:rsidR="00EB406A" w:rsidRPr="00EC16F6">
        <w:t xml:space="preserve"> significant uncertainty at the operational level. </w:t>
      </w:r>
    </w:p>
    <w:p w14:paraId="1EB562E2" w14:textId="77777777" w:rsidR="00244925" w:rsidRPr="00EC16F6" w:rsidRDefault="00244925" w:rsidP="00C24224">
      <w:r w:rsidRPr="00EC16F6">
        <w:t>There is a</w:t>
      </w:r>
      <w:r w:rsidR="002F2267" w:rsidRPr="00EC16F6">
        <w:t>n</w:t>
      </w:r>
      <w:r w:rsidRPr="00EC16F6">
        <w:t xml:space="preserve"> urgent need to provide clarity and certainty </w:t>
      </w:r>
      <w:r w:rsidR="002F2267" w:rsidRPr="00EC16F6">
        <w:t xml:space="preserve">about </w:t>
      </w:r>
      <w:r w:rsidRPr="00EC16F6">
        <w:t xml:space="preserve">the provision of services </w:t>
      </w:r>
      <w:r w:rsidR="00AF7F10" w:rsidRPr="00EC16F6">
        <w:t xml:space="preserve">and supports </w:t>
      </w:r>
      <w:r w:rsidRPr="00EC16F6">
        <w:t xml:space="preserve">to people with disability </w:t>
      </w:r>
      <w:r w:rsidR="00D11186" w:rsidRPr="00EC16F6">
        <w:t xml:space="preserve">across the NDIS and other portfolios </w:t>
      </w:r>
      <w:r w:rsidRPr="00EC16F6">
        <w:t xml:space="preserve">in this evolving context. </w:t>
      </w:r>
      <w:r w:rsidR="00D11186" w:rsidRPr="00EC16F6">
        <w:t>We are seeing governments approaching this task with the aim of drawing hard lines</w:t>
      </w:r>
      <w:r w:rsidR="00880EC2" w:rsidRPr="00EC16F6">
        <w:t xml:space="preserve"> and divisions </w:t>
      </w:r>
      <w:r w:rsidR="000E56FA" w:rsidRPr="00EC16F6">
        <w:t>rather than looking at collaborative solutions to the administrative grey areas. This is old bureaucratic thinking</w:t>
      </w:r>
      <w:r w:rsidR="00DE6D12" w:rsidRPr="00EC16F6">
        <w:t xml:space="preserve"> linked to traditional siloed program delivery</w:t>
      </w:r>
      <w:r w:rsidR="000E56FA" w:rsidRPr="00EC16F6">
        <w:t xml:space="preserve"> that is becoming less relevant in</w:t>
      </w:r>
      <w:r w:rsidR="00DE6D12" w:rsidRPr="00EC16F6">
        <w:t xml:space="preserve"> the NDIS environment</w:t>
      </w:r>
      <w:r w:rsidR="00743BB9">
        <w:t>. W</w:t>
      </w:r>
      <w:r w:rsidR="00DE6D12" w:rsidRPr="00EC16F6">
        <w:t xml:space="preserve">e believe that incentives for collaboration are needed in a future NDA to </w:t>
      </w:r>
      <w:r w:rsidR="00965FBE">
        <w:t>ensure</w:t>
      </w:r>
      <w:r w:rsidR="00DE6D12" w:rsidRPr="00EC16F6">
        <w:t xml:space="preserve"> </w:t>
      </w:r>
      <w:r w:rsidR="00965FBE">
        <w:t xml:space="preserve">that </w:t>
      </w:r>
      <w:r w:rsidR="00DE6D12" w:rsidRPr="00EC16F6">
        <w:t xml:space="preserve">governments </w:t>
      </w:r>
      <w:r w:rsidR="00965FBE">
        <w:t>are</w:t>
      </w:r>
      <w:r w:rsidR="00DE6D12" w:rsidRPr="00EC16F6">
        <w:t xml:space="preserve"> more person centred and </w:t>
      </w:r>
      <w:r w:rsidR="00377F63" w:rsidRPr="00EC16F6">
        <w:t>innovative in their thinking.</w:t>
      </w:r>
    </w:p>
    <w:p w14:paraId="2F9F36E5" w14:textId="61C1D4B5" w:rsidR="001F14AB" w:rsidRPr="00EC16F6" w:rsidRDefault="00377F63" w:rsidP="00C24224">
      <w:r w:rsidRPr="00EC16F6">
        <w:t>In summary,</w:t>
      </w:r>
      <w:r w:rsidR="00AE76A4" w:rsidRPr="00EC16F6">
        <w:t xml:space="preserve"> CYDA and YPINH</w:t>
      </w:r>
      <w:r w:rsidR="00EF169A">
        <w:t>NA</w:t>
      </w:r>
      <w:r w:rsidR="00AE76A4" w:rsidRPr="00EC16F6">
        <w:t xml:space="preserve"> </w:t>
      </w:r>
      <w:r w:rsidR="001F14AB" w:rsidRPr="00EC16F6">
        <w:t xml:space="preserve">see a revised NDA </w:t>
      </w:r>
    </w:p>
    <w:p w14:paraId="0A09AAEA" w14:textId="77777777" w:rsidR="001F14AB" w:rsidRPr="00EC16F6" w:rsidRDefault="001F14AB" w:rsidP="008A6201">
      <w:pPr>
        <w:pStyle w:val="ListParagraph"/>
        <w:numPr>
          <w:ilvl w:val="0"/>
          <w:numId w:val="11"/>
        </w:numPr>
      </w:pPr>
      <w:r w:rsidRPr="00EC16F6">
        <w:t>Articulat</w:t>
      </w:r>
      <w:r w:rsidR="0015199E">
        <w:t>ing</w:t>
      </w:r>
      <w:r w:rsidRPr="00EC16F6">
        <w:t xml:space="preserve"> the obligation</w:t>
      </w:r>
      <w:r w:rsidR="008B2874" w:rsidRPr="00EC16F6">
        <w:t>s</w:t>
      </w:r>
      <w:r w:rsidR="0015199E">
        <w:t xml:space="preserve">, </w:t>
      </w:r>
      <w:r w:rsidRPr="00EC16F6">
        <w:t xml:space="preserve">roles and responsibilities of government to ensure the provision of specialist disability services to people with disability who are </w:t>
      </w:r>
      <w:r w:rsidRPr="008A6201">
        <w:rPr>
          <w:i/>
        </w:rPr>
        <w:t>not</w:t>
      </w:r>
      <w:r w:rsidRPr="00EC16F6">
        <w:t xml:space="preserve"> participants of the NDIS;</w:t>
      </w:r>
    </w:p>
    <w:p w14:paraId="2FEE7D92" w14:textId="77777777" w:rsidR="00AE76A4" w:rsidRPr="00EC16F6" w:rsidRDefault="001F14AB" w:rsidP="008A6201">
      <w:pPr>
        <w:pStyle w:val="ListParagraph"/>
        <w:numPr>
          <w:ilvl w:val="0"/>
          <w:numId w:val="11"/>
        </w:numPr>
      </w:pPr>
      <w:r w:rsidRPr="00EC16F6">
        <w:t>Establish</w:t>
      </w:r>
      <w:r w:rsidR="0015199E">
        <w:t>ing</w:t>
      </w:r>
      <w:r w:rsidRPr="00EC16F6">
        <w:t xml:space="preserve"> </w:t>
      </w:r>
      <w:r w:rsidR="00F21CE5" w:rsidRPr="00EC16F6">
        <w:t xml:space="preserve">requirements for governments to </w:t>
      </w:r>
      <w:r w:rsidR="00F31B45" w:rsidRPr="00EC16F6">
        <w:t>implement</w:t>
      </w:r>
      <w:r w:rsidR="00AE76A4" w:rsidRPr="00EC16F6">
        <w:t xml:space="preserve"> cross portfolio collaboration to resolve and clarify issues of interface between the NDIS and </w:t>
      </w:r>
      <w:r w:rsidR="007B1F99">
        <w:t>non disability/</w:t>
      </w:r>
      <w:r w:rsidR="00AE76A4" w:rsidRPr="00EC16F6">
        <w:t xml:space="preserve">mainstream services; and </w:t>
      </w:r>
    </w:p>
    <w:p w14:paraId="6B54041B" w14:textId="77777777" w:rsidR="001F14AB" w:rsidRPr="00EC16F6" w:rsidRDefault="00C21FBE" w:rsidP="008A6201">
      <w:pPr>
        <w:pStyle w:val="ListParagraph"/>
        <w:numPr>
          <w:ilvl w:val="0"/>
          <w:numId w:val="11"/>
        </w:numPr>
      </w:pPr>
      <w:r w:rsidRPr="00EC16F6">
        <w:t>Provid</w:t>
      </w:r>
      <w:r w:rsidR="007B1F99">
        <w:t>ing</w:t>
      </w:r>
      <w:r w:rsidRPr="00EC16F6">
        <w:t xml:space="preserve"> </w:t>
      </w:r>
      <w:r w:rsidR="007B1F99">
        <w:t>a</w:t>
      </w:r>
      <w:r w:rsidRPr="00EC16F6">
        <w:t xml:space="preserve"> governance framework </w:t>
      </w:r>
      <w:r w:rsidR="000A4B5E" w:rsidRPr="00EC16F6">
        <w:t xml:space="preserve">to ensure governments deliver policy and practice for </w:t>
      </w:r>
      <w:r w:rsidR="00AE76A4" w:rsidRPr="00EC16F6">
        <w:t xml:space="preserve">inclusive communities where people with disability meaningfully participate in all aspects of economic, social and cultural life. </w:t>
      </w:r>
    </w:p>
    <w:p w14:paraId="112E773F" w14:textId="77777777" w:rsidR="00B416A2" w:rsidRPr="00EC16F6" w:rsidRDefault="00B416A2">
      <w:pPr>
        <w:rPr>
          <w:b/>
          <w:i/>
          <w:sz w:val="20"/>
          <w:szCs w:val="20"/>
        </w:rPr>
      </w:pPr>
      <w:r w:rsidRPr="00EC16F6">
        <w:rPr>
          <w:b/>
          <w:i/>
          <w:sz w:val="20"/>
          <w:szCs w:val="20"/>
        </w:rPr>
        <w:t>Recommendation</w:t>
      </w:r>
      <w:r w:rsidR="00C7164D" w:rsidRPr="00EC16F6">
        <w:rPr>
          <w:b/>
          <w:i/>
          <w:sz w:val="20"/>
          <w:szCs w:val="20"/>
        </w:rPr>
        <w:t xml:space="preserve"> 3</w:t>
      </w:r>
      <w:r w:rsidR="00EE43C5" w:rsidRPr="00EC16F6">
        <w:rPr>
          <w:b/>
          <w:i/>
          <w:sz w:val="20"/>
          <w:szCs w:val="20"/>
        </w:rPr>
        <w:t xml:space="preserve">: </w:t>
      </w:r>
      <w:r w:rsidR="00F21CE5" w:rsidRPr="00EC16F6">
        <w:rPr>
          <w:b/>
          <w:i/>
          <w:sz w:val="20"/>
          <w:szCs w:val="20"/>
        </w:rPr>
        <w:t xml:space="preserve">That the Productivity Commission recommend that a future NDA </w:t>
      </w:r>
      <w:r w:rsidR="00F31B45" w:rsidRPr="00EC16F6">
        <w:rPr>
          <w:b/>
          <w:i/>
          <w:sz w:val="20"/>
          <w:szCs w:val="20"/>
        </w:rPr>
        <w:t>define</w:t>
      </w:r>
      <w:r w:rsidR="007B1F99">
        <w:rPr>
          <w:b/>
          <w:i/>
          <w:sz w:val="20"/>
          <w:szCs w:val="20"/>
        </w:rPr>
        <w:t xml:space="preserve"> the</w:t>
      </w:r>
      <w:r w:rsidR="00F31B45" w:rsidRPr="00EC16F6">
        <w:rPr>
          <w:b/>
          <w:i/>
          <w:sz w:val="20"/>
          <w:szCs w:val="20"/>
        </w:rPr>
        <w:t xml:space="preserve"> roles, accountabilities and outcomes</w:t>
      </w:r>
      <w:r w:rsidR="00A337CA" w:rsidRPr="00EC16F6">
        <w:rPr>
          <w:b/>
          <w:i/>
          <w:sz w:val="20"/>
          <w:szCs w:val="20"/>
        </w:rPr>
        <w:t xml:space="preserve"> for disability services outside the </w:t>
      </w:r>
      <w:r w:rsidR="007B1F99">
        <w:rPr>
          <w:b/>
          <w:i/>
          <w:sz w:val="20"/>
          <w:szCs w:val="20"/>
        </w:rPr>
        <w:t>NDIS;</w:t>
      </w:r>
      <w:r w:rsidR="00A337CA" w:rsidRPr="00EC16F6">
        <w:rPr>
          <w:b/>
          <w:i/>
          <w:sz w:val="20"/>
          <w:szCs w:val="20"/>
        </w:rPr>
        <w:t xml:space="preserve"> collaborative resolution of NDIS interface a</w:t>
      </w:r>
      <w:r w:rsidR="00932218" w:rsidRPr="00EC16F6">
        <w:rPr>
          <w:b/>
          <w:i/>
          <w:sz w:val="20"/>
          <w:szCs w:val="20"/>
        </w:rPr>
        <w:t>rrangements</w:t>
      </w:r>
      <w:r w:rsidR="007B1F99">
        <w:rPr>
          <w:b/>
          <w:i/>
          <w:sz w:val="20"/>
          <w:szCs w:val="20"/>
        </w:rPr>
        <w:t>;</w:t>
      </w:r>
      <w:r w:rsidR="00932218" w:rsidRPr="00EC16F6">
        <w:rPr>
          <w:b/>
          <w:i/>
          <w:sz w:val="20"/>
          <w:szCs w:val="20"/>
        </w:rPr>
        <w:t xml:space="preserve"> and government action to deliver </w:t>
      </w:r>
      <w:r w:rsidR="00A337CA" w:rsidRPr="00EC16F6">
        <w:rPr>
          <w:b/>
          <w:i/>
          <w:sz w:val="20"/>
          <w:szCs w:val="20"/>
        </w:rPr>
        <w:t>inclusive communities</w:t>
      </w:r>
      <w:r w:rsidR="00932218" w:rsidRPr="00EC16F6">
        <w:rPr>
          <w:b/>
          <w:i/>
          <w:sz w:val="20"/>
          <w:szCs w:val="20"/>
        </w:rPr>
        <w:t>,</w:t>
      </w:r>
    </w:p>
    <w:p w14:paraId="3EA1740B" w14:textId="77777777" w:rsidR="00C45BCB" w:rsidRPr="00EC16F6" w:rsidRDefault="00C45BCB" w:rsidP="00C24224">
      <w:pPr>
        <w:rPr>
          <w:b/>
        </w:rPr>
      </w:pPr>
      <w:r w:rsidRPr="00EC16F6">
        <w:rPr>
          <w:b/>
        </w:rPr>
        <w:t xml:space="preserve">Funding </w:t>
      </w:r>
    </w:p>
    <w:p w14:paraId="52EDA0C3" w14:textId="77777777" w:rsidR="00EE43C5" w:rsidRPr="00982F7E" w:rsidRDefault="00EE43C5" w:rsidP="00EE43C5">
      <w:r w:rsidRPr="00EC16F6">
        <w:t xml:space="preserve">Funding for services provided under the NDA through the National Disability Specific Purpose Payment (SPP) are being redirected to the NDIS as jurisdictions reach full scheme. Consequently, at full scheme there will be no funding attached to services provided under the NDA. </w:t>
      </w:r>
      <w:r w:rsidR="00987A4D">
        <w:t>These</w:t>
      </w:r>
      <w:r w:rsidRPr="00EC16F6">
        <w:t xml:space="preserve"> chang</w:t>
      </w:r>
      <w:r w:rsidR="00987A4D">
        <w:t>ed</w:t>
      </w:r>
      <w:r w:rsidRPr="00EC16F6">
        <w:t xml:space="preserve"> funding arrangements and uncertainty </w:t>
      </w:r>
      <w:r w:rsidR="00987A4D">
        <w:t>around</w:t>
      </w:r>
      <w:r w:rsidRPr="00EC16F6">
        <w:t xml:space="preserve"> interface issues have contributed to cost-shifting by </w:t>
      </w:r>
      <w:r w:rsidR="00F3019E">
        <w:t xml:space="preserve">both the </w:t>
      </w:r>
      <w:r w:rsidRPr="00EC16F6">
        <w:t>jurisdictions</w:t>
      </w:r>
      <w:r w:rsidR="00F3019E">
        <w:t xml:space="preserve"> and the NDIS</w:t>
      </w:r>
      <w:r w:rsidRPr="00EC16F6">
        <w:t xml:space="preserve"> to the detriment of people with disability. </w:t>
      </w:r>
    </w:p>
    <w:p w14:paraId="013D3FB8" w14:textId="77777777" w:rsidR="00EE43C5" w:rsidRPr="00EC16F6" w:rsidRDefault="00EE43C5" w:rsidP="00C24224">
      <w:r w:rsidRPr="00EC16F6">
        <w:t>The withdrawal or redirection of SPP funding has substantial implications for a revised NDA that provides for the delivery of specialist disability services to non-participants of the NDIS. Without funding attached to the NDA</w:t>
      </w:r>
      <w:r w:rsidR="007A08D6">
        <w:t>,</w:t>
      </w:r>
      <w:r w:rsidRPr="00EC16F6">
        <w:t xml:space="preserve"> there is limited incentive for governments to meet the objectives, outcomes and outputs set out in relation to service provision</w:t>
      </w:r>
      <w:r w:rsidR="007A08D6">
        <w:t>…particularly for Australians with disability who are ineligible for the NDIS</w:t>
      </w:r>
      <w:r w:rsidRPr="00EC16F6">
        <w:t xml:space="preserve">.  </w:t>
      </w:r>
    </w:p>
    <w:p w14:paraId="25C23862" w14:textId="77777777" w:rsidR="00EE43C5" w:rsidRPr="00EC16F6" w:rsidRDefault="007A08D6" w:rsidP="00C24224">
      <w:r>
        <w:t>A</w:t>
      </w:r>
      <w:r w:rsidR="00EE43C5" w:rsidRPr="00EC16F6">
        <w:t xml:space="preserve"> new funding </w:t>
      </w:r>
      <w:r w:rsidR="000D2B71" w:rsidRPr="00EC16F6">
        <w:t xml:space="preserve">arrangement </w:t>
      </w:r>
      <w:r w:rsidR="004F609D">
        <w:t xml:space="preserve">for individuals ineligible for the NDIS </w:t>
      </w:r>
      <w:r>
        <w:t>must</w:t>
      </w:r>
      <w:r w:rsidR="000D2B71" w:rsidRPr="00EC16F6">
        <w:t xml:space="preserve"> be developed and attached to the NDA</w:t>
      </w:r>
      <w:r w:rsidR="00932218" w:rsidRPr="00EC16F6">
        <w:t xml:space="preserve"> that is separate to the bi-lateral and mu</w:t>
      </w:r>
      <w:r w:rsidR="00CA3198" w:rsidRPr="00EC16F6">
        <w:t>lti-lateral NDIS agreements</w:t>
      </w:r>
      <w:r w:rsidR="000D2B71" w:rsidRPr="00EC16F6">
        <w:t xml:space="preserve">. </w:t>
      </w:r>
    </w:p>
    <w:p w14:paraId="26F9C678" w14:textId="106FA6A9" w:rsidR="00654857" w:rsidRPr="00EC16F6" w:rsidRDefault="00654857" w:rsidP="00C24224">
      <w:pPr>
        <w:rPr>
          <w:b/>
          <w:i/>
          <w:sz w:val="20"/>
          <w:szCs w:val="20"/>
        </w:rPr>
      </w:pPr>
      <w:r w:rsidRPr="00EC16F6">
        <w:rPr>
          <w:b/>
          <w:i/>
          <w:sz w:val="20"/>
          <w:szCs w:val="20"/>
        </w:rPr>
        <w:t>Recommendation</w:t>
      </w:r>
      <w:r w:rsidR="000978EA" w:rsidRPr="00EC16F6">
        <w:rPr>
          <w:b/>
          <w:i/>
          <w:sz w:val="20"/>
          <w:szCs w:val="20"/>
        </w:rPr>
        <w:t xml:space="preserve"> 4</w:t>
      </w:r>
      <w:r w:rsidR="00EE43C5" w:rsidRPr="00EC16F6">
        <w:rPr>
          <w:b/>
          <w:i/>
          <w:sz w:val="20"/>
          <w:szCs w:val="20"/>
        </w:rPr>
        <w:t xml:space="preserve">: </w:t>
      </w:r>
      <w:r w:rsidR="00CA3198" w:rsidRPr="00EC16F6">
        <w:rPr>
          <w:b/>
          <w:i/>
          <w:sz w:val="20"/>
          <w:szCs w:val="20"/>
        </w:rPr>
        <w:t xml:space="preserve">specific funding </w:t>
      </w:r>
      <w:r w:rsidR="004F609D">
        <w:rPr>
          <w:b/>
          <w:i/>
          <w:sz w:val="20"/>
          <w:szCs w:val="20"/>
        </w:rPr>
        <w:t xml:space="preserve">must </w:t>
      </w:r>
      <w:r w:rsidR="00CA3198" w:rsidRPr="00EC16F6">
        <w:rPr>
          <w:b/>
          <w:i/>
          <w:sz w:val="20"/>
          <w:szCs w:val="20"/>
        </w:rPr>
        <w:t>be attached to the NDA to enable the creation of an identified service sy</w:t>
      </w:r>
      <w:r w:rsidR="00380DAF" w:rsidRPr="00EC16F6">
        <w:rPr>
          <w:b/>
          <w:i/>
          <w:sz w:val="20"/>
          <w:szCs w:val="20"/>
        </w:rPr>
        <w:t>s</w:t>
      </w:r>
      <w:r w:rsidR="00CA3198" w:rsidRPr="00EC16F6">
        <w:rPr>
          <w:b/>
          <w:i/>
          <w:sz w:val="20"/>
          <w:szCs w:val="20"/>
        </w:rPr>
        <w:t>tem for people with disability outside the ND</w:t>
      </w:r>
      <w:r w:rsidR="00380DAF" w:rsidRPr="00EC16F6">
        <w:rPr>
          <w:b/>
          <w:i/>
          <w:sz w:val="20"/>
          <w:szCs w:val="20"/>
        </w:rPr>
        <w:t xml:space="preserve">IS, and for </w:t>
      </w:r>
      <w:r w:rsidR="00065EC0">
        <w:rPr>
          <w:b/>
          <w:i/>
          <w:sz w:val="20"/>
          <w:szCs w:val="20"/>
        </w:rPr>
        <w:t>improved</w:t>
      </w:r>
      <w:r w:rsidR="00380DAF" w:rsidRPr="00EC16F6">
        <w:rPr>
          <w:b/>
          <w:i/>
          <w:sz w:val="20"/>
          <w:szCs w:val="20"/>
        </w:rPr>
        <w:t xml:space="preserve"> collaboration</w:t>
      </w:r>
      <w:r w:rsidR="00065EC0">
        <w:rPr>
          <w:b/>
          <w:i/>
          <w:sz w:val="20"/>
          <w:szCs w:val="20"/>
        </w:rPr>
        <w:t xml:space="preserve"> between </w:t>
      </w:r>
      <w:r w:rsidR="001A4FC7">
        <w:rPr>
          <w:b/>
          <w:i/>
          <w:sz w:val="20"/>
          <w:szCs w:val="20"/>
        </w:rPr>
        <w:t>governments</w:t>
      </w:r>
      <w:r w:rsidR="00380DAF" w:rsidRPr="00EC16F6">
        <w:rPr>
          <w:b/>
          <w:i/>
          <w:sz w:val="20"/>
          <w:szCs w:val="20"/>
        </w:rPr>
        <w:t xml:space="preserve"> and inclusive community outcomes.</w:t>
      </w:r>
    </w:p>
    <w:p w14:paraId="573FB7C8" w14:textId="77777777" w:rsidR="000139F9" w:rsidRPr="00EC16F6" w:rsidRDefault="00BA643B" w:rsidP="00E415D0">
      <w:pPr>
        <w:rPr>
          <w:b/>
          <w:sz w:val="28"/>
          <w:szCs w:val="28"/>
        </w:rPr>
      </w:pPr>
      <w:r w:rsidRPr="00982F7E">
        <w:rPr>
          <w:b/>
          <w:sz w:val="28"/>
          <w:szCs w:val="28"/>
        </w:rPr>
        <w:t xml:space="preserve">OBJECTIVES, </w:t>
      </w:r>
      <w:r w:rsidR="000139F9" w:rsidRPr="00EC16F6">
        <w:rPr>
          <w:b/>
          <w:sz w:val="28"/>
          <w:szCs w:val="28"/>
        </w:rPr>
        <w:t>OUTCOMES</w:t>
      </w:r>
      <w:r w:rsidRPr="00EC16F6">
        <w:rPr>
          <w:b/>
          <w:sz w:val="28"/>
          <w:szCs w:val="28"/>
        </w:rPr>
        <w:t xml:space="preserve"> &amp; OUTPUTS </w:t>
      </w:r>
    </w:p>
    <w:p w14:paraId="427A4F1B" w14:textId="77777777" w:rsidR="006538C9" w:rsidRPr="00EC16F6" w:rsidRDefault="000D2B71" w:rsidP="00917F92">
      <w:r w:rsidRPr="00EC16F6">
        <w:t xml:space="preserve">The objectives, outcomes and outputs of the NDA </w:t>
      </w:r>
      <w:r w:rsidR="00917F92">
        <w:t>must</w:t>
      </w:r>
      <w:r w:rsidRPr="00EC16F6">
        <w:t xml:space="preserve"> be updated to reflect the revised purpose set out above. </w:t>
      </w:r>
      <w:r w:rsidR="00917F92">
        <w:t>G</w:t>
      </w:r>
      <w:r w:rsidRPr="00EC16F6">
        <w:t>reat</w:t>
      </w:r>
      <w:r w:rsidR="00917F92">
        <w:t>er</w:t>
      </w:r>
      <w:r w:rsidRPr="00EC16F6">
        <w:t xml:space="preserve"> clarity and connection between the objectives, outcomes and outputs</w:t>
      </w:r>
      <w:r w:rsidR="007C79C0" w:rsidRPr="00EC16F6">
        <w:t xml:space="preserve"> and accountability measures</w:t>
      </w:r>
      <w:r w:rsidR="00917F92">
        <w:t xml:space="preserve"> is also needed</w:t>
      </w:r>
      <w:r w:rsidR="006538C9" w:rsidRPr="00EC16F6">
        <w:t xml:space="preserve"> to ensur</w:t>
      </w:r>
      <w:r w:rsidR="00917F92">
        <w:t>e</w:t>
      </w:r>
      <w:r w:rsidR="006538C9" w:rsidRPr="00EC16F6">
        <w:t xml:space="preserve"> the NDA is a robust and effective accountability mechanism.  </w:t>
      </w:r>
    </w:p>
    <w:p w14:paraId="6939A010" w14:textId="77777777" w:rsidR="000D2B71" w:rsidRPr="00EC16F6" w:rsidRDefault="00917F92" w:rsidP="000D2B71">
      <w:r>
        <w:t>As they currently stand, the NDA’s</w:t>
      </w:r>
      <w:r w:rsidR="000D2B71" w:rsidRPr="00EC16F6">
        <w:t xml:space="preserve"> objectives, outcomes and outputs lack clarity and </w:t>
      </w:r>
      <w:r w:rsidR="009B71BC">
        <w:t>their</w:t>
      </w:r>
      <w:r w:rsidR="000D2B71" w:rsidRPr="00EC16F6">
        <w:t xml:space="preserve"> relat</w:t>
      </w:r>
      <w:r w:rsidR="009B71BC">
        <w:t>ion</w:t>
      </w:r>
      <w:r w:rsidR="000D2B71" w:rsidRPr="00EC16F6">
        <w:t xml:space="preserve"> to </w:t>
      </w:r>
      <w:r w:rsidR="009B71BC">
        <w:t>each</w:t>
      </w:r>
      <w:r w:rsidR="000D2B71" w:rsidRPr="00EC16F6">
        <w:t xml:space="preserve"> another and </w:t>
      </w:r>
      <w:r w:rsidR="009B71BC">
        <w:t xml:space="preserve">to </w:t>
      </w:r>
      <w:r w:rsidR="000D2B71" w:rsidRPr="00EC16F6">
        <w:t>existing performance indicators and benchmarks</w:t>
      </w:r>
      <w:r w:rsidR="009B71BC">
        <w:t>, is unclear</w:t>
      </w:r>
      <w:r w:rsidR="000D2B71" w:rsidRPr="00EC16F6">
        <w:t xml:space="preserve">. </w:t>
      </w:r>
      <w:r w:rsidR="00727BE0">
        <w:t>T</w:t>
      </w:r>
      <w:r w:rsidR="000D2B71" w:rsidRPr="00EC16F6">
        <w:t>he term</w:t>
      </w:r>
      <w:r w:rsidR="009A647E">
        <w:t>s</w:t>
      </w:r>
      <w:r w:rsidR="000D2B71" w:rsidRPr="00EC16F6">
        <w:t xml:space="preserve"> ‘enhanced quality of life’</w:t>
      </w:r>
      <w:r w:rsidR="009A647E">
        <w:t xml:space="preserve"> and </w:t>
      </w:r>
      <w:r w:rsidR="009A647E" w:rsidRPr="00EC16F6">
        <w:t>‘live as independently as possible’</w:t>
      </w:r>
      <w:r w:rsidR="000D2B71" w:rsidRPr="00EC16F6">
        <w:t xml:space="preserve"> </w:t>
      </w:r>
      <w:r w:rsidR="009A647E">
        <w:t>are</w:t>
      </w:r>
      <w:r w:rsidR="00727BE0">
        <w:t>, for example,</w:t>
      </w:r>
      <w:r w:rsidR="000D2B71" w:rsidRPr="00EC16F6">
        <w:t xml:space="preserve"> difficult to define and quantify</w:t>
      </w:r>
      <w:r w:rsidR="00727BE0">
        <w:t>.</w:t>
      </w:r>
      <w:r w:rsidR="000D2B71" w:rsidRPr="00EC16F6">
        <w:t xml:space="preserve"> </w:t>
      </w:r>
      <w:r w:rsidR="00C671E9">
        <w:t>On the other hand,</w:t>
      </w:r>
      <w:r w:rsidR="00727BE0">
        <w:t xml:space="preserve"> </w:t>
      </w:r>
      <w:r w:rsidR="000D2B71" w:rsidRPr="00EC16F6">
        <w:t xml:space="preserve">Outcome </w:t>
      </w:r>
      <w:r w:rsidR="00727BE0">
        <w:t>C</w:t>
      </w:r>
      <w:r w:rsidR="000D2B71" w:rsidRPr="00EC16F6">
        <w:t xml:space="preserve"> and Output D</w:t>
      </w:r>
      <w:r w:rsidR="009A647E">
        <w:t>’s reference</w:t>
      </w:r>
      <w:r w:rsidR="000D2B71" w:rsidRPr="00EC16F6">
        <w:t xml:space="preserve"> to families and carers</w:t>
      </w:r>
      <w:r w:rsidR="00727BE0">
        <w:t>,</w:t>
      </w:r>
      <w:r w:rsidR="000D2B71" w:rsidRPr="00EC16F6">
        <w:t xml:space="preserve"> does not </w:t>
      </w:r>
      <w:r w:rsidR="00E75E20" w:rsidRPr="00EC16F6">
        <w:t xml:space="preserve">have an associated benchmark. </w:t>
      </w:r>
    </w:p>
    <w:p w14:paraId="62BE7D2C" w14:textId="77777777" w:rsidR="000D2B71" w:rsidRPr="00EC16F6" w:rsidRDefault="00E75E20" w:rsidP="00E415D0">
      <w:r w:rsidRPr="00EC16F6">
        <w:t>In addition to aligning the objectives, outcomes and outputs to the revised purpose</w:t>
      </w:r>
      <w:r w:rsidR="006538C9" w:rsidRPr="00EC16F6">
        <w:t xml:space="preserve">, two </w:t>
      </w:r>
      <w:r w:rsidR="00640AEF" w:rsidRPr="00EC16F6">
        <w:t>specific policy priorities</w:t>
      </w:r>
      <w:r w:rsidR="006538C9" w:rsidRPr="00EC16F6">
        <w:t xml:space="preserve"> must be reflected in a revised NDA.</w:t>
      </w:r>
      <w:r w:rsidR="00C671E9">
        <w:t xml:space="preserve"> These are the safety and well being of people with a disability and the provision of advocacy.</w:t>
      </w:r>
    </w:p>
    <w:p w14:paraId="454E7BF2" w14:textId="77777777" w:rsidR="003A78EF" w:rsidRDefault="003A78EF" w:rsidP="00E415D0">
      <w:pPr>
        <w:rPr>
          <w:b/>
        </w:rPr>
      </w:pPr>
    </w:p>
    <w:p w14:paraId="6EF5BC0B" w14:textId="77777777" w:rsidR="003A78EF" w:rsidRDefault="003A78EF" w:rsidP="00E415D0">
      <w:pPr>
        <w:rPr>
          <w:b/>
        </w:rPr>
      </w:pPr>
    </w:p>
    <w:p w14:paraId="643BD69F" w14:textId="77777777" w:rsidR="003A78EF" w:rsidRDefault="003A78EF" w:rsidP="00E415D0">
      <w:pPr>
        <w:rPr>
          <w:b/>
        </w:rPr>
      </w:pPr>
    </w:p>
    <w:p w14:paraId="40D4E863" w14:textId="77777777" w:rsidR="00C2123D" w:rsidRPr="008A6201" w:rsidRDefault="006538C9" w:rsidP="00E415D0">
      <w:pPr>
        <w:rPr>
          <w:b/>
        </w:rPr>
      </w:pPr>
      <w:r w:rsidRPr="00EC16F6">
        <w:rPr>
          <w:b/>
        </w:rPr>
        <w:t>Safety and Wellbeing of People with Disability</w:t>
      </w:r>
      <w:r w:rsidR="00C2123D" w:rsidRPr="008A6201">
        <w:rPr>
          <w:b/>
        </w:rPr>
        <w:t xml:space="preserve"> </w:t>
      </w:r>
    </w:p>
    <w:p w14:paraId="42E3EAEB" w14:textId="77777777" w:rsidR="006538C9" w:rsidRPr="00EC16F6" w:rsidRDefault="00846957" w:rsidP="00E415D0">
      <w:r>
        <w:t>At present,</w:t>
      </w:r>
      <w:r w:rsidR="00885912" w:rsidRPr="00EC16F6">
        <w:t xml:space="preserve"> the NDA </w:t>
      </w:r>
      <w:r>
        <w:t>contains no mechanism to</w:t>
      </w:r>
      <w:r w:rsidRPr="00EC16F6">
        <w:t xml:space="preserve"> </w:t>
      </w:r>
      <w:r w:rsidR="008B2874" w:rsidRPr="00EC16F6">
        <w:t xml:space="preserve">protect </w:t>
      </w:r>
      <w:r w:rsidR="00C671E9">
        <w:t xml:space="preserve">the </w:t>
      </w:r>
      <w:r w:rsidR="008B2874" w:rsidRPr="00EC16F6">
        <w:t>safety and wellbeing of people with disability</w:t>
      </w:r>
      <w:r w:rsidR="00885912" w:rsidRPr="00EC16F6">
        <w:t xml:space="preserve">. </w:t>
      </w:r>
      <w:r>
        <w:t>I</w:t>
      </w:r>
      <w:r w:rsidR="00885912" w:rsidRPr="00EC16F6">
        <w:t>nternational research</w:t>
      </w:r>
      <w:r>
        <w:t>,</w:t>
      </w:r>
      <w:r w:rsidR="00885912" w:rsidRPr="00EC16F6">
        <w:rPr>
          <w:rStyle w:val="FootnoteReference"/>
        </w:rPr>
        <w:footnoteReference w:id="13"/>
      </w:r>
      <w:r w:rsidR="00885912" w:rsidRPr="00EC16F6">
        <w:t xml:space="preserve"> </w:t>
      </w:r>
      <w:r>
        <w:t>Australian</w:t>
      </w:r>
      <w:r w:rsidRPr="00EC16F6">
        <w:t xml:space="preserve"> </w:t>
      </w:r>
      <w:r w:rsidR="00885912" w:rsidRPr="00EC16F6">
        <w:t>statistics</w:t>
      </w:r>
      <w:r w:rsidR="00885912" w:rsidRPr="00EC16F6">
        <w:rPr>
          <w:rStyle w:val="FootnoteReference"/>
        </w:rPr>
        <w:footnoteReference w:id="14"/>
      </w:r>
      <w:r w:rsidR="00885912" w:rsidRPr="00EC16F6">
        <w:t xml:space="preserve"> and multiple government inquiries</w:t>
      </w:r>
      <w:r w:rsidR="00885912" w:rsidRPr="00EC16F6">
        <w:rPr>
          <w:rStyle w:val="FootnoteReference"/>
        </w:rPr>
        <w:footnoteReference w:id="15"/>
      </w:r>
      <w:r w:rsidR="00885912" w:rsidRPr="00EC16F6">
        <w:t xml:space="preserve"> </w:t>
      </w:r>
      <w:r>
        <w:t>have all revealed that</w:t>
      </w:r>
      <w:r w:rsidRPr="00EC16F6">
        <w:t xml:space="preserve"> </w:t>
      </w:r>
      <w:r w:rsidR="00885912" w:rsidRPr="00EC16F6">
        <w:t xml:space="preserve">people with disability </w:t>
      </w:r>
      <w:r w:rsidR="00C2123D" w:rsidRPr="00982F7E">
        <w:t xml:space="preserve">experience </w:t>
      </w:r>
      <w:r w:rsidR="00C87666" w:rsidRPr="00EC16F6">
        <w:t xml:space="preserve">shocking rates of </w:t>
      </w:r>
      <w:r w:rsidR="00885912" w:rsidRPr="00EC16F6">
        <w:t xml:space="preserve">violence and abuse. </w:t>
      </w:r>
      <w:r w:rsidR="00C87666" w:rsidRPr="00EC16F6">
        <w:t>C</w:t>
      </w:r>
      <w:r w:rsidR="00F31759" w:rsidRPr="00EC16F6">
        <w:t>hildren</w:t>
      </w:r>
      <w:r w:rsidR="00C87666" w:rsidRPr="00EC16F6">
        <w:t xml:space="preserve"> with disability are 3.4 times more vulnerable to abuse than children who do not have disability</w:t>
      </w:r>
      <w:r w:rsidR="00F31759" w:rsidRPr="00EC16F6">
        <w:rPr>
          <w:rStyle w:val="FootnoteReference"/>
        </w:rPr>
        <w:footnoteReference w:id="16"/>
      </w:r>
      <w:r w:rsidR="00F31759" w:rsidRPr="00EC16F6">
        <w:t xml:space="preserve">. It is </w:t>
      </w:r>
      <w:r>
        <w:t>vital</w:t>
      </w:r>
      <w:r w:rsidRPr="00EC16F6">
        <w:t xml:space="preserve"> </w:t>
      </w:r>
      <w:r w:rsidR="00F31759" w:rsidRPr="00EC16F6">
        <w:t xml:space="preserve">that a revised NDA </w:t>
      </w:r>
      <w:r w:rsidR="006538C9" w:rsidRPr="00EC16F6">
        <w:t xml:space="preserve">explicitly </w:t>
      </w:r>
      <w:r>
        <w:t>describe</w:t>
      </w:r>
      <w:r w:rsidR="006538C9" w:rsidRPr="00EC16F6">
        <w:t xml:space="preserve"> the safety and wellbeing of people with disability as a key outcome.</w:t>
      </w:r>
    </w:p>
    <w:p w14:paraId="3CB801C1" w14:textId="77777777" w:rsidR="006538C9" w:rsidRPr="008A6201" w:rsidRDefault="006538C9" w:rsidP="00E415D0">
      <w:pPr>
        <w:rPr>
          <w:b/>
        </w:rPr>
      </w:pPr>
      <w:r w:rsidRPr="008A6201">
        <w:rPr>
          <w:b/>
        </w:rPr>
        <w:t xml:space="preserve">Advocacy </w:t>
      </w:r>
    </w:p>
    <w:p w14:paraId="7A280E6B" w14:textId="11212B00" w:rsidR="00C7693A" w:rsidRPr="00EC16F6" w:rsidRDefault="00846957" w:rsidP="00C7693A">
      <w:r w:rsidRPr="00EC16F6">
        <w:t>The</w:t>
      </w:r>
      <w:r w:rsidR="00C7693A" w:rsidRPr="00EC16F6">
        <w:t xml:space="preserve"> future direction and funding of systemic and individual advocacy services in Australia</w:t>
      </w:r>
      <w:r w:rsidR="00042AFC">
        <w:t xml:space="preserve"> is </w:t>
      </w:r>
      <w:r w:rsidR="008C3207">
        <w:t>a significant issue that must be addressed</w:t>
      </w:r>
      <w:r w:rsidR="00C7693A" w:rsidRPr="00EC16F6">
        <w:t xml:space="preserve">. </w:t>
      </w:r>
      <w:r w:rsidR="00B23553">
        <w:t>T</w:t>
      </w:r>
      <w:r w:rsidR="00C7693A" w:rsidRPr="00EC16F6">
        <w:t xml:space="preserve">he </w:t>
      </w:r>
      <w:r w:rsidR="00B23553">
        <w:t>NDIS' implementation</w:t>
      </w:r>
      <w:r w:rsidR="00C7693A" w:rsidRPr="00EC16F6">
        <w:t xml:space="preserve"> </w:t>
      </w:r>
      <w:r w:rsidR="00B23553">
        <w:t>has seen growing concerns about the loss of</w:t>
      </w:r>
      <w:r w:rsidR="00C7693A" w:rsidRPr="00982F7E">
        <w:t xml:space="preserve"> funding </w:t>
      </w:r>
      <w:r w:rsidR="00B23553">
        <w:t>for</w:t>
      </w:r>
      <w:r w:rsidR="00C7693A" w:rsidRPr="00982F7E">
        <w:t xml:space="preserve"> local advocacy services. </w:t>
      </w:r>
      <w:r w:rsidR="00B23553">
        <w:t>In NSW, f</w:t>
      </w:r>
      <w:r w:rsidR="00C7693A" w:rsidRPr="00982F7E">
        <w:t>or example</w:t>
      </w:r>
      <w:r w:rsidR="00B23553">
        <w:t>,</w:t>
      </w:r>
      <w:r w:rsidR="00C7693A" w:rsidRPr="00EC16F6">
        <w:t xml:space="preserve"> funding for disability advocacy services was set to expire</w:t>
      </w:r>
      <w:r w:rsidR="00B23553" w:rsidRPr="00982F7E">
        <w:t xml:space="preserve"> </w:t>
      </w:r>
      <w:r w:rsidR="00B23553" w:rsidRPr="00EC16F6">
        <w:t>earlier this year</w:t>
      </w:r>
      <w:r w:rsidR="00C7693A" w:rsidRPr="00EC16F6">
        <w:t xml:space="preserve"> as </w:t>
      </w:r>
      <w:r w:rsidR="004B35AD">
        <w:t>that S</w:t>
      </w:r>
      <w:r w:rsidR="00E8735F">
        <w:t>tate</w:t>
      </w:r>
      <w:r w:rsidR="00C7693A" w:rsidRPr="00EC16F6">
        <w:t xml:space="preserve"> moved to full scheme. </w:t>
      </w:r>
      <w:r w:rsidR="00E8735F">
        <w:t xml:space="preserve">Following significant </w:t>
      </w:r>
      <w:r w:rsidR="00E8735F" w:rsidRPr="00EC16F6">
        <w:t xml:space="preserve">community pressure, </w:t>
      </w:r>
      <w:r w:rsidR="00C7693A" w:rsidRPr="00EC16F6">
        <w:t>the NSW Government extend</w:t>
      </w:r>
      <w:r w:rsidR="00E8735F">
        <w:t>ed advocacy</w:t>
      </w:r>
      <w:r w:rsidR="00C7693A" w:rsidRPr="00EC16F6">
        <w:t xml:space="preserve"> funding for a further year</w:t>
      </w:r>
      <w:r w:rsidR="00E8735F">
        <w:t>.</w:t>
      </w:r>
      <w:r w:rsidR="00C7693A" w:rsidRPr="00EC16F6">
        <w:t xml:space="preserve"> </w:t>
      </w:r>
      <w:r w:rsidR="00E55EFB">
        <w:t>But</w:t>
      </w:r>
      <w:r w:rsidR="00C7693A" w:rsidRPr="00EC16F6">
        <w:t xml:space="preserve"> the future of advocacy funding</w:t>
      </w:r>
      <w:r w:rsidR="00E55EFB">
        <w:t xml:space="preserve"> in NSW remains uncertain</w:t>
      </w:r>
      <w:r w:rsidR="00C7693A" w:rsidRPr="00EC16F6">
        <w:t>.</w:t>
      </w:r>
    </w:p>
    <w:p w14:paraId="6DBE1FBF" w14:textId="46B18A6E" w:rsidR="004F2331" w:rsidRPr="00EC16F6" w:rsidRDefault="00E55EFB" w:rsidP="00C7693A">
      <w:r>
        <w:t>While the advent of the NDIS was initially thought to reduce the need for advocacy services</w:t>
      </w:r>
      <w:r w:rsidR="004F2331" w:rsidRPr="00EC16F6">
        <w:t xml:space="preserve">, this has not </w:t>
      </w:r>
      <w:r>
        <w:t>proven to be</w:t>
      </w:r>
      <w:r w:rsidR="004F2331" w:rsidRPr="00EC16F6">
        <w:t xml:space="preserve"> the case. </w:t>
      </w:r>
      <w:r>
        <w:t>Indeed,</w:t>
      </w:r>
      <w:r w:rsidR="004F2331" w:rsidRPr="00EC16F6">
        <w:t xml:space="preserve"> the implementation of the NDIS has </w:t>
      </w:r>
      <w:r>
        <w:t xml:space="preserve">significantly </w:t>
      </w:r>
      <w:r w:rsidR="004F2331" w:rsidRPr="008A6201">
        <w:rPr>
          <w:i/>
        </w:rPr>
        <w:t>increased</w:t>
      </w:r>
      <w:r w:rsidR="004F2331" w:rsidRPr="00EC16F6">
        <w:t xml:space="preserve"> </w:t>
      </w:r>
      <w:r w:rsidRPr="00EC16F6">
        <w:t xml:space="preserve">the </w:t>
      </w:r>
      <w:r w:rsidR="004F2331" w:rsidRPr="00EC16F6">
        <w:t>workloads</w:t>
      </w:r>
      <w:r>
        <w:t xml:space="preserve"> of </w:t>
      </w:r>
      <w:r w:rsidRPr="00EC16F6">
        <w:t>systemic and individual advocacy organisations</w:t>
      </w:r>
      <w:r w:rsidR="004F2331" w:rsidRPr="00EC16F6">
        <w:t xml:space="preserve"> </w:t>
      </w:r>
      <w:r>
        <w:t>as</w:t>
      </w:r>
      <w:r w:rsidR="004F2331" w:rsidRPr="00EC16F6">
        <w:t xml:space="preserve"> the demand for </w:t>
      </w:r>
      <w:r>
        <w:t xml:space="preserve">their </w:t>
      </w:r>
      <w:r w:rsidR="004F2331" w:rsidRPr="00EC16F6">
        <w:t>services</w:t>
      </w:r>
      <w:r>
        <w:t xml:space="preserve"> has grown</w:t>
      </w:r>
      <w:r w:rsidR="004F2331" w:rsidRPr="00EC16F6">
        <w:t xml:space="preserve">. </w:t>
      </w:r>
      <w:r>
        <w:t xml:space="preserve">Yet </w:t>
      </w:r>
      <w:r w:rsidR="004F2331" w:rsidRPr="00EC16F6">
        <w:t xml:space="preserve">this </w:t>
      </w:r>
      <w:r w:rsidR="004D596A" w:rsidRPr="00EC16F6">
        <w:t xml:space="preserve">increased need </w:t>
      </w:r>
      <w:r w:rsidR="004F2331" w:rsidRPr="00EC16F6">
        <w:t xml:space="preserve">has not been reflected in </w:t>
      </w:r>
      <w:r>
        <w:t xml:space="preserve">similar growth in </w:t>
      </w:r>
      <w:r w:rsidR="004B35AD">
        <w:t>Commonwealth, State and T</w:t>
      </w:r>
      <w:r w:rsidR="004F2331" w:rsidRPr="00EC16F6">
        <w:t xml:space="preserve">erritory disability advocacy funding arrangements. </w:t>
      </w:r>
    </w:p>
    <w:p w14:paraId="31D4CC69" w14:textId="77777777" w:rsidR="004F2331" w:rsidRPr="00EC16F6" w:rsidRDefault="004F2331" w:rsidP="00E415D0">
      <w:r w:rsidRPr="00EC16F6">
        <w:t xml:space="preserve">Systemic and individual advocacy services are </w:t>
      </w:r>
      <w:r w:rsidR="00596871">
        <w:t>critical</w:t>
      </w:r>
      <w:r w:rsidRPr="00EC16F6">
        <w:t xml:space="preserve"> to ensuring the rights of people with disability are upheld. </w:t>
      </w:r>
      <w:r w:rsidR="00596871">
        <w:t>T</w:t>
      </w:r>
      <w:r w:rsidR="004D596A" w:rsidRPr="00EC16F6">
        <w:t xml:space="preserve">he provision of disability advocacy services </w:t>
      </w:r>
      <w:r w:rsidR="00596871">
        <w:t>must</w:t>
      </w:r>
      <w:r w:rsidR="004D596A" w:rsidRPr="00EC16F6">
        <w:t xml:space="preserve"> be an explicit output of a revised NDA</w:t>
      </w:r>
      <w:r w:rsidR="00596871">
        <w:t xml:space="preserve">. </w:t>
      </w:r>
      <w:r w:rsidR="003776BF">
        <w:t>Delineation of</w:t>
      </w:r>
      <w:r w:rsidRPr="00EC16F6">
        <w:t xml:space="preserve"> </w:t>
      </w:r>
      <w:r w:rsidR="004D596A" w:rsidRPr="00EC16F6">
        <w:t xml:space="preserve">government </w:t>
      </w:r>
      <w:r w:rsidRPr="00EC16F6">
        <w:t>funding obligations for disability advocacy services</w:t>
      </w:r>
      <w:r w:rsidR="003776BF">
        <w:t xml:space="preserve"> must also be included</w:t>
      </w:r>
      <w:r w:rsidRPr="00EC16F6">
        <w:t xml:space="preserve">. </w:t>
      </w:r>
    </w:p>
    <w:p w14:paraId="4BB2B2E2" w14:textId="18FBA4F0" w:rsidR="00E73F0F" w:rsidRPr="00EC16F6" w:rsidRDefault="00E73F0F" w:rsidP="00E415D0">
      <w:pPr>
        <w:rPr>
          <w:b/>
          <w:i/>
          <w:sz w:val="20"/>
          <w:szCs w:val="20"/>
        </w:rPr>
      </w:pPr>
      <w:r w:rsidRPr="00EC16F6">
        <w:rPr>
          <w:b/>
          <w:i/>
          <w:sz w:val="20"/>
          <w:szCs w:val="20"/>
        </w:rPr>
        <w:t>Recommendation</w:t>
      </w:r>
      <w:r w:rsidR="002940D5">
        <w:rPr>
          <w:b/>
          <w:i/>
          <w:sz w:val="20"/>
          <w:szCs w:val="20"/>
        </w:rPr>
        <w:t xml:space="preserve"> 5</w:t>
      </w:r>
      <w:r w:rsidR="006538C9" w:rsidRPr="00EC16F6">
        <w:rPr>
          <w:b/>
          <w:i/>
          <w:sz w:val="20"/>
          <w:szCs w:val="20"/>
        </w:rPr>
        <w:t>:</w:t>
      </w:r>
      <w:r w:rsidR="00640AEF" w:rsidRPr="008A6201">
        <w:rPr>
          <w:b/>
          <w:i/>
          <w:sz w:val="20"/>
          <w:szCs w:val="20"/>
        </w:rPr>
        <w:t xml:space="preserve">  the NDA include safety and wellbeing </w:t>
      </w:r>
      <w:r w:rsidR="0004214A" w:rsidRPr="008A6201">
        <w:rPr>
          <w:b/>
          <w:i/>
          <w:sz w:val="20"/>
          <w:szCs w:val="20"/>
        </w:rPr>
        <w:t xml:space="preserve">and advocacy as shared responsibilities for </w:t>
      </w:r>
      <w:r w:rsidR="00B34142" w:rsidRPr="00B34142">
        <w:rPr>
          <w:b/>
          <w:i/>
          <w:sz w:val="20"/>
          <w:szCs w:val="20"/>
        </w:rPr>
        <w:t>government</w:t>
      </w:r>
      <w:r w:rsidR="008A6201">
        <w:rPr>
          <w:b/>
          <w:i/>
          <w:sz w:val="20"/>
          <w:szCs w:val="20"/>
        </w:rPr>
        <w:t>,</w:t>
      </w:r>
      <w:r w:rsidR="00B34142">
        <w:rPr>
          <w:b/>
          <w:i/>
          <w:sz w:val="20"/>
          <w:szCs w:val="20"/>
        </w:rPr>
        <w:t xml:space="preserve"> establish performance </w:t>
      </w:r>
      <w:r w:rsidR="0004214A" w:rsidRPr="008A6201">
        <w:rPr>
          <w:b/>
          <w:i/>
          <w:sz w:val="20"/>
          <w:szCs w:val="20"/>
        </w:rPr>
        <w:t xml:space="preserve">benchmarks </w:t>
      </w:r>
      <w:r w:rsidR="00B34142">
        <w:rPr>
          <w:b/>
          <w:i/>
          <w:sz w:val="20"/>
          <w:szCs w:val="20"/>
        </w:rPr>
        <w:t>and funding obligations</w:t>
      </w:r>
      <w:r w:rsidR="002B3E5A">
        <w:rPr>
          <w:b/>
          <w:i/>
          <w:sz w:val="20"/>
          <w:szCs w:val="20"/>
        </w:rPr>
        <w:t xml:space="preserve"> for advocacy services</w:t>
      </w:r>
      <w:r w:rsidR="00404BD5" w:rsidRPr="008A6201">
        <w:rPr>
          <w:b/>
          <w:i/>
          <w:sz w:val="20"/>
          <w:szCs w:val="20"/>
        </w:rPr>
        <w:t xml:space="preserve"> </w:t>
      </w:r>
    </w:p>
    <w:p w14:paraId="218560AB" w14:textId="77777777" w:rsidR="00D75E0D" w:rsidRPr="00982F7E" w:rsidRDefault="00876E3D" w:rsidP="00E415D0">
      <w:pPr>
        <w:rPr>
          <w:b/>
          <w:sz w:val="28"/>
          <w:szCs w:val="28"/>
        </w:rPr>
      </w:pPr>
      <w:r>
        <w:rPr>
          <w:b/>
          <w:sz w:val="28"/>
          <w:szCs w:val="28"/>
        </w:rPr>
        <w:t>LOCAL</w:t>
      </w:r>
      <w:r w:rsidR="00D75E0D" w:rsidRPr="00982F7E">
        <w:rPr>
          <w:b/>
          <w:sz w:val="28"/>
          <w:szCs w:val="28"/>
        </w:rPr>
        <w:t xml:space="preserve"> GOVERNMENTS</w:t>
      </w:r>
    </w:p>
    <w:p w14:paraId="14DA4E6D" w14:textId="77777777" w:rsidR="00D75E0D" w:rsidRPr="00EC16F6" w:rsidRDefault="0044658B" w:rsidP="00E415D0">
      <w:r>
        <w:t>S</w:t>
      </w:r>
      <w:r w:rsidR="00D75E0D" w:rsidRPr="00EC16F6">
        <w:t>pecialist disability service provision</w:t>
      </w:r>
      <w:r>
        <w:t xml:space="preserve">, such as </w:t>
      </w:r>
      <w:r w:rsidRPr="00EC16F6">
        <w:t>the delivery of services through the Home and Community Care (HACC) and the HACC Program for Young People</w:t>
      </w:r>
      <w:r>
        <w:t>,</w:t>
      </w:r>
      <w:r w:rsidR="00D75E0D" w:rsidRPr="00EC16F6">
        <w:t xml:space="preserve"> often occurs at the level of Local Government. </w:t>
      </w:r>
    </w:p>
    <w:p w14:paraId="15FF57F5" w14:textId="77777777" w:rsidR="00D75E0D" w:rsidRDefault="00D75E0D" w:rsidP="00E415D0">
      <w:r w:rsidRPr="00EC16F6">
        <w:t>To enhance accountability and to ensure the adequate provision of specialist disability services across all levels of government, Local Government</w:t>
      </w:r>
      <w:r w:rsidR="00241A38">
        <w:t>’s service provision role</w:t>
      </w:r>
      <w:r w:rsidRPr="00EC16F6">
        <w:t xml:space="preserve"> </w:t>
      </w:r>
      <w:r w:rsidR="00241A38">
        <w:t>must</w:t>
      </w:r>
      <w:r w:rsidRPr="00EC16F6">
        <w:t xml:space="preserve"> be incorporated in </w:t>
      </w:r>
      <w:r w:rsidR="00241A38">
        <w:t>a revised</w:t>
      </w:r>
      <w:r w:rsidRPr="00EC16F6">
        <w:t xml:space="preserve"> NDA</w:t>
      </w:r>
      <w:r w:rsidR="00241A38">
        <w:t xml:space="preserve"> and should </w:t>
      </w:r>
      <w:r w:rsidRPr="00EC16F6">
        <w:t>articulate the obligations of Local Government</w:t>
      </w:r>
      <w:r w:rsidR="00876E3D">
        <w:t>.</w:t>
      </w:r>
      <w:r w:rsidRPr="00EC16F6">
        <w:t xml:space="preserve"> </w:t>
      </w:r>
      <w:r w:rsidR="00876E3D">
        <w:t>T</w:t>
      </w:r>
      <w:r w:rsidRPr="00EC16F6">
        <w:t xml:space="preserve">he Australian Local Government Association should be a party to the </w:t>
      </w:r>
      <w:r w:rsidR="00876E3D">
        <w:t xml:space="preserve">NDA </w:t>
      </w:r>
      <w:r w:rsidRPr="00EC16F6">
        <w:t xml:space="preserve">agreement. </w:t>
      </w:r>
    </w:p>
    <w:p w14:paraId="7FDE19DB" w14:textId="0CA4EFB7" w:rsidR="00876E3D" w:rsidRPr="002940D5" w:rsidRDefault="002940D5" w:rsidP="00E415D0">
      <w:pPr>
        <w:rPr>
          <w:b/>
          <w:i/>
          <w:sz w:val="20"/>
          <w:szCs w:val="20"/>
        </w:rPr>
      </w:pPr>
      <w:r w:rsidRPr="002940D5">
        <w:rPr>
          <w:b/>
          <w:i/>
          <w:sz w:val="20"/>
          <w:szCs w:val="20"/>
        </w:rPr>
        <w:t>Recommendation 6</w:t>
      </w:r>
      <w:r w:rsidR="00876E3D" w:rsidRPr="002940D5">
        <w:rPr>
          <w:b/>
          <w:i/>
          <w:sz w:val="20"/>
          <w:szCs w:val="20"/>
        </w:rPr>
        <w:t>: the Australian Local Government Association is a party to any future NDA</w:t>
      </w:r>
      <w:r w:rsidRPr="002940D5">
        <w:rPr>
          <w:b/>
          <w:i/>
          <w:sz w:val="20"/>
          <w:szCs w:val="20"/>
        </w:rPr>
        <w:t>.</w:t>
      </w:r>
    </w:p>
    <w:p w14:paraId="0692EE2F" w14:textId="77777777" w:rsidR="000139F9" w:rsidRPr="00EC16F6" w:rsidRDefault="000139F9" w:rsidP="00E415D0">
      <w:pPr>
        <w:rPr>
          <w:b/>
          <w:sz w:val="28"/>
          <w:szCs w:val="28"/>
        </w:rPr>
      </w:pPr>
      <w:r w:rsidRPr="00EC16F6">
        <w:rPr>
          <w:b/>
          <w:sz w:val="28"/>
          <w:szCs w:val="28"/>
        </w:rPr>
        <w:t xml:space="preserve">PERFOMANCE </w:t>
      </w:r>
      <w:r w:rsidR="00E73F0F" w:rsidRPr="00EC16F6">
        <w:rPr>
          <w:b/>
          <w:sz w:val="28"/>
          <w:szCs w:val="28"/>
        </w:rPr>
        <w:t xml:space="preserve">REPORTING </w:t>
      </w:r>
      <w:r w:rsidRPr="00EC16F6">
        <w:rPr>
          <w:b/>
          <w:sz w:val="28"/>
          <w:szCs w:val="28"/>
        </w:rPr>
        <w:t xml:space="preserve">FRAMEWORK </w:t>
      </w:r>
    </w:p>
    <w:p w14:paraId="4DC82BDC" w14:textId="77777777" w:rsidR="00EA54B3" w:rsidRPr="00EC16F6" w:rsidRDefault="00876E3D" w:rsidP="00E415D0">
      <w:r>
        <w:t>T</w:t>
      </w:r>
      <w:r w:rsidR="00EA54B3" w:rsidRPr="00EC16F6">
        <w:t xml:space="preserve">he current performance and reporting framework </w:t>
      </w:r>
      <w:r w:rsidR="003607EA">
        <w:t xml:space="preserve">must be revised </w:t>
      </w:r>
      <w:r w:rsidR="00EA54B3" w:rsidRPr="00EC16F6">
        <w:t xml:space="preserve">to provide clearer connection between objectives, outcomes and outputs and performance indicators and benchmarks. </w:t>
      </w:r>
      <w:r w:rsidR="003607EA">
        <w:t>As they presently stand, the NDA’s</w:t>
      </w:r>
      <w:r w:rsidR="00EA54B3" w:rsidRPr="00EC16F6">
        <w:t xml:space="preserve"> indicators and benchmarks lack nuance and a clear connection to the </w:t>
      </w:r>
      <w:r w:rsidR="00C7164D" w:rsidRPr="00EC16F6">
        <w:t>lived</w:t>
      </w:r>
      <w:r w:rsidR="00EA54B3" w:rsidRPr="00EC16F6">
        <w:t xml:space="preserve"> experience of people with disability. </w:t>
      </w:r>
    </w:p>
    <w:p w14:paraId="134765E6" w14:textId="77777777" w:rsidR="008D51A4" w:rsidRPr="00EC16F6" w:rsidRDefault="00EA54B3" w:rsidP="008D51A4">
      <w:r w:rsidRPr="00EC16F6">
        <w:t xml:space="preserve">For example, </w:t>
      </w:r>
      <w:r w:rsidR="008D51A4" w:rsidRPr="00EC16F6">
        <w:t xml:space="preserve">the degree to which people with disability achieve economic participation, the quality of that participation and the action required to address poor employment outcomes </w:t>
      </w:r>
      <w:r w:rsidR="003F36A3">
        <w:t>cannot be</w:t>
      </w:r>
      <w:r w:rsidR="008D51A4" w:rsidRPr="00EC16F6">
        <w:t xml:space="preserve"> captured by the percentage of people with disability participating in the labour force. </w:t>
      </w:r>
      <w:r w:rsidR="003F36A3">
        <w:t xml:space="preserve">Rates of </w:t>
      </w:r>
      <w:r w:rsidR="008D51A4" w:rsidRPr="00EC16F6">
        <w:t>underemployment, self-employment or related issues around discrimination</w:t>
      </w:r>
      <w:r w:rsidR="008D51A4" w:rsidRPr="00EC16F6">
        <w:rPr>
          <w:rStyle w:val="FootnoteReference"/>
        </w:rPr>
        <w:footnoteReference w:id="17"/>
      </w:r>
      <w:r w:rsidR="008D51A4" w:rsidRPr="00EC16F6">
        <w:t>, ne</w:t>
      </w:r>
      <w:r w:rsidR="008D51A4" w:rsidRPr="00982F7E">
        <w:t>gative attitudes, and barriers to accessibility such as transport and standardised job assessments, limited resources and access to information and low expectations</w:t>
      </w:r>
      <w:r w:rsidR="003F36A3">
        <w:t>, are rarely taken into account.</w:t>
      </w:r>
      <w:r w:rsidR="008D51A4" w:rsidRPr="00EC16F6">
        <w:rPr>
          <w:rStyle w:val="FootnoteReference"/>
        </w:rPr>
        <w:footnoteReference w:id="18"/>
      </w:r>
      <w:r w:rsidR="008D51A4" w:rsidRPr="00982F7E">
        <w:t xml:space="preserve"> </w:t>
      </w:r>
    </w:p>
    <w:p w14:paraId="351CED44" w14:textId="77777777" w:rsidR="00EE0A72" w:rsidRPr="00EC16F6" w:rsidRDefault="003F36A3" w:rsidP="00EE0A72">
      <w:pPr>
        <w:spacing w:after="0" w:line="240" w:lineRule="auto"/>
        <w:contextualSpacing/>
        <w:rPr>
          <w:b/>
          <w:i/>
          <w:sz w:val="20"/>
          <w:szCs w:val="20"/>
        </w:rPr>
      </w:pPr>
      <w:r>
        <w:t>T</w:t>
      </w:r>
      <w:r w:rsidR="008D51A4" w:rsidRPr="00EC16F6">
        <w:t xml:space="preserve">he fundamental principle underpinning a revised </w:t>
      </w:r>
      <w:r>
        <w:t xml:space="preserve">NDA </w:t>
      </w:r>
      <w:r w:rsidR="008D51A4" w:rsidRPr="00EC16F6">
        <w:t xml:space="preserve">performance and reporting framework </w:t>
      </w:r>
      <w:r>
        <w:t>must</w:t>
      </w:r>
      <w:r w:rsidR="008D51A4" w:rsidRPr="00EC16F6">
        <w:t xml:space="preserve"> be accountability. A revised </w:t>
      </w:r>
      <w:r w:rsidR="008C4B8C">
        <w:t xml:space="preserve">NDA </w:t>
      </w:r>
      <w:r w:rsidR="008D51A4" w:rsidRPr="00EC16F6">
        <w:t xml:space="preserve">framework should therefore seek to provide maximum transparency and accountability to ensure </w:t>
      </w:r>
      <w:r w:rsidR="008C4B8C">
        <w:t xml:space="preserve">that </w:t>
      </w:r>
      <w:r w:rsidR="008D51A4" w:rsidRPr="00EC16F6">
        <w:t xml:space="preserve">governments meet their </w:t>
      </w:r>
      <w:r w:rsidR="008C4B8C">
        <w:t xml:space="preserve">NDA </w:t>
      </w:r>
      <w:r w:rsidR="008D51A4" w:rsidRPr="00EC16F6">
        <w:t>obligatio</w:t>
      </w:r>
      <w:r w:rsidR="008C4B8C">
        <w:t>ns</w:t>
      </w:r>
      <w:r w:rsidR="008D51A4" w:rsidRPr="00EC16F6">
        <w:t>.</w:t>
      </w:r>
      <w:r w:rsidR="008D51A4" w:rsidRPr="00EC16F6">
        <w:br/>
      </w:r>
    </w:p>
    <w:p w14:paraId="31C712D6" w14:textId="77777777" w:rsidR="00EE0A72" w:rsidRPr="00982F7E" w:rsidRDefault="00DE34F2" w:rsidP="00EE0A72">
      <w:pPr>
        <w:spacing w:after="0" w:line="240" w:lineRule="auto"/>
        <w:contextualSpacing/>
        <w:rPr>
          <w:b/>
          <w:i/>
          <w:sz w:val="20"/>
          <w:szCs w:val="20"/>
        </w:rPr>
      </w:pPr>
      <w:r w:rsidRPr="00EC16F6">
        <w:rPr>
          <w:b/>
        </w:rPr>
        <w:t>Data</w:t>
      </w:r>
    </w:p>
    <w:p w14:paraId="3D2A5A02" w14:textId="77777777" w:rsidR="00EE0A72" w:rsidRPr="00EC16F6" w:rsidRDefault="00EE0A72" w:rsidP="00EE0A72">
      <w:pPr>
        <w:spacing w:after="0" w:line="240" w:lineRule="auto"/>
        <w:contextualSpacing/>
        <w:rPr>
          <w:b/>
          <w:i/>
          <w:sz w:val="20"/>
          <w:szCs w:val="20"/>
        </w:rPr>
      </w:pPr>
    </w:p>
    <w:p w14:paraId="1CCBD665" w14:textId="77777777" w:rsidR="00EE688D" w:rsidRPr="00EC16F6" w:rsidRDefault="00EE0A72" w:rsidP="00EE688D">
      <w:pPr>
        <w:spacing w:after="0" w:line="240" w:lineRule="auto"/>
        <w:contextualSpacing/>
      </w:pPr>
      <w:r w:rsidRPr="00EC16F6">
        <w:t xml:space="preserve">A strong performance and reporting framework needs a robust and comprehensive data set to draw from. </w:t>
      </w:r>
      <w:r w:rsidR="00A27857">
        <w:t xml:space="preserve">As part of its review of the NDA, the Productivity Commission should </w:t>
      </w:r>
      <w:r w:rsidR="00EE688D" w:rsidRPr="00EC16F6">
        <w:t xml:space="preserve">identify data gaps and determine how the NDA could better utilise existing data sets.  </w:t>
      </w:r>
      <w:r w:rsidR="00640BA9">
        <w:t>Having identified these data gaps, the Productivity Commission should recommend</w:t>
      </w:r>
      <w:r w:rsidR="00D82AD2">
        <w:t xml:space="preserve"> a detailed audit of existing data collection methods.</w:t>
      </w:r>
      <w:r w:rsidR="00640BA9">
        <w:t xml:space="preserve"> </w:t>
      </w:r>
    </w:p>
    <w:p w14:paraId="52ECA819" w14:textId="77777777" w:rsidR="00EA54B3" w:rsidRPr="00EC16F6" w:rsidRDefault="00EA54B3" w:rsidP="00EE0A72">
      <w:pPr>
        <w:spacing w:after="0" w:line="240" w:lineRule="auto"/>
        <w:contextualSpacing/>
      </w:pPr>
    </w:p>
    <w:p w14:paraId="5BF9A4E4" w14:textId="77777777" w:rsidR="009567DB" w:rsidRPr="00EC16F6" w:rsidRDefault="009567DB" w:rsidP="00EE0A72">
      <w:pPr>
        <w:spacing w:after="0" w:line="240" w:lineRule="auto"/>
        <w:contextualSpacing/>
      </w:pPr>
      <w:r w:rsidRPr="00EC16F6">
        <w:t xml:space="preserve">For example, the NDIS collects a significant amount of data for reporting purposes </w:t>
      </w:r>
      <w:r w:rsidR="009370F5">
        <w:t>that</w:t>
      </w:r>
      <w:r w:rsidRPr="00EC16F6">
        <w:t xml:space="preserve"> is currently outside the scope of data used to report against the NDA. This data may provide important insight </w:t>
      </w:r>
      <w:r w:rsidR="009245A0">
        <w:t>about</w:t>
      </w:r>
      <w:r w:rsidRPr="00EC16F6">
        <w:t xml:space="preserve"> the use of specialist disability services, unmet need and outcomes for people with </w:t>
      </w:r>
      <w:r w:rsidR="009245A0" w:rsidRPr="00EC16F6">
        <w:t>disability that</w:t>
      </w:r>
      <w:r w:rsidRPr="00EC16F6">
        <w:t xml:space="preserve"> is directly relevant to the NDA. </w:t>
      </w:r>
    </w:p>
    <w:p w14:paraId="1337A88E" w14:textId="77777777" w:rsidR="00EE688D" w:rsidRPr="00EC16F6" w:rsidRDefault="00EE688D" w:rsidP="00EE0A72">
      <w:pPr>
        <w:spacing w:after="0" w:line="240" w:lineRule="auto"/>
        <w:contextualSpacing/>
      </w:pPr>
    </w:p>
    <w:p w14:paraId="594A0E60" w14:textId="77777777" w:rsidR="00EE688D" w:rsidRPr="00EC16F6" w:rsidRDefault="00D82AD2" w:rsidP="00EE688D">
      <w:pPr>
        <w:spacing w:after="0" w:line="240" w:lineRule="auto"/>
        <w:contextualSpacing/>
      </w:pPr>
      <w:r>
        <w:t>Should</w:t>
      </w:r>
      <w:r w:rsidR="00EE688D" w:rsidRPr="00EC16F6">
        <w:t xml:space="preserve"> </w:t>
      </w:r>
      <w:r>
        <w:t>an</w:t>
      </w:r>
      <w:r w:rsidR="00EE688D" w:rsidRPr="00EC16F6">
        <w:t xml:space="preserve"> audit </w:t>
      </w:r>
      <w:r>
        <w:t>of data gaps be</w:t>
      </w:r>
      <w:r w:rsidR="00EE688D" w:rsidRPr="00EC16F6">
        <w:t xml:space="preserve"> undertaken</w:t>
      </w:r>
      <w:r w:rsidR="009F2FD9">
        <w:t>, it should align with</w:t>
      </w:r>
      <w:r w:rsidR="00EE688D" w:rsidRPr="00EC16F6">
        <w:t xml:space="preserve"> Australia</w:t>
      </w:r>
      <w:r w:rsidR="009F2FD9">
        <w:t>’s</w:t>
      </w:r>
      <w:r w:rsidR="00EE688D" w:rsidRPr="00EC16F6">
        <w:t xml:space="preserve"> obligations under the CRPD. This includes:</w:t>
      </w:r>
    </w:p>
    <w:p w14:paraId="09165AF6" w14:textId="77777777" w:rsidR="00EE688D" w:rsidRPr="008A6201" w:rsidRDefault="00EE688D" w:rsidP="00EE688D">
      <w:pPr>
        <w:spacing w:after="0" w:line="240" w:lineRule="auto"/>
        <w:contextualSpacing/>
      </w:pPr>
      <w:r w:rsidRPr="00EC16F6">
        <w:t xml:space="preserve"> </w:t>
      </w:r>
    </w:p>
    <w:p w14:paraId="39AC39ED" w14:textId="77777777" w:rsidR="00EE688D" w:rsidRPr="00982F7E" w:rsidRDefault="00EE688D" w:rsidP="00EE688D">
      <w:pPr>
        <w:spacing w:after="0" w:line="240" w:lineRule="auto"/>
        <w:contextualSpacing/>
        <w:rPr>
          <w:rFonts w:cs="Helvetica"/>
          <w:i/>
          <w:color w:val="000000"/>
          <w:shd w:val="clear" w:color="auto" w:fill="FFFFFF"/>
        </w:rPr>
      </w:pPr>
      <w:r w:rsidRPr="00982F7E">
        <w:rPr>
          <w:rFonts w:cs="Helvetica"/>
          <w:i/>
          <w:color w:val="000000"/>
          <w:shd w:val="clear" w:color="auto" w:fill="FFFFFF"/>
        </w:rPr>
        <w:t>‘The information collected in accordance with this article shall be disaggre</w:t>
      </w:r>
      <w:r w:rsidRPr="00EC16F6">
        <w:rPr>
          <w:rFonts w:cs="Helvetica"/>
          <w:i/>
          <w:color w:val="000000"/>
          <w:shd w:val="clear" w:color="auto" w:fill="FFFFFF"/>
        </w:rPr>
        <w:t>gated, as appropriate, and used to help assess the implementation of States Parties’ obligations under the present Convention and to identify and address the barriers faced by persons with disabilities in exercising their rights.’</w:t>
      </w:r>
      <w:r w:rsidRPr="00982F7E">
        <w:rPr>
          <w:rStyle w:val="FootnoteReference"/>
          <w:rFonts w:cs="Helvetica"/>
          <w:i/>
          <w:color w:val="000000"/>
          <w:shd w:val="clear" w:color="auto" w:fill="FFFFFF"/>
        </w:rPr>
        <w:footnoteReference w:id="19"/>
      </w:r>
    </w:p>
    <w:p w14:paraId="1F371988" w14:textId="77777777" w:rsidR="00EE688D" w:rsidRPr="00EC16F6" w:rsidRDefault="00EE688D" w:rsidP="00EE0A72">
      <w:pPr>
        <w:spacing w:after="0" w:line="240" w:lineRule="auto"/>
        <w:contextualSpacing/>
      </w:pPr>
    </w:p>
    <w:p w14:paraId="1FDB477B" w14:textId="77777777" w:rsidR="00EE688D" w:rsidRPr="00EC16F6" w:rsidRDefault="009F2FD9" w:rsidP="00EE0A72">
      <w:pPr>
        <w:spacing w:after="0" w:line="240" w:lineRule="auto"/>
        <w:contextualSpacing/>
      </w:pPr>
      <w:r>
        <w:t>While</w:t>
      </w:r>
      <w:r w:rsidR="00EE688D" w:rsidRPr="00EC16F6">
        <w:t xml:space="preserve"> the Survey of Disability, Ageing and Carers (SDAC) </w:t>
      </w:r>
      <w:r>
        <w:t>remains</w:t>
      </w:r>
      <w:r w:rsidR="00EE688D" w:rsidRPr="00EC16F6">
        <w:t xml:space="preserve"> an important mechanism for the collection of data regarding people with disability</w:t>
      </w:r>
      <w:r>
        <w:t>,</w:t>
      </w:r>
      <w:r w:rsidR="00EE688D" w:rsidRPr="00EC16F6">
        <w:t xml:space="preserve"> the utility and relevance of SDAC could be further enhanced by increasing the regularity with which it is undertaken</w:t>
      </w:r>
      <w:r w:rsidR="009D7DCB">
        <w:t>.</w:t>
      </w:r>
      <w:r w:rsidR="00EE688D" w:rsidRPr="00EC16F6">
        <w:t xml:space="preserve"> </w:t>
      </w:r>
      <w:r w:rsidR="009D7DCB">
        <w:t>B</w:t>
      </w:r>
      <w:r w:rsidR="00EE688D" w:rsidRPr="00EC16F6">
        <w:t xml:space="preserve">roadening the scope of data collected </w:t>
      </w:r>
      <w:r w:rsidR="009D7DCB">
        <w:t>would also</w:t>
      </w:r>
      <w:r w:rsidR="00EE688D" w:rsidRPr="00EC16F6">
        <w:t xml:space="preserve"> give a more comprehensive picture of the </w:t>
      </w:r>
      <w:r w:rsidR="006C42D3" w:rsidRPr="00EC16F6">
        <w:t xml:space="preserve">systemic barriers experienced by people with disability. </w:t>
      </w:r>
    </w:p>
    <w:p w14:paraId="3A5201B1" w14:textId="77777777" w:rsidR="00EE0A72" w:rsidRPr="00EC16F6" w:rsidRDefault="00EE0A72" w:rsidP="00EE0A72">
      <w:pPr>
        <w:spacing w:after="0" w:line="240" w:lineRule="auto"/>
        <w:contextualSpacing/>
      </w:pPr>
    </w:p>
    <w:p w14:paraId="7717AC21" w14:textId="30379320" w:rsidR="009567DB" w:rsidRPr="00EC16F6" w:rsidRDefault="00EE0A72" w:rsidP="00EE0A72">
      <w:pPr>
        <w:spacing w:after="0" w:line="240" w:lineRule="auto"/>
        <w:contextualSpacing/>
        <w:rPr>
          <w:b/>
          <w:i/>
          <w:sz w:val="20"/>
          <w:szCs w:val="20"/>
        </w:rPr>
      </w:pPr>
      <w:r w:rsidRPr="00EC16F6">
        <w:rPr>
          <w:b/>
          <w:i/>
          <w:sz w:val="20"/>
          <w:szCs w:val="20"/>
        </w:rPr>
        <w:t xml:space="preserve">Recommendation </w:t>
      </w:r>
      <w:r w:rsidR="002940D5">
        <w:rPr>
          <w:b/>
          <w:i/>
          <w:sz w:val="20"/>
          <w:szCs w:val="20"/>
        </w:rPr>
        <w:t>7</w:t>
      </w:r>
      <w:r w:rsidRPr="00EC16F6">
        <w:rPr>
          <w:b/>
          <w:i/>
          <w:sz w:val="20"/>
          <w:szCs w:val="20"/>
        </w:rPr>
        <w:t>:</w:t>
      </w:r>
      <w:r w:rsidR="00404BD5" w:rsidRPr="008A6201">
        <w:rPr>
          <w:b/>
          <w:i/>
          <w:sz w:val="20"/>
          <w:szCs w:val="20"/>
        </w:rPr>
        <w:t xml:space="preserve"> The Productivity Commission </w:t>
      </w:r>
      <w:r w:rsidR="001209E6" w:rsidRPr="008A6201">
        <w:rPr>
          <w:b/>
          <w:i/>
          <w:sz w:val="20"/>
          <w:szCs w:val="20"/>
        </w:rPr>
        <w:t>analyse data sets relevant to disability services</w:t>
      </w:r>
      <w:r w:rsidR="00704F95" w:rsidRPr="008A6201">
        <w:rPr>
          <w:b/>
          <w:i/>
          <w:sz w:val="20"/>
          <w:szCs w:val="20"/>
        </w:rPr>
        <w:t xml:space="preserve"> and recommend a framework for data collection for the NDA</w:t>
      </w:r>
      <w:r w:rsidR="009D7DCB">
        <w:rPr>
          <w:b/>
          <w:i/>
          <w:sz w:val="20"/>
          <w:szCs w:val="20"/>
        </w:rPr>
        <w:t>.</w:t>
      </w:r>
    </w:p>
    <w:p w14:paraId="62335D1B" w14:textId="77777777" w:rsidR="00EE0A72" w:rsidRPr="00EC16F6" w:rsidRDefault="00EE0A72" w:rsidP="00EE0A72">
      <w:pPr>
        <w:spacing w:after="0" w:line="240" w:lineRule="auto"/>
        <w:contextualSpacing/>
        <w:rPr>
          <w:b/>
          <w:sz w:val="20"/>
          <w:szCs w:val="20"/>
        </w:rPr>
      </w:pPr>
    </w:p>
    <w:p w14:paraId="5D6BCF25" w14:textId="77777777" w:rsidR="00CA26B5" w:rsidRDefault="00CC066C" w:rsidP="008A6201">
      <w:pPr>
        <w:spacing w:after="0" w:line="240" w:lineRule="auto"/>
        <w:rPr>
          <w:b/>
          <w:sz w:val="28"/>
          <w:szCs w:val="28"/>
        </w:rPr>
      </w:pPr>
      <w:r w:rsidRPr="00EC16F6">
        <w:rPr>
          <w:b/>
          <w:sz w:val="28"/>
          <w:szCs w:val="28"/>
        </w:rPr>
        <w:t>CONTACT</w:t>
      </w:r>
    </w:p>
    <w:p w14:paraId="41406E40" w14:textId="77777777" w:rsidR="003A78EF" w:rsidRDefault="003A78EF" w:rsidP="00EF169A">
      <w:pPr>
        <w:spacing w:after="0" w:line="240" w:lineRule="auto"/>
        <w:contextualSpacing/>
      </w:pPr>
    </w:p>
    <w:p w14:paraId="6AB9F593" w14:textId="77777777" w:rsidR="00EF169A" w:rsidRPr="00EF169A" w:rsidRDefault="00EF169A" w:rsidP="00EF169A">
      <w:pPr>
        <w:spacing w:after="0" w:line="240" w:lineRule="auto"/>
        <w:contextualSpacing/>
      </w:pPr>
      <w:r w:rsidRPr="00EF169A">
        <w:t>Stephanie Gotlib</w:t>
      </w:r>
    </w:p>
    <w:p w14:paraId="7B0EFE56" w14:textId="77777777" w:rsidR="00EF169A" w:rsidRPr="00EF169A" w:rsidRDefault="00EF169A" w:rsidP="00EF169A">
      <w:pPr>
        <w:spacing w:after="0" w:line="240" w:lineRule="auto"/>
        <w:contextualSpacing/>
      </w:pPr>
      <w:r w:rsidRPr="00EF169A">
        <w:t>Chief Executive Officer</w:t>
      </w:r>
    </w:p>
    <w:p w14:paraId="0940312A" w14:textId="77777777" w:rsidR="00EF169A" w:rsidRPr="00EF169A" w:rsidRDefault="00EF169A" w:rsidP="00EF169A">
      <w:pPr>
        <w:spacing w:after="0" w:line="240" w:lineRule="auto"/>
        <w:contextualSpacing/>
      </w:pPr>
      <w:r w:rsidRPr="00EF169A">
        <w:t>Children and Young People with Disability Australia</w:t>
      </w:r>
    </w:p>
    <w:p w14:paraId="560633A4" w14:textId="5FC7335E" w:rsidR="00EF169A" w:rsidRPr="00EF169A" w:rsidRDefault="00EF169A" w:rsidP="00EF169A">
      <w:pPr>
        <w:spacing w:after="0" w:line="240" w:lineRule="auto"/>
        <w:contextualSpacing/>
      </w:pPr>
    </w:p>
    <w:p w14:paraId="46F809FF" w14:textId="77777777" w:rsidR="00EF169A" w:rsidRPr="00EF169A" w:rsidRDefault="008B5738" w:rsidP="00EF169A">
      <w:pPr>
        <w:spacing w:after="0" w:line="240" w:lineRule="auto"/>
      </w:pPr>
      <w:hyperlink r:id="rId8" w:history="1">
        <w:r w:rsidR="00EF169A" w:rsidRPr="00EF169A">
          <w:rPr>
            <w:color w:val="0563C1" w:themeColor="hyperlink"/>
            <w:u w:val="single"/>
          </w:rPr>
          <w:t>www.cyda.org.au</w:t>
        </w:r>
      </w:hyperlink>
    </w:p>
    <w:p w14:paraId="34A4594C" w14:textId="77777777" w:rsidR="00EF169A" w:rsidRPr="00EF169A" w:rsidRDefault="00EF169A" w:rsidP="00EF169A">
      <w:pPr>
        <w:spacing w:after="0" w:line="240" w:lineRule="auto"/>
      </w:pPr>
    </w:p>
    <w:p w14:paraId="20029466" w14:textId="0BA71D5E" w:rsidR="00EF169A" w:rsidRPr="00EF169A" w:rsidRDefault="00EF169A" w:rsidP="00EF169A">
      <w:pPr>
        <w:spacing w:after="0"/>
      </w:pPr>
      <w:r>
        <w:t>Alan Blackwood</w:t>
      </w:r>
    </w:p>
    <w:p w14:paraId="1E03D417" w14:textId="7E645838" w:rsidR="00EF169A" w:rsidRPr="00EF169A" w:rsidRDefault="00EF169A" w:rsidP="00EF169A">
      <w:pPr>
        <w:spacing w:after="0"/>
      </w:pPr>
      <w:r>
        <w:t>Policy</w:t>
      </w:r>
      <w:r w:rsidRPr="00EF169A">
        <w:t xml:space="preserve"> Direc</w:t>
      </w:r>
      <w:r>
        <w:t>to</w:t>
      </w:r>
      <w:r w:rsidRPr="00EF169A">
        <w:t>r</w:t>
      </w:r>
    </w:p>
    <w:p w14:paraId="13EC3154" w14:textId="77777777" w:rsidR="00EF169A" w:rsidRPr="00EF169A" w:rsidRDefault="00EF169A" w:rsidP="00EF169A">
      <w:pPr>
        <w:spacing w:after="0"/>
      </w:pPr>
      <w:r w:rsidRPr="00EF169A">
        <w:t>Young People in Nursing Homes National Alliance</w:t>
      </w:r>
    </w:p>
    <w:p w14:paraId="7AD6C909" w14:textId="7AE935F0" w:rsidR="00EF169A" w:rsidRDefault="00EF169A" w:rsidP="00EF169A">
      <w:pPr>
        <w:spacing w:after="0"/>
      </w:pPr>
    </w:p>
    <w:p w14:paraId="435BCF38" w14:textId="6A3EF646" w:rsidR="00144538" w:rsidRPr="00EF169A" w:rsidRDefault="008B5738" w:rsidP="00EF169A">
      <w:pPr>
        <w:spacing w:after="0"/>
      </w:pPr>
      <w:hyperlink r:id="rId9" w:history="1">
        <w:r w:rsidR="00144538" w:rsidRPr="000B6DB6">
          <w:rPr>
            <w:rStyle w:val="Hyperlink"/>
          </w:rPr>
          <w:t>www.ypinh.org.au</w:t>
        </w:r>
      </w:hyperlink>
      <w:r w:rsidR="00144538">
        <w:t xml:space="preserve"> </w:t>
      </w:r>
    </w:p>
    <w:p w14:paraId="63333090" w14:textId="77777777" w:rsidR="00EF169A" w:rsidRPr="00CC066C" w:rsidRDefault="00EF169A" w:rsidP="00793087">
      <w:pPr>
        <w:rPr>
          <w:rFonts w:cs="Arial"/>
          <w:color w:val="000000"/>
        </w:rPr>
      </w:pPr>
    </w:p>
    <w:sectPr w:rsidR="00EF169A" w:rsidRPr="00CC066C" w:rsidSect="00205F5A">
      <w:footerReference w:type="default" r:id="rId10"/>
      <w:pgSz w:w="11906" w:h="16838"/>
      <w:pgMar w:top="1361"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FC50B" w16cid:durableId="1F1D56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7BCF0" w14:textId="77777777" w:rsidR="005B2627" w:rsidRDefault="005B2627" w:rsidP="00563B01">
      <w:pPr>
        <w:spacing w:after="0" w:line="240" w:lineRule="auto"/>
      </w:pPr>
      <w:r>
        <w:separator/>
      </w:r>
    </w:p>
  </w:endnote>
  <w:endnote w:type="continuationSeparator" w:id="0">
    <w:p w14:paraId="5C1FB0D7" w14:textId="77777777" w:rsidR="005B2627" w:rsidRDefault="005B2627" w:rsidP="0056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Neue-Bold">
    <w:altName w:val="Helvetica Neu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8B4E" w14:textId="36C008A3" w:rsidR="00EF169A" w:rsidRPr="0075153D" w:rsidRDefault="00EF169A" w:rsidP="00EF169A">
    <w:pPr>
      <w:pStyle w:val="Footer"/>
      <w:pBdr>
        <w:top w:val="thinThickSmallGap" w:sz="24" w:space="1" w:color="823B0B" w:themeColor="accent2" w:themeShade="7F"/>
      </w:pBdr>
      <w:rPr>
        <w:rFonts w:eastAsiaTheme="majorEastAsia" w:cstheme="majorBidi"/>
        <w:sz w:val="19"/>
        <w:szCs w:val="19"/>
      </w:rPr>
    </w:pPr>
    <w:r w:rsidRPr="00EF169A">
      <w:rPr>
        <w:rFonts w:eastAsiaTheme="majorEastAsia" w:cstheme="majorBidi"/>
        <w:sz w:val="19"/>
        <w:szCs w:val="19"/>
      </w:rPr>
      <w:t xml:space="preserve"> </w:t>
    </w:r>
    <w:r w:rsidRPr="0075153D">
      <w:rPr>
        <w:rFonts w:eastAsiaTheme="majorEastAsia" w:cstheme="majorBidi"/>
        <w:sz w:val="19"/>
        <w:szCs w:val="19"/>
      </w:rPr>
      <w:t>Children and Young People with Disability Australia and Young People in Nursing Homes National Alliance</w:t>
    </w:r>
    <w:r w:rsidRPr="0075153D">
      <w:rPr>
        <w:rFonts w:eastAsiaTheme="majorEastAsia" w:cstheme="majorBidi"/>
        <w:sz w:val="19"/>
        <w:szCs w:val="19"/>
      </w:rPr>
      <w:ptab w:relativeTo="margin" w:alignment="right" w:leader="none"/>
    </w:r>
    <w:r w:rsidRPr="0075153D">
      <w:rPr>
        <w:rFonts w:eastAsiaTheme="majorEastAsia" w:cstheme="majorBidi"/>
        <w:sz w:val="19"/>
        <w:szCs w:val="19"/>
      </w:rPr>
      <w:t xml:space="preserve">Page </w:t>
    </w:r>
    <w:r w:rsidRPr="0075153D">
      <w:rPr>
        <w:rFonts w:eastAsiaTheme="minorEastAsia"/>
        <w:sz w:val="19"/>
        <w:szCs w:val="19"/>
      </w:rPr>
      <w:fldChar w:fldCharType="begin"/>
    </w:r>
    <w:r w:rsidRPr="0075153D">
      <w:rPr>
        <w:sz w:val="19"/>
        <w:szCs w:val="19"/>
      </w:rPr>
      <w:instrText xml:space="preserve"> PAGE   \* MERGEFORMAT </w:instrText>
    </w:r>
    <w:r w:rsidRPr="0075153D">
      <w:rPr>
        <w:rFonts w:eastAsiaTheme="minorEastAsia"/>
        <w:sz w:val="19"/>
        <w:szCs w:val="19"/>
      </w:rPr>
      <w:fldChar w:fldCharType="separate"/>
    </w:r>
    <w:r w:rsidR="008B5738" w:rsidRPr="008B5738">
      <w:rPr>
        <w:rFonts w:eastAsiaTheme="majorEastAsia" w:cstheme="majorBidi"/>
        <w:noProof/>
        <w:sz w:val="19"/>
        <w:szCs w:val="19"/>
      </w:rPr>
      <w:t>2</w:t>
    </w:r>
    <w:r w:rsidRPr="0075153D">
      <w:rPr>
        <w:rFonts w:eastAsiaTheme="majorEastAsia" w:cstheme="majorBidi"/>
        <w:noProof/>
        <w:sz w:val="19"/>
        <w:szCs w:val="19"/>
      </w:rPr>
      <w:fldChar w:fldCharType="end"/>
    </w:r>
  </w:p>
  <w:p w14:paraId="22797532" w14:textId="4CED6B3A" w:rsidR="009D7DCB" w:rsidRDefault="009D7DCB">
    <w:pPr>
      <w:pStyle w:val="Footer"/>
      <w:jc w:val="right"/>
    </w:pPr>
  </w:p>
  <w:p w14:paraId="2891B963" w14:textId="77777777" w:rsidR="009D7DCB" w:rsidRDefault="009D7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B872" w14:textId="77777777" w:rsidR="005B2627" w:rsidRDefault="005B2627" w:rsidP="00563B01">
      <w:pPr>
        <w:spacing w:after="0" w:line="240" w:lineRule="auto"/>
      </w:pPr>
      <w:r>
        <w:separator/>
      </w:r>
    </w:p>
  </w:footnote>
  <w:footnote w:type="continuationSeparator" w:id="0">
    <w:p w14:paraId="3B2DB70D" w14:textId="77777777" w:rsidR="005B2627" w:rsidRDefault="005B2627" w:rsidP="00563B01">
      <w:pPr>
        <w:spacing w:after="0" w:line="240" w:lineRule="auto"/>
      </w:pPr>
      <w:r>
        <w:continuationSeparator/>
      </w:r>
    </w:p>
  </w:footnote>
  <w:footnote w:id="1">
    <w:p w14:paraId="0A960B21" w14:textId="77777777" w:rsidR="009D7DCB" w:rsidRDefault="009D7DCB" w:rsidP="006756A7">
      <w:pPr>
        <w:pStyle w:val="FootnoteText"/>
      </w:pPr>
      <w:r>
        <w:rPr>
          <w:rStyle w:val="FootnoteReference"/>
        </w:rPr>
        <w:footnoteRef/>
      </w:r>
      <w:r>
        <w:t xml:space="preserve"> Council of Australian Governments 2009, </w:t>
      </w:r>
      <w:r w:rsidRPr="00D01909">
        <w:rPr>
          <w:i/>
        </w:rPr>
        <w:t>National Disability Agreement</w:t>
      </w:r>
      <w:r>
        <w:t xml:space="preserve">, </w:t>
      </w:r>
      <w:hyperlink r:id="rId1" w:history="1">
        <w:r w:rsidRPr="009D2391">
          <w:rPr>
            <w:rStyle w:val="Hyperlink"/>
          </w:rPr>
          <w:t>https://bit.ly/2wlr9EE</w:t>
        </w:r>
      </w:hyperlink>
      <w:r>
        <w:t xml:space="preserve"> </w:t>
      </w:r>
    </w:p>
  </w:footnote>
  <w:footnote w:id="2">
    <w:p w14:paraId="3935B9AC" w14:textId="77777777" w:rsidR="009D7DCB" w:rsidRDefault="009D7DCB" w:rsidP="006756A7">
      <w:pPr>
        <w:pStyle w:val="FootnoteText"/>
      </w:pPr>
      <w:r>
        <w:rPr>
          <w:rStyle w:val="FootnoteReference"/>
        </w:rPr>
        <w:footnoteRef/>
      </w:r>
      <w:r>
        <w:t xml:space="preserve"> Commonwealth of Australia 2011, </w:t>
      </w:r>
      <w:r w:rsidRPr="00F23660">
        <w:rPr>
          <w:i/>
        </w:rPr>
        <w:t>National Disability Strategy 2010-2020</w:t>
      </w:r>
      <w:r>
        <w:rPr>
          <w:i/>
        </w:rPr>
        <w:t>,</w:t>
      </w:r>
      <w:r>
        <w:t xml:space="preserve"> Canberra, </w:t>
      </w:r>
      <w:hyperlink r:id="rId2" w:history="1">
        <w:r w:rsidRPr="009D2391">
          <w:rPr>
            <w:rStyle w:val="Hyperlink"/>
          </w:rPr>
          <w:t>https://bit.ly/2wtW5BM</w:t>
        </w:r>
      </w:hyperlink>
    </w:p>
  </w:footnote>
  <w:footnote w:id="3">
    <w:p w14:paraId="5D20CD4C" w14:textId="77777777" w:rsidR="009D7DCB" w:rsidRDefault="009D7DCB" w:rsidP="006756A7">
      <w:pPr>
        <w:pStyle w:val="FootnoteText"/>
      </w:pPr>
      <w:r>
        <w:rPr>
          <w:rStyle w:val="FootnoteReference"/>
        </w:rPr>
        <w:footnoteRef/>
      </w:r>
      <w:r>
        <w:t xml:space="preserve"> Ibid, p. 9.</w:t>
      </w:r>
    </w:p>
  </w:footnote>
  <w:footnote w:id="4">
    <w:p w14:paraId="4E70B4A6" w14:textId="77777777" w:rsidR="009D7DCB" w:rsidRDefault="009D7DCB" w:rsidP="006756A7">
      <w:pPr>
        <w:pStyle w:val="FootnoteText"/>
      </w:pPr>
      <w:r>
        <w:rPr>
          <w:rStyle w:val="FootnoteReference"/>
        </w:rPr>
        <w:footnoteRef/>
      </w:r>
      <w:r>
        <w:t xml:space="preserve"> United Nations General Assembly 2006, </w:t>
      </w:r>
      <w:r>
        <w:rPr>
          <w:i/>
        </w:rPr>
        <w:t>Convention on the Rights of Persons with Disabilities</w:t>
      </w:r>
      <w:r>
        <w:t xml:space="preserve">, </w:t>
      </w:r>
      <w:r w:rsidRPr="007D0634">
        <w:t>https://bit.ly/1qmcT8Z</w:t>
      </w:r>
      <w:r>
        <w:t>.</w:t>
      </w:r>
    </w:p>
  </w:footnote>
  <w:footnote w:id="5">
    <w:p w14:paraId="2B39C6CB" w14:textId="77777777" w:rsidR="009D7DCB" w:rsidRDefault="009D7DCB" w:rsidP="003F1FF4">
      <w:pPr>
        <w:pStyle w:val="FootnoteText"/>
      </w:pPr>
      <w:r>
        <w:rPr>
          <w:rStyle w:val="FootnoteReference"/>
        </w:rPr>
        <w:footnoteRef/>
      </w:r>
      <w:r>
        <w:t xml:space="preserve"> Council of Australian Governments 2009, </w:t>
      </w:r>
      <w:r w:rsidRPr="00D01909">
        <w:rPr>
          <w:i/>
        </w:rPr>
        <w:t>National Disability Agreement</w:t>
      </w:r>
      <w:r>
        <w:t xml:space="preserve">, s. 17(f),  </w:t>
      </w:r>
      <w:hyperlink r:id="rId3" w:history="1">
        <w:r w:rsidRPr="009D2391">
          <w:rPr>
            <w:rStyle w:val="Hyperlink"/>
          </w:rPr>
          <w:t>https://bit.ly/2wlr9EE</w:t>
        </w:r>
      </w:hyperlink>
    </w:p>
  </w:footnote>
  <w:footnote w:id="6">
    <w:p w14:paraId="628C1EFA" w14:textId="77777777" w:rsidR="009D7DCB" w:rsidRDefault="009D7DCB" w:rsidP="003F1FF4">
      <w:pPr>
        <w:pStyle w:val="FootnoteText"/>
      </w:pPr>
      <w:r>
        <w:rPr>
          <w:rStyle w:val="FootnoteReference"/>
        </w:rPr>
        <w:footnoteRef/>
      </w:r>
      <w:r>
        <w:t xml:space="preserve"> </w:t>
      </w:r>
      <w:r w:rsidRPr="00F23660">
        <w:rPr>
          <w:i/>
        </w:rPr>
        <w:t>National Disability Strategy 2010-2020</w:t>
      </w:r>
      <w:r>
        <w:rPr>
          <w:i/>
        </w:rPr>
        <w:t>,</w:t>
      </w:r>
      <w:r>
        <w:t xml:space="preserve"> Canberra, p. 40,  </w:t>
      </w:r>
      <w:hyperlink r:id="rId4" w:history="1">
        <w:r w:rsidRPr="009D2391">
          <w:rPr>
            <w:rStyle w:val="Hyperlink"/>
          </w:rPr>
          <w:t>https://bit.ly/2wtW5BM</w:t>
        </w:r>
      </w:hyperlink>
      <w:r>
        <w:t xml:space="preserve"> </w:t>
      </w:r>
    </w:p>
  </w:footnote>
  <w:footnote w:id="7">
    <w:p w14:paraId="348D56BB" w14:textId="77777777" w:rsidR="009D7DCB" w:rsidRDefault="009D7DCB" w:rsidP="003F1FF4">
      <w:pPr>
        <w:pStyle w:val="FootnoteText"/>
      </w:pPr>
      <w:r>
        <w:rPr>
          <w:rStyle w:val="FootnoteReference"/>
        </w:rPr>
        <w:footnoteRef/>
      </w:r>
      <w:r>
        <w:t xml:space="preserve"> </w:t>
      </w:r>
      <w:r w:rsidRPr="004F4F9F">
        <w:rPr>
          <w:i/>
        </w:rPr>
        <w:t>National Disability Insurance Scheme Act 2013</w:t>
      </w:r>
      <w:r>
        <w:t xml:space="preserve"> (Cth), s. 3(1)(a) </w:t>
      </w:r>
    </w:p>
  </w:footnote>
  <w:footnote w:id="8">
    <w:p w14:paraId="2D450BB7" w14:textId="77777777" w:rsidR="009D7DCB" w:rsidRDefault="009D7DCB">
      <w:pPr>
        <w:pStyle w:val="FootnoteText"/>
      </w:pPr>
      <w:r>
        <w:rPr>
          <w:rStyle w:val="FootnoteReference"/>
        </w:rPr>
        <w:footnoteRef/>
      </w:r>
      <w:r>
        <w:t xml:space="preserve"> Social Policy Research Centre 2018, </w:t>
      </w:r>
      <w:r w:rsidRPr="008A6201">
        <w:rPr>
          <w:i/>
        </w:rPr>
        <w:t>Review of the National Disability Strategy 2010-2020</w:t>
      </w:r>
      <w:r>
        <w:t xml:space="preserve">, Social Policy Research Centre, UNSW, viewed 31 August 2018, </w:t>
      </w:r>
      <w:hyperlink r:id="rId5" w:history="1">
        <w:r w:rsidRPr="00DA304E">
          <w:rPr>
            <w:rStyle w:val="Hyperlink"/>
          </w:rPr>
          <w:t>https://bit.ly/2NwRgz6</w:t>
        </w:r>
      </w:hyperlink>
      <w:r>
        <w:t xml:space="preserve"> </w:t>
      </w:r>
    </w:p>
  </w:footnote>
  <w:footnote w:id="9">
    <w:p w14:paraId="4CDF45C5" w14:textId="77777777" w:rsidR="009D7DCB" w:rsidRDefault="009D7DCB" w:rsidP="009B696C">
      <w:pPr>
        <w:pStyle w:val="FootnoteText"/>
      </w:pPr>
      <w:r>
        <w:rPr>
          <w:rStyle w:val="FootnoteReference"/>
        </w:rPr>
        <w:footnoteRef/>
      </w:r>
      <w:r>
        <w:t xml:space="preserve"> Productivity Commission 2017, </w:t>
      </w:r>
      <w:r w:rsidRPr="000A0983">
        <w:rPr>
          <w:i/>
        </w:rPr>
        <w:t>National Disability Insurance Scheme (NDIS) Costs: Productivity Commission Study Report Overview</w:t>
      </w:r>
      <w:r>
        <w:t xml:space="preserve">, Productivity Commission, Canberra, p 3. </w:t>
      </w:r>
    </w:p>
  </w:footnote>
  <w:footnote w:id="10">
    <w:p w14:paraId="2C846BB0" w14:textId="77777777" w:rsidR="009D7DCB" w:rsidRDefault="009D7DCB" w:rsidP="009B696C">
      <w:pPr>
        <w:pStyle w:val="FootnoteText"/>
      </w:pPr>
      <w:r>
        <w:rPr>
          <w:rStyle w:val="FootnoteReference"/>
        </w:rPr>
        <w:footnoteRef/>
      </w:r>
      <w:r>
        <w:t xml:space="preserve"> Australian Bureau of Statistics 2016, </w:t>
      </w:r>
      <w:r w:rsidRPr="000A0983">
        <w:rPr>
          <w:i/>
        </w:rPr>
        <w:t>Disability, Ageing and Carers, Australia: Summary of Findings, 2015</w:t>
      </w:r>
      <w:r>
        <w:t xml:space="preserve">, ABS, Canberra, viewed 28 August 2018, </w:t>
      </w:r>
      <w:hyperlink r:id="rId6" w:history="1">
        <w:r w:rsidRPr="00572D4F">
          <w:rPr>
            <w:rStyle w:val="Hyperlink"/>
          </w:rPr>
          <w:t>https://bit.ly/2pblaP8</w:t>
        </w:r>
      </w:hyperlink>
      <w:r>
        <w:t xml:space="preserve"> </w:t>
      </w:r>
    </w:p>
  </w:footnote>
  <w:footnote w:id="11">
    <w:p w14:paraId="6F23FF99" w14:textId="77777777" w:rsidR="009D7DCB" w:rsidRDefault="009D7DCB">
      <w:pPr>
        <w:pStyle w:val="FootnoteText"/>
      </w:pPr>
      <w:r>
        <w:rPr>
          <w:rStyle w:val="FootnoteReference"/>
        </w:rPr>
        <w:footnoteRef/>
      </w:r>
      <w:r>
        <w:t xml:space="preserve"> </w:t>
      </w:r>
      <w:r w:rsidRPr="00EB406A">
        <w:rPr>
          <w:i/>
        </w:rPr>
        <w:t>National Disability Insurance Scheme Rules (Supports for Participants)</w:t>
      </w:r>
      <w:r w:rsidRPr="00F212FA">
        <w:t xml:space="preserve"> 2013</w:t>
      </w:r>
      <w:r>
        <w:t xml:space="preserve"> (Cth) </w:t>
      </w:r>
    </w:p>
  </w:footnote>
  <w:footnote w:id="12">
    <w:p w14:paraId="5311876B" w14:textId="77777777" w:rsidR="009D7DCB" w:rsidRPr="00EB406A" w:rsidRDefault="009D7DCB">
      <w:pPr>
        <w:pStyle w:val="FootnoteText"/>
      </w:pPr>
      <w:r>
        <w:rPr>
          <w:rStyle w:val="FootnoteReference"/>
        </w:rPr>
        <w:footnoteRef/>
      </w:r>
      <w:r>
        <w:t xml:space="preserve"> Council of Australian Governments 2015, </w:t>
      </w:r>
      <w:r w:rsidRPr="00EB406A">
        <w:rPr>
          <w:i/>
        </w:rPr>
        <w:t>Principles to Determine the Responsibilities of the NDIS and Other Service Systems</w:t>
      </w:r>
    </w:p>
  </w:footnote>
  <w:footnote w:id="13">
    <w:p w14:paraId="6284F101" w14:textId="77777777" w:rsidR="009D7DCB" w:rsidRDefault="009D7DCB" w:rsidP="00885912">
      <w:pPr>
        <w:pStyle w:val="FootnoteText"/>
      </w:pPr>
      <w:r>
        <w:rPr>
          <w:rStyle w:val="FootnoteReference"/>
        </w:rPr>
        <w:footnoteRef/>
      </w:r>
      <w:r>
        <w:t xml:space="preserve"> Sullivan et al. 2000</w:t>
      </w:r>
      <w:r>
        <w:rPr>
          <w:i/>
        </w:rPr>
        <w:t>, Maltreatment and disabilities: A population-based epidemiological study</w:t>
      </w:r>
      <w:r>
        <w:t>, p. 1257.</w:t>
      </w:r>
    </w:p>
  </w:footnote>
  <w:footnote w:id="14">
    <w:p w14:paraId="211EAB1A" w14:textId="77777777" w:rsidR="009D7DCB" w:rsidRDefault="009D7DCB">
      <w:pPr>
        <w:pStyle w:val="FootnoteText"/>
      </w:pPr>
      <w:r>
        <w:rPr>
          <w:rStyle w:val="FootnoteReference"/>
        </w:rPr>
        <w:footnoteRef/>
      </w:r>
      <w:r>
        <w:t xml:space="preserve"> Australian Institute of Family Studies 2015, Children’s exposure to domestic and family violence, CFCA Paper No. 36, Commonwealth of Australia, Canberra, viewed 10 August 2018, </w:t>
      </w:r>
      <w:r w:rsidRPr="002D1CC4">
        <w:t>https://bit.ly/2Mcvkfa</w:t>
      </w:r>
      <w:r>
        <w:t>.</w:t>
      </w:r>
    </w:p>
  </w:footnote>
  <w:footnote w:id="15">
    <w:p w14:paraId="3096C1F6" w14:textId="77777777" w:rsidR="009D7DCB" w:rsidRPr="00F31759" w:rsidRDefault="009D7DCB">
      <w:pPr>
        <w:pStyle w:val="FootnoteText"/>
      </w:pPr>
      <w:r>
        <w:rPr>
          <w:rStyle w:val="FootnoteReference"/>
        </w:rPr>
        <w:footnoteRef/>
      </w:r>
      <w:r>
        <w:t xml:space="preserve"> For example, the Senate Standing Committee on Community Affairs 2015, </w:t>
      </w:r>
      <w:r w:rsidRPr="00F31759">
        <w:rPr>
          <w:i/>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Pr>
          <w:i/>
        </w:rPr>
        <w:t xml:space="preserve">, </w:t>
      </w:r>
      <w:hyperlink r:id="rId7" w:history="1">
        <w:r w:rsidRPr="009D2391">
          <w:rPr>
            <w:rStyle w:val="Hyperlink"/>
          </w:rPr>
          <w:t>https://bit.ly/2MECnhK</w:t>
        </w:r>
      </w:hyperlink>
      <w:r>
        <w:t xml:space="preserve"> </w:t>
      </w:r>
    </w:p>
  </w:footnote>
  <w:footnote w:id="16">
    <w:p w14:paraId="229BD914" w14:textId="77777777" w:rsidR="009D7DCB" w:rsidRPr="009513F6" w:rsidRDefault="009D7DCB" w:rsidP="00F31759">
      <w:pPr>
        <w:pStyle w:val="FootnoteText"/>
      </w:pPr>
      <w:r>
        <w:rPr>
          <w:rStyle w:val="FootnoteReference"/>
        </w:rPr>
        <w:footnoteRef/>
      </w:r>
      <w:r>
        <w:t xml:space="preserve"> </w:t>
      </w:r>
      <w:r>
        <w:rPr>
          <w:rFonts w:eastAsia="Arial" w:cs="Arial"/>
          <w:szCs w:val="18"/>
        </w:rPr>
        <w:t xml:space="preserve">Children and Young People with Disability Australia 2012, </w:t>
      </w:r>
      <w:r>
        <w:rPr>
          <w:rFonts w:eastAsia="Arial" w:cs="Arial"/>
          <w:i/>
          <w:szCs w:val="18"/>
        </w:rPr>
        <w:t>Enabling and Protecting: Proactive Approaches to Addressing the Abuse and Neglect of Children and Young People with Disability,</w:t>
      </w:r>
      <w:r>
        <w:rPr>
          <w:rFonts w:eastAsia="Arial" w:cs="Arial"/>
          <w:szCs w:val="18"/>
        </w:rPr>
        <w:t xml:space="preserve"> p. 12.</w:t>
      </w:r>
    </w:p>
  </w:footnote>
  <w:footnote w:id="17">
    <w:p w14:paraId="4FE39E85" w14:textId="77777777" w:rsidR="009D7DCB" w:rsidRPr="00695188" w:rsidRDefault="009D7DCB" w:rsidP="008D51A4">
      <w:pPr>
        <w:pStyle w:val="FootnoteText"/>
      </w:pPr>
      <w:r w:rsidRPr="00B92635">
        <w:rPr>
          <w:rStyle w:val="FootnoteReference"/>
        </w:rPr>
        <w:footnoteRef/>
      </w:r>
      <w:r w:rsidRPr="00B92635">
        <w:t xml:space="preserve"> Australian Human Rights Commission 2016, </w:t>
      </w:r>
      <w:r w:rsidRPr="00B92635">
        <w:rPr>
          <w:i/>
        </w:rPr>
        <w:t>Willing to Work National Inquiry into Employment Discrimination Against Older Australians and Australians with Disability</w:t>
      </w:r>
      <w:r w:rsidRPr="00695188">
        <w:t>, p. 12</w:t>
      </w:r>
    </w:p>
  </w:footnote>
  <w:footnote w:id="18">
    <w:p w14:paraId="6A452E61" w14:textId="77777777" w:rsidR="009D7DCB" w:rsidRPr="00B92635" w:rsidRDefault="009D7DCB" w:rsidP="008D51A4">
      <w:pPr>
        <w:pStyle w:val="FootnoteText"/>
      </w:pPr>
      <w:r w:rsidRPr="00B92635">
        <w:rPr>
          <w:rStyle w:val="FootnoteReference"/>
        </w:rPr>
        <w:footnoteRef/>
      </w:r>
      <w:r w:rsidRPr="00B92635">
        <w:t xml:space="preserve"> Ibid</w:t>
      </w:r>
    </w:p>
  </w:footnote>
  <w:footnote w:id="19">
    <w:p w14:paraId="7B1125D0" w14:textId="77777777" w:rsidR="009D7DCB" w:rsidRDefault="009D7DCB" w:rsidP="00EE688D">
      <w:pPr>
        <w:pStyle w:val="FootnoteText"/>
      </w:pPr>
      <w:r>
        <w:rPr>
          <w:rStyle w:val="FootnoteReference"/>
        </w:rPr>
        <w:footnoteRef/>
      </w:r>
      <w:r>
        <w:t xml:space="preserve"> Ibid, Article 31(2).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70F20"/>
    <w:multiLevelType w:val="hybridMultilevel"/>
    <w:tmpl w:val="BD2E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64C6AF4"/>
    <w:multiLevelType w:val="hybridMultilevel"/>
    <w:tmpl w:val="4364C7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4EE3BB6"/>
    <w:multiLevelType w:val="hybridMultilevel"/>
    <w:tmpl w:val="E2D6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01650F"/>
    <w:multiLevelType w:val="hybridMultilevel"/>
    <w:tmpl w:val="90EAFD4E"/>
    <w:lvl w:ilvl="0" w:tplc="C0645244">
      <w:start w:val="1"/>
      <w:numFmt w:val="bullet"/>
      <w:lvlText w:val=""/>
      <w:lvlJc w:val="left"/>
      <w:pPr>
        <w:tabs>
          <w:tab w:val="num" w:pos="397"/>
        </w:tabs>
        <w:ind w:left="340" w:hanging="283"/>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7652CA"/>
    <w:multiLevelType w:val="hybridMultilevel"/>
    <w:tmpl w:val="96945814"/>
    <w:lvl w:ilvl="0" w:tplc="B878583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5C4B04"/>
    <w:multiLevelType w:val="hybridMultilevel"/>
    <w:tmpl w:val="6A1AC4F2"/>
    <w:lvl w:ilvl="0" w:tplc="B3124C46">
      <w:start w:val="2"/>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D86727"/>
    <w:multiLevelType w:val="hybridMultilevel"/>
    <w:tmpl w:val="6EDA101E"/>
    <w:lvl w:ilvl="0" w:tplc="90324152">
      <w:start w:val="2"/>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C90239"/>
    <w:multiLevelType w:val="hybridMultilevel"/>
    <w:tmpl w:val="AADE7C32"/>
    <w:lvl w:ilvl="0" w:tplc="7FE846E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167E67"/>
    <w:multiLevelType w:val="hybridMultilevel"/>
    <w:tmpl w:val="5D7A8AA6"/>
    <w:lvl w:ilvl="0" w:tplc="8BA601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FB5EEA"/>
    <w:multiLevelType w:val="hybridMultilevel"/>
    <w:tmpl w:val="1CF6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A36CE7"/>
    <w:multiLevelType w:val="hybridMultilevel"/>
    <w:tmpl w:val="3FE6D690"/>
    <w:lvl w:ilvl="0" w:tplc="D10C3B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0"/>
  </w:num>
  <w:num w:numId="6">
    <w:abstractNumId w:val="6"/>
  </w:num>
  <w:num w:numId="7">
    <w:abstractNumId w:val="5"/>
  </w:num>
  <w:num w:numId="8">
    <w:abstractNumId w:val="10"/>
  </w:num>
  <w:num w:numId="9">
    <w:abstractNumId w:val="4"/>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01"/>
    <w:rsid w:val="000139F9"/>
    <w:rsid w:val="00021B17"/>
    <w:rsid w:val="000223CC"/>
    <w:rsid w:val="0004214A"/>
    <w:rsid w:val="00042653"/>
    <w:rsid w:val="00042AFC"/>
    <w:rsid w:val="000448B6"/>
    <w:rsid w:val="00053630"/>
    <w:rsid w:val="000636DB"/>
    <w:rsid w:val="00065EC0"/>
    <w:rsid w:val="00084346"/>
    <w:rsid w:val="000875C1"/>
    <w:rsid w:val="000978EA"/>
    <w:rsid w:val="000A0983"/>
    <w:rsid w:val="000A125E"/>
    <w:rsid w:val="000A4B5E"/>
    <w:rsid w:val="000A68D3"/>
    <w:rsid w:val="000B525E"/>
    <w:rsid w:val="000B6F99"/>
    <w:rsid w:val="000C3821"/>
    <w:rsid w:val="000C4820"/>
    <w:rsid w:val="000C5EEF"/>
    <w:rsid w:val="000C7A86"/>
    <w:rsid w:val="000D2B71"/>
    <w:rsid w:val="000E56FA"/>
    <w:rsid w:val="000F6976"/>
    <w:rsid w:val="001209E6"/>
    <w:rsid w:val="00132FD5"/>
    <w:rsid w:val="00144538"/>
    <w:rsid w:val="0015199E"/>
    <w:rsid w:val="00155D2E"/>
    <w:rsid w:val="001642A6"/>
    <w:rsid w:val="001707BE"/>
    <w:rsid w:val="00172807"/>
    <w:rsid w:val="00184C4A"/>
    <w:rsid w:val="0018672B"/>
    <w:rsid w:val="00196771"/>
    <w:rsid w:val="001A4FC7"/>
    <w:rsid w:val="001A59B8"/>
    <w:rsid w:val="001B41B5"/>
    <w:rsid w:val="001C34A0"/>
    <w:rsid w:val="001C6C77"/>
    <w:rsid w:val="001E1A91"/>
    <w:rsid w:val="001E2DA6"/>
    <w:rsid w:val="001E303F"/>
    <w:rsid w:val="001F14AB"/>
    <w:rsid w:val="001F4429"/>
    <w:rsid w:val="001F55BA"/>
    <w:rsid w:val="00200C24"/>
    <w:rsid w:val="002044EE"/>
    <w:rsid w:val="00205F5A"/>
    <w:rsid w:val="0020699D"/>
    <w:rsid w:val="00241A38"/>
    <w:rsid w:val="00241C12"/>
    <w:rsid w:val="00244925"/>
    <w:rsid w:val="00253AF1"/>
    <w:rsid w:val="00257D0A"/>
    <w:rsid w:val="00275A72"/>
    <w:rsid w:val="00277B1E"/>
    <w:rsid w:val="002822BC"/>
    <w:rsid w:val="00293D5C"/>
    <w:rsid w:val="002940D5"/>
    <w:rsid w:val="002A4AA5"/>
    <w:rsid w:val="002A5686"/>
    <w:rsid w:val="002B0C40"/>
    <w:rsid w:val="002B3E5A"/>
    <w:rsid w:val="002D1C85"/>
    <w:rsid w:val="002D1CC4"/>
    <w:rsid w:val="002D43A8"/>
    <w:rsid w:val="002D704F"/>
    <w:rsid w:val="002E0F1B"/>
    <w:rsid w:val="002E5E54"/>
    <w:rsid w:val="002E635C"/>
    <w:rsid w:val="002F0527"/>
    <w:rsid w:val="002F2267"/>
    <w:rsid w:val="002F552A"/>
    <w:rsid w:val="003021E7"/>
    <w:rsid w:val="00311C5F"/>
    <w:rsid w:val="00326226"/>
    <w:rsid w:val="00326E3A"/>
    <w:rsid w:val="0032769E"/>
    <w:rsid w:val="003300CC"/>
    <w:rsid w:val="00334188"/>
    <w:rsid w:val="00334AD6"/>
    <w:rsid w:val="003415C8"/>
    <w:rsid w:val="0034382B"/>
    <w:rsid w:val="00356AE1"/>
    <w:rsid w:val="003571A2"/>
    <w:rsid w:val="003607EA"/>
    <w:rsid w:val="00360AD3"/>
    <w:rsid w:val="003635F7"/>
    <w:rsid w:val="00371175"/>
    <w:rsid w:val="003776BF"/>
    <w:rsid w:val="00377F63"/>
    <w:rsid w:val="00380DAF"/>
    <w:rsid w:val="00381899"/>
    <w:rsid w:val="003874C0"/>
    <w:rsid w:val="00394D48"/>
    <w:rsid w:val="0039796D"/>
    <w:rsid w:val="003A78EF"/>
    <w:rsid w:val="003B164E"/>
    <w:rsid w:val="003C04A9"/>
    <w:rsid w:val="003C139E"/>
    <w:rsid w:val="003C5B92"/>
    <w:rsid w:val="003D15D2"/>
    <w:rsid w:val="003D20FD"/>
    <w:rsid w:val="003D22C3"/>
    <w:rsid w:val="003F1FF4"/>
    <w:rsid w:val="003F36A3"/>
    <w:rsid w:val="00404BD5"/>
    <w:rsid w:val="00406F8D"/>
    <w:rsid w:val="004072B4"/>
    <w:rsid w:val="00420AD6"/>
    <w:rsid w:val="0042419C"/>
    <w:rsid w:val="00430C41"/>
    <w:rsid w:val="004350C2"/>
    <w:rsid w:val="004371A1"/>
    <w:rsid w:val="0044658B"/>
    <w:rsid w:val="00446A7B"/>
    <w:rsid w:val="00451517"/>
    <w:rsid w:val="00453246"/>
    <w:rsid w:val="00456753"/>
    <w:rsid w:val="00475B34"/>
    <w:rsid w:val="00475C5E"/>
    <w:rsid w:val="004911A4"/>
    <w:rsid w:val="00494DA2"/>
    <w:rsid w:val="004A62CE"/>
    <w:rsid w:val="004B35AD"/>
    <w:rsid w:val="004B3803"/>
    <w:rsid w:val="004C53AF"/>
    <w:rsid w:val="004D596A"/>
    <w:rsid w:val="004F2331"/>
    <w:rsid w:val="004F3D61"/>
    <w:rsid w:val="004F43AF"/>
    <w:rsid w:val="004F4F9F"/>
    <w:rsid w:val="004F5617"/>
    <w:rsid w:val="004F609D"/>
    <w:rsid w:val="00501E7D"/>
    <w:rsid w:val="00504768"/>
    <w:rsid w:val="00505038"/>
    <w:rsid w:val="00531FEF"/>
    <w:rsid w:val="00543003"/>
    <w:rsid w:val="0055149A"/>
    <w:rsid w:val="0056018C"/>
    <w:rsid w:val="005636F4"/>
    <w:rsid w:val="00563B01"/>
    <w:rsid w:val="00570E8B"/>
    <w:rsid w:val="00572FCE"/>
    <w:rsid w:val="00584AF0"/>
    <w:rsid w:val="005927FB"/>
    <w:rsid w:val="00596871"/>
    <w:rsid w:val="005A06E9"/>
    <w:rsid w:val="005A1081"/>
    <w:rsid w:val="005A6062"/>
    <w:rsid w:val="005B2627"/>
    <w:rsid w:val="005C6D76"/>
    <w:rsid w:val="005D5439"/>
    <w:rsid w:val="005D7D3B"/>
    <w:rsid w:val="005E4F8C"/>
    <w:rsid w:val="005F1883"/>
    <w:rsid w:val="005F4AD3"/>
    <w:rsid w:val="006002DF"/>
    <w:rsid w:val="006016ED"/>
    <w:rsid w:val="0060661A"/>
    <w:rsid w:val="00624DFA"/>
    <w:rsid w:val="00634EF9"/>
    <w:rsid w:val="00640AEF"/>
    <w:rsid w:val="00640BA9"/>
    <w:rsid w:val="006538C9"/>
    <w:rsid w:val="00654857"/>
    <w:rsid w:val="00660D39"/>
    <w:rsid w:val="00660DEC"/>
    <w:rsid w:val="0066729E"/>
    <w:rsid w:val="006756A7"/>
    <w:rsid w:val="00676616"/>
    <w:rsid w:val="00676C34"/>
    <w:rsid w:val="00677C0F"/>
    <w:rsid w:val="006B4822"/>
    <w:rsid w:val="006C42D3"/>
    <w:rsid w:val="006C521D"/>
    <w:rsid w:val="006E6324"/>
    <w:rsid w:val="006E7B7D"/>
    <w:rsid w:val="006F645A"/>
    <w:rsid w:val="007023D0"/>
    <w:rsid w:val="00702FEC"/>
    <w:rsid w:val="00704F95"/>
    <w:rsid w:val="00707D9D"/>
    <w:rsid w:val="00710936"/>
    <w:rsid w:val="00714068"/>
    <w:rsid w:val="00724D34"/>
    <w:rsid w:val="00725284"/>
    <w:rsid w:val="00726301"/>
    <w:rsid w:val="00727BE0"/>
    <w:rsid w:val="00731A2C"/>
    <w:rsid w:val="00731BE6"/>
    <w:rsid w:val="00732769"/>
    <w:rsid w:val="00743BB9"/>
    <w:rsid w:val="007548E7"/>
    <w:rsid w:val="00774B60"/>
    <w:rsid w:val="007845FA"/>
    <w:rsid w:val="00793087"/>
    <w:rsid w:val="007A08D6"/>
    <w:rsid w:val="007B1BB2"/>
    <w:rsid w:val="007B1F99"/>
    <w:rsid w:val="007C0250"/>
    <w:rsid w:val="007C79C0"/>
    <w:rsid w:val="007D0634"/>
    <w:rsid w:val="007D06BB"/>
    <w:rsid w:val="007D7AE2"/>
    <w:rsid w:val="007E43BB"/>
    <w:rsid w:val="007E716F"/>
    <w:rsid w:val="007F1AD2"/>
    <w:rsid w:val="007F1C1C"/>
    <w:rsid w:val="00810F88"/>
    <w:rsid w:val="00812A4B"/>
    <w:rsid w:val="00815ED8"/>
    <w:rsid w:val="008235BA"/>
    <w:rsid w:val="008247F1"/>
    <w:rsid w:val="008254AD"/>
    <w:rsid w:val="00825748"/>
    <w:rsid w:val="00827550"/>
    <w:rsid w:val="008333A9"/>
    <w:rsid w:val="008342C1"/>
    <w:rsid w:val="00843734"/>
    <w:rsid w:val="00846957"/>
    <w:rsid w:val="008655A0"/>
    <w:rsid w:val="008676C3"/>
    <w:rsid w:val="00867C4A"/>
    <w:rsid w:val="008741BF"/>
    <w:rsid w:val="00874BFD"/>
    <w:rsid w:val="00876E3D"/>
    <w:rsid w:val="00880EC2"/>
    <w:rsid w:val="00885912"/>
    <w:rsid w:val="008930C7"/>
    <w:rsid w:val="00893428"/>
    <w:rsid w:val="00894547"/>
    <w:rsid w:val="00895AC1"/>
    <w:rsid w:val="008A02F8"/>
    <w:rsid w:val="008A6201"/>
    <w:rsid w:val="008A66CC"/>
    <w:rsid w:val="008A771F"/>
    <w:rsid w:val="008B2874"/>
    <w:rsid w:val="008B5738"/>
    <w:rsid w:val="008C3207"/>
    <w:rsid w:val="008C4B8C"/>
    <w:rsid w:val="008C51A1"/>
    <w:rsid w:val="008D315C"/>
    <w:rsid w:val="008D4E0A"/>
    <w:rsid w:val="008D51A4"/>
    <w:rsid w:val="008F6F06"/>
    <w:rsid w:val="008F7E2A"/>
    <w:rsid w:val="009010C7"/>
    <w:rsid w:val="00904211"/>
    <w:rsid w:val="0091144D"/>
    <w:rsid w:val="00917F92"/>
    <w:rsid w:val="00920650"/>
    <w:rsid w:val="009245A0"/>
    <w:rsid w:val="00932218"/>
    <w:rsid w:val="00935929"/>
    <w:rsid w:val="009370F5"/>
    <w:rsid w:val="0094251C"/>
    <w:rsid w:val="009513F6"/>
    <w:rsid w:val="009567DB"/>
    <w:rsid w:val="00957D6C"/>
    <w:rsid w:val="00961C16"/>
    <w:rsid w:val="00965FBE"/>
    <w:rsid w:val="00982F7E"/>
    <w:rsid w:val="00987A4D"/>
    <w:rsid w:val="00991310"/>
    <w:rsid w:val="009A1E35"/>
    <w:rsid w:val="009A647E"/>
    <w:rsid w:val="009B696C"/>
    <w:rsid w:val="009B71BC"/>
    <w:rsid w:val="009D7DCB"/>
    <w:rsid w:val="009E0C97"/>
    <w:rsid w:val="009E3E70"/>
    <w:rsid w:val="009E454D"/>
    <w:rsid w:val="009F2FD9"/>
    <w:rsid w:val="009F4165"/>
    <w:rsid w:val="00A0047B"/>
    <w:rsid w:val="00A0160E"/>
    <w:rsid w:val="00A16FAC"/>
    <w:rsid w:val="00A233F9"/>
    <w:rsid w:val="00A27857"/>
    <w:rsid w:val="00A312BA"/>
    <w:rsid w:val="00A337CA"/>
    <w:rsid w:val="00A34BD1"/>
    <w:rsid w:val="00A41637"/>
    <w:rsid w:val="00A41CEC"/>
    <w:rsid w:val="00A476CF"/>
    <w:rsid w:val="00A56711"/>
    <w:rsid w:val="00A60F23"/>
    <w:rsid w:val="00A73067"/>
    <w:rsid w:val="00A766EF"/>
    <w:rsid w:val="00A801F7"/>
    <w:rsid w:val="00A84DF3"/>
    <w:rsid w:val="00A85489"/>
    <w:rsid w:val="00A854C9"/>
    <w:rsid w:val="00A86AE6"/>
    <w:rsid w:val="00A918AA"/>
    <w:rsid w:val="00AA256F"/>
    <w:rsid w:val="00AB5D72"/>
    <w:rsid w:val="00AB637D"/>
    <w:rsid w:val="00AB675C"/>
    <w:rsid w:val="00AC1ABE"/>
    <w:rsid w:val="00AD3F58"/>
    <w:rsid w:val="00AE4427"/>
    <w:rsid w:val="00AE76A4"/>
    <w:rsid w:val="00AE7F88"/>
    <w:rsid w:val="00AF541A"/>
    <w:rsid w:val="00AF64DC"/>
    <w:rsid w:val="00AF7F10"/>
    <w:rsid w:val="00B0106F"/>
    <w:rsid w:val="00B23553"/>
    <w:rsid w:val="00B26320"/>
    <w:rsid w:val="00B26D6E"/>
    <w:rsid w:val="00B32531"/>
    <w:rsid w:val="00B34142"/>
    <w:rsid w:val="00B416A2"/>
    <w:rsid w:val="00B4537D"/>
    <w:rsid w:val="00B525C1"/>
    <w:rsid w:val="00B536B5"/>
    <w:rsid w:val="00B5387B"/>
    <w:rsid w:val="00B53BCA"/>
    <w:rsid w:val="00B64788"/>
    <w:rsid w:val="00B823BA"/>
    <w:rsid w:val="00BA643B"/>
    <w:rsid w:val="00BC263C"/>
    <w:rsid w:val="00BC442F"/>
    <w:rsid w:val="00BD295A"/>
    <w:rsid w:val="00BD76FD"/>
    <w:rsid w:val="00BF3A15"/>
    <w:rsid w:val="00C021AF"/>
    <w:rsid w:val="00C06ED1"/>
    <w:rsid w:val="00C2123D"/>
    <w:rsid w:val="00C21FBE"/>
    <w:rsid w:val="00C24224"/>
    <w:rsid w:val="00C25900"/>
    <w:rsid w:val="00C302F2"/>
    <w:rsid w:val="00C3305C"/>
    <w:rsid w:val="00C44923"/>
    <w:rsid w:val="00C45BCB"/>
    <w:rsid w:val="00C47C01"/>
    <w:rsid w:val="00C671E9"/>
    <w:rsid w:val="00C7164D"/>
    <w:rsid w:val="00C7693A"/>
    <w:rsid w:val="00C80D2C"/>
    <w:rsid w:val="00C80FCD"/>
    <w:rsid w:val="00C85695"/>
    <w:rsid w:val="00C87666"/>
    <w:rsid w:val="00C90571"/>
    <w:rsid w:val="00CA26B5"/>
    <w:rsid w:val="00CA3198"/>
    <w:rsid w:val="00CA6333"/>
    <w:rsid w:val="00CB4044"/>
    <w:rsid w:val="00CB61A6"/>
    <w:rsid w:val="00CC066C"/>
    <w:rsid w:val="00CD5607"/>
    <w:rsid w:val="00CE5FE5"/>
    <w:rsid w:val="00D01909"/>
    <w:rsid w:val="00D04F26"/>
    <w:rsid w:val="00D11186"/>
    <w:rsid w:val="00D22852"/>
    <w:rsid w:val="00D27573"/>
    <w:rsid w:val="00D32AE8"/>
    <w:rsid w:val="00D333A9"/>
    <w:rsid w:val="00D3391F"/>
    <w:rsid w:val="00D540A1"/>
    <w:rsid w:val="00D5568B"/>
    <w:rsid w:val="00D61B51"/>
    <w:rsid w:val="00D633C6"/>
    <w:rsid w:val="00D65789"/>
    <w:rsid w:val="00D65EAE"/>
    <w:rsid w:val="00D75E0D"/>
    <w:rsid w:val="00D82AD2"/>
    <w:rsid w:val="00D8476F"/>
    <w:rsid w:val="00D95DF4"/>
    <w:rsid w:val="00D95EAF"/>
    <w:rsid w:val="00DA659B"/>
    <w:rsid w:val="00DB74D6"/>
    <w:rsid w:val="00DC5BFD"/>
    <w:rsid w:val="00DD445F"/>
    <w:rsid w:val="00DE34F2"/>
    <w:rsid w:val="00DE6D12"/>
    <w:rsid w:val="00DF75A5"/>
    <w:rsid w:val="00DF7904"/>
    <w:rsid w:val="00E00E27"/>
    <w:rsid w:val="00E06598"/>
    <w:rsid w:val="00E13EE8"/>
    <w:rsid w:val="00E16024"/>
    <w:rsid w:val="00E22875"/>
    <w:rsid w:val="00E26769"/>
    <w:rsid w:val="00E414EB"/>
    <w:rsid w:val="00E415D0"/>
    <w:rsid w:val="00E45DAF"/>
    <w:rsid w:val="00E55EFB"/>
    <w:rsid w:val="00E60BC8"/>
    <w:rsid w:val="00E66851"/>
    <w:rsid w:val="00E73F0F"/>
    <w:rsid w:val="00E75E20"/>
    <w:rsid w:val="00E75E5E"/>
    <w:rsid w:val="00E8735F"/>
    <w:rsid w:val="00EA54B3"/>
    <w:rsid w:val="00EA6F66"/>
    <w:rsid w:val="00EB406A"/>
    <w:rsid w:val="00EC0BF3"/>
    <w:rsid w:val="00EC16F6"/>
    <w:rsid w:val="00EC1715"/>
    <w:rsid w:val="00EC3331"/>
    <w:rsid w:val="00EC5DF0"/>
    <w:rsid w:val="00EC7B10"/>
    <w:rsid w:val="00ED0F9F"/>
    <w:rsid w:val="00ED7BFC"/>
    <w:rsid w:val="00EE091B"/>
    <w:rsid w:val="00EE0A72"/>
    <w:rsid w:val="00EE43C5"/>
    <w:rsid w:val="00EE43F8"/>
    <w:rsid w:val="00EE5CED"/>
    <w:rsid w:val="00EE688D"/>
    <w:rsid w:val="00EF116C"/>
    <w:rsid w:val="00EF169A"/>
    <w:rsid w:val="00EF1A96"/>
    <w:rsid w:val="00EF2D4B"/>
    <w:rsid w:val="00F01C5B"/>
    <w:rsid w:val="00F0426A"/>
    <w:rsid w:val="00F04E23"/>
    <w:rsid w:val="00F064D9"/>
    <w:rsid w:val="00F068CA"/>
    <w:rsid w:val="00F212FA"/>
    <w:rsid w:val="00F21CE5"/>
    <w:rsid w:val="00F2236B"/>
    <w:rsid w:val="00F224A6"/>
    <w:rsid w:val="00F24E2E"/>
    <w:rsid w:val="00F3019E"/>
    <w:rsid w:val="00F31759"/>
    <w:rsid w:val="00F31B45"/>
    <w:rsid w:val="00F35698"/>
    <w:rsid w:val="00F632EA"/>
    <w:rsid w:val="00F86A79"/>
    <w:rsid w:val="00FA2B84"/>
    <w:rsid w:val="00FA5D53"/>
    <w:rsid w:val="00FB16DE"/>
    <w:rsid w:val="00FC1B2D"/>
    <w:rsid w:val="00FC44A9"/>
    <w:rsid w:val="00FC7955"/>
    <w:rsid w:val="00FD6B16"/>
    <w:rsid w:val="00FE5E1C"/>
    <w:rsid w:val="00FF16CA"/>
    <w:rsid w:val="00FF311C"/>
    <w:rsid w:val="00FF7D2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3E0717"/>
  <w15:docId w15:val="{4FCF733A-BA6E-44A9-96AF-31F3899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B01"/>
  </w:style>
  <w:style w:type="paragraph" w:styleId="Heading1">
    <w:name w:val="heading 1"/>
    <w:basedOn w:val="Normal"/>
    <w:next w:val="Normal"/>
    <w:link w:val="Heading1Char"/>
    <w:uiPriority w:val="9"/>
    <w:qFormat/>
    <w:rsid w:val="00563B01"/>
    <w:pPr>
      <w:keepNext/>
      <w:keepLines/>
      <w:tabs>
        <w:tab w:val="right" w:pos="851"/>
        <w:tab w:val="left" w:pos="1418"/>
      </w:tabs>
      <w:suppressAutoHyphens/>
      <w:spacing w:after="0" w:line="300" w:lineRule="exact"/>
      <w:outlineLvl w:val="0"/>
    </w:pPr>
    <w:rPr>
      <w:rFonts w:eastAsia="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01"/>
  </w:style>
  <w:style w:type="paragraph" w:styleId="Footer">
    <w:name w:val="footer"/>
    <w:basedOn w:val="Normal"/>
    <w:link w:val="FooterChar"/>
    <w:uiPriority w:val="99"/>
    <w:unhideWhenUsed/>
    <w:rsid w:val="0056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01"/>
  </w:style>
  <w:style w:type="character" w:styleId="PlaceholderText">
    <w:name w:val="Placeholder Text"/>
    <w:basedOn w:val="DefaultParagraphFont"/>
    <w:uiPriority w:val="99"/>
    <w:semiHidden/>
    <w:rsid w:val="00563B01"/>
    <w:rPr>
      <w:color w:val="808080"/>
    </w:rPr>
  </w:style>
  <w:style w:type="character" w:customStyle="1" w:styleId="Heading1Char">
    <w:name w:val="Heading 1 Char"/>
    <w:basedOn w:val="DefaultParagraphFont"/>
    <w:link w:val="Heading1"/>
    <w:uiPriority w:val="9"/>
    <w:rsid w:val="00563B01"/>
    <w:rPr>
      <w:rFonts w:eastAsia="Times New Roman" w:cs="Times New Roman"/>
      <w:b/>
      <w:szCs w:val="20"/>
      <w:lang w:val="en-GB"/>
    </w:rPr>
  </w:style>
  <w:style w:type="paragraph" w:styleId="ListParagraph">
    <w:name w:val="List Paragraph"/>
    <w:basedOn w:val="Normal"/>
    <w:uiPriority w:val="34"/>
    <w:qFormat/>
    <w:rsid w:val="00563B01"/>
    <w:pPr>
      <w:ind w:left="720"/>
      <w:contextualSpacing/>
    </w:pPr>
  </w:style>
  <w:style w:type="paragraph" w:customStyle="1" w:styleId="Default">
    <w:name w:val="Default"/>
    <w:rsid w:val="00563B0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1E1A91"/>
    <w:pPr>
      <w:spacing w:after="0" w:line="240" w:lineRule="auto"/>
    </w:pPr>
    <w:rPr>
      <w:sz w:val="20"/>
      <w:szCs w:val="20"/>
    </w:rPr>
  </w:style>
  <w:style w:type="character" w:customStyle="1" w:styleId="FootnoteTextChar">
    <w:name w:val="Footnote Text Char"/>
    <w:basedOn w:val="DefaultParagraphFont"/>
    <w:link w:val="FootnoteText"/>
    <w:uiPriority w:val="99"/>
    <w:rsid w:val="001E1A91"/>
    <w:rPr>
      <w:sz w:val="20"/>
      <w:szCs w:val="20"/>
    </w:rPr>
  </w:style>
  <w:style w:type="character" w:styleId="FootnoteReference">
    <w:name w:val="footnote reference"/>
    <w:basedOn w:val="DefaultParagraphFont"/>
    <w:uiPriority w:val="99"/>
    <w:unhideWhenUsed/>
    <w:rsid w:val="001E1A91"/>
    <w:rPr>
      <w:vertAlign w:val="superscript"/>
    </w:rPr>
  </w:style>
  <w:style w:type="character" w:styleId="Hyperlink">
    <w:name w:val="Hyperlink"/>
    <w:basedOn w:val="DefaultParagraphFont"/>
    <w:uiPriority w:val="99"/>
    <w:unhideWhenUsed/>
    <w:rsid w:val="007C0250"/>
    <w:rPr>
      <w:color w:val="0563C1" w:themeColor="hyperlink"/>
      <w:u w:val="single"/>
    </w:rPr>
  </w:style>
  <w:style w:type="paragraph" w:styleId="NormalWeb">
    <w:name w:val="Normal (Web)"/>
    <w:basedOn w:val="Normal"/>
    <w:uiPriority w:val="99"/>
    <w:unhideWhenUsed/>
    <w:rsid w:val="006002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927FB"/>
    <w:rPr>
      <w:sz w:val="16"/>
      <w:szCs w:val="16"/>
    </w:rPr>
  </w:style>
  <w:style w:type="paragraph" w:styleId="CommentText">
    <w:name w:val="annotation text"/>
    <w:basedOn w:val="Normal"/>
    <w:link w:val="CommentTextChar"/>
    <w:uiPriority w:val="99"/>
    <w:semiHidden/>
    <w:unhideWhenUsed/>
    <w:rsid w:val="005927FB"/>
    <w:pPr>
      <w:spacing w:line="240" w:lineRule="auto"/>
    </w:pPr>
    <w:rPr>
      <w:sz w:val="20"/>
      <w:szCs w:val="20"/>
    </w:rPr>
  </w:style>
  <w:style w:type="character" w:customStyle="1" w:styleId="CommentTextChar">
    <w:name w:val="Comment Text Char"/>
    <w:basedOn w:val="DefaultParagraphFont"/>
    <w:link w:val="CommentText"/>
    <w:uiPriority w:val="99"/>
    <w:semiHidden/>
    <w:rsid w:val="005927FB"/>
    <w:rPr>
      <w:sz w:val="20"/>
      <w:szCs w:val="20"/>
    </w:rPr>
  </w:style>
  <w:style w:type="paragraph" w:styleId="CommentSubject">
    <w:name w:val="annotation subject"/>
    <w:basedOn w:val="CommentText"/>
    <w:next w:val="CommentText"/>
    <w:link w:val="CommentSubjectChar"/>
    <w:uiPriority w:val="99"/>
    <w:semiHidden/>
    <w:unhideWhenUsed/>
    <w:rsid w:val="005927FB"/>
    <w:rPr>
      <w:b/>
      <w:bCs/>
    </w:rPr>
  </w:style>
  <w:style w:type="character" w:customStyle="1" w:styleId="CommentSubjectChar">
    <w:name w:val="Comment Subject Char"/>
    <w:basedOn w:val="CommentTextChar"/>
    <w:link w:val="CommentSubject"/>
    <w:uiPriority w:val="99"/>
    <w:semiHidden/>
    <w:rsid w:val="005927FB"/>
    <w:rPr>
      <w:b/>
      <w:bCs/>
      <w:sz w:val="20"/>
      <w:szCs w:val="20"/>
    </w:rPr>
  </w:style>
  <w:style w:type="paragraph" w:styleId="BalloonText">
    <w:name w:val="Balloon Text"/>
    <w:basedOn w:val="Normal"/>
    <w:link w:val="BalloonTextChar"/>
    <w:uiPriority w:val="99"/>
    <w:semiHidden/>
    <w:unhideWhenUsed/>
    <w:rsid w:val="00592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FB"/>
    <w:rPr>
      <w:rFonts w:ascii="Segoe UI" w:hAnsi="Segoe UI" w:cs="Segoe UI"/>
      <w:sz w:val="18"/>
      <w:szCs w:val="18"/>
    </w:rPr>
  </w:style>
  <w:style w:type="paragraph" w:styleId="Revision">
    <w:name w:val="Revision"/>
    <w:hidden/>
    <w:uiPriority w:val="99"/>
    <w:semiHidden/>
    <w:rsid w:val="003D22C3"/>
    <w:pPr>
      <w:spacing w:after="0" w:line="240" w:lineRule="auto"/>
    </w:pPr>
  </w:style>
  <w:style w:type="table" w:styleId="TableGrid">
    <w:name w:val="Table Grid"/>
    <w:basedOn w:val="TableNormal"/>
    <w:uiPriority w:val="39"/>
    <w:rsid w:val="003D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27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5882">
      <w:bodyDiv w:val="1"/>
      <w:marLeft w:val="0"/>
      <w:marRight w:val="0"/>
      <w:marTop w:val="0"/>
      <w:marBottom w:val="0"/>
      <w:divBdr>
        <w:top w:val="none" w:sz="0" w:space="0" w:color="auto"/>
        <w:left w:val="none" w:sz="0" w:space="0" w:color="auto"/>
        <w:bottom w:val="none" w:sz="0" w:space="0" w:color="auto"/>
        <w:right w:val="none" w:sz="0" w:space="0" w:color="auto"/>
      </w:divBdr>
    </w:div>
    <w:div w:id="463163554">
      <w:bodyDiv w:val="1"/>
      <w:marLeft w:val="0"/>
      <w:marRight w:val="0"/>
      <w:marTop w:val="0"/>
      <w:marBottom w:val="0"/>
      <w:divBdr>
        <w:top w:val="none" w:sz="0" w:space="0" w:color="auto"/>
        <w:left w:val="none" w:sz="0" w:space="0" w:color="auto"/>
        <w:bottom w:val="none" w:sz="0" w:space="0" w:color="auto"/>
        <w:right w:val="none" w:sz="0" w:space="0" w:color="auto"/>
      </w:divBdr>
    </w:div>
    <w:div w:id="560554886">
      <w:bodyDiv w:val="1"/>
      <w:marLeft w:val="0"/>
      <w:marRight w:val="0"/>
      <w:marTop w:val="0"/>
      <w:marBottom w:val="0"/>
      <w:divBdr>
        <w:top w:val="none" w:sz="0" w:space="0" w:color="auto"/>
        <w:left w:val="none" w:sz="0" w:space="0" w:color="auto"/>
        <w:bottom w:val="none" w:sz="0" w:space="0" w:color="auto"/>
        <w:right w:val="none" w:sz="0" w:space="0" w:color="auto"/>
      </w:divBdr>
    </w:div>
    <w:div w:id="612902435">
      <w:bodyDiv w:val="1"/>
      <w:marLeft w:val="0"/>
      <w:marRight w:val="0"/>
      <w:marTop w:val="0"/>
      <w:marBottom w:val="0"/>
      <w:divBdr>
        <w:top w:val="none" w:sz="0" w:space="0" w:color="auto"/>
        <w:left w:val="none" w:sz="0" w:space="0" w:color="auto"/>
        <w:bottom w:val="none" w:sz="0" w:space="0" w:color="auto"/>
        <w:right w:val="none" w:sz="0" w:space="0" w:color="auto"/>
      </w:divBdr>
    </w:div>
    <w:div w:id="622004816">
      <w:bodyDiv w:val="1"/>
      <w:marLeft w:val="0"/>
      <w:marRight w:val="0"/>
      <w:marTop w:val="0"/>
      <w:marBottom w:val="0"/>
      <w:divBdr>
        <w:top w:val="none" w:sz="0" w:space="0" w:color="auto"/>
        <w:left w:val="none" w:sz="0" w:space="0" w:color="auto"/>
        <w:bottom w:val="none" w:sz="0" w:space="0" w:color="auto"/>
        <w:right w:val="none" w:sz="0" w:space="0" w:color="auto"/>
      </w:divBdr>
    </w:div>
    <w:div w:id="820461889">
      <w:bodyDiv w:val="1"/>
      <w:marLeft w:val="0"/>
      <w:marRight w:val="0"/>
      <w:marTop w:val="0"/>
      <w:marBottom w:val="0"/>
      <w:divBdr>
        <w:top w:val="none" w:sz="0" w:space="0" w:color="auto"/>
        <w:left w:val="none" w:sz="0" w:space="0" w:color="auto"/>
        <w:bottom w:val="none" w:sz="0" w:space="0" w:color="auto"/>
        <w:right w:val="none" w:sz="0" w:space="0" w:color="auto"/>
      </w:divBdr>
    </w:div>
    <w:div w:id="844783155">
      <w:bodyDiv w:val="1"/>
      <w:marLeft w:val="0"/>
      <w:marRight w:val="0"/>
      <w:marTop w:val="0"/>
      <w:marBottom w:val="0"/>
      <w:divBdr>
        <w:top w:val="none" w:sz="0" w:space="0" w:color="auto"/>
        <w:left w:val="none" w:sz="0" w:space="0" w:color="auto"/>
        <w:bottom w:val="none" w:sz="0" w:space="0" w:color="auto"/>
        <w:right w:val="none" w:sz="0" w:space="0" w:color="auto"/>
      </w:divBdr>
    </w:div>
    <w:div w:id="1041440914">
      <w:bodyDiv w:val="1"/>
      <w:marLeft w:val="0"/>
      <w:marRight w:val="0"/>
      <w:marTop w:val="0"/>
      <w:marBottom w:val="0"/>
      <w:divBdr>
        <w:top w:val="none" w:sz="0" w:space="0" w:color="auto"/>
        <w:left w:val="none" w:sz="0" w:space="0" w:color="auto"/>
        <w:bottom w:val="none" w:sz="0" w:space="0" w:color="auto"/>
        <w:right w:val="none" w:sz="0" w:space="0" w:color="auto"/>
      </w:divBdr>
    </w:div>
    <w:div w:id="1166359180">
      <w:bodyDiv w:val="1"/>
      <w:marLeft w:val="0"/>
      <w:marRight w:val="0"/>
      <w:marTop w:val="0"/>
      <w:marBottom w:val="0"/>
      <w:divBdr>
        <w:top w:val="none" w:sz="0" w:space="0" w:color="auto"/>
        <w:left w:val="none" w:sz="0" w:space="0" w:color="auto"/>
        <w:bottom w:val="none" w:sz="0" w:space="0" w:color="auto"/>
        <w:right w:val="none" w:sz="0" w:space="0" w:color="auto"/>
      </w:divBdr>
    </w:div>
    <w:div w:id="1239286350">
      <w:bodyDiv w:val="1"/>
      <w:marLeft w:val="0"/>
      <w:marRight w:val="0"/>
      <w:marTop w:val="0"/>
      <w:marBottom w:val="0"/>
      <w:divBdr>
        <w:top w:val="none" w:sz="0" w:space="0" w:color="auto"/>
        <w:left w:val="none" w:sz="0" w:space="0" w:color="auto"/>
        <w:bottom w:val="none" w:sz="0" w:space="0" w:color="auto"/>
        <w:right w:val="none" w:sz="0" w:space="0" w:color="auto"/>
      </w:divBdr>
    </w:div>
    <w:div w:id="1447117478">
      <w:bodyDiv w:val="1"/>
      <w:marLeft w:val="0"/>
      <w:marRight w:val="0"/>
      <w:marTop w:val="0"/>
      <w:marBottom w:val="0"/>
      <w:divBdr>
        <w:top w:val="none" w:sz="0" w:space="0" w:color="auto"/>
        <w:left w:val="none" w:sz="0" w:space="0" w:color="auto"/>
        <w:bottom w:val="none" w:sz="0" w:space="0" w:color="auto"/>
        <w:right w:val="none" w:sz="0" w:space="0" w:color="auto"/>
      </w:divBdr>
    </w:div>
    <w:div w:id="1522233071">
      <w:bodyDiv w:val="1"/>
      <w:marLeft w:val="0"/>
      <w:marRight w:val="0"/>
      <w:marTop w:val="0"/>
      <w:marBottom w:val="0"/>
      <w:divBdr>
        <w:top w:val="none" w:sz="0" w:space="0" w:color="auto"/>
        <w:left w:val="none" w:sz="0" w:space="0" w:color="auto"/>
        <w:bottom w:val="none" w:sz="0" w:space="0" w:color="auto"/>
        <w:right w:val="none" w:sz="0" w:space="0" w:color="auto"/>
      </w:divBdr>
    </w:div>
    <w:div w:id="1721321497">
      <w:bodyDiv w:val="1"/>
      <w:marLeft w:val="0"/>
      <w:marRight w:val="0"/>
      <w:marTop w:val="0"/>
      <w:marBottom w:val="0"/>
      <w:divBdr>
        <w:top w:val="none" w:sz="0" w:space="0" w:color="auto"/>
        <w:left w:val="none" w:sz="0" w:space="0" w:color="auto"/>
        <w:bottom w:val="none" w:sz="0" w:space="0" w:color="auto"/>
        <w:right w:val="none" w:sz="0" w:space="0" w:color="auto"/>
      </w:divBdr>
    </w:div>
    <w:div w:id="1814368774">
      <w:bodyDiv w:val="1"/>
      <w:marLeft w:val="0"/>
      <w:marRight w:val="0"/>
      <w:marTop w:val="0"/>
      <w:marBottom w:val="0"/>
      <w:divBdr>
        <w:top w:val="none" w:sz="0" w:space="0" w:color="auto"/>
        <w:left w:val="none" w:sz="0" w:space="0" w:color="auto"/>
        <w:bottom w:val="none" w:sz="0" w:space="0" w:color="auto"/>
        <w:right w:val="none" w:sz="0" w:space="0" w:color="auto"/>
      </w:divBdr>
    </w:div>
    <w:div w:id="1841656132">
      <w:bodyDiv w:val="1"/>
      <w:marLeft w:val="0"/>
      <w:marRight w:val="0"/>
      <w:marTop w:val="0"/>
      <w:marBottom w:val="0"/>
      <w:divBdr>
        <w:top w:val="none" w:sz="0" w:space="0" w:color="auto"/>
        <w:left w:val="none" w:sz="0" w:space="0" w:color="auto"/>
        <w:bottom w:val="none" w:sz="0" w:space="0" w:color="auto"/>
        <w:right w:val="none" w:sz="0" w:space="0" w:color="auto"/>
      </w:divBdr>
    </w:div>
    <w:div w:id="2016568327">
      <w:bodyDiv w:val="1"/>
      <w:marLeft w:val="0"/>
      <w:marRight w:val="0"/>
      <w:marTop w:val="0"/>
      <w:marBottom w:val="0"/>
      <w:divBdr>
        <w:top w:val="none" w:sz="0" w:space="0" w:color="auto"/>
        <w:left w:val="none" w:sz="0" w:space="0" w:color="auto"/>
        <w:bottom w:val="none" w:sz="0" w:space="0" w:color="auto"/>
        <w:right w:val="none" w:sz="0" w:space="0" w:color="auto"/>
      </w:divBdr>
    </w:div>
    <w:div w:id="20776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da.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ypinh.org.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it.ly/2wlr9EE" TargetMode="External"/><Relationship Id="rId7" Type="http://schemas.openxmlformats.org/officeDocument/2006/relationships/hyperlink" Target="https://bit.ly/2MECnhK" TargetMode="External"/><Relationship Id="rId2" Type="http://schemas.openxmlformats.org/officeDocument/2006/relationships/hyperlink" Target="https://bit.ly/2wtW5BM" TargetMode="External"/><Relationship Id="rId1" Type="http://schemas.openxmlformats.org/officeDocument/2006/relationships/hyperlink" Target="https://bit.ly/2wlr9EE" TargetMode="External"/><Relationship Id="rId6" Type="http://schemas.openxmlformats.org/officeDocument/2006/relationships/hyperlink" Target="https://bit.ly/2pblaP8" TargetMode="External"/><Relationship Id="rId5" Type="http://schemas.openxmlformats.org/officeDocument/2006/relationships/hyperlink" Target="https://bit.ly/2NwRgz6" TargetMode="External"/><Relationship Id="rId4" Type="http://schemas.openxmlformats.org/officeDocument/2006/relationships/hyperlink" Target="https://bit.ly/2wtW5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290D-BCB3-4E4F-B7AF-466EF5CB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Submission 49 - Children and Young People with Disability Australia (CYDA) and Young People in Nursing Homes National Alliance (YPINHNA) - National Disability Agreement Review - Commissioned study</vt:lpstr>
    </vt:vector>
  </TitlesOfParts>
  <Company>Children and Young People with Disability Australia (CYDA) and Young People in Nursing Homes National Alliance (YPINHNA) </Company>
  <LinksUpToDate>false</LinksUpToDate>
  <CharactersWithSpaces>20872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Children and Young People with Disability Australia (CYDA) and Young People in Nursing Homes National Alliance (YPINHNA) - National Disability Agreement Review - Commissioned study</dc:title>
  <dc:subject/>
  <dc:creator>Children and Young People with Disability Australia (CYDA) and Young People in Nursing Homes National Alliance (YPINHNA) </dc:creator>
  <cp:keywords/>
  <dc:description/>
  <cp:lastModifiedBy>Productivity Commission</cp:lastModifiedBy>
  <cp:revision>4</cp:revision>
  <cp:lastPrinted>2018-08-28T07:00:00Z</cp:lastPrinted>
  <dcterms:created xsi:type="dcterms:W3CDTF">2018-09-05T03:21:00Z</dcterms:created>
  <dcterms:modified xsi:type="dcterms:W3CDTF">2018-09-05T04:01:00Z</dcterms:modified>
</cp:coreProperties>
</file>