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ink/ink1.xml" ContentType="application/inkml+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507FC90" w14:textId="77E561DD" w:rsidR="00773CF9" w:rsidRPr="00AF7228" w:rsidRDefault="00773CF9" w:rsidP="00773CF9">
      <w:pPr>
        <w:spacing w:before="0" w:after="0"/>
        <w:rPr>
          <w:sz w:val="2"/>
        </w:rPr>
      </w:pPr>
      <w:bookmarkStart w:id="0" w:name="_GoBack"/>
      <w:bookmarkEnd w:id="0"/>
    </w:p>
    <w:tbl>
      <w:tblPr>
        <w:tblStyle w:val="TableGrid"/>
        <w:tblpPr w:leftFromText="180" w:rightFromText="180" w:vertAnchor="text" w:horzAnchor="margin" w:tblpXSpec="center" w:tblpY="1"/>
        <w:tblOverlap w:val="never"/>
        <w:tblW w:w="9098"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098"/>
      </w:tblGrid>
      <w:tr w:rsidR="00CB098C" w:rsidRPr="00AF7228" w14:paraId="52081B82" w14:textId="77777777" w:rsidTr="00C75C2F">
        <w:trPr>
          <w:trHeight w:hRule="exact" w:val="5868"/>
        </w:trPr>
        <w:tc>
          <w:tcPr>
            <w:tcW w:w="9098" w:type="dxa"/>
            <w:tcBorders>
              <w:bottom w:val="single" w:sz="36" w:space="0" w:color="003D69"/>
            </w:tcBorders>
            <w:shd w:val="clear" w:color="auto" w:fill="auto"/>
          </w:tcPr>
          <w:p w14:paraId="7E710CE1" w14:textId="6BA9C34E" w:rsidR="00CB098C" w:rsidRPr="00AF7228" w:rsidRDefault="00C34200" w:rsidP="00C75C2F">
            <w:pPr>
              <w:pStyle w:val="BodyText"/>
              <w:ind w:left="-2410"/>
              <w:rPr>
                <w:lang w:eastAsia="en-AU"/>
              </w:rPr>
            </w:pPr>
            <w:r w:rsidRPr="00AF7228">
              <w:rPr>
                <w:noProof/>
                <w:sz w:val="2"/>
                <w:lang w:eastAsia="en-AU"/>
              </w:rPr>
              <w:drawing>
                <wp:anchor distT="0" distB="0" distL="114300" distR="114300" simplePos="0" relativeHeight="251700736" behindDoc="0" locked="0" layoutInCell="1" allowOverlap="1" wp14:anchorId="1BAEB5AD" wp14:editId="0BBED28D">
                  <wp:simplePos x="0" y="0"/>
                  <wp:positionH relativeFrom="column">
                    <wp:posOffset>3857020</wp:posOffset>
                  </wp:positionH>
                  <wp:positionV relativeFrom="paragraph">
                    <wp:posOffset>656073</wp:posOffset>
                  </wp:positionV>
                  <wp:extent cx="1737750" cy="990059"/>
                  <wp:effectExtent l="0" t="0" r="0" b="63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entWest_Master.pdf"/>
                          <pic:cNvPicPr/>
                        </pic:nvPicPr>
                        <pic:blipFill>
                          <a:blip r:embed="rId14">
                            <a:extLst>
                              <a:ext uri="{28A0092B-C50C-407E-A947-70E740481C1C}">
                                <a14:useLocalDpi xmlns:a14="http://schemas.microsoft.com/office/drawing/2010/main" val="0"/>
                              </a:ext>
                            </a:extLst>
                          </a:blip>
                          <a:stretch>
                            <a:fillRect/>
                          </a:stretch>
                        </pic:blipFill>
                        <pic:spPr>
                          <a:xfrm>
                            <a:off x="0" y="0"/>
                            <a:ext cx="1757924" cy="1001553"/>
                          </a:xfrm>
                          <a:prstGeom prst="rect">
                            <a:avLst/>
                          </a:prstGeom>
                        </pic:spPr>
                      </pic:pic>
                    </a:graphicData>
                  </a:graphic>
                  <wp14:sizeRelH relativeFrom="page">
                    <wp14:pctWidth>0</wp14:pctWidth>
                  </wp14:sizeRelH>
                  <wp14:sizeRelV relativeFrom="page">
                    <wp14:pctHeight>0</wp14:pctHeight>
                  </wp14:sizeRelV>
                </wp:anchor>
              </w:drawing>
            </w:r>
          </w:p>
        </w:tc>
      </w:tr>
      <w:tr w:rsidR="00E555A9" w:rsidRPr="00AF7228" w14:paraId="48A88BC9" w14:textId="77777777" w:rsidTr="00C75C2F">
        <w:trPr>
          <w:trHeight w:val="2432"/>
        </w:trPr>
        <w:tc>
          <w:tcPr>
            <w:tcW w:w="9098" w:type="dxa"/>
            <w:tcBorders>
              <w:top w:val="single" w:sz="36" w:space="0" w:color="003D69"/>
              <w:bottom w:val="single" w:sz="36" w:space="0" w:color="003D69"/>
            </w:tcBorders>
            <w:shd w:val="clear" w:color="auto" w:fill="auto"/>
            <w:vAlign w:val="center"/>
          </w:tcPr>
          <w:p w14:paraId="4C7BE90E" w14:textId="4B4A5DDE" w:rsidR="00E555A9" w:rsidRPr="00AF7228" w:rsidRDefault="00C75C2F" w:rsidP="00C75C2F">
            <w:pPr>
              <w:spacing w:before="104" w:line="295" w:lineRule="auto"/>
              <w:ind w:right="311"/>
              <w:rPr>
                <w:color w:val="262A82"/>
                <w:spacing w:val="-10"/>
                <w:w w:val="105"/>
                <w:sz w:val="52"/>
              </w:rPr>
            </w:pPr>
            <w:r w:rsidRPr="00AF7228">
              <w:rPr>
                <w:color w:val="262A82"/>
                <w:spacing w:val="-11"/>
                <w:w w:val="105"/>
                <w:sz w:val="52"/>
              </w:rPr>
              <w:t xml:space="preserve">Submission to the Productivity Commission Inquiry on Mental </w:t>
            </w:r>
            <w:r w:rsidRPr="00AF7228">
              <w:rPr>
                <w:color w:val="262A82"/>
                <w:spacing w:val="-12"/>
                <w:w w:val="105"/>
                <w:sz w:val="52"/>
              </w:rPr>
              <w:t xml:space="preserve">Health </w:t>
            </w:r>
          </w:p>
        </w:tc>
      </w:tr>
      <w:tr w:rsidR="00293AFD" w:rsidRPr="00AF7228" w14:paraId="36359A62" w14:textId="77777777" w:rsidTr="00C75C2F">
        <w:tc>
          <w:tcPr>
            <w:tcW w:w="9098" w:type="dxa"/>
            <w:tcBorders>
              <w:top w:val="single" w:sz="36" w:space="0" w:color="003D69"/>
            </w:tcBorders>
            <w:shd w:val="clear" w:color="auto" w:fill="auto"/>
            <w:tcMar>
              <w:top w:w="227" w:type="dxa"/>
            </w:tcMar>
            <w:vAlign w:val="center"/>
          </w:tcPr>
          <w:p w14:paraId="08E48D16" w14:textId="674FD50B" w:rsidR="00C75C2F" w:rsidRPr="00AF7228" w:rsidRDefault="00C75C2F" w:rsidP="00C75C2F">
            <w:pPr>
              <w:pStyle w:val="Date"/>
            </w:pPr>
          </w:p>
          <w:p w14:paraId="0CA1CCAC" w14:textId="6E98272D" w:rsidR="00293AFD" w:rsidRPr="00AF7228" w:rsidRDefault="00293AFD" w:rsidP="00C75C2F">
            <w:pPr>
              <w:pStyle w:val="Date"/>
              <w:rPr>
                <w:lang w:eastAsia="en-AU"/>
              </w:rPr>
            </w:pPr>
          </w:p>
        </w:tc>
      </w:tr>
    </w:tbl>
    <w:p w14:paraId="41706869" w14:textId="35B1A6BF" w:rsidR="00C75C2F" w:rsidRPr="00AF7228" w:rsidRDefault="008A1C19" w:rsidP="006703A1">
      <w:pPr>
        <w:spacing w:before="0" w:after="0" w:line="14" w:lineRule="auto"/>
        <w:rPr>
          <w:sz w:val="2"/>
        </w:rPr>
      </w:pPr>
      <w:r w:rsidRPr="00AF7228">
        <w:rPr>
          <w:sz w:val="2"/>
        </w:rPr>
        <w:br w:type="textWrapping" w:clear="all"/>
      </w:r>
    </w:p>
    <w:p w14:paraId="6CB08662" w14:textId="42F23D9D" w:rsidR="00C75C2F" w:rsidRPr="00AF7228" w:rsidRDefault="00C75C2F" w:rsidP="00C75C2F">
      <w:pPr>
        <w:rPr>
          <w:sz w:val="2"/>
        </w:rPr>
      </w:pPr>
    </w:p>
    <w:p w14:paraId="3079DF17" w14:textId="77777777" w:rsidR="00C75C2F" w:rsidRPr="00AF7228" w:rsidRDefault="00C75C2F" w:rsidP="00C75C2F">
      <w:pPr>
        <w:rPr>
          <w:sz w:val="2"/>
        </w:rPr>
      </w:pPr>
    </w:p>
    <w:p w14:paraId="41B58FB6" w14:textId="77777777" w:rsidR="00C75C2F" w:rsidRPr="00AF7228" w:rsidRDefault="00C75C2F" w:rsidP="00C75C2F">
      <w:pPr>
        <w:rPr>
          <w:sz w:val="2"/>
        </w:rPr>
      </w:pPr>
    </w:p>
    <w:p w14:paraId="42032138" w14:textId="77777777" w:rsidR="00C75C2F" w:rsidRPr="00AF7228" w:rsidRDefault="00C75C2F" w:rsidP="00C75C2F">
      <w:pPr>
        <w:rPr>
          <w:sz w:val="2"/>
        </w:rPr>
      </w:pPr>
    </w:p>
    <w:p w14:paraId="58E02DA1" w14:textId="7A16841F" w:rsidR="00C75C2F" w:rsidRPr="00AF7228" w:rsidRDefault="00C75C2F" w:rsidP="00C75C2F">
      <w:pPr>
        <w:rPr>
          <w:sz w:val="2"/>
        </w:rPr>
      </w:pPr>
    </w:p>
    <w:p w14:paraId="51A40664" w14:textId="77777777" w:rsidR="00C75C2F" w:rsidRPr="00AF7228" w:rsidRDefault="00C75C2F" w:rsidP="00C75C2F">
      <w:pPr>
        <w:rPr>
          <w:sz w:val="2"/>
        </w:rPr>
      </w:pPr>
    </w:p>
    <w:p w14:paraId="4618CA07" w14:textId="51BF124F" w:rsidR="00C75C2F" w:rsidRPr="00AF7228" w:rsidRDefault="00C75C2F" w:rsidP="00C75C2F">
      <w:pPr>
        <w:rPr>
          <w:sz w:val="2"/>
        </w:rPr>
      </w:pPr>
    </w:p>
    <w:p w14:paraId="0E238F69" w14:textId="77777777" w:rsidR="00C75C2F" w:rsidRPr="00AF7228" w:rsidRDefault="00C75C2F" w:rsidP="00C75C2F">
      <w:pPr>
        <w:rPr>
          <w:sz w:val="2"/>
        </w:rPr>
      </w:pPr>
    </w:p>
    <w:p w14:paraId="3B56DE11" w14:textId="1B3AA8A1" w:rsidR="00C75C2F" w:rsidRPr="00AF7228" w:rsidRDefault="00C75C2F" w:rsidP="00C75C2F">
      <w:pPr>
        <w:rPr>
          <w:sz w:val="2"/>
        </w:rPr>
      </w:pPr>
    </w:p>
    <w:p w14:paraId="15763506" w14:textId="77777777" w:rsidR="00C75C2F" w:rsidRPr="00AF7228" w:rsidRDefault="00C75C2F" w:rsidP="00C75C2F">
      <w:pPr>
        <w:rPr>
          <w:sz w:val="2"/>
        </w:rPr>
      </w:pPr>
    </w:p>
    <w:p w14:paraId="1D727411" w14:textId="08FA11EC" w:rsidR="00C75C2F" w:rsidRPr="00AF7228" w:rsidRDefault="00C75C2F" w:rsidP="00C75C2F">
      <w:pPr>
        <w:rPr>
          <w:sz w:val="2"/>
        </w:rPr>
      </w:pPr>
    </w:p>
    <w:p w14:paraId="62089B9C" w14:textId="5FBA4791" w:rsidR="00C75C2F" w:rsidRPr="00AF7228" w:rsidRDefault="00C75C2F" w:rsidP="00C75C2F">
      <w:pPr>
        <w:rPr>
          <w:sz w:val="2"/>
        </w:rPr>
      </w:pPr>
    </w:p>
    <w:p w14:paraId="5032F6F8" w14:textId="798E4CB4" w:rsidR="00C75C2F" w:rsidRPr="00AF7228" w:rsidRDefault="00C75C2F" w:rsidP="00C75C2F">
      <w:pPr>
        <w:rPr>
          <w:sz w:val="2"/>
        </w:rPr>
      </w:pPr>
    </w:p>
    <w:p w14:paraId="09F06531" w14:textId="77777777" w:rsidR="00C75C2F" w:rsidRPr="00AF7228" w:rsidRDefault="00C75C2F" w:rsidP="00C75C2F">
      <w:pPr>
        <w:rPr>
          <w:sz w:val="2"/>
        </w:rPr>
      </w:pPr>
    </w:p>
    <w:p w14:paraId="0CAE145A" w14:textId="4C6DF7E7" w:rsidR="00C75C2F" w:rsidRPr="00AF7228" w:rsidRDefault="00C75C2F" w:rsidP="00C75C2F">
      <w:pPr>
        <w:rPr>
          <w:sz w:val="2"/>
        </w:rPr>
      </w:pPr>
    </w:p>
    <w:p w14:paraId="3A45A362" w14:textId="0C3D61A9" w:rsidR="00C75C2F" w:rsidRPr="00AF7228" w:rsidRDefault="00C75C2F" w:rsidP="00C75C2F">
      <w:pPr>
        <w:rPr>
          <w:sz w:val="2"/>
        </w:rPr>
      </w:pPr>
    </w:p>
    <w:p w14:paraId="51AC3E65" w14:textId="5EAE4938" w:rsidR="00C75C2F" w:rsidRPr="00AF7228" w:rsidRDefault="00C75C2F" w:rsidP="00C75C2F">
      <w:pPr>
        <w:rPr>
          <w:sz w:val="2"/>
        </w:rPr>
      </w:pPr>
    </w:p>
    <w:p w14:paraId="2806E975" w14:textId="558DCD5C" w:rsidR="00C75C2F" w:rsidRPr="00AF7228" w:rsidRDefault="00C75C2F" w:rsidP="00C75C2F">
      <w:pPr>
        <w:rPr>
          <w:sz w:val="2"/>
        </w:rPr>
      </w:pPr>
    </w:p>
    <w:p w14:paraId="5604CDEF" w14:textId="6C337414" w:rsidR="00C75C2F" w:rsidRPr="00AF7228" w:rsidRDefault="00C75C2F" w:rsidP="00C75C2F">
      <w:pPr>
        <w:rPr>
          <w:sz w:val="2"/>
        </w:rPr>
      </w:pPr>
    </w:p>
    <w:p w14:paraId="3D89FE4B" w14:textId="698EBE62" w:rsidR="00C75C2F" w:rsidRPr="00AF7228" w:rsidRDefault="00C75C2F" w:rsidP="00C75C2F">
      <w:pPr>
        <w:rPr>
          <w:sz w:val="2"/>
        </w:rPr>
      </w:pPr>
    </w:p>
    <w:p w14:paraId="3783C469" w14:textId="77777777" w:rsidR="00C75C2F" w:rsidRPr="00AF7228" w:rsidRDefault="00C75C2F" w:rsidP="00C75C2F">
      <w:pPr>
        <w:rPr>
          <w:sz w:val="2"/>
        </w:rPr>
      </w:pPr>
    </w:p>
    <w:p w14:paraId="4B1B2E65" w14:textId="77777777" w:rsidR="00C75C2F" w:rsidRPr="00AF7228" w:rsidRDefault="00C75C2F" w:rsidP="00C75C2F">
      <w:pPr>
        <w:rPr>
          <w:sz w:val="2"/>
        </w:rPr>
      </w:pPr>
    </w:p>
    <w:p w14:paraId="758B2DE3" w14:textId="77777777" w:rsidR="00C75C2F" w:rsidRPr="00AF7228" w:rsidRDefault="00C75C2F" w:rsidP="00C75C2F">
      <w:pPr>
        <w:rPr>
          <w:sz w:val="2"/>
        </w:rPr>
      </w:pPr>
    </w:p>
    <w:p w14:paraId="130D3DFA" w14:textId="77777777" w:rsidR="00C75C2F" w:rsidRPr="00AF7228" w:rsidRDefault="00C75C2F" w:rsidP="00C75C2F">
      <w:pPr>
        <w:rPr>
          <w:sz w:val="2"/>
        </w:rPr>
      </w:pPr>
    </w:p>
    <w:p w14:paraId="2B8B6CD6" w14:textId="77777777" w:rsidR="00C75C2F" w:rsidRPr="00AF7228" w:rsidRDefault="00C75C2F" w:rsidP="00C75C2F">
      <w:pPr>
        <w:rPr>
          <w:sz w:val="2"/>
        </w:rPr>
      </w:pPr>
    </w:p>
    <w:p w14:paraId="570EE1DF" w14:textId="77777777" w:rsidR="00C75C2F" w:rsidRPr="00AF7228" w:rsidRDefault="00C75C2F" w:rsidP="00C75C2F">
      <w:pPr>
        <w:rPr>
          <w:sz w:val="2"/>
        </w:rPr>
      </w:pPr>
    </w:p>
    <w:p w14:paraId="0FD70EC0" w14:textId="77777777" w:rsidR="00C75C2F" w:rsidRPr="00AF7228" w:rsidRDefault="00C75C2F" w:rsidP="00C75C2F">
      <w:pPr>
        <w:rPr>
          <w:sz w:val="2"/>
        </w:rPr>
      </w:pPr>
    </w:p>
    <w:p w14:paraId="46DC864C" w14:textId="77777777" w:rsidR="00C75C2F" w:rsidRPr="00AF7228" w:rsidRDefault="00C75C2F" w:rsidP="00C75C2F">
      <w:pPr>
        <w:rPr>
          <w:sz w:val="2"/>
        </w:rPr>
      </w:pPr>
    </w:p>
    <w:p w14:paraId="768C3DC7" w14:textId="54DA3ED2" w:rsidR="00C75C2F" w:rsidRPr="00AF7228" w:rsidRDefault="00C75C2F" w:rsidP="00C75C2F">
      <w:pPr>
        <w:rPr>
          <w:sz w:val="2"/>
        </w:rPr>
      </w:pPr>
      <w:r w:rsidRPr="00AF7228">
        <w:rPr>
          <w:noProof/>
          <w:sz w:val="2"/>
          <w:lang w:eastAsia="en-AU"/>
        </w:rPr>
        <mc:AlternateContent>
          <mc:Choice Requires="wps">
            <w:drawing>
              <wp:anchor distT="0" distB="0" distL="114300" distR="114300" simplePos="0" relativeHeight="251760128" behindDoc="0" locked="0" layoutInCell="1" allowOverlap="1" wp14:anchorId="3A477B65" wp14:editId="15691C04">
                <wp:simplePos x="0" y="0"/>
                <wp:positionH relativeFrom="column">
                  <wp:posOffset>390948</wp:posOffset>
                </wp:positionH>
                <wp:positionV relativeFrom="paragraph">
                  <wp:posOffset>83608</wp:posOffset>
                </wp:positionV>
                <wp:extent cx="1151467" cy="408562"/>
                <wp:effectExtent l="0" t="0" r="4445" b="0"/>
                <wp:wrapNone/>
                <wp:docPr id="6" name="Text Box 6"/>
                <wp:cNvGraphicFramePr/>
                <a:graphic xmlns:a="http://schemas.openxmlformats.org/drawingml/2006/main">
                  <a:graphicData uri="http://schemas.microsoft.com/office/word/2010/wordprocessingShape">
                    <wps:wsp>
                      <wps:cNvSpPr txBox="1"/>
                      <wps:spPr>
                        <a:xfrm>
                          <a:off x="0" y="0"/>
                          <a:ext cx="1151467" cy="408562"/>
                        </a:xfrm>
                        <a:prstGeom prst="rect">
                          <a:avLst/>
                        </a:prstGeom>
                        <a:solidFill>
                          <a:schemeClr val="lt1"/>
                        </a:solidFill>
                        <a:ln w="6350">
                          <a:noFill/>
                        </a:ln>
                      </wps:spPr>
                      <wps:txbx>
                        <w:txbxContent>
                          <w:p w14:paraId="12623745" w14:textId="7F501480" w:rsidR="00B303FA" w:rsidRPr="00C75C2F" w:rsidRDefault="00B303FA">
                            <w:pPr>
                              <w:rPr>
                                <w:b/>
                                <w:color w:val="4F81BD" w:themeColor="accent1"/>
                                <w:sz w:val="24"/>
                              </w:rPr>
                            </w:pPr>
                            <w:r>
                              <w:rPr>
                                <w:b/>
                                <w:color w:val="4F81BD" w:themeColor="accent1"/>
                                <w:sz w:val="24"/>
                              </w:rPr>
                              <w:t>17</w:t>
                            </w:r>
                            <w:r w:rsidRPr="00C75C2F">
                              <w:rPr>
                                <w:b/>
                                <w:color w:val="4F81BD" w:themeColor="accent1"/>
                                <w:sz w:val="24"/>
                              </w:rPr>
                              <w:t xml:space="preserve"> April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A477B65" id="_x0000_t202" coordsize="21600,21600" o:spt="202" path="m,l,21600r21600,l21600,xe">
                <v:stroke joinstyle="miter"/>
                <v:path gradientshapeok="t" o:connecttype="rect"/>
              </v:shapetype>
              <v:shape id="Text Box 6" o:spid="_x0000_s1026" type="#_x0000_t202" style="position:absolute;margin-left:30.8pt;margin-top:6.6pt;width:90.65pt;height:32.15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cI5QQIAAHkEAAAOAAAAZHJzL2Uyb0RvYy54bWysVFFv2jAQfp+0/2D5fSRhQNuIUDEqpkmo&#10;rQRTn41jk0iOz7MNCfv1OzuhZd2epr04Z9/583333WV+3zWKnIR1NeiCZqOUEqE5lLU+FPT7bv3p&#10;lhLnmS6ZAi0KehaO3i8+fpi3JhdjqECVwhIE0S5vTUEr702eJI5XomFuBEZodEqwDfO4tYektKxF&#10;9EYl4zSdJS3Y0ljgwjk8feiddBHxpRTcP0nphCeqoJibj6uN6z6syWLO8oNlpqr5kAb7hywaVmt8&#10;9BXqgXlGjrb+A6qpuQUH0o84NAlIWXMROSCbLH3HZlsxIyIXLI4zr2Vy/w+WP56eLanLgs4o0axB&#10;iXai8+QLdGQWqtMal2PQ1mCY7/AYVb6cOzwMpDtpm/BFOgT9WOfza20DGA+Xsmk2md1QwtE3SW+n&#10;s3GASd5uG+v8VwENCUZBLWoXS8pOG+f70EtIeMyBqst1rVTchH4RK2XJiaHSysccEfy3KKVJi0Q/&#10;T9MIrCFc75GVxlwC155TsHy374YC7KE8I38Lff84w9c1Jrlhzj8ziw2DlHEI/BMuUgE+AoNFSQX2&#10;59/OQzzqiF5KWmzAgrofR2YFJeqbRoXvsskkdGzcTKY3Y9zYa8/+2qOPzQqQeYbjZng0Q7xXF1Na&#10;aF5wVpbhVXQxzfHtgvqLufL9WOCscbFcxiDsUcP8Rm8ND9Ch0kGCXffCrBl08qjwI1xaleXv5Opj&#10;w00Ny6MHWUctQ4H7qg51x/6O3TDMYhig632MevtjLH4BAAD//wMAUEsDBBQABgAIAAAAIQAFHei8&#10;4AAAAAgBAAAPAAAAZHJzL2Rvd25yZXYueG1sTI9LT4RAEITvJv6HSZt4Me6w4IIiw8YYH4k3Fx/x&#10;Nsu0QGR6CDML+O9tT3qsrkrV18V2sb2YcPSdIwXrVQQCqXamo0bBS3V/fgnCB01G945QwTd62JbH&#10;R4XOjZvpGaddaASXkM+1gjaEIZfS1y1a7VduQGLv041WB5ZjI82oZy63vYyjKJVWd8QLrR7wtsX6&#10;a3ewCj7Omvcnvzy8zskmGe4epyp7M5VSpyfLzTWIgEv4C8MvPqNDyUx7dyDjRa8gXaec5HsSg2A/&#10;voivQOwVZNkGZFnI/w+UPwAAAP//AwBQSwECLQAUAAYACAAAACEAtoM4kv4AAADhAQAAEwAAAAAA&#10;AAAAAAAAAAAAAAAAW0NvbnRlbnRfVHlwZXNdLnhtbFBLAQItABQABgAIAAAAIQA4/SH/1gAAAJQB&#10;AAALAAAAAAAAAAAAAAAAAC8BAABfcmVscy8ucmVsc1BLAQItABQABgAIAAAAIQALhcI5QQIAAHkE&#10;AAAOAAAAAAAAAAAAAAAAAC4CAABkcnMvZTJvRG9jLnhtbFBLAQItABQABgAIAAAAIQAFHei84AAA&#10;AAgBAAAPAAAAAAAAAAAAAAAAAJsEAABkcnMvZG93bnJldi54bWxQSwUGAAAAAAQABADzAAAAqAUA&#10;AAAA&#10;" fillcolor="white [3201]" stroked="f" strokeweight=".5pt">
                <v:textbox>
                  <w:txbxContent>
                    <w:p w14:paraId="12623745" w14:textId="7F501480" w:rsidR="00B303FA" w:rsidRPr="00C75C2F" w:rsidRDefault="00B303FA">
                      <w:pPr>
                        <w:rPr>
                          <w:b/>
                          <w:color w:val="4F81BD" w:themeColor="accent1"/>
                          <w:sz w:val="24"/>
                        </w:rPr>
                      </w:pPr>
                      <w:r>
                        <w:rPr>
                          <w:b/>
                          <w:color w:val="4F81BD" w:themeColor="accent1"/>
                          <w:sz w:val="24"/>
                        </w:rPr>
                        <w:t>17</w:t>
                      </w:r>
                      <w:r w:rsidRPr="00C75C2F">
                        <w:rPr>
                          <w:b/>
                          <w:color w:val="4F81BD" w:themeColor="accent1"/>
                          <w:sz w:val="24"/>
                        </w:rPr>
                        <w:t xml:space="preserve"> April 2019</w:t>
                      </w:r>
                    </w:p>
                  </w:txbxContent>
                </v:textbox>
              </v:shape>
            </w:pict>
          </mc:Fallback>
        </mc:AlternateContent>
      </w:r>
    </w:p>
    <w:p w14:paraId="7172B1BF" w14:textId="63478D26" w:rsidR="00C75C2F" w:rsidRPr="00AF7228" w:rsidRDefault="00C75C2F" w:rsidP="00C75C2F">
      <w:pPr>
        <w:rPr>
          <w:sz w:val="2"/>
        </w:rPr>
      </w:pPr>
    </w:p>
    <w:p w14:paraId="7642A6D7" w14:textId="7791063E" w:rsidR="00C75C2F" w:rsidRPr="00AF7228" w:rsidRDefault="00C75C2F" w:rsidP="00C75C2F">
      <w:pPr>
        <w:rPr>
          <w:sz w:val="2"/>
        </w:rPr>
      </w:pPr>
    </w:p>
    <w:p w14:paraId="182308C2" w14:textId="6727A568" w:rsidR="00C75C2F" w:rsidRPr="00AF7228" w:rsidRDefault="00C75C2F" w:rsidP="00C75C2F">
      <w:pPr>
        <w:rPr>
          <w:sz w:val="2"/>
        </w:rPr>
      </w:pPr>
    </w:p>
    <w:p w14:paraId="77E51A34" w14:textId="556D1562" w:rsidR="00C75C2F" w:rsidRPr="00AF7228" w:rsidRDefault="00C75C2F" w:rsidP="00C75C2F">
      <w:pPr>
        <w:rPr>
          <w:sz w:val="2"/>
        </w:rPr>
      </w:pPr>
    </w:p>
    <w:p w14:paraId="31E2755A" w14:textId="6DE5BCD1" w:rsidR="00C75C2F" w:rsidRPr="00AF7228" w:rsidRDefault="00C75C2F" w:rsidP="00C75C2F">
      <w:pPr>
        <w:tabs>
          <w:tab w:val="left" w:pos="965"/>
        </w:tabs>
        <w:rPr>
          <w:sz w:val="2"/>
        </w:rPr>
      </w:pPr>
      <w:r w:rsidRPr="00AF7228">
        <w:rPr>
          <w:sz w:val="2"/>
        </w:rPr>
        <w:tab/>
      </w:r>
    </w:p>
    <w:p w14:paraId="67CC1990" w14:textId="57BCBD3C" w:rsidR="00C75C2F" w:rsidRPr="00AF7228" w:rsidRDefault="00C75C2F" w:rsidP="00C75C2F">
      <w:pPr>
        <w:rPr>
          <w:sz w:val="16"/>
        </w:rPr>
      </w:pPr>
    </w:p>
    <w:p w14:paraId="7EB481D5" w14:textId="77777777" w:rsidR="00D22304" w:rsidRPr="00AF7228" w:rsidRDefault="00D22304" w:rsidP="00C75C2F">
      <w:pPr>
        <w:rPr>
          <w:sz w:val="16"/>
        </w:rPr>
        <w:sectPr w:rsidR="00D22304" w:rsidRPr="00AF7228" w:rsidSect="00BB7C2B">
          <w:footerReference w:type="default" r:id="rId15"/>
          <w:pgSz w:w="11900" w:h="16840" w:code="9"/>
          <w:pgMar w:top="567" w:right="851" w:bottom="284" w:left="851" w:header="567" w:footer="284" w:gutter="0"/>
          <w:cols w:space="708"/>
          <w:docGrid w:linePitch="273"/>
        </w:sectPr>
      </w:pPr>
    </w:p>
    <w:p w14:paraId="75729EFA" w14:textId="03547847" w:rsidR="00D22304" w:rsidRPr="00AF7228" w:rsidRDefault="00D22304" w:rsidP="00B7158B">
      <w:pPr>
        <w:pStyle w:val="BodyText"/>
      </w:pPr>
    </w:p>
    <w:p w14:paraId="5A96F5C9" w14:textId="77777777" w:rsidR="00713158" w:rsidRPr="00AF7228" w:rsidRDefault="00713158" w:rsidP="00B7158B">
      <w:pPr>
        <w:pStyle w:val="BodyText"/>
      </w:pPr>
    </w:p>
    <w:p w14:paraId="4949C951" w14:textId="77777777" w:rsidR="005A6573" w:rsidRPr="00AF7228" w:rsidRDefault="005A6573" w:rsidP="00B7158B">
      <w:pPr>
        <w:pStyle w:val="BodyText"/>
        <w:sectPr w:rsidR="005A6573" w:rsidRPr="00AF7228" w:rsidSect="00BB7C2B">
          <w:pgSz w:w="11900" w:h="16840" w:code="9"/>
          <w:pgMar w:top="1361" w:right="1361" w:bottom="1361" w:left="1361" w:header="680" w:footer="680" w:gutter="0"/>
          <w:pgNumType w:fmt="lowerRoman"/>
          <w:cols w:space="708"/>
          <w:docGrid w:linePitch="273"/>
        </w:sectPr>
      </w:pPr>
    </w:p>
    <w:p w14:paraId="749495B0" w14:textId="77777777" w:rsidR="00AD3544" w:rsidRDefault="009F2B4D" w:rsidP="00C50002">
      <w:pPr>
        <w:pStyle w:val="Heading"/>
        <w:pBdr>
          <w:bottom w:val="single" w:sz="2" w:space="1" w:color="003D69"/>
        </w:pBdr>
        <w:rPr>
          <w:noProof/>
        </w:rPr>
      </w:pPr>
      <w:r w:rsidRPr="00AF7228">
        <w:rPr>
          <w:color w:val="003D69"/>
        </w:rPr>
        <w:lastRenderedPageBreak/>
        <w:t xml:space="preserve">Table of </w:t>
      </w:r>
      <w:r w:rsidR="00771E47" w:rsidRPr="00AF7228">
        <w:rPr>
          <w:color w:val="003D69"/>
        </w:rPr>
        <w:t>Contents</w:t>
      </w:r>
      <w:r w:rsidR="00736310" w:rsidRPr="00AF7228">
        <w:rPr>
          <w:b w:val="0"/>
          <w:bCs/>
        </w:rPr>
        <w:fldChar w:fldCharType="begin"/>
      </w:r>
      <w:r w:rsidR="00736310" w:rsidRPr="00AF7228">
        <w:rPr>
          <w:b w:val="0"/>
          <w:bCs/>
        </w:rPr>
        <w:instrText xml:space="preserve"> TOC \o "1-3" </w:instrText>
      </w:r>
      <w:r w:rsidR="00736310" w:rsidRPr="00AF7228">
        <w:rPr>
          <w:b w:val="0"/>
          <w:bCs/>
        </w:rPr>
        <w:fldChar w:fldCharType="separate"/>
      </w:r>
    </w:p>
    <w:p w14:paraId="033F7F45" w14:textId="2254FAA1" w:rsidR="00AD3544" w:rsidRDefault="00AD3544">
      <w:pPr>
        <w:pStyle w:val="TOC1"/>
        <w:rPr>
          <w:rFonts w:asciiTheme="minorHAnsi" w:eastAsiaTheme="minorEastAsia" w:hAnsiTheme="minorHAnsi" w:cstheme="minorBidi"/>
          <w:b w:val="0"/>
          <w:bCs w:val="0"/>
          <w:noProof/>
          <w:color w:val="auto"/>
          <w:szCs w:val="24"/>
          <w:lang w:eastAsia="en-US"/>
        </w:rPr>
      </w:pPr>
      <w:r>
        <w:rPr>
          <w:noProof/>
        </w:rPr>
        <w:t>Introduction</w:t>
      </w:r>
      <w:r>
        <w:rPr>
          <w:noProof/>
        </w:rPr>
        <w:tab/>
      </w:r>
      <w:r>
        <w:rPr>
          <w:noProof/>
        </w:rPr>
        <w:fldChar w:fldCharType="begin"/>
      </w:r>
      <w:r>
        <w:rPr>
          <w:noProof/>
        </w:rPr>
        <w:instrText xml:space="preserve"> PAGEREF _Toc6238793 \h </w:instrText>
      </w:r>
      <w:r>
        <w:rPr>
          <w:noProof/>
        </w:rPr>
      </w:r>
      <w:r>
        <w:rPr>
          <w:noProof/>
        </w:rPr>
        <w:fldChar w:fldCharType="separate"/>
      </w:r>
      <w:r w:rsidR="00EF2823">
        <w:rPr>
          <w:noProof/>
        </w:rPr>
        <w:t>8</w:t>
      </w:r>
      <w:r>
        <w:rPr>
          <w:noProof/>
        </w:rPr>
        <w:fldChar w:fldCharType="end"/>
      </w:r>
    </w:p>
    <w:p w14:paraId="36023722" w14:textId="27552833" w:rsidR="00AD3544" w:rsidRDefault="00AD3544">
      <w:pPr>
        <w:pStyle w:val="TOC1"/>
        <w:rPr>
          <w:rFonts w:asciiTheme="minorHAnsi" w:eastAsiaTheme="minorEastAsia" w:hAnsiTheme="minorHAnsi" w:cstheme="minorBidi"/>
          <w:b w:val="0"/>
          <w:bCs w:val="0"/>
          <w:noProof/>
          <w:color w:val="auto"/>
          <w:szCs w:val="24"/>
          <w:lang w:eastAsia="en-US"/>
        </w:rPr>
      </w:pPr>
      <w:r>
        <w:rPr>
          <w:noProof/>
        </w:rPr>
        <w:t xml:space="preserve">PART A - WentWest PHN </w:t>
      </w:r>
      <w:r w:rsidR="00C34200">
        <w:rPr>
          <w:noProof/>
        </w:rPr>
        <w:t xml:space="preserve">and </w:t>
      </w:r>
      <w:r>
        <w:rPr>
          <w:noProof/>
        </w:rPr>
        <w:t>Our Region</w:t>
      </w:r>
      <w:r>
        <w:rPr>
          <w:noProof/>
        </w:rPr>
        <w:tab/>
      </w:r>
      <w:r>
        <w:rPr>
          <w:noProof/>
        </w:rPr>
        <w:fldChar w:fldCharType="begin"/>
      </w:r>
      <w:r>
        <w:rPr>
          <w:noProof/>
        </w:rPr>
        <w:instrText xml:space="preserve"> PAGEREF _Toc6238794 \h </w:instrText>
      </w:r>
      <w:r>
        <w:rPr>
          <w:noProof/>
        </w:rPr>
      </w:r>
      <w:r>
        <w:rPr>
          <w:noProof/>
        </w:rPr>
        <w:fldChar w:fldCharType="separate"/>
      </w:r>
      <w:r w:rsidR="00EF2823">
        <w:rPr>
          <w:noProof/>
        </w:rPr>
        <w:t>9</w:t>
      </w:r>
      <w:r>
        <w:rPr>
          <w:noProof/>
        </w:rPr>
        <w:fldChar w:fldCharType="end"/>
      </w:r>
    </w:p>
    <w:p w14:paraId="0E09EE9F" w14:textId="1018EA33" w:rsidR="00AD3544" w:rsidRDefault="00AD3544">
      <w:pPr>
        <w:pStyle w:val="TOC1"/>
        <w:rPr>
          <w:rFonts w:asciiTheme="minorHAnsi" w:eastAsiaTheme="minorEastAsia" w:hAnsiTheme="minorHAnsi" w:cstheme="minorBidi"/>
          <w:b w:val="0"/>
          <w:bCs w:val="0"/>
          <w:noProof/>
          <w:color w:val="auto"/>
          <w:szCs w:val="24"/>
          <w:lang w:eastAsia="en-US"/>
        </w:rPr>
      </w:pPr>
      <w:r>
        <w:rPr>
          <w:noProof/>
        </w:rPr>
        <w:t xml:space="preserve">WentWest – </w:t>
      </w:r>
      <w:r w:rsidR="00C34200">
        <w:rPr>
          <w:noProof/>
        </w:rPr>
        <w:t>A Snapshot</w:t>
      </w:r>
      <w:r>
        <w:rPr>
          <w:noProof/>
        </w:rPr>
        <w:tab/>
      </w:r>
      <w:r>
        <w:rPr>
          <w:noProof/>
        </w:rPr>
        <w:fldChar w:fldCharType="begin"/>
      </w:r>
      <w:r>
        <w:rPr>
          <w:noProof/>
        </w:rPr>
        <w:instrText xml:space="preserve"> PAGEREF _Toc6238795 \h </w:instrText>
      </w:r>
      <w:r>
        <w:rPr>
          <w:noProof/>
        </w:rPr>
      </w:r>
      <w:r>
        <w:rPr>
          <w:noProof/>
        </w:rPr>
        <w:fldChar w:fldCharType="separate"/>
      </w:r>
      <w:r w:rsidR="00EF2823">
        <w:rPr>
          <w:noProof/>
        </w:rPr>
        <w:t>10</w:t>
      </w:r>
      <w:r>
        <w:rPr>
          <w:noProof/>
        </w:rPr>
        <w:fldChar w:fldCharType="end"/>
      </w:r>
    </w:p>
    <w:p w14:paraId="2E13F705" w14:textId="17A9E952" w:rsidR="00AD3544" w:rsidRDefault="00AD3544">
      <w:pPr>
        <w:pStyle w:val="TOC1"/>
        <w:rPr>
          <w:rFonts w:asciiTheme="minorHAnsi" w:eastAsiaTheme="minorEastAsia" w:hAnsiTheme="minorHAnsi" w:cstheme="minorBidi"/>
          <w:b w:val="0"/>
          <w:bCs w:val="0"/>
          <w:noProof/>
          <w:color w:val="auto"/>
          <w:szCs w:val="24"/>
          <w:lang w:eastAsia="en-US"/>
        </w:rPr>
      </w:pPr>
      <w:r>
        <w:rPr>
          <w:noProof/>
        </w:rPr>
        <w:t xml:space="preserve">Western Sydney – </w:t>
      </w:r>
      <w:r w:rsidR="00C34200">
        <w:rPr>
          <w:noProof/>
        </w:rPr>
        <w:t>Our R</w:t>
      </w:r>
      <w:r>
        <w:rPr>
          <w:noProof/>
        </w:rPr>
        <w:t>egion</w:t>
      </w:r>
      <w:r>
        <w:rPr>
          <w:noProof/>
        </w:rPr>
        <w:tab/>
      </w:r>
      <w:r>
        <w:rPr>
          <w:noProof/>
        </w:rPr>
        <w:fldChar w:fldCharType="begin"/>
      </w:r>
      <w:r>
        <w:rPr>
          <w:noProof/>
        </w:rPr>
        <w:instrText xml:space="preserve"> PAGEREF _Toc6238796 \h </w:instrText>
      </w:r>
      <w:r>
        <w:rPr>
          <w:noProof/>
        </w:rPr>
      </w:r>
      <w:r>
        <w:rPr>
          <w:noProof/>
        </w:rPr>
        <w:fldChar w:fldCharType="separate"/>
      </w:r>
      <w:r w:rsidR="00EF2823">
        <w:rPr>
          <w:noProof/>
        </w:rPr>
        <w:t>13</w:t>
      </w:r>
      <w:r>
        <w:rPr>
          <w:noProof/>
        </w:rPr>
        <w:fldChar w:fldCharType="end"/>
      </w:r>
    </w:p>
    <w:p w14:paraId="4EF84991" w14:textId="605FA935" w:rsidR="00AD3544" w:rsidRDefault="00AD3544">
      <w:pPr>
        <w:pStyle w:val="TOC3"/>
        <w:rPr>
          <w:rFonts w:asciiTheme="minorHAnsi" w:hAnsiTheme="minorHAnsi"/>
          <w:bCs w:val="0"/>
          <w:noProof/>
          <w:sz w:val="24"/>
          <w:szCs w:val="24"/>
          <w:lang w:eastAsia="en-US"/>
        </w:rPr>
      </w:pPr>
      <w:r>
        <w:rPr>
          <w:noProof/>
        </w:rPr>
        <w:t>Population Profile</w:t>
      </w:r>
      <w:r>
        <w:rPr>
          <w:noProof/>
        </w:rPr>
        <w:tab/>
      </w:r>
      <w:r>
        <w:rPr>
          <w:noProof/>
        </w:rPr>
        <w:fldChar w:fldCharType="begin"/>
      </w:r>
      <w:r>
        <w:rPr>
          <w:noProof/>
        </w:rPr>
        <w:instrText xml:space="preserve"> PAGEREF _Toc6238797 \h </w:instrText>
      </w:r>
      <w:r>
        <w:rPr>
          <w:noProof/>
        </w:rPr>
      </w:r>
      <w:r>
        <w:rPr>
          <w:noProof/>
        </w:rPr>
        <w:fldChar w:fldCharType="separate"/>
      </w:r>
      <w:r w:rsidR="00EF2823">
        <w:rPr>
          <w:noProof/>
        </w:rPr>
        <w:t>13</w:t>
      </w:r>
      <w:r>
        <w:rPr>
          <w:noProof/>
        </w:rPr>
        <w:fldChar w:fldCharType="end"/>
      </w:r>
    </w:p>
    <w:p w14:paraId="262B15D8" w14:textId="6DE8091D" w:rsidR="00AD3544" w:rsidRDefault="00AD3544">
      <w:pPr>
        <w:pStyle w:val="TOC3"/>
        <w:rPr>
          <w:rFonts w:asciiTheme="minorHAnsi" w:hAnsiTheme="minorHAnsi"/>
          <w:bCs w:val="0"/>
          <w:noProof/>
          <w:sz w:val="24"/>
          <w:szCs w:val="24"/>
          <w:lang w:eastAsia="en-US"/>
        </w:rPr>
      </w:pPr>
      <w:r>
        <w:rPr>
          <w:noProof/>
        </w:rPr>
        <w:t>Addressing Chronic Care Needs</w:t>
      </w:r>
      <w:r>
        <w:rPr>
          <w:noProof/>
        </w:rPr>
        <w:tab/>
      </w:r>
      <w:r>
        <w:rPr>
          <w:noProof/>
        </w:rPr>
        <w:fldChar w:fldCharType="begin"/>
      </w:r>
      <w:r>
        <w:rPr>
          <w:noProof/>
        </w:rPr>
        <w:instrText xml:space="preserve"> PAGEREF _Toc6238798 \h </w:instrText>
      </w:r>
      <w:r>
        <w:rPr>
          <w:noProof/>
        </w:rPr>
      </w:r>
      <w:r>
        <w:rPr>
          <w:noProof/>
        </w:rPr>
        <w:fldChar w:fldCharType="separate"/>
      </w:r>
      <w:r w:rsidR="00EF2823">
        <w:rPr>
          <w:noProof/>
        </w:rPr>
        <w:t>15</w:t>
      </w:r>
      <w:r>
        <w:rPr>
          <w:noProof/>
        </w:rPr>
        <w:fldChar w:fldCharType="end"/>
      </w:r>
    </w:p>
    <w:p w14:paraId="5DF1D4F6" w14:textId="6C689AFF" w:rsidR="00AD3544" w:rsidRDefault="00AD3544">
      <w:pPr>
        <w:pStyle w:val="TOC3"/>
        <w:rPr>
          <w:rFonts w:asciiTheme="minorHAnsi" w:hAnsiTheme="minorHAnsi"/>
          <w:bCs w:val="0"/>
          <w:noProof/>
          <w:sz w:val="24"/>
          <w:szCs w:val="24"/>
          <w:lang w:eastAsia="en-US"/>
        </w:rPr>
      </w:pPr>
      <w:r>
        <w:rPr>
          <w:noProof/>
        </w:rPr>
        <w:t xml:space="preserve">Social Economic Status Across Our </w:t>
      </w:r>
      <w:r w:rsidR="00C34200">
        <w:rPr>
          <w:noProof/>
        </w:rPr>
        <w:t>R</w:t>
      </w:r>
      <w:r>
        <w:rPr>
          <w:noProof/>
        </w:rPr>
        <w:t>egion</w:t>
      </w:r>
      <w:r>
        <w:rPr>
          <w:noProof/>
        </w:rPr>
        <w:tab/>
      </w:r>
      <w:r>
        <w:rPr>
          <w:noProof/>
        </w:rPr>
        <w:fldChar w:fldCharType="begin"/>
      </w:r>
      <w:r>
        <w:rPr>
          <w:noProof/>
        </w:rPr>
        <w:instrText xml:space="preserve"> PAGEREF _Toc6238799 \h </w:instrText>
      </w:r>
      <w:r>
        <w:rPr>
          <w:noProof/>
        </w:rPr>
      </w:r>
      <w:r>
        <w:rPr>
          <w:noProof/>
        </w:rPr>
        <w:fldChar w:fldCharType="separate"/>
      </w:r>
      <w:r w:rsidR="00EF2823">
        <w:rPr>
          <w:noProof/>
        </w:rPr>
        <w:t>15</w:t>
      </w:r>
      <w:r>
        <w:rPr>
          <w:noProof/>
        </w:rPr>
        <w:fldChar w:fldCharType="end"/>
      </w:r>
    </w:p>
    <w:p w14:paraId="2183C4E0" w14:textId="637A623A" w:rsidR="00AD3544" w:rsidRDefault="00AD3544">
      <w:pPr>
        <w:pStyle w:val="TOC1"/>
        <w:rPr>
          <w:rFonts w:asciiTheme="minorHAnsi" w:eastAsiaTheme="minorEastAsia" w:hAnsiTheme="minorHAnsi" w:cstheme="minorBidi"/>
          <w:b w:val="0"/>
          <w:bCs w:val="0"/>
          <w:noProof/>
          <w:color w:val="auto"/>
          <w:szCs w:val="24"/>
          <w:lang w:eastAsia="en-US"/>
        </w:rPr>
      </w:pPr>
      <w:r>
        <w:rPr>
          <w:noProof/>
        </w:rPr>
        <w:t>Understanding the Region’s Mental Health Needs</w:t>
      </w:r>
      <w:r>
        <w:rPr>
          <w:noProof/>
        </w:rPr>
        <w:tab/>
      </w:r>
      <w:r>
        <w:rPr>
          <w:noProof/>
        </w:rPr>
        <w:fldChar w:fldCharType="begin"/>
      </w:r>
      <w:r>
        <w:rPr>
          <w:noProof/>
        </w:rPr>
        <w:instrText xml:space="preserve"> PAGEREF _Toc6238800 \h </w:instrText>
      </w:r>
      <w:r>
        <w:rPr>
          <w:noProof/>
        </w:rPr>
      </w:r>
      <w:r>
        <w:rPr>
          <w:noProof/>
        </w:rPr>
        <w:fldChar w:fldCharType="separate"/>
      </w:r>
      <w:r w:rsidR="00EF2823">
        <w:rPr>
          <w:noProof/>
        </w:rPr>
        <w:t>17</w:t>
      </w:r>
      <w:r>
        <w:rPr>
          <w:noProof/>
        </w:rPr>
        <w:fldChar w:fldCharType="end"/>
      </w:r>
    </w:p>
    <w:p w14:paraId="5724813E" w14:textId="3BFAA1C2" w:rsidR="00AD3544" w:rsidRDefault="00AD3544">
      <w:pPr>
        <w:pStyle w:val="TOC3"/>
        <w:rPr>
          <w:rFonts w:asciiTheme="minorHAnsi" w:hAnsiTheme="minorHAnsi"/>
          <w:bCs w:val="0"/>
          <w:noProof/>
          <w:sz w:val="24"/>
          <w:szCs w:val="24"/>
          <w:lang w:eastAsia="en-US"/>
        </w:rPr>
      </w:pPr>
      <w:r>
        <w:rPr>
          <w:noProof/>
        </w:rPr>
        <w:t>About the Atlas</w:t>
      </w:r>
      <w:r>
        <w:rPr>
          <w:noProof/>
        </w:rPr>
        <w:tab/>
      </w:r>
      <w:r>
        <w:rPr>
          <w:noProof/>
        </w:rPr>
        <w:fldChar w:fldCharType="begin"/>
      </w:r>
      <w:r>
        <w:rPr>
          <w:noProof/>
        </w:rPr>
        <w:instrText xml:space="preserve"> PAGEREF _Toc6238801 \h </w:instrText>
      </w:r>
      <w:r>
        <w:rPr>
          <w:noProof/>
        </w:rPr>
      </w:r>
      <w:r>
        <w:rPr>
          <w:noProof/>
        </w:rPr>
        <w:fldChar w:fldCharType="separate"/>
      </w:r>
      <w:r w:rsidR="00EF2823">
        <w:rPr>
          <w:noProof/>
        </w:rPr>
        <w:t>17</w:t>
      </w:r>
      <w:r>
        <w:rPr>
          <w:noProof/>
        </w:rPr>
        <w:fldChar w:fldCharType="end"/>
      </w:r>
    </w:p>
    <w:p w14:paraId="2E7F0662" w14:textId="73D2C525" w:rsidR="00AD3544" w:rsidRDefault="00AD3544">
      <w:pPr>
        <w:pStyle w:val="TOC3"/>
        <w:rPr>
          <w:rFonts w:asciiTheme="minorHAnsi" w:hAnsiTheme="minorHAnsi"/>
          <w:bCs w:val="0"/>
          <w:noProof/>
          <w:sz w:val="24"/>
          <w:szCs w:val="24"/>
          <w:lang w:eastAsia="en-US"/>
        </w:rPr>
      </w:pPr>
      <w:r>
        <w:rPr>
          <w:noProof/>
        </w:rPr>
        <w:t>Summary of Findings</w:t>
      </w:r>
      <w:r>
        <w:rPr>
          <w:noProof/>
        </w:rPr>
        <w:tab/>
      </w:r>
      <w:r>
        <w:rPr>
          <w:noProof/>
        </w:rPr>
        <w:fldChar w:fldCharType="begin"/>
      </w:r>
      <w:r>
        <w:rPr>
          <w:noProof/>
        </w:rPr>
        <w:instrText xml:space="preserve"> PAGEREF _Toc6238802 \h </w:instrText>
      </w:r>
      <w:r>
        <w:rPr>
          <w:noProof/>
        </w:rPr>
      </w:r>
      <w:r>
        <w:rPr>
          <w:noProof/>
        </w:rPr>
        <w:fldChar w:fldCharType="separate"/>
      </w:r>
      <w:r w:rsidR="00EF2823">
        <w:rPr>
          <w:noProof/>
        </w:rPr>
        <w:t>18</w:t>
      </w:r>
      <w:r>
        <w:rPr>
          <w:noProof/>
        </w:rPr>
        <w:fldChar w:fldCharType="end"/>
      </w:r>
    </w:p>
    <w:p w14:paraId="5A24B5CA" w14:textId="3610531B" w:rsidR="00AD3544" w:rsidRDefault="00AD3544">
      <w:pPr>
        <w:pStyle w:val="TOC3"/>
        <w:rPr>
          <w:rFonts w:asciiTheme="minorHAnsi" w:hAnsiTheme="minorHAnsi"/>
          <w:bCs w:val="0"/>
          <w:noProof/>
          <w:sz w:val="24"/>
          <w:szCs w:val="24"/>
          <w:lang w:eastAsia="en-US"/>
        </w:rPr>
      </w:pPr>
      <w:r>
        <w:rPr>
          <w:noProof/>
        </w:rPr>
        <w:t>Additional Analysis on Mental Health Service Data</w:t>
      </w:r>
      <w:r>
        <w:rPr>
          <w:noProof/>
        </w:rPr>
        <w:tab/>
      </w:r>
      <w:r>
        <w:rPr>
          <w:noProof/>
        </w:rPr>
        <w:fldChar w:fldCharType="begin"/>
      </w:r>
      <w:r>
        <w:rPr>
          <w:noProof/>
        </w:rPr>
        <w:instrText xml:space="preserve"> PAGEREF _Toc6238803 \h </w:instrText>
      </w:r>
      <w:r>
        <w:rPr>
          <w:noProof/>
        </w:rPr>
      </w:r>
      <w:r>
        <w:rPr>
          <w:noProof/>
        </w:rPr>
        <w:fldChar w:fldCharType="separate"/>
      </w:r>
      <w:r w:rsidR="00EF2823">
        <w:rPr>
          <w:noProof/>
        </w:rPr>
        <w:t>20</w:t>
      </w:r>
      <w:r>
        <w:rPr>
          <w:noProof/>
        </w:rPr>
        <w:fldChar w:fldCharType="end"/>
      </w:r>
    </w:p>
    <w:p w14:paraId="4D5EFE91" w14:textId="5F0E9199" w:rsidR="00AD3544" w:rsidRDefault="00AD3544">
      <w:pPr>
        <w:pStyle w:val="TOC1"/>
        <w:rPr>
          <w:rFonts w:asciiTheme="minorHAnsi" w:eastAsiaTheme="minorEastAsia" w:hAnsiTheme="minorHAnsi" w:cstheme="minorBidi"/>
          <w:b w:val="0"/>
          <w:bCs w:val="0"/>
          <w:noProof/>
          <w:color w:val="auto"/>
          <w:szCs w:val="24"/>
          <w:lang w:eastAsia="en-US"/>
        </w:rPr>
      </w:pPr>
      <w:r>
        <w:rPr>
          <w:noProof/>
        </w:rPr>
        <w:t>Our Approach to Mental Health Services and Reform</w:t>
      </w:r>
      <w:r>
        <w:rPr>
          <w:noProof/>
        </w:rPr>
        <w:tab/>
      </w:r>
      <w:r>
        <w:rPr>
          <w:noProof/>
        </w:rPr>
        <w:fldChar w:fldCharType="begin"/>
      </w:r>
      <w:r>
        <w:rPr>
          <w:noProof/>
        </w:rPr>
        <w:instrText xml:space="preserve"> PAGEREF _Toc6238804 \h </w:instrText>
      </w:r>
      <w:r>
        <w:rPr>
          <w:noProof/>
        </w:rPr>
      </w:r>
      <w:r>
        <w:rPr>
          <w:noProof/>
        </w:rPr>
        <w:fldChar w:fldCharType="separate"/>
      </w:r>
      <w:r w:rsidR="00EF2823">
        <w:rPr>
          <w:noProof/>
        </w:rPr>
        <w:t>27</w:t>
      </w:r>
      <w:r>
        <w:rPr>
          <w:noProof/>
        </w:rPr>
        <w:fldChar w:fldCharType="end"/>
      </w:r>
    </w:p>
    <w:p w14:paraId="5058E800" w14:textId="61220321" w:rsidR="00AD3544" w:rsidRDefault="00AD3544">
      <w:pPr>
        <w:pStyle w:val="TOC3"/>
        <w:rPr>
          <w:rFonts w:asciiTheme="minorHAnsi" w:hAnsiTheme="minorHAnsi"/>
          <w:bCs w:val="0"/>
          <w:noProof/>
          <w:sz w:val="24"/>
          <w:szCs w:val="24"/>
          <w:lang w:eastAsia="en-US"/>
        </w:rPr>
      </w:pPr>
      <w:r>
        <w:rPr>
          <w:noProof/>
        </w:rPr>
        <w:t xml:space="preserve">What </w:t>
      </w:r>
      <w:r w:rsidR="00C34200">
        <w:rPr>
          <w:noProof/>
        </w:rPr>
        <w:t>We H</w:t>
      </w:r>
      <w:r>
        <w:rPr>
          <w:noProof/>
        </w:rPr>
        <w:t xml:space="preserve">ave </w:t>
      </w:r>
      <w:r w:rsidR="00C34200">
        <w:rPr>
          <w:noProof/>
        </w:rPr>
        <w:t>D</w:t>
      </w:r>
      <w:r>
        <w:rPr>
          <w:noProof/>
        </w:rPr>
        <w:t>one in Western Sydney</w:t>
      </w:r>
      <w:r>
        <w:rPr>
          <w:noProof/>
        </w:rPr>
        <w:tab/>
      </w:r>
      <w:r>
        <w:rPr>
          <w:noProof/>
        </w:rPr>
        <w:fldChar w:fldCharType="begin"/>
      </w:r>
      <w:r>
        <w:rPr>
          <w:noProof/>
        </w:rPr>
        <w:instrText xml:space="preserve"> PAGEREF _Toc6238805 \h </w:instrText>
      </w:r>
      <w:r>
        <w:rPr>
          <w:noProof/>
        </w:rPr>
      </w:r>
      <w:r>
        <w:rPr>
          <w:noProof/>
        </w:rPr>
        <w:fldChar w:fldCharType="separate"/>
      </w:r>
      <w:r w:rsidR="00EF2823">
        <w:rPr>
          <w:noProof/>
        </w:rPr>
        <w:t>27</w:t>
      </w:r>
      <w:r>
        <w:rPr>
          <w:noProof/>
        </w:rPr>
        <w:fldChar w:fldCharType="end"/>
      </w:r>
    </w:p>
    <w:p w14:paraId="7DC93458" w14:textId="5053414E" w:rsidR="00AD3544" w:rsidRDefault="00AD3544">
      <w:pPr>
        <w:pStyle w:val="TOC3"/>
        <w:rPr>
          <w:rFonts w:asciiTheme="minorHAnsi" w:hAnsiTheme="minorHAnsi"/>
          <w:bCs w:val="0"/>
          <w:noProof/>
          <w:sz w:val="24"/>
          <w:szCs w:val="24"/>
          <w:lang w:eastAsia="en-US"/>
        </w:rPr>
      </w:pPr>
      <w:r>
        <w:rPr>
          <w:noProof/>
        </w:rPr>
        <w:t>Commissioned Activities 2016-2019</w:t>
      </w:r>
      <w:r>
        <w:rPr>
          <w:noProof/>
        </w:rPr>
        <w:tab/>
      </w:r>
      <w:r>
        <w:rPr>
          <w:noProof/>
        </w:rPr>
        <w:fldChar w:fldCharType="begin"/>
      </w:r>
      <w:r>
        <w:rPr>
          <w:noProof/>
        </w:rPr>
        <w:instrText xml:space="preserve"> PAGEREF _Toc6238806 \h </w:instrText>
      </w:r>
      <w:r>
        <w:rPr>
          <w:noProof/>
        </w:rPr>
      </w:r>
      <w:r>
        <w:rPr>
          <w:noProof/>
        </w:rPr>
        <w:fldChar w:fldCharType="separate"/>
      </w:r>
      <w:r w:rsidR="00EF2823">
        <w:rPr>
          <w:noProof/>
        </w:rPr>
        <w:t>28</w:t>
      </w:r>
      <w:r>
        <w:rPr>
          <w:noProof/>
        </w:rPr>
        <w:fldChar w:fldCharType="end"/>
      </w:r>
    </w:p>
    <w:p w14:paraId="2AEA06D6" w14:textId="1DC6872E" w:rsidR="00AD3544" w:rsidRDefault="00AD3544">
      <w:pPr>
        <w:pStyle w:val="TOC3"/>
        <w:rPr>
          <w:rFonts w:asciiTheme="minorHAnsi" w:hAnsiTheme="minorHAnsi"/>
          <w:bCs w:val="0"/>
          <w:noProof/>
          <w:sz w:val="24"/>
          <w:szCs w:val="24"/>
          <w:lang w:eastAsia="en-US"/>
        </w:rPr>
      </w:pPr>
      <w:r>
        <w:rPr>
          <w:noProof/>
        </w:rPr>
        <w:t>Academic and Strategic Partnerships</w:t>
      </w:r>
      <w:r>
        <w:rPr>
          <w:noProof/>
        </w:rPr>
        <w:tab/>
      </w:r>
      <w:r>
        <w:rPr>
          <w:noProof/>
        </w:rPr>
        <w:fldChar w:fldCharType="begin"/>
      </w:r>
      <w:r>
        <w:rPr>
          <w:noProof/>
        </w:rPr>
        <w:instrText xml:space="preserve"> PAGEREF _Toc6238807 \h </w:instrText>
      </w:r>
      <w:r>
        <w:rPr>
          <w:noProof/>
        </w:rPr>
      </w:r>
      <w:r>
        <w:rPr>
          <w:noProof/>
        </w:rPr>
        <w:fldChar w:fldCharType="separate"/>
      </w:r>
      <w:r w:rsidR="00EF2823">
        <w:rPr>
          <w:noProof/>
        </w:rPr>
        <w:t>32</w:t>
      </w:r>
      <w:r>
        <w:rPr>
          <w:noProof/>
        </w:rPr>
        <w:fldChar w:fldCharType="end"/>
      </w:r>
    </w:p>
    <w:p w14:paraId="6F1504C0" w14:textId="05CBB46C" w:rsidR="00AD3544" w:rsidRDefault="00AD3544">
      <w:pPr>
        <w:pStyle w:val="TOC1"/>
        <w:rPr>
          <w:rFonts w:asciiTheme="minorHAnsi" w:eastAsiaTheme="minorEastAsia" w:hAnsiTheme="minorHAnsi" w:cstheme="minorBidi"/>
          <w:b w:val="0"/>
          <w:bCs w:val="0"/>
          <w:noProof/>
          <w:color w:val="auto"/>
          <w:szCs w:val="24"/>
          <w:lang w:eastAsia="en-US"/>
        </w:rPr>
      </w:pPr>
      <w:r>
        <w:rPr>
          <w:noProof/>
        </w:rPr>
        <w:t>Impact of our Work</w:t>
      </w:r>
      <w:r>
        <w:rPr>
          <w:noProof/>
        </w:rPr>
        <w:tab/>
      </w:r>
      <w:r>
        <w:rPr>
          <w:noProof/>
        </w:rPr>
        <w:fldChar w:fldCharType="begin"/>
      </w:r>
      <w:r>
        <w:rPr>
          <w:noProof/>
        </w:rPr>
        <w:instrText xml:space="preserve"> PAGEREF _Toc6238808 \h </w:instrText>
      </w:r>
      <w:r>
        <w:rPr>
          <w:noProof/>
        </w:rPr>
      </w:r>
      <w:r>
        <w:rPr>
          <w:noProof/>
        </w:rPr>
        <w:fldChar w:fldCharType="separate"/>
      </w:r>
      <w:r w:rsidR="00EF2823">
        <w:rPr>
          <w:noProof/>
        </w:rPr>
        <w:t>33</w:t>
      </w:r>
      <w:r>
        <w:rPr>
          <w:noProof/>
        </w:rPr>
        <w:fldChar w:fldCharType="end"/>
      </w:r>
    </w:p>
    <w:p w14:paraId="14641EC2" w14:textId="7C87B475" w:rsidR="00AD3544" w:rsidRDefault="00AD3544">
      <w:pPr>
        <w:pStyle w:val="TOC3"/>
        <w:rPr>
          <w:rFonts w:asciiTheme="minorHAnsi" w:hAnsiTheme="minorHAnsi"/>
          <w:bCs w:val="0"/>
          <w:noProof/>
          <w:sz w:val="24"/>
          <w:szCs w:val="24"/>
          <w:lang w:eastAsia="en-US"/>
        </w:rPr>
      </w:pPr>
      <w:r>
        <w:rPr>
          <w:noProof/>
        </w:rPr>
        <w:t>What’s Worked</w:t>
      </w:r>
      <w:r>
        <w:rPr>
          <w:noProof/>
        </w:rPr>
        <w:tab/>
      </w:r>
      <w:r>
        <w:rPr>
          <w:noProof/>
        </w:rPr>
        <w:fldChar w:fldCharType="begin"/>
      </w:r>
      <w:r>
        <w:rPr>
          <w:noProof/>
        </w:rPr>
        <w:instrText xml:space="preserve"> PAGEREF _Toc6238809 \h </w:instrText>
      </w:r>
      <w:r>
        <w:rPr>
          <w:noProof/>
        </w:rPr>
      </w:r>
      <w:r>
        <w:rPr>
          <w:noProof/>
        </w:rPr>
        <w:fldChar w:fldCharType="separate"/>
      </w:r>
      <w:r w:rsidR="00EF2823">
        <w:rPr>
          <w:noProof/>
        </w:rPr>
        <w:t>34</w:t>
      </w:r>
      <w:r>
        <w:rPr>
          <w:noProof/>
        </w:rPr>
        <w:fldChar w:fldCharType="end"/>
      </w:r>
    </w:p>
    <w:p w14:paraId="5FFCA642" w14:textId="3429143D" w:rsidR="00AD3544" w:rsidRDefault="00AD3544">
      <w:pPr>
        <w:pStyle w:val="TOC3"/>
        <w:rPr>
          <w:rFonts w:asciiTheme="minorHAnsi" w:hAnsiTheme="minorHAnsi"/>
          <w:bCs w:val="0"/>
          <w:noProof/>
          <w:sz w:val="24"/>
          <w:szCs w:val="24"/>
          <w:lang w:eastAsia="en-US"/>
        </w:rPr>
      </w:pPr>
      <w:r>
        <w:rPr>
          <w:noProof/>
        </w:rPr>
        <w:t xml:space="preserve">What’s </w:t>
      </w:r>
      <w:r w:rsidR="00C34200">
        <w:rPr>
          <w:noProof/>
        </w:rPr>
        <w:t>N</w:t>
      </w:r>
      <w:r>
        <w:rPr>
          <w:noProof/>
        </w:rPr>
        <w:t xml:space="preserve">ot </w:t>
      </w:r>
      <w:r w:rsidR="00C34200">
        <w:rPr>
          <w:noProof/>
        </w:rPr>
        <w:t>W</w:t>
      </w:r>
      <w:r>
        <w:rPr>
          <w:noProof/>
        </w:rPr>
        <w:t>orked</w:t>
      </w:r>
      <w:r>
        <w:rPr>
          <w:noProof/>
        </w:rPr>
        <w:tab/>
      </w:r>
      <w:r>
        <w:rPr>
          <w:noProof/>
        </w:rPr>
        <w:fldChar w:fldCharType="begin"/>
      </w:r>
      <w:r>
        <w:rPr>
          <w:noProof/>
        </w:rPr>
        <w:instrText xml:space="preserve"> PAGEREF _Toc6238810 \h </w:instrText>
      </w:r>
      <w:r>
        <w:rPr>
          <w:noProof/>
        </w:rPr>
      </w:r>
      <w:r>
        <w:rPr>
          <w:noProof/>
        </w:rPr>
        <w:fldChar w:fldCharType="separate"/>
      </w:r>
      <w:r w:rsidR="00EF2823">
        <w:rPr>
          <w:noProof/>
        </w:rPr>
        <w:t>35</w:t>
      </w:r>
      <w:r>
        <w:rPr>
          <w:noProof/>
        </w:rPr>
        <w:fldChar w:fldCharType="end"/>
      </w:r>
    </w:p>
    <w:p w14:paraId="7A830B23" w14:textId="664062B8" w:rsidR="00AD3544" w:rsidRDefault="00AD3544">
      <w:pPr>
        <w:pStyle w:val="TOC3"/>
        <w:rPr>
          <w:rFonts w:asciiTheme="minorHAnsi" w:hAnsiTheme="minorHAnsi"/>
          <w:bCs w:val="0"/>
          <w:noProof/>
          <w:sz w:val="24"/>
          <w:szCs w:val="24"/>
          <w:lang w:eastAsia="en-US"/>
        </w:rPr>
      </w:pPr>
      <w:r>
        <w:rPr>
          <w:noProof/>
        </w:rPr>
        <w:t>Future Focus and Priorities</w:t>
      </w:r>
      <w:r>
        <w:rPr>
          <w:noProof/>
        </w:rPr>
        <w:tab/>
      </w:r>
      <w:r>
        <w:rPr>
          <w:noProof/>
        </w:rPr>
        <w:fldChar w:fldCharType="begin"/>
      </w:r>
      <w:r>
        <w:rPr>
          <w:noProof/>
        </w:rPr>
        <w:instrText xml:space="preserve"> PAGEREF _Toc6238811 \h </w:instrText>
      </w:r>
      <w:r>
        <w:rPr>
          <w:noProof/>
        </w:rPr>
      </w:r>
      <w:r>
        <w:rPr>
          <w:noProof/>
        </w:rPr>
        <w:fldChar w:fldCharType="separate"/>
      </w:r>
      <w:r w:rsidR="00EF2823">
        <w:rPr>
          <w:noProof/>
        </w:rPr>
        <w:t>37</w:t>
      </w:r>
      <w:r>
        <w:rPr>
          <w:noProof/>
        </w:rPr>
        <w:fldChar w:fldCharType="end"/>
      </w:r>
    </w:p>
    <w:p w14:paraId="104F43C4" w14:textId="6B62CF9A" w:rsidR="00AD3544" w:rsidRDefault="00AD3544">
      <w:pPr>
        <w:pStyle w:val="TOC1"/>
        <w:rPr>
          <w:rFonts w:asciiTheme="minorHAnsi" w:eastAsiaTheme="minorEastAsia" w:hAnsiTheme="minorHAnsi" w:cstheme="minorBidi"/>
          <w:b w:val="0"/>
          <w:bCs w:val="0"/>
          <w:noProof/>
          <w:color w:val="auto"/>
          <w:szCs w:val="24"/>
          <w:lang w:eastAsia="en-US"/>
        </w:rPr>
      </w:pPr>
      <w:r>
        <w:rPr>
          <w:noProof/>
        </w:rPr>
        <w:t>PART B</w:t>
      </w:r>
      <w:r>
        <w:rPr>
          <w:noProof/>
        </w:rPr>
        <w:tab/>
      </w:r>
      <w:r>
        <w:rPr>
          <w:noProof/>
        </w:rPr>
        <w:fldChar w:fldCharType="begin"/>
      </w:r>
      <w:r>
        <w:rPr>
          <w:noProof/>
        </w:rPr>
        <w:instrText xml:space="preserve"> PAGEREF _Toc6238812 \h </w:instrText>
      </w:r>
      <w:r>
        <w:rPr>
          <w:noProof/>
        </w:rPr>
      </w:r>
      <w:r>
        <w:rPr>
          <w:noProof/>
        </w:rPr>
        <w:fldChar w:fldCharType="separate"/>
      </w:r>
      <w:r w:rsidR="00EF2823">
        <w:rPr>
          <w:noProof/>
        </w:rPr>
        <w:t>39</w:t>
      </w:r>
      <w:r>
        <w:rPr>
          <w:noProof/>
        </w:rPr>
        <w:fldChar w:fldCharType="end"/>
      </w:r>
    </w:p>
    <w:p w14:paraId="4BE76808" w14:textId="0317F663" w:rsidR="00AD3544" w:rsidRDefault="00AD3544">
      <w:pPr>
        <w:pStyle w:val="TOC1"/>
        <w:rPr>
          <w:rFonts w:asciiTheme="minorHAnsi" w:eastAsiaTheme="minorEastAsia" w:hAnsiTheme="minorHAnsi" w:cstheme="minorBidi"/>
          <w:b w:val="0"/>
          <w:bCs w:val="0"/>
          <w:noProof/>
          <w:color w:val="auto"/>
          <w:szCs w:val="24"/>
          <w:lang w:eastAsia="en-US"/>
        </w:rPr>
      </w:pPr>
      <w:r>
        <w:rPr>
          <w:noProof/>
        </w:rPr>
        <w:t>The Prevalence of Mental Illness</w:t>
      </w:r>
      <w:r>
        <w:rPr>
          <w:noProof/>
        </w:rPr>
        <w:tab/>
      </w:r>
      <w:r>
        <w:rPr>
          <w:noProof/>
        </w:rPr>
        <w:fldChar w:fldCharType="begin"/>
      </w:r>
      <w:r>
        <w:rPr>
          <w:noProof/>
        </w:rPr>
        <w:instrText xml:space="preserve"> PAGEREF _Toc6238813 \h </w:instrText>
      </w:r>
      <w:r>
        <w:rPr>
          <w:noProof/>
        </w:rPr>
      </w:r>
      <w:r>
        <w:rPr>
          <w:noProof/>
        </w:rPr>
        <w:fldChar w:fldCharType="separate"/>
      </w:r>
      <w:r w:rsidR="00EF2823">
        <w:rPr>
          <w:noProof/>
        </w:rPr>
        <w:t>40</w:t>
      </w:r>
      <w:r>
        <w:rPr>
          <w:noProof/>
        </w:rPr>
        <w:fldChar w:fldCharType="end"/>
      </w:r>
    </w:p>
    <w:p w14:paraId="078ECCBB" w14:textId="345B3AC9" w:rsidR="00AD3544" w:rsidRDefault="00AD3544">
      <w:pPr>
        <w:pStyle w:val="TOC1"/>
        <w:rPr>
          <w:rFonts w:asciiTheme="minorHAnsi" w:eastAsiaTheme="minorEastAsia" w:hAnsiTheme="minorHAnsi" w:cstheme="minorBidi"/>
          <w:b w:val="0"/>
          <w:bCs w:val="0"/>
          <w:noProof/>
          <w:color w:val="auto"/>
          <w:szCs w:val="24"/>
          <w:lang w:eastAsia="en-US"/>
        </w:rPr>
      </w:pPr>
      <w:r>
        <w:rPr>
          <w:noProof/>
        </w:rPr>
        <w:t>The State of Mental Health Care in Australia</w:t>
      </w:r>
      <w:r>
        <w:rPr>
          <w:noProof/>
        </w:rPr>
        <w:tab/>
      </w:r>
      <w:r>
        <w:rPr>
          <w:noProof/>
        </w:rPr>
        <w:fldChar w:fldCharType="begin"/>
      </w:r>
      <w:r>
        <w:rPr>
          <w:noProof/>
        </w:rPr>
        <w:instrText xml:space="preserve"> PAGEREF _Toc6238814 \h </w:instrText>
      </w:r>
      <w:r>
        <w:rPr>
          <w:noProof/>
        </w:rPr>
      </w:r>
      <w:r>
        <w:rPr>
          <w:noProof/>
        </w:rPr>
        <w:fldChar w:fldCharType="separate"/>
      </w:r>
      <w:r w:rsidR="00EF2823">
        <w:rPr>
          <w:noProof/>
        </w:rPr>
        <w:t>43</w:t>
      </w:r>
      <w:r>
        <w:rPr>
          <w:noProof/>
        </w:rPr>
        <w:fldChar w:fldCharType="end"/>
      </w:r>
    </w:p>
    <w:p w14:paraId="0C50E2E6" w14:textId="13438BAB" w:rsidR="00AD3544" w:rsidRDefault="00AD3544">
      <w:pPr>
        <w:pStyle w:val="TOC1"/>
        <w:rPr>
          <w:rFonts w:asciiTheme="minorHAnsi" w:eastAsiaTheme="minorEastAsia" w:hAnsiTheme="minorHAnsi" w:cstheme="minorBidi"/>
          <w:b w:val="0"/>
          <w:bCs w:val="0"/>
          <w:noProof/>
          <w:color w:val="auto"/>
          <w:szCs w:val="24"/>
          <w:lang w:eastAsia="en-US"/>
        </w:rPr>
      </w:pPr>
      <w:r>
        <w:rPr>
          <w:noProof/>
        </w:rPr>
        <w:t>Results from Integrated Atlas Studies</w:t>
      </w:r>
      <w:r>
        <w:rPr>
          <w:noProof/>
        </w:rPr>
        <w:tab/>
      </w:r>
      <w:r>
        <w:rPr>
          <w:noProof/>
        </w:rPr>
        <w:fldChar w:fldCharType="begin"/>
      </w:r>
      <w:r>
        <w:rPr>
          <w:noProof/>
        </w:rPr>
        <w:instrText xml:space="preserve"> PAGEREF _Toc6238815 \h </w:instrText>
      </w:r>
      <w:r>
        <w:rPr>
          <w:noProof/>
        </w:rPr>
      </w:r>
      <w:r>
        <w:rPr>
          <w:noProof/>
        </w:rPr>
        <w:fldChar w:fldCharType="separate"/>
      </w:r>
      <w:r w:rsidR="00EF2823">
        <w:rPr>
          <w:noProof/>
        </w:rPr>
        <w:t>45</w:t>
      </w:r>
      <w:r>
        <w:rPr>
          <w:noProof/>
        </w:rPr>
        <w:fldChar w:fldCharType="end"/>
      </w:r>
    </w:p>
    <w:p w14:paraId="161D578A" w14:textId="5EA69F9C" w:rsidR="00AD3544" w:rsidRDefault="00AD3544">
      <w:pPr>
        <w:pStyle w:val="TOC1"/>
        <w:rPr>
          <w:rFonts w:asciiTheme="minorHAnsi" w:eastAsiaTheme="minorEastAsia" w:hAnsiTheme="minorHAnsi" w:cstheme="minorBidi"/>
          <w:b w:val="0"/>
          <w:bCs w:val="0"/>
          <w:noProof/>
          <w:color w:val="auto"/>
          <w:szCs w:val="24"/>
          <w:lang w:eastAsia="en-US"/>
        </w:rPr>
      </w:pPr>
      <w:r>
        <w:rPr>
          <w:noProof/>
        </w:rPr>
        <w:t>Recent Reports of Mental Health Service System</w:t>
      </w:r>
      <w:r>
        <w:rPr>
          <w:noProof/>
        </w:rPr>
        <w:tab/>
      </w:r>
      <w:r>
        <w:rPr>
          <w:noProof/>
        </w:rPr>
        <w:fldChar w:fldCharType="begin"/>
      </w:r>
      <w:r>
        <w:rPr>
          <w:noProof/>
        </w:rPr>
        <w:instrText xml:space="preserve"> PAGEREF _Toc6238816 \h </w:instrText>
      </w:r>
      <w:r>
        <w:rPr>
          <w:noProof/>
        </w:rPr>
      </w:r>
      <w:r>
        <w:rPr>
          <w:noProof/>
        </w:rPr>
        <w:fldChar w:fldCharType="separate"/>
      </w:r>
      <w:r w:rsidR="00EF2823">
        <w:rPr>
          <w:noProof/>
        </w:rPr>
        <w:t>46</w:t>
      </w:r>
      <w:r>
        <w:rPr>
          <w:noProof/>
        </w:rPr>
        <w:fldChar w:fldCharType="end"/>
      </w:r>
    </w:p>
    <w:p w14:paraId="7EB415A2" w14:textId="4F65C1E1" w:rsidR="00AD3544" w:rsidRDefault="00AD3544">
      <w:pPr>
        <w:pStyle w:val="TOC3"/>
        <w:rPr>
          <w:rFonts w:asciiTheme="minorHAnsi" w:hAnsiTheme="minorHAnsi"/>
          <w:bCs w:val="0"/>
          <w:noProof/>
          <w:sz w:val="24"/>
          <w:szCs w:val="24"/>
          <w:lang w:eastAsia="en-US"/>
        </w:rPr>
      </w:pPr>
      <w:r>
        <w:rPr>
          <w:noProof/>
        </w:rPr>
        <w:t>WA Coroner’s Report, January 2019</w:t>
      </w:r>
      <w:r>
        <w:rPr>
          <w:noProof/>
        </w:rPr>
        <w:tab/>
      </w:r>
      <w:r>
        <w:rPr>
          <w:noProof/>
        </w:rPr>
        <w:fldChar w:fldCharType="begin"/>
      </w:r>
      <w:r>
        <w:rPr>
          <w:noProof/>
        </w:rPr>
        <w:instrText xml:space="preserve"> PAGEREF _Toc6238817 \h </w:instrText>
      </w:r>
      <w:r>
        <w:rPr>
          <w:noProof/>
        </w:rPr>
      </w:r>
      <w:r>
        <w:rPr>
          <w:noProof/>
        </w:rPr>
        <w:fldChar w:fldCharType="separate"/>
      </w:r>
      <w:r w:rsidR="00EF2823">
        <w:rPr>
          <w:noProof/>
        </w:rPr>
        <w:t>46</w:t>
      </w:r>
      <w:r>
        <w:rPr>
          <w:noProof/>
        </w:rPr>
        <w:fldChar w:fldCharType="end"/>
      </w:r>
    </w:p>
    <w:p w14:paraId="5DAED326" w14:textId="5A627086" w:rsidR="00AD3544" w:rsidRDefault="00AD3544">
      <w:pPr>
        <w:pStyle w:val="TOC3"/>
        <w:rPr>
          <w:rFonts w:asciiTheme="minorHAnsi" w:hAnsiTheme="minorHAnsi"/>
          <w:bCs w:val="0"/>
          <w:noProof/>
          <w:sz w:val="24"/>
          <w:szCs w:val="24"/>
          <w:lang w:eastAsia="en-US"/>
        </w:rPr>
      </w:pPr>
      <w:r>
        <w:rPr>
          <w:noProof/>
        </w:rPr>
        <w:t>Victorian Auditor General’s Office Report, March 2019</w:t>
      </w:r>
      <w:r>
        <w:rPr>
          <w:noProof/>
        </w:rPr>
        <w:tab/>
      </w:r>
      <w:r>
        <w:rPr>
          <w:noProof/>
        </w:rPr>
        <w:fldChar w:fldCharType="begin"/>
      </w:r>
      <w:r>
        <w:rPr>
          <w:noProof/>
        </w:rPr>
        <w:instrText xml:space="preserve"> PAGEREF _Toc6238818 \h </w:instrText>
      </w:r>
      <w:r>
        <w:rPr>
          <w:noProof/>
        </w:rPr>
      </w:r>
      <w:r>
        <w:rPr>
          <w:noProof/>
        </w:rPr>
        <w:fldChar w:fldCharType="separate"/>
      </w:r>
      <w:r w:rsidR="00EF2823">
        <w:rPr>
          <w:noProof/>
        </w:rPr>
        <w:t>48</w:t>
      </w:r>
      <w:r>
        <w:rPr>
          <w:noProof/>
        </w:rPr>
        <w:fldChar w:fldCharType="end"/>
      </w:r>
    </w:p>
    <w:p w14:paraId="16E736D8" w14:textId="0CDB2C33" w:rsidR="00AD3544" w:rsidRDefault="00AD3544">
      <w:pPr>
        <w:pStyle w:val="TOC1"/>
        <w:rPr>
          <w:rFonts w:asciiTheme="minorHAnsi" w:eastAsiaTheme="minorEastAsia" w:hAnsiTheme="minorHAnsi" w:cstheme="minorBidi"/>
          <w:b w:val="0"/>
          <w:bCs w:val="0"/>
          <w:noProof/>
          <w:color w:val="auto"/>
          <w:szCs w:val="24"/>
          <w:lang w:eastAsia="en-US"/>
        </w:rPr>
      </w:pPr>
      <w:r>
        <w:rPr>
          <w:noProof/>
        </w:rPr>
        <w:t>A Brief Analysis of Other Mental Health Reviews</w:t>
      </w:r>
      <w:r>
        <w:rPr>
          <w:noProof/>
        </w:rPr>
        <w:tab/>
      </w:r>
      <w:r>
        <w:rPr>
          <w:noProof/>
        </w:rPr>
        <w:fldChar w:fldCharType="begin"/>
      </w:r>
      <w:r>
        <w:rPr>
          <w:noProof/>
        </w:rPr>
        <w:instrText xml:space="preserve"> PAGEREF _Toc6238819 \h </w:instrText>
      </w:r>
      <w:r>
        <w:rPr>
          <w:noProof/>
        </w:rPr>
      </w:r>
      <w:r>
        <w:rPr>
          <w:noProof/>
        </w:rPr>
        <w:fldChar w:fldCharType="separate"/>
      </w:r>
      <w:r w:rsidR="00EF2823">
        <w:rPr>
          <w:noProof/>
        </w:rPr>
        <w:t>49</w:t>
      </w:r>
      <w:r>
        <w:rPr>
          <w:noProof/>
        </w:rPr>
        <w:fldChar w:fldCharType="end"/>
      </w:r>
    </w:p>
    <w:p w14:paraId="3F2FAE5F" w14:textId="32E73277" w:rsidR="00AD3544" w:rsidRDefault="00AD3544">
      <w:pPr>
        <w:pStyle w:val="TOC3"/>
        <w:rPr>
          <w:rFonts w:asciiTheme="minorHAnsi" w:hAnsiTheme="minorHAnsi"/>
          <w:bCs w:val="0"/>
          <w:noProof/>
          <w:sz w:val="24"/>
          <w:szCs w:val="24"/>
          <w:lang w:eastAsia="en-US"/>
        </w:rPr>
      </w:pPr>
      <w:r>
        <w:rPr>
          <w:noProof/>
        </w:rPr>
        <w:t>Summary of Analyses</w:t>
      </w:r>
      <w:r>
        <w:rPr>
          <w:noProof/>
        </w:rPr>
        <w:tab/>
      </w:r>
      <w:r>
        <w:rPr>
          <w:noProof/>
        </w:rPr>
        <w:fldChar w:fldCharType="begin"/>
      </w:r>
      <w:r>
        <w:rPr>
          <w:noProof/>
        </w:rPr>
        <w:instrText xml:space="preserve"> PAGEREF _Toc6238820 \h </w:instrText>
      </w:r>
      <w:r>
        <w:rPr>
          <w:noProof/>
        </w:rPr>
      </w:r>
      <w:r>
        <w:rPr>
          <w:noProof/>
        </w:rPr>
        <w:fldChar w:fldCharType="separate"/>
      </w:r>
      <w:r w:rsidR="00EF2823">
        <w:rPr>
          <w:noProof/>
        </w:rPr>
        <w:t>50</w:t>
      </w:r>
      <w:r>
        <w:rPr>
          <w:noProof/>
        </w:rPr>
        <w:fldChar w:fldCharType="end"/>
      </w:r>
    </w:p>
    <w:p w14:paraId="23414B4E" w14:textId="78D8D69F" w:rsidR="00AD3544" w:rsidRDefault="00AD3544">
      <w:pPr>
        <w:pStyle w:val="TOC1"/>
        <w:rPr>
          <w:rFonts w:asciiTheme="minorHAnsi" w:eastAsiaTheme="minorEastAsia" w:hAnsiTheme="minorHAnsi" w:cstheme="minorBidi"/>
          <w:b w:val="0"/>
          <w:bCs w:val="0"/>
          <w:noProof/>
          <w:color w:val="auto"/>
          <w:szCs w:val="24"/>
          <w:lang w:eastAsia="en-US"/>
        </w:rPr>
      </w:pPr>
      <w:r>
        <w:rPr>
          <w:noProof/>
        </w:rPr>
        <w:t>Why Reforms Have Fallen Short of the Objectives</w:t>
      </w:r>
      <w:r>
        <w:rPr>
          <w:noProof/>
        </w:rPr>
        <w:tab/>
      </w:r>
      <w:r>
        <w:rPr>
          <w:noProof/>
        </w:rPr>
        <w:fldChar w:fldCharType="begin"/>
      </w:r>
      <w:r>
        <w:rPr>
          <w:noProof/>
        </w:rPr>
        <w:instrText xml:space="preserve"> PAGEREF _Toc6238821 \h </w:instrText>
      </w:r>
      <w:r>
        <w:rPr>
          <w:noProof/>
        </w:rPr>
      </w:r>
      <w:r>
        <w:rPr>
          <w:noProof/>
        </w:rPr>
        <w:fldChar w:fldCharType="separate"/>
      </w:r>
      <w:r w:rsidR="00EF2823">
        <w:rPr>
          <w:noProof/>
        </w:rPr>
        <w:t>51</w:t>
      </w:r>
      <w:r>
        <w:rPr>
          <w:noProof/>
        </w:rPr>
        <w:fldChar w:fldCharType="end"/>
      </w:r>
    </w:p>
    <w:p w14:paraId="1AF2AC2E" w14:textId="547D55B1" w:rsidR="00AD3544" w:rsidRDefault="00AD3544">
      <w:pPr>
        <w:pStyle w:val="TOC3"/>
        <w:rPr>
          <w:rFonts w:asciiTheme="minorHAnsi" w:hAnsiTheme="minorHAnsi"/>
          <w:bCs w:val="0"/>
          <w:noProof/>
          <w:sz w:val="24"/>
          <w:szCs w:val="24"/>
          <w:lang w:eastAsia="en-US"/>
        </w:rPr>
      </w:pPr>
      <w:r>
        <w:rPr>
          <w:noProof/>
        </w:rPr>
        <w:t xml:space="preserve">Why </w:t>
      </w:r>
      <w:r w:rsidR="00C34200">
        <w:rPr>
          <w:noProof/>
        </w:rPr>
        <w:t>D</w:t>
      </w:r>
      <w:r>
        <w:rPr>
          <w:noProof/>
        </w:rPr>
        <w:t xml:space="preserve">o the </w:t>
      </w:r>
      <w:r w:rsidR="00C34200">
        <w:rPr>
          <w:noProof/>
        </w:rPr>
        <w:t>P</w:t>
      </w:r>
      <w:r>
        <w:rPr>
          <w:noProof/>
        </w:rPr>
        <w:t xml:space="preserve">roblems in </w:t>
      </w:r>
      <w:r w:rsidR="00C34200">
        <w:rPr>
          <w:noProof/>
        </w:rPr>
        <w:t>M</w:t>
      </w:r>
      <w:r>
        <w:rPr>
          <w:noProof/>
        </w:rPr>
        <w:t xml:space="preserve">ental </w:t>
      </w:r>
      <w:r w:rsidR="00C34200">
        <w:rPr>
          <w:noProof/>
        </w:rPr>
        <w:t>H</w:t>
      </w:r>
      <w:r>
        <w:rPr>
          <w:noProof/>
        </w:rPr>
        <w:t xml:space="preserve">ealth </w:t>
      </w:r>
      <w:r w:rsidR="00C34200">
        <w:rPr>
          <w:noProof/>
        </w:rPr>
        <w:t>C</w:t>
      </w:r>
      <w:r>
        <w:rPr>
          <w:noProof/>
        </w:rPr>
        <w:t xml:space="preserve">are </w:t>
      </w:r>
      <w:r w:rsidR="00C34200">
        <w:rPr>
          <w:noProof/>
        </w:rPr>
        <w:t>P</w:t>
      </w:r>
      <w:r>
        <w:rPr>
          <w:noProof/>
        </w:rPr>
        <w:t>ersist?</w:t>
      </w:r>
      <w:r>
        <w:rPr>
          <w:noProof/>
        </w:rPr>
        <w:tab/>
      </w:r>
      <w:r>
        <w:rPr>
          <w:noProof/>
        </w:rPr>
        <w:fldChar w:fldCharType="begin"/>
      </w:r>
      <w:r>
        <w:rPr>
          <w:noProof/>
        </w:rPr>
        <w:instrText xml:space="preserve"> PAGEREF _Toc6238822 \h </w:instrText>
      </w:r>
      <w:r>
        <w:rPr>
          <w:noProof/>
        </w:rPr>
      </w:r>
      <w:r>
        <w:rPr>
          <w:noProof/>
        </w:rPr>
        <w:fldChar w:fldCharType="separate"/>
      </w:r>
      <w:r w:rsidR="00EF2823">
        <w:rPr>
          <w:noProof/>
        </w:rPr>
        <w:t>51</w:t>
      </w:r>
      <w:r>
        <w:rPr>
          <w:noProof/>
        </w:rPr>
        <w:fldChar w:fldCharType="end"/>
      </w:r>
    </w:p>
    <w:p w14:paraId="6AC42711" w14:textId="7308C6AF" w:rsidR="00AD3544" w:rsidRDefault="00AD3544">
      <w:pPr>
        <w:pStyle w:val="TOC3"/>
        <w:rPr>
          <w:rFonts w:asciiTheme="minorHAnsi" w:hAnsiTheme="minorHAnsi"/>
          <w:bCs w:val="0"/>
          <w:noProof/>
          <w:sz w:val="24"/>
          <w:szCs w:val="24"/>
          <w:lang w:eastAsia="en-US"/>
        </w:rPr>
      </w:pPr>
      <w:r>
        <w:rPr>
          <w:noProof/>
        </w:rPr>
        <w:t>The Structural Shift Needed</w:t>
      </w:r>
      <w:r>
        <w:rPr>
          <w:noProof/>
        </w:rPr>
        <w:tab/>
      </w:r>
      <w:r>
        <w:rPr>
          <w:noProof/>
        </w:rPr>
        <w:fldChar w:fldCharType="begin"/>
      </w:r>
      <w:r>
        <w:rPr>
          <w:noProof/>
        </w:rPr>
        <w:instrText xml:space="preserve"> PAGEREF _Toc6238823 \h </w:instrText>
      </w:r>
      <w:r>
        <w:rPr>
          <w:noProof/>
        </w:rPr>
      </w:r>
      <w:r>
        <w:rPr>
          <w:noProof/>
        </w:rPr>
        <w:fldChar w:fldCharType="separate"/>
      </w:r>
      <w:r w:rsidR="00EF2823">
        <w:rPr>
          <w:noProof/>
        </w:rPr>
        <w:t>52</w:t>
      </w:r>
      <w:r>
        <w:rPr>
          <w:noProof/>
        </w:rPr>
        <w:fldChar w:fldCharType="end"/>
      </w:r>
    </w:p>
    <w:p w14:paraId="021BA686" w14:textId="51EBE3DD" w:rsidR="00AD3544" w:rsidRDefault="00AD3544">
      <w:pPr>
        <w:pStyle w:val="TOC3"/>
        <w:rPr>
          <w:rFonts w:asciiTheme="minorHAnsi" w:hAnsiTheme="minorHAnsi"/>
          <w:bCs w:val="0"/>
          <w:noProof/>
          <w:sz w:val="24"/>
          <w:szCs w:val="24"/>
          <w:lang w:eastAsia="en-US"/>
        </w:rPr>
      </w:pPr>
      <w:r>
        <w:rPr>
          <w:noProof/>
        </w:rPr>
        <w:t>An Alternative View</w:t>
      </w:r>
      <w:r>
        <w:rPr>
          <w:noProof/>
        </w:rPr>
        <w:tab/>
      </w:r>
      <w:r>
        <w:rPr>
          <w:noProof/>
        </w:rPr>
        <w:fldChar w:fldCharType="begin"/>
      </w:r>
      <w:r>
        <w:rPr>
          <w:noProof/>
        </w:rPr>
        <w:instrText xml:space="preserve"> PAGEREF _Toc6238824 \h </w:instrText>
      </w:r>
      <w:r>
        <w:rPr>
          <w:noProof/>
        </w:rPr>
      </w:r>
      <w:r>
        <w:rPr>
          <w:noProof/>
        </w:rPr>
        <w:fldChar w:fldCharType="separate"/>
      </w:r>
      <w:r w:rsidR="00EF2823">
        <w:rPr>
          <w:noProof/>
        </w:rPr>
        <w:t>52</w:t>
      </w:r>
      <w:r>
        <w:rPr>
          <w:noProof/>
        </w:rPr>
        <w:fldChar w:fldCharType="end"/>
      </w:r>
    </w:p>
    <w:p w14:paraId="3E7613A3" w14:textId="23698FE9" w:rsidR="00AD3544" w:rsidRDefault="00AD3544">
      <w:pPr>
        <w:pStyle w:val="TOC1"/>
        <w:rPr>
          <w:rFonts w:asciiTheme="minorHAnsi" w:eastAsiaTheme="minorEastAsia" w:hAnsiTheme="minorHAnsi" w:cstheme="minorBidi"/>
          <w:b w:val="0"/>
          <w:bCs w:val="0"/>
          <w:noProof/>
          <w:color w:val="auto"/>
          <w:szCs w:val="24"/>
          <w:lang w:eastAsia="en-US"/>
        </w:rPr>
      </w:pPr>
      <w:r>
        <w:rPr>
          <w:noProof/>
        </w:rPr>
        <w:t>Part C – Transforming Mental Health Care</w:t>
      </w:r>
      <w:r>
        <w:rPr>
          <w:noProof/>
        </w:rPr>
        <w:tab/>
      </w:r>
      <w:r>
        <w:rPr>
          <w:noProof/>
        </w:rPr>
        <w:fldChar w:fldCharType="begin"/>
      </w:r>
      <w:r>
        <w:rPr>
          <w:noProof/>
        </w:rPr>
        <w:instrText xml:space="preserve"> PAGEREF _Toc6238826 \h </w:instrText>
      </w:r>
      <w:r>
        <w:rPr>
          <w:noProof/>
        </w:rPr>
      </w:r>
      <w:r>
        <w:rPr>
          <w:noProof/>
        </w:rPr>
        <w:fldChar w:fldCharType="separate"/>
      </w:r>
      <w:r w:rsidR="00EF2823">
        <w:rPr>
          <w:noProof/>
        </w:rPr>
        <w:t>54</w:t>
      </w:r>
      <w:r>
        <w:rPr>
          <w:noProof/>
        </w:rPr>
        <w:fldChar w:fldCharType="end"/>
      </w:r>
    </w:p>
    <w:p w14:paraId="52DC31F3" w14:textId="7E1A57D4" w:rsidR="00AD3544" w:rsidRDefault="00AD3544">
      <w:pPr>
        <w:pStyle w:val="TOC1"/>
        <w:rPr>
          <w:rFonts w:asciiTheme="minorHAnsi" w:eastAsiaTheme="minorEastAsia" w:hAnsiTheme="minorHAnsi" w:cstheme="minorBidi"/>
          <w:b w:val="0"/>
          <w:bCs w:val="0"/>
          <w:noProof/>
          <w:color w:val="auto"/>
          <w:szCs w:val="24"/>
          <w:lang w:eastAsia="en-US"/>
        </w:rPr>
      </w:pPr>
      <w:r>
        <w:rPr>
          <w:noProof/>
        </w:rPr>
        <w:t>Introduction</w:t>
      </w:r>
      <w:r>
        <w:rPr>
          <w:noProof/>
        </w:rPr>
        <w:tab/>
      </w:r>
      <w:r>
        <w:rPr>
          <w:noProof/>
        </w:rPr>
        <w:fldChar w:fldCharType="begin"/>
      </w:r>
      <w:r>
        <w:rPr>
          <w:noProof/>
        </w:rPr>
        <w:instrText xml:space="preserve"> PAGEREF _Toc6238827 \h </w:instrText>
      </w:r>
      <w:r>
        <w:rPr>
          <w:noProof/>
        </w:rPr>
      </w:r>
      <w:r>
        <w:rPr>
          <w:noProof/>
        </w:rPr>
        <w:fldChar w:fldCharType="separate"/>
      </w:r>
      <w:r w:rsidR="00EF2823">
        <w:rPr>
          <w:noProof/>
        </w:rPr>
        <w:t>55</w:t>
      </w:r>
      <w:r>
        <w:rPr>
          <w:noProof/>
        </w:rPr>
        <w:fldChar w:fldCharType="end"/>
      </w:r>
    </w:p>
    <w:p w14:paraId="64751A08" w14:textId="7F8E1E7F" w:rsidR="00AD3544" w:rsidRDefault="00AD3544">
      <w:pPr>
        <w:pStyle w:val="TOC1"/>
        <w:rPr>
          <w:rFonts w:asciiTheme="minorHAnsi" w:eastAsiaTheme="minorEastAsia" w:hAnsiTheme="minorHAnsi" w:cstheme="minorBidi"/>
          <w:b w:val="0"/>
          <w:bCs w:val="0"/>
          <w:noProof/>
          <w:color w:val="auto"/>
          <w:szCs w:val="24"/>
          <w:lang w:eastAsia="en-US"/>
        </w:rPr>
      </w:pPr>
      <w:r>
        <w:rPr>
          <w:noProof/>
        </w:rPr>
        <w:lastRenderedPageBreak/>
        <w:t>General Strategic Recommendations</w:t>
      </w:r>
      <w:r>
        <w:rPr>
          <w:noProof/>
        </w:rPr>
        <w:tab/>
      </w:r>
      <w:r>
        <w:rPr>
          <w:noProof/>
        </w:rPr>
        <w:fldChar w:fldCharType="begin"/>
      </w:r>
      <w:r>
        <w:rPr>
          <w:noProof/>
        </w:rPr>
        <w:instrText xml:space="preserve"> PAGEREF _Toc6238828 \h </w:instrText>
      </w:r>
      <w:r>
        <w:rPr>
          <w:noProof/>
        </w:rPr>
      </w:r>
      <w:r>
        <w:rPr>
          <w:noProof/>
        </w:rPr>
        <w:fldChar w:fldCharType="separate"/>
      </w:r>
      <w:r w:rsidR="00EF2823">
        <w:rPr>
          <w:noProof/>
        </w:rPr>
        <w:t>55</w:t>
      </w:r>
      <w:r>
        <w:rPr>
          <w:noProof/>
        </w:rPr>
        <w:fldChar w:fldCharType="end"/>
      </w:r>
    </w:p>
    <w:p w14:paraId="7B748E2D" w14:textId="29E505BC" w:rsidR="00AD3544" w:rsidRDefault="00AD3544">
      <w:pPr>
        <w:pStyle w:val="TOC3"/>
        <w:rPr>
          <w:rFonts w:asciiTheme="minorHAnsi" w:hAnsiTheme="minorHAnsi"/>
          <w:bCs w:val="0"/>
          <w:noProof/>
          <w:sz w:val="24"/>
          <w:szCs w:val="24"/>
          <w:lang w:eastAsia="en-US"/>
        </w:rPr>
      </w:pPr>
      <w:r>
        <w:rPr>
          <w:noProof/>
        </w:rPr>
        <w:t>Systemic Problems Require Systems Solutions</w:t>
      </w:r>
      <w:r>
        <w:rPr>
          <w:noProof/>
        </w:rPr>
        <w:tab/>
      </w:r>
      <w:r>
        <w:rPr>
          <w:noProof/>
        </w:rPr>
        <w:fldChar w:fldCharType="begin"/>
      </w:r>
      <w:r>
        <w:rPr>
          <w:noProof/>
        </w:rPr>
        <w:instrText xml:space="preserve"> PAGEREF _Toc6238829 \h </w:instrText>
      </w:r>
      <w:r>
        <w:rPr>
          <w:noProof/>
        </w:rPr>
      </w:r>
      <w:r>
        <w:rPr>
          <w:noProof/>
        </w:rPr>
        <w:fldChar w:fldCharType="separate"/>
      </w:r>
      <w:r w:rsidR="00EF2823">
        <w:rPr>
          <w:noProof/>
        </w:rPr>
        <w:t>55</w:t>
      </w:r>
      <w:r>
        <w:rPr>
          <w:noProof/>
        </w:rPr>
        <w:fldChar w:fldCharType="end"/>
      </w:r>
    </w:p>
    <w:p w14:paraId="417F5C6B" w14:textId="3FDE7F3F" w:rsidR="00AD3544" w:rsidRDefault="00AD3544">
      <w:pPr>
        <w:pStyle w:val="TOC3"/>
        <w:rPr>
          <w:rFonts w:asciiTheme="minorHAnsi" w:hAnsiTheme="minorHAnsi"/>
          <w:bCs w:val="0"/>
          <w:noProof/>
          <w:sz w:val="24"/>
          <w:szCs w:val="24"/>
          <w:lang w:eastAsia="en-US"/>
        </w:rPr>
      </w:pPr>
      <w:r>
        <w:rPr>
          <w:noProof/>
        </w:rPr>
        <w:t>‘Context is Everything’</w:t>
      </w:r>
      <w:r>
        <w:rPr>
          <w:noProof/>
        </w:rPr>
        <w:tab/>
      </w:r>
      <w:r>
        <w:rPr>
          <w:noProof/>
        </w:rPr>
        <w:fldChar w:fldCharType="begin"/>
      </w:r>
      <w:r>
        <w:rPr>
          <w:noProof/>
        </w:rPr>
        <w:instrText xml:space="preserve"> PAGEREF _Toc6238830 \h </w:instrText>
      </w:r>
      <w:r>
        <w:rPr>
          <w:noProof/>
        </w:rPr>
      </w:r>
      <w:r>
        <w:rPr>
          <w:noProof/>
        </w:rPr>
        <w:fldChar w:fldCharType="separate"/>
      </w:r>
      <w:r w:rsidR="00EF2823">
        <w:rPr>
          <w:noProof/>
        </w:rPr>
        <w:t>56</w:t>
      </w:r>
      <w:r>
        <w:rPr>
          <w:noProof/>
        </w:rPr>
        <w:fldChar w:fldCharType="end"/>
      </w:r>
    </w:p>
    <w:p w14:paraId="4E094951" w14:textId="6C1125F9" w:rsidR="00AD3544" w:rsidRDefault="00AD3544">
      <w:pPr>
        <w:pStyle w:val="TOC3"/>
        <w:rPr>
          <w:rFonts w:asciiTheme="minorHAnsi" w:hAnsiTheme="minorHAnsi"/>
          <w:bCs w:val="0"/>
          <w:noProof/>
          <w:sz w:val="24"/>
          <w:szCs w:val="24"/>
          <w:lang w:eastAsia="en-US"/>
        </w:rPr>
      </w:pPr>
      <w:r>
        <w:rPr>
          <w:noProof/>
        </w:rPr>
        <w:t>The Building Block of Primary Care</w:t>
      </w:r>
      <w:r>
        <w:rPr>
          <w:noProof/>
        </w:rPr>
        <w:tab/>
      </w:r>
      <w:r>
        <w:rPr>
          <w:noProof/>
        </w:rPr>
        <w:fldChar w:fldCharType="begin"/>
      </w:r>
      <w:r>
        <w:rPr>
          <w:noProof/>
        </w:rPr>
        <w:instrText xml:space="preserve"> PAGEREF _Toc6238831 \h </w:instrText>
      </w:r>
      <w:r>
        <w:rPr>
          <w:noProof/>
        </w:rPr>
      </w:r>
      <w:r>
        <w:rPr>
          <w:noProof/>
        </w:rPr>
        <w:fldChar w:fldCharType="separate"/>
      </w:r>
      <w:r w:rsidR="00EF2823">
        <w:rPr>
          <w:noProof/>
        </w:rPr>
        <w:t>57</w:t>
      </w:r>
      <w:r>
        <w:rPr>
          <w:noProof/>
        </w:rPr>
        <w:fldChar w:fldCharType="end"/>
      </w:r>
    </w:p>
    <w:p w14:paraId="554E7719" w14:textId="0DE10714" w:rsidR="00AD3544" w:rsidRDefault="00AD3544">
      <w:pPr>
        <w:pStyle w:val="TOC1"/>
        <w:rPr>
          <w:rFonts w:asciiTheme="minorHAnsi" w:eastAsiaTheme="minorEastAsia" w:hAnsiTheme="minorHAnsi" w:cstheme="minorBidi"/>
          <w:b w:val="0"/>
          <w:bCs w:val="0"/>
          <w:noProof/>
          <w:color w:val="auto"/>
          <w:szCs w:val="24"/>
          <w:lang w:eastAsia="en-US"/>
        </w:rPr>
      </w:pPr>
      <w:r>
        <w:rPr>
          <w:noProof/>
        </w:rPr>
        <w:t>Strategic Issues in Mental Health</w:t>
      </w:r>
      <w:r>
        <w:rPr>
          <w:noProof/>
        </w:rPr>
        <w:tab/>
      </w:r>
      <w:r>
        <w:rPr>
          <w:noProof/>
        </w:rPr>
        <w:fldChar w:fldCharType="begin"/>
      </w:r>
      <w:r>
        <w:rPr>
          <w:noProof/>
        </w:rPr>
        <w:instrText xml:space="preserve"> PAGEREF _Toc6238832 \h </w:instrText>
      </w:r>
      <w:r>
        <w:rPr>
          <w:noProof/>
        </w:rPr>
      </w:r>
      <w:r>
        <w:rPr>
          <w:noProof/>
        </w:rPr>
        <w:fldChar w:fldCharType="separate"/>
      </w:r>
      <w:r w:rsidR="00EF2823">
        <w:rPr>
          <w:noProof/>
        </w:rPr>
        <w:t>58</w:t>
      </w:r>
      <w:r>
        <w:rPr>
          <w:noProof/>
        </w:rPr>
        <w:fldChar w:fldCharType="end"/>
      </w:r>
    </w:p>
    <w:p w14:paraId="3E3BEFA5" w14:textId="04F195E6" w:rsidR="00AD3544" w:rsidRDefault="00AD3544">
      <w:pPr>
        <w:pStyle w:val="TOC3"/>
        <w:rPr>
          <w:rFonts w:asciiTheme="minorHAnsi" w:hAnsiTheme="minorHAnsi"/>
          <w:bCs w:val="0"/>
          <w:noProof/>
          <w:sz w:val="24"/>
          <w:szCs w:val="24"/>
          <w:lang w:eastAsia="en-US"/>
        </w:rPr>
      </w:pPr>
      <w:r>
        <w:rPr>
          <w:noProof/>
        </w:rPr>
        <w:t>The National Mental Health Commission Review</w:t>
      </w:r>
      <w:r>
        <w:rPr>
          <w:noProof/>
        </w:rPr>
        <w:tab/>
      </w:r>
      <w:r>
        <w:rPr>
          <w:noProof/>
        </w:rPr>
        <w:fldChar w:fldCharType="begin"/>
      </w:r>
      <w:r>
        <w:rPr>
          <w:noProof/>
        </w:rPr>
        <w:instrText xml:space="preserve"> PAGEREF _Toc6238833 \h </w:instrText>
      </w:r>
      <w:r>
        <w:rPr>
          <w:noProof/>
        </w:rPr>
      </w:r>
      <w:r>
        <w:rPr>
          <w:noProof/>
        </w:rPr>
        <w:fldChar w:fldCharType="separate"/>
      </w:r>
      <w:r w:rsidR="00EF2823">
        <w:rPr>
          <w:noProof/>
        </w:rPr>
        <w:t>58</w:t>
      </w:r>
      <w:r>
        <w:rPr>
          <w:noProof/>
        </w:rPr>
        <w:fldChar w:fldCharType="end"/>
      </w:r>
    </w:p>
    <w:p w14:paraId="1C65668F" w14:textId="62308CDD" w:rsidR="00AD3544" w:rsidRDefault="00AD3544">
      <w:pPr>
        <w:pStyle w:val="TOC3"/>
        <w:rPr>
          <w:rFonts w:asciiTheme="minorHAnsi" w:hAnsiTheme="minorHAnsi"/>
          <w:bCs w:val="0"/>
          <w:noProof/>
          <w:sz w:val="24"/>
          <w:szCs w:val="24"/>
          <w:lang w:eastAsia="en-US"/>
        </w:rPr>
      </w:pPr>
      <w:r>
        <w:rPr>
          <w:noProof/>
        </w:rPr>
        <w:t>Mental Health in All Policy</w:t>
      </w:r>
      <w:r>
        <w:rPr>
          <w:noProof/>
        </w:rPr>
        <w:tab/>
      </w:r>
      <w:r>
        <w:rPr>
          <w:noProof/>
        </w:rPr>
        <w:fldChar w:fldCharType="begin"/>
      </w:r>
      <w:r>
        <w:rPr>
          <w:noProof/>
        </w:rPr>
        <w:instrText xml:space="preserve"> PAGEREF _Toc6238834 \h </w:instrText>
      </w:r>
      <w:r>
        <w:rPr>
          <w:noProof/>
        </w:rPr>
      </w:r>
      <w:r>
        <w:rPr>
          <w:noProof/>
        </w:rPr>
        <w:fldChar w:fldCharType="separate"/>
      </w:r>
      <w:r w:rsidR="00EF2823">
        <w:rPr>
          <w:noProof/>
        </w:rPr>
        <w:t>58</w:t>
      </w:r>
      <w:r>
        <w:rPr>
          <w:noProof/>
        </w:rPr>
        <w:fldChar w:fldCharType="end"/>
      </w:r>
    </w:p>
    <w:p w14:paraId="791C38B7" w14:textId="322B347F" w:rsidR="00AD3544" w:rsidRDefault="00AD3544">
      <w:pPr>
        <w:pStyle w:val="TOC3"/>
        <w:rPr>
          <w:rFonts w:asciiTheme="minorHAnsi" w:hAnsiTheme="minorHAnsi"/>
          <w:bCs w:val="0"/>
          <w:noProof/>
          <w:sz w:val="24"/>
          <w:szCs w:val="24"/>
          <w:lang w:eastAsia="en-US"/>
        </w:rPr>
      </w:pPr>
      <w:r>
        <w:rPr>
          <w:noProof/>
        </w:rPr>
        <w:t>Accountability</w:t>
      </w:r>
      <w:r>
        <w:rPr>
          <w:noProof/>
        </w:rPr>
        <w:tab/>
      </w:r>
      <w:r>
        <w:rPr>
          <w:noProof/>
        </w:rPr>
        <w:fldChar w:fldCharType="begin"/>
      </w:r>
      <w:r>
        <w:rPr>
          <w:noProof/>
        </w:rPr>
        <w:instrText xml:space="preserve"> PAGEREF _Toc6238835 \h </w:instrText>
      </w:r>
      <w:r>
        <w:rPr>
          <w:noProof/>
        </w:rPr>
      </w:r>
      <w:r>
        <w:rPr>
          <w:noProof/>
        </w:rPr>
        <w:fldChar w:fldCharType="separate"/>
      </w:r>
      <w:r w:rsidR="00EF2823">
        <w:rPr>
          <w:noProof/>
        </w:rPr>
        <w:t>59</w:t>
      </w:r>
      <w:r>
        <w:rPr>
          <w:noProof/>
        </w:rPr>
        <w:fldChar w:fldCharType="end"/>
      </w:r>
    </w:p>
    <w:p w14:paraId="4AB8AA3C" w14:textId="42C8442B" w:rsidR="00AD3544" w:rsidRDefault="00AD3544">
      <w:pPr>
        <w:pStyle w:val="TOC3"/>
        <w:rPr>
          <w:rFonts w:asciiTheme="minorHAnsi" w:hAnsiTheme="minorHAnsi"/>
          <w:bCs w:val="0"/>
          <w:noProof/>
          <w:sz w:val="24"/>
          <w:szCs w:val="24"/>
          <w:lang w:eastAsia="en-US"/>
        </w:rPr>
      </w:pPr>
      <w:r>
        <w:rPr>
          <w:noProof/>
        </w:rPr>
        <w:t>Quality Matters</w:t>
      </w:r>
      <w:r>
        <w:rPr>
          <w:noProof/>
        </w:rPr>
        <w:tab/>
      </w:r>
      <w:r>
        <w:rPr>
          <w:noProof/>
        </w:rPr>
        <w:fldChar w:fldCharType="begin"/>
      </w:r>
      <w:r>
        <w:rPr>
          <w:noProof/>
        </w:rPr>
        <w:instrText xml:space="preserve"> PAGEREF _Toc6238836 \h </w:instrText>
      </w:r>
      <w:r>
        <w:rPr>
          <w:noProof/>
        </w:rPr>
      </w:r>
      <w:r>
        <w:rPr>
          <w:noProof/>
        </w:rPr>
        <w:fldChar w:fldCharType="separate"/>
      </w:r>
      <w:r w:rsidR="00EF2823">
        <w:rPr>
          <w:noProof/>
        </w:rPr>
        <w:t>59</w:t>
      </w:r>
      <w:r>
        <w:rPr>
          <w:noProof/>
        </w:rPr>
        <w:fldChar w:fldCharType="end"/>
      </w:r>
    </w:p>
    <w:p w14:paraId="29678D0D" w14:textId="56380692" w:rsidR="00AD3544" w:rsidRDefault="00AD3544">
      <w:pPr>
        <w:pStyle w:val="TOC1"/>
        <w:rPr>
          <w:rFonts w:asciiTheme="minorHAnsi" w:eastAsiaTheme="minorEastAsia" w:hAnsiTheme="minorHAnsi" w:cstheme="minorBidi"/>
          <w:b w:val="0"/>
          <w:bCs w:val="0"/>
          <w:noProof/>
          <w:color w:val="auto"/>
          <w:szCs w:val="24"/>
          <w:lang w:eastAsia="en-US"/>
        </w:rPr>
      </w:pPr>
      <w:r>
        <w:rPr>
          <w:noProof/>
        </w:rPr>
        <w:t>Appendix</w:t>
      </w:r>
      <w:r w:rsidRPr="00A116A5">
        <w:rPr>
          <w:noProof/>
          <w:spacing w:val="-2"/>
        </w:rPr>
        <w:t xml:space="preserve"> </w:t>
      </w:r>
      <w:r>
        <w:rPr>
          <w:noProof/>
        </w:rPr>
        <w:t>One: The Role of PHNs</w:t>
      </w:r>
      <w:r>
        <w:rPr>
          <w:noProof/>
        </w:rPr>
        <w:tab/>
      </w:r>
      <w:r>
        <w:rPr>
          <w:noProof/>
        </w:rPr>
        <w:fldChar w:fldCharType="begin"/>
      </w:r>
      <w:r>
        <w:rPr>
          <w:noProof/>
        </w:rPr>
        <w:instrText xml:space="preserve"> PAGEREF _Toc6238837 \h </w:instrText>
      </w:r>
      <w:r>
        <w:rPr>
          <w:noProof/>
        </w:rPr>
      </w:r>
      <w:r>
        <w:rPr>
          <w:noProof/>
        </w:rPr>
        <w:fldChar w:fldCharType="separate"/>
      </w:r>
      <w:r w:rsidR="00EF2823">
        <w:rPr>
          <w:noProof/>
        </w:rPr>
        <w:t>60</w:t>
      </w:r>
      <w:r>
        <w:rPr>
          <w:noProof/>
        </w:rPr>
        <w:fldChar w:fldCharType="end"/>
      </w:r>
    </w:p>
    <w:p w14:paraId="049AE99E" w14:textId="26659654" w:rsidR="00AD3544" w:rsidRDefault="00AD3544">
      <w:pPr>
        <w:pStyle w:val="TOC1"/>
        <w:rPr>
          <w:rFonts w:asciiTheme="minorHAnsi" w:eastAsiaTheme="minorEastAsia" w:hAnsiTheme="minorHAnsi" w:cstheme="minorBidi"/>
          <w:b w:val="0"/>
          <w:bCs w:val="0"/>
          <w:noProof/>
          <w:color w:val="auto"/>
          <w:szCs w:val="24"/>
          <w:lang w:eastAsia="en-US"/>
        </w:rPr>
      </w:pPr>
      <w:r>
        <w:rPr>
          <w:noProof/>
        </w:rPr>
        <w:t>Appendix</w:t>
      </w:r>
      <w:r w:rsidRPr="00A116A5">
        <w:rPr>
          <w:noProof/>
          <w:spacing w:val="-2"/>
        </w:rPr>
        <w:t xml:space="preserve"> </w:t>
      </w:r>
      <w:r>
        <w:rPr>
          <w:noProof/>
        </w:rPr>
        <w:t>Two: The Integrated Atlas of Mental Health</w:t>
      </w:r>
      <w:r>
        <w:rPr>
          <w:noProof/>
        </w:rPr>
        <w:tab/>
      </w:r>
      <w:r>
        <w:rPr>
          <w:noProof/>
        </w:rPr>
        <w:fldChar w:fldCharType="begin"/>
      </w:r>
      <w:r>
        <w:rPr>
          <w:noProof/>
        </w:rPr>
        <w:instrText xml:space="preserve"> PAGEREF _Toc6238838 \h </w:instrText>
      </w:r>
      <w:r>
        <w:rPr>
          <w:noProof/>
        </w:rPr>
      </w:r>
      <w:r>
        <w:rPr>
          <w:noProof/>
        </w:rPr>
        <w:fldChar w:fldCharType="separate"/>
      </w:r>
      <w:r w:rsidR="00EF2823">
        <w:rPr>
          <w:noProof/>
        </w:rPr>
        <w:t>62</w:t>
      </w:r>
      <w:r>
        <w:rPr>
          <w:noProof/>
        </w:rPr>
        <w:fldChar w:fldCharType="end"/>
      </w:r>
    </w:p>
    <w:p w14:paraId="46010739" w14:textId="4420A84A" w:rsidR="00AD3544" w:rsidRDefault="00AD3544">
      <w:pPr>
        <w:pStyle w:val="TOC3"/>
        <w:rPr>
          <w:rFonts w:asciiTheme="minorHAnsi" w:hAnsiTheme="minorHAnsi"/>
          <w:bCs w:val="0"/>
          <w:noProof/>
          <w:sz w:val="24"/>
          <w:szCs w:val="24"/>
          <w:lang w:eastAsia="en-US"/>
        </w:rPr>
      </w:pPr>
      <w:r>
        <w:rPr>
          <w:noProof/>
        </w:rPr>
        <w:t>Methodology</w:t>
      </w:r>
      <w:r>
        <w:rPr>
          <w:noProof/>
        </w:rPr>
        <w:tab/>
      </w:r>
      <w:r>
        <w:rPr>
          <w:noProof/>
        </w:rPr>
        <w:fldChar w:fldCharType="begin"/>
      </w:r>
      <w:r>
        <w:rPr>
          <w:noProof/>
        </w:rPr>
        <w:instrText xml:space="preserve"> PAGEREF _Toc6238839 \h </w:instrText>
      </w:r>
      <w:r>
        <w:rPr>
          <w:noProof/>
        </w:rPr>
      </w:r>
      <w:r>
        <w:rPr>
          <w:noProof/>
        </w:rPr>
        <w:fldChar w:fldCharType="separate"/>
      </w:r>
      <w:r w:rsidR="00EF2823">
        <w:rPr>
          <w:noProof/>
        </w:rPr>
        <w:t>62</w:t>
      </w:r>
      <w:r>
        <w:rPr>
          <w:noProof/>
        </w:rPr>
        <w:fldChar w:fldCharType="end"/>
      </w:r>
    </w:p>
    <w:p w14:paraId="307EF1B8" w14:textId="72D8DADC" w:rsidR="00AD3544" w:rsidRDefault="00AD3544">
      <w:pPr>
        <w:pStyle w:val="TOC1"/>
        <w:rPr>
          <w:rFonts w:asciiTheme="minorHAnsi" w:eastAsiaTheme="minorEastAsia" w:hAnsiTheme="minorHAnsi" w:cstheme="minorBidi"/>
          <w:b w:val="0"/>
          <w:bCs w:val="0"/>
          <w:noProof/>
          <w:color w:val="auto"/>
          <w:szCs w:val="24"/>
          <w:lang w:eastAsia="en-US"/>
        </w:rPr>
      </w:pPr>
      <w:r>
        <w:rPr>
          <w:noProof/>
        </w:rPr>
        <w:t>Appendix</w:t>
      </w:r>
      <w:r w:rsidRPr="00A116A5">
        <w:rPr>
          <w:noProof/>
          <w:spacing w:val="-2"/>
        </w:rPr>
        <w:t xml:space="preserve"> Three</w:t>
      </w:r>
      <w:r>
        <w:rPr>
          <w:noProof/>
        </w:rPr>
        <w:t>: Brief Description of New Initiatives 2016-2019</w:t>
      </w:r>
      <w:r>
        <w:rPr>
          <w:noProof/>
        </w:rPr>
        <w:tab/>
      </w:r>
      <w:r>
        <w:rPr>
          <w:noProof/>
        </w:rPr>
        <w:fldChar w:fldCharType="begin"/>
      </w:r>
      <w:r>
        <w:rPr>
          <w:noProof/>
        </w:rPr>
        <w:instrText xml:space="preserve"> PAGEREF _Toc6238840 \h </w:instrText>
      </w:r>
      <w:r>
        <w:rPr>
          <w:noProof/>
        </w:rPr>
      </w:r>
      <w:r>
        <w:rPr>
          <w:noProof/>
        </w:rPr>
        <w:fldChar w:fldCharType="separate"/>
      </w:r>
      <w:r w:rsidR="00EF2823">
        <w:rPr>
          <w:noProof/>
        </w:rPr>
        <w:t>65</w:t>
      </w:r>
      <w:r>
        <w:rPr>
          <w:noProof/>
        </w:rPr>
        <w:fldChar w:fldCharType="end"/>
      </w:r>
    </w:p>
    <w:p w14:paraId="13C6FCA1" w14:textId="34ED0BDC" w:rsidR="00AD3544" w:rsidRDefault="00AD3544">
      <w:pPr>
        <w:pStyle w:val="TOC1"/>
        <w:rPr>
          <w:rFonts w:asciiTheme="minorHAnsi" w:eastAsiaTheme="minorEastAsia" w:hAnsiTheme="minorHAnsi" w:cstheme="minorBidi"/>
          <w:b w:val="0"/>
          <w:bCs w:val="0"/>
          <w:noProof/>
          <w:color w:val="auto"/>
          <w:szCs w:val="24"/>
          <w:lang w:eastAsia="en-US"/>
        </w:rPr>
      </w:pPr>
      <w:r>
        <w:rPr>
          <w:noProof/>
        </w:rPr>
        <w:t>Appendix</w:t>
      </w:r>
      <w:r w:rsidRPr="00A116A5">
        <w:rPr>
          <w:noProof/>
          <w:spacing w:val="-2"/>
        </w:rPr>
        <w:t xml:space="preserve"> Four</w:t>
      </w:r>
      <w:r>
        <w:rPr>
          <w:noProof/>
        </w:rPr>
        <w:t>: Results of WentWest Stakeholder Consultations</w:t>
      </w:r>
      <w:r>
        <w:rPr>
          <w:noProof/>
        </w:rPr>
        <w:tab/>
      </w:r>
      <w:r>
        <w:rPr>
          <w:noProof/>
        </w:rPr>
        <w:fldChar w:fldCharType="begin"/>
      </w:r>
      <w:r>
        <w:rPr>
          <w:noProof/>
        </w:rPr>
        <w:instrText xml:space="preserve"> PAGEREF _Toc6238842 \h </w:instrText>
      </w:r>
      <w:r>
        <w:rPr>
          <w:noProof/>
        </w:rPr>
      </w:r>
      <w:r>
        <w:rPr>
          <w:noProof/>
        </w:rPr>
        <w:fldChar w:fldCharType="separate"/>
      </w:r>
      <w:r w:rsidR="00EF2823">
        <w:rPr>
          <w:noProof/>
        </w:rPr>
        <w:t>68</w:t>
      </w:r>
      <w:r>
        <w:rPr>
          <w:noProof/>
        </w:rPr>
        <w:fldChar w:fldCharType="end"/>
      </w:r>
    </w:p>
    <w:p w14:paraId="53D65F37" w14:textId="0CC6B25E" w:rsidR="00AD3544" w:rsidRDefault="00AD3544">
      <w:pPr>
        <w:pStyle w:val="TOC3"/>
        <w:rPr>
          <w:rFonts w:asciiTheme="minorHAnsi" w:hAnsiTheme="minorHAnsi"/>
          <w:bCs w:val="0"/>
          <w:noProof/>
          <w:sz w:val="24"/>
          <w:szCs w:val="24"/>
          <w:lang w:eastAsia="en-US"/>
        </w:rPr>
      </w:pPr>
      <w:r>
        <w:rPr>
          <w:noProof/>
        </w:rPr>
        <w:t>Interviews and Group Meetings</w:t>
      </w:r>
      <w:r>
        <w:rPr>
          <w:noProof/>
        </w:rPr>
        <w:tab/>
      </w:r>
      <w:r>
        <w:rPr>
          <w:noProof/>
        </w:rPr>
        <w:fldChar w:fldCharType="begin"/>
      </w:r>
      <w:r>
        <w:rPr>
          <w:noProof/>
        </w:rPr>
        <w:instrText xml:space="preserve"> PAGEREF _Toc6238843 \h </w:instrText>
      </w:r>
      <w:r>
        <w:rPr>
          <w:noProof/>
        </w:rPr>
      </w:r>
      <w:r>
        <w:rPr>
          <w:noProof/>
        </w:rPr>
        <w:fldChar w:fldCharType="separate"/>
      </w:r>
      <w:r w:rsidR="00EF2823">
        <w:rPr>
          <w:noProof/>
        </w:rPr>
        <w:t>68</w:t>
      </w:r>
      <w:r>
        <w:rPr>
          <w:noProof/>
        </w:rPr>
        <w:fldChar w:fldCharType="end"/>
      </w:r>
    </w:p>
    <w:p w14:paraId="620F99B2" w14:textId="7666642E" w:rsidR="00AD3544" w:rsidRDefault="00AD3544">
      <w:pPr>
        <w:pStyle w:val="TOC3"/>
        <w:rPr>
          <w:rFonts w:asciiTheme="minorHAnsi" w:hAnsiTheme="minorHAnsi"/>
          <w:bCs w:val="0"/>
          <w:noProof/>
          <w:sz w:val="24"/>
          <w:szCs w:val="24"/>
          <w:lang w:eastAsia="en-US"/>
        </w:rPr>
      </w:pPr>
      <w:r>
        <w:rPr>
          <w:noProof/>
        </w:rPr>
        <w:t>Survey Results</w:t>
      </w:r>
      <w:r>
        <w:rPr>
          <w:noProof/>
        </w:rPr>
        <w:tab/>
      </w:r>
      <w:r>
        <w:rPr>
          <w:noProof/>
        </w:rPr>
        <w:fldChar w:fldCharType="begin"/>
      </w:r>
      <w:r>
        <w:rPr>
          <w:noProof/>
        </w:rPr>
        <w:instrText xml:space="preserve"> PAGEREF _Toc6238844 \h </w:instrText>
      </w:r>
      <w:r>
        <w:rPr>
          <w:noProof/>
        </w:rPr>
      </w:r>
      <w:r>
        <w:rPr>
          <w:noProof/>
        </w:rPr>
        <w:fldChar w:fldCharType="separate"/>
      </w:r>
      <w:r w:rsidR="00EF2823">
        <w:rPr>
          <w:noProof/>
        </w:rPr>
        <w:t>68</w:t>
      </w:r>
      <w:r>
        <w:rPr>
          <w:noProof/>
        </w:rPr>
        <w:fldChar w:fldCharType="end"/>
      </w:r>
    </w:p>
    <w:p w14:paraId="0B881DE8" w14:textId="0E9CE4CA" w:rsidR="00AD3544" w:rsidRDefault="00AD3544">
      <w:pPr>
        <w:pStyle w:val="TOC1"/>
        <w:rPr>
          <w:rFonts w:asciiTheme="minorHAnsi" w:eastAsiaTheme="minorEastAsia" w:hAnsiTheme="minorHAnsi" w:cstheme="minorBidi"/>
          <w:b w:val="0"/>
          <w:bCs w:val="0"/>
          <w:noProof/>
          <w:color w:val="auto"/>
          <w:szCs w:val="24"/>
          <w:lang w:eastAsia="en-US"/>
        </w:rPr>
      </w:pPr>
      <w:r>
        <w:rPr>
          <w:noProof/>
        </w:rPr>
        <w:t>Appendix Five: Inquiries into Mental Illness</w:t>
      </w:r>
      <w:r>
        <w:rPr>
          <w:noProof/>
        </w:rPr>
        <w:tab/>
      </w:r>
      <w:r>
        <w:rPr>
          <w:noProof/>
        </w:rPr>
        <w:fldChar w:fldCharType="begin"/>
      </w:r>
      <w:r>
        <w:rPr>
          <w:noProof/>
        </w:rPr>
        <w:instrText xml:space="preserve"> PAGEREF _Toc6238845 \h </w:instrText>
      </w:r>
      <w:r>
        <w:rPr>
          <w:noProof/>
        </w:rPr>
      </w:r>
      <w:r>
        <w:rPr>
          <w:noProof/>
        </w:rPr>
        <w:fldChar w:fldCharType="separate"/>
      </w:r>
      <w:r w:rsidR="00EF2823">
        <w:rPr>
          <w:noProof/>
        </w:rPr>
        <w:t>70</w:t>
      </w:r>
      <w:r>
        <w:rPr>
          <w:noProof/>
        </w:rPr>
        <w:fldChar w:fldCharType="end"/>
      </w:r>
    </w:p>
    <w:p w14:paraId="7FEFF165" w14:textId="47B1DC57" w:rsidR="00AD3544" w:rsidRDefault="00AD3544">
      <w:pPr>
        <w:pStyle w:val="TOC3"/>
        <w:rPr>
          <w:rFonts w:asciiTheme="minorHAnsi" w:hAnsiTheme="minorHAnsi"/>
          <w:bCs w:val="0"/>
          <w:noProof/>
          <w:sz w:val="24"/>
          <w:szCs w:val="24"/>
          <w:lang w:eastAsia="en-US"/>
        </w:rPr>
      </w:pPr>
      <w:r>
        <w:rPr>
          <w:noProof/>
        </w:rPr>
        <w:t>Major National Inquiries/Reviews Since 1993</w:t>
      </w:r>
      <w:r>
        <w:rPr>
          <w:noProof/>
        </w:rPr>
        <w:tab/>
      </w:r>
      <w:r>
        <w:rPr>
          <w:noProof/>
        </w:rPr>
        <w:fldChar w:fldCharType="begin"/>
      </w:r>
      <w:r>
        <w:rPr>
          <w:noProof/>
        </w:rPr>
        <w:instrText xml:space="preserve"> PAGEREF _Toc6238846 \h </w:instrText>
      </w:r>
      <w:r>
        <w:rPr>
          <w:noProof/>
        </w:rPr>
      </w:r>
      <w:r>
        <w:rPr>
          <w:noProof/>
        </w:rPr>
        <w:fldChar w:fldCharType="separate"/>
      </w:r>
      <w:r w:rsidR="00EF2823">
        <w:rPr>
          <w:noProof/>
        </w:rPr>
        <w:t>70</w:t>
      </w:r>
      <w:r>
        <w:rPr>
          <w:noProof/>
        </w:rPr>
        <w:fldChar w:fldCharType="end"/>
      </w:r>
    </w:p>
    <w:p w14:paraId="330C9EA9" w14:textId="07AE0C95" w:rsidR="00AD3544" w:rsidRDefault="00AD3544">
      <w:pPr>
        <w:pStyle w:val="TOC3"/>
        <w:rPr>
          <w:rFonts w:asciiTheme="minorHAnsi" w:hAnsiTheme="minorHAnsi"/>
          <w:bCs w:val="0"/>
          <w:noProof/>
          <w:sz w:val="24"/>
          <w:szCs w:val="24"/>
          <w:lang w:eastAsia="en-US"/>
        </w:rPr>
      </w:pPr>
      <w:r>
        <w:rPr>
          <w:noProof/>
        </w:rPr>
        <w:t>Federal Parliamentary Inquiries</w:t>
      </w:r>
      <w:r>
        <w:rPr>
          <w:noProof/>
        </w:rPr>
        <w:tab/>
      </w:r>
      <w:r>
        <w:rPr>
          <w:noProof/>
        </w:rPr>
        <w:fldChar w:fldCharType="begin"/>
      </w:r>
      <w:r>
        <w:rPr>
          <w:noProof/>
        </w:rPr>
        <w:instrText xml:space="preserve"> PAGEREF _Toc6238847 \h </w:instrText>
      </w:r>
      <w:r>
        <w:rPr>
          <w:noProof/>
        </w:rPr>
      </w:r>
      <w:r>
        <w:rPr>
          <w:noProof/>
        </w:rPr>
        <w:fldChar w:fldCharType="separate"/>
      </w:r>
      <w:r w:rsidR="00EF2823">
        <w:rPr>
          <w:noProof/>
        </w:rPr>
        <w:t>71</w:t>
      </w:r>
      <w:r>
        <w:rPr>
          <w:noProof/>
        </w:rPr>
        <w:fldChar w:fldCharType="end"/>
      </w:r>
    </w:p>
    <w:p w14:paraId="062F93B0" w14:textId="266D8BD5" w:rsidR="00AD3544" w:rsidRDefault="00AD3544">
      <w:pPr>
        <w:pStyle w:val="TOC3"/>
        <w:rPr>
          <w:rFonts w:asciiTheme="minorHAnsi" w:hAnsiTheme="minorHAnsi"/>
          <w:bCs w:val="0"/>
          <w:noProof/>
          <w:sz w:val="24"/>
          <w:szCs w:val="24"/>
          <w:lang w:eastAsia="en-US"/>
        </w:rPr>
      </w:pPr>
      <w:r>
        <w:rPr>
          <w:noProof/>
        </w:rPr>
        <w:t>Reviews by State/Territory Statutory Authorities Since 2006</w:t>
      </w:r>
      <w:r>
        <w:rPr>
          <w:noProof/>
        </w:rPr>
        <w:tab/>
      </w:r>
      <w:r>
        <w:rPr>
          <w:noProof/>
        </w:rPr>
        <w:fldChar w:fldCharType="begin"/>
      </w:r>
      <w:r>
        <w:rPr>
          <w:noProof/>
        </w:rPr>
        <w:instrText xml:space="preserve"> PAGEREF _Toc6238848 \h </w:instrText>
      </w:r>
      <w:r>
        <w:rPr>
          <w:noProof/>
        </w:rPr>
      </w:r>
      <w:r>
        <w:rPr>
          <w:noProof/>
        </w:rPr>
        <w:fldChar w:fldCharType="separate"/>
      </w:r>
      <w:r w:rsidR="00EF2823">
        <w:rPr>
          <w:noProof/>
        </w:rPr>
        <w:t>72</w:t>
      </w:r>
      <w:r>
        <w:rPr>
          <w:noProof/>
        </w:rPr>
        <w:fldChar w:fldCharType="end"/>
      </w:r>
    </w:p>
    <w:p w14:paraId="6A4175B1" w14:textId="5ED659EC" w:rsidR="00AD3544" w:rsidRDefault="00AD3544">
      <w:pPr>
        <w:pStyle w:val="TOC1"/>
        <w:rPr>
          <w:rFonts w:asciiTheme="minorHAnsi" w:eastAsiaTheme="minorEastAsia" w:hAnsiTheme="minorHAnsi" w:cstheme="minorBidi"/>
          <w:b w:val="0"/>
          <w:bCs w:val="0"/>
          <w:noProof/>
          <w:color w:val="auto"/>
          <w:szCs w:val="24"/>
          <w:lang w:eastAsia="en-US"/>
        </w:rPr>
      </w:pPr>
      <w:r>
        <w:rPr>
          <w:noProof/>
        </w:rPr>
        <w:t>References</w:t>
      </w:r>
      <w:r>
        <w:rPr>
          <w:noProof/>
        </w:rPr>
        <w:tab/>
      </w:r>
      <w:r>
        <w:rPr>
          <w:noProof/>
        </w:rPr>
        <w:fldChar w:fldCharType="begin"/>
      </w:r>
      <w:r>
        <w:rPr>
          <w:noProof/>
        </w:rPr>
        <w:instrText xml:space="preserve"> PAGEREF _Toc6238849 \h </w:instrText>
      </w:r>
      <w:r>
        <w:rPr>
          <w:noProof/>
        </w:rPr>
      </w:r>
      <w:r>
        <w:rPr>
          <w:noProof/>
        </w:rPr>
        <w:fldChar w:fldCharType="separate"/>
      </w:r>
      <w:r w:rsidR="00EF2823">
        <w:rPr>
          <w:noProof/>
        </w:rPr>
        <w:t>75</w:t>
      </w:r>
      <w:r>
        <w:rPr>
          <w:noProof/>
        </w:rPr>
        <w:fldChar w:fldCharType="end"/>
      </w:r>
    </w:p>
    <w:p w14:paraId="3200A399" w14:textId="3DD530D3" w:rsidR="00DF50FA" w:rsidRPr="00AF7228" w:rsidRDefault="00736310" w:rsidP="00C5514D">
      <w:pPr>
        <w:pStyle w:val="BodyText"/>
        <w:rPr>
          <w:lang w:eastAsia="ja-JP"/>
        </w:rPr>
      </w:pPr>
      <w:r w:rsidRPr="00AF7228">
        <w:rPr>
          <w:b/>
          <w:bCs/>
          <w:szCs w:val="23"/>
        </w:rPr>
        <w:fldChar w:fldCharType="end"/>
      </w:r>
    </w:p>
    <w:p w14:paraId="54133F2A" w14:textId="4BF5DBDE" w:rsidR="00DB3E95" w:rsidRPr="00AF7228" w:rsidRDefault="009F2B4D" w:rsidP="006703A1">
      <w:pPr>
        <w:pStyle w:val="Title"/>
        <w:rPr>
          <w:color w:val="003D69"/>
        </w:rPr>
      </w:pPr>
      <w:r w:rsidRPr="00AF7228">
        <w:rPr>
          <w:color w:val="003D69"/>
        </w:rPr>
        <w:t xml:space="preserve">List of </w:t>
      </w:r>
      <w:r w:rsidR="00E05D75" w:rsidRPr="00AF7228">
        <w:rPr>
          <w:color w:val="003D69"/>
        </w:rPr>
        <w:t>Tables</w:t>
      </w:r>
    </w:p>
    <w:p w14:paraId="0B3F966D" w14:textId="41F9C7C1" w:rsidR="00AD3544" w:rsidRDefault="0042618E">
      <w:pPr>
        <w:pStyle w:val="TableofFigures"/>
        <w:rPr>
          <w:rFonts w:asciiTheme="minorHAnsi" w:hAnsiTheme="minorHAnsi" w:cstheme="minorBidi"/>
          <w:noProof/>
          <w:sz w:val="24"/>
          <w:szCs w:val="24"/>
          <w:lang w:eastAsia="en-US"/>
        </w:rPr>
      </w:pPr>
      <w:r w:rsidRPr="00AF7228">
        <w:fldChar w:fldCharType="begin"/>
      </w:r>
      <w:r w:rsidRPr="00AF7228">
        <w:instrText xml:space="preserve"> TOC \t "Table Caption" \c "Table" </w:instrText>
      </w:r>
      <w:r w:rsidRPr="00AF7228">
        <w:fldChar w:fldCharType="separate"/>
      </w:r>
      <w:r w:rsidR="00AD3544" w:rsidRPr="00D93258">
        <w:rPr>
          <w:caps/>
          <w:noProof/>
          <w:color w:val="000000" w:themeColor="text1"/>
        </w:rPr>
        <w:t>Table 1</w:t>
      </w:r>
      <w:r w:rsidR="00AD3544" w:rsidRPr="00D93258">
        <w:rPr>
          <w:rFonts w:eastAsia="MS Mincho"/>
          <w:noProof/>
          <w:color w:val="000000" w:themeColor="text1"/>
        </w:rPr>
        <w:t xml:space="preserve"> 2013/14 Hospitalisations and Bed Days per 100,000 People (Age Standardised)</w:t>
      </w:r>
      <w:r w:rsidR="00AD3544">
        <w:rPr>
          <w:noProof/>
        </w:rPr>
        <w:tab/>
      </w:r>
      <w:r w:rsidR="00AD3544">
        <w:rPr>
          <w:noProof/>
        </w:rPr>
        <w:fldChar w:fldCharType="begin"/>
      </w:r>
      <w:r w:rsidR="00AD3544">
        <w:rPr>
          <w:noProof/>
        </w:rPr>
        <w:instrText xml:space="preserve"> PAGEREF _Toc6237994 \h </w:instrText>
      </w:r>
      <w:r w:rsidR="00AD3544">
        <w:rPr>
          <w:noProof/>
        </w:rPr>
      </w:r>
      <w:r w:rsidR="00AD3544">
        <w:rPr>
          <w:noProof/>
        </w:rPr>
        <w:fldChar w:fldCharType="separate"/>
      </w:r>
      <w:r w:rsidR="00EF2823">
        <w:rPr>
          <w:noProof/>
        </w:rPr>
        <w:t>21</w:t>
      </w:r>
      <w:r w:rsidR="00AD3544">
        <w:rPr>
          <w:noProof/>
        </w:rPr>
        <w:fldChar w:fldCharType="end"/>
      </w:r>
    </w:p>
    <w:p w14:paraId="217A8E58" w14:textId="5A34175B" w:rsidR="00AD3544" w:rsidRDefault="00AD3544">
      <w:pPr>
        <w:pStyle w:val="TableofFigures"/>
        <w:rPr>
          <w:rFonts w:asciiTheme="minorHAnsi" w:hAnsiTheme="minorHAnsi" w:cstheme="minorBidi"/>
          <w:noProof/>
          <w:sz w:val="24"/>
          <w:szCs w:val="24"/>
          <w:lang w:eastAsia="en-US"/>
        </w:rPr>
      </w:pPr>
      <w:r w:rsidRPr="00D93258">
        <w:rPr>
          <w:caps/>
          <w:noProof/>
          <w:color w:val="000000" w:themeColor="text1"/>
        </w:rPr>
        <w:t>Table 2</w:t>
      </w:r>
      <w:r w:rsidRPr="00D93258">
        <w:rPr>
          <w:rFonts w:eastAsia="MS Mincho"/>
          <w:noProof/>
          <w:color w:val="000000" w:themeColor="text1"/>
        </w:rPr>
        <w:t xml:space="preserve"> 2014/15 Hospitalisations and Bed Days per 100,000 People (Age Standardised)</w:t>
      </w:r>
      <w:r>
        <w:rPr>
          <w:noProof/>
        </w:rPr>
        <w:tab/>
      </w:r>
      <w:r>
        <w:rPr>
          <w:noProof/>
        </w:rPr>
        <w:fldChar w:fldCharType="begin"/>
      </w:r>
      <w:r>
        <w:rPr>
          <w:noProof/>
        </w:rPr>
        <w:instrText xml:space="preserve"> PAGEREF _Toc6237995 \h </w:instrText>
      </w:r>
      <w:r>
        <w:rPr>
          <w:noProof/>
        </w:rPr>
      </w:r>
      <w:r>
        <w:rPr>
          <w:noProof/>
        </w:rPr>
        <w:fldChar w:fldCharType="separate"/>
      </w:r>
      <w:r w:rsidR="00EF2823">
        <w:rPr>
          <w:noProof/>
        </w:rPr>
        <w:t>22</w:t>
      </w:r>
      <w:r>
        <w:rPr>
          <w:noProof/>
        </w:rPr>
        <w:fldChar w:fldCharType="end"/>
      </w:r>
    </w:p>
    <w:p w14:paraId="75B38907" w14:textId="541CF875" w:rsidR="00AD3544" w:rsidRDefault="00AD3544">
      <w:pPr>
        <w:pStyle w:val="TableofFigures"/>
        <w:rPr>
          <w:rFonts w:asciiTheme="minorHAnsi" w:hAnsiTheme="minorHAnsi" w:cstheme="minorBidi"/>
          <w:noProof/>
          <w:sz w:val="24"/>
          <w:szCs w:val="24"/>
          <w:lang w:eastAsia="en-US"/>
        </w:rPr>
      </w:pPr>
      <w:r w:rsidRPr="00D93258">
        <w:rPr>
          <w:caps/>
          <w:noProof/>
          <w:color w:val="000000" w:themeColor="text1"/>
        </w:rPr>
        <w:t>Table 3</w:t>
      </w:r>
      <w:r w:rsidRPr="00D93258">
        <w:rPr>
          <w:noProof/>
          <w:color w:val="000000" w:themeColor="text1"/>
        </w:rPr>
        <w:t xml:space="preserve"> MBS Mental Health Provider Type by SA3, Services rate per 100,000 </w:t>
      </w:r>
      <w:r>
        <w:rPr>
          <w:noProof/>
        </w:rPr>
        <w:tab/>
      </w:r>
      <w:r>
        <w:rPr>
          <w:noProof/>
        </w:rPr>
        <w:fldChar w:fldCharType="begin"/>
      </w:r>
      <w:r>
        <w:rPr>
          <w:noProof/>
        </w:rPr>
        <w:instrText xml:space="preserve"> PAGEREF _Toc6237996 \h </w:instrText>
      </w:r>
      <w:r>
        <w:rPr>
          <w:noProof/>
        </w:rPr>
      </w:r>
      <w:r>
        <w:rPr>
          <w:noProof/>
        </w:rPr>
        <w:fldChar w:fldCharType="separate"/>
      </w:r>
      <w:r w:rsidR="00EF2823">
        <w:rPr>
          <w:noProof/>
        </w:rPr>
        <w:t>25</w:t>
      </w:r>
      <w:r>
        <w:rPr>
          <w:noProof/>
        </w:rPr>
        <w:fldChar w:fldCharType="end"/>
      </w:r>
    </w:p>
    <w:p w14:paraId="039CC131" w14:textId="6EBFA58B" w:rsidR="00AD3544" w:rsidRDefault="00AD3544">
      <w:pPr>
        <w:pStyle w:val="TableofFigures"/>
        <w:rPr>
          <w:rFonts w:asciiTheme="minorHAnsi" w:hAnsiTheme="minorHAnsi" w:cstheme="minorBidi"/>
          <w:noProof/>
          <w:sz w:val="24"/>
          <w:szCs w:val="24"/>
          <w:lang w:eastAsia="en-US"/>
        </w:rPr>
      </w:pPr>
      <w:r w:rsidRPr="00D93258">
        <w:rPr>
          <w:b/>
          <w:caps/>
          <w:noProof/>
          <w:color w:val="000000" w:themeColor="text1"/>
        </w:rPr>
        <w:t>Table 4</w:t>
      </w:r>
      <w:r>
        <w:rPr>
          <w:noProof/>
        </w:rPr>
        <w:t xml:space="preserve"> WentWest Commissioning Activity, Mental Health 2016-19</w:t>
      </w:r>
      <w:r>
        <w:rPr>
          <w:noProof/>
        </w:rPr>
        <w:tab/>
      </w:r>
      <w:r>
        <w:rPr>
          <w:noProof/>
        </w:rPr>
        <w:fldChar w:fldCharType="begin"/>
      </w:r>
      <w:r>
        <w:rPr>
          <w:noProof/>
        </w:rPr>
        <w:instrText xml:space="preserve"> PAGEREF _Toc6237997 \h </w:instrText>
      </w:r>
      <w:r>
        <w:rPr>
          <w:noProof/>
        </w:rPr>
      </w:r>
      <w:r>
        <w:rPr>
          <w:noProof/>
        </w:rPr>
        <w:fldChar w:fldCharType="separate"/>
      </w:r>
      <w:r w:rsidR="00EF2823">
        <w:rPr>
          <w:noProof/>
        </w:rPr>
        <w:t>29</w:t>
      </w:r>
      <w:r>
        <w:rPr>
          <w:noProof/>
        </w:rPr>
        <w:fldChar w:fldCharType="end"/>
      </w:r>
    </w:p>
    <w:p w14:paraId="2FAC1ACA" w14:textId="0411655F" w:rsidR="00AD3544" w:rsidRDefault="00AD3544">
      <w:pPr>
        <w:pStyle w:val="TableofFigures"/>
        <w:rPr>
          <w:rFonts w:asciiTheme="minorHAnsi" w:hAnsiTheme="minorHAnsi" w:cstheme="minorBidi"/>
          <w:noProof/>
          <w:sz w:val="24"/>
          <w:szCs w:val="24"/>
          <w:lang w:eastAsia="en-US"/>
        </w:rPr>
      </w:pPr>
      <w:r w:rsidRPr="00D93258">
        <w:rPr>
          <w:b/>
          <w:caps/>
          <w:noProof/>
          <w:color w:val="000000" w:themeColor="text1"/>
        </w:rPr>
        <w:t>Table 5</w:t>
      </w:r>
      <w:r>
        <w:rPr>
          <w:noProof/>
        </w:rPr>
        <w:t xml:space="preserve"> The Key Features of Complex Adaptive Systems</w:t>
      </w:r>
      <w:r>
        <w:rPr>
          <w:noProof/>
        </w:rPr>
        <w:tab/>
      </w:r>
      <w:r>
        <w:rPr>
          <w:noProof/>
        </w:rPr>
        <w:fldChar w:fldCharType="begin"/>
      </w:r>
      <w:r>
        <w:rPr>
          <w:noProof/>
        </w:rPr>
        <w:instrText xml:space="preserve"> PAGEREF _Toc6237998 \h </w:instrText>
      </w:r>
      <w:r>
        <w:rPr>
          <w:noProof/>
        </w:rPr>
      </w:r>
      <w:r>
        <w:rPr>
          <w:noProof/>
        </w:rPr>
        <w:fldChar w:fldCharType="separate"/>
      </w:r>
      <w:r w:rsidR="00EF2823">
        <w:rPr>
          <w:noProof/>
        </w:rPr>
        <w:t>55</w:t>
      </w:r>
      <w:r>
        <w:rPr>
          <w:noProof/>
        </w:rPr>
        <w:fldChar w:fldCharType="end"/>
      </w:r>
    </w:p>
    <w:p w14:paraId="788C94BE" w14:textId="55F70F5E" w:rsidR="00AD3544" w:rsidRDefault="00AD3544">
      <w:pPr>
        <w:pStyle w:val="TableofFigures"/>
        <w:rPr>
          <w:rFonts w:asciiTheme="minorHAnsi" w:hAnsiTheme="minorHAnsi" w:cstheme="minorBidi"/>
          <w:noProof/>
          <w:sz w:val="24"/>
          <w:szCs w:val="24"/>
          <w:lang w:eastAsia="en-US"/>
        </w:rPr>
      </w:pPr>
      <w:r w:rsidRPr="00D93258">
        <w:rPr>
          <w:b/>
          <w:caps/>
          <w:noProof/>
          <w:color w:val="000000" w:themeColor="text1"/>
        </w:rPr>
        <w:t>Table 6</w:t>
      </w:r>
      <w:r>
        <w:rPr>
          <w:noProof/>
        </w:rPr>
        <w:t xml:space="preserve"> Seven Characteristics of Complex Health Interventions</w:t>
      </w:r>
      <w:r>
        <w:rPr>
          <w:noProof/>
        </w:rPr>
        <w:tab/>
      </w:r>
      <w:r>
        <w:rPr>
          <w:noProof/>
        </w:rPr>
        <w:fldChar w:fldCharType="begin"/>
      </w:r>
      <w:r>
        <w:rPr>
          <w:noProof/>
        </w:rPr>
        <w:instrText xml:space="preserve"> PAGEREF _Toc6237999 \h </w:instrText>
      </w:r>
      <w:r>
        <w:rPr>
          <w:noProof/>
        </w:rPr>
      </w:r>
      <w:r>
        <w:rPr>
          <w:noProof/>
        </w:rPr>
        <w:fldChar w:fldCharType="separate"/>
      </w:r>
      <w:r w:rsidR="00EF2823">
        <w:rPr>
          <w:noProof/>
        </w:rPr>
        <w:t>56</w:t>
      </w:r>
      <w:r>
        <w:rPr>
          <w:noProof/>
        </w:rPr>
        <w:fldChar w:fldCharType="end"/>
      </w:r>
    </w:p>
    <w:p w14:paraId="4433234D" w14:textId="0BF31986" w:rsidR="00AD3544" w:rsidRDefault="00AD3544">
      <w:pPr>
        <w:pStyle w:val="TableofFigures"/>
        <w:rPr>
          <w:rFonts w:asciiTheme="minorHAnsi" w:hAnsiTheme="minorHAnsi" w:cstheme="minorBidi"/>
          <w:noProof/>
          <w:sz w:val="24"/>
          <w:szCs w:val="24"/>
          <w:lang w:eastAsia="en-US"/>
        </w:rPr>
      </w:pPr>
      <w:r w:rsidRPr="00D93258">
        <w:rPr>
          <w:rFonts w:eastAsia="MS Mincho"/>
          <w:b/>
          <w:caps/>
          <w:noProof/>
          <w:color w:val="000000" w:themeColor="text1"/>
        </w:rPr>
        <w:t>Table 7</w:t>
      </w:r>
      <w:r w:rsidRPr="00D93258">
        <w:rPr>
          <w:rFonts w:eastAsia="MS Mincho"/>
          <w:noProof/>
        </w:rPr>
        <w:t xml:space="preserve"> Atlas Service Inclusion Criteria</w:t>
      </w:r>
      <w:r>
        <w:rPr>
          <w:noProof/>
        </w:rPr>
        <w:tab/>
      </w:r>
      <w:r>
        <w:rPr>
          <w:noProof/>
        </w:rPr>
        <w:fldChar w:fldCharType="begin"/>
      </w:r>
      <w:r>
        <w:rPr>
          <w:noProof/>
        </w:rPr>
        <w:instrText xml:space="preserve"> PAGEREF _Toc6238000 \h </w:instrText>
      </w:r>
      <w:r>
        <w:rPr>
          <w:noProof/>
        </w:rPr>
      </w:r>
      <w:r>
        <w:rPr>
          <w:noProof/>
        </w:rPr>
        <w:fldChar w:fldCharType="separate"/>
      </w:r>
      <w:r w:rsidR="00EF2823">
        <w:rPr>
          <w:noProof/>
        </w:rPr>
        <w:t>63</w:t>
      </w:r>
      <w:r>
        <w:rPr>
          <w:noProof/>
        </w:rPr>
        <w:fldChar w:fldCharType="end"/>
      </w:r>
    </w:p>
    <w:p w14:paraId="78DE1890" w14:textId="5424E589" w:rsidR="00AD3544" w:rsidRDefault="00AD3544">
      <w:pPr>
        <w:pStyle w:val="TableofFigures"/>
        <w:rPr>
          <w:rFonts w:asciiTheme="minorHAnsi" w:hAnsiTheme="minorHAnsi" w:cstheme="minorBidi"/>
          <w:noProof/>
          <w:sz w:val="24"/>
          <w:szCs w:val="24"/>
          <w:lang w:eastAsia="en-US"/>
        </w:rPr>
      </w:pPr>
      <w:r w:rsidRPr="00D93258">
        <w:rPr>
          <w:b/>
          <w:caps/>
          <w:noProof/>
          <w:color w:val="000000" w:themeColor="text1"/>
        </w:rPr>
        <w:t>Table 8</w:t>
      </w:r>
      <w:r>
        <w:rPr>
          <w:noProof/>
        </w:rPr>
        <w:t xml:space="preserve"> Major National Reviews of Mental Health Since 1993 (N=15)</w:t>
      </w:r>
      <w:r>
        <w:rPr>
          <w:noProof/>
        </w:rPr>
        <w:tab/>
      </w:r>
      <w:r>
        <w:rPr>
          <w:noProof/>
        </w:rPr>
        <w:fldChar w:fldCharType="begin"/>
      </w:r>
      <w:r>
        <w:rPr>
          <w:noProof/>
        </w:rPr>
        <w:instrText xml:space="preserve"> PAGEREF _Toc6238001 \h </w:instrText>
      </w:r>
      <w:r>
        <w:rPr>
          <w:noProof/>
        </w:rPr>
      </w:r>
      <w:r>
        <w:rPr>
          <w:noProof/>
        </w:rPr>
        <w:fldChar w:fldCharType="separate"/>
      </w:r>
      <w:r w:rsidR="00EF2823">
        <w:rPr>
          <w:noProof/>
        </w:rPr>
        <w:t>70</w:t>
      </w:r>
      <w:r>
        <w:rPr>
          <w:noProof/>
        </w:rPr>
        <w:fldChar w:fldCharType="end"/>
      </w:r>
    </w:p>
    <w:p w14:paraId="7B61331C" w14:textId="14274B22" w:rsidR="00AD3544" w:rsidRDefault="00AD3544">
      <w:pPr>
        <w:pStyle w:val="TableofFigures"/>
        <w:rPr>
          <w:rFonts w:asciiTheme="minorHAnsi" w:hAnsiTheme="minorHAnsi" w:cstheme="minorBidi"/>
          <w:noProof/>
          <w:sz w:val="24"/>
          <w:szCs w:val="24"/>
          <w:lang w:eastAsia="en-US"/>
        </w:rPr>
      </w:pPr>
      <w:r w:rsidRPr="00D93258">
        <w:rPr>
          <w:b/>
          <w:caps/>
          <w:noProof/>
          <w:color w:val="000000" w:themeColor="text1"/>
        </w:rPr>
        <w:t>Table 9</w:t>
      </w:r>
      <w:r>
        <w:rPr>
          <w:noProof/>
        </w:rPr>
        <w:t xml:space="preserve"> Federal Parliamentary Inquiries on Mental Health Since 1971</w:t>
      </w:r>
      <w:r>
        <w:rPr>
          <w:noProof/>
        </w:rPr>
        <w:tab/>
      </w:r>
      <w:r>
        <w:rPr>
          <w:noProof/>
        </w:rPr>
        <w:fldChar w:fldCharType="begin"/>
      </w:r>
      <w:r>
        <w:rPr>
          <w:noProof/>
        </w:rPr>
        <w:instrText xml:space="preserve"> PAGEREF _Toc6238002 \h </w:instrText>
      </w:r>
      <w:r>
        <w:rPr>
          <w:noProof/>
        </w:rPr>
      </w:r>
      <w:r>
        <w:rPr>
          <w:noProof/>
        </w:rPr>
        <w:fldChar w:fldCharType="separate"/>
      </w:r>
      <w:r w:rsidR="00EF2823">
        <w:rPr>
          <w:noProof/>
        </w:rPr>
        <w:t>71</w:t>
      </w:r>
      <w:r>
        <w:rPr>
          <w:noProof/>
        </w:rPr>
        <w:fldChar w:fldCharType="end"/>
      </w:r>
    </w:p>
    <w:p w14:paraId="5AF2C177" w14:textId="62DDEC11" w:rsidR="00AD3544" w:rsidRDefault="00AD3544">
      <w:pPr>
        <w:pStyle w:val="TableofFigures"/>
        <w:rPr>
          <w:rFonts w:asciiTheme="minorHAnsi" w:hAnsiTheme="minorHAnsi" w:cstheme="minorBidi"/>
          <w:noProof/>
          <w:sz w:val="24"/>
          <w:szCs w:val="24"/>
          <w:lang w:eastAsia="en-US"/>
        </w:rPr>
      </w:pPr>
      <w:r w:rsidRPr="00D93258">
        <w:rPr>
          <w:b/>
          <w:caps/>
          <w:noProof/>
          <w:color w:val="000000" w:themeColor="text1"/>
        </w:rPr>
        <w:t>Table 10</w:t>
      </w:r>
      <w:r>
        <w:rPr>
          <w:noProof/>
        </w:rPr>
        <w:t xml:space="preserve"> Reviews Undertaken by State/Territory Statutory Authorities, 2011-2019</w:t>
      </w:r>
      <w:r>
        <w:rPr>
          <w:noProof/>
        </w:rPr>
        <w:tab/>
      </w:r>
      <w:r>
        <w:rPr>
          <w:noProof/>
        </w:rPr>
        <w:fldChar w:fldCharType="begin"/>
      </w:r>
      <w:r>
        <w:rPr>
          <w:noProof/>
        </w:rPr>
        <w:instrText xml:space="preserve"> PAGEREF _Toc6238003 \h </w:instrText>
      </w:r>
      <w:r>
        <w:rPr>
          <w:noProof/>
        </w:rPr>
      </w:r>
      <w:r>
        <w:rPr>
          <w:noProof/>
        </w:rPr>
        <w:fldChar w:fldCharType="separate"/>
      </w:r>
      <w:r w:rsidR="00EF2823">
        <w:rPr>
          <w:noProof/>
        </w:rPr>
        <w:t>73</w:t>
      </w:r>
      <w:r>
        <w:rPr>
          <w:noProof/>
        </w:rPr>
        <w:fldChar w:fldCharType="end"/>
      </w:r>
    </w:p>
    <w:p w14:paraId="04198220" w14:textId="070FFBE8" w:rsidR="0042618E" w:rsidRPr="00AF7228" w:rsidRDefault="0042618E" w:rsidP="0042618E">
      <w:pPr>
        <w:pStyle w:val="BodyText"/>
      </w:pPr>
      <w:r w:rsidRPr="00AF7228">
        <w:fldChar w:fldCharType="end"/>
      </w:r>
    </w:p>
    <w:p w14:paraId="61A1C05E" w14:textId="77777777" w:rsidR="00E05D75" w:rsidRPr="00AF7228" w:rsidRDefault="009F2B4D" w:rsidP="006703A1">
      <w:pPr>
        <w:pStyle w:val="Title"/>
        <w:rPr>
          <w:color w:val="003D69"/>
        </w:rPr>
      </w:pPr>
      <w:r w:rsidRPr="00AF7228">
        <w:rPr>
          <w:color w:val="003D69"/>
        </w:rPr>
        <w:t xml:space="preserve">List of </w:t>
      </w:r>
      <w:r w:rsidR="00E05D75" w:rsidRPr="00AF7228">
        <w:rPr>
          <w:color w:val="003D69"/>
        </w:rPr>
        <w:t>Figures</w:t>
      </w:r>
    </w:p>
    <w:p w14:paraId="667A0DB5" w14:textId="499927B2" w:rsidR="00AD3544" w:rsidRDefault="0042618E">
      <w:pPr>
        <w:pStyle w:val="TableofFigures"/>
        <w:rPr>
          <w:rFonts w:asciiTheme="minorHAnsi" w:hAnsiTheme="minorHAnsi" w:cstheme="minorBidi"/>
          <w:noProof/>
          <w:sz w:val="24"/>
          <w:szCs w:val="24"/>
          <w:lang w:eastAsia="en-US"/>
        </w:rPr>
      </w:pPr>
      <w:r w:rsidRPr="00AF7228">
        <w:fldChar w:fldCharType="begin"/>
      </w:r>
      <w:r w:rsidRPr="00AF7228">
        <w:instrText xml:space="preserve"> TOC \t "Figure Caption" \c "Figure" </w:instrText>
      </w:r>
      <w:r w:rsidRPr="00AF7228">
        <w:fldChar w:fldCharType="separate"/>
      </w:r>
      <w:r w:rsidR="00AD3544" w:rsidRPr="002D5394">
        <w:rPr>
          <w:b/>
          <w:caps/>
          <w:noProof/>
        </w:rPr>
        <w:t>Figure 1</w:t>
      </w:r>
      <w:r w:rsidR="00AD3544">
        <w:rPr>
          <w:noProof/>
        </w:rPr>
        <w:t xml:space="preserve">  The Ten Building Blocks of High Performing Primary Care</w:t>
      </w:r>
      <w:r w:rsidR="00AD3544">
        <w:rPr>
          <w:noProof/>
        </w:rPr>
        <w:tab/>
      </w:r>
      <w:r w:rsidR="00AD3544">
        <w:rPr>
          <w:noProof/>
        </w:rPr>
        <w:fldChar w:fldCharType="begin"/>
      </w:r>
      <w:r w:rsidR="00AD3544">
        <w:rPr>
          <w:noProof/>
        </w:rPr>
        <w:instrText xml:space="preserve"> PAGEREF _Toc6237971 \h </w:instrText>
      </w:r>
      <w:r w:rsidR="00AD3544">
        <w:rPr>
          <w:noProof/>
        </w:rPr>
      </w:r>
      <w:r w:rsidR="00AD3544">
        <w:rPr>
          <w:noProof/>
        </w:rPr>
        <w:fldChar w:fldCharType="separate"/>
      </w:r>
      <w:r w:rsidR="00EF2823">
        <w:rPr>
          <w:noProof/>
        </w:rPr>
        <w:t>12</w:t>
      </w:r>
      <w:r w:rsidR="00AD3544">
        <w:rPr>
          <w:noProof/>
        </w:rPr>
        <w:fldChar w:fldCharType="end"/>
      </w:r>
    </w:p>
    <w:p w14:paraId="736CD668" w14:textId="4A36B5DD" w:rsidR="00AD3544" w:rsidRDefault="00AD3544">
      <w:pPr>
        <w:pStyle w:val="TableofFigures"/>
        <w:rPr>
          <w:rFonts w:asciiTheme="minorHAnsi" w:hAnsiTheme="minorHAnsi" w:cstheme="minorBidi"/>
          <w:noProof/>
          <w:sz w:val="24"/>
          <w:szCs w:val="24"/>
          <w:lang w:eastAsia="en-US"/>
        </w:rPr>
      </w:pPr>
      <w:r w:rsidRPr="002D5394">
        <w:rPr>
          <w:b/>
          <w:caps/>
          <w:noProof/>
        </w:rPr>
        <w:t>Figure 2</w:t>
      </w:r>
      <w:r>
        <w:rPr>
          <w:noProof/>
        </w:rPr>
        <w:t xml:space="preserve"> WentWest Geographical Boundaries</w:t>
      </w:r>
      <w:r>
        <w:rPr>
          <w:noProof/>
        </w:rPr>
        <w:tab/>
      </w:r>
      <w:r>
        <w:rPr>
          <w:noProof/>
        </w:rPr>
        <w:fldChar w:fldCharType="begin"/>
      </w:r>
      <w:r>
        <w:rPr>
          <w:noProof/>
        </w:rPr>
        <w:instrText xml:space="preserve"> PAGEREF _Toc6237972 \h </w:instrText>
      </w:r>
      <w:r>
        <w:rPr>
          <w:noProof/>
        </w:rPr>
      </w:r>
      <w:r>
        <w:rPr>
          <w:noProof/>
        </w:rPr>
        <w:fldChar w:fldCharType="separate"/>
      </w:r>
      <w:r w:rsidR="00EF2823">
        <w:rPr>
          <w:noProof/>
        </w:rPr>
        <w:t>13</w:t>
      </w:r>
      <w:r>
        <w:rPr>
          <w:noProof/>
        </w:rPr>
        <w:fldChar w:fldCharType="end"/>
      </w:r>
    </w:p>
    <w:p w14:paraId="316A4513" w14:textId="00B6D779" w:rsidR="00AD3544" w:rsidRDefault="00AD3544">
      <w:pPr>
        <w:pStyle w:val="TableofFigures"/>
        <w:rPr>
          <w:rFonts w:asciiTheme="minorHAnsi" w:hAnsiTheme="minorHAnsi" w:cstheme="minorBidi"/>
          <w:noProof/>
          <w:sz w:val="24"/>
          <w:szCs w:val="24"/>
          <w:lang w:eastAsia="en-US"/>
        </w:rPr>
      </w:pPr>
      <w:r w:rsidRPr="002D5394">
        <w:rPr>
          <w:b/>
          <w:caps/>
          <w:noProof/>
        </w:rPr>
        <w:lastRenderedPageBreak/>
        <w:t>Figure 3</w:t>
      </w:r>
      <w:r w:rsidRPr="002D5394">
        <w:rPr>
          <w:noProof/>
          <w:shd w:val="clear" w:color="auto" w:fill="FFFFFF"/>
        </w:rPr>
        <w:t xml:space="preserve"> The Dahlgren-Whitehead model of Social Determinants of Health</w:t>
      </w:r>
      <w:r>
        <w:rPr>
          <w:noProof/>
        </w:rPr>
        <w:tab/>
      </w:r>
      <w:r>
        <w:rPr>
          <w:noProof/>
        </w:rPr>
        <w:fldChar w:fldCharType="begin"/>
      </w:r>
      <w:r>
        <w:rPr>
          <w:noProof/>
        </w:rPr>
        <w:instrText xml:space="preserve"> PAGEREF _Toc6237973 \h </w:instrText>
      </w:r>
      <w:r>
        <w:rPr>
          <w:noProof/>
        </w:rPr>
      </w:r>
      <w:r>
        <w:rPr>
          <w:noProof/>
        </w:rPr>
        <w:fldChar w:fldCharType="separate"/>
      </w:r>
      <w:r w:rsidR="00EF2823">
        <w:rPr>
          <w:noProof/>
        </w:rPr>
        <w:t>14</w:t>
      </w:r>
      <w:r>
        <w:rPr>
          <w:noProof/>
        </w:rPr>
        <w:fldChar w:fldCharType="end"/>
      </w:r>
    </w:p>
    <w:p w14:paraId="54E8B5F4" w14:textId="7FDC511D" w:rsidR="00AD3544" w:rsidRDefault="00AD3544">
      <w:pPr>
        <w:pStyle w:val="TableofFigures"/>
        <w:rPr>
          <w:rFonts w:asciiTheme="minorHAnsi" w:hAnsiTheme="minorHAnsi" w:cstheme="minorBidi"/>
          <w:noProof/>
          <w:sz w:val="24"/>
          <w:szCs w:val="24"/>
          <w:lang w:eastAsia="en-US"/>
        </w:rPr>
      </w:pPr>
      <w:r w:rsidRPr="002D5394">
        <w:rPr>
          <w:b/>
          <w:caps/>
          <w:noProof/>
        </w:rPr>
        <w:t>Figure 4</w:t>
      </w:r>
      <w:r w:rsidRPr="002D5394">
        <w:rPr>
          <w:b/>
          <w:noProof/>
        </w:rPr>
        <w:t xml:space="preserve"> Population Health Chronic Disease Continuum</w:t>
      </w:r>
      <w:r>
        <w:rPr>
          <w:noProof/>
        </w:rPr>
        <w:tab/>
      </w:r>
      <w:r>
        <w:rPr>
          <w:noProof/>
        </w:rPr>
        <w:fldChar w:fldCharType="begin"/>
      </w:r>
      <w:r>
        <w:rPr>
          <w:noProof/>
        </w:rPr>
        <w:instrText xml:space="preserve"> PAGEREF _Toc6237974 \h </w:instrText>
      </w:r>
      <w:r>
        <w:rPr>
          <w:noProof/>
        </w:rPr>
      </w:r>
      <w:r>
        <w:rPr>
          <w:noProof/>
        </w:rPr>
        <w:fldChar w:fldCharType="separate"/>
      </w:r>
      <w:r w:rsidR="00EF2823">
        <w:rPr>
          <w:noProof/>
        </w:rPr>
        <w:t>15</w:t>
      </w:r>
      <w:r>
        <w:rPr>
          <w:noProof/>
        </w:rPr>
        <w:fldChar w:fldCharType="end"/>
      </w:r>
    </w:p>
    <w:p w14:paraId="7E99397D" w14:textId="7C08888D" w:rsidR="00AD3544" w:rsidRDefault="00AD3544">
      <w:pPr>
        <w:pStyle w:val="TableofFigures"/>
        <w:rPr>
          <w:rFonts w:asciiTheme="minorHAnsi" w:hAnsiTheme="minorHAnsi" w:cstheme="minorBidi"/>
          <w:noProof/>
          <w:sz w:val="24"/>
          <w:szCs w:val="24"/>
          <w:lang w:eastAsia="en-US"/>
        </w:rPr>
      </w:pPr>
      <w:r w:rsidRPr="002D5394">
        <w:rPr>
          <w:b/>
          <w:caps/>
          <w:noProof/>
        </w:rPr>
        <w:t>Figure 5</w:t>
      </w:r>
      <w:r>
        <w:rPr>
          <w:noProof/>
        </w:rPr>
        <w:t xml:space="preserve"> SEIFA Index Relative Socio-Economic Disadvantage by SLA Group</w:t>
      </w:r>
      <w:r>
        <w:rPr>
          <w:noProof/>
        </w:rPr>
        <w:tab/>
      </w:r>
      <w:r>
        <w:rPr>
          <w:noProof/>
        </w:rPr>
        <w:fldChar w:fldCharType="begin"/>
      </w:r>
      <w:r>
        <w:rPr>
          <w:noProof/>
        </w:rPr>
        <w:instrText xml:space="preserve"> PAGEREF _Toc6237975 \h </w:instrText>
      </w:r>
      <w:r>
        <w:rPr>
          <w:noProof/>
        </w:rPr>
      </w:r>
      <w:r>
        <w:rPr>
          <w:noProof/>
        </w:rPr>
        <w:fldChar w:fldCharType="separate"/>
      </w:r>
      <w:r w:rsidR="00EF2823">
        <w:rPr>
          <w:noProof/>
        </w:rPr>
        <w:t>16</w:t>
      </w:r>
      <w:r>
        <w:rPr>
          <w:noProof/>
        </w:rPr>
        <w:fldChar w:fldCharType="end"/>
      </w:r>
    </w:p>
    <w:p w14:paraId="573F672C" w14:textId="37A4B8D2" w:rsidR="00AD3544" w:rsidRDefault="00AD3544">
      <w:pPr>
        <w:pStyle w:val="TableofFigures"/>
        <w:rPr>
          <w:rFonts w:asciiTheme="minorHAnsi" w:hAnsiTheme="minorHAnsi" w:cstheme="minorBidi"/>
          <w:noProof/>
          <w:sz w:val="24"/>
          <w:szCs w:val="24"/>
          <w:lang w:eastAsia="en-US"/>
        </w:rPr>
      </w:pPr>
      <w:r w:rsidRPr="002D5394">
        <w:rPr>
          <w:b/>
          <w:caps/>
          <w:noProof/>
        </w:rPr>
        <w:t>Figure 6</w:t>
      </w:r>
      <w:r>
        <w:rPr>
          <w:noProof/>
        </w:rPr>
        <w:t xml:space="preserve"> Risk of </w:t>
      </w:r>
      <w:r w:rsidR="00C34200">
        <w:rPr>
          <w:noProof/>
        </w:rPr>
        <w:t>Psychological D</w:t>
      </w:r>
      <w:r>
        <w:rPr>
          <w:noProof/>
        </w:rPr>
        <w:t>istress</w:t>
      </w:r>
      <w:r>
        <w:rPr>
          <w:noProof/>
        </w:rPr>
        <w:tab/>
      </w:r>
      <w:r>
        <w:rPr>
          <w:noProof/>
        </w:rPr>
        <w:fldChar w:fldCharType="begin"/>
      </w:r>
      <w:r>
        <w:rPr>
          <w:noProof/>
        </w:rPr>
        <w:instrText xml:space="preserve"> PAGEREF _Toc6237976 \h </w:instrText>
      </w:r>
      <w:r>
        <w:rPr>
          <w:noProof/>
        </w:rPr>
      </w:r>
      <w:r>
        <w:rPr>
          <w:noProof/>
        </w:rPr>
        <w:fldChar w:fldCharType="separate"/>
      </w:r>
      <w:r w:rsidR="00EF2823">
        <w:rPr>
          <w:noProof/>
        </w:rPr>
        <w:t>18</w:t>
      </w:r>
      <w:r>
        <w:rPr>
          <w:noProof/>
        </w:rPr>
        <w:fldChar w:fldCharType="end"/>
      </w:r>
    </w:p>
    <w:p w14:paraId="3665D914" w14:textId="3279BD7B" w:rsidR="00AD3544" w:rsidRDefault="00AD3544">
      <w:pPr>
        <w:pStyle w:val="TableofFigures"/>
        <w:rPr>
          <w:rFonts w:asciiTheme="minorHAnsi" w:hAnsiTheme="minorHAnsi" w:cstheme="minorBidi"/>
          <w:noProof/>
          <w:sz w:val="24"/>
          <w:szCs w:val="24"/>
          <w:lang w:eastAsia="en-US"/>
        </w:rPr>
      </w:pPr>
      <w:r w:rsidRPr="002D5394">
        <w:rPr>
          <w:b/>
          <w:caps/>
          <w:noProof/>
        </w:rPr>
        <w:t>Figure 7</w:t>
      </w:r>
      <w:r>
        <w:rPr>
          <w:noProof/>
        </w:rPr>
        <w:t xml:space="preserve"> Pattern of Mental Health Care in Western Sydney</w:t>
      </w:r>
      <w:r>
        <w:rPr>
          <w:noProof/>
        </w:rPr>
        <w:tab/>
      </w:r>
      <w:r>
        <w:rPr>
          <w:noProof/>
        </w:rPr>
        <w:fldChar w:fldCharType="begin"/>
      </w:r>
      <w:r>
        <w:rPr>
          <w:noProof/>
        </w:rPr>
        <w:instrText xml:space="preserve"> PAGEREF _Toc6237977 \h </w:instrText>
      </w:r>
      <w:r>
        <w:rPr>
          <w:noProof/>
        </w:rPr>
      </w:r>
      <w:r>
        <w:rPr>
          <w:noProof/>
        </w:rPr>
        <w:fldChar w:fldCharType="separate"/>
      </w:r>
      <w:r w:rsidR="00EF2823">
        <w:rPr>
          <w:noProof/>
        </w:rPr>
        <w:t>20</w:t>
      </w:r>
      <w:r>
        <w:rPr>
          <w:noProof/>
        </w:rPr>
        <w:fldChar w:fldCharType="end"/>
      </w:r>
    </w:p>
    <w:p w14:paraId="7C45A2CA" w14:textId="1B755F95" w:rsidR="00AD3544" w:rsidRDefault="00AD3544">
      <w:pPr>
        <w:pStyle w:val="TableofFigures"/>
        <w:rPr>
          <w:rFonts w:asciiTheme="minorHAnsi" w:hAnsiTheme="minorHAnsi" w:cstheme="minorBidi"/>
          <w:noProof/>
          <w:sz w:val="24"/>
          <w:szCs w:val="24"/>
          <w:lang w:eastAsia="en-US"/>
        </w:rPr>
      </w:pPr>
      <w:r w:rsidRPr="002D5394">
        <w:rPr>
          <w:b/>
          <w:caps/>
          <w:noProof/>
        </w:rPr>
        <w:t>Figure 8</w:t>
      </w:r>
      <w:r>
        <w:rPr>
          <w:noProof/>
        </w:rPr>
        <w:t xml:space="preserve"> Hospitalisations for All Mental Health Conditions</w:t>
      </w:r>
      <w:r>
        <w:rPr>
          <w:noProof/>
        </w:rPr>
        <w:tab/>
      </w:r>
      <w:r>
        <w:rPr>
          <w:noProof/>
        </w:rPr>
        <w:fldChar w:fldCharType="begin"/>
      </w:r>
      <w:r>
        <w:rPr>
          <w:noProof/>
        </w:rPr>
        <w:instrText xml:space="preserve"> PAGEREF _Toc6237978 \h </w:instrText>
      </w:r>
      <w:r>
        <w:rPr>
          <w:noProof/>
        </w:rPr>
      </w:r>
      <w:r>
        <w:rPr>
          <w:noProof/>
        </w:rPr>
        <w:fldChar w:fldCharType="separate"/>
      </w:r>
      <w:r w:rsidR="00EF2823">
        <w:rPr>
          <w:noProof/>
        </w:rPr>
        <w:t>21</w:t>
      </w:r>
      <w:r>
        <w:rPr>
          <w:noProof/>
        </w:rPr>
        <w:fldChar w:fldCharType="end"/>
      </w:r>
    </w:p>
    <w:p w14:paraId="16830703" w14:textId="455F7DDF" w:rsidR="00AD3544" w:rsidRDefault="00AD3544">
      <w:pPr>
        <w:pStyle w:val="TableofFigures"/>
        <w:rPr>
          <w:rFonts w:asciiTheme="minorHAnsi" w:hAnsiTheme="minorHAnsi" w:cstheme="minorBidi"/>
          <w:noProof/>
          <w:sz w:val="24"/>
          <w:szCs w:val="24"/>
          <w:lang w:eastAsia="en-US"/>
        </w:rPr>
      </w:pPr>
      <w:r w:rsidRPr="002D5394">
        <w:rPr>
          <w:b/>
          <w:caps/>
          <w:noProof/>
        </w:rPr>
        <w:t>Figure 9</w:t>
      </w:r>
      <w:r>
        <w:rPr>
          <w:noProof/>
        </w:rPr>
        <w:t xml:space="preserve"> All Mental Health Hospitalisations by SA3 2014/15</w:t>
      </w:r>
      <w:r>
        <w:rPr>
          <w:noProof/>
        </w:rPr>
        <w:tab/>
      </w:r>
      <w:r>
        <w:rPr>
          <w:noProof/>
        </w:rPr>
        <w:fldChar w:fldCharType="begin"/>
      </w:r>
      <w:r>
        <w:rPr>
          <w:noProof/>
        </w:rPr>
        <w:instrText xml:space="preserve"> PAGEREF _Toc6237979 \h </w:instrText>
      </w:r>
      <w:r>
        <w:rPr>
          <w:noProof/>
        </w:rPr>
      </w:r>
      <w:r>
        <w:rPr>
          <w:noProof/>
        </w:rPr>
        <w:fldChar w:fldCharType="separate"/>
      </w:r>
      <w:r w:rsidR="00EF2823">
        <w:rPr>
          <w:noProof/>
        </w:rPr>
        <w:t>23</w:t>
      </w:r>
      <w:r>
        <w:rPr>
          <w:noProof/>
        </w:rPr>
        <w:fldChar w:fldCharType="end"/>
      </w:r>
    </w:p>
    <w:p w14:paraId="3BB0B9A9" w14:textId="137E9F86" w:rsidR="00AD3544" w:rsidRDefault="00AD3544">
      <w:pPr>
        <w:pStyle w:val="TableofFigures"/>
        <w:rPr>
          <w:rFonts w:asciiTheme="minorHAnsi" w:hAnsiTheme="minorHAnsi" w:cstheme="minorBidi"/>
          <w:noProof/>
          <w:sz w:val="24"/>
          <w:szCs w:val="24"/>
          <w:lang w:eastAsia="en-US"/>
        </w:rPr>
      </w:pPr>
      <w:r w:rsidRPr="002D5394">
        <w:rPr>
          <w:b/>
          <w:caps/>
          <w:noProof/>
        </w:rPr>
        <w:t>Figure 10</w:t>
      </w:r>
      <w:r>
        <w:rPr>
          <w:noProof/>
        </w:rPr>
        <w:t xml:space="preserve"> Intentional Self-Harm Hospitalisations by SA3 2014/15</w:t>
      </w:r>
      <w:r>
        <w:rPr>
          <w:noProof/>
        </w:rPr>
        <w:tab/>
      </w:r>
      <w:r>
        <w:rPr>
          <w:noProof/>
        </w:rPr>
        <w:fldChar w:fldCharType="begin"/>
      </w:r>
      <w:r>
        <w:rPr>
          <w:noProof/>
        </w:rPr>
        <w:instrText xml:space="preserve"> PAGEREF _Toc6237980 \h </w:instrText>
      </w:r>
      <w:r>
        <w:rPr>
          <w:noProof/>
        </w:rPr>
      </w:r>
      <w:r>
        <w:rPr>
          <w:noProof/>
        </w:rPr>
        <w:fldChar w:fldCharType="separate"/>
      </w:r>
      <w:r w:rsidR="00EF2823">
        <w:rPr>
          <w:noProof/>
        </w:rPr>
        <w:t>24</w:t>
      </w:r>
      <w:r>
        <w:rPr>
          <w:noProof/>
        </w:rPr>
        <w:fldChar w:fldCharType="end"/>
      </w:r>
    </w:p>
    <w:p w14:paraId="05CF4B62" w14:textId="45532E8D" w:rsidR="00AD3544" w:rsidRDefault="00AD3544">
      <w:pPr>
        <w:pStyle w:val="TableofFigures"/>
        <w:rPr>
          <w:rFonts w:asciiTheme="minorHAnsi" w:hAnsiTheme="minorHAnsi" w:cstheme="minorBidi"/>
          <w:noProof/>
          <w:sz w:val="24"/>
          <w:szCs w:val="24"/>
          <w:lang w:eastAsia="en-US"/>
        </w:rPr>
      </w:pPr>
      <w:r w:rsidRPr="002D5394">
        <w:rPr>
          <w:b/>
          <w:caps/>
          <w:noProof/>
        </w:rPr>
        <w:t>Figure 11</w:t>
      </w:r>
      <w:r>
        <w:rPr>
          <w:noProof/>
        </w:rPr>
        <w:t xml:space="preserve"> Antidepressants, </w:t>
      </w:r>
      <w:r w:rsidR="00C34200">
        <w:rPr>
          <w:noProof/>
        </w:rPr>
        <w:t>R</w:t>
      </w:r>
      <w:r>
        <w:rPr>
          <w:noProof/>
        </w:rPr>
        <w:t>ate per 10,000 by SA3</w:t>
      </w:r>
      <w:r>
        <w:rPr>
          <w:noProof/>
        </w:rPr>
        <w:tab/>
      </w:r>
      <w:r>
        <w:rPr>
          <w:noProof/>
        </w:rPr>
        <w:fldChar w:fldCharType="begin"/>
      </w:r>
      <w:r>
        <w:rPr>
          <w:noProof/>
        </w:rPr>
        <w:instrText xml:space="preserve"> PAGEREF _Toc6237981 \h </w:instrText>
      </w:r>
      <w:r>
        <w:rPr>
          <w:noProof/>
        </w:rPr>
      </w:r>
      <w:r>
        <w:rPr>
          <w:noProof/>
        </w:rPr>
        <w:fldChar w:fldCharType="separate"/>
      </w:r>
      <w:r w:rsidR="00EF2823">
        <w:rPr>
          <w:noProof/>
        </w:rPr>
        <w:t>26</w:t>
      </w:r>
      <w:r>
        <w:rPr>
          <w:noProof/>
        </w:rPr>
        <w:fldChar w:fldCharType="end"/>
      </w:r>
    </w:p>
    <w:p w14:paraId="7C8BB0E9" w14:textId="63D5B02C" w:rsidR="00AD3544" w:rsidRDefault="00AD3544">
      <w:pPr>
        <w:pStyle w:val="TableofFigures"/>
        <w:rPr>
          <w:rFonts w:asciiTheme="minorHAnsi" w:hAnsiTheme="minorHAnsi" w:cstheme="minorBidi"/>
          <w:noProof/>
          <w:sz w:val="24"/>
          <w:szCs w:val="24"/>
          <w:lang w:eastAsia="en-US"/>
        </w:rPr>
      </w:pPr>
      <w:r w:rsidRPr="002D5394">
        <w:rPr>
          <w:b/>
          <w:caps/>
          <w:noProof/>
        </w:rPr>
        <w:t>Figure 12</w:t>
      </w:r>
      <w:r w:rsidRPr="002D5394">
        <w:rPr>
          <w:noProof/>
        </w:rPr>
        <w:t xml:space="preserve"> Program Funding and Population Mental Health Needs, WentWest</w:t>
      </w:r>
      <w:r>
        <w:rPr>
          <w:noProof/>
        </w:rPr>
        <w:tab/>
      </w:r>
      <w:r>
        <w:rPr>
          <w:noProof/>
        </w:rPr>
        <w:fldChar w:fldCharType="begin"/>
      </w:r>
      <w:r>
        <w:rPr>
          <w:noProof/>
        </w:rPr>
        <w:instrText xml:space="preserve"> PAGEREF _Toc6237982 \h </w:instrText>
      </w:r>
      <w:r>
        <w:rPr>
          <w:noProof/>
        </w:rPr>
      </w:r>
      <w:r>
        <w:rPr>
          <w:noProof/>
        </w:rPr>
        <w:fldChar w:fldCharType="separate"/>
      </w:r>
      <w:r w:rsidR="00EF2823">
        <w:rPr>
          <w:noProof/>
        </w:rPr>
        <w:t>28</w:t>
      </w:r>
      <w:r>
        <w:rPr>
          <w:noProof/>
        </w:rPr>
        <w:fldChar w:fldCharType="end"/>
      </w:r>
    </w:p>
    <w:p w14:paraId="160ED155" w14:textId="4D2F057E" w:rsidR="00AD3544" w:rsidRDefault="00AD3544">
      <w:pPr>
        <w:pStyle w:val="TableofFigures"/>
        <w:rPr>
          <w:rFonts w:asciiTheme="minorHAnsi" w:hAnsiTheme="minorHAnsi" w:cstheme="minorBidi"/>
          <w:noProof/>
          <w:sz w:val="24"/>
          <w:szCs w:val="24"/>
          <w:lang w:eastAsia="en-US"/>
        </w:rPr>
      </w:pPr>
      <w:r w:rsidRPr="002D5394">
        <w:rPr>
          <w:b/>
          <w:caps/>
          <w:noProof/>
        </w:rPr>
        <w:t>Figure 13</w:t>
      </w:r>
      <w:r>
        <w:rPr>
          <w:noProof/>
        </w:rPr>
        <w:t xml:space="preserve"> The WentWest Continuum of Primary Mental Health Care</w:t>
      </w:r>
      <w:r>
        <w:rPr>
          <w:noProof/>
        </w:rPr>
        <w:tab/>
      </w:r>
      <w:r>
        <w:rPr>
          <w:noProof/>
        </w:rPr>
        <w:fldChar w:fldCharType="begin"/>
      </w:r>
      <w:r>
        <w:rPr>
          <w:noProof/>
        </w:rPr>
        <w:instrText xml:space="preserve"> PAGEREF _Toc6237983 \h </w:instrText>
      </w:r>
      <w:r>
        <w:rPr>
          <w:noProof/>
        </w:rPr>
      </w:r>
      <w:r>
        <w:rPr>
          <w:noProof/>
        </w:rPr>
        <w:fldChar w:fldCharType="separate"/>
      </w:r>
      <w:r w:rsidR="00EF2823">
        <w:rPr>
          <w:noProof/>
        </w:rPr>
        <w:t>30</w:t>
      </w:r>
      <w:r>
        <w:rPr>
          <w:noProof/>
        </w:rPr>
        <w:fldChar w:fldCharType="end"/>
      </w:r>
    </w:p>
    <w:p w14:paraId="518178ED" w14:textId="232D9E08" w:rsidR="00AD3544" w:rsidRDefault="00AD3544">
      <w:pPr>
        <w:pStyle w:val="TableofFigures"/>
        <w:rPr>
          <w:rFonts w:asciiTheme="minorHAnsi" w:hAnsiTheme="minorHAnsi" w:cstheme="minorBidi"/>
          <w:noProof/>
          <w:sz w:val="24"/>
          <w:szCs w:val="24"/>
          <w:lang w:eastAsia="en-US"/>
        </w:rPr>
      </w:pPr>
      <w:r w:rsidRPr="002D5394">
        <w:rPr>
          <w:b/>
          <w:caps/>
          <w:noProof/>
        </w:rPr>
        <w:t>Figure 14</w:t>
      </w:r>
      <w:r>
        <w:rPr>
          <w:noProof/>
        </w:rPr>
        <w:t xml:space="preserve"> WentWest Stepped </w:t>
      </w:r>
      <w:r w:rsidR="00C34200">
        <w:rPr>
          <w:noProof/>
        </w:rPr>
        <w:t>C</w:t>
      </w:r>
      <w:r>
        <w:rPr>
          <w:noProof/>
        </w:rPr>
        <w:t>are Service Model – Principles</w:t>
      </w:r>
      <w:r>
        <w:rPr>
          <w:noProof/>
        </w:rPr>
        <w:tab/>
      </w:r>
      <w:r>
        <w:rPr>
          <w:noProof/>
        </w:rPr>
        <w:fldChar w:fldCharType="begin"/>
      </w:r>
      <w:r>
        <w:rPr>
          <w:noProof/>
        </w:rPr>
        <w:instrText xml:space="preserve"> PAGEREF _Toc6237984 \h </w:instrText>
      </w:r>
      <w:r>
        <w:rPr>
          <w:noProof/>
        </w:rPr>
      </w:r>
      <w:r>
        <w:rPr>
          <w:noProof/>
        </w:rPr>
        <w:fldChar w:fldCharType="separate"/>
      </w:r>
      <w:r w:rsidR="00EF2823">
        <w:rPr>
          <w:noProof/>
        </w:rPr>
        <w:t>31</w:t>
      </w:r>
      <w:r>
        <w:rPr>
          <w:noProof/>
        </w:rPr>
        <w:fldChar w:fldCharType="end"/>
      </w:r>
    </w:p>
    <w:p w14:paraId="6F090E23" w14:textId="22DE9D69" w:rsidR="00AD3544" w:rsidRDefault="00AD3544">
      <w:pPr>
        <w:pStyle w:val="TableofFigures"/>
        <w:rPr>
          <w:rFonts w:asciiTheme="minorHAnsi" w:hAnsiTheme="minorHAnsi" w:cstheme="minorBidi"/>
          <w:noProof/>
          <w:sz w:val="24"/>
          <w:szCs w:val="24"/>
          <w:lang w:eastAsia="en-US"/>
        </w:rPr>
      </w:pPr>
      <w:r w:rsidRPr="002D5394">
        <w:rPr>
          <w:b/>
          <w:caps/>
          <w:noProof/>
        </w:rPr>
        <w:t>Figure 15</w:t>
      </w:r>
      <w:r>
        <w:rPr>
          <w:noProof/>
        </w:rPr>
        <w:t xml:space="preserve"> WentWest Stepped Care Model – </w:t>
      </w:r>
      <w:r w:rsidR="00C34200">
        <w:rPr>
          <w:noProof/>
        </w:rPr>
        <w:t>C</w:t>
      </w:r>
      <w:r>
        <w:rPr>
          <w:noProof/>
        </w:rPr>
        <w:t xml:space="preserve">haracteristics of </w:t>
      </w:r>
      <w:r w:rsidR="00C34200">
        <w:rPr>
          <w:noProof/>
        </w:rPr>
        <w:t>S</w:t>
      </w:r>
      <w:r>
        <w:rPr>
          <w:noProof/>
        </w:rPr>
        <w:t xml:space="preserve">ervice </w:t>
      </w:r>
      <w:r w:rsidR="00C34200">
        <w:rPr>
          <w:noProof/>
        </w:rPr>
        <w:t>L</w:t>
      </w:r>
      <w:r>
        <w:rPr>
          <w:noProof/>
        </w:rPr>
        <w:t>evels</w:t>
      </w:r>
      <w:r>
        <w:rPr>
          <w:noProof/>
        </w:rPr>
        <w:tab/>
      </w:r>
      <w:r>
        <w:rPr>
          <w:noProof/>
        </w:rPr>
        <w:fldChar w:fldCharType="begin"/>
      </w:r>
      <w:r>
        <w:rPr>
          <w:noProof/>
        </w:rPr>
        <w:instrText xml:space="preserve"> PAGEREF _Toc6237985 \h </w:instrText>
      </w:r>
      <w:r>
        <w:rPr>
          <w:noProof/>
        </w:rPr>
      </w:r>
      <w:r>
        <w:rPr>
          <w:noProof/>
        </w:rPr>
        <w:fldChar w:fldCharType="separate"/>
      </w:r>
      <w:r w:rsidR="00EF2823">
        <w:rPr>
          <w:noProof/>
        </w:rPr>
        <w:t>31</w:t>
      </w:r>
      <w:r>
        <w:rPr>
          <w:noProof/>
        </w:rPr>
        <w:fldChar w:fldCharType="end"/>
      </w:r>
    </w:p>
    <w:p w14:paraId="49704016" w14:textId="5BEE1CC5" w:rsidR="00AD3544" w:rsidRDefault="00AD3544">
      <w:pPr>
        <w:pStyle w:val="TableofFigures"/>
        <w:rPr>
          <w:rFonts w:asciiTheme="minorHAnsi" w:hAnsiTheme="minorHAnsi" w:cstheme="minorBidi"/>
          <w:noProof/>
          <w:sz w:val="24"/>
          <w:szCs w:val="24"/>
          <w:lang w:eastAsia="en-US"/>
        </w:rPr>
      </w:pPr>
      <w:r w:rsidRPr="002D5394">
        <w:rPr>
          <w:b/>
          <w:caps/>
          <w:noProof/>
        </w:rPr>
        <w:t>Figure 16</w:t>
      </w:r>
      <w:r>
        <w:rPr>
          <w:noProof/>
        </w:rPr>
        <w:t xml:space="preserve"> – WentWest Stepped Care Model – Determining Need</w:t>
      </w:r>
      <w:r>
        <w:rPr>
          <w:noProof/>
        </w:rPr>
        <w:tab/>
      </w:r>
      <w:r>
        <w:rPr>
          <w:noProof/>
        </w:rPr>
        <w:fldChar w:fldCharType="begin"/>
      </w:r>
      <w:r>
        <w:rPr>
          <w:noProof/>
        </w:rPr>
        <w:instrText xml:space="preserve"> PAGEREF _Toc6237986 \h </w:instrText>
      </w:r>
      <w:r>
        <w:rPr>
          <w:noProof/>
        </w:rPr>
      </w:r>
      <w:r>
        <w:rPr>
          <w:noProof/>
        </w:rPr>
        <w:fldChar w:fldCharType="separate"/>
      </w:r>
      <w:r w:rsidR="00EF2823">
        <w:rPr>
          <w:noProof/>
        </w:rPr>
        <w:t>32</w:t>
      </w:r>
      <w:r>
        <w:rPr>
          <w:noProof/>
        </w:rPr>
        <w:fldChar w:fldCharType="end"/>
      </w:r>
    </w:p>
    <w:p w14:paraId="1F999AA7" w14:textId="2343038A" w:rsidR="00AD3544" w:rsidRDefault="00AD3544" w:rsidP="00AD3544">
      <w:pPr>
        <w:pStyle w:val="TableofFigures"/>
        <w:rPr>
          <w:rFonts w:asciiTheme="minorHAnsi" w:hAnsiTheme="minorHAnsi" w:cstheme="minorBidi"/>
          <w:noProof/>
          <w:sz w:val="24"/>
          <w:szCs w:val="24"/>
          <w:lang w:eastAsia="en-US"/>
        </w:rPr>
      </w:pPr>
      <w:r w:rsidRPr="002D5394">
        <w:rPr>
          <w:b/>
          <w:caps/>
          <w:noProof/>
        </w:rPr>
        <w:t>Figure 17</w:t>
      </w:r>
      <w:r>
        <w:rPr>
          <w:noProof/>
        </w:rPr>
        <w:t xml:space="preserve"> The Mental Health of Australians</w:t>
      </w:r>
      <w:r>
        <w:rPr>
          <w:noProof/>
        </w:rPr>
        <w:tab/>
      </w:r>
      <w:r>
        <w:rPr>
          <w:noProof/>
        </w:rPr>
        <w:fldChar w:fldCharType="begin"/>
      </w:r>
      <w:r>
        <w:rPr>
          <w:noProof/>
        </w:rPr>
        <w:instrText xml:space="preserve"> PAGEREF _Toc6237987 \h </w:instrText>
      </w:r>
      <w:r>
        <w:rPr>
          <w:noProof/>
        </w:rPr>
      </w:r>
      <w:r>
        <w:rPr>
          <w:noProof/>
        </w:rPr>
        <w:fldChar w:fldCharType="separate"/>
      </w:r>
      <w:r w:rsidR="00EF2823">
        <w:rPr>
          <w:noProof/>
        </w:rPr>
        <w:t>41</w:t>
      </w:r>
      <w:r>
        <w:rPr>
          <w:noProof/>
        </w:rPr>
        <w:fldChar w:fldCharType="end"/>
      </w:r>
    </w:p>
    <w:p w14:paraId="62CECDB6" w14:textId="5067CB61" w:rsidR="00AD3544" w:rsidRDefault="00AD3544">
      <w:pPr>
        <w:pStyle w:val="TableofFigures"/>
        <w:rPr>
          <w:rFonts w:asciiTheme="minorHAnsi" w:hAnsiTheme="minorHAnsi" w:cstheme="minorBidi"/>
          <w:noProof/>
          <w:sz w:val="24"/>
          <w:szCs w:val="24"/>
          <w:lang w:eastAsia="en-US"/>
        </w:rPr>
      </w:pPr>
      <w:r w:rsidRPr="002D5394">
        <w:rPr>
          <w:b/>
          <w:caps/>
          <w:noProof/>
        </w:rPr>
        <w:t>Figure 18</w:t>
      </w:r>
      <w:r>
        <w:rPr>
          <w:noProof/>
        </w:rPr>
        <w:t xml:space="preserve"> Suicide in Australia, 2017</w:t>
      </w:r>
      <w:r>
        <w:rPr>
          <w:noProof/>
        </w:rPr>
        <w:tab/>
      </w:r>
      <w:r>
        <w:rPr>
          <w:noProof/>
        </w:rPr>
        <w:fldChar w:fldCharType="begin"/>
      </w:r>
      <w:r>
        <w:rPr>
          <w:noProof/>
        </w:rPr>
        <w:instrText xml:space="preserve"> PAGEREF _Toc6237989 \h </w:instrText>
      </w:r>
      <w:r>
        <w:rPr>
          <w:noProof/>
        </w:rPr>
      </w:r>
      <w:r>
        <w:rPr>
          <w:noProof/>
        </w:rPr>
        <w:fldChar w:fldCharType="separate"/>
      </w:r>
      <w:r w:rsidR="00EF2823">
        <w:rPr>
          <w:noProof/>
        </w:rPr>
        <w:t>42</w:t>
      </w:r>
      <w:r>
        <w:rPr>
          <w:noProof/>
        </w:rPr>
        <w:fldChar w:fldCharType="end"/>
      </w:r>
    </w:p>
    <w:p w14:paraId="32B69F2D" w14:textId="3B31F507" w:rsidR="00AD3544" w:rsidRDefault="00AD3544">
      <w:pPr>
        <w:pStyle w:val="TableofFigures"/>
        <w:rPr>
          <w:rFonts w:asciiTheme="minorHAnsi" w:hAnsiTheme="minorHAnsi" w:cstheme="minorBidi"/>
          <w:noProof/>
          <w:sz w:val="24"/>
          <w:szCs w:val="24"/>
          <w:lang w:eastAsia="en-US"/>
        </w:rPr>
      </w:pPr>
      <w:r w:rsidRPr="002D5394">
        <w:rPr>
          <w:b/>
          <w:caps/>
          <w:noProof/>
        </w:rPr>
        <w:t>Figure 19</w:t>
      </w:r>
      <w:r>
        <w:rPr>
          <w:noProof/>
        </w:rPr>
        <w:t xml:space="preserve"> Aboriginal and Torres Strait Islander Suicide, 2012-2016</w:t>
      </w:r>
      <w:r>
        <w:rPr>
          <w:noProof/>
        </w:rPr>
        <w:tab/>
      </w:r>
      <w:r>
        <w:rPr>
          <w:noProof/>
        </w:rPr>
        <w:fldChar w:fldCharType="begin"/>
      </w:r>
      <w:r>
        <w:rPr>
          <w:noProof/>
        </w:rPr>
        <w:instrText xml:space="preserve"> PAGEREF _Toc6237990 \h </w:instrText>
      </w:r>
      <w:r>
        <w:rPr>
          <w:noProof/>
        </w:rPr>
      </w:r>
      <w:r>
        <w:rPr>
          <w:noProof/>
        </w:rPr>
        <w:fldChar w:fldCharType="separate"/>
      </w:r>
      <w:r w:rsidR="00EF2823">
        <w:rPr>
          <w:noProof/>
        </w:rPr>
        <w:t>42</w:t>
      </w:r>
      <w:r>
        <w:rPr>
          <w:noProof/>
        </w:rPr>
        <w:fldChar w:fldCharType="end"/>
      </w:r>
    </w:p>
    <w:p w14:paraId="230555F2" w14:textId="22C3162D" w:rsidR="00AD3544" w:rsidRDefault="00AD3544">
      <w:pPr>
        <w:pStyle w:val="TableofFigures"/>
        <w:rPr>
          <w:rFonts w:asciiTheme="minorHAnsi" w:hAnsiTheme="minorHAnsi" w:cstheme="minorBidi"/>
          <w:noProof/>
          <w:sz w:val="24"/>
          <w:szCs w:val="24"/>
          <w:lang w:eastAsia="en-US"/>
        </w:rPr>
      </w:pPr>
      <w:r w:rsidRPr="002D5394">
        <w:rPr>
          <w:b/>
          <w:caps/>
          <w:noProof/>
        </w:rPr>
        <w:t>Figure 20</w:t>
      </w:r>
      <w:r>
        <w:rPr>
          <w:noProof/>
        </w:rPr>
        <w:t xml:space="preserve"> Integrated Atlases of Mental Health &amp; Chronic Care in Australia</w:t>
      </w:r>
      <w:r>
        <w:rPr>
          <w:noProof/>
        </w:rPr>
        <w:tab/>
      </w:r>
      <w:r>
        <w:rPr>
          <w:noProof/>
        </w:rPr>
        <w:fldChar w:fldCharType="begin"/>
      </w:r>
      <w:r>
        <w:rPr>
          <w:noProof/>
        </w:rPr>
        <w:instrText xml:space="preserve"> PAGEREF _Toc6237991 \h </w:instrText>
      </w:r>
      <w:r>
        <w:rPr>
          <w:noProof/>
        </w:rPr>
      </w:r>
      <w:r>
        <w:rPr>
          <w:noProof/>
        </w:rPr>
        <w:fldChar w:fldCharType="separate"/>
      </w:r>
      <w:r w:rsidR="00EF2823">
        <w:rPr>
          <w:noProof/>
        </w:rPr>
        <w:t>45</w:t>
      </w:r>
      <w:r>
        <w:rPr>
          <w:noProof/>
        </w:rPr>
        <w:fldChar w:fldCharType="end"/>
      </w:r>
    </w:p>
    <w:p w14:paraId="1EBEDB2A" w14:textId="14FBCED2" w:rsidR="00AD3544" w:rsidRDefault="00AD3544">
      <w:pPr>
        <w:pStyle w:val="TableofFigures"/>
        <w:rPr>
          <w:rFonts w:asciiTheme="minorHAnsi" w:hAnsiTheme="minorHAnsi" w:cstheme="minorBidi"/>
          <w:noProof/>
          <w:sz w:val="24"/>
          <w:szCs w:val="24"/>
          <w:lang w:eastAsia="en-US"/>
        </w:rPr>
      </w:pPr>
      <w:r w:rsidRPr="002D5394">
        <w:rPr>
          <w:b/>
          <w:caps/>
          <w:noProof/>
        </w:rPr>
        <w:t>Figure 21</w:t>
      </w:r>
      <w:r>
        <w:rPr>
          <w:noProof/>
        </w:rPr>
        <w:t xml:space="preserve"> Long Term Care Mapping Tree</w:t>
      </w:r>
      <w:r>
        <w:rPr>
          <w:noProof/>
        </w:rPr>
        <w:tab/>
      </w:r>
      <w:r>
        <w:rPr>
          <w:noProof/>
        </w:rPr>
        <w:fldChar w:fldCharType="begin"/>
      </w:r>
      <w:r>
        <w:rPr>
          <w:noProof/>
        </w:rPr>
        <w:instrText xml:space="preserve"> PAGEREF _Toc6237992 \h </w:instrText>
      </w:r>
      <w:r>
        <w:rPr>
          <w:noProof/>
        </w:rPr>
      </w:r>
      <w:r>
        <w:rPr>
          <w:noProof/>
        </w:rPr>
        <w:fldChar w:fldCharType="separate"/>
      </w:r>
      <w:r w:rsidR="00EF2823">
        <w:rPr>
          <w:noProof/>
        </w:rPr>
        <w:t>64</w:t>
      </w:r>
      <w:r>
        <w:rPr>
          <w:noProof/>
        </w:rPr>
        <w:fldChar w:fldCharType="end"/>
      </w:r>
    </w:p>
    <w:p w14:paraId="1AEAA138" w14:textId="1D8A750C" w:rsidR="00AD3544" w:rsidRDefault="00AD3544">
      <w:pPr>
        <w:pStyle w:val="TableofFigures"/>
        <w:rPr>
          <w:rFonts w:asciiTheme="minorHAnsi" w:hAnsiTheme="minorHAnsi" w:cstheme="minorBidi"/>
          <w:noProof/>
          <w:sz w:val="24"/>
          <w:szCs w:val="24"/>
          <w:lang w:eastAsia="en-US"/>
        </w:rPr>
      </w:pPr>
      <w:r w:rsidRPr="002D5394">
        <w:rPr>
          <w:b/>
          <w:caps/>
          <w:noProof/>
        </w:rPr>
        <w:t>Figure 22</w:t>
      </w:r>
      <w:r>
        <w:rPr>
          <w:noProof/>
        </w:rPr>
        <w:t xml:space="preserve"> Integrated Mental Health and AOD Atlas Development Process</w:t>
      </w:r>
      <w:r>
        <w:rPr>
          <w:noProof/>
        </w:rPr>
        <w:tab/>
      </w:r>
      <w:r>
        <w:rPr>
          <w:noProof/>
        </w:rPr>
        <w:fldChar w:fldCharType="begin"/>
      </w:r>
      <w:r>
        <w:rPr>
          <w:noProof/>
        </w:rPr>
        <w:instrText xml:space="preserve"> PAGEREF _Toc6237993 \h </w:instrText>
      </w:r>
      <w:r>
        <w:rPr>
          <w:noProof/>
        </w:rPr>
      </w:r>
      <w:r>
        <w:rPr>
          <w:noProof/>
        </w:rPr>
        <w:fldChar w:fldCharType="separate"/>
      </w:r>
      <w:r w:rsidR="00EF2823">
        <w:rPr>
          <w:noProof/>
        </w:rPr>
        <w:t>64</w:t>
      </w:r>
      <w:r>
        <w:rPr>
          <w:noProof/>
        </w:rPr>
        <w:fldChar w:fldCharType="end"/>
      </w:r>
    </w:p>
    <w:p w14:paraId="4A4441DD" w14:textId="28411ACF" w:rsidR="0042618E" w:rsidRPr="00AF7228" w:rsidRDefault="0042618E" w:rsidP="0042618E">
      <w:pPr>
        <w:pStyle w:val="BodyText"/>
      </w:pPr>
      <w:r w:rsidRPr="00AF7228">
        <w:fldChar w:fldCharType="end"/>
      </w:r>
    </w:p>
    <w:p w14:paraId="6497D9EF" w14:textId="77777777" w:rsidR="0043541F" w:rsidRPr="00AF7228" w:rsidRDefault="0043541F">
      <w:pPr>
        <w:spacing w:before="0" w:after="0"/>
      </w:pPr>
      <w:r w:rsidRPr="00AF7228">
        <w:br w:type="page"/>
      </w:r>
    </w:p>
    <w:p w14:paraId="04D2D256" w14:textId="1A743035" w:rsidR="004C1017" w:rsidRPr="00AF7228" w:rsidRDefault="004C1017" w:rsidP="009B66E5">
      <w:pPr>
        <w:pStyle w:val="Title"/>
        <w:rPr>
          <w:color w:val="003D69"/>
        </w:rPr>
      </w:pPr>
      <w:r w:rsidRPr="00AF7228">
        <w:rPr>
          <w:color w:val="003D69"/>
        </w:rPr>
        <w:lastRenderedPageBreak/>
        <w:t>Abbreviations</w:t>
      </w:r>
    </w:p>
    <w:tbl>
      <w:tblPr>
        <w:tblStyle w:val="ConNetica"/>
        <w:tblW w:w="0" w:type="auto"/>
        <w:jc w:val="center"/>
        <w:tblBorders>
          <w:top w:val="none" w:sz="0" w:space="0" w:color="auto"/>
          <w:bottom w:val="none" w:sz="0" w:space="0" w:color="auto"/>
          <w:insideH w:val="none" w:sz="0" w:space="0" w:color="auto"/>
          <w:insideV w:val="none" w:sz="0" w:space="0" w:color="auto"/>
        </w:tblBorders>
        <w:tblLook w:val="04A0" w:firstRow="1" w:lastRow="0" w:firstColumn="1" w:lastColumn="0" w:noHBand="0" w:noVBand="1"/>
      </w:tblPr>
      <w:tblGrid>
        <w:gridCol w:w="1701"/>
        <w:gridCol w:w="6804"/>
      </w:tblGrid>
      <w:tr w:rsidR="004C1017" w:rsidRPr="00AF7228" w14:paraId="4766E0FF" w14:textId="77777777" w:rsidTr="00AD354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1" w:type="dxa"/>
            <w:tcBorders>
              <w:right w:val="none" w:sz="0" w:space="0" w:color="auto"/>
            </w:tcBorders>
            <w:shd w:val="clear" w:color="auto" w:fill="003D69"/>
          </w:tcPr>
          <w:p w14:paraId="26DBDB7A" w14:textId="77777777" w:rsidR="004C1017" w:rsidRPr="00AF7228" w:rsidRDefault="004C1017" w:rsidP="008B24A5">
            <w:pPr>
              <w:pStyle w:val="TableHeading"/>
              <w:spacing w:after="40" w:line="280" w:lineRule="exact"/>
              <w:rPr>
                <w:sz w:val="20"/>
              </w:rPr>
            </w:pPr>
            <w:r w:rsidRPr="00AF7228">
              <w:rPr>
                <w:sz w:val="20"/>
              </w:rPr>
              <w:t>Abbreviation</w:t>
            </w:r>
          </w:p>
        </w:tc>
        <w:tc>
          <w:tcPr>
            <w:tcW w:w="6804" w:type="dxa"/>
            <w:tcBorders>
              <w:left w:val="none" w:sz="0" w:space="0" w:color="auto"/>
            </w:tcBorders>
            <w:shd w:val="clear" w:color="auto" w:fill="003D69"/>
          </w:tcPr>
          <w:p w14:paraId="5B7F8D91" w14:textId="77777777" w:rsidR="004C1017" w:rsidRPr="00AF7228" w:rsidRDefault="004C1017" w:rsidP="008B24A5">
            <w:pPr>
              <w:pStyle w:val="TableHeading"/>
              <w:spacing w:after="40" w:line="280" w:lineRule="exact"/>
              <w:cnfStyle w:val="100000000000" w:firstRow="1" w:lastRow="0" w:firstColumn="0" w:lastColumn="0" w:oddVBand="0" w:evenVBand="0" w:oddHBand="0" w:evenHBand="0" w:firstRowFirstColumn="0" w:firstRowLastColumn="0" w:lastRowFirstColumn="0" w:lastRowLastColumn="0"/>
              <w:rPr>
                <w:sz w:val="20"/>
              </w:rPr>
            </w:pPr>
            <w:r w:rsidRPr="00AF7228">
              <w:rPr>
                <w:sz w:val="20"/>
              </w:rPr>
              <w:t>Definition</w:t>
            </w:r>
          </w:p>
        </w:tc>
      </w:tr>
      <w:tr w:rsidR="00071754" w:rsidRPr="00AF7228" w14:paraId="0AF1FCBE" w14:textId="77777777" w:rsidTr="00AD3544">
        <w:trPr>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vAlign w:val="center"/>
          </w:tcPr>
          <w:p w14:paraId="194196F7" w14:textId="0079C95D" w:rsidR="00071754" w:rsidRPr="00AF7228" w:rsidRDefault="00071754" w:rsidP="00117D83">
            <w:pPr>
              <w:pStyle w:val="TableText"/>
            </w:pPr>
            <w:r w:rsidRPr="00AF7228">
              <w:t>AIHW</w:t>
            </w:r>
          </w:p>
        </w:tc>
        <w:tc>
          <w:tcPr>
            <w:tcW w:w="6804" w:type="dxa"/>
            <w:vAlign w:val="center"/>
          </w:tcPr>
          <w:p w14:paraId="04494BEA" w14:textId="5B2E9B12" w:rsidR="00071754" w:rsidRPr="00AF7228" w:rsidRDefault="00071754" w:rsidP="00117D83">
            <w:pPr>
              <w:pStyle w:val="TableText"/>
              <w:cnfStyle w:val="000000000000" w:firstRow="0" w:lastRow="0" w:firstColumn="0" w:lastColumn="0" w:oddVBand="0" w:evenVBand="0" w:oddHBand="0" w:evenHBand="0" w:firstRowFirstColumn="0" w:firstRowLastColumn="0" w:lastRowFirstColumn="0" w:lastRowLastColumn="0"/>
            </w:pPr>
            <w:r w:rsidRPr="00AF7228">
              <w:t>Australian Institute of Health and Welfare</w:t>
            </w:r>
          </w:p>
        </w:tc>
      </w:tr>
      <w:tr w:rsidR="004C1017" w:rsidRPr="00AF7228" w14:paraId="790BD3E5" w14:textId="77777777" w:rsidTr="00AD3544">
        <w:trPr>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vAlign w:val="center"/>
          </w:tcPr>
          <w:p w14:paraId="50D27100" w14:textId="6D4D8D17" w:rsidR="004C1017" w:rsidRPr="00AF7228" w:rsidRDefault="003176DA" w:rsidP="00117D83">
            <w:pPr>
              <w:pStyle w:val="TableText"/>
            </w:pPr>
            <w:r w:rsidRPr="00AF7228">
              <w:t>ABS</w:t>
            </w:r>
          </w:p>
        </w:tc>
        <w:tc>
          <w:tcPr>
            <w:tcW w:w="6804" w:type="dxa"/>
            <w:vAlign w:val="center"/>
          </w:tcPr>
          <w:p w14:paraId="3445E917" w14:textId="22048570" w:rsidR="004C1017" w:rsidRPr="00AF7228" w:rsidRDefault="00071754" w:rsidP="00117D83">
            <w:pPr>
              <w:pStyle w:val="TableText"/>
              <w:cnfStyle w:val="000000000000" w:firstRow="0" w:lastRow="0" w:firstColumn="0" w:lastColumn="0" w:oddVBand="0" w:evenVBand="0" w:oddHBand="0" w:evenHBand="0" w:firstRowFirstColumn="0" w:firstRowLastColumn="0" w:lastRowFirstColumn="0" w:lastRowLastColumn="0"/>
            </w:pPr>
            <w:r w:rsidRPr="00AF7228">
              <w:t>Australian B</w:t>
            </w:r>
            <w:r w:rsidR="003176DA" w:rsidRPr="00AF7228">
              <w:t>ure</w:t>
            </w:r>
            <w:r w:rsidRPr="00AF7228">
              <w:t>a</w:t>
            </w:r>
            <w:r w:rsidR="003176DA" w:rsidRPr="00AF7228">
              <w:t>u of Statistics</w:t>
            </w:r>
          </w:p>
        </w:tc>
      </w:tr>
      <w:tr w:rsidR="0028348E" w:rsidRPr="00AF7228" w14:paraId="5D011AEC" w14:textId="77777777" w:rsidTr="00AD3544">
        <w:trPr>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vAlign w:val="center"/>
          </w:tcPr>
          <w:p w14:paraId="2FF1A05F" w14:textId="2886ACBD" w:rsidR="0028348E" w:rsidRPr="00AF7228" w:rsidRDefault="0028348E" w:rsidP="00117D83">
            <w:pPr>
              <w:pStyle w:val="TableText"/>
            </w:pPr>
            <w:r w:rsidRPr="00AF7228">
              <w:t>AOD</w:t>
            </w:r>
          </w:p>
        </w:tc>
        <w:tc>
          <w:tcPr>
            <w:tcW w:w="6804" w:type="dxa"/>
            <w:vAlign w:val="center"/>
          </w:tcPr>
          <w:p w14:paraId="63A21B60" w14:textId="1B4EB7CC" w:rsidR="00AD3544" w:rsidRPr="00AF7228" w:rsidRDefault="0028348E" w:rsidP="00117D83">
            <w:pPr>
              <w:pStyle w:val="TableText"/>
              <w:cnfStyle w:val="000000000000" w:firstRow="0" w:lastRow="0" w:firstColumn="0" w:lastColumn="0" w:oddVBand="0" w:evenVBand="0" w:oddHBand="0" w:evenHBand="0" w:firstRowFirstColumn="0" w:firstRowLastColumn="0" w:lastRowFirstColumn="0" w:lastRowLastColumn="0"/>
            </w:pPr>
            <w:r w:rsidRPr="00AF7228">
              <w:t>Alcohol and Other Drugs</w:t>
            </w:r>
          </w:p>
        </w:tc>
      </w:tr>
      <w:tr w:rsidR="00AD3544" w:rsidRPr="00AF7228" w14:paraId="1E97A05D" w14:textId="77777777" w:rsidTr="00AD3544">
        <w:trPr>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vAlign w:val="center"/>
          </w:tcPr>
          <w:p w14:paraId="175D347F" w14:textId="1484DB3F" w:rsidR="00AD3544" w:rsidRPr="00AF7228" w:rsidRDefault="00AD3544" w:rsidP="00117D83">
            <w:pPr>
              <w:pStyle w:val="TableText"/>
            </w:pPr>
            <w:r>
              <w:t>ASR</w:t>
            </w:r>
          </w:p>
        </w:tc>
        <w:tc>
          <w:tcPr>
            <w:tcW w:w="6804" w:type="dxa"/>
            <w:vAlign w:val="center"/>
          </w:tcPr>
          <w:p w14:paraId="6DB39CEA" w14:textId="760CDC16" w:rsidR="00AD3544" w:rsidRPr="00AF7228" w:rsidRDefault="00AD3544" w:rsidP="00117D83">
            <w:pPr>
              <w:pStyle w:val="TableText"/>
              <w:cnfStyle w:val="000000000000" w:firstRow="0" w:lastRow="0" w:firstColumn="0" w:lastColumn="0" w:oddVBand="0" w:evenVBand="0" w:oddHBand="0" w:evenHBand="0" w:firstRowFirstColumn="0" w:firstRowLastColumn="0" w:lastRowFirstColumn="0" w:lastRowLastColumn="0"/>
            </w:pPr>
            <w:r w:rsidRPr="00AF7228">
              <w:t>Age Standardised Rate</w:t>
            </w:r>
          </w:p>
        </w:tc>
      </w:tr>
      <w:tr w:rsidR="004C1017" w:rsidRPr="00AF7228" w14:paraId="2282622B" w14:textId="77777777" w:rsidTr="00AD3544">
        <w:trPr>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vAlign w:val="center"/>
          </w:tcPr>
          <w:p w14:paraId="55CCEF67" w14:textId="23400500" w:rsidR="004C1017" w:rsidRPr="00AF7228" w:rsidRDefault="003176DA" w:rsidP="00117D83">
            <w:pPr>
              <w:pStyle w:val="TableText"/>
            </w:pPr>
            <w:r w:rsidRPr="00AF7228">
              <w:t>ATAPS</w:t>
            </w:r>
          </w:p>
        </w:tc>
        <w:tc>
          <w:tcPr>
            <w:tcW w:w="6804" w:type="dxa"/>
            <w:vAlign w:val="center"/>
          </w:tcPr>
          <w:p w14:paraId="32091BF5" w14:textId="73060B83" w:rsidR="004C1017" w:rsidRPr="00AF7228" w:rsidRDefault="003176DA" w:rsidP="00117D83">
            <w:pPr>
              <w:pStyle w:val="TableText"/>
              <w:cnfStyle w:val="000000000000" w:firstRow="0" w:lastRow="0" w:firstColumn="0" w:lastColumn="0" w:oddVBand="0" w:evenVBand="0" w:oddHBand="0" w:evenHBand="0" w:firstRowFirstColumn="0" w:firstRowLastColumn="0" w:lastRowFirstColumn="0" w:lastRowLastColumn="0"/>
            </w:pPr>
            <w:r w:rsidRPr="00AF7228">
              <w:t>Access to Allied Psychological Services</w:t>
            </w:r>
          </w:p>
        </w:tc>
      </w:tr>
      <w:tr w:rsidR="00AD3544" w:rsidRPr="00AF7228" w14:paraId="6D3941DE" w14:textId="77777777" w:rsidTr="00AD3544">
        <w:trPr>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vAlign w:val="center"/>
          </w:tcPr>
          <w:p w14:paraId="0CF6EA02" w14:textId="44D8C849" w:rsidR="00AD3544" w:rsidRPr="00AF7228" w:rsidRDefault="00AD3544" w:rsidP="00117D83">
            <w:pPr>
              <w:pStyle w:val="TableText"/>
            </w:pPr>
            <w:r>
              <w:t>AUD</w:t>
            </w:r>
          </w:p>
        </w:tc>
        <w:tc>
          <w:tcPr>
            <w:tcW w:w="6804" w:type="dxa"/>
            <w:vAlign w:val="center"/>
          </w:tcPr>
          <w:p w14:paraId="777C0E30" w14:textId="2341FC77" w:rsidR="00AD3544" w:rsidRPr="00AF7228" w:rsidRDefault="00AD3544" w:rsidP="00117D83">
            <w:pPr>
              <w:pStyle w:val="TableText"/>
              <w:cnfStyle w:val="000000000000" w:firstRow="0" w:lastRow="0" w:firstColumn="0" w:lastColumn="0" w:oddVBand="0" w:evenVBand="0" w:oddHBand="0" w:evenHBand="0" w:firstRowFirstColumn="0" w:firstRowLastColumn="0" w:lastRowFirstColumn="0" w:lastRowLastColumn="0"/>
            </w:pPr>
            <w:r>
              <w:t>Australian dollars</w:t>
            </w:r>
          </w:p>
        </w:tc>
      </w:tr>
      <w:tr w:rsidR="00117D83" w:rsidRPr="00AF7228" w14:paraId="13AE267D" w14:textId="77777777" w:rsidTr="00AD3544">
        <w:trPr>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vAlign w:val="center"/>
          </w:tcPr>
          <w:p w14:paraId="6204C9BE" w14:textId="0F06E1AC" w:rsidR="00117D83" w:rsidRPr="00AF7228" w:rsidRDefault="00117D83" w:rsidP="00117D83">
            <w:pPr>
              <w:pStyle w:val="TableText"/>
            </w:pPr>
            <w:r w:rsidRPr="00AF7228">
              <w:t>COAG</w:t>
            </w:r>
          </w:p>
        </w:tc>
        <w:tc>
          <w:tcPr>
            <w:tcW w:w="6804" w:type="dxa"/>
            <w:vAlign w:val="center"/>
          </w:tcPr>
          <w:p w14:paraId="6CBC6CFD" w14:textId="402CB266" w:rsidR="00117D83" w:rsidRPr="00AF7228" w:rsidRDefault="00117D83" w:rsidP="00117D83">
            <w:pPr>
              <w:pStyle w:val="TableText"/>
              <w:cnfStyle w:val="000000000000" w:firstRow="0" w:lastRow="0" w:firstColumn="0" w:lastColumn="0" w:oddVBand="0" w:evenVBand="0" w:oddHBand="0" w:evenHBand="0" w:firstRowFirstColumn="0" w:firstRowLastColumn="0" w:lastRowFirstColumn="0" w:lastRowLastColumn="0"/>
            </w:pPr>
            <w:r w:rsidRPr="00AF7228">
              <w:rPr>
                <w:sz w:val="20"/>
              </w:rPr>
              <w:t>C</w:t>
            </w:r>
            <w:r w:rsidRPr="00AF7228">
              <w:t>ouncil of Australian Governments</w:t>
            </w:r>
          </w:p>
        </w:tc>
      </w:tr>
      <w:tr w:rsidR="00117D83" w:rsidRPr="00AF7228" w14:paraId="7B98A486" w14:textId="77777777" w:rsidTr="00AD3544">
        <w:trPr>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vAlign w:val="center"/>
          </w:tcPr>
          <w:p w14:paraId="22727003" w14:textId="18D26337" w:rsidR="00117D83" w:rsidRPr="00AF7228" w:rsidRDefault="00117D83" w:rsidP="00117D83">
            <w:pPr>
              <w:pStyle w:val="TableText"/>
            </w:pPr>
            <w:r w:rsidRPr="00AF7228">
              <w:t>COAG NAPMH</w:t>
            </w:r>
          </w:p>
        </w:tc>
        <w:tc>
          <w:tcPr>
            <w:tcW w:w="6804" w:type="dxa"/>
            <w:vAlign w:val="center"/>
          </w:tcPr>
          <w:p w14:paraId="1B3FD9F1" w14:textId="0C1A25AE" w:rsidR="00117D83" w:rsidRPr="00AF7228" w:rsidRDefault="00117D83" w:rsidP="00117D83">
            <w:pPr>
              <w:pStyle w:val="TableText"/>
              <w:cnfStyle w:val="000000000000" w:firstRow="0" w:lastRow="0" w:firstColumn="0" w:lastColumn="0" w:oddVBand="0" w:evenVBand="0" w:oddHBand="0" w:evenHBand="0" w:firstRowFirstColumn="0" w:firstRowLastColumn="0" w:lastRowFirstColumn="0" w:lastRowLastColumn="0"/>
            </w:pPr>
            <w:r w:rsidRPr="00AF7228">
              <w:t>COAG National Action Plan on Mental Health</w:t>
            </w:r>
          </w:p>
        </w:tc>
      </w:tr>
      <w:tr w:rsidR="00AD3544" w:rsidRPr="00AF7228" w14:paraId="242632E7" w14:textId="77777777" w:rsidTr="00AD3544">
        <w:trPr>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vAlign w:val="center"/>
          </w:tcPr>
          <w:p w14:paraId="2A06737B" w14:textId="74DC8E36" w:rsidR="00AD3544" w:rsidRPr="00AF7228" w:rsidRDefault="00AD3544" w:rsidP="00117D83">
            <w:pPr>
              <w:pStyle w:val="TableText"/>
            </w:pPr>
            <w:r>
              <w:t>DESDE-LTC</w:t>
            </w:r>
          </w:p>
        </w:tc>
        <w:tc>
          <w:tcPr>
            <w:tcW w:w="6804" w:type="dxa"/>
            <w:vAlign w:val="center"/>
          </w:tcPr>
          <w:p w14:paraId="5488EE2E" w14:textId="4C48AEA5" w:rsidR="00AD3544" w:rsidRPr="00AD3544" w:rsidRDefault="00AD3544" w:rsidP="00117D83">
            <w:pPr>
              <w:pStyle w:val="TableText"/>
              <w:cnfStyle w:val="000000000000" w:firstRow="0" w:lastRow="0" w:firstColumn="0" w:lastColumn="0" w:oddVBand="0" w:evenVBand="0" w:oddHBand="0" w:evenHBand="0" w:firstRowFirstColumn="0" w:firstRowLastColumn="0" w:lastRowFirstColumn="0" w:lastRowLastColumn="0"/>
            </w:pPr>
            <w:r w:rsidRPr="00AD3544">
              <w:t>Description and Evaluation of Services and Directories in Europe for long-term care</w:t>
            </w:r>
          </w:p>
        </w:tc>
      </w:tr>
      <w:tr w:rsidR="00030EAD" w:rsidRPr="00AF7228" w14:paraId="7142CEAB" w14:textId="77777777" w:rsidTr="00AD3544">
        <w:trPr>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vAlign w:val="center"/>
          </w:tcPr>
          <w:p w14:paraId="7EF0B498" w14:textId="2AFF62D8" w:rsidR="00030EAD" w:rsidRPr="00AF7228" w:rsidRDefault="00030EAD" w:rsidP="00117D83">
            <w:pPr>
              <w:pStyle w:val="TableText"/>
            </w:pPr>
            <w:r w:rsidRPr="00AF7228">
              <w:t>DoH</w:t>
            </w:r>
          </w:p>
        </w:tc>
        <w:tc>
          <w:tcPr>
            <w:tcW w:w="6804" w:type="dxa"/>
            <w:vAlign w:val="center"/>
          </w:tcPr>
          <w:p w14:paraId="734D22F4" w14:textId="40C95865" w:rsidR="00030EAD" w:rsidRPr="00AF7228" w:rsidRDefault="00030EAD" w:rsidP="00117D83">
            <w:pPr>
              <w:pStyle w:val="TableText"/>
              <w:cnfStyle w:val="000000000000" w:firstRow="0" w:lastRow="0" w:firstColumn="0" w:lastColumn="0" w:oddVBand="0" w:evenVBand="0" w:oddHBand="0" w:evenHBand="0" w:firstRowFirstColumn="0" w:firstRowLastColumn="0" w:lastRowFirstColumn="0" w:lastRowLastColumn="0"/>
            </w:pPr>
            <w:r w:rsidRPr="00AF7228">
              <w:t>Department of Health</w:t>
            </w:r>
          </w:p>
        </w:tc>
      </w:tr>
      <w:tr w:rsidR="00AD3544" w:rsidRPr="00AF7228" w14:paraId="6ED8A05E" w14:textId="77777777" w:rsidTr="00AD3544">
        <w:trPr>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vAlign w:val="center"/>
          </w:tcPr>
          <w:p w14:paraId="060514BC" w14:textId="52140F2F" w:rsidR="00AD3544" w:rsidRPr="00AF7228" w:rsidRDefault="00AD3544" w:rsidP="00117D83">
            <w:pPr>
              <w:pStyle w:val="TableText"/>
            </w:pPr>
            <w:r>
              <w:t>GP</w:t>
            </w:r>
          </w:p>
        </w:tc>
        <w:tc>
          <w:tcPr>
            <w:tcW w:w="6804" w:type="dxa"/>
            <w:vAlign w:val="center"/>
          </w:tcPr>
          <w:p w14:paraId="0BF91CF5" w14:textId="14A94715" w:rsidR="00AD3544" w:rsidRPr="00AF7228" w:rsidRDefault="00AD3544" w:rsidP="00117D83">
            <w:pPr>
              <w:pStyle w:val="TableText"/>
              <w:cnfStyle w:val="000000000000" w:firstRow="0" w:lastRow="0" w:firstColumn="0" w:lastColumn="0" w:oddVBand="0" w:evenVBand="0" w:oddHBand="0" w:evenHBand="0" w:firstRowFirstColumn="0" w:firstRowLastColumn="0" w:lastRowFirstColumn="0" w:lastRowLastColumn="0"/>
            </w:pPr>
            <w:r>
              <w:t>General Practitioner</w:t>
            </w:r>
          </w:p>
        </w:tc>
      </w:tr>
      <w:tr w:rsidR="00AD3544" w:rsidRPr="00AF7228" w14:paraId="2CF16944" w14:textId="77777777" w:rsidTr="00AD3544">
        <w:trPr>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vAlign w:val="center"/>
          </w:tcPr>
          <w:p w14:paraId="485B969C" w14:textId="4F8175E5" w:rsidR="00AD3544" w:rsidRPr="00AF7228" w:rsidRDefault="00AD3544" w:rsidP="00117D83">
            <w:pPr>
              <w:pStyle w:val="TableText"/>
            </w:pPr>
            <w:r>
              <w:t>HCH</w:t>
            </w:r>
          </w:p>
        </w:tc>
        <w:tc>
          <w:tcPr>
            <w:tcW w:w="6804" w:type="dxa"/>
            <w:vAlign w:val="center"/>
          </w:tcPr>
          <w:p w14:paraId="7CADA720" w14:textId="640706D9" w:rsidR="00AD3544" w:rsidRPr="00AF7228" w:rsidRDefault="00AD3544" w:rsidP="00117D83">
            <w:pPr>
              <w:pStyle w:val="TableText"/>
              <w:cnfStyle w:val="000000000000" w:firstRow="0" w:lastRow="0" w:firstColumn="0" w:lastColumn="0" w:oddVBand="0" w:evenVBand="0" w:oddHBand="0" w:evenHBand="0" w:firstRowFirstColumn="0" w:firstRowLastColumn="0" w:lastRowFirstColumn="0" w:lastRowLastColumn="0"/>
            </w:pPr>
            <w:r>
              <w:t>Health Care Homes</w:t>
            </w:r>
          </w:p>
        </w:tc>
      </w:tr>
      <w:tr w:rsidR="0028348E" w:rsidRPr="00AF7228" w14:paraId="5E4146CE" w14:textId="77777777" w:rsidTr="00AD3544">
        <w:trPr>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vAlign w:val="center"/>
          </w:tcPr>
          <w:p w14:paraId="31208058" w14:textId="4F2C5F1D" w:rsidR="0028348E" w:rsidRPr="00AF7228" w:rsidRDefault="0028348E" w:rsidP="00117D83">
            <w:pPr>
              <w:pStyle w:val="TableText"/>
            </w:pPr>
            <w:r w:rsidRPr="00AF7228">
              <w:t>IAMHWS</w:t>
            </w:r>
          </w:p>
        </w:tc>
        <w:tc>
          <w:tcPr>
            <w:tcW w:w="6804" w:type="dxa"/>
            <w:vAlign w:val="center"/>
          </w:tcPr>
          <w:p w14:paraId="46E870EE" w14:textId="1DFB32E3" w:rsidR="0028348E" w:rsidRPr="00AF7228" w:rsidRDefault="0028348E" w:rsidP="00117D83">
            <w:pPr>
              <w:pStyle w:val="TableText"/>
              <w:cnfStyle w:val="000000000000" w:firstRow="0" w:lastRow="0" w:firstColumn="0" w:lastColumn="0" w:oddVBand="0" w:evenVBand="0" w:oddHBand="0" w:evenHBand="0" w:firstRowFirstColumn="0" w:firstRowLastColumn="0" w:lastRowFirstColumn="0" w:lastRowLastColumn="0"/>
            </w:pPr>
            <w:r w:rsidRPr="00AF7228">
              <w:t>Integrated Atlas of Mental Health for Western Sydney</w:t>
            </w:r>
          </w:p>
        </w:tc>
      </w:tr>
      <w:tr w:rsidR="00AD3544" w:rsidRPr="00AF7228" w14:paraId="3AEAFCC8" w14:textId="77777777" w:rsidTr="00AD3544">
        <w:trPr>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vAlign w:val="center"/>
          </w:tcPr>
          <w:p w14:paraId="0E382FE8" w14:textId="40AE9138" w:rsidR="00AD3544" w:rsidRPr="00AF7228" w:rsidRDefault="00AD3544" w:rsidP="00117D83">
            <w:pPr>
              <w:pStyle w:val="TableText"/>
            </w:pPr>
            <w:r>
              <w:t>IRSD</w:t>
            </w:r>
          </w:p>
        </w:tc>
        <w:tc>
          <w:tcPr>
            <w:tcW w:w="6804" w:type="dxa"/>
            <w:vAlign w:val="center"/>
          </w:tcPr>
          <w:p w14:paraId="1C927DA6" w14:textId="701D6CE4" w:rsidR="00AD3544" w:rsidRPr="00AF7228" w:rsidRDefault="00AD3544" w:rsidP="00117D83">
            <w:pPr>
              <w:pStyle w:val="TableText"/>
              <w:cnfStyle w:val="000000000000" w:firstRow="0" w:lastRow="0" w:firstColumn="0" w:lastColumn="0" w:oddVBand="0" w:evenVBand="0" w:oddHBand="0" w:evenHBand="0" w:firstRowFirstColumn="0" w:firstRowLastColumn="0" w:lastRowFirstColumn="0" w:lastRowLastColumn="0"/>
            </w:pPr>
            <w:r w:rsidRPr="00AF7228">
              <w:t>Index of Relative Socio-Economic Disadvantage</w:t>
            </w:r>
          </w:p>
        </w:tc>
      </w:tr>
      <w:tr w:rsidR="00AD3544" w:rsidRPr="00AF7228" w14:paraId="27450D0C" w14:textId="77777777" w:rsidTr="00AD3544">
        <w:trPr>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vAlign w:val="center"/>
          </w:tcPr>
          <w:p w14:paraId="5AF7A41F" w14:textId="6B16B34F" w:rsidR="00AD3544" w:rsidRPr="00AF7228" w:rsidRDefault="00AD3544" w:rsidP="00117D83">
            <w:pPr>
              <w:pStyle w:val="TableText"/>
            </w:pPr>
            <w:r>
              <w:t>LGA</w:t>
            </w:r>
          </w:p>
        </w:tc>
        <w:tc>
          <w:tcPr>
            <w:tcW w:w="6804" w:type="dxa"/>
            <w:vAlign w:val="center"/>
          </w:tcPr>
          <w:p w14:paraId="69601CFD" w14:textId="60E9D1FC" w:rsidR="00AD3544" w:rsidRPr="00AF7228" w:rsidRDefault="00AD3544" w:rsidP="00117D83">
            <w:pPr>
              <w:pStyle w:val="TableText"/>
              <w:cnfStyle w:val="000000000000" w:firstRow="0" w:lastRow="0" w:firstColumn="0" w:lastColumn="0" w:oddVBand="0" w:evenVBand="0" w:oddHBand="0" w:evenHBand="0" w:firstRowFirstColumn="0" w:firstRowLastColumn="0" w:lastRowFirstColumn="0" w:lastRowLastColumn="0"/>
            </w:pPr>
            <w:r w:rsidRPr="00AF7228">
              <w:t>Local Government Areas</w:t>
            </w:r>
          </w:p>
        </w:tc>
      </w:tr>
      <w:tr w:rsidR="003359C4" w:rsidRPr="00AF7228" w14:paraId="44F0FFBE" w14:textId="77777777" w:rsidTr="00AD3544">
        <w:trPr>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vAlign w:val="center"/>
          </w:tcPr>
          <w:p w14:paraId="0F621ECB" w14:textId="6C8FFF27" w:rsidR="003359C4" w:rsidRPr="00AF7228" w:rsidRDefault="003359C4" w:rsidP="00117D83">
            <w:pPr>
              <w:pStyle w:val="TableText"/>
            </w:pPr>
            <w:r w:rsidRPr="00AF7228">
              <w:t>LHD</w:t>
            </w:r>
          </w:p>
        </w:tc>
        <w:tc>
          <w:tcPr>
            <w:tcW w:w="6804" w:type="dxa"/>
            <w:vAlign w:val="center"/>
          </w:tcPr>
          <w:p w14:paraId="4243FA95" w14:textId="6B3C60EB" w:rsidR="003359C4" w:rsidRPr="00AF7228" w:rsidRDefault="003359C4" w:rsidP="00117D83">
            <w:pPr>
              <w:pStyle w:val="TableText"/>
              <w:cnfStyle w:val="000000000000" w:firstRow="0" w:lastRow="0" w:firstColumn="0" w:lastColumn="0" w:oddVBand="0" w:evenVBand="0" w:oddHBand="0" w:evenHBand="0" w:firstRowFirstColumn="0" w:firstRowLastColumn="0" w:lastRowFirstColumn="0" w:lastRowLastColumn="0"/>
            </w:pPr>
            <w:r w:rsidRPr="00AF7228">
              <w:t>Local Health District</w:t>
            </w:r>
          </w:p>
        </w:tc>
      </w:tr>
      <w:tr w:rsidR="004C1017" w:rsidRPr="00AF7228" w14:paraId="62DF911A" w14:textId="77777777" w:rsidTr="00AD3544">
        <w:trPr>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vAlign w:val="center"/>
          </w:tcPr>
          <w:p w14:paraId="7EFCCF21" w14:textId="6A0C9422" w:rsidR="004C1017" w:rsidRPr="00AF7228" w:rsidRDefault="003176DA" w:rsidP="00117D83">
            <w:pPr>
              <w:pStyle w:val="TableText"/>
            </w:pPr>
            <w:r w:rsidRPr="00AF7228">
              <w:t>MBS</w:t>
            </w:r>
          </w:p>
        </w:tc>
        <w:tc>
          <w:tcPr>
            <w:tcW w:w="6804" w:type="dxa"/>
            <w:vAlign w:val="center"/>
          </w:tcPr>
          <w:p w14:paraId="43A31814" w14:textId="0FA9F47B" w:rsidR="004C1017" w:rsidRPr="00AF7228" w:rsidRDefault="003176DA" w:rsidP="00117D83">
            <w:pPr>
              <w:pStyle w:val="TableText"/>
              <w:cnfStyle w:val="000000000000" w:firstRow="0" w:lastRow="0" w:firstColumn="0" w:lastColumn="0" w:oddVBand="0" w:evenVBand="0" w:oddHBand="0" w:evenHBand="0" w:firstRowFirstColumn="0" w:firstRowLastColumn="0" w:lastRowFirstColumn="0" w:lastRowLastColumn="0"/>
            </w:pPr>
            <w:r w:rsidRPr="00AF7228">
              <w:t>Medicare Benefits Schedule</w:t>
            </w:r>
          </w:p>
        </w:tc>
      </w:tr>
      <w:tr w:rsidR="0028348E" w:rsidRPr="00AF7228" w14:paraId="11B008A0" w14:textId="77777777" w:rsidTr="00AD3544">
        <w:trPr>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vAlign w:val="center"/>
          </w:tcPr>
          <w:p w14:paraId="1962109B" w14:textId="67A99DDB" w:rsidR="0028348E" w:rsidRPr="00AF7228" w:rsidRDefault="0028348E" w:rsidP="00117D83">
            <w:pPr>
              <w:pStyle w:val="TableText"/>
            </w:pPr>
            <w:r w:rsidRPr="00AF7228">
              <w:t>MHC NSW</w:t>
            </w:r>
          </w:p>
        </w:tc>
        <w:tc>
          <w:tcPr>
            <w:tcW w:w="6804" w:type="dxa"/>
            <w:vAlign w:val="center"/>
          </w:tcPr>
          <w:p w14:paraId="6223C7AC" w14:textId="0993200C" w:rsidR="0028348E" w:rsidRPr="00AF7228" w:rsidRDefault="0028348E" w:rsidP="00117D83">
            <w:pPr>
              <w:pStyle w:val="TableText"/>
              <w:cnfStyle w:val="000000000000" w:firstRow="0" w:lastRow="0" w:firstColumn="0" w:lastColumn="0" w:oddVBand="0" w:evenVBand="0" w:oddHBand="0" w:evenHBand="0" w:firstRowFirstColumn="0" w:firstRowLastColumn="0" w:lastRowFirstColumn="0" w:lastRowLastColumn="0"/>
            </w:pPr>
            <w:r w:rsidRPr="00AF7228">
              <w:t>Mental Health Commission of NSW</w:t>
            </w:r>
          </w:p>
        </w:tc>
      </w:tr>
      <w:tr w:rsidR="004C1017" w:rsidRPr="00AF7228" w14:paraId="4B292921" w14:textId="77777777" w:rsidTr="00AD3544">
        <w:trPr>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vAlign w:val="center"/>
          </w:tcPr>
          <w:p w14:paraId="35CE8A7B" w14:textId="7F9BD2F6" w:rsidR="004C1017" w:rsidRPr="00AF7228" w:rsidRDefault="003176DA" w:rsidP="00117D83">
            <w:pPr>
              <w:pStyle w:val="TableText"/>
            </w:pPr>
            <w:r w:rsidRPr="00AF7228">
              <w:t>MHNIP</w:t>
            </w:r>
          </w:p>
        </w:tc>
        <w:tc>
          <w:tcPr>
            <w:tcW w:w="6804" w:type="dxa"/>
            <w:vAlign w:val="center"/>
          </w:tcPr>
          <w:p w14:paraId="4FA36A13" w14:textId="2AAF3920" w:rsidR="004C1017" w:rsidRPr="00AF7228" w:rsidRDefault="003176DA" w:rsidP="00117D83">
            <w:pPr>
              <w:pStyle w:val="TableText"/>
              <w:cnfStyle w:val="000000000000" w:firstRow="0" w:lastRow="0" w:firstColumn="0" w:lastColumn="0" w:oddVBand="0" w:evenVBand="0" w:oddHBand="0" w:evenHBand="0" w:firstRowFirstColumn="0" w:firstRowLastColumn="0" w:lastRowFirstColumn="0" w:lastRowLastColumn="0"/>
            </w:pPr>
            <w:r w:rsidRPr="00AF7228">
              <w:t>Mental Health Nurse Incentive Program</w:t>
            </w:r>
          </w:p>
        </w:tc>
      </w:tr>
      <w:tr w:rsidR="00AD3544" w:rsidRPr="00AF7228" w14:paraId="15D3C34E" w14:textId="77777777" w:rsidTr="00AD3544">
        <w:trPr>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vAlign w:val="center"/>
          </w:tcPr>
          <w:p w14:paraId="27087A0F" w14:textId="3EBCAEE5" w:rsidR="00AD3544" w:rsidRPr="00AF7228" w:rsidRDefault="00AD3544" w:rsidP="00117D83">
            <w:pPr>
              <w:pStyle w:val="TableText"/>
            </w:pPr>
            <w:r>
              <w:t>NGO</w:t>
            </w:r>
          </w:p>
        </w:tc>
        <w:tc>
          <w:tcPr>
            <w:tcW w:w="6804" w:type="dxa"/>
            <w:vAlign w:val="center"/>
          </w:tcPr>
          <w:p w14:paraId="0B3F48AD" w14:textId="355544CD" w:rsidR="00AD3544" w:rsidRPr="00AF7228" w:rsidRDefault="00AD3544" w:rsidP="00117D83">
            <w:pPr>
              <w:pStyle w:val="TableText"/>
              <w:cnfStyle w:val="000000000000" w:firstRow="0" w:lastRow="0" w:firstColumn="0" w:lastColumn="0" w:oddVBand="0" w:evenVBand="0" w:oddHBand="0" w:evenHBand="0" w:firstRowFirstColumn="0" w:firstRowLastColumn="0" w:lastRowFirstColumn="0" w:lastRowLastColumn="0"/>
            </w:pPr>
            <w:proofErr w:type="spellStart"/>
            <w:r>
              <w:t>non government</w:t>
            </w:r>
            <w:proofErr w:type="spellEnd"/>
            <w:r>
              <w:t xml:space="preserve"> organisation</w:t>
            </w:r>
          </w:p>
        </w:tc>
      </w:tr>
      <w:tr w:rsidR="0028348E" w:rsidRPr="00AF7228" w14:paraId="6967FBE3" w14:textId="77777777" w:rsidTr="00AD3544">
        <w:trPr>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vAlign w:val="center"/>
          </w:tcPr>
          <w:p w14:paraId="7B718E26" w14:textId="35EF6889" w:rsidR="0028348E" w:rsidRPr="00AF7228" w:rsidRDefault="0028348E" w:rsidP="00117D83">
            <w:pPr>
              <w:pStyle w:val="TableText"/>
            </w:pPr>
            <w:r w:rsidRPr="00AF7228">
              <w:t>NMHC</w:t>
            </w:r>
          </w:p>
        </w:tc>
        <w:tc>
          <w:tcPr>
            <w:tcW w:w="6804" w:type="dxa"/>
            <w:vAlign w:val="center"/>
          </w:tcPr>
          <w:p w14:paraId="4E673BA5" w14:textId="41EEC6EF" w:rsidR="0028348E" w:rsidRPr="00AF7228" w:rsidRDefault="0028348E" w:rsidP="00117D83">
            <w:pPr>
              <w:pStyle w:val="TableText"/>
              <w:cnfStyle w:val="000000000000" w:firstRow="0" w:lastRow="0" w:firstColumn="0" w:lastColumn="0" w:oddVBand="0" w:evenVBand="0" w:oddHBand="0" w:evenHBand="0" w:firstRowFirstColumn="0" w:firstRowLastColumn="0" w:lastRowFirstColumn="0" w:lastRowLastColumn="0"/>
            </w:pPr>
            <w:r w:rsidRPr="00AF7228">
              <w:t>National Mental Health Commission</w:t>
            </w:r>
          </w:p>
        </w:tc>
      </w:tr>
      <w:tr w:rsidR="00AD3544" w:rsidRPr="00AF7228" w14:paraId="686413E9" w14:textId="77777777" w:rsidTr="00AD3544">
        <w:trPr>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vAlign w:val="center"/>
          </w:tcPr>
          <w:p w14:paraId="503BA008" w14:textId="0B292C01" w:rsidR="00AD3544" w:rsidRPr="00AF7228" w:rsidRDefault="00AD3544" w:rsidP="00117D83">
            <w:pPr>
              <w:pStyle w:val="TableText"/>
            </w:pPr>
            <w:r w:rsidRPr="00117D83">
              <w:t>NSMHWB</w:t>
            </w:r>
          </w:p>
        </w:tc>
        <w:tc>
          <w:tcPr>
            <w:tcW w:w="6804" w:type="dxa"/>
            <w:vAlign w:val="center"/>
          </w:tcPr>
          <w:p w14:paraId="1A7728C7" w14:textId="7E8EBD37" w:rsidR="00AD3544" w:rsidRPr="00AF7228" w:rsidRDefault="00AD3544" w:rsidP="00117D83">
            <w:pPr>
              <w:pStyle w:val="TableText"/>
              <w:cnfStyle w:val="000000000000" w:firstRow="0" w:lastRow="0" w:firstColumn="0" w:lastColumn="0" w:oddVBand="0" w:evenVBand="0" w:oddHBand="0" w:evenHBand="0" w:firstRowFirstColumn="0" w:firstRowLastColumn="0" w:lastRowFirstColumn="0" w:lastRowLastColumn="0"/>
            </w:pPr>
            <w:r w:rsidRPr="00117D83">
              <w:t xml:space="preserve">National Survey of Mental Health and Wellbeing </w:t>
            </w:r>
            <w:r>
              <w:t>(ABS)</w:t>
            </w:r>
          </w:p>
        </w:tc>
      </w:tr>
      <w:tr w:rsidR="00B45F99" w:rsidRPr="00AF7228" w14:paraId="628E0E99" w14:textId="77777777" w:rsidTr="00AD3544">
        <w:trPr>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vAlign w:val="center"/>
          </w:tcPr>
          <w:p w14:paraId="4F63001C" w14:textId="7ED2EFED" w:rsidR="00B45F99" w:rsidRPr="00AF7228" w:rsidRDefault="00B45F99" w:rsidP="00117D83">
            <w:pPr>
              <w:pStyle w:val="TableText"/>
            </w:pPr>
            <w:r w:rsidRPr="00AF7228">
              <w:t>np</w:t>
            </w:r>
          </w:p>
        </w:tc>
        <w:tc>
          <w:tcPr>
            <w:tcW w:w="6804" w:type="dxa"/>
            <w:vAlign w:val="center"/>
          </w:tcPr>
          <w:p w14:paraId="240803FF" w14:textId="7D4B49F6" w:rsidR="00B45F99" w:rsidRPr="00AF7228" w:rsidRDefault="00B45F99" w:rsidP="00117D83">
            <w:pPr>
              <w:pStyle w:val="TableText"/>
              <w:cnfStyle w:val="000000000000" w:firstRow="0" w:lastRow="0" w:firstColumn="0" w:lastColumn="0" w:oddVBand="0" w:evenVBand="0" w:oddHBand="0" w:evenHBand="0" w:firstRowFirstColumn="0" w:firstRowLastColumn="0" w:lastRowFirstColumn="0" w:lastRowLastColumn="0"/>
            </w:pPr>
            <w:r w:rsidRPr="00AF7228">
              <w:t>Data not available for publication</w:t>
            </w:r>
          </w:p>
        </w:tc>
      </w:tr>
      <w:tr w:rsidR="002D6E9D" w:rsidRPr="00AF7228" w14:paraId="5333C7E8" w14:textId="77777777" w:rsidTr="00AD3544">
        <w:trPr>
          <w:trHeight w:val="388"/>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vAlign w:val="center"/>
          </w:tcPr>
          <w:p w14:paraId="55BE3240" w14:textId="0488DF89" w:rsidR="002D6E9D" w:rsidRPr="00AF7228" w:rsidRDefault="002D6E9D" w:rsidP="00117D83">
            <w:pPr>
              <w:pStyle w:val="TableText"/>
            </w:pPr>
            <w:r w:rsidRPr="00AF7228">
              <w:t>PBS</w:t>
            </w:r>
          </w:p>
        </w:tc>
        <w:tc>
          <w:tcPr>
            <w:tcW w:w="6804" w:type="dxa"/>
            <w:vAlign w:val="center"/>
          </w:tcPr>
          <w:p w14:paraId="7C9AA188" w14:textId="11F42C7E" w:rsidR="002D6E9D" w:rsidRPr="00AF7228" w:rsidRDefault="002D6E9D" w:rsidP="00117D83">
            <w:pPr>
              <w:pStyle w:val="TableText"/>
              <w:cnfStyle w:val="000000000000" w:firstRow="0" w:lastRow="0" w:firstColumn="0" w:lastColumn="0" w:oddVBand="0" w:evenVBand="0" w:oddHBand="0" w:evenHBand="0" w:firstRowFirstColumn="0" w:firstRowLastColumn="0" w:lastRowFirstColumn="0" w:lastRowLastColumn="0"/>
            </w:pPr>
            <w:r w:rsidRPr="00AF7228">
              <w:t>Pharmaceutical Benefits Scheme</w:t>
            </w:r>
          </w:p>
        </w:tc>
      </w:tr>
      <w:tr w:rsidR="00D36A42" w:rsidRPr="00AF7228" w14:paraId="443293CE" w14:textId="77777777" w:rsidTr="00AD3544">
        <w:trPr>
          <w:trHeight w:val="388"/>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vAlign w:val="center"/>
          </w:tcPr>
          <w:p w14:paraId="268F3676" w14:textId="58A22CB4" w:rsidR="00D36A42" w:rsidRPr="00AF7228" w:rsidRDefault="00D36A42" w:rsidP="00117D83">
            <w:pPr>
              <w:pStyle w:val="TableText"/>
            </w:pPr>
            <w:r w:rsidRPr="00AF7228">
              <w:t>PHIDU</w:t>
            </w:r>
          </w:p>
        </w:tc>
        <w:tc>
          <w:tcPr>
            <w:tcW w:w="6804" w:type="dxa"/>
            <w:vAlign w:val="center"/>
          </w:tcPr>
          <w:p w14:paraId="5F29085C" w14:textId="1748F881" w:rsidR="00D36A42" w:rsidRPr="00AF7228" w:rsidRDefault="009814AF" w:rsidP="009814AF">
            <w:pPr>
              <w:pStyle w:val="TableText"/>
              <w:cnfStyle w:val="000000000000" w:firstRow="0" w:lastRow="0" w:firstColumn="0" w:lastColumn="0" w:oddVBand="0" w:evenVBand="0" w:oddHBand="0" w:evenHBand="0" w:firstRowFirstColumn="0" w:firstRowLastColumn="0" w:lastRowFirstColumn="0" w:lastRowLastColumn="0"/>
            </w:pPr>
            <w:r w:rsidRPr="009814AF">
              <w:t xml:space="preserve">Public Health Information Development Unit </w:t>
            </w:r>
          </w:p>
        </w:tc>
      </w:tr>
      <w:tr w:rsidR="00AD3544" w:rsidRPr="00AF7228" w14:paraId="1E76B8BA" w14:textId="77777777" w:rsidTr="00AD3544">
        <w:trPr>
          <w:trHeight w:val="388"/>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vAlign w:val="center"/>
          </w:tcPr>
          <w:p w14:paraId="770DEA29" w14:textId="792647AB" w:rsidR="00AD3544" w:rsidRPr="00AF7228" w:rsidRDefault="00AD3544" w:rsidP="00117D83">
            <w:pPr>
              <w:pStyle w:val="TableText"/>
            </w:pPr>
            <w:r>
              <w:t>PIR</w:t>
            </w:r>
          </w:p>
        </w:tc>
        <w:tc>
          <w:tcPr>
            <w:tcW w:w="6804" w:type="dxa"/>
            <w:vAlign w:val="center"/>
          </w:tcPr>
          <w:p w14:paraId="6BDD28E5" w14:textId="26B591FF" w:rsidR="00AD3544" w:rsidRPr="009814AF" w:rsidRDefault="00AD3544" w:rsidP="009814AF">
            <w:pPr>
              <w:pStyle w:val="TableText"/>
              <w:cnfStyle w:val="000000000000" w:firstRow="0" w:lastRow="0" w:firstColumn="0" w:lastColumn="0" w:oddVBand="0" w:evenVBand="0" w:oddHBand="0" w:evenHBand="0" w:firstRowFirstColumn="0" w:firstRowLastColumn="0" w:lastRowFirstColumn="0" w:lastRowLastColumn="0"/>
            </w:pPr>
            <w:r>
              <w:t>Partners in Recovery</w:t>
            </w:r>
          </w:p>
        </w:tc>
      </w:tr>
      <w:tr w:rsidR="0028348E" w:rsidRPr="00AF7228" w14:paraId="39480AC3" w14:textId="77777777" w:rsidTr="00AD3544">
        <w:trPr>
          <w:trHeight w:val="388"/>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vAlign w:val="center"/>
          </w:tcPr>
          <w:p w14:paraId="093F1F29" w14:textId="2D0A00E1" w:rsidR="0028348E" w:rsidRPr="00AF7228" w:rsidRDefault="0028348E" w:rsidP="00117D83">
            <w:pPr>
              <w:pStyle w:val="TableText"/>
            </w:pPr>
            <w:r w:rsidRPr="00AF7228">
              <w:t>PMH</w:t>
            </w:r>
            <w:r w:rsidR="00AD3544">
              <w:t>C</w:t>
            </w:r>
          </w:p>
        </w:tc>
        <w:tc>
          <w:tcPr>
            <w:tcW w:w="6804" w:type="dxa"/>
            <w:vAlign w:val="center"/>
          </w:tcPr>
          <w:p w14:paraId="559B1380" w14:textId="0EEC76CA" w:rsidR="0028348E" w:rsidRPr="00AF7228" w:rsidRDefault="0028348E" w:rsidP="00117D83">
            <w:pPr>
              <w:pStyle w:val="TableText"/>
              <w:cnfStyle w:val="000000000000" w:firstRow="0" w:lastRow="0" w:firstColumn="0" w:lastColumn="0" w:oddVBand="0" w:evenVBand="0" w:oddHBand="0" w:evenHBand="0" w:firstRowFirstColumn="0" w:firstRowLastColumn="0" w:lastRowFirstColumn="0" w:lastRowLastColumn="0"/>
            </w:pPr>
            <w:r w:rsidRPr="00AF7228">
              <w:t xml:space="preserve">Primary Mental Health </w:t>
            </w:r>
            <w:r w:rsidR="00AD3544">
              <w:t>Care s</w:t>
            </w:r>
            <w:r w:rsidRPr="00AF7228">
              <w:t>ervices</w:t>
            </w:r>
          </w:p>
        </w:tc>
      </w:tr>
      <w:tr w:rsidR="003176DA" w:rsidRPr="00AF7228" w14:paraId="409A98D9" w14:textId="77777777" w:rsidTr="00AD3544">
        <w:trPr>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vAlign w:val="center"/>
          </w:tcPr>
          <w:p w14:paraId="636F2029" w14:textId="05E68D16" w:rsidR="003176DA" w:rsidRPr="00AF7228" w:rsidRDefault="003176DA" w:rsidP="00117D83">
            <w:pPr>
              <w:pStyle w:val="TableText"/>
            </w:pPr>
            <w:r w:rsidRPr="00AF7228">
              <w:lastRenderedPageBreak/>
              <w:t>PHN</w:t>
            </w:r>
          </w:p>
        </w:tc>
        <w:tc>
          <w:tcPr>
            <w:tcW w:w="6804" w:type="dxa"/>
            <w:vAlign w:val="center"/>
          </w:tcPr>
          <w:p w14:paraId="3931A52E" w14:textId="108F6F6B" w:rsidR="003176DA" w:rsidRPr="00AF7228" w:rsidRDefault="003176DA" w:rsidP="00117D83">
            <w:pPr>
              <w:pStyle w:val="TableText"/>
              <w:cnfStyle w:val="000000000000" w:firstRow="0" w:lastRow="0" w:firstColumn="0" w:lastColumn="0" w:oddVBand="0" w:evenVBand="0" w:oddHBand="0" w:evenHBand="0" w:firstRowFirstColumn="0" w:firstRowLastColumn="0" w:lastRowFirstColumn="0" w:lastRowLastColumn="0"/>
            </w:pPr>
            <w:r w:rsidRPr="00AF7228">
              <w:t xml:space="preserve">Primary Health Network </w:t>
            </w:r>
          </w:p>
        </w:tc>
      </w:tr>
      <w:tr w:rsidR="00AD3544" w:rsidRPr="00AF7228" w14:paraId="2C0A4822" w14:textId="77777777" w:rsidTr="00AD3544">
        <w:trPr>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vAlign w:val="center"/>
          </w:tcPr>
          <w:p w14:paraId="3E102625" w14:textId="4B5156CA" w:rsidR="00AD3544" w:rsidRPr="00AF7228" w:rsidRDefault="00AD3544" w:rsidP="00117D83">
            <w:pPr>
              <w:pStyle w:val="TableText"/>
            </w:pPr>
            <w:r>
              <w:t>SDH or SDOH</w:t>
            </w:r>
          </w:p>
        </w:tc>
        <w:tc>
          <w:tcPr>
            <w:tcW w:w="6804" w:type="dxa"/>
            <w:vAlign w:val="center"/>
          </w:tcPr>
          <w:p w14:paraId="0C943036" w14:textId="0F9B809F" w:rsidR="00AD3544" w:rsidRPr="00AF7228" w:rsidRDefault="00AD3544" w:rsidP="00117D83">
            <w:pPr>
              <w:pStyle w:val="TableText"/>
              <w:cnfStyle w:val="000000000000" w:firstRow="0" w:lastRow="0" w:firstColumn="0" w:lastColumn="0" w:oddVBand="0" w:evenVBand="0" w:oddHBand="0" w:evenHBand="0" w:firstRowFirstColumn="0" w:firstRowLastColumn="0" w:lastRowFirstColumn="0" w:lastRowLastColumn="0"/>
            </w:pPr>
            <w:r>
              <w:t>Social Determinants of Health</w:t>
            </w:r>
          </w:p>
        </w:tc>
      </w:tr>
      <w:tr w:rsidR="00CD7291" w:rsidRPr="00AF7228" w14:paraId="13206B56" w14:textId="77777777" w:rsidTr="00AD3544">
        <w:trPr>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vAlign w:val="center"/>
          </w:tcPr>
          <w:p w14:paraId="1671659E" w14:textId="5EE2E66C" w:rsidR="00CD7291" w:rsidRPr="00AF7228" w:rsidRDefault="00CD7291" w:rsidP="00117D83">
            <w:pPr>
              <w:pStyle w:val="TableText"/>
            </w:pPr>
            <w:r>
              <w:t>SLA</w:t>
            </w:r>
          </w:p>
        </w:tc>
        <w:tc>
          <w:tcPr>
            <w:tcW w:w="6804" w:type="dxa"/>
            <w:vAlign w:val="center"/>
          </w:tcPr>
          <w:p w14:paraId="17542BC9" w14:textId="39DFDB09" w:rsidR="00CD7291" w:rsidRPr="00AF7228" w:rsidRDefault="00CD7291" w:rsidP="00117D83">
            <w:pPr>
              <w:pStyle w:val="TableText"/>
              <w:cnfStyle w:val="000000000000" w:firstRow="0" w:lastRow="0" w:firstColumn="0" w:lastColumn="0" w:oddVBand="0" w:evenVBand="0" w:oddHBand="0" w:evenHBand="0" w:firstRowFirstColumn="0" w:firstRowLastColumn="0" w:lastRowFirstColumn="0" w:lastRowLastColumn="0"/>
            </w:pPr>
            <w:r w:rsidRPr="00AF7228">
              <w:t>Statistical</w:t>
            </w:r>
            <w:r>
              <w:t xml:space="preserve"> Local Area</w:t>
            </w:r>
          </w:p>
        </w:tc>
      </w:tr>
      <w:tr w:rsidR="008B24A5" w:rsidRPr="00AF7228" w14:paraId="0A94825A" w14:textId="77777777" w:rsidTr="00AD3544">
        <w:trPr>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vAlign w:val="center"/>
          </w:tcPr>
          <w:p w14:paraId="74C282C5" w14:textId="7E597F13" w:rsidR="008B24A5" w:rsidRPr="00AF7228" w:rsidRDefault="008B24A5" w:rsidP="00117D83">
            <w:pPr>
              <w:pStyle w:val="TableText"/>
            </w:pPr>
            <w:r w:rsidRPr="00AF7228">
              <w:t>SA3</w:t>
            </w:r>
          </w:p>
        </w:tc>
        <w:tc>
          <w:tcPr>
            <w:tcW w:w="6804" w:type="dxa"/>
            <w:vAlign w:val="center"/>
          </w:tcPr>
          <w:p w14:paraId="651FA89D" w14:textId="4A6CE793" w:rsidR="008B24A5" w:rsidRPr="00AF7228" w:rsidRDefault="008B24A5" w:rsidP="00117D83">
            <w:pPr>
              <w:pStyle w:val="TableText"/>
              <w:cnfStyle w:val="000000000000" w:firstRow="0" w:lastRow="0" w:firstColumn="0" w:lastColumn="0" w:oddVBand="0" w:evenVBand="0" w:oddHBand="0" w:evenHBand="0" w:firstRowFirstColumn="0" w:firstRowLastColumn="0" w:lastRowFirstColumn="0" w:lastRowLastColumn="0"/>
            </w:pPr>
            <w:r w:rsidRPr="00AF7228">
              <w:t>Statistical Area Level 3</w:t>
            </w:r>
          </w:p>
        </w:tc>
      </w:tr>
      <w:tr w:rsidR="00AD3544" w:rsidRPr="00AF7228" w14:paraId="6E02A5AC" w14:textId="77777777" w:rsidTr="00AD3544">
        <w:trPr>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vAlign w:val="center"/>
          </w:tcPr>
          <w:p w14:paraId="04784768" w14:textId="646A2289" w:rsidR="00AD3544" w:rsidRPr="00AF7228" w:rsidRDefault="00AD3544" w:rsidP="00117D83">
            <w:pPr>
              <w:pStyle w:val="TableText"/>
            </w:pPr>
            <w:r>
              <w:t xml:space="preserve">USD </w:t>
            </w:r>
          </w:p>
        </w:tc>
        <w:tc>
          <w:tcPr>
            <w:tcW w:w="6804" w:type="dxa"/>
            <w:vAlign w:val="center"/>
          </w:tcPr>
          <w:p w14:paraId="15580D4B" w14:textId="783458FF" w:rsidR="00AD3544" w:rsidRPr="00AF7228" w:rsidRDefault="00AD3544" w:rsidP="00117D83">
            <w:pPr>
              <w:pStyle w:val="TableText"/>
              <w:cnfStyle w:val="000000000000" w:firstRow="0" w:lastRow="0" w:firstColumn="0" w:lastColumn="0" w:oddVBand="0" w:evenVBand="0" w:oddHBand="0" w:evenHBand="0" w:firstRowFirstColumn="0" w:firstRowLastColumn="0" w:lastRowFirstColumn="0" w:lastRowLastColumn="0"/>
            </w:pPr>
            <w:r>
              <w:t>US dollars</w:t>
            </w:r>
          </w:p>
        </w:tc>
      </w:tr>
      <w:tr w:rsidR="00AD3544" w:rsidRPr="00AF7228" w14:paraId="7A44D3D5" w14:textId="77777777" w:rsidTr="00AD3544">
        <w:trPr>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vAlign w:val="center"/>
          </w:tcPr>
          <w:p w14:paraId="6B951DC5" w14:textId="75BC6E55" w:rsidR="00AD3544" w:rsidRPr="00AF7228" w:rsidRDefault="00AD3544" w:rsidP="00117D83">
            <w:pPr>
              <w:pStyle w:val="TableText"/>
            </w:pPr>
            <w:r>
              <w:t>WEF</w:t>
            </w:r>
          </w:p>
        </w:tc>
        <w:tc>
          <w:tcPr>
            <w:tcW w:w="6804" w:type="dxa"/>
            <w:vAlign w:val="center"/>
          </w:tcPr>
          <w:p w14:paraId="52A40AF2" w14:textId="58E19722" w:rsidR="00AD3544" w:rsidRPr="00AF7228" w:rsidRDefault="00AD3544" w:rsidP="00117D83">
            <w:pPr>
              <w:pStyle w:val="TableText"/>
              <w:cnfStyle w:val="000000000000" w:firstRow="0" w:lastRow="0" w:firstColumn="0" w:lastColumn="0" w:oddVBand="0" w:evenVBand="0" w:oddHBand="0" w:evenHBand="0" w:firstRowFirstColumn="0" w:firstRowLastColumn="0" w:lastRowFirstColumn="0" w:lastRowLastColumn="0"/>
            </w:pPr>
            <w:r w:rsidRPr="00AF7228">
              <w:rPr>
                <w:rFonts w:eastAsia="MS Gothic"/>
              </w:rPr>
              <w:t>World Economic Forum</w:t>
            </w:r>
          </w:p>
        </w:tc>
      </w:tr>
      <w:tr w:rsidR="004F6E16" w:rsidRPr="00AF7228" w14:paraId="6AC42885" w14:textId="77777777" w:rsidTr="00AD3544">
        <w:trPr>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vAlign w:val="center"/>
          </w:tcPr>
          <w:p w14:paraId="5D28582C" w14:textId="02535DCC" w:rsidR="004F6E16" w:rsidRPr="00AF7228" w:rsidRDefault="004F6E16" w:rsidP="00117D83">
            <w:pPr>
              <w:pStyle w:val="TableText"/>
            </w:pPr>
            <w:r w:rsidRPr="00AF7228">
              <w:t>WSPHN</w:t>
            </w:r>
          </w:p>
        </w:tc>
        <w:tc>
          <w:tcPr>
            <w:tcW w:w="6804" w:type="dxa"/>
            <w:vAlign w:val="center"/>
          </w:tcPr>
          <w:p w14:paraId="6FCB713D" w14:textId="21B0BD03" w:rsidR="004F6E16" w:rsidRPr="00AF7228" w:rsidRDefault="004F6E16" w:rsidP="00117D83">
            <w:pPr>
              <w:pStyle w:val="TableText"/>
              <w:cnfStyle w:val="000000000000" w:firstRow="0" w:lastRow="0" w:firstColumn="0" w:lastColumn="0" w:oddVBand="0" w:evenVBand="0" w:oddHBand="0" w:evenHBand="0" w:firstRowFirstColumn="0" w:firstRowLastColumn="0" w:lastRowFirstColumn="0" w:lastRowLastColumn="0"/>
            </w:pPr>
            <w:r w:rsidRPr="00AF7228">
              <w:t>Western Sydney PHN</w:t>
            </w:r>
          </w:p>
        </w:tc>
      </w:tr>
    </w:tbl>
    <w:p w14:paraId="051BA2BF" w14:textId="77777777" w:rsidR="004C1017" w:rsidRPr="00AF7228" w:rsidRDefault="004C1017" w:rsidP="00B7158B">
      <w:pPr>
        <w:pStyle w:val="BodyText"/>
      </w:pPr>
    </w:p>
    <w:p w14:paraId="103F1F01" w14:textId="77777777" w:rsidR="000101E8" w:rsidRPr="00AF7228" w:rsidRDefault="000101E8" w:rsidP="00B7158B">
      <w:pPr>
        <w:pStyle w:val="BodyText"/>
        <w:sectPr w:rsidR="000101E8" w:rsidRPr="00AF7228" w:rsidSect="00BB7C2B">
          <w:headerReference w:type="even" r:id="rId16"/>
          <w:headerReference w:type="default" r:id="rId17"/>
          <w:footerReference w:type="even" r:id="rId18"/>
          <w:footerReference w:type="default" r:id="rId19"/>
          <w:type w:val="oddPage"/>
          <w:pgSz w:w="11900" w:h="16840" w:code="9"/>
          <w:pgMar w:top="1361" w:right="1361" w:bottom="1361" w:left="1361" w:header="680" w:footer="680" w:gutter="0"/>
          <w:pgNumType w:fmt="lowerRoman" w:start="1"/>
          <w:cols w:space="708"/>
          <w:docGrid w:linePitch="273"/>
        </w:sectPr>
      </w:pPr>
    </w:p>
    <w:p w14:paraId="76EDB8A3" w14:textId="0CEF852D" w:rsidR="008470EF" w:rsidRPr="00AF7228" w:rsidRDefault="000101E8" w:rsidP="00736310">
      <w:pPr>
        <w:pStyle w:val="TOC"/>
        <w:pBdr>
          <w:bottom w:val="single" w:sz="2" w:space="1" w:color="003D69"/>
        </w:pBdr>
        <w:rPr>
          <w:color w:val="003D69"/>
        </w:rPr>
      </w:pPr>
      <w:r w:rsidRPr="00AF7228">
        <w:rPr>
          <w:color w:val="003D69"/>
        </w:rPr>
        <w:lastRenderedPageBreak/>
        <w:t>Summary</w:t>
      </w:r>
    </w:p>
    <w:p w14:paraId="6265ABE8" w14:textId="77777777" w:rsidR="0022640E" w:rsidRPr="00AF7228" w:rsidRDefault="0022640E" w:rsidP="0022640E">
      <w:pPr>
        <w:pStyle w:val="BodyText"/>
      </w:pPr>
      <w:r w:rsidRPr="00AF7228">
        <w:t xml:space="preserve">Despite the best intentions, Australia’s approach to mental health reform through a series of centrally planned, National Mental Health Plans, has not meet the needs of the Australian community. If the strategy had been even moderately successful, this Inquiry would not be happening nor would we have seen an almost continuous stream of inquiries over the past 15 years. </w:t>
      </w:r>
    </w:p>
    <w:p w14:paraId="388EEC09" w14:textId="77777777" w:rsidR="0022640E" w:rsidRDefault="0022640E" w:rsidP="0022640E">
      <w:pPr>
        <w:pStyle w:val="Heading4"/>
        <w:rPr>
          <w:rFonts w:eastAsia="MS Gothic"/>
        </w:rPr>
      </w:pPr>
      <w:r>
        <w:rPr>
          <w:rFonts w:eastAsia="MS Gothic"/>
        </w:rPr>
        <w:t>Economic Impact</w:t>
      </w:r>
    </w:p>
    <w:p w14:paraId="2D082B8E" w14:textId="02CFDA9C" w:rsidR="00D71D1B" w:rsidRPr="00AF7228" w:rsidRDefault="0043354A" w:rsidP="00C75C2F">
      <w:pPr>
        <w:pStyle w:val="BodyText"/>
        <w:rPr>
          <w:rFonts w:eastAsia="MS Gothic"/>
        </w:rPr>
      </w:pPr>
      <w:r w:rsidRPr="00AF7228">
        <w:rPr>
          <w:rFonts w:eastAsia="MS Gothic"/>
        </w:rPr>
        <w:t>The World Economic Forum</w:t>
      </w:r>
      <w:r w:rsidR="00AD3544">
        <w:rPr>
          <w:rFonts w:eastAsia="MS Gothic"/>
        </w:rPr>
        <w:t xml:space="preserve"> (WEF)</w:t>
      </w:r>
      <w:r w:rsidR="00AB3340">
        <w:rPr>
          <w:rFonts w:eastAsia="MS Gothic"/>
        </w:rPr>
        <w:t xml:space="preserve"> in </w:t>
      </w:r>
      <w:r w:rsidRPr="00AF7228">
        <w:rPr>
          <w:rFonts w:eastAsia="MS Gothic"/>
        </w:rPr>
        <w:t xml:space="preserve">2011 concluded that the economic impact of mental illness is the </w:t>
      </w:r>
      <w:r w:rsidRPr="0022640E">
        <w:rPr>
          <w:rFonts w:eastAsia="MS Gothic"/>
          <w:b/>
        </w:rPr>
        <w:t>single most important contributor</w:t>
      </w:r>
      <w:r w:rsidRPr="00AF7228">
        <w:rPr>
          <w:rFonts w:eastAsia="MS Gothic"/>
        </w:rPr>
        <w:t xml:space="preserve"> among all non-communicable diseases to lost productivity. </w:t>
      </w:r>
      <w:r w:rsidR="00D71D1B" w:rsidRPr="00AF7228">
        <w:rPr>
          <w:rFonts w:eastAsia="MS Gothic"/>
        </w:rPr>
        <w:t>The WEF estimated that a third of the total cost of all chronic diseases in the decade to 2020, would be caused by mental illness.</w:t>
      </w:r>
      <w:r w:rsidR="00AB3340">
        <w:rPr>
          <w:rStyle w:val="FootnoteReference"/>
          <w:rFonts w:eastAsia="MS Gothic"/>
        </w:rPr>
        <w:footnoteReference w:id="1"/>
      </w:r>
      <w:r w:rsidR="00D71D1B" w:rsidRPr="00AF7228">
        <w:rPr>
          <w:rFonts w:eastAsia="MS Gothic"/>
        </w:rPr>
        <w:t xml:space="preserve"> </w:t>
      </w:r>
    </w:p>
    <w:p w14:paraId="7C015706" w14:textId="15EE36D3" w:rsidR="00C75C2F" w:rsidRPr="00AF7228" w:rsidRDefault="00D71D1B" w:rsidP="00D71D1B">
      <w:pPr>
        <w:pStyle w:val="BodyText"/>
        <w:rPr>
          <w:rFonts w:eastAsia="MS Gothic"/>
        </w:rPr>
      </w:pPr>
      <w:r w:rsidRPr="00AF7228">
        <w:rPr>
          <w:rFonts w:eastAsia="MS Gothic"/>
        </w:rPr>
        <w:t>The 26th meeting of the Asia Pacific Economic Cooperation</w:t>
      </w:r>
      <w:r w:rsidR="00AD3544">
        <w:rPr>
          <w:rFonts w:eastAsia="MS Gothic"/>
        </w:rPr>
        <w:t xml:space="preserve"> (APEC)</w:t>
      </w:r>
      <w:r w:rsidRPr="00AF7228">
        <w:rPr>
          <w:rFonts w:eastAsia="MS Gothic"/>
        </w:rPr>
        <w:t xml:space="preserve"> in Beijing, agreed to tackling mental illness in the period to 2020. The</w:t>
      </w:r>
      <w:r w:rsidR="0043354A" w:rsidRPr="00AF7228">
        <w:rPr>
          <w:rFonts w:eastAsia="MS Gothic"/>
        </w:rPr>
        <w:t xml:space="preserve"> </w:t>
      </w:r>
      <w:r w:rsidRPr="00AF7228">
        <w:rPr>
          <w:rFonts w:eastAsia="MS Gothic"/>
        </w:rPr>
        <w:t xml:space="preserve">21 members of </w:t>
      </w:r>
      <w:r w:rsidR="0043354A" w:rsidRPr="0022640E">
        <w:rPr>
          <w:rFonts w:eastAsia="MS Gothic"/>
          <w:b/>
        </w:rPr>
        <w:t>APEC</w:t>
      </w:r>
      <w:r w:rsidR="0043354A" w:rsidRPr="00AF7228">
        <w:rPr>
          <w:rFonts w:eastAsia="MS Gothic"/>
        </w:rPr>
        <w:t xml:space="preserve"> </w:t>
      </w:r>
      <w:r w:rsidRPr="00AF7228">
        <w:rPr>
          <w:rFonts w:eastAsia="MS Gothic"/>
        </w:rPr>
        <w:t xml:space="preserve">committed to a </w:t>
      </w:r>
      <w:r w:rsidR="0043354A" w:rsidRPr="00AF7228">
        <w:rPr>
          <w:rFonts w:eastAsia="MS Gothic"/>
        </w:rPr>
        <w:t>‘</w:t>
      </w:r>
      <w:r w:rsidR="0043354A" w:rsidRPr="0022640E">
        <w:rPr>
          <w:rFonts w:eastAsia="MS Gothic"/>
          <w:b/>
          <w:i/>
        </w:rPr>
        <w:t xml:space="preserve">Roadmap to Promote Mental Wellness in a Healthy Asia </w:t>
      </w:r>
      <w:r w:rsidRPr="0022640E">
        <w:rPr>
          <w:rFonts w:eastAsia="MS Gothic"/>
          <w:b/>
          <w:i/>
        </w:rPr>
        <w:t>P</w:t>
      </w:r>
      <w:r w:rsidR="0043354A" w:rsidRPr="0022640E">
        <w:rPr>
          <w:rFonts w:eastAsia="MS Gothic"/>
          <w:b/>
          <w:i/>
        </w:rPr>
        <w:t xml:space="preserve">acific </w:t>
      </w:r>
      <w:r w:rsidR="0043354A" w:rsidRPr="00AF7228">
        <w:rPr>
          <w:rFonts w:eastAsia="MS Gothic"/>
        </w:rPr>
        <w:t>(2014-2020)</w:t>
      </w:r>
      <w:r w:rsidRPr="00AF7228">
        <w:rPr>
          <w:rStyle w:val="FootnoteReference"/>
          <w:rFonts w:ascii="Arial" w:eastAsia="MS Gothic" w:hAnsi="Arial"/>
        </w:rPr>
        <w:footnoteReference w:id="2"/>
      </w:r>
      <w:r w:rsidR="0043354A" w:rsidRPr="00AF7228">
        <w:rPr>
          <w:rFonts w:eastAsia="MS Gothic"/>
        </w:rPr>
        <w:t xml:space="preserve"> </w:t>
      </w:r>
      <w:r w:rsidRPr="00AF7228">
        <w:rPr>
          <w:rFonts w:eastAsia="MS Gothic"/>
        </w:rPr>
        <w:t xml:space="preserve">in recognition of the threat to economic prosperity posed by mental illness. </w:t>
      </w:r>
      <w:r w:rsidRPr="00AF7228">
        <w:t xml:space="preserve">APEC agreed that it has “an opportunity to lead in the promotion of innovative collaborations in mental health that provide tangible benefits for economic growth, social inclusion and the wellness of communities and workplaces”. Australia is a founding </w:t>
      </w:r>
      <w:r w:rsidRPr="00AF7228">
        <w:rPr>
          <w:rFonts w:eastAsia="MS Gothic"/>
        </w:rPr>
        <w:t>member of APEC</w:t>
      </w:r>
      <w:r w:rsidR="0043354A" w:rsidRPr="00AF7228">
        <w:rPr>
          <w:rFonts w:eastAsia="MS Gothic"/>
        </w:rPr>
        <w:t>.</w:t>
      </w:r>
    </w:p>
    <w:p w14:paraId="6EFBE913" w14:textId="5EF6641D" w:rsidR="00D71D1B" w:rsidRPr="00AF7228" w:rsidRDefault="00D71D1B" w:rsidP="00D71D1B">
      <w:pPr>
        <w:pStyle w:val="BodyText"/>
        <w:rPr>
          <w:rFonts w:eastAsia="MS Gothic"/>
        </w:rPr>
      </w:pPr>
      <w:r w:rsidRPr="00AF7228">
        <w:rPr>
          <w:rFonts w:eastAsia="MS Gothic"/>
        </w:rPr>
        <w:t>Globally only about $2 USD is spent per capita on mental health promotion, prevention and service provision. In Australia, its less than $300 USD (or $400 AUD) per person. Yet estimates of the cost to the Australian economy range to just over $200billion AUD.</w:t>
      </w:r>
      <w:r w:rsidRPr="00AF7228">
        <w:rPr>
          <w:rStyle w:val="FootnoteReference"/>
          <w:rFonts w:eastAsia="MS Gothic"/>
        </w:rPr>
        <w:footnoteReference w:id="3"/>
      </w:r>
      <w:r w:rsidRPr="00AF7228">
        <w:rPr>
          <w:rFonts w:eastAsia="MS Gothic"/>
        </w:rPr>
        <w:t xml:space="preserve"> </w:t>
      </w:r>
    </w:p>
    <w:p w14:paraId="394BD9C3" w14:textId="17627661" w:rsidR="0022640E" w:rsidRDefault="0022640E" w:rsidP="0022640E">
      <w:pPr>
        <w:pStyle w:val="Heading4"/>
      </w:pPr>
      <w:r>
        <w:t xml:space="preserve">A Generation of Effort </w:t>
      </w:r>
    </w:p>
    <w:p w14:paraId="2DA46998" w14:textId="28D2C7E8" w:rsidR="000D4D46" w:rsidRPr="00AF7228" w:rsidRDefault="000D4D46" w:rsidP="00D71D1B">
      <w:pPr>
        <w:pStyle w:val="BodyText"/>
      </w:pPr>
      <w:r w:rsidRPr="00AF7228">
        <w:t xml:space="preserve">Unlike many areas of health care such as tobacco related diseases, cardio vascular diseases, breast and cervical cancers, HIV and road trauma where in a generation or less, Australia has achieved very significant reductions in prevalence rates and the burdens of death and disability, twenty five years of national efforts in relation to mental illness have yielded </w:t>
      </w:r>
      <w:r w:rsidRPr="0022640E">
        <w:rPr>
          <w:b/>
        </w:rPr>
        <w:t>almost no change</w:t>
      </w:r>
      <w:r w:rsidRPr="00AF7228">
        <w:t xml:space="preserve">. </w:t>
      </w:r>
    </w:p>
    <w:p w14:paraId="09147A45" w14:textId="7612A44E" w:rsidR="000D4D46" w:rsidRPr="00AF7228" w:rsidRDefault="000D4D46" w:rsidP="00D71D1B">
      <w:pPr>
        <w:pStyle w:val="BodyText"/>
      </w:pPr>
      <w:r w:rsidRPr="00AF7228">
        <w:t xml:space="preserve">From prevalence rates to life expectancy, the health status and outcomes for those with mental illnesses remain stubbornly stuck. All the measures that might be considered relevant to a </w:t>
      </w:r>
      <w:r w:rsidRPr="0022640E">
        <w:rPr>
          <w:b/>
          <w:i/>
        </w:rPr>
        <w:t>contributing life</w:t>
      </w:r>
      <w:r w:rsidRPr="00AF7228">
        <w:t xml:space="preserve">, such as employment rates, socio-economic status, educational attainment, stable and secure housing and social participation, are equally unmoved. Other data such as the number of incidents involving </w:t>
      </w:r>
      <w:r w:rsidR="00C34200">
        <w:t>p</w:t>
      </w:r>
      <w:r w:rsidRPr="00AF7228">
        <w:t xml:space="preserve">olice and emergency services, numbers of people with mental illness involved in justice and corrections or youth detention, children in state care, school suspensions and expulsions – all again point to a failure to provide access to quality mental health care across the lifespan. </w:t>
      </w:r>
    </w:p>
    <w:p w14:paraId="2D6BA89E" w14:textId="712BD759" w:rsidR="00D71D1B" w:rsidRPr="00AF7228" w:rsidRDefault="000D4D46" w:rsidP="00D71D1B">
      <w:pPr>
        <w:pStyle w:val="BodyText"/>
      </w:pPr>
      <w:r w:rsidRPr="00AF7228">
        <w:t xml:space="preserve">The only measures where we can confidently point to improvements are in relation to </w:t>
      </w:r>
      <w:r w:rsidRPr="0022640E">
        <w:rPr>
          <w:b/>
        </w:rPr>
        <w:t>awareness</w:t>
      </w:r>
      <w:r w:rsidRPr="00AF7228">
        <w:t xml:space="preserve"> and an increase in </w:t>
      </w:r>
      <w:r w:rsidRPr="0022640E">
        <w:rPr>
          <w:b/>
        </w:rPr>
        <w:t>access to care</w:t>
      </w:r>
      <w:r w:rsidRPr="00AF7228">
        <w:t xml:space="preserve"> for some population groups and those experiencing mild levels of disability.   </w:t>
      </w:r>
    </w:p>
    <w:p w14:paraId="682B89D4" w14:textId="44362C7D" w:rsidR="0022640E" w:rsidRDefault="0022640E" w:rsidP="00D71D1B">
      <w:pPr>
        <w:pStyle w:val="BodyText"/>
      </w:pPr>
      <w:r>
        <w:lastRenderedPageBreak/>
        <w:t xml:space="preserve">In the time since national mental health reform commenced in 1992, there </w:t>
      </w:r>
      <w:r w:rsidR="00C34200">
        <w:t xml:space="preserve">has </w:t>
      </w:r>
      <w:r>
        <w:t xml:space="preserve">been a wealth of information, reports, policy documents and action plans but there has been </w:t>
      </w:r>
      <w:r w:rsidRPr="0022640E">
        <w:rPr>
          <w:b/>
        </w:rPr>
        <w:t>too little focus on sustained capacity building</w:t>
      </w:r>
      <w:r>
        <w:t xml:space="preserve"> to enable effective implementation. </w:t>
      </w:r>
    </w:p>
    <w:p w14:paraId="58B7762B" w14:textId="3E1FE1F0" w:rsidR="000D4D46" w:rsidRPr="00AF7228" w:rsidRDefault="000D4D46" w:rsidP="00D71D1B">
      <w:pPr>
        <w:pStyle w:val="BodyText"/>
      </w:pPr>
      <w:r w:rsidRPr="00AF7228">
        <w:t xml:space="preserve">If we are to see sustained improvements, the centralist planning models must be replaced by </w:t>
      </w:r>
      <w:r w:rsidRPr="0022640E">
        <w:rPr>
          <w:b/>
        </w:rPr>
        <w:t>data-driven, systems approaches with regional planning</w:t>
      </w:r>
      <w:r w:rsidRPr="00AF7228">
        <w:t xml:space="preserve"> informed by local contexts, evidence based practices and experiential input of those with lived experience. Funding models must be altered to focus on consumer, carer and community outcomes and reduce the siloed arrangements that divide the provider sectors</w:t>
      </w:r>
      <w:r w:rsidR="0022640E">
        <w:t xml:space="preserve"> and organisations</w:t>
      </w:r>
      <w:r w:rsidRPr="00AF7228">
        <w:t xml:space="preserve">. </w:t>
      </w:r>
    </w:p>
    <w:p w14:paraId="75C9C1F4" w14:textId="2E9EADA4" w:rsidR="000D4D46" w:rsidRPr="00AF7228" w:rsidRDefault="000D4D46" w:rsidP="00D71D1B">
      <w:pPr>
        <w:pStyle w:val="BodyText"/>
      </w:pPr>
      <w:r w:rsidRPr="00AF7228">
        <w:t>These regionally integrated approaches will only succeed if national policy f</w:t>
      </w:r>
      <w:r w:rsidR="00AB3340">
        <w:t>ocu</w:t>
      </w:r>
      <w:r w:rsidRPr="00AF7228">
        <w:t>s</w:t>
      </w:r>
      <w:r w:rsidR="00AB3340">
        <w:t>es</w:t>
      </w:r>
      <w:r w:rsidRPr="00AF7228">
        <w:t xml:space="preserve"> on the </w:t>
      </w:r>
      <w:r w:rsidRPr="0022640E">
        <w:rPr>
          <w:b/>
        </w:rPr>
        <w:t xml:space="preserve">enablers to a </w:t>
      </w:r>
      <w:r w:rsidRPr="0022640E">
        <w:rPr>
          <w:b/>
          <w:i/>
        </w:rPr>
        <w:t>contributing life</w:t>
      </w:r>
      <w:r w:rsidRPr="0022640E">
        <w:rPr>
          <w:b/>
        </w:rPr>
        <w:t xml:space="preserve"> </w:t>
      </w:r>
      <w:r w:rsidRPr="00AF7228">
        <w:t xml:space="preserve">– tackling entrenched disadvantage and inequality, intergenerational trauma and abuse and upholding human rights. Having meaningful work (paid and unpaid), living in a safe and inclusive community and access to a healthy natural environment, are all foundations for good mental health and can be supported through both national policy and national programs.  </w:t>
      </w:r>
    </w:p>
    <w:p w14:paraId="13EC1909" w14:textId="1F99F678" w:rsidR="000D4D46" w:rsidRPr="00AF7228" w:rsidRDefault="000D4D46" w:rsidP="00D71D1B">
      <w:pPr>
        <w:pStyle w:val="BodyText"/>
      </w:pPr>
      <w:r w:rsidRPr="00AF7228">
        <w:t xml:space="preserve">Access to quality mental health care has not been achieved to date. </w:t>
      </w:r>
      <w:r w:rsidRPr="0022640E">
        <w:rPr>
          <w:b/>
          <w:i/>
        </w:rPr>
        <w:t>‘Islands of excellence’</w:t>
      </w:r>
      <w:r w:rsidRPr="00AF7228">
        <w:t>, as identified by the Productivity Commission in the Issues Paper, continue to be the best we have. We do not have whole region or even sub-regions where we see a fully functioning quality mental health care service. In western Sydney, WentWest and its partners, are making inroads but we are a ‘newbie’ and a relatively small player (in funding terms). We can do more and believe that regional planning and commissioning authorities, PHNs and their state counterparts LHDs, can play a lead</w:t>
      </w:r>
      <w:r w:rsidR="00C34200">
        <w:t>ing</w:t>
      </w:r>
      <w:r w:rsidRPr="00AF7228">
        <w:t xml:space="preserve"> role in transforming mental health care in Australia.  </w:t>
      </w:r>
    </w:p>
    <w:p w14:paraId="193A93D1" w14:textId="77777777" w:rsidR="005A367F" w:rsidRPr="00AF7228" w:rsidRDefault="005A367F" w:rsidP="005A367F">
      <w:pPr>
        <w:pStyle w:val="BodyText"/>
      </w:pPr>
      <w:r w:rsidRPr="00AF7228">
        <w:t>In this submission, we set out to provide the Productivity Commission with:</w:t>
      </w:r>
    </w:p>
    <w:p w14:paraId="77456761" w14:textId="77777777" w:rsidR="005A367F" w:rsidRPr="00AF7228" w:rsidRDefault="005A367F" w:rsidP="005A367F">
      <w:pPr>
        <w:pStyle w:val="BulletPoint"/>
      </w:pPr>
      <w:r w:rsidRPr="00AF7228">
        <w:t xml:space="preserve">An understanding of WentWest, the western Sydney region and the mental health related needs of the community, our work and its impact </w:t>
      </w:r>
      <w:r w:rsidRPr="00AD3544">
        <w:rPr>
          <w:b/>
        </w:rPr>
        <w:t>(Part A)</w:t>
      </w:r>
    </w:p>
    <w:p w14:paraId="3C9BE5C1" w14:textId="3A866399" w:rsidR="005A367F" w:rsidRPr="00AF7228" w:rsidRDefault="005A367F" w:rsidP="005A367F">
      <w:pPr>
        <w:pStyle w:val="BulletPoint"/>
      </w:pPr>
      <w:r w:rsidRPr="00AF7228">
        <w:t>An overview of the state of mental health care in Australia</w:t>
      </w:r>
      <w:r w:rsidR="00B03DF7" w:rsidRPr="00AF7228">
        <w:t xml:space="preserve"> </w:t>
      </w:r>
      <w:r w:rsidR="00B03DF7" w:rsidRPr="00AF7228">
        <w:rPr>
          <w:rStyle w:val="FootnoteReference"/>
        </w:rPr>
        <w:footnoteReference w:id="4"/>
      </w:r>
      <w:r w:rsidRPr="00AF7228">
        <w:t xml:space="preserve"> </w:t>
      </w:r>
      <w:r w:rsidRPr="00AD3544">
        <w:rPr>
          <w:b/>
        </w:rPr>
        <w:t>(Part B)</w:t>
      </w:r>
    </w:p>
    <w:p w14:paraId="43C9FE25" w14:textId="49A35102" w:rsidR="005A367F" w:rsidRPr="00AF7228" w:rsidRDefault="005A367F" w:rsidP="005A367F">
      <w:pPr>
        <w:pStyle w:val="BulletPoint"/>
      </w:pPr>
      <w:r w:rsidRPr="00AF7228">
        <w:t>Our perspective on the way forward and the role of PHNs in transforming mental health care</w:t>
      </w:r>
      <w:r w:rsidR="00B03DF7" w:rsidRPr="00AF7228">
        <w:t xml:space="preserve"> </w:t>
      </w:r>
      <w:r w:rsidRPr="00AF7228">
        <w:t xml:space="preserve">in Australia </w:t>
      </w:r>
      <w:r w:rsidRPr="00AD3544">
        <w:rPr>
          <w:b/>
        </w:rPr>
        <w:t>(Part C)</w:t>
      </w:r>
      <w:r w:rsidRPr="00AF7228">
        <w:t>.</w:t>
      </w:r>
    </w:p>
    <w:p w14:paraId="4D7F9454" w14:textId="77777777" w:rsidR="00D71D1B" w:rsidRPr="00AF7228" w:rsidRDefault="00D71D1B" w:rsidP="00D71D1B">
      <w:pPr>
        <w:pStyle w:val="BodyText"/>
        <w:rPr>
          <w:rFonts w:eastAsia="MS Gothic"/>
          <w:b/>
          <w:bCs/>
          <w:color w:val="6DB52C"/>
          <w:sz w:val="32"/>
          <w:szCs w:val="44"/>
        </w:rPr>
      </w:pPr>
    </w:p>
    <w:p w14:paraId="46D936DC" w14:textId="77777777" w:rsidR="00DC1125" w:rsidRPr="00AF7228" w:rsidRDefault="00DC1125" w:rsidP="00B7158B">
      <w:pPr>
        <w:pStyle w:val="BodyText"/>
        <w:sectPr w:rsidR="00DC1125" w:rsidRPr="00AF7228" w:rsidSect="00BB7C2B">
          <w:headerReference w:type="default" r:id="rId20"/>
          <w:pgSz w:w="11900" w:h="16840" w:code="9"/>
          <w:pgMar w:top="1361" w:right="1361" w:bottom="1361" w:left="1361" w:header="680" w:footer="680" w:gutter="0"/>
          <w:pgNumType w:fmt="lowerRoman"/>
          <w:cols w:space="708"/>
          <w:docGrid w:linePitch="273"/>
        </w:sectPr>
      </w:pPr>
    </w:p>
    <w:p w14:paraId="4C1766A5" w14:textId="77777777" w:rsidR="00713158" w:rsidRPr="00AF7228" w:rsidRDefault="00713158" w:rsidP="00713158">
      <w:pPr>
        <w:spacing w:before="0" w:after="0"/>
      </w:pPr>
      <w:r w:rsidRPr="00AF7228">
        <w:rPr>
          <w:noProof/>
          <w:lang w:eastAsia="en-AU"/>
        </w:rPr>
        <w:lastRenderedPageBreak/>
        <mc:AlternateContent>
          <mc:Choice Requires="wpg">
            <w:drawing>
              <wp:inline distT="0" distB="0" distL="0" distR="0" wp14:anchorId="38B963CB" wp14:editId="3B363ED5">
                <wp:extent cx="5769610" cy="6350"/>
                <wp:effectExtent l="0" t="0" r="0" b="0"/>
                <wp:docPr id="108"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9610" cy="6350"/>
                          <a:chOff x="0" y="0"/>
                          <a:chExt cx="9086" cy="10"/>
                        </a:xfrm>
                      </wpg:grpSpPr>
                      <wps:wsp>
                        <wps:cNvPr id="109" name="Line 104"/>
                        <wps:cNvCnPr>
                          <a:cxnSpLocks/>
                        </wps:cNvCnPr>
                        <wps:spPr bwMode="auto">
                          <a:xfrm>
                            <a:off x="0" y="5"/>
                            <a:ext cx="9086" cy="0"/>
                          </a:xfrm>
                          <a:prstGeom prst="line">
                            <a:avLst/>
                          </a:prstGeom>
                          <a:noFill/>
                          <a:ln w="6096">
                            <a:solidFill>
                              <a:srgbClr val="00ADEE"/>
                            </a:solidFill>
                            <a:prstDash val="sysDot"/>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0BE5361" id="Group 103" o:spid="_x0000_s1026" style="width:454.3pt;height:.5pt;mso-position-horizontal-relative:char;mso-position-vertical-relative:line" coordsize="908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k7wdAIAAIMFAAAOAAAAZHJzL2Uyb0RvYy54bWykVF1v2yAUfZ+0/4D8ntpOHDexmlRV7PSl&#10;2yp1+wEE8IeGAQGNE03777uAkzbtS9W92MD94Nxz7uXm9tBztGfadFKsovQqiRATRNJONKvo18/t&#10;ZBEhY7GgmEvBVtGRmeh2/fXLzaAKNpWt5JRpBEmEKQa1ilprVRHHhrSsx+ZKKibAWEvdYwtb3cRU&#10;4wGy9zyeJkkeD1JTpSVhxsBpGYzR2ueva0bsj7o2zCK+igCb9V/tvzv3jdc3uGg0Vm1HRhj4Eyh6&#10;3Am49JyqxBajZ929S9V3REsja3tFZB/Luu4I8zVANWnyppp7LZ+Vr6UphkadaQJq3/D06bTk+/5R&#10;o46CdglIJXAPIvl7UZrMHD2DagrwutfqST3qUCMsHyT5bcAcv7W7fROc0W74JikkxM9WenoOte5d&#10;CigcHbwKx7MK7GARgcP5db7MUxCLgC2fzUeRSAtKvgsibTWGLZNFHmIg1gHDRbjNIxwRuXKg0cwL&#10;l+b/uHxqsWJeIuNYOnO5PHH50AkGVGaBSu+0EYFHchAXPL4yOpQG6P4gg/PQxycGX6i4ZAIXSht7&#10;z2SP3GIVcQDndcH7B2MDaScXJ5OQ245zOMcFF2gAOZJl7gOM5B11RmczutltuEZ77KYsuSuralTg&#10;ws1lLrFpg585mlLaABz6XFB/Tcswrca1xR0Pa9CSC3cTVAhAx1UYsD/LZFktqkU2yaZ5NcmSspzc&#10;bTfZJN+m1/NyVm42ZfrXgU6zou0oZcLhPg17mn2sAcZnJ4zpedzPBMWX2X37AdjT34OGRgyqhi7c&#10;SXp81I70sSf9yk+6DxtfJfeUvN57r5e3c/0PAAD//wMAUEsDBBQABgAIAAAAIQAwP/Rn3wAAAAgB&#10;AAAPAAAAZHJzL2Rvd25yZXYueG1sTI/NasMwEITvhb6D2EBvjeSWhtSxHEL6cwqFJIWSm2JtbBNr&#10;ZSzFdt6+217ay8Ayu7PzZcvRNaLHLtSeNCRTBQKp8LamUsPn/u1+DiJEQ9Y0nlDDFQMs89ubzKTW&#10;D7TFfhdLwSEUUqOhirFNpQxFhc6EqW+R2Dv5zpnIY1dK25mBw10jH5SaSWdq4g+VaXFdYXHeXZyG&#10;98EMq8fktd+cT+vrYf/08bVJUOu7yfiyYFktQEQc498F/DBwf8i52NFfyAbRaGCa+KvsPav5DMSR&#10;lxTIPJP/AfJvAAAA//8DAFBLAQItABQABgAIAAAAIQC2gziS/gAAAOEBAAATAAAAAAAAAAAAAAAA&#10;AAAAAABbQ29udGVudF9UeXBlc10ueG1sUEsBAi0AFAAGAAgAAAAhADj9If/WAAAAlAEAAAsAAAAA&#10;AAAAAAAAAAAALwEAAF9yZWxzLy5yZWxzUEsBAi0AFAAGAAgAAAAhAEjSTvB0AgAAgwUAAA4AAAAA&#10;AAAAAAAAAAAALgIAAGRycy9lMm9Eb2MueG1sUEsBAi0AFAAGAAgAAAAhADA/9GffAAAACAEAAA8A&#10;AAAAAAAAAAAAAAAAzgQAAGRycy9kb3ducmV2LnhtbFBLBQYAAAAABAAEAPMAAADaBQAAAAA=&#10;">
                <v:line id="Line 104" o:spid="_x0000_s1027" style="position:absolute;visibility:visible;mso-wrap-style:square" from="0,5" to="90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tBayAAAAOEAAAAPAAAAZHJzL2Rvd25yZXYueG1sRI/dasJA&#10;EEbvBd9hGaE3UjcKtWl0FU0pFe+0PsCQnfxgdjZmNzF9+25B8GaY4eM7w1lvB1OLnlpXWVYwn0Ug&#10;iDOrKy4UXH6+XmMQziNrrC2Tgl9ysN2MR2tMtL3zifqzL0SAsEtQQel9k0jpspIMupltiEOW29ag&#10;D2dbSN3iPcBNLRdRtJQGKw4fSmwoLSm7njuj4D095t9drPNb2r81l/g23af7TqmXyfC5CmO3AuFp&#10;8M/GA3HQwSH6gH+jsIHc/AEAAP//AwBQSwECLQAUAAYACAAAACEA2+H2y+4AAACFAQAAEwAAAAAA&#10;AAAAAAAAAAAAAAAAW0NvbnRlbnRfVHlwZXNdLnhtbFBLAQItABQABgAIAAAAIQBa9CxbvwAAABUB&#10;AAALAAAAAAAAAAAAAAAAAB8BAABfcmVscy8ucmVsc1BLAQItABQABgAIAAAAIQAj0tBayAAAAOEA&#10;AAAPAAAAAAAAAAAAAAAAAAcCAABkcnMvZG93bnJldi54bWxQSwUGAAAAAAMAAwC3AAAA/AIAAAAA&#10;" strokecolor="#00adee" strokeweight=".48pt">
                  <v:stroke dashstyle="1 1"/>
                  <o:lock v:ext="edit" shapetype="f"/>
                </v:line>
                <w10:anchorlock/>
              </v:group>
            </w:pict>
          </mc:Fallback>
        </mc:AlternateContent>
      </w:r>
    </w:p>
    <w:p w14:paraId="38C9A8AD" w14:textId="77777777" w:rsidR="00713158" w:rsidRPr="00AF7228" w:rsidRDefault="00713158" w:rsidP="00117D83">
      <w:pPr>
        <w:pStyle w:val="Heading1"/>
      </w:pPr>
      <w:bookmarkStart w:id="1" w:name="_Toc6238793"/>
      <w:r w:rsidRPr="00AF7228">
        <w:t>Introduction</w:t>
      </w:r>
      <w:bookmarkEnd w:id="1"/>
    </w:p>
    <w:p w14:paraId="2B58BB6F" w14:textId="77777777" w:rsidR="00713158" w:rsidRPr="00AF7228" w:rsidRDefault="00713158" w:rsidP="00713158">
      <w:pPr>
        <w:spacing w:before="0" w:after="0"/>
      </w:pPr>
      <w:r w:rsidRPr="00AF7228">
        <w:rPr>
          <w:noProof/>
          <w:lang w:eastAsia="en-AU"/>
        </w:rPr>
        <mc:AlternateContent>
          <mc:Choice Requires="wpg">
            <w:drawing>
              <wp:inline distT="0" distB="0" distL="0" distR="0" wp14:anchorId="2B155449" wp14:editId="6C4F455D">
                <wp:extent cx="5769610" cy="6350"/>
                <wp:effectExtent l="0" t="0" r="0" b="0"/>
                <wp:docPr id="106"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9610" cy="6350"/>
                          <a:chOff x="0" y="0"/>
                          <a:chExt cx="9086" cy="10"/>
                        </a:xfrm>
                      </wpg:grpSpPr>
                      <wps:wsp>
                        <wps:cNvPr id="107" name="Line 102"/>
                        <wps:cNvCnPr>
                          <a:cxnSpLocks/>
                        </wps:cNvCnPr>
                        <wps:spPr bwMode="auto">
                          <a:xfrm>
                            <a:off x="0" y="5"/>
                            <a:ext cx="9086" cy="0"/>
                          </a:xfrm>
                          <a:prstGeom prst="line">
                            <a:avLst/>
                          </a:prstGeom>
                          <a:noFill/>
                          <a:ln w="6096">
                            <a:solidFill>
                              <a:srgbClr val="00ADEE"/>
                            </a:solidFill>
                            <a:prstDash val="sysDot"/>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1C0CDFA" id="Group 101" o:spid="_x0000_s1026" style="width:454.3pt;height:.5pt;mso-position-horizontal-relative:char;mso-position-vertical-relative:line" coordsize="908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un9dgIAAIMFAAAOAAAAZHJzL2Uyb0RvYy54bWykVF1v2yAUfZ+0/4D8ntpOEzexklRV7PSl&#10;2yJ1+wEE8IeGAQGJE03777uAkzbtS9W92MD94Nxz7mVxf+w4OjBtWimWUXqTRIgJImkr6mX06+dm&#10;NIuQsVhQzKVgy+jETHS/+vpl0aucjWUjOWUaQRJh8l4to8ZalcexIQ3rsLmRigkwVlJ32MJW1zHV&#10;uIfsHY/HSZLFvdRUaUmYMXBaBGO08vmrihH7o6oMs4gvI8Bm/Vf7785949UC57XGqmnJAAN/AkWH&#10;WwGXXlIV2GK01+27VF1LtDSysjdEdrGsqpYwXwNUkyZvqnnUcq98LXXe1+pCE1D7hqdPpyXfD1uN&#10;WgraJVmEBO5AJH8vSpPU0dOrOgevR62e1VaHGmH5JMlvA+b4rd3t6+CMdv03SSEh3lvp6TlWunMp&#10;oHB09CqcLiqwo0UEDqd32TxLQSwCtux2OohEGlDyXRBpyiFsnsygABcDsQ4YzsNtHuGAyJUDjWZe&#10;uDT/x+VzgxXzEhnH0oXLuzOXT61gQOU4UOmd1iLwSI7iisdXRofSAN0fZHAa+vjM4AsV10zgXGlj&#10;H5nskFssIw7gvC748GRsIO3s4mQSctNyDuc45wL1IEcyz3yAkbylzuhsRte7NdfogN2UJQ9FWQ4K&#10;XLm5zAU2TfAzJ1NIG4BDnwvqr2kYpuWwtrjlYQ1acuFuggoB6LAKA/ZnnszLWTmbjCbjrBxNkqIY&#10;PWzWk1G2Se+mxW2xXhfpXwc6neRNSykTDvd52NPJxxpgeHbCmF7G/UJQfJ3dtx+APf89aGjEoGro&#10;wp2kp612pA896Vd+0n3Y8Cq5p+T13nu9vJ2rfwAAAP//AwBQSwMEFAAGAAgAAAAhADA/9GffAAAA&#10;CAEAAA8AAABkcnMvZG93bnJldi54bWxMj81qwzAQhO+FvoPYQG+N5JaG1LEcQvpzCoUkhZKbYm1s&#10;E2tlLMV23r7bXtrLwDK7s/Nly9E1oscu1J40JFMFAqnwtqZSw+f+7X4OIkRD1jSeUMMVAyzz25vM&#10;pNYPtMV+F0vBIRRSo6GKsU2lDEWFzoSpb5HYO/nOmchjV0rbmYHDXSMflJpJZ2riD5VpcV1hcd5d&#10;nIb3wQyrx+S135xP6+th//TxtUlQ67vJ+LJgWS1ARBzj3wX8MHB/yLnY0V/IBtFoYJr4q+w9q/kM&#10;xJGXFMg8k/8B8m8AAAD//wMAUEsBAi0AFAAGAAgAAAAhALaDOJL+AAAA4QEAABMAAAAAAAAAAAAA&#10;AAAAAAAAAFtDb250ZW50X1R5cGVzXS54bWxQSwECLQAUAAYACAAAACEAOP0h/9YAAACUAQAACwAA&#10;AAAAAAAAAAAAAAAvAQAAX3JlbHMvLnJlbHNQSwECLQAUAAYACAAAACEAAsbp/XYCAACDBQAADgAA&#10;AAAAAAAAAAAAAAAuAgAAZHJzL2Uyb0RvYy54bWxQSwECLQAUAAYACAAAACEAMD/0Z98AAAAIAQAA&#10;DwAAAAAAAAAAAAAAAADQBAAAZHJzL2Rvd25yZXYueG1sUEsFBgAAAAAEAAQA8wAAANwFAAAAAA==&#10;">
                <v:line id="Line 102" o:spid="_x0000_s1027" style="position:absolute;visibility:visible;mso-wrap-style:square" from="0,5" to="90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eGzyAAAAOEAAAAPAAAAZHJzL2Rvd25yZXYueG1sRI/dasJA&#10;EEbvBd9hGcEbqRsLNSG6iqZIxbtaH2DITn5odjZmNzF9+65Q6M0ww8d3hrPdj6YRA3WutqxgtYxA&#10;EOdW11wquH2dXhIQziNrbCyTgh9ysN9NJ1tMtX3wJw1XX4oAYZeigsr7NpXS5RUZdEvbEoessJ1B&#10;H86ulLrDR4CbRr5G0VoarDl8qLClrKL8+9obBXF2KT76RBf3bHhrb8l9ccyOvVLz2fi+CeOwAeFp&#10;9P+NP8RZB4cohqdR2EDufgEAAP//AwBQSwECLQAUAAYACAAAACEA2+H2y+4AAACFAQAAEwAAAAAA&#10;AAAAAAAAAAAAAAAAW0NvbnRlbnRfVHlwZXNdLnhtbFBLAQItABQABgAIAAAAIQBa9CxbvwAAABUB&#10;AAALAAAAAAAAAAAAAAAAAB8BAABfcmVscy8ucmVsc1BLAQItABQABgAIAAAAIQA9AeGzyAAAAOEA&#10;AAAPAAAAAAAAAAAAAAAAAAcCAABkcnMvZG93bnJldi54bWxQSwUGAAAAAAMAAwC3AAAA/AIAAAAA&#10;" strokecolor="#00adee" strokeweight=".48pt">
                  <v:stroke dashstyle="1 1"/>
                  <o:lock v:ext="edit" shapetype="f"/>
                </v:line>
                <w10:anchorlock/>
              </v:group>
            </w:pict>
          </mc:Fallback>
        </mc:AlternateContent>
      </w:r>
    </w:p>
    <w:p w14:paraId="061B48DA" w14:textId="77777777" w:rsidR="00713158" w:rsidRPr="00AF7228" w:rsidRDefault="00713158" w:rsidP="00713158">
      <w:pPr>
        <w:spacing w:before="0" w:after="0"/>
        <w:rPr>
          <w:b/>
        </w:rPr>
      </w:pPr>
    </w:p>
    <w:p w14:paraId="5FC67729" w14:textId="77777777" w:rsidR="00713158" w:rsidRPr="00AF7228" w:rsidRDefault="00713158" w:rsidP="00713158">
      <w:pPr>
        <w:pStyle w:val="BodyText"/>
      </w:pPr>
      <w:r w:rsidRPr="00AF7228">
        <w:t xml:space="preserve">The Western Sydney Primary Health Network (WentWest) is pleased to present this submission to the Productivity Commission Inquiry (the Inquiry) into the role of improving mental health to support economic participation and enhancing productivity and economic growth. </w:t>
      </w:r>
    </w:p>
    <w:p w14:paraId="7A307C59" w14:textId="586012FB" w:rsidR="00D71D1B" w:rsidRPr="00AF7228" w:rsidRDefault="00D71D1B" w:rsidP="00713158">
      <w:pPr>
        <w:pStyle w:val="BodyText"/>
      </w:pPr>
      <w:r w:rsidRPr="00AB3340">
        <w:t xml:space="preserve">Good mental health is a pre-requisite for any individual to lead a </w:t>
      </w:r>
      <w:r w:rsidRPr="00AD3544">
        <w:rPr>
          <w:b/>
          <w:i/>
        </w:rPr>
        <w:t>contributing life</w:t>
      </w:r>
      <w:r w:rsidRPr="00AB3340">
        <w:t xml:space="preserve">. A mentally healthy community is one where everyone can contribute, has a sense of belonging and can access the health care and support they need throughout their lifespan. The cost of mental illness to Australia and the western Sydney region requires a transformation in the way we address mental health needs. </w:t>
      </w:r>
    </w:p>
    <w:p w14:paraId="5BD640ED" w14:textId="5719D4EC" w:rsidR="00713158" w:rsidRPr="00AF7228" w:rsidRDefault="00713158" w:rsidP="00713158">
      <w:pPr>
        <w:pStyle w:val="BodyText"/>
      </w:pPr>
      <w:r w:rsidRPr="00AF7228">
        <w:t>WentWest has been delivering mental health services for the past nine years. We have maintained throughout this time a clear and resolute focus on developing and implementing a strategic vision for mental health for the western Sydney region. We have set out</w:t>
      </w:r>
      <w:r w:rsidR="00C34200">
        <w:t>,</w:t>
      </w:r>
      <w:r w:rsidRPr="00AF7228">
        <w:t xml:space="preserve"> in both short term and longer term plans to regionally commission services that will build capacity and strengthen mental health and suicide prevention service activities across western Sydney.</w:t>
      </w:r>
    </w:p>
    <w:p w14:paraId="4585A68E" w14:textId="77777777" w:rsidR="00713158" w:rsidRPr="00AF7228" w:rsidRDefault="00713158" w:rsidP="00713158">
      <w:pPr>
        <w:spacing w:before="0" w:after="0"/>
      </w:pPr>
      <w:r w:rsidRPr="00AF7228">
        <w:t>Our approach has been built on:</w:t>
      </w:r>
    </w:p>
    <w:p w14:paraId="335362FD" w14:textId="77777777" w:rsidR="00713158" w:rsidRPr="00AF7228" w:rsidRDefault="00713158" w:rsidP="00713158">
      <w:pPr>
        <w:pStyle w:val="BulletPoint"/>
      </w:pPr>
      <w:r w:rsidRPr="00AF7228">
        <w:t>Strengthening general practice</w:t>
      </w:r>
    </w:p>
    <w:p w14:paraId="21094FBD" w14:textId="190A7190" w:rsidR="00713158" w:rsidRPr="00AF7228" w:rsidRDefault="009814AF" w:rsidP="00713158">
      <w:pPr>
        <w:pStyle w:val="BulletPoint"/>
      </w:pPr>
      <w:r w:rsidRPr="00AF7228">
        <w:t>Evidence-informed policy built on comprehensive d</w:t>
      </w:r>
      <w:r w:rsidR="00713158" w:rsidRPr="00AF7228">
        <w:t xml:space="preserve">ata </w:t>
      </w:r>
    </w:p>
    <w:p w14:paraId="7D44D89A" w14:textId="77777777" w:rsidR="00713158" w:rsidRPr="00AF7228" w:rsidRDefault="00713158" w:rsidP="00713158">
      <w:pPr>
        <w:pStyle w:val="BulletPoint"/>
      </w:pPr>
      <w:r w:rsidRPr="00AF7228">
        <w:t>Applying best practice person-centred care</w:t>
      </w:r>
    </w:p>
    <w:p w14:paraId="55368F12" w14:textId="77777777" w:rsidR="00713158" w:rsidRPr="00AF7228" w:rsidRDefault="00713158" w:rsidP="00713158">
      <w:pPr>
        <w:pStyle w:val="BulletPoint"/>
      </w:pPr>
      <w:r w:rsidRPr="00AF7228">
        <w:t>Engaging and learning from the best – be they across Sydney or across the world</w:t>
      </w:r>
    </w:p>
    <w:p w14:paraId="291B7A96" w14:textId="77777777" w:rsidR="00713158" w:rsidRPr="00AF7228" w:rsidRDefault="00713158" w:rsidP="00713158">
      <w:pPr>
        <w:pStyle w:val="BulletPoint"/>
      </w:pPr>
      <w:r w:rsidRPr="00AF7228">
        <w:t xml:space="preserve">Leveraging the extensive and experienced mental health workforce </w:t>
      </w:r>
    </w:p>
    <w:p w14:paraId="1E3A8630" w14:textId="77777777" w:rsidR="00713158" w:rsidRPr="00AF7228" w:rsidRDefault="00713158" w:rsidP="00713158">
      <w:pPr>
        <w:pStyle w:val="BulletPoint"/>
      </w:pPr>
      <w:r w:rsidRPr="00AF7228">
        <w:t>Applying systems approaches to the development of services and achieve the ‘Quadruple Aim’ in health care</w:t>
      </w:r>
    </w:p>
    <w:p w14:paraId="463AB408" w14:textId="77777777" w:rsidR="00713158" w:rsidRPr="00AF7228" w:rsidRDefault="00713158" w:rsidP="00713158">
      <w:pPr>
        <w:pStyle w:val="BodyText"/>
      </w:pPr>
      <w:r w:rsidRPr="00AF7228">
        <w:t xml:space="preserve">The Productivity Commission Inquiry comes at a critical time in the history of mental health services in Australia. In 2014, the National Mental Health Commission laid out </w:t>
      </w:r>
      <w:r w:rsidRPr="00AD3544">
        <w:rPr>
          <w:b/>
        </w:rPr>
        <w:t xml:space="preserve">a compelling case for transforming mental health care </w:t>
      </w:r>
      <w:r w:rsidRPr="00AF7228">
        <w:t>in its national review of programmes and services.</w:t>
      </w:r>
      <w:r w:rsidRPr="00AF7228">
        <w:rPr>
          <w:vertAlign w:val="superscript"/>
        </w:rPr>
        <w:footnoteReference w:id="5"/>
      </w:r>
      <w:r w:rsidRPr="00AF7228">
        <w:rPr>
          <w:vertAlign w:val="superscript"/>
        </w:rPr>
        <w:t xml:space="preserve"> </w:t>
      </w:r>
      <w:r w:rsidRPr="00AF7228">
        <w:t xml:space="preserve">Unlike many previous reviews into the mental health service system, the NMHC took a </w:t>
      </w:r>
      <w:r w:rsidRPr="00AD3544">
        <w:rPr>
          <w:b/>
          <w:i/>
        </w:rPr>
        <w:t>whole-of-person, whole-of-life</w:t>
      </w:r>
      <w:r w:rsidRPr="00AF7228">
        <w:t xml:space="preserve"> approach to mental health and wellbeing and accordingly undertook a cross-portfolio assessment of the strengths and weaknesses of the mental health system as a whole. </w:t>
      </w:r>
    </w:p>
    <w:p w14:paraId="55197384" w14:textId="5D256D24" w:rsidR="00713158" w:rsidRPr="00AF7228" w:rsidRDefault="00713158" w:rsidP="00713158">
      <w:pPr>
        <w:pStyle w:val="BodyText"/>
      </w:pPr>
      <w:r w:rsidRPr="00AF7228">
        <w:t>The NMHC’s recommended reforms were reviewed and endorsed by the Australian Government in November 2015.</w:t>
      </w:r>
      <w:r w:rsidRPr="00AF7228">
        <w:rPr>
          <w:vertAlign w:val="superscript"/>
        </w:rPr>
        <w:footnoteReference w:id="6"/>
      </w:r>
      <w:r w:rsidR="009814AF" w:rsidRPr="00AF7228">
        <w:t xml:space="preserve"> A</w:t>
      </w:r>
      <w:r w:rsidRPr="00AF7228">
        <w:t xml:space="preserve"> </w:t>
      </w:r>
      <w:r w:rsidR="009814AF" w:rsidRPr="00AF7228">
        <w:t xml:space="preserve">critical strategic direction in the Review endorsed by Government was to extend and strengthen the role of the Primary Health Networks as the key regional architecture for equitable planning and purchasing of mental health programmes, services and integrated care pathways. </w:t>
      </w:r>
    </w:p>
    <w:p w14:paraId="096C3256" w14:textId="06663DE1" w:rsidR="00D71D1B" w:rsidRPr="00AF7228" w:rsidRDefault="00D71D1B">
      <w:pPr>
        <w:spacing w:before="0" w:after="0"/>
      </w:pPr>
      <w:r w:rsidRPr="00AF7228">
        <w:br w:type="page"/>
      </w:r>
    </w:p>
    <w:p w14:paraId="1B609351" w14:textId="77777777" w:rsidR="003B145C" w:rsidRPr="00AF7228" w:rsidRDefault="003B145C" w:rsidP="00713158">
      <w:pPr>
        <w:spacing w:before="0" w:after="0"/>
      </w:pPr>
    </w:p>
    <w:p w14:paraId="48FAC2C9" w14:textId="77777777" w:rsidR="003B145C" w:rsidRPr="00AF7228" w:rsidRDefault="003B145C" w:rsidP="00713158">
      <w:pPr>
        <w:spacing w:before="0" w:after="0"/>
      </w:pPr>
    </w:p>
    <w:p w14:paraId="65D63C32" w14:textId="77777777" w:rsidR="003B145C" w:rsidRPr="00AF7228" w:rsidRDefault="003B145C" w:rsidP="00713158">
      <w:pPr>
        <w:spacing w:before="0" w:after="0"/>
      </w:pPr>
    </w:p>
    <w:p w14:paraId="0572F2FF" w14:textId="77777777" w:rsidR="003B145C" w:rsidRPr="00AF7228" w:rsidRDefault="003B145C" w:rsidP="00713158">
      <w:pPr>
        <w:spacing w:before="0" w:after="0"/>
      </w:pPr>
    </w:p>
    <w:p w14:paraId="488AAF3C" w14:textId="020142F9" w:rsidR="00713158" w:rsidRPr="00AF7228" w:rsidRDefault="00713158" w:rsidP="00713158">
      <w:pPr>
        <w:spacing w:before="0" w:after="0"/>
      </w:pPr>
      <w:r w:rsidRPr="00AF7228">
        <w:rPr>
          <w:noProof/>
          <w:lang w:eastAsia="en-AU"/>
        </w:rPr>
        <mc:AlternateContent>
          <mc:Choice Requires="wpg">
            <w:drawing>
              <wp:inline distT="0" distB="0" distL="0" distR="0" wp14:anchorId="25147B61" wp14:editId="1DCDF921">
                <wp:extent cx="5769610" cy="6350"/>
                <wp:effectExtent l="0" t="0" r="0" b="0"/>
                <wp:docPr id="117"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9610" cy="6350"/>
                          <a:chOff x="0" y="0"/>
                          <a:chExt cx="9086" cy="10"/>
                        </a:xfrm>
                      </wpg:grpSpPr>
                      <wps:wsp>
                        <wps:cNvPr id="119" name="Line 104"/>
                        <wps:cNvCnPr>
                          <a:cxnSpLocks/>
                        </wps:cNvCnPr>
                        <wps:spPr bwMode="auto">
                          <a:xfrm>
                            <a:off x="0" y="5"/>
                            <a:ext cx="9086" cy="0"/>
                          </a:xfrm>
                          <a:prstGeom prst="line">
                            <a:avLst/>
                          </a:prstGeom>
                          <a:noFill/>
                          <a:ln w="6096">
                            <a:solidFill>
                              <a:srgbClr val="00ADEE"/>
                            </a:solidFill>
                            <a:prstDash val="sysDot"/>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C359AED" id="Group 103" o:spid="_x0000_s1026" style="width:454.3pt;height:.5pt;mso-position-horizontal-relative:char;mso-position-vertical-relative:line" coordsize="908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bKvdQIAAIMFAAAOAAAAZHJzL2Uyb0RvYy54bWykVF1v2yAUfZ+0/4D8ntpOHDexmlRV7PSl&#10;2yp1+wEE8IeGAQGNE03777uAkzbtS9W92MD94Nxz7uXm9tBztGfadFKsovQqiRATRNJONKvo18/t&#10;ZBEhY7GgmEvBVtGRmeh2/fXLzaAKNpWt5JRpBEmEKQa1ilprVRHHhrSsx+ZKKibAWEvdYwtb3cRU&#10;4wGy9zyeJkkeD1JTpSVhxsBpGYzR2ueva0bsj7o2zCK+igCb9V/tvzv3jdc3uGg0Vm1HRhj4Eyh6&#10;3Am49JyqxBajZ929S9V3REsja3tFZB/Luu4I8zVANWnyppp7LZ+Vr6UphkadaQJq3/D06bTk+/5R&#10;o46Cdul1hATuQSR/L0qTmaNnUE0BXvdaPalHHWqE5YMkvw2Y47d2t2+CM9oN3ySFhPjZSk/Poda9&#10;SwGFo4NX4XhWgR0sInA4v86XeQpiEbDls/koEmlByXdBpK3GsGWyyEMMxDpguAi3eYQjIlcONJp5&#10;4dL8H5dPLVbMS2QcS2culycuHzrBgMosUOmdNiLwSA7igsdXRofSAN0fZHAe+vjE4AsVl0zgQmlj&#10;75nskVusIg7gvC54/2BsIO3k4mQScttxDue44AINIEeyzH2AkbyjzuhsRje7Dddoj92UJXdlVY0K&#10;XLi5zCU2bfAzR1NKG4BDnwvqr2kZptW4trjjYQ1acuFuggoB6LgKA/ZnmSyrRbXIJtk0ryZZUpaT&#10;u+0mm+Tb9HpezsrNpkz/OtBpVrQdpUw43KdhT7OPNcD47IQxPY/7maD4MrtvPwB7+nvQ0IhB1dCF&#10;O0mPj9qRPvakX/lJ92Hjq+Sektd77/Xydq7/AQAA//8DAFBLAwQUAAYACAAAACEAMD/0Z98AAAAI&#10;AQAADwAAAGRycy9kb3ducmV2LnhtbEyPzWrDMBCE74W+g9hAb43klobUsRxC+nMKhSSFkptibWwT&#10;a2UsxXbevtte2svAMruz82XL0TWixy7UnjQkUwUCqfC2plLD5/7tfg4iREPWNJ5QwxUDLPPbm8yk&#10;1g+0xX4XS8EhFFKjoYqxTaUMRYXOhKlvkdg7+c6ZyGNXStuZgcNdIx+UmklnauIPlWlxXWFx3l2c&#10;hvfBDKvH5LXfnE/r62H/9PG1SVDru8n4smBZLUBEHOPfBfwwcH/IudjRX8gG0Whgmvir7D2r+QzE&#10;kZcUyDyT/wHybwAAAP//AwBQSwECLQAUAAYACAAAACEAtoM4kv4AAADhAQAAEwAAAAAAAAAAAAAA&#10;AAAAAAAAW0NvbnRlbnRfVHlwZXNdLnhtbFBLAQItABQABgAIAAAAIQA4/SH/1gAAAJQBAAALAAAA&#10;AAAAAAAAAAAAAC8BAABfcmVscy8ucmVsc1BLAQItABQABgAIAAAAIQDaLbKvdQIAAIMFAAAOAAAA&#10;AAAAAAAAAAAAAC4CAABkcnMvZTJvRG9jLnhtbFBLAQItABQABgAIAAAAIQAwP/Rn3wAAAAgBAAAP&#10;AAAAAAAAAAAAAAAAAM8EAABkcnMvZG93bnJldi54bWxQSwUGAAAAAAQABADzAAAA2wUAAAAA&#10;">
                <v:line id="Line 104" o:spid="_x0000_s1027" style="position:absolute;visibility:visible;mso-wrap-style:square" from="0,5" to="90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0aHyAAAAOEAAAAPAAAAZHJzL2Rvd25yZXYueG1sRI/dasJA&#10;EEbvhb7DMoXeSN0o1KbRVTRFFO9qfYAhO/mh2dmY3cT49l1B8GaY4eM7w1muB1OLnlpXWVYwnUQg&#10;iDOrKy4UnH937zEI55E11pZJwY0crFcvoyUm2l75h/qTL0SAsEtQQel9k0jpspIMuoltiEOW29ag&#10;D2dbSN3iNcBNLWdRNJcGKw4fSmwoLSn7O3VGwWd6zPddrPNL2n805/gy3qbbTqm31+F7EcZmAcLT&#10;4J+NB+Kgg8P0C+5GYQO5+gcAAP//AwBQSwECLQAUAAYACAAAACEA2+H2y+4AAACFAQAAEwAAAAAA&#10;AAAAAAAAAAAAAAAAW0NvbnRlbnRfVHlwZXNdLnhtbFBLAQItABQABgAIAAAAIQBa9CxbvwAAABUB&#10;AAALAAAAAAAAAAAAAAAAAB8BAABfcmVscy8ucmVsc1BLAQItABQABgAIAAAAIQCmC0aHyAAAAOEA&#10;AAAPAAAAAAAAAAAAAAAAAAcCAABkcnMvZG93bnJldi54bWxQSwUGAAAAAAMAAwC3AAAA/AIAAAAA&#10;" strokecolor="#00adee" strokeweight=".48pt">
                  <v:stroke dashstyle="1 1"/>
                  <o:lock v:ext="edit" shapetype="f"/>
                </v:line>
                <w10:anchorlock/>
              </v:group>
            </w:pict>
          </mc:Fallback>
        </mc:AlternateContent>
      </w:r>
    </w:p>
    <w:p w14:paraId="0B7161B9" w14:textId="6976F212" w:rsidR="00713158" w:rsidRPr="00AF7228" w:rsidRDefault="00713158" w:rsidP="00117D83">
      <w:pPr>
        <w:pStyle w:val="Heading1"/>
      </w:pPr>
      <w:bookmarkStart w:id="2" w:name="_Toc6238794"/>
      <w:r w:rsidRPr="00AF7228">
        <w:t xml:space="preserve">PART A </w:t>
      </w:r>
      <w:r w:rsidR="00D36A42" w:rsidRPr="00AF7228">
        <w:t>- WentWest PHN &amp; Our Region</w:t>
      </w:r>
      <w:bookmarkEnd w:id="2"/>
    </w:p>
    <w:p w14:paraId="17BEB047" w14:textId="77777777" w:rsidR="00713158" w:rsidRPr="00AF7228" w:rsidRDefault="00713158" w:rsidP="00713158">
      <w:pPr>
        <w:spacing w:before="0" w:after="0"/>
      </w:pPr>
      <w:r w:rsidRPr="00AF7228">
        <w:rPr>
          <w:noProof/>
          <w:lang w:eastAsia="en-AU"/>
        </w:rPr>
        <mc:AlternateContent>
          <mc:Choice Requires="wpg">
            <w:drawing>
              <wp:inline distT="0" distB="0" distL="0" distR="0" wp14:anchorId="01DB2602" wp14:editId="4F4DC4FC">
                <wp:extent cx="5769610" cy="6350"/>
                <wp:effectExtent l="0" t="0" r="0" b="0"/>
                <wp:docPr id="120"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9610" cy="6350"/>
                          <a:chOff x="0" y="0"/>
                          <a:chExt cx="9086" cy="10"/>
                        </a:xfrm>
                      </wpg:grpSpPr>
                      <wps:wsp>
                        <wps:cNvPr id="121" name="Line 102"/>
                        <wps:cNvCnPr>
                          <a:cxnSpLocks/>
                        </wps:cNvCnPr>
                        <wps:spPr bwMode="auto">
                          <a:xfrm>
                            <a:off x="0" y="5"/>
                            <a:ext cx="9086" cy="0"/>
                          </a:xfrm>
                          <a:prstGeom prst="line">
                            <a:avLst/>
                          </a:prstGeom>
                          <a:noFill/>
                          <a:ln w="6096">
                            <a:solidFill>
                              <a:srgbClr val="00ADEE"/>
                            </a:solidFill>
                            <a:prstDash val="sysDot"/>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563B060" id="Group 101" o:spid="_x0000_s1026" style="width:454.3pt;height:.5pt;mso-position-horizontal-relative:char;mso-position-vertical-relative:line" coordsize="908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m+/dAIAAIMFAAAOAAAAZHJzL2Uyb0RvYy54bWykVF1v2yAUfZ+0/4D8ntpOEzexklRV7PSl&#10;2yJ1+wEE8IeGAQGJE03777uAkzbtS9W92MD94Nxz7mVxf+w4OjBtWimWUXqTRIgJImkr6mX06+dm&#10;NIuQsVhQzKVgy+jETHS/+vpl0aucjWUjOWUaQRJh8l4to8ZalcexIQ3rsLmRigkwVlJ32MJW1zHV&#10;uIfsHY/HSZLFvdRUaUmYMXBaBGO08vmrihH7o6oMs4gvI8Bm/Vf7785949UC57XGqmnJAAN/AkWH&#10;WwGXXlIV2GK01+27VF1LtDSysjdEdrGsqpYwXwNUkyZvqnnUcq98LXXe1+pCE1D7hqdPpyXfD1uN&#10;WgrajYEfgTsQyd+L0iR19PSqzsHrUatntdWhRlg+SfLbgDl+a3f7OjijXf9NUkiI91Z6eo6V7lwK&#10;KBwdvQqniwrsaBGBw+ldNs9SAEPAlt1OB5FIA0q+CyJNOYTNk1kWYiDWAcN5uM0jHBC5cqDRzAuX&#10;5v+4fG6wYl4i41i6cJmeuXxqBQMqx4FK77QWgUdyFFc8vjI6lAbo/iCD09DHZwZfqLhmAudKG/vI&#10;ZIfcYhlxAOd1wYcnYwNpZxcnk5CblnM4xzkXqAc5knnmA4zkLXVGZzO63q25Rgfspix5KMpyUODK&#10;zWUusGmCnzmZQtoAHPpcUH9NwzAth7XFLQ9r0JILdxNUCECHVRiwP/NkXs7K2WQ0GWflaJIUxehh&#10;s56Msk16Ny1ui/W6SP860Okkb1pKmXC4z8OeTj7WAMOzE8b0Mu4XguLr7L79AOz570FDIwZVQxfu&#10;JD1ttSN96Em/8pPuw4ZXyT0lr/fe6+XtXP0DAAD//wMAUEsDBBQABgAIAAAAIQAwP/Rn3wAAAAgB&#10;AAAPAAAAZHJzL2Rvd25yZXYueG1sTI/NasMwEITvhb6D2EBvjeSWhtSxHEL6cwqFJIWSm2JtbBNr&#10;ZSzFdt6+217ay8Ayu7PzZcvRNaLHLtSeNCRTBQKp8LamUsPn/u1+DiJEQ9Y0nlDDFQMs89ubzKTW&#10;D7TFfhdLwSEUUqOhirFNpQxFhc6EqW+R2Dv5zpnIY1dK25mBw10jH5SaSWdq4g+VaXFdYXHeXZyG&#10;98EMq8fktd+cT+vrYf/08bVJUOu7yfiyYFktQEQc498F/DBwf8i52NFfyAbRaGCa+KvsPav5DMSR&#10;lxTIPJP/AfJvAAAA//8DAFBLAQItABQABgAIAAAAIQC2gziS/gAAAOEBAAATAAAAAAAAAAAAAAAA&#10;AAAAAABbQ29udGVudF9UeXBlc10ueG1sUEsBAi0AFAAGAAgAAAAhADj9If/WAAAAlAEAAAsAAAAA&#10;AAAAAAAAAAAALwEAAF9yZWxzLy5yZWxzUEsBAi0AFAAGAAgAAAAhACBqb790AgAAgwUAAA4AAAAA&#10;AAAAAAAAAAAALgIAAGRycy9lMm9Eb2MueG1sUEsBAi0AFAAGAAgAAAAhADA/9GffAAAACAEAAA8A&#10;AAAAAAAAAAAAAAAAzgQAAGRycy9kb3ducmV2LnhtbFBLBQYAAAAABAAEAPMAAADaBQAAAAA=&#10;">
                <v:line id="Line 102" o:spid="_x0000_s1027" style="position:absolute;visibility:visible;mso-wrap-style:square" from="0,5" to="90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YA8yAAAAOEAAAAPAAAAZHJzL2Rvd25yZXYueG1sRI/basJA&#10;EIbvC77DMoI3RTcKrSG6ikakpXceHmDITg6YnY3ZTYxv7xYKvRlm+Pm/4VtvB1OLnlpXWVYwn0Ug&#10;iDOrKy4UXC/HaQzCeWSNtWVS8CQH283obY2Jtg8+UX/2hQgQdgkqKL1vEildVpJBN7MNcchy2xr0&#10;4WwLqVt8BLip5SKKPqXBisOHEhtKS8pu584oWKY/+VcX6/ye9h/NNb6/79N9p9RkPBxWYexWIDwN&#10;/r/xh/jWwWExh1+jsIHcvAAAAP//AwBQSwECLQAUAAYACAAAACEA2+H2y+4AAACFAQAAEwAAAAAA&#10;AAAAAAAAAAAAAAAAW0NvbnRlbnRfVHlwZXNdLnhtbFBLAQItABQABgAIAAAAIQBa9CxbvwAAABUB&#10;AAALAAAAAAAAAAAAAAAAAB8BAABfcmVscy8ucmVsc1BLAQItABQABgAIAAAAIQCWEYA8yAAAAOEA&#10;AAAPAAAAAAAAAAAAAAAAAAcCAABkcnMvZG93bnJldi54bWxQSwUGAAAAAAMAAwC3AAAA/AIAAAAA&#10;" strokecolor="#00adee" strokeweight=".48pt">
                  <v:stroke dashstyle="1 1"/>
                  <o:lock v:ext="edit" shapetype="f"/>
                </v:line>
                <w10:anchorlock/>
              </v:group>
            </w:pict>
          </mc:Fallback>
        </mc:AlternateContent>
      </w:r>
    </w:p>
    <w:p w14:paraId="097D64DE" w14:textId="77777777" w:rsidR="00713158" w:rsidRPr="00AF7228" w:rsidRDefault="00713158" w:rsidP="00506EFD">
      <w:pPr>
        <w:pStyle w:val="BodyText"/>
      </w:pPr>
    </w:p>
    <w:p w14:paraId="4770A6CE" w14:textId="77777777" w:rsidR="003B145C" w:rsidRPr="00AF7228" w:rsidRDefault="003B145C">
      <w:pPr>
        <w:spacing w:before="0" w:after="0"/>
        <w:rPr>
          <w:b/>
          <w:bCs/>
          <w:color w:val="00AFEF"/>
          <w:sz w:val="36"/>
          <w:szCs w:val="40"/>
        </w:rPr>
      </w:pPr>
      <w:r w:rsidRPr="00AF7228">
        <w:br w:type="page"/>
      </w:r>
    </w:p>
    <w:p w14:paraId="2A9360A8" w14:textId="4062A524" w:rsidR="00713158" w:rsidRPr="00AF7228" w:rsidRDefault="00713158" w:rsidP="00117D83">
      <w:pPr>
        <w:pStyle w:val="Heading1"/>
      </w:pPr>
      <w:bookmarkStart w:id="3" w:name="_Toc6238795"/>
      <w:r w:rsidRPr="00AF7228">
        <w:lastRenderedPageBreak/>
        <w:t xml:space="preserve">WentWest – </w:t>
      </w:r>
      <w:r w:rsidR="00C34200">
        <w:t>A</w:t>
      </w:r>
      <w:r w:rsidR="00C34200" w:rsidRPr="00AF7228">
        <w:t xml:space="preserve"> </w:t>
      </w:r>
      <w:bookmarkEnd w:id="3"/>
      <w:r w:rsidR="00C34200">
        <w:t>S</w:t>
      </w:r>
      <w:r w:rsidR="00C34200" w:rsidRPr="00AF7228">
        <w:t>napshot</w:t>
      </w:r>
    </w:p>
    <w:p w14:paraId="4D15A5B6" w14:textId="677D2E40" w:rsidR="00D36A42" w:rsidRPr="00AF7228" w:rsidRDefault="00713158" w:rsidP="00506EFD">
      <w:pPr>
        <w:pStyle w:val="BodyText"/>
      </w:pPr>
      <w:r w:rsidRPr="00AF7228">
        <w:t xml:space="preserve">Western Sydney PHN (WentWest) was established </w:t>
      </w:r>
      <w:r w:rsidR="00D36A42" w:rsidRPr="00AF7228">
        <w:t>i</w:t>
      </w:r>
      <w:r w:rsidRPr="00AF7228">
        <w:t xml:space="preserve">n </w:t>
      </w:r>
      <w:r w:rsidR="00D36A42" w:rsidRPr="00AF7228">
        <w:t xml:space="preserve">July 2015 along with 30 other PHNs across Australia replacing Medicare Locals as regional primary health organisations. WentWest was among the group of PHNs that transitioned from the predecessor Medicare Local. </w:t>
      </w:r>
    </w:p>
    <w:p w14:paraId="72EFD5DC" w14:textId="243A2C0E" w:rsidR="00713158" w:rsidRPr="00AF7228" w:rsidRDefault="00D36A42" w:rsidP="00506EFD">
      <w:pPr>
        <w:pStyle w:val="BodyText"/>
      </w:pPr>
      <w:r w:rsidRPr="00AF7228">
        <w:t xml:space="preserve">Indeed WentWest has navigated the journey from Division of General Practice to Medicare Local to PHN over the past 8 years without experiencing  major disruptions to stakeholder relationships, business structure </w:t>
      </w:r>
      <w:r w:rsidR="00C34200">
        <w:t>or</w:t>
      </w:r>
      <w:r w:rsidR="00C34200" w:rsidRPr="00AF7228">
        <w:t xml:space="preserve"> </w:t>
      </w:r>
      <w:r w:rsidRPr="00AF7228">
        <w:t xml:space="preserve">corporate knowledge of the region we serve and therefore </w:t>
      </w:r>
      <w:r w:rsidR="00C34200">
        <w:t xml:space="preserve">are </w:t>
      </w:r>
      <w:r w:rsidRPr="00AF7228">
        <w:t xml:space="preserve">able to focus on the business of strengthening primary care in a rapidly changing region.  </w:t>
      </w:r>
    </w:p>
    <w:p w14:paraId="0F4A3DD9" w14:textId="0CCC0880" w:rsidR="00D36A42" w:rsidRPr="00AF7228" w:rsidRDefault="00D36A42" w:rsidP="00D36A42">
      <w:pPr>
        <w:pStyle w:val="Heading4"/>
      </w:pPr>
      <w:r w:rsidRPr="00AF7228">
        <w:t>Our Values in Practice</w:t>
      </w:r>
    </w:p>
    <w:p w14:paraId="2B0CBA4D" w14:textId="77777777" w:rsidR="00D36A42" w:rsidRPr="00AF7228" w:rsidRDefault="00D36A42" w:rsidP="00D36A42">
      <w:pPr>
        <w:pStyle w:val="BodyText"/>
      </w:pPr>
      <w:r w:rsidRPr="00AF7228">
        <w:t xml:space="preserve">Our five values reflect </w:t>
      </w:r>
      <w:proofErr w:type="spellStart"/>
      <w:r w:rsidRPr="00AF7228">
        <w:t>WentWest’s</w:t>
      </w:r>
      <w:proofErr w:type="spellEnd"/>
      <w:r w:rsidRPr="00AF7228">
        <w:t xml:space="preserve"> culture, support our vision and are the essence of our organisation’s identity.</w:t>
      </w:r>
    </w:p>
    <w:p w14:paraId="514E585F" w14:textId="66B8E7BB" w:rsidR="00D36A42" w:rsidRPr="00AF7228" w:rsidRDefault="00D36A42" w:rsidP="00D36A42">
      <w:pPr>
        <w:pStyle w:val="BodyText"/>
      </w:pPr>
      <w:r w:rsidRPr="00AF7228">
        <w:rPr>
          <w:b/>
          <w:i/>
        </w:rPr>
        <w:t>Excellence</w:t>
      </w:r>
      <w:r w:rsidRPr="00AF7228">
        <w:t xml:space="preserve">: </w:t>
      </w:r>
      <w:r w:rsidR="00C34200">
        <w:t>B</w:t>
      </w:r>
      <w:r w:rsidR="00C34200" w:rsidRPr="00AF7228">
        <w:t xml:space="preserve">e </w:t>
      </w:r>
      <w:r w:rsidRPr="00AF7228">
        <w:t>the best we can be</w:t>
      </w:r>
    </w:p>
    <w:p w14:paraId="011D1E6F" w14:textId="5E9ED82F" w:rsidR="00D36A42" w:rsidRPr="00AF7228" w:rsidRDefault="00D36A42" w:rsidP="00D36A42">
      <w:pPr>
        <w:pStyle w:val="BodyText"/>
      </w:pPr>
      <w:r w:rsidRPr="00AF7228">
        <w:rPr>
          <w:b/>
          <w:i/>
        </w:rPr>
        <w:t>Leadership:</w:t>
      </w:r>
      <w:r w:rsidRPr="00AF7228">
        <w:t xml:space="preserve"> </w:t>
      </w:r>
      <w:r w:rsidR="00C34200">
        <w:t>I</w:t>
      </w:r>
      <w:r w:rsidR="00C34200" w:rsidRPr="00AF7228">
        <w:t xml:space="preserve">nspire </w:t>
      </w:r>
      <w:r w:rsidRPr="00AF7228">
        <w:t>action</w:t>
      </w:r>
    </w:p>
    <w:p w14:paraId="352CCC48" w14:textId="584C8847" w:rsidR="00D36A42" w:rsidRPr="00AF7228" w:rsidRDefault="00D36A42" w:rsidP="00D36A42">
      <w:pPr>
        <w:pStyle w:val="BodyText"/>
      </w:pPr>
      <w:r w:rsidRPr="00AF7228">
        <w:rPr>
          <w:b/>
          <w:i/>
        </w:rPr>
        <w:t>Respect:</w:t>
      </w:r>
      <w:r w:rsidRPr="00AF7228">
        <w:t xml:space="preserve"> Understand others</w:t>
      </w:r>
    </w:p>
    <w:p w14:paraId="10187B6F" w14:textId="77777777" w:rsidR="00D36A42" w:rsidRPr="00AF7228" w:rsidRDefault="00D36A42" w:rsidP="00D36A42">
      <w:pPr>
        <w:pStyle w:val="BodyText"/>
      </w:pPr>
      <w:r w:rsidRPr="00AF7228">
        <w:rPr>
          <w:b/>
          <w:i/>
        </w:rPr>
        <w:t>Equity:</w:t>
      </w:r>
      <w:r w:rsidRPr="00AF7228">
        <w:t xml:space="preserve"> Actively overcoming barriers</w:t>
      </w:r>
    </w:p>
    <w:p w14:paraId="0A6ECF26" w14:textId="0BFB77E1" w:rsidR="00D36A42" w:rsidRPr="00AF7228" w:rsidRDefault="00D36A42" w:rsidP="00D36A42">
      <w:pPr>
        <w:pStyle w:val="BodyText"/>
      </w:pPr>
      <w:r w:rsidRPr="00AF7228">
        <w:rPr>
          <w:b/>
          <w:i/>
        </w:rPr>
        <w:t>Creativity:</w:t>
      </w:r>
      <w:r w:rsidRPr="00AF7228">
        <w:t xml:space="preserve"> Challenge convention  </w:t>
      </w:r>
    </w:p>
    <w:p w14:paraId="2EF6D89B" w14:textId="6A63BCAE" w:rsidR="00D36A42" w:rsidRPr="00AF7228" w:rsidRDefault="00D36A42" w:rsidP="00D36A42">
      <w:pPr>
        <w:pStyle w:val="Heading4"/>
      </w:pPr>
      <w:r w:rsidRPr="00AF7228">
        <w:t>Our Vision</w:t>
      </w:r>
    </w:p>
    <w:p w14:paraId="22BDD130" w14:textId="480FEADC" w:rsidR="00D36A42" w:rsidRPr="00AF7228" w:rsidRDefault="00D36A42" w:rsidP="00D36A42">
      <w:pPr>
        <w:pStyle w:val="BodyText"/>
      </w:pPr>
      <w:r w:rsidRPr="00AF7228">
        <w:t>Healthier communities, empowered individuals, sustainable primary health care workforce and system.</w:t>
      </w:r>
    </w:p>
    <w:p w14:paraId="25B1E406" w14:textId="0F0E7210" w:rsidR="00D36A42" w:rsidRPr="00AF7228" w:rsidRDefault="00D36A42" w:rsidP="00D36A42">
      <w:pPr>
        <w:pStyle w:val="Heading4"/>
      </w:pPr>
      <w:r w:rsidRPr="00AF7228">
        <w:t>Our Mission</w:t>
      </w:r>
    </w:p>
    <w:p w14:paraId="383A7BA5" w14:textId="66493940" w:rsidR="00D36A42" w:rsidRPr="00AF7228" w:rsidRDefault="00D36A42" w:rsidP="00D36A42">
      <w:pPr>
        <w:pStyle w:val="BodyText"/>
      </w:pPr>
      <w:r w:rsidRPr="00AF7228">
        <w:t>Working in partnership to lead better system integration and coordination, strengthening equity and empowerment for western Sydney communities and the people who care for them.</w:t>
      </w:r>
    </w:p>
    <w:p w14:paraId="3DCA66FF" w14:textId="6F7B819D" w:rsidR="00D36A42" w:rsidRPr="00AF7228" w:rsidRDefault="00D36A42" w:rsidP="00D36A42">
      <w:pPr>
        <w:pStyle w:val="Heading4"/>
      </w:pPr>
      <w:r w:rsidRPr="00AF7228">
        <w:t>Strategic Focus</w:t>
      </w:r>
    </w:p>
    <w:tbl>
      <w:tblPr>
        <w:tblStyle w:val="TableGrid"/>
        <w:tblW w:w="0" w:type="auto"/>
        <w:tblLook w:val="04A0" w:firstRow="1" w:lastRow="0" w:firstColumn="1" w:lastColumn="0" w:noHBand="0" w:noVBand="1"/>
      </w:tblPr>
      <w:tblGrid>
        <w:gridCol w:w="4584"/>
        <w:gridCol w:w="4584"/>
      </w:tblGrid>
      <w:tr w:rsidR="00D36A42" w:rsidRPr="00AF7228" w14:paraId="43297C2E" w14:textId="77777777" w:rsidTr="00D36A42">
        <w:tc>
          <w:tcPr>
            <w:tcW w:w="4584" w:type="dxa"/>
            <w:tcBorders>
              <w:top w:val="single" w:sz="2" w:space="0" w:color="B8CCE4"/>
              <w:left w:val="single" w:sz="2" w:space="0" w:color="B8CCE4"/>
              <w:bottom w:val="single" w:sz="2" w:space="0" w:color="B8CCE4"/>
              <w:right w:val="single" w:sz="2" w:space="0" w:color="B8CCE4"/>
            </w:tcBorders>
          </w:tcPr>
          <w:p w14:paraId="0465071F" w14:textId="658DD024" w:rsidR="00D36A42" w:rsidRPr="00AF7228" w:rsidRDefault="00D36A42" w:rsidP="00D36A42">
            <w:pPr>
              <w:pStyle w:val="BodyText"/>
            </w:pPr>
            <w:r w:rsidRPr="00AF7228">
              <w:t xml:space="preserve">Consumer </w:t>
            </w:r>
            <w:r w:rsidR="00C34200" w:rsidRPr="00AF7228">
              <w:t>Centric Shared Values</w:t>
            </w:r>
          </w:p>
        </w:tc>
        <w:tc>
          <w:tcPr>
            <w:tcW w:w="4584" w:type="dxa"/>
            <w:tcBorders>
              <w:top w:val="single" w:sz="2" w:space="0" w:color="B8CCE4"/>
              <w:left w:val="single" w:sz="2" w:space="0" w:color="B8CCE4"/>
              <w:bottom w:val="single" w:sz="2" w:space="0" w:color="B8CCE4"/>
              <w:right w:val="single" w:sz="2" w:space="0" w:color="B8CCE4"/>
            </w:tcBorders>
          </w:tcPr>
          <w:p w14:paraId="32CED0B5" w14:textId="0ED86875" w:rsidR="00D36A42" w:rsidRPr="00AF7228" w:rsidRDefault="00D36A42" w:rsidP="00D36A42">
            <w:pPr>
              <w:pStyle w:val="BodyText"/>
            </w:pPr>
            <w:r w:rsidRPr="00AF7228">
              <w:t xml:space="preserve">Strengthening </w:t>
            </w:r>
            <w:r w:rsidR="00C34200" w:rsidRPr="00AF7228">
              <w:t xml:space="preserve">Partnerships </w:t>
            </w:r>
            <w:r w:rsidR="00C34200">
              <w:t>and</w:t>
            </w:r>
            <w:r w:rsidR="00C34200" w:rsidRPr="00AF7228">
              <w:t xml:space="preserve"> Developing Workforces</w:t>
            </w:r>
          </w:p>
        </w:tc>
      </w:tr>
      <w:tr w:rsidR="00D36A42" w:rsidRPr="00AF7228" w14:paraId="53679746" w14:textId="77777777" w:rsidTr="00D36A42">
        <w:tc>
          <w:tcPr>
            <w:tcW w:w="4584" w:type="dxa"/>
            <w:tcBorders>
              <w:top w:val="single" w:sz="2" w:space="0" w:color="B8CCE4"/>
              <w:left w:val="single" w:sz="2" w:space="0" w:color="B8CCE4"/>
              <w:bottom w:val="single" w:sz="2" w:space="0" w:color="B8CCE4"/>
              <w:right w:val="single" w:sz="2" w:space="0" w:color="B8CCE4"/>
            </w:tcBorders>
          </w:tcPr>
          <w:p w14:paraId="298DD50B" w14:textId="1F2BFAC4" w:rsidR="00D36A42" w:rsidRPr="00AF7228" w:rsidRDefault="00D36A42" w:rsidP="00D36A42">
            <w:pPr>
              <w:pStyle w:val="BodyText"/>
            </w:pPr>
            <w:r w:rsidRPr="00AF7228">
              <w:t xml:space="preserve">Strategy </w:t>
            </w:r>
            <w:r w:rsidR="00C34200" w:rsidRPr="00C34200">
              <w:t xml:space="preserve">Development </w:t>
            </w:r>
            <w:r w:rsidR="00C34200">
              <w:t>and</w:t>
            </w:r>
            <w:r w:rsidR="00C34200" w:rsidRPr="00C34200">
              <w:t xml:space="preserve"> Innovation</w:t>
            </w:r>
          </w:p>
        </w:tc>
        <w:tc>
          <w:tcPr>
            <w:tcW w:w="4584" w:type="dxa"/>
            <w:tcBorders>
              <w:top w:val="single" w:sz="2" w:space="0" w:color="B8CCE4"/>
              <w:left w:val="single" w:sz="2" w:space="0" w:color="B8CCE4"/>
              <w:bottom w:val="single" w:sz="2" w:space="0" w:color="B8CCE4"/>
              <w:right w:val="single" w:sz="2" w:space="0" w:color="B8CCE4"/>
            </w:tcBorders>
          </w:tcPr>
          <w:p w14:paraId="4132C2CA" w14:textId="753FF5C2" w:rsidR="00D36A42" w:rsidRPr="00AF7228" w:rsidRDefault="00D36A42" w:rsidP="00D36A42">
            <w:pPr>
              <w:pStyle w:val="BodyText"/>
            </w:pPr>
            <w:r w:rsidRPr="00AF7228">
              <w:t xml:space="preserve">System </w:t>
            </w:r>
            <w:r w:rsidR="00C34200" w:rsidRPr="00AF7228">
              <w:t xml:space="preserve">Enablers </w:t>
            </w:r>
            <w:r w:rsidR="00C34200">
              <w:t xml:space="preserve">And </w:t>
            </w:r>
            <w:r w:rsidR="00C34200" w:rsidRPr="00AF7228">
              <w:t>Scalable Infrastructure</w:t>
            </w:r>
          </w:p>
        </w:tc>
      </w:tr>
      <w:tr w:rsidR="00D36A42" w:rsidRPr="00AF7228" w14:paraId="07229C72" w14:textId="77777777" w:rsidTr="00D36A42">
        <w:tc>
          <w:tcPr>
            <w:tcW w:w="4584" w:type="dxa"/>
            <w:tcBorders>
              <w:top w:val="single" w:sz="2" w:space="0" w:color="B8CCE4"/>
              <w:left w:val="single" w:sz="2" w:space="0" w:color="B8CCE4"/>
              <w:bottom w:val="single" w:sz="2" w:space="0" w:color="B8CCE4"/>
              <w:right w:val="single" w:sz="2" w:space="0" w:color="B8CCE4"/>
            </w:tcBorders>
          </w:tcPr>
          <w:p w14:paraId="482334BE" w14:textId="31C41B66" w:rsidR="00D36A42" w:rsidRPr="00AF7228" w:rsidRDefault="00D36A42" w:rsidP="00D36A42">
            <w:pPr>
              <w:pStyle w:val="BodyText"/>
            </w:pPr>
            <w:r w:rsidRPr="00AF7228">
              <w:t xml:space="preserve">General Practice </w:t>
            </w:r>
            <w:r w:rsidR="00C34200">
              <w:t>and</w:t>
            </w:r>
            <w:r w:rsidR="00C34200" w:rsidRPr="00AF7228">
              <w:t xml:space="preserve"> </w:t>
            </w:r>
            <w:r w:rsidRPr="00AF7228">
              <w:t xml:space="preserve">Primary </w:t>
            </w:r>
            <w:r w:rsidR="00C34200" w:rsidRPr="00AF7228">
              <w:t xml:space="preserve">Care Development </w:t>
            </w:r>
          </w:p>
        </w:tc>
        <w:tc>
          <w:tcPr>
            <w:tcW w:w="4584" w:type="dxa"/>
            <w:tcBorders>
              <w:top w:val="single" w:sz="2" w:space="0" w:color="B8CCE4"/>
              <w:left w:val="single" w:sz="2" w:space="0" w:color="B8CCE4"/>
              <w:bottom w:val="single" w:sz="2" w:space="0" w:color="B8CCE4"/>
              <w:right w:val="single" w:sz="2" w:space="0" w:color="B8CCE4"/>
            </w:tcBorders>
          </w:tcPr>
          <w:p w14:paraId="09AB2E79" w14:textId="09899BB8" w:rsidR="00D36A42" w:rsidRPr="00AF7228" w:rsidRDefault="00D36A42" w:rsidP="00D36A42">
            <w:pPr>
              <w:pStyle w:val="BodyText"/>
            </w:pPr>
            <w:r w:rsidRPr="00AF7228">
              <w:t xml:space="preserve">Organisational </w:t>
            </w:r>
            <w:r w:rsidR="00C34200" w:rsidRPr="00AF7228">
              <w:t>Excellence</w:t>
            </w:r>
          </w:p>
        </w:tc>
      </w:tr>
    </w:tbl>
    <w:p w14:paraId="4FFCE017" w14:textId="19B9AEAC" w:rsidR="00D36A42" w:rsidRPr="00AF7228" w:rsidRDefault="00D36A42" w:rsidP="00D36A42">
      <w:pPr>
        <w:pStyle w:val="Heading4"/>
      </w:pPr>
      <w:r w:rsidRPr="00AF7228">
        <w:t>Health Priorities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4"/>
        <w:gridCol w:w="4584"/>
      </w:tblGrid>
      <w:tr w:rsidR="00D36A42" w:rsidRPr="00AF7228" w14:paraId="3E7812AB" w14:textId="77777777" w:rsidTr="00D36A42">
        <w:tc>
          <w:tcPr>
            <w:tcW w:w="4584" w:type="dxa"/>
            <w:tcBorders>
              <w:top w:val="single" w:sz="2" w:space="0" w:color="B8CCE4"/>
              <w:left w:val="single" w:sz="2" w:space="0" w:color="B8CCE4"/>
              <w:bottom w:val="single" w:sz="2" w:space="0" w:color="B8CCE4"/>
              <w:right w:val="single" w:sz="2" w:space="0" w:color="B8CCE4"/>
            </w:tcBorders>
          </w:tcPr>
          <w:p w14:paraId="1DF8683E" w14:textId="1C14090C" w:rsidR="00D36A42" w:rsidRPr="00AF7228" w:rsidRDefault="00D36A42" w:rsidP="00D36A42">
            <w:pPr>
              <w:pStyle w:val="BodyText"/>
              <w:rPr>
                <w:b/>
              </w:rPr>
            </w:pPr>
            <w:r w:rsidRPr="00AF7228">
              <w:rPr>
                <w:b/>
              </w:rPr>
              <w:t>Aboriginal Health</w:t>
            </w:r>
          </w:p>
        </w:tc>
        <w:tc>
          <w:tcPr>
            <w:tcW w:w="4584" w:type="dxa"/>
            <w:tcBorders>
              <w:top w:val="single" w:sz="2" w:space="0" w:color="B8CCE4"/>
              <w:left w:val="single" w:sz="2" w:space="0" w:color="B8CCE4"/>
              <w:bottom w:val="single" w:sz="2" w:space="0" w:color="B8CCE4"/>
              <w:right w:val="single" w:sz="2" w:space="0" w:color="B8CCE4"/>
            </w:tcBorders>
          </w:tcPr>
          <w:p w14:paraId="5DC3E013" w14:textId="29160277" w:rsidR="00D36A42" w:rsidRPr="00AF7228" w:rsidRDefault="00D36A42" w:rsidP="00D36A42">
            <w:pPr>
              <w:pStyle w:val="BodyText"/>
              <w:rPr>
                <w:b/>
              </w:rPr>
            </w:pPr>
            <w:r w:rsidRPr="00AF7228">
              <w:rPr>
                <w:b/>
              </w:rPr>
              <w:t>Mental Health</w:t>
            </w:r>
          </w:p>
        </w:tc>
      </w:tr>
      <w:tr w:rsidR="00D36A42" w:rsidRPr="00AF7228" w14:paraId="3477B91C" w14:textId="77777777" w:rsidTr="00D36A42">
        <w:tc>
          <w:tcPr>
            <w:tcW w:w="4584" w:type="dxa"/>
            <w:tcBorders>
              <w:top w:val="single" w:sz="2" w:space="0" w:color="B8CCE4"/>
              <w:left w:val="single" w:sz="2" w:space="0" w:color="B8CCE4"/>
              <w:bottom w:val="single" w:sz="2" w:space="0" w:color="B8CCE4"/>
              <w:right w:val="single" w:sz="2" w:space="0" w:color="B8CCE4"/>
            </w:tcBorders>
          </w:tcPr>
          <w:p w14:paraId="1F70F4D4" w14:textId="1C18E1F7" w:rsidR="00D36A42" w:rsidRPr="00AF7228" w:rsidRDefault="00D36A42" w:rsidP="00D36A42">
            <w:pPr>
              <w:pStyle w:val="BodyText"/>
              <w:rPr>
                <w:b/>
              </w:rPr>
            </w:pPr>
            <w:r w:rsidRPr="00AF7228">
              <w:rPr>
                <w:b/>
              </w:rPr>
              <w:t>Aged Care</w:t>
            </w:r>
          </w:p>
        </w:tc>
        <w:tc>
          <w:tcPr>
            <w:tcW w:w="4584" w:type="dxa"/>
            <w:tcBorders>
              <w:top w:val="single" w:sz="2" w:space="0" w:color="B8CCE4"/>
              <w:left w:val="single" w:sz="2" w:space="0" w:color="B8CCE4"/>
              <w:bottom w:val="single" w:sz="2" w:space="0" w:color="B8CCE4"/>
              <w:right w:val="single" w:sz="2" w:space="0" w:color="B8CCE4"/>
            </w:tcBorders>
          </w:tcPr>
          <w:p w14:paraId="4B6D202A" w14:textId="7AA076E8" w:rsidR="00D36A42" w:rsidRPr="00AF7228" w:rsidRDefault="00D36A42" w:rsidP="00D36A42">
            <w:pPr>
              <w:pStyle w:val="BodyText"/>
              <w:rPr>
                <w:b/>
              </w:rPr>
            </w:pPr>
            <w:r w:rsidRPr="00AF7228">
              <w:rPr>
                <w:b/>
              </w:rPr>
              <w:t>Population Health</w:t>
            </w:r>
          </w:p>
        </w:tc>
      </w:tr>
      <w:tr w:rsidR="00D36A42" w:rsidRPr="00AF7228" w14:paraId="7E687CB8" w14:textId="77777777" w:rsidTr="00D36A42">
        <w:tc>
          <w:tcPr>
            <w:tcW w:w="4584" w:type="dxa"/>
            <w:tcBorders>
              <w:top w:val="single" w:sz="2" w:space="0" w:color="B8CCE4"/>
              <w:left w:val="single" w:sz="2" w:space="0" w:color="B8CCE4"/>
              <w:bottom w:val="single" w:sz="2" w:space="0" w:color="B8CCE4"/>
              <w:right w:val="single" w:sz="2" w:space="0" w:color="B8CCE4"/>
            </w:tcBorders>
          </w:tcPr>
          <w:p w14:paraId="70053672" w14:textId="01A19421" w:rsidR="00D36A42" w:rsidRPr="00AF7228" w:rsidRDefault="00D36A42" w:rsidP="00D36A42">
            <w:pPr>
              <w:pStyle w:val="BodyText"/>
              <w:rPr>
                <w:b/>
              </w:rPr>
            </w:pPr>
            <w:r w:rsidRPr="00AF7228">
              <w:rPr>
                <w:b/>
              </w:rPr>
              <w:t>Child and Family</w:t>
            </w:r>
          </w:p>
        </w:tc>
        <w:tc>
          <w:tcPr>
            <w:tcW w:w="4584" w:type="dxa"/>
            <w:tcBorders>
              <w:top w:val="single" w:sz="2" w:space="0" w:color="B8CCE4"/>
              <w:left w:val="single" w:sz="2" w:space="0" w:color="B8CCE4"/>
              <w:bottom w:val="single" w:sz="2" w:space="0" w:color="B8CCE4"/>
              <w:right w:val="single" w:sz="2" w:space="0" w:color="B8CCE4"/>
            </w:tcBorders>
          </w:tcPr>
          <w:p w14:paraId="13069400" w14:textId="78FE8B8D" w:rsidR="00D36A42" w:rsidRPr="00AF7228" w:rsidRDefault="00D36A42" w:rsidP="00D36A42">
            <w:pPr>
              <w:pStyle w:val="BodyText"/>
              <w:rPr>
                <w:b/>
              </w:rPr>
            </w:pPr>
            <w:r w:rsidRPr="00AF7228">
              <w:rPr>
                <w:b/>
              </w:rPr>
              <w:t>Alcohol and Other Drugs</w:t>
            </w:r>
          </w:p>
        </w:tc>
      </w:tr>
      <w:tr w:rsidR="00D36A42" w:rsidRPr="00AF7228" w14:paraId="03FACF2E" w14:textId="77777777" w:rsidTr="00D36A42">
        <w:tc>
          <w:tcPr>
            <w:tcW w:w="4584" w:type="dxa"/>
            <w:tcBorders>
              <w:top w:val="single" w:sz="2" w:space="0" w:color="B8CCE4"/>
              <w:left w:val="single" w:sz="2" w:space="0" w:color="B8CCE4"/>
              <w:bottom w:val="single" w:sz="2" w:space="0" w:color="B8CCE4"/>
              <w:right w:val="single" w:sz="2" w:space="0" w:color="B8CCE4"/>
            </w:tcBorders>
          </w:tcPr>
          <w:p w14:paraId="09858BF1" w14:textId="188260C7" w:rsidR="00D36A42" w:rsidRPr="00AF7228" w:rsidRDefault="00D36A42" w:rsidP="00D36A42">
            <w:pPr>
              <w:pStyle w:val="BodyText"/>
              <w:rPr>
                <w:b/>
              </w:rPr>
            </w:pPr>
            <w:r w:rsidRPr="00AF7228">
              <w:rPr>
                <w:b/>
              </w:rPr>
              <w:t>Chronic Conditions</w:t>
            </w:r>
          </w:p>
        </w:tc>
        <w:tc>
          <w:tcPr>
            <w:tcW w:w="4584" w:type="dxa"/>
            <w:tcBorders>
              <w:top w:val="single" w:sz="2" w:space="0" w:color="B8CCE4"/>
              <w:left w:val="single" w:sz="2" w:space="0" w:color="B8CCE4"/>
              <w:bottom w:val="single" w:sz="2" w:space="0" w:color="B8CCE4"/>
              <w:right w:val="single" w:sz="2" w:space="0" w:color="B8CCE4"/>
            </w:tcBorders>
          </w:tcPr>
          <w:p w14:paraId="63566202" w14:textId="45F94F64" w:rsidR="00D36A42" w:rsidRPr="00AF7228" w:rsidRDefault="00D36A42" w:rsidP="00D36A42">
            <w:pPr>
              <w:pStyle w:val="BodyText"/>
            </w:pPr>
          </w:p>
        </w:tc>
      </w:tr>
    </w:tbl>
    <w:p w14:paraId="75EC480A" w14:textId="7FD4016F" w:rsidR="00713158" w:rsidRPr="00AF7228" w:rsidRDefault="00D36A42" w:rsidP="00D36A42">
      <w:pPr>
        <w:pStyle w:val="Heading4"/>
      </w:pPr>
      <w:r w:rsidRPr="00AF7228">
        <w:lastRenderedPageBreak/>
        <w:t>Quadruple Aim</w:t>
      </w:r>
    </w:p>
    <w:tbl>
      <w:tblPr>
        <w:tblStyle w:val="TableGrid"/>
        <w:tblW w:w="0" w:type="auto"/>
        <w:tblBorders>
          <w:top w:val="single" w:sz="2" w:space="0" w:color="B8CCE4" w:themeColor="accent1" w:themeTint="66"/>
          <w:left w:val="single" w:sz="2" w:space="0" w:color="B8CCE4" w:themeColor="accent1" w:themeTint="66"/>
          <w:bottom w:val="single" w:sz="2" w:space="0" w:color="B8CCE4" w:themeColor="accent1" w:themeTint="66"/>
          <w:right w:val="single" w:sz="2" w:space="0" w:color="B8CCE4" w:themeColor="accent1" w:themeTint="66"/>
          <w:insideH w:val="single" w:sz="2" w:space="0" w:color="B8CCE4" w:themeColor="accent1" w:themeTint="66"/>
          <w:insideV w:val="single" w:sz="2" w:space="0" w:color="B8CCE4" w:themeColor="accent1" w:themeTint="66"/>
        </w:tblBorders>
        <w:tblLook w:val="04A0" w:firstRow="1" w:lastRow="0" w:firstColumn="1" w:lastColumn="0" w:noHBand="0" w:noVBand="1"/>
      </w:tblPr>
      <w:tblGrid>
        <w:gridCol w:w="4584"/>
        <w:gridCol w:w="4584"/>
      </w:tblGrid>
      <w:tr w:rsidR="00D36A42" w:rsidRPr="00AF7228" w14:paraId="30456E5C" w14:textId="77777777" w:rsidTr="00D36A42">
        <w:tc>
          <w:tcPr>
            <w:tcW w:w="4584" w:type="dxa"/>
          </w:tcPr>
          <w:p w14:paraId="0D1DC44C" w14:textId="1DDB0E1D" w:rsidR="00D36A42" w:rsidRPr="00AF7228" w:rsidRDefault="00D36A42" w:rsidP="00D36A42">
            <w:pPr>
              <w:pStyle w:val="Heading5"/>
              <w:outlineLvl w:val="4"/>
            </w:pPr>
            <w:r w:rsidRPr="00AF7228">
              <w:rPr>
                <w:noProof/>
                <w:lang w:eastAsia="en-AU"/>
              </w:rPr>
              <w:drawing>
                <wp:anchor distT="0" distB="0" distL="114300" distR="114300" simplePos="0" relativeHeight="251762176" behindDoc="1" locked="0" layoutInCell="1" allowOverlap="1" wp14:anchorId="5947467A" wp14:editId="382199D6">
                  <wp:simplePos x="0" y="0"/>
                  <wp:positionH relativeFrom="column">
                    <wp:posOffset>-6985</wp:posOffset>
                  </wp:positionH>
                  <wp:positionV relativeFrom="paragraph">
                    <wp:posOffset>111125</wp:posOffset>
                  </wp:positionV>
                  <wp:extent cx="880110" cy="848360"/>
                  <wp:effectExtent l="0" t="0" r="0" b="2540"/>
                  <wp:wrapTight wrapText="bothSides">
                    <wp:wrapPolygon edited="0">
                      <wp:start x="0" y="0"/>
                      <wp:lineTo x="0" y="21341"/>
                      <wp:lineTo x="21195" y="21341"/>
                      <wp:lineTo x="21195"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9-03-27 at 11.51.25 am.png"/>
                          <pic:cNvPicPr/>
                        </pic:nvPicPr>
                        <pic:blipFill>
                          <a:blip r:embed="rId21"/>
                          <a:stretch>
                            <a:fillRect/>
                          </a:stretch>
                        </pic:blipFill>
                        <pic:spPr>
                          <a:xfrm>
                            <a:off x="0" y="0"/>
                            <a:ext cx="880110" cy="848360"/>
                          </a:xfrm>
                          <a:prstGeom prst="rect">
                            <a:avLst/>
                          </a:prstGeom>
                        </pic:spPr>
                      </pic:pic>
                    </a:graphicData>
                  </a:graphic>
                  <wp14:sizeRelH relativeFrom="page">
                    <wp14:pctWidth>0</wp14:pctWidth>
                  </wp14:sizeRelH>
                  <wp14:sizeRelV relativeFrom="page">
                    <wp14:pctHeight>0</wp14:pctHeight>
                  </wp14:sizeRelV>
                </wp:anchor>
              </w:drawing>
            </w:r>
            <w:r w:rsidRPr="00AF7228">
              <w:t>Patient Experience of Care</w:t>
            </w:r>
          </w:p>
          <w:p w14:paraId="4A005F17" w14:textId="6F2F7556" w:rsidR="00D36A42" w:rsidRPr="00AF7228" w:rsidRDefault="00D36A42" w:rsidP="00D36A42">
            <w:pPr>
              <w:pStyle w:val="BulletPoint"/>
            </w:pPr>
            <w:r w:rsidRPr="00AF7228">
              <w:t>Reduced waiting times</w:t>
            </w:r>
          </w:p>
          <w:p w14:paraId="0B4CDA23" w14:textId="11FD114F" w:rsidR="00D36A42" w:rsidRPr="00AF7228" w:rsidRDefault="00D36A42" w:rsidP="00D36A42">
            <w:pPr>
              <w:pStyle w:val="BulletPoint"/>
            </w:pPr>
            <w:r w:rsidRPr="00AF7228">
              <w:t>Improved access</w:t>
            </w:r>
          </w:p>
          <w:p w14:paraId="00431B42" w14:textId="4B5BDEB6" w:rsidR="00D36A42" w:rsidRPr="00AF7228" w:rsidRDefault="00D36A42" w:rsidP="00D36A42">
            <w:pPr>
              <w:pStyle w:val="BulletPoint"/>
            </w:pPr>
            <w:r w:rsidRPr="00AF7228">
              <w:t xml:space="preserve">Patient </w:t>
            </w:r>
            <w:r w:rsidR="00C34200">
              <w:t>and</w:t>
            </w:r>
            <w:r w:rsidR="00C34200" w:rsidRPr="00AF7228">
              <w:t xml:space="preserve"> </w:t>
            </w:r>
            <w:r w:rsidRPr="00AF7228">
              <w:t>family needs met</w:t>
            </w:r>
            <w:r w:rsidRPr="00AF7228">
              <w:br/>
            </w:r>
          </w:p>
        </w:tc>
        <w:tc>
          <w:tcPr>
            <w:tcW w:w="4584" w:type="dxa"/>
          </w:tcPr>
          <w:p w14:paraId="3C6A4710" w14:textId="1E7BD0F9" w:rsidR="00D36A42" w:rsidRPr="00AF7228" w:rsidRDefault="00D36A42" w:rsidP="00D36A42">
            <w:pPr>
              <w:pStyle w:val="Heading5"/>
              <w:outlineLvl w:val="4"/>
            </w:pPr>
            <w:r w:rsidRPr="00AF7228">
              <w:rPr>
                <w:noProof/>
                <w:lang w:eastAsia="en-AU"/>
              </w:rPr>
              <w:drawing>
                <wp:anchor distT="0" distB="0" distL="114300" distR="114300" simplePos="0" relativeHeight="251763200" behindDoc="1" locked="0" layoutInCell="1" allowOverlap="1" wp14:anchorId="4B06680A" wp14:editId="6812951E">
                  <wp:simplePos x="0" y="0"/>
                  <wp:positionH relativeFrom="column">
                    <wp:posOffset>-38947</wp:posOffset>
                  </wp:positionH>
                  <wp:positionV relativeFrom="paragraph">
                    <wp:posOffset>93980</wp:posOffset>
                  </wp:positionV>
                  <wp:extent cx="863600" cy="838200"/>
                  <wp:effectExtent l="0" t="0" r="0" b="0"/>
                  <wp:wrapTight wrapText="bothSides">
                    <wp:wrapPolygon edited="0">
                      <wp:start x="0" y="0"/>
                      <wp:lineTo x="0" y="21273"/>
                      <wp:lineTo x="21282" y="21273"/>
                      <wp:lineTo x="21282"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19-03-27 at 11.54.59 am.png"/>
                          <pic:cNvPicPr/>
                        </pic:nvPicPr>
                        <pic:blipFill>
                          <a:blip r:embed="rId22"/>
                          <a:stretch>
                            <a:fillRect/>
                          </a:stretch>
                        </pic:blipFill>
                        <pic:spPr>
                          <a:xfrm>
                            <a:off x="0" y="0"/>
                            <a:ext cx="863600" cy="838200"/>
                          </a:xfrm>
                          <a:prstGeom prst="rect">
                            <a:avLst/>
                          </a:prstGeom>
                        </pic:spPr>
                      </pic:pic>
                    </a:graphicData>
                  </a:graphic>
                  <wp14:sizeRelH relativeFrom="page">
                    <wp14:pctWidth>0</wp14:pctWidth>
                  </wp14:sizeRelH>
                  <wp14:sizeRelV relativeFrom="page">
                    <wp14:pctHeight>0</wp14:pctHeight>
                  </wp14:sizeRelV>
                </wp:anchor>
              </w:drawing>
            </w:r>
            <w:r w:rsidRPr="00AF7228">
              <w:t xml:space="preserve">Quality </w:t>
            </w:r>
            <w:r w:rsidR="00C34200">
              <w:t>and</w:t>
            </w:r>
            <w:r w:rsidR="00C34200" w:rsidRPr="00AF7228">
              <w:t xml:space="preserve"> </w:t>
            </w:r>
            <w:r w:rsidRPr="00AF7228">
              <w:t>Population Health</w:t>
            </w:r>
          </w:p>
          <w:p w14:paraId="54350BA0" w14:textId="205ECA35" w:rsidR="00D36A42" w:rsidRPr="00AF7228" w:rsidRDefault="00D36A42" w:rsidP="00D36A42">
            <w:pPr>
              <w:pStyle w:val="BulletPoint"/>
            </w:pPr>
            <w:r w:rsidRPr="00AF7228">
              <w:t>Improved health outcomes</w:t>
            </w:r>
          </w:p>
          <w:p w14:paraId="120BD8A9" w14:textId="52AE188F" w:rsidR="00D36A42" w:rsidRPr="00AF7228" w:rsidRDefault="00D36A42" w:rsidP="00D36A42">
            <w:pPr>
              <w:pStyle w:val="BulletPoint"/>
            </w:pPr>
            <w:r w:rsidRPr="00AF7228">
              <w:t>Equity of access</w:t>
            </w:r>
          </w:p>
          <w:p w14:paraId="29795F30" w14:textId="1A3E52E7" w:rsidR="00D36A42" w:rsidRPr="00AF7228" w:rsidRDefault="00D36A42" w:rsidP="00D36A42">
            <w:pPr>
              <w:pStyle w:val="BulletPoint"/>
            </w:pPr>
            <w:r w:rsidRPr="00AF7228">
              <w:t xml:space="preserve">Reduced disease burden </w:t>
            </w:r>
          </w:p>
        </w:tc>
      </w:tr>
      <w:tr w:rsidR="00D36A42" w:rsidRPr="00AF7228" w14:paraId="6F076FB0" w14:textId="77777777" w:rsidTr="00D36A42">
        <w:tc>
          <w:tcPr>
            <w:tcW w:w="4584" w:type="dxa"/>
          </w:tcPr>
          <w:p w14:paraId="43B7BAF9" w14:textId="7CA31CD6" w:rsidR="00D36A42" w:rsidRPr="00AF7228" w:rsidRDefault="00D36A42" w:rsidP="00D36A42">
            <w:pPr>
              <w:pStyle w:val="Heading5"/>
              <w:outlineLvl w:val="4"/>
            </w:pPr>
            <w:r w:rsidRPr="00AF7228">
              <w:rPr>
                <w:noProof/>
                <w:lang w:eastAsia="en-AU"/>
              </w:rPr>
              <w:drawing>
                <wp:anchor distT="0" distB="0" distL="114300" distR="114300" simplePos="0" relativeHeight="251764224" behindDoc="1" locked="0" layoutInCell="1" allowOverlap="1" wp14:anchorId="18963B8D" wp14:editId="2752AE8C">
                  <wp:simplePos x="0" y="0"/>
                  <wp:positionH relativeFrom="column">
                    <wp:posOffset>1270</wp:posOffset>
                  </wp:positionH>
                  <wp:positionV relativeFrom="paragraph">
                    <wp:posOffset>3175</wp:posOffset>
                  </wp:positionV>
                  <wp:extent cx="838200" cy="818515"/>
                  <wp:effectExtent l="0" t="0" r="0" b="0"/>
                  <wp:wrapTight wrapText="bothSides">
                    <wp:wrapPolygon edited="0">
                      <wp:start x="0" y="0"/>
                      <wp:lineTo x="0" y="21114"/>
                      <wp:lineTo x="21273" y="21114"/>
                      <wp:lineTo x="21273"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creen Shot 2019-03-27 at 12.04.03 pm.png"/>
                          <pic:cNvPicPr/>
                        </pic:nvPicPr>
                        <pic:blipFill>
                          <a:blip r:embed="rId23"/>
                          <a:stretch>
                            <a:fillRect/>
                          </a:stretch>
                        </pic:blipFill>
                        <pic:spPr>
                          <a:xfrm>
                            <a:off x="0" y="0"/>
                            <a:ext cx="838200" cy="818515"/>
                          </a:xfrm>
                          <a:prstGeom prst="rect">
                            <a:avLst/>
                          </a:prstGeom>
                        </pic:spPr>
                      </pic:pic>
                    </a:graphicData>
                  </a:graphic>
                  <wp14:sizeRelH relativeFrom="page">
                    <wp14:pctWidth>0</wp14:pctWidth>
                  </wp14:sizeRelH>
                  <wp14:sizeRelV relativeFrom="page">
                    <wp14:pctHeight>0</wp14:pctHeight>
                  </wp14:sizeRelV>
                </wp:anchor>
              </w:drawing>
            </w:r>
            <w:r w:rsidRPr="00AF7228">
              <w:t>Sustainable Cost</w:t>
            </w:r>
          </w:p>
          <w:p w14:paraId="7A8CADFB" w14:textId="0100A622" w:rsidR="00D36A42" w:rsidRPr="00AF7228" w:rsidRDefault="00D36A42" w:rsidP="00D36A42">
            <w:pPr>
              <w:pStyle w:val="BulletPoint"/>
              <w:tabs>
                <w:tab w:val="left" w:pos="1613"/>
              </w:tabs>
            </w:pPr>
            <w:r w:rsidRPr="00AF7228">
              <w:t>Cost reduction in service delivery</w:t>
            </w:r>
          </w:p>
          <w:p w14:paraId="01FB79FD" w14:textId="7D2EB7BA" w:rsidR="00D36A42" w:rsidRPr="00AF7228" w:rsidRDefault="00D36A42" w:rsidP="00D36A42">
            <w:pPr>
              <w:pStyle w:val="BulletPoint"/>
              <w:tabs>
                <w:tab w:val="left" w:pos="1613"/>
              </w:tabs>
            </w:pPr>
            <w:r w:rsidRPr="00AF7228">
              <w:t>Reduced avoidable/unnecessary hospital admissions</w:t>
            </w:r>
          </w:p>
          <w:p w14:paraId="27837F81" w14:textId="77777777" w:rsidR="00D36A42" w:rsidRPr="00AF7228" w:rsidRDefault="00D36A42" w:rsidP="00D36A42">
            <w:pPr>
              <w:pStyle w:val="BulletPoint"/>
            </w:pPr>
            <w:r w:rsidRPr="00AF7228">
              <w:t>Return on innovation costs invested</w:t>
            </w:r>
          </w:p>
          <w:p w14:paraId="72A790F1" w14:textId="77637378" w:rsidR="00D36A42" w:rsidRPr="00AF7228" w:rsidRDefault="00D36A42" w:rsidP="00D36A42">
            <w:pPr>
              <w:pStyle w:val="BulletPoint"/>
            </w:pPr>
            <w:r w:rsidRPr="00AF7228">
              <w:t xml:space="preserve">Ratio of funding for primary </w:t>
            </w:r>
            <w:r w:rsidR="00AD3544" w:rsidRPr="00AF7228">
              <w:t>care: acute</w:t>
            </w:r>
            <w:r w:rsidRPr="00AF7228">
              <w:t xml:space="preserve"> care</w:t>
            </w:r>
          </w:p>
        </w:tc>
        <w:tc>
          <w:tcPr>
            <w:tcW w:w="4584" w:type="dxa"/>
          </w:tcPr>
          <w:p w14:paraId="3F3A1AD1" w14:textId="6C6C50ED" w:rsidR="00D36A42" w:rsidRPr="00AF7228" w:rsidRDefault="00D36A42" w:rsidP="00D36A42">
            <w:pPr>
              <w:pStyle w:val="Heading5"/>
              <w:outlineLvl w:val="4"/>
            </w:pPr>
            <w:r w:rsidRPr="00AF7228">
              <w:rPr>
                <w:noProof/>
                <w:lang w:eastAsia="en-AU"/>
              </w:rPr>
              <w:drawing>
                <wp:anchor distT="0" distB="0" distL="114300" distR="114300" simplePos="0" relativeHeight="251765248" behindDoc="1" locked="0" layoutInCell="1" allowOverlap="1" wp14:anchorId="4822534F" wp14:editId="0B9EF239">
                  <wp:simplePos x="0" y="0"/>
                  <wp:positionH relativeFrom="column">
                    <wp:posOffset>11430</wp:posOffset>
                  </wp:positionH>
                  <wp:positionV relativeFrom="paragraph">
                    <wp:posOffset>3175</wp:posOffset>
                  </wp:positionV>
                  <wp:extent cx="828675" cy="854710"/>
                  <wp:effectExtent l="0" t="0" r="0" b="0"/>
                  <wp:wrapTight wrapText="bothSides">
                    <wp:wrapPolygon edited="0">
                      <wp:start x="0" y="0"/>
                      <wp:lineTo x="0" y="21183"/>
                      <wp:lineTo x="21186" y="21183"/>
                      <wp:lineTo x="21186"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creen Shot 2019-03-27 at 12.07.39 pm.png"/>
                          <pic:cNvPicPr/>
                        </pic:nvPicPr>
                        <pic:blipFill>
                          <a:blip r:embed="rId24"/>
                          <a:stretch>
                            <a:fillRect/>
                          </a:stretch>
                        </pic:blipFill>
                        <pic:spPr>
                          <a:xfrm>
                            <a:off x="0" y="0"/>
                            <a:ext cx="828675" cy="854710"/>
                          </a:xfrm>
                          <a:prstGeom prst="rect">
                            <a:avLst/>
                          </a:prstGeom>
                        </pic:spPr>
                      </pic:pic>
                    </a:graphicData>
                  </a:graphic>
                  <wp14:sizeRelH relativeFrom="page">
                    <wp14:pctWidth>0</wp14:pctWidth>
                  </wp14:sizeRelH>
                  <wp14:sizeRelV relativeFrom="page">
                    <wp14:pctHeight>0</wp14:pctHeight>
                  </wp14:sizeRelV>
                </wp:anchor>
              </w:drawing>
            </w:r>
            <w:r w:rsidRPr="00AF7228">
              <w:t>Improved Provider Satisfaction</w:t>
            </w:r>
          </w:p>
          <w:p w14:paraId="2F2900D3" w14:textId="77777777" w:rsidR="00D36A42" w:rsidRPr="00AF7228" w:rsidRDefault="00D36A42" w:rsidP="00D36A42">
            <w:pPr>
              <w:pStyle w:val="BulletPoint"/>
            </w:pPr>
            <w:r w:rsidRPr="00AF7228">
              <w:t>Teamwork</w:t>
            </w:r>
          </w:p>
          <w:p w14:paraId="1269798E" w14:textId="5AD78A1E" w:rsidR="00D36A42" w:rsidRPr="00AF7228" w:rsidRDefault="00D36A42" w:rsidP="00D36A42">
            <w:pPr>
              <w:pStyle w:val="BulletPoint"/>
            </w:pPr>
            <w:r w:rsidRPr="00AF7228">
              <w:t>Leadership</w:t>
            </w:r>
          </w:p>
          <w:p w14:paraId="0EBBF666" w14:textId="0F0CA6AB" w:rsidR="00D36A42" w:rsidRPr="00AF7228" w:rsidRDefault="00D36A42" w:rsidP="00D36A42">
            <w:pPr>
              <w:pStyle w:val="BulletPoint"/>
            </w:pPr>
            <w:r w:rsidRPr="00AF7228">
              <w:t>Sustainability</w:t>
            </w:r>
            <w:r w:rsidR="00C34200">
              <w:t xml:space="preserve"> </w:t>
            </w:r>
            <w:proofErr w:type="spellStart"/>
            <w:r w:rsidR="00C34200">
              <w:t>and</w:t>
            </w:r>
            <w:r w:rsidRPr="00AF7228">
              <w:t>meaning</w:t>
            </w:r>
            <w:proofErr w:type="spellEnd"/>
            <w:r w:rsidRPr="00AF7228">
              <w:t xml:space="preserve"> of work</w:t>
            </w:r>
          </w:p>
          <w:p w14:paraId="7F12EE47" w14:textId="5D947580" w:rsidR="00D36A42" w:rsidRPr="00AF7228" w:rsidRDefault="00D36A42" w:rsidP="00D36A42">
            <w:pPr>
              <w:pStyle w:val="BulletPoint"/>
            </w:pPr>
            <w:r w:rsidRPr="00AF7228">
              <w:t>Increased clinician &amp; staff satisfaction</w:t>
            </w:r>
          </w:p>
          <w:p w14:paraId="21705F5E" w14:textId="6CB64C11" w:rsidR="00D36A42" w:rsidRPr="00AF7228" w:rsidRDefault="00D36A42" w:rsidP="00D36A42">
            <w:pPr>
              <w:pStyle w:val="BulletPoint"/>
            </w:pPr>
            <w:r w:rsidRPr="00AF7228">
              <w:t>Quality improvement culture</w:t>
            </w:r>
          </w:p>
        </w:tc>
      </w:tr>
    </w:tbl>
    <w:p w14:paraId="1D142144" w14:textId="441BE4E5" w:rsidR="00D36A42" w:rsidRPr="00AF7228" w:rsidRDefault="009814AF" w:rsidP="009814AF">
      <w:pPr>
        <w:pStyle w:val="Heading4"/>
      </w:pPr>
      <w:r w:rsidRPr="00AF7228">
        <w:t>Our Approach – Evidence Informed Decision Support</w:t>
      </w:r>
    </w:p>
    <w:p w14:paraId="16E80CEC" w14:textId="4EC09F0A" w:rsidR="009814AF" w:rsidRPr="00AF7228" w:rsidRDefault="009814AF" w:rsidP="009814AF">
      <w:pPr>
        <w:pStyle w:val="BodyText"/>
      </w:pPr>
      <w:r w:rsidRPr="00AF7228">
        <w:t>In our work we consistently apply systems thinking, context analysis and experiential perspectives and strive to build and strengthen ‘evidence-informed health care’. This means we look to apply a combination of:</w:t>
      </w:r>
    </w:p>
    <w:p w14:paraId="39E9E312" w14:textId="77777777" w:rsidR="009814AF" w:rsidRPr="00AF7228" w:rsidRDefault="009814AF" w:rsidP="009814AF">
      <w:pPr>
        <w:pStyle w:val="BulletPoint"/>
      </w:pPr>
      <w:r w:rsidRPr="00AF7228">
        <w:rPr>
          <w:b/>
        </w:rPr>
        <w:t>Evidence based medicine</w:t>
      </w:r>
      <w:r w:rsidRPr="00AF7228">
        <w:t xml:space="preserve"> – or Experimental knowledge developed through Random Controlled Trials, systematic reviews and the like</w:t>
      </w:r>
    </w:p>
    <w:p w14:paraId="697927AB" w14:textId="10A59820" w:rsidR="009814AF" w:rsidRPr="00AF7228" w:rsidRDefault="009814AF" w:rsidP="009814AF">
      <w:pPr>
        <w:pStyle w:val="BulletPoint"/>
      </w:pPr>
      <w:r w:rsidRPr="00AF7228">
        <w:rPr>
          <w:b/>
        </w:rPr>
        <w:t xml:space="preserve">Observational cohort studies </w:t>
      </w:r>
      <w:r w:rsidRPr="00AF7228">
        <w:t>– providing richer understandings of interventions and target audience impacts</w:t>
      </w:r>
    </w:p>
    <w:p w14:paraId="0E26CB44" w14:textId="3B74C7CC" w:rsidR="009814AF" w:rsidRPr="00AF7228" w:rsidRDefault="009814AF" w:rsidP="009814AF">
      <w:pPr>
        <w:pStyle w:val="BulletPoint"/>
        <w:rPr>
          <w:b/>
        </w:rPr>
      </w:pPr>
      <w:r w:rsidRPr="00AF7228">
        <w:rPr>
          <w:b/>
        </w:rPr>
        <w:t xml:space="preserve">Context Analysis – </w:t>
      </w:r>
      <w:r w:rsidRPr="00AF7228">
        <w:t>demographics and geo-spatial analysis</w:t>
      </w:r>
    </w:p>
    <w:p w14:paraId="3ED0902D" w14:textId="77777777" w:rsidR="009814AF" w:rsidRPr="00AF7228" w:rsidRDefault="009814AF" w:rsidP="009814AF">
      <w:pPr>
        <w:pStyle w:val="BulletPoint"/>
      </w:pPr>
      <w:r w:rsidRPr="009814AF">
        <w:t xml:space="preserve">‘Evidence-based health care’ </w:t>
      </w:r>
      <w:r w:rsidRPr="00AF7228">
        <w:t>or</w:t>
      </w:r>
      <w:r w:rsidRPr="009814AF">
        <w:t xml:space="preserve"> ‘</w:t>
      </w:r>
      <w:r w:rsidRPr="009814AF">
        <w:rPr>
          <w:b/>
          <w:bCs/>
        </w:rPr>
        <w:t>evidence-informed policy</w:t>
      </w:r>
      <w:r w:rsidRPr="009814AF">
        <w:t>’</w:t>
      </w:r>
      <w:r w:rsidRPr="00AF7228">
        <w:t xml:space="preserve"> -</w:t>
      </w:r>
      <w:r w:rsidRPr="009814AF">
        <w:t xml:space="preserve"> through the addition of routine big data and local context information, </w:t>
      </w:r>
    </w:p>
    <w:p w14:paraId="2CEEF420" w14:textId="7362A929" w:rsidR="009814AF" w:rsidRPr="00AF7228" w:rsidRDefault="009814AF" w:rsidP="009814AF">
      <w:pPr>
        <w:pStyle w:val="BulletPoint"/>
      </w:pPr>
      <w:r w:rsidRPr="00AF7228">
        <w:rPr>
          <w:b/>
        </w:rPr>
        <w:t>‘K</w:t>
      </w:r>
      <w:r w:rsidRPr="009814AF">
        <w:rPr>
          <w:b/>
        </w:rPr>
        <w:t>nowledge</w:t>
      </w:r>
      <w:r w:rsidR="00C34200">
        <w:rPr>
          <w:b/>
        </w:rPr>
        <w:t>-</w:t>
      </w:r>
      <w:r w:rsidRPr="009814AF">
        <w:rPr>
          <w:b/>
        </w:rPr>
        <w:t>guided policy’</w:t>
      </w:r>
      <w:r w:rsidRPr="00AF7228">
        <w:t xml:space="preserve"> -</w:t>
      </w:r>
      <w:r w:rsidRPr="009814AF">
        <w:t xml:space="preserve"> through the incorporation of domain experts</w:t>
      </w:r>
      <w:r w:rsidRPr="00AF7228">
        <w:t>, both within and beyond the western Sydney region,</w:t>
      </w:r>
      <w:r w:rsidRPr="009814AF">
        <w:t xml:space="preserve"> to the data analysis process</w:t>
      </w:r>
    </w:p>
    <w:p w14:paraId="55B81A12" w14:textId="37956C28" w:rsidR="009814AF" w:rsidRPr="009814AF" w:rsidRDefault="009814AF" w:rsidP="009814AF">
      <w:pPr>
        <w:pStyle w:val="BulletPoint"/>
      </w:pPr>
      <w:r w:rsidRPr="00AF7228">
        <w:rPr>
          <w:b/>
        </w:rPr>
        <w:t xml:space="preserve">Experiential knowledge </w:t>
      </w:r>
      <w:r w:rsidRPr="00AF7228">
        <w:t>– the incorporation of the expertise from those with lived experience – consumers and carers</w:t>
      </w:r>
    </w:p>
    <w:p w14:paraId="55F0A539" w14:textId="35A8D8A6" w:rsidR="00D36A42" w:rsidRPr="00AF7228" w:rsidRDefault="009814AF" w:rsidP="009814AF">
      <w:pPr>
        <w:pStyle w:val="BodyText"/>
      </w:pPr>
      <w:r w:rsidRPr="00AF7228">
        <w:rPr>
          <w:b/>
          <w:bCs/>
        </w:rPr>
        <w:t>Evidence-informed</w:t>
      </w:r>
      <w:r w:rsidRPr="00AF7228">
        <w:t>, rather than merely evidence-based, healthcare policy and practice acknowledges that policy-making is an inherently political process in which research evidence is only one factor that influences decision-making.</w:t>
      </w:r>
      <w:r w:rsidRPr="00AF7228">
        <w:rPr>
          <w:rStyle w:val="FootnoteReference"/>
        </w:rPr>
        <w:footnoteReference w:id="7"/>
      </w:r>
      <w:r w:rsidRPr="00AF7228">
        <w:t xml:space="preserve"> </w:t>
      </w:r>
    </w:p>
    <w:p w14:paraId="2971AD54" w14:textId="6AF60DF5" w:rsidR="0043354A" w:rsidRPr="00AF7228" w:rsidRDefault="0043354A" w:rsidP="0043354A">
      <w:pPr>
        <w:pStyle w:val="Heading4"/>
      </w:pPr>
      <w:r w:rsidRPr="00AF7228">
        <w:t>Our Core Commitment – General Practice and Primary Care Development</w:t>
      </w:r>
    </w:p>
    <w:p w14:paraId="7C8264F7" w14:textId="5AB2D755" w:rsidR="0043354A" w:rsidRPr="00AF7228" w:rsidRDefault="0043354A" w:rsidP="0043354A">
      <w:pPr>
        <w:pStyle w:val="BodyText"/>
      </w:pPr>
      <w:r w:rsidRPr="00AF7228">
        <w:t>In the nine years of operation WentWest has maintained an unwavering commitment to General Practice and primary health care development. Our work includes:</w:t>
      </w:r>
    </w:p>
    <w:p w14:paraId="7D5CC777" w14:textId="324DDB0F" w:rsidR="0043354A" w:rsidRPr="00AF7228" w:rsidRDefault="0043354A" w:rsidP="0043354A">
      <w:pPr>
        <w:pStyle w:val="BulletPoint"/>
      </w:pPr>
      <w:r w:rsidRPr="00AF7228">
        <w:lastRenderedPageBreak/>
        <w:t xml:space="preserve">Improved access to </w:t>
      </w:r>
      <w:proofErr w:type="spellStart"/>
      <w:r w:rsidRPr="00AF7228">
        <w:rPr>
          <w:b/>
        </w:rPr>
        <w:t>after hours</w:t>
      </w:r>
      <w:proofErr w:type="spellEnd"/>
      <w:r w:rsidRPr="00AF7228">
        <w:t xml:space="preserve"> primary health care services</w:t>
      </w:r>
    </w:p>
    <w:p w14:paraId="6FD99E05" w14:textId="7DFA0296" w:rsidR="0043354A" w:rsidRPr="00AF7228" w:rsidRDefault="0043354A" w:rsidP="0043354A">
      <w:pPr>
        <w:pStyle w:val="BulletPoint"/>
      </w:pPr>
      <w:r w:rsidRPr="00AF7228">
        <w:t xml:space="preserve">The </w:t>
      </w:r>
      <w:r w:rsidRPr="00AF7228">
        <w:rPr>
          <w:b/>
        </w:rPr>
        <w:t>Health Pathways</w:t>
      </w:r>
      <w:r w:rsidRPr="00AF7228">
        <w:t xml:space="preserve"> Program</w:t>
      </w:r>
    </w:p>
    <w:p w14:paraId="559A7CD0" w14:textId="08F072F6" w:rsidR="0043354A" w:rsidRPr="00AF7228" w:rsidRDefault="0043354A" w:rsidP="0043354A">
      <w:pPr>
        <w:pStyle w:val="BulletPoint"/>
      </w:pPr>
      <w:r w:rsidRPr="00AF7228">
        <w:t xml:space="preserve">The </w:t>
      </w:r>
      <w:r w:rsidRPr="00AF7228">
        <w:rPr>
          <w:b/>
        </w:rPr>
        <w:t>Patient Centred Medical Home</w:t>
      </w:r>
      <w:r w:rsidRPr="00AF7228">
        <w:t xml:space="preserve"> trial with Western Sydney University</w:t>
      </w:r>
    </w:p>
    <w:p w14:paraId="0B35F13C" w14:textId="4F032789" w:rsidR="0043354A" w:rsidRPr="00AF7228" w:rsidRDefault="0043354A" w:rsidP="0043354A">
      <w:pPr>
        <w:pStyle w:val="BulletPoint"/>
      </w:pPr>
      <w:r w:rsidRPr="00AF7228">
        <w:t xml:space="preserve">The </w:t>
      </w:r>
      <w:r w:rsidRPr="00AF7228">
        <w:rPr>
          <w:b/>
        </w:rPr>
        <w:t>Health Care Homes</w:t>
      </w:r>
      <w:r w:rsidRPr="00AF7228">
        <w:t xml:space="preserve"> Program</w:t>
      </w:r>
    </w:p>
    <w:p w14:paraId="2E6ACD32" w14:textId="7BA6C78C" w:rsidR="0043354A" w:rsidRPr="00AF7228" w:rsidRDefault="0043354A" w:rsidP="0043354A">
      <w:pPr>
        <w:pStyle w:val="BulletPoint"/>
      </w:pPr>
      <w:r w:rsidRPr="00AF7228">
        <w:t xml:space="preserve">The </w:t>
      </w:r>
      <w:r w:rsidRPr="00AF7228">
        <w:rPr>
          <w:b/>
        </w:rPr>
        <w:t>Integrated Care Program</w:t>
      </w:r>
      <w:r w:rsidRPr="00AF7228">
        <w:t xml:space="preserve"> in partnership with Western Sydney LHD</w:t>
      </w:r>
    </w:p>
    <w:p w14:paraId="187F2274" w14:textId="67E4C3CC" w:rsidR="0043354A" w:rsidRPr="00AF7228" w:rsidRDefault="0043354A" w:rsidP="0043354A">
      <w:pPr>
        <w:pStyle w:val="BulletPoint"/>
      </w:pPr>
      <w:r w:rsidRPr="00AF7228">
        <w:t xml:space="preserve">The </w:t>
      </w:r>
      <w:r w:rsidRPr="00AF7228">
        <w:rPr>
          <w:b/>
        </w:rPr>
        <w:t>Western Sydney General Practice Pharmacist</w:t>
      </w:r>
      <w:r w:rsidRPr="00AF7228">
        <w:t xml:space="preserve"> Program</w:t>
      </w:r>
    </w:p>
    <w:p w14:paraId="6210BB63" w14:textId="2B008F32" w:rsidR="0043354A" w:rsidRPr="00AF7228" w:rsidRDefault="0043354A" w:rsidP="0043354A">
      <w:pPr>
        <w:pStyle w:val="BulletPoint"/>
      </w:pPr>
      <w:r w:rsidRPr="00AF7228">
        <w:t xml:space="preserve">The </w:t>
      </w:r>
      <w:r w:rsidRPr="00AF7228">
        <w:rPr>
          <w:b/>
        </w:rPr>
        <w:t>Collaborative Pairs</w:t>
      </w:r>
      <w:r w:rsidRPr="00AF7228">
        <w:t xml:space="preserve"> </w:t>
      </w:r>
      <w:r w:rsidR="00C34200" w:rsidRPr="00AF7228">
        <w:t>National</w:t>
      </w:r>
      <w:r w:rsidRPr="00AF7228">
        <w:t xml:space="preserve"> Demonstration Trial in partnership with the Consumer’s Health Forum and the King’s Fund UK</w:t>
      </w:r>
    </w:p>
    <w:p w14:paraId="13D65B27" w14:textId="076484F0" w:rsidR="0043354A" w:rsidRPr="00AF7228" w:rsidRDefault="0043354A" w:rsidP="0043354A">
      <w:pPr>
        <w:pStyle w:val="BulletPoint"/>
      </w:pPr>
      <w:r w:rsidRPr="00AF7228">
        <w:rPr>
          <w:b/>
        </w:rPr>
        <w:t>ADHA Digital Health Test Beds</w:t>
      </w:r>
      <w:r w:rsidRPr="00AF7228">
        <w:t xml:space="preserve"> Demonstration site</w:t>
      </w:r>
    </w:p>
    <w:p w14:paraId="7DD598B0" w14:textId="17203702" w:rsidR="0043354A" w:rsidRPr="00AF7228" w:rsidRDefault="0043354A" w:rsidP="0043354A">
      <w:pPr>
        <w:pStyle w:val="BulletPoint"/>
      </w:pPr>
      <w:r w:rsidRPr="00AF7228">
        <w:rPr>
          <w:b/>
        </w:rPr>
        <w:t>My Health Record</w:t>
      </w:r>
      <w:r w:rsidRPr="00AF7228">
        <w:t xml:space="preserve"> and Practice Nurse Shared Health Summary Pilot Incentive Program</w:t>
      </w:r>
    </w:p>
    <w:p w14:paraId="056FB95E" w14:textId="630467B7" w:rsidR="0043354A" w:rsidRPr="00AF7228" w:rsidRDefault="0043354A" w:rsidP="0043354A">
      <w:pPr>
        <w:pStyle w:val="BulletPoint"/>
        <w:rPr>
          <w:b/>
        </w:rPr>
      </w:pPr>
      <w:r w:rsidRPr="00AF7228">
        <w:rPr>
          <w:b/>
        </w:rPr>
        <w:t>Health Intelligence Unit</w:t>
      </w:r>
    </w:p>
    <w:p w14:paraId="29627D36" w14:textId="15DACB88" w:rsidR="0043354A" w:rsidRPr="00AF7228" w:rsidRDefault="0043354A" w:rsidP="0043354A">
      <w:pPr>
        <w:pStyle w:val="BodyText"/>
      </w:pPr>
      <w:r w:rsidRPr="00AF7228">
        <w:t xml:space="preserve">These initiatives are just some of the recent and ongoing work WentWest is undertaking to transform primary health care in western Sydney, informed by the world’s leading primary care systems in the US, UK and NZ. </w:t>
      </w:r>
    </w:p>
    <w:p w14:paraId="3C3CBA2B" w14:textId="5FB73CD1" w:rsidR="0043354A" w:rsidRPr="00AF7228" w:rsidRDefault="0043354A" w:rsidP="0043354A">
      <w:pPr>
        <w:pStyle w:val="BodyText"/>
      </w:pPr>
      <w:r w:rsidRPr="00AF7228">
        <w:t>The Ten Building Blocks of High Performing Primary Care provide the framework for our work.</w:t>
      </w:r>
    </w:p>
    <w:bookmarkStart w:id="4" w:name="_Toc6237971"/>
    <w:p w14:paraId="192CD532" w14:textId="38F082E5" w:rsidR="0043354A" w:rsidRDefault="0043354A" w:rsidP="0043354A">
      <w:pPr>
        <w:pStyle w:val="FigureCaption"/>
      </w:pPr>
      <w:r w:rsidRPr="00AF7228">
        <w:rPr>
          <w:noProof/>
          <w:lang w:eastAsia="en-AU"/>
        </w:rPr>
        <mc:AlternateContent>
          <mc:Choice Requires="wpi">
            <w:drawing>
              <wp:anchor distT="0" distB="0" distL="114300" distR="114300" simplePos="0" relativeHeight="251782656" behindDoc="0" locked="0" layoutInCell="1" allowOverlap="1" wp14:anchorId="5FE3D94F" wp14:editId="0DE4907E">
                <wp:simplePos x="0" y="0"/>
                <wp:positionH relativeFrom="column">
                  <wp:posOffset>-48848</wp:posOffset>
                </wp:positionH>
                <wp:positionV relativeFrom="paragraph">
                  <wp:posOffset>169712</wp:posOffset>
                </wp:positionV>
                <wp:extent cx="360" cy="360"/>
                <wp:effectExtent l="38100" t="38100" r="38100" b="38100"/>
                <wp:wrapNone/>
                <wp:docPr id="91" name="Ink 91"/>
                <wp:cNvGraphicFramePr/>
                <a:graphic xmlns:a="http://schemas.openxmlformats.org/drawingml/2006/main">
                  <a:graphicData uri="http://schemas.microsoft.com/office/word/2010/wordprocessingInk">
                    <w14:contentPart bwMode="auto" r:id="rId25">
                      <w14:nvContentPartPr>
                        <w14:cNvContentPartPr/>
                      </w14:nvContentPartPr>
                      <w14:xfrm>
                        <a:off x="0" y="0"/>
                        <a:ext cx="360" cy="360"/>
                      </w14:xfrm>
                    </w14:contentPart>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A2805F8"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91" o:spid="_x0000_s1026" type="#_x0000_t75" style="position:absolute;margin-left:-4.55pt;margin-top:12.65pt;width:1.45pt;height:1.45pt;z-index:2517826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f0ct8AQAAKAMAAA4AAABkcnMvZTJvRG9jLnhtbJxSy07DMBC8I/EP&#10;lu80SUEVRE16oELqgdIDfIDr2I1F7I3WTtP+PZu0oS0IIfUS7SOendnZ6WxnK7ZV6A24jCejmDPl&#10;JBTGbTL+8f5y98iZD8IVogKnMr5Xns/y25tpW6dqDCVUhUJGIM6nbZ3xMoQ6jSIvS2WFH0GtHDU1&#10;oBWBUtxEBYqW0G0VjeN4ErWARY0glfdUnR+aPO/xtVYyvGntVWBVxp/imOiFIcAhWB+DKJ+KdIOi&#10;Lo08UhJXMLLCOCLwDTUXQbAGzS8oaySCBx1GEmwEWhupej2kLIl/KFu4z05V8iAbTCW4oFxYCQzD&#10;7vrGNSNsxdm6fYWC3BFNAH5EpPX8b8aB9BxkY4nPwRFUlQh0Dr40tecMU1NkHBdFcuLvts8nBSs8&#10;6VpuV8i6/58SzpywxImEM8rInEH88vI1daJj6y/cnUbbOUJ02S7jdAX77tsbrnaBSSreT6gsqd4F&#10;Z5iHt8OEs83T2AuPz/OO0tmB518AAAD//wMAUEsDBBQABgAIAAAAIQAJ3Pa9wQEAAGQEAAAQAAAA&#10;ZHJzL2luay9pbmsxLnhtbLSTUU/rIBTH3038DgQffHEtbTfrGjufXGJyTczVm+hjbXElFliArtu3&#10;v6eUsRqnT5omDRw4f8758ef6ZssbtKFKMylyHAUEIypKWTGxyvG/p+XkCiNtClEVjRQ0xzuq8c3i&#10;9OSaiXfeZPBHoCB0P+JNjmtj1lkYdl0XdEkg1SqMCUnCO/F+/wcvXFZF35hgBo7U+1AphaFb04tl&#10;rMpxabbE7wftR9mqkvrlPqLKww6jipIupeKF8Yp1IQRtkCg41P2MkdmtYcDgnBVVGHEGDU/iIJqm&#10;06vbOQSKbY5H8xZK1FAJx+FxzZdf0Fx+1uzLSuL0MsXIlVTRTV9TaJlnX/f+oOSaKsPoAfMAxS3s&#10;UDnMLZ8BlKJaNm1/NxhtiqYFZBEhYAt3dhQeAfJZD9j8qB5w+VJvXNxHNK69MQcHzVtqf7WGcQpG&#10;52vvMaNBuA8/GmWfQ0yi+YQkk4Q8kctsOs+iNEjJfHQVzsV7zVfV6trrvaqDX+2KpzZ01rHK1B46&#10;CcjMQx8jP5ZaU7aqzXe5rm2b7J1z5B1aMyHXx1/6luMz+xSRzRwCthGCCIqns3R2cU7674Mb/QmA&#10;efEfAAD//wMAUEsDBBQABgAIAAAAIQDajrbo3gAAAAwBAAAPAAAAZHJzL2Rvd25yZXYueG1sTE9N&#10;T4NAEL2b+B82Y+KNLmBsKGVpWo1XE2kP7W2BEYjsLNldWvz3jie9vOTlzbyPYreYUVzR+cGSgmQV&#10;g0BqbDtQp+B0fIsyED5oavVoCRV8o4ddeX9X6Ly1N/rAaxU6wSbkc62gD2HKpfRNj0b7lZ2QWPu0&#10;zujA1HWydfrG5maUaRyvpdEDcUKvJ3zpsfmqZqNgmWtNl7py2bI5z+fh8J4cL6jU48PyumXYb0EE&#10;XMLfB/xu4P5QcrHaztR6MSqINglfKkifn0CwHq1TEDXzLAVZFvL/iPIH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BAi0AFAAGAAgAAAAhAJszJzcMAQAALQIAABMAAAAAAAAAAAAAAAAAAAAAAFtD&#10;b250ZW50X1R5cGVzXS54bWxQSwECLQAUAAYACAAAACEAOP0h/9YAAACUAQAACwAAAAAAAAAAAAAA&#10;AAA9AQAAX3JlbHMvLnJlbHNQSwECLQAUAAYACAAAACEAg1/Ry3wBAAAoAwAADgAAAAAAAAAAAAAA&#10;AAA8AgAAZHJzL2Uyb0RvYy54bWxQSwECLQAUAAYACAAAACEACdz2vcEBAABkBAAAEAAAAAAAAAAA&#10;AAAAAADkAwAAZHJzL2luay9pbmsxLnhtbFBLAQItABQABgAIAAAAIQDajrbo3gAAAAwBAAAPAAAA&#10;AAAAAAAAAAAAANMFAABkcnMvZG93bnJldi54bWxQSwECLQAUAAYACAAAACEAeRi8nb8AAAAhAQAA&#10;GQAAAAAAAAAAAAAAAADeBgAAZHJzL19yZWxzL2Uyb0RvYy54bWwucmVsc1BLBQYAAAAABgAGAHgB&#10;AADUBwAAAAA=&#10;">
                <v:imagedata r:id="rId26" o:title=""/>
              </v:shape>
            </w:pict>
          </mc:Fallback>
        </mc:AlternateContent>
      </w:r>
      <w:r w:rsidRPr="00AF7228">
        <w:t xml:space="preserve"> The Ten Building Blocks of High Performing Primary Care</w:t>
      </w:r>
      <w:r w:rsidRPr="00AF7228">
        <w:rPr>
          <w:rStyle w:val="FootnoteReference"/>
        </w:rPr>
        <w:footnoteReference w:id="8"/>
      </w:r>
      <w:bookmarkEnd w:id="4"/>
      <w:r w:rsidRPr="00AF7228">
        <w:t xml:space="preserve">  </w:t>
      </w:r>
    </w:p>
    <w:p w14:paraId="7DDA57B1" w14:textId="00D34672" w:rsidR="005B3900" w:rsidRPr="005B3900" w:rsidRDefault="005B3900" w:rsidP="005B3900">
      <w:pPr>
        <w:jc w:val="center"/>
      </w:pPr>
      <w:r>
        <w:rPr>
          <w:noProof/>
          <w:lang w:eastAsia="en-AU"/>
        </w:rPr>
        <w:drawing>
          <wp:inline distT="0" distB="0" distL="0" distR="0" wp14:anchorId="44423CF6" wp14:editId="3808B69D">
            <wp:extent cx="4028263" cy="3993590"/>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entwest-building-blocks.jpg"/>
                    <pic:cNvPicPr/>
                  </pic:nvPicPr>
                  <pic:blipFill>
                    <a:blip r:embed="rId27"/>
                    <a:stretch>
                      <a:fillRect/>
                    </a:stretch>
                  </pic:blipFill>
                  <pic:spPr>
                    <a:xfrm>
                      <a:off x="0" y="0"/>
                      <a:ext cx="4032309" cy="3997602"/>
                    </a:xfrm>
                    <a:prstGeom prst="rect">
                      <a:avLst/>
                    </a:prstGeom>
                  </pic:spPr>
                </pic:pic>
              </a:graphicData>
            </a:graphic>
          </wp:inline>
        </w:drawing>
      </w:r>
    </w:p>
    <w:p w14:paraId="3DBE732F" w14:textId="1A0413A0" w:rsidR="00D36A42" w:rsidRPr="00AF7228" w:rsidRDefault="00D36A42">
      <w:pPr>
        <w:spacing w:before="0" w:after="0"/>
        <w:rPr>
          <w:b/>
          <w:bCs/>
          <w:color w:val="00AFEF"/>
          <w:sz w:val="36"/>
          <w:szCs w:val="40"/>
        </w:rPr>
      </w:pPr>
      <w:r w:rsidRPr="00AF7228">
        <w:lastRenderedPageBreak/>
        <w:br w:type="page"/>
      </w:r>
    </w:p>
    <w:p w14:paraId="04948FDD" w14:textId="4F936FF0" w:rsidR="00713158" w:rsidRPr="00AF7228" w:rsidRDefault="00713158" w:rsidP="00117D83">
      <w:pPr>
        <w:pStyle w:val="Heading1"/>
      </w:pPr>
      <w:bookmarkStart w:id="5" w:name="_Toc6238796"/>
      <w:r w:rsidRPr="00AF7228">
        <w:lastRenderedPageBreak/>
        <w:t xml:space="preserve">Western Sydney – </w:t>
      </w:r>
      <w:r w:rsidR="00C34200">
        <w:t>O</w:t>
      </w:r>
      <w:r w:rsidR="00C34200" w:rsidRPr="00AF7228">
        <w:t xml:space="preserve">ur </w:t>
      </w:r>
      <w:r w:rsidR="00C34200">
        <w:t>R</w:t>
      </w:r>
      <w:r w:rsidRPr="00AF7228">
        <w:t>egion</w:t>
      </w:r>
      <w:bookmarkEnd w:id="5"/>
    </w:p>
    <w:p w14:paraId="7B1055DA" w14:textId="4D788B5C" w:rsidR="004D7F79" w:rsidRPr="00AF7228" w:rsidRDefault="004D7F79" w:rsidP="004D7F79">
      <w:pPr>
        <w:pStyle w:val="BodyText"/>
        <w:spacing w:line="260" w:lineRule="exact"/>
        <w:jc w:val="both"/>
      </w:pPr>
      <w:r w:rsidRPr="00AF7228">
        <w:rPr>
          <w:noProof/>
          <w:lang w:eastAsia="en-AU"/>
        </w:rPr>
        <w:drawing>
          <wp:anchor distT="0" distB="0" distL="114300" distR="114300" simplePos="0" relativeHeight="251770368" behindDoc="0" locked="0" layoutInCell="1" allowOverlap="1" wp14:anchorId="7E4EF37B" wp14:editId="35DF9F69">
            <wp:simplePos x="0" y="0"/>
            <wp:positionH relativeFrom="margin">
              <wp:posOffset>-48895</wp:posOffset>
            </wp:positionH>
            <wp:positionV relativeFrom="paragraph">
              <wp:posOffset>125095</wp:posOffset>
            </wp:positionV>
            <wp:extent cx="3058160" cy="4176395"/>
            <wp:effectExtent l="0" t="0" r="0" b="0"/>
            <wp:wrapTight wrapText="bothSides">
              <wp:wrapPolygon edited="0">
                <wp:start x="0" y="0"/>
                <wp:lineTo x="0" y="21413"/>
                <wp:lineTo x="21349" y="21413"/>
                <wp:lineTo x="21349"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oundaries.png"/>
                    <pic:cNvPicPr/>
                  </pic:nvPicPr>
                  <pic:blipFill>
                    <a:blip r:embed="rId28">
                      <a:extLst>
                        <a:ext uri="{28A0092B-C50C-407E-A947-70E740481C1C}">
                          <a14:useLocalDpi xmlns:a14="http://schemas.microsoft.com/office/drawing/2010/main" val="0"/>
                        </a:ext>
                      </a:extLst>
                    </a:blip>
                    <a:stretch>
                      <a:fillRect/>
                    </a:stretch>
                  </pic:blipFill>
                  <pic:spPr>
                    <a:xfrm>
                      <a:off x="0" y="0"/>
                      <a:ext cx="3058160" cy="4176395"/>
                    </a:xfrm>
                    <a:prstGeom prst="rect">
                      <a:avLst/>
                    </a:prstGeom>
                  </pic:spPr>
                </pic:pic>
              </a:graphicData>
            </a:graphic>
            <wp14:sizeRelH relativeFrom="page">
              <wp14:pctWidth>0</wp14:pctWidth>
            </wp14:sizeRelH>
            <wp14:sizeRelV relativeFrom="page">
              <wp14:pctHeight>0</wp14:pctHeight>
            </wp14:sizeRelV>
          </wp:anchor>
        </w:drawing>
      </w:r>
      <w:r w:rsidRPr="00AF7228">
        <w:t>The Western Sydney PHN (WentWest) region encompasses five Local Government Areas (LGAs) and is located in the outer western suburbs of Sydney (</w:t>
      </w:r>
      <w:r w:rsidRPr="00AF7228">
        <w:fldChar w:fldCharType="begin"/>
      </w:r>
      <w:r w:rsidRPr="00AF7228">
        <w:instrText xml:space="preserve"> REF _Ref483565050 \r \h  \* MERGEFORMAT </w:instrText>
      </w:r>
      <w:r w:rsidRPr="00AF7228">
        <w:fldChar w:fldCharType="separate"/>
      </w:r>
      <w:r w:rsidR="00EF2823">
        <w:t>Figure 2</w:t>
      </w:r>
      <w:r w:rsidRPr="00AF7228">
        <w:fldChar w:fldCharType="end"/>
      </w:r>
      <w:r w:rsidRPr="00AF7228">
        <w:t xml:space="preserve">). </w:t>
      </w:r>
    </w:p>
    <w:p w14:paraId="3CBA8E45" w14:textId="2A3BF4F3" w:rsidR="004D7F79" w:rsidRPr="00AF7228" w:rsidRDefault="004D7F79" w:rsidP="004D7F79">
      <w:pPr>
        <w:pStyle w:val="BodyText"/>
        <w:spacing w:line="260" w:lineRule="exact"/>
        <w:jc w:val="both"/>
      </w:pPr>
      <w:r w:rsidRPr="00AF7228">
        <w:t>Covering an area of 766 km</w:t>
      </w:r>
      <w:r w:rsidRPr="00AF7228">
        <w:rPr>
          <w:vertAlign w:val="superscript"/>
        </w:rPr>
        <w:t>2</w:t>
      </w:r>
      <w:r w:rsidRPr="00AF7228">
        <w:t xml:space="preserve">, the boundaries of the catchment extend from Auburn in the East to Blacktown in the West, and to the Hills in the North, encompassing an urban, outer urban and semi-rural population. This population, of over 900,000 people, is serviced by the Western Sydney Local Health District (LHD) and distributed across 12 regional towns/cities (SA3s) including: </w:t>
      </w:r>
    </w:p>
    <w:p w14:paraId="5BF0D37E" w14:textId="77777777" w:rsidR="004D7F79" w:rsidRPr="00AF7228" w:rsidRDefault="004D7F79" w:rsidP="004D7F79">
      <w:pPr>
        <w:pStyle w:val="BodyText"/>
        <w:numPr>
          <w:ilvl w:val="0"/>
          <w:numId w:val="4"/>
        </w:numPr>
        <w:spacing w:before="0" w:after="0" w:line="264" w:lineRule="auto"/>
        <w:ind w:left="1560" w:hanging="357"/>
        <w:jc w:val="both"/>
      </w:pPr>
      <w:r w:rsidRPr="00AF7228">
        <w:t>Auburn</w:t>
      </w:r>
    </w:p>
    <w:p w14:paraId="40EE6E3A" w14:textId="77777777" w:rsidR="004D7F79" w:rsidRPr="00AF7228" w:rsidRDefault="004D7F79" w:rsidP="004D7F79">
      <w:pPr>
        <w:pStyle w:val="BodyText"/>
        <w:numPr>
          <w:ilvl w:val="0"/>
          <w:numId w:val="4"/>
        </w:numPr>
        <w:spacing w:before="0" w:after="0" w:line="264" w:lineRule="auto"/>
        <w:ind w:left="1560" w:hanging="357"/>
        <w:jc w:val="both"/>
      </w:pPr>
      <w:r w:rsidRPr="00AF7228">
        <w:t>Baulkham Hills</w:t>
      </w:r>
    </w:p>
    <w:p w14:paraId="16077EAA" w14:textId="77777777" w:rsidR="004D7F79" w:rsidRPr="00AF7228" w:rsidRDefault="004D7F79" w:rsidP="004D7F79">
      <w:pPr>
        <w:pStyle w:val="BodyText"/>
        <w:numPr>
          <w:ilvl w:val="0"/>
          <w:numId w:val="4"/>
        </w:numPr>
        <w:spacing w:before="0" w:after="0" w:line="264" w:lineRule="auto"/>
        <w:ind w:left="1560" w:hanging="357"/>
      </w:pPr>
      <w:r w:rsidRPr="00AF7228">
        <w:t>Blacktown</w:t>
      </w:r>
    </w:p>
    <w:p w14:paraId="38930032" w14:textId="77777777" w:rsidR="004D7F79" w:rsidRPr="00AF7228" w:rsidRDefault="004D7F79" w:rsidP="004D7F79">
      <w:pPr>
        <w:pStyle w:val="BodyText"/>
        <w:numPr>
          <w:ilvl w:val="0"/>
          <w:numId w:val="4"/>
        </w:numPr>
        <w:spacing w:before="0" w:after="0" w:line="264" w:lineRule="auto"/>
        <w:ind w:left="1560" w:hanging="357"/>
      </w:pPr>
      <w:r w:rsidRPr="00AF7228">
        <w:t>Blacktown - North</w:t>
      </w:r>
    </w:p>
    <w:p w14:paraId="7A7B6018" w14:textId="77777777" w:rsidR="004D7F79" w:rsidRPr="00AF7228" w:rsidRDefault="004D7F79" w:rsidP="004D7F79">
      <w:pPr>
        <w:pStyle w:val="BodyText"/>
        <w:numPr>
          <w:ilvl w:val="0"/>
          <w:numId w:val="4"/>
        </w:numPr>
        <w:spacing w:before="0" w:after="0" w:line="264" w:lineRule="auto"/>
        <w:ind w:left="1560" w:hanging="357"/>
      </w:pPr>
      <w:r w:rsidRPr="00AF7228">
        <w:t>Carlingford</w:t>
      </w:r>
    </w:p>
    <w:p w14:paraId="6A226211" w14:textId="77777777" w:rsidR="004D7F79" w:rsidRPr="00AF7228" w:rsidRDefault="004D7F79" w:rsidP="004D7F79">
      <w:pPr>
        <w:pStyle w:val="BodyText"/>
        <w:numPr>
          <w:ilvl w:val="0"/>
          <w:numId w:val="4"/>
        </w:numPr>
        <w:spacing w:before="0" w:after="0" w:line="264" w:lineRule="auto"/>
        <w:ind w:left="1560" w:hanging="357"/>
      </w:pPr>
      <w:r w:rsidRPr="00AF7228">
        <w:t>Dural - Wisemans Ferry</w:t>
      </w:r>
    </w:p>
    <w:p w14:paraId="44190F00" w14:textId="77777777" w:rsidR="004D7F79" w:rsidRPr="00AF7228" w:rsidRDefault="004D7F79" w:rsidP="004D7F79">
      <w:pPr>
        <w:pStyle w:val="BodyText"/>
        <w:numPr>
          <w:ilvl w:val="0"/>
          <w:numId w:val="4"/>
        </w:numPr>
        <w:spacing w:before="0" w:after="0" w:line="264" w:lineRule="auto"/>
        <w:ind w:left="1560" w:hanging="357"/>
      </w:pPr>
      <w:r w:rsidRPr="00AF7228">
        <w:t>Mount Druitt</w:t>
      </w:r>
    </w:p>
    <w:p w14:paraId="10615143" w14:textId="77777777" w:rsidR="004D7F79" w:rsidRPr="00AF7228" w:rsidRDefault="004D7F79" w:rsidP="004D7F79">
      <w:pPr>
        <w:pStyle w:val="BodyText"/>
        <w:numPr>
          <w:ilvl w:val="0"/>
          <w:numId w:val="4"/>
        </w:numPr>
        <w:spacing w:before="0" w:after="0" w:line="264" w:lineRule="auto"/>
        <w:ind w:left="1560" w:hanging="357"/>
      </w:pPr>
      <w:r w:rsidRPr="00AF7228">
        <w:t>Merrylands - Guildford</w:t>
      </w:r>
    </w:p>
    <w:p w14:paraId="00773E27" w14:textId="77777777" w:rsidR="004D7F79" w:rsidRPr="00AF7228" w:rsidRDefault="004D7F79" w:rsidP="004D7F79">
      <w:pPr>
        <w:pStyle w:val="BodyText"/>
        <w:numPr>
          <w:ilvl w:val="0"/>
          <w:numId w:val="4"/>
        </w:numPr>
        <w:spacing w:before="0" w:after="0" w:line="264" w:lineRule="auto"/>
        <w:ind w:left="1560" w:hanging="357"/>
      </w:pPr>
      <w:r w:rsidRPr="00AF7228">
        <w:t>Parramatta</w:t>
      </w:r>
    </w:p>
    <w:p w14:paraId="7998043A" w14:textId="77777777" w:rsidR="004D7F79" w:rsidRPr="00AF7228" w:rsidRDefault="004D7F79" w:rsidP="004D7F79">
      <w:pPr>
        <w:pStyle w:val="BodyText"/>
        <w:numPr>
          <w:ilvl w:val="0"/>
          <w:numId w:val="4"/>
        </w:numPr>
        <w:spacing w:before="0" w:after="0" w:line="264" w:lineRule="auto"/>
        <w:ind w:left="1560" w:hanging="357"/>
      </w:pPr>
      <w:r w:rsidRPr="00AF7228">
        <w:t>Pennant Hills - Epping</w:t>
      </w:r>
    </w:p>
    <w:p w14:paraId="57E72FC3" w14:textId="77777777" w:rsidR="004D7F79" w:rsidRPr="00AF7228" w:rsidRDefault="004D7F79" w:rsidP="004D7F79">
      <w:pPr>
        <w:pStyle w:val="BodyText"/>
        <w:numPr>
          <w:ilvl w:val="0"/>
          <w:numId w:val="4"/>
        </w:numPr>
        <w:spacing w:before="0" w:after="0" w:line="264" w:lineRule="auto"/>
        <w:ind w:left="1560" w:hanging="357"/>
      </w:pPr>
      <w:r w:rsidRPr="00AF7228">
        <w:t>Rouse Hill - McGraths Hill</w:t>
      </w:r>
    </w:p>
    <w:p w14:paraId="5B20399C" w14:textId="77777777" w:rsidR="004D7F79" w:rsidRPr="00AF7228" w:rsidRDefault="004D7F79" w:rsidP="004D7F79">
      <w:pPr>
        <w:pStyle w:val="BodyText"/>
        <w:numPr>
          <w:ilvl w:val="0"/>
          <w:numId w:val="4"/>
        </w:numPr>
        <w:spacing w:before="0" w:after="0" w:line="264" w:lineRule="auto"/>
        <w:ind w:left="1559" w:hanging="357"/>
      </w:pPr>
      <w:r w:rsidRPr="00AF7228">
        <w:t>Ryde - Hunters Hill</w:t>
      </w:r>
    </w:p>
    <w:p w14:paraId="5C707BDE" w14:textId="77777777" w:rsidR="004D7F79" w:rsidRPr="00AF7228" w:rsidRDefault="004D7F79" w:rsidP="004D7F79">
      <w:pPr>
        <w:pStyle w:val="FigureCaption"/>
        <w:jc w:val="left"/>
      </w:pPr>
      <w:bookmarkStart w:id="6" w:name="_Ref483565050"/>
      <w:bookmarkStart w:id="7" w:name="_Toc6237972"/>
      <w:r w:rsidRPr="00AF7228">
        <w:t>WentWest Geographical Boundaries</w:t>
      </w:r>
      <w:bookmarkEnd w:id="6"/>
      <w:bookmarkEnd w:id="7"/>
    </w:p>
    <w:p w14:paraId="525FB7DF" w14:textId="17B19AB6" w:rsidR="00713158" w:rsidRPr="00AF7228" w:rsidRDefault="004D7F79" w:rsidP="004D7F79">
      <w:pPr>
        <w:pStyle w:val="Heading3"/>
      </w:pPr>
      <w:bookmarkStart w:id="8" w:name="_Toc6238797"/>
      <w:r w:rsidRPr="00AF7228">
        <w:t>Population Profile</w:t>
      </w:r>
      <w:bookmarkEnd w:id="8"/>
    </w:p>
    <w:p w14:paraId="7A7B92F4" w14:textId="1D7224FD" w:rsidR="004D7F79" w:rsidRPr="00AF7228" w:rsidRDefault="004D7F79" w:rsidP="004D7F79">
      <w:pPr>
        <w:pStyle w:val="BodyText"/>
      </w:pPr>
      <w:r w:rsidRPr="00AF7228">
        <w:t xml:space="preserve">WentWest has invested significantly </w:t>
      </w:r>
      <w:r w:rsidR="003B145C" w:rsidRPr="00AF7228">
        <w:t xml:space="preserve">over the past </w:t>
      </w:r>
      <w:r w:rsidR="00C34200">
        <w:t>nine</w:t>
      </w:r>
      <w:r w:rsidR="00C34200" w:rsidRPr="00AF7228">
        <w:t xml:space="preserve"> </w:t>
      </w:r>
      <w:r w:rsidR="003B145C" w:rsidRPr="00AF7228">
        <w:t xml:space="preserve">years </w:t>
      </w:r>
      <w:r w:rsidRPr="00AF7228">
        <w:t xml:space="preserve">in understanding the region and the communities we serve. </w:t>
      </w:r>
    </w:p>
    <w:p w14:paraId="7998CB7C" w14:textId="70F156D2" w:rsidR="004D7F79" w:rsidRPr="004D7F79" w:rsidRDefault="004D7F79" w:rsidP="004D7F79">
      <w:pPr>
        <w:pStyle w:val="BodyText"/>
      </w:pPr>
      <w:r w:rsidRPr="004D7F79">
        <w:t>Western Sydney is a diverse community and with this comes a range of diverse health needs and social circumstances. The Western Sydney PHN (WSPHN) region is closely analysed in th</w:t>
      </w:r>
      <w:r w:rsidRPr="00AF7228">
        <w:t>e</w:t>
      </w:r>
      <w:r w:rsidRPr="004D7F79">
        <w:t xml:space="preserve"> Population Health Commissioning Atlas.</w:t>
      </w:r>
      <w:r w:rsidRPr="00AF7228">
        <w:rPr>
          <w:rStyle w:val="FootnoteReference"/>
        </w:rPr>
        <w:footnoteReference w:id="9"/>
      </w:r>
      <w:r w:rsidRPr="004D7F79">
        <w:t xml:space="preserve"> It is one important part of the planning and needs assessment role that WSPHN undertakes and shares with a broad range of health and human service </w:t>
      </w:r>
      <w:r w:rsidR="003B145C" w:rsidRPr="00AF7228">
        <w:t>stakeholders.</w:t>
      </w:r>
      <w:r w:rsidRPr="004D7F79">
        <w:t xml:space="preserve"> </w:t>
      </w:r>
    </w:p>
    <w:p w14:paraId="75C33EAB" w14:textId="68567E7E" w:rsidR="004D7F79" w:rsidRPr="004D7F79" w:rsidRDefault="004D7F79" w:rsidP="004D7F79">
      <w:pPr>
        <w:pStyle w:val="BodyText"/>
      </w:pPr>
      <w:r w:rsidRPr="004D7F79">
        <w:t xml:space="preserve">The 2016 edition of the </w:t>
      </w:r>
      <w:proofErr w:type="spellStart"/>
      <w:r w:rsidRPr="004D7F79">
        <w:t>Altas</w:t>
      </w:r>
      <w:proofErr w:type="spellEnd"/>
      <w:r w:rsidRPr="004D7F79">
        <w:t xml:space="preserve"> shows that some sub-regions of western Sydney have poor health compared to those in other parts of NSW. Many communities have high rates of chronic disease (e</w:t>
      </w:r>
      <w:r w:rsidRPr="00AF7228">
        <w:t>.</w:t>
      </w:r>
      <w:r w:rsidRPr="004D7F79">
        <w:t>g</w:t>
      </w:r>
      <w:r w:rsidRPr="00AF7228">
        <w:t>.</w:t>
      </w:r>
      <w:r w:rsidRPr="004D7F79">
        <w:t xml:space="preserve"> diabetes) and mental health issues. This is underscored by high rates of obesity and smoking, low rates of cervical and breast cancer screening, and a high impact of social determinants of health and inequity. Immunisation rates are also below average. </w:t>
      </w:r>
    </w:p>
    <w:p w14:paraId="03D51913" w14:textId="03B01F11" w:rsidR="009814AF" w:rsidRPr="00AF7228" w:rsidRDefault="009814AF" w:rsidP="003B145C">
      <w:pPr>
        <w:pStyle w:val="Heading4"/>
      </w:pPr>
      <w:r w:rsidRPr="00AF7228">
        <w:t>Social Determinants</w:t>
      </w:r>
    </w:p>
    <w:p w14:paraId="66E04076" w14:textId="3FF62984" w:rsidR="009814AF" w:rsidRPr="00AF7228" w:rsidRDefault="009814AF" w:rsidP="009814AF">
      <w:pPr>
        <w:pStyle w:val="BodyText"/>
      </w:pPr>
      <w:r w:rsidRPr="009814AF">
        <w:t xml:space="preserve">Social, environmental and economic factors play a significant role in shaping the health and wellbeing of individuals and populations and are commonly referred to as the </w:t>
      </w:r>
      <w:r w:rsidRPr="0022640E">
        <w:rPr>
          <w:b/>
        </w:rPr>
        <w:t>social determinants of health</w:t>
      </w:r>
      <w:r w:rsidRPr="009814AF">
        <w:t xml:space="preserve"> </w:t>
      </w:r>
      <w:r w:rsidRPr="009814AF">
        <w:lastRenderedPageBreak/>
        <w:t xml:space="preserve">(SDH) as shown in Figure </w:t>
      </w:r>
      <w:r w:rsidR="0043354A" w:rsidRPr="00AF7228">
        <w:t>3</w:t>
      </w:r>
      <w:r w:rsidRPr="009814AF">
        <w:t>.</w:t>
      </w:r>
      <w:r w:rsidR="0043354A" w:rsidRPr="00AF7228">
        <w:rPr>
          <w:rStyle w:val="FootnoteReference"/>
        </w:rPr>
        <w:footnoteReference w:id="10"/>
      </w:r>
      <w:r w:rsidRPr="009814AF">
        <w:t xml:space="preserve"> Evidence documenting the contribution of the SDH to population health outcomes is well established and undisputed, leading international, national and regional health authorities to act to address these factors. The links between SDH and the development of diseases such as chronic conditions are complex, although usually associated with access to opportunities and resources such as quality education, adequate and meaningful employment, safe and affordable housing, accessible transport, nutritious food, </w:t>
      </w:r>
      <w:r w:rsidRPr="00AF7228">
        <w:t>s</w:t>
      </w:r>
      <w:r w:rsidRPr="009814AF">
        <w:t xml:space="preserve">afe local environments and accessible health services. Income also plays a critical role as it provides flexibility and options, enabling people to access the SDH they need. SDH underpin health and influence the movement of individuals and populations across the Population Health </w:t>
      </w:r>
      <w:r w:rsidR="00C34200">
        <w:t>D</w:t>
      </w:r>
      <w:r w:rsidRPr="009814AF">
        <w:t xml:space="preserve">isease </w:t>
      </w:r>
      <w:r w:rsidR="00C34200">
        <w:t>C</w:t>
      </w:r>
      <w:r w:rsidRPr="009814AF">
        <w:t>ontinuum</w:t>
      </w:r>
      <w:r w:rsidR="0043354A" w:rsidRPr="00AF7228">
        <w:t>.</w:t>
      </w:r>
      <w:r w:rsidRPr="009814AF">
        <w:t xml:space="preserve"> </w:t>
      </w:r>
    </w:p>
    <w:p w14:paraId="6A3FA582" w14:textId="691D1AE7" w:rsidR="009814AF" w:rsidRPr="00AF7228" w:rsidRDefault="009814AF" w:rsidP="009814AF">
      <w:pPr>
        <w:pStyle w:val="FigureCaption"/>
      </w:pPr>
      <w:bookmarkStart w:id="9" w:name="_Toc6237973"/>
      <w:r w:rsidRPr="00AF7228">
        <w:rPr>
          <w:shd w:val="clear" w:color="auto" w:fill="FFFFFF"/>
        </w:rPr>
        <w:t>The Dahlgren-Whitehead model of Social Determinants of Health</w:t>
      </w:r>
      <w:bookmarkEnd w:id="9"/>
    </w:p>
    <w:p w14:paraId="5E48123E" w14:textId="2C4DAB8A" w:rsidR="004D7F79" w:rsidRPr="004D7F79" w:rsidRDefault="009814AF" w:rsidP="004D7F79">
      <w:pPr>
        <w:pStyle w:val="BodyText"/>
      </w:pPr>
      <w:r w:rsidRPr="00AF7228">
        <w:rPr>
          <w:noProof/>
          <w:lang w:eastAsia="en-AU"/>
        </w:rPr>
        <w:drawing>
          <wp:anchor distT="0" distB="0" distL="114300" distR="114300" simplePos="0" relativeHeight="251771392" behindDoc="0" locked="0" layoutInCell="1" allowOverlap="1" wp14:anchorId="4422F3A6" wp14:editId="2029E750">
            <wp:simplePos x="0" y="0"/>
            <wp:positionH relativeFrom="column">
              <wp:posOffset>422753</wp:posOffset>
            </wp:positionH>
            <wp:positionV relativeFrom="paragraph">
              <wp:posOffset>68850</wp:posOffset>
            </wp:positionV>
            <wp:extent cx="4939030" cy="3628390"/>
            <wp:effectExtent l="12700" t="12700" r="13970" b="16510"/>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creen Shot 2019-03-29 at 8.25.14 am.png"/>
                    <pic:cNvPicPr/>
                  </pic:nvPicPr>
                  <pic:blipFill>
                    <a:blip r:embed="rId29"/>
                    <a:stretch>
                      <a:fillRect/>
                    </a:stretch>
                  </pic:blipFill>
                  <pic:spPr>
                    <a:xfrm>
                      <a:off x="0" y="0"/>
                      <a:ext cx="4939030" cy="3628390"/>
                    </a:xfrm>
                    <a:prstGeom prst="rect">
                      <a:avLst/>
                    </a:prstGeom>
                    <a:ln>
                      <a:solidFill>
                        <a:schemeClr val="tx1">
                          <a:lumMod val="50000"/>
                          <a:lumOff val="50000"/>
                        </a:schemeClr>
                      </a:solidFill>
                    </a:ln>
                  </pic:spPr>
                </pic:pic>
              </a:graphicData>
            </a:graphic>
            <wp14:sizeRelH relativeFrom="page">
              <wp14:pctWidth>0</wp14:pctWidth>
            </wp14:sizeRelH>
            <wp14:sizeRelV relativeFrom="page">
              <wp14:pctHeight>0</wp14:pctHeight>
            </wp14:sizeRelV>
          </wp:anchor>
        </w:drawing>
      </w:r>
    </w:p>
    <w:p w14:paraId="23176D15" w14:textId="2557A154" w:rsidR="004D7F79" w:rsidRPr="00AF7228" w:rsidRDefault="004D7F79" w:rsidP="00506EFD">
      <w:pPr>
        <w:pStyle w:val="BodyText"/>
      </w:pPr>
    </w:p>
    <w:p w14:paraId="3D1DD4C2" w14:textId="77777777" w:rsidR="00713158" w:rsidRPr="00AF7228" w:rsidRDefault="00713158" w:rsidP="00506EFD">
      <w:pPr>
        <w:pStyle w:val="BodyText"/>
      </w:pPr>
    </w:p>
    <w:p w14:paraId="3C77DBC9" w14:textId="5E4DFACA" w:rsidR="00713158" w:rsidRPr="00AF7228" w:rsidRDefault="00713158" w:rsidP="00506EFD">
      <w:pPr>
        <w:pStyle w:val="BodyText"/>
      </w:pPr>
    </w:p>
    <w:p w14:paraId="709B10EA" w14:textId="06BEDF5C" w:rsidR="009814AF" w:rsidRPr="00AF7228" w:rsidRDefault="009814AF" w:rsidP="00506EFD">
      <w:pPr>
        <w:pStyle w:val="BodyText"/>
      </w:pPr>
    </w:p>
    <w:p w14:paraId="638B7435" w14:textId="73E38B88" w:rsidR="009814AF" w:rsidRPr="00AF7228" w:rsidRDefault="009814AF" w:rsidP="00506EFD">
      <w:pPr>
        <w:pStyle w:val="BodyText"/>
      </w:pPr>
    </w:p>
    <w:p w14:paraId="7B6CE5C6" w14:textId="22EFFC83" w:rsidR="009814AF" w:rsidRPr="00AF7228" w:rsidRDefault="009814AF" w:rsidP="00506EFD">
      <w:pPr>
        <w:pStyle w:val="BodyText"/>
      </w:pPr>
    </w:p>
    <w:p w14:paraId="6BB6E88E" w14:textId="676CFCF3" w:rsidR="009814AF" w:rsidRPr="00AF7228" w:rsidRDefault="009814AF" w:rsidP="00506EFD">
      <w:pPr>
        <w:pStyle w:val="BodyText"/>
      </w:pPr>
    </w:p>
    <w:p w14:paraId="5B30D942" w14:textId="43D0F500" w:rsidR="009814AF" w:rsidRPr="00AF7228" w:rsidRDefault="009814AF" w:rsidP="00506EFD">
      <w:pPr>
        <w:pStyle w:val="BodyText"/>
      </w:pPr>
    </w:p>
    <w:p w14:paraId="4253CC14" w14:textId="0E43C1DC" w:rsidR="009814AF" w:rsidRPr="00AF7228" w:rsidRDefault="009814AF" w:rsidP="00506EFD">
      <w:pPr>
        <w:pStyle w:val="BodyText"/>
      </w:pPr>
    </w:p>
    <w:p w14:paraId="5870BD9B" w14:textId="4615B878" w:rsidR="009814AF" w:rsidRPr="00AF7228" w:rsidRDefault="009814AF" w:rsidP="00506EFD">
      <w:pPr>
        <w:pStyle w:val="BodyText"/>
      </w:pPr>
    </w:p>
    <w:p w14:paraId="4A52AEB5" w14:textId="3FD7AA37" w:rsidR="009814AF" w:rsidRPr="00AF7228" w:rsidRDefault="009814AF" w:rsidP="00506EFD">
      <w:pPr>
        <w:pStyle w:val="BodyText"/>
      </w:pPr>
    </w:p>
    <w:p w14:paraId="4FA9DC97" w14:textId="70C82434" w:rsidR="009814AF" w:rsidRPr="00AF7228" w:rsidRDefault="009814AF" w:rsidP="00506EFD">
      <w:pPr>
        <w:pStyle w:val="BodyText"/>
      </w:pPr>
    </w:p>
    <w:p w14:paraId="4921C1CC" w14:textId="315AD7CA" w:rsidR="009814AF" w:rsidRPr="00AF7228" w:rsidRDefault="009814AF" w:rsidP="00506EFD">
      <w:pPr>
        <w:pStyle w:val="BodyText"/>
      </w:pPr>
    </w:p>
    <w:p w14:paraId="42095791" w14:textId="52034B7A" w:rsidR="009814AF" w:rsidRPr="00AF7228" w:rsidRDefault="009814AF" w:rsidP="00506EFD">
      <w:pPr>
        <w:pStyle w:val="BodyText"/>
      </w:pPr>
    </w:p>
    <w:p w14:paraId="3EF3FED7" w14:textId="61A37D33" w:rsidR="0043354A" w:rsidRPr="00AF7228" w:rsidRDefault="00C34200" w:rsidP="00506EFD">
      <w:pPr>
        <w:pStyle w:val="BodyText"/>
      </w:pPr>
      <w:r>
        <w:t>The</w:t>
      </w:r>
      <w:r w:rsidRPr="00AF7228">
        <w:t xml:space="preserve"> </w:t>
      </w:r>
      <w:r w:rsidR="0043354A" w:rsidRPr="00AF7228">
        <w:t xml:space="preserve">relationship between </w:t>
      </w:r>
      <w:r w:rsidR="0043354A" w:rsidRPr="0022640E">
        <w:rPr>
          <w:b/>
        </w:rPr>
        <w:t>social determinants and mental ill-health</w:t>
      </w:r>
      <w:r w:rsidR="0043354A" w:rsidRPr="00AF7228">
        <w:t xml:space="preserve"> evidence dating back to the 1950s shows the impact of social determinants (education, housing, occupation and income) on an individual or community’s mental health and suicidal behaviour.</w:t>
      </w:r>
      <w:r w:rsidR="0043354A" w:rsidRPr="00AF7228">
        <w:rPr>
          <w:rStyle w:val="FootnoteReference"/>
        </w:rPr>
        <w:footnoteReference w:id="11"/>
      </w:r>
      <w:r w:rsidR="0043354A" w:rsidRPr="00AF7228">
        <w:t xml:space="preserve"> It is increasingly clear that levels of mental distress among communities need to be understood less in terms of individual pathology and more as a response to relative deprivation and social injustice, which erode the emotional, spiritual and intellectual resources essential to psychological wellbeing.</w:t>
      </w:r>
      <w:r w:rsidR="0043354A" w:rsidRPr="00AF7228">
        <w:rPr>
          <w:rStyle w:val="FootnoteReference"/>
        </w:rPr>
        <w:t xml:space="preserve"> </w:t>
      </w:r>
      <w:r w:rsidR="0043354A" w:rsidRPr="00AF7228">
        <w:rPr>
          <w:rStyle w:val="FootnoteReference"/>
        </w:rPr>
        <w:footnoteReference w:id="12"/>
      </w:r>
      <w:r w:rsidR="0043354A" w:rsidRPr="00AF7228">
        <w:t xml:space="preserve"> </w:t>
      </w:r>
      <w:r w:rsidR="0043354A" w:rsidRPr="00AF7228">
        <w:rPr>
          <w:rStyle w:val="FootnoteReference"/>
        </w:rPr>
        <w:footnoteReference w:id="13"/>
      </w:r>
      <w:r w:rsidR="0043354A" w:rsidRPr="00AF7228">
        <w:t xml:space="preserve"> </w:t>
      </w:r>
      <w:r w:rsidR="0043354A" w:rsidRPr="00AF7228">
        <w:rPr>
          <w:rStyle w:val="FootnoteReference"/>
        </w:rPr>
        <w:footnoteReference w:id="14"/>
      </w:r>
      <w:r w:rsidR="0043354A" w:rsidRPr="00AF7228">
        <w:t xml:space="preserve"> Disadvantage starts before birth and accumulates throughout life. </w:t>
      </w:r>
    </w:p>
    <w:p w14:paraId="2CDE8D6A" w14:textId="45CE31CF" w:rsidR="0043354A" w:rsidRPr="00AF7228" w:rsidRDefault="0043354A" w:rsidP="00506EFD">
      <w:pPr>
        <w:pStyle w:val="BodyText"/>
      </w:pPr>
      <w:r w:rsidRPr="00AF7228">
        <w:t xml:space="preserve">The more recent research emphasises it is not poverty per se, but </w:t>
      </w:r>
      <w:r w:rsidRPr="0022640E">
        <w:rPr>
          <w:b/>
        </w:rPr>
        <w:t>relative disadvantage</w:t>
      </w:r>
      <w:r w:rsidRPr="00AF7228">
        <w:t xml:space="preserve"> that impacts adversely on the mental wellbeing of individuals, families and small communities that have fewer </w:t>
      </w:r>
      <w:r w:rsidRPr="00AF7228">
        <w:lastRenderedPageBreak/>
        <w:t>economic, social and environmental resources.</w:t>
      </w:r>
      <w:r w:rsidRPr="00AF7228">
        <w:rPr>
          <w:rStyle w:val="FootnoteReference"/>
        </w:rPr>
        <w:footnoteReference w:id="15"/>
      </w:r>
      <w:r w:rsidRPr="00AF7228">
        <w:t xml:space="preserve"> A review of the evidence in 2016 found the main individual factors shown to have a significant independent association with worse mental health were low income, not living with a partner, lack of social support, female gender, low level of education, low socio-economic status, unemployment, financial st</w:t>
      </w:r>
      <w:r w:rsidR="00C34200">
        <w:t>r</w:t>
      </w:r>
      <w:r w:rsidRPr="00AF7228">
        <w:t>ain and perceived discrimination. The area level factors associated with mental health were neighbourhood socioeconomic conditions, social capital, geographical distribution and built environment, neighbourhood problems and ethnic composition (i.e. a lack of diversity and a high indigenous proportion of the population).</w:t>
      </w:r>
      <w:r w:rsidRPr="00AF7228">
        <w:rPr>
          <w:rStyle w:val="FootnoteReference"/>
        </w:rPr>
        <w:footnoteReference w:id="16"/>
      </w:r>
      <w:r w:rsidRPr="00AF7228">
        <w:t xml:space="preserve"> </w:t>
      </w:r>
    </w:p>
    <w:p w14:paraId="6E3E7DF1" w14:textId="77777777" w:rsidR="009814AF" w:rsidRPr="00AF7228" w:rsidRDefault="009814AF" w:rsidP="003B145C">
      <w:pPr>
        <w:pStyle w:val="Heading3"/>
      </w:pPr>
      <w:bookmarkStart w:id="10" w:name="_Toc6238798"/>
      <w:r w:rsidRPr="00AF7228">
        <w:t>Addressing Chronic Care Needs</w:t>
      </w:r>
      <w:bookmarkEnd w:id="10"/>
      <w:r w:rsidRPr="00AF7228">
        <w:t xml:space="preserve"> </w:t>
      </w:r>
    </w:p>
    <w:p w14:paraId="05CE5857" w14:textId="40BBDCA3" w:rsidR="003B145C" w:rsidRPr="00AF7228" w:rsidRDefault="009814AF" w:rsidP="009814AF">
      <w:pPr>
        <w:pStyle w:val="BodyText"/>
      </w:pPr>
      <w:r w:rsidRPr="00AF7228">
        <w:t>The diagram shown in Figure</w:t>
      </w:r>
      <w:r w:rsidR="0043354A" w:rsidRPr="00AF7228">
        <w:t xml:space="preserve"> 4</w:t>
      </w:r>
      <w:r w:rsidRPr="00AF7228">
        <w:t xml:space="preserve"> has been used by WentWest to guide the development of our </w:t>
      </w:r>
      <w:r w:rsidRPr="0022640E">
        <w:rPr>
          <w:b/>
          <w:i/>
        </w:rPr>
        <w:t>Population Health Commissioning Atlas</w:t>
      </w:r>
      <w:r w:rsidRPr="00AF7228">
        <w:t xml:space="preserve">. It describes the population health chronic disease continuum from a well population to the development of risk factors, through to the progression of established chronic disease patterns. It recognises the interconnections between the socio-economic and environmental conditions in which people live and </w:t>
      </w:r>
      <w:r w:rsidR="00C34200">
        <w:t xml:space="preserve">that </w:t>
      </w:r>
      <w:r w:rsidRPr="00AF7228">
        <w:t xml:space="preserve">their access to health and other services has a direct impact on the health status of a population. Action to improve health status needs to occur at each level of the continuum. It recognises a wide range of </w:t>
      </w:r>
      <w:r w:rsidRPr="0022640E">
        <w:rPr>
          <w:b/>
        </w:rPr>
        <w:t>collaborative partnerships</w:t>
      </w:r>
      <w:r w:rsidRPr="00AF7228">
        <w:t xml:space="preserve"> with multiple stakeholders and sectors will be required to achieve improved population health and </w:t>
      </w:r>
      <w:r w:rsidR="00AF7228" w:rsidRPr="00AF7228">
        <w:t>wellbeing</w:t>
      </w:r>
      <w:r w:rsidRPr="00AF7228">
        <w:t xml:space="preserve"> outcomes. PHNs and Local Hospita</w:t>
      </w:r>
      <w:r w:rsidR="0043354A" w:rsidRPr="00AF7228">
        <w:t>l</w:t>
      </w:r>
      <w:r w:rsidRPr="00AF7228">
        <w:t xml:space="preserve"> Districts and Networks are in a prime position to drive these improvements. </w:t>
      </w:r>
    </w:p>
    <w:p w14:paraId="3A2A695A" w14:textId="38A7DEE8" w:rsidR="009814AF" w:rsidRPr="00AF7228" w:rsidRDefault="009814AF" w:rsidP="009814AF">
      <w:pPr>
        <w:pStyle w:val="FigureCaption"/>
      </w:pPr>
      <w:bookmarkStart w:id="11" w:name="_Toc6237974"/>
      <w:r w:rsidRPr="009814AF">
        <w:rPr>
          <w:b/>
        </w:rPr>
        <w:t>Population Health Chronic Disease Continuum</w:t>
      </w:r>
      <w:r w:rsidRPr="00AF7228">
        <w:rPr>
          <w:rStyle w:val="FootnoteReference"/>
          <w:b/>
        </w:rPr>
        <w:footnoteReference w:id="17"/>
      </w:r>
      <w:bookmarkEnd w:id="11"/>
      <w:r w:rsidRPr="00AF7228">
        <w:rPr>
          <w:b/>
        </w:rPr>
        <w:t xml:space="preserve"> </w:t>
      </w:r>
    </w:p>
    <w:p w14:paraId="30C3C5A6" w14:textId="21880788" w:rsidR="009814AF" w:rsidRPr="00AF7228" w:rsidRDefault="009814AF" w:rsidP="00D36A42">
      <w:pPr>
        <w:spacing w:before="0" w:after="0"/>
      </w:pPr>
      <w:r w:rsidRPr="00AF7228">
        <w:rPr>
          <w:noProof/>
          <w:lang w:eastAsia="en-AU"/>
        </w:rPr>
        <w:drawing>
          <wp:inline distT="0" distB="0" distL="0" distR="0" wp14:anchorId="0F4124D1" wp14:editId="29CCCAB9">
            <wp:extent cx="5828030" cy="2800985"/>
            <wp:effectExtent l="12700" t="12700" r="13970" b="1841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reen Shot 2019-03-29 at 8.31.46 am.png"/>
                    <pic:cNvPicPr/>
                  </pic:nvPicPr>
                  <pic:blipFill>
                    <a:blip r:embed="rId30"/>
                    <a:stretch>
                      <a:fillRect/>
                    </a:stretch>
                  </pic:blipFill>
                  <pic:spPr>
                    <a:xfrm>
                      <a:off x="0" y="0"/>
                      <a:ext cx="5828030" cy="2800985"/>
                    </a:xfrm>
                    <a:prstGeom prst="rect">
                      <a:avLst/>
                    </a:prstGeom>
                    <a:ln>
                      <a:solidFill>
                        <a:schemeClr val="tx1">
                          <a:lumMod val="50000"/>
                          <a:lumOff val="50000"/>
                        </a:schemeClr>
                      </a:solidFill>
                    </a:ln>
                  </pic:spPr>
                </pic:pic>
              </a:graphicData>
            </a:graphic>
          </wp:inline>
        </w:drawing>
      </w:r>
    </w:p>
    <w:p w14:paraId="0CE66C15" w14:textId="468D2886" w:rsidR="009814AF" w:rsidRPr="00AF7228" w:rsidRDefault="009814AF" w:rsidP="009814AF">
      <w:pPr>
        <w:pStyle w:val="Heading3"/>
      </w:pPr>
      <w:bookmarkStart w:id="12" w:name="_Toc6238799"/>
      <w:r w:rsidRPr="00AF7228">
        <w:t>Social Economic Status Across Our region</w:t>
      </w:r>
      <w:bookmarkEnd w:id="12"/>
    </w:p>
    <w:p w14:paraId="1CFEEBBD" w14:textId="77777777" w:rsidR="009814AF" w:rsidRPr="00AF7228" w:rsidRDefault="009814AF" w:rsidP="009814AF">
      <w:pPr>
        <w:pStyle w:val="BodyText"/>
      </w:pPr>
      <w:r w:rsidRPr="00AF7228">
        <w:t xml:space="preserve">The ABS 'Index of Relative Socio-Economic Disadvantage' is a useful summary indicator of disadvantage across regions. This summary measure provides an overview of many of the indicators of social inequality. </w:t>
      </w:r>
    </w:p>
    <w:p w14:paraId="7AA67372" w14:textId="5A5E8B00" w:rsidR="009814AF" w:rsidRPr="00AF7228" w:rsidRDefault="009814AF" w:rsidP="009814AF">
      <w:pPr>
        <w:pStyle w:val="BodyText"/>
      </w:pPr>
      <w:r w:rsidRPr="00AF7228">
        <w:lastRenderedPageBreak/>
        <w:t xml:space="preserve">These indicators include low income, low educational attainment, high unemployment, jobs in relatively unskilled occupations amongst others. </w:t>
      </w:r>
      <w:r w:rsidR="00AD3544">
        <w:t>IRSD</w:t>
      </w:r>
      <w:r w:rsidRPr="00AF7228">
        <w:t xml:space="preserve"> is a good predictor of a region's health. Low </w:t>
      </w:r>
      <w:r w:rsidR="00AD3544">
        <w:t>IRSD</w:t>
      </w:r>
      <w:r w:rsidRPr="00AF7228">
        <w:t xml:space="preserve"> scores usually are indicative of poor health outcomes for a region. </w:t>
      </w:r>
    </w:p>
    <w:p w14:paraId="65CACD8B" w14:textId="68B47235" w:rsidR="009814AF" w:rsidRPr="00AF7228" w:rsidRDefault="009814AF" w:rsidP="009814AF">
      <w:pPr>
        <w:pStyle w:val="BodyText"/>
      </w:pPr>
      <w:r w:rsidRPr="00AF7228">
        <w:t xml:space="preserve">A low IRSD score indicates a high proportion of relatively disadvantaged people in the area as highlighted by the dark red colours on Figure </w:t>
      </w:r>
      <w:r w:rsidR="0043354A" w:rsidRPr="00AF7228">
        <w:t>5</w:t>
      </w:r>
      <w:r w:rsidRPr="00AF7228">
        <w:t xml:space="preserve">. </w:t>
      </w:r>
    </w:p>
    <w:p w14:paraId="303C43E2" w14:textId="77777777" w:rsidR="009814AF" w:rsidRPr="00AF7228" w:rsidRDefault="009814AF" w:rsidP="009814AF">
      <w:pPr>
        <w:pStyle w:val="BodyText"/>
      </w:pPr>
      <w:r w:rsidRPr="00AF7228">
        <w:t xml:space="preserve">Overall the IRSD for the WSPHN region is 994 slightly below the Australian Average (1000) and the greater Sydney Average (1011). </w:t>
      </w:r>
    </w:p>
    <w:p w14:paraId="13050EA5" w14:textId="0063845A" w:rsidR="009814AF" w:rsidRPr="00AF7228" w:rsidRDefault="009814AF" w:rsidP="009814AF">
      <w:pPr>
        <w:pStyle w:val="BodyText"/>
      </w:pPr>
      <w:r w:rsidRPr="00AF7228">
        <w:t>All S</w:t>
      </w:r>
      <w:r w:rsidR="00AB3340">
        <w:t xml:space="preserve">tatistical </w:t>
      </w:r>
      <w:r w:rsidRPr="00AF7228">
        <w:t>L</w:t>
      </w:r>
      <w:r w:rsidR="00AB3340">
        <w:t xml:space="preserve">ocal </w:t>
      </w:r>
      <w:r w:rsidRPr="00AF7228">
        <w:t>A</w:t>
      </w:r>
      <w:r w:rsidR="00AB3340">
        <w:t>rea</w:t>
      </w:r>
      <w:r w:rsidRPr="00AF7228">
        <w:t>’s</w:t>
      </w:r>
      <w:r w:rsidR="00AB3340">
        <w:t xml:space="preserve"> (SLA)</w:t>
      </w:r>
      <w:r w:rsidRPr="00AF7228">
        <w:t xml:space="preserve"> have great variation when considering the </w:t>
      </w:r>
      <w:r w:rsidR="00AB3340" w:rsidRPr="00AF7228">
        <w:t>S</w:t>
      </w:r>
      <w:r w:rsidR="00AB3340">
        <w:t xml:space="preserve">tatistical Area level </w:t>
      </w:r>
      <w:r w:rsidRPr="00AF7228">
        <w:t>1’s</w:t>
      </w:r>
      <w:r w:rsidR="00AB3340">
        <w:t xml:space="preserve"> (SA1)</w:t>
      </w:r>
      <w:r w:rsidRPr="00AF7228">
        <w:t xml:space="preserve"> within a given SLA e.g.: </w:t>
      </w:r>
    </w:p>
    <w:p w14:paraId="440F85BD" w14:textId="081D6D98" w:rsidR="009814AF" w:rsidRPr="00AF7228" w:rsidRDefault="009814AF" w:rsidP="009814AF">
      <w:pPr>
        <w:pStyle w:val="BulletPoint"/>
      </w:pPr>
      <w:r w:rsidRPr="0022640E">
        <w:rPr>
          <w:b/>
        </w:rPr>
        <w:t>Blacktown</w:t>
      </w:r>
      <w:r w:rsidRPr="00AF7228">
        <w:t xml:space="preserve"> – South-West (890 Overall score) has SA1’s with scores of as low as 480 and a maximum of 1086. </w:t>
      </w:r>
    </w:p>
    <w:p w14:paraId="228A8D89" w14:textId="78076DF7" w:rsidR="009814AF" w:rsidRPr="00AF7228" w:rsidRDefault="009814AF" w:rsidP="009814AF">
      <w:pPr>
        <w:pStyle w:val="BulletPoint"/>
      </w:pPr>
      <w:r w:rsidRPr="0022640E">
        <w:rPr>
          <w:b/>
        </w:rPr>
        <w:t>The Hills Shire</w:t>
      </w:r>
      <w:r w:rsidRPr="00AF7228">
        <w:t xml:space="preserve"> – North has the highest IRSD Score (1105) but still has SA1’s within the area with scores as low as 874 (up to a maximum 1158). </w:t>
      </w:r>
    </w:p>
    <w:p w14:paraId="0EA82B6D" w14:textId="33DDB353" w:rsidR="009814AF" w:rsidRPr="00AF7228" w:rsidRDefault="0043354A" w:rsidP="00B6368F">
      <w:pPr>
        <w:pStyle w:val="BodyText"/>
      </w:pPr>
      <w:r w:rsidRPr="00AF7228">
        <w:rPr>
          <w:noProof/>
          <w:lang w:eastAsia="en-AU"/>
        </w:rPr>
        <w:drawing>
          <wp:anchor distT="0" distB="0" distL="114300" distR="114300" simplePos="0" relativeHeight="251772416" behindDoc="0" locked="0" layoutInCell="1" allowOverlap="1" wp14:anchorId="6881E765" wp14:editId="644FCB93">
            <wp:simplePos x="0" y="0"/>
            <wp:positionH relativeFrom="column">
              <wp:posOffset>694327</wp:posOffset>
            </wp:positionH>
            <wp:positionV relativeFrom="paragraph">
              <wp:posOffset>734785</wp:posOffset>
            </wp:positionV>
            <wp:extent cx="4424680" cy="5180965"/>
            <wp:effectExtent l="0" t="0" r="0" b="635"/>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creen Shot 2019-03-29 at 8.45.13 am.png"/>
                    <pic:cNvPicPr/>
                  </pic:nvPicPr>
                  <pic:blipFill rotWithShape="1">
                    <a:blip r:embed="rId31"/>
                    <a:srcRect t="2407" b="6123"/>
                    <a:stretch/>
                  </pic:blipFill>
                  <pic:spPr bwMode="auto">
                    <a:xfrm>
                      <a:off x="0" y="0"/>
                      <a:ext cx="4424680" cy="51809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368F" w:rsidRPr="00AF7228">
        <w:t>The Population Health Commissioning Atlas provides a complete analysis of facets of the SDH and health status indicators, namely: school completion, employment, household income, maternal and child health, Australian Early Development Census, national health priority risk factor status, chronic conditions, mental health and suicide. The latter are discussed in detail later in this section.</w:t>
      </w:r>
    </w:p>
    <w:p w14:paraId="3247228B" w14:textId="6880E4FD" w:rsidR="009814AF" w:rsidRPr="00AF7228" w:rsidRDefault="009814AF" w:rsidP="009814AF">
      <w:pPr>
        <w:pStyle w:val="FigureCaption"/>
        <w:rPr>
          <w:rFonts w:ascii="Times New Roman" w:hAnsi="Times New Roman"/>
        </w:rPr>
      </w:pPr>
      <w:bookmarkStart w:id="13" w:name="_Toc6237975"/>
      <w:r w:rsidRPr="00AF7228">
        <w:t>SEIFA Index Relative Socio-Economic Disadvantage by SLA Group</w:t>
      </w:r>
      <w:bookmarkEnd w:id="13"/>
    </w:p>
    <w:p w14:paraId="64B760FF" w14:textId="5806FBF8" w:rsidR="009814AF" w:rsidRPr="00AF7228" w:rsidRDefault="009814AF" w:rsidP="009814AF">
      <w:pPr>
        <w:pStyle w:val="Heading4"/>
      </w:pPr>
      <w:r w:rsidRPr="00AF7228">
        <w:lastRenderedPageBreak/>
        <w:t xml:space="preserve">Aboriginal </w:t>
      </w:r>
      <w:r w:rsidR="00294E3D">
        <w:t>and</w:t>
      </w:r>
      <w:r w:rsidR="00294E3D" w:rsidRPr="00AF7228">
        <w:t xml:space="preserve"> </w:t>
      </w:r>
      <w:r w:rsidRPr="00AF7228">
        <w:t xml:space="preserve">Torres Strait Islander Population </w:t>
      </w:r>
    </w:p>
    <w:p w14:paraId="10EF3DFC" w14:textId="18855833" w:rsidR="009814AF" w:rsidRPr="00AF7228" w:rsidRDefault="009814AF" w:rsidP="009814AF">
      <w:pPr>
        <w:pStyle w:val="BodyText"/>
      </w:pPr>
      <w:r w:rsidRPr="00AF7228">
        <w:t xml:space="preserve">The WSPHN region is home to the largest urban Indigenous population in Australia. </w:t>
      </w:r>
      <w:r w:rsidRPr="00AB3340">
        <w:t>The 201</w:t>
      </w:r>
      <w:r w:rsidR="00AB3340" w:rsidRPr="00AB3340">
        <w:t xml:space="preserve">6 </w:t>
      </w:r>
      <w:r w:rsidRPr="00AB3340">
        <w:t>Census indicates 1.4%</w:t>
      </w:r>
      <w:r w:rsidRPr="00AF7228">
        <w:t xml:space="preserve"> of the population of the WSPHN region identify as an Aboriginal or Torres Strait </w:t>
      </w:r>
      <w:r w:rsidR="00294E3D">
        <w:t xml:space="preserve">Islander </w:t>
      </w:r>
      <w:r w:rsidRPr="00AF7228">
        <w:t>(1</w:t>
      </w:r>
      <w:r w:rsidR="00AB3340">
        <w:t>3</w:t>
      </w:r>
      <w:r w:rsidRPr="00AF7228">
        <w:t>,</w:t>
      </w:r>
      <w:r w:rsidR="00AB3340">
        <w:t>384</w:t>
      </w:r>
      <w:r w:rsidRPr="00AF7228">
        <w:t xml:space="preserve"> people) with the main centre of Indigenous populations being Blacktown – South </w:t>
      </w:r>
      <w:proofErr w:type="spellStart"/>
      <w:r w:rsidRPr="00AF7228">
        <w:t>West</w:t>
      </w:r>
      <w:r w:rsidR="00294E3D">
        <w:t>.This</w:t>
      </w:r>
      <w:proofErr w:type="spellEnd"/>
      <w:r w:rsidR="00294E3D">
        <w:t xml:space="preserve"> area</w:t>
      </w:r>
      <w:r w:rsidR="00C36AC7" w:rsidRPr="00AF7228">
        <w:t xml:space="preserve"> </w:t>
      </w:r>
      <w:r w:rsidR="00AF7228" w:rsidRPr="00AF7228">
        <w:t>has</w:t>
      </w:r>
      <w:r w:rsidRPr="00AF7228">
        <w:t xml:space="preserve"> highest Indigenous proportion (4.6%), and this is the highest proportion of any community in Sydney. Over 4,500 Indigenous people live in the </w:t>
      </w:r>
      <w:proofErr w:type="spellStart"/>
      <w:r w:rsidRPr="00AF7228">
        <w:t>M</w:t>
      </w:r>
      <w:r w:rsidR="00294E3D">
        <w:t>ount</w:t>
      </w:r>
      <w:r w:rsidRPr="00AF7228">
        <w:t>t</w:t>
      </w:r>
      <w:proofErr w:type="spellEnd"/>
      <w:r w:rsidRPr="00AF7228">
        <w:t xml:space="preserve"> Druitt area (Blacktown – SW) which is an area with very low socioeconomic status. </w:t>
      </w:r>
    </w:p>
    <w:p w14:paraId="4529B84D" w14:textId="21E2D4CB" w:rsidR="009814AF" w:rsidRPr="00AF7228" w:rsidRDefault="009814AF" w:rsidP="009814AF">
      <w:pPr>
        <w:pStyle w:val="BodyText"/>
      </w:pPr>
      <w:r w:rsidRPr="00AF7228">
        <w:t xml:space="preserve">The Aboriginal </w:t>
      </w:r>
      <w:r w:rsidR="00294E3D">
        <w:t>and</w:t>
      </w:r>
      <w:r w:rsidR="00294E3D" w:rsidRPr="00AF7228">
        <w:t xml:space="preserve"> </w:t>
      </w:r>
      <w:r w:rsidRPr="00AF7228">
        <w:t xml:space="preserve">Torres Strait Islander Community is a transient community with sensitivity to completing the census. It is believed the Aboriginal </w:t>
      </w:r>
      <w:r w:rsidR="00294E3D">
        <w:t>and</w:t>
      </w:r>
      <w:r w:rsidR="00294E3D" w:rsidRPr="00AF7228">
        <w:t xml:space="preserve"> </w:t>
      </w:r>
      <w:r w:rsidRPr="00AF7228">
        <w:t xml:space="preserve">Torres Strait Islander </w:t>
      </w:r>
      <w:r w:rsidR="00294E3D">
        <w:t>c</w:t>
      </w:r>
      <w:r w:rsidR="00294E3D" w:rsidRPr="00AF7228">
        <w:t xml:space="preserve">ommunity </w:t>
      </w:r>
      <w:r w:rsidRPr="00AF7228">
        <w:t xml:space="preserve">in Western Sydney has a population closer to 13,000-15,000. </w:t>
      </w:r>
    </w:p>
    <w:p w14:paraId="144A59D0" w14:textId="492B3584" w:rsidR="009814AF" w:rsidRPr="00AF7228" w:rsidRDefault="00B6368F" w:rsidP="00C03F61">
      <w:pPr>
        <w:pStyle w:val="Heading1"/>
      </w:pPr>
      <w:bookmarkStart w:id="14" w:name="_Toc6238800"/>
      <w:r w:rsidRPr="00AF7228">
        <w:t>Understanding the Region’s Mental Health Needs</w:t>
      </w:r>
      <w:bookmarkEnd w:id="14"/>
    </w:p>
    <w:p w14:paraId="3D3737BE" w14:textId="1F11B341" w:rsidR="00C03F61" w:rsidRPr="00AF7228" w:rsidRDefault="00B6368F" w:rsidP="00C03F61">
      <w:pPr>
        <w:pStyle w:val="BodyText"/>
      </w:pPr>
      <w:r w:rsidRPr="00AF7228">
        <w:t>In 2015, WentWest in partnership with the University of Sydney and Western Sydney University</w:t>
      </w:r>
      <w:r w:rsidR="0022640E">
        <w:t>, developed</w:t>
      </w:r>
      <w:r w:rsidRPr="00AF7228">
        <w:t xml:space="preserve"> the first ever Integrated Atlas of Mental Health in Australia.</w:t>
      </w:r>
      <w:r w:rsidRPr="00AF7228">
        <w:rPr>
          <w:rStyle w:val="FootnoteReference"/>
        </w:rPr>
        <w:footnoteReference w:id="18"/>
      </w:r>
      <w:r w:rsidRPr="00AF7228">
        <w:t xml:space="preserve"> Since then a total of </w:t>
      </w:r>
      <w:r w:rsidR="00C03F61" w:rsidRPr="00AF7228">
        <w:t>20</w:t>
      </w:r>
      <w:r w:rsidRPr="00AF7228">
        <w:t xml:space="preserve"> atlases using th</w:t>
      </w:r>
      <w:r w:rsidR="00C03F61" w:rsidRPr="00AF7228">
        <w:t>is</w:t>
      </w:r>
      <w:r w:rsidRPr="00AF7228">
        <w:t xml:space="preserve"> method have been completed across Australia enabling us to compare mental health needs and </w:t>
      </w:r>
      <w:r w:rsidR="0022640E">
        <w:t xml:space="preserve">the range (or spectrum), capacity and distribution of </w:t>
      </w:r>
      <w:r w:rsidRPr="00AF7228">
        <w:t xml:space="preserve">services. </w:t>
      </w:r>
    </w:p>
    <w:p w14:paraId="14949BDD" w14:textId="77777777" w:rsidR="00C03F61" w:rsidRPr="00AF7228" w:rsidRDefault="00C03F61" w:rsidP="00C03F61">
      <w:pPr>
        <w:pStyle w:val="Heading3"/>
      </w:pPr>
      <w:bookmarkStart w:id="15" w:name="_Toc6238801"/>
      <w:r w:rsidRPr="00AF7228">
        <w:t>About the Atlas</w:t>
      </w:r>
      <w:bookmarkEnd w:id="15"/>
    </w:p>
    <w:p w14:paraId="3B8C910A" w14:textId="160A3C2D" w:rsidR="00C03F61" w:rsidRPr="00C03F61" w:rsidRDefault="00C03F61" w:rsidP="00C03F61">
      <w:pPr>
        <w:pStyle w:val="BodyText"/>
      </w:pPr>
      <w:r w:rsidRPr="00C03F61">
        <w:t>The WHO Mental Health Gap Action Program (</w:t>
      </w:r>
      <w:proofErr w:type="spellStart"/>
      <w:r w:rsidRPr="00C03F61">
        <w:t>mhGAP</w:t>
      </w:r>
      <w:proofErr w:type="spellEnd"/>
      <w:r w:rsidRPr="00C03F61">
        <w:t xml:space="preserve">) has highlighted the need for a comprehensive and systematic description of all the mental health resources available and the utilisation of these resources. It is not only important to know the numbers of services in each health area, but also to describe what they are doing and where they are located. This information also enables an understanding of the context of health-related interventions which are essential for the development of evidence-informed </w:t>
      </w:r>
      <w:r w:rsidR="00294E3D">
        <w:t>h</w:t>
      </w:r>
      <w:r w:rsidRPr="00C03F61">
        <w:t>ealth.</w:t>
      </w:r>
      <w:r w:rsidRPr="00AF7228">
        <w:rPr>
          <w:rStyle w:val="FootnoteReference"/>
        </w:rPr>
        <w:footnoteReference w:id="19"/>
      </w:r>
      <w:r w:rsidRPr="00C03F61">
        <w:t xml:space="preserve"> </w:t>
      </w:r>
    </w:p>
    <w:p w14:paraId="1AA50DD1" w14:textId="21B34851" w:rsidR="00C03F61" w:rsidRPr="00C03F61" w:rsidRDefault="00C03F61" w:rsidP="00C03F61">
      <w:pPr>
        <w:pStyle w:val="BodyText"/>
      </w:pPr>
      <w:r w:rsidRPr="00C03F61">
        <w:t xml:space="preserve">The </w:t>
      </w:r>
      <w:r w:rsidRPr="0022640E">
        <w:rPr>
          <w:b/>
        </w:rPr>
        <w:t>‘integrated care model’</w:t>
      </w:r>
      <w:r w:rsidRPr="00AF7228">
        <w:rPr>
          <w:rStyle w:val="FootnoteReference"/>
        </w:rPr>
        <w:footnoteReference w:id="20"/>
      </w:r>
      <w:r w:rsidRPr="00C03F61">
        <w:t xml:space="preserve"> has challenged the way health-related care should be assessed and planned. It enables us to identify new routes for linked-up, consumer-centred approaches to care. Greater integration relies on a global picture of all the services available, regardless of which sector is funding them (i.e. Health, Social Welfare and Family, Employment, Criminal Justice). Such </w:t>
      </w:r>
      <w:r w:rsidRPr="0022640E">
        <w:rPr>
          <w:b/>
        </w:rPr>
        <w:t>‘systems thinking’</w:t>
      </w:r>
      <w:r w:rsidRPr="00C03F61">
        <w:t xml:space="preserve"> enable policy planners to capture the complexity of service provision holistically. It offers a comprehensive way of anticipating synergies and mitigating problems and barriers, with direct relevance for creating policies that integrate the different systems of care.</w:t>
      </w:r>
      <w:r w:rsidRPr="00AF7228">
        <w:rPr>
          <w:rStyle w:val="FootnoteReference"/>
        </w:rPr>
        <w:footnoteReference w:id="21"/>
      </w:r>
      <w:r w:rsidRPr="00C03F61">
        <w:t xml:space="preserve"> This is particularly important in the mental healthcare sector, which is characterised by increasing personalisation of services and care coordination programs</w:t>
      </w:r>
      <w:r w:rsidRPr="00AF7228">
        <w:t>.</w:t>
      </w:r>
      <w:r w:rsidRPr="00C03F61">
        <w:t xml:space="preserve"> </w:t>
      </w:r>
    </w:p>
    <w:p w14:paraId="490FD4F4" w14:textId="3B1D6C9C" w:rsidR="00C03F61" w:rsidRPr="00C03F61" w:rsidRDefault="00C03F61" w:rsidP="00C03F61">
      <w:pPr>
        <w:pStyle w:val="BodyText"/>
      </w:pPr>
      <w:r w:rsidRPr="00C03F61">
        <w:t xml:space="preserve">Within this context, Integrated Atlases of Mental Health are essential tools for </w:t>
      </w:r>
      <w:r w:rsidRPr="0022640E">
        <w:rPr>
          <w:b/>
        </w:rPr>
        <w:t>decision making</w:t>
      </w:r>
      <w:r w:rsidRPr="00C03F61">
        <w:t xml:space="preserve"> and quality assessment. These Integrated Atlases include detailed information on social and demographic characteristics and health-related needs, as well as data on service availability and care capacity. Integrated Atlases of Mental Health allow comparison between small health areas, highlighting variations of care, and detecting gaps in the system. The holistic service maps produced through an Integrated Atlas of Mental Health also allows policy planners and decision makers to build bridges between the different sectors and to better allocate services. </w:t>
      </w:r>
    </w:p>
    <w:p w14:paraId="101204E5" w14:textId="3501D326" w:rsidR="00C03F61" w:rsidRPr="00AF7228" w:rsidRDefault="00C03F61" w:rsidP="00C03F61">
      <w:pPr>
        <w:pStyle w:val="BodyText"/>
      </w:pPr>
      <w:r w:rsidRPr="00AF7228">
        <w:lastRenderedPageBreak/>
        <w:t xml:space="preserve">Integrated Atlases of Health include maps and graphics as a main form of presenting the data. As a visual form of communicating health information, they crucially bridge the gap between complex epidemiological presentations of statistics and the varied educational backgrounds represented by policymakers, other decision makers and consumers. Policy makers and health planners use the information presented in the Atlas as a visual reference point from which to quickly present and structure their ideas. </w:t>
      </w:r>
    </w:p>
    <w:p w14:paraId="17B5FF00" w14:textId="32096E52" w:rsidR="00C03F61" w:rsidRPr="00AF7228" w:rsidRDefault="00C03F61" w:rsidP="00C03F61">
      <w:pPr>
        <w:pStyle w:val="BodyText"/>
      </w:pPr>
      <w:r w:rsidRPr="00AF7228">
        <w:t xml:space="preserve">A description of the Atlas methodology is contained in </w:t>
      </w:r>
      <w:r w:rsidRPr="0022640E">
        <w:rPr>
          <w:b/>
        </w:rPr>
        <w:t xml:space="preserve">Appendix </w:t>
      </w:r>
      <w:r w:rsidR="00AB3340" w:rsidRPr="0022640E">
        <w:rPr>
          <w:b/>
        </w:rPr>
        <w:t>2</w:t>
      </w:r>
      <w:r w:rsidRPr="007420D5">
        <w:t>.</w:t>
      </w:r>
    </w:p>
    <w:p w14:paraId="63ACBFF9" w14:textId="77777777" w:rsidR="00C03F61" w:rsidRPr="00AF7228" w:rsidRDefault="00C03F61" w:rsidP="00C03F61">
      <w:pPr>
        <w:pStyle w:val="Heading3"/>
      </w:pPr>
      <w:bookmarkStart w:id="16" w:name="_Toc6238802"/>
      <w:r w:rsidRPr="00AF7228">
        <w:t>Summary of Findings</w:t>
      </w:r>
      <w:bookmarkEnd w:id="16"/>
    </w:p>
    <w:p w14:paraId="611925DA" w14:textId="75EA0737" w:rsidR="00C03F61" w:rsidRPr="00C03F61" w:rsidRDefault="00C03F61" w:rsidP="00C03F61">
      <w:pPr>
        <w:pStyle w:val="BodyText"/>
      </w:pPr>
      <w:r w:rsidRPr="00C03F61">
        <w:t>Western Sydney is a large region</w:t>
      </w:r>
      <w:r w:rsidRPr="00AF7228">
        <w:t xml:space="preserve"> </w:t>
      </w:r>
      <w:r w:rsidR="00994E9B">
        <w:t>featuring</w:t>
      </w:r>
      <w:r w:rsidR="00994E9B" w:rsidRPr="00AF7228">
        <w:t xml:space="preserve"> </w:t>
      </w:r>
      <w:r w:rsidRPr="00C03F61">
        <w:t xml:space="preserve">one of the most multicultural </w:t>
      </w:r>
      <w:r w:rsidRPr="00AF7228">
        <w:t xml:space="preserve">regions in Australia </w:t>
      </w:r>
      <w:r w:rsidRPr="00C03F61">
        <w:t xml:space="preserve">with a dynamic and diverse ethnic mix ranging from long-established immigrant communities to recent arrivals and refugees. Some of the largest urban Aboriginal and Torres Strait Islander communities live around </w:t>
      </w:r>
      <w:proofErr w:type="spellStart"/>
      <w:r w:rsidRPr="00C03F61">
        <w:t>M</w:t>
      </w:r>
      <w:r w:rsidR="00994E9B">
        <w:t>ount</w:t>
      </w:r>
      <w:r w:rsidRPr="00C03F61">
        <w:t>t</w:t>
      </w:r>
      <w:proofErr w:type="spellEnd"/>
      <w:r w:rsidRPr="00C03F61">
        <w:t xml:space="preserve"> Druitt and Blacktown. Unfortunately, it also has areas of extreme social and economic disadvantage, characterised by high intergenerational unemployment, low education attainment rates, poor physical health and low income. </w:t>
      </w:r>
    </w:p>
    <w:p w14:paraId="5105ABDF" w14:textId="1ED1905F" w:rsidR="00C03F61" w:rsidRPr="00AF7228" w:rsidRDefault="00C03F61" w:rsidP="00B6368F">
      <w:pPr>
        <w:pStyle w:val="BodyText"/>
      </w:pPr>
      <w:r w:rsidRPr="00C03F61">
        <w:t xml:space="preserve">Figure </w:t>
      </w:r>
      <w:r w:rsidR="00D71D1B" w:rsidRPr="00AF7228">
        <w:t>6</w:t>
      </w:r>
      <w:r w:rsidRPr="00C03F61">
        <w:t xml:space="preserve"> shows the distribution of the risk of psychological distress in different LHDs, using Kessler scores and data from the 45 and Up study. It can be observed that the higher risk of psychological distress is concentrated around the boundaries between Western Sydney and South Western Sydney, in areas also characterized by high deprivation. These areas around Blacktown and Parramatta can be considered “hot spots” for mental health care provision. </w:t>
      </w:r>
    </w:p>
    <w:p w14:paraId="7AA827B1" w14:textId="15A7E02C" w:rsidR="00C03F61" w:rsidRPr="00AF7228" w:rsidRDefault="00C36AC7" w:rsidP="00C36AC7">
      <w:pPr>
        <w:pStyle w:val="NormalWeb"/>
        <w:jc w:val="center"/>
      </w:pPr>
      <w:r w:rsidRPr="00AF7228">
        <w:fldChar w:fldCharType="begin"/>
      </w:r>
      <w:r w:rsidR="00294E3D">
        <w:instrText xml:space="preserve"> INCLUDEPICTURE "C:\\var\\folders\\ds\\hxx2g3fn0y7cq2m294bf2r9h0000gq\\T\\com.microsoft.Word\\WebArchiveCopyPasteTempFiles\\page13image22634416" \* MERGEFORMAT </w:instrText>
      </w:r>
      <w:r w:rsidRPr="00AF7228">
        <w:fldChar w:fldCharType="separate"/>
      </w:r>
      <w:r w:rsidRPr="00AF7228">
        <w:rPr>
          <w:noProof/>
          <w:lang w:eastAsia="en-AU"/>
        </w:rPr>
        <w:drawing>
          <wp:inline distT="0" distB="0" distL="0" distR="0" wp14:anchorId="1B980335" wp14:editId="31BFD056">
            <wp:extent cx="4803335" cy="4467962"/>
            <wp:effectExtent l="0" t="0" r="0" b="2540"/>
            <wp:docPr id="89" name="Picture 89" descr="page13image22634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page13image22634416"/>
                    <pic:cNvPicPr>
                      <a:picLocks noChangeAspect="1" noChangeArrowheads="1"/>
                    </pic:cNvPicPr>
                  </pic:nvPicPr>
                  <pic:blipFill rotWithShape="1">
                    <a:blip r:embed="rId32">
                      <a:extLst>
                        <a:ext uri="{28A0092B-C50C-407E-A947-70E740481C1C}">
                          <a14:useLocalDpi xmlns:a14="http://schemas.microsoft.com/office/drawing/2010/main" val="0"/>
                        </a:ext>
                      </a:extLst>
                    </a:blip>
                    <a:srcRect l="1" t="2990" r="-230" b="2036"/>
                    <a:stretch/>
                  </pic:blipFill>
                  <pic:spPr bwMode="auto">
                    <a:xfrm>
                      <a:off x="0" y="0"/>
                      <a:ext cx="4842084" cy="4504005"/>
                    </a:xfrm>
                    <a:prstGeom prst="rect">
                      <a:avLst/>
                    </a:prstGeom>
                    <a:noFill/>
                    <a:ln>
                      <a:noFill/>
                    </a:ln>
                    <a:extLst>
                      <a:ext uri="{53640926-AAD7-44D8-BBD7-CCE9431645EC}">
                        <a14:shadowObscured xmlns:a14="http://schemas.microsoft.com/office/drawing/2010/main"/>
                      </a:ext>
                    </a:extLst>
                  </pic:spPr>
                </pic:pic>
              </a:graphicData>
            </a:graphic>
          </wp:inline>
        </w:drawing>
      </w:r>
      <w:r w:rsidRPr="00AF7228">
        <w:fldChar w:fldCharType="end"/>
      </w:r>
    </w:p>
    <w:p w14:paraId="47A2DE39" w14:textId="260DFBEA" w:rsidR="00C03F61" w:rsidRPr="00AF7228" w:rsidRDefault="00C03F61" w:rsidP="00C03F61">
      <w:pPr>
        <w:pStyle w:val="FigureCaption"/>
        <w:rPr>
          <w:rFonts w:ascii="Times New Roman" w:hAnsi="Times New Roman"/>
        </w:rPr>
      </w:pPr>
      <w:bookmarkStart w:id="17" w:name="_Toc6237976"/>
      <w:r w:rsidRPr="00AF7228">
        <w:t>Risk of psychological distress</w:t>
      </w:r>
      <w:bookmarkEnd w:id="17"/>
    </w:p>
    <w:p w14:paraId="719A84FE" w14:textId="4CE77B5B" w:rsidR="00C36AC7" w:rsidRPr="00AF7228" w:rsidRDefault="00C03F61" w:rsidP="00C03F61">
      <w:pPr>
        <w:pStyle w:val="BodyText"/>
      </w:pPr>
      <w:r w:rsidRPr="00AF7228">
        <w:lastRenderedPageBreak/>
        <w:t xml:space="preserve">Data on the available services, their capacity and location was collected in late 2014 and early 2015. A total of 121 services were identified and classified according to the internationally validated tool, the </w:t>
      </w:r>
      <w:r w:rsidRPr="00C03F61">
        <w:t>"Description and Evaluation of Services and Directories in Europe for long-term care" (DESDE-LTC)</w:t>
      </w:r>
      <w:r w:rsidRPr="00AF7228">
        <w:t>.</w:t>
      </w:r>
      <w:r w:rsidRPr="00C03F61">
        <w:t xml:space="preserve"> </w:t>
      </w:r>
    </w:p>
    <w:p w14:paraId="662A5A12" w14:textId="3E2B914E" w:rsidR="00C03F61" w:rsidRPr="00AF7228" w:rsidRDefault="00C36AC7" w:rsidP="00C03F61">
      <w:pPr>
        <w:pStyle w:val="BodyText"/>
      </w:pPr>
      <w:r w:rsidRPr="00AF7228">
        <w:t>The pattern and capacity of services (services per 100,000 residents) is shown in Figure 7.</w:t>
      </w:r>
    </w:p>
    <w:p w14:paraId="72589C82" w14:textId="49ADE02A" w:rsidR="00C03F61" w:rsidRPr="00C03F61" w:rsidRDefault="00C03F61" w:rsidP="00C03F61">
      <w:pPr>
        <w:pStyle w:val="BodyText"/>
      </w:pPr>
      <w:r w:rsidRPr="00C03F61">
        <w:t xml:space="preserve">The Atlas reveals </w:t>
      </w:r>
      <w:r w:rsidRPr="0022640E">
        <w:rPr>
          <w:b/>
        </w:rPr>
        <w:t>four major gaps</w:t>
      </w:r>
      <w:r w:rsidRPr="00C03F61">
        <w:t xml:space="preserve"> in the provision of mental health care in </w:t>
      </w:r>
      <w:r w:rsidR="0022640E">
        <w:t>w</w:t>
      </w:r>
      <w:r w:rsidRPr="00C03F61">
        <w:t>estern Sydney</w:t>
      </w:r>
      <w:r w:rsidRPr="00AF7228">
        <w:t xml:space="preserve">: </w:t>
      </w:r>
    </w:p>
    <w:p w14:paraId="4C7924E2" w14:textId="6C4824EF" w:rsidR="00C03F61" w:rsidRPr="00AF7228" w:rsidRDefault="00C03F61" w:rsidP="00C03F61">
      <w:pPr>
        <w:pStyle w:val="BulletPoint"/>
      </w:pPr>
      <w:r w:rsidRPr="00AF7228">
        <w:t xml:space="preserve">An absence of services providing acute day care (i.e. day hospitals) and non-acute day care (i.e. day centres providing structured activities to promote health and social inclusion). </w:t>
      </w:r>
    </w:p>
    <w:p w14:paraId="5E88BD1A" w14:textId="02C52011" w:rsidR="00C03F61" w:rsidRPr="00AF7228" w:rsidRDefault="00C03F61" w:rsidP="00C03F61">
      <w:pPr>
        <w:pStyle w:val="BulletPoint"/>
      </w:pPr>
      <w:r w:rsidRPr="00AF7228">
        <w:t xml:space="preserve">A lack of acute and sub-acute community residential care. </w:t>
      </w:r>
    </w:p>
    <w:p w14:paraId="2126B3BF" w14:textId="7ED1AF60" w:rsidR="00C03F61" w:rsidRPr="00AF7228" w:rsidRDefault="00C03F61" w:rsidP="00C03F61">
      <w:pPr>
        <w:pStyle w:val="BulletPoint"/>
      </w:pPr>
      <w:r w:rsidRPr="00AF7228">
        <w:t xml:space="preserve">Low availability of specific employment services for people with a lived experience of mental ill- health. </w:t>
      </w:r>
    </w:p>
    <w:p w14:paraId="464A3264" w14:textId="30CA3336" w:rsidR="00C03F61" w:rsidRPr="00AF7228" w:rsidRDefault="00C03F61" w:rsidP="00C03F61">
      <w:pPr>
        <w:pStyle w:val="BulletPoint"/>
      </w:pPr>
      <w:r w:rsidRPr="00AF7228">
        <w:t xml:space="preserve">A lack of comprehensive data related to availability of supported housing (housing linked to necessary, individualised supports) for people with mental health problems. </w:t>
      </w:r>
    </w:p>
    <w:p w14:paraId="2783698E" w14:textId="78B45BB9" w:rsidR="00C03F61" w:rsidRPr="00C03F61" w:rsidRDefault="00C03F61" w:rsidP="00C03F61">
      <w:pPr>
        <w:pStyle w:val="BodyText"/>
      </w:pPr>
      <w:r w:rsidRPr="00C03F61">
        <w:t xml:space="preserve">These gaps mirror </w:t>
      </w:r>
      <w:r w:rsidRPr="00AD3544">
        <w:rPr>
          <w:b/>
        </w:rPr>
        <w:t xml:space="preserve">the needs analysis of </w:t>
      </w:r>
      <w:r w:rsidR="00AD3544">
        <w:rPr>
          <w:b/>
        </w:rPr>
        <w:t>Partners in Recovery (PIR) program</w:t>
      </w:r>
      <w:r w:rsidRPr="00AD3544">
        <w:rPr>
          <w:b/>
        </w:rPr>
        <w:t xml:space="preserve"> clients</w:t>
      </w:r>
      <w:r w:rsidRPr="00C03F61">
        <w:t xml:space="preserve"> in </w:t>
      </w:r>
      <w:r w:rsidR="00C36AC7" w:rsidRPr="00AF7228">
        <w:t>w</w:t>
      </w:r>
      <w:r w:rsidRPr="00C03F61">
        <w:t>estern Sydney</w:t>
      </w:r>
      <w:r w:rsidR="00C36AC7" w:rsidRPr="00AF7228">
        <w:t xml:space="preserve"> undertaken by the Menzies Health Policy Centre</w:t>
      </w:r>
      <w:r w:rsidRPr="00C03F61">
        <w:t>. An analysis of unmet needs amongst 241 PIR clients found the highest areas of need were: daytime activities 63% of clients; psychological distress 63%;</w:t>
      </w:r>
      <w:r w:rsidR="00AD3544">
        <w:t xml:space="preserve"> companionship</w:t>
      </w:r>
      <w:r w:rsidRPr="00C03F61">
        <w:t xml:space="preserve"> (social life) 58%; physical health 56%; accommodation 46% and employment and volunteering 41%. </w:t>
      </w:r>
    </w:p>
    <w:p w14:paraId="777540CD" w14:textId="668001F6" w:rsidR="00C03F61" w:rsidRPr="00C03F61" w:rsidRDefault="00C03F61" w:rsidP="00C03F61">
      <w:pPr>
        <w:pStyle w:val="BodyText"/>
      </w:pPr>
      <w:r w:rsidRPr="00C03F61">
        <w:t xml:space="preserve">The Atlas has also revealed some </w:t>
      </w:r>
      <w:r w:rsidRPr="00AD3544">
        <w:rPr>
          <w:b/>
        </w:rPr>
        <w:t>real strengths in the existing system</w:t>
      </w:r>
      <w:r w:rsidRPr="00C03F61">
        <w:t>. One of the most striking is the high availability of mobile services and service</w:t>
      </w:r>
      <w:r w:rsidR="00994E9B">
        <w:t>s</w:t>
      </w:r>
      <w:r w:rsidRPr="00C03F61">
        <w:t xml:space="preserve"> targeting the needs of specific populations, such as older people, children and adolescents, young people in transition to adulthood (i.e. 16-25 years old) and multicultural services. </w:t>
      </w:r>
    </w:p>
    <w:p w14:paraId="6843FEF8" w14:textId="5F906EBB" w:rsidR="00C03F61" w:rsidRPr="00C03F61" w:rsidRDefault="00C03F61" w:rsidP="00C03F61">
      <w:pPr>
        <w:pStyle w:val="BodyText"/>
      </w:pPr>
      <w:r w:rsidRPr="00C03F61">
        <w:t xml:space="preserve">The mapping of the services shows that the public funded services are located in the most populous areas of the </w:t>
      </w:r>
      <w:r w:rsidRPr="00AF7228">
        <w:t>PHN</w:t>
      </w:r>
      <w:r w:rsidRPr="00C03F61">
        <w:t xml:space="preserve">, particularly around Parramatta and Blacktown. These are also the communities identified as being at a greater risk of psychological distress and socioeconomic disadvantage. Communities in the northern area are shown to have poorer geographic access to mental health services, however levels of disadvantage and risk of psychological distress are also lower in this </w:t>
      </w:r>
      <w:r w:rsidRPr="00AF7228">
        <w:t>area</w:t>
      </w:r>
      <w:r w:rsidRPr="00C03F61">
        <w:t xml:space="preserve">. </w:t>
      </w:r>
    </w:p>
    <w:p w14:paraId="13994BBC" w14:textId="71389338" w:rsidR="00C03F61" w:rsidRPr="00C03F61" w:rsidRDefault="00C03F61" w:rsidP="00C03F61">
      <w:pPr>
        <w:pStyle w:val="BodyText"/>
      </w:pPr>
      <w:r w:rsidRPr="00C03F61">
        <w:t xml:space="preserve">Taken together the information in this Atlas highlights </w:t>
      </w:r>
      <w:r w:rsidRPr="0022640E">
        <w:rPr>
          <w:b/>
        </w:rPr>
        <w:t>key areas for system improvement</w:t>
      </w:r>
      <w:r w:rsidRPr="00C03F61">
        <w:t xml:space="preserve"> in the provision of mental health services in Western Sydney. The critical areas identified </w:t>
      </w:r>
      <w:r w:rsidRPr="00AF7228">
        <w:t>were</w:t>
      </w:r>
      <w:r w:rsidRPr="00C03F61">
        <w:t xml:space="preserve"> to: </w:t>
      </w:r>
    </w:p>
    <w:p w14:paraId="7AFB2464" w14:textId="09DE07BE" w:rsidR="00C03F61" w:rsidRPr="00AF7228" w:rsidRDefault="00C03F61" w:rsidP="00C03F61">
      <w:pPr>
        <w:pStyle w:val="BulletPoint"/>
      </w:pPr>
      <w:r w:rsidRPr="00AF7228">
        <w:t xml:space="preserve">Develop alternatives to hospitalisation, such as Day Hospitals; and residential facilities in the community, such as crisis housing. </w:t>
      </w:r>
    </w:p>
    <w:p w14:paraId="0FAFF9E8" w14:textId="0F4E47A9" w:rsidR="00C03F61" w:rsidRPr="00AF7228" w:rsidRDefault="00C03F61" w:rsidP="00C03F61">
      <w:pPr>
        <w:pStyle w:val="BulletPoint"/>
      </w:pPr>
      <w:r w:rsidRPr="00AF7228">
        <w:t xml:space="preserve">Develop health-related day care centres staffed with highly skilled mental health professionals that can focus on recovery oriented rehabilitation. These day care centres promote social inclusion by providing the opportunity to socialise, while offering training in skills related to the development of strategies both to manage their condition and day to day activities of living. </w:t>
      </w:r>
    </w:p>
    <w:p w14:paraId="6D12EA35" w14:textId="78D88FF3" w:rsidR="00C03F61" w:rsidRPr="00AF7228" w:rsidRDefault="00C03F61" w:rsidP="00C03F61">
      <w:pPr>
        <w:pStyle w:val="BulletPoint"/>
      </w:pPr>
      <w:r w:rsidRPr="00AF7228">
        <w:t xml:space="preserve">Develop specific services related to employment (‘social firms’ or ‘social enterprises’) for people with a lived experience of mental ill-health to promote their recovery. </w:t>
      </w:r>
    </w:p>
    <w:p w14:paraId="09AFE48D" w14:textId="12F6FACF" w:rsidR="00C03F61" w:rsidRPr="00AF7228" w:rsidRDefault="00C03F61" w:rsidP="00C03F61">
      <w:pPr>
        <w:pStyle w:val="BulletPoint"/>
      </w:pPr>
      <w:r w:rsidRPr="00AF7228">
        <w:t xml:space="preserve">Improve knowledge of public and community housing to allow better planning. </w:t>
      </w:r>
    </w:p>
    <w:p w14:paraId="0C46C480" w14:textId="0C936DE5" w:rsidR="00C03F61" w:rsidRPr="00AF7228" w:rsidRDefault="00C03F61" w:rsidP="00C03F61">
      <w:pPr>
        <w:pStyle w:val="BulletPoint"/>
      </w:pPr>
      <w:r w:rsidRPr="00AF7228">
        <w:t xml:space="preserve">Move from a reactive system to a proactive system, to increase the robustness of the system, particularly in the social sector. This implies the provision of long-term funding for the NGO sector, which stabilises operations and allows for long-term planning. </w:t>
      </w:r>
    </w:p>
    <w:p w14:paraId="4E06B9C9" w14:textId="70A0C199" w:rsidR="00C03F61" w:rsidRPr="00AF7228" w:rsidRDefault="00C03F61" w:rsidP="00C03F61">
      <w:pPr>
        <w:pStyle w:val="BulletPoint"/>
      </w:pPr>
      <w:r w:rsidRPr="00AF7228">
        <w:t xml:space="preserve">Incorporate systems thinking into policy and planning. This will encourage the development of an integrated mental health model of care. </w:t>
      </w:r>
    </w:p>
    <w:p w14:paraId="731241F0" w14:textId="71ECAA37" w:rsidR="00C03F61" w:rsidRPr="00AF7228" w:rsidRDefault="00C03F61" w:rsidP="00C03F61">
      <w:pPr>
        <w:pStyle w:val="BodyText"/>
      </w:pPr>
      <w:r w:rsidRPr="00AF7228">
        <w:lastRenderedPageBreak/>
        <w:t>The</w:t>
      </w:r>
      <w:r w:rsidRPr="00C03F61">
        <w:t xml:space="preserve"> </w:t>
      </w:r>
      <w:r w:rsidRPr="00AD3544">
        <w:rPr>
          <w:b/>
        </w:rPr>
        <w:t>recommendations from the Atlas project</w:t>
      </w:r>
      <w:r w:rsidRPr="00AF7228">
        <w:t xml:space="preserve"> </w:t>
      </w:r>
      <w:r w:rsidRPr="00C03F61">
        <w:t xml:space="preserve">are in line with the recent report of the National Review of Mental Health Programmes and Services made by the National Mental Health Commission, which make the following recommendations, amongst others: 1) to develop more community-based psychosocial, primary and community mental health services, as alternatives to acute hospital care; and 2) to boost the role and capacity of NGOs and other service providers to provide more comprehensive, integrated and higher-level mental health services. </w:t>
      </w:r>
    </w:p>
    <w:p w14:paraId="1F4AEC2E" w14:textId="0AE04EB1" w:rsidR="00C03F61" w:rsidRPr="00C03F61" w:rsidRDefault="00EB7A13" w:rsidP="00C03F61">
      <w:pPr>
        <w:pStyle w:val="BodyText"/>
      </w:pPr>
      <w:r w:rsidRPr="00AF7228">
        <w:t xml:space="preserve">The Atlas for western Sydney, along with the other Atlas reports, provides extensive comparative data between regions in Australia and many other regions in Europe. </w:t>
      </w:r>
    </w:p>
    <w:p w14:paraId="3B0DC9B7" w14:textId="65797A29" w:rsidR="00C36AC7" w:rsidRPr="00AF7228" w:rsidRDefault="00C36AC7" w:rsidP="00C36AC7">
      <w:pPr>
        <w:pStyle w:val="FigureCaption"/>
        <w:rPr>
          <w:rFonts w:ascii="Times New Roman" w:hAnsi="Times New Roman"/>
        </w:rPr>
      </w:pPr>
      <w:bookmarkStart w:id="18" w:name="_Toc6237977"/>
      <w:r w:rsidRPr="00AF7228">
        <w:t>Pattern of Mental Health Care in Western Sydney</w:t>
      </w:r>
      <w:bookmarkEnd w:id="18"/>
    </w:p>
    <w:p w14:paraId="3829643B" w14:textId="4146DFE8" w:rsidR="003B145C" w:rsidRPr="00AF7228" w:rsidRDefault="00C36AC7">
      <w:pPr>
        <w:spacing w:before="0" w:after="0"/>
        <w:rPr>
          <w:rFonts w:ascii="Times New Roman" w:hAnsi="Times New Roman"/>
          <w:sz w:val="24"/>
          <w:szCs w:val="24"/>
        </w:rPr>
      </w:pPr>
      <w:r w:rsidRPr="00C36AC7">
        <w:rPr>
          <w:rFonts w:ascii="Times New Roman" w:hAnsi="Times New Roman"/>
          <w:sz w:val="24"/>
          <w:szCs w:val="24"/>
        </w:rPr>
        <w:fldChar w:fldCharType="begin"/>
      </w:r>
      <w:r w:rsidR="00294E3D">
        <w:rPr>
          <w:rFonts w:ascii="Times New Roman" w:hAnsi="Times New Roman"/>
          <w:sz w:val="24"/>
          <w:szCs w:val="24"/>
        </w:rPr>
        <w:instrText xml:space="preserve"> INCLUDEPICTURE "C:\\var\\folders\\ds\\hxx2g3fn0y7cq2m294bf2r9h0000gq\\T\\com.microsoft.Word\\WebArchiveCopyPasteTempFiles\\page53image22590672" \* MERGEFORMAT </w:instrText>
      </w:r>
      <w:r w:rsidRPr="00C36AC7">
        <w:rPr>
          <w:rFonts w:ascii="Times New Roman" w:hAnsi="Times New Roman"/>
          <w:sz w:val="24"/>
          <w:szCs w:val="24"/>
        </w:rPr>
        <w:fldChar w:fldCharType="separate"/>
      </w:r>
      <w:r w:rsidRPr="00AF7228">
        <w:rPr>
          <w:rFonts w:ascii="Times New Roman" w:hAnsi="Times New Roman"/>
          <w:noProof/>
          <w:sz w:val="24"/>
          <w:szCs w:val="24"/>
          <w:lang w:eastAsia="en-AU"/>
        </w:rPr>
        <w:drawing>
          <wp:inline distT="0" distB="0" distL="0" distR="0" wp14:anchorId="3798266C" wp14:editId="38930032">
            <wp:extent cx="5828030" cy="3956050"/>
            <wp:effectExtent l="0" t="0" r="1270" b="6350"/>
            <wp:docPr id="144" name="Picture 144" descr="page53image22590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page53image2259067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28030" cy="3956050"/>
                    </a:xfrm>
                    <a:prstGeom prst="rect">
                      <a:avLst/>
                    </a:prstGeom>
                    <a:noFill/>
                    <a:ln>
                      <a:noFill/>
                    </a:ln>
                  </pic:spPr>
                </pic:pic>
              </a:graphicData>
            </a:graphic>
          </wp:inline>
        </w:drawing>
      </w:r>
      <w:r w:rsidRPr="00C36AC7">
        <w:rPr>
          <w:rFonts w:ascii="Times New Roman" w:hAnsi="Times New Roman"/>
          <w:sz w:val="24"/>
          <w:szCs w:val="24"/>
        </w:rPr>
        <w:fldChar w:fldCharType="end"/>
      </w:r>
    </w:p>
    <w:p w14:paraId="69199832" w14:textId="26E4F21F" w:rsidR="00C03F61" w:rsidRPr="00AF7228" w:rsidRDefault="00C03F61" w:rsidP="00C03F61">
      <w:pPr>
        <w:pStyle w:val="Heading3"/>
      </w:pPr>
      <w:bookmarkStart w:id="19" w:name="_Toc6238803"/>
      <w:r w:rsidRPr="00AF7228">
        <w:t>Additional Analysis on Mental Health Service Data</w:t>
      </w:r>
      <w:bookmarkEnd w:id="19"/>
    </w:p>
    <w:p w14:paraId="27E73FE1" w14:textId="382EBA63" w:rsidR="00C03F61" w:rsidRPr="00AF7228" w:rsidRDefault="00C03F61" w:rsidP="00C03F61">
      <w:pPr>
        <w:pStyle w:val="BodyText"/>
      </w:pPr>
      <w:r w:rsidRPr="00AF7228">
        <w:t xml:space="preserve">To compliment the Integrated Mental Health Atlas, WentWest engaged ConNetica to undertake further analysis of mental health services. This work focussed on </w:t>
      </w:r>
      <w:r w:rsidRPr="00AD3544">
        <w:rPr>
          <w:b/>
        </w:rPr>
        <w:t>service utilisation</w:t>
      </w:r>
      <w:r w:rsidRPr="00AF7228">
        <w:t xml:space="preserve"> across hospital based services, Medicare subsided services, Pharmaceutical/medication dispensing and then specific programs such as ATAPS and MHNIP.  </w:t>
      </w:r>
    </w:p>
    <w:p w14:paraId="6C9C522E" w14:textId="236DAB56" w:rsidR="00C03F61" w:rsidRPr="00C03F61" w:rsidRDefault="00C03F61" w:rsidP="00C03F61">
      <w:pPr>
        <w:pStyle w:val="BodyText"/>
      </w:pPr>
      <w:r w:rsidRPr="00C03F61">
        <w:t xml:space="preserve">Comparatively, the Western Sydney PHN region has </w:t>
      </w:r>
      <w:r w:rsidRPr="00AD3544">
        <w:rPr>
          <w:b/>
        </w:rPr>
        <w:t>lower rates of utilisation</w:t>
      </w:r>
      <w:r w:rsidRPr="00C03F61">
        <w:t xml:space="preserve"> for mental health services in the hospital health care setting, with the majority of hospitalisation rates being lower than more than half of all other PHNs nationally. In addition, the number of mental health MBS item numbers and ATAPS services has increased over the years since 2011. However, after an increase in the number of MHNIP services in 2012/13 there has since been a slight declined in utilisation of this service. </w:t>
      </w:r>
    </w:p>
    <w:p w14:paraId="4409A253" w14:textId="77777777" w:rsidR="00C03F61" w:rsidRPr="00AF7228" w:rsidRDefault="00C03F61" w:rsidP="00C03F61">
      <w:pPr>
        <w:pStyle w:val="Heading5"/>
      </w:pPr>
      <w:bookmarkStart w:id="20" w:name="_Toc483573324"/>
      <w:bookmarkStart w:id="21" w:name="_Toc483817487"/>
      <w:r w:rsidRPr="00AF7228">
        <w:lastRenderedPageBreak/>
        <w:t>Hospitalisations</w:t>
      </w:r>
      <w:bookmarkEnd w:id="20"/>
      <w:bookmarkEnd w:id="21"/>
    </w:p>
    <w:p w14:paraId="0B7793CF" w14:textId="77777777" w:rsidR="003B145C" w:rsidRPr="00AF7228" w:rsidRDefault="00C03F61" w:rsidP="00C03F61">
      <w:pPr>
        <w:pStyle w:val="BodyText"/>
      </w:pPr>
      <w:r w:rsidRPr="00C03F61">
        <w:t xml:space="preserve">WentWest has some of the lowest rates of hospitalisations for bipolar and mood disorders and intentional self-harm. However, the region has higher rates for schizophrenia and delusional disorders and anxiety and stress disorders, compared to other PHNs. </w:t>
      </w:r>
    </w:p>
    <w:p w14:paraId="6236DC37" w14:textId="77777777" w:rsidR="00AD3544" w:rsidRDefault="00AD3544" w:rsidP="00C03F61">
      <w:pPr>
        <w:pStyle w:val="BodyText"/>
      </w:pPr>
    </w:p>
    <w:p w14:paraId="592DCDE0" w14:textId="77777777" w:rsidR="00AD3544" w:rsidRDefault="00AD3544" w:rsidP="00C03F61">
      <w:pPr>
        <w:pStyle w:val="BodyText"/>
      </w:pPr>
    </w:p>
    <w:p w14:paraId="40A52E7B" w14:textId="1B00E601" w:rsidR="00C03F61" w:rsidRPr="00AF7228" w:rsidRDefault="00C03F61" w:rsidP="00C03F61">
      <w:pPr>
        <w:pStyle w:val="BodyText"/>
      </w:pPr>
      <w:r w:rsidRPr="00C03F61">
        <w:t>There is considerable variation within the region in rates of hospitalisation and number of bed days for mental health admissions.</w:t>
      </w:r>
      <w:r w:rsidR="003B145C" w:rsidRPr="00AF7228">
        <w:t xml:space="preserve"> For All Mental Health conditions and Schizophrenia and Delusional disorders, Auburn had the highest rate of hospitalisations and bed days (per 100,000) and these rates were both higher than the regional and national averages. The lowest rates were in Blacktown – North.</w:t>
      </w:r>
    </w:p>
    <w:tbl>
      <w:tblPr>
        <w:tblStyle w:val="ConNetica"/>
        <w:tblpPr w:leftFromText="180" w:rightFromText="180" w:vertAnchor="page" w:horzAnchor="margin" w:tblpY="2852"/>
        <w:tblW w:w="8599" w:type="dxa"/>
        <w:tblBorders>
          <w:top w:val="none" w:sz="0" w:space="0" w:color="auto"/>
          <w:bottom w:val="none" w:sz="0" w:space="0" w:color="auto"/>
          <w:insideH w:val="single" w:sz="2" w:space="0" w:color="003D69"/>
          <w:insideV w:val="none" w:sz="0" w:space="0" w:color="auto"/>
        </w:tblBorders>
        <w:tblLayout w:type="fixed"/>
        <w:tblLook w:val="04A0" w:firstRow="1" w:lastRow="0" w:firstColumn="1" w:lastColumn="0" w:noHBand="0" w:noVBand="1"/>
      </w:tblPr>
      <w:tblGrid>
        <w:gridCol w:w="2368"/>
        <w:gridCol w:w="777"/>
        <w:gridCol w:w="780"/>
        <w:gridCol w:w="778"/>
        <w:gridCol w:w="780"/>
        <w:gridCol w:w="778"/>
        <w:gridCol w:w="780"/>
        <w:gridCol w:w="778"/>
        <w:gridCol w:w="780"/>
      </w:tblGrid>
      <w:tr w:rsidR="0022640E" w:rsidRPr="00AF7228" w14:paraId="41F2F5AF" w14:textId="77777777" w:rsidTr="0022640E">
        <w:trPr>
          <w:cnfStyle w:val="100000000000" w:firstRow="1" w:lastRow="0" w:firstColumn="0" w:lastColumn="0" w:oddVBand="0" w:evenVBand="0" w:oddHBand="0" w:evenHBand="0" w:firstRowFirstColumn="0" w:firstRowLastColumn="0" w:lastRowFirstColumn="0" w:lastRowLastColumn="0"/>
          <w:trHeight w:val="134"/>
        </w:trPr>
        <w:tc>
          <w:tcPr>
            <w:cnfStyle w:val="001000000000" w:firstRow="0" w:lastRow="0" w:firstColumn="1" w:lastColumn="0" w:oddVBand="0" w:evenVBand="0" w:oddHBand="0" w:evenHBand="0" w:firstRowFirstColumn="0" w:firstRowLastColumn="0" w:lastRowFirstColumn="0" w:lastRowLastColumn="0"/>
            <w:tcW w:w="8599" w:type="dxa"/>
            <w:gridSpan w:val="9"/>
            <w:shd w:val="clear" w:color="auto" w:fill="auto"/>
            <w:noWrap/>
            <w:tcMar>
              <w:left w:w="0" w:type="dxa"/>
            </w:tcMar>
          </w:tcPr>
          <w:p w14:paraId="4BDB9514" w14:textId="77777777" w:rsidR="0022640E" w:rsidRPr="00AF7228" w:rsidRDefault="0022640E" w:rsidP="0022640E">
            <w:pPr>
              <w:pStyle w:val="TableCaption"/>
              <w:spacing w:before="0" w:after="0" w:line="200" w:lineRule="exact"/>
              <w:jc w:val="left"/>
              <w:rPr>
                <w:rFonts w:cs="Arial"/>
                <w:b w:val="0"/>
                <w:szCs w:val="16"/>
              </w:rPr>
            </w:pPr>
            <w:bookmarkStart w:id="22" w:name="_Ref483821065"/>
            <w:bookmarkStart w:id="23" w:name="_Ref357686564"/>
            <w:bookmarkStart w:id="24" w:name="_Ref357686885"/>
            <w:bookmarkStart w:id="25" w:name="_Toc6237994"/>
            <w:r w:rsidRPr="00AF7228">
              <w:rPr>
                <w:rFonts w:eastAsia="MS Mincho"/>
                <w:b w:val="0"/>
                <w:color w:val="000000" w:themeColor="text1"/>
              </w:rPr>
              <w:t>2013/14 Hospitalisations and Bed Days per 100,000 People (Age Standardised)</w:t>
            </w:r>
            <w:bookmarkEnd w:id="22"/>
            <w:bookmarkEnd w:id="23"/>
            <w:bookmarkEnd w:id="24"/>
            <w:bookmarkEnd w:id="25"/>
          </w:p>
        </w:tc>
      </w:tr>
      <w:tr w:rsidR="0022640E" w:rsidRPr="00AF7228" w14:paraId="05DAE156" w14:textId="77777777" w:rsidTr="0022640E">
        <w:trPr>
          <w:trHeight w:val="134"/>
        </w:trPr>
        <w:tc>
          <w:tcPr>
            <w:cnfStyle w:val="001000000000" w:firstRow="0" w:lastRow="0" w:firstColumn="1" w:lastColumn="0" w:oddVBand="0" w:evenVBand="0" w:oddHBand="0" w:evenHBand="0" w:firstRowFirstColumn="0" w:firstRowLastColumn="0" w:lastRowFirstColumn="0" w:lastRowLastColumn="0"/>
            <w:tcW w:w="2368" w:type="dxa"/>
            <w:vMerge w:val="restart"/>
            <w:shd w:val="clear" w:color="auto" w:fill="003D69"/>
            <w:noWrap/>
            <w:vAlign w:val="bottom"/>
            <w:hideMark/>
          </w:tcPr>
          <w:p w14:paraId="20C8171D" w14:textId="77777777" w:rsidR="0022640E" w:rsidRPr="00AF7228" w:rsidRDefault="0022640E" w:rsidP="0022640E">
            <w:pPr>
              <w:spacing w:before="0" w:after="0"/>
              <w:jc w:val="center"/>
              <w:rPr>
                <w:rFonts w:eastAsia="MS Mincho" w:cs="Arial"/>
                <w:b/>
                <w:szCs w:val="18"/>
              </w:rPr>
            </w:pPr>
            <w:r w:rsidRPr="00AF7228">
              <w:rPr>
                <w:rFonts w:eastAsia="MS Mincho" w:cs="Arial"/>
                <w:b/>
                <w:szCs w:val="18"/>
              </w:rPr>
              <w:t>SA3</w:t>
            </w:r>
          </w:p>
          <w:p w14:paraId="372B7386" w14:textId="77777777" w:rsidR="0022640E" w:rsidRPr="00AF7228" w:rsidRDefault="0022640E" w:rsidP="0022640E">
            <w:pPr>
              <w:spacing w:before="0" w:after="0"/>
              <w:jc w:val="center"/>
              <w:rPr>
                <w:rFonts w:eastAsia="MS Mincho" w:cs="Arial"/>
                <w:b/>
                <w:szCs w:val="18"/>
              </w:rPr>
            </w:pPr>
          </w:p>
          <w:p w14:paraId="18FBBA2B" w14:textId="77777777" w:rsidR="0022640E" w:rsidRPr="00AF7228" w:rsidRDefault="0022640E" w:rsidP="0022640E">
            <w:pPr>
              <w:spacing w:before="0" w:after="0"/>
              <w:jc w:val="center"/>
              <w:rPr>
                <w:rFonts w:eastAsia="MS Mincho" w:cs="Arial"/>
                <w:b/>
                <w:szCs w:val="18"/>
              </w:rPr>
            </w:pPr>
          </w:p>
        </w:tc>
        <w:tc>
          <w:tcPr>
            <w:tcW w:w="1557" w:type="dxa"/>
            <w:gridSpan w:val="2"/>
            <w:shd w:val="clear" w:color="auto" w:fill="003D69"/>
            <w:noWrap/>
            <w:vAlign w:val="center"/>
            <w:hideMark/>
          </w:tcPr>
          <w:p w14:paraId="0C21B8F9" w14:textId="77777777" w:rsidR="0022640E" w:rsidRPr="00AF7228" w:rsidRDefault="0022640E" w:rsidP="0022640E">
            <w:pPr>
              <w:spacing w:before="0" w:after="0"/>
              <w:jc w:val="center"/>
              <w:cnfStyle w:val="000000000000" w:firstRow="0" w:lastRow="0" w:firstColumn="0" w:lastColumn="0" w:oddVBand="0" w:evenVBand="0" w:oddHBand="0" w:evenHBand="0" w:firstRowFirstColumn="0" w:firstRowLastColumn="0" w:lastRowFirstColumn="0" w:lastRowLastColumn="0"/>
              <w:rPr>
                <w:rFonts w:cs="Arial"/>
                <w:b/>
                <w:color w:val="FFFFFF" w:themeColor="background1"/>
                <w:szCs w:val="16"/>
              </w:rPr>
            </w:pPr>
            <w:r w:rsidRPr="00AF7228">
              <w:rPr>
                <w:rFonts w:cs="Arial"/>
                <w:b/>
                <w:color w:val="FFFFFF" w:themeColor="background1"/>
                <w:szCs w:val="16"/>
              </w:rPr>
              <w:t>All Mental Health</w:t>
            </w:r>
          </w:p>
        </w:tc>
        <w:tc>
          <w:tcPr>
            <w:tcW w:w="1558" w:type="dxa"/>
            <w:gridSpan w:val="2"/>
            <w:shd w:val="clear" w:color="auto" w:fill="003D69"/>
            <w:noWrap/>
            <w:vAlign w:val="center"/>
            <w:hideMark/>
          </w:tcPr>
          <w:p w14:paraId="04C1E886" w14:textId="77777777" w:rsidR="0022640E" w:rsidRPr="00AF7228" w:rsidRDefault="0022640E" w:rsidP="0022640E">
            <w:pPr>
              <w:spacing w:before="0" w:after="0"/>
              <w:jc w:val="center"/>
              <w:cnfStyle w:val="000000000000" w:firstRow="0" w:lastRow="0" w:firstColumn="0" w:lastColumn="0" w:oddVBand="0" w:evenVBand="0" w:oddHBand="0" w:evenHBand="0" w:firstRowFirstColumn="0" w:firstRowLastColumn="0" w:lastRowFirstColumn="0" w:lastRowLastColumn="0"/>
              <w:rPr>
                <w:rFonts w:cs="Arial"/>
                <w:b/>
                <w:color w:val="FFFFFF" w:themeColor="background1"/>
                <w:szCs w:val="16"/>
              </w:rPr>
            </w:pPr>
            <w:r w:rsidRPr="00AF7228">
              <w:rPr>
                <w:rFonts w:cs="Arial"/>
                <w:b/>
                <w:color w:val="FFFFFF" w:themeColor="background1"/>
                <w:szCs w:val="16"/>
              </w:rPr>
              <w:t>Schizophrenia and Delusional</w:t>
            </w:r>
          </w:p>
        </w:tc>
        <w:tc>
          <w:tcPr>
            <w:tcW w:w="1558" w:type="dxa"/>
            <w:gridSpan w:val="2"/>
            <w:shd w:val="clear" w:color="auto" w:fill="003D69"/>
            <w:noWrap/>
            <w:vAlign w:val="center"/>
            <w:hideMark/>
          </w:tcPr>
          <w:p w14:paraId="1E021BC6" w14:textId="77777777" w:rsidR="0022640E" w:rsidRPr="00AF7228" w:rsidRDefault="0022640E" w:rsidP="0022640E">
            <w:pPr>
              <w:spacing w:before="0" w:after="0"/>
              <w:jc w:val="center"/>
              <w:cnfStyle w:val="000000000000" w:firstRow="0" w:lastRow="0" w:firstColumn="0" w:lastColumn="0" w:oddVBand="0" w:evenVBand="0" w:oddHBand="0" w:evenHBand="0" w:firstRowFirstColumn="0" w:firstRowLastColumn="0" w:lastRowFirstColumn="0" w:lastRowLastColumn="0"/>
              <w:rPr>
                <w:rFonts w:cs="Arial"/>
                <w:b/>
                <w:color w:val="FFFFFF" w:themeColor="background1"/>
                <w:szCs w:val="16"/>
              </w:rPr>
            </w:pPr>
            <w:r w:rsidRPr="00AF7228">
              <w:rPr>
                <w:rFonts w:cs="Arial"/>
                <w:b/>
                <w:color w:val="FFFFFF" w:themeColor="background1"/>
                <w:szCs w:val="16"/>
              </w:rPr>
              <w:t>Bipolar and Mood</w:t>
            </w:r>
          </w:p>
        </w:tc>
        <w:tc>
          <w:tcPr>
            <w:tcW w:w="1558" w:type="dxa"/>
            <w:gridSpan w:val="2"/>
            <w:shd w:val="clear" w:color="auto" w:fill="003D69"/>
            <w:noWrap/>
            <w:vAlign w:val="center"/>
            <w:hideMark/>
          </w:tcPr>
          <w:p w14:paraId="51F02C28" w14:textId="77777777" w:rsidR="0022640E" w:rsidRPr="00AF7228" w:rsidRDefault="0022640E" w:rsidP="0022640E">
            <w:pPr>
              <w:spacing w:before="0" w:after="0"/>
              <w:jc w:val="center"/>
              <w:cnfStyle w:val="000000000000" w:firstRow="0" w:lastRow="0" w:firstColumn="0" w:lastColumn="0" w:oddVBand="0" w:evenVBand="0" w:oddHBand="0" w:evenHBand="0" w:firstRowFirstColumn="0" w:firstRowLastColumn="0" w:lastRowFirstColumn="0" w:lastRowLastColumn="0"/>
              <w:rPr>
                <w:rFonts w:cs="Arial"/>
                <w:b/>
                <w:color w:val="FFFFFF" w:themeColor="background1"/>
                <w:szCs w:val="16"/>
              </w:rPr>
            </w:pPr>
            <w:r w:rsidRPr="00AF7228">
              <w:rPr>
                <w:rFonts w:cs="Arial"/>
                <w:b/>
                <w:color w:val="FFFFFF" w:themeColor="background1"/>
                <w:szCs w:val="16"/>
              </w:rPr>
              <w:t>Dementia</w:t>
            </w:r>
          </w:p>
        </w:tc>
      </w:tr>
      <w:tr w:rsidR="0022640E" w:rsidRPr="00AF7228" w14:paraId="229625EF" w14:textId="77777777" w:rsidTr="0022640E">
        <w:trPr>
          <w:trHeight w:val="134"/>
        </w:trPr>
        <w:tc>
          <w:tcPr>
            <w:cnfStyle w:val="001000000000" w:firstRow="0" w:lastRow="0" w:firstColumn="1" w:lastColumn="0" w:oddVBand="0" w:evenVBand="0" w:oddHBand="0" w:evenHBand="0" w:firstRowFirstColumn="0" w:firstRowLastColumn="0" w:lastRowFirstColumn="0" w:lastRowLastColumn="0"/>
            <w:tcW w:w="2368" w:type="dxa"/>
            <w:vMerge/>
            <w:shd w:val="clear" w:color="auto" w:fill="003D69"/>
            <w:noWrap/>
            <w:hideMark/>
          </w:tcPr>
          <w:p w14:paraId="39035BD0" w14:textId="77777777" w:rsidR="0022640E" w:rsidRPr="00AF7228" w:rsidRDefault="0022640E" w:rsidP="0022640E">
            <w:pPr>
              <w:spacing w:before="0" w:after="0"/>
              <w:jc w:val="center"/>
              <w:rPr>
                <w:rFonts w:cs="Arial"/>
                <w:color w:val="000000"/>
                <w:szCs w:val="18"/>
              </w:rPr>
            </w:pPr>
          </w:p>
        </w:tc>
        <w:tc>
          <w:tcPr>
            <w:tcW w:w="777" w:type="dxa"/>
            <w:shd w:val="clear" w:color="auto" w:fill="003D69"/>
            <w:noWrap/>
            <w:vAlign w:val="center"/>
            <w:hideMark/>
          </w:tcPr>
          <w:p w14:paraId="50E5FD8C" w14:textId="77777777" w:rsidR="0022640E" w:rsidRPr="00AF7228" w:rsidRDefault="0022640E" w:rsidP="0022640E">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FFFFFF" w:themeColor="background1"/>
                <w:sz w:val="16"/>
                <w:szCs w:val="16"/>
              </w:rPr>
            </w:pPr>
            <w:r w:rsidRPr="00AF7228">
              <w:rPr>
                <w:rFonts w:cs="Arial"/>
                <w:color w:val="FFFFFF" w:themeColor="background1"/>
                <w:sz w:val="16"/>
                <w:szCs w:val="16"/>
              </w:rPr>
              <w:t>Hospital</w:t>
            </w:r>
          </w:p>
          <w:p w14:paraId="223CCC89" w14:textId="77777777" w:rsidR="0022640E" w:rsidRPr="00AF7228" w:rsidRDefault="0022640E" w:rsidP="0022640E">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FFFFFF" w:themeColor="background1"/>
                <w:sz w:val="16"/>
                <w:szCs w:val="16"/>
              </w:rPr>
            </w:pPr>
            <w:r w:rsidRPr="00AF7228">
              <w:rPr>
                <w:rFonts w:cs="Arial"/>
                <w:color w:val="FFFFFF" w:themeColor="background1"/>
                <w:sz w:val="16"/>
                <w:szCs w:val="16"/>
              </w:rPr>
              <w:t>-</w:t>
            </w:r>
            <w:proofErr w:type="spellStart"/>
            <w:r w:rsidRPr="00AF7228">
              <w:rPr>
                <w:rFonts w:cs="Arial"/>
                <w:color w:val="FFFFFF" w:themeColor="background1"/>
                <w:sz w:val="16"/>
                <w:szCs w:val="16"/>
              </w:rPr>
              <w:t>isations</w:t>
            </w:r>
            <w:proofErr w:type="spellEnd"/>
          </w:p>
        </w:tc>
        <w:tc>
          <w:tcPr>
            <w:tcW w:w="780" w:type="dxa"/>
            <w:shd w:val="clear" w:color="auto" w:fill="003D69"/>
            <w:noWrap/>
            <w:vAlign w:val="center"/>
            <w:hideMark/>
          </w:tcPr>
          <w:p w14:paraId="117F7419" w14:textId="77777777" w:rsidR="0022640E" w:rsidRPr="00AF7228" w:rsidRDefault="0022640E" w:rsidP="0022640E">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FFFFFF" w:themeColor="background1"/>
                <w:sz w:val="16"/>
                <w:szCs w:val="16"/>
              </w:rPr>
            </w:pPr>
            <w:r w:rsidRPr="00AF7228">
              <w:rPr>
                <w:rFonts w:cs="Arial"/>
                <w:color w:val="FFFFFF" w:themeColor="background1"/>
                <w:sz w:val="16"/>
                <w:szCs w:val="16"/>
              </w:rPr>
              <w:t>Bed Days</w:t>
            </w:r>
          </w:p>
        </w:tc>
        <w:tc>
          <w:tcPr>
            <w:tcW w:w="778" w:type="dxa"/>
            <w:shd w:val="clear" w:color="auto" w:fill="003D69"/>
            <w:noWrap/>
            <w:vAlign w:val="center"/>
            <w:hideMark/>
          </w:tcPr>
          <w:p w14:paraId="61958BC4" w14:textId="77777777" w:rsidR="0022640E" w:rsidRPr="00AF7228" w:rsidRDefault="0022640E" w:rsidP="0022640E">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FFFFFF" w:themeColor="background1"/>
                <w:sz w:val="16"/>
                <w:szCs w:val="16"/>
              </w:rPr>
            </w:pPr>
            <w:r w:rsidRPr="00AF7228">
              <w:rPr>
                <w:rFonts w:cs="Arial"/>
                <w:color w:val="FFFFFF" w:themeColor="background1"/>
                <w:sz w:val="16"/>
                <w:szCs w:val="16"/>
              </w:rPr>
              <w:t>Hospital</w:t>
            </w:r>
          </w:p>
          <w:p w14:paraId="411FD03F" w14:textId="77777777" w:rsidR="0022640E" w:rsidRPr="00AF7228" w:rsidRDefault="0022640E" w:rsidP="0022640E">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FFFFFF" w:themeColor="background1"/>
                <w:sz w:val="16"/>
                <w:szCs w:val="16"/>
              </w:rPr>
            </w:pPr>
            <w:r w:rsidRPr="00AF7228">
              <w:rPr>
                <w:rFonts w:cs="Arial"/>
                <w:color w:val="FFFFFF" w:themeColor="background1"/>
                <w:sz w:val="16"/>
                <w:szCs w:val="16"/>
              </w:rPr>
              <w:t>-</w:t>
            </w:r>
            <w:proofErr w:type="spellStart"/>
            <w:r w:rsidRPr="00AF7228">
              <w:rPr>
                <w:rFonts w:cs="Arial"/>
                <w:color w:val="FFFFFF" w:themeColor="background1"/>
                <w:sz w:val="16"/>
                <w:szCs w:val="16"/>
              </w:rPr>
              <w:t>isations</w:t>
            </w:r>
            <w:proofErr w:type="spellEnd"/>
          </w:p>
        </w:tc>
        <w:tc>
          <w:tcPr>
            <w:tcW w:w="780" w:type="dxa"/>
            <w:shd w:val="clear" w:color="auto" w:fill="003D69"/>
            <w:noWrap/>
            <w:vAlign w:val="center"/>
            <w:hideMark/>
          </w:tcPr>
          <w:p w14:paraId="7C84C5E4" w14:textId="77777777" w:rsidR="0022640E" w:rsidRPr="00AF7228" w:rsidRDefault="0022640E" w:rsidP="0022640E">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FFFFFF" w:themeColor="background1"/>
                <w:sz w:val="16"/>
                <w:szCs w:val="16"/>
              </w:rPr>
            </w:pPr>
            <w:r w:rsidRPr="00AF7228">
              <w:rPr>
                <w:rFonts w:cs="Arial"/>
                <w:color w:val="FFFFFF" w:themeColor="background1"/>
                <w:sz w:val="16"/>
                <w:szCs w:val="16"/>
              </w:rPr>
              <w:t>Bed Days</w:t>
            </w:r>
          </w:p>
        </w:tc>
        <w:tc>
          <w:tcPr>
            <w:tcW w:w="778" w:type="dxa"/>
            <w:shd w:val="clear" w:color="auto" w:fill="003D69"/>
            <w:noWrap/>
            <w:vAlign w:val="center"/>
            <w:hideMark/>
          </w:tcPr>
          <w:p w14:paraId="0CA8C733" w14:textId="77777777" w:rsidR="0022640E" w:rsidRPr="00AF7228" w:rsidRDefault="0022640E" w:rsidP="0022640E">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FFFFFF" w:themeColor="background1"/>
                <w:sz w:val="16"/>
                <w:szCs w:val="16"/>
              </w:rPr>
            </w:pPr>
            <w:r w:rsidRPr="00AF7228">
              <w:rPr>
                <w:rFonts w:cs="Arial"/>
                <w:color w:val="FFFFFF" w:themeColor="background1"/>
                <w:sz w:val="16"/>
                <w:szCs w:val="16"/>
              </w:rPr>
              <w:t>Hospital</w:t>
            </w:r>
          </w:p>
          <w:p w14:paraId="41EE9D4F" w14:textId="77777777" w:rsidR="0022640E" w:rsidRPr="00AF7228" w:rsidRDefault="0022640E" w:rsidP="0022640E">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FFFFFF" w:themeColor="background1"/>
                <w:sz w:val="16"/>
                <w:szCs w:val="16"/>
              </w:rPr>
            </w:pPr>
            <w:r w:rsidRPr="00AF7228">
              <w:rPr>
                <w:rFonts w:cs="Arial"/>
                <w:color w:val="FFFFFF" w:themeColor="background1"/>
                <w:sz w:val="16"/>
                <w:szCs w:val="16"/>
              </w:rPr>
              <w:t>-</w:t>
            </w:r>
            <w:proofErr w:type="spellStart"/>
            <w:r w:rsidRPr="00AF7228">
              <w:rPr>
                <w:rFonts w:cs="Arial"/>
                <w:color w:val="FFFFFF" w:themeColor="background1"/>
                <w:sz w:val="16"/>
                <w:szCs w:val="16"/>
              </w:rPr>
              <w:t>isations</w:t>
            </w:r>
            <w:proofErr w:type="spellEnd"/>
          </w:p>
        </w:tc>
        <w:tc>
          <w:tcPr>
            <w:tcW w:w="780" w:type="dxa"/>
            <w:shd w:val="clear" w:color="auto" w:fill="003D69"/>
            <w:noWrap/>
            <w:vAlign w:val="center"/>
            <w:hideMark/>
          </w:tcPr>
          <w:p w14:paraId="7A15B8DC" w14:textId="77777777" w:rsidR="0022640E" w:rsidRPr="00AF7228" w:rsidRDefault="0022640E" w:rsidP="0022640E">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FFFFFF" w:themeColor="background1"/>
                <w:sz w:val="16"/>
                <w:szCs w:val="16"/>
              </w:rPr>
            </w:pPr>
            <w:r w:rsidRPr="00AF7228">
              <w:rPr>
                <w:rFonts w:cs="Arial"/>
                <w:color w:val="FFFFFF" w:themeColor="background1"/>
                <w:sz w:val="16"/>
                <w:szCs w:val="16"/>
              </w:rPr>
              <w:t>Bed Days</w:t>
            </w:r>
          </w:p>
        </w:tc>
        <w:tc>
          <w:tcPr>
            <w:tcW w:w="778" w:type="dxa"/>
            <w:shd w:val="clear" w:color="auto" w:fill="003D69"/>
            <w:noWrap/>
            <w:vAlign w:val="center"/>
            <w:hideMark/>
          </w:tcPr>
          <w:p w14:paraId="2E61D5F8" w14:textId="77777777" w:rsidR="0022640E" w:rsidRPr="00AF7228" w:rsidRDefault="0022640E" w:rsidP="0022640E">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FFFFFF" w:themeColor="background1"/>
                <w:sz w:val="16"/>
                <w:szCs w:val="16"/>
              </w:rPr>
            </w:pPr>
            <w:r w:rsidRPr="00AF7228">
              <w:rPr>
                <w:rFonts w:cs="Arial"/>
                <w:color w:val="FFFFFF" w:themeColor="background1"/>
                <w:sz w:val="16"/>
                <w:szCs w:val="16"/>
              </w:rPr>
              <w:t>Hospital</w:t>
            </w:r>
          </w:p>
          <w:p w14:paraId="7A5A6348" w14:textId="77777777" w:rsidR="0022640E" w:rsidRPr="00AF7228" w:rsidRDefault="0022640E" w:rsidP="0022640E">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FFFFFF" w:themeColor="background1"/>
                <w:sz w:val="16"/>
                <w:szCs w:val="16"/>
              </w:rPr>
            </w:pPr>
            <w:r w:rsidRPr="00AF7228">
              <w:rPr>
                <w:rFonts w:cs="Arial"/>
                <w:color w:val="FFFFFF" w:themeColor="background1"/>
                <w:sz w:val="16"/>
                <w:szCs w:val="16"/>
              </w:rPr>
              <w:t>-</w:t>
            </w:r>
            <w:proofErr w:type="spellStart"/>
            <w:r w:rsidRPr="00AF7228">
              <w:rPr>
                <w:rFonts w:cs="Arial"/>
                <w:color w:val="FFFFFF" w:themeColor="background1"/>
                <w:sz w:val="16"/>
                <w:szCs w:val="16"/>
              </w:rPr>
              <w:t>isations</w:t>
            </w:r>
            <w:proofErr w:type="spellEnd"/>
          </w:p>
        </w:tc>
        <w:tc>
          <w:tcPr>
            <w:tcW w:w="780" w:type="dxa"/>
            <w:shd w:val="clear" w:color="auto" w:fill="003D69"/>
            <w:noWrap/>
            <w:vAlign w:val="center"/>
            <w:hideMark/>
          </w:tcPr>
          <w:p w14:paraId="789FB957" w14:textId="77777777" w:rsidR="0022640E" w:rsidRPr="00AF7228" w:rsidRDefault="0022640E" w:rsidP="0022640E">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FFFFFF" w:themeColor="background1"/>
                <w:sz w:val="16"/>
                <w:szCs w:val="16"/>
              </w:rPr>
            </w:pPr>
            <w:r w:rsidRPr="00AF7228">
              <w:rPr>
                <w:rFonts w:cs="Arial"/>
                <w:color w:val="FFFFFF" w:themeColor="background1"/>
                <w:sz w:val="16"/>
                <w:szCs w:val="16"/>
              </w:rPr>
              <w:t>Bed Days</w:t>
            </w:r>
          </w:p>
        </w:tc>
      </w:tr>
      <w:tr w:rsidR="0022640E" w:rsidRPr="00AF7228" w14:paraId="512D4305" w14:textId="77777777" w:rsidTr="0022640E">
        <w:trPr>
          <w:trHeight w:hRule="exact" w:val="255"/>
        </w:trPr>
        <w:tc>
          <w:tcPr>
            <w:cnfStyle w:val="001000000000" w:firstRow="0" w:lastRow="0" w:firstColumn="1" w:lastColumn="0" w:oddVBand="0" w:evenVBand="0" w:oddHBand="0" w:evenHBand="0" w:firstRowFirstColumn="0" w:firstRowLastColumn="0" w:lastRowFirstColumn="0" w:lastRowLastColumn="0"/>
            <w:tcW w:w="2368" w:type="dxa"/>
            <w:shd w:val="clear" w:color="auto" w:fill="D9D9D9"/>
            <w:noWrap/>
            <w:tcMar>
              <w:top w:w="28" w:type="dxa"/>
              <w:bottom w:w="28" w:type="dxa"/>
            </w:tcMar>
            <w:vAlign w:val="center"/>
            <w:hideMark/>
          </w:tcPr>
          <w:p w14:paraId="753A07E1" w14:textId="77777777" w:rsidR="0022640E" w:rsidRPr="00AF7228" w:rsidRDefault="0022640E" w:rsidP="0022640E">
            <w:pPr>
              <w:spacing w:before="0" w:after="0" w:line="220" w:lineRule="exact"/>
              <w:rPr>
                <w:rFonts w:cs="Arial"/>
                <w:szCs w:val="18"/>
              </w:rPr>
            </w:pPr>
            <w:r w:rsidRPr="00AF7228">
              <w:rPr>
                <w:rFonts w:cs="Arial"/>
                <w:color w:val="000000"/>
                <w:szCs w:val="18"/>
              </w:rPr>
              <w:t>Auburn</w:t>
            </w:r>
          </w:p>
        </w:tc>
        <w:tc>
          <w:tcPr>
            <w:tcW w:w="777" w:type="dxa"/>
            <w:noWrap/>
            <w:tcMar>
              <w:top w:w="28" w:type="dxa"/>
              <w:bottom w:w="28" w:type="dxa"/>
            </w:tcMar>
            <w:vAlign w:val="center"/>
            <w:hideMark/>
          </w:tcPr>
          <w:p w14:paraId="4E4D3C92"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1,099 </w:t>
            </w:r>
          </w:p>
        </w:tc>
        <w:tc>
          <w:tcPr>
            <w:tcW w:w="780" w:type="dxa"/>
            <w:noWrap/>
            <w:tcMar>
              <w:top w:w="28" w:type="dxa"/>
              <w:bottom w:w="28" w:type="dxa"/>
            </w:tcMar>
            <w:vAlign w:val="center"/>
            <w:hideMark/>
          </w:tcPr>
          <w:p w14:paraId="0419945F"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30,774 </w:t>
            </w:r>
          </w:p>
        </w:tc>
        <w:tc>
          <w:tcPr>
            <w:tcW w:w="778" w:type="dxa"/>
            <w:noWrap/>
            <w:tcMar>
              <w:top w:w="28" w:type="dxa"/>
              <w:bottom w:w="28" w:type="dxa"/>
            </w:tcMar>
            <w:vAlign w:val="center"/>
            <w:hideMark/>
          </w:tcPr>
          <w:p w14:paraId="645DA021"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436 </w:t>
            </w:r>
          </w:p>
        </w:tc>
        <w:tc>
          <w:tcPr>
            <w:tcW w:w="780" w:type="dxa"/>
            <w:noWrap/>
            <w:tcMar>
              <w:top w:w="28" w:type="dxa"/>
              <w:bottom w:w="28" w:type="dxa"/>
            </w:tcMar>
            <w:vAlign w:val="center"/>
            <w:hideMark/>
          </w:tcPr>
          <w:p w14:paraId="76D504DA"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16,538 </w:t>
            </w:r>
          </w:p>
        </w:tc>
        <w:tc>
          <w:tcPr>
            <w:tcW w:w="778" w:type="dxa"/>
            <w:noWrap/>
            <w:tcMar>
              <w:top w:w="28" w:type="dxa"/>
              <w:bottom w:w="28" w:type="dxa"/>
            </w:tcMar>
            <w:vAlign w:val="center"/>
            <w:hideMark/>
          </w:tcPr>
          <w:p w14:paraId="65280A7E"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110 </w:t>
            </w:r>
          </w:p>
        </w:tc>
        <w:tc>
          <w:tcPr>
            <w:tcW w:w="780" w:type="dxa"/>
            <w:noWrap/>
            <w:tcMar>
              <w:top w:w="28" w:type="dxa"/>
              <w:bottom w:w="28" w:type="dxa"/>
            </w:tcMar>
            <w:vAlign w:val="center"/>
            <w:hideMark/>
          </w:tcPr>
          <w:p w14:paraId="4C2761CF"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3,194 </w:t>
            </w:r>
          </w:p>
        </w:tc>
        <w:tc>
          <w:tcPr>
            <w:tcW w:w="778" w:type="dxa"/>
            <w:noWrap/>
            <w:tcMar>
              <w:top w:w="28" w:type="dxa"/>
              <w:bottom w:w="28" w:type="dxa"/>
            </w:tcMar>
            <w:vAlign w:val="center"/>
            <w:hideMark/>
          </w:tcPr>
          <w:p w14:paraId="1DE01A78"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46 </w:t>
            </w:r>
          </w:p>
        </w:tc>
        <w:tc>
          <w:tcPr>
            <w:tcW w:w="780" w:type="dxa"/>
            <w:noWrap/>
            <w:tcMar>
              <w:top w:w="28" w:type="dxa"/>
              <w:bottom w:w="28" w:type="dxa"/>
            </w:tcMar>
            <w:vAlign w:val="center"/>
            <w:hideMark/>
          </w:tcPr>
          <w:p w14:paraId="39642005"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928 </w:t>
            </w:r>
          </w:p>
        </w:tc>
      </w:tr>
      <w:tr w:rsidR="0022640E" w:rsidRPr="00AF7228" w14:paraId="14557EFE" w14:textId="77777777" w:rsidTr="0022640E">
        <w:trPr>
          <w:trHeight w:hRule="exact" w:val="255"/>
        </w:trPr>
        <w:tc>
          <w:tcPr>
            <w:cnfStyle w:val="001000000000" w:firstRow="0" w:lastRow="0" w:firstColumn="1" w:lastColumn="0" w:oddVBand="0" w:evenVBand="0" w:oddHBand="0" w:evenHBand="0" w:firstRowFirstColumn="0" w:firstRowLastColumn="0" w:lastRowFirstColumn="0" w:lastRowLastColumn="0"/>
            <w:tcW w:w="2368" w:type="dxa"/>
            <w:shd w:val="clear" w:color="auto" w:fill="D9D9D9"/>
            <w:noWrap/>
            <w:tcMar>
              <w:top w:w="28" w:type="dxa"/>
              <w:bottom w:w="28" w:type="dxa"/>
            </w:tcMar>
            <w:vAlign w:val="center"/>
            <w:hideMark/>
          </w:tcPr>
          <w:p w14:paraId="50710389" w14:textId="77777777" w:rsidR="0022640E" w:rsidRPr="00AF7228" w:rsidRDefault="0022640E" w:rsidP="0022640E">
            <w:pPr>
              <w:spacing w:before="0" w:after="0" w:line="220" w:lineRule="exact"/>
              <w:rPr>
                <w:rFonts w:cs="Arial"/>
                <w:szCs w:val="18"/>
              </w:rPr>
            </w:pPr>
            <w:r w:rsidRPr="00AF7228">
              <w:rPr>
                <w:rFonts w:cs="Arial"/>
                <w:szCs w:val="18"/>
              </w:rPr>
              <w:t>Baulkham Hills</w:t>
            </w:r>
          </w:p>
        </w:tc>
        <w:tc>
          <w:tcPr>
            <w:tcW w:w="777" w:type="dxa"/>
            <w:noWrap/>
            <w:tcMar>
              <w:top w:w="28" w:type="dxa"/>
              <w:bottom w:w="28" w:type="dxa"/>
            </w:tcMar>
            <w:vAlign w:val="center"/>
            <w:hideMark/>
          </w:tcPr>
          <w:p w14:paraId="1AA18E1E"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695 </w:t>
            </w:r>
          </w:p>
        </w:tc>
        <w:tc>
          <w:tcPr>
            <w:tcW w:w="780" w:type="dxa"/>
            <w:noWrap/>
            <w:tcMar>
              <w:top w:w="28" w:type="dxa"/>
              <w:bottom w:w="28" w:type="dxa"/>
            </w:tcMar>
            <w:vAlign w:val="center"/>
            <w:hideMark/>
          </w:tcPr>
          <w:p w14:paraId="42D5C53A"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9,898 </w:t>
            </w:r>
          </w:p>
        </w:tc>
        <w:tc>
          <w:tcPr>
            <w:tcW w:w="778" w:type="dxa"/>
            <w:noWrap/>
            <w:tcMar>
              <w:top w:w="28" w:type="dxa"/>
              <w:bottom w:w="28" w:type="dxa"/>
            </w:tcMar>
            <w:vAlign w:val="center"/>
            <w:hideMark/>
          </w:tcPr>
          <w:p w14:paraId="1DFC21FB"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53 </w:t>
            </w:r>
          </w:p>
        </w:tc>
        <w:tc>
          <w:tcPr>
            <w:tcW w:w="780" w:type="dxa"/>
            <w:noWrap/>
            <w:tcMar>
              <w:top w:w="28" w:type="dxa"/>
              <w:bottom w:w="28" w:type="dxa"/>
            </w:tcMar>
            <w:vAlign w:val="center"/>
            <w:hideMark/>
          </w:tcPr>
          <w:p w14:paraId="6CB060D7"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1,171 </w:t>
            </w:r>
          </w:p>
        </w:tc>
        <w:tc>
          <w:tcPr>
            <w:tcW w:w="778" w:type="dxa"/>
            <w:noWrap/>
            <w:tcMar>
              <w:top w:w="28" w:type="dxa"/>
              <w:bottom w:w="28" w:type="dxa"/>
            </w:tcMar>
            <w:vAlign w:val="center"/>
            <w:hideMark/>
          </w:tcPr>
          <w:p w14:paraId="457FFCF5"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62 </w:t>
            </w:r>
          </w:p>
        </w:tc>
        <w:tc>
          <w:tcPr>
            <w:tcW w:w="780" w:type="dxa"/>
            <w:noWrap/>
            <w:tcMar>
              <w:top w:w="28" w:type="dxa"/>
              <w:bottom w:w="28" w:type="dxa"/>
            </w:tcMar>
            <w:vAlign w:val="center"/>
            <w:hideMark/>
          </w:tcPr>
          <w:p w14:paraId="5A182FB9"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1,206 </w:t>
            </w:r>
          </w:p>
        </w:tc>
        <w:tc>
          <w:tcPr>
            <w:tcW w:w="778" w:type="dxa"/>
            <w:noWrap/>
            <w:tcMar>
              <w:top w:w="28" w:type="dxa"/>
              <w:bottom w:w="28" w:type="dxa"/>
            </w:tcMar>
            <w:vAlign w:val="center"/>
            <w:hideMark/>
          </w:tcPr>
          <w:p w14:paraId="6CEBBB8C"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32 </w:t>
            </w:r>
          </w:p>
        </w:tc>
        <w:tc>
          <w:tcPr>
            <w:tcW w:w="780" w:type="dxa"/>
            <w:noWrap/>
            <w:tcMar>
              <w:top w:w="28" w:type="dxa"/>
              <w:bottom w:w="28" w:type="dxa"/>
            </w:tcMar>
            <w:vAlign w:val="center"/>
            <w:hideMark/>
          </w:tcPr>
          <w:p w14:paraId="2A86E6EB"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315 </w:t>
            </w:r>
          </w:p>
        </w:tc>
      </w:tr>
      <w:tr w:rsidR="0022640E" w:rsidRPr="00AF7228" w14:paraId="43B25958" w14:textId="77777777" w:rsidTr="0022640E">
        <w:trPr>
          <w:trHeight w:hRule="exact" w:val="255"/>
        </w:trPr>
        <w:tc>
          <w:tcPr>
            <w:cnfStyle w:val="001000000000" w:firstRow="0" w:lastRow="0" w:firstColumn="1" w:lastColumn="0" w:oddVBand="0" w:evenVBand="0" w:oddHBand="0" w:evenHBand="0" w:firstRowFirstColumn="0" w:firstRowLastColumn="0" w:lastRowFirstColumn="0" w:lastRowLastColumn="0"/>
            <w:tcW w:w="2368" w:type="dxa"/>
            <w:shd w:val="clear" w:color="auto" w:fill="D9D9D9"/>
            <w:noWrap/>
            <w:tcMar>
              <w:top w:w="28" w:type="dxa"/>
              <w:bottom w:w="28" w:type="dxa"/>
            </w:tcMar>
            <w:vAlign w:val="center"/>
            <w:hideMark/>
          </w:tcPr>
          <w:p w14:paraId="2EF5A3E7" w14:textId="77777777" w:rsidR="0022640E" w:rsidRPr="00AF7228" w:rsidRDefault="0022640E" w:rsidP="0022640E">
            <w:pPr>
              <w:spacing w:before="0" w:after="0" w:line="220" w:lineRule="exact"/>
              <w:rPr>
                <w:rFonts w:cs="Arial"/>
                <w:szCs w:val="18"/>
              </w:rPr>
            </w:pPr>
            <w:r w:rsidRPr="00AF7228">
              <w:rPr>
                <w:rFonts w:cs="Arial"/>
                <w:szCs w:val="18"/>
              </w:rPr>
              <w:t>Blacktown</w:t>
            </w:r>
          </w:p>
        </w:tc>
        <w:tc>
          <w:tcPr>
            <w:tcW w:w="777" w:type="dxa"/>
            <w:noWrap/>
            <w:tcMar>
              <w:top w:w="28" w:type="dxa"/>
              <w:bottom w:w="28" w:type="dxa"/>
            </w:tcMar>
            <w:vAlign w:val="center"/>
            <w:hideMark/>
          </w:tcPr>
          <w:p w14:paraId="209D8F4A"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880 </w:t>
            </w:r>
          </w:p>
        </w:tc>
        <w:tc>
          <w:tcPr>
            <w:tcW w:w="780" w:type="dxa"/>
            <w:noWrap/>
            <w:tcMar>
              <w:top w:w="28" w:type="dxa"/>
              <w:bottom w:w="28" w:type="dxa"/>
            </w:tcMar>
            <w:vAlign w:val="center"/>
            <w:hideMark/>
          </w:tcPr>
          <w:p w14:paraId="578ED077"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13,382 </w:t>
            </w:r>
          </w:p>
        </w:tc>
        <w:tc>
          <w:tcPr>
            <w:tcW w:w="778" w:type="dxa"/>
            <w:noWrap/>
            <w:tcMar>
              <w:top w:w="28" w:type="dxa"/>
              <w:bottom w:w="28" w:type="dxa"/>
            </w:tcMar>
            <w:vAlign w:val="center"/>
            <w:hideMark/>
          </w:tcPr>
          <w:p w14:paraId="1CE0431E"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166 </w:t>
            </w:r>
          </w:p>
        </w:tc>
        <w:tc>
          <w:tcPr>
            <w:tcW w:w="780" w:type="dxa"/>
            <w:noWrap/>
            <w:tcMar>
              <w:top w:w="28" w:type="dxa"/>
              <w:bottom w:w="28" w:type="dxa"/>
            </w:tcMar>
            <w:vAlign w:val="center"/>
            <w:hideMark/>
          </w:tcPr>
          <w:p w14:paraId="627BA03A"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4,427 </w:t>
            </w:r>
          </w:p>
        </w:tc>
        <w:tc>
          <w:tcPr>
            <w:tcW w:w="778" w:type="dxa"/>
            <w:noWrap/>
            <w:tcMar>
              <w:top w:w="28" w:type="dxa"/>
              <w:bottom w:w="28" w:type="dxa"/>
            </w:tcMar>
            <w:vAlign w:val="center"/>
            <w:hideMark/>
          </w:tcPr>
          <w:p w14:paraId="3BBEB21A"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68 </w:t>
            </w:r>
          </w:p>
        </w:tc>
        <w:tc>
          <w:tcPr>
            <w:tcW w:w="780" w:type="dxa"/>
            <w:noWrap/>
            <w:tcMar>
              <w:top w:w="28" w:type="dxa"/>
              <w:bottom w:w="28" w:type="dxa"/>
            </w:tcMar>
            <w:vAlign w:val="center"/>
            <w:hideMark/>
          </w:tcPr>
          <w:p w14:paraId="1DC371E7"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1,489 </w:t>
            </w:r>
          </w:p>
        </w:tc>
        <w:tc>
          <w:tcPr>
            <w:tcW w:w="778" w:type="dxa"/>
            <w:noWrap/>
            <w:tcMar>
              <w:top w:w="28" w:type="dxa"/>
              <w:bottom w:w="28" w:type="dxa"/>
            </w:tcMar>
            <w:vAlign w:val="center"/>
            <w:hideMark/>
          </w:tcPr>
          <w:p w14:paraId="6DF57851"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27 </w:t>
            </w:r>
          </w:p>
        </w:tc>
        <w:tc>
          <w:tcPr>
            <w:tcW w:w="780" w:type="dxa"/>
            <w:noWrap/>
            <w:tcMar>
              <w:top w:w="28" w:type="dxa"/>
              <w:bottom w:w="28" w:type="dxa"/>
            </w:tcMar>
            <w:vAlign w:val="center"/>
            <w:hideMark/>
          </w:tcPr>
          <w:p w14:paraId="7D15AD9D"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369 </w:t>
            </w:r>
          </w:p>
        </w:tc>
      </w:tr>
      <w:tr w:rsidR="0022640E" w:rsidRPr="00AF7228" w14:paraId="455F1B2C" w14:textId="77777777" w:rsidTr="0022640E">
        <w:trPr>
          <w:trHeight w:hRule="exact" w:val="255"/>
        </w:trPr>
        <w:tc>
          <w:tcPr>
            <w:cnfStyle w:val="001000000000" w:firstRow="0" w:lastRow="0" w:firstColumn="1" w:lastColumn="0" w:oddVBand="0" w:evenVBand="0" w:oddHBand="0" w:evenHBand="0" w:firstRowFirstColumn="0" w:firstRowLastColumn="0" w:lastRowFirstColumn="0" w:lastRowLastColumn="0"/>
            <w:tcW w:w="2368" w:type="dxa"/>
            <w:shd w:val="clear" w:color="auto" w:fill="D9D9D9"/>
            <w:noWrap/>
            <w:tcMar>
              <w:top w:w="28" w:type="dxa"/>
              <w:bottom w:w="28" w:type="dxa"/>
            </w:tcMar>
            <w:vAlign w:val="center"/>
            <w:hideMark/>
          </w:tcPr>
          <w:p w14:paraId="2C1A61CE" w14:textId="77777777" w:rsidR="0022640E" w:rsidRPr="00AF7228" w:rsidRDefault="0022640E" w:rsidP="0022640E">
            <w:pPr>
              <w:spacing w:before="0" w:after="0" w:line="220" w:lineRule="exact"/>
              <w:rPr>
                <w:rFonts w:cs="Arial"/>
                <w:szCs w:val="18"/>
              </w:rPr>
            </w:pPr>
            <w:r w:rsidRPr="00AF7228">
              <w:rPr>
                <w:rFonts w:cs="Arial"/>
                <w:color w:val="000000"/>
                <w:szCs w:val="18"/>
              </w:rPr>
              <w:t>Blacktown - North</w:t>
            </w:r>
          </w:p>
        </w:tc>
        <w:tc>
          <w:tcPr>
            <w:tcW w:w="777" w:type="dxa"/>
            <w:noWrap/>
            <w:tcMar>
              <w:top w:w="28" w:type="dxa"/>
              <w:bottom w:w="28" w:type="dxa"/>
            </w:tcMar>
            <w:vAlign w:val="center"/>
            <w:hideMark/>
          </w:tcPr>
          <w:p w14:paraId="0B26F7B4"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547 </w:t>
            </w:r>
          </w:p>
        </w:tc>
        <w:tc>
          <w:tcPr>
            <w:tcW w:w="780" w:type="dxa"/>
            <w:noWrap/>
            <w:tcMar>
              <w:top w:w="28" w:type="dxa"/>
              <w:bottom w:w="28" w:type="dxa"/>
            </w:tcMar>
            <w:vAlign w:val="center"/>
            <w:hideMark/>
          </w:tcPr>
          <w:p w14:paraId="70F95C06"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7,965 </w:t>
            </w:r>
          </w:p>
        </w:tc>
        <w:tc>
          <w:tcPr>
            <w:tcW w:w="778" w:type="dxa"/>
            <w:noWrap/>
            <w:tcMar>
              <w:top w:w="28" w:type="dxa"/>
              <w:bottom w:w="28" w:type="dxa"/>
            </w:tcMar>
            <w:vAlign w:val="center"/>
            <w:hideMark/>
          </w:tcPr>
          <w:p w14:paraId="294C55C1"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52 </w:t>
            </w:r>
          </w:p>
        </w:tc>
        <w:tc>
          <w:tcPr>
            <w:tcW w:w="780" w:type="dxa"/>
            <w:noWrap/>
            <w:tcMar>
              <w:top w:w="28" w:type="dxa"/>
              <w:bottom w:w="28" w:type="dxa"/>
            </w:tcMar>
            <w:vAlign w:val="center"/>
            <w:hideMark/>
          </w:tcPr>
          <w:p w14:paraId="7082A573"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1,069 </w:t>
            </w:r>
          </w:p>
        </w:tc>
        <w:tc>
          <w:tcPr>
            <w:tcW w:w="778" w:type="dxa"/>
            <w:noWrap/>
            <w:tcMar>
              <w:top w:w="28" w:type="dxa"/>
              <w:bottom w:w="28" w:type="dxa"/>
            </w:tcMar>
            <w:vAlign w:val="center"/>
            <w:hideMark/>
          </w:tcPr>
          <w:p w14:paraId="5F1232E6"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42 </w:t>
            </w:r>
          </w:p>
        </w:tc>
        <w:tc>
          <w:tcPr>
            <w:tcW w:w="780" w:type="dxa"/>
            <w:noWrap/>
            <w:tcMar>
              <w:top w:w="28" w:type="dxa"/>
              <w:bottom w:w="28" w:type="dxa"/>
            </w:tcMar>
            <w:vAlign w:val="center"/>
            <w:hideMark/>
          </w:tcPr>
          <w:p w14:paraId="583780CA"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973 </w:t>
            </w:r>
          </w:p>
        </w:tc>
        <w:tc>
          <w:tcPr>
            <w:tcW w:w="778" w:type="dxa"/>
            <w:noWrap/>
            <w:tcMar>
              <w:top w:w="28" w:type="dxa"/>
              <w:bottom w:w="28" w:type="dxa"/>
            </w:tcMar>
            <w:vAlign w:val="center"/>
            <w:hideMark/>
          </w:tcPr>
          <w:p w14:paraId="64549A0D"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np</w:t>
            </w:r>
          </w:p>
        </w:tc>
        <w:tc>
          <w:tcPr>
            <w:tcW w:w="780" w:type="dxa"/>
            <w:noWrap/>
            <w:tcMar>
              <w:top w:w="28" w:type="dxa"/>
              <w:bottom w:w="28" w:type="dxa"/>
            </w:tcMar>
            <w:vAlign w:val="center"/>
            <w:hideMark/>
          </w:tcPr>
          <w:p w14:paraId="1CA6C84E"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np</w:t>
            </w:r>
          </w:p>
        </w:tc>
      </w:tr>
      <w:tr w:rsidR="0022640E" w:rsidRPr="00AF7228" w14:paraId="36933341" w14:textId="77777777" w:rsidTr="0022640E">
        <w:trPr>
          <w:trHeight w:hRule="exact" w:val="255"/>
        </w:trPr>
        <w:tc>
          <w:tcPr>
            <w:cnfStyle w:val="001000000000" w:firstRow="0" w:lastRow="0" w:firstColumn="1" w:lastColumn="0" w:oddVBand="0" w:evenVBand="0" w:oddHBand="0" w:evenHBand="0" w:firstRowFirstColumn="0" w:firstRowLastColumn="0" w:lastRowFirstColumn="0" w:lastRowLastColumn="0"/>
            <w:tcW w:w="2368" w:type="dxa"/>
            <w:shd w:val="clear" w:color="auto" w:fill="D9D9D9"/>
            <w:noWrap/>
            <w:tcMar>
              <w:top w:w="28" w:type="dxa"/>
              <w:bottom w:w="28" w:type="dxa"/>
            </w:tcMar>
            <w:vAlign w:val="center"/>
            <w:hideMark/>
          </w:tcPr>
          <w:p w14:paraId="6CA241B8" w14:textId="77777777" w:rsidR="0022640E" w:rsidRPr="00AF7228" w:rsidRDefault="0022640E" w:rsidP="0022640E">
            <w:pPr>
              <w:spacing w:before="0" w:after="0" w:line="220" w:lineRule="exact"/>
              <w:rPr>
                <w:rFonts w:cs="Arial"/>
                <w:color w:val="000000"/>
                <w:szCs w:val="18"/>
              </w:rPr>
            </w:pPr>
            <w:r w:rsidRPr="00AF7228">
              <w:rPr>
                <w:rFonts w:cs="Arial"/>
                <w:color w:val="000000"/>
                <w:szCs w:val="18"/>
              </w:rPr>
              <w:t>Carlingford</w:t>
            </w:r>
          </w:p>
        </w:tc>
        <w:tc>
          <w:tcPr>
            <w:tcW w:w="777" w:type="dxa"/>
            <w:noWrap/>
            <w:tcMar>
              <w:top w:w="28" w:type="dxa"/>
              <w:bottom w:w="28" w:type="dxa"/>
            </w:tcMar>
            <w:vAlign w:val="center"/>
            <w:hideMark/>
          </w:tcPr>
          <w:p w14:paraId="27C02EC6"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870 </w:t>
            </w:r>
          </w:p>
        </w:tc>
        <w:tc>
          <w:tcPr>
            <w:tcW w:w="780" w:type="dxa"/>
            <w:noWrap/>
            <w:tcMar>
              <w:top w:w="28" w:type="dxa"/>
              <w:bottom w:w="28" w:type="dxa"/>
            </w:tcMar>
            <w:vAlign w:val="center"/>
            <w:hideMark/>
          </w:tcPr>
          <w:p w14:paraId="12CF3062"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15,956 </w:t>
            </w:r>
          </w:p>
        </w:tc>
        <w:tc>
          <w:tcPr>
            <w:tcW w:w="778" w:type="dxa"/>
            <w:noWrap/>
            <w:tcMar>
              <w:top w:w="28" w:type="dxa"/>
              <w:bottom w:w="28" w:type="dxa"/>
            </w:tcMar>
            <w:vAlign w:val="center"/>
            <w:hideMark/>
          </w:tcPr>
          <w:p w14:paraId="317FD9E6"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180 </w:t>
            </w:r>
          </w:p>
        </w:tc>
        <w:tc>
          <w:tcPr>
            <w:tcW w:w="780" w:type="dxa"/>
            <w:noWrap/>
            <w:tcMar>
              <w:top w:w="28" w:type="dxa"/>
              <w:bottom w:w="28" w:type="dxa"/>
            </w:tcMar>
            <w:vAlign w:val="center"/>
            <w:hideMark/>
          </w:tcPr>
          <w:p w14:paraId="10D70C2C"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5,458 </w:t>
            </w:r>
          </w:p>
        </w:tc>
        <w:tc>
          <w:tcPr>
            <w:tcW w:w="778" w:type="dxa"/>
            <w:noWrap/>
            <w:tcMar>
              <w:top w:w="28" w:type="dxa"/>
              <w:bottom w:w="28" w:type="dxa"/>
            </w:tcMar>
            <w:vAlign w:val="center"/>
            <w:hideMark/>
          </w:tcPr>
          <w:p w14:paraId="24FAAFA1"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62 </w:t>
            </w:r>
          </w:p>
        </w:tc>
        <w:tc>
          <w:tcPr>
            <w:tcW w:w="780" w:type="dxa"/>
            <w:noWrap/>
            <w:tcMar>
              <w:top w:w="28" w:type="dxa"/>
              <w:bottom w:w="28" w:type="dxa"/>
            </w:tcMar>
            <w:vAlign w:val="center"/>
            <w:hideMark/>
          </w:tcPr>
          <w:p w14:paraId="40307D71"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1,523 </w:t>
            </w:r>
          </w:p>
        </w:tc>
        <w:tc>
          <w:tcPr>
            <w:tcW w:w="778" w:type="dxa"/>
            <w:noWrap/>
            <w:tcMar>
              <w:top w:w="28" w:type="dxa"/>
              <w:bottom w:w="28" w:type="dxa"/>
            </w:tcMar>
            <w:vAlign w:val="center"/>
            <w:hideMark/>
          </w:tcPr>
          <w:p w14:paraId="1F493C9B"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34 </w:t>
            </w:r>
          </w:p>
        </w:tc>
        <w:tc>
          <w:tcPr>
            <w:tcW w:w="780" w:type="dxa"/>
            <w:noWrap/>
            <w:tcMar>
              <w:top w:w="28" w:type="dxa"/>
              <w:bottom w:w="28" w:type="dxa"/>
            </w:tcMar>
            <w:vAlign w:val="center"/>
            <w:hideMark/>
          </w:tcPr>
          <w:p w14:paraId="57A6D701"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491 </w:t>
            </w:r>
          </w:p>
        </w:tc>
      </w:tr>
      <w:tr w:rsidR="0022640E" w:rsidRPr="00AF7228" w14:paraId="4A54D407" w14:textId="77777777" w:rsidTr="0022640E">
        <w:trPr>
          <w:trHeight w:hRule="exact" w:val="255"/>
        </w:trPr>
        <w:tc>
          <w:tcPr>
            <w:cnfStyle w:val="001000000000" w:firstRow="0" w:lastRow="0" w:firstColumn="1" w:lastColumn="0" w:oddVBand="0" w:evenVBand="0" w:oddHBand="0" w:evenHBand="0" w:firstRowFirstColumn="0" w:firstRowLastColumn="0" w:lastRowFirstColumn="0" w:lastRowLastColumn="0"/>
            <w:tcW w:w="2368" w:type="dxa"/>
            <w:shd w:val="clear" w:color="auto" w:fill="D9D9D9"/>
            <w:noWrap/>
            <w:tcMar>
              <w:top w:w="28" w:type="dxa"/>
              <w:bottom w:w="28" w:type="dxa"/>
            </w:tcMar>
            <w:vAlign w:val="center"/>
            <w:hideMark/>
          </w:tcPr>
          <w:p w14:paraId="4822220C" w14:textId="77777777" w:rsidR="0022640E" w:rsidRPr="00AF7228" w:rsidRDefault="0022640E" w:rsidP="0022640E">
            <w:pPr>
              <w:spacing w:before="0" w:after="0" w:line="220" w:lineRule="exact"/>
              <w:rPr>
                <w:rFonts w:cs="Arial"/>
                <w:color w:val="000000"/>
                <w:szCs w:val="18"/>
              </w:rPr>
            </w:pPr>
            <w:r w:rsidRPr="00AF7228">
              <w:rPr>
                <w:rFonts w:cs="Arial"/>
                <w:szCs w:val="18"/>
              </w:rPr>
              <w:t>Dural - Wisemans Ferry</w:t>
            </w:r>
          </w:p>
        </w:tc>
        <w:tc>
          <w:tcPr>
            <w:tcW w:w="777" w:type="dxa"/>
            <w:noWrap/>
            <w:tcMar>
              <w:top w:w="28" w:type="dxa"/>
              <w:bottom w:w="28" w:type="dxa"/>
            </w:tcMar>
            <w:vAlign w:val="center"/>
            <w:hideMark/>
          </w:tcPr>
          <w:p w14:paraId="6081139A"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949 </w:t>
            </w:r>
          </w:p>
        </w:tc>
        <w:tc>
          <w:tcPr>
            <w:tcW w:w="780" w:type="dxa"/>
            <w:noWrap/>
            <w:tcMar>
              <w:top w:w="28" w:type="dxa"/>
              <w:bottom w:w="28" w:type="dxa"/>
            </w:tcMar>
            <w:vAlign w:val="center"/>
            <w:hideMark/>
          </w:tcPr>
          <w:p w14:paraId="52D9F4B4"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13,858 </w:t>
            </w:r>
          </w:p>
        </w:tc>
        <w:tc>
          <w:tcPr>
            <w:tcW w:w="778" w:type="dxa"/>
            <w:noWrap/>
            <w:tcMar>
              <w:top w:w="28" w:type="dxa"/>
              <w:bottom w:w="28" w:type="dxa"/>
            </w:tcMar>
            <w:vAlign w:val="center"/>
            <w:hideMark/>
          </w:tcPr>
          <w:p w14:paraId="0E8D7D9A"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np</w:t>
            </w:r>
          </w:p>
        </w:tc>
        <w:tc>
          <w:tcPr>
            <w:tcW w:w="780" w:type="dxa"/>
            <w:noWrap/>
            <w:tcMar>
              <w:top w:w="28" w:type="dxa"/>
              <w:bottom w:w="28" w:type="dxa"/>
            </w:tcMar>
            <w:vAlign w:val="center"/>
            <w:hideMark/>
          </w:tcPr>
          <w:p w14:paraId="6518391C"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np</w:t>
            </w:r>
          </w:p>
        </w:tc>
        <w:tc>
          <w:tcPr>
            <w:tcW w:w="778" w:type="dxa"/>
            <w:noWrap/>
            <w:tcMar>
              <w:top w:w="28" w:type="dxa"/>
              <w:bottom w:w="28" w:type="dxa"/>
            </w:tcMar>
            <w:vAlign w:val="center"/>
            <w:hideMark/>
          </w:tcPr>
          <w:p w14:paraId="6D53E1E7"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143 </w:t>
            </w:r>
          </w:p>
        </w:tc>
        <w:tc>
          <w:tcPr>
            <w:tcW w:w="780" w:type="dxa"/>
            <w:noWrap/>
            <w:tcMar>
              <w:top w:w="28" w:type="dxa"/>
              <w:bottom w:w="28" w:type="dxa"/>
            </w:tcMar>
            <w:vAlign w:val="center"/>
            <w:hideMark/>
          </w:tcPr>
          <w:p w14:paraId="460E48FD"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2,301 </w:t>
            </w:r>
          </w:p>
        </w:tc>
        <w:tc>
          <w:tcPr>
            <w:tcW w:w="778" w:type="dxa"/>
            <w:noWrap/>
            <w:tcMar>
              <w:top w:w="28" w:type="dxa"/>
              <w:bottom w:w="28" w:type="dxa"/>
            </w:tcMar>
            <w:vAlign w:val="center"/>
            <w:hideMark/>
          </w:tcPr>
          <w:p w14:paraId="2D12E54F"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np</w:t>
            </w:r>
          </w:p>
        </w:tc>
        <w:tc>
          <w:tcPr>
            <w:tcW w:w="780" w:type="dxa"/>
            <w:noWrap/>
            <w:tcMar>
              <w:top w:w="28" w:type="dxa"/>
              <w:bottom w:w="28" w:type="dxa"/>
            </w:tcMar>
            <w:vAlign w:val="center"/>
            <w:hideMark/>
          </w:tcPr>
          <w:p w14:paraId="48F3C18B"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np</w:t>
            </w:r>
          </w:p>
        </w:tc>
      </w:tr>
      <w:tr w:rsidR="0022640E" w:rsidRPr="00AF7228" w14:paraId="4EC1A7D2" w14:textId="77777777" w:rsidTr="0022640E">
        <w:trPr>
          <w:trHeight w:hRule="exact" w:val="255"/>
        </w:trPr>
        <w:tc>
          <w:tcPr>
            <w:cnfStyle w:val="001000000000" w:firstRow="0" w:lastRow="0" w:firstColumn="1" w:lastColumn="0" w:oddVBand="0" w:evenVBand="0" w:oddHBand="0" w:evenHBand="0" w:firstRowFirstColumn="0" w:firstRowLastColumn="0" w:lastRowFirstColumn="0" w:lastRowLastColumn="0"/>
            <w:tcW w:w="2368" w:type="dxa"/>
            <w:shd w:val="clear" w:color="auto" w:fill="D9D9D9"/>
            <w:noWrap/>
            <w:tcMar>
              <w:top w:w="28" w:type="dxa"/>
              <w:bottom w:w="28" w:type="dxa"/>
            </w:tcMar>
            <w:vAlign w:val="center"/>
          </w:tcPr>
          <w:p w14:paraId="3356E4EA" w14:textId="77777777" w:rsidR="0022640E" w:rsidRPr="00AF7228" w:rsidRDefault="0022640E" w:rsidP="0022640E">
            <w:pPr>
              <w:spacing w:before="0" w:after="0" w:line="220" w:lineRule="exact"/>
              <w:rPr>
                <w:rFonts w:cs="Arial"/>
                <w:color w:val="000000"/>
                <w:szCs w:val="18"/>
              </w:rPr>
            </w:pPr>
            <w:r w:rsidRPr="00AF7228">
              <w:rPr>
                <w:rFonts w:cs="Arial"/>
                <w:color w:val="000000"/>
                <w:szCs w:val="18"/>
              </w:rPr>
              <w:t>Merrylands - Guildford</w:t>
            </w:r>
          </w:p>
        </w:tc>
        <w:tc>
          <w:tcPr>
            <w:tcW w:w="777" w:type="dxa"/>
            <w:noWrap/>
            <w:tcMar>
              <w:top w:w="28" w:type="dxa"/>
              <w:bottom w:w="28" w:type="dxa"/>
            </w:tcMar>
            <w:vAlign w:val="center"/>
          </w:tcPr>
          <w:p w14:paraId="2798ACB7"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933 </w:t>
            </w:r>
          </w:p>
        </w:tc>
        <w:tc>
          <w:tcPr>
            <w:tcW w:w="780" w:type="dxa"/>
            <w:noWrap/>
            <w:tcMar>
              <w:top w:w="28" w:type="dxa"/>
              <w:bottom w:w="28" w:type="dxa"/>
            </w:tcMar>
            <w:vAlign w:val="center"/>
          </w:tcPr>
          <w:p w14:paraId="2726BBCD"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15,301 </w:t>
            </w:r>
          </w:p>
        </w:tc>
        <w:tc>
          <w:tcPr>
            <w:tcW w:w="778" w:type="dxa"/>
            <w:noWrap/>
            <w:tcMar>
              <w:top w:w="28" w:type="dxa"/>
              <w:bottom w:w="28" w:type="dxa"/>
            </w:tcMar>
            <w:vAlign w:val="center"/>
          </w:tcPr>
          <w:p w14:paraId="13FF80B7"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226 </w:t>
            </w:r>
          </w:p>
        </w:tc>
        <w:tc>
          <w:tcPr>
            <w:tcW w:w="780" w:type="dxa"/>
            <w:noWrap/>
            <w:tcMar>
              <w:top w:w="28" w:type="dxa"/>
              <w:bottom w:w="28" w:type="dxa"/>
            </w:tcMar>
            <w:vAlign w:val="center"/>
          </w:tcPr>
          <w:p w14:paraId="4BF9ACC5"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6,303 </w:t>
            </w:r>
          </w:p>
        </w:tc>
        <w:tc>
          <w:tcPr>
            <w:tcW w:w="778" w:type="dxa"/>
            <w:noWrap/>
            <w:tcMar>
              <w:top w:w="28" w:type="dxa"/>
              <w:bottom w:w="28" w:type="dxa"/>
            </w:tcMar>
            <w:vAlign w:val="center"/>
          </w:tcPr>
          <w:p w14:paraId="4465D590"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60 </w:t>
            </w:r>
          </w:p>
        </w:tc>
        <w:tc>
          <w:tcPr>
            <w:tcW w:w="780" w:type="dxa"/>
            <w:noWrap/>
            <w:tcMar>
              <w:top w:w="28" w:type="dxa"/>
              <w:bottom w:w="28" w:type="dxa"/>
            </w:tcMar>
            <w:vAlign w:val="center"/>
          </w:tcPr>
          <w:p w14:paraId="11BEC08B"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1,413 </w:t>
            </w:r>
          </w:p>
        </w:tc>
        <w:tc>
          <w:tcPr>
            <w:tcW w:w="778" w:type="dxa"/>
            <w:noWrap/>
            <w:tcMar>
              <w:top w:w="28" w:type="dxa"/>
              <w:bottom w:w="28" w:type="dxa"/>
            </w:tcMar>
            <w:vAlign w:val="center"/>
          </w:tcPr>
          <w:p w14:paraId="5DED560F"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46 </w:t>
            </w:r>
          </w:p>
        </w:tc>
        <w:tc>
          <w:tcPr>
            <w:tcW w:w="780" w:type="dxa"/>
            <w:noWrap/>
            <w:tcMar>
              <w:top w:w="28" w:type="dxa"/>
              <w:bottom w:w="28" w:type="dxa"/>
            </w:tcMar>
            <w:vAlign w:val="center"/>
          </w:tcPr>
          <w:p w14:paraId="750B54D0"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632 </w:t>
            </w:r>
          </w:p>
        </w:tc>
      </w:tr>
      <w:tr w:rsidR="0022640E" w:rsidRPr="00AF7228" w14:paraId="5FF9205B" w14:textId="77777777" w:rsidTr="0022640E">
        <w:trPr>
          <w:trHeight w:hRule="exact" w:val="255"/>
        </w:trPr>
        <w:tc>
          <w:tcPr>
            <w:cnfStyle w:val="001000000000" w:firstRow="0" w:lastRow="0" w:firstColumn="1" w:lastColumn="0" w:oddVBand="0" w:evenVBand="0" w:oddHBand="0" w:evenHBand="0" w:firstRowFirstColumn="0" w:firstRowLastColumn="0" w:lastRowFirstColumn="0" w:lastRowLastColumn="0"/>
            <w:tcW w:w="2368" w:type="dxa"/>
            <w:shd w:val="clear" w:color="auto" w:fill="D9D9D9"/>
            <w:noWrap/>
            <w:tcMar>
              <w:top w:w="28" w:type="dxa"/>
              <w:bottom w:w="28" w:type="dxa"/>
            </w:tcMar>
            <w:vAlign w:val="center"/>
            <w:hideMark/>
          </w:tcPr>
          <w:p w14:paraId="765011A8" w14:textId="77777777" w:rsidR="0022640E" w:rsidRPr="00AF7228" w:rsidRDefault="0022640E" w:rsidP="0022640E">
            <w:pPr>
              <w:spacing w:before="0" w:after="0" w:line="220" w:lineRule="exact"/>
              <w:rPr>
                <w:rFonts w:cs="Arial"/>
                <w:color w:val="000000"/>
                <w:szCs w:val="18"/>
              </w:rPr>
            </w:pPr>
            <w:r w:rsidRPr="00AF7228">
              <w:rPr>
                <w:rFonts w:cs="Arial"/>
                <w:color w:val="000000"/>
                <w:szCs w:val="18"/>
              </w:rPr>
              <w:t>Mount Druitt</w:t>
            </w:r>
          </w:p>
        </w:tc>
        <w:tc>
          <w:tcPr>
            <w:tcW w:w="777" w:type="dxa"/>
            <w:noWrap/>
            <w:tcMar>
              <w:top w:w="28" w:type="dxa"/>
              <w:bottom w:w="28" w:type="dxa"/>
            </w:tcMar>
            <w:vAlign w:val="center"/>
            <w:hideMark/>
          </w:tcPr>
          <w:p w14:paraId="78C24939"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859 </w:t>
            </w:r>
          </w:p>
        </w:tc>
        <w:tc>
          <w:tcPr>
            <w:tcW w:w="780" w:type="dxa"/>
            <w:noWrap/>
            <w:tcMar>
              <w:top w:w="28" w:type="dxa"/>
              <w:bottom w:w="28" w:type="dxa"/>
            </w:tcMar>
            <w:vAlign w:val="center"/>
            <w:hideMark/>
          </w:tcPr>
          <w:p w14:paraId="507FFED3"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11,977 </w:t>
            </w:r>
          </w:p>
        </w:tc>
        <w:tc>
          <w:tcPr>
            <w:tcW w:w="778" w:type="dxa"/>
            <w:noWrap/>
            <w:tcMar>
              <w:top w:w="28" w:type="dxa"/>
              <w:bottom w:w="28" w:type="dxa"/>
            </w:tcMar>
            <w:vAlign w:val="center"/>
            <w:hideMark/>
          </w:tcPr>
          <w:p w14:paraId="595FCCE0"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171 </w:t>
            </w:r>
          </w:p>
        </w:tc>
        <w:tc>
          <w:tcPr>
            <w:tcW w:w="780" w:type="dxa"/>
            <w:noWrap/>
            <w:tcMar>
              <w:top w:w="28" w:type="dxa"/>
              <w:bottom w:w="28" w:type="dxa"/>
            </w:tcMar>
            <w:vAlign w:val="center"/>
            <w:hideMark/>
          </w:tcPr>
          <w:p w14:paraId="4B43A09D"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4,069 </w:t>
            </w:r>
          </w:p>
        </w:tc>
        <w:tc>
          <w:tcPr>
            <w:tcW w:w="778" w:type="dxa"/>
            <w:noWrap/>
            <w:tcMar>
              <w:top w:w="28" w:type="dxa"/>
              <w:bottom w:w="28" w:type="dxa"/>
            </w:tcMar>
            <w:vAlign w:val="center"/>
            <w:hideMark/>
          </w:tcPr>
          <w:p w14:paraId="7C758ECF"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62 </w:t>
            </w:r>
          </w:p>
        </w:tc>
        <w:tc>
          <w:tcPr>
            <w:tcW w:w="780" w:type="dxa"/>
            <w:noWrap/>
            <w:tcMar>
              <w:top w:w="28" w:type="dxa"/>
              <w:bottom w:w="28" w:type="dxa"/>
            </w:tcMar>
            <w:vAlign w:val="center"/>
            <w:hideMark/>
          </w:tcPr>
          <w:p w14:paraId="44F48AFE"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1,597 </w:t>
            </w:r>
          </w:p>
        </w:tc>
        <w:tc>
          <w:tcPr>
            <w:tcW w:w="778" w:type="dxa"/>
            <w:noWrap/>
            <w:tcMar>
              <w:top w:w="28" w:type="dxa"/>
              <w:bottom w:w="28" w:type="dxa"/>
            </w:tcMar>
            <w:vAlign w:val="center"/>
            <w:hideMark/>
          </w:tcPr>
          <w:p w14:paraId="74850C69"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44 </w:t>
            </w:r>
          </w:p>
        </w:tc>
        <w:tc>
          <w:tcPr>
            <w:tcW w:w="780" w:type="dxa"/>
            <w:noWrap/>
            <w:tcMar>
              <w:top w:w="28" w:type="dxa"/>
              <w:bottom w:w="28" w:type="dxa"/>
            </w:tcMar>
            <w:vAlign w:val="center"/>
            <w:hideMark/>
          </w:tcPr>
          <w:p w14:paraId="2F3A05B1"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603 </w:t>
            </w:r>
          </w:p>
        </w:tc>
      </w:tr>
      <w:tr w:rsidR="0022640E" w:rsidRPr="00AF7228" w14:paraId="2AFF6A3A" w14:textId="77777777" w:rsidTr="0022640E">
        <w:trPr>
          <w:trHeight w:hRule="exact" w:val="255"/>
        </w:trPr>
        <w:tc>
          <w:tcPr>
            <w:cnfStyle w:val="001000000000" w:firstRow="0" w:lastRow="0" w:firstColumn="1" w:lastColumn="0" w:oddVBand="0" w:evenVBand="0" w:oddHBand="0" w:evenHBand="0" w:firstRowFirstColumn="0" w:firstRowLastColumn="0" w:lastRowFirstColumn="0" w:lastRowLastColumn="0"/>
            <w:tcW w:w="2368" w:type="dxa"/>
            <w:shd w:val="clear" w:color="auto" w:fill="D9D9D9"/>
            <w:noWrap/>
            <w:tcMar>
              <w:top w:w="28" w:type="dxa"/>
              <w:bottom w:w="28" w:type="dxa"/>
            </w:tcMar>
            <w:vAlign w:val="center"/>
            <w:hideMark/>
          </w:tcPr>
          <w:p w14:paraId="735B20B7" w14:textId="77777777" w:rsidR="0022640E" w:rsidRPr="00AF7228" w:rsidRDefault="0022640E" w:rsidP="0022640E">
            <w:pPr>
              <w:spacing w:before="0" w:after="0" w:line="220" w:lineRule="exact"/>
              <w:rPr>
                <w:rFonts w:cs="Arial"/>
                <w:color w:val="000000"/>
                <w:szCs w:val="18"/>
              </w:rPr>
            </w:pPr>
            <w:r w:rsidRPr="00AF7228">
              <w:rPr>
                <w:rFonts w:cs="Arial"/>
                <w:color w:val="000000"/>
                <w:szCs w:val="18"/>
              </w:rPr>
              <w:t>Parramatta</w:t>
            </w:r>
          </w:p>
        </w:tc>
        <w:tc>
          <w:tcPr>
            <w:tcW w:w="777" w:type="dxa"/>
            <w:noWrap/>
            <w:tcMar>
              <w:top w:w="28" w:type="dxa"/>
              <w:bottom w:w="28" w:type="dxa"/>
            </w:tcMar>
            <w:vAlign w:val="center"/>
            <w:hideMark/>
          </w:tcPr>
          <w:p w14:paraId="0A030EA2"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858 </w:t>
            </w:r>
          </w:p>
        </w:tc>
        <w:tc>
          <w:tcPr>
            <w:tcW w:w="780" w:type="dxa"/>
            <w:noWrap/>
            <w:tcMar>
              <w:top w:w="28" w:type="dxa"/>
              <w:bottom w:w="28" w:type="dxa"/>
            </w:tcMar>
            <w:vAlign w:val="center"/>
            <w:hideMark/>
          </w:tcPr>
          <w:p w14:paraId="325523F6"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16,883 </w:t>
            </w:r>
          </w:p>
        </w:tc>
        <w:tc>
          <w:tcPr>
            <w:tcW w:w="778" w:type="dxa"/>
            <w:noWrap/>
            <w:tcMar>
              <w:top w:w="28" w:type="dxa"/>
              <w:bottom w:w="28" w:type="dxa"/>
            </w:tcMar>
            <w:vAlign w:val="center"/>
            <w:hideMark/>
          </w:tcPr>
          <w:p w14:paraId="0751564F"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149 </w:t>
            </w:r>
          </w:p>
        </w:tc>
        <w:tc>
          <w:tcPr>
            <w:tcW w:w="780" w:type="dxa"/>
            <w:noWrap/>
            <w:tcMar>
              <w:top w:w="28" w:type="dxa"/>
              <w:bottom w:w="28" w:type="dxa"/>
            </w:tcMar>
            <w:vAlign w:val="center"/>
            <w:hideMark/>
          </w:tcPr>
          <w:p w14:paraId="5668C22E"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5,912 </w:t>
            </w:r>
          </w:p>
        </w:tc>
        <w:tc>
          <w:tcPr>
            <w:tcW w:w="778" w:type="dxa"/>
            <w:noWrap/>
            <w:tcMar>
              <w:top w:w="28" w:type="dxa"/>
              <w:bottom w:w="28" w:type="dxa"/>
            </w:tcMar>
            <w:vAlign w:val="center"/>
            <w:hideMark/>
          </w:tcPr>
          <w:p w14:paraId="0BEE425E"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80 </w:t>
            </w:r>
          </w:p>
        </w:tc>
        <w:tc>
          <w:tcPr>
            <w:tcW w:w="780" w:type="dxa"/>
            <w:noWrap/>
            <w:tcMar>
              <w:top w:w="28" w:type="dxa"/>
              <w:bottom w:w="28" w:type="dxa"/>
            </w:tcMar>
            <w:vAlign w:val="center"/>
            <w:hideMark/>
          </w:tcPr>
          <w:p w14:paraId="4E74D9F4"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1,742 </w:t>
            </w:r>
          </w:p>
        </w:tc>
        <w:tc>
          <w:tcPr>
            <w:tcW w:w="778" w:type="dxa"/>
            <w:noWrap/>
            <w:tcMar>
              <w:top w:w="28" w:type="dxa"/>
              <w:bottom w:w="28" w:type="dxa"/>
            </w:tcMar>
            <w:vAlign w:val="center"/>
            <w:hideMark/>
          </w:tcPr>
          <w:p w14:paraId="73DA3C41"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50 </w:t>
            </w:r>
          </w:p>
        </w:tc>
        <w:tc>
          <w:tcPr>
            <w:tcW w:w="780" w:type="dxa"/>
            <w:noWrap/>
            <w:tcMar>
              <w:top w:w="28" w:type="dxa"/>
              <w:bottom w:w="28" w:type="dxa"/>
            </w:tcMar>
            <w:vAlign w:val="center"/>
            <w:hideMark/>
          </w:tcPr>
          <w:p w14:paraId="164688EB"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526 </w:t>
            </w:r>
          </w:p>
        </w:tc>
      </w:tr>
      <w:tr w:rsidR="0022640E" w:rsidRPr="00AF7228" w14:paraId="716CBAC1" w14:textId="77777777" w:rsidTr="0022640E">
        <w:trPr>
          <w:trHeight w:hRule="exact" w:val="255"/>
        </w:trPr>
        <w:tc>
          <w:tcPr>
            <w:cnfStyle w:val="001000000000" w:firstRow="0" w:lastRow="0" w:firstColumn="1" w:lastColumn="0" w:oddVBand="0" w:evenVBand="0" w:oddHBand="0" w:evenHBand="0" w:firstRowFirstColumn="0" w:firstRowLastColumn="0" w:lastRowFirstColumn="0" w:lastRowLastColumn="0"/>
            <w:tcW w:w="2368" w:type="dxa"/>
            <w:shd w:val="clear" w:color="auto" w:fill="D9D9D9"/>
            <w:noWrap/>
            <w:tcMar>
              <w:top w:w="28" w:type="dxa"/>
              <w:bottom w:w="28" w:type="dxa"/>
            </w:tcMar>
            <w:vAlign w:val="center"/>
            <w:hideMark/>
          </w:tcPr>
          <w:p w14:paraId="239AF828" w14:textId="77777777" w:rsidR="0022640E" w:rsidRPr="00AF7228" w:rsidRDefault="0022640E" w:rsidP="0022640E">
            <w:pPr>
              <w:spacing w:before="0" w:after="0" w:line="220" w:lineRule="exact"/>
              <w:rPr>
                <w:rFonts w:cs="Arial"/>
                <w:color w:val="000000"/>
                <w:szCs w:val="18"/>
              </w:rPr>
            </w:pPr>
            <w:r w:rsidRPr="00AF7228">
              <w:rPr>
                <w:rFonts w:cs="Arial"/>
                <w:color w:val="000000"/>
                <w:szCs w:val="18"/>
              </w:rPr>
              <w:t>Pennant Hills - Epping</w:t>
            </w:r>
          </w:p>
        </w:tc>
        <w:tc>
          <w:tcPr>
            <w:tcW w:w="777" w:type="dxa"/>
            <w:noWrap/>
            <w:tcMar>
              <w:top w:w="28" w:type="dxa"/>
              <w:bottom w:w="28" w:type="dxa"/>
            </w:tcMar>
            <w:vAlign w:val="center"/>
            <w:hideMark/>
          </w:tcPr>
          <w:p w14:paraId="0B2EDC25"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658 </w:t>
            </w:r>
          </w:p>
        </w:tc>
        <w:tc>
          <w:tcPr>
            <w:tcW w:w="780" w:type="dxa"/>
            <w:noWrap/>
            <w:tcMar>
              <w:top w:w="28" w:type="dxa"/>
              <w:bottom w:w="28" w:type="dxa"/>
            </w:tcMar>
            <w:vAlign w:val="center"/>
            <w:hideMark/>
          </w:tcPr>
          <w:p w14:paraId="1FC0211B"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11,506 </w:t>
            </w:r>
          </w:p>
        </w:tc>
        <w:tc>
          <w:tcPr>
            <w:tcW w:w="778" w:type="dxa"/>
            <w:noWrap/>
            <w:tcMar>
              <w:top w:w="28" w:type="dxa"/>
              <w:bottom w:w="28" w:type="dxa"/>
            </w:tcMar>
            <w:vAlign w:val="center"/>
            <w:hideMark/>
          </w:tcPr>
          <w:p w14:paraId="28C2BBFD"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61 </w:t>
            </w:r>
          </w:p>
        </w:tc>
        <w:tc>
          <w:tcPr>
            <w:tcW w:w="780" w:type="dxa"/>
            <w:noWrap/>
            <w:tcMar>
              <w:top w:w="28" w:type="dxa"/>
              <w:bottom w:w="28" w:type="dxa"/>
            </w:tcMar>
            <w:vAlign w:val="center"/>
            <w:hideMark/>
          </w:tcPr>
          <w:p w14:paraId="51B28EB5"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1,624 </w:t>
            </w:r>
          </w:p>
        </w:tc>
        <w:tc>
          <w:tcPr>
            <w:tcW w:w="778" w:type="dxa"/>
            <w:noWrap/>
            <w:tcMar>
              <w:top w:w="28" w:type="dxa"/>
              <w:bottom w:w="28" w:type="dxa"/>
            </w:tcMar>
            <w:vAlign w:val="center"/>
            <w:hideMark/>
          </w:tcPr>
          <w:p w14:paraId="4A199FA1"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78 </w:t>
            </w:r>
          </w:p>
        </w:tc>
        <w:tc>
          <w:tcPr>
            <w:tcW w:w="780" w:type="dxa"/>
            <w:noWrap/>
            <w:tcMar>
              <w:top w:w="28" w:type="dxa"/>
              <w:bottom w:w="28" w:type="dxa"/>
            </w:tcMar>
            <w:vAlign w:val="center"/>
            <w:hideMark/>
          </w:tcPr>
          <w:p w14:paraId="540DB037"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1,894 </w:t>
            </w:r>
          </w:p>
        </w:tc>
        <w:tc>
          <w:tcPr>
            <w:tcW w:w="778" w:type="dxa"/>
            <w:noWrap/>
            <w:tcMar>
              <w:top w:w="28" w:type="dxa"/>
              <w:bottom w:w="28" w:type="dxa"/>
            </w:tcMar>
            <w:vAlign w:val="center"/>
            <w:hideMark/>
          </w:tcPr>
          <w:p w14:paraId="2C2E07D2"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np</w:t>
            </w:r>
          </w:p>
        </w:tc>
        <w:tc>
          <w:tcPr>
            <w:tcW w:w="780" w:type="dxa"/>
            <w:noWrap/>
            <w:tcMar>
              <w:top w:w="28" w:type="dxa"/>
              <w:bottom w:w="28" w:type="dxa"/>
            </w:tcMar>
            <w:vAlign w:val="center"/>
            <w:hideMark/>
          </w:tcPr>
          <w:p w14:paraId="7CEED4F5"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np</w:t>
            </w:r>
          </w:p>
        </w:tc>
      </w:tr>
      <w:tr w:rsidR="0022640E" w:rsidRPr="00AF7228" w14:paraId="3E7BABCF" w14:textId="77777777" w:rsidTr="0022640E">
        <w:trPr>
          <w:trHeight w:hRule="exact" w:val="255"/>
        </w:trPr>
        <w:tc>
          <w:tcPr>
            <w:cnfStyle w:val="001000000000" w:firstRow="0" w:lastRow="0" w:firstColumn="1" w:lastColumn="0" w:oddVBand="0" w:evenVBand="0" w:oddHBand="0" w:evenHBand="0" w:firstRowFirstColumn="0" w:firstRowLastColumn="0" w:lastRowFirstColumn="0" w:lastRowLastColumn="0"/>
            <w:tcW w:w="2368" w:type="dxa"/>
            <w:shd w:val="clear" w:color="auto" w:fill="D9D9D9"/>
            <w:noWrap/>
            <w:tcMar>
              <w:top w:w="28" w:type="dxa"/>
              <w:bottom w:w="28" w:type="dxa"/>
            </w:tcMar>
            <w:vAlign w:val="center"/>
            <w:hideMark/>
          </w:tcPr>
          <w:p w14:paraId="734572C6" w14:textId="77777777" w:rsidR="0022640E" w:rsidRPr="00AF7228" w:rsidRDefault="0022640E" w:rsidP="0022640E">
            <w:pPr>
              <w:spacing w:before="0" w:after="0" w:line="220" w:lineRule="exact"/>
              <w:rPr>
                <w:rFonts w:cs="Arial"/>
                <w:color w:val="000000"/>
                <w:szCs w:val="18"/>
              </w:rPr>
            </w:pPr>
            <w:r w:rsidRPr="00AF7228">
              <w:rPr>
                <w:rFonts w:cs="Arial"/>
                <w:szCs w:val="18"/>
              </w:rPr>
              <w:t>Rouse Hill - McGraths Hill</w:t>
            </w:r>
          </w:p>
        </w:tc>
        <w:tc>
          <w:tcPr>
            <w:tcW w:w="777" w:type="dxa"/>
            <w:noWrap/>
            <w:tcMar>
              <w:top w:w="28" w:type="dxa"/>
              <w:bottom w:w="28" w:type="dxa"/>
            </w:tcMar>
            <w:vAlign w:val="center"/>
            <w:hideMark/>
          </w:tcPr>
          <w:p w14:paraId="4A510F17"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754 </w:t>
            </w:r>
          </w:p>
        </w:tc>
        <w:tc>
          <w:tcPr>
            <w:tcW w:w="780" w:type="dxa"/>
            <w:noWrap/>
            <w:tcMar>
              <w:top w:w="28" w:type="dxa"/>
              <w:bottom w:w="28" w:type="dxa"/>
            </w:tcMar>
            <w:vAlign w:val="center"/>
            <w:hideMark/>
          </w:tcPr>
          <w:p w14:paraId="22BCB442"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11,263 </w:t>
            </w:r>
          </w:p>
        </w:tc>
        <w:tc>
          <w:tcPr>
            <w:tcW w:w="778" w:type="dxa"/>
            <w:noWrap/>
            <w:tcMar>
              <w:top w:w="28" w:type="dxa"/>
              <w:bottom w:w="28" w:type="dxa"/>
            </w:tcMar>
            <w:vAlign w:val="center"/>
            <w:hideMark/>
          </w:tcPr>
          <w:p w14:paraId="3C5C05B8"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np</w:t>
            </w:r>
          </w:p>
        </w:tc>
        <w:tc>
          <w:tcPr>
            <w:tcW w:w="780" w:type="dxa"/>
            <w:noWrap/>
            <w:tcMar>
              <w:top w:w="28" w:type="dxa"/>
              <w:bottom w:w="28" w:type="dxa"/>
            </w:tcMar>
            <w:vAlign w:val="center"/>
            <w:hideMark/>
          </w:tcPr>
          <w:p w14:paraId="31543119"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np</w:t>
            </w:r>
          </w:p>
        </w:tc>
        <w:tc>
          <w:tcPr>
            <w:tcW w:w="778" w:type="dxa"/>
            <w:noWrap/>
            <w:tcMar>
              <w:top w:w="28" w:type="dxa"/>
              <w:bottom w:w="28" w:type="dxa"/>
            </w:tcMar>
            <w:vAlign w:val="center"/>
            <w:hideMark/>
          </w:tcPr>
          <w:p w14:paraId="05EC49FA"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np</w:t>
            </w:r>
          </w:p>
        </w:tc>
        <w:tc>
          <w:tcPr>
            <w:tcW w:w="780" w:type="dxa"/>
            <w:noWrap/>
            <w:tcMar>
              <w:top w:w="28" w:type="dxa"/>
              <w:bottom w:w="28" w:type="dxa"/>
            </w:tcMar>
            <w:vAlign w:val="center"/>
            <w:hideMark/>
          </w:tcPr>
          <w:p w14:paraId="54DEB0A5"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np</w:t>
            </w:r>
          </w:p>
        </w:tc>
        <w:tc>
          <w:tcPr>
            <w:tcW w:w="778" w:type="dxa"/>
            <w:noWrap/>
            <w:tcMar>
              <w:top w:w="28" w:type="dxa"/>
              <w:bottom w:w="28" w:type="dxa"/>
            </w:tcMar>
            <w:vAlign w:val="center"/>
            <w:hideMark/>
          </w:tcPr>
          <w:p w14:paraId="7E2B85F3"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np</w:t>
            </w:r>
          </w:p>
        </w:tc>
        <w:tc>
          <w:tcPr>
            <w:tcW w:w="780" w:type="dxa"/>
            <w:noWrap/>
            <w:tcMar>
              <w:top w:w="28" w:type="dxa"/>
              <w:bottom w:w="28" w:type="dxa"/>
            </w:tcMar>
            <w:vAlign w:val="center"/>
            <w:hideMark/>
          </w:tcPr>
          <w:p w14:paraId="66BEBD93"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np</w:t>
            </w:r>
          </w:p>
        </w:tc>
      </w:tr>
      <w:tr w:rsidR="0022640E" w:rsidRPr="00AF7228" w14:paraId="4233B205" w14:textId="77777777" w:rsidTr="0022640E">
        <w:trPr>
          <w:trHeight w:hRule="exact" w:val="255"/>
        </w:trPr>
        <w:tc>
          <w:tcPr>
            <w:cnfStyle w:val="001000000000" w:firstRow="0" w:lastRow="0" w:firstColumn="1" w:lastColumn="0" w:oddVBand="0" w:evenVBand="0" w:oddHBand="0" w:evenHBand="0" w:firstRowFirstColumn="0" w:firstRowLastColumn="0" w:lastRowFirstColumn="0" w:lastRowLastColumn="0"/>
            <w:tcW w:w="2368" w:type="dxa"/>
            <w:shd w:val="clear" w:color="auto" w:fill="D9D9D9"/>
            <w:noWrap/>
            <w:tcMar>
              <w:top w:w="28" w:type="dxa"/>
              <w:bottom w:w="28" w:type="dxa"/>
            </w:tcMar>
            <w:vAlign w:val="center"/>
            <w:hideMark/>
          </w:tcPr>
          <w:p w14:paraId="297B0442" w14:textId="77777777" w:rsidR="0022640E" w:rsidRPr="00AF7228" w:rsidRDefault="0022640E" w:rsidP="0022640E">
            <w:pPr>
              <w:spacing w:before="0" w:after="0" w:line="220" w:lineRule="exact"/>
              <w:rPr>
                <w:rFonts w:cs="Arial"/>
                <w:color w:val="000000"/>
                <w:szCs w:val="18"/>
              </w:rPr>
            </w:pPr>
            <w:r w:rsidRPr="00AF7228">
              <w:rPr>
                <w:rFonts w:cs="Arial"/>
                <w:color w:val="000000"/>
                <w:szCs w:val="18"/>
              </w:rPr>
              <w:t>Ryde - Hunters Hill</w:t>
            </w:r>
          </w:p>
        </w:tc>
        <w:tc>
          <w:tcPr>
            <w:tcW w:w="777" w:type="dxa"/>
            <w:noWrap/>
            <w:tcMar>
              <w:top w:w="28" w:type="dxa"/>
              <w:bottom w:w="28" w:type="dxa"/>
            </w:tcMar>
            <w:vAlign w:val="center"/>
            <w:hideMark/>
          </w:tcPr>
          <w:p w14:paraId="6F5F2C91"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752 </w:t>
            </w:r>
          </w:p>
        </w:tc>
        <w:tc>
          <w:tcPr>
            <w:tcW w:w="780" w:type="dxa"/>
            <w:noWrap/>
            <w:tcMar>
              <w:top w:w="28" w:type="dxa"/>
              <w:bottom w:w="28" w:type="dxa"/>
            </w:tcMar>
            <w:vAlign w:val="center"/>
            <w:hideMark/>
          </w:tcPr>
          <w:p w14:paraId="313DB9A7"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18,258 </w:t>
            </w:r>
          </w:p>
        </w:tc>
        <w:tc>
          <w:tcPr>
            <w:tcW w:w="778" w:type="dxa"/>
            <w:noWrap/>
            <w:tcMar>
              <w:top w:w="28" w:type="dxa"/>
              <w:bottom w:w="28" w:type="dxa"/>
            </w:tcMar>
            <w:vAlign w:val="center"/>
            <w:hideMark/>
          </w:tcPr>
          <w:p w14:paraId="280802A0"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142 </w:t>
            </w:r>
          </w:p>
        </w:tc>
        <w:tc>
          <w:tcPr>
            <w:tcW w:w="780" w:type="dxa"/>
            <w:noWrap/>
            <w:tcMar>
              <w:top w:w="28" w:type="dxa"/>
              <w:bottom w:w="28" w:type="dxa"/>
            </w:tcMar>
            <w:vAlign w:val="center"/>
            <w:hideMark/>
          </w:tcPr>
          <w:p w14:paraId="56598E7D"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4,760 </w:t>
            </w:r>
          </w:p>
        </w:tc>
        <w:tc>
          <w:tcPr>
            <w:tcW w:w="778" w:type="dxa"/>
            <w:noWrap/>
            <w:tcMar>
              <w:top w:w="28" w:type="dxa"/>
              <w:bottom w:w="28" w:type="dxa"/>
            </w:tcMar>
            <w:vAlign w:val="center"/>
            <w:hideMark/>
          </w:tcPr>
          <w:p w14:paraId="44BC2D7F"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87 </w:t>
            </w:r>
          </w:p>
        </w:tc>
        <w:tc>
          <w:tcPr>
            <w:tcW w:w="780" w:type="dxa"/>
            <w:noWrap/>
            <w:tcMar>
              <w:top w:w="28" w:type="dxa"/>
              <w:bottom w:w="28" w:type="dxa"/>
            </w:tcMar>
            <w:vAlign w:val="center"/>
            <w:hideMark/>
          </w:tcPr>
          <w:p w14:paraId="022A440C"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1,658 </w:t>
            </w:r>
          </w:p>
        </w:tc>
        <w:tc>
          <w:tcPr>
            <w:tcW w:w="778" w:type="dxa"/>
            <w:noWrap/>
            <w:tcMar>
              <w:top w:w="28" w:type="dxa"/>
              <w:bottom w:w="28" w:type="dxa"/>
            </w:tcMar>
            <w:vAlign w:val="center"/>
            <w:hideMark/>
          </w:tcPr>
          <w:p w14:paraId="2A812AD8"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23 </w:t>
            </w:r>
          </w:p>
        </w:tc>
        <w:tc>
          <w:tcPr>
            <w:tcW w:w="780" w:type="dxa"/>
            <w:noWrap/>
            <w:tcMar>
              <w:top w:w="28" w:type="dxa"/>
              <w:bottom w:w="28" w:type="dxa"/>
            </w:tcMar>
            <w:vAlign w:val="center"/>
            <w:hideMark/>
          </w:tcPr>
          <w:p w14:paraId="385579F0" w14:textId="77777777" w:rsidR="0022640E" w:rsidRPr="00AF7228" w:rsidRDefault="0022640E" w:rsidP="0022640E">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482 </w:t>
            </w:r>
          </w:p>
        </w:tc>
      </w:tr>
      <w:tr w:rsidR="0022640E" w:rsidRPr="00AF7228" w14:paraId="5B725411" w14:textId="77777777" w:rsidTr="0022640E">
        <w:trPr>
          <w:trHeight w:hRule="exact" w:val="255"/>
        </w:trPr>
        <w:tc>
          <w:tcPr>
            <w:cnfStyle w:val="001000000000" w:firstRow="0" w:lastRow="0" w:firstColumn="1" w:lastColumn="0" w:oddVBand="0" w:evenVBand="0" w:oddHBand="0" w:evenHBand="0" w:firstRowFirstColumn="0" w:firstRowLastColumn="0" w:lastRowFirstColumn="0" w:lastRowLastColumn="0"/>
            <w:tcW w:w="2368" w:type="dxa"/>
            <w:shd w:val="clear" w:color="auto" w:fill="003D69"/>
            <w:noWrap/>
          </w:tcPr>
          <w:p w14:paraId="54414EBE" w14:textId="77777777" w:rsidR="0022640E" w:rsidRPr="00AF7228" w:rsidRDefault="0022640E" w:rsidP="0022640E">
            <w:pPr>
              <w:spacing w:before="0" w:after="0"/>
              <w:rPr>
                <w:rFonts w:cs="Arial"/>
                <w:b/>
                <w:color w:val="FFFFFF" w:themeColor="background1"/>
                <w:szCs w:val="18"/>
              </w:rPr>
            </w:pPr>
            <w:r w:rsidRPr="00AF7228">
              <w:rPr>
                <w:rFonts w:cs="Arial"/>
                <w:b/>
                <w:color w:val="FFFFFF" w:themeColor="background1"/>
                <w:szCs w:val="18"/>
              </w:rPr>
              <w:t>WentWest</w:t>
            </w:r>
          </w:p>
        </w:tc>
        <w:tc>
          <w:tcPr>
            <w:tcW w:w="777" w:type="dxa"/>
            <w:shd w:val="clear" w:color="auto" w:fill="003D69"/>
            <w:noWrap/>
            <w:vAlign w:val="center"/>
          </w:tcPr>
          <w:p w14:paraId="6876C290" w14:textId="77777777" w:rsidR="0022640E" w:rsidRPr="00AF7228" w:rsidRDefault="0022640E" w:rsidP="0022640E">
            <w:pPr>
              <w:spacing w:before="0" w:after="0"/>
              <w:jc w:val="right"/>
              <w:cnfStyle w:val="000000000000" w:firstRow="0" w:lastRow="0" w:firstColumn="0" w:lastColumn="0" w:oddVBand="0" w:evenVBand="0" w:oddHBand="0" w:evenHBand="0" w:firstRowFirstColumn="0" w:firstRowLastColumn="0" w:lastRowFirstColumn="0" w:lastRowLastColumn="0"/>
              <w:rPr>
                <w:rFonts w:cs="Arial"/>
                <w:b/>
                <w:color w:val="FFFFFF" w:themeColor="background1"/>
                <w:szCs w:val="18"/>
              </w:rPr>
            </w:pPr>
            <w:r w:rsidRPr="00AF7228">
              <w:rPr>
                <w:rFonts w:cs="Arial"/>
                <w:b/>
                <w:color w:val="FFFFFF" w:themeColor="background1"/>
                <w:szCs w:val="18"/>
              </w:rPr>
              <w:t xml:space="preserve"> 828 </w:t>
            </w:r>
          </w:p>
        </w:tc>
        <w:tc>
          <w:tcPr>
            <w:tcW w:w="780" w:type="dxa"/>
            <w:shd w:val="clear" w:color="auto" w:fill="003D69"/>
            <w:noWrap/>
            <w:vAlign w:val="center"/>
          </w:tcPr>
          <w:p w14:paraId="2F12EB99" w14:textId="77777777" w:rsidR="0022640E" w:rsidRPr="00AF7228" w:rsidRDefault="0022640E" w:rsidP="0022640E">
            <w:pPr>
              <w:spacing w:before="0" w:after="0"/>
              <w:jc w:val="right"/>
              <w:cnfStyle w:val="000000000000" w:firstRow="0" w:lastRow="0" w:firstColumn="0" w:lastColumn="0" w:oddVBand="0" w:evenVBand="0" w:oddHBand="0" w:evenHBand="0" w:firstRowFirstColumn="0" w:firstRowLastColumn="0" w:lastRowFirstColumn="0" w:lastRowLastColumn="0"/>
              <w:rPr>
                <w:rFonts w:cs="Arial"/>
                <w:b/>
                <w:color w:val="FFFFFF" w:themeColor="background1"/>
                <w:szCs w:val="18"/>
              </w:rPr>
            </w:pPr>
            <w:r w:rsidRPr="00AF7228">
              <w:rPr>
                <w:rFonts w:cs="Arial"/>
                <w:b/>
                <w:color w:val="FFFFFF" w:themeColor="background1"/>
              </w:rPr>
              <w:t>14,719</w:t>
            </w:r>
          </w:p>
        </w:tc>
        <w:tc>
          <w:tcPr>
            <w:tcW w:w="778" w:type="dxa"/>
            <w:shd w:val="clear" w:color="auto" w:fill="003D69"/>
            <w:noWrap/>
            <w:vAlign w:val="center"/>
          </w:tcPr>
          <w:p w14:paraId="03E52BE5" w14:textId="77777777" w:rsidR="0022640E" w:rsidRPr="00AF7228" w:rsidRDefault="0022640E" w:rsidP="0022640E">
            <w:pPr>
              <w:spacing w:before="0" w:after="0"/>
              <w:jc w:val="right"/>
              <w:cnfStyle w:val="000000000000" w:firstRow="0" w:lastRow="0" w:firstColumn="0" w:lastColumn="0" w:oddVBand="0" w:evenVBand="0" w:oddHBand="0" w:evenHBand="0" w:firstRowFirstColumn="0" w:firstRowLastColumn="0" w:lastRowFirstColumn="0" w:lastRowLastColumn="0"/>
              <w:rPr>
                <w:rFonts w:cs="Arial"/>
                <w:b/>
                <w:color w:val="FFFFFF" w:themeColor="background1"/>
                <w:szCs w:val="18"/>
              </w:rPr>
            </w:pPr>
            <w:r w:rsidRPr="00AF7228">
              <w:rPr>
                <w:rFonts w:cs="Arial"/>
                <w:b/>
                <w:color w:val="FFFFFF" w:themeColor="background1"/>
                <w:szCs w:val="18"/>
              </w:rPr>
              <w:t xml:space="preserve"> 167 </w:t>
            </w:r>
          </w:p>
        </w:tc>
        <w:tc>
          <w:tcPr>
            <w:tcW w:w="780" w:type="dxa"/>
            <w:shd w:val="clear" w:color="auto" w:fill="003D69"/>
            <w:noWrap/>
            <w:vAlign w:val="center"/>
          </w:tcPr>
          <w:p w14:paraId="09D1A578" w14:textId="77777777" w:rsidR="0022640E" w:rsidRPr="00AF7228" w:rsidRDefault="0022640E" w:rsidP="0022640E">
            <w:pPr>
              <w:spacing w:before="0" w:after="0"/>
              <w:jc w:val="right"/>
              <w:cnfStyle w:val="000000000000" w:firstRow="0" w:lastRow="0" w:firstColumn="0" w:lastColumn="0" w:oddVBand="0" w:evenVBand="0" w:oddHBand="0" w:evenHBand="0" w:firstRowFirstColumn="0" w:firstRowLastColumn="0" w:lastRowFirstColumn="0" w:lastRowLastColumn="0"/>
              <w:rPr>
                <w:rFonts w:cs="Arial"/>
                <w:b/>
                <w:color w:val="FFFFFF" w:themeColor="background1"/>
                <w:szCs w:val="18"/>
              </w:rPr>
            </w:pPr>
            <w:r w:rsidRPr="00AF7228">
              <w:rPr>
                <w:rFonts w:cs="Arial"/>
                <w:b/>
                <w:color w:val="FFFFFF" w:themeColor="background1"/>
              </w:rPr>
              <w:t>5,216</w:t>
            </w:r>
          </w:p>
        </w:tc>
        <w:tc>
          <w:tcPr>
            <w:tcW w:w="778" w:type="dxa"/>
            <w:shd w:val="clear" w:color="auto" w:fill="003D69"/>
            <w:noWrap/>
            <w:vAlign w:val="center"/>
          </w:tcPr>
          <w:p w14:paraId="4AC5A5B0" w14:textId="77777777" w:rsidR="0022640E" w:rsidRPr="00AF7228" w:rsidRDefault="0022640E" w:rsidP="0022640E">
            <w:pPr>
              <w:spacing w:before="0" w:after="0"/>
              <w:jc w:val="right"/>
              <w:cnfStyle w:val="000000000000" w:firstRow="0" w:lastRow="0" w:firstColumn="0" w:lastColumn="0" w:oddVBand="0" w:evenVBand="0" w:oddHBand="0" w:evenHBand="0" w:firstRowFirstColumn="0" w:firstRowLastColumn="0" w:lastRowFirstColumn="0" w:lastRowLastColumn="0"/>
              <w:rPr>
                <w:rFonts w:cs="Arial"/>
                <w:b/>
                <w:color w:val="FFFFFF" w:themeColor="background1"/>
                <w:szCs w:val="18"/>
              </w:rPr>
            </w:pPr>
            <w:r w:rsidRPr="00AF7228">
              <w:rPr>
                <w:rFonts w:cs="Arial"/>
                <w:b/>
                <w:color w:val="FFFFFF" w:themeColor="background1"/>
                <w:szCs w:val="18"/>
              </w:rPr>
              <w:t xml:space="preserve"> 69 </w:t>
            </w:r>
          </w:p>
        </w:tc>
        <w:tc>
          <w:tcPr>
            <w:tcW w:w="780" w:type="dxa"/>
            <w:shd w:val="clear" w:color="auto" w:fill="003D69"/>
            <w:noWrap/>
            <w:vAlign w:val="center"/>
          </w:tcPr>
          <w:p w14:paraId="1B723A84" w14:textId="77777777" w:rsidR="0022640E" w:rsidRPr="00AF7228" w:rsidRDefault="0022640E" w:rsidP="0022640E">
            <w:pPr>
              <w:spacing w:before="0" w:after="0"/>
              <w:jc w:val="right"/>
              <w:cnfStyle w:val="000000000000" w:firstRow="0" w:lastRow="0" w:firstColumn="0" w:lastColumn="0" w:oddVBand="0" w:evenVBand="0" w:oddHBand="0" w:evenHBand="0" w:firstRowFirstColumn="0" w:firstRowLastColumn="0" w:lastRowFirstColumn="0" w:lastRowLastColumn="0"/>
              <w:rPr>
                <w:rFonts w:cs="Arial"/>
                <w:b/>
                <w:color w:val="FFFFFF" w:themeColor="background1"/>
                <w:szCs w:val="18"/>
              </w:rPr>
            </w:pPr>
            <w:r w:rsidRPr="00AF7228">
              <w:rPr>
                <w:rFonts w:cs="Arial"/>
                <w:b/>
                <w:color w:val="FFFFFF" w:themeColor="background1"/>
              </w:rPr>
              <w:t>1,616</w:t>
            </w:r>
          </w:p>
        </w:tc>
        <w:tc>
          <w:tcPr>
            <w:tcW w:w="778" w:type="dxa"/>
            <w:shd w:val="clear" w:color="auto" w:fill="003D69"/>
            <w:noWrap/>
            <w:vAlign w:val="center"/>
          </w:tcPr>
          <w:p w14:paraId="083B8ACF" w14:textId="77777777" w:rsidR="0022640E" w:rsidRPr="00AF7228" w:rsidRDefault="0022640E" w:rsidP="0022640E">
            <w:pPr>
              <w:spacing w:before="0" w:after="0"/>
              <w:jc w:val="right"/>
              <w:cnfStyle w:val="000000000000" w:firstRow="0" w:lastRow="0" w:firstColumn="0" w:lastColumn="0" w:oddVBand="0" w:evenVBand="0" w:oddHBand="0" w:evenHBand="0" w:firstRowFirstColumn="0" w:firstRowLastColumn="0" w:lastRowFirstColumn="0" w:lastRowLastColumn="0"/>
              <w:rPr>
                <w:rFonts w:cs="Arial"/>
                <w:b/>
                <w:color w:val="FFFFFF" w:themeColor="background1"/>
                <w:szCs w:val="18"/>
              </w:rPr>
            </w:pPr>
            <w:r w:rsidRPr="00AF7228">
              <w:rPr>
                <w:rFonts w:cs="Arial"/>
                <w:b/>
                <w:color w:val="FFFFFF" w:themeColor="background1"/>
                <w:szCs w:val="18"/>
              </w:rPr>
              <w:t xml:space="preserve"> 38 </w:t>
            </w:r>
          </w:p>
        </w:tc>
        <w:tc>
          <w:tcPr>
            <w:tcW w:w="780" w:type="dxa"/>
            <w:shd w:val="clear" w:color="auto" w:fill="003D69"/>
            <w:noWrap/>
            <w:vAlign w:val="center"/>
          </w:tcPr>
          <w:p w14:paraId="6F48EB28" w14:textId="77777777" w:rsidR="0022640E" w:rsidRPr="00AF7228" w:rsidRDefault="0022640E" w:rsidP="0022640E">
            <w:pPr>
              <w:spacing w:before="0" w:after="0"/>
              <w:jc w:val="right"/>
              <w:cnfStyle w:val="000000000000" w:firstRow="0" w:lastRow="0" w:firstColumn="0" w:lastColumn="0" w:oddVBand="0" w:evenVBand="0" w:oddHBand="0" w:evenHBand="0" w:firstRowFirstColumn="0" w:firstRowLastColumn="0" w:lastRowFirstColumn="0" w:lastRowLastColumn="0"/>
              <w:rPr>
                <w:rFonts w:cs="Arial"/>
                <w:b/>
                <w:color w:val="FFFFFF" w:themeColor="background1"/>
                <w:szCs w:val="18"/>
              </w:rPr>
            </w:pPr>
            <w:r w:rsidRPr="00AF7228">
              <w:rPr>
                <w:rFonts w:cs="Arial"/>
                <w:b/>
                <w:color w:val="FFFFFF" w:themeColor="background1"/>
                <w:szCs w:val="18"/>
              </w:rPr>
              <w:t xml:space="preserve"> 484 </w:t>
            </w:r>
          </w:p>
        </w:tc>
      </w:tr>
      <w:tr w:rsidR="0022640E" w:rsidRPr="00AF7228" w14:paraId="7FFCF01A" w14:textId="77777777" w:rsidTr="0022640E">
        <w:trPr>
          <w:trHeight w:hRule="exact" w:val="255"/>
        </w:trPr>
        <w:tc>
          <w:tcPr>
            <w:cnfStyle w:val="001000000000" w:firstRow="0" w:lastRow="0" w:firstColumn="1" w:lastColumn="0" w:oddVBand="0" w:evenVBand="0" w:oddHBand="0" w:evenHBand="0" w:firstRowFirstColumn="0" w:firstRowLastColumn="0" w:lastRowFirstColumn="0" w:lastRowLastColumn="0"/>
            <w:tcW w:w="2368" w:type="dxa"/>
            <w:shd w:val="clear" w:color="auto" w:fill="D9D9D9"/>
            <w:noWrap/>
            <w:vAlign w:val="center"/>
          </w:tcPr>
          <w:p w14:paraId="4C0FF7CD" w14:textId="77777777" w:rsidR="0022640E" w:rsidRPr="00AF7228" w:rsidRDefault="0022640E" w:rsidP="0022640E">
            <w:pPr>
              <w:spacing w:before="0" w:after="0"/>
              <w:rPr>
                <w:rFonts w:cs="Arial"/>
                <w:b/>
                <w:color w:val="000000"/>
                <w:szCs w:val="18"/>
              </w:rPr>
            </w:pPr>
            <w:r w:rsidRPr="00AF7228">
              <w:rPr>
                <w:rFonts w:cs="Arial"/>
                <w:b/>
                <w:color w:val="000000"/>
                <w:szCs w:val="18"/>
              </w:rPr>
              <w:t>Australia</w:t>
            </w:r>
          </w:p>
        </w:tc>
        <w:tc>
          <w:tcPr>
            <w:tcW w:w="777" w:type="dxa"/>
            <w:noWrap/>
            <w:vAlign w:val="center"/>
          </w:tcPr>
          <w:p w14:paraId="1BA25555" w14:textId="77777777" w:rsidR="0022640E" w:rsidRPr="00AF7228" w:rsidRDefault="0022640E" w:rsidP="0022640E">
            <w:pPr>
              <w:spacing w:before="0" w:after="0"/>
              <w:jc w:val="right"/>
              <w:cnfStyle w:val="000000000000" w:firstRow="0" w:lastRow="0" w:firstColumn="0" w:lastColumn="0" w:oddVBand="0" w:evenVBand="0" w:oddHBand="0" w:evenHBand="0" w:firstRowFirstColumn="0" w:firstRowLastColumn="0" w:lastRowFirstColumn="0" w:lastRowLastColumn="0"/>
              <w:rPr>
                <w:rFonts w:cs="Arial"/>
                <w:b/>
                <w:color w:val="000000"/>
                <w:szCs w:val="18"/>
              </w:rPr>
            </w:pPr>
            <w:r w:rsidRPr="00AF7228">
              <w:rPr>
                <w:rFonts w:cs="Arial"/>
                <w:b/>
                <w:color w:val="000000"/>
                <w:szCs w:val="18"/>
              </w:rPr>
              <w:t xml:space="preserve"> 911 </w:t>
            </w:r>
          </w:p>
        </w:tc>
        <w:tc>
          <w:tcPr>
            <w:tcW w:w="780" w:type="dxa"/>
            <w:noWrap/>
            <w:vAlign w:val="center"/>
          </w:tcPr>
          <w:p w14:paraId="3DB059E6" w14:textId="77777777" w:rsidR="0022640E" w:rsidRPr="00AF7228" w:rsidRDefault="0022640E" w:rsidP="0022640E">
            <w:pPr>
              <w:spacing w:before="0" w:after="0"/>
              <w:jc w:val="right"/>
              <w:cnfStyle w:val="000000000000" w:firstRow="0" w:lastRow="0" w:firstColumn="0" w:lastColumn="0" w:oddVBand="0" w:evenVBand="0" w:oddHBand="0" w:evenHBand="0" w:firstRowFirstColumn="0" w:firstRowLastColumn="0" w:lastRowFirstColumn="0" w:lastRowLastColumn="0"/>
              <w:rPr>
                <w:rFonts w:cs="Arial"/>
                <w:b/>
                <w:color w:val="000000"/>
                <w:szCs w:val="18"/>
              </w:rPr>
            </w:pPr>
            <w:r w:rsidRPr="00AF7228">
              <w:rPr>
                <w:rFonts w:cs="Arial"/>
                <w:b/>
                <w:color w:val="000000"/>
              </w:rPr>
              <w:t>12,839</w:t>
            </w:r>
          </w:p>
        </w:tc>
        <w:tc>
          <w:tcPr>
            <w:tcW w:w="778" w:type="dxa"/>
            <w:noWrap/>
            <w:vAlign w:val="center"/>
          </w:tcPr>
          <w:p w14:paraId="317592FD" w14:textId="77777777" w:rsidR="0022640E" w:rsidRPr="00AF7228" w:rsidRDefault="0022640E" w:rsidP="0022640E">
            <w:pPr>
              <w:spacing w:before="0" w:after="0"/>
              <w:jc w:val="right"/>
              <w:cnfStyle w:val="000000000000" w:firstRow="0" w:lastRow="0" w:firstColumn="0" w:lastColumn="0" w:oddVBand="0" w:evenVBand="0" w:oddHBand="0" w:evenHBand="0" w:firstRowFirstColumn="0" w:firstRowLastColumn="0" w:lastRowFirstColumn="0" w:lastRowLastColumn="0"/>
              <w:rPr>
                <w:rFonts w:cs="Arial"/>
                <w:b/>
                <w:color w:val="000000"/>
                <w:szCs w:val="18"/>
              </w:rPr>
            </w:pPr>
            <w:r w:rsidRPr="00AF7228">
              <w:rPr>
                <w:rFonts w:cs="Arial"/>
                <w:b/>
                <w:color w:val="000000"/>
                <w:szCs w:val="18"/>
              </w:rPr>
              <w:t xml:space="preserve"> 160 </w:t>
            </w:r>
          </w:p>
        </w:tc>
        <w:tc>
          <w:tcPr>
            <w:tcW w:w="780" w:type="dxa"/>
            <w:noWrap/>
            <w:vAlign w:val="center"/>
          </w:tcPr>
          <w:p w14:paraId="0694C3DD" w14:textId="77777777" w:rsidR="0022640E" w:rsidRPr="00AF7228" w:rsidRDefault="0022640E" w:rsidP="0022640E">
            <w:pPr>
              <w:spacing w:before="0" w:after="0"/>
              <w:jc w:val="right"/>
              <w:cnfStyle w:val="000000000000" w:firstRow="0" w:lastRow="0" w:firstColumn="0" w:lastColumn="0" w:oddVBand="0" w:evenVBand="0" w:oddHBand="0" w:evenHBand="0" w:firstRowFirstColumn="0" w:firstRowLastColumn="0" w:lastRowFirstColumn="0" w:lastRowLastColumn="0"/>
              <w:rPr>
                <w:rFonts w:cs="Arial"/>
                <w:b/>
                <w:color w:val="000000"/>
                <w:szCs w:val="18"/>
              </w:rPr>
            </w:pPr>
            <w:r w:rsidRPr="00AF7228">
              <w:rPr>
                <w:rFonts w:cs="Arial"/>
                <w:b/>
                <w:color w:val="000000"/>
              </w:rPr>
              <w:t>3,528</w:t>
            </w:r>
          </w:p>
        </w:tc>
        <w:tc>
          <w:tcPr>
            <w:tcW w:w="778" w:type="dxa"/>
            <w:noWrap/>
            <w:vAlign w:val="center"/>
          </w:tcPr>
          <w:p w14:paraId="142AA17F" w14:textId="77777777" w:rsidR="0022640E" w:rsidRPr="00AF7228" w:rsidRDefault="0022640E" w:rsidP="0022640E">
            <w:pPr>
              <w:spacing w:before="0" w:after="0"/>
              <w:jc w:val="right"/>
              <w:cnfStyle w:val="000000000000" w:firstRow="0" w:lastRow="0" w:firstColumn="0" w:lastColumn="0" w:oddVBand="0" w:evenVBand="0" w:oddHBand="0" w:evenHBand="0" w:firstRowFirstColumn="0" w:firstRowLastColumn="0" w:lastRowFirstColumn="0" w:lastRowLastColumn="0"/>
              <w:rPr>
                <w:rFonts w:cs="Arial"/>
                <w:b/>
                <w:color w:val="000000"/>
                <w:szCs w:val="18"/>
              </w:rPr>
            </w:pPr>
            <w:r w:rsidRPr="00AF7228">
              <w:rPr>
                <w:rFonts w:cs="Arial"/>
                <w:b/>
                <w:color w:val="000000"/>
                <w:szCs w:val="18"/>
              </w:rPr>
              <w:t xml:space="preserve"> 98 </w:t>
            </w:r>
          </w:p>
        </w:tc>
        <w:tc>
          <w:tcPr>
            <w:tcW w:w="780" w:type="dxa"/>
            <w:noWrap/>
            <w:vAlign w:val="center"/>
          </w:tcPr>
          <w:p w14:paraId="42823F0E" w14:textId="77777777" w:rsidR="0022640E" w:rsidRPr="00AF7228" w:rsidRDefault="0022640E" w:rsidP="0022640E">
            <w:pPr>
              <w:spacing w:before="0" w:after="0"/>
              <w:jc w:val="right"/>
              <w:cnfStyle w:val="000000000000" w:firstRow="0" w:lastRow="0" w:firstColumn="0" w:lastColumn="0" w:oddVBand="0" w:evenVBand="0" w:oddHBand="0" w:evenHBand="0" w:firstRowFirstColumn="0" w:firstRowLastColumn="0" w:lastRowFirstColumn="0" w:lastRowLastColumn="0"/>
              <w:rPr>
                <w:rFonts w:cs="Arial"/>
                <w:b/>
                <w:color w:val="000000"/>
                <w:szCs w:val="18"/>
              </w:rPr>
            </w:pPr>
            <w:r w:rsidRPr="00AF7228">
              <w:rPr>
                <w:rFonts w:cs="Arial"/>
                <w:b/>
                <w:color w:val="000000"/>
              </w:rPr>
              <w:t>1,762</w:t>
            </w:r>
          </w:p>
        </w:tc>
        <w:tc>
          <w:tcPr>
            <w:tcW w:w="778" w:type="dxa"/>
            <w:noWrap/>
            <w:vAlign w:val="center"/>
          </w:tcPr>
          <w:p w14:paraId="19B9E596" w14:textId="77777777" w:rsidR="0022640E" w:rsidRPr="00AF7228" w:rsidRDefault="0022640E" w:rsidP="0022640E">
            <w:pPr>
              <w:spacing w:before="0" w:after="0"/>
              <w:jc w:val="right"/>
              <w:cnfStyle w:val="000000000000" w:firstRow="0" w:lastRow="0" w:firstColumn="0" w:lastColumn="0" w:oddVBand="0" w:evenVBand="0" w:oddHBand="0" w:evenHBand="0" w:firstRowFirstColumn="0" w:firstRowLastColumn="0" w:lastRowFirstColumn="0" w:lastRowLastColumn="0"/>
              <w:rPr>
                <w:rFonts w:cs="Arial"/>
                <w:b/>
                <w:color w:val="000000"/>
                <w:szCs w:val="18"/>
              </w:rPr>
            </w:pPr>
            <w:r w:rsidRPr="00AF7228">
              <w:rPr>
                <w:rFonts w:cs="Arial"/>
                <w:b/>
                <w:color w:val="000000"/>
                <w:szCs w:val="18"/>
              </w:rPr>
              <w:t xml:space="preserve"> 45 </w:t>
            </w:r>
          </w:p>
        </w:tc>
        <w:tc>
          <w:tcPr>
            <w:tcW w:w="780" w:type="dxa"/>
            <w:noWrap/>
            <w:vAlign w:val="center"/>
          </w:tcPr>
          <w:p w14:paraId="0BA97BBE" w14:textId="77777777" w:rsidR="0022640E" w:rsidRPr="00AF7228" w:rsidRDefault="0022640E" w:rsidP="0022640E">
            <w:pPr>
              <w:spacing w:before="0" w:after="0"/>
              <w:jc w:val="right"/>
              <w:cnfStyle w:val="000000000000" w:firstRow="0" w:lastRow="0" w:firstColumn="0" w:lastColumn="0" w:oddVBand="0" w:evenVBand="0" w:oddHBand="0" w:evenHBand="0" w:firstRowFirstColumn="0" w:firstRowLastColumn="0" w:lastRowFirstColumn="0" w:lastRowLastColumn="0"/>
              <w:rPr>
                <w:rFonts w:cs="Arial"/>
                <w:b/>
                <w:color w:val="000000"/>
                <w:szCs w:val="18"/>
              </w:rPr>
            </w:pPr>
            <w:r w:rsidRPr="00AF7228">
              <w:rPr>
                <w:rFonts w:cs="Arial"/>
                <w:b/>
                <w:color w:val="000000"/>
                <w:szCs w:val="18"/>
              </w:rPr>
              <w:t xml:space="preserve"> 765 </w:t>
            </w:r>
          </w:p>
        </w:tc>
      </w:tr>
      <w:tr w:rsidR="0022640E" w:rsidRPr="00AF7228" w14:paraId="3B8E2462" w14:textId="77777777" w:rsidTr="0022640E">
        <w:trPr>
          <w:trHeight w:val="155"/>
        </w:trPr>
        <w:tc>
          <w:tcPr>
            <w:cnfStyle w:val="001000000000" w:firstRow="0" w:lastRow="0" w:firstColumn="1" w:lastColumn="0" w:oddVBand="0" w:evenVBand="0" w:oddHBand="0" w:evenHBand="0" w:firstRowFirstColumn="0" w:firstRowLastColumn="0" w:lastRowFirstColumn="0" w:lastRowLastColumn="0"/>
            <w:tcW w:w="8599" w:type="dxa"/>
            <w:gridSpan w:val="9"/>
            <w:shd w:val="clear" w:color="auto" w:fill="auto"/>
            <w:noWrap/>
            <w:tcMar>
              <w:left w:w="0" w:type="dxa"/>
            </w:tcMar>
            <w:vAlign w:val="center"/>
          </w:tcPr>
          <w:p w14:paraId="25940B9C" w14:textId="77777777" w:rsidR="0022640E" w:rsidRPr="00AF7228" w:rsidRDefault="0022640E" w:rsidP="0022640E">
            <w:pPr>
              <w:spacing w:before="0" w:after="0" w:line="220" w:lineRule="exact"/>
              <w:rPr>
                <w:rFonts w:cs="Arial"/>
                <w:b/>
                <w:color w:val="000000"/>
                <w:sz w:val="16"/>
                <w:szCs w:val="16"/>
              </w:rPr>
            </w:pPr>
            <w:r w:rsidRPr="00AF7228">
              <w:rPr>
                <w:rFonts w:cs="Arial"/>
                <w:color w:val="000000"/>
                <w:sz w:val="16"/>
                <w:szCs w:val="16"/>
              </w:rPr>
              <w:t>Source: AIHW (2014), Analysis of the National Hospital Morbidity Database</w:t>
            </w:r>
          </w:p>
        </w:tc>
      </w:tr>
    </w:tbl>
    <w:p w14:paraId="50039D09" w14:textId="15F64CF2" w:rsidR="00C36AC7" w:rsidRPr="00AF7228" w:rsidRDefault="00AD3544" w:rsidP="003B145C">
      <w:pPr>
        <w:spacing w:line="260" w:lineRule="exact"/>
        <w:jc w:val="both"/>
      </w:pPr>
      <w:bookmarkStart w:id="26" w:name="_Toc483573325"/>
      <w:bookmarkStart w:id="27" w:name="_Toc483817488"/>
      <w:r w:rsidRPr="00AF7228">
        <w:rPr>
          <w:noProof/>
          <w:lang w:eastAsia="en-AU"/>
        </w:rPr>
        <w:drawing>
          <wp:anchor distT="0" distB="0" distL="114300" distR="114300" simplePos="0" relativeHeight="251778560" behindDoc="0" locked="0" layoutInCell="1" allowOverlap="1" wp14:anchorId="45718E05" wp14:editId="1AC9B4EB">
            <wp:simplePos x="0" y="0"/>
            <wp:positionH relativeFrom="margin">
              <wp:posOffset>-68416</wp:posOffset>
            </wp:positionH>
            <wp:positionV relativeFrom="paragraph">
              <wp:posOffset>267278</wp:posOffset>
            </wp:positionV>
            <wp:extent cx="5666740" cy="2971800"/>
            <wp:effectExtent l="12700" t="12700" r="10160" b="12700"/>
            <wp:wrapTopAndBottom/>
            <wp:docPr id="1" name="Chart 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page">
              <wp14:pctWidth>0</wp14:pctWidth>
            </wp14:sizeRelH>
            <wp14:sizeRelV relativeFrom="page">
              <wp14:pctHeight>0</wp14:pctHeight>
            </wp14:sizeRelV>
          </wp:anchor>
        </w:drawing>
      </w:r>
    </w:p>
    <w:p w14:paraId="757769A0" w14:textId="4D0F0D00" w:rsidR="00C36AC7" w:rsidRPr="00AF7228" w:rsidRDefault="00C36AC7" w:rsidP="00C36AC7">
      <w:pPr>
        <w:pStyle w:val="FigureCaption"/>
      </w:pPr>
      <w:bookmarkStart w:id="28" w:name="_Ref483813517"/>
      <w:bookmarkStart w:id="29" w:name="_Ref483399759"/>
      <w:bookmarkStart w:id="30" w:name="_Toc6237978"/>
      <w:r w:rsidRPr="00AF7228">
        <w:t>Hospitalisations for All Mental Health</w:t>
      </w:r>
      <w:bookmarkEnd w:id="28"/>
      <w:bookmarkEnd w:id="29"/>
      <w:r w:rsidRPr="00AF7228">
        <w:t xml:space="preserve"> Conditions</w:t>
      </w:r>
      <w:bookmarkEnd w:id="30"/>
    </w:p>
    <w:p w14:paraId="2520F2C5" w14:textId="6F45B57E" w:rsidR="003B145C" w:rsidRPr="00AF7228" w:rsidRDefault="003B145C" w:rsidP="003B145C">
      <w:pPr>
        <w:spacing w:line="260" w:lineRule="exact"/>
        <w:jc w:val="both"/>
      </w:pPr>
      <w:r w:rsidRPr="0022640E">
        <w:rPr>
          <w:b/>
        </w:rPr>
        <w:lastRenderedPageBreak/>
        <w:t>For All Mental</w:t>
      </w:r>
      <w:r w:rsidR="00C36AC7" w:rsidRPr="0022640E">
        <w:rPr>
          <w:b/>
        </w:rPr>
        <w:t xml:space="preserve"> </w:t>
      </w:r>
      <w:r w:rsidRPr="0022640E">
        <w:rPr>
          <w:b/>
        </w:rPr>
        <w:t>Health conditions</w:t>
      </w:r>
      <w:r w:rsidRPr="00AF7228">
        <w:t xml:space="preserve"> in 2014/15, only Auburn, </w:t>
      </w:r>
      <w:r w:rsidRPr="00AF7228">
        <w:rPr>
          <w:rFonts w:cs="Arial"/>
          <w:color w:val="000000"/>
          <w:szCs w:val="18"/>
        </w:rPr>
        <w:t>Carlingford</w:t>
      </w:r>
      <w:r w:rsidRPr="00AF7228">
        <w:rPr>
          <w:rFonts w:cs="Arial"/>
          <w:szCs w:val="18"/>
        </w:rPr>
        <w:t xml:space="preserve"> and Dural - Wisemans Ferry had higher hospitalisation rates compared to the national average. Hospitalisation rates were relatively consistent between the 2013/14 and 2014/15 reporting periods for all areas with the biggest change in rates observed in the increase in Ryde - Hunters Hill (</w:t>
      </w:r>
      <w:r w:rsidRPr="00AF7228">
        <w:rPr>
          <w:rFonts w:cs="Arial"/>
          <w:szCs w:val="18"/>
        </w:rPr>
        <w:fldChar w:fldCharType="begin"/>
      </w:r>
      <w:r w:rsidRPr="00AF7228">
        <w:rPr>
          <w:rFonts w:cs="Arial"/>
          <w:szCs w:val="18"/>
        </w:rPr>
        <w:instrText xml:space="preserve"> REF _Ref483813517 \r \h </w:instrText>
      </w:r>
      <w:r w:rsidRPr="00AF7228">
        <w:rPr>
          <w:rFonts w:cs="Arial"/>
          <w:szCs w:val="18"/>
        </w:rPr>
      </w:r>
      <w:r w:rsidRPr="00AF7228">
        <w:rPr>
          <w:rFonts w:cs="Arial"/>
          <w:szCs w:val="18"/>
        </w:rPr>
        <w:fldChar w:fldCharType="separate"/>
      </w:r>
      <w:r w:rsidR="00EF2823">
        <w:rPr>
          <w:rFonts w:cs="Arial"/>
          <w:szCs w:val="18"/>
        </w:rPr>
        <w:t>Figure 8</w:t>
      </w:r>
      <w:r w:rsidRPr="00AF7228">
        <w:rPr>
          <w:rFonts w:cs="Arial"/>
          <w:szCs w:val="18"/>
        </w:rPr>
        <w:fldChar w:fldCharType="end"/>
      </w:r>
      <w:r w:rsidRPr="00AF7228">
        <w:rPr>
          <w:rFonts w:cs="Arial"/>
          <w:szCs w:val="18"/>
        </w:rPr>
        <w:t>).</w:t>
      </w:r>
    </w:p>
    <w:p w14:paraId="07421B95" w14:textId="011C12E5" w:rsidR="003B145C" w:rsidRPr="00AF7228" w:rsidRDefault="003B145C" w:rsidP="003B145C">
      <w:pPr>
        <w:pStyle w:val="BulletPoint"/>
        <w:numPr>
          <w:ilvl w:val="0"/>
          <w:numId w:val="0"/>
        </w:numPr>
        <w:spacing w:before="0" w:after="0"/>
        <w:ind w:left="425" w:hanging="425"/>
        <w:rPr>
          <w:rFonts w:eastAsia="MS Mincho"/>
        </w:rPr>
      </w:pPr>
      <w:r w:rsidRPr="00AF7228">
        <w:t>Further</w:t>
      </w:r>
      <w:r w:rsidRPr="00AF7228">
        <w:rPr>
          <w:rFonts w:eastAsia="MS Mincho"/>
        </w:rPr>
        <w:t xml:space="preserve"> regional variation can be seen for hospitalisations for other mental health conditions including:</w:t>
      </w:r>
    </w:p>
    <w:p w14:paraId="0E28D76F" w14:textId="0DFF7FCC" w:rsidR="003B145C" w:rsidRPr="00AF7228" w:rsidRDefault="003B145C" w:rsidP="003B145C">
      <w:pPr>
        <w:pStyle w:val="BulletPoint"/>
        <w:spacing w:line="260" w:lineRule="exact"/>
        <w:jc w:val="both"/>
      </w:pPr>
      <w:r w:rsidRPr="0022640E">
        <w:rPr>
          <w:b/>
        </w:rPr>
        <w:t>For Anxiety and Stress</w:t>
      </w:r>
      <w:r w:rsidRPr="00AF7228">
        <w:t>, whilst Rouse Hill – McGraths Hill had the highest number of hospitalisations, Carlingford had the highest rate for number of bed days (per 100,000) (</w:t>
      </w:r>
      <w:r w:rsidRPr="00AF7228">
        <w:fldChar w:fldCharType="begin"/>
      </w:r>
      <w:r w:rsidRPr="00AF7228">
        <w:instrText xml:space="preserve"> REF _Ref357693672 \r \h </w:instrText>
      </w:r>
      <w:r w:rsidRPr="00AF7228">
        <w:fldChar w:fldCharType="separate"/>
      </w:r>
      <w:r w:rsidR="00EF2823">
        <w:t>Table 2</w:t>
      </w:r>
      <w:r w:rsidRPr="00AF7228">
        <w:fldChar w:fldCharType="end"/>
      </w:r>
      <w:r w:rsidRPr="00AF7228">
        <w:t xml:space="preserve">). </w:t>
      </w:r>
    </w:p>
    <w:tbl>
      <w:tblPr>
        <w:tblStyle w:val="ConNetica"/>
        <w:tblpPr w:leftFromText="180" w:rightFromText="180" w:vertAnchor="text" w:horzAnchor="page" w:tblpX="1830" w:tblpY="64"/>
        <w:tblW w:w="8599" w:type="dxa"/>
        <w:tblBorders>
          <w:top w:val="none" w:sz="0" w:space="0" w:color="auto"/>
          <w:bottom w:val="none" w:sz="0" w:space="0" w:color="auto"/>
          <w:insideH w:val="single" w:sz="2" w:space="0" w:color="003D69"/>
          <w:insideV w:val="none" w:sz="0" w:space="0" w:color="auto"/>
        </w:tblBorders>
        <w:tblLayout w:type="fixed"/>
        <w:tblLook w:val="04A0" w:firstRow="1" w:lastRow="0" w:firstColumn="1" w:lastColumn="0" w:noHBand="0" w:noVBand="1"/>
      </w:tblPr>
      <w:tblGrid>
        <w:gridCol w:w="2368"/>
        <w:gridCol w:w="777"/>
        <w:gridCol w:w="780"/>
        <w:gridCol w:w="778"/>
        <w:gridCol w:w="780"/>
        <w:gridCol w:w="778"/>
        <w:gridCol w:w="780"/>
        <w:gridCol w:w="778"/>
        <w:gridCol w:w="780"/>
      </w:tblGrid>
      <w:tr w:rsidR="003B145C" w:rsidRPr="00AF7228" w14:paraId="7C01085E" w14:textId="77777777" w:rsidTr="00C34200">
        <w:trPr>
          <w:cnfStyle w:val="100000000000" w:firstRow="1" w:lastRow="0" w:firstColumn="0" w:lastColumn="0" w:oddVBand="0" w:evenVBand="0" w:oddHBand="0" w:evenHBand="0" w:firstRowFirstColumn="0" w:firstRowLastColumn="0" w:lastRowFirstColumn="0" w:lastRowLastColumn="0"/>
          <w:trHeight w:val="134"/>
        </w:trPr>
        <w:tc>
          <w:tcPr>
            <w:cnfStyle w:val="001000000000" w:firstRow="0" w:lastRow="0" w:firstColumn="1" w:lastColumn="0" w:oddVBand="0" w:evenVBand="0" w:oddHBand="0" w:evenHBand="0" w:firstRowFirstColumn="0" w:firstRowLastColumn="0" w:lastRowFirstColumn="0" w:lastRowLastColumn="0"/>
            <w:tcW w:w="8599" w:type="dxa"/>
            <w:gridSpan w:val="9"/>
            <w:shd w:val="clear" w:color="auto" w:fill="auto"/>
            <w:noWrap/>
            <w:tcMar>
              <w:left w:w="0" w:type="dxa"/>
            </w:tcMar>
          </w:tcPr>
          <w:p w14:paraId="4FDD688F" w14:textId="77777777" w:rsidR="003B145C" w:rsidRPr="00AF7228" w:rsidRDefault="003B145C" w:rsidP="00C34200">
            <w:pPr>
              <w:pStyle w:val="TableCaption"/>
              <w:spacing w:before="0" w:after="0" w:line="200" w:lineRule="exact"/>
              <w:jc w:val="left"/>
              <w:rPr>
                <w:rFonts w:cs="Arial"/>
                <w:b w:val="0"/>
                <w:szCs w:val="16"/>
              </w:rPr>
            </w:pPr>
            <w:bookmarkStart w:id="31" w:name="_Ref357693672"/>
            <w:bookmarkStart w:id="32" w:name="_Toc6237995"/>
            <w:r w:rsidRPr="00AF7228">
              <w:rPr>
                <w:rFonts w:eastAsia="MS Mincho"/>
                <w:b w:val="0"/>
                <w:color w:val="000000" w:themeColor="text1"/>
              </w:rPr>
              <w:t>2014/15 Hospitalisations and Bed Days per 100,000 People (Age Standardised)</w:t>
            </w:r>
            <w:bookmarkEnd w:id="31"/>
            <w:bookmarkEnd w:id="32"/>
          </w:p>
        </w:tc>
      </w:tr>
      <w:tr w:rsidR="003B145C" w:rsidRPr="00AF7228" w14:paraId="3E4E3B0D" w14:textId="77777777" w:rsidTr="00C34200">
        <w:trPr>
          <w:trHeight w:val="134"/>
        </w:trPr>
        <w:tc>
          <w:tcPr>
            <w:cnfStyle w:val="001000000000" w:firstRow="0" w:lastRow="0" w:firstColumn="1" w:lastColumn="0" w:oddVBand="0" w:evenVBand="0" w:oddHBand="0" w:evenHBand="0" w:firstRowFirstColumn="0" w:firstRowLastColumn="0" w:lastRowFirstColumn="0" w:lastRowLastColumn="0"/>
            <w:tcW w:w="2368" w:type="dxa"/>
            <w:vMerge w:val="restart"/>
            <w:shd w:val="clear" w:color="auto" w:fill="003D69"/>
            <w:noWrap/>
            <w:vAlign w:val="center"/>
            <w:hideMark/>
          </w:tcPr>
          <w:p w14:paraId="4EAAF6DB" w14:textId="77777777" w:rsidR="003B145C" w:rsidRPr="00AF7228" w:rsidRDefault="003B145C" w:rsidP="00C34200">
            <w:pPr>
              <w:spacing w:before="0" w:after="0"/>
              <w:jc w:val="center"/>
              <w:rPr>
                <w:rFonts w:eastAsia="MS Mincho" w:cs="Arial"/>
                <w:b/>
                <w:szCs w:val="18"/>
              </w:rPr>
            </w:pPr>
            <w:r w:rsidRPr="00AF7228">
              <w:rPr>
                <w:rFonts w:eastAsia="MS Mincho" w:cs="Arial"/>
                <w:b/>
                <w:szCs w:val="18"/>
              </w:rPr>
              <w:t>SA3</w:t>
            </w:r>
          </w:p>
        </w:tc>
        <w:tc>
          <w:tcPr>
            <w:tcW w:w="1557" w:type="dxa"/>
            <w:gridSpan w:val="2"/>
            <w:shd w:val="clear" w:color="auto" w:fill="003D69"/>
            <w:noWrap/>
            <w:vAlign w:val="center"/>
            <w:hideMark/>
          </w:tcPr>
          <w:p w14:paraId="0FCD2161" w14:textId="77777777" w:rsidR="003B145C" w:rsidRPr="00AF7228" w:rsidRDefault="003B145C" w:rsidP="00C34200">
            <w:pPr>
              <w:spacing w:before="0" w:after="0"/>
              <w:jc w:val="center"/>
              <w:cnfStyle w:val="000000000000" w:firstRow="0" w:lastRow="0" w:firstColumn="0" w:lastColumn="0" w:oddVBand="0" w:evenVBand="0" w:oddHBand="0" w:evenHBand="0" w:firstRowFirstColumn="0" w:firstRowLastColumn="0" w:lastRowFirstColumn="0" w:lastRowLastColumn="0"/>
              <w:rPr>
                <w:rFonts w:cs="Arial"/>
                <w:b/>
                <w:color w:val="FFFFFF" w:themeColor="background1"/>
                <w:szCs w:val="16"/>
              </w:rPr>
            </w:pPr>
            <w:r w:rsidRPr="00AF7228">
              <w:rPr>
                <w:rFonts w:cs="Arial"/>
                <w:b/>
                <w:color w:val="FFFFFF" w:themeColor="background1"/>
                <w:szCs w:val="16"/>
              </w:rPr>
              <w:t>Anxiety and Stress</w:t>
            </w:r>
          </w:p>
        </w:tc>
        <w:tc>
          <w:tcPr>
            <w:tcW w:w="1558" w:type="dxa"/>
            <w:gridSpan w:val="2"/>
            <w:shd w:val="clear" w:color="auto" w:fill="003D69"/>
            <w:noWrap/>
            <w:vAlign w:val="center"/>
            <w:hideMark/>
          </w:tcPr>
          <w:p w14:paraId="4B863658" w14:textId="77777777" w:rsidR="003B145C" w:rsidRPr="00AF7228" w:rsidRDefault="003B145C" w:rsidP="00C34200">
            <w:pPr>
              <w:spacing w:before="0" w:after="0"/>
              <w:jc w:val="center"/>
              <w:cnfStyle w:val="000000000000" w:firstRow="0" w:lastRow="0" w:firstColumn="0" w:lastColumn="0" w:oddVBand="0" w:evenVBand="0" w:oddHBand="0" w:evenHBand="0" w:firstRowFirstColumn="0" w:firstRowLastColumn="0" w:lastRowFirstColumn="0" w:lastRowLastColumn="0"/>
              <w:rPr>
                <w:rFonts w:cs="Arial"/>
                <w:b/>
                <w:color w:val="FFFFFF" w:themeColor="background1"/>
                <w:szCs w:val="16"/>
              </w:rPr>
            </w:pPr>
            <w:r w:rsidRPr="00AF7228">
              <w:rPr>
                <w:rFonts w:cs="Arial"/>
                <w:b/>
                <w:color w:val="FFFFFF" w:themeColor="background1"/>
                <w:szCs w:val="16"/>
              </w:rPr>
              <w:t>Depressive Disorders</w:t>
            </w:r>
          </w:p>
        </w:tc>
        <w:tc>
          <w:tcPr>
            <w:tcW w:w="1558" w:type="dxa"/>
            <w:gridSpan w:val="2"/>
            <w:shd w:val="clear" w:color="auto" w:fill="003D69"/>
            <w:noWrap/>
            <w:vAlign w:val="center"/>
            <w:hideMark/>
          </w:tcPr>
          <w:p w14:paraId="76DF98F8" w14:textId="77777777" w:rsidR="003B145C" w:rsidRPr="00AF7228" w:rsidRDefault="003B145C" w:rsidP="00C34200">
            <w:pPr>
              <w:spacing w:before="0" w:after="0"/>
              <w:jc w:val="center"/>
              <w:cnfStyle w:val="000000000000" w:firstRow="0" w:lastRow="0" w:firstColumn="0" w:lastColumn="0" w:oddVBand="0" w:evenVBand="0" w:oddHBand="0" w:evenHBand="0" w:firstRowFirstColumn="0" w:firstRowLastColumn="0" w:lastRowFirstColumn="0" w:lastRowLastColumn="0"/>
              <w:rPr>
                <w:rFonts w:cs="Arial"/>
                <w:b/>
                <w:color w:val="FFFFFF" w:themeColor="background1"/>
                <w:szCs w:val="16"/>
              </w:rPr>
            </w:pPr>
            <w:r w:rsidRPr="00AF7228">
              <w:rPr>
                <w:rFonts w:cs="Arial"/>
                <w:b/>
                <w:color w:val="FFFFFF" w:themeColor="background1"/>
                <w:szCs w:val="16"/>
              </w:rPr>
              <w:t>Drug and Alcohol</w:t>
            </w:r>
          </w:p>
        </w:tc>
        <w:tc>
          <w:tcPr>
            <w:tcW w:w="1558" w:type="dxa"/>
            <w:gridSpan w:val="2"/>
            <w:shd w:val="clear" w:color="auto" w:fill="003D69"/>
            <w:noWrap/>
            <w:vAlign w:val="center"/>
            <w:hideMark/>
          </w:tcPr>
          <w:p w14:paraId="7AFC5B79" w14:textId="77777777" w:rsidR="003B145C" w:rsidRPr="00AF7228" w:rsidRDefault="003B145C" w:rsidP="00C34200">
            <w:pPr>
              <w:spacing w:before="0" w:after="0"/>
              <w:jc w:val="center"/>
              <w:cnfStyle w:val="000000000000" w:firstRow="0" w:lastRow="0" w:firstColumn="0" w:lastColumn="0" w:oddVBand="0" w:evenVBand="0" w:oddHBand="0" w:evenHBand="0" w:firstRowFirstColumn="0" w:firstRowLastColumn="0" w:lastRowFirstColumn="0" w:lastRowLastColumn="0"/>
              <w:rPr>
                <w:rFonts w:cs="Arial"/>
                <w:b/>
                <w:color w:val="FFFFFF" w:themeColor="background1"/>
                <w:szCs w:val="16"/>
              </w:rPr>
            </w:pPr>
            <w:r w:rsidRPr="00AF7228">
              <w:rPr>
                <w:rFonts w:cs="Arial"/>
                <w:b/>
                <w:color w:val="FFFFFF" w:themeColor="background1"/>
                <w:szCs w:val="16"/>
              </w:rPr>
              <w:t>Intentional Self-Harm</w:t>
            </w:r>
          </w:p>
        </w:tc>
      </w:tr>
      <w:tr w:rsidR="003B145C" w:rsidRPr="00AF7228" w14:paraId="78E921EA" w14:textId="77777777" w:rsidTr="00C34200">
        <w:trPr>
          <w:trHeight w:val="134"/>
        </w:trPr>
        <w:tc>
          <w:tcPr>
            <w:cnfStyle w:val="001000000000" w:firstRow="0" w:lastRow="0" w:firstColumn="1" w:lastColumn="0" w:oddVBand="0" w:evenVBand="0" w:oddHBand="0" w:evenHBand="0" w:firstRowFirstColumn="0" w:firstRowLastColumn="0" w:lastRowFirstColumn="0" w:lastRowLastColumn="0"/>
            <w:tcW w:w="2368" w:type="dxa"/>
            <w:vMerge/>
            <w:shd w:val="clear" w:color="auto" w:fill="003D69"/>
            <w:noWrap/>
            <w:hideMark/>
          </w:tcPr>
          <w:p w14:paraId="5A3C3292" w14:textId="77777777" w:rsidR="003B145C" w:rsidRPr="00AF7228" w:rsidRDefault="003B145C" w:rsidP="00C34200">
            <w:pPr>
              <w:spacing w:before="0" w:after="0"/>
              <w:jc w:val="center"/>
              <w:rPr>
                <w:rFonts w:cs="Arial"/>
                <w:color w:val="000000"/>
                <w:szCs w:val="18"/>
              </w:rPr>
            </w:pPr>
          </w:p>
        </w:tc>
        <w:tc>
          <w:tcPr>
            <w:tcW w:w="777" w:type="dxa"/>
            <w:shd w:val="clear" w:color="auto" w:fill="003D69"/>
            <w:noWrap/>
            <w:vAlign w:val="center"/>
            <w:hideMark/>
          </w:tcPr>
          <w:p w14:paraId="526CE481" w14:textId="77777777" w:rsidR="003B145C" w:rsidRPr="00AF7228" w:rsidRDefault="003B145C" w:rsidP="00C3420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FFFFFF" w:themeColor="background1"/>
                <w:sz w:val="16"/>
                <w:szCs w:val="16"/>
              </w:rPr>
            </w:pPr>
            <w:r w:rsidRPr="00AF7228">
              <w:rPr>
                <w:rFonts w:cs="Arial"/>
                <w:color w:val="FFFFFF" w:themeColor="background1"/>
                <w:sz w:val="16"/>
                <w:szCs w:val="16"/>
              </w:rPr>
              <w:t>Hospital</w:t>
            </w:r>
          </w:p>
          <w:p w14:paraId="3686FE0F" w14:textId="77777777" w:rsidR="003B145C" w:rsidRPr="00AF7228" w:rsidRDefault="003B145C" w:rsidP="00C3420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FFFFFF" w:themeColor="background1"/>
                <w:sz w:val="16"/>
                <w:szCs w:val="16"/>
              </w:rPr>
            </w:pPr>
            <w:r w:rsidRPr="00AF7228">
              <w:rPr>
                <w:rFonts w:cs="Arial"/>
                <w:color w:val="FFFFFF" w:themeColor="background1"/>
                <w:sz w:val="16"/>
                <w:szCs w:val="16"/>
              </w:rPr>
              <w:t>-</w:t>
            </w:r>
            <w:proofErr w:type="spellStart"/>
            <w:r w:rsidRPr="00AF7228">
              <w:rPr>
                <w:rFonts w:cs="Arial"/>
                <w:color w:val="FFFFFF" w:themeColor="background1"/>
                <w:sz w:val="16"/>
                <w:szCs w:val="16"/>
              </w:rPr>
              <w:t>isations</w:t>
            </w:r>
            <w:proofErr w:type="spellEnd"/>
          </w:p>
        </w:tc>
        <w:tc>
          <w:tcPr>
            <w:tcW w:w="780" w:type="dxa"/>
            <w:shd w:val="clear" w:color="auto" w:fill="003D69"/>
            <w:noWrap/>
            <w:vAlign w:val="center"/>
            <w:hideMark/>
          </w:tcPr>
          <w:p w14:paraId="73CD4D14" w14:textId="77777777" w:rsidR="003B145C" w:rsidRPr="00AF7228" w:rsidRDefault="003B145C" w:rsidP="00C3420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FFFFFF" w:themeColor="background1"/>
                <w:sz w:val="16"/>
                <w:szCs w:val="16"/>
              </w:rPr>
            </w:pPr>
            <w:r w:rsidRPr="00AF7228">
              <w:rPr>
                <w:rFonts w:cs="Arial"/>
                <w:color w:val="FFFFFF" w:themeColor="background1"/>
                <w:sz w:val="16"/>
                <w:szCs w:val="16"/>
              </w:rPr>
              <w:t>Bed Days</w:t>
            </w:r>
          </w:p>
        </w:tc>
        <w:tc>
          <w:tcPr>
            <w:tcW w:w="778" w:type="dxa"/>
            <w:shd w:val="clear" w:color="auto" w:fill="003D69"/>
            <w:noWrap/>
            <w:vAlign w:val="center"/>
            <w:hideMark/>
          </w:tcPr>
          <w:p w14:paraId="2612EAFC" w14:textId="77777777" w:rsidR="003B145C" w:rsidRPr="00AF7228" w:rsidRDefault="003B145C" w:rsidP="00C3420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FFFFFF" w:themeColor="background1"/>
                <w:sz w:val="16"/>
                <w:szCs w:val="16"/>
              </w:rPr>
            </w:pPr>
            <w:r w:rsidRPr="00AF7228">
              <w:rPr>
                <w:rFonts w:cs="Arial"/>
                <w:color w:val="FFFFFF" w:themeColor="background1"/>
                <w:sz w:val="16"/>
                <w:szCs w:val="16"/>
              </w:rPr>
              <w:t>Hospital</w:t>
            </w:r>
          </w:p>
          <w:p w14:paraId="3ECD7C9F" w14:textId="77777777" w:rsidR="003B145C" w:rsidRPr="00AF7228" w:rsidRDefault="003B145C" w:rsidP="00C3420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FFFFFF" w:themeColor="background1"/>
                <w:sz w:val="16"/>
                <w:szCs w:val="16"/>
              </w:rPr>
            </w:pPr>
            <w:r w:rsidRPr="00AF7228">
              <w:rPr>
                <w:rFonts w:cs="Arial"/>
                <w:color w:val="FFFFFF" w:themeColor="background1"/>
                <w:sz w:val="16"/>
                <w:szCs w:val="16"/>
              </w:rPr>
              <w:t>-</w:t>
            </w:r>
            <w:proofErr w:type="spellStart"/>
            <w:r w:rsidRPr="00AF7228">
              <w:rPr>
                <w:rFonts w:cs="Arial"/>
                <w:color w:val="FFFFFF" w:themeColor="background1"/>
                <w:sz w:val="16"/>
                <w:szCs w:val="16"/>
              </w:rPr>
              <w:t>isations</w:t>
            </w:r>
            <w:proofErr w:type="spellEnd"/>
          </w:p>
        </w:tc>
        <w:tc>
          <w:tcPr>
            <w:tcW w:w="780" w:type="dxa"/>
            <w:shd w:val="clear" w:color="auto" w:fill="003D69"/>
            <w:noWrap/>
            <w:vAlign w:val="center"/>
            <w:hideMark/>
          </w:tcPr>
          <w:p w14:paraId="6C32A6A4" w14:textId="77777777" w:rsidR="003B145C" w:rsidRPr="00AF7228" w:rsidRDefault="003B145C" w:rsidP="00C3420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FFFFFF" w:themeColor="background1"/>
                <w:sz w:val="16"/>
                <w:szCs w:val="16"/>
              </w:rPr>
            </w:pPr>
            <w:r w:rsidRPr="00AF7228">
              <w:rPr>
                <w:rFonts w:cs="Arial"/>
                <w:color w:val="FFFFFF" w:themeColor="background1"/>
                <w:sz w:val="16"/>
                <w:szCs w:val="16"/>
              </w:rPr>
              <w:t>Bed Days</w:t>
            </w:r>
          </w:p>
        </w:tc>
        <w:tc>
          <w:tcPr>
            <w:tcW w:w="778" w:type="dxa"/>
            <w:shd w:val="clear" w:color="auto" w:fill="003D69"/>
            <w:noWrap/>
            <w:vAlign w:val="center"/>
            <w:hideMark/>
          </w:tcPr>
          <w:p w14:paraId="6E2FDB56" w14:textId="77777777" w:rsidR="003B145C" w:rsidRPr="00AF7228" w:rsidRDefault="003B145C" w:rsidP="00C3420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FFFFFF" w:themeColor="background1"/>
                <w:sz w:val="16"/>
                <w:szCs w:val="16"/>
              </w:rPr>
            </w:pPr>
            <w:r w:rsidRPr="00AF7228">
              <w:rPr>
                <w:rFonts w:cs="Arial"/>
                <w:color w:val="FFFFFF" w:themeColor="background1"/>
                <w:sz w:val="16"/>
                <w:szCs w:val="16"/>
              </w:rPr>
              <w:t>Hospital</w:t>
            </w:r>
          </w:p>
          <w:p w14:paraId="3CFE5287" w14:textId="77777777" w:rsidR="003B145C" w:rsidRPr="00AF7228" w:rsidRDefault="003B145C" w:rsidP="00C3420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FFFFFF" w:themeColor="background1"/>
                <w:sz w:val="16"/>
                <w:szCs w:val="16"/>
              </w:rPr>
            </w:pPr>
            <w:r w:rsidRPr="00AF7228">
              <w:rPr>
                <w:rFonts w:cs="Arial"/>
                <w:color w:val="FFFFFF" w:themeColor="background1"/>
                <w:sz w:val="16"/>
                <w:szCs w:val="16"/>
              </w:rPr>
              <w:t>-</w:t>
            </w:r>
            <w:proofErr w:type="spellStart"/>
            <w:r w:rsidRPr="00AF7228">
              <w:rPr>
                <w:rFonts w:cs="Arial"/>
                <w:color w:val="FFFFFF" w:themeColor="background1"/>
                <w:sz w:val="16"/>
                <w:szCs w:val="16"/>
              </w:rPr>
              <w:t>isations</w:t>
            </w:r>
            <w:proofErr w:type="spellEnd"/>
          </w:p>
        </w:tc>
        <w:tc>
          <w:tcPr>
            <w:tcW w:w="780" w:type="dxa"/>
            <w:shd w:val="clear" w:color="auto" w:fill="003D69"/>
            <w:noWrap/>
            <w:vAlign w:val="center"/>
            <w:hideMark/>
          </w:tcPr>
          <w:p w14:paraId="03B0C842" w14:textId="77777777" w:rsidR="003B145C" w:rsidRPr="00AF7228" w:rsidRDefault="003B145C" w:rsidP="00C3420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FFFFFF" w:themeColor="background1"/>
                <w:sz w:val="16"/>
                <w:szCs w:val="16"/>
              </w:rPr>
            </w:pPr>
            <w:r w:rsidRPr="00AF7228">
              <w:rPr>
                <w:rFonts w:cs="Arial"/>
                <w:color w:val="FFFFFF" w:themeColor="background1"/>
                <w:sz w:val="16"/>
                <w:szCs w:val="16"/>
              </w:rPr>
              <w:t>Bed Days</w:t>
            </w:r>
          </w:p>
        </w:tc>
        <w:tc>
          <w:tcPr>
            <w:tcW w:w="778" w:type="dxa"/>
            <w:shd w:val="clear" w:color="auto" w:fill="003D69"/>
            <w:noWrap/>
            <w:vAlign w:val="center"/>
            <w:hideMark/>
          </w:tcPr>
          <w:p w14:paraId="2FFF3CD5" w14:textId="77777777" w:rsidR="003B145C" w:rsidRPr="00AF7228" w:rsidRDefault="003B145C" w:rsidP="00C3420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FFFFFF" w:themeColor="background1"/>
                <w:sz w:val="16"/>
                <w:szCs w:val="16"/>
              </w:rPr>
            </w:pPr>
            <w:r w:rsidRPr="00AF7228">
              <w:rPr>
                <w:rFonts w:cs="Arial"/>
                <w:color w:val="FFFFFF" w:themeColor="background1"/>
                <w:sz w:val="16"/>
                <w:szCs w:val="16"/>
              </w:rPr>
              <w:t>Hospital</w:t>
            </w:r>
          </w:p>
          <w:p w14:paraId="6DCD7B56" w14:textId="77777777" w:rsidR="003B145C" w:rsidRPr="00AF7228" w:rsidRDefault="003B145C" w:rsidP="00C3420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FFFFFF" w:themeColor="background1"/>
                <w:sz w:val="16"/>
                <w:szCs w:val="16"/>
              </w:rPr>
            </w:pPr>
            <w:r w:rsidRPr="00AF7228">
              <w:rPr>
                <w:rFonts w:cs="Arial"/>
                <w:color w:val="FFFFFF" w:themeColor="background1"/>
                <w:sz w:val="16"/>
                <w:szCs w:val="16"/>
              </w:rPr>
              <w:t>-</w:t>
            </w:r>
            <w:proofErr w:type="spellStart"/>
            <w:r w:rsidRPr="00AF7228">
              <w:rPr>
                <w:rFonts w:cs="Arial"/>
                <w:color w:val="FFFFFF" w:themeColor="background1"/>
                <w:sz w:val="16"/>
                <w:szCs w:val="16"/>
              </w:rPr>
              <w:t>isations</w:t>
            </w:r>
            <w:proofErr w:type="spellEnd"/>
          </w:p>
        </w:tc>
        <w:tc>
          <w:tcPr>
            <w:tcW w:w="780" w:type="dxa"/>
            <w:shd w:val="clear" w:color="auto" w:fill="003D69"/>
            <w:noWrap/>
            <w:vAlign w:val="center"/>
            <w:hideMark/>
          </w:tcPr>
          <w:p w14:paraId="7F0188C6" w14:textId="77777777" w:rsidR="003B145C" w:rsidRPr="00AF7228" w:rsidRDefault="003B145C" w:rsidP="00C3420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FFFFFF" w:themeColor="background1"/>
                <w:sz w:val="16"/>
                <w:szCs w:val="16"/>
              </w:rPr>
            </w:pPr>
            <w:r w:rsidRPr="00AF7228">
              <w:rPr>
                <w:rFonts w:cs="Arial"/>
                <w:color w:val="FFFFFF" w:themeColor="background1"/>
                <w:sz w:val="16"/>
                <w:szCs w:val="16"/>
              </w:rPr>
              <w:t>Bed Days</w:t>
            </w:r>
          </w:p>
        </w:tc>
      </w:tr>
      <w:tr w:rsidR="003B145C" w:rsidRPr="00AF7228" w14:paraId="5DAC5E0E" w14:textId="77777777" w:rsidTr="00C34200">
        <w:trPr>
          <w:trHeight w:hRule="exact" w:val="255"/>
        </w:trPr>
        <w:tc>
          <w:tcPr>
            <w:cnfStyle w:val="001000000000" w:firstRow="0" w:lastRow="0" w:firstColumn="1" w:lastColumn="0" w:oddVBand="0" w:evenVBand="0" w:oddHBand="0" w:evenHBand="0" w:firstRowFirstColumn="0" w:firstRowLastColumn="0" w:lastRowFirstColumn="0" w:lastRowLastColumn="0"/>
            <w:tcW w:w="2368" w:type="dxa"/>
            <w:shd w:val="clear" w:color="auto" w:fill="D9D9D9"/>
            <w:noWrap/>
            <w:tcMar>
              <w:top w:w="28" w:type="dxa"/>
              <w:bottom w:w="28" w:type="dxa"/>
            </w:tcMar>
            <w:vAlign w:val="center"/>
            <w:hideMark/>
          </w:tcPr>
          <w:p w14:paraId="22C7164E" w14:textId="77777777" w:rsidR="003B145C" w:rsidRPr="00AF7228" w:rsidRDefault="003B145C" w:rsidP="00C34200">
            <w:pPr>
              <w:spacing w:before="0" w:after="0" w:line="220" w:lineRule="exact"/>
              <w:rPr>
                <w:rFonts w:cs="Arial"/>
                <w:szCs w:val="18"/>
              </w:rPr>
            </w:pPr>
            <w:r w:rsidRPr="00AF7228">
              <w:rPr>
                <w:rFonts w:cs="Arial"/>
                <w:color w:val="000000"/>
                <w:szCs w:val="18"/>
              </w:rPr>
              <w:t>Auburn</w:t>
            </w:r>
          </w:p>
        </w:tc>
        <w:tc>
          <w:tcPr>
            <w:tcW w:w="777" w:type="dxa"/>
            <w:noWrap/>
            <w:tcMar>
              <w:top w:w="28" w:type="dxa"/>
              <w:bottom w:w="28" w:type="dxa"/>
            </w:tcMar>
            <w:vAlign w:val="center"/>
            <w:hideMark/>
          </w:tcPr>
          <w:p w14:paraId="4AAF7165"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118 </w:t>
            </w:r>
          </w:p>
        </w:tc>
        <w:tc>
          <w:tcPr>
            <w:tcW w:w="780" w:type="dxa"/>
            <w:noWrap/>
            <w:tcMar>
              <w:top w:w="28" w:type="dxa"/>
              <w:bottom w:w="28" w:type="dxa"/>
            </w:tcMar>
            <w:vAlign w:val="center"/>
            <w:hideMark/>
          </w:tcPr>
          <w:p w14:paraId="479E1F56"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1,183 </w:t>
            </w:r>
          </w:p>
        </w:tc>
        <w:tc>
          <w:tcPr>
            <w:tcW w:w="778" w:type="dxa"/>
            <w:noWrap/>
            <w:tcMar>
              <w:top w:w="28" w:type="dxa"/>
              <w:bottom w:w="28" w:type="dxa"/>
            </w:tcMar>
            <w:vAlign w:val="center"/>
            <w:hideMark/>
          </w:tcPr>
          <w:p w14:paraId="1824F272"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72 </w:t>
            </w:r>
          </w:p>
        </w:tc>
        <w:tc>
          <w:tcPr>
            <w:tcW w:w="780" w:type="dxa"/>
            <w:noWrap/>
            <w:tcMar>
              <w:top w:w="28" w:type="dxa"/>
              <w:bottom w:w="28" w:type="dxa"/>
            </w:tcMar>
            <w:vAlign w:val="center"/>
            <w:hideMark/>
          </w:tcPr>
          <w:p w14:paraId="5C75CED6"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1,733 </w:t>
            </w:r>
          </w:p>
        </w:tc>
        <w:tc>
          <w:tcPr>
            <w:tcW w:w="778" w:type="dxa"/>
            <w:noWrap/>
            <w:tcMar>
              <w:top w:w="28" w:type="dxa"/>
              <w:bottom w:w="28" w:type="dxa"/>
            </w:tcMar>
            <w:vAlign w:val="center"/>
            <w:hideMark/>
          </w:tcPr>
          <w:p w14:paraId="2E8CD643"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156 </w:t>
            </w:r>
          </w:p>
        </w:tc>
        <w:tc>
          <w:tcPr>
            <w:tcW w:w="780" w:type="dxa"/>
            <w:noWrap/>
            <w:tcMar>
              <w:top w:w="28" w:type="dxa"/>
              <w:bottom w:w="28" w:type="dxa"/>
            </w:tcMar>
            <w:vAlign w:val="center"/>
            <w:hideMark/>
          </w:tcPr>
          <w:p w14:paraId="6C049F1B"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1,669 </w:t>
            </w:r>
          </w:p>
        </w:tc>
        <w:tc>
          <w:tcPr>
            <w:tcW w:w="778" w:type="dxa"/>
            <w:noWrap/>
            <w:tcMar>
              <w:top w:w="28" w:type="dxa"/>
              <w:bottom w:w="28" w:type="dxa"/>
            </w:tcMar>
            <w:vAlign w:val="center"/>
            <w:hideMark/>
          </w:tcPr>
          <w:p w14:paraId="0858B5B0"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84 </w:t>
            </w:r>
          </w:p>
        </w:tc>
        <w:tc>
          <w:tcPr>
            <w:tcW w:w="780" w:type="dxa"/>
            <w:noWrap/>
            <w:tcMar>
              <w:top w:w="28" w:type="dxa"/>
              <w:bottom w:w="28" w:type="dxa"/>
            </w:tcMar>
            <w:vAlign w:val="center"/>
            <w:hideMark/>
          </w:tcPr>
          <w:p w14:paraId="4E3EE38C"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384 </w:t>
            </w:r>
          </w:p>
        </w:tc>
      </w:tr>
      <w:tr w:rsidR="003B145C" w:rsidRPr="00AF7228" w14:paraId="3F956EC2" w14:textId="77777777" w:rsidTr="00C34200">
        <w:trPr>
          <w:trHeight w:hRule="exact" w:val="255"/>
        </w:trPr>
        <w:tc>
          <w:tcPr>
            <w:cnfStyle w:val="001000000000" w:firstRow="0" w:lastRow="0" w:firstColumn="1" w:lastColumn="0" w:oddVBand="0" w:evenVBand="0" w:oddHBand="0" w:evenHBand="0" w:firstRowFirstColumn="0" w:firstRowLastColumn="0" w:lastRowFirstColumn="0" w:lastRowLastColumn="0"/>
            <w:tcW w:w="2368" w:type="dxa"/>
            <w:shd w:val="clear" w:color="auto" w:fill="D9D9D9"/>
            <w:noWrap/>
            <w:tcMar>
              <w:top w:w="28" w:type="dxa"/>
              <w:bottom w:w="28" w:type="dxa"/>
            </w:tcMar>
            <w:vAlign w:val="center"/>
            <w:hideMark/>
          </w:tcPr>
          <w:p w14:paraId="38A12404" w14:textId="77777777" w:rsidR="003B145C" w:rsidRPr="00AF7228" w:rsidRDefault="003B145C" w:rsidP="00C34200">
            <w:pPr>
              <w:spacing w:before="0" w:after="0" w:line="220" w:lineRule="exact"/>
              <w:rPr>
                <w:rFonts w:cs="Arial"/>
                <w:szCs w:val="18"/>
              </w:rPr>
            </w:pPr>
            <w:r w:rsidRPr="00AF7228">
              <w:rPr>
                <w:rFonts w:cs="Arial"/>
                <w:szCs w:val="18"/>
              </w:rPr>
              <w:t>Baulkham Hills</w:t>
            </w:r>
          </w:p>
        </w:tc>
        <w:tc>
          <w:tcPr>
            <w:tcW w:w="777" w:type="dxa"/>
            <w:noWrap/>
            <w:tcMar>
              <w:top w:w="28" w:type="dxa"/>
              <w:bottom w:w="28" w:type="dxa"/>
            </w:tcMar>
            <w:vAlign w:val="center"/>
            <w:hideMark/>
          </w:tcPr>
          <w:p w14:paraId="18EF7AA2"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130 </w:t>
            </w:r>
          </w:p>
        </w:tc>
        <w:tc>
          <w:tcPr>
            <w:tcW w:w="780" w:type="dxa"/>
            <w:noWrap/>
            <w:tcMar>
              <w:top w:w="28" w:type="dxa"/>
              <w:bottom w:w="28" w:type="dxa"/>
            </w:tcMar>
            <w:vAlign w:val="center"/>
            <w:hideMark/>
          </w:tcPr>
          <w:p w14:paraId="36404FC6"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1,148 </w:t>
            </w:r>
          </w:p>
        </w:tc>
        <w:tc>
          <w:tcPr>
            <w:tcW w:w="778" w:type="dxa"/>
            <w:noWrap/>
            <w:tcMar>
              <w:top w:w="28" w:type="dxa"/>
              <w:bottom w:w="28" w:type="dxa"/>
            </w:tcMar>
            <w:vAlign w:val="center"/>
            <w:hideMark/>
          </w:tcPr>
          <w:p w14:paraId="5C413E3D"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132 </w:t>
            </w:r>
          </w:p>
        </w:tc>
        <w:tc>
          <w:tcPr>
            <w:tcW w:w="780" w:type="dxa"/>
            <w:noWrap/>
            <w:tcMar>
              <w:top w:w="28" w:type="dxa"/>
              <w:bottom w:w="28" w:type="dxa"/>
            </w:tcMar>
            <w:vAlign w:val="center"/>
            <w:hideMark/>
          </w:tcPr>
          <w:p w14:paraId="4DFD85CC"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2,161 </w:t>
            </w:r>
          </w:p>
        </w:tc>
        <w:tc>
          <w:tcPr>
            <w:tcW w:w="778" w:type="dxa"/>
            <w:noWrap/>
            <w:tcMar>
              <w:top w:w="28" w:type="dxa"/>
              <w:bottom w:w="28" w:type="dxa"/>
            </w:tcMar>
            <w:vAlign w:val="center"/>
            <w:hideMark/>
          </w:tcPr>
          <w:p w14:paraId="1202C292"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148 </w:t>
            </w:r>
          </w:p>
        </w:tc>
        <w:tc>
          <w:tcPr>
            <w:tcW w:w="780" w:type="dxa"/>
            <w:noWrap/>
            <w:tcMar>
              <w:top w:w="28" w:type="dxa"/>
              <w:bottom w:w="28" w:type="dxa"/>
            </w:tcMar>
            <w:vAlign w:val="center"/>
            <w:hideMark/>
          </w:tcPr>
          <w:p w14:paraId="0EEF1E41"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1,768 </w:t>
            </w:r>
          </w:p>
        </w:tc>
        <w:tc>
          <w:tcPr>
            <w:tcW w:w="778" w:type="dxa"/>
            <w:noWrap/>
            <w:tcMar>
              <w:top w:w="28" w:type="dxa"/>
              <w:bottom w:w="28" w:type="dxa"/>
            </w:tcMar>
            <w:vAlign w:val="center"/>
            <w:hideMark/>
          </w:tcPr>
          <w:p w14:paraId="06685478"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89 </w:t>
            </w:r>
          </w:p>
        </w:tc>
        <w:tc>
          <w:tcPr>
            <w:tcW w:w="780" w:type="dxa"/>
            <w:noWrap/>
            <w:tcMar>
              <w:top w:w="28" w:type="dxa"/>
              <w:bottom w:w="28" w:type="dxa"/>
            </w:tcMar>
            <w:vAlign w:val="center"/>
            <w:hideMark/>
          </w:tcPr>
          <w:p w14:paraId="6B7D438D"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607 </w:t>
            </w:r>
          </w:p>
        </w:tc>
      </w:tr>
      <w:tr w:rsidR="003B145C" w:rsidRPr="00AF7228" w14:paraId="44D0F417" w14:textId="77777777" w:rsidTr="00C34200">
        <w:trPr>
          <w:trHeight w:hRule="exact" w:val="255"/>
        </w:trPr>
        <w:tc>
          <w:tcPr>
            <w:cnfStyle w:val="001000000000" w:firstRow="0" w:lastRow="0" w:firstColumn="1" w:lastColumn="0" w:oddVBand="0" w:evenVBand="0" w:oddHBand="0" w:evenHBand="0" w:firstRowFirstColumn="0" w:firstRowLastColumn="0" w:lastRowFirstColumn="0" w:lastRowLastColumn="0"/>
            <w:tcW w:w="2368" w:type="dxa"/>
            <w:shd w:val="clear" w:color="auto" w:fill="D9D9D9"/>
            <w:noWrap/>
            <w:tcMar>
              <w:top w:w="28" w:type="dxa"/>
              <w:bottom w:w="28" w:type="dxa"/>
            </w:tcMar>
            <w:vAlign w:val="center"/>
            <w:hideMark/>
          </w:tcPr>
          <w:p w14:paraId="62C6F01A" w14:textId="77777777" w:rsidR="003B145C" w:rsidRPr="00AF7228" w:rsidRDefault="003B145C" w:rsidP="00C34200">
            <w:pPr>
              <w:spacing w:before="0" w:after="0" w:line="220" w:lineRule="exact"/>
              <w:rPr>
                <w:rFonts w:cs="Arial"/>
                <w:szCs w:val="18"/>
              </w:rPr>
            </w:pPr>
            <w:r w:rsidRPr="00AF7228">
              <w:rPr>
                <w:rFonts w:cs="Arial"/>
                <w:szCs w:val="18"/>
              </w:rPr>
              <w:t>Blacktown</w:t>
            </w:r>
          </w:p>
        </w:tc>
        <w:tc>
          <w:tcPr>
            <w:tcW w:w="777" w:type="dxa"/>
            <w:noWrap/>
            <w:tcMar>
              <w:top w:w="28" w:type="dxa"/>
              <w:bottom w:w="28" w:type="dxa"/>
            </w:tcMar>
            <w:vAlign w:val="center"/>
            <w:hideMark/>
          </w:tcPr>
          <w:p w14:paraId="04F5F74E"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146 </w:t>
            </w:r>
          </w:p>
        </w:tc>
        <w:tc>
          <w:tcPr>
            <w:tcW w:w="780" w:type="dxa"/>
            <w:noWrap/>
            <w:tcMar>
              <w:top w:w="28" w:type="dxa"/>
              <w:bottom w:w="28" w:type="dxa"/>
            </w:tcMar>
            <w:vAlign w:val="center"/>
            <w:hideMark/>
          </w:tcPr>
          <w:p w14:paraId="6B1D275A"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941 </w:t>
            </w:r>
          </w:p>
        </w:tc>
        <w:tc>
          <w:tcPr>
            <w:tcW w:w="778" w:type="dxa"/>
            <w:noWrap/>
            <w:tcMar>
              <w:top w:w="28" w:type="dxa"/>
              <w:bottom w:w="28" w:type="dxa"/>
            </w:tcMar>
            <w:vAlign w:val="center"/>
            <w:hideMark/>
          </w:tcPr>
          <w:p w14:paraId="587B947D"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113 </w:t>
            </w:r>
          </w:p>
        </w:tc>
        <w:tc>
          <w:tcPr>
            <w:tcW w:w="780" w:type="dxa"/>
            <w:noWrap/>
            <w:tcMar>
              <w:top w:w="28" w:type="dxa"/>
              <w:bottom w:w="28" w:type="dxa"/>
            </w:tcMar>
            <w:vAlign w:val="center"/>
            <w:hideMark/>
          </w:tcPr>
          <w:p w14:paraId="17FC75BA"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1,542 </w:t>
            </w:r>
          </w:p>
        </w:tc>
        <w:tc>
          <w:tcPr>
            <w:tcW w:w="778" w:type="dxa"/>
            <w:noWrap/>
            <w:tcMar>
              <w:top w:w="28" w:type="dxa"/>
              <w:bottom w:w="28" w:type="dxa"/>
            </w:tcMar>
            <w:vAlign w:val="center"/>
            <w:hideMark/>
          </w:tcPr>
          <w:p w14:paraId="4B3D0CC7"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186 </w:t>
            </w:r>
          </w:p>
        </w:tc>
        <w:tc>
          <w:tcPr>
            <w:tcW w:w="780" w:type="dxa"/>
            <w:noWrap/>
            <w:tcMar>
              <w:top w:w="28" w:type="dxa"/>
              <w:bottom w:w="28" w:type="dxa"/>
            </w:tcMar>
            <w:vAlign w:val="center"/>
            <w:hideMark/>
          </w:tcPr>
          <w:p w14:paraId="00200E94"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1,293 </w:t>
            </w:r>
          </w:p>
        </w:tc>
        <w:tc>
          <w:tcPr>
            <w:tcW w:w="778" w:type="dxa"/>
            <w:noWrap/>
            <w:tcMar>
              <w:top w:w="28" w:type="dxa"/>
              <w:bottom w:w="28" w:type="dxa"/>
            </w:tcMar>
            <w:vAlign w:val="center"/>
            <w:hideMark/>
          </w:tcPr>
          <w:p w14:paraId="68DC06E6"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125 </w:t>
            </w:r>
          </w:p>
        </w:tc>
        <w:tc>
          <w:tcPr>
            <w:tcW w:w="780" w:type="dxa"/>
            <w:noWrap/>
            <w:tcMar>
              <w:top w:w="28" w:type="dxa"/>
              <w:bottom w:w="28" w:type="dxa"/>
            </w:tcMar>
            <w:vAlign w:val="center"/>
            <w:hideMark/>
          </w:tcPr>
          <w:p w14:paraId="5C019C2B"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586 </w:t>
            </w:r>
          </w:p>
        </w:tc>
      </w:tr>
      <w:tr w:rsidR="003B145C" w:rsidRPr="00AF7228" w14:paraId="5F344E9B" w14:textId="77777777" w:rsidTr="00C34200">
        <w:trPr>
          <w:trHeight w:hRule="exact" w:val="255"/>
        </w:trPr>
        <w:tc>
          <w:tcPr>
            <w:cnfStyle w:val="001000000000" w:firstRow="0" w:lastRow="0" w:firstColumn="1" w:lastColumn="0" w:oddVBand="0" w:evenVBand="0" w:oddHBand="0" w:evenHBand="0" w:firstRowFirstColumn="0" w:firstRowLastColumn="0" w:lastRowFirstColumn="0" w:lastRowLastColumn="0"/>
            <w:tcW w:w="2368" w:type="dxa"/>
            <w:shd w:val="clear" w:color="auto" w:fill="D9D9D9"/>
            <w:noWrap/>
            <w:tcMar>
              <w:top w:w="28" w:type="dxa"/>
              <w:bottom w:w="28" w:type="dxa"/>
            </w:tcMar>
            <w:vAlign w:val="center"/>
            <w:hideMark/>
          </w:tcPr>
          <w:p w14:paraId="1F30E15C" w14:textId="77777777" w:rsidR="003B145C" w:rsidRPr="00AF7228" w:rsidRDefault="003B145C" w:rsidP="00C34200">
            <w:pPr>
              <w:spacing w:before="0" w:after="0" w:line="220" w:lineRule="exact"/>
              <w:rPr>
                <w:rFonts w:cs="Arial"/>
                <w:szCs w:val="18"/>
              </w:rPr>
            </w:pPr>
            <w:r w:rsidRPr="00AF7228">
              <w:rPr>
                <w:rFonts w:cs="Arial"/>
                <w:color w:val="000000"/>
                <w:szCs w:val="18"/>
              </w:rPr>
              <w:t>Blacktown - North</w:t>
            </w:r>
          </w:p>
        </w:tc>
        <w:tc>
          <w:tcPr>
            <w:tcW w:w="777" w:type="dxa"/>
            <w:noWrap/>
            <w:tcMar>
              <w:top w:w="28" w:type="dxa"/>
              <w:bottom w:w="28" w:type="dxa"/>
            </w:tcMar>
            <w:vAlign w:val="center"/>
            <w:hideMark/>
          </w:tcPr>
          <w:p w14:paraId="31425972"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131 </w:t>
            </w:r>
          </w:p>
        </w:tc>
        <w:tc>
          <w:tcPr>
            <w:tcW w:w="780" w:type="dxa"/>
            <w:noWrap/>
            <w:tcMar>
              <w:top w:w="28" w:type="dxa"/>
              <w:bottom w:w="28" w:type="dxa"/>
            </w:tcMar>
            <w:vAlign w:val="center"/>
            <w:hideMark/>
          </w:tcPr>
          <w:p w14:paraId="596E27C7"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1,036 </w:t>
            </w:r>
          </w:p>
        </w:tc>
        <w:tc>
          <w:tcPr>
            <w:tcW w:w="778" w:type="dxa"/>
            <w:noWrap/>
            <w:tcMar>
              <w:top w:w="28" w:type="dxa"/>
              <w:bottom w:w="28" w:type="dxa"/>
            </w:tcMar>
            <w:vAlign w:val="center"/>
            <w:hideMark/>
          </w:tcPr>
          <w:p w14:paraId="71F8F46D"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92 </w:t>
            </w:r>
          </w:p>
        </w:tc>
        <w:tc>
          <w:tcPr>
            <w:tcW w:w="780" w:type="dxa"/>
            <w:noWrap/>
            <w:tcMar>
              <w:top w:w="28" w:type="dxa"/>
              <w:bottom w:w="28" w:type="dxa"/>
            </w:tcMar>
            <w:vAlign w:val="center"/>
            <w:hideMark/>
          </w:tcPr>
          <w:p w14:paraId="76C5F274"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1,597 </w:t>
            </w:r>
          </w:p>
        </w:tc>
        <w:tc>
          <w:tcPr>
            <w:tcW w:w="778" w:type="dxa"/>
            <w:noWrap/>
            <w:tcMar>
              <w:top w:w="28" w:type="dxa"/>
              <w:bottom w:w="28" w:type="dxa"/>
            </w:tcMar>
            <w:vAlign w:val="center"/>
            <w:hideMark/>
          </w:tcPr>
          <w:p w14:paraId="22F34BE5"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110 </w:t>
            </w:r>
          </w:p>
        </w:tc>
        <w:tc>
          <w:tcPr>
            <w:tcW w:w="780" w:type="dxa"/>
            <w:noWrap/>
            <w:tcMar>
              <w:top w:w="28" w:type="dxa"/>
              <w:bottom w:w="28" w:type="dxa"/>
            </w:tcMar>
            <w:vAlign w:val="center"/>
            <w:hideMark/>
          </w:tcPr>
          <w:p w14:paraId="6AB35E7D"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1,153 </w:t>
            </w:r>
          </w:p>
        </w:tc>
        <w:tc>
          <w:tcPr>
            <w:tcW w:w="778" w:type="dxa"/>
            <w:noWrap/>
            <w:tcMar>
              <w:top w:w="28" w:type="dxa"/>
              <w:bottom w:w="28" w:type="dxa"/>
            </w:tcMar>
            <w:vAlign w:val="center"/>
            <w:hideMark/>
          </w:tcPr>
          <w:p w14:paraId="7E3CDA7E"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91 </w:t>
            </w:r>
          </w:p>
        </w:tc>
        <w:tc>
          <w:tcPr>
            <w:tcW w:w="780" w:type="dxa"/>
            <w:noWrap/>
            <w:tcMar>
              <w:top w:w="28" w:type="dxa"/>
              <w:bottom w:w="28" w:type="dxa"/>
            </w:tcMar>
            <w:vAlign w:val="center"/>
            <w:hideMark/>
          </w:tcPr>
          <w:p w14:paraId="7F9701FD"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646 </w:t>
            </w:r>
          </w:p>
        </w:tc>
      </w:tr>
      <w:tr w:rsidR="003B145C" w:rsidRPr="00AF7228" w14:paraId="06D6E7AC" w14:textId="77777777" w:rsidTr="00C34200">
        <w:trPr>
          <w:trHeight w:hRule="exact" w:val="255"/>
        </w:trPr>
        <w:tc>
          <w:tcPr>
            <w:cnfStyle w:val="001000000000" w:firstRow="0" w:lastRow="0" w:firstColumn="1" w:lastColumn="0" w:oddVBand="0" w:evenVBand="0" w:oddHBand="0" w:evenHBand="0" w:firstRowFirstColumn="0" w:firstRowLastColumn="0" w:lastRowFirstColumn="0" w:lastRowLastColumn="0"/>
            <w:tcW w:w="2368" w:type="dxa"/>
            <w:shd w:val="clear" w:color="auto" w:fill="D9D9D9"/>
            <w:noWrap/>
            <w:tcMar>
              <w:top w:w="28" w:type="dxa"/>
              <w:bottom w:w="28" w:type="dxa"/>
            </w:tcMar>
            <w:vAlign w:val="center"/>
            <w:hideMark/>
          </w:tcPr>
          <w:p w14:paraId="74B86859" w14:textId="77777777" w:rsidR="003B145C" w:rsidRPr="00AF7228" w:rsidRDefault="003B145C" w:rsidP="00C34200">
            <w:pPr>
              <w:spacing w:before="0" w:after="0" w:line="220" w:lineRule="exact"/>
              <w:rPr>
                <w:rFonts w:cs="Arial"/>
                <w:color w:val="000000"/>
                <w:szCs w:val="18"/>
              </w:rPr>
            </w:pPr>
            <w:r w:rsidRPr="00AF7228">
              <w:rPr>
                <w:rFonts w:cs="Arial"/>
                <w:color w:val="000000"/>
                <w:szCs w:val="18"/>
              </w:rPr>
              <w:t>Carlingford</w:t>
            </w:r>
          </w:p>
        </w:tc>
        <w:tc>
          <w:tcPr>
            <w:tcW w:w="777" w:type="dxa"/>
            <w:noWrap/>
            <w:tcMar>
              <w:top w:w="28" w:type="dxa"/>
              <w:bottom w:w="28" w:type="dxa"/>
            </w:tcMar>
            <w:vAlign w:val="center"/>
            <w:hideMark/>
          </w:tcPr>
          <w:p w14:paraId="61880894"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159 </w:t>
            </w:r>
          </w:p>
        </w:tc>
        <w:tc>
          <w:tcPr>
            <w:tcW w:w="780" w:type="dxa"/>
            <w:noWrap/>
            <w:tcMar>
              <w:top w:w="28" w:type="dxa"/>
              <w:bottom w:w="28" w:type="dxa"/>
            </w:tcMar>
            <w:vAlign w:val="center"/>
            <w:hideMark/>
          </w:tcPr>
          <w:p w14:paraId="3ABE057C"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2,294 </w:t>
            </w:r>
          </w:p>
        </w:tc>
        <w:tc>
          <w:tcPr>
            <w:tcW w:w="778" w:type="dxa"/>
            <w:noWrap/>
            <w:tcMar>
              <w:top w:w="28" w:type="dxa"/>
              <w:bottom w:w="28" w:type="dxa"/>
            </w:tcMar>
            <w:vAlign w:val="center"/>
            <w:hideMark/>
          </w:tcPr>
          <w:p w14:paraId="26E53938"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127 </w:t>
            </w:r>
          </w:p>
        </w:tc>
        <w:tc>
          <w:tcPr>
            <w:tcW w:w="780" w:type="dxa"/>
            <w:noWrap/>
            <w:tcMar>
              <w:top w:w="28" w:type="dxa"/>
              <w:bottom w:w="28" w:type="dxa"/>
            </w:tcMar>
            <w:vAlign w:val="center"/>
            <w:hideMark/>
          </w:tcPr>
          <w:p w14:paraId="42D0E4A6"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2,298 </w:t>
            </w:r>
          </w:p>
        </w:tc>
        <w:tc>
          <w:tcPr>
            <w:tcW w:w="778" w:type="dxa"/>
            <w:noWrap/>
            <w:tcMar>
              <w:top w:w="28" w:type="dxa"/>
              <w:bottom w:w="28" w:type="dxa"/>
            </w:tcMar>
            <w:vAlign w:val="center"/>
            <w:hideMark/>
          </w:tcPr>
          <w:p w14:paraId="62E07CD5"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203 </w:t>
            </w:r>
          </w:p>
        </w:tc>
        <w:tc>
          <w:tcPr>
            <w:tcW w:w="780" w:type="dxa"/>
            <w:noWrap/>
            <w:tcMar>
              <w:top w:w="28" w:type="dxa"/>
              <w:bottom w:w="28" w:type="dxa"/>
            </w:tcMar>
            <w:vAlign w:val="center"/>
            <w:hideMark/>
          </w:tcPr>
          <w:p w14:paraId="5921F0FC"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1,479 </w:t>
            </w:r>
          </w:p>
        </w:tc>
        <w:tc>
          <w:tcPr>
            <w:tcW w:w="778" w:type="dxa"/>
            <w:noWrap/>
            <w:tcMar>
              <w:top w:w="28" w:type="dxa"/>
              <w:bottom w:w="28" w:type="dxa"/>
            </w:tcMar>
            <w:vAlign w:val="center"/>
            <w:hideMark/>
          </w:tcPr>
          <w:p w14:paraId="0626EC2F"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79 </w:t>
            </w:r>
          </w:p>
        </w:tc>
        <w:tc>
          <w:tcPr>
            <w:tcW w:w="780" w:type="dxa"/>
            <w:noWrap/>
            <w:tcMar>
              <w:top w:w="28" w:type="dxa"/>
              <w:bottom w:w="28" w:type="dxa"/>
            </w:tcMar>
            <w:vAlign w:val="center"/>
            <w:hideMark/>
          </w:tcPr>
          <w:p w14:paraId="1E3F8B7C"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1,223 </w:t>
            </w:r>
          </w:p>
        </w:tc>
      </w:tr>
      <w:tr w:rsidR="003B145C" w:rsidRPr="00AF7228" w14:paraId="197BABA6" w14:textId="77777777" w:rsidTr="00C34200">
        <w:trPr>
          <w:trHeight w:hRule="exact" w:val="255"/>
        </w:trPr>
        <w:tc>
          <w:tcPr>
            <w:cnfStyle w:val="001000000000" w:firstRow="0" w:lastRow="0" w:firstColumn="1" w:lastColumn="0" w:oddVBand="0" w:evenVBand="0" w:oddHBand="0" w:evenHBand="0" w:firstRowFirstColumn="0" w:firstRowLastColumn="0" w:lastRowFirstColumn="0" w:lastRowLastColumn="0"/>
            <w:tcW w:w="2368" w:type="dxa"/>
            <w:shd w:val="clear" w:color="auto" w:fill="D9D9D9"/>
            <w:noWrap/>
            <w:tcMar>
              <w:top w:w="28" w:type="dxa"/>
              <w:bottom w:w="28" w:type="dxa"/>
            </w:tcMar>
            <w:vAlign w:val="center"/>
            <w:hideMark/>
          </w:tcPr>
          <w:p w14:paraId="7D8259DE" w14:textId="77777777" w:rsidR="003B145C" w:rsidRPr="00AF7228" w:rsidRDefault="003B145C" w:rsidP="00C34200">
            <w:pPr>
              <w:spacing w:before="0" w:after="0" w:line="220" w:lineRule="exact"/>
              <w:rPr>
                <w:rFonts w:cs="Arial"/>
                <w:color w:val="000000"/>
                <w:szCs w:val="18"/>
              </w:rPr>
            </w:pPr>
            <w:r w:rsidRPr="00AF7228">
              <w:rPr>
                <w:rFonts w:cs="Arial"/>
                <w:szCs w:val="18"/>
              </w:rPr>
              <w:t>Dural - Wisemans Ferry</w:t>
            </w:r>
          </w:p>
        </w:tc>
        <w:tc>
          <w:tcPr>
            <w:tcW w:w="777" w:type="dxa"/>
            <w:noWrap/>
            <w:tcMar>
              <w:top w:w="28" w:type="dxa"/>
              <w:bottom w:w="28" w:type="dxa"/>
            </w:tcMar>
            <w:vAlign w:val="center"/>
            <w:hideMark/>
          </w:tcPr>
          <w:p w14:paraId="0CBE962F"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138 </w:t>
            </w:r>
          </w:p>
        </w:tc>
        <w:tc>
          <w:tcPr>
            <w:tcW w:w="780" w:type="dxa"/>
            <w:noWrap/>
            <w:tcMar>
              <w:top w:w="28" w:type="dxa"/>
              <w:bottom w:w="28" w:type="dxa"/>
            </w:tcMar>
            <w:vAlign w:val="center"/>
            <w:hideMark/>
          </w:tcPr>
          <w:p w14:paraId="0694385C"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1,478 </w:t>
            </w:r>
          </w:p>
        </w:tc>
        <w:tc>
          <w:tcPr>
            <w:tcW w:w="778" w:type="dxa"/>
            <w:noWrap/>
            <w:tcMar>
              <w:top w:w="28" w:type="dxa"/>
              <w:bottom w:w="28" w:type="dxa"/>
            </w:tcMar>
            <w:vAlign w:val="center"/>
            <w:hideMark/>
          </w:tcPr>
          <w:p w14:paraId="7F42C622"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194 </w:t>
            </w:r>
          </w:p>
        </w:tc>
        <w:tc>
          <w:tcPr>
            <w:tcW w:w="780" w:type="dxa"/>
            <w:noWrap/>
            <w:tcMar>
              <w:top w:w="28" w:type="dxa"/>
              <w:bottom w:w="28" w:type="dxa"/>
            </w:tcMar>
            <w:vAlign w:val="center"/>
            <w:hideMark/>
          </w:tcPr>
          <w:p w14:paraId="3FB806B4"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3,129 </w:t>
            </w:r>
          </w:p>
        </w:tc>
        <w:tc>
          <w:tcPr>
            <w:tcW w:w="778" w:type="dxa"/>
            <w:noWrap/>
            <w:tcMar>
              <w:top w:w="28" w:type="dxa"/>
              <w:bottom w:w="28" w:type="dxa"/>
            </w:tcMar>
            <w:vAlign w:val="center"/>
            <w:hideMark/>
          </w:tcPr>
          <w:p w14:paraId="11E60714"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248 </w:t>
            </w:r>
          </w:p>
        </w:tc>
        <w:tc>
          <w:tcPr>
            <w:tcW w:w="780" w:type="dxa"/>
            <w:noWrap/>
            <w:tcMar>
              <w:top w:w="28" w:type="dxa"/>
              <w:bottom w:w="28" w:type="dxa"/>
            </w:tcMar>
            <w:vAlign w:val="center"/>
            <w:hideMark/>
          </w:tcPr>
          <w:p w14:paraId="40AA3C05"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2,232 </w:t>
            </w:r>
          </w:p>
        </w:tc>
        <w:tc>
          <w:tcPr>
            <w:tcW w:w="778" w:type="dxa"/>
            <w:noWrap/>
            <w:tcMar>
              <w:top w:w="28" w:type="dxa"/>
              <w:bottom w:w="28" w:type="dxa"/>
            </w:tcMar>
            <w:vAlign w:val="center"/>
            <w:hideMark/>
          </w:tcPr>
          <w:p w14:paraId="5DCD56AB"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90 </w:t>
            </w:r>
          </w:p>
        </w:tc>
        <w:tc>
          <w:tcPr>
            <w:tcW w:w="780" w:type="dxa"/>
            <w:noWrap/>
            <w:tcMar>
              <w:top w:w="28" w:type="dxa"/>
              <w:bottom w:w="28" w:type="dxa"/>
            </w:tcMar>
            <w:vAlign w:val="center"/>
            <w:hideMark/>
          </w:tcPr>
          <w:p w14:paraId="2982C992"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392 </w:t>
            </w:r>
          </w:p>
        </w:tc>
      </w:tr>
      <w:tr w:rsidR="003B145C" w:rsidRPr="00AF7228" w14:paraId="2A2411A5" w14:textId="77777777" w:rsidTr="00C34200">
        <w:trPr>
          <w:trHeight w:hRule="exact" w:val="255"/>
        </w:trPr>
        <w:tc>
          <w:tcPr>
            <w:cnfStyle w:val="001000000000" w:firstRow="0" w:lastRow="0" w:firstColumn="1" w:lastColumn="0" w:oddVBand="0" w:evenVBand="0" w:oddHBand="0" w:evenHBand="0" w:firstRowFirstColumn="0" w:firstRowLastColumn="0" w:lastRowFirstColumn="0" w:lastRowLastColumn="0"/>
            <w:tcW w:w="2368" w:type="dxa"/>
            <w:shd w:val="clear" w:color="auto" w:fill="D9D9D9"/>
            <w:noWrap/>
            <w:tcMar>
              <w:top w:w="28" w:type="dxa"/>
              <w:bottom w:w="28" w:type="dxa"/>
            </w:tcMar>
            <w:vAlign w:val="center"/>
          </w:tcPr>
          <w:p w14:paraId="3874CF54" w14:textId="77777777" w:rsidR="003B145C" w:rsidRPr="00AF7228" w:rsidRDefault="003B145C" w:rsidP="00C34200">
            <w:pPr>
              <w:spacing w:before="0" w:after="0" w:line="220" w:lineRule="exact"/>
              <w:rPr>
                <w:rFonts w:cs="Arial"/>
                <w:color w:val="000000"/>
                <w:szCs w:val="18"/>
              </w:rPr>
            </w:pPr>
            <w:r w:rsidRPr="00AF7228">
              <w:rPr>
                <w:rFonts w:cs="Arial"/>
                <w:color w:val="000000"/>
                <w:szCs w:val="18"/>
              </w:rPr>
              <w:t>Merrylands - Guildford</w:t>
            </w:r>
          </w:p>
        </w:tc>
        <w:tc>
          <w:tcPr>
            <w:tcW w:w="777" w:type="dxa"/>
            <w:noWrap/>
            <w:tcMar>
              <w:top w:w="28" w:type="dxa"/>
              <w:bottom w:w="28" w:type="dxa"/>
            </w:tcMar>
            <w:vAlign w:val="center"/>
          </w:tcPr>
          <w:p w14:paraId="7442A30D"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127 </w:t>
            </w:r>
          </w:p>
        </w:tc>
        <w:tc>
          <w:tcPr>
            <w:tcW w:w="780" w:type="dxa"/>
            <w:noWrap/>
            <w:tcMar>
              <w:top w:w="28" w:type="dxa"/>
              <w:bottom w:w="28" w:type="dxa"/>
            </w:tcMar>
            <w:vAlign w:val="center"/>
          </w:tcPr>
          <w:p w14:paraId="3B762C40"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864 </w:t>
            </w:r>
          </w:p>
        </w:tc>
        <w:tc>
          <w:tcPr>
            <w:tcW w:w="778" w:type="dxa"/>
            <w:noWrap/>
            <w:tcMar>
              <w:top w:w="28" w:type="dxa"/>
              <w:bottom w:w="28" w:type="dxa"/>
            </w:tcMar>
            <w:vAlign w:val="center"/>
          </w:tcPr>
          <w:p w14:paraId="3F8C56E9"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88 </w:t>
            </w:r>
          </w:p>
        </w:tc>
        <w:tc>
          <w:tcPr>
            <w:tcW w:w="780" w:type="dxa"/>
            <w:noWrap/>
            <w:tcMar>
              <w:top w:w="28" w:type="dxa"/>
              <w:bottom w:w="28" w:type="dxa"/>
            </w:tcMar>
            <w:vAlign w:val="center"/>
          </w:tcPr>
          <w:p w14:paraId="05EF0350"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1,425 </w:t>
            </w:r>
          </w:p>
        </w:tc>
        <w:tc>
          <w:tcPr>
            <w:tcW w:w="778" w:type="dxa"/>
            <w:noWrap/>
            <w:tcMar>
              <w:top w:w="28" w:type="dxa"/>
              <w:bottom w:w="28" w:type="dxa"/>
            </w:tcMar>
            <w:vAlign w:val="center"/>
          </w:tcPr>
          <w:p w14:paraId="3D5EBF4C"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217 </w:t>
            </w:r>
          </w:p>
        </w:tc>
        <w:tc>
          <w:tcPr>
            <w:tcW w:w="780" w:type="dxa"/>
            <w:noWrap/>
            <w:tcMar>
              <w:top w:w="28" w:type="dxa"/>
              <w:bottom w:w="28" w:type="dxa"/>
            </w:tcMar>
            <w:vAlign w:val="center"/>
          </w:tcPr>
          <w:p w14:paraId="76DD9907"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1,523 </w:t>
            </w:r>
          </w:p>
        </w:tc>
        <w:tc>
          <w:tcPr>
            <w:tcW w:w="778" w:type="dxa"/>
            <w:noWrap/>
            <w:tcMar>
              <w:top w:w="28" w:type="dxa"/>
              <w:bottom w:w="28" w:type="dxa"/>
            </w:tcMar>
            <w:vAlign w:val="center"/>
          </w:tcPr>
          <w:p w14:paraId="2E449A41"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90 </w:t>
            </w:r>
          </w:p>
        </w:tc>
        <w:tc>
          <w:tcPr>
            <w:tcW w:w="780" w:type="dxa"/>
            <w:noWrap/>
            <w:tcMar>
              <w:top w:w="28" w:type="dxa"/>
              <w:bottom w:w="28" w:type="dxa"/>
            </w:tcMar>
            <w:vAlign w:val="center"/>
          </w:tcPr>
          <w:p w14:paraId="18DE7B12"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618 </w:t>
            </w:r>
          </w:p>
        </w:tc>
      </w:tr>
      <w:tr w:rsidR="003B145C" w:rsidRPr="00AF7228" w14:paraId="57D4ECC5" w14:textId="77777777" w:rsidTr="00C34200">
        <w:trPr>
          <w:trHeight w:hRule="exact" w:val="255"/>
        </w:trPr>
        <w:tc>
          <w:tcPr>
            <w:cnfStyle w:val="001000000000" w:firstRow="0" w:lastRow="0" w:firstColumn="1" w:lastColumn="0" w:oddVBand="0" w:evenVBand="0" w:oddHBand="0" w:evenHBand="0" w:firstRowFirstColumn="0" w:firstRowLastColumn="0" w:lastRowFirstColumn="0" w:lastRowLastColumn="0"/>
            <w:tcW w:w="2368" w:type="dxa"/>
            <w:shd w:val="clear" w:color="auto" w:fill="D9D9D9"/>
            <w:noWrap/>
            <w:tcMar>
              <w:top w:w="28" w:type="dxa"/>
              <w:bottom w:w="28" w:type="dxa"/>
            </w:tcMar>
            <w:vAlign w:val="center"/>
            <w:hideMark/>
          </w:tcPr>
          <w:p w14:paraId="44C5B1F2" w14:textId="77777777" w:rsidR="003B145C" w:rsidRPr="00AF7228" w:rsidRDefault="003B145C" w:rsidP="00C34200">
            <w:pPr>
              <w:spacing w:before="0" w:after="0" w:line="220" w:lineRule="exact"/>
              <w:rPr>
                <w:rFonts w:cs="Arial"/>
                <w:color w:val="000000"/>
                <w:szCs w:val="18"/>
              </w:rPr>
            </w:pPr>
            <w:r w:rsidRPr="00AF7228">
              <w:rPr>
                <w:rFonts w:cs="Arial"/>
                <w:color w:val="000000"/>
                <w:szCs w:val="18"/>
              </w:rPr>
              <w:t>Mount Druitt</w:t>
            </w:r>
          </w:p>
        </w:tc>
        <w:tc>
          <w:tcPr>
            <w:tcW w:w="777" w:type="dxa"/>
            <w:noWrap/>
            <w:tcMar>
              <w:top w:w="28" w:type="dxa"/>
              <w:bottom w:w="28" w:type="dxa"/>
            </w:tcMar>
            <w:vAlign w:val="center"/>
            <w:hideMark/>
          </w:tcPr>
          <w:p w14:paraId="6F4863EF"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126 </w:t>
            </w:r>
          </w:p>
        </w:tc>
        <w:tc>
          <w:tcPr>
            <w:tcW w:w="780" w:type="dxa"/>
            <w:noWrap/>
            <w:tcMar>
              <w:top w:w="28" w:type="dxa"/>
              <w:bottom w:w="28" w:type="dxa"/>
            </w:tcMar>
            <w:vAlign w:val="center"/>
            <w:hideMark/>
          </w:tcPr>
          <w:p w14:paraId="472EAB8E"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1,032 </w:t>
            </w:r>
          </w:p>
        </w:tc>
        <w:tc>
          <w:tcPr>
            <w:tcW w:w="778" w:type="dxa"/>
            <w:noWrap/>
            <w:tcMar>
              <w:top w:w="28" w:type="dxa"/>
              <w:bottom w:w="28" w:type="dxa"/>
            </w:tcMar>
            <w:vAlign w:val="center"/>
            <w:hideMark/>
          </w:tcPr>
          <w:p w14:paraId="6478376F"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63 </w:t>
            </w:r>
          </w:p>
        </w:tc>
        <w:tc>
          <w:tcPr>
            <w:tcW w:w="780" w:type="dxa"/>
            <w:noWrap/>
            <w:tcMar>
              <w:top w:w="28" w:type="dxa"/>
              <w:bottom w:w="28" w:type="dxa"/>
            </w:tcMar>
            <w:vAlign w:val="center"/>
            <w:hideMark/>
          </w:tcPr>
          <w:p w14:paraId="72F376C9"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1,035 </w:t>
            </w:r>
          </w:p>
        </w:tc>
        <w:tc>
          <w:tcPr>
            <w:tcW w:w="778" w:type="dxa"/>
            <w:noWrap/>
            <w:tcMar>
              <w:top w:w="28" w:type="dxa"/>
              <w:bottom w:w="28" w:type="dxa"/>
            </w:tcMar>
            <w:vAlign w:val="center"/>
            <w:hideMark/>
          </w:tcPr>
          <w:p w14:paraId="0120F895"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223 </w:t>
            </w:r>
          </w:p>
        </w:tc>
        <w:tc>
          <w:tcPr>
            <w:tcW w:w="780" w:type="dxa"/>
            <w:noWrap/>
            <w:tcMar>
              <w:top w:w="28" w:type="dxa"/>
              <w:bottom w:w="28" w:type="dxa"/>
            </w:tcMar>
            <w:vAlign w:val="center"/>
            <w:hideMark/>
          </w:tcPr>
          <w:p w14:paraId="68ED0D78"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1,375 </w:t>
            </w:r>
          </w:p>
        </w:tc>
        <w:tc>
          <w:tcPr>
            <w:tcW w:w="778" w:type="dxa"/>
            <w:noWrap/>
            <w:tcMar>
              <w:top w:w="28" w:type="dxa"/>
              <w:bottom w:w="28" w:type="dxa"/>
            </w:tcMar>
            <w:vAlign w:val="center"/>
            <w:hideMark/>
          </w:tcPr>
          <w:p w14:paraId="692AAE47"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150 </w:t>
            </w:r>
          </w:p>
        </w:tc>
        <w:tc>
          <w:tcPr>
            <w:tcW w:w="780" w:type="dxa"/>
            <w:noWrap/>
            <w:tcMar>
              <w:top w:w="28" w:type="dxa"/>
              <w:bottom w:w="28" w:type="dxa"/>
            </w:tcMar>
            <w:vAlign w:val="center"/>
            <w:hideMark/>
          </w:tcPr>
          <w:p w14:paraId="256CBE80"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1,006 </w:t>
            </w:r>
          </w:p>
        </w:tc>
      </w:tr>
      <w:tr w:rsidR="003B145C" w:rsidRPr="00AF7228" w14:paraId="0D113B0D" w14:textId="77777777" w:rsidTr="00C34200">
        <w:trPr>
          <w:trHeight w:hRule="exact" w:val="255"/>
        </w:trPr>
        <w:tc>
          <w:tcPr>
            <w:cnfStyle w:val="001000000000" w:firstRow="0" w:lastRow="0" w:firstColumn="1" w:lastColumn="0" w:oddVBand="0" w:evenVBand="0" w:oddHBand="0" w:evenHBand="0" w:firstRowFirstColumn="0" w:firstRowLastColumn="0" w:lastRowFirstColumn="0" w:lastRowLastColumn="0"/>
            <w:tcW w:w="2368" w:type="dxa"/>
            <w:shd w:val="clear" w:color="auto" w:fill="D9D9D9"/>
            <w:noWrap/>
            <w:tcMar>
              <w:top w:w="28" w:type="dxa"/>
              <w:bottom w:w="28" w:type="dxa"/>
            </w:tcMar>
            <w:vAlign w:val="center"/>
            <w:hideMark/>
          </w:tcPr>
          <w:p w14:paraId="1E8C2B38" w14:textId="77777777" w:rsidR="003B145C" w:rsidRPr="00AF7228" w:rsidRDefault="003B145C" w:rsidP="00C34200">
            <w:pPr>
              <w:spacing w:before="0" w:after="0" w:line="220" w:lineRule="exact"/>
              <w:rPr>
                <w:rFonts w:cs="Arial"/>
                <w:color w:val="000000"/>
                <w:szCs w:val="18"/>
              </w:rPr>
            </w:pPr>
            <w:r w:rsidRPr="00AF7228">
              <w:rPr>
                <w:rFonts w:cs="Arial"/>
                <w:color w:val="000000"/>
                <w:szCs w:val="18"/>
              </w:rPr>
              <w:t>Parramatta</w:t>
            </w:r>
          </w:p>
        </w:tc>
        <w:tc>
          <w:tcPr>
            <w:tcW w:w="777" w:type="dxa"/>
            <w:noWrap/>
            <w:tcMar>
              <w:top w:w="28" w:type="dxa"/>
              <w:bottom w:w="28" w:type="dxa"/>
            </w:tcMar>
            <w:vAlign w:val="center"/>
            <w:hideMark/>
          </w:tcPr>
          <w:p w14:paraId="0262BB2B"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147 </w:t>
            </w:r>
          </w:p>
        </w:tc>
        <w:tc>
          <w:tcPr>
            <w:tcW w:w="780" w:type="dxa"/>
            <w:noWrap/>
            <w:tcMar>
              <w:top w:w="28" w:type="dxa"/>
              <w:bottom w:w="28" w:type="dxa"/>
            </w:tcMar>
            <w:vAlign w:val="center"/>
            <w:hideMark/>
          </w:tcPr>
          <w:p w14:paraId="20B32076"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1,224 </w:t>
            </w:r>
          </w:p>
        </w:tc>
        <w:tc>
          <w:tcPr>
            <w:tcW w:w="778" w:type="dxa"/>
            <w:noWrap/>
            <w:tcMar>
              <w:top w:w="28" w:type="dxa"/>
              <w:bottom w:w="28" w:type="dxa"/>
            </w:tcMar>
            <w:vAlign w:val="center"/>
            <w:hideMark/>
          </w:tcPr>
          <w:p w14:paraId="12F11F6C"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119 </w:t>
            </w:r>
          </w:p>
        </w:tc>
        <w:tc>
          <w:tcPr>
            <w:tcW w:w="780" w:type="dxa"/>
            <w:noWrap/>
            <w:tcMar>
              <w:top w:w="28" w:type="dxa"/>
              <w:bottom w:w="28" w:type="dxa"/>
            </w:tcMar>
            <w:vAlign w:val="center"/>
            <w:hideMark/>
          </w:tcPr>
          <w:p w14:paraId="474F2077"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1,829 </w:t>
            </w:r>
          </w:p>
        </w:tc>
        <w:tc>
          <w:tcPr>
            <w:tcW w:w="778" w:type="dxa"/>
            <w:noWrap/>
            <w:tcMar>
              <w:top w:w="28" w:type="dxa"/>
              <w:bottom w:w="28" w:type="dxa"/>
            </w:tcMar>
            <w:vAlign w:val="center"/>
            <w:hideMark/>
          </w:tcPr>
          <w:p w14:paraId="419D51D8"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169 </w:t>
            </w:r>
          </w:p>
        </w:tc>
        <w:tc>
          <w:tcPr>
            <w:tcW w:w="780" w:type="dxa"/>
            <w:noWrap/>
            <w:tcMar>
              <w:top w:w="28" w:type="dxa"/>
              <w:bottom w:w="28" w:type="dxa"/>
            </w:tcMar>
            <w:vAlign w:val="center"/>
            <w:hideMark/>
          </w:tcPr>
          <w:p w14:paraId="4B59926D"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1,458 </w:t>
            </w:r>
          </w:p>
        </w:tc>
        <w:tc>
          <w:tcPr>
            <w:tcW w:w="778" w:type="dxa"/>
            <w:noWrap/>
            <w:tcMar>
              <w:top w:w="28" w:type="dxa"/>
              <w:bottom w:w="28" w:type="dxa"/>
            </w:tcMar>
            <w:vAlign w:val="center"/>
            <w:hideMark/>
          </w:tcPr>
          <w:p w14:paraId="465339F6"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77 </w:t>
            </w:r>
          </w:p>
        </w:tc>
        <w:tc>
          <w:tcPr>
            <w:tcW w:w="780" w:type="dxa"/>
            <w:noWrap/>
            <w:tcMar>
              <w:top w:w="28" w:type="dxa"/>
              <w:bottom w:w="28" w:type="dxa"/>
            </w:tcMar>
            <w:vAlign w:val="center"/>
            <w:hideMark/>
          </w:tcPr>
          <w:p w14:paraId="01E36E75"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731 </w:t>
            </w:r>
          </w:p>
        </w:tc>
      </w:tr>
      <w:tr w:rsidR="003B145C" w:rsidRPr="00AF7228" w14:paraId="57F18418" w14:textId="77777777" w:rsidTr="00C34200">
        <w:trPr>
          <w:trHeight w:hRule="exact" w:val="255"/>
        </w:trPr>
        <w:tc>
          <w:tcPr>
            <w:cnfStyle w:val="001000000000" w:firstRow="0" w:lastRow="0" w:firstColumn="1" w:lastColumn="0" w:oddVBand="0" w:evenVBand="0" w:oddHBand="0" w:evenHBand="0" w:firstRowFirstColumn="0" w:firstRowLastColumn="0" w:lastRowFirstColumn="0" w:lastRowLastColumn="0"/>
            <w:tcW w:w="2368" w:type="dxa"/>
            <w:shd w:val="clear" w:color="auto" w:fill="D9D9D9"/>
            <w:noWrap/>
            <w:tcMar>
              <w:top w:w="28" w:type="dxa"/>
              <w:bottom w:w="28" w:type="dxa"/>
            </w:tcMar>
            <w:vAlign w:val="center"/>
            <w:hideMark/>
          </w:tcPr>
          <w:p w14:paraId="69130C35" w14:textId="77777777" w:rsidR="003B145C" w:rsidRPr="00AF7228" w:rsidRDefault="003B145C" w:rsidP="00C34200">
            <w:pPr>
              <w:spacing w:before="0" w:after="0" w:line="220" w:lineRule="exact"/>
              <w:rPr>
                <w:rFonts w:cs="Arial"/>
                <w:color w:val="000000"/>
                <w:szCs w:val="18"/>
              </w:rPr>
            </w:pPr>
            <w:r w:rsidRPr="00AF7228">
              <w:rPr>
                <w:rFonts w:cs="Arial"/>
                <w:color w:val="000000"/>
                <w:szCs w:val="18"/>
              </w:rPr>
              <w:t>Pennant Hills - Epping</w:t>
            </w:r>
          </w:p>
        </w:tc>
        <w:tc>
          <w:tcPr>
            <w:tcW w:w="777" w:type="dxa"/>
            <w:noWrap/>
            <w:tcMar>
              <w:top w:w="28" w:type="dxa"/>
              <w:bottom w:w="28" w:type="dxa"/>
            </w:tcMar>
            <w:vAlign w:val="center"/>
            <w:hideMark/>
          </w:tcPr>
          <w:p w14:paraId="1AC83DB7"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107 </w:t>
            </w:r>
          </w:p>
        </w:tc>
        <w:tc>
          <w:tcPr>
            <w:tcW w:w="780" w:type="dxa"/>
            <w:noWrap/>
            <w:tcMar>
              <w:top w:w="28" w:type="dxa"/>
              <w:bottom w:w="28" w:type="dxa"/>
            </w:tcMar>
            <w:vAlign w:val="center"/>
            <w:hideMark/>
          </w:tcPr>
          <w:p w14:paraId="0EF45253"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928 </w:t>
            </w:r>
          </w:p>
        </w:tc>
        <w:tc>
          <w:tcPr>
            <w:tcW w:w="778" w:type="dxa"/>
            <w:noWrap/>
            <w:tcMar>
              <w:top w:w="28" w:type="dxa"/>
              <w:bottom w:w="28" w:type="dxa"/>
            </w:tcMar>
            <w:vAlign w:val="center"/>
            <w:hideMark/>
          </w:tcPr>
          <w:p w14:paraId="4E070082"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109 </w:t>
            </w:r>
          </w:p>
        </w:tc>
        <w:tc>
          <w:tcPr>
            <w:tcW w:w="780" w:type="dxa"/>
            <w:noWrap/>
            <w:tcMar>
              <w:top w:w="28" w:type="dxa"/>
              <w:bottom w:w="28" w:type="dxa"/>
            </w:tcMar>
            <w:vAlign w:val="center"/>
            <w:hideMark/>
          </w:tcPr>
          <w:p w14:paraId="7DAB6A91"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2,101 </w:t>
            </w:r>
          </w:p>
        </w:tc>
        <w:tc>
          <w:tcPr>
            <w:tcW w:w="778" w:type="dxa"/>
            <w:noWrap/>
            <w:tcMar>
              <w:top w:w="28" w:type="dxa"/>
              <w:bottom w:w="28" w:type="dxa"/>
            </w:tcMar>
            <w:vAlign w:val="center"/>
            <w:hideMark/>
          </w:tcPr>
          <w:p w14:paraId="342439BB"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115 </w:t>
            </w:r>
          </w:p>
        </w:tc>
        <w:tc>
          <w:tcPr>
            <w:tcW w:w="780" w:type="dxa"/>
            <w:noWrap/>
            <w:tcMar>
              <w:top w:w="28" w:type="dxa"/>
              <w:bottom w:w="28" w:type="dxa"/>
            </w:tcMar>
            <w:vAlign w:val="center"/>
            <w:hideMark/>
          </w:tcPr>
          <w:p w14:paraId="6CC79AEA"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1,399 </w:t>
            </w:r>
          </w:p>
        </w:tc>
        <w:tc>
          <w:tcPr>
            <w:tcW w:w="778" w:type="dxa"/>
            <w:noWrap/>
            <w:tcMar>
              <w:top w:w="28" w:type="dxa"/>
              <w:bottom w:w="28" w:type="dxa"/>
            </w:tcMar>
            <w:vAlign w:val="center"/>
            <w:hideMark/>
          </w:tcPr>
          <w:p w14:paraId="408EF6FF"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74 </w:t>
            </w:r>
          </w:p>
        </w:tc>
        <w:tc>
          <w:tcPr>
            <w:tcW w:w="780" w:type="dxa"/>
            <w:noWrap/>
            <w:tcMar>
              <w:top w:w="28" w:type="dxa"/>
              <w:bottom w:w="28" w:type="dxa"/>
            </w:tcMar>
            <w:vAlign w:val="center"/>
            <w:hideMark/>
          </w:tcPr>
          <w:p w14:paraId="47A6755E"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359 </w:t>
            </w:r>
          </w:p>
        </w:tc>
      </w:tr>
      <w:tr w:rsidR="003B145C" w:rsidRPr="00AF7228" w14:paraId="23B0E703" w14:textId="77777777" w:rsidTr="00C34200">
        <w:trPr>
          <w:trHeight w:hRule="exact" w:val="255"/>
        </w:trPr>
        <w:tc>
          <w:tcPr>
            <w:cnfStyle w:val="001000000000" w:firstRow="0" w:lastRow="0" w:firstColumn="1" w:lastColumn="0" w:oddVBand="0" w:evenVBand="0" w:oddHBand="0" w:evenHBand="0" w:firstRowFirstColumn="0" w:firstRowLastColumn="0" w:lastRowFirstColumn="0" w:lastRowLastColumn="0"/>
            <w:tcW w:w="2368" w:type="dxa"/>
            <w:shd w:val="clear" w:color="auto" w:fill="D9D9D9"/>
            <w:noWrap/>
            <w:tcMar>
              <w:top w:w="28" w:type="dxa"/>
              <w:bottom w:w="28" w:type="dxa"/>
            </w:tcMar>
            <w:vAlign w:val="center"/>
            <w:hideMark/>
          </w:tcPr>
          <w:p w14:paraId="67656A9A" w14:textId="77777777" w:rsidR="003B145C" w:rsidRPr="00AF7228" w:rsidRDefault="003B145C" w:rsidP="00C34200">
            <w:pPr>
              <w:spacing w:before="0" w:after="0" w:line="220" w:lineRule="exact"/>
              <w:rPr>
                <w:rFonts w:cs="Arial"/>
                <w:color w:val="000000"/>
                <w:szCs w:val="18"/>
              </w:rPr>
            </w:pPr>
            <w:r w:rsidRPr="00AF7228">
              <w:rPr>
                <w:rFonts w:cs="Arial"/>
                <w:szCs w:val="18"/>
              </w:rPr>
              <w:t>Rouse Hill - McGraths Hill</w:t>
            </w:r>
          </w:p>
        </w:tc>
        <w:tc>
          <w:tcPr>
            <w:tcW w:w="777" w:type="dxa"/>
            <w:noWrap/>
            <w:tcMar>
              <w:top w:w="28" w:type="dxa"/>
              <w:bottom w:w="28" w:type="dxa"/>
            </w:tcMar>
            <w:vAlign w:val="center"/>
            <w:hideMark/>
          </w:tcPr>
          <w:p w14:paraId="38B786A3"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173 </w:t>
            </w:r>
          </w:p>
        </w:tc>
        <w:tc>
          <w:tcPr>
            <w:tcW w:w="780" w:type="dxa"/>
            <w:noWrap/>
            <w:tcMar>
              <w:top w:w="28" w:type="dxa"/>
              <w:bottom w:w="28" w:type="dxa"/>
            </w:tcMar>
            <w:vAlign w:val="center"/>
            <w:hideMark/>
          </w:tcPr>
          <w:p w14:paraId="73B4FC3F"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1,568 </w:t>
            </w:r>
          </w:p>
        </w:tc>
        <w:tc>
          <w:tcPr>
            <w:tcW w:w="778" w:type="dxa"/>
            <w:noWrap/>
            <w:tcMar>
              <w:top w:w="28" w:type="dxa"/>
              <w:bottom w:w="28" w:type="dxa"/>
            </w:tcMar>
            <w:vAlign w:val="center"/>
            <w:hideMark/>
          </w:tcPr>
          <w:p w14:paraId="013DDF59"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135 </w:t>
            </w:r>
          </w:p>
        </w:tc>
        <w:tc>
          <w:tcPr>
            <w:tcW w:w="780" w:type="dxa"/>
            <w:noWrap/>
            <w:tcMar>
              <w:top w:w="28" w:type="dxa"/>
              <w:bottom w:w="28" w:type="dxa"/>
            </w:tcMar>
            <w:vAlign w:val="center"/>
            <w:hideMark/>
          </w:tcPr>
          <w:p w14:paraId="3DAE0085"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1,950 </w:t>
            </w:r>
          </w:p>
        </w:tc>
        <w:tc>
          <w:tcPr>
            <w:tcW w:w="778" w:type="dxa"/>
            <w:noWrap/>
            <w:tcMar>
              <w:top w:w="28" w:type="dxa"/>
              <w:bottom w:w="28" w:type="dxa"/>
            </w:tcMar>
            <w:vAlign w:val="center"/>
            <w:hideMark/>
          </w:tcPr>
          <w:p w14:paraId="5756C815"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136 </w:t>
            </w:r>
          </w:p>
        </w:tc>
        <w:tc>
          <w:tcPr>
            <w:tcW w:w="780" w:type="dxa"/>
            <w:noWrap/>
            <w:tcMar>
              <w:top w:w="28" w:type="dxa"/>
              <w:bottom w:w="28" w:type="dxa"/>
            </w:tcMar>
            <w:vAlign w:val="center"/>
            <w:hideMark/>
          </w:tcPr>
          <w:p w14:paraId="3746A3CC"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1,284 </w:t>
            </w:r>
          </w:p>
        </w:tc>
        <w:tc>
          <w:tcPr>
            <w:tcW w:w="778" w:type="dxa"/>
            <w:noWrap/>
            <w:tcMar>
              <w:top w:w="28" w:type="dxa"/>
              <w:bottom w:w="28" w:type="dxa"/>
            </w:tcMar>
            <w:vAlign w:val="center"/>
            <w:hideMark/>
          </w:tcPr>
          <w:p w14:paraId="2C069E9B"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109 </w:t>
            </w:r>
          </w:p>
        </w:tc>
        <w:tc>
          <w:tcPr>
            <w:tcW w:w="780" w:type="dxa"/>
            <w:noWrap/>
            <w:tcMar>
              <w:top w:w="28" w:type="dxa"/>
              <w:bottom w:w="28" w:type="dxa"/>
            </w:tcMar>
            <w:vAlign w:val="center"/>
            <w:hideMark/>
          </w:tcPr>
          <w:p w14:paraId="14FF5D74"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628 </w:t>
            </w:r>
          </w:p>
        </w:tc>
      </w:tr>
      <w:tr w:rsidR="003B145C" w:rsidRPr="00AF7228" w14:paraId="29C58455" w14:textId="77777777" w:rsidTr="00C34200">
        <w:trPr>
          <w:trHeight w:hRule="exact" w:val="255"/>
        </w:trPr>
        <w:tc>
          <w:tcPr>
            <w:cnfStyle w:val="001000000000" w:firstRow="0" w:lastRow="0" w:firstColumn="1" w:lastColumn="0" w:oddVBand="0" w:evenVBand="0" w:oddHBand="0" w:evenHBand="0" w:firstRowFirstColumn="0" w:firstRowLastColumn="0" w:lastRowFirstColumn="0" w:lastRowLastColumn="0"/>
            <w:tcW w:w="2368" w:type="dxa"/>
            <w:shd w:val="clear" w:color="auto" w:fill="D9D9D9"/>
            <w:noWrap/>
            <w:tcMar>
              <w:top w:w="28" w:type="dxa"/>
              <w:bottom w:w="28" w:type="dxa"/>
            </w:tcMar>
            <w:vAlign w:val="center"/>
            <w:hideMark/>
          </w:tcPr>
          <w:p w14:paraId="549B1696" w14:textId="77777777" w:rsidR="003B145C" w:rsidRPr="00AF7228" w:rsidRDefault="003B145C" w:rsidP="00C34200">
            <w:pPr>
              <w:spacing w:before="0" w:after="0" w:line="220" w:lineRule="exact"/>
              <w:rPr>
                <w:rFonts w:cs="Arial"/>
                <w:color w:val="000000"/>
                <w:szCs w:val="18"/>
              </w:rPr>
            </w:pPr>
            <w:r w:rsidRPr="00AF7228">
              <w:rPr>
                <w:rFonts w:cs="Arial"/>
                <w:color w:val="000000"/>
                <w:szCs w:val="18"/>
              </w:rPr>
              <w:t>Ryde - Hunters Hill</w:t>
            </w:r>
          </w:p>
        </w:tc>
        <w:tc>
          <w:tcPr>
            <w:tcW w:w="777" w:type="dxa"/>
            <w:noWrap/>
            <w:tcMar>
              <w:top w:w="28" w:type="dxa"/>
              <w:bottom w:w="28" w:type="dxa"/>
            </w:tcMar>
            <w:vAlign w:val="center"/>
            <w:hideMark/>
          </w:tcPr>
          <w:p w14:paraId="5CBE50AE"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127 </w:t>
            </w:r>
          </w:p>
        </w:tc>
        <w:tc>
          <w:tcPr>
            <w:tcW w:w="780" w:type="dxa"/>
            <w:noWrap/>
            <w:tcMar>
              <w:top w:w="28" w:type="dxa"/>
              <w:bottom w:w="28" w:type="dxa"/>
            </w:tcMar>
            <w:vAlign w:val="center"/>
            <w:hideMark/>
          </w:tcPr>
          <w:p w14:paraId="0C2A1B66"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1,249 </w:t>
            </w:r>
          </w:p>
        </w:tc>
        <w:tc>
          <w:tcPr>
            <w:tcW w:w="778" w:type="dxa"/>
            <w:noWrap/>
            <w:tcMar>
              <w:top w:w="28" w:type="dxa"/>
              <w:bottom w:w="28" w:type="dxa"/>
            </w:tcMar>
            <w:vAlign w:val="center"/>
            <w:hideMark/>
          </w:tcPr>
          <w:p w14:paraId="4669D904"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100 </w:t>
            </w:r>
          </w:p>
        </w:tc>
        <w:tc>
          <w:tcPr>
            <w:tcW w:w="780" w:type="dxa"/>
            <w:noWrap/>
            <w:tcMar>
              <w:top w:w="28" w:type="dxa"/>
              <w:bottom w:w="28" w:type="dxa"/>
            </w:tcMar>
            <w:vAlign w:val="center"/>
            <w:hideMark/>
          </w:tcPr>
          <w:p w14:paraId="65B75ACC"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1,980 </w:t>
            </w:r>
          </w:p>
        </w:tc>
        <w:tc>
          <w:tcPr>
            <w:tcW w:w="778" w:type="dxa"/>
            <w:noWrap/>
            <w:tcMar>
              <w:top w:w="28" w:type="dxa"/>
              <w:bottom w:w="28" w:type="dxa"/>
            </w:tcMar>
            <w:vAlign w:val="center"/>
            <w:hideMark/>
          </w:tcPr>
          <w:p w14:paraId="462336F9"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154 </w:t>
            </w:r>
          </w:p>
        </w:tc>
        <w:tc>
          <w:tcPr>
            <w:tcW w:w="780" w:type="dxa"/>
            <w:noWrap/>
            <w:tcMar>
              <w:top w:w="28" w:type="dxa"/>
              <w:bottom w:w="28" w:type="dxa"/>
            </w:tcMar>
            <w:vAlign w:val="center"/>
            <w:hideMark/>
          </w:tcPr>
          <w:p w14:paraId="5000D9C1"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1,681 </w:t>
            </w:r>
          </w:p>
        </w:tc>
        <w:tc>
          <w:tcPr>
            <w:tcW w:w="778" w:type="dxa"/>
            <w:noWrap/>
            <w:tcMar>
              <w:top w:w="28" w:type="dxa"/>
              <w:bottom w:w="28" w:type="dxa"/>
            </w:tcMar>
            <w:vAlign w:val="center"/>
            <w:hideMark/>
          </w:tcPr>
          <w:p w14:paraId="4BAE9F26"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92 </w:t>
            </w:r>
          </w:p>
        </w:tc>
        <w:tc>
          <w:tcPr>
            <w:tcW w:w="780" w:type="dxa"/>
            <w:noWrap/>
            <w:tcMar>
              <w:top w:w="28" w:type="dxa"/>
              <w:bottom w:w="28" w:type="dxa"/>
            </w:tcMar>
            <w:vAlign w:val="center"/>
            <w:hideMark/>
          </w:tcPr>
          <w:p w14:paraId="051C4D13" w14:textId="77777777" w:rsidR="003B145C" w:rsidRPr="00AF7228" w:rsidRDefault="003B145C" w:rsidP="00C34200">
            <w:pPr>
              <w:spacing w:before="0" w:after="0" w:line="220" w:lineRule="exact"/>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AF7228">
              <w:rPr>
                <w:rFonts w:cs="Arial"/>
                <w:color w:val="000000"/>
                <w:szCs w:val="18"/>
              </w:rPr>
              <w:t xml:space="preserve"> 536 </w:t>
            </w:r>
          </w:p>
        </w:tc>
      </w:tr>
      <w:tr w:rsidR="003B145C" w:rsidRPr="00AF7228" w14:paraId="600B3489" w14:textId="77777777" w:rsidTr="00C34200">
        <w:trPr>
          <w:trHeight w:hRule="exact" w:val="255"/>
        </w:trPr>
        <w:tc>
          <w:tcPr>
            <w:cnfStyle w:val="001000000000" w:firstRow="0" w:lastRow="0" w:firstColumn="1" w:lastColumn="0" w:oddVBand="0" w:evenVBand="0" w:oddHBand="0" w:evenHBand="0" w:firstRowFirstColumn="0" w:firstRowLastColumn="0" w:lastRowFirstColumn="0" w:lastRowLastColumn="0"/>
            <w:tcW w:w="2368" w:type="dxa"/>
            <w:shd w:val="clear" w:color="auto" w:fill="003D69"/>
            <w:noWrap/>
          </w:tcPr>
          <w:p w14:paraId="19726DB9" w14:textId="77777777" w:rsidR="003B145C" w:rsidRPr="00AF7228" w:rsidRDefault="003B145C" w:rsidP="00C34200">
            <w:pPr>
              <w:spacing w:before="0" w:after="0"/>
              <w:rPr>
                <w:rFonts w:cs="Arial"/>
                <w:b/>
                <w:color w:val="FFFFFF" w:themeColor="background1"/>
                <w:szCs w:val="18"/>
              </w:rPr>
            </w:pPr>
            <w:r w:rsidRPr="00AF7228">
              <w:rPr>
                <w:rFonts w:cs="Arial"/>
                <w:b/>
                <w:color w:val="FFFFFF" w:themeColor="background1"/>
                <w:szCs w:val="18"/>
              </w:rPr>
              <w:t>WentWest</w:t>
            </w:r>
          </w:p>
        </w:tc>
        <w:tc>
          <w:tcPr>
            <w:tcW w:w="777" w:type="dxa"/>
            <w:shd w:val="clear" w:color="auto" w:fill="003D69"/>
            <w:noWrap/>
            <w:vAlign w:val="center"/>
          </w:tcPr>
          <w:p w14:paraId="55E81890" w14:textId="77777777" w:rsidR="003B145C" w:rsidRPr="00AF7228" w:rsidRDefault="003B145C" w:rsidP="00C34200">
            <w:pPr>
              <w:spacing w:before="0" w:after="0"/>
              <w:jc w:val="right"/>
              <w:cnfStyle w:val="000000000000" w:firstRow="0" w:lastRow="0" w:firstColumn="0" w:lastColumn="0" w:oddVBand="0" w:evenVBand="0" w:oddHBand="0" w:evenHBand="0" w:firstRowFirstColumn="0" w:firstRowLastColumn="0" w:lastRowFirstColumn="0" w:lastRowLastColumn="0"/>
              <w:rPr>
                <w:rFonts w:cs="Arial"/>
                <w:b/>
                <w:color w:val="FFFFFF" w:themeColor="background1"/>
                <w:szCs w:val="18"/>
              </w:rPr>
            </w:pPr>
            <w:r w:rsidRPr="00AF7228">
              <w:rPr>
                <w:rFonts w:cs="Arial"/>
                <w:b/>
                <w:color w:val="FFFFFF" w:themeColor="background1"/>
                <w:szCs w:val="18"/>
              </w:rPr>
              <w:t xml:space="preserve"> 134 </w:t>
            </w:r>
          </w:p>
        </w:tc>
        <w:tc>
          <w:tcPr>
            <w:tcW w:w="780" w:type="dxa"/>
            <w:shd w:val="clear" w:color="auto" w:fill="003D69"/>
            <w:noWrap/>
            <w:vAlign w:val="center"/>
          </w:tcPr>
          <w:p w14:paraId="44033BA8" w14:textId="77777777" w:rsidR="003B145C" w:rsidRPr="00AF7228" w:rsidRDefault="003B145C" w:rsidP="00C34200">
            <w:pPr>
              <w:spacing w:before="0" w:after="0"/>
              <w:jc w:val="right"/>
              <w:cnfStyle w:val="000000000000" w:firstRow="0" w:lastRow="0" w:firstColumn="0" w:lastColumn="0" w:oddVBand="0" w:evenVBand="0" w:oddHBand="0" w:evenHBand="0" w:firstRowFirstColumn="0" w:firstRowLastColumn="0" w:lastRowFirstColumn="0" w:lastRowLastColumn="0"/>
              <w:rPr>
                <w:rFonts w:cs="Arial"/>
                <w:b/>
                <w:color w:val="FFFFFF" w:themeColor="background1"/>
                <w:szCs w:val="18"/>
              </w:rPr>
            </w:pPr>
            <w:r w:rsidRPr="00AF7228">
              <w:rPr>
                <w:rFonts w:cs="Arial"/>
                <w:b/>
                <w:color w:val="FFFFFF" w:themeColor="background1"/>
              </w:rPr>
              <w:t>1,156</w:t>
            </w:r>
          </w:p>
        </w:tc>
        <w:tc>
          <w:tcPr>
            <w:tcW w:w="778" w:type="dxa"/>
            <w:shd w:val="clear" w:color="auto" w:fill="003D69"/>
            <w:noWrap/>
            <w:vAlign w:val="center"/>
          </w:tcPr>
          <w:p w14:paraId="4B1472B9" w14:textId="77777777" w:rsidR="003B145C" w:rsidRPr="00AF7228" w:rsidRDefault="003B145C" w:rsidP="00C34200">
            <w:pPr>
              <w:spacing w:before="0" w:after="0"/>
              <w:jc w:val="right"/>
              <w:cnfStyle w:val="000000000000" w:firstRow="0" w:lastRow="0" w:firstColumn="0" w:lastColumn="0" w:oddVBand="0" w:evenVBand="0" w:oddHBand="0" w:evenHBand="0" w:firstRowFirstColumn="0" w:firstRowLastColumn="0" w:lastRowFirstColumn="0" w:lastRowLastColumn="0"/>
              <w:rPr>
                <w:rFonts w:cs="Arial"/>
                <w:b/>
                <w:color w:val="FFFFFF" w:themeColor="background1"/>
                <w:szCs w:val="18"/>
              </w:rPr>
            </w:pPr>
            <w:r w:rsidRPr="00AF7228">
              <w:rPr>
                <w:rFonts w:cs="Arial"/>
                <w:b/>
                <w:color w:val="FFFFFF" w:themeColor="background1"/>
                <w:szCs w:val="18"/>
              </w:rPr>
              <w:t xml:space="preserve"> 103 </w:t>
            </w:r>
          </w:p>
        </w:tc>
        <w:tc>
          <w:tcPr>
            <w:tcW w:w="780" w:type="dxa"/>
            <w:shd w:val="clear" w:color="auto" w:fill="003D69"/>
            <w:noWrap/>
            <w:vAlign w:val="center"/>
          </w:tcPr>
          <w:p w14:paraId="6A82031D" w14:textId="77777777" w:rsidR="003B145C" w:rsidRPr="00AF7228" w:rsidRDefault="003B145C" w:rsidP="00C34200">
            <w:pPr>
              <w:spacing w:before="0" w:after="0"/>
              <w:jc w:val="right"/>
              <w:cnfStyle w:val="000000000000" w:firstRow="0" w:lastRow="0" w:firstColumn="0" w:lastColumn="0" w:oddVBand="0" w:evenVBand="0" w:oddHBand="0" w:evenHBand="0" w:firstRowFirstColumn="0" w:firstRowLastColumn="0" w:lastRowFirstColumn="0" w:lastRowLastColumn="0"/>
              <w:rPr>
                <w:rFonts w:cs="Arial"/>
                <w:b/>
                <w:color w:val="FFFFFF" w:themeColor="background1"/>
                <w:szCs w:val="18"/>
              </w:rPr>
            </w:pPr>
            <w:r w:rsidRPr="00AF7228">
              <w:rPr>
                <w:rFonts w:cs="Arial"/>
                <w:b/>
                <w:color w:val="FFFFFF" w:themeColor="background1"/>
              </w:rPr>
              <w:t>1,664</w:t>
            </w:r>
          </w:p>
        </w:tc>
        <w:tc>
          <w:tcPr>
            <w:tcW w:w="778" w:type="dxa"/>
            <w:shd w:val="clear" w:color="auto" w:fill="003D69"/>
            <w:noWrap/>
            <w:vAlign w:val="center"/>
          </w:tcPr>
          <w:p w14:paraId="18BE5C8F" w14:textId="77777777" w:rsidR="003B145C" w:rsidRPr="00AF7228" w:rsidRDefault="003B145C" w:rsidP="00C34200">
            <w:pPr>
              <w:spacing w:before="0" w:after="0"/>
              <w:jc w:val="right"/>
              <w:cnfStyle w:val="000000000000" w:firstRow="0" w:lastRow="0" w:firstColumn="0" w:lastColumn="0" w:oddVBand="0" w:evenVBand="0" w:oddHBand="0" w:evenHBand="0" w:firstRowFirstColumn="0" w:firstRowLastColumn="0" w:lastRowFirstColumn="0" w:lastRowLastColumn="0"/>
              <w:rPr>
                <w:rFonts w:cs="Arial"/>
                <w:b/>
                <w:color w:val="FFFFFF" w:themeColor="background1"/>
                <w:szCs w:val="18"/>
              </w:rPr>
            </w:pPr>
            <w:r w:rsidRPr="00AF7228">
              <w:rPr>
                <w:rFonts w:cs="Arial"/>
                <w:b/>
                <w:color w:val="FFFFFF" w:themeColor="background1"/>
                <w:szCs w:val="18"/>
              </w:rPr>
              <w:t xml:space="preserve"> 168 </w:t>
            </w:r>
          </w:p>
        </w:tc>
        <w:tc>
          <w:tcPr>
            <w:tcW w:w="780" w:type="dxa"/>
            <w:shd w:val="clear" w:color="auto" w:fill="003D69"/>
            <w:noWrap/>
            <w:vAlign w:val="center"/>
          </w:tcPr>
          <w:p w14:paraId="59F19870" w14:textId="77777777" w:rsidR="003B145C" w:rsidRPr="00AF7228" w:rsidRDefault="003B145C" w:rsidP="00C34200">
            <w:pPr>
              <w:spacing w:before="0" w:after="0"/>
              <w:jc w:val="right"/>
              <w:cnfStyle w:val="000000000000" w:firstRow="0" w:lastRow="0" w:firstColumn="0" w:lastColumn="0" w:oddVBand="0" w:evenVBand="0" w:oddHBand="0" w:evenHBand="0" w:firstRowFirstColumn="0" w:firstRowLastColumn="0" w:lastRowFirstColumn="0" w:lastRowLastColumn="0"/>
              <w:rPr>
                <w:rFonts w:cs="Arial"/>
                <w:b/>
                <w:color w:val="FFFFFF" w:themeColor="background1"/>
                <w:szCs w:val="18"/>
              </w:rPr>
            </w:pPr>
            <w:r w:rsidRPr="00AF7228">
              <w:rPr>
                <w:rFonts w:cs="Arial"/>
                <w:b/>
                <w:color w:val="FFFFFF" w:themeColor="background1"/>
              </w:rPr>
              <w:t>1,408</w:t>
            </w:r>
          </w:p>
        </w:tc>
        <w:tc>
          <w:tcPr>
            <w:tcW w:w="778" w:type="dxa"/>
            <w:shd w:val="clear" w:color="auto" w:fill="003D69"/>
            <w:noWrap/>
            <w:vAlign w:val="center"/>
          </w:tcPr>
          <w:p w14:paraId="2471ED43" w14:textId="77777777" w:rsidR="003B145C" w:rsidRPr="00AF7228" w:rsidRDefault="003B145C" w:rsidP="00C34200">
            <w:pPr>
              <w:spacing w:before="0" w:after="0"/>
              <w:jc w:val="right"/>
              <w:cnfStyle w:val="000000000000" w:firstRow="0" w:lastRow="0" w:firstColumn="0" w:lastColumn="0" w:oddVBand="0" w:evenVBand="0" w:oddHBand="0" w:evenHBand="0" w:firstRowFirstColumn="0" w:firstRowLastColumn="0" w:lastRowFirstColumn="0" w:lastRowLastColumn="0"/>
              <w:rPr>
                <w:rFonts w:cs="Arial"/>
                <w:b/>
                <w:color w:val="FFFFFF" w:themeColor="background1"/>
                <w:szCs w:val="18"/>
              </w:rPr>
            </w:pPr>
            <w:r w:rsidRPr="00AF7228">
              <w:rPr>
                <w:rFonts w:cs="Arial"/>
                <w:b/>
                <w:color w:val="FFFFFF" w:themeColor="background1"/>
                <w:szCs w:val="18"/>
              </w:rPr>
              <w:t xml:space="preserve"> 97 </w:t>
            </w:r>
          </w:p>
        </w:tc>
        <w:tc>
          <w:tcPr>
            <w:tcW w:w="780" w:type="dxa"/>
            <w:shd w:val="clear" w:color="auto" w:fill="003D69"/>
            <w:noWrap/>
            <w:vAlign w:val="center"/>
          </w:tcPr>
          <w:p w14:paraId="41A7DE62" w14:textId="77777777" w:rsidR="003B145C" w:rsidRPr="00AF7228" w:rsidRDefault="003B145C" w:rsidP="00C34200">
            <w:pPr>
              <w:spacing w:before="0" w:after="0"/>
              <w:jc w:val="right"/>
              <w:cnfStyle w:val="000000000000" w:firstRow="0" w:lastRow="0" w:firstColumn="0" w:lastColumn="0" w:oddVBand="0" w:evenVBand="0" w:oddHBand="0" w:evenHBand="0" w:firstRowFirstColumn="0" w:firstRowLastColumn="0" w:lastRowFirstColumn="0" w:lastRowLastColumn="0"/>
              <w:rPr>
                <w:rFonts w:cs="Arial"/>
                <w:b/>
                <w:color w:val="FFFFFF" w:themeColor="background1"/>
                <w:szCs w:val="18"/>
              </w:rPr>
            </w:pPr>
            <w:r w:rsidRPr="00AF7228">
              <w:rPr>
                <w:rFonts w:cs="Arial"/>
                <w:b/>
                <w:color w:val="FFFFFF" w:themeColor="background1"/>
                <w:szCs w:val="18"/>
              </w:rPr>
              <w:t xml:space="preserve"> 627 </w:t>
            </w:r>
          </w:p>
        </w:tc>
      </w:tr>
      <w:tr w:rsidR="003B145C" w:rsidRPr="00AF7228" w14:paraId="3B00878C" w14:textId="77777777" w:rsidTr="00C34200">
        <w:trPr>
          <w:trHeight w:hRule="exact" w:val="255"/>
        </w:trPr>
        <w:tc>
          <w:tcPr>
            <w:cnfStyle w:val="001000000000" w:firstRow="0" w:lastRow="0" w:firstColumn="1" w:lastColumn="0" w:oddVBand="0" w:evenVBand="0" w:oddHBand="0" w:evenHBand="0" w:firstRowFirstColumn="0" w:firstRowLastColumn="0" w:lastRowFirstColumn="0" w:lastRowLastColumn="0"/>
            <w:tcW w:w="2368" w:type="dxa"/>
            <w:shd w:val="clear" w:color="auto" w:fill="D9D9D9"/>
            <w:noWrap/>
            <w:vAlign w:val="center"/>
          </w:tcPr>
          <w:p w14:paraId="28EB4AEE" w14:textId="77777777" w:rsidR="003B145C" w:rsidRPr="00AF7228" w:rsidRDefault="003B145C" w:rsidP="00C34200">
            <w:pPr>
              <w:spacing w:before="0" w:after="0"/>
              <w:rPr>
                <w:rFonts w:cs="Arial"/>
                <w:b/>
                <w:color w:val="000000"/>
                <w:szCs w:val="18"/>
              </w:rPr>
            </w:pPr>
            <w:r w:rsidRPr="00AF7228">
              <w:rPr>
                <w:rFonts w:cs="Arial"/>
                <w:b/>
                <w:color w:val="000000"/>
                <w:szCs w:val="18"/>
              </w:rPr>
              <w:t>Australia</w:t>
            </w:r>
          </w:p>
        </w:tc>
        <w:tc>
          <w:tcPr>
            <w:tcW w:w="777" w:type="dxa"/>
            <w:noWrap/>
            <w:vAlign w:val="center"/>
          </w:tcPr>
          <w:p w14:paraId="65A65A29" w14:textId="77777777" w:rsidR="003B145C" w:rsidRPr="00AF7228" w:rsidRDefault="003B145C" w:rsidP="00C34200">
            <w:pPr>
              <w:spacing w:before="0" w:after="0"/>
              <w:jc w:val="right"/>
              <w:cnfStyle w:val="000000000000" w:firstRow="0" w:lastRow="0" w:firstColumn="0" w:lastColumn="0" w:oddVBand="0" w:evenVBand="0" w:oddHBand="0" w:evenHBand="0" w:firstRowFirstColumn="0" w:firstRowLastColumn="0" w:lastRowFirstColumn="0" w:lastRowLastColumn="0"/>
              <w:rPr>
                <w:rFonts w:cs="Arial"/>
                <w:b/>
                <w:color w:val="000000"/>
                <w:szCs w:val="18"/>
              </w:rPr>
            </w:pPr>
            <w:r w:rsidRPr="00AF7228">
              <w:rPr>
                <w:rFonts w:cs="Arial"/>
                <w:b/>
                <w:color w:val="000000"/>
                <w:szCs w:val="18"/>
              </w:rPr>
              <w:t xml:space="preserve"> 142 </w:t>
            </w:r>
          </w:p>
        </w:tc>
        <w:tc>
          <w:tcPr>
            <w:tcW w:w="780" w:type="dxa"/>
            <w:noWrap/>
            <w:vAlign w:val="center"/>
          </w:tcPr>
          <w:p w14:paraId="39DDBE99" w14:textId="77777777" w:rsidR="003B145C" w:rsidRPr="00AF7228" w:rsidRDefault="003B145C" w:rsidP="00C34200">
            <w:pPr>
              <w:spacing w:before="0" w:after="0"/>
              <w:jc w:val="right"/>
              <w:cnfStyle w:val="000000000000" w:firstRow="0" w:lastRow="0" w:firstColumn="0" w:lastColumn="0" w:oddVBand="0" w:evenVBand="0" w:oddHBand="0" w:evenHBand="0" w:firstRowFirstColumn="0" w:firstRowLastColumn="0" w:lastRowFirstColumn="0" w:lastRowLastColumn="0"/>
              <w:rPr>
                <w:rFonts w:cs="Arial"/>
                <w:b/>
                <w:color w:val="000000"/>
                <w:szCs w:val="18"/>
              </w:rPr>
            </w:pPr>
            <w:r w:rsidRPr="00AF7228">
              <w:rPr>
                <w:rFonts w:cs="Arial"/>
                <w:b/>
                <w:color w:val="000000"/>
              </w:rPr>
              <w:t>1,239</w:t>
            </w:r>
          </w:p>
        </w:tc>
        <w:tc>
          <w:tcPr>
            <w:tcW w:w="778" w:type="dxa"/>
            <w:noWrap/>
            <w:vAlign w:val="center"/>
          </w:tcPr>
          <w:p w14:paraId="0AE5B60C" w14:textId="77777777" w:rsidR="003B145C" w:rsidRPr="00AF7228" w:rsidRDefault="003B145C" w:rsidP="00C34200">
            <w:pPr>
              <w:spacing w:before="0" w:after="0"/>
              <w:jc w:val="right"/>
              <w:cnfStyle w:val="000000000000" w:firstRow="0" w:lastRow="0" w:firstColumn="0" w:lastColumn="0" w:oddVBand="0" w:evenVBand="0" w:oddHBand="0" w:evenHBand="0" w:firstRowFirstColumn="0" w:firstRowLastColumn="0" w:lastRowFirstColumn="0" w:lastRowLastColumn="0"/>
              <w:rPr>
                <w:rFonts w:cs="Arial"/>
                <w:b/>
                <w:color w:val="000000"/>
                <w:szCs w:val="18"/>
              </w:rPr>
            </w:pPr>
            <w:r w:rsidRPr="00AF7228">
              <w:rPr>
                <w:rFonts w:cs="Arial"/>
                <w:b/>
                <w:color w:val="000000"/>
                <w:szCs w:val="18"/>
              </w:rPr>
              <w:t xml:space="preserve"> 118 </w:t>
            </w:r>
          </w:p>
        </w:tc>
        <w:tc>
          <w:tcPr>
            <w:tcW w:w="780" w:type="dxa"/>
            <w:noWrap/>
            <w:vAlign w:val="center"/>
          </w:tcPr>
          <w:p w14:paraId="2985A242" w14:textId="77777777" w:rsidR="003B145C" w:rsidRPr="00AF7228" w:rsidRDefault="003B145C" w:rsidP="00C34200">
            <w:pPr>
              <w:spacing w:before="0" w:after="0"/>
              <w:jc w:val="right"/>
              <w:cnfStyle w:val="000000000000" w:firstRow="0" w:lastRow="0" w:firstColumn="0" w:lastColumn="0" w:oddVBand="0" w:evenVBand="0" w:oddHBand="0" w:evenHBand="0" w:firstRowFirstColumn="0" w:firstRowLastColumn="0" w:lastRowFirstColumn="0" w:lastRowLastColumn="0"/>
              <w:rPr>
                <w:rFonts w:cs="Arial"/>
                <w:b/>
                <w:color w:val="000000"/>
                <w:szCs w:val="18"/>
              </w:rPr>
            </w:pPr>
            <w:r w:rsidRPr="00AF7228">
              <w:rPr>
                <w:rFonts w:cs="Arial"/>
                <w:b/>
                <w:color w:val="000000"/>
              </w:rPr>
              <w:t>1,678</w:t>
            </w:r>
          </w:p>
        </w:tc>
        <w:tc>
          <w:tcPr>
            <w:tcW w:w="778" w:type="dxa"/>
            <w:noWrap/>
            <w:vAlign w:val="center"/>
          </w:tcPr>
          <w:p w14:paraId="06AE84CA" w14:textId="77777777" w:rsidR="003B145C" w:rsidRPr="00AF7228" w:rsidRDefault="003B145C" w:rsidP="00C34200">
            <w:pPr>
              <w:spacing w:before="0" w:after="0"/>
              <w:jc w:val="right"/>
              <w:cnfStyle w:val="000000000000" w:firstRow="0" w:lastRow="0" w:firstColumn="0" w:lastColumn="0" w:oddVBand="0" w:evenVBand="0" w:oddHBand="0" w:evenHBand="0" w:firstRowFirstColumn="0" w:firstRowLastColumn="0" w:lastRowFirstColumn="0" w:lastRowLastColumn="0"/>
              <w:rPr>
                <w:rFonts w:cs="Arial"/>
                <w:b/>
                <w:color w:val="000000"/>
                <w:szCs w:val="18"/>
              </w:rPr>
            </w:pPr>
            <w:r w:rsidRPr="00AF7228">
              <w:rPr>
                <w:rFonts w:cs="Arial"/>
                <w:b/>
                <w:color w:val="000000"/>
                <w:szCs w:val="18"/>
              </w:rPr>
              <w:t xml:space="preserve"> 180 </w:t>
            </w:r>
          </w:p>
        </w:tc>
        <w:tc>
          <w:tcPr>
            <w:tcW w:w="780" w:type="dxa"/>
            <w:noWrap/>
            <w:vAlign w:val="center"/>
          </w:tcPr>
          <w:p w14:paraId="7028DF72" w14:textId="77777777" w:rsidR="003B145C" w:rsidRPr="00AF7228" w:rsidRDefault="003B145C" w:rsidP="00C34200">
            <w:pPr>
              <w:spacing w:before="0" w:after="0"/>
              <w:jc w:val="right"/>
              <w:cnfStyle w:val="000000000000" w:firstRow="0" w:lastRow="0" w:firstColumn="0" w:lastColumn="0" w:oddVBand="0" w:evenVBand="0" w:oddHBand="0" w:evenHBand="0" w:firstRowFirstColumn="0" w:firstRowLastColumn="0" w:lastRowFirstColumn="0" w:lastRowLastColumn="0"/>
              <w:rPr>
                <w:rFonts w:cs="Arial"/>
                <w:b/>
                <w:color w:val="000000"/>
                <w:szCs w:val="18"/>
              </w:rPr>
            </w:pPr>
            <w:r w:rsidRPr="00AF7228">
              <w:rPr>
                <w:rFonts w:cs="Arial"/>
                <w:b/>
                <w:color w:val="000000"/>
              </w:rPr>
              <w:t>1,369</w:t>
            </w:r>
          </w:p>
        </w:tc>
        <w:tc>
          <w:tcPr>
            <w:tcW w:w="778" w:type="dxa"/>
            <w:noWrap/>
            <w:vAlign w:val="center"/>
          </w:tcPr>
          <w:p w14:paraId="6B10FCBE" w14:textId="77777777" w:rsidR="003B145C" w:rsidRPr="00AF7228" w:rsidRDefault="003B145C" w:rsidP="00C34200">
            <w:pPr>
              <w:spacing w:before="0" w:after="0"/>
              <w:jc w:val="right"/>
              <w:cnfStyle w:val="000000000000" w:firstRow="0" w:lastRow="0" w:firstColumn="0" w:lastColumn="0" w:oddVBand="0" w:evenVBand="0" w:oddHBand="0" w:evenHBand="0" w:firstRowFirstColumn="0" w:firstRowLastColumn="0" w:lastRowFirstColumn="0" w:lastRowLastColumn="0"/>
              <w:rPr>
                <w:rFonts w:cs="Arial"/>
                <w:b/>
                <w:color w:val="000000"/>
                <w:szCs w:val="18"/>
              </w:rPr>
            </w:pPr>
            <w:r w:rsidRPr="00AF7228">
              <w:rPr>
                <w:rFonts w:cs="Arial"/>
                <w:b/>
                <w:color w:val="000000"/>
                <w:szCs w:val="18"/>
              </w:rPr>
              <w:t xml:space="preserve"> 161 </w:t>
            </w:r>
          </w:p>
        </w:tc>
        <w:tc>
          <w:tcPr>
            <w:tcW w:w="780" w:type="dxa"/>
            <w:noWrap/>
            <w:vAlign w:val="center"/>
          </w:tcPr>
          <w:p w14:paraId="05BCE742" w14:textId="77777777" w:rsidR="003B145C" w:rsidRPr="00AF7228" w:rsidRDefault="003B145C" w:rsidP="00C34200">
            <w:pPr>
              <w:spacing w:before="0" w:after="0"/>
              <w:jc w:val="right"/>
              <w:cnfStyle w:val="000000000000" w:firstRow="0" w:lastRow="0" w:firstColumn="0" w:lastColumn="0" w:oddVBand="0" w:evenVBand="0" w:oddHBand="0" w:evenHBand="0" w:firstRowFirstColumn="0" w:firstRowLastColumn="0" w:lastRowFirstColumn="0" w:lastRowLastColumn="0"/>
              <w:rPr>
                <w:rFonts w:cs="Arial"/>
                <w:b/>
                <w:color w:val="000000"/>
                <w:szCs w:val="18"/>
              </w:rPr>
            </w:pPr>
            <w:r w:rsidRPr="00AF7228">
              <w:rPr>
                <w:rFonts w:cs="Arial"/>
                <w:b/>
                <w:color w:val="000000"/>
                <w:szCs w:val="18"/>
              </w:rPr>
              <w:t xml:space="preserve"> 838 </w:t>
            </w:r>
          </w:p>
        </w:tc>
      </w:tr>
      <w:tr w:rsidR="003B145C" w:rsidRPr="00AF7228" w14:paraId="6CCABE84" w14:textId="77777777" w:rsidTr="00C34200">
        <w:trPr>
          <w:trHeight w:val="155"/>
        </w:trPr>
        <w:tc>
          <w:tcPr>
            <w:cnfStyle w:val="001000000000" w:firstRow="0" w:lastRow="0" w:firstColumn="1" w:lastColumn="0" w:oddVBand="0" w:evenVBand="0" w:oddHBand="0" w:evenHBand="0" w:firstRowFirstColumn="0" w:firstRowLastColumn="0" w:lastRowFirstColumn="0" w:lastRowLastColumn="0"/>
            <w:tcW w:w="8599" w:type="dxa"/>
            <w:gridSpan w:val="9"/>
            <w:shd w:val="clear" w:color="auto" w:fill="auto"/>
            <w:noWrap/>
            <w:tcMar>
              <w:left w:w="0" w:type="dxa"/>
            </w:tcMar>
            <w:vAlign w:val="center"/>
          </w:tcPr>
          <w:p w14:paraId="1E5CE505" w14:textId="77777777" w:rsidR="003B145C" w:rsidRPr="00AF7228" w:rsidRDefault="003B145C" w:rsidP="00C34200">
            <w:pPr>
              <w:spacing w:before="0" w:after="0" w:line="220" w:lineRule="exact"/>
              <w:rPr>
                <w:rFonts w:cs="Arial"/>
                <w:b/>
                <w:color w:val="000000"/>
                <w:sz w:val="16"/>
                <w:szCs w:val="16"/>
              </w:rPr>
            </w:pPr>
            <w:r w:rsidRPr="00AF7228">
              <w:rPr>
                <w:rFonts w:cs="Arial"/>
                <w:color w:val="000000"/>
                <w:sz w:val="16"/>
                <w:szCs w:val="16"/>
              </w:rPr>
              <w:t xml:space="preserve">Source: </w:t>
            </w:r>
            <w:r w:rsidRPr="00AF7228">
              <w:rPr>
                <w:sz w:val="16"/>
                <w:szCs w:val="16"/>
              </w:rPr>
              <w:t xml:space="preserve"> </w:t>
            </w:r>
            <w:r w:rsidRPr="00AF7228">
              <w:rPr>
                <w:rFonts w:cs="Arial"/>
                <w:color w:val="000000"/>
                <w:sz w:val="16"/>
                <w:szCs w:val="16"/>
              </w:rPr>
              <w:t>Australian Institute of Health and Welfare (AIHW) (2015), Analysis of the National Hospital Morbidity Database</w:t>
            </w:r>
          </w:p>
        </w:tc>
      </w:tr>
    </w:tbl>
    <w:p w14:paraId="38FBB5A8" w14:textId="0138FC36" w:rsidR="003B145C" w:rsidRPr="00AF7228" w:rsidRDefault="003B145C" w:rsidP="003B145C">
      <w:pPr>
        <w:pStyle w:val="BulletPoint"/>
        <w:spacing w:line="260" w:lineRule="exact"/>
        <w:jc w:val="both"/>
      </w:pPr>
      <w:r w:rsidRPr="0022640E">
        <w:rPr>
          <w:b/>
        </w:rPr>
        <w:t>For Depressive episodes</w:t>
      </w:r>
      <w:r w:rsidRPr="00AF7228">
        <w:t>, Dural – Wisemans Ferry had the highest rates of hospitalisations and bed days (per 100,000), higher than both the regional and national average. During the same time period, Mount Druitt had the lowest rates for both hospitalisations and bed days.</w:t>
      </w:r>
    </w:p>
    <w:p w14:paraId="5C72D23F" w14:textId="32C2DF78" w:rsidR="003B145C" w:rsidRPr="00AF7228" w:rsidRDefault="003B145C" w:rsidP="003B145C">
      <w:pPr>
        <w:pStyle w:val="BulletPoint"/>
        <w:spacing w:before="0" w:line="260" w:lineRule="exact"/>
        <w:jc w:val="both"/>
      </w:pPr>
      <w:r w:rsidRPr="0022640E">
        <w:rPr>
          <w:b/>
        </w:rPr>
        <w:t>For Drug and Alcohol</w:t>
      </w:r>
      <w:r w:rsidRPr="00AF7228">
        <w:t xml:space="preserve">, Dural – Wisemans Ferry had the highest rates of hospitalisations and bed days (per 100,000), both higher than the regional and national average. The lowest rates during the same time period were in Blacktown – North.   </w:t>
      </w:r>
    </w:p>
    <w:p w14:paraId="7903BF2E" w14:textId="4EA8CF7E" w:rsidR="00C36AC7" w:rsidRPr="00AF7228" w:rsidRDefault="00C36AC7" w:rsidP="003B145C">
      <w:pPr>
        <w:pStyle w:val="BulletPoint"/>
        <w:spacing w:before="0" w:line="260" w:lineRule="exact"/>
        <w:jc w:val="both"/>
      </w:pPr>
      <w:r w:rsidRPr="0022640E">
        <w:rPr>
          <w:b/>
        </w:rPr>
        <w:t>For Intentional Self-Harm</w:t>
      </w:r>
      <w:r w:rsidRPr="00AF7228">
        <w:t>, Mount Druitt had the highest hospitalisation rate (per 100,000) however this was lower than the national average. Carlingford had the highest rate for number of bed days (per 100,000), which was higher than both the regional and national average. (Figure 10)</w:t>
      </w:r>
    </w:p>
    <w:p w14:paraId="3D2CE8C5" w14:textId="6A042F8A" w:rsidR="00C36AC7" w:rsidRPr="00AF7228" w:rsidRDefault="00C36AC7" w:rsidP="00C36AC7">
      <w:pPr>
        <w:pStyle w:val="BodyText"/>
      </w:pPr>
    </w:p>
    <w:p w14:paraId="3DA0A9CF" w14:textId="6A300912" w:rsidR="00C36AC7" w:rsidRPr="00AF7228" w:rsidRDefault="00C36AC7">
      <w:pPr>
        <w:spacing w:before="0" w:after="0"/>
      </w:pPr>
      <w:r w:rsidRPr="00AF7228">
        <w:br w:type="page"/>
      </w:r>
    </w:p>
    <w:p w14:paraId="1180C833" w14:textId="02E14F8A" w:rsidR="00D71D1B" w:rsidRPr="00AF7228" w:rsidRDefault="00C36AC7" w:rsidP="00C36AC7">
      <w:pPr>
        <w:pStyle w:val="FigureCaption"/>
      </w:pPr>
      <w:bookmarkStart w:id="33" w:name="_Toc6237979"/>
      <w:r w:rsidRPr="00AF7228">
        <w:rPr>
          <w:noProof/>
          <w:lang w:eastAsia="en-AU"/>
        </w:rPr>
        <w:lastRenderedPageBreak/>
        <w:drawing>
          <wp:anchor distT="0" distB="0" distL="114300" distR="114300" simplePos="0" relativeHeight="251784704" behindDoc="0" locked="0" layoutInCell="1" allowOverlap="1" wp14:anchorId="144085B3" wp14:editId="6E03595F">
            <wp:simplePos x="0" y="0"/>
            <wp:positionH relativeFrom="margin">
              <wp:posOffset>278221</wp:posOffset>
            </wp:positionH>
            <wp:positionV relativeFrom="paragraph">
              <wp:posOffset>171994</wp:posOffset>
            </wp:positionV>
            <wp:extent cx="4667250" cy="7046595"/>
            <wp:effectExtent l="0" t="0" r="6350" b="1905"/>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ll MH.png"/>
                    <pic:cNvPicPr/>
                  </pic:nvPicPr>
                  <pic:blipFill>
                    <a:blip r:embed="rId35">
                      <a:extLst>
                        <a:ext uri="{28A0092B-C50C-407E-A947-70E740481C1C}">
                          <a14:useLocalDpi xmlns:a14="http://schemas.microsoft.com/office/drawing/2010/main" val="0"/>
                        </a:ext>
                      </a:extLst>
                    </a:blip>
                    <a:stretch>
                      <a:fillRect/>
                    </a:stretch>
                  </pic:blipFill>
                  <pic:spPr>
                    <a:xfrm>
                      <a:off x="0" y="0"/>
                      <a:ext cx="4667250" cy="7046595"/>
                    </a:xfrm>
                    <a:prstGeom prst="rect">
                      <a:avLst/>
                    </a:prstGeom>
                  </pic:spPr>
                </pic:pic>
              </a:graphicData>
            </a:graphic>
            <wp14:sizeRelH relativeFrom="page">
              <wp14:pctWidth>0</wp14:pctWidth>
            </wp14:sizeRelH>
            <wp14:sizeRelV relativeFrom="page">
              <wp14:pctHeight>0</wp14:pctHeight>
            </wp14:sizeRelV>
          </wp:anchor>
        </w:drawing>
      </w:r>
      <w:bookmarkStart w:id="34" w:name="_Ref357699862"/>
      <w:r w:rsidRPr="00AF7228">
        <w:t>All Mental Health Hospitalisations by SA3 2014/15</w:t>
      </w:r>
      <w:bookmarkEnd w:id="33"/>
      <w:bookmarkEnd w:id="34"/>
    </w:p>
    <w:p w14:paraId="017F49F1" w14:textId="112AB777" w:rsidR="00D71D1B" w:rsidRPr="00AF7228" w:rsidRDefault="00D71D1B" w:rsidP="00D71D1B">
      <w:pPr>
        <w:pStyle w:val="BodyText"/>
      </w:pPr>
    </w:p>
    <w:p w14:paraId="661583B0" w14:textId="43CF4D9D" w:rsidR="00D71D1B" w:rsidRPr="00AF7228" w:rsidRDefault="00D71D1B" w:rsidP="00D71D1B">
      <w:pPr>
        <w:pStyle w:val="FigureCaption"/>
      </w:pPr>
      <w:bookmarkStart w:id="35" w:name="_Ref357699929"/>
      <w:bookmarkStart w:id="36" w:name="_Toc6237980"/>
      <w:r w:rsidRPr="00AF7228">
        <w:rPr>
          <w:noProof/>
          <w:lang w:eastAsia="en-AU"/>
        </w:rPr>
        <w:lastRenderedPageBreak/>
        <w:drawing>
          <wp:anchor distT="0" distB="0" distL="114300" distR="114300" simplePos="0" relativeHeight="251786752" behindDoc="0" locked="0" layoutInCell="1" allowOverlap="1" wp14:anchorId="0A17A9BB" wp14:editId="1BCDDE59">
            <wp:simplePos x="0" y="0"/>
            <wp:positionH relativeFrom="margin">
              <wp:posOffset>380365</wp:posOffset>
            </wp:positionH>
            <wp:positionV relativeFrom="paragraph">
              <wp:posOffset>49741</wp:posOffset>
            </wp:positionV>
            <wp:extent cx="4580255" cy="6937375"/>
            <wp:effectExtent l="0" t="0" r="4445" b="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elf-Harm.png"/>
                    <pic:cNvPicPr/>
                  </pic:nvPicPr>
                  <pic:blipFill>
                    <a:blip r:embed="rId36">
                      <a:extLst>
                        <a:ext uri="{28A0092B-C50C-407E-A947-70E740481C1C}">
                          <a14:useLocalDpi xmlns:a14="http://schemas.microsoft.com/office/drawing/2010/main" val="0"/>
                        </a:ext>
                      </a:extLst>
                    </a:blip>
                    <a:stretch>
                      <a:fillRect/>
                    </a:stretch>
                  </pic:blipFill>
                  <pic:spPr>
                    <a:xfrm>
                      <a:off x="0" y="0"/>
                      <a:ext cx="4580255" cy="6937375"/>
                    </a:xfrm>
                    <a:prstGeom prst="rect">
                      <a:avLst/>
                    </a:prstGeom>
                  </pic:spPr>
                </pic:pic>
              </a:graphicData>
            </a:graphic>
            <wp14:sizeRelH relativeFrom="page">
              <wp14:pctWidth>0</wp14:pctWidth>
            </wp14:sizeRelH>
            <wp14:sizeRelV relativeFrom="page">
              <wp14:pctHeight>0</wp14:pctHeight>
            </wp14:sizeRelV>
          </wp:anchor>
        </w:drawing>
      </w:r>
      <w:r w:rsidRPr="00AF7228">
        <w:t>Intentional Self-Harm Hospitalisations by SA3 2014/15</w:t>
      </w:r>
      <w:bookmarkEnd w:id="35"/>
      <w:bookmarkEnd w:id="36"/>
    </w:p>
    <w:p w14:paraId="1BF506D8" w14:textId="65681C60" w:rsidR="00C03F61" w:rsidRPr="00AF7228" w:rsidRDefault="00C03F61" w:rsidP="00C03F61">
      <w:pPr>
        <w:pStyle w:val="Heading5"/>
      </w:pPr>
      <w:r w:rsidRPr="00AF7228">
        <w:t xml:space="preserve">Utilisation of MBS, ATAPS and </w:t>
      </w:r>
      <w:bookmarkEnd w:id="26"/>
      <w:bookmarkEnd w:id="27"/>
      <w:r w:rsidRPr="00AF7228">
        <w:t>MHNIP</w:t>
      </w:r>
    </w:p>
    <w:p w14:paraId="2387F0BA" w14:textId="29BBEEB1" w:rsidR="00C03F61" w:rsidRPr="00AF7228" w:rsidRDefault="00C03F61" w:rsidP="00C03F61">
      <w:pPr>
        <w:pStyle w:val="BodyText"/>
      </w:pPr>
      <w:r w:rsidRPr="00C03F61">
        <w:t xml:space="preserve">Across the WentWest catchment, the areas of Blacktown and Merrylands – Guildford had the highest numbers of MBS services for mental health related items and GP Mental Health Treatment Plans, Mount Druitt also had high numbers of patients and services. </w:t>
      </w:r>
      <w:r w:rsidR="003B145C" w:rsidRPr="00AF7228">
        <w:t>Table 3 shows these by SA3 for different provider types and compares them to the average for WentWest and Australia.</w:t>
      </w:r>
    </w:p>
    <w:p w14:paraId="6227176C" w14:textId="77777777" w:rsidR="00C36AC7" w:rsidRPr="00AF7228" w:rsidRDefault="00C36AC7" w:rsidP="00C03F61">
      <w:pPr>
        <w:pStyle w:val="BodyText"/>
      </w:pPr>
    </w:p>
    <w:tbl>
      <w:tblPr>
        <w:tblStyle w:val="ConNetica"/>
        <w:tblW w:w="9407" w:type="dxa"/>
        <w:tblInd w:w="-4" w:type="dxa"/>
        <w:tblBorders>
          <w:top w:val="none" w:sz="0" w:space="0" w:color="auto"/>
          <w:bottom w:val="none" w:sz="0" w:space="0" w:color="auto"/>
          <w:insideH w:val="single" w:sz="4" w:space="0" w:color="003D69"/>
          <w:insideV w:val="none" w:sz="0" w:space="0" w:color="auto"/>
        </w:tblBorders>
        <w:tblLayout w:type="fixed"/>
        <w:tblLook w:val="04A0" w:firstRow="1" w:lastRow="0" w:firstColumn="1" w:lastColumn="0" w:noHBand="0" w:noVBand="1"/>
      </w:tblPr>
      <w:tblGrid>
        <w:gridCol w:w="1682"/>
        <w:gridCol w:w="770"/>
        <w:gridCol w:w="772"/>
        <w:gridCol w:w="772"/>
        <w:gridCol w:w="772"/>
        <w:gridCol w:w="772"/>
        <w:gridCol w:w="768"/>
        <w:gridCol w:w="776"/>
        <w:gridCol w:w="773"/>
        <w:gridCol w:w="772"/>
        <w:gridCol w:w="772"/>
        <w:gridCol w:w="6"/>
      </w:tblGrid>
      <w:tr w:rsidR="003B145C" w:rsidRPr="00AF7228" w14:paraId="78B466EA" w14:textId="77777777" w:rsidTr="00C36AC7">
        <w:trPr>
          <w:cnfStyle w:val="100000000000" w:firstRow="1" w:lastRow="0" w:firstColumn="0" w:lastColumn="0" w:oddVBand="0" w:evenVBand="0" w:oddHBand="0" w:evenHBand="0" w:firstRowFirstColumn="0" w:firstRowLastColumn="0" w:lastRowFirstColumn="0" w:lastRowLastColumn="0"/>
          <w:trHeight w:val="94"/>
        </w:trPr>
        <w:tc>
          <w:tcPr>
            <w:cnfStyle w:val="001000000000" w:firstRow="0" w:lastRow="0" w:firstColumn="1" w:lastColumn="0" w:oddVBand="0" w:evenVBand="0" w:oddHBand="0" w:evenHBand="0" w:firstRowFirstColumn="0" w:firstRowLastColumn="0" w:lastRowFirstColumn="0" w:lastRowLastColumn="0"/>
            <w:tcW w:w="9407" w:type="dxa"/>
            <w:gridSpan w:val="12"/>
            <w:tcBorders>
              <w:bottom w:val="nil"/>
            </w:tcBorders>
            <w:shd w:val="clear" w:color="auto" w:fill="auto"/>
          </w:tcPr>
          <w:p w14:paraId="7ED2D14D" w14:textId="77777777" w:rsidR="003B145C" w:rsidRPr="00AF7228" w:rsidRDefault="003B145C" w:rsidP="00C34200">
            <w:pPr>
              <w:pStyle w:val="TableCaption"/>
              <w:spacing w:before="0" w:after="0" w:line="200" w:lineRule="exact"/>
              <w:ind w:left="-89"/>
              <w:jc w:val="left"/>
              <w:rPr>
                <w:rFonts w:cs="Arial"/>
                <w:b w:val="0"/>
              </w:rPr>
            </w:pPr>
            <w:bookmarkStart w:id="37" w:name="OLE_LINK1"/>
            <w:bookmarkStart w:id="38" w:name="_Toc6237996"/>
            <w:r w:rsidRPr="00AF7228">
              <w:rPr>
                <w:rFonts w:cs="Arial"/>
                <w:b w:val="0"/>
                <w:color w:val="000000" w:themeColor="text1"/>
              </w:rPr>
              <w:lastRenderedPageBreak/>
              <w:t>MBS Mental Health Provider Type by SA3, Services rate per 100,000 (Not Age Standardised)</w:t>
            </w:r>
            <w:bookmarkEnd w:id="37"/>
            <w:bookmarkEnd w:id="38"/>
          </w:p>
        </w:tc>
      </w:tr>
      <w:tr w:rsidR="003B145C" w:rsidRPr="00AF7228" w14:paraId="15C56F22" w14:textId="77777777" w:rsidTr="00C36AC7">
        <w:trPr>
          <w:trHeight w:val="135"/>
        </w:trPr>
        <w:tc>
          <w:tcPr>
            <w:cnfStyle w:val="001000000000" w:firstRow="0" w:lastRow="0" w:firstColumn="1" w:lastColumn="0" w:oddVBand="0" w:evenVBand="0" w:oddHBand="0" w:evenHBand="0" w:firstRowFirstColumn="0" w:firstRowLastColumn="0" w:lastRowFirstColumn="0" w:lastRowLastColumn="0"/>
            <w:tcW w:w="1684" w:type="dxa"/>
            <w:vMerge w:val="restart"/>
            <w:tcBorders>
              <w:top w:val="nil"/>
              <w:bottom w:val="nil"/>
              <w:right w:val="single" w:sz="4" w:space="0" w:color="0D3B66"/>
            </w:tcBorders>
            <w:shd w:val="clear" w:color="auto" w:fill="003D69"/>
            <w:vAlign w:val="center"/>
            <w:hideMark/>
          </w:tcPr>
          <w:p w14:paraId="3BDD073C" w14:textId="3C55C813" w:rsidR="003B145C" w:rsidRPr="00AF7228" w:rsidRDefault="003B145C" w:rsidP="00C34200">
            <w:pPr>
              <w:jc w:val="center"/>
              <w:rPr>
                <w:rFonts w:cs="Arial"/>
                <w:b/>
                <w:bCs/>
                <w:color w:val="FFFFFF"/>
                <w:szCs w:val="18"/>
              </w:rPr>
            </w:pPr>
            <w:r w:rsidRPr="00AF7228">
              <w:rPr>
                <w:rFonts w:cs="Arial"/>
                <w:b/>
                <w:bCs/>
                <w:color w:val="FFFFFF"/>
                <w:szCs w:val="18"/>
              </w:rPr>
              <w:t>SA3</w:t>
            </w:r>
          </w:p>
        </w:tc>
        <w:tc>
          <w:tcPr>
            <w:tcW w:w="7722" w:type="dxa"/>
            <w:gridSpan w:val="11"/>
            <w:tcBorders>
              <w:top w:val="nil"/>
              <w:left w:val="single" w:sz="4" w:space="0" w:color="0D3B66"/>
              <w:bottom w:val="nil"/>
            </w:tcBorders>
            <w:shd w:val="clear" w:color="auto" w:fill="003D69"/>
            <w:hideMark/>
          </w:tcPr>
          <w:p w14:paraId="296B55C0" w14:textId="77777777" w:rsidR="003B145C" w:rsidRPr="00AF7228" w:rsidRDefault="003B145C" w:rsidP="00C34200">
            <w:pPr>
              <w:spacing w:before="0" w:after="0"/>
              <w:jc w:val="center"/>
              <w:cnfStyle w:val="000000000000" w:firstRow="0" w:lastRow="0" w:firstColumn="0" w:lastColumn="0" w:oddVBand="0" w:evenVBand="0" w:oddHBand="0" w:evenHBand="0" w:firstRowFirstColumn="0" w:firstRowLastColumn="0" w:lastRowFirstColumn="0" w:lastRowLastColumn="0"/>
              <w:rPr>
                <w:rFonts w:cs="Arial"/>
                <w:b/>
                <w:bCs/>
                <w:color w:val="FFFFFF"/>
                <w:szCs w:val="18"/>
              </w:rPr>
            </w:pPr>
            <w:r w:rsidRPr="00AF7228">
              <w:rPr>
                <w:rFonts w:cs="Arial"/>
                <w:b/>
                <w:bCs/>
                <w:color w:val="FFFFFF"/>
                <w:szCs w:val="18"/>
              </w:rPr>
              <w:t>Provider Type</w:t>
            </w:r>
          </w:p>
        </w:tc>
      </w:tr>
      <w:tr w:rsidR="00C36AC7" w:rsidRPr="00AF7228" w14:paraId="3F0DEFB6" w14:textId="77777777" w:rsidTr="00C36AC7">
        <w:trPr>
          <w:trHeight w:val="118"/>
        </w:trPr>
        <w:tc>
          <w:tcPr>
            <w:cnfStyle w:val="001000000000" w:firstRow="0" w:lastRow="0" w:firstColumn="1" w:lastColumn="0" w:oddVBand="0" w:evenVBand="0" w:oddHBand="0" w:evenHBand="0" w:firstRowFirstColumn="0" w:firstRowLastColumn="0" w:lastRowFirstColumn="0" w:lastRowLastColumn="0"/>
            <w:tcW w:w="1684" w:type="dxa"/>
            <w:vMerge/>
            <w:tcBorders>
              <w:top w:val="nil"/>
              <w:bottom w:val="nil"/>
              <w:right w:val="single" w:sz="4" w:space="0" w:color="0D3B66"/>
            </w:tcBorders>
            <w:shd w:val="clear" w:color="auto" w:fill="003D69"/>
            <w:hideMark/>
          </w:tcPr>
          <w:p w14:paraId="524530A9" w14:textId="77777777" w:rsidR="003B145C" w:rsidRPr="00AF7228" w:rsidRDefault="003B145C" w:rsidP="00C34200">
            <w:pPr>
              <w:rPr>
                <w:rFonts w:cs="Arial"/>
                <w:b/>
                <w:bCs/>
                <w:color w:val="FFFFFF"/>
                <w:szCs w:val="18"/>
              </w:rPr>
            </w:pPr>
          </w:p>
        </w:tc>
        <w:tc>
          <w:tcPr>
            <w:tcW w:w="1544" w:type="dxa"/>
            <w:gridSpan w:val="2"/>
            <w:tcBorders>
              <w:top w:val="nil"/>
              <w:left w:val="single" w:sz="4" w:space="0" w:color="0D3B66"/>
              <w:bottom w:val="nil"/>
              <w:right w:val="nil"/>
            </w:tcBorders>
            <w:shd w:val="clear" w:color="auto" w:fill="003D69"/>
            <w:vAlign w:val="center"/>
            <w:hideMark/>
          </w:tcPr>
          <w:p w14:paraId="43689DE8" w14:textId="77777777" w:rsidR="003B145C" w:rsidRPr="00AF7228" w:rsidRDefault="003B145C" w:rsidP="00C34200">
            <w:pPr>
              <w:spacing w:before="0" w:after="0"/>
              <w:jc w:val="center"/>
              <w:cnfStyle w:val="000000000000" w:firstRow="0" w:lastRow="0" w:firstColumn="0" w:lastColumn="0" w:oddVBand="0" w:evenVBand="0" w:oddHBand="0" w:evenHBand="0" w:firstRowFirstColumn="0" w:firstRowLastColumn="0" w:lastRowFirstColumn="0" w:lastRowLastColumn="0"/>
              <w:rPr>
                <w:rFonts w:cs="Arial"/>
                <w:b/>
                <w:bCs/>
                <w:color w:val="FFFFFF"/>
                <w:szCs w:val="18"/>
              </w:rPr>
            </w:pPr>
            <w:r w:rsidRPr="00AF7228">
              <w:rPr>
                <w:rFonts w:cs="Arial"/>
                <w:b/>
                <w:bCs/>
                <w:color w:val="FFFFFF"/>
                <w:szCs w:val="18"/>
              </w:rPr>
              <w:t>Psychiatrists</w:t>
            </w:r>
          </w:p>
        </w:tc>
        <w:tc>
          <w:tcPr>
            <w:tcW w:w="1544" w:type="dxa"/>
            <w:gridSpan w:val="2"/>
            <w:tcBorders>
              <w:top w:val="nil"/>
              <w:left w:val="nil"/>
              <w:bottom w:val="nil"/>
              <w:right w:val="nil"/>
            </w:tcBorders>
            <w:shd w:val="clear" w:color="auto" w:fill="003D69"/>
            <w:vAlign w:val="center"/>
          </w:tcPr>
          <w:p w14:paraId="1F7EB74F" w14:textId="77777777" w:rsidR="003B145C" w:rsidRPr="00AF7228" w:rsidRDefault="003B145C" w:rsidP="00C34200">
            <w:pPr>
              <w:spacing w:before="0" w:after="0"/>
              <w:jc w:val="center"/>
              <w:cnfStyle w:val="000000000000" w:firstRow="0" w:lastRow="0" w:firstColumn="0" w:lastColumn="0" w:oddVBand="0" w:evenVBand="0" w:oddHBand="0" w:evenHBand="0" w:firstRowFirstColumn="0" w:firstRowLastColumn="0" w:lastRowFirstColumn="0" w:lastRowLastColumn="0"/>
              <w:rPr>
                <w:rFonts w:cs="Arial"/>
                <w:b/>
                <w:bCs/>
                <w:color w:val="FFFFFF"/>
                <w:szCs w:val="18"/>
              </w:rPr>
            </w:pPr>
            <w:r w:rsidRPr="00AF7228">
              <w:rPr>
                <w:rFonts w:cs="Arial"/>
                <w:b/>
                <w:bCs/>
                <w:color w:val="FFFFFF"/>
                <w:szCs w:val="18"/>
              </w:rPr>
              <w:t>General Practitioners</w:t>
            </w:r>
          </w:p>
        </w:tc>
        <w:tc>
          <w:tcPr>
            <w:tcW w:w="1540" w:type="dxa"/>
            <w:gridSpan w:val="2"/>
            <w:tcBorders>
              <w:top w:val="nil"/>
              <w:left w:val="nil"/>
              <w:bottom w:val="nil"/>
              <w:right w:val="nil"/>
            </w:tcBorders>
            <w:shd w:val="clear" w:color="auto" w:fill="003D69"/>
            <w:vAlign w:val="center"/>
          </w:tcPr>
          <w:p w14:paraId="5B4B05FF" w14:textId="77777777" w:rsidR="003B145C" w:rsidRPr="00AF7228" w:rsidRDefault="003B145C" w:rsidP="00C34200">
            <w:pPr>
              <w:spacing w:before="0" w:after="0"/>
              <w:jc w:val="center"/>
              <w:cnfStyle w:val="000000000000" w:firstRow="0" w:lastRow="0" w:firstColumn="0" w:lastColumn="0" w:oddVBand="0" w:evenVBand="0" w:oddHBand="0" w:evenHBand="0" w:firstRowFirstColumn="0" w:firstRowLastColumn="0" w:lastRowFirstColumn="0" w:lastRowLastColumn="0"/>
              <w:rPr>
                <w:rFonts w:cs="Arial"/>
                <w:b/>
                <w:bCs/>
                <w:color w:val="FFFFFF"/>
                <w:szCs w:val="18"/>
              </w:rPr>
            </w:pPr>
            <w:r w:rsidRPr="00AF7228">
              <w:rPr>
                <w:rFonts w:cs="Arial"/>
                <w:b/>
                <w:bCs/>
                <w:color w:val="FFFFFF"/>
                <w:szCs w:val="18"/>
              </w:rPr>
              <w:t>Clinical Psychologists</w:t>
            </w:r>
          </w:p>
        </w:tc>
        <w:tc>
          <w:tcPr>
            <w:tcW w:w="1549" w:type="dxa"/>
            <w:gridSpan w:val="2"/>
            <w:tcBorders>
              <w:top w:val="nil"/>
              <w:left w:val="nil"/>
              <w:bottom w:val="nil"/>
              <w:right w:val="nil"/>
            </w:tcBorders>
            <w:shd w:val="clear" w:color="auto" w:fill="003D69"/>
            <w:vAlign w:val="center"/>
          </w:tcPr>
          <w:p w14:paraId="6831FF98" w14:textId="77777777" w:rsidR="003B145C" w:rsidRPr="00AF7228" w:rsidRDefault="003B145C" w:rsidP="00C34200">
            <w:pPr>
              <w:spacing w:before="0" w:after="0"/>
              <w:jc w:val="center"/>
              <w:cnfStyle w:val="000000000000" w:firstRow="0" w:lastRow="0" w:firstColumn="0" w:lastColumn="0" w:oddVBand="0" w:evenVBand="0" w:oddHBand="0" w:evenHBand="0" w:firstRowFirstColumn="0" w:firstRowLastColumn="0" w:lastRowFirstColumn="0" w:lastRowLastColumn="0"/>
              <w:rPr>
                <w:rFonts w:cs="Arial"/>
                <w:b/>
                <w:bCs/>
                <w:color w:val="FFFFFF"/>
                <w:szCs w:val="18"/>
              </w:rPr>
            </w:pPr>
            <w:r w:rsidRPr="00AF7228">
              <w:rPr>
                <w:rFonts w:cs="Arial"/>
                <w:b/>
                <w:bCs/>
                <w:color w:val="FFFFFF"/>
                <w:szCs w:val="18"/>
              </w:rPr>
              <w:t>Other Allied Health</w:t>
            </w:r>
          </w:p>
        </w:tc>
        <w:tc>
          <w:tcPr>
            <w:tcW w:w="1545" w:type="dxa"/>
            <w:gridSpan w:val="3"/>
            <w:tcBorders>
              <w:top w:val="nil"/>
              <w:left w:val="nil"/>
              <w:bottom w:val="nil"/>
              <w:right w:val="nil"/>
            </w:tcBorders>
            <w:shd w:val="clear" w:color="auto" w:fill="003D69"/>
            <w:vAlign w:val="center"/>
          </w:tcPr>
          <w:p w14:paraId="61276300" w14:textId="77777777" w:rsidR="003B145C" w:rsidRPr="00AF7228" w:rsidRDefault="003B145C" w:rsidP="00C34200">
            <w:pPr>
              <w:spacing w:before="0" w:after="0"/>
              <w:jc w:val="center"/>
              <w:cnfStyle w:val="000000000000" w:firstRow="0" w:lastRow="0" w:firstColumn="0" w:lastColumn="0" w:oddVBand="0" w:evenVBand="0" w:oddHBand="0" w:evenHBand="0" w:firstRowFirstColumn="0" w:firstRowLastColumn="0" w:lastRowFirstColumn="0" w:lastRowLastColumn="0"/>
              <w:rPr>
                <w:rFonts w:cs="Arial"/>
                <w:b/>
                <w:bCs/>
                <w:color w:val="FFFFFF"/>
                <w:szCs w:val="18"/>
              </w:rPr>
            </w:pPr>
            <w:r w:rsidRPr="00AF7228">
              <w:rPr>
                <w:rFonts w:cs="Arial"/>
                <w:b/>
                <w:bCs/>
                <w:color w:val="FFFFFF"/>
                <w:szCs w:val="18"/>
              </w:rPr>
              <w:t>Total</w:t>
            </w:r>
          </w:p>
        </w:tc>
      </w:tr>
      <w:tr w:rsidR="003B145C" w:rsidRPr="00AF7228" w14:paraId="78EAA560" w14:textId="77777777" w:rsidTr="00C36AC7">
        <w:trPr>
          <w:gridAfter w:val="1"/>
          <w:wAfter w:w="6" w:type="dxa"/>
          <w:trHeight w:val="133"/>
        </w:trPr>
        <w:tc>
          <w:tcPr>
            <w:cnfStyle w:val="001000000000" w:firstRow="0" w:lastRow="0" w:firstColumn="1" w:lastColumn="0" w:oddVBand="0" w:evenVBand="0" w:oddHBand="0" w:evenHBand="0" w:firstRowFirstColumn="0" w:firstRowLastColumn="0" w:lastRowFirstColumn="0" w:lastRowLastColumn="0"/>
            <w:tcW w:w="1684" w:type="dxa"/>
            <w:vMerge/>
            <w:tcBorders>
              <w:top w:val="nil"/>
              <w:bottom w:val="nil"/>
              <w:right w:val="single" w:sz="4" w:space="0" w:color="0D3B66"/>
            </w:tcBorders>
            <w:shd w:val="clear" w:color="auto" w:fill="003D69"/>
            <w:hideMark/>
          </w:tcPr>
          <w:p w14:paraId="14B1E47F" w14:textId="77777777" w:rsidR="003B145C" w:rsidRPr="00AF7228" w:rsidRDefault="003B145C" w:rsidP="00C34200">
            <w:pPr>
              <w:spacing w:before="0" w:after="0"/>
              <w:rPr>
                <w:rFonts w:cs="Arial"/>
                <w:b/>
                <w:bCs/>
                <w:color w:val="FFFFFF"/>
                <w:szCs w:val="18"/>
              </w:rPr>
            </w:pPr>
          </w:p>
        </w:tc>
        <w:tc>
          <w:tcPr>
            <w:tcW w:w="771" w:type="dxa"/>
            <w:tcBorders>
              <w:top w:val="nil"/>
              <w:left w:val="single" w:sz="4" w:space="0" w:color="0D3B66"/>
              <w:bottom w:val="nil"/>
              <w:right w:val="single" w:sz="4" w:space="0" w:color="E6E6E6"/>
            </w:tcBorders>
            <w:shd w:val="clear" w:color="auto" w:fill="E6E6E6"/>
            <w:tcMar>
              <w:left w:w="28" w:type="dxa"/>
              <w:right w:w="28" w:type="dxa"/>
            </w:tcMar>
            <w:vAlign w:val="center"/>
            <w:hideMark/>
          </w:tcPr>
          <w:p w14:paraId="0797ABA4" w14:textId="77777777" w:rsidR="003B145C" w:rsidRPr="00AF7228" w:rsidRDefault="003B145C" w:rsidP="00C34200">
            <w:pPr>
              <w:spacing w:before="0" w:after="0"/>
              <w:jc w:val="center"/>
              <w:cnfStyle w:val="000000000000" w:firstRow="0" w:lastRow="0" w:firstColumn="0" w:lastColumn="0" w:oddVBand="0" w:evenVBand="0" w:oddHBand="0" w:evenHBand="0" w:firstRowFirstColumn="0" w:firstRowLastColumn="0" w:lastRowFirstColumn="0" w:lastRowLastColumn="0"/>
              <w:rPr>
                <w:rFonts w:cs="Arial"/>
                <w:b/>
                <w:bCs/>
                <w:color w:val="000000"/>
                <w:szCs w:val="18"/>
              </w:rPr>
            </w:pPr>
            <w:r w:rsidRPr="00AF7228">
              <w:rPr>
                <w:rFonts w:cs="Arial"/>
                <w:b/>
                <w:bCs/>
                <w:color w:val="000000"/>
                <w:szCs w:val="18"/>
              </w:rPr>
              <w:t>2013/14</w:t>
            </w:r>
            <w:r w:rsidRPr="00AF7228">
              <w:rPr>
                <w:rFonts w:cs="Arial"/>
                <w:b/>
                <w:bCs/>
                <w:color w:val="000000"/>
                <w:sz w:val="16"/>
                <w:szCs w:val="16"/>
                <w:vertAlign w:val="superscript"/>
              </w:rPr>
              <w:t>*</w:t>
            </w:r>
          </w:p>
        </w:tc>
        <w:tc>
          <w:tcPr>
            <w:tcW w:w="772" w:type="dxa"/>
            <w:tcBorders>
              <w:top w:val="nil"/>
              <w:left w:val="single" w:sz="4" w:space="0" w:color="E6E6E6"/>
              <w:bottom w:val="nil"/>
              <w:right w:val="single" w:sz="4" w:space="0" w:color="E6E6E6"/>
            </w:tcBorders>
            <w:shd w:val="clear" w:color="auto" w:fill="E6E6E6"/>
            <w:tcMar>
              <w:left w:w="28" w:type="dxa"/>
              <w:right w:w="28" w:type="dxa"/>
            </w:tcMar>
            <w:vAlign w:val="center"/>
            <w:hideMark/>
          </w:tcPr>
          <w:p w14:paraId="60A05B56" w14:textId="77777777" w:rsidR="003B145C" w:rsidRPr="00AF7228" w:rsidRDefault="003B145C" w:rsidP="00C34200">
            <w:pPr>
              <w:spacing w:before="0" w:after="0"/>
              <w:jc w:val="center"/>
              <w:cnfStyle w:val="000000000000" w:firstRow="0" w:lastRow="0" w:firstColumn="0" w:lastColumn="0" w:oddVBand="0" w:evenVBand="0" w:oddHBand="0" w:evenHBand="0" w:firstRowFirstColumn="0" w:firstRowLastColumn="0" w:lastRowFirstColumn="0" w:lastRowLastColumn="0"/>
              <w:rPr>
                <w:rFonts w:cs="Arial"/>
                <w:b/>
                <w:bCs/>
                <w:color w:val="000000"/>
                <w:szCs w:val="18"/>
              </w:rPr>
            </w:pPr>
            <w:r w:rsidRPr="00AF7228">
              <w:rPr>
                <w:rFonts w:cs="Arial"/>
                <w:b/>
                <w:bCs/>
                <w:color w:val="000000"/>
                <w:szCs w:val="18"/>
              </w:rPr>
              <w:t>2014/15</w:t>
            </w:r>
            <w:r w:rsidRPr="00AF7228">
              <w:rPr>
                <w:sz w:val="16"/>
                <w:szCs w:val="16"/>
                <w:vertAlign w:val="superscript"/>
              </w:rPr>
              <w:t>†</w:t>
            </w:r>
          </w:p>
        </w:tc>
        <w:tc>
          <w:tcPr>
            <w:tcW w:w="772" w:type="dxa"/>
            <w:tcBorders>
              <w:top w:val="nil"/>
              <w:left w:val="single" w:sz="4" w:space="0" w:color="E6E6E6"/>
              <w:bottom w:val="nil"/>
              <w:right w:val="single" w:sz="4" w:space="0" w:color="E6E6E6"/>
            </w:tcBorders>
            <w:shd w:val="clear" w:color="auto" w:fill="E6E6E6"/>
            <w:tcMar>
              <w:left w:w="28" w:type="dxa"/>
              <w:right w:w="28" w:type="dxa"/>
            </w:tcMar>
            <w:vAlign w:val="center"/>
            <w:hideMark/>
          </w:tcPr>
          <w:p w14:paraId="02DCEB41" w14:textId="77777777" w:rsidR="003B145C" w:rsidRPr="00AF7228" w:rsidRDefault="003B145C" w:rsidP="00C34200">
            <w:pPr>
              <w:spacing w:before="0" w:after="0"/>
              <w:jc w:val="center"/>
              <w:cnfStyle w:val="000000000000" w:firstRow="0" w:lastRow="0" w:firstColumn="0" w:lastColumn="0" w:oddVBand="0" w:evenVBand="0" w:oddHBand="0" w:evenHBand="0" w:firstRowFirstColumn="0" w:firstRowLastColumn="0" w:lastRowFirstColumn="0" w:lastRowLastColumn="0"/>
              <w:rPr>
                <w:rFonts w:cs="Arial"/>
                <w:b/>
                <w:bCs/>
                <w:color w:val="000000"/>
                <w:szCs w:val="18"/>
              </w:rPr>
            </w:pPr>
            <w:r w:rsidRPr="00AF7228">
              <w:rPr>
                <w:rFonts w:cs="Arial"/>
                <w:b/>
                <w:bCs/>
                <w:color w:val="000000"/>
                <w:szCs w:val="18"/>
              </w:rPr>
              <w:t>2013/14</w:t>
            </w:r>
            <w:r w:rsidRPr="00AF7228">
              <w:rPr>
                <w:rFonts w:cs="Arial"/>
                <w:b/>
                <w:bCs/>
                <w:color w:val="000000"/>
                <w:sz w:val="16"/>
                <w:szCs w:val="16"/>
                <w:vertAlign w:val="superscript"/>
              </w:rPr>
              <w:t>*</w:t>
            </w:r>
          </w:p>
        </w:tc>
        <w:tc>
          <w:tcPr>
            <w:tcW w:w="771" w:type="dxa"/>
            <w:tcBorders>
              <w:top w:val="nil"/>
              <w:left w:val="single" w:sz="4" w:space="0" w:color="E6E6E6"/>
              <w:bottom w:val="nil"/>
              <w:right w:val="single" w:sz="4" w:space="0" w:color="E6E6E6"/>
            </w:tcBorders>
            <w:shd w:val="clear" w:color="auto" w:fill="E6E6E6"/>
            <w:tcMar>
              <w:left w:w="28" w:type="dxa"/>
              <w:right w:w="28" w:type="dxa"/>
            </w:tcMar>
            <w:vAlign w:val="center"/>
            <w:hideMark/>
          </w:tcPr>
          <w:p w14:paraId="7039DD80" w14:textId="77777777" w:rsidR="003B145C" w:rsidRPr="00AF7228" w:rsidRDefault="003B145C" w:rsidP="00C34200">
            <w:pPr>
              <w:spacing w:before="0" w:after="0"/>
              <w:jc w:val="center"/>
              <w:cnfStyle w:val="000000000000" w:firstRow="0" w:lastRow="0" w:firstColumn="0" w:lastColumn="0" w:oddVBand="0" w:evenVBand="0" w:oddHBand="0" w:evenHBand="0" w:firstRowFirstColumn="0" w:firstRowLastColumn="0" w:lastRowFirstColumn="0" w:lastRowLastColumn="0"/>
              <w:rPr>
                <w:rFonts w:cs="Arial"/>
                <w:b/>
                <w:bCs/>
                <w:color w:val="000000"/>
                <w:szCs w:val="18"/>
              </w:rPr>
            </w:pPr>
            <w:r w:rsidRPr="00AF7228">
              <w:rPr>
                <w:rFonts w:cs="Arial"/>
                <w:b/>
                <w:bCs/>
                <w:color w:val="000000"/>
                <w:szCs w:val="18"/>
              </w:rPr>
              <w:t>2014/15</w:t>
            </w:r>
            <w:r w:rsidRPr="00AF7228">
              <w:rPr>
                <w:sz w:val="16"/>
                <w:szCs w:val="16"/>
                <w:vertAlign w:val="superscript"/>
              </w:rPr>
              <w:t>†</w:t>
            </w:r>
          </w:p>
        </w:tc>
        <w:tc>
          <w:tcPr>
            <w:tcW w:w="772" w:type="dxa"/>
            <w:tcBorders>
              <w:top w:val="nil"/>
              <w:left w:val="single" w:sz="4" w:space="0" w:color="E6E6E6"/>
              <w:bottom w:val="nil"/>
              <w:right w:val="single" w:sz="4" w:space="0" w:color="E6E6E6"/>
            </w:tcBorders>
            <w:shd w:val="clear" w:color="auto" w:fill="E6E6E6"/>
            <w:tcMar>
              <w:left w:w="28" w:type="dxa"/>
              <w:right w:w="28" w:type="dxa"/>
            </w:tcMar>
            <w:vAlign w:val="center"/>
            <w:hideMark/>
          </w:tcPr>
          <w:p w14:paraId="76F35CE1" w14:textId="77777777" w:rsidR="003B145C" w:rsidRPr="00AF7228" w:rsidRDefault="003B145C" w:rsidP="00C34200">
            <w:pPr>
              <w:spacing w:before="0" w:after="0"/>
              <w:jc w:val="center"/>
              <w:cnfStyle w:val="000000000000" w:firstRow="0" w:lastRow="0" w:firstColumn="0" w:lastColumn="0" w:oddVBand="0" w:evenVBand="0" w:oddHBand="0" w:evenHBand="0" w:firstRowFirstColumn="0" w:firstRowLastColumn="0" w:lastRowFirstColumn="0" w:lastRowLastColumn="0"/>
              <w:rPr>
                <w:rFonts w:cs="Arial"/>
                <w:b/>
                <w:bCs/>
                <w:color w:val="000000"/>
                <w:szCs w:val="18"/>
              </w:rPr>
            </w:pPr>
            <w:r w:rsidRPr="00AF7228">
              <w:rPr>
                <w:rFonts w:cs="Arial"/>
                <w:b/>
                <w:bCs/>
                <w:color w:val="000000"/>
                <w:szCs w:val="18"/>
              </w:rPr>
              <w:t>2013/14</w:t>
            </w:r>
            <w:r w:rsidRPr="00AF7228">
              <w:rPr>
                <w:rFonts w:cs="Arial"/>
                <w:b/>
                <w:bCs/>
                <w:color w:val="000000"/>
                <w:sz w:val="16"/>
                <w:szCs w:val="16"/>
                <w:vertAlign w:val="superscript"/>
              </w:rPr>
              <w:t>*</w:t>
            </w:r>
          </w:p>
        </w:tc>
        <w:tc>
          <w:tcPr>
            <w:tcW w:w="767" w:type="dxa"/>
            <w:tcBorders>
              <w:top w:val="nil"/>
              <w:left w:val="single" w:sz="4" w:space="0" w:color="E6E6E6"/>
              <w:bottom w:val="nil"/>
              <w:right w:val="single" w:sz="4" w:space="0" w:color="E6E6E6"/>
            </w:tcBorders>
            <w:shd w:val="clear" w:color="auto" w:fill="E6E6E6"/>
            <w:tcMar>
              <w:left w:w="28" w:type="dxa"/>
              <w:right w:w="28" w:type="dxa"/>
            </w:tcMar>
            <w:vAlign w:val="center"/>
            <w:hideMark/>
          </w:tcPr>
          <w:p w14:paraId="713F0B5D" w14:textId="77777777" w:rsidR="003B145C" w:rsidRPr="00AF7228" w:rsidRDefault="003B145C" w:rsidP="00C34200">
            <w:pPr>
              <w:spacing w:before="0" w:after="0"/>
              <w:jc w:val="center"/>
              <w:cnfStyle w:val="000000000000" w:firstRow="0" w:lastRow="0" w:firstColumn="0" w:lastColumn="0" w:oddVBand="0" w:evenVBand="0" w:oddHBand="0" w:evenHBand="0" w:firstRowFirstColumn="0" w:firstRowLastColumn="0" w:lastRowFirstColumn="0" w:lastRowLastColumn="0"/>
              <w:rPr>
                <w:rFonts w:cs="Arial"/>
                <w:b/>
                <w:bCs/>
                <w:color w:val="000000"/>
                <w:szCs w:val="18"/>
              </w:rPr>
            </w:pPr>
            <w:r w:rsidRPr="00AF7228">
              <w:rPr>
                <w:rFonts w:cs="Arial"/>
                <w:b/>
                <w:bCs/>
                <w:color w:val="000000"/>
                <w:szCs w:val="18"/>
              </w:rPr>
              <w:t>2014/15</w:t>
            </w:r>
            <w:r w:rsidRPr="00AF7228">
              <w:rPr>
                <w:sz w:val="16"/>
                <w:szCs w:val="16"/>
                <w:vertAlign w:val="superscript"/>
              </w:rPr>
              <w:t>†</w:t>
            </w:r>
          </w:p>
        </w:tc>
        <w:tc>
          <w:tcPr>
            <w:tcW w:w="776" w:type="dxa"/>
            <w:tcBorders>
              <w:top w:val="nil"/>
              <w:left w:val="single" w:sz="4" w:space="0" w:color="E6E6E6"/>
              <w:bottom w:val="nil"/>
              <w:right w:val="single" w:sz="4" w:space="0" w:color="E6E6E6"/>
            </w:tcBorders>
            <w:shd w:val="clear" w:color="auto" w:fill="E6E6E6"/>
            <w:tcMar>
              <w:left w:w="28" w:type="dxa"/>
              <w:right w:w="28" w:type="dxa"/>
            </w:tcMar>
            <w:vAlign w:val="center"/>
            <w:hideMark/>
          </w:tcPr>
          <w:p w14:paraId="1AA3D0B8" w14:textId="77777777" w:rsidR="003B145C" w:rsidRPr="00AF7228" w:rsidRDefault="003B145C" w:rsidP="00C34200">
            <w:pPr>
              <w:spacing w:before="0" w:after="0"/>
              <w:jc w:val="center"/>
              <w:cnfStyle w:val="000000000000" w:firstRow="0" w:lastRow="0" w:firstColumn="0" w:lastColumn="0" w:oddVBand="0" w:evenVBand="0" w:oddHBand="0" w:evenHBand="0" w:firstRowFirstColumn="0" w:firstRowLastColumn="0" w:lastRowFirstColumn="0" w:lastRowLastColumn="0"/>
              <w:rPr>
                <w:rFonts w:cs="Arial"/>
                <w:b/>
                <w:bCs/>
                <w:color w:val="000000"/>
                <w:szCs w:val="18"/>
              </w:rPr>
            </w:pPr>
            <w:r w:rsidRPr="00AF7228">
              <w:rPr>
                <w:rFonts w:cs="Arial"/>
                <w:b/>
                <w:bCs/>
                <w:color w:val="000000"/>
                <w:szCs w:val="18"/>
              </w:rPr>
              <w:t>2013/14</w:t>
            </w:r>
            <w:r w:rsidRPr="00AF7228">
              <w:rPr>
                <w:rFonts w:cs="Arial"/>
                <w:b/>
                <w:bCs/>
                <w:color w:val="000000"/>
                <w:sz w:val="16"/>
                <w:szCs w:val="16"/>
                <w:vertAlign w:val="superscript"/>
              </w:rPr>
              <w:t>*</w:t>
            </w:r>
          </w:p>
        </w:tc>
        <w:tc>
          <w:tcPr>
            <w:tcW w:w="772" w:type="dxa"/>
            <w:tcBorders>
              <w:top w:val="nil"/>
              <w:left w:val="single" w:sz="4" w:space="0" w:color="E6E6E6"/>
              <w:bottom w:val="nil"/>
              <w:right w:val="single" w:sz="4" w:space="0" w:color="E6E6E6"/>
            </w:tcBorders>
            <w:shd w:val="clear" w:color="auto" w:fill="E6E6E6"/>
            <w:tcMar>
              <w:left w:w="28" w:type="dxa"/>
              <w:right w:w="28" w:type="dxa"/>
            </w:tcMar>
            <w:vAlign w:val="center"/>
            <w:hideMark/>
          </w:tcPr>
          <w:p w14:paraId="198AE5E8" w14:textId="77777777" w:rsidR="003B145C" w:rsidRPr="00AF7228" w:rsidRDefault="003B145C" w:rsidP="00C34200">
            <w:pPr>
              <w:spacing w:before="0" w:after="0"/>
              <w:jc w:val="center"/>
              <w:cnfStyle w:val="000000000000" w:firstRow="0" w:lastRow="0" w:firstColumn="0" w:lastColumn="0" w:oddVBand="0" w:evenVBand="0" w:oddHBand="0" w:evenHBand="0" w:firstRowFirstColumn="0" w:firstRowLastColumn="0" w:lastRowFirstColumn="0" w:lastRowLastColumn="0"/>
              <w:rPr>
                <w:rFonts w:cs="Arial"/>
                <w:b/>
                <w:bCs/>
                <w:color w:val="000000"/>
                <w:szCs w:val="18"/>
              </w:rPr>
            </w:pPr>
            <w:r w:rsidRPr="00AF7228">
              <w:rPr>
                <w:rFonts w:cs="Arial"/>
                <w:b/>
                <w:bCs/>
                <w:color w:val="000000"/>
                <w:szCs w:val="18"/>
              </w:rPr>
              <w:t>2014/15</w:t>
            </w:r>
            <w:r w:rsidRPr="00AF7228">
              <w:rPr>
                <w:sz w:val="16"/>
                <w:szCs w:val="16"/>
                <w:vertAlign w:val="superscript"/>
              </w:rPr>
              <w:t>†</w:t>
            </w:r>
          </w:p>
        </w:tc>
        <w:tc>
          <w:tcPr>
            <w:tcW w:w="772" w:type="dxa"/>
            <w:tcBorders>
              <w:top w:val="nil"/>
              <w:left w:val="single" w:sz="4" w:space="0" w:color="E6E6E6"/>
              <w:bottom w:val="nil"/>
              <w:right w:val="single" w:sz="4" w:space="0" w:color="E6E6E6"/>
            </w:tcBorders>
            <w:shd w:val="clear" w:color="auto" w:fill="E6E6E6"/>
            <w:tcMar>
              <w:left w:w="28" w:type="dxa"/>
              <w:right w:w="28" w:type="dxa"/>
            </w:tcMar>
            <w:vAlign w:val="center"/>
            <w:hideMark/>
          </w:tcPr>
          <w:p w14:paraId="00A2BE91" w14:textId="77777777" w:rsidR="003B145C" w:rsidRPr="00AF7228" w:rsidRDefault="003B145C" w:rsidP="00C34200">
            <w:pPr>
              <w:spacing w:before="0" w:after="0"/>
              <w:jc w:val="center"/>
              <w:cnfStyle w:val="000000000000" w:firstRow="0" w:lastRow="0" w:firstColumn="0" w:lastColumn="0" w:oddVBand="0" w:evenVBand="0" w:oddHBand="0" w:evenHBand="0" w:firstRowFirstColumn="0" w:firstRowLastColumn="0" w:lastRowFirstColumn="0" w:lastRowLastColumn="0"/>
              <w:rPr>
                <w:rFonts w:cs="Arial"/>
                <w:b/>
                <w:bCs/>
                <w:color w:val="000000"/>
                <w:szCs w:val="18"/>
              </w:rPr>
            </w:pPr>
            <w:r w:rsidRPr="00AF7228">
              <w:rPr>
                <w:rFonts w:cs="Arial"/>
                <w:b/>
                <w:bCs/>
                <w:color w:val="000000"/>
                <w:szCs w:val="18"/>
              </w:rPr>
              <w:t>2013/14</w:t>
            </w:r>
            <w:r w:rsidRPr="00AF7228">
              <w:rPr>
                <w:rFonts w:cs="Arial"/>
                <w:b/>
                <w:bCs/>
                <w:color w:val="000000"/>
                <w:sz w:val="16"/>
                <w:szCs w:val="16"/>
                <w:vertAlign w:val="superscript"/>
              </w:rPr>
              <w:t>*</w:t>
            </w:r>
          </w:p>
        </w:tc>
        <w:tc>
          <w:tcPr>
            <w:tcW w:w="772" w:type="dxa"/>
            <w:tcBorders>
              <w:top w:val="nil"/>
              <w:left w:val="single" w:sz="4" w:space="0" w:color="E6E6E6"/>
              <w:bottom w:val="nil"/>
              <w:right w:val="single" w:sz="4" w:space="0" w:color="E6E6E6"/>
            </w:tcBorders>
            <w:shd w:val="clear" w:color="auto" w:fill="E6E6E6"/>
            <w:tcMar>
              <w:left w:w="28" w:type="dxa"/>
              <w:right w:w="28" w:type="dxa"/>
            </w:tcMar>
            <w:vAlign w:val="center"/>
            <w:hideMark/>
          </w:tcPr>
          <w:p w14:paraId="7E756683" w14:textId="77777777" w:rsidR="003B145C" w:rsidRPr="00AF7228" w:rsidRDefault="003B145C" w:rsidP="00C34200">
            <w:pPr>
              <w:spacing w:before="0" w:after="0"/>
              <w:jc w:val="center"/>
              <w:cnfStyle w:val="000000000000" w:firstRow="0" w:lastRow="0" w:firstColumn="0" w:lastColumn="0" w:oddVBand="0" w:evenVBand="0" w:oddHBand="0" w:evenHBand="0" w:firstRowFirstColumn="0" w:firstRowLastColumn="0" w:lastRowFirstColumn="0" w:lastRowLastColumn="0"/>
              <w:rPr>
                <w:rFonts w:cs="Arial"/>
                <w:b/>
                <w:bCs/>
                <w:color w:val="000000"/>
                <w:szCs w:val="18"/>
              </w:rPr>
            </w:pPr>
            <w:r w:rsidRPr="00AF7228">
              <w:rPr>
                <w:rFonts w:cs="Arial"/>
                <w:b/>
                <w:bCs/>
                <w:color w:val="000000"/>
                <w:szCs w:val="18"/>
              </w:rPr>
              <w:t>2014/15</w:t>
            </w:r>
            <w:r w:rsidRPr="00AF7228">
              <w:rPr>
                <w:sz w:val="16"/>
                <w:szCs w:val="16"/>
                <w:vertAlign w:val="superscript"/>
              </w:rPr>
              <w:t>†</w:t>
            </w:r>
          </w:p>
        </w:tc>
      </w:tr>
      <w:tr w:rsidR="00C36AC7" w:rsidRPr="00AF7228" w14:paraId="0ACD4F24" w14:textId="77777777" w:rsidTr="00C36AC7">
        <w:trPr>
          <w:gridAfter w:val="1"/>
          <w:wAfter w:w="6" w:type="dxa"/>
          <w:trHeight w:val="347"/>
        </w:trPr>
        <w:tc>
          <w:tcPr>
            <w:cnfStyle w:val="001000000000" w:firstRow="0" w:lastRow="0" w:firstColumn="1" w:lastColumn="0" w:oddVBand="0" w:evenVBand="0" w:oddHBand="0" w:evenHBand="0" w:firstRowFirstColumn="0" w:firstRowLastColumn="0" w:lastRowFirstColumn="0" w:lastRowLastColumn="0"/>
            <w:tcW w:w="1684" w:type="dxa"/>
            <w:tcBorders>
              <w:top w:val="nil"/>
              <w:bottom w:val="single" w:sz="4" w:space="0" w:color="003D69"/>
            </w:tcBorders>
            <w:shd w:val="clear" w:color="auto" w:fill="E6E6E6"/>
            <w:vAlign w:val="center"/>
          </w:tcPr>
          <w:p w14:paraId="5CD74DEF" w14:textId="77777777" w:rsidR="003B145C" w:rsidRPr="00AF7228" w:rsidRDefault="003B145C" w:rsidP="003B145C">
            <w:pPr>
              <w:pStyle w:val="TableText"/>
            </w:pPr>
            <w:r w:rsidRPr="00AF7228">
              <w:t xml:space="preserve">Auburn </w:t>
            </w:r>
          </w:p>
        </w:tc>
        <w:tc>
          <w:tcPr>
            <w:tcW w:w="771" w:type="dxa"/>
            <w:tcBorders>
              <w:top w:val="nil"/>
              <w:bottom w:val="single" w:sz="4" w:space="0" w:color="003D69"/>
            </w:tcBorders>
            <w:noWrap/>
            <w:tcMar>
              <w:left w:w="0" w:type="dxa"/>
              <w:right w:w="0" w:type="dxa"/>
            </w:tcMar>
            <w:vAlign w:val="center"/>
          </w:tcPr>
          <w:p w14:paraId="4AD59F9E"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6,231</w:t>
            </w:r>
          </w:p>
        </w:tc>
        <w:tc>
          <w:tcPr>
            <w:tcW w:w="772" w:type="dxa"/>
            <w:tcBorders>
              <w:top w:val="nil"/>
              <w:bottom w:val="single" w:sz="4" w:space="0" w:color="003D69"/>
            </w:tcBorders>
            <w:noWrap/>
            <w:tcMar>
              <w:left w:w="0" w:type="dxa"/>
              <w:right w:w="0" w:type="dxa"/>
            </w:tcMar>
            <w:vAlign w:val="center"/>
          </w:tcPr>
          <w:p w14:paraId="0059496B"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5,388</w:t>
            </w:r>
          </w:p>
        </w:tc>
        <w:tc>
          <w:tcPr>
            <w:tcW w:w="772" w:type="dxa"/>
            <w:tcBorders>
              <w:top w:val="nil"/>
              <w:bottom w:val="single" w:sz="4" w:space="0" w:color="003D69"/>
            </w:tcBorders>
            <w:noWrap/>
            <w:tcMar>
              <w:left w:w="0" w:type="dxa"/>
              <w:right w:w="0" w:type="dxa"/>
            </w:tcMar>
            <w:vAlign w:val="center"/>
          </w:tcPr>
          <w:p w14:paraId="7C623940"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7,701</w:t>
            </w:r>
          </w:p>
        </w:tc>
        <w:tc>
          <w:tcPr>
            <w:tcW w:w="771" w:type="dxa"/>
            <w:tcBorders>
              <w:top w:val="nil"/>
              <w:bottom w:val="single" w:sz="4" w:space="0" w:color="003D69"/>
            </w:tcBorders>
            <w:noWrap/>
            <w:tcMar>
              <w:left w:w="0" w:type="dxa"/>
              <w:right w:w="0" w:type="dxa"/>
            </w:tcMar>
            <w:vAlign w:val="center"/>
          </w:tcPr>
          <w:p w14:paraId="5F3B52F9"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7,792</w:t>
            </w:r>
          </w:p>
        </w:tc>
        <w:tc>
          <w:tcPr>
            <w:tcW w:w="772" w:type="dxa"/>
            <w:tcBorders>
              <w:top w:val="nil"/>
              <w:bottom w:val="single" w:sz="4" w:space="0" w:color="003D69"/>
            </w:tcBorders>
            <w:noWrap/>
            <w:tcMar>
              <w:left w:w="0" w:type="dxa"/>
              <w:right w:w="0" w:type="dxa"/>
            </w:tcMar>
            <w:vAlign w:val="center"/>
          </w:tcPr>
          <w:p w14:paraId="01EAF2F4"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3,745</w:t>
            </w:r>
          </w:p>
        </w:tc>
        <w:tc>
          <w:tcPr>
            <w:tcW w:w="767" w:type="dxa"/>
            <w:tcBorders>
              <w:top w:val="nil"/>
              <w:bottom w:val="single" w:sz="4" w:space="0" w:color="003D69"/>
            </w:tcBorders>
            <w:noWrap/>
            <w:tcMar>
              <w:left w:w="0" w:type="dxa"/>
              <w:right w:w="0" w:type="dxa"/>
            </w:tcMar>
            <w:vAlign w:val="center"/>
          </w:tcPr>
          <w:p w14:paraId="2D771B9C"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4,041</w:t>
            </w:r>
          </w:p>
        </w:tc>
        <w:tc>
          <w:tcPr>
            <w:tcW w:w="776" w:type="dxa"/>
            <w:tcBorders>
              <w:top w:val="nil"/>
              <w:bottom w:val="single" w:sz="4" w:space="0" w:color="003D69"/>
            </w:tcBorders>
            <w:noWrap/>
            <w:tcMar>
              <w:left w:w="28" w:type="dxa"/>
              <w:right w:w="28" w:type="dxa"/>
            </w:tcMar>
            <w:vAlign w:val="center"/>
          </w:tcPr>
          <w:p w14:paraId="4D6B0684"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9,611</w:t>
            </w:r>
          </w:p>
        </w:tc>
        <w:tc>
          <w:tcPr>
            <w:tcW w:w="772" w:type="dxa"/>
            <w:tcBorders>
              <w:top w:val="nil"/>
              <w:bottom w:val="single" w:sz="4" w:space="0" w:color="003D69"/>
            </w:tcBorders>
            <w:noWrap/>
            <w:tcMar>
              <w:left w:w="28" w:type="dxa"/>
              <w:right w:w="28" w:type="dxa"/>
            </w:tcMar>
            <w:vAlign w:val="center"/>
          </w:tcPr>
          <w:p w14:paraId="1DE5D471"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10,018</w:t>
            </w:r>
          </w:p>
        </w:tc>
        <w:tc>
          <w:tcPr>
            <w:tcW w:w="772" w:type="dxa"/>
            <w:tcBorders>
              <w:top w:val="nil"/>
              <w:bottom w:val="single" w:sz="4" w:space="0" w:color="003D69"/>
            </w:tcBorders>
            <w:noWrap/>
            <w:tcMar>
              <w:left w:w="28" w:type="dxa"/>
              <w:right w:w="28" w:type="dxa"/>
            </w:tcMar>
            <w:vAlign w:val="center"/>
          </w:tcPr>
          <w:p w14:paraId="1513A867"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27,288</w:t>
            </w:r>
          </w:p>
        </w:tc>
        <w:tc>
          <w:tcPr>
            <w:tcW w:w="772" w:type="dxa"/>
            <w:tcBorders>
              <w:top w:val="nil"/>
              <w:bottom w:val="single" w:sz="4" w:space="0" w:color="003D69"/>
            </w:tcBorders>
            <w:noWrap/>
            <w:tcMar>
              <w:left w:w="28" w:type="dxa"/>
              <w:right w:w="28" w:type="dxa"/>
            </w:tcMar>
            <w:vAlign w:val="center"/>
          </w:tcPr>
          <w:p w14:paraId="2E30377C"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27,239</w:t>
            </w:r>
          </w:p>
        </w:tc>
      </w:tr>
      <w:tr w:rsidR="00C36AC7" w:rsidRPr="00AF7228" w14:paraId="3D750330" w14:textId="77777777" w:rsidTr="00C36AC7">
        <w:trPr>
          <w:gridAfter w:val="1"/>
          <w:wAfter w:w="6" w:type="dxa"/>
          <w:trHeight w:val="347"/>
        </w:trPr>
        <w:tc>
          <w:tcPr>
            <w:cnfStyle w:val="001000000000" w:firstRow="0" w:lastRow="0" w:firstColumn="1" w:lastColumn="0" w:oddVBand="0" w:evenVBand="0" w:oddHBand="0" w:evenHBand="0" w:firstRowFirstColumn="0" w:firstRowLastColumn="0" w:lastRowFirstColumn="0" w:lastRowLastColumn="0"/>
            <w:tcW w:w="1684" w:type="dxa"/>
            <w:tcBorders>
              <w:top w:val="nil"/>
              <w:bottom w:val="single" w:sz="4" w:space="0" w:color="003D69"/>
            </w:tcBorders>
            <w:shd w:val="clear" w:color="auto" w:fill="E6E6E6"/>
            <w:vAlign w:val="center"/>
            <w:hideMark/>
          </w:tcPr>
          <w:p w14:paraId="0161C94F" w14:textId="77777777" w:rsidR="003B145C" w:rsidRPr="00AF7228" w:rsidRDefault="003B145C" w:rsidP="003B145C">
            <w:pPr>
              <w:pStyle w:val="TableText"/>
            </w:pPr>
            <w:r w:rsidRPr="00AF7228">
              <w:t xml:space="preserve">Baulkham Hills </w:t>
            </w:r>
          </w:p>
        </w:tc>
        <w:tc>
          <w:tcPr>
            <w:tcW w:w="771" w:type="dxa"/>
            <w:tcBorders>
              <w:top w:val="nil"/>
              <w:bottom w:val="single" w:sz="4" w:space="0" w:color="003D69"/>
            </w:tcBorders>
            <w:noWrap/>
            <w:tcMar>
              <w:left w:w="0" w:type="dxa"/>
              <w:right w:w="0" w:type="dxa"/>
            </w:tcMar>
            <w:vAlign w:val="center"/>
          </w:tcPr>
          <w:p w14:paraId="1F749C24"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10,733</w:t>
            </w:r>
          </w:p>
        </w:tc>
        <w:tc>
          <w:tcPr>
            <w:tcW w:w="772" w:type="dxa"/>
            <w:tcBorders>
              <w:top w:val="nil"/>
              <w:bottom w:val="single" w:sz="4" w:space="0" w:color="003D69"/>
            </w:tcBorders>
            <w:noWrap/>
            <w:tcMar>
              <w:left w:w="0" w:type="dxa"/>
              <w:right w:w="0" w:type="dxa"/>
            </w:tcMar>
            <w:vAlign w:val="center"/>
          </w:tcPr>
          <w:p w14:paraId="5796CCA5"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10,900</w:t>
            </w:r>
          </w:p>
        </w:tc>
        <w:tc>
          <w:tcPr>
            <w:tcW w:w="772" w:type="dxa"/>
            <w:tcBorders>
              <w:top w:val="nil"/>
              <w:bottom w:val="single" w:sz="4" w:space="0" w:color="003D69"/>
            </w:tcBorders>
            <w:noWrap/>
            <w:tcMar>
              <w:left w:w="0" w:type="dxa"/>
              <w:right w:w="0" w:type="dxa"/>
            </w:tcMar>
            <w:vAlign w:val="center"/>
          </w:tcPr>
          <w:p w14:paraId="4F35CACB"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10,647</w:t>
            </w:r>
          </w:p>
        </w:tc>
        <w:tc>
          <w:tcPr>
            <w:tcW w:w="771" w:type="dxa"/>
            <w:tcBorders>
              <w:top w:val="nil"/>
              <w:bottom w:val="single" w:sz="4" w:space="0" w:color="003D69"/>
            </w:tcBorders>
            <w:noWrap/>
            <w:tcMar>
              <w:left w:w="0" w:type="dxa"/>
              <w:right w:w="0" w:type="dxa"/>
            </w:tcMar>
            <w:vAlign w:val="center"/>
          </w:tcPr>
          <w:p w14:paraId="5DB19EAB"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11,110</w:t>
            </w:r>
          </w:p>
        </w:tc>
        <w:tc>
          <w:tcPr>
            <w:tcW w:w="772" w:type="dxa"/>
            <w:tcBorders>
              <w:top w:val="nil"/>
              <w:bottom w:val="single" w:sz="4" w:space="0" w:color="003D69"/>
            </w:tcBorders>
            <w:noWrap/>
            <w:tcMar>
              <w:left w:w="0" w:type="dxa"/>
              <w:right w:w="0" w:type="dxa"/>
            </w:tcMar>
            <w:vAlign w:val="center"/>
          </w:tcPr>
          <w:p w14:paraId="0220E68F"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7,677</w:t>
            </w:r>
          </w:p>
        </w:tc>
        <w:tc>
          <w:tcPr>
            <w:tcW w:w="767" w:type="dxa"/>
            <w:tcBorders>
              <w:top w:val="nil"/>
              <w:bottom w:val="single" w:sz="4" w:space="0" w:color="003D69"/>
            </w:tcBorders>
            <w:noWrap/>
            <w:tcMar>
              <w:left w:w="0" w:type="dxa"/>
              <w:right w:w="0" w:type="dxa"/>
            </w:tcMar>
            <w:vAlign w:val="center"/>
          </w:tcPr>
          <w:p w14:paraId="4339A6A9"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7,841</w:t>
            </w:r>
          </w:p>
        </w:tc>
        <w:tc>
          <w:tcPr>
            <w:tcW w:w="776" w:type="dxa"/>
            <w:tcBorders>
              <w:top w:val="nil"/>
              <w:bottom w:val="single" w:sz="4" w:space="0" w:color="003D69"/>
            </w:tcBorders>
            <w:noWrap/>
            <w:tcMar>
              <w:left w:w="28" w:type="dxa"/>
              <w:right w:w="28" w:type="dxa"/>
            </w:tcMar>
            <w:vAlign w:val="center"/>
          </w:tcPr>
          <w:p w14:paraId="15BB6968"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10,593</w:t>
            </w:r>
          </w:p>
        </w:tc>
        <w:tc>
          <w:tcPr>
            <w:tcW w:w="772" w:type="dxa"/>
            <w:tcBorders>
              <w:top w:val="nil"/>
              <w:bottom w:val="single" w:sz="4" w:space="0" w:color="003D69"/>
            </w:tcBorders>
            <w:noWrap/>
            <w:tcMar>
              <w:left w:w="28" w:type="dxa"/>
              <w:right w:w="28" w:type="dxa"/>
            </w:tcMar>
            <w:vAlign w:val="center"/>
          </w:tcPr>
          <w:p w14:paraId="51C77440"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11,066</w:t>
            </w:r>
          </w:p>
        </w:tc>
        <w:tc>
          <w:tcPr>
            <w:tcW w:w="772" w:type="dxa"/>
            <w:tcBorders>
              <w:top w:val="nil"/>
              <w:bottom w:val="single" w:sz="4" w:space="0" w:color="003D69"/>
            </w:tcBorders>
            <w:noWrap/>
            <w:tcMar>
              <w:left w:w="28" w:type="dxa"/>
              <w:right w:w="28" w:type="dxa"/>
            </w:tcMar>
            <w:vAlign w:val="center"/>
          </w:tcPr>
          <w:p w14:paraId="6BC3A14D"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39,650</w:t>
            </w:r>
          </w:p>
        </w:tc>
        <w:tc>
          <w:tcPr>
            <w:tcW w:w="772" w:type="dxa"/>
            <w:tcBorders>
              <w:top w:val="nil"/>
              <w:bottom w:val="single" w:sz="4" w:space="0" w:color="003D69"/>
            </w:tcBorders>
            <w:noWrap/>
            <w:tcMar>
              <w:left w:w="28" w:type="dxa"/>
              <w:right w:w="28" w:type="dxa"/>
            </w:tcMar>
            <w:vAlign w:val="center"/>
          </w:tcPr>
          <w:p w14:paraId="4B0FEFF2"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40,916</w:t>
            </w:r>
          </w:p>
        </w:tc>
      </w:tr>
      <w:tr w:rsidR="00C36AC7" w:rsidRPr="00AF7228" w14:paraId="0AE2A782" w14:textId="77777777" w:rsidTr="00C36AC7">
        <w:trPr>
          <w:gridAfter w:val="1"/>
          <w:wAfter w:w="6" w:type="dxa"/>
          <w:trHeight w:val="347"/>
        </w:trPr>
        <w:tc>
          <w:tcPr>
            <w:cnfStyle w:val="001000000000" w:firstRow="0" w:lastRow="0" w:firstColumn="1" w:lastColumn="0" w:oddVBand="0" w:evenVBand="0" w:oddHBand="0" w:evenHBand="0" w:firstRowFirstColumn="0" w:firstRowLastColumn="0" w:lastRowFirstColumn="0" w:lastRowLastColumn="0"/>
            <w:tcW w:w="1684" w:type="dxa"/>
            <w:tcBorders>
              <w:top w:val="single" w:sz="4" w:space="0" w:color="003D69"/>
              <w:bottom w:val="single" w:sz="4" w:space="0" w:color="003D69"/>
            </w:tcBorders>
            <w:shd w:val="clear" w:color="auto" w:fill="E6E6E6"/>
            <w:vAlign w:val="center"/>
          </w:tcPr>
          <w:p w14:paraId="4D080DF8" w14:textId="77777777" w:rsidR="003B145C" w:rsidRPr="00AF7228" w:rsidRDefault="003B145C" w:rsidP="003B145C">
            <w:pPr>
              <w:pStyle w:val="TableText"/>
            </w:pPr>
            <w:r w:rsidRPr="00AF7228">
              <w:t xml:space="preserve">Blacktown </w:t>
            </w:r>
          </w:p>
        </w:tc>
        <w:tc>
          <w:tcPr>
            <w:tcW w:w="771" w:type="dxa"/>
            <w:tcBorders>
              <w:top w:val="single" w:sz="4" w:space="0" w:color="003D69"/>
              <w:bottom w:val="single" w:sz="4" w:space="0" w:color="003D69"/>
            </w:tcBorders>
            <w:noWrap/>
            <w:tcMar>
              <w:left w:w="0" w:type="dxa"/>
              <w:right w:w="0" w:type="dxa"/>
            </w:tcMar>
            <w:vAlign w:val="center"/>
          </w:tcPr>
          <w:p w14:paraId="490CD283"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7,650</w:t>
            </w:r>
          </w:p>
        </w:tc>
        <w:tc>
          <w:tcPr>
            <w:tcW w:w="772" w:type="dxa"/>
            <w:tcBorders>
              <w:top w:val="single" w:sz="4" w:space="0" w:color="003D69"/>
              <w:bottom w:val="single" w:sz="4" w:space="0" w:color="003D69"/>
            </w:tcBorders>
            <w:noWrap/>
            <w:tcMar>
              <w:left w:w="0" w:type="dxa"/>
              <w:right w:w="0" w:type="dxa"/>
            </w:tcMar>
            <w:vAlign w:val="center"/>
          </w:tcPr>
          <w:p w14:paraId="0BF4C941"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7,595</w:t>
            </w:r>
          </w:p>
        </w:tc>
        <w:tc>
          <w:tcPr>
            <w:tcW w:w="772" w:type="dxa"/>
            <w:tcBorders>
              <w:top w:val="single" w:sz="4" w:space="0" w:color="003D69"/>
              <w:bottom w:val="single" w:sz="4" w:space="0" w:color="003D69"/>
            </w:tcBorders>
            <w:noWrap/>
            <w:tcMar>
              <w:left w:w="0" w:type="dxa"/>
              <w:right w:w="0" w:type="dxa"/>
            </w:tcMar>
            <w:vAlign w:val="center"/>
          </w:tcPr>
          <w:p w14:paraId="48D97809"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12,899</w:t>
            </w:r>
          </w:p>
        </w:tc>
        <w:tc>
          <w:tcPr>
            <w:tcW w:w="771" w:type="dxa"/>
            <w:tcBorders>
              <w:top w:val="single" w:sz="4" w:space="0" w:color="003D69"/>
              <w:bottom w:val="single" w:sz="4" w:space="0" w:color="003D69"/>
            </w:tcBorders>
            <w:noWrap/>
            <w:tcMar>
              <w:left w:w="0" w:type="dxa"/>
              <w:right w:w="0" w:type="dxa"/>
            </w:tcMar>
            <w:vAlign w:val="center"/>
          </w:tcPr>
          <w:p w14:paraId="59DEDEAA"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13,623</w:t>
            </w:r>
          </w:p>
        </w:tc>
        <w:tc>
          <w:tcPr>
            <w:tcW w:w="772" w:type="dxa"/>
            <w:tcBorders>
              <w:top w:val="single" w:sz="4" w:space="0" w:color="003D69"/>
              <w:bottom w:val="single" w:sz="4" w:space="0" w:color="003D69"/>
            </w:tcBorders>
            <w:noWrap/>
            <w:tcMar>
              <w:left w:w="0" w:type="dxa"/>
              <w:right w:w="0" w:type="dxa"/>
            </w:tcMar>
            <w:vAlign w:val="center"/>
          </w:tcPr>
          <w:p w14:paraId="56110117"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4,589</w:t>
            </w:r>
          </w:p>
        </w:tc>
        <w:tc>
          <w:tcPr>
            <w:tcW w:w="767" w:type="dxa"/>
            <w:tcBorders>
              <w:top w:val="single" w:sz="4" w:space="0" w:color="003D69"/>
              <w:bottom w:val="single" w:sz="4" w:space="0" w:color="003D69"/>
            </w:tcBorders>
            <w:noWrap/>
            <w:tcMar>
              <w:left w:w="0" w:type="dxa"/>
              <w:right w:w="0" w:type="dxa"/>
            </w:tcMar>
            <w:vAlign w:val="center"/>
          </w:tcPr>
          <w:p w14:paraId="6563A752"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4,702</w:t>
            </w:r>
          </w:p>
        </w:tc>
        <w:tc>
          <w:tcPr>
            <w:tcW w:w="776" w:type="dxa"/>
            <w:tcBorders>
              <w:top w:val="single" w:sz="4" w:space="0" w:color="003D69"/>
              <w:bottom w:val="single" w:sz="4" w:space="0" w:color="003D69"/>
            </w:tcBorders>
            <w:noWrap/>
            <w:tcMar>
              <w:left w:w="28" w:type="dxa"/>
              <w:right w:w="28" w:type="dxa"/>
            </w:tcMar>
            <w:vAlign w:val="center"/>
          </w:tcPr>
          <w:p w14:paraId="3B16D812"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11,803</w:t>
            </w:r>
          </w:p>
        </w:tc>
        <w:tc>
          <w:tcPr>
            <w:tcW w:w="772" w:type="dxa"/>
            <w:tcBorders>
              <w:top w:val="single" w:sz="4" w:space="0" w:color="003D69"/>
              <w:bottom w:val="single" w:sz="4" w:space="0" w:color="003D69"/>
            </w:tcBorders>
            <w:noWrap/>
            <w:tcMar>
              <w:left w:w="28" w:type="dxa"/>
              <w:right w:w="28" w:type="dxa"/>
            </w:tcMar>
            <w:vAlign w:val="center"/>
          </w:tcPr>
          <w:p w14:paraId="766BF7DD"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12,607</w:t>
            </w:r>
          </w:p>
        </w:tc>
        <w:tc>
          <w:tcPr>
            <w:tcW w:w="772" w:type="dxa"/>
            <w:tcBorders>
              <w:top w:val="single" w:sz="4" w:space="0" w:color="003D69"/>
              <w:bottom w:val="single" w:sz="4" w:space="0" w:color="003D69"/>
            </w:tcBorders>
            <w:noWrap/>
            <w:tcMar>
              <w:left w:w="28" w:type="dxa"/>
              <w:right w:w="28" w:type="dxa"/>
            </w:tcMar>
            <w:vAlign w:val="center"/>
          </w:tcPr>
          <w:p w14:paraId="2710C482"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36,942</w:t>
            </w:r>
          </w:p>
        </w:tc>
        <w:tc>
          <w:tcPr>
            <w:tcW w:w="772" w:type="dxa"/>
            <w:tcBorders>
              <w:top w:val="single" w:sz="4" w:space="0" w:color="003D69"/>
              <w:bottom w:val="single" w:sz="4" w:space="0" w:color="003D69"/>
            </w:tcBorders>
            <w:noWrap/>
            <w:tcMar>
              <w:left w:w="28" w:type="dxa"/>
              <w:right w:w="28" w:type="dxa"/>
            </w:tcMar>
            <w:vAlign w:val="center"/>
          </w:tcPr>
          <w:p w14:paraId="494F865E"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38,525</w:t>
            </w:r>
          </w:p>
        </w:tc>
      </w:tr>
      <w:tr w:rsidR="00C36AC7" w:rsidRPr="00AF7228" w14:paraId="0CEA34FE" w14:textId="77777777" w:rsidTr="00C36AC7">
        <w:trPr>
          <w:gridAfter w:val="1"/>
          <w:wAfter w:w="6" w:type="dxa"/>
          <w:trHeight w:val="347"/>
        </w:trPr>
        <w:tc>
          <w:tcPr>
            <w:cnfStyle w:val="001000000000" w:firstRow="0" w:lastRow="0" w:firstColumn="1" w:lastColumn="0" w:oddVBand="0" w:evenVBand="0" w:oddHBand="0" w:evenHBand="0" w:firstRowFirstColumn="0" w:firstRowLastColumn="0" w:lastRowFirstColumn="0" w:lastRowLastColumn="0"/>
            <w:tcW w:w="1684" w:type="dxa"/>
            <w:tcBorders>
              <w:top w:val="single" w:sz="4" w:space="0" w:color="003D69"/>
            </w:tcBorders>
            <w:shd w:val="clear" w:color="auto" w:fill="E6E6E6"/>
            <w:vAlign w:val="center"/>
          </w:tcPr>
          <w:p w14:paraId="3440D429" w14:textId="77777777" w:rsidR="003B145C" w:rsidRPr="00AF7228" w:rsidRDefault="003B145C" w:rsidP="003B145C">
            <w:pPr>
              <w:pStyle w:val="TableText"/>
            </w:pPr>
            <w:r w:rsidRPr="00AF7228">
              <w:t xml:space="preserve">Blacktown - North </w:t>
            </w:r>
          </w:p>
        </w:tc>
        <w:tc>
          <w:tcPr>
            <w:tcW w:w="771" w:type="dxa"/>
            <w:tcBorders>
              <w:top w:val="single" w:sz="4" w:space="0" w:color="003D69"/>
            </w:tcBorders>
            <w:noWrap/>
            <w:tcMar>
              <w:left w:w="0" w:type="dxa"/>
              <w:right w:w="0" w:type="dxa"/>
            </w:tcMar>
            <w:vAlign w:val="center"/>
          </w:tcPr>
          <w:p w14:paraId="3617E9A2"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6,371</w:t>
            </w:r>
          </w:p>
        </w:tc>
        <w:tc>
          <w:tcPr>
            <w:tcW w:w="772" w:type="dxa"/>
            <w:tcBorders>
              <w:top w:val="single" w:sz="4" w:space="0" w:color="003D69"/>
            </w:tcBorders>
            <w:noWrap/>
            <w:tcMar>
              <w:left w:w="0" w:type="dxa"/>
              <w:right w:w="0" w:type="dxa"/>
            </w:tcMar>
            <w:vAlign w:val="center"/>
          </w:tcPr>
          <w:p w14:paraId="4E6AC34B"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6,378</w:t>
            </w:r>
          </w:p>
        </w:tc>
        <w:tc>
          <w:tcPr>
            <w:tcW w:w="772" w:type="dxa"/>
            <w:tcBorders>
              <w:top w:val="single" w:sz="4" w:space="0" w:color="003D69"/>
            </w:tcBorders>
            <w:noWrap/>
            <w:tcMar>
              <w:left w:w="0" w:type="dxa"/>
              <w:right w:w="0" w:type="dxa"/>
            </w:tcMar>
            <w:vAlign w:val="center"/>
          </w:tcPr>
          <w:p w14:paraId="70D2ED1C"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11,394</w:t>
            </w:r>
          </w:p>
        </w:tc>
        <w:tc>
          <w:tcPr>
            <w:tcW w:w="771" w:type="dxa"/>
            <w:tcBorders>
              <w:top w:val="single" w:sz="4" w:space="0" w:color="003D69"/>
            </w:tcBorders>
            <w:noWrap/>
            <w:tcMar>
              <w:left w:w="0" w:type="dxa"/>
              <w:right w:w="0" w:type="dxa"/>
            </w:tcMar>
            <w:vAlign w:val="center"/>
          </w:tcPr>
          <w:p w14:paraId="66DF3558"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11,555</w:t>
            </w:r>
          </w:p>
        </w:tc>
        <w:tc>
          <w:tcPr>
            <w:tcW w:w="772" w:type="dxa"/>
            <w:tcBorders>
              <w:top w:val="single" w:sz="4" w:space="0" w:color="003D69"/>
            </w:tcBorders>
            <w:noWrap/>
            <w:tcMar>
              <w:left w:w="0" w:type="dxa"/>
              <w:right w:w="0" w:type="dxa"/>
            </w:tcMar>
            <w:vAlign w:val="center"/>
          </w:tcPr>
          <w:p w14:paraId="1C0E59A5"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6,605</w:t>
            </w:r>
          </w:p>
        </w:tc>
        <w:tc>
          <w:tcPr>
            <w:tcW w:w="767" w:type="dxa"/>
            <w:tcBorders>
              <w:top w:val="single" w:sz="4" w:space="0" w:color="003D69"/>
            </w:tcBorders>
            <w:noWrap/>
            <w:tcMar>
              <w:left w:w="0" w:type="dxa"/>
              <w:right w:w="0" w:type="dxa"/>
            </w:tcMar>
            <w:vAlign w:val="center"/>
          </w:tcPr>
          <w:p w14:paraId="6D91DF43"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6,500</w:t>
            </w:r>
          </w:p>
        </w:tc>
        <w:tc>
          <w:tcPr>
            <w:tcW w:w="776" w:type="dxa"/>
            <w:tcBorders>
              <w:top w:val="single" w:sz="4" w:space="0" w:color="003D69"/>
            </w:tcBorders>
            <w:noWrap/>
            <w:tcMar>
              <w:left w:w="28" w:type="dxa"/>
              <w:right w:w="28" w:type="dxa"/>
            </w:tcMar>
            <w:vAlign w:val="center"/>
          </w:tcPr>
          <w:p w14:paraId="102F02C1"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10,427</w:t>
            </w:r>
          </w:p>
        </w:tc>
        <w:tc>
          <w:tcPr>
            <w:tcW w:w="772" w:type="dxa"/>
            <w:tcBorders>
              <w:top w:val="single" w:sz="4" w:space="0" w:color="003D69"/>
            </w:tcBorders>
            <w:noWrap/>
            <w:tcMar>
              <w:left w:w="28" w:type="dxa"/>
              <w:right w:w="28" w:type="dxa"/>
            </w:tcMar>
            <w:vAlign w:val="center"/>
          </w:tcPr>
          <w:p w14:paraId="768971DD"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10,529</w:t>
            </w:r>
          </w:p>
        </w:tc>
        <w:tc>
          <w:tcPr>
            <w:tcW w:w="772" w:type="dxa"/>
            <w:tcBorders>
              <w:top w:val="single" w:sz="4" w:space="0" w:color="003D69"/>
            </w:tcBorders>
            <w:noWrap/>
            <w:tcMar>
              <w:left w:w="28" w:type="dxa"/>
              <w:right w:w="28" w:type="dxa"/>
            </w:tcMar>
            <w:vAlign w:val="center"/>
          </w:tcPr>
          <w:p w14:paraId="11E21DA1"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34,797</w:t>
            </w:r>
          </w:p>
        </w:tc>
        <w:tc>
          <w:tcPr>
            <w:tcW w:w="772" w:type="dxa"/>
            <w:tcBorders>
              <w:top w:val="single" w:sz="4" w:space="0" w:color="003D69"/>
            </w:tcBorders>
            <w:noWrap/>
            <w:tcMar>
              <w:left w:w="28" w:type="dxa"/>
              <w:right w:w="28" w:type="dxa"/>
            </w:tcMar>
            <w:vAlign w:val="center"/>
          </w:tcPr>
          <w:p w14:paraId="2A976429"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34,964</w:t>
            </w:r>
          </w:p>
        </w:tc>
      </w:tr>
      <w:tr w:rsidR="00AF7228" w:rsidRPr="00AF7228" w14:paraId="26DAA142" w14:textId="77777777" w:rsidTr="00C36AC7">
        <w:trPr>
          <w:gridAfter w:val="1"/>
          <w:wAfter w:w="6" w:type="dxa"/>
          <w:trHeight w:val="347"/>
        </w:trPr>
        <w:tc>
          <w:tcPr>
            <w:cnfStyle w:val="001000000000" w:firstRow="0" w:lastRow="0" w:firstColumn="1" w:lastColumn="0" w:oddVBand="0" w:evenVBand="0" w:oddHBand="0" w:evenHBand="0" w:firstRowFirstColumn="0" w:firstRowLastColumn="0" w:lastRowFirstColumn="0" w:lastRowLastColumn="0"/>
            <w:tcW w:w="1684" w:type="dxa"/>
            <w:shd w:val="clear" w:color="auto" w:fill="E6E6E6"/>
            <w:vAlign w:val="center"/>
          </w:tcPr>
          <w:p w14:paraId="0FFF9B50" w14:textId="77777777" w:rsidR="003B145C" w:rsidRPr="00AF7228" w:rsidRDefault="003B145C" w:rsidP="003B145C">
            <w:pPr>
              <w:pStyle w:val="TableText"/>
            </w:pPr>
            <w:r w:rsidRPr="00AF7228">
              <w:t>Carlingford</w:t>
            </w:r>
          </w:p>
        </w:tc>
        <w:tc>
          <w:tcPr>
            <w:tcW w:w="771" w:type="dxa"/>
            <w:noWrap/>
            <w:tcMar>
              <w:left w:w="0" w:type="dxa"/>
              <w:right w:w="0" w:type="dxa"/>
            </w:tcMar>
            <w:vAlign w:val="center"/>
          </w:tcPr>
          <w:p w14:paraId="5BF617E3"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11,962</w:t>
            </w:r>
          </w:p>
        </w:tc>
        <w:tc>
          <w:tcPr>
            <w:tcW w:w="772" w:type="dxa"/>
            <w:noWrap/>
            <w:tcMar>
              <w:left w:w="0" w:type="dxa"/>
              <w:right w:w="0" w:type="dxa"/>
            </w:tcMar>
            <w:vAlign w:val="center"/>
          </w:tcPr>
          <w:p w14:paraId="0AFF58C7"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11,070</w:t>
            </w:r>
          </w:p>
        </w:tc>
        <w:tc>
          <w:tcPr>
            <w:tcW w:w="772" w:type="dxa"/>
            <w:noWrap/>
            <w:tcMar>
              <w:left w:w="0" w:type="dxa"/>
              <w:right w:w="0" w:type="dxa"/>
            </w:tcMar>
            <w:vAlign w:val="center"/>
          </w:tcPr>
          <w:p w14:paraId="00FD80B2"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10,623</w:t>
            </w:r>
          </w:p>
        </w:tc>
        <w:tc>
          <w:tcPr>
            <w:tcW w:w="771" w:type="dxa"/>
            <w:noWrap/>
            <w:tcMar>
              <w:left w:w="0" w:type="dxa"/>
              <w:right w:w="0" w:type="dxa"/>
            </w:tcMar>
            <w:vAlign w:val="center"/>
          </w:tcPr>
          <w:p w14:paraId="183EDB33"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11,483</w:t>
            </w:r>
          </w:p>
        </w:tc>
        <w:tc>
          <w:tcPr>
            <w:tcW w:w="772" w:type="dxa"/>
            <w:noWrap/>
            <w:tcMar>
              <w:left w:w="0" w:type="dxa"/>
              <w:right w:w="0" w:type="dxa"/>
            </w:tcMar>
            <w:vAlign w:val="center"/>
          </w:tcPr>
          <w:p w14:paraId="3E6BDF49"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6,274</w:t>
            </w:r>
          </w:p>
        </w:tc>
        <w:tc>
          <w:tcPr>
            <w:tcW w:w="767" w:type="dxa"/>
            <w:noWrap/>
            <w:tcMar>
              <w:left w:w="0" w:type="dxa"/>
              <w:right w:w="0" w:type="dxa"/>
            </w:tcMar>
            <w:vAlign w:val="center"/>
          </w:tcPr>
          <w:p w14:paraId="4B61DBDB"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6,280</w:t>
            </w:r>
          </w:p>
        </w:tc>
        <w:tc>
          <w:tcPr>
            <w:tcW w:w="776" w:type="dxa"/>
            <w:noWrap/>
            <w:tcMar>
              <w:left w:w="28" w:type="dxa"/>
              <w:right w:w="28" w:type="dxa"/>
            </w:tcMar>
            <w:vAlign w:val="center"/>
          </w:tcPr>
          <w:p w14:paraId="043C4B1C"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10,071</w:t>
            </w:r>
          </w:p>
        </w:tc>
        <w:tc>
          <w:tcPr>
            <w:tcW w:w="772" w:type="dxa"/>
            <w:noWrap/>
            <w:tcMar>
              <w:left w:w="28" w:type="dxa"/>
              <w:right w:w="28" w:type="dxa"/>
            </w:tcMar>
            <w:vAlign w:val="center"/>
          </w:tcPr>
          <w:p w14:paraId="181A2FE4"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10,493</w:t>
            </w:r>
          </w:p>
        </w:tc>
        <w:tc>
          <w:tcPr>
            <w:tcW w:w="772" w:type="dxa"/>
            <w:noWrap/>
            <w:tcMar>
              <w:left w:w="28" w:type="dxa"/>
              <w:right w:w="28" w:type="dxa"/>
            </w:tcMar>
            <w:vAlign w:val="center"/>
          </w:tcPr>
          <w:p w14:paraId="3FABF294"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38,926</w:t>
            </w:r>
          </w:p>
        </w:tc>
        <w:tc>
          <w:tcPr>
            <w:tcW w:w="772" w:type="dxa"/>
            <w:noWrap/>
            <w:tcMar>
              <w:left w:w="28" w:type="dxa"/>
              <w:right w:w="28" w:type="dxa"/>
            </w:tcMar>
            <w:vAlign w:val="center"/>
          </w:tcPr>
          <w:p w14:paraId="4285ECCF"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39,327</w:t>
            </w:r>
          </w:p>
        </w:tc>
      </w:tr>
      <w:tr w:rsidR="00AF7228" w:rsidRPr="00AF7228" w14:paraId="69054993" w14:textId="77777777" w:rsidTr="00C36AC7">
        <w:trPr>
          <w:gridAfter w:val="1"/>
          <w:wAfter w:w="6" w:type="dxa"/>
          <w:trHeight w:val="347"/>
        </w:trPr>
        <w:tc>
          <w:tcPr>
            <w:cnfStyle w:val="001000000000" w:firstRow="0" w:lastRow="0" w:firstColumn="1" w:lastColumn="0" w:oddVBand="0" w:evenVBand="0" w:oddHBand="0" w:evenHBand="0" w:firstRowFirstColumn="0" w:firstRowLastColumn="0" w:lastRowFirstColumn="0" w:lastRowLastColumn="0"/>
            <w:tcW w:w="1684" w:type="dxa"/>
            <w:shd w:val="clear" w:color="auto" w:fill="E6E6E6"/>
            <w:vAlign w:val="center"/>
          </w:tcPr>
          <w:p w14:paraId="2C693592" w14:textId="77777777" w:rsidR="003B145C" w:rsidRPr="00AF7228" w:rsidRDefault="003B145C" w:rsidP="003B145C">
            <w:pPr>
              <w:pStyle w:val="TableText"/>
            </w:pPr>
            <w:r w:rsidRPr="00AF7228">
              <w:t>Dural - Wisemans Ferry</w:t>
            </w:r>
          </w:p>
        </w:tc>
        <w:tc>
          <w:tcPr>
            <w:tcW w:w="771" w:type="dxa"/>
            <w:noWrap/>
            <w:tcMar>
              <w:left w:w="0" w:type="dxa"/>
              <w:right w:w="0" w:type="dxa"/>
            </w:tcMar>
            <w:vAlign w:val="center"/>
          </w:tcPr>
          <w:p w14:paraId="5B38FEA6"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13,317</w:t>
            </w:r>
          </w:p>
        </w:tc>
        <w:tc>
          <w:tcPr>
            <w:tcW w:w="772" w:type="dxa"/>
            <w:noWrap/>
            <w:tcMar>
              <w:left w:w="0" w:type="dxa"/>
              <w:right w:w="0" w:type="dxa"/>
            </w:tcMar>
            <w:vAlign w:val="center"/>
          </w:tcPr>
          <w:p w14:paraId="348E13A0"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12,955</w:t>
            </w:r>
          </w:p>
        </w:tc>
        <w:tc>
          <w:tcPr>
            <w:tcW w:w="772" w:type="dxa"/>
            <w:noWrap/>
            <w:tcMar>
              <w:left w:w="0" w:type="dxa"/>
              <w:right w:w="0" w:type="dxa"/>
            </w:tcMar>
            <w:vAlign w:val="center"/>
          </w:tcPr>
          <w:p w14:paraId="4993BB7D"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11,738</w:t>
            </w:r>
          </w:p>
        </w:tc>
        <w:tc>
          <w:tcPr>
            <w:tcW w:w="771" w:type="dxa"/>
            <w:noWrap/>
            <w:tcMar>
              <w:left w:w="0" w:type="dxa"/>
              <w:right w:w="0" w:type="dxa"/>
            </w:tcMar>
            <w:vAlign w:val="center"/>
          </w:tcPr>
          <w:p w14:paraId="438C867F"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12,692</w:t>
            </w:r>
          </w:p>
        </w:tc>
        <w:tc>
          <w:tcPr>
            <w:tcW w:w="772" w:type="dxa"/>
            <w:noWrap/>
            <w:tcMar>
              <w:left w:w="0" w:type="dxa"/>
              <w:right w:w="0" w:type="dxa"/>
            </w:tcMar>
            <w:vAlign w:val="center"/>
          </w:tcPr>
          <w:p w14:paraId="0110990C"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7,753</w:t>
            </w:r>
          </w:p>
        </w:tc>
        <w:tc>
          <w:tcPr>
            <w:tcW w:w="767" w:type="dxa"/>
            <w:noWrap/>
            <w:tcMar>
              <w:left w:w="0" w:type="dxa"/>
              <w:right w:w="0" w:type="dxa"/>
            </w:tcMar>
            <w:vAlign w:val="center"/>
          </w:tcPr>
          <w:p w14:paraId="74CC0BD7"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7,918</w:t>
            </w:r>
          </w:p>
        </w:tc>
        <w:tc>
          <w:tcPr>
            <w:tcW w:w="776" w:type="dxa"/>
            <w:noWrap/>
            <w:tcMar>
              <w:left w:w="28" w:type="dxa"/>
              <w:right w:w="28" w:type="dxa"/>
            </w:tcMar>
            <w:vAlign w:val="center"/>
          </w:tcPr>
          <w:p w14:paraId="52EF36EF"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11,686</w:t>
            </w:r>
          </w:p>
        </w:tc>
        <w:tc>
          <w:tcPr>
            <w:tcW w:w="772" w:type="dxa"/>
            <w:noWrap/>
            <w:tcMar>
              <w:left w:w="28" w:type="dxa"/>
              <w:right w:w="28" w:type="dxa"/>
            </w:tcMar>
            <w:vAlign w:val="center"/>
          </w:tcPr>
          <w:p w14:paraId="3E1B4F8F"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11,228</w:t>
            </w:r>
          </w:p>
        </w:tc>
        <w:tc>
          <w:tcPr>
            <w:tcW w:w="772" w:type="dxa"/>
            <w:noWrap/>
            <w:tcMar>
              <w:left w:w="28" w:type="dxa"/>
              <w:right w:w="28" w:type="dxa"/>
            </w:tcMar>
            <w:vAlign w:val="center"/>
          </w:tcPr>
          <w:p w14:paraId="38C7E788"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44,491</w:t>
            </w:r>
          </w:p>
        </w:tc>
        <w:tc>
          <w:tcPr>
            <w:tcW w:w="772" w:type="dxa"/>
            <w:noWrap/>
            <w:tcMar>
              <w:left w:w="28" w:type="dxa"/>
              <w:right w:w="28" w:type="dxa"/>
            </w:tcMar>
            <w:vAlign w:val="center"/>
          </w:tcPr>
          <w:p w14:paraId="680A2A4A"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44,793</w:t>
            </w:r>
          </w:p>
        </w:tc>
      </w:tr>
      <w:tr w:rsidR="00AF7228" w:rsidRPr="00AF7228" w14:paraId="59DFFA56" w14:textId="77777777" w:rsidTr="00C36AC7">
        <w:trPr>
          <w:gridAfter w:val="1"/>
          <w:wAfter w:w="6" w:type="dxa"/>
          <w:trHeight w:val="347"/>
        </w:trPr>
        <w:tc>
          <w:tcPr>
            <w:cnfStyle w:val="001000000000" w:firstRow="0" w:lastRow="0" w:firstColumn="1" w:lastColumn="0" w:oddVBand="0" w:evenVBand="0" w:oddHBand="0" w:evenHBand="0" w:firstRowFirstColumn="0" w:firstRowLastColumn="0" w:lastRowFirstColumn="0" w:lastRowLastColumn="0"/>
            <w:tcW w:w="1684" w:type="dxa"/>
            <w:shd w:val="clear" w:color="auto" w:fill="E6E6E6"/>
            <w:vAlign w:val="center"/>
          </w:tcPr>
          <w:p w14:paraId="0AE46D70" w14:textId="77777777" w:rsidR="003B145C" w:rsidRPr="00AF7228" w:rsidRDefault="003B145C" w:rsidP="003B145C">
            <w:pPr>
              <w:pStyle w:val="TableText"/>
            </w:pPr>
            <w:r w:rsidRPr="00AF7228">
              <w:t xml:space="preserve">Merrylands - Guildford </w:t>
            </w:r>
          </w:p>
        </w:tc>
        <w:tc>
          <w:tcPr>
            <w:tcW w:w="771" w:type="dxa"/>
            <w:noWrap/>
            <w:tcMar>
              <w:left w:w="0" w:type="dxa"/>
              <w:right w:w="0" w:type="dxa"/>
            </w:tcMar>
            <w:vAlign w:val="center"/>
          </w:tcPr>
          <w:p w14:paraId="78471DC7"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8,314</w:t>
            </w:r>
          </w:p>
        </w:tc>
        <w:tc>
          <w:tcPr>
            <w:tcW w:w="772" w:type="dxa"/>
            <w:noWrap/>
            <w:tcMar>
              <w:left w:w="0" w:type="dxa"/>
              <w:right w:w="0" w:type="dxa"/>
            </w:tcMar>
            <w:vAlign w:val="center"/>
          </w:tcPr>
          <w:p w14:paraId="5B4E4F0E"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7,706</w:t>
            </w:r>
          </w:p>
        </w:tc>
        <w:tc>
          <w:tcPr>
            <w:tcW w:w="772" w:type="dxa"/>
            <w:noWrap/>
            <w:tcMar>
              <w:left w:w="0" w:type="dxa"/>
              <w:right w:w="0" w:type="dxa"/>
            </w:tcMar>
            <w:vAlign w:val="center"/>
          </w:tcPr>
          <w:p w14:paraId="663BBE59"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10,159</w:t>
            </w:r>
          </w:p>
        </w:tc>
        <w:tc>
          <w:tcPr>
            <w:tcW w:w="771" w:type="dxa"/>
            <w:noWrap/>
            <w:tcMar>
              <w:left w:w="0" w:type="dxa"/>
              <w:right w:w="0" w:type="dxa"/>
            </w:tcMar>
            <w:vAlign w:val="center"/>
          </w:tcPr>
          <w:p w14:paraId="1D025C9D"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11,352</w:t>
            </w:r>
          </w:p>
        </w:tc>
        <w:tc>
          <w:tcPr>
            <w:tcW w:w="772" w:type="dxa"/>
            <w:noWrap/>
            <w:tcMar>
              <w:left w:w="0" w:type="dxa"/>
              <w:right w:w="0" w:type="dxa"/>
            </w:tcMar>
            <w:vAlign w:val="center"/>
          </w:tcPr>
          <w:p w14:paraId="7EA7A54F"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4,417</w:t>
            </w:r>
          </w:p>
        </w:tc>
        <w:tc>
          <w:tcPr>
            <w:tcW w:w="767" w:type="dxa"/>
            <w:noWrap/>
            <w:tcMar>
              <w:left w:w="0" w:type="dxa"/>
              <w:right w:w="0" w:type="dxa"/>
            </w:tcMar>
            <w:vAlign w:val="center"/>
          </w:tcPr>
          <w:p w14:paraId="007DC356"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4,601</w:t>
            </w:r>
          </w:p>
        </w:tc>
        <w:tc>
          <w:tcPr>
            <w:tcW w:w="776" w:type="dxa"/>
            <w:noWrap/>
            <w:tcMar>
              <w:left w:w="28" w:type="dxa"/>
              <w:right w:w="28" w:type="dxa"/>
            </w:tcMar>
            <w:vAlign w:val="center"/>
          </w:tcPr>
          <w:p w14:paraId="73BB62A0"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10,946</w:t>
            </w:r>
          </w:p>
        </w:tc>
        <w:tc>
          <w:tcPr>
            <w:tcW w:w="772" w:type="dxa"/>
            <w:noWrap/>
            <w:tcMar>
              <w:left w:w="28" w:type="dxa"/>
              <w:right w:w="28" w:type="dxa"/>
            </w:tcMar>
            <w:vAlign w:val="center"/>
          </w:tcPr>
          <w:p w14:paraId="76C390A7"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11,750</w:t>
            </w:r>
          </w:p>
        </w:tc>
        <w:tc>
          <w:tcPr>
            <w:tcW w:w="772" w:type="dxa"/>
            <w:noWrap/>
            <w:tcMar>
              <w:left w:w="28" w:type="dxa"/>
              <w:right w:w="28" w:type="dxa"/>
            </w:tcMar>
            <w:vAlign w:val="center"/>
          </w:tcPr>
          <w:p w14:paraId="47915E10"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33,836</w:t>
            </w:r>
          </w:p>
        </w:tc>
        <w:tc>
          <w:tcPr>
            <w:tcW w:w="772" w:type="dxa"/>
            <w:noWrap/>
            <w:tcMar>
              <w:left w:w="28" w:type="dxa"/>
              <w:right w:w="28" w:type="dxa"/>
            </w:tcMar>
            <w:vAlign w:val="center"/>
          </w:tcPr>
          <w:p w14:paraId="2ED26E58"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35,409</w:t>
            </w:r>
          </w:p>
        </w:tc>
      </w:tr>
      <w:tr w:rsidR="00AF7228" w:rsidRPr="00AF7228" w14:paraId="1CDD1536" w14:textId="77777777" w:rsidTr="00C36AC7">
        <w:trPr>
          <w:gridAfter w:val="1"/>
          <w:wAfter w:w="6" w:type="dxa"/>
          <w:trHeight w:val="347"/>
        </w:trPr>
        <w:tc>
          <w:tcPr>
            <w:cnfStyle w:val="001000000000" w:firstRow="0" w:lastRow="0" w:firstColumn="1" w:lastColumn="0" w:oddVBand="0" w:evenVBand="0" w:oddHBand="0" w:evenHBand="0" w:firstRowFirstColumn="0" w:firstRowLastColumn="0" w:lastRowFirstColumn="0" w:lastRowLastColumn="0"/>
            <w:tcW w:w="1684" w:type="dxa"/>
            <w:shd w:val="clear" w:color="auto" w:fill="E6E6E6"/>
            <w:vAlign w:val="center"/>
          </w:tcPr>
          <w:p w14:paraId="0093A351" w14:textId="77777777" w:rsidR="003B145C" w:rsidRPr="00AF7228" w:rsidRDefault="003B145C" w:rsidP="003B145C">
            <w:pPr>
              <w:pStyle w:val="TableText"/>
            </w:pPr>
            <w:r w:rsidRPr="00AF7228">
              <w:t>Mount Druitt</w:t>
            </w:r>
          </w:p>
        </w:tc>
        <w:tc>
          <w:tcPr>
            <w:tcW w:w="771" w:type="dxa"/>
            <w:noWrap/>
            <w:tcMar>
              <w:left w:w="0" w:type="dxa"/>
              <w:right w:w="0" w:type="dxa"/>
            </w:tcMar>
            <w:vAlign w:val="center"/>
          </w:tcPr>
          <w:p w14:paraId="3AED0762"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5,805</w:t>
            </w:r>
          </w:p>
        </w:tc>
        <w:tc>
          <w:tcPr>
            <w:tcW w:w="772" w:type="dxa"/>
            <w:noWrap/>
            <w:tcMar>
              <w:left w:w="0" w:type="dxa"/>
              <w:right w:w="0" w:type="dxa"/>
            </w:tcMar>
            <w:vAlign w:val="center"/>
          </w:tcPr>
          <w:p w14:paraId="324113D8"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5,623</w:t>
            </w:r>
          </w:p>
        </w:tc>
        <w:tc>
          <w:tcPr>
            <w:tcW w:w="772" w:type="dxa"/>
            <w:noWrap/>
            <w:tcMar>
              <w:left w:w="0" w:type="dxa"/>
              <w:right w:w="0" w:type="dxa"/>
            </w:tcMar>
            <w:vAlign w:val="center"/>
          </w:tcPr>
          <w:p w14:paraId="05A3113A"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11,618</w:t>
            </w:r>
          </w:p>
        </w:tc>
        <w:tc>
          <w:tcPr>
            <w:tcW w:w="771" w:type="dxa"/>
            <w:noWrap/>
            <w:tcMar>
              <w:left w:w="0" w:type="dxa"/>
              <w:right w:w="0" w:type="dxa"/>
            </w:tcMar>
            <w:vAlign w:val="center"/>
          </w:tcPr>
          <w:p w14:paraId="5BD883AF"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12,222</w:t>
            </w:r>
          </w:p>
        </w:tc>
        <w:tc>
          <w:tcPr>
            <w:tcW w:w="772" w:type="dxa"/>
            <w:noWrap/>
            <w:tcMar>
              <w:left w:w="0" w:type="dxa"/>
              <w:right w:w="0" w:type="dxa"/>
            </w:tcMar>
            <w:vAlign w:val="center"/>
          </w:tcPr>
          <w:p w14:paraId="1C40B176"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2,675</w:t>
            </w:r>
          </w:p>
        </w:tc>
        <w:tc>
          <w:tcPr>
            <w:tcW w:w="767" w:type="dxa"/>
            <w:noWrap/>
            <w:tcMar>
              <w:left w:w="0" w:type="dxa"/>
              <w:right w:w="0" w:type="dxa"/>
            </w:tcMar>
            <w:vAlign w:val="center"/>
          </w:tcPr>
          <w:p w14:paraId="78E4AA05"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2,443</w:t>
            </w:r>
          </w:p>
        </w:tc>
        <w:tc>
          <w:tcPr>
            <w:tcW w:w="776" w:type="dxa"/>
            <w:noWrap/>
            <w:tcMar>
              <w:left w:w="28" w:type="dxa"/>
              <w:right w:w="28" w:type="dxa"/>
            </w:tcMar>
            <w:vAlign w:val="center"/>
          </w:tcPr>
          <w:p w14:paraId="775B7DD2"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9,755</w:t>
            </w:r>
          </w:p>
        </w:tc>
        <w:tc>
          <w:tcPr>
            <w:tcW w:w="772" w:type="dxa"/>
            <w:noWrap/>
            <w:tcMar>
              <w:left w:w="28" w:type="dxa"/>
              <w:right w:w="28" w:type="dxa"/>
            </w:tcMar>
            <w:vAlign w:val="center"/>
          </w:tcPr>
          <w:p w14:paraId="0BF6D2CF"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10,291</w:t>
            </w:r>
          </w:p>
        </w:tc>
        <w:tc>
          <w:tcPr>
            <w:tcW w:w="772" w:type="dxa"/>
            <w:noWrap/>
            <w:tcMar>
              <w:left w:w="28" w:type="dxa"/>
              <w:right w:w="28" w:type="dxa"/>
            </w:tcMar>
            <w:vAlign w:val="center"/>
          </w:tcPr>
          <w:p w14:paraId="170209DF"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29,854</w:t>
            </w:r>
          </w:p>
        </w:tc>
        <w:tc>
          <w:tcPr>
            <w:tcW w:w="772" w:type="dxa"/>
            <w:noWrap/>
            <w:tcMar>
              <w:left w:w="28" w:type="dxa"/>
              <w:right w:w="28" w:type="dxa"/>
            </w:tcMar>
            <w:vAlign w:val="center"/>
          </w:tcPr>
          <w:p w14:paraId="44416C1B"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30,578</w:t>
            </w:r>
          </w:p>
        </w:tc>
      </w:tr>
      <w:tr w:rsidR="00AF7228" w:rsidRPr="00AF7228" w14:paraId="42BA16CD" w14:textId="77777777" w:rsidTr="00C36AC7">
        <w:trPr>
          <w:gridAfter w:val="1"/>
          <w:wAfter w:w="6" w:type="dxa"/>
          <w:trHeight w:val="347"/>
        </w:trPr>
        <w:tc>
          <w:tcPr>
            <w:cnfStyle w:val="001000000000" w:firstRow="0" w:lastRow="0" w:firstColumn="1" w:lastColumn="0" w:oddVBand="0" w:evenVBand="0" w:oddHBand="0" w:evenHBand="0" w:firstRowFirstColumn="0" w:firstRowLastColumn="0" w:lastRowFirstColumn="0" w:lastRowLastColumn="0"/>
            <w:tcW w:w="1684" w:type="dxa"/>
            <w:shd w:val="clear" w:color="auto" w:fill="E6E6E6"/>
            <w:vAlign w:val="center"/>
          </w:tcPr>
          <w:p w14:paraId="68838471" w14:textId="77777777" w:rsidR="003B145C" w:rsidRPr="00AF7228" w:rsidRDefault="003B145C" w:rsidP="003B145C">
            <w:pPr>
              <w:pStyle w:val="TableText"/>
            </w:pPr>
            <w:r w:rsidRPr="00AF7228">
              <w:t xml:space="preserve">Parramatta </w:t>
            </w:r>
          </w:p>
        </w:tc>
        <w:tc>
          <w:tcPr>
            <w:tcW w:w="771" w:type="dxa"/>
            <w:noWrap/>
            <w:tcMar>
              <w:left w:w="0" w:type="dxa"/>
              <w:right w:w="0" w:type="dxa"/>
            </w:tcMar>
            <w:vAlign w:val="center"/>
          </w:tcPr>
          <w:p w14:paraId="187CDC5D"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10,202</w:t>
            </w:r>
          </w:p>
        </w:tc>
        <w:tc>
          <w:tcPr>
            <w:tcW w:w="772" w:type="dxa"/>
            <w:noWrap/>
            <w:tcMar>
              <w:left w:w="0" w:type="dxa"/>
              <w:right w:w="0" w:type="dxa"/>
            </w:tcMar>
            <w:vAlign w:val="center"/>
          </w:tcPr>
          <w:p w14:paraId="091E9230"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10,371</w:t>
            </w:r>
          </w:p>
        </w:tc>
        <w:tc>
          <w:tcPr>
            <w:tcW w:w="772" w:type="dxa"/>
            <w:noWrap/>
            <w:tcMar>
              <w:left w:w="0" w:type="dxa"/>
              <w:right w:w="0" w:type="dxa"/>
            </w:tcMar>
            <w:vAlign w:val="center"/>
          </w:tcPr>
          <w:p w14:paraId="74DAE9F7"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11,110</w:t>
            </w:r>
          </w:p>
        </w:tc>
        <w:tc>
          <w:tcPr>
            <w:tcW w:w="771" w:type="dxa"/>
            <w:noWrap/>
            <w:tcMar>
              <w:left w:w="0" w:type="dxa"/>
              <w:right w:w="0" w:type="dxa"/>
            </w:tcMar>
            <w:vAlign w:val="center"/>
          </w:tcPr>
          <w:p w14:paraId="0D4EA138"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11,751</w:t>
            </w:r>
          </w:p>
        </w:tc>
        <w:tc>
          <w:tcPr>
            <w:tcW w:w="772" w:type="dxa"/>
            <w:noWrap/>
            <w:tcMar>
              <w:left w:w="0" w:type="dxa"/>
              <w:right w:w="0" w:type="dxa"/>
            </w:tcMar>
            <w:vAlign w:val="center"/>
          </w:tcPr>
          <w:p w14:paraId="1C8B97D2"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6,113</w:t>
            </w:r>
          </w:p>
        </w:tc>
        <w:tc>
          <w:tcPr>
            <w:tcW w:w="767" w:type="dxa"/>
            <w:noWrap/>
            <w:tcMar>
              <w:left w:w="0" w:type="dxa"/>
              <w:right w:w="0" w:type="dxa"/>
            </w:tcMar>
            <w:vAlign w:val="center"/>
          </w:tcPr>
          <w:p w14:paraId="324C08CA"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5,992</w:t>
            </w:r>
          </w:p>
        </w:tc>
        <w:tc>
          <w:tcPr>
            <w:tcW w:w="776" w:type="dxa"/>
            <w:noWrap/>
            <w:tcMar>
              <w:left w:w="28" w:type="dxa"/>
              <w:right w:w="28" w:type="dxa"/>
            </w:tcMar>
            <w:vAlign w:val="center"/>
          </w:tcPr>
          <w:p w14:paraId="29F9FB63"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10,425</w:t>
            </w:r>
          </w:p>
        </w:tc>
        <w:tc>
          <w:tcPr>
            <w:tcW w:w="772" w:type="dxa"/>
            <w:noWrap/>
            <w:tcMar>
              <w:left w:w="28" w:type="dxa"/>
              <w:right w:w="28" w:type="dxa"/>
            </w:tcMar>
            <w:vAlign w:val="center"/>
          </w:tcPr>
          <w:p w14:paraId="762DBBCF"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10,612</w:t>
            </w:r>
          </w:p>
        </w:tc>
        <w:tc>
          <w:tcPr>
            <w:tcW w:w="772" w:type="dxa"/>
            <w:noWrap/>
            <w:tcMar>
              <w:left w:w="28" w:type="dxa"/>
              <w:right w:w="28" w:type="dxa"/>
            </w:tcMar>
            <w:vAlign w:val="center"/>
          </w:tcPr>
          <w:p w14:paraId="538AF2E7"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37,851</w:t>
            </w:r>
          </w:p>
        </w:tc>
        <w:tc>
          <w:tcPr>
            <w:tcW w:w="772" w:type="dxa"/>
            <w:noWrap/>
            <w:tcMar>
              <w:left w:w="28" w:type="dxa"/>
              <w:right w:w="28" w:type="dxa"/>
            </w:tcMar>
            <w:vAlign w:val="center"/>
          </w:tcPr>
          <w:p w14:paraId="149567C1"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38,726</w:t>
            </w:r>
          </w:p>
        </w:tc>
      </w:tr>
      <w:tr w:rsidR="00AF7228" w:rsidRPr="00AF7228" w14:paraId="2D880597" w14:textId="77777777" w:rsidTr="00C36AC7">
        <w:trPr>
          <w:gridAfter w:val="1"/>
          <w:wAfter w:w="6" w:type="dxa"/>
          <w:trHeight w:val="347"/>
        </w:trPr>
        <w:tc>
          <w:tcPr>
            <w:cnfStyle w:val="001000000000" w:firstRow="0" w:lastRow="0" w:firstColumn="1" w:lastColumn="0" w:oddVBand="0" w:evenVBand="0" w:oddHBand="0" w:evenHBand="0" w:firstRowFirstColumn="0" w:firstRowLastColumn="0" w:lastRowFirstColumn="0" w:lastRowLastColumn="0"/>
            <w:tcW w:w="1684" w:type="dxa"/>
            <w:shd w:val="clear" w:color="auto" w:fill="E6E6E6"/>
            <w:vAlign w:val="center"/>
          </w:tcPr>
          <w:p w14:paraId="78099F72" w14:textId="77777777" w:rsidR="003B145C" w:rsidRPr="00AF7228" w:rsidRDefault="003B145C" w:rsidP="003B145C">
            <w:pPr>
              <w:pStyle w:val="TableText"/>
            </w:pPr>
            <w:r w:rsidRPr="00AF7228">
              <w:t>Pennant Hills - Epping</w:t>
            </w:r>
          </w:p>
        </w:tc>
        <w:tc>
          <w:tcPr>
            <w:tcW w:w="771" w:type="dxa"/>
            <w:noWrap/>
            <w:tcMar>
              <w:left w:w="0" w:type="dxa"/>
              <w:right w:w="0" w:type="dxa"/>
            </w:tcMar>
            <w:vAlign w:val="center"/>
          </w:tcPr>
          <w:p w14:paraId="2436C49D"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15,542</w:t>
            </w:r>
          </w:p>
        </w:tc>
        <w:tc>
          <w:tcPr>
            <w:tcW w:w="772" w:type="dxa"/>
            <w:noWrap/>
            <w:tcMar>
              <w:left w:w="0" w:type="dxa"/>
              <w:right w:w="0" w:type="dxa"/>
            </w:tcMar>
            <w:vAlign w:val="center"/>
          </w:tcPr>
          <w:p w14:paraId="64217999"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14,253</w:t>
            </w:r>
          </w:p>
        </w:tc>
        <w:tc>
          <w:tcPr>
            <w:tcW w:w="772" w:type="dxa"/>
            <w:noWrap/>
            <w:tcMar>
              <w:left w:w="0" w:type="dxa"/>
              <w:right w:w="0" w:type="dxa"/>
            </w:tcMar>
            <w:vAlign w:val="center"/>
          </w:tcPr>
          <w:p w14:paraId="7342D61E"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9,064</w:t>
            </w:r>
          </w:p>
        </w:tc>
        <w:tc>
          <w:tcPr>
            <w:tcW w:w="771" w:type="dxa"/>
            <w:noWrap/>
            <w:tcMar>
              <w:left w:w="0" w:type="dxa"/>
              <w:right w:w="0" w:type="dxa"/>
            </w:tcMar>
            <w:vAlign w:val="center"/>
          </w:tcPr>
          <w:p w14:paraId="661D408C"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9,041</w:t>
            </w:r>
          </w:p>
        </w:tc>
        <w:tc>
          <w:tcPr>
            <w:tcW w:w="772" w:type="dxa"/>
            <w:noWrap/>
            <w:tcMar>
              <w:left w:w="0" w:type="dxa"/>
              <w:right w:w="0" w:type="dxa"/>
            </w:tcMar>
            <w:vAlign w:val="center"/>
          </w:tcPr>
          <w:p w14:paraId="0B421A3F"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7,792</w:t>
            </w:r>
          </w:p>
        </w:tc>
        <w:tc>
          <w:tcPr>
            <w:tcW w:w="767" w:type="dxa"/>
            <w:noWrap/>
            <w:tcMar>
              <w:left w:w="0" w:type="dxa"/>
              <w:right w:w="0" w:type="dxa"/>
            </w:tcMar>
            <w:vAlign w:val="center"/>
          </w:tcPr>
          <w:p w14:paraId="01F59F22"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8,147</w:t>
            </w:r>
          </w:p>
        </w:tc>
        <w:tc>
          <w:tcPr>
            <w:tcW w:w="776" w:type="dxa"/>
            <w:noWrap/>
            <w:tcMar>
              <w:left w:w="28" w:type="dxa"/>
              <w:right w:w="28" w:type="dxa"/>
            </w:tcMar>
            <w:vAlign w:val="center"/>
          </w:tcPr>
          <w:p w14:paraId="46E69053"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9,221</w:t>
            </w:r>
          </w:p>
        </w:tc>
        <w:tc>
          <w:tcPr>
            <w:tcW w:w="772" w:type="dxa"/>
            <w:noWrap/>
            <w:tcMar>
              <w:left w:w="28" w:type="dxa"/>
              <w:right w:w="28" w:type="dxa"/>
            </w:tcMar>
            <w:vAlign w:val="center"/>
          </w:tcPr>
          <w:p w14:paraId="163BAA1B"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9,176</w:t>
            </w:r>
          </w:p>
        </w:tc>
        <w:tc>
          <w:tcPr>
            <w:tcW w:w="772" w:type="dxa"/>
            <w:noWrap/>
            <w:tcMar>
              <w:left w:w="28" w:type="dxa"/>
              <w:right w:w="28" w:type="dxa"/>
            </w:tcMar>
            <w:vAlign w:val="center"/>
          </w:tcPr>
          <w:p w14:paraId="09F99226"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41,619</w:t>
            </w:r>
          </w:p>
        </w:tc>
        <w:tc>
          <w:tcPr>
            <w:tcW w:w="772" w:type="dxa"/>
            <w:noWrap/>
            <w:tcMar>
              <w:left w:w="28" w:type="dxa"/>
              <w:right w:w="28" w:type="dxa"/>
            </w:tcMar>
            <w:vAlign w:val="center"/>
          </w:tcPr>
          <w:p w14:paraId="46686218"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40,609</w:t>
            </w:r>
          </w:p>
        </w:tc>
      </w:tr>
      <w:tr w:rsidR="00AF7228" w:rsidRPr="00AF7228" w14:paraId="5B3A1A42" w14:textId="77777777" w:rsidTr="00C36AC7">
        <w:trPr>
          <w:gridAfter w:val="1"/>
          <w:wAfter w:w="6" w:type="dxa"/>
          <w:trHeight w:val="347"/>
        </w:trPr>
        <w:tc>
          <w:tcPr>
            <w:cnfStyle w:val="001000000000" w:firstRow="0" w:lastRow="0" w:firstColumn="1" w:lastColumn="0" w:oddVBand="0" w:evenVBand="0" w:oddHBand="0" w:evenHBand="0" w:firstRowFirstColumn="0" w:firstRowLastColumn="0" w:lastRowFirstColumn="0" w:lastRowLastColumn="0"/>
            <w:tcW w:w="1684" w:type="dxa"/>
            <w:shd w:val="clear" w:color="auto" w:fill="E6E6E6"/>
            <w:vAlign w:val="center"/>
          </w:tcPr>
          <w:p w14:paraId="564B47A6" w14:textId="77777777" w:rsidR="003B145C" w:rsidRPr="00AF7228" w:rsidRDefault="003B145C" w:rsidP="003B145C">
            <w:pPr>
              <w:pStyle w:val="TableText"/>
            </w:pPr>
            <w:r w:rsidRPr="00AF7228">
              <w:t xml:space="preserve">Rouse Hill - McGraths Hill </w:t>
            </w:r>
          </w:p>
        </w:tc>
        <w:tc>
          <w:tcPr>
            <w:tcW w:w="771" w:type="dxa"/>
            <w:noWrap/>
            <w:tcMar>
              <w:left w:w="0" w:type="dxa"/>
              <w:right w:w="0" w:type="dxa"/>
            </w:tcMar>
            <w:vAlign w:val="center"/>
          </w:tcPr>
          <w:p w14:paraId="21088452"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8,647</w:t>
            </w:r>
          </w:p>
        </w:tc>
        <w:tc>
          <w:tcPr>
            <w:tcW w:w="772" w:type="dxa"/>
            <w:noWrap/>
            <w:tcMar>
              <w:left w:w="0" w:type="dxa"/>
              <w:right w:w="0" w:type="dxa"/>
            </w:tcMar>
            <w:vAlign w:val="center"/>
          </w:tcPr>
          <w:p w14:paraId="5EC90F89"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8,576</w:t>
            </w:r>
          </w:p>
        </w:tc>
        <w:tc>
          <w:tcPr>
            <w:tcW w:w="772" w:type="dxa"/>
            <w:noWrap/>
            <w:tcMar>
              <w:left w:w="0" w:type="dxa"/>
              <w:right w:w="0" w:type="dxa"/>
            </w:tcMar>
            <w:vAlign w:val="center"/>
          </w:tcPr>
          <w:p w14:paraId="6265DB20"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13,537</w:t>
            </w:r>
          </w:p>
        </w:tc>
        <w:tc>
          <w:tcPr>
            <w:tcW w:w="771" w:type="dxa"/>
            <w:noWrap/>
            <w:tcMar>
              <w:left w:w="0" w:type="dxa"/>
              <w:right w:w="0" w:type="dxa"/>
            </w:tcMar>
            <w:vAlign w:val="center"/>
          </w:tcPr>
          <w:p w14:paraId="78944B17"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14,248</w:t>
            </w:r>
          </w:p>
        </w:tc>
        <w:tc>
          <w:tcPr>
            <w:tcW w:w="772" w:type="dxa"/>
            <w:noWrap/>
            <w:tcMar>
              <w:left w:w="0" w:type="dxa"/>
              <w:right w:w="0" w:type="dxa"/>
            </w:tcMar>
            <w:vAlign w:val="center"/>
          </w:tcPr>
          <w:p w14:paraId="6C11A3D8"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8,090</w:t>
            </w:r>
          </w:p>
        </w:tc>
        <w:tc>
          <w:tcPr>
            <w:tcW w:w="767" w:type="dxa"/>
            <w:noWrap/>
            <w:tcMar>
              <w:left w:w="0" w:type="dxa"/>
              <w:right w:w="0" w:type="dxa"/>
            </w:tcMar>
            <w:vAlign w:val="center"/>
          </w:tcPr>
          <w:p w14:paraId="7BC78449"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7,961</w:t>
            </w:r>
          </w:p>
        </w:tc>
        <w:tc>
          <w:tcPr>
            <w:tcW w:w="776" w:type="dxa"/>
            <w:noWrap/>
            <w:tcMar>
              <w:left w:w="28" w:type="dxa"/>
              <w:right w:w="28" w:type="dxa"/>
            </w:tcMar>
            <w:vAlign w:val="center"/>
          </w:tcPr>
          <w:p w14:paraId="302AD73C"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11,109</w:t>
            </w:r>
          </w:p>
        </w:tc>
        <w:tc>
          <w:tcPr>
            <w:tcW w:w="772" w:type="dxa"/>
            <w:noWrap/>
            <w:tcMar>
              <w:left w:w="28" w:type="dxa"/>
              <w:right w:w="28" w:type="dxa"/>
            </w:tcMar>
            <w:vAlign w:val="center"/>
          </w:tcPr>
          <w:p w14:paraId="768FF63B"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11,441</w:t>
            </w:r>
          </w:p>
        </w:tc>
        <w:tc>
          <w:tcPr>
            <w:tcW w:w="772" w:type="dxa"/>
            <w:noWrap/>
            <w:tcMar>
              <w:left w:w="28" w:type="dxa"/>
              <w:right w:w="28" w:type="dxa"/>
            </w:tcMar>
            <w:vAlign w:val="center"/>
          </w:tcPr>
          <w:p w14:paraId="0BE622AF"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41,382</w:t>
            </w:r>
          </w:p>
        </w:tc>
        <w:tc>
          <w:tcPr>
            <w:tcW w:w="772" w:type="dxa"/>
            <w:noWrap/>
            <w:tcMar>
              <w:left w:w="28" w:type="dxa"/>
              <w:right w:w="28" w:type="dxa"/>
            </w:tcMar>
            <w:vAlign w:val="center"/>
          </w:tcPr>
          <w:p w14:paraId="16CD40C2"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42,227</w:t>
            </w:r>
          </w:p>
        </w:tc>
      </w:tr>
      <w:tr w:rsidR="00C36AC7" w:rsidRPr="00AF7228" w14:paraId="199A9777" w14:textId="77777777" w:rsidTr="00C36AC7">
        <w:trPr>
          <w:gridAfter w:val="1"/>
          <w:wAfter w:w="6" w:type="dxa"/>
          <w:trHeight w:val="347"/>
        </w:trPr>
        <w:tc>
          <w:tcPr>
            <w:cnfStyle w:val="001000000000" w:firstRow="0" w:lastRow="0" w:firstColumn="1" w:lastColumn="0" w:oddVBand="0" w:evenVBand="0" w:oddHBand="0" w:evenHBand="0" w:firstRowFirstColumn="0" w:firstRowLastColumn="0" w:lastRowFirstColumn="0" w:lastRowLastColumn="0"/>
            <w:tcW w:w="1684" w:type="dxa"/>
            <w:shd w:val="clear" w:color="auto" w:fill="E6E6E6"/>
            <w:vAlign w:val="center"/>
            <w:hideMark/>
          </w:tcPr>
          <w:p w14:paraId="5F0E3043" w14:textId="77777777" w:rsidR="003B145C" w:rsidRPr="00AF7228" w:rsidRDefault="003B145C" w:rsidP="003B145C">
            <w:pPr>
              <w:pStyle w:val="TableText"/>
            </w:pPr>
            <w:r w:rsidRPr="00AF7228">
              <w:t>Ryde - Hunters Hill</w:t>
            </w:r>
          </w:p>
        </w:tc>
        <w:tc>
          <w:tcPr>
            <w:tcW w:w="771" w:type="dxa"/>
            <w:tcBorders>
              <w:bottom w:val="single" w:sz="4" w:space="0" w:color="003D69"/>
            </w:tcBorders>
            <w:noWrap/>
            <w:tcMar>
              <w:left w:w="0" w:type="dxa"/>
              <w:right w:w="0" w:type="dxa"/>
            </w:tcMar>
            <w:vAlign w:val="center"/>
          </w:tcPr>
          <w:p w14:paraId="3E5E75D2"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13,184</w:t>
            </w:r>
          </w:p>
        </w:tc>
        <w:tc>
          <w:tcPr>
            <w:tcW w:w="772" w:type="dxa"/>
            <w:tcBorders>
              <w:bottom w:val="single" w:sz="4" w:space="0" w:color="003D69"/>
            </w:tcBorders>
            <w:noWrap/>
            <w:tcMar>
              <w:left w:w="0" w:type="dxa"/>
              <w:right w:w="0" w:type="dxa"/>
            </w:tcMar>
            <w:vAlign w:val="center"/>
          </w:tcPr>
          <w:p w14:paraId="48DAE051"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12,624</w:t>
            </w:r>
          </w:p>
        </w:tc>
        <w:tc>
          <w:tcPr>
            <w:tcW w:w="772" w:type="dxa"/>
            <w:tcBorders>
              <w:bottom w:val="single" w:sz="4" w:space="0" w:color="003D69"/>
            </w:tcBorders>
            <w:noWrap/>
            <w:tcMar>
              <w:left w:w="0" w:type="dxa"/>
              <w:right w:w="0" w:type="dxa"/>
            </w:tcMar>
            <w:vAlign w:val="center"/>
          </w:tcPr>
          <w:p w14:paraId="0FDC53E7"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8,686</w:t>
            </w:r>
          </w:p>
        </w:tc>
        <w:tc>
          <w:tcPr>
            <w:tcW w:w="771" w:type="dxa"/>
            <w:tcBorders>
              <w:bottom w:val="single" w:sz="4" w:space="0" w:color="003D69"/>
            </w:tcBorders>
            <w:noWrap/>
            <w:tcMar>
              <w:left w:w="0" w:type="dxa"/>
              <w:right w:w="0" w:type="dxa"/>
            </w:tcMar>
            <w:vAlign w:val="center"/>
          </w:tcPr>
          <w:p w14:paraId="128B7B8B"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8,949</w:t>
            </w:r>
          </w:p>
        </w:tc>
        <w:tc>
          <w:tcPr>
            <w:tcW w:w="772" w:type="dxa"/>
            <w:tcBorders>
              <w:bottom w:val="single" w:sz="4" w:space="0" w:color="003D69"/>
            </w:tcBorders>
            <w:noWrap/>
            <w:tcMar>
              <w:left w:w="0" w:type="dxa"/>
              <w:right w:w="0" w:type="dxa"/>
            </w:tcMar>
            <w:vAlign w:val="center"/>
          </w:tcPr>
          <w:p w14:paraId="0C0F46EF"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7,742</w:t>
            </w:r>
          </w:p>
        </w:tc>
        <w:tc>
          <w:tcPr>
            <w:tcW w:w="767" w:type="dxa"/>
            <w:tcBorders>
              <w:bottom w:val="single" w:sz="4" w:space="0" w:color="003D69"/>
            </w:tcBorders>
            <w:noWrap/>
            <w:tcMar>
              <w:left w:w="0" w:type="dxa"/>
              <w:right w:w="0" w:type="dxa"/>
            </w:tcMar>
            <w:vAlign w:val="center"/>
          </w:tcPr>
          <w:p w14:paraId="41210495"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7,448</w:t>
            </w:r>
          </w:p>
        </w:tc>
        <w:tc>
          <w:tcPr>
            <w:tcW w:w="776" w:type="dxa"/>
            <w:tcBorders>
              <w:bottom w:val="single" w:sz="4" w:space="0" w:color="003D69"/>
            </w:tcBorders>
            <w:noWrap/>
            <w:tcMar>
              <w:left w:w="28" w:type="dxa"/>
              <w:right w:w="28" w:type="dxa"/>
            </w:tcMar>
            <w:vAlign w:val="center"/>
          </w:tcPr>
          <w:p w14:paraId="2AB9A617"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9,406</w:t>
            </w:r>
          </w:p>
        </w:tc>
        <w:tc>
          <w:tcPr>
            <w:tcW w:w="772" w:type="dxa"/>
            <w:tcBorders>
              <w:bottom w:val="single" w:sz="4" w:space="0" w:color="003D69"/>
            </w:tcBorders>
            <w:noWrap/>
            <w:tcMar>
              <w:left w:w="28" w:type="dxa"/>
              <w:right w:w="28" w:type="dxa"/>
            </w:tcMar>
            <w:vAlign w:val="center"/>
          </w:tcPr>
          <w:p w14:paraId="2F2591A7"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8,957</w:t>
            </w:r>
          </w:p>
        </w:tc>
        <w:tc>
          <w:tcPr>
            <w:tcW w:w="772" w:type="dxa"/>
            <w:tcBorders>
              <w:bottom w:val="single" w:sz="4" w:space="0" w:color="003D69"/>
            </w:tcBorders>
            <w:noWrap/>
            <w:tcMar>
              <w:left w:w="28" w:type="dxa"/>
              <w:right w:w="28" w:type="dxa"/>
            </w:tcMar>
            <w:vAlign w:val="center"/>
          </w:tcPr>
          <w:p w14:paraId="4F519094"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39,018</w:t>
            </w:r>
          </w:p>
        </w:tc>
        <w:tc>
          <w:tcPr>
            <w:tcW w:w="772" w:type="dxa"/>
            <w:tcBorders>
              <w:bottom w:val="single" w:sz="4" w:space="0" w:color="003D69"/>
            </w:tcBorders>
            <w:noWrap/>
            <w:tcMar>
              <w:left w:w="28" w:type="dxa"/>
              <w:right w:w="28" w:type="dxa"/>
            </w:tcMar>
            <w:vAlign w:val="center"/>
          </w:tcPr>
          <w:p w14:paraId="0724609A"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37,978</w:t>
            </w:r>
          </w:p>
        </w:tc>
      </w:tr>
      <w:tr w:rsidR="003B145C" w:rsidRPr="00AF7228" w14:paraId="4DCB7869" w14:textId="77777777" w:rsidTr="00C36AC7">
        <w:trPr>
          <w:gridAfter w:val="1"/>
          <w:wAfter w:w="6" w:type="dxa"/>
          <w:trHeight w:val="347"/>
        </w:trPr>
        <w:tc>
          <w:tcPr>
            <w:cnfStyle w:val="001000000000" w:firstRow="0" w:lastRow="0" w:firstColumn="1" w:lastColumn="0" w:oddVBand="0" w:evenVBand="0" w:oddHBand="0" w:evenHBand="0" w:firstRowFirstColumn="0" w:firstRowLastColumn="0" w:lastRowFirstColumn="0" w:lastRowLastColumn="0"/>
            <w:tcW w:w="1684" w:type="dxa"/>
            <w:tcBorders>
              <w:right w:val="single" w:sz="4" w:space="0" w:color="003D69"/>
            </w:tcBorders>
            <w:shd w:val="clear" w:color="auto" w:fill="003D69"/>
            <w:vAlign w:val="center"/>
          </w:tcPr>
          <w:p w14:paraId="5AB16774" w14:textId="77777777" w:rsidR="003B145C" w:rsidRPr="00AF7228" w:rsidRDefault="003B145C" w:rsidP="003B145C">
            <w:pPr>
              <w:pStyle w:val="TableText"/>
              <w:rPr>
                <w:color w:val="FFFFFF" w:themeColor="background1"/>
              </w:rPr>
            </w:pPr>
            <w:r w:rsidRPr="00AF7228">
              <w:rPr>
                <w:color w:val="FFFFFF" w:themeColor="background1"/>
              </w:rPr>
              <w:t>WentWest</w:t>
            </w:r>
            <w:r w:rsidRPr="00AF7228">
              <w:rPr>
                <w:color w:val="FFFFFF" w:themeColor="background1"/>
                <w:sz w:val="16"/>
                <w:szCs w:val="16"/>
                <w:vertAlign w:val="superscript"/>
              </w:rPr>
              <w:t>‡</w:t>
            </w:r>
          </w:p>
        </w:tc>
        <w:tc>
          <w:tcPr>
            <w:tcW w:w="771" w:type="dxa"/>
            <w:tcBorders>
              <w:top w:val="single" w:sz="4" w:space="0" w:color="003D69"/>
              <w:left w:val="single" w:sz="4" w:space="0" w:color="003D69"/>
              <w:bottom w:val="single" w:sz="4" w:space="0" w:color="003D69"/>
              <w:right w:val="single" w:sz="4" w:space="0" w:color="003D69"/>
            </w:tcBorders>
            <w:shd w:val="clear" w:color="auto" w:fill="003D69"/>
            <w:noWrap/>
            <w:tcMar>
              <w:left w:w="0" w:type="dxa"/>
              <w:right w:w="0" w:type="dxa"/>
            </w:tcMar>
            <w:vAlign w:val="center"/>
          </w:tcPr>
          <w:p w14:paraId="62DAA1F5"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rPr>
                <w:color w:val="FFFFFF" w:themeColor="background1"/>
              </w:rPr>
            </w:pPr>
            <w:r w:rsidRPr="00AF7228">
              <w:rPr>
                <w:color w:val="FFFFFF" w:themeColor="background1"/>
              </w:rPr>
              <w:t>9,149</w:t>
            </w:r>
          </w:p>
        </w:tc>
        <w:tc>
          <w:tcPr>
            <w:tcW w:w="772" w:type="dxa"/>
            <w:tcBorders>
              <w:top w:val="single" w:sz="4" w:space="0" w:color="003D69"/>
              <w:left w:val="single" w:sz="4" w:space="0" w:color="003D69"/>
              <w:bottom w:val="single" w:sz="4" w:space="0" w:color="003D69"/>
              <w:right w:val="single" w:sz="4" w:space="0" w:color="003D69"/>
            </w:tcBorders>
            <w:shd w:val="clear" w:color="auto" w:fill="003D69"/>
            <w:noWrap/>
            <w:tcMar>
              <w:left w:w="0" w:type="dxa"/>
              <w:right w:w="0" w:type="dxa"/>
            </w:tcMar>
            <w:vAlign w:val="center"/>
          </w:tcPr>
          <w:p w14:paraId="78842584"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rPr>
                <w:color w:val="FFFFFF" w:themeColor="background1"/>
              </w:rPr>
            </w:pPr>
            <w:r w:rsidRPr="00AF7228">
              <w:rPr>
                <w:color w:val="FFFFFF" w:themeColor="background1"/>
              </w:rPr>
              <w:t>9,111</w:t>
            </w:r>
          </w:p>
        </w:tc>
        <w:tc>
          <w:tcPr>
            <w:tcW w:w="772" w:type="dxa"/>
            <w:tcBorders>
              <w:top w:val="single" w:sz="4" w:space="0" w:color="003D69"/>
              <w:left w:val="single" w:sz="4" w:space="0" w:color="003D69"/>
              <w:bottom w:val="single" w:sz="4" w:space="0" w:color="003D69"/>
              <w:right w:val="single" w:sz="4" w:space="0" w:color="003D69"/>
            </w:tcBorders>
            <w:shd w:val="clear" w:color="auto" w:fill="003D69"/>
            <w:noWrap/>
            <w:tcMar>
              <w:left w:w="0" w:type="dxa"/>
              <w:right w:w="0" w:type="dxa"/>
            </w:tcMar>
            <w:vAlign w:val="center"/>
          </w:tcPr>
          <w:p w14:paraId="00A04047"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rPr>
                <w:color w:val="FFFFFF" w:themeColor="background1"/>
              </w:rPr>
            </w:pPr>
            <w:r w:rsidRPr="00AF7228">
              <w:rPr>
                <w:color w:val="FFFFFF" w:themeColor="background1"/>
              </w:rPr>
              <w:t>11,671</w:t>
            </w:r>
          </w:p>
        </w:tc>
        <w:tc>
          <w:tcPr>
            <w:tcW w:w="771" w:type="dxa"/>
            <w:tcBorders>
              <w:top w:val="single" w:sz="4" w:space="0" w:color="003D69"/>
              <w:left w:val="single" w:sz="4" w:space="0" w:color="003D69"/>
              <w:bottom w:val="single" w:sz="4" w:space="0" w:color="003D69"/>
              <w:right w:val="single" w:sz="4" w:space="0" w:color="003D69"/>
            </w:tcBorders>
            <w:shd w:val="clear" w:color="auto" w:fill="003D69"/>
            <w:noWrap/>
            <w:tcMar>
              <w:left w:w="0" w:type="dxa"/>
              <w:right w:w="0" w:type="dxa"/>
            </w:tcMar>
            <w:vAlign w:val="center"/>
          </w:tcPr>
          <w:p w14:paraId="1ECE9912"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rPr>
                <w:color w:val="FFFFFF" w:themeColor="background1"/>
              </w:rPr>
            </w:pPr>
            <w:r w:rsidRPr="00AF7228">
              <w:rPr>
                <w:color w:val="FFFFFF" w:themeColor="background1"/>
              </w:rPr>
              <w:t>12,621</w:t>
            </w:r>
          </w:p>
        </w:tc>
        <w:tc>
          <w:tcPr>
            <w:tcW w:w="772" w:type="dxa"/>
            <w:tcBorders>
              <w:top w:val="single" w:sz="4" w:space="0" w:color="003D69"/>
              <w:left w:val="single" w:sz="4" w:space="0" w:color="003D69"/>
              <w:bottom w:val="single" w:sz="4" w:space="0" w:color="003D69"/>
              <w:right w:val="single" w:sz="4" w:space="0" w:color="003D69"/>
            </w:tcBorders>
            <w:shd w:val="clear" w:color="auto" w:fill="003D69"/>
            <w:noWrap/>
            <w:tcMar>
              <w:left w:w="0" w:type="dxa"/>
              <w:right w:w="0" w:type="dxa"/>
            </w:tcMar>
            <w:vAlign w:val="center"/>
          </w:tcPr>
          <w:p w14:paraId="76D300A2"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rPr>
                <w:color w:val="FFFFFF" w:themeColor="background1"/>
              </w:rPr>
            </w:pPr>
            <w:r w:rsidRPr="00AF7228">
              <w:rPr>
                <w:color w:val="FFFFFF" w:themeColor="background1"/>
              </w:rPr>
              <w:t>5,777</w:t>
            </w:r>
          </w:p>
        </w:tc>
        <w:tc>
          <w:tcPr>
            <w:tcW w:w="767" w:type="dxa"/>
            <w:tcBorders>
              <w:top w:val="single" w:sz="4" w:space="0" w:color="003D69"/>
              <w:left w:val="single" w:sz="4" w:space="0" w:color="003D69"/>
              <w:bottom w:val="single" w:sz="4" w:space="0" w:color="003D69"/>
              <w:right w:val="single" w:sz="4" w:space="0" w:color="003D69"/>
            </w:tcBorders>
            <w:shd w:val="clear" w:color="auto" w:fill="003D69"/>
            <w:noWrap/>
            <w:tcMar>
              <w:left w:w="0" w:type="dxa"/>
              <w:right w:w="0" w:type="dxa"/>
            </w:tcMar>
            <w:vAlign w:val="center"/>
          </w:tcPr>
          <w:p w14:paraId="17CC3BEE"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rPr>
                <w:color w:val="FFFFFF" w:themeColor="background1"/>
              </w:rPr>
            </w:pPr>
            <w:r w:rsidRPr="00AF7228">
              <w:rPr>
                <w:color w:val="FFFFFF" w:themeColor="background1"/>
              </w:rPr>
              <w:t>5,954</w:t>
            </w:r>
          </w:p>
        </w:tc>
        <w:tc>
          <w:tcPr>
            <w:tcW w:w="776" w:type="dxa"/>
            <w:tcBorders>
              <w:top w:val="single" w:sz="4" w:space="0" w:color="003D69"/>
              <w:left w:val="single" w:sz="4" w:space="0" w:color="003D69"/>
              <w:bottom w:val="single" w:sz="4" w:space="0" w:color="003D69"/>
              <w:right w:val="single" w:sz="4" w:space="0" w:color="003D69"/>
            </w:tcBorders>
            <w:shd w:val="clear" w:color="auto" w:fill="003D69"/>
            <w:noWrap/>
            <w:tcMar>
              <w:left w:w="28" w:type="dxa"/>
              <w:right w:w="28" w:type="dxa"/>
            </w:tcMar>
            <w:vAlign w:val="center"/>
          </w:tcPr>
          <w:p w14:paraId="1123D914"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rPr>
                <w:color w:val="FFFFFF" w:themeColor="background1"/>
              </w:rPr>
            </w:pPr>
            <w:r w:rsidRPr="00AF7228">
              <w:rPr>
                <w:color w:val="FFFFFF" w:themeColor="background1"/>
              </w:rPr>
              <w:t>11,267</w:t>
            </w:r>
          </w:p>
        </w:tc>
        <w:tc>
          <w:tcPr>
            <w:tcW w:w="772" w:type="dxa"/>
            <w:tcBorders>
              <w:top w:val="single" w:sz="4" w:space="0" w:color="003D69"/>
              <w:left w:val="single" w:sz="4" w:space="0" w:color="003D69"/>
              <w:bottom w:val="single" w:sz="4" w:space="0" w:color="003D69"/>
              <w:right w:val="single" w:sz="4" w:space="0" w:color="003D69"/>
            </w:tcBorders>
            <w:shd w:val="clear" w:color="auto" w:fill="003D69"/>
            <w:noWrap/>
            <w:tcMar>
              <w:left w:w="28" w:type="dxa"/>
              <w:right w:w="28" w:type="dxa"/>
            </w:tcMar>
            <w:vAlign w:val="center"/>
          </w:tcPr>
          <w:p w14:paraId="274B8FE9"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rPr>
                <w:color w:val="FFFFFF" w:themeColor="background1"/>
              </w:rPr>
            </w:pPr>
            <w:r w:rsidRPr="00AF7228">
              <w:rPr>
                <w:color w:val="FFFFFF" w:themeColor="background1"/>
              </w:rPr>
              <w:t>12,016</w:t>
            </w:r>
          </w:p>
        </w:tc>
        <w:tc>
          <w:tcPr>
            <w:tcW w:w="772" w:type="dxa"/>
            <w:tcBorders>
              <w:top w:val="single" w:sz="4" w:space="0" w:color="003D69"/>
              <w:left w:val="single" w:sz="4" w:space="0" w:color="003D69"/>
              <w:bottom w:val="single" w:sz="4" w:space="0" w:color="003D69"/>
              <w:right w:val="single" w:sz="4" w:space="0" w:color="003D69"/>
            </w:tcBorders>
            <w:shd w:val="clear" w:color="auto" w:fill="003D69"/>
            <w:noWrap/>
            <w:tcMar>
              <w:left w:w="28" w:type="dxa"/>
              <w:right w:w="28" w:type="dxa"/>
            </w:tcMar>
            <w:vAlign w:val="center"/>
          </w:tcPr>
          <w:p w14:paraId="18DCA79A"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rPr>
                <w:color w:val="FFFFFF" w:themeColor="background1"/>
              </w:rPr>
            </w:pPr>
            <w:r w:rsidRPr="00AF7228">
              <w:rPr>
                <w:color w:val="FFFFFF" w:themeColor="background1"/>
              </w:rPr>
              <w:t>37,866</w:t>
            </w:r>
          </w:p>
        </w:tc>
        <w:tc>
          <w:tcPr>
            <w:tcW w:w="772" w:type="dxa"/>
            <w:tcBorders>
              <w:top w:val="single" w:sz="4" w:space="0" w:color="003D69"/>
              <w:left w:val="single" w:sz="4" w:space="0" w:color="003D69"/>
              <w:bottom w:val="single" w:sz="4" w:space="0" w:color="003D69"/>
              <w:right w:val="single" w:sz="4" w:space="0" w:color="003D69"/>
            </w:tcBorders>
            <w:shd w:val="clear" w:color="auto" w:fill="003D69"/>
            <w:noWrap/>
            <w:tcMar>
              <w:left w:w="28" w:type="dxa"/>
              <w:right w:w="28" w:type="dxa"/>
            </w:tcMar>
            <w:vAlign w:val="center"/>
          </w:tcPr>
          <w:p w14:paraId="64167D22"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rPr>
                <w:color w:val="FFFFFF" w:themeColor="background1"/>
              </w:rPr>
            </w:pPr>
            <w:r w:rsidRPr="00AF7228">
              <w:rPr>
                <w:color w:val="FFFFFF" w:themeColor="background1"/>
              </w:rPr>
              <w:t>39,705</w:t>
            </w:r>
          </w:p>
        </w:tc>
      </w:tr>
      <w:tr w:rsidR="00C36AC7" w:rsidRPr="00AF7228" w14:paraId="3B30BDE4" w14:textId="77777777" w:rsidTr="00C36AC7">
        <w:trPr>
          <w:gridAfter w:val="1"/>
          <w:wAfter w:w="6" w:type="dxa"/>
          <w:trHeight w:val="348"/>
        </w:trPr>
        <w:tc>
          <w:tcPr>
            <w:cnfStyle w:val="001000000000" w:firstRow="0" w:lastRow="0" w:firstColumn="1" w:lastColumn="0" w:oddVBand="0" w:evenVBand="0" w:oddHBand="0" w:evenHBand="0" w:firstRowFirstColumn="0" w:firstRowLastColumn="0" w:lastRowFirstColumn="0" w:lastRowLastColumn="0"/>
            <w:tcW w:w="1684" w:type="dxa"/>
            <w:shd w:val="clear" w:color="auto" w:fill="E6E6E6"/>
            <w:vAlign w:val="center"/>
          </w:tcPr>
          <w:p w14:paraId="11D7460A" w14:textId="77777777" w:rsidR="003B145C" w:rsidRPr="00AF7228" w:rsidRDefault="003B145C" w:rsidP="003B145C">
            <w:pPr>
              <w:pStyle w:val="TableText"/>
            </w:pPr>
            <w:r w:rsidRPr="00AF7228">
              <w:t>Australia</w:t>
            </w:r>
            <w:r w:rsidRPr="00AF7228">
              <w:rPr>
                <w:sz w:val="16"/>
                <w:szCs w:val="16"/>
                <w:vertAlign w:val="superscript"/>
              </w:rPr>
              <w:t>‡</w:t>
            </w:r>
          </w:p>
        </w:tc>
        <w:tc>
          <w:tcPr>
            <w:tcW w:w="771" w:type="dxa"/>
            <w:tcBorders>
              <w:top w:val="single" w:sz="4" w:space="0" w:color="003D69"/>
            </w:tcBorders>
            <w:noWrap/>
            <w:tcMar>
              <w:left w:w="0" w:type="dxa"/>
              <w:right w:w="0" w:type="dxa"/>
            </w:tcMar>
            <w:vAlign w:val="center"/>
          </w:tcPr>
          <w:p w14:paraId="0AA6A4B5"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9,289</w:t>
            </w:r>
          </w:p>
        </w:tc>
        <w:tc>
          <w:tcPr>
            <w:tcW w:w="772" w:type="dxa"/>
            <w:tcBorders>
              <w:top w:val="single" w:sz="4" w:space="0" w:color="003D69"/>
            </w:tcBorders>
            <w:noWrap/>
            <w:tcMar>
              <w:left w:w="0" w:type="dxa"/>
              <w:right w:w="0" w:type="dxa"/>
            </w:tcMar>
            <w:vAlign w:val="center"/>
          </w:tcPr>
          <w:p w14:paraId="36097AA3"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9,684</w:t>
            </w:r>
          </w:p>
        </w:tc>
        <w:tc>
          <w:tcPr>
            <w:tcW w:w="772" w:type="dxa"/>
            <w:tcBorders>
              <w:top w:val="single" w:sz="4" w:space="0" w:color="003D69"/>
            </w:tcBorders>
            <w:noWrap/>
            <w:tcMar>
              <w:left w:w="0" w:type="dxa"/>
              <w:right w:w="0" w:type="dxa"/>
            </w:tcMar>
            <w:vAlign w:val="center"/>
          </w:tcPr>
          <w:p w14:paraId="24B2929D"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11,145</w:t>
            </w:r>
          </w:p>
        </w:tc>
        <w:tc>
          <w:tcPr>
            <w:tcW w:w="771" w:type="dxa"/>
            <w:tcBorders>
              <w:top w:val="single" w:sz="4" w:space="0" w:color="003D69"/>
            </w:tcBorders>
            <w:noWrap/>
            <w:tcMar>
              <w:left w:w="0" w:type="dxa"/>
              <w:right w:w="0" w:type="dxa"/>
            </w:tcMar>
            <w:vAlign w:val="center"/>
          </w:tcPr>
          <w:p w14:paraId="71AF4AE1"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12,272</w:t>
            </w:r>
          </w:p>
        </w:tc>
        <w:tc>
          <w:tcPr>
            <w:tcW w:w="772" w:type="dxa"/>
            <w:tcBorders>
              <w:top w:val="single" w:sz="4" w:space="0" w:color="003D69"/>
            </w:tcBorders>
            <w:noWrap/>
            <w:tcMar>
              <w:left w:w="0" w:type="dxa"/>
              <w:right w:w="0" w:type="dxa"/>
            </w:tcMar>
            <w:vAlign w:val="center"/>
          </w:tcPr>
          <w:p w14:paraId="6CD87C44"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7,188</w:t>
            </w:r>
          </w:p>
        </w:tc>
        <w:tc>
          <w:tcPr>
            <w:tcW w:w="767" w:type="dxa"/>
            <w:tcBorders>
              <w:top w:val="single" w:sz="4" w:space="0" w:color="003D69"/>
            </w:tcBorders>
            <w:noWrap/>
            <w:tcMar>
              <w:left w:w="0" w:type="dxa"/>
              <w:right w:w="0" w:type="dxa"/>
            </w:tcMar>
            <w:vAlign w:val="center"/>
          </w:tcPr>
          <w:p w14:paraId="48243783"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7,866</w:t>
            </w:r>
          </w:p>
        </w:tc>
        <w:tc>
          <w:tcPr>
            <w:tcW w:w="776" w:type="dxa"/>
            <w:tcBorders>
              <w:top w:val="single" w:sz="4" w:space="0" w:color="003D69"/>
            </w:tcBorders>
            <w:noWrap/>
            <w:tcMar>
              <w:left w:w="28" w:type="dxa"/>
              <w:right w:w="28" w:type="dxa"/>
            </w:tcMar>
            <w:vAlign w:val="center"/>
          </w:tcPr>
          <w:p w14:paraId="30726B57"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10,354</w:t>
            </w:r>
          </w:p>
        </w:tc>
        <w:tc>
          <w:tcPr>
            <w:tcW w:w="772" w:type="dxa"/>
            <w:tcBorders>
              <w:top w:val="single" w:sz="4" w:space="0" w:color="003D69"/>
            </w:tcBorders>
            <w:noWrap/>
            <w:tcMar>
              <w:left w:w="28" w:type="dxa"/>
              <w:right w:w="28" w:type="dxa"/>
            </w:tcMar>
            <w:vAlign w:val="center"/>
          </w:tcPr>
          <w:p w14:paraId="308CBEC6"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11,226</w:t>
            </w:r>
          </w:p>
        </w:tc>
        <w:tc>
          <w:tcPr>
            <w:tcW w:w="772" w:type="dxa"/>
            <w:tcBorders>
              <w:top w:val="single" w:sz="4" w:space="0" w:color="003D69"/>
            </w:tcBorders>
            <w:noWrap/>
            <w:tcMar>
              <w:left w:w="28" w:type="dxa"/>
              <w:right w:w="28" w:type="dxa"/>
            </w:tcMar>
            <w:vAlign w:val="center"/>
          </w:tcPr>
          <w:p w14:paraId="227F876D"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37,978</w:t>
            </w:r>
          </w:p>
        </w:tc>
        <w:tc>
          <w:tcPr>
            <w:tcW w:w="772" w:type="dxa"/>
            <w:tcBorders>
              <w:top w:val="single" w:sz="4" w:space="0" w:color="003D69"/>
            </w:tcBorders>
            <w:noWrap/>
            <w:tcMar>
              <w:left w:w="28" w:type="dxa"/>
              <w:right w:w="28" w:type="dxa"/>
            </w:tcMar>
            <w:vAlign w:val="center"/>
          </w:tcPr>
          <w:p w14:paraId="117B1DBE" w14:textId="77777777" w:rsidR="003B145C" w:rsidRPr="00AF7228" w:rsidRDefault="003B145C" w:rsidP="003B145C">
            <w:pPr>
              <w:pStyle w:val="TableText"/>
              <w:cnfStyle w:val="000000000000" w:firstRow="0" w:lastRow="0" w:firstColumn="0" w:lastColumn="0" w:oddVBand="0" w:evenVBand="0" w:oddHBand="0" w:evenHBand="0" w:firstRowFirstColumn="0" w:firstRowLastColumn="0" w:lastRowFirstColumn="0" w:lastRowLastColumn="0"/>
            </w:pPr>
            <w:r w:rsidRPr="00AF7228">
              <w:t>41,154</w:t>
            </w:r>
          </w:p>
        </w:tc>
      </w:tr>
      <w:tr w:rsidR="003B145C" w:rsidRPr="00AF7228" w14:paraId="15CFDDD0" w14:textId="77777777" w:rsidTr="00C36AC7">
        <w:trPr>
          <w:trHeight w:val="406"/>
        </w:trPr>
        <w:tc>
          <w:tcPr>
            <w:cnfStyle w:val="001000000000" w:firstRow="0" w:lastRow="0" w:firstColumn="1" w:lastColumn="0" w:oddVBand="0" w:evenVBand="0" w:oddHBand="0" w:evenHBand="0" w:firstRowFirstColumn="0" w:firstRowLastColumn="0" w:lastRowFirstColumn="0" w:lastRowLastColumn="0"/>
            <w:tcW w:w="9407" w:type="dxa"/>
            <w:gridSpan w:val="12"/>
            <w:shd w:val="clear" w:color="auto" w:fill="auto"/>
            <w:vAlign w:val="center"/>
          </w:tcPr>
          <w:p w14:paraId="57F1B2B0" w14:textId="77777777" w:rsidR="003B145C" w:rsidRPr="00AF7228" w:rsidRDefault="003B145C" w:rsidP="00C34200">
            <w:pPr>
              <w:spacing w:before="0" w:after="0"/>
              <w:ind w:left="-89"/>
              <w:rPr>
                <w:rFonts w:cs="Arial"/>
                <w:bCs/>
                <w:color w:val="000000"/>
                <w:sz w:val="16"/>
                <w:szCs w:val="16"/>
              </w:rPr>
            </w:pPr>
            <w:r w:rsidRPr="00AF7228">
              <w:rPr>
                <w:rFonts w:cs="Arial"/>
                <w:bCs/>
                <w:color w:val="000000"/>
                <w:sz w:val="16"/>
                <w:szCs w:val="16"/>
              </w:rPr>
              <w:t xml:space="preserve">Source: Department of Health (2015b), MBS Mental Health by SA3 – Patient </w:t>
            </w:r>
          </w:p>
          <w:p w14:paraId="6E60E220" w14:textId="77777777" w:rsidR="003B145C" w:rsidRPr="00AF7228" w:rsidRDefault="003B145C" w:rsidP="00C34200">
            <w:pPr>
              <w:spacing w:before="0" w:after="0"/>
              <w:ind w:left="-89"/>
              <w:rPr>
                <w:rFonts w:cs="Arial"/>
                <w:bCs/>
                <w:color w:val="000000"/>
                <w:sz w:val="16"/>
                <w:szCs w:val="16"/>
              </w:rPr>
            </w:pPr>
            <w:r w:rsidRPr="00AF7228">
              <w:rPr>
                <w:rFonts w:cs="Arial"/>
                <w:b/>
                <w:bCs/>
                <w:color w:val="000000"/>
                <w:sz w:val="16"/>
                <w:szCs w:val="16"/>
                <w:vertAlign w:val="superscript"/>
              </w:rPr>
              <w:t>*</w:t>
            </w:r>
            <w:r w:rsidRPr="00AF7228">
              <w:rPr>
                <w:sz w:val="16"/>
                <w:szCs w:val="16"/>
              </w:rPr>
              <w:t xml:space="preserve"> Rate calculated using ABS Population data for 2014; </w:t>
            </w:r>
            <w:r w:rsidRPr="00AF7228">
              <w:rPr>
                <w:sz w:val="16"/>
                <w:szCs w:val="16"/>
                <w:vertAlign w:val="superscript"/>
              </w:rPr>
              <w:t>†</w:t>
            </w:r>
            <w:r w:rsidRPr="00AF7228">
              <w:rPr>
                <w:sz w:val="16"/>
                <w:szCs w:val="16"/>
              </w:rPr>
              <w:t xml:space="preserve">Rate calculated using ABS Population data for 2015; </w:t>
            </w:r>
            <w:r w:rsidRPr="00AF7228">
              <w:rPr>
                <w:color w:val="000000"/>
                <w:sz w:val="16"/>
                <w:szCs w:val="16"/>
                <w:vertAlign w:val="superscript"/>
              </w:rPr>
              <w:t>‡</w:t>
            </w:r>
            <w:r w:rsidRPr="00AF7228">
              <w:rPr>
                <w:color w:val="000000"/>
                <w:sz w:val="16"/>
                <w:szCs w:val="16"/>
              </w:rPr>
              <w:t>Rate Calculated using PHIDU (2017), ERP 2015. Not Age Standardised.</w:t>
            </w:r>
          </w:p>
        </w:tc>
      </w:tr>
    </w:tbl>
    <w:p w14:paraId="65C66C2B" w14:textId="4D62547D" w:rsidR="003B145C" w:rsidRPr="00AF7228" w:rsidRDefault="003B145C" w:rsidP="00C03F61">
      <w:pPr>
        <w:pStyle w:val="BodyText"/>
      </w:pPr>
      <w:r w:rsidRPr="0022640E">
        <w:rPr>
          <w:b/>
        </w:rPr>
        <w:t>Access to Allied Psychological Services</w:t>
      </w:r>
      <w:r w:rsidRPr="00AF7228">
        <w:t xml:space="preserve"> (ATAPS) for the last year of this </w:t>
      </w:r>
      <w:r w:rsidR="00994E9B" w:rsidRPr="00AF7228">
        <w:t>program’s</w:t>
      </w:r>
      <w:r w:rsidRPr="00AF7228">
        <w:t xml:space="preserve"> operation</w:t>
      </w:r>
      <w:r w:rsidR="00994E9B">
        <w:t xml:space="preserve">. </w:t>
      </w:r>
      <w:r w:rsidRPr="00AF7228">
        <w:t xml:space="preserve">2015/16 shows that Blacktown had the highest number of occasions of service and Mt Druitt the largest number of patients. This reflects </w:t>
      </w:r>
      <w:proofErr w:type="spellStart"/>
      <w:r w:rsidRPr="00AF7228">
        <w:t>WentWest’s</w:t>
      </w:r>
      <w:proofErr w:type="spellEnd"/>
      <w:r w:rsidRPr="00AF7228">
        <w:t xml:space="preserve"> objective of targeting the ATAPS funds to areas of greatest need. ATAPS is a relatively small program in comparison with the MBS subsid</w:t>
      </w:r>
      <w:r w:rsidR="00994E9B">
        <w:t>is</w:t>
      </w:r>
      <w:r w:rsidRPr="00AF7228">
        <w:t xml:space="preserve">ed mental health services (78,205 vs 2,245,324 patients for that year across Australia. </w:t>
      </w:r>
    </w:p>
    <w:p w14:paraId="028E52B5" w14:textId="66C82ED5" w:rsidR="003B145C" w:rsidRPr="00AF7228" w:rsidRDefault="003B145C" w:rsidP="00C03F61">
      <w:pPr>
        <w:pStyle w:val="BodyText"/>
      </w:pPr>
      <w:r w:rsidRPr="00AF7228">
        <w:t xml:space="preserve">The </w:t>
      </w:r>
      <w:r w:rsidRPr="0022640E">
        <w:rPr>
          <w:b/>
        </w:rPr>
        <w:t>Mental Health Nurse Incentive Program</w:t>
      </w:r>
      <w:r w:rsidRPr="00AF7228">
        <w:t xml:space="preserve">, like ATAPS, </w:t>
      </w:r>
      <w:r w:rsidR="0022640E">
        <w:t>was</w:t>
      </w:r>
      <w:r w:rsidRPr="00AF7228">
        <w:t xml:space="preserve"> a comparatively small program targeting people with more severe and complex mental illnesses. In in 2014/15 there were 373 patients in the WentWest region. </w:t>
      </w:r>
    </w:p>
    <w:p w14:paraId="297153A7" w14:textId="77777777" w:rsidR="003B145C" w:rsidRPr="00AF7228" w:rsidRDefault="003B145C" w:rsidP="003B145C">
      <w:pPr>
        <w:pStyle w:val="Heading5"/>
      </w:pPr>
      <w:bookmarkStart w:id="39" w:name="_Toc483573326"/>
      <w:bookmarkStart w:id="40" w:name="_Toc483817489"/>
      <w:r w:rsidRPr="00AF7228">
        <w:t>Dispensing of Psychotropic Medications</w:t>
      </w:r>
      <w:bookmarkEnd w:id="39"/>
      <w:bookmarkEnd w:id="40"/>
    </w:p>
    <w:p w14:paraId="4454F059" w14:textId="77777777" w:rsidR="003B145C" w:rsidRPr="00AF7228" w:rsidRDefault="003B145C" w:rsidP="003B145C">
      <w:pPr>
        <w:pStyle w:val="BodyText"/>
      </w:pPr>
      <w:r w:rsidRPr="00AF7228">
        <w:t xml:space="preserve">As with MBS mental health services, there is a considerable variation within the western Sydney region with the </w:t>
      </w:r>
      <w:r w:rsidRPr="0022640E">
        <w:rPr>
          <w:b/>
        </w:rPr>
        <w:t>access to psychotropic medications</w:t>
      </w:r>
      <w:r w:rsidRPr="00AF7228">
        <w:t xml:space="preserve"> through the PBS. </w:t>
      </w:r>
    </w:p>
    <w:p w14:paraId="7BA2EB2E" w14:textId="595FCF22" w:rsidR="003B145C" w:rsidRPr="00AF7228" w:rsidRDefault="003B145C" w:rsidP="003B145C">
      <w:pPr>
        <w:pStyle w:val="BodyText"/>
      </w:pPr>
      <w:r w:rsidRPr="00C03F61">
        <w:lastRenderedPageBreak/>
        <w:t>Overall, Pennant Hills – Epping had the highest rates of mental health related PBS scripts, and Auburn the lowest rate. There has been only slight increase between 2014/15 and 2015/16 for most areas in relation to these prescriptions.</w:t>
      </w:r>
      <w:r w:rsidRPr="00AF7228">
        <w:t xml:space="preserve"> Breaking this down further:</w:t>
      </w:r>
    </w:p>
    <w:p w14:paraId="10BA7879" w14:textId="4809568C" w:rsidR="003B145C" w:rsidRPr="00AF7228" w:rsidRDefault="003B145C" w:rsidP="003B145C">
      <w:pPr>
        <w:pStyle w:val="BulletPoint"/>
        <w:spacing w:line="260" w:lineRule="exact"/>
        <w:jc w:val="both"/>
      </w:pPr>
      <w:r w:rsidRPr="00AF7228">
        <w:t>Baulkham Hills and Dural – Wisemans Ferry the highest rates of Antidepressants in region, whilst Auburn the lowest rate (</w:t>
      </w:r>
      <w:r w:rsidRPr="00AF7228">
        <w:fldChar w:fldCharType="begin"/>
      </w:r>
      <w:r w:rsidRPr="00AF7228">
        <w:instrText xml:space="preserve"> REF _Ref357699234 \r \h </w:instrText>
      </w:r>
      <w:r w:rsidRPr="00AF7228">
        <w:fldChar w:fldCharType="separate"/>
      </w:r>
      <w:r w:rsidR="00EF2823">
        <w:t>Figure 11</w:t>
      </w:r>
      <w:r w:rsidRPr="00AF7228">
        <w:fldChar w:fldCharType="end"/>
      </w:r>
      <w:r w:rsidRPr="00AF7228">
        <w:t>)</w:t>
      </w:r>
    </w:p>
    <w:p w14:paraId="5CAC7CDE" w14:textId="01F0C91F" w:rsidR="003B145C" w:rsidRPr="00AF7228" w:rsidRDefault="003B145C" w:rsidP="003B145C">
      <w:pPr>
        <w:pStyle w:val="BulletPoint"/>
        <w:spacing w:line="260" w:lineRule="exact"/>
        <w:jc w:val="both"/>
      </w:pPr>
      <w:r w:rsidRPr="00AF7228">
        <w:t xml:space="preserve">Pennant Hills – Epping had highest rates for Antipsychotics, Anxiolytics and Hypnotics and Sedatives, whilst Blacktown - North had the lowest Antipsychotics </w:t>
      </w:r>
    </w:p>
    <w:p w14:paraId="737BA180" w14:textId="11AB8DDC" w:rsidR="003B145C" w:rsidRPr="00AF7228" w:rsidRDefault="003B145C" w:rsidP="003B145C">
      <w:pPr>
        <w:pStyle w:val="BulletPoint"/>
        <w:spacing w:line="260" w:lineRule="exact"/>
        <w:jc w:val="both"/>
      </w:pPr>
      <w:r w:rsidRPr="00AF7228">
        <w:t>Merrylands – Guildford the lowest Anxiolytics and Hypnotics and Sedatives, and Auburn the lowest Psychostimulants</w:t>
      </w:r>
    </w:p>
    <w:p w14:paraId="68EFA089" w14:textId="77777777" w:rsidR="003B145C" w:rsidRPr="00AF7228" w:rsidRDefault="003B145C" w:rsidP="003B145C">
      <w:pPr>
        <w:pStyle w:val="FigureCaption"/>
      </w:pPr>
      <w:bookmarkStart w:id="41" w:name="_Ref357699234"/>
      <w:bookmarkStart w:id="42" w:name="_Toc6237981"/>
      <w:r w:rsidRPr="00AF7228">
        <w:rPr>
          <w:noProof/>
          <w:lang w:eastAsia="en-AU"/>
        </w:rPr>
        <w:drawing>
          <wp:anchor distT="0" distB="0" distL="114300" distR="114300" simplePos="0" relativeHeight="251780608" behindDoc="0" locked="0" layoutInCell="1" allowOverlap="1" wp14:anchorId="4BEE9D7B" wp14:editId="1C1C5F3D">
            <wp:simplePos x="0" y="0"/>
            <wp:positionH relativeFrom="margin">
              <wp:align>center</wp:align>
            </wp:positionH>
            <wp:positionV relativeFrom="paragraph">
              <wp:posOffset>635</wp:posOffset>
            </wp:positionV>
            <wp:extent cx="5828030" cy="3095184"/>
            <wp:effectExtent l="0" t="0" r="0" b="3810"/>
            <wp:wrapTopAndBottom/>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page">
              <wp14:pctWidth>0</wp14:pctWidth>
            </wp14:sizeRelH>
            <wp14:sizeRelV relativeFrom="page">
              <wp14:pctHeight>0</wp14:pctHeight>
            </wp14:sizeRelV>
          </wp:anchor>
        </w:drawing>
      </w:r>
      <w:r w:rsidRPr="00AF7228">
        <w:t>Antidepressants, rate per 10,000 by SA3</w:t>
      </w:r>
      <w:bookmarkEnd w:id="41"/>
      <w:bookmarkEnd w:id="42"/>
    </w:p>
    <w:p w14:paraId="211ABBA7" w14:textId="491811B7" w:rsidR="003B145C" w:rsidRPr="00AF7228" w:rsidRDefault="003B145C" w:rsidP="003B145C">
      <w:pPr>
        <w:pStyle w:val="Heading4"/>
      </w:pPr>
      <w:r w:rsidRPr="00AF7228">
        <w:t>Implications</w:t>
      </w:r>
      <w:r w:rsidR="00C36AC7" w:rsidRPr="00AF7228">
        <w:t xml:space="preserve"> from the Atlas and MBS/other Program Data</w:t>
      </w:r>
    </w:p>
    <w:p w14:paraId="6BB9D942" w14:textId="2ABD182A" w:rsidR="003B145C" w:rsidRPr="00AF7228" w:rsidRDefault="003B145C" w:rsidP="00C03F61">
      <w:pPr>
        <w:pStyle w:val="BodyText"/>
      </w:pPr>
      <w:r w:rsidRPr="00AF7228">
        <w:t>From th</w:t>
      </w:r>
      <w:r w:rsidR="00EB7A13" w:rsidRPr="00AF7228">
        <w:t>ese</w:t>
      </w:r>
      <w:r w:rsidRPr="00AF7228">
        <w:t xml:space="preserve"> analys</w:t>
      </w:r>
      <w:r w:rsidR="00EB7A13" w:rsidRPr="00AF7228">
        <w:t>e</w:t>
      </w:r>
      <w:r w:rsidRPr="00AF7228">
        <w:t xml:space="preserve">s </w:t>
      </w:r>
      <w:r w:rsidR="00EB7A13" w:rsidRPr="00AF7228">
        <w:t xml:space="preserve">we have been provided clearer data </w:t>
      </w:r>
      <w:r w:rsidRPr="00AF7228">
        <w:t>for planning and commissioning services</w:t>
      </w:r>
      <w:r w:rsidR="00EB7A13" w:rsidRPr="00AF7228">
        <w:t>. Importantly the data shows</w:t>
      </w:r>
      <w:r w:rsidRPr="00AF7228">
        <w:t>:</w:t>
      </w:r>
    </w:p>
    <w:p w14:paraId="3354CF9C" w14:textId="54FB901B" w:rsidR="00EB7A13" w:rsidRPr="00AF7228" w:rsidRDefault="00EB7A13" w:rsidP="00EB7A13">
      <w:pPr>
        <w:pStyle w:val="BulletPoint"/>
      </w:pPr>
      <w:r w:rsidRPr="00AF7228">
        <w:t xml:space="preserve">The clear relationships between </w:t>
      </w:r>
      <w:r w:rsidR="00AD3544">
        <w:t>IRSD</w:t>
      </w:r>
      <w:r w:rsidRPr="00AF7228">
        <w:t xml:space="preserve"> index scores and access to any mental health care</w:t>
      </w:r>
    </w:p>
    <w:p w14:paraId="732765E6" w14:textId="67649230" w:rsidR="00EB7A13" w:rsidRPr="00AF7228" w:rsidRDefault="00EB7A13" w:rsidP="00EB7A13">
      <w:pPr>
        <w:pStyle w:val="BulletPoint"/>
      </w:pPr>
      <w:r w:rsidRPr="00AF7228">
        <w:t>Those areas where there is poor utilisation of public mental health services are also shown to have lower access to Medicare subsidised mental health services – this is consistent with findings published by Meadows et al.</w:t>
      </w:r>
      <w:r w:rsidRPr="00AF7228">
        <w:rPr>
          <w:rStyle w:val="FootnoteReference"/>
        </w:rPr>
        <w:footnoteReference w:id="22"/>
      </w:r>
      <w:r w:rsidRPr="00AF7228">
        <w:t xml:space="preserve"> </w:t>
      </w:r>
      <w:r w:rsidRPr="00AF7228">
        <w:rPr>
          <w:rStyle w:val="FootnoteReference"/>
        </w:rPr>
        <w:footnoteReference w:id="23"/>
      </w:r>
    </w:p>
    <w:p w14:paraId="1204EF2B" w14:textId="76660D5A" w:rsidR="00EB7A13" w:rsidRPr="00AF7228" w:rsidRDefault="00EB7A13" w:rsidP="00EB7A13">
      <w:pPr>
        <w:pStyle w:val="BulletPoint"/>
      </w:pPr>
      <w:r w:rsidRPr="00AF7228">
        <w:t xml:space="preserve">Those areas with lower </w:t>
      </w:r>
      <w:r w:rsidR="00AD3544">
        <w:t>IRSD</w:t>
      </w:r>
      <w:r w:rsidRPr="00AF7228">
        <w:t xml:space="preserve"> scores and lower rates of service utilisation have higher rates of intentional self-harm and suicide – again this is consistent with data published by Mendoza et al.</w:t>
      </w:r>
      <w:r w:rsidRPr="00AF7228">
        <w:rPr>
          <w:rStyle w:val="FootnoteReference"/>
        </w:rPr>
        <w:footnoteReference w:id="24"/>
      </w:r>
    </w:p>
    <w:p w14:paraId="367DB36E" w14:textId="5EA3F440" w:rsidR="00713158" w:rsidRPr="00AF7228" w:rsidRDefault="00EB7A13" w:rsidP="00EB7A13">
      <w:pPr>
        <w:pStyle w:val="BulletPoint"/>
      </w:pPr>
      <w:r w:rsidRPr="00AF7228">
        <w:t>Areas with higher service utilisation had the highest rates of PBS-subsidised medication use</w:t>
      </w:r>
      <w:r w:rsidR="005A367F" w:rsidRPr="00AF7228">
        <w:t>.</w:t>
      </w:r>
      <w:r w:rsidR="00D36A42" w:rsidRPr="00AF7228">
        <w:br w:type="page"/>
      </w:r>
    </w:p>
    <w:p w14:paraId="30AAA5D6" w14:textId="7F5B6226" w:rsidR="00713158" w:rsidRPr="00AF7228" w:rsidRDefault="00713158" w:rsidP="00C03F61">
      <w:pPr>
        <w:pStyle w:val="Heading1"/>
      </w:pPr>
      <w:bookmarkStart w:id="43" w:name="_Toc6238804"/>
      <w:r w:rsidRPr="00AF7228">
        <w:lastRenderedPageBreak/>
        <w:t>Our Approach to Mental Health Services and Reform</w:t>
      </w:r>
      <w:bookmarkEnd w:id="43"/>
    </w:p>
    <w:p w14:paraId="50C879F4" w14:textId="49DE7B70" w:rsidR="00C03F61" w:rsidRPr="00AF7228" w:rsidRDefault="00C03F61" w:rsidP="00B303FA">
      <w:pPr>
        <w:pStyle w:val="Quote"/>
        <w:ind w:left="0" w:right="-36"/>
        <w:jc w:val="left"/>
      </w:pPr>
      <w:r w:rsidRPr="00AF7228">
        <w:t>…</w:t>
      </w:r>
      <w:r w:rsidRPr="00AF7228">
        <w:rPr>
          <w:rFonts w:asciiTheme="minorHAnsi" w:hAnsiTheme="minorHAnsi"/>
          <w:sz w:val="21"/>
          <w:szCs w:val="21"/>
        </w:rPr>
        <w:t xml:space="preserve">clinical transformation must infuse mental health care into every part of the health system. It must </w:t>
      </w:r>
      <w:r w:rsidR="00994E9B">
        <w:rPr>
          <w:rFonts w:asciiTheme="minorHAnsi" w:hAnsiTheme="minorHAnsi"/>
          <w:sz w:val="21"/>
          <w:szCs w:val="21"/>
        </w:rPr>
        <w:t xml:space="preserve">not </w:t>
      </w:r>
      <w:r w:rsidRPr="00AF7228">
        <w:rPr>
          <w:rFonts w:asciiTheme="minorHAnsi" w:hAnsiTheme="minorHAnsi"/>
          <w:sz w:val="21"/>
          <w:szCs w:val="21"/>
        </w:rPr>
        <w:t>be rooted in an idealistic view of how things should work, but rather in how patients actually seek care.</w:t>
      </w:r>
    </w:p>
    <w:p w14:paraId="6FD13B25" w14:textId="69C98FDE" w:rsidR="00C03F61" w:rsidRPr="00AF7228" w:rsidRDefault="00C03F61" w:rsidP="00C03F61">
      <w:pPr>
        <w:pStyle w:val="BodyText"/>
        <w:spacing w:before="56" w:line="276" w:lineRule="auto"/>
        <w:ind w:left="820" w:right="106"/>
        <w:jc w:val="right"/>
      </w:pPr>
      <w:r w:rsidRPr="00AF7228">
        <w:t>Institute for Healthcare Improvement, Health Affairs Blog, 14 February 2019</w:t>
      </w:r>
    </w:p>
    <w:p w14:paraId="1DA8CE1F" w14:textId="356BC552" w:rsidR="00713158" w:rsidRPr="00AF7228" w:rsidRDefault="00713158" w:rsidP="00117D83">
      <w:pPr>
        <w:pStyle w:val="Heading3"/>
      </w:pPr>
      <w:bookmarkStart w:id="44" w:name="_Toc6238805"/>
      <w:r w:rsidRPr="00AF7228">
        <w:t xml:space="preserve">What </w:t>
      </w:r>
      <w:r w:rsidR="00994E9B">
        <w:t>W</w:t>
      </w:r>
      <w:r w:rsidRPr="00AF7228">
        <w:t xml:space="preserve">e </w:t>
      </w:r>
      <w:r w:rsidR="00994E9B">
        <w:t>H</w:t>
      </w:r>
      <w:r w:rsidRPr="00AF7228">
        <w:t xml:space="preserve">ave </w:t>
      </w:r>
      <w:r w:rsidR="00994E9B">
        <w:t>D</w:t>
      </w:r>
      <w:r w:rsidRPr="00AF7228">
        <w:t>one in Western Sydney</w:t>
      </w:r>
      <w:bookmarkEnd w:id="44"/>
    </w:p>
    <w:p w14:paraId="6FF84AC2" w14:textId="3A2EE249" w:rsidR="00713158" w:rsidRPr="00AF7228" w:rsidRDefault="00713158" w:rsidP="00506EFD">
      <w:pPr>
        <w:pStyle w:val="BodyText"/>
      </w:pPr>
      <w:r w:rsidRPr="00AF7228">
        <w:t xml:space="preserve">WentWest has been delivering mental health services for the past </w:t>
      </w:r>
      <w:r w:rsidR="00994E9B">
        <w:t>nine</w:t>
      </w:r>
      <w:r w:rsidR="00994E9B" w:rsidRPr="00AF7228">
        <w:t xml:space="preserve"> </w:t>
      </w:r>
      <w:r w:rsidRPr="00AF7228">
        <w:t xml:space="preserve">years under the previous ATAPS program. </w:t>
      </w:r>
      <w:r w:rsidR="00506EFD" w:rsidRPr="00AF7228">
        <w:t xml:space="preserve">During the period of the WentWest Medical Local, </w:t>
      </w:r>
      <w:r w:rsidRPr="00AF7228">
        <w:t xml:space="preserve">the range of mental health services </w:t>
      </w:r>
      <w:r w:rsidR="00D36A42" w:rsidRPr="00AF7228">
        <w:t xml:space="preserve">was expanded </w:t>
      </w:r>
      <w:r w:rsidRPr="00AF7228">
        <w:t>by successfully incorporating additional programs such as PIR and the MHNIP.</w:t>
      </w:r>
    </w:p>
    <w:p w14:paraId="4EC56879" w14:textId="77777777" w:rsidR="00D36A42" w:rsidRPr="00AF7228" w:rsidRDefault="00506EFD" w:rsidP="00506EFD">
      <w:pPr>
        <w:pStyle w:val="BodyText"/>
      </w:pPr>
      <w:r w:rsidRPr="00AF7228">
        <w:t xml:space="preserve">Since their establishment, </w:t>
      </w:r>
      <w:r w:rsidR="00713158" w:rsidRPr="00AF7228">
        <w:t xml:space="preserve">PHNs have been tasked with developing and commissioning evidence-based primary mental health and suicide prevention services that address the region’s identified needs and service gaps, reduce duplication, remove inefficiencies and encourage integration. </w:t>
      </w:r>
    </w:p>
    <w:p w14:paraId="31731A10" w14:textId="3100D0A9" w:rsidR="00506EFD" w:rsidRPr="00AF7228" w:rsidRDefault="00506EFD" w:rsidP="00506EFD">
      <w:pPr>
        <w:pStyle w:val="BodyText"/>
      </w:pPr>
      <w:r w:rsidRPr="0022640E">
        <w:rPr>
          <w:b/>
        </w:rPr>
        <w:t>Appendix One</w:t>
      </w:r>
      <w:r w:rsidRPr="00AF7228">
        <w:t xml:space="preserve"> sets out the role</w:t>
      </w:r>
      <w:r w:rsidR="00D36A42" w:rsidRPr="00AF7228">
        <w:t xml:space="preserve"> of the PHNs</w:t>
      </w:r>
      <w:r w:rsidRPr="00AF7228">
        <w:t xml:space="preserve">, </w:t>
      </w:r>
      <w:r w:rsidR="00D36A42" w:rsidRPr="00AF7228">
        <w:t xml:space="preserve">and the </w:t>
      </w:r>
      <w:r w:rsidRPr="00AF7228">
        <w:t>goals and objectives prescribed by the Commonwealth Government</w:t>
      </w:r>
      <w:r w:rsidR="00AB3340">
        <w:t xml:space="preserve"> through the Department of Health (DOH)</w:t>
      </w:r>
      <w:r w:rsidRPr="00AF7228">
        <w:t>.</w:t>
      </w:r>
    </w:p>
    <w:p w14:paraId="0E549EDC" w14:textId="65F20EF4" w:rsidR="00D36A42" w:rsidRPr="00AF7228" w:rsidRDefault="00D36A42" w:rsidP="00506EFD">
      <w:pPr>
        <w:pStyle w:val="BodyText"/>
      </w:pPr>
      <w:r w:rsidRPr="00AF7228">
        <w:t xml:space="preserve">WentWest began commissioning services in mental health, alcohol and other drugs and other priority health areas, in 2016. The initial year of operation (2015-16), marked a period of transition from the Medicare Local and the transfer of contracts previously managed by DOH.   </w:t>
      </w:r>
    </w:p>
    <w:p w14:paraId="2D6C5215" w14:textId="3F066A8B" w:rsidR="00D36A42" w:rsidRPr="00AF7228" w:rsidRDefault="00713158" w:rsidP="00506EFD">
      <w:pPr>
        <w:pStyle w:val="BodyText"/>
      </w:pPr>
      <w:r w:rsidRPr="00AF7228">
        <w:t xml:space="preserve">The services commissioned </w:t>
      </w:r>
      <w:r w:rsidR="00D36A42" w:rsidRPr="00AF7228">
        <w:t xml:space="preserve">from 2016-17, aligned with international </w:t>
      </w:r>
      <w:r w:rsidRPr="00AF7228">
        <w:t xml:space="preserve">best practice person-centred stepped care approach. </w:t>
      </w:r>
      <w:proofErr w:type="spellStart"/>
      <w:r w:rsidR="00D36A42" w:rsidRPr="00AF7228">
        <w:t>WentWest’s</w:t>
      </w:r>
      <w:proofErr w:type="spellEnd"/>
      <w:r w:rsidR="00D36A42" w:rsidRPr="00AF7228">
        <w:t xml:space="preserve"> approach was informed by:</w:t>
      </w:r>
    </w:p>
    <w:p w14:paraId="6652E5A2" w14:textId="3BCFA5A7" w:rsidR="00D36A42" w:rsidRPr="00AF7228" w:rsidRDefault="00D36A42" w:rsidP="00D36A42">
      <w:pPr>
        <w:pStyle w:val="BulletPoint"/>
      </w:pPr>
      <w:r w:rsidRPr="00AF7228">
        <w:t xml:space="preserve">A data informed approach based on a deep understanding of the region, its current and projected population health needs and available services across general practice, primary care, specialist care, community care and hospitals </w:t>
      </w:r>
    </w:p>
    <w:p w14:paraId="2F1391A8" w14:textId="1DF6029E" w:rsidR="00D36A42" w:rsidRPr="00AF7228" w:rsidRDefault="00D36A42" w:rsidP="00D36A42">
      <w:pPr>
        <w:pStyle w:val="BulletPoint"/>
      </w:pPr>
      <w:r w:rsidRPr="00AF7228">
        <w:t>A strategic approach to transforming primary care through the Integrated Primary Health Care model and the Quadruple Aim model</w:t>
      </w:r>
    </w:p>
    <w:p w14:paraId="05F00968" w14:textId="1B4A65CB" w:rsidR="00D36A42" w:rsidRPr="00AF7228" w:rsidRDefault="00D36A42" w:rsidP="00D36A42">
      <w:pPr>
        <w:pStyle w:val="BulletPoint"/>
      </w:pPr>
      <w:r w:rsidRPr="00AF7228">
        <w:t>Engaging the western Sydney community</w:t>
      </w:r>
    </w:p>
    <w:p w14:paraId="238A9BD3" w14:textId="393A2025" w:rsidR="00D36A42" w:rsidRPr="00AF7228" w:rsidRDefault="00D36A42" w:rsidP="00D36A42">
      <w:pPr>
        <w:pStyle w:val="BulletPoint"/>
      </w:pPr>
      <w:r w:rsidRPr="00AF7228">
        <w:t>Leveraging the extensive and experienced mental health workforce and services</w:t>
      </w:r>
    </w:p>
    <w:p w14:paraId="1EF43E41" w14:textId="12BBEE06" w:rsidR="00D36A42" w:rsidRPr="00AF7228" w:rsidRDefault="00D36A42" w:rsidP="00D36A42">
      <w:pPr>
        <w:pStyle w:val="BulletPoint"/>
      </w:pPr>
      <w:r w:rsidRPr="00AF7228">
        <w:t>Engaging with academic and expert partners</w:t>
      </w:r>
    </w:p>
    <w:p w14:paraId="40AF3E4C" w14:textId="32D3CA86" w:rsidR="00C03F61" w:rsidRPr="00AF7228" w:rsidRDefault="00C03F61" w:rsidP="00C03F61">
      <w:pPr>
        <w:pStyle w:val="BodyText"/>
      </w:pPr>
      <w:r w:rsidRPr="00AF7228">
        <w:t xml:space="preserve">Figure </w:t>
      </w:r>
      <w:r w:rsidR="00EB7A13" w:rsidRPr="00AF7228">
        <w:t>12</w:t>
      </w:r>
      <w:r w:rsidRPr="00AF7228">
        <w:t xml:space="preserve"> illustrates the need for more effective use of resources in western Sydney to achieve better mental health outcomes for the region. Looking across the continuum of Commonwealth to State funded services, there are rising rates for people with mild/moderate mental illness but very low levels of access to services for what we term the ‘missing middle’.</w:t>
      </w:r>
    </w:p>
    <w:p w14:paraId="1DF5C746" w14:textId="035975A1" w:rsidR="00C03F61" w:rsidRPr="00AF7228" w:rsidRDefault="00C03F61" w:rsidP="00C03F61">
      <w:pPr>
        <w:pStyle w:val="BodyText"/>
      </w:pPr>
      <w:r w:rsidRPr="00AF7228">
        <w:t xml:space="preserve">These are the vulnerable populations with combinations of moderate mental illness and complexity; drug and alcohol, comorbid physical conditions and social issues. The previous ATAPS program, now </w:t>
      </w:r>
      <w:r w:rsidRPr="0022640E">
        <w:rPr>
          <w:b/>
        </w:rPr>
        <w:t>Primary Mental Health Care</w:t>
      </w:r>
      <w:r w:rsidRPr="00AF7228">
        <w:t xml:space="preserve"> (PMHC) services, provides some level of support for this population but has always been a relatively small funding pool.  This has been one of the priority areas for our commissioned activities since early 2017.</w:t>
      </w:r>
    </w:p>
    <w:p w14:paraId="78EA7DDA" w14:textId="25070FAE" w:rsidR="00C03F61" w:rsidRPr="00AF7228" w:rsidRDefault="00C03F61" w:rsidP="00C03F61">
      <w:pPr>
        <w:pStyle w:val="BodyText"/>
      </w:pPr>
      <w:r w:rsidRPr="00AF7228">
        <w:t>WentWest has also commissioned ‘low intensity services’ to support people who are experiencing very mild levels of distress. This will support a stepped care model of service alleviating some of the more complex and face to face service for people with higher needs.</w:t>
      </w:r>
    </w:p>
    <w:p w14:paraId="7B81D65A" w14:textId="506B1D12" w:rsidR="00C03F61" w:rsidRPr="00AF7228" w:rsidRDefault="00C03F61" w:rsidP="00C03F61">
      <w:pPr>
        <w:pStyle w:val="BodyText"/>
      </w:pPr>
      <w:r w:rsidRPr="0022640E">
        <w:rPr>
          <w:b/>
        </w:rPr>
        <w:t>The commissioning actions have been developed in line with our strategic vision to apply a systems approach to the development of services</w:t>
      </w:r>
      <w:r w:rsidRPr="00AF7228">
        <w:t xml:space="preserve"> and enables us, together with our system partners, to achieve the </w:t>
      </w:r>
      <w:r w:rsidRPr="0022640E">
        <w:rPr>
          <w:b/>
          <w:i/>
        </w:rPr>
        <w:t>‘Quadruple Aim’</w:t>
      </w:r>
      <w:r w:rsidRPr="00AF7228">
        <w:t xml:space="preserve"> of simultaneous achievement of 1) Improved population </w:t>
      </w:r>
      <w:r w:rsidRPr="00AF7228">
        <w:rPr>
          <w:spacing w:val="3"/>
        </w:rPr>
        <w:lastRenderedPageBreak/>
        <w:t>health</w:t>
      </w:r>
      <w:r w:rsidRPr="00AF7228">
        <w:rPr>
          <w:spacing w:val="18"/>
        </w:rPr>
        <w:t xml:space="preserve"> </w:t>
      </w:r>
      <w:r w:rsidRPr="00AF7228">
        <w:t>outcomes, 2) Improved user experience of care and</w:t>
      </w:r>
      <w:r w:rsidRPr="00AF7228">
        <w:rPr>
          <w:spacing w:val="37"/>
        </w:rPr>
        <w:t xml:space="preserve"> </w:t>
      </w:r>
      <w:r w:rsidRPr="00AF7228">
        <w:t>support, 3) Efficient use of resources,</w:t>
      </w:r>
      <w:r w:rsidRPr="00AF7228">
        <w:rPr>
          <w:spacing w:val="23"/>
        </w:rPr>
        <w:t xml:space="preserve"> </w:t>
      </w:r>
      <w:r w:rsidRPr="00AF7228">
        <w:t xml:space="preserve">and 4) Development of a sustainable and </w:t>
      </w:r>
      <w:r w:rsidRPr="00AF7228">
        <w:rPr>
          <w:spacing w:val="3"/>
        </w:rPr>
        <w:t xml:space="preserve">viable </w:t>
      </w:r>
      <w:r w:rsidRPr="00AF7228">
        <w:t>provider</w:t>
      </w:r>
      <w:r w:rsidRPr="00AF7228">
        <w:rPr>
          <w:spacing w:val="34"/>
        </w:rPr>
        <w:t xml:space="preserve"> </w:t>
      </w:r>
      <w:r w:rsidRPr="00AF7228">
        <w:t>workforce.</w:t>
      </w:r>
    </w:p>
    <w:p w14:paraId="3F0925EB" w14:textId="326F7DCD" w:rsidR="00C03F61" w:rsidRPr="00AF7228" w:rsidRDefault="00C03F61" w:rsidP="00C03F61">
      <w:pPr>
        <w:pStyle w:val="FigureCaption"/>
        <w:rPr>
          <w:bCs w:val="0"/>
          <w:smallCaps w:val="0"/>
        </w:rPr>
      </w:pPr>
      <w:bookmarkStart w:id="45" w:name="_Toc6237982"/>
      <w:r w:rsidRPr="00AF7228">
        <w:rPr>
          <w:bCs w:val="0"/>
          <w:smallCaps w:val="0"/>
          <w:noProof/>
          <w:lang w:eastAsia="en-AU"/>
        </w:rPr>
        <w:drawing>
          <wp:anchor distT="0" distB="0" distL="114300" distR="114300" simplePos="0" relativeHeight="251775488" behindDoc="0" locked="0" layoutInCell="1" allowOverlap="1" wp14:anchorId="75E9BE48" wp14:editId="79E4177B">
            <wp:simplePos x="0" y="0"/>
            <wp:positionH relativeFrom="column">
              <wp:posOffset>41275</wp:posOffset>
            </wp:positionH>
            <wp:positionV relativeFrom="paragraph">
              <wp:posOffset>273776</wp:posOffset>
            </wp:positionV>
            <wp:extent cx="5527040" cy="3249295"/>
            <wp:effectExtent l="0" t="0" r="0" b="1905"/>
            <wp:wrapSquare wrapText="bothSides"/>
            <wp:docPr id="88" name="Picture 88" descr="page3image22378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page3image2237830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27040" cy="32492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F7228">
        <w:rPr>
          <w:bCs w:val="0"/>
          <w:smallCaps w:val="0"/>
        </w:rPr>
        <w:t>Program Funding and Population Mental Health Needs, WentWest</w:t>
      </w:r>
      <w:bookmarkEnd w:id="45"/>
    </w:p>
    <w:p w14:paraId="5D007F83" w14:textId="02F48E4E" w:rsidR="00C03F61" w:rsidRPr="00AF7228" w:rsidRDefault="00C03F61" w:rsidP="00C03F61">
      <w:pPr>
        <w:pStyle w:val="BodyText"/>
        <w:rPr>
          <w:b/>
        </w:rPr>
      </w:pPr>
      <w:r w:rsidRPr="00AF7228">
        <w:t>The commissioning activities we have undertaken align with the D</w:t>
      </w:r>
      <w:r w:rsidR="00AB3340">
        <w:t>OH</w:t>
      </w:r>
      <w:r w:rsidRPr="00AF7228">
        <w:t>’s priority areas for Mental Health and Suicide Prevention. Our</w:t>
      </w:r>
      <w:r w:rsidRPr="00AF7228">
        <w:rPr>
          <w:spacing w:val="-13"/>
        </w:rPr>
        <w:t xml:space="preserve"> </w:t>
      </w:r>
      <w:r w:rsidRPr="00AF7228">
        <w:t>aim</w:t>
      </w:r>
      <w:r w:rsidRPr="00AF7228">
        <w:rPr>
          <w:spacing w:val="-12"/>
        </w:rPr>
        <w:t xml:space="preserve"> </w:t>
      </w:r>
      <w:r w:rsidRPr="00AF7228">
        <w:t>has been</w:t>
      </w:r>
      <w:r w:rsidRPr="00AF7228">
        <w:rPr>
          <w:spacing w:val="-11"/>
        </w:rPr>
        <w:t xml:space="preserve"> </w:t>
      </w:r>
      <w:r w:rsidRPr="00AF7228">
        <w:t>to</w:t>
      </w:r>
      <w:r w:rsidRPr="00AF7228">
        <w:rPr>
          <w:spacing w:val="-9"/>
        </w:rPr>
        <w:t xml:space="preserve"> </w:t>
      </w:r>
      <w:r w:rsidRPr="00AF7228">
        <w:t>align</w:t>
      </w:r>
      <w:r w:rsidRPr="00AF7228">
        <w:rPr>
          <w:spacing w:val="-11"/>
        </w:rPr>
        <w:t xml:space="preserve"> </w:t>
      </w:r>
      <w:r w:rsidRPr="00AF7228">
        <w:t>services</w:t>
      </w:r>
      <w:r w:rsidRPr="00AF7228">
        <w:rPr>
          <w:spacing w:val="-11"/>
        </w:rPr>
        <w:t xml:space="preserve"> </w:t>
      </w:r>
      <w:r w:rsidRPr="00AF7228">
        <w:t>to</w:t>
      </w:r>
      <w:r w:rsidRPr="00AF7228">
        <w:rPr>
          <w:spacing w:val="-12"/>
        </w:rPr>
        <w:t xml:space="preserve"> </w:t>
      </w:r>
      <w:r w:rsidRPr="00AF7228">
        <w:t>the</w:t>
      </w:r>
      <w:r w:rsidRPr="00AF7228">
        <w:rPr>
          <w:spacing w:val="-13"/>
        </w:rPr>
        <w:t xml:space="preserve"> </w:t>
      </w:r>
      <w:r w:rsidRPr="00AF7228">
        <w:t>most</w:t>
      </w:r>
      <w:r w:rsidRPr="00AF7228">
        <w:rPr>
          <w:spacing w:val="-12"/>
        </w:rPr>
        <w:t xml:space="preserve"> </w:t>
      </w:r>
      <w:r w:rsidRPr="00AF7228">
        <w:t>appropriate</w:t>
      </w:r>
      <w:r w:rsidRPr="00AF7228">
        <w:rPr>
          <w:spacing w:val="-10"/>
        </w:rPr>
        <w:t xml:space="preserve"> </w:t>
      </w:r>
      <w:r w:rsidRPr="00AF7228">
        <w:t xml:space="preserve">priority area with planned overlaps, which complements the implementation of a stepped model of care </w:t>
      </w:r>
      <w:r w:rsidR="00D55A72">
        <w:t>in</w:t>
      </w:r>
      <w:r w:rsidRPr="00AF7228">
        <w:t xml:space="preserve"> the</w:t>
      </w:r>
      <w:r w:rsidRPr="00AF7228">
        <w:rPr>
          <w:spacing w:val="-2"/>
        </w:rPr>
        <w:t xml:space="preserve"> </w:t>
      </w:r>
      <w:r w:rsidRPr="00AF7228">
        <w:t>region.</w:t>
      </w:r>
    </w:p>
    <w:p w14:paraId="09E1C08E" w14:textId="399C8479" w:rsidR="00D36A42" w:rsidRPr="00AF7228" w:rsidRDefault="00C03F61" w:rsidP="00C03F61">
      <w:pPr>
        <w:pStyle w:val="BodyText"/>
      </w:pPr>
      <w:r w:rsidRPr="00AF7228">
        <w:t xml:space="preserve">The commissioning has aimed at addressing the range of need across the </w:t>
      </w:r>
      <w:r w:rsidRPr="0022640E">
        <w:rPr>
          <w:b/>
        </w:rPr>
        <w:t>life course continuum</w:t>
      </w:r>
      <w:r w:rsidRPr="00AF7228">
        <w:t xml:space="preserve"> based on a risk progression from a healthy and well population through progressive states of distress or disorder to manifest mental illness and its complications. This life-course continuum enables us to address all </w:t>
      </w:r>
      <w:r w:rsidR="00D55A72">
        <w:t>DOH’s</w:t>
      </w:r>
      <w:r w:rsidRPr="00AF7228">
        <w:t xml:space="preserve"> priorities in a unified way through regional planning </w:t>
      </w:r>
      <w:r w:rsidR="00994E9B">
        <w:t xml:space="preserve">and </w:t>
      </w:r>
      <w:r w:rsidR="00D55A72">
        <w:t>s</w:t>
      </w:r>
      <w:r w:rsidRPr="00AF7228">
        <w:t xml:space="preserve">tepped </w:t>
      </w:r>
      <w:r w:rsidR="00D55A72">
        <w:t>c</w:t>
      </w:r>
      <w:r w:rsidRPr="00AF7228">
        <w:t>are service</w:t>
      </w:r>
      <w:r w:rsidRPr="00AF7228">
        <w:rPr>
          <w:spacing w:val="14"/>
        </w:rPr>
        <w:t xml:space="preserve"> </w:t>
      </w:r>
      <w:r w:rsidRPr="00AF7228">
        <w:t>model.</w:t>
      </w:r>
    </w:p>
    <w:p w14:paraId="107A811F" w14:textId="01CF544D" w:rsidR="00BD7169" w:rsidRPr="00AF7228" w:rsidRDefault="00BD7169" w:rsidP="00117D83">
      <w:pPr>
        <w:pStyle w:val="Heading3"/>
      </w:pPr>
      <w:bookmarkStart w:id="46" w:name="_Toc6238806"/>
      <w:r w:rsidRPr="00AF7228">
        <w:t>Commissioned Activities 2016-201</w:t>
      </w:r>
      <w:r w:rsidR="00D36A42" w:rsidRPr="00AF7228">
        <w:t>9</w:t>
      </w:r>
      <w:bookmarkEnd w:id="46"/>
    </w:p>
    <w:p w14:paraId="46B83716" w14:textId="5AF14717" w:rsidR="00BD7169" w:rsidRPr="00AF7228" w:rsidRDefault="00BD7169" w:rsidP="00BD7169">
      <w:pPr>
        <w:pStyle w:val="BodyText"/>
        <w:spacing w:line="20" w:lineRule="exact"/>
        <w:ind w:left="786"/>
        <w:rPr>
          <w:sz w:val="2"/>
        </w:rPr>
      </w:pPr>
    </w:p>
    <w:p w14:paraId="24262302" w14:textId="20D6D48F" w:rsidR="00BD7169" w:rsidRPr="00AF7228" w:rsidRDefault="00BD7169" w:rsidP="00D36A42">
      <w:pPr>
        <w:pStyle w:val="BodyText"/>
      </w:pPr>
      <w:r w:rsidRPr="00AF7228">
        <w:t xml:space="preserve">Commencing in 2016/17 financial year, WentWest formalised a number of commissioning projects to develop a suite of services and activities that aimed to strengthen primary mental health care and suicide prevention for the </w:t>
      </w:r>
      <w:r w:rsidR="00AB3340">
        <w:t>w</w:t>
      </w:r>
      <w:r w:rsidRPr="00AF7228">
        <w:t>estern Sydney region.</w:t>
      </w:r>
    </w:p>
    <w:p w14:paraId="6619B94C" w14:textId="33ABEEC6" w:rsidR="00BD7169" w:rsidRPr="00AF7228" w:rsidRDefault="00BD7169" w:rsidP="00D36A42">
      <w:pPr>
        <w:pStyle w:val="BodyText"/>
      </w:pPr>
      <w:r w:rsidRPr="00AF7228">
        <w:t xml:space="preserve">In essence </w:t>
      </w:r>
      <w:proofErr w:type="spellStart"/>
      <w:r w:rsidRPr="00AF7228">
        <w:t>WentWest’s</w:t>
      </w:r>
      <w:proofErr w:type="spellEnd"/>
      <w:r w:rsidRPr="00AF7228">
        <w:t xml:space="preserve"> aims were </w:t>
      </w:r>
      <w:r w:rsidRPr="0022640E">
        <w:rPr>
          <w:b/>
        </w:rPr>
        <w:t>to develop a seamless process for consumers and carers to navigate the mental health system</w:t>
      </w:r>
      <w:r w:rsidRPr="00AF7228">
        <w:t xml:space="preserve"> and receive quality mental health services at the right time and according to their needs. The commissioning approach aimed to 1) strengthen existing primary health services that are providing quality care and outcomes for consumers, and importantly 2), expand the range of services across key priority areas to compl</w:t>
      </w:r>
      <w:r w:rsidR="00994E9B">
        <w:t>e</w:t>
      </w:r>
      <w:r w:rsidRPr="00AF7228">
        <w:t>ment the stepped care model and contribute towards a new system of mental health care for the region.</w:t>
      </w:r>
    </w:p>
    <w:p w14:paraId="729C5DC5" w14:textId="5CF363D6" w:rsidR="00B6368F" w:rsidRDefault="00D36A42" w:rsidP="00BD7169">
      <w:pPr>
        <w:pStyle w:val="BodyText"/>
      </w:pPr>
      <w:r w:rsidRPr="0022640E">
        <w:rPr>
          <w:b/>
        </w:rPr>
        <w:t>Appendix</w:t>
      </w:r>
      <w:r w:rsidR="00B6368F" w:rsidRPr="0022640E">
        <w:rPr>
          <w:b/>
        </w:rPr>
        <w:t xml:space="preserve"> </w:t>
      </w:r>
      <w:r w:rsidR="00AB3340" w:rsidRPr="0022640E">
        <w:rPr>
          <w:b/>
        </w:rPr>
        <w:t>3</w:t>
      </w:r>
      <w:r w:rsidR="00BD7169" w:rsidRPr="00AF7228">
        <w:t xml:space="preserve"> summarises the services that WentWest </w:t>
      </w:r>
      <w:r w:rsidR="00B6368F" w:rsidRPr="00AF7228">
        <w:t>has</w:t>
      </w:r>
      <w:r w:rsidR="00BD7169" w:rsidRPr="00AF7228">
        <w:t xml:space="preserve"> develop</w:t>
      </w:r>
      <w:r w:rsidR="00B6368F" w:rsidRPr="00AF7228">
        <w:t>ed</w:t>
      </w:r>
      <w:r w:rsidR="00BD7169" w:rsidRPr="00AF7228">
        <w:t xml:space="preserve"> and/or commiss</w:t>
      </w:r>
      <w:r w:rsidR="00B6368F" w:rsidRPr="00AF7228">
        <w:t>ioned</w:t>
      </w:r>
      <w:r w:rsidR="00BD7169" w:rsidRPr="00AF7228">
        <w:t xml:space="preserve"> </w:t>
      </w:r>
      <w:r w:rsidR="00B6368F" w:rsidRPr="00AF7228">
        <w:t xml:space="preserve">from </w:t>
      </w:r>
      <w:r w:rsidR="00BD7169" w:rsidRPr="00AF7228">
        <w:t xml:space="preserve">early 2017 and that </w:t>
      </w:r>
      <w:r w:rsidR="00B6368F" w:rsidRPr="00AF7228">
        <w:t>have</w:t>
      </w:r>
      <w:r w:rsidR="00BD7169" w:rsidRPr="00AF7228">
        <w:t xml:space="preserve"> continue</w:t>
      </w:r>
      <w:r w:rsidR="00B6368F" w:rsidRPr="00AF7228">
        <w:t>d</w:t>
      </w:r>
      <w:r w:rsidR="00BD7169" w:rsidRPr="00AF7228">
        <w:t xml:space="preserve"> through to 201</w:t>
      </w:r>
      <w:r w:rsidR="00B6368F" w:rsidRPr="00AF7228">
        <w:t>9</w:t>
      </w:r>
      <w:r w:rsidR="00BD7169" w:rsidRPr="00AF7228">
        <w:t xml:space="preserve">. </w:t>
      </w:r>
      <w:r w:rsidR="00B6368F" w:rsidRPr="00AF7228">
        <w:t xml:space="preserve">The following table lists these by the </w:t>
      </w:r>
      <w:r w:rsidR="00AB3340">
        <w:t xml:space="preserve">DOH </w:t>
      </w:r>
      <w:r w:rsidR="00B6368F" w:rsidRPr="00AF7228">
        <w:t>priority area</w:t>
      </w:r>
      <w:r w:rsidR="00AB3340">
        <w:t>s.</w:t>
      </w:r>
      <w:r w:rsidR="00B6368F" w:rsidRPr="00AF7228">
        <w:t xml:space="preserve"> </w:t>
      </w:r>
    </w:p>
    <w:p w14:paraId="4ECB8DF4" w14:textId="65F3FD1E" w:rsidR="00D55A72" w:rsidRPr="00AF7228" w:rsidRDefault="00D55A72" w:rsidP="00D55A72">
      <w:pPr>
        <w:pStyle w:val="BodyText"/>
      </w:pPr>
      <w:r w:rsidRPr="00AF7228">
        <w:t xml:space="preserve">Our aim is that this work will build the platform on which to continue to implement our </w:t>
      </w:r>
      <w:r w:rsidR="00994E9B" w:rsidRPr="00AF7228">
        <w:t>longer-term</w:t>
      </w:r>
      <w:r w:rsidRPr="00AF7228">
        <w:t xml:space="preserve"> strategic vision for our region with our partners and stakeholders. Figure </w:t>
      </w:r>
      <w:r>
        <w:t>13</w:t>
      </w:r>
      <w:r w:rsidRPr="00AF7228">
        <w:t xml:space="preserve"> shows the planned activities and how these aim to address the continuum of mild to moderate to severe mental health needs in primary care. Figure </w:t>
      </w:r>
      <w:r>
        <w:t>14-16</w:t>
      </w:r>
      <w:r w:rsidRPr="00AF7228">
        <w:t xml:space="preserve"> shows our Stepped Care service model.</w:t>
      </w:r>
    </w:p>
    <w:p w14:paraId="6B2A664A" w14:textId="172595FC" w:rsidR="00B6368F" w:rsidRPr="00AF7228" w:rsidRDefault="00B6368F" w:rsidP="00B6368F">
      <w:pPr>
        <w:pStyle w:val="TableCaption"/>
      </w:pPr>
      <w:bookmarkStart w:id="47" w:name="_Toc6237997"/>
      <w:r w:rsidRPr="00AF7228">
        <w:lastRenderedPageBreak/>
        <w:t>WentWest Commissioning Activity, Mental Health 2016-19</w:t>
      </w:r>
      <w:bookmarkEnd w:id="47"/>
    </w:p>
    <w:tbl>
      <w:tblPr>
        <w:tblStyle w:val="GridTable5Dark-Accent5"/>
        <w:tblW w:w="0" w:type="auto"/>
        <w:tblLook w:val="04A0" w:firstRow="1" w:lastRow="0" w:firstColumn="1" w:lastColumn="0" w:noHBand="0" w:noVBand="1"/>
      </w:tblPr>
      <w:tblGrid>
        <w:gridCol w:w="2292"/>
        <w:gridCol w:w="3515"/>
        <w:gridCol w:w="3361"/>
      </w:tblGrid>
      <w:tr w:rsidR="00B6368F" w:rsidRPr="00AF7228" w14:paraId="50F712EF" w14:textId="77777777" w:rsidTr="00D55A7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2" w:type="dxa"/>
          </w:tcPr>
          <w:p w14:paraId="075823B3" w14:textId="3593B9CA" w:rsidR="00B6368F" w:rsidRPr="00AF7228" w:rsidRDefault="00B6368F" w:rsidP="00B6368F">
            <w:pPr>
              <w:pStyle w:val="TableHeading"/>
              <w:jc w:val="center"/>
              <w:rPr>
                <w:color w:val="000000" w:themeColor="text1"/>
              </w:rPr>
            </w:pPr>
            <w:r w:rsidRPr="00AF7228">
              <w:rPr>
                <w:color w:val="000000" w:themeColor="text1"/>
              </w:rPr>
              <w:t>Priority Area</w:t>
            </w:r>
          </w:p>
        </w:tc>
        <w:tc>
          <w:tcPr>
            <w:tcW w:w="3515" w:type="dxa"/>
          </w:tcPr>
          <w:p w14:paraId="5B5E5029" w14:textId="7813305B" w:rsidR="00B6368F" w:rsidRPr="00AF7228" w:rsidRDefault="00B6368F" w:rsidP="00B6368F">
            <w:pPr>
              <w:pStyle w:val="TableHeading"/>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AF7228">
              <w:rPr>
                <w:color w:val="000000" w:themeColor="text1"/>
              </w:rPr>
              <w:t>Commissioned Services &amp; Activities</w:t>
            </w:r>
          </w:p>
        </w:tc>
        <w:tc>
          <w:tcPr>
            <w:tcW w:w="3361" w:type="dxa"/>
          </w:tcPr>
          <w:p w14:paraId="4C360F55" w14:textId="0AE7B2B7" w:rsidR="00B6368F" w:rsidRPr="00AF7228" w:rsidRDefault="00B6368F" w:rsidP="00B6368F">
            <w:pPr>
              <w:pStyle w:val="TableHeading"/>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AF7228">
              <w:rPr>
                <w:color w:val="000000" w:themeColor="text1"/>
              </w:rPr>
              <w:t>Future Services Researched</w:t>
            </w:r>
          </w:p>
        </w:tc>
      </w:tr>
      <w:tr w:rsidR="00B6368F" w:rsidRPr="00AF7228" w14:paraId="2133C04E" w14:textId="77777777" w:rsidTr="00D55A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2" w:type="dxa"/>
          </w:tcPr>
          <w:p w14:paraId="319E399C" w14:textId="2162E57A" w:rsidR="00B6368F" w:rsidRPr="00AF7228" w:rsidRDefault="00B6368F" w:rsidP="00C03F61">
            <w:pPr>
              <w:pStyle w:val="TableText"/>
            </w:pPr>
            <w:r w:rsidRPr="00AF7228">
              <w:t>Low Intensity mental health services</w:t>
            </w:r>
          </w:p>
        </w:tc>
        <w:tc>
          <w:tcPr>
            <w:tcW w:w="3515" w:type="dxa"/>
          </w:tcPr>
          <w:p w14:paraId="76E0094D" w14:textId="4C53337A" w:rsidR="00B6368F" w:rsidRPr="00AF7228" w:rsidRDefault="00B6368F" w:rsidP="00C03F61">
            <w:pPr>
              <w:pStyle w:val="TableText"/>
              <w:cnfStyle w:val="000000100000" w:firstRow="0" w:lastRow="0" w:firstColumn="0" w:lastColumn="0" w:oddVBand="0" w:evenVBand="0" w:oddHBand="1" w:evenHBand="0" w:firstRowFirstColumn="0" w:firstRowLastColumn="0" w:lastRowFirstColumn="0" w:lastRowLastColumn="0"/>
            </w:pPr>
            <w:r w:rsidRPr="00AF7228">
              <w:t xml:space="preserve">Telephone Helpline, ‘On the Line’ </w:t>
            </w:r>
          </w:p>
          <w:p w14:paraId="0B957CA2" w14:textId="4B193CFB" w:rsidR="00B6368F" w:rsidRPr="00AF7228" w:rsidRDefault="00B6368F" w:rsidP="00C03F61">
            <w:pPr>
              <w:pStyle w:val="TableText"/>
              <w:cnfStyle w:val="000000100000" w:firstRow="0" w:lastRow="0" w:firstColumn="0" w:lastColumn="0" w:oddVBand="0" w:evenVBand="0" w:oddHBand="1" w:evenHBand="0" w:firstRowFirstColumn="0" w:firstRowLastColumn="0" w:lastRowFirstColumn="0" w:lastRowLastColumn="0"/>
            </w:pPr>
            <w:r w:rsidRPr="00AF7228">
              <w:t>Navigation planning tool, ‘No Wrong Door’</w:t>
            </w:r>
          </w:p>
          <w:p w14:paraId="10506232" w14:textId="6C28861E" w:rsidR="00B6368F" w:rsidRPr="00AF7228" w:rsidRDefault="00B6368F" w:rsidP="00C03F61">
            <w:pPr>
              <w:pStyle w:val="TableText"/>
              <w:cnfStyle w:val="000000100000" w:firstRow="0" w:lastRow="0" w:firstColumn="0" w:lastColumn="0" w:oddVBand="0" w:evenVBand="0" w:oddHBand="1" w:evenHBand="0" w:firstRowFirstColumn="0" w:firstRowLastColumn="0" w:lastRowFirstColumn="0" w:lastRowLastColumn="0"/>
            </w:pPr>
            <w:r w:rsidRPr="00AF7228">
              <w:t xml:space="preserve">Online Support &amp; Health Coaching </w:t>
            </w:r>
          </w:p>
          <w:p w14:paraId="1E14E6E6" w14:textId="2282E068" w:rsidR="00B6368F" w:rsidRPr="00AF7228" w:rsidRDefault="00B6368F" w:rsidP="00C03F61">
            <w:pPr>
              <w:pStyle w:val="TableText"/>
              <w:cnfStyle w:val="000000100000" w:firstRow="0" w:lastRow="0" w:firstColumn="0" w:lastColumn="0" w:oddVBand="0" w:evenVBand="0" w:oddHBand="1" w:evenHBand="0" w:firstRowFirstColumn="0" w:firstRowLastColumn="0" w:lastRowFirstColumn="0" w:lastRowLastColumn="0"/>
            </w:pPr>
            <w:r w:rsidRPr="00AF7228">
              <w:t xml:space="preserve">Western Sydney Recovery College </w:t>
            </w:r>
          </w:p>
        </w:tc>
        <w:tc>
          <w:tcPr>
            <w:tcW w:w="3361" w:type="dxa"/>
          </w:tcPr>
          <w:p w14:paraId="22EAB523" w14:textId="77777777" w:rsidR="00B6368F" w:rsidRPr="00AF7228" w:rsidRDefault="00B6368F" w:rsidP="00C03F61">
            <w:pPr>
              <w:pStyle w:val="TableText"/>
              <w:cnfStyle w:val="000000100000" w:firstRow="0" w:lastRow="0" w:firstColumn="0" w:lastColumn="0" w:oddVBand="0" w:evenVBand="0" w:oddHBand="1" w:evenHBand="0" w:firstRowFirstColumn="0" w:firstRowLastColumn="0" w:lastRowFirstColumn="0" w:lastRowLastColumn="0"/>
            </w:pPr>
          </w:p>
        </w:tc>
      </w:tr>
      <w:tr w:rsidR="00B6368F" w:rsidRPr="00AF7228" w14:paraId="27358A47" w14:textId="77777777" w:rsidTr="00D55A72">
        <w:tc>
          <w:tcPr>
            <w:cnfStyle w:val="001000000000" w:firstRow="0" w:lastRow="0" w:firstColumn="1" w:lastColumn="0" w:oddVBand="0" w:evenVBand="0" w:oddHBand="0" w:evenHBand="0" w:firstRowFirstColumn="0" w:firstRowLastColumn="0" w:lastRowFirstColumn="0" w:lastRowLastColumn="0"/>
            <w:tcW w:w="2292" w:type="dxa"/>
          </w:tcPr>
          <w:p w14:paraId="596539D7" w14:textId="50D34C91" w:rsidR="00B6368F" w:rsidRPr="00AF7228" w:rsidRDefault="00B6368F" w:rsidP="00C03F61">
            <w:pPr>
              <w:pStyle w:val="TableText"/>
            </w:pPr>
            <w:r w:rsidRPr="00AF7228">
              <w:t>Children &amp; Young People</w:t>
            </w:r>
          </w:p>
        </w:tc>
        <w:tc>
          <w:tcPr>
            <w:tcW w:w="3515" w:type="dxa"/>
          </w:tcPr>
          <w:p w14:paraId="1B68CE37" w14:textId="5959AD64" w:rsidR="00B6368F" w:rsidRPr="00AF7228" w:rsidRDefault="00C03F61" w:rsidP="00C03F61">
            <w:pPr>
              <w:pStyle w:val="TableText"/>
              <w:cnfStyle w:val="000000000000" w:firstRow="0" w:lastRow="0" w:firstColumn="0" w:lastColumn="0" w:oddVBand="0" w:evenVBand="0" w:oddHBand="0" w:evenHBand="0" w:firstRowFirstColumn="0" w:firstRowLastColumn="0" w:lastRowFirstColumn="0" w:lastRowLastColumn="0"/>
            </w:pPr>
            <w:r w:rsidRPr="00AF7228">
              <w:t xml:space="preserve">headspace and headspace Youth Early Psychosis Program (HYEPP) </w:t>
            </w:r>
          </w:p>
        </w:tc>
        <w:tc>
          <w:tcPr>
            <w:tcW w:w="3361" w:type="dxa"/>
          </w:tcPr>
          <w:p w14:paraId="1EBBD70B" w14:textId="493B383F" w:rsidR="00B6368F" w:rsidRPr="00AF7228" w:rsidRDefault="00C03F61" w:rsidP="00C03F61">
            <w:pPr>
              <w:pStyle w:val="TableText"/>
              <w:cnfStyle w:val="000000000000" w:firstRow="0" w:lastRow="0" w:firstColumn="0" w:lastColumn="0" w:oddVBand="0" w:evenVBand="0" w:oddHBand="0" w:evenHBand="0" w:firstRowFirstColumn="0" w:firstRowLastColumn="0" w:lastRowFirstColumn="0" w:lastRowLastColumn="0"/>
            </w:pPr>
            <w:r w:rsidRPr="00AF7228">
              <w:t xml:space="preserve">Examine recommendation from National Mental Health Review for the development of CHILDSPACES (headspace type services for children) </w:t>
            </w:r>
          </w:p>
        </w:tc>
      </w:tr>
      <w:tr w:rsidR="00B6368F" w:rsidRPr="00AF7228" w14:paraId="5149E4DC" w14:textId="77777777" w:rsidTr="00D55A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2" w:type="dxa"/>
          </w:tcPr>
          <w:p w14:paraId="4C0691FF" w14:textId="6831C860" w:rsidR="00B6368F" w:rsidRPr="00AF7228" w:rsidRDefault="00B6368F" w:rsidP="00C03F61">
            <w:pPr>
              <w:pStyle w:val="TableText"/>
            </w:pPr>
            <w:r w:rsidRPr="00AF7228">
              <w:t>Rural &amp; remote areas a&amp; other underserviced and/or hard to reach populations</w:t>
            </w:r>
          </w:p>
        </w:tc>
        <w:tc>
          <w:tcPr>
            <w:tcW w:w="3515" w:type="dxa"/>
          </w:tcPr>
          <w:p w14:paraId="331BB310" w14:textId="29A6F353" w:rsidR="00B6368F" w:rsidRPr="00AF7228" w:rsidRDefault="00C03F61" w:rsidP="00C03F61">
            <w:pPr>
              <w:pStyle w:val="TableText"/>
              <w:cnfStyle w:val="000000100000" w:firstRow="0" w:lastRow="0" w:firstColumn="0" w:lastColumn="0" w:oddVBand="0" w:evenVBand="0" w:oddHBand="1" w:evenHBand="0" w:firstRowFirstColumn="0" w:firstRowLastColumn="0" w:lastRowFirstColumn="0" w:lastRowLastColumn="0"/>
            </w:pPr>
            <w:r w:rsidRPr="00AF7228">
              <w:t xml:space="preserve">Primary Mental Health Care services – PMHC (previously ATAPS program) </w:t>
            </w:r>
          </w:p>
        </w:tc>
        <w:tc>
          <w:tcPr>
            <w:tcW w:w="3361" w:type="dxa"/>
          </w:tcPr>
          <w:p w14:paraId="48B134F8" w14:textId="17ADD149" w:rsidR="00B6368F" w:rsidRPr="00AF7228" w:rsidRDefault="00C03F61" w:rsidP="00C03F61">
            <w:pPr>
              <w:pStyle w:val="TableText"/>
              <w:cnfStyle w:val="000000100000" w:firstRow="0" w:lastRow="0" w:firstColumn="0" w:lastColumn="0" w:oddVBand="0" w:evenVBand="0" w:oddHBand="1" w:evenHBand="0" w:firstRowFirstColumn="0" w:firstRowLastColumn="0" w:lastRowFirstColumn="0" w:lastRowLastColumn="0"/>
            </w:pPr>
            <w:r w:rsidRPr="00AF7228">
              <w:t xml:space="preserve">Expand service delivery to specific target groups such as LGBTIQ, migrants, refugees and </w:t>
            </w:r>
            <w:r w:rsidR="00AF7228" w:rsidRPr="00AF7228">
              <w:t>elderly</w:t>
            </w:r>
          </w:p>
        </w:tc>
      </w:tr>
      <w:tr w:rsidR="00B6368F" w:rsidRPr="00AF7228" w14:paraId="079953B2" w14:textId="77777777" w:rsidTr="00D55A72">
        <w:tc>
          <w:tcPr>
            <w:cnfStyle w:val="001000000000" w:firstRow="0" w:lastRow="0" w:firstColumn="1" w:lastColumn="0" w:oddVBand="0" w:evenVBand="0" w:oddHBand="0" w:evenHBand="0" w:firstRowFirstColumn="0" w:firstRowLastColumn="0" w:lastRowFirstColumn="0" w:lastRowLastColumn="0"/>
            <w:tcW w:w="2292" w:type="dxa"/>
          </w:tcPr>
          <w:p w14:paraId="1ADDB2CD" w14:textId="4945FF51" w:rsidR="00B6368F" w:rsidRPr="00AF7228" w:rsidRDefault="00B6368F" w:rsidP="00C03F61">
            <w:pPr>
              <w:pStyle w:val="TableText"/>
            </w:pPr>
            <w:r w:rsidRPr="00AF7228">
              <w:t>(Persons with) Severe and complex mental illness</w:t>
            </w:r>
          </w:p>
        </w:tc>
        <w:tc>
          <w:tcPr>
            <w:tcW w:w="3515" w:type="dxa"/>
          </w:tcPr>
          <w:p w14:paraId="438F28B8" w14:textId="77777777" w:rsidR="00B6368F" w:rsidRPr="00AF7228" w:rsidRDefault="00C03F61" w:rsidP="00C03F61">
            <w:pPr>
              <w:pStyle w:val="TableText"/>
              <w:cnfStyle w:val="000000000000" w:firstRow="0" w:lastRow="0" w:firstColumn="0" w:lastColumn="0" w:oddVBand="0" w:evenVBand="0" w:oddHBand="0" w:evenHBand="0" w:firstRowFirstColumn="0" w:firstRowLastColumn="0" w:lastRowFirstColumn="0" w:lastRowLastColumn="0"/>
            </w:pPr>
            <w:r w:rsidRPr="00AF7228">
              <w:t>Mental Health Nurse Incentive Program</w:t>
            </w:r>
          </w:p>
          <w:p w14:paraId="271349C7" w14:textId="77777777" w:rsidR="00C03F61" w:rsidRPr="00AF7228" w:rsidRDefault="00C03F61" w:rsidP="00C03F61">
            <w:pPr>
              <w:pStyle w:val="TableText"/>
              <w:cnfStyle w:val="000000000000" w:firstRow="0" w:lastRow="0" w:firstColumn="0" w:lastColumn="0" w:oddVBand="0" w:evenVBand="0" w:oddHBand="0" w:evenHBand="0" w:firstRowFirstColumn="0" w:firstRowLastColumn="0" w:lastRowFirstColumn="0" w:lastRowLastColumn="0"/>
            </w:pPr>
            <w:r w:rsidRPr="00AF7228">
              <w:t xml:space="preserve">Hospital to Home program </w:t>
            </w:r>
          </w:p>
          <w:p w14:paraId="46212502" w14:textId="5C4243E9" w:rsidR="00C03F61" w:rsidRPr="00AF7228" w:rsidRDefault="00C03F61" w:rsidP="00C03F61">
            <w:pPr>
              <w:pStyle w:val="TableText"/>
              <w:cnfStyle w:val="000000000000" w:firstRow="0" w:lastRow="0" w:firstColumn="0" w:lastColumn="0" w:oddVBand="0" w:evenVBand="0" w:oddHBand="0" w:evenHBand="0" w:firstRowFirstColumn="0" w:firstRowLastColumn="0" w:lastRowFirstColumn="0" w:lastRowLastColumn="0"/>
            </w:pPr>
            <w:r w:rsidRPr="00AF7228">
              <w:t xml:space="preserve">General Practice Support </w:t>
            </w:r>
            <w:r w:rsidR="00994E9B">
              <w:t>and</w:t>
            </w:r>
            <w:r w:rsidR="00994E9B" w:rsidRPr="00AF7228">
              <w:t xml:space="preserve"> </w:t>
            </w:r>
            <w:r w:rsidRPr="00AF7228">
              <w:t xml:space="preserve">Capability Building – Psychiatrist Liaison Model </w:t>
            </w:r>
          </w:p>
        </w:tc>
        <w:tc>
          <w:tcPr>
            <w:tcW w:w="3361" w:type="dxa"/>
          </w:tcPr>
          <w:p w14:paraId="0095A2F5" w14:textId="70B05F38" w:rsidR="00B6368F" w:rsidRPr="00AF7228" w:rsidRDefault="00C03F61" w:rsidP="00C03F61">
            <w:pPr>
              <w:pStyle w:val="TableText"/>
              <w:cnfStyle w:val="000000000000" w:firstRow="0" w:lastRow="0" w:firstColumn="0" w:lastColumn="0" w:oddVBand="0" w:evenVBand="0" w:oddHBand="0" w:evenHBand="0" w:firstRowFirstColumn="0" w:firstRowLastColumn="0" w:lastRowFirstColumn="0" w:lastRowLastColumn="0"/>
            </w:pPr>
            <w:r w:rsidRPr="00AF7228">
              <w:t>Mental Health Nurse Credentialing</w:t>
            </w:r>
          </w:p>
        </w:tc>
      </w:tr>
      <w:tr w:rsidR="00B6368F" w:rsidRPr="00AF7228" w14:paraId="34A5FA47" w14:textId="77777777" w:rsidTr="00D55A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2" w:type="dxa"/>
          </w:tcPr>
          <w:p w14:paraId="202C7A1B" w14:textId="31B4813E" w:rsidR="00B6368F" w:rsidRPr="00AF7228" w:rsidRDefault="00B6368F" w:rsidP="00C03F61">
            <w:pPr>
              <w:pStyle w:val="TableText"/>
            </w:pPr>
            <w:r w:rsidRPr="00AF7228">
              <w:t xml:space="preserve">Suicide prevention </w:t>
            </w:r>
          </w:p>
        </w:tc>
        <w:tc>
          <w:tcPr>
            <w:tcW w:w="3515" w:type="dxa"/>
          </w:tcPr>
          <w:p w14:paraId="303168A7" w14:textId="77777777" w:rsidR="00B6368F" w:rsidRPr="00AF7228" w:rsidRDefault="00C03F61" w:rsidP="00C03F61">
            <w:pPr>
              <w:pStyle w:val="TableText"/>
              <w:cnfStyle w:val="000000100000" w:firstRow="0" w:lastRow="0" w:firstColumn="0" w:lastColumn="0" w:oddVBand="0" w:evenVBand="0" w:oddHBand="1" w:evenHBand="0" w:firstRowFirstColumn="0" w:firstRowLastColumn="0" w:lastRowFirstColumn="0" w:lastRowLastColumn="0"/>
            </w:pPr>
            <w:r w:rsidRPr="00AF7228">
              <w:t>Men’s Shed</w:t>
            </w:r>
          </w:p>
          <w:p w14:paraId="15396152" w14:textId="52DF8009" w:rsidR="00C03F61" w:rsidRPr="00AF7228" w:rsidRDefault="00C03F61" w:rsidP="00C03F61">
            <w:pPr>
              <w:pStyle w:val="TableText"/>
              <w:cnfStyle w:val="000000100000" w:firstRow="0" w:lastRow="0" w:firstColumn="0" w:lastColumn="0" w:oddVBand="0" w:evenVBand="0" w:oddHBand="1" w:evenHBand="0" w:firstRowFirstColumn="0" w:firstRowLastColumn="0" w:lastRowFirstColumn="0" w:lastRowLastColumn="0"/>
            </w:pPr>
            <w:r w:rsidRPr="00AF7228">
              <w:t xml:space="preserve">After Hours Services for Mental Health </w:t>
            </w:r>
          </w:p>
          <w:p w14:paraId="655523C1" w14:textId="1918454E" w:rsidR="00C03F61" w:rsidRPr="00AF7228" w:rsidRDefault="00C03F61" w:rsidP="00C03F61">
            <w:pPr>
              <w:pStyle w:val="TableText"/>
              <w:cnfStyle w:val="000000100000" w:firstRow="0" w:lastRow="0" w:firstColumn="0" w:lastColumn="0" w:oddVBand="0" w:evenVBand="0" w:oddHBand="1" w:evenHBand="0" w:firstRowFirstColumn="0" w:firstRowLastColumn="0" w:lastRowFirstColumn="0" w:lastRowLastColumn="0"/>
            </w:pPr>
            <w:r w:rsidRPr="00AF7228">
              <w:t xml:space="preserve">Helpline Service </w:t>
            </w:r>
          </w:p>
        </w:tc>
        <w:tc>
          <w:tcPr>
            <w:tcW w:w="3361" w:type="dxa"/>
          </w:tcPr>
          <w:p w14:paraId="53214E69" w14:textId="7E01E09E" w:rsidR="00B6368F" w:rsidRPr="00AF7228" w:rsidRDefault="00C03F61" w:rsidP="00C03F61">
            <w:pPr>
              <w:pStyle w:val="TableText"/>
              <w:cnfStyle w:val="000000100000" w:firstRow="0" w:lastRow="0" w:firstColumn="0" w:lastColumn="0" w:oddVBand="0" w:evenVBand="0" w:oddHBand="1" w:evenHBand="0" w:firstRowFirstColumn="0" w:firstRowLastColumn="0" w:lastRowFirstColumn="0" w:lastRowLastColumn="0"/>
            </w:pPr>
            <w:r w:rsidRPr="00AF7228">
              <w:t>Lifespan Suicide Prevention Model</w:t>
            </w:r>
          </w:p>
          <w:p w14:paraId="0E497F51" w14:textId="68AD34AE" w:rsidR="00C03F61" w:rsidRPr="00AF7228" w:rsidRDefault="00C03F61" w:rsidP="00C03F61">
            <w:pPr>
              <w:pStyle w:val="TableText"/>
              <w:cnfStyle w:val="000000100000" w:firstRow="0" w:lastRow="0" w:firstColumn="0" w:lastColumn="0" w:oddVBand="0" w:evenVBand="0" w:oddHBand="1" w:evenHBand="0" w:firstRowFirstColumn="0" w:firstRowLastColumn="0" w:lastRowFirstColumn="0" w:lastRowLastColumn="0"/>
            </w:pPr>
            <w:r w:rsidRPr="00AF7228">
              <w:t xml:space="preserve">Dynamic modelling tool development </w:t>
            </w:r>
          </w:p>
        </w:tc>
      </w:tr>
      <w:tr w:rsidR="00B6368F" w:rsidRPr="00AF7228" w14:paraId="7E4A4464" w14:textId="77777777" w:rsidTr="00D55A72">
        <w:tc>
          <w:tcPr>
            <w:cnfStyle w:val="001000000000" w:firstRow="0" w:lastRow="0" w:firstColumn="1" w:lastColumn="0" w:oddVBand="0" w:evenVBand="0" w:oddHBand="0" w:evenHBand="0" w:firstRowFirstColumn="0" w:firstRowLastColumn="0" w:lastRowFirstColumn="0" w:lastRowLastColumn="0"/>
            <w:tcW w:w="2292" w:type="dxa"/>
          </w:tcPr>
          <w:p w14:paraId="5A292869" w14:textId="3D488CF0" w:rsidR="00B6368F" w:rsidRPr="00AF7228" w:rsidRDefault="00B6368F" w:rsidP="00C03F61">
            <w:pPr>
              <w:pStyle w:val="TableText"/>
            </w:pPr>
            <w:r w:rsidRPr="00AF7228">
              <w:t>Aboriginal and Torres Strait Islander mental health</w:t>
            </w:r>
          </w:p>
        </w:tc>
        <w:tc>
          <w:tcPr>
            <w:tcW w:w="3515" w:type="dxa"/>
          </w:tcPr>
          <w:p w14:paraId="7A991E38" w14:textId="3A2E5B3D" w:rsidR="00C03F61" w:rsidRPr="00C03F61" w:rsidRDefault="00C03F61" w:rsidP="00C03F61">
            <w:pPr>
              <w:pStyle w:val="TableText"/>
              <w:cnfStyle w:val="000000000000" w:firstRow="0" w:lastRow="0" w:firstColumn="0" w:lastColumn="0" w:oddVBand="0" w:evenVBand="0" w:oddHBand="0" w:evenHBand="0" w:firstRowFirstColumn="0" w:firstRowLastColumn="0" w:lastRowFirstColumn="0" w:lastRowLastColumn="0"/>
            </w:pPr>
            <w:r w:rsidRPr="00C03F61">
              <w:t xml:space="preserve">The Australian Indigenous Psychologists (AIPA) </w:t>
            </w:r>
          </w:p>
          <w:p w14:paraId="74E8C262" w14:textId="0242A59B" w:rsidR="00C03F61" w:rsidRPr="00C03F61" w:rsidRDefault="00C03F61" w:rsidP="00C03F61">
            <w:pPr>
              <w:pStyle w:val="TableText"/>
              <w:cnfStyle w:val="000000000000" w:firstRow="0" w:lastRow="0" w:firstColumn="0" w:lastColumn="0" w:oddVBand="0" w:evenVBand="0" w:oddHBand="0" w:evenHBand="0" w:firstRowFirstColumn="0" w:firstRowLastColumn="0" w:lastRowFirstColumn="0" w:lastRowLastColumn="0"/>
            </w:pPr>
            <w:r w:rsidRPr="00C03F61">
              <w:t xml:space="preserve">Aboriginal &amp; Torres Strait Islander Mental Health First Aid (MHFA) and ASIST (Suicide Prevention) Training </w:t>
            </w:r>
          </w:p>
          <w:p w14:paraId="7800338F" w14:textId="08A7A68A" w:rsidR="00B6368F" w:rsidRPr="00AF7228" w:rsidRDefault="00C03F61" w:rsidP="00C03F61">
            <w:pPr>
              <w:pStyle w:val="TableText"/>
              <w:cnfStyle w:val="000000000000" w:firstRow="0" w:lastRow="0" w:firstColumn="0" w:lastColumn="0" w:oddVBand="0" w:evenVBand="0" w:oddHBand="0" w:evenHBand="0" w:firstRowFirstColumn="0" w:firstRowLastColumn="0" w:lastRowFirstColumn="0" w:lastRowLastColumn="0"/>
            </w:pPr>
            <w:r w:rsidRPr="00C03F61">
              <w:t xml:space="preserve">Cert 4 Peer Work (MHCC) </w:t>
            </w:r>
          </w:p>
        </w:tc>
        <w:tc>
          <w:tcPr>
            <w:tcW w:w="3361" w:type="dxa"/>
          </w:tcPr>
          <w:p w14:paraId="3AC6F8F9" w14:textId="414C1528" w:rsidR="00B6368F" w:rsidRPr="00AF7228" w:rsidRDefault="00C03F61" w:rsidP="00C03F61">
            <w:pPr>
              <w:pStyle w:val="TableText"/>
              <w:cnfStyle w:val="000000000000" w:firstRow="0" w:lastRow="0" w:firstColumn="0" w:lastColumn="0" w:oddVBand="0" w:evenVBand="0" w:oddHBand="0" w:evenHBand="0" w:firstRowFirstColumn="0" w:firstRowLastColumn="0" w:lastRowFirstColumn="0" w:lastRowLastColumn="0"/>
            </w:pPr>
            <w:r w:rsidRPr="00AF7228">
              <w:t>Develop Aboriginal and Torres Strait Islander health leader’s network groups to assist with ongoing planning &amp; development of services in the region. Work in partnership with western Sydney Aboriginal Health services</w:t>
            </w:r>
          </w:p>
        </w:tc>
      </w:tr>
      <w:tr w:rsidR="00B6368F" w:rsidRPr="00AF7228" w14:paraId="77D1C7C9" w14:textId="77777777" w:rsidTr="00D55A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2" w:type="dxa"/>
          </w:tcPr>
          <w:p w14:paraId="31A82A66" w14:textId="77C99DA6" w:rsidR="00B6368F" w:rsidRPr="00AF7228" w:rsidRDefault="00B6368F" w:rsidP="00C03F61">
            <w:pPr>
              <w:pStyle w:val="TableText"/>
            </w:pPr>
            <w:r w:rsidRPr="00AF7228">
              <w:t>Regional Planning</w:t>
            </w:r>
          </w:p>
        </w:tc>
        <w:tc>
          <w:tcPr>
            <w:tcW w:w="3515" w:type="dxa"/>
          </w:tcPr>
          <w:p w14:paraId="6826A6AC" w14:textId="77777777" w:rsidR="00B6368F" w:rsidRPr="00AF7228" w:rsidRDefault="00C03F61" w:rsidP="00C03F61">
            <w:pPr>
              <w:pStyle w:val="TableText"/>
              <w:cnfStyle w:val="000000100000" w:firstRow="0" w:lastRow="0" w:firstColumn="0" w:lastColumn="0" w:oddVBand="0" w:evenVBand="0" w:oddHBand="1" w:evenHBand="0" w:firstRowFirstColumn="0" w:firstRowLastColumn="0" w:lastRowFirstColumn="0" w:lastRowLastColumn="0"/>
            </w:pPr>
            <w:r w:rsidRPr="00AF7228">
              <w:t>Integrated Mental Health Atlas &amp; utilisation to support planning</w:t>
            </w:r>
          </w:p>
          <w:p w14:paraId="2727201C" w14:textId="77777777" w:rsidR="00C03F61" w:rsidRPr="00AF7228" w:rsidRDefault="00C03F61" w:rsidP="00C03F61">
            <w:pPr>
              <w:pStyle w:val="TableText"/>
              <w:cnfStyle w:val="000000100000" w:firstRow="0" w:lastRow="0" w:firstColumn="0" w:lastColumn="0" w:oddVBand="0" w:evenVBand="0" w:oddHBand="1" w:evenHBand="0" w:firstRowFirstColumn="0" w:firstRowLastColumn="0" w:lastRowFirstColumn="0" w:lastRowLastColumn="0"/>
            </w:pPr>
            <w:r w:rsidRPr="00AF7228">
              <w:t>Ongoing consultation with stakeholders/community – regional planning forum</w:t>
            </w:r>
          </w:p>
          <w:p w14:paraId="1B6F4D85" w14:textId="503DDCF1" w:rsidR="00C03F61" w:rsidRPr="00AF7228" w:rsidRDefault="00C03F61" w:rsidP="00C03F61">
            <w:pPr>
              <w:pStyle w:val="TableText"/>
              <w:cnfStyle w:val="000000100000" w:firstRow="0" w:lastRow="0" w:firstColumn="0" w:lastColumn="0" w:oddVBand="0" w:evenVBand="0" w:oddHBand="1" w:evenHBand="0" w:firstRowFirstColumn="0" w:firstRowLastColumn="0" w:lastRowFirstColumn="0" w:lastRowLastColumn="0"/>
            </w:pPr>
            <w:r w:rsidRPr="00AF7228">
              <w:t>Development of consistent reporting framework &amp; data set</w:t>
            </w:r>
          </w:p>
        </w:tc>
        <w:tc>
          <w:tcPr>
            <w:tcW w:w="3361" w:type="dxa"/>
          </w:tcPr>
          <w:p w14:paraId="3D043BD0" w14:textId="4924541B" w:rsidR="00C03F61" w:rsidRPr="00C03F61" w:rsidRDefault="00C03F61" w:rsidP="00C03F61">
            <w:pPr>
              <w:pStyle w:val="TableText"/>
              <w:cnfStyle w:val="000000100000" w:firstRow="0" w:lastRow="0" w:firstColumn="0" w:lastColumn="0" w:oddVBand="0" w:evenVBand="0" w:oddHBand="1" w:evenHBand="0" w:firstRowFirstColumn="0" w:firstRowLastColumn="0" w:lastRowFirstColumn="0" w:lastRowLastColumn="0"/>
            </w:pPr>
            <w:r w:rsidRPr="00C03F61">
              <w:t xml:space="preserve">Regional Mental Health Expenditure Review </w:t>
            </w:r>
          </w:p>
          <w:p w14:paraId="17FD9F37" w14:textId="6B5FB218" w:rsidR="00B6368F" w:rsidRPr="00AF7228" w:rsidRDefault="00C03F61" w:rsidP="00C03F61">
            <w:pPr>
              <w:pStyle w:val="TableText"/>
              <w:cnfStyle w:val="000000100000" w:firstRow="0" w:lastRow="0" w:firstColumn="0" w:lastColumn="0" w:oddVBand="0" w:evenVBand="0" w:oddHBand="1" w:evenHBand="0" w:firstRowFirstColumn="0" w:firstRowLastColumn="0" w:lastRowFirstColumn="0" w:lastRowLastColumn="0"/>
            </w:pPr>
            <w:r w:rsidRPr="00AF7228">
              <w:t xml:space="preserve">Reporting </w:t>
            </w:r>
            <w:r w:rsidR="00994E9B">
              <w:t>and</w:t>
            </w:r>
            <w:r w:rsidR="00994E9B" w:rsidRPr="00AF7228">
              <w:t xml:space="preserve"> </w:t>
            </w:r>
            <w:r w:rsidRPr="00AF7228">
              <w:t xml:space="preserve">performance measures based on consistent MDS data sets and frequent collection </w:t>
            </w:r>
            <w:r w:rsidR="00994E9B">
              <w:t>and</w:t>
            </w:r>
            <w:r w:rsidR="00994E9B" w:rsidRPr="00AF7228">
              <w:t xml:space="preserve"> </w:t>
            </w:r>
            <w:r w:rsidRPr="00AF7228">
              <w:t>review of data</w:t>
            </w:r>
          </w:p>
        </w:tc>
      </w:tr>
      <w:tr w:rsidR="00B6368F" w:rsidRPr="00AF7228" w14:paraId="3AAB2D1A" w14:textId="77777777" w:rsidTr="00D55A72">
        <w:tc>
          <w:tcPr>
            <w:cnfStyle w:val="001000000000" w:firstRow="0" w:lastRow="0" w:firstColumn="1" w:lastColumn="0" w:oddVBand="0" w:evenVBand="0" w:oddHBand="0" w:evenHBand="0" w:firstRowFirstColumn="0" w:firstRowLastColumn="0" w:lastRowFirstColumn="0" w:lastRowLastColumn="0"/>
            <w:tcW w:w="2292" w:type="dxa"/>
          </w:tcPr>
          <w:p w14:paraId="17383543" w14:textId="36F36824" w:rsidR="00B6368F" w:rsidRPr="00AF7228" w:rsidRDefault="00B6368F" w:rsidP="00C03F61">
            <w:pPr>
              <w:pStyle w:val="TableText"/>
            </w:pPr>
            <w:r w:rsidRPr="00AF7228">
              <w:t>Stepped model of care</w:t>
            </w:r>
          </w:p>
        </w:tc>
        <w:tc>
          <w:tcPr>
            <w:tcW w:w="3515" w:type="dxa"/>
          </w:tcPr>
          <w:p w14:paraId="51620C12" w14:textId="6F256C75" w:rsidR="00C03F61" w:rsidRPr="00C03F61" w:rsidRDefault="00C03F61" w:rsidP="00C03F61">
            <w:pPr>
              <w:pStyle w:val="TableText"/>
              <w:cnfStyle w:val="000000000000" w:firstRow="0" w:lastRow="0" w:firstColumn="0" w:lastColumn="0" w:oddVBand="0" w:evenVBand="0" w:oddHBand="0" w:evenHBand="0" w:firstRowFirstColumn="0" w:firstRowLastColumn="0" w:lastRowFirstColumn="0" w:lastRowLastColumn="0"/>
            </w:pPr>
            <w:r w:rsidRPr="00C03F61">
              <w:t xml:space="preserve">Centralised Referral and Triage System </w:t>
            </w:r>
          </w:p>
          <w:p w14:paraId="62600901" w14:textId="2652B242" w:rsidR="00B6368F" w:rsidRPr="00AF7228" w:rsidRDefault="00C03F61" w:rsidP="00C03F61">
            <w:pPr>
              <w:pStyle w:val="TableText"/>
              <w:cnfStyle w:val="000000000000" w:firstRow="0" w:lastRow="0" w:firstColumn="0" w:lastColumn="0" w:oddVBand="0" w:evenVBand="0" w:oddHBand="0" w:evenHBand="0" w:firstRowFirstColumn="0" w:firstRowLastColumn="0" w:lastRowFirstColumn="0" w:lastRowLastColumn="0"/>
            </w:pPr>
            <w:r w:rsidRPr="00C03F61">
              <w:t xml:space="preserve">Development of a single referral form for the Stepped Care model (from all Primary Health referring agents) </w:t>
            </w:r>
          </w:p>
        </w:tc>
        <w:tc>
          <w:tcPr>
            <w:tcW w:w="3361" w:type="dxa"/>
          </w:tcPr>
          <w:p w14:paraId="19465803" w14:textId="72AEB11B" w:rsidR="00B6368F" w:rsidRPr="00AF7228" w:rsidRDefault="00C03F61" w:rsidP="00C03F61">
            <w:pPr>
              <w:pStyle w:val="TableText"/>
              <w:cnfStyle w:val="000000000000" w:firstRow="0" w:lastRow="0" w:firstColumn="0" w:lastColumn="0" w:oddVBand="0" w:evenVBand="0" w:oddHBand="0" w:evenHBand="0" w:firstRowFirstColumn="0" w:firstRowLastColumn="0" w:lastRowFirstColumn="0" w:lastRowLastColumn="0"/>
            </w:pPr>
            <w:r w:rsidRPr="00AF7228">
              <w:t>Ongoing research to support effective implementation of stepped care model</w:t>
            </w:r>
          </w:p>
        </w:tc>
      </w:tr>
    </w:tbl>
    <w:p w14:paraId="6000F0E5" w14:textId="2C7C978B" w:rsidR="00BD7169" w:rsidRPr="00AF7228" w:rsidRDefault="00BD7169" w:rsidP="00BD7169">
      <w:pPr>
        <w:pStyle w:val="BodyText"/>
      </w:pPr>
      <w:r w:rsidRPr="00AF7228">
        <w:t>In addition to existing legacy programs and services, such as headspace, a number of new activities were commissioned to address identified service gaps and build infrastructure and support for the longer term. These activities have focussed on enhancing the support available from our general practice teams and providing general practice access to adjunct services for the consumer populations.</w:t>
      </w:r>
    </w:p>
    <w:p w14:paraId="1F267D5A" w14:textId="7B03F5C3" w:rsidR="00BD7169" w:rsidRDefault="00BD7169" w:rsidP="00BD7169">
      <w:pPr>
        <w:pStyle w:val="BodyText"/>
      </w:pPr>
      <w:r w:rsidRPr="00AF7228">
        <w:t xml:space="preserve">This is consistent with </w:t>
      </w:r>
      <w:proofErr w:type="spellStart"/>
      <w:r w:rsidRPr="00AF7228">
        <w:t>WentWest’s</w:t>
      </w:r>
      <w:proofErr w:type="spellEnd"/>
      <w:r w:rsidRPr="00AF7228">
        <w:t xml:space="preserve"> strategy of keeping general practice at the centre of consumer support and care and working with all our providers to build a system of care that provides as seamless transition as possible for consumers between providers and services.</w:t>
      </w:r>
    </w:p>
    <w:p w14:paraId="61F83938" w14:textId="77777777" w:rsidR="00D55A72" w:rsidRDefault="00D55A72" w:rsidP="00BD7169">
      <w:pPr>
        <w:pStyle w:val="BodyText"/>
      </w:pPr>
    </w:p>
    <w:p w14:paraId="7EB151E7" w14:textId="42C1688F" w:rsidR="00C03F61" w:rsidRPr="00AF7228" w:rsidRDefault="00C03F61" w:rsidP="00C03F61">
      <w:pPr>
        <w:pStyle w:val="FigureCaption"/>
      </w:pPr>
      <w:bookmarkStart w:id="48" w:name="_Toc6237983"/>
      <w:r w:rsidRPr="00AF7228">
        <w:lastRenderedPageBreak/>
        <w:t xml:space="preserve">The </w:t>
      </w:r>
      <w:r w:rsidR="00AD3544">
        <w:t xml:space="preserve">WentWest </w:t>
      </w:r>
      <w:r w:rsidRPr="00AF7228">
        <w:t>Continuum of Primary Mental Health Care</w:t>
      </w:r>
      <w:bookmarkEnd w:id="48"/>
    </w:p>
    <w:p w14:paraId="06024D56" w14:textId="5846EA10" w:rsidR="00C03F61" w:rsidRDefault="0022640E" w:rsidP="00C03F61">
      <w:pPr>
        <w:spacing w:before="0" w:after="0"/>
      </w:pPr>
      <w:r w:rsidRPr="0022640E">
        <w:rPr>
          <w:noProof/>
          <w:lang w:eastAsia="en-AU"/>
        </w:rPr>
        <w:drawing>
          <wp:inline distT="0" distB="0" distL="0" distR="0" wp14:anchorId="42E40E93" wp14:editId="1C819DD9">
            <wp:extent cx="5468293" cy="8267382"/>
            <wp:effectExtent l="0" t="0" r="5715"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480730" cy="8286185"/>
                    </a:xfrm>
                    <a:prstGeom prst="rect">
                      <a:avLst/>
                    </a:prstGeom>
                  </pic:spPr>
                </pic:pic>
              </a:graphicData>
            </a:graphic>
          </wp:inline>
        </w:drawing>
      </w:r>
    </w:p>
    <w:p w14:paraId="338E55CF" w14:textId="77777777" w:rsidR="00D55A72" w:rsidRPr="00AF7228" w:rsidRDefault="00D55A72" w:rsidP="00C03F61">
      <w:pPr>
        <w:spacing w:before="0" w:after="0"/>
      </w:pPr>
    </w:p>
    <w:p w14:paraId="3FE722D7" w14:textId="6C7DB65A" w:rsidR="00C03F61" w:rsidRPr="00AF7228" w:rsidRDefault="00AD3544" w:rsidP="00C03F61">
      <w:pPr>
        <w:pStyle w:val="FigureCaption"/>
      </w:pPr>
      <w:bookmarkStart w:id="49" w:name="_Toc6237984"/>
      <w:r>
        <w:lastRenderedPageBreak/>
        <w:t xml:space="preserve">WentWest </w:t>
      </w:r>
      <w:r w:rsidR="00C03F61" w:rsidRPr="00AF7228">
        <w:t xml:space="preserve">Stepped care Service Model </w:t>
      </w:r>
      <w:r w:rsidR="0022640E">
        <w:t>– Principles</w:t>
      </w:r>
      <w:bookmarkEnd w:id="49"/>
      <w:r w:rsidR="0022640E">
        <w:t xml:space="preserve"> </w:t>
      </w:r>
    </w:p>
    <w:p w14:paraId="79C0C939" w14:textId="7C95E487" w:rsidR="0022640E" w:rsidRDefault="0022640E">
      <w:pPr>
        <w:spacing w:before="0" w:after="0"/>
      </w:pPr>
      <w:r w:rsidRPr="0022640E">
        <w:rPr>
          <w:noProof/>
          <w:lang w:eastAsia="en-AU"/>
        </w:rPr>
        <w:drawing>
          <wp:inline distT="0" distB="0" distL="0" distR="0" wp14:anchorId="1D6CF866" wp14:editId="044E733E">
            <wp:extent cx="5828030" cy="3502999"/>
            <wp:effectExtent l="0" t="0" r="127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6973"/>
                    <a:stretch/>
                  </pic:blipFill>
                  <pic:spPr bwMode="auto">
                    <a:xfrm>
                      <a:off x="0" y="0"/>
                      <a:ext cx="5828030" cy="3502999"/>
                    </a:xfrm>
                    <a:prstGeom prst="rect">
                      <a:avLst/>
                    </a:prstGeom>
                    <a:ln>
                      <a:noFill/>
                    </a:ln>
                    <a:extLst>
                      <a:ext uri="{53640926-AAD7-44D8-BBD7-CCE9431645EC}">
                        <a14:shadowObscured xmlns:a14="http://schemas.microsoft.com/office/drawing/2010/main"/>
                      </a:ext>
                    </a:extLst>
                  </pic:spPr>
                </pic:pic>
              </a:graphicData>
            </a:graphic>
          </wp:inline>
        </w:drawing>
      </w:r>
    </w:p>
    <w:p w14:paraId="08FF7266" w14:textId="77777777" w:rsidR="0022640E" w:rsidRDefault="0022640E">
      <w:pPr>
        <w:spacing w:before="0" w:after="0"/>
      </w:pPr>
    </w:p>
    <w:p w14:paraId="51BEBD75" w14:textId="024AC2F8" w:rsidR="0022640E" w:rsidRDefault="00AD3544" w:rsidP="0022640E">
      <w:pPr>
        <w:pStyle w:val="FigureCaption"/>
      </w:pPr>
      <w:bookmarkStart w:id="50" w:name="_Toc6237985"/>
      <w:r>
        <w:t xml:space="preserve">WentWest </w:t>
      </w:r>
      <w:r w:rsidR="0022640E">
        <w:t>Stepped Care Model – characteristics of service levels</w:t>
      </w:r>
      <w:bookmarkEnd w:id="50"/>
    </w:p>
    <w:p w14:paraId="7ADE41EE" w14:textId="383706B1" w:rsidR="0022640E" w:rsidRDefault="0022640E">
      <w:pPr>
        <w:spacing w:before="0" w:after="0"/>
      </w:pPr>
      <w:r w:rsidRPr="0022640E">
        <w:rPr>
          <w:noProof/>
          <w:lang w:eastAsia="en-AU"/>
        </w:rPr>
        <w:drawing>
          <wp:inline distT="0" distB="0" distL="0" distR="0" wp14:anchorId="320877AA" wp14:editId="4E8BDB4B">
            <wp:extent cx="5828030" cy="3839832"/>
            <wp:effectExtent l="0" t="0" r="127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14166"/>
                    <a:stretch/>
                  </pic:blipFill>
                  <pic:spPr bwMode="auto">
                    <a:xfrm>
                      <a:off x="0" y="0"/>
                      <a:ext cx="5828030" cy="3839832"/>
                    </a:xfrm>
                    <a:prstGeom prst="rect">
                      <a:avLst/>
                    </a:prstGeom>
                    <a:ln>
                      <a:noFill/>
                    </a:ln>
                    <a:extLst>
                      <a:ext uri="{53640926-AAD7-44D8-BBD7-CCE9431645EC}">
                        <a14:shadowObscured xmlns:a14="http://schemas.microsoft.com/office/drawing/2010/main"/>
                      </a:ext>
                    </a:extLst>
                  </pic:spPr>
                </pic:pic>
              </a:graphicData>
            </a:graphic>
          </wp:inline>
        </w:drawing>
      </w:r>
    </w:p>
    <w:p w14:paraId="42EA125E" w14:textId="50A7C479" w:rsidR="0022640E" w:rsidRDefault="0022640E">
      <w:pPr>
        <w:spacing w:before="0" w:after="0"/>
      </w:pPr>
    </w:p>
    <w:p w14:paraId="4F294394" w14:textId="7D1254A3" w:rsidR="0022640E" w:rsidRDefault="0022640E">
      <w:pPr>
        <w:spacing w:before="0" w:after="0"/>
      </w:pPr>
    </w:p>
    <w:p w14:paraId="4345E32E" w14:textId="6B294030" w:rsidR="0022640E" w:rsidRDefault="0022640E">
      <w:pPr>
        <w:spacing w:before="0" w:after="0"/>
      </w:pPr>
    </w:p>
    <w:p w14:paraId="28906188" w14:textId="45FA6E0E" w:rsidR="0022640E" w:rsidRDefault="0022640E">
      <w:pPr>
        <w:spacing w:before="0" w:after="0"/>
      </w:pPr>
    </w:p>
    <w:p w14:paraId="335CEC26" w14:textId="0EDC3836" w:rsidR="0022640E" w:rsidRDefault="0022640E">
      <w:pPr>
        <w:spacing w:before="0" w:after="0"/>
      </w:pPr>
    </w:p>
    <w:p w14:paraId="31653141" w14:textId="71564869" w:rsidR="0022640E" w:rsidRDefault="0022640E" w:rsidP="0022640E">
      <w:pPr>
        <w:pStyle w:val="FigureCaption"/>
      </w:pPr>
      <w:bookmarkStart w:id="51" w:name="_Toc6237986"/>
      <w:r>
        <w:lastRenderedPageBreak/>
        <w:t xml:space="preserve">– </w:t>
      </w:r>
      <w:r w:rsidR="00AD3544">
        <w:t xml:space="preserve">WentWest </w:t>
      </w:r>
      <w:r>
        <w:t>Stepped Care Model – Determining Need</w:t>
      </w:r>
      <w:bookmarkEnd w:id="51"/>
    </w:p>
    <w:p w14:paraId="38FDE24D" w14:textId="21CB0D90" w:rsidR="0022640E" w:rsidRDefault="0022640E">
      <w:pPr>
        <w:spacing w:before="0" w:after="0"/>
      </w:pPr>
      <w:r w:rsidRPr="0022640E">
        <w:rPr>
          <w:noProof/>
          <w:lang w:eastAsia="en-AU"/>
        </w:rPr>
        <w:drawing>
          <wp:inline distT="0" distB="0" distL="0" distR="0" wp14:anchorId="05D42189" wp14:editId="6D89DDDC">
            <wp:extent cx="5828030" cy="3930015"/>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828030" cy="3930015"/>
                    </a:xfrm>
                    <a:prstGeom prst="rect">
                      <a:avLst/>
                    </a:prstGeom>
                  </pic:spPr>
                </pic:pic>
              </a:graphicData>
            </a:graphic>
          </wp:inline>
        </w:drawing>
      </w:r>
    </w:p>
    <w:p w14:paraId="79893F8B" w14:textId="77777777" w:rsidR="0022640E" w:rsidRDefault="0022640E">
      <w:pPr>
        <w:spacing w:before="0" w:after="0"/>
      </w:pPr>
    </w:p>
    <w:p w14:paraId="423267F8" w14:textId="377A416E" w:rsidR="00570FDD" w:rsidRPr="00AF7228" w:rsidRDefault="00570FDD" w:rsidP="00117D83">
      <w:pPr>
        <w:pStyle w:val="Heading3"/>
      </w:pPr>
      <w:bookmarkStart w:id="52" w:name="_Toc6238807"/>
      <w:r w:rsidRPr="00AF7228">
        <w:t>Academic and Strategic Partnerships</w:t>
      </w:r>
      <w:bookmarkEnd w:id="52"/>
      <w:r w:rsidRPr="00AF7228">
        <w:t xml:space="preserve"> </w:t>
      </w:r>
    </w:p>
    <w:p w14:paraId="064CF8AA" w14:textId="21BAA985" w:rsidR="00C03F61" w:rsidRPr="00AF7228" w:rsidRDefault="00C03F61" w:rsidP="00570FDD">
      <w:pPr>
        <w:pStyle w:val="BodyText"/>
      </w:pPr>
      <w:r w:rsidRPr="00AF7228">
        <w:t xml:space="preserve">A key aspect of </w:t>
      </w:r>
      <w:proofErr w:type="spellStart"/>
      <w:r w:rsidR="00AF7228" w:rsidRPr="00AF7228">
        <w:t>WentWest’s</w:t>
      </w:r>
      <w:proofErr w:type="spellEnd"/>
      <w:r w:rsidRPr="00AF7228">
        <w:t xml:space="preserve"> approach has been the establishment and strengthening of academic and strategic partnerships to build the regions capacity to achieve evidence-informed health care. This has involved academic and consultant expert</w:t>
      </w:r>
      <w:r w:rsidR="00AF7228" w:rsidRPr="00AF7228">
        <w:t>s</w:t>
      </w:r>
      <w:r w:rsidRPr="00AF7228">
        <w:t xml:space="preserve"> in mental health suicide prevention and alcohol and other drugs issues, collaborations with international centres of best practice in primary mental health care, study tours for health care providers from our region, continuous workforce professional development, continuous engagement with consumers and carers to ensure lived experience informs the design and implementation of our work, active engagement with peak bodies and ongoing research.    </w:t>
      </w:r>
    </w:p>
    <w:p w14:paraId="0293614C" w14:textId="4045A3AE" w:rsidR="00C03F61" w:rsidRPr="00AF7228" w:rsidRDefault="00C03F61" w:rsidP="00570FDD">
      <w:pPr>
        <w:pStyle w:val="BodyText"/>
      </w:pPr>
      <w:proofErr w:type="spellStart"/>
      <w:r w:rsidRPr="00AF7228">
        <w:t>WentWest’s</w:t>
      </w:r>
      <w:proofErr w:type="spellEnd"/>
      <w:r w:rsidRPr="00AF7228">
        <w:t xml:space="preserve"> partners have included Western Sydney University, the Brain and Mind Centre University of Sydney, The Menzies Health Policy Centre, The Sax Institute, and leading consultants in mental health including </w:t>
      </w:r>
      <w:proofErr w:type="spellStart"/>
      <w:r w:rsidRPr="00AF7228">
        <w:t>Synergia</w:t>
      </w:r>
      <w:proofErr w:type="spellEnd"/>
      <w:r w:rsidRPr="00AF7228">
        <w:t xml:space="preserve">, </w:t>
      </w:r>
      <w:proofErr w:type="spellStart"/>
      <w:r w:rsidRPr="00AF7228">
        <w:t>ConNetica</w:t>
      </w:r>
      <w:proofErr w:type="spellEnd"/>
      <w:r w:rsidRPr="00AF7228">
        <w:t>, and David McGrath.</w:t>
      </w:r>
    </w:p>
    <w:p w14:paraId="22CB7C1F" w14:textId="06CF9D21" w:rsidR="00570FDD" w:rsidRPr="00AF7228" w:rsidRDefault="00C03F61" w:rsidP="00570FDD">
      <w:pPr>
        <w:pStyle w:val="BodyText"/>
        <w:rPr>
          <w:sz w:val="22"/>
        </w:rPr>
      </w:pPr>
      <w:r w:rsidRPr="00AF7228">
        <w:t>Notable aspects of our o</w:t>
      </w:r>
      <w:r w:rsidR="00570FDD" w:rsidRPr="00AF7228">
        <w:t>ngoing research and collaboration to support effective implementation of mental health and suicide prevention strategies within a stepped care model</w:t>
      </w:r>
      <w:r w:rsidRPr="00AF7228">
        <w:t xml:space="preserve"> include</w:t>
      </w:r>
      <w:r w:rsidR="00570FDD" w:rsidRPr="00AF7228">
        <w:t>:</w:t>
      </w:r>
    </w:p>
    <w:p w14:paraId="736581BB" w14:textId="77777777" w:rsidR="00570FDD" w:rsidRPr="00AF7228" w:rsidRDefault="00570FDD" w:rsidP="00570FDD">
      <w:pPr>
        <w:pStyle w:val="BulletPoint"/>
      </w:pPr>
      <w:r w:rsidRPr="00AD3544">
        <w:rPr>
          <w:u w:val="single"/>
        </w:rPr>
        <w:t>Western</w:t>
      </w:r>
      <w:r w:rsidRPr="00AD3544">
        <w:rPr>
          <w:spacing w:val="-6"/>
          <w:u w:val="single"/>
        </w:rPr>
        <w:t xml:space="preserve"> </w:t>
      </w:r>
      <w:r w:rsidRPr="00AD3544">
        <w:rPr>
          <w:u w:val="single"/>
        </w:rPr>
        <w:t>Sydney</w:t>
      </w:r>
      <w:r w:rsidRPr="00AD3544">
        <w:rPr>
          <w:spacing w:val="-5"/>
          <w:u w:val="single"/>
        </w:rPr>
        <w:t xml:space="preserve"> </w:t>
      </w:r>
      <w:r w:rsidRPr="00AD3544">
        <w:rPr>
          <w:u w:val="single"/>
        </w:rPr>
        <w:t>Health</w:t>
      </w:r>
      <w:r w:rsidRPr="00AD3544">
        <w:rPr>
          <w:spacing w:val="-5"/>
          <w:u w:val="single"/>
        </w:rPr>
        <w:t xml:space="preserve"> </w:t>
      </w:r>
      <w:r w:rsidRPr="00AD3544">
        <w:rPr>
          <w:u w:val="single"/>
        </w:rPr>
        <w:t>Intelligence</w:t>
      </w:r>
      <w:r w:rsidRPr="00AD3544">
        <w:rPr>
          <w:spacing w:val="-6"/>
          <w:u w:val="single"/>
        </w:rPr>
        <w:t xml:space="preserve"> </w:t>
      </w:r>
      <w:r w:rsidRPr="00AD3544">
        <w:rPr>
          <w:u w:val="single"/>
        </w:rPr>
        <w:t>Unit (</w:t>
      </w:r>
      <w:r w:rsidRPr="00AF7228">
        <w:rPr>
          <w:u w:val="single"/>
        </w:rPr>
        <w:t>WSHIU):</w:t>
      </w:r>
      <w:r w:rsidRPr="00AF7228">
        <w:rPr>
          <w:spacing w:val="-5"/>
        </w:rPr>
        <w:t xml:space="preserve"> </w:t>
      </w:r>
      <w:r w:rsidRPr="00AF7228">
        <w:t>support</w:t>
      </w:r>
      <w:r w:rsidRPr="00AF7228">
        <w:rPr>
          <w:spacing w:val="-5"/>
        </w:rPr>
        <w:t xml:space="preserve"> </w:t>
      </w:r>
      <w:r w:rsidRPr="00AF7228">
        <w:t>and</w:t>
      </w:r>
      <w:r w:rsidRPr="00AF7228">
        <w:rPr>
          <w:spacing w:val="-6"/>
        </w:rPr>
        <w:t xml:space="preserve"> </w:t>
      </w:r>
      <w:r w:rsidRPr="00AF7228">
        <w:t>contribute</w:t>
      </w:r>
      <w:r w:rsidRPr="00AF7228">
        <w:rPr>
          <w:spacing w:val="-5"/>
        </w:rPr>
        <w:t xml:space="preserve"> </w:t>
      </w:r>
      <w:r w:rsidRPr="00AF7228">
        <w:t>to</w:t>
      </w:r>
      <w:r w:rsidRPr="00AF7228">
        <w:rPr>
          <w:spacing w:val="-4"/>
        </w:rPr>
        <w:t xml:space="preserve"> </w:t>
      </w:r>
      <w:r w:rsidRPr="00AF7228">
        <w:t>the</w:t>
      </w:r>
      <w:r w:rsidRPr="00AF7228">
        <w:rPr>
          <w:spacing w:val="-6"/>
        </w:rPr>
        <w:t xml:space="preserve"> </w:t>
      </w:r>
      <w:r w:rsidRPr="00AF7228">
        <w:t>new</w:t>
      </w:r>
      <w:r w:rsidRPr="00AF7228">
        <w:rPr>
          <w:spacing w:val="-5"/>
        </w:rPr>
        <w:t xml:space="preserve"> </w:t>
      </w:r>
      <w:r w:rsidRPr="00AF7228">
        <w:t>shared</w:t>
      </w:r>
      <w:r w:rsidRPr="00AF7228">
        <w:rPr>
          <w:spacing w:val="-6"/>
        </w:rPr>
        <w:t xml:space="preserve"> </w:t>
      </w:r>
      <w:r w:rsidRPr="00AF7228">
        <w:t>service</w:t>
      </w:r>
      <w:r w:rsidRPr="00AF7228">
        <w:rPr>
          <w:spacing w:val="-5"/>
        </w:rPr>
        <w:t xml:space="preserve"> </w:t>
      </w:r>
      <w:r w:rsidRPr="00AF7228">
        <w:t>in</w:t>
      </w:r>
      <w:r w:rsidRPr="00AF7228">
        <w:rPr>
          <w:spacing w:val="-7"/>
        </w:rPr>
        <w:t xml:space="preserve"> </w:t>
      </w:r>
      <w:r w:rsidRPr="00AF7228">
        <w:t>the region providing an agreed and expanding range of services, including information production, knowledge management, web-based reporting and capacity</w:t>
      </w:r>
      <w:r w:rsidRPr="00AF7228">
        <w:rPr>
          <w:spacing w:val="-11"/>
        </w:rPr>
        <w:t xml:space="preserve"> </w:t>
      </w:r>
      <w:r w:rsidRPr="00AF7228">
        <w:t>building</w:t>
      </w:r>
    </w:p>
    <w:p w14:paraId="5A454207" w14:textId="40AA9232" w:rsidR="00570FDD" w:rsidRPr="00AF7228" w:rsidRDefault="00570FDD" w:rsidP="00C03F61">
      <w:pPr>
        <w:pStyle w:val="BulletPoint"/>
        <w:numPr>
          <w:ilvl w:val="0"/>
          <w:numId w:val="0"/>
        </w:numPr>
        <w:ind w:left="425"/>
      </w:pPr>
      <w:r w:rsidRPr="00AF7228">
        <w:t>The initiative assist</w:t>
      </w:r>
      <w:r w:rsidR="00C03F61" w:rsidRPr="00AF7228">
        <w:t>s</w:t>
      </w:r>
      <w:r w:rsidRPr="00AF7228">
        <w:t xml:space="preserve"> the development, capture and use of knowledge to support decision making to improve the health of the patients enrolled in the </w:t>
      </w:r>
      <w:r w:rsidRPr="00AD3544">
        <w:t>Health Care Home</w:t>
      </w:r>
      <w:r w:rsidRPr="00AF7228">
        <w:t xml:space="preserve"> (HCH) models of primary care, along with the greater population of </w:t>
      </w:r>
      <w:r w:rsidR="00C03F61" w:rsidRPr="00AF7228">
        <w:t>w</w:t>
      </w:r>
      <w:r w:rsidRPr="00AF7228">
        <w:t>estern Sydney. The WSHIU work</w:t>
      </w:r>
      <w:r w:rsidR="00C03F61" w:rsidRPr="00AF7228">
        <w:t>s</w:t>
      </w:r>
      <w:r w:rsidRPr="00AF7228">
        <w:t xml:space="preserve"> to support health professionals and system partners to make informed decisions towards better health and social care outcomes by using the evidence base of health. A wide variety of stakeholders</w:t>
      </w:r>
      <w:r w:rsidRPr="00AF7228">
        <w:rPr>
          <w:spacing w:val="-8"/>
        </w:rPr>
        <w:t xml:space="preserve"> </w:t>
      </w:r>
      <w:r w:rsidRPr="00AF7228">
        <w:t>use</w:t>
      </w:r>
      <w:r w:rsidRPr="00AF7228">
        <w:rPr>
          <w:spacing w:val="-10"/>
        </w:rPr>
        <w:t xml:space="preserve"> </w:t>
      </w:r>
      <w:r w:rsidRPr="00AF7228">
        <w:t>the</w:t>
      </w:r>
      <w:r w:rsidRPr="00AF7228">
        <w:rPr>
          <w:spacing w:val="-9"/>
        </w:rPr>
        <w:t xml:space="preserve"> </w:t>
      </w:r>
      <w:r w:rsidRPr="00AF7228">
        <w:t>WSHIU portal</w:t>
      </w:r>
      <w:r w:rsidRPr="00AF7228">
        <w:rPr>
          <w:spacing w:val="-10"/>
        </w:rPr>
        <w:t xml:space="preserve"> </w:t>
      </w:r>
      <w:r w:rsidRPr="00AF7228">
        <w:t>to</w:t>
      </w:r>
      <w:r w:rsidRPr="00AF7228">
        <w:rPr>
          <w:spacing w:val="-9"/>
        </w:rPr>
        <w:t xml:space="preserve"> </w:t>
      </w:r>
      <w:r w:rsidRPr="00AF7228">
        <w:t>monitor</w:t>
      </w:r>
      <w:r w:rsidRPr="00AF7228">
        <w:rPr>
          <w:spacing w:val="-9"/>
        </w:rPr>
        <w:t xml:space="preserve"> </w:t>
      </w:r>
      <w:r w:rsidRPr="00AF7228">
        <w:t>the</w:t>
      </w:r>
      <w:r w:rsidRPr="00AF7228">
        <w:rPr>
          <w:spacing w:val="-7"/>
        </w:rPr>
        <w:t xml:space="preserve"> </w:t>
      </w:r>
      <w:r w:rsidRPr="00AF7228">
        <w:t>health</w:t>
      </w:r>
      <w:r w:rsidRPr="00AF7228">
        <w:rPr>
          <w:spacing w:val="-7"/>
        </w:rPr>
        <w:t xml:space="preserve"> </w:t>
      </w:r>
      <w:r w:rsidRPr="00AF7228">
        <w:t>status</w:t>
      </w:r>
      <w:r w:rsidRPr="00AF7228">
        <w:rPr>
          <w:spacing w:val="-10"/>
        </w:rPr>
        <w:t xml:space="preserve"> </w:t>
      </w:r>
      <w:r w:rsidRPr="00AF7228">
        <w:t>of</w:t>
      </w:r>
      <w:r w:rsidRPr="00AF7228">
        <w:rPr>
          <w:spacing w:val="-10"/>
        </w:rPr>
        <w:t xml:space="preserve"> </w:t>
      </w:r>
      <w:r w:rsidRPr="00AF7228">
        <w:t>the</w:t>
      </w:r>
      <w:r w:rsidRPr="00AF7228">
        <w:rPr>
          <w:spacing w:val="-8"/>
        </w:rPr>
        <w:t xml:space="preserve"> </w:t>
      </w:r>
      <w:r w:rsidRPr="00AF7228">
        <w:t>community,</w:t>
      </w:r>
      <w:r w:rsidRPr="00AF7228">
        <w:rPr>
          <w:spacing w:val="-8"/>
        </w:rPr>
        <w:t xml:space="preserve"> </w:t>
      </w:r>
      <w:r w:rsidRPr="00AF7228">
        <w:t xml:space="preserve">identify health needs, develop </w:t>
      </w:r>
      <w:r w:rsidRPr="00AF7228">
        <w:lastRenderedPageBreak/>
        <w:t>programs to reduce risk, foster policies which promote health, plan and evaluate the provision of healthcare and manage and implement</w:t>
      </w:r>
      <w:r w:rsidRPr="00AF7228">
        <w:rPr>
          <w:spacing w:val="-15"/>
        </w:rPr>
        <w:t xml:space="preserve"> </w:t>
      </w:r>
      <w:r w:rsidRPr="00AF7228">
        <w:t>change.</w:t>
      </w:r>
    </w:p>
    <w:p w14:paraId="432F95B1" w14:textId="51404252" w:rsidR="00570FDD" w:rsidRPr="00AF7228" w:rsidRDefault="00570FDD" w:rsidP="00AF7228">
      <w:pPr>
        <w:pStyle w:val="BulletPoint"/>
      </w:pPr>
      <w:r w:rsidRPr="00AF7228">
        <w:rPr>
          <w:u w:val="single"/>
        </w:rPr>
        <w:t>Integrated Mental Health Atlas of Western Sydney</w:t>
      </w:r>
      <w:r w:rsidRPr="00AF7228">
        <w:t xml:space="preserve"> – WentWest was the first regional health authority in Australia to apply an internationally validated tool to the geo-mapping population mental health needs and the available services. This Atlas uses a standard classification system, the </w:t>
      </w:r>
      <w:r w:rsidRPr="00AF7228">
        <w:rPr>
          <w:i/>
        </w:rPr>
        <w:t>"Description and Evaluation of Services and Directories in Europe for long-term care"</w:t>
      </w:r>
      <w:r w:rsidRPr="00AF7228">
        <w:t xml:space="preserve"> model (DESDE-LTC), to map the services. The use of a common language has allowed us to compare the pattern of mental health care provided in </w:t>
      </w:r>
      <w:r w:rsidR="00994E9B">
        <w:t>w</w:t>
      </w:r>
      <w:r w:rsidR="00994E9B" w:rsidRPr="00AF7228">
        <w:t xml:space="preserve">estern </w:t>
      </w:r>
      <w:r w:rsidRPr="00AF7228">
        <w:t>Sydney</w:t>
      </w:r>
      <w:r w:rsidR="00C03F61" w:rsidRPr="00AF7228">
        <w:t xml:space="preserve">, other regions across Australia </w:t>
      </w:r>
      <w:r w:rsidR="00AD3544" w:rsidRPr="00AF7228">
        <w:t>and with</w:t>
      </w:r>
      <w:r w:rsidRPr="00AF7228">
        <w:t xml:space="preserve"> regions in Europe</w:t>
      </w:r>
      <w:r w:rsidR="00C03F61" w:rsidRPr="00AF7228">
        <w:t xml:space="preserve"> and elsewhere</w:t>
      </w:r>
      <w:r w:rsidRPr="00AF7228">
        <w:t xml:space="preserve">. </w:t>
      </w:r>
      <w:r w:rsidR="00C03F61" w:rsidRPr="00AF7228">
        <w:t xml:space="preserve">We </w:t>
      </w:r>
      <w:r w:rsidRPr="00AF7228">
        <w:t>continue to</w:t>
      </w:r>
      <w:r w:rsidRPr="00AF7228">
        <w:rPr>
          <w:spacing w:val="-1"/>
        </w:rPr>
        <w:t xml:space="preserve"> </w:t>
      </w:r>
      <w:r w:rsidRPr="00AF7228">
        <w:t>develop</w:t>
      </w:r>
      <w:r w:rsidRPr="00AF7228">
        <w:rPr>
          <w:spacing w:val="-2"/>
        </w:rPr>
        <w:t xml:space="preserve"> </w:t>
      </w:r>
      <w:r w:rsidRPr="00AF7228">
        <w:t>and</w:t>
      </w:r>
      <w:r w:rsidRPr="00AF7228">
        <w:rPr>
          <w:spacing w:val="-5"/>
        </w:rPr>
        <w:t xml:space="preserve"> </w:t>
      </w:r>
      <w:r w:rsidRPr="00AF7228">
        <w:t>use</w:t>
      </w:r>
      <w:r w:rsidRPr="00AF7228">
        <w:rPr>
          <w:spacing w:val="-4"/>
        </w:rPr>
        <w:t xml:space="preserve"> </w:t>
      </w:r>
      <w:r w:rsidRPr="00AF7228">
        <w:t>the</w:t>
      </w:r>
      <w:r w:rsidRPr="00AF7228">
        <w:rPr>
          <w:spacing w:val="-4"/>
        </w:rPr>
        <w:t xml:space="preserve"> </w:t>
      </w:r>
      <w:r w:rsidRPr="00AF7228">
        <w:t xml:space="preserve">‘Mental Health Atlas’ to enable </w:t>
      </w:r>
      <w:r w:rsidR="00C03F61" w:rsidRPr="00AF7228">
        <w:t xml:space="preserve">enhance our </w:t>
      </w:r>
      <w:r w:rsidRPr="00AF7228">
        <w:t>understand</w:t>
      </w:r>
      <w:r w:rsidR="00C03F61" w:rsidRPr="00AF7228">
        <w:t>ing of</w:t>
      </w:r>
      <w:r w:rsidRPr="00AF7228">
        <w:t xml:space="preserve"> the functional mix of capacity </w:t>
      </w:r>
      <w:r w:rsidR="00C03F61" w:rsidRPr="00AF7228">
        <w:t xml:space="preserve">(or spectrum and capacity of services) </w:t>
      </w:r>
      <w:r w:rsidRPr="00AF7228">
        <w:t xml:space="preserve">in the region and compare this to international benchmarks using a standard taxonomy. </w:t>
      </w:r>
    </w:p>
    <w:p w14:paraId="4607BB34" w14:textId="19466CFE" w:rsidR="00570FDD" w:rsidRPr="00AF7228" w:rsidRDefault="00570FDD" w:rsidP="00AF7228">
      <w:pPr>
        <w:pStyle w:val="BulletPoint"/>
        <w:numPr>
          <w:ilvl w:val="0"/>
          <w:numId w:val="0"/>
        </w:numPr>
        <w:ind w:left="425"/>
      </w:pPr>
      <w:r w:rsidRPr="00AF7228">
        <w:t xml:space="preserve">The Population Health Commissioning Atlas was one application of the Atlas findings. It provides a tool by which the Western Sydney PHN can build a specific population health profile to inform health needs assessment, including information on the determinants of health, as a means to establishing priorities for service development. It also assists in the identification of key areas in which it can work in partnership with a wide range of stakeholders to strengthen the primary care. </w:t>
      </w:r>
    </w:p>
    <w:p w14:paraId="31A585F2" w14:textId="21F5E70F" w:rsidR="00570FDD" w:rsidRPr="00AF7228" w:rsidRDefault="00570FDD" w:rsidP="00570FDD">
      <w:pPr>
        <w:pStyle w:val="BulletPoint"/>
      </w:pPr>
      <w:r w:rsidRPr="00AF7228">
        <w:rPr>
          <w:u w:val="single"/>
        </w:rPr>
        <w:t>Suicide Prevention Research Collaboration and Systems Model:</w:t>
      </w:r>
      <w:r w:rsidRPr="00AF7228">
        <w:t xml:space="preserve"> </w:t>
      </w:r>
      <w:r w:rsidR="00AF7228" w:rsidRPr="00AF7228">
        <w:t>T</w:t>
      </w:r>
      <w:r w:rsidRPr="00AF7228">
        <w:t>he suicide prevention research</w:t>
      </w:r>
      <w:r w:rsidRPr="00AF7228">
        <w:rPr>
          <w:spacing w:val="-9"/>
        </w:rPr>
        <w:t xml:space="preserve"> </w:t>
      </w:r>
      <w:r w:rsidRPr="00AF7228">
        <w:t>collaboration</w:t>
      </w:r>
      <w:r w:rsidRPr="00AF7228">
        <w:rPr>
          <w:spacing w:val="-6"/>
        </w:rPr>
        <w:t xml:space="preserve"> </w:t>
      </w:r>
      <w:r w:rsidRPr="00AF7228">
        <w:t>lead</w:t>
      </w:r>
      <w:r w:rsidRPr="00AF7228">
        <w:rPr>
          <w:spacing w:val="-8"/>
        </w:rPr>
        <w:t xml:space="preserve"> </w:t>
      </w:r>
      <w:r w:rsidRPr="00AF7228">
        <w:t>by</w:t>
      </w:r>
      <w:r w:rsidRPr="00AF7228">
        <w:rPr>
          <w:spacing w:val="-5"/>
        </w:rPr>
        <w:t xml:space="preserve"> </w:t>
      </w:r>
      <w:r w:rsidRPr="00AF7228">
        <w:t>the</w:t>
      </w:r>
      <w:r w:rsidRPr="00AF7228">
        <w:rPr>
          <w:spacing w:val="-8"/>
        </w:rPr>
        <w:t xml:space="preserve"> </w:t>
      </w:r>
      <w:r w:rsidRPr="00AF7228">
        <w:t>University</w:t>
      </w:r>
      <w:r w:rsidRPr="00AF7228">
        <w:rPr>
          <w:spacing w:val="-6"/>
        </w:rPr>
        <w:t xml:space="preserve"> </w:t>
      </w:r>
      <w:r w:rsidRPr="00AF7228">
        <w:t>of</w:t>
      </w:r>
      <w:r w:rsidRPr="00AF7228">
        <w:rPr>
          <w:spacing w:val="-6"/>
        </w:rPr>
        <w:t xml:space="preserve"> </w:t>
      </w:r>
      <w:r w:rsidRPr="00AF7228">
        <w:t>Western</w:t>
      </w:r>
      <w:r w:rsidRPr="00AF7228">
        <w:rPr>
          <w:spacing w:val="-5"/>
        </w:rPr>
        <w:t xml:space="preserve"> </w:t>
      </w:r>
      <w:r w:rsidRPr="00AF7228">
        <w:t>Sydney</w:t>
      </w:r>
      <w:r w:rsidRPr="00AF7228">
        <w:rPr>
          <w:spacing w:val="-7"/>
        </w:rPr>
        <w:t xml:space="preserve"> and Sax Ins</w:t>
      </w:r>
      <w:r w:rsidRPr="00AF7228">
        <w:t>titute, the Brain</w:t>
      </w:r>
      <w:r w:rsidRPr="00AF7228">
        <w:rPr>
          <w:spacing w:val="-4"/>
        </w:rPr>
        <w:t xml:space="preserve"> </w:t>
      </w:r>
      <w:r w:rsidRPr="00AF7228">
        <w:t>and</w:t>
      </w:r>
      <w:r w:rsidRPr="00AF7228">
        <w:rPr>
          <w:spacing w:val="-4"/>
        </w:rPr>
        <w:t xml:space="preserve"> </w:t>
      </w:r>
      <w:r w:rsidRPr="00AF7228">
        <w:t>Mind</w:t>
      </w:r>
      <w:r w:rsidRPr="00AF7228">
        <w:rPr>
          <w:spacing w:val="-3"/>
        </w:rPr>
        <w:t xml:space="preserve"> Centre at the University of Sydney</w:t>
      </w:r>
      <w:r w:rsidRPr="00AF7228">
        <w:rPr>
          <w:spacing w:val="-4"/>
        </w:rPr>
        <w:t xml:space="preserve"> </w:t>
      </w:r>
      <w:r w:rsidRPr="00AF7228">
        <w:t>and</w:t>
      </w:r>
      <w:r w:rsidRPr="00AF7228">
        <w:rPr>
          <w:spacing w:val="-3"/>
        </w:rPr>
        <w:t xml:space="preserve"> </w:t>
      </w:r>
      <w:r w:rsidRPr="00AF7228">
        <w:t>our</w:t>
      </w:r>
      <w:r w:rsidRPr="00AF7228">
        <w:rPr>
          <w:spacing w:val="-5"/>
        </w:rPr>
        <w:t xml:space="preserve"> </w:t>
      </w:r>
      <w:r w:rsidRPr="00AF7228">
        <w:t>service</w:t>
      </w:r>
      <w:r w:rsidRPr="00AF7228">
        <w:rPr>
          <w:spacing w:val="-2"/>
        </w:rPr>
        <w:t xml:space="preserve"> </w:t>
      </w:r>
      <w:r w:rsidRPr="00AF7228">
        <w:t>design</w:t>
      </w:r>
      <w:r w:rsidRPr="00AF7228">
        <w:rPr>
          <w:spacing w:val="-3"/>
        </w:rPr>
        <w:t xml:space="preserve"> </w:t>
      </w:r>
      <w:r w:rsidRPr="00AF7228">
        <w:t>partner</w:t>
      </w:r>
      <w:r w:rsidRPr="00AF7228">
        <w:rPr>
          <w:spacing w:val="-2"/>
        </w:rPr>
        <w:t xml:space="preserve"> </w:t>
      </w:r>
      <w:proofErr w:type="spellStart"/>
      <w:r w:rsidRPr="00AF7228">
        <w:t>Synergia</w:t>
      </w:r>
      <w:proofErr w:type="spellEnd"/>
      <w:r w:rsidRPr="00AF7228">
        <w:rPr>
          <w:spacing w:val="-5"/>
        </w:rPr>
        <w:t xml:space="preserve"> </w:t>
      </w:r>
      <w:r w:rsidRPr="00AF7228">
        <w:t>Consulting</w:t>
      </w:r>
      <w:r w:rsidRPr="00AF7228">
        <w:rPr>
          <w:spacing w:val="-4"/>
        </w:rPr>
        <w:t xml:space="preserve"> </w:t>
      </w:r>
      <w:r w:rsidRPr="00AF7228">
        <w:t>to</w:t>
      </w:r>
      <w:r w:rsidRPr="00AF7228">
        <w:rPr>
          <w:spacing w:val="-3"/>
        </w:rPr>
        <w:t xml:space="preserve"> </w:t>
      </w:r>
      <w:r w:rsidRPr="00AF7228">
        <w:t>develop</w:t>
      </w:r>
      <w:r w:rsidRPr="00AF7228">
        <w:rPr>
          <w:spacing w:val="-4"/>
        </w:rPr>
        <w:t xml:space="preserve"> </w:t>
      </w:r>
      <w:r w:rsidRPr="00AF7228">
        <w:t>a</w:t>
      </w:r>
      <w:r w:rsidRPr="00AF7228">
        <w:rPr>
          <w:spacing w:val="-3"/>
        </w:rPr>
        <w:t xml:space="preserve"> </w:t>
      </w:r>
      <w:r w:rsidRPr="00AF7228">
        <w:t>systems modelling approach to community-based suicide prevention and suicidality attempts. The collaboration has developed a Dynamic Modelling</w:t>
      </w:r>
      <w:r w:rsidRPr="00AF7228">
        <w:rPr>
          <w:rStyle w:val="FootnoteReference"/>
        </w:rPr>
        <w:footnoteReference w:id="25"/>
      </w:r>
      <w:r w:rsidRPr="00AF7228">
        <w:t xml:space="preserve"> approach to suicide prevention that incorporates the Lifespan Model from the Black</w:t>
      </w:r>
      <w:r w:rsidRPr="00AF7228">
        <w:rPr>
          <w:spacing w:val="-5"/>
        </w:rPr>
        <w:t xml:space="preserve"> </w:t>
      </w:r>
      <w:r w:rsidRPr="00AF7228">
        <w:t>Dog</w:t>
      </w:r>
      <w:r w:rsidRPr="00AF7228">
        <w:rPr>
          <w:spacing w:val="-6"/>
        </w:rPr>
        <w:t xml:space="preserve"> </w:t>
      </w:r>
      <w:r w:rsidRPr="00AF7228">
        <w:t xml:space="preserve">Institute. </w:t>
      </w:r>
    </w:p>
    <w:p w14:paraId="5C3E9977" w14:textId="3DA4FA2F" w:rsidR="00BD7169" w:rsidRPr="00AF7228" w:rsidRDefault="00570FDD" w:rsidP="00C36AC7">
      <w:pPr>
        <w:pStyle w:val="BulletPoint"/>
        <w:numPr>
          <w:ilvl w:val="0"/>
          <w:numId w:val="0"/>
        </w:numPr>
        <w:ind w:left="425"/>
        <w:rPr>
          <w:rStyle w:val="BodyTextChar"/>
        </w:rPr>
      </w:pPr>
      <w:r w:rsidRPr="00AF7228">
        <w:t>The PHN will act as a local implementation partner for the research collaborative enabling the systems modelling approach to be tested in real life scenarios and enable our commissioning framework to draw on the evidence of effectiveness and impact for suicide prevention. This will address the current fragmented nature of suicide prevention activities and provide a rigorous approach to commissioning of suicide prevention services.</w:t>
      </w:r>
    </w:p>
    <w:p w14:paraId="68924EC8" w14:textId="6904D93E" w:rsidR="00BD7169" w:rsidRPr="00AF7228" w:rsidRDefault="00BD7169" w:rsidP="00117D83">
      <w:pPr>
        <w:pStyle w:val="Heading1"/>
      </w:pPr>
      <w:bookmarkStart w:id="53" w:name="_Toc6238808"/>
      <w:r w:rsidRPr="00AF7228">
        <w:t>Impact of our Work</w:t>
      </w:r>
      <w:bookmarkEnd w:id="53"/>
    </w:p>
    <w:p w14:paraId="4B203266" w14:textId="3BB65E09" w:rsidR="00C36AC7" w:rsidRPr="00AF7228" w:rsidRDefault="00C36AC7" w:rsidP="00C36AC7">
      <w:pPr>
        <w:pStyle w:val="BodyText"/>
      </w:pPr>
      <w:r w:rsidRPr="00AF7228">
        <w:t>To inform this submission to the Productivity Commission, WentWest undertook a rapid consultation with stakeholders through key informant interviews, focus groups meetings and an online survey. In doing these consultations we wanted to be clear as to what our stakeholders believed:</w:t>
      </w:r>
    </w:p>
    <w:p w14:paraId="6C90E8E7" w14:textId="293D2A84" w:rsidR="00C36AC7" w:rsidRPr="00AF7228" w:rsidRDefault="00994E9B" w:rsidP="00C36AC7">
      <w:pPr>
        <w:pStyle w:val="BulletPoint"/>
      </w:pPr>
      <w:r>
        <w:t>w</w:t>
      </w:r>
      <w:r w:rsidRPr="00AF7228">
        <w:t xml:space="preserve">hat </w:t>
      </w:r>
      <w:r w:rsidR="00C36AC7" w:rsidRPr="00AF7228">
        <w:t xml:space="preserve">has worked well </w:t>
      </w:r>
    </w:p>
    <w:p w14:paraId="58E95919" w14:textId="2A94E4EB" w:rsidR="00C36AC7" w:rsidRPr="00AF7228" w:rsidRDefault="00994E9B" w:rsidP="00C36AC7">
      <w:pPr>
        <w:pStyle w:val="BulletPoint"/>
      </w:pPr>
      <w:r>
        <w:t>w</w:t>
      </w:r>
      <w:r w:rsidRPr="00AF7228">
        <w:t xml:space="preserve">hat </w:t>
      </w:r>
      <w:r w:rsidR="00C36AC7" w:rsidRPr="00AF7228">
        <w:t>has not worked so well</w:t>
      </w:r>
    </w:p>
    <w:p w14:paraId="30A31B4E" w14:textId="2D1ED27B" w:rsidR="00C36AC7" w:rsidRPr="00AF7228" w:rsidRDefault="00994E9B" w:rsidP="00C36AC7">
      <w:pPr>
        <w:pStyle w:val="BulletPoint"/>
      </w:pPr>
      <w:r>
        <w:t>w</w:t>
      </w:r>
      <w:r w:rsidRPr="00AF7228">
        <w:t xml:space="preserve">hat </w:t>
      </w:r>
      <w:r w:rsidR="00C36AC7" w:rsidRPr="00AF7228">
        <w:t>needs to be priorities moving forward and</w:t>
      </w:r>
    </w:p>
    <w:p w14:paraId="56C35A0D" w14:textId="127D7AA0" w:rsidR="00C36AC7" w:rsidRPr="00AF7228" w:rsidRDefault="00994E9B" w:rsidP="00C36AC7">
      <w:pPr>
        <w:pStyle w:val="BulletPoint"/>
      </w:pPr>
      <w:r>
        <w:t>t</w:t>
      </w:r>
      <w:r w:rsidRPr="00AF7228">
        <w:t xml:space="preserve">he </w:t>
      </w:r>
      <w:r w:rsidR="00C36AC7" w:rsidRPr="00AF7228">
        <w:t xml:space="preserve">role that WentWest, and PHNs more generally, can and should play in mental health reform. </w:t>
      </w:r>
    </w:p>
    <w:p w14:paraId="7A0F062C" w14:textId="2275A599" w:rsidR="00C36AC7" w:rsidRDefault="00C36AC7" w:rsidP="00C36AC7">
      <w:pPr>
        <w:pStyle w:val="BodyText"/>
      </w:pPr>
      <w:r w:rsidRPr="00AF7228">
        <w:t xml:space="preserve">The stakeholders consisted of regional and academic partners, state wide agencies such the NSW Mental Health Commission and the peak Mental Health Coordinating Council (the peak community mental health body), commissioned service providers, GPs and other primary care providers, consumers and carers. A total of </w:t>
      </w:r>
      <w:r w:rsidR="005A367F" w:rsidRPr="00AF7228">
        <w:t>59</w:t>
      </w:r>
      <w:r w:rsidRPr="00AF7228">
        <w:t xml:space="preserve"> individuals participated in the consultations held between 19 February and 2</w:t>
      </w:r>
      <w:r w:rsidR="005A367F" w:rsidRPr="00AF7228">
        <w:t>7</w:t>
      </w:r>
      <w:r w:rsidRPr="00AF7228">
        <w:t xml:space="preserve"> March 2019. </w:t>
      </w:r>
    </w:p>
    <w:p w14:paraId="165EA0BF" w14:textId="219ED4E3" w:rsidR="00AB3340" w:rsidRPr="00AF7228" w:rsidRDefault="00AB3340" w:rsidP="00C36AC7">
      <w:pPr>
        <w:pStyle w:val="BodyText"/>
      </w:pPr>
      <w:r w:rsidRPr="00AB3340">
        <w:lastRenderedPageBreak/>
        <w:t>This stakeholder feedback was largely consistent with a number of recent reports on PHNs.</w:t>
      </w:r>
      <w:r w:rsidRPr="00AB3340">
        <w:rPr>
          <w:rStyle w:val="FootnoteReference"/>
        </w:rPr>
        <w:footnoteReference w:id="26"/>
      </w:r>
      <w:r>
        <w:t xml:space="preserve"> </w:t>
      </w:r>
    </w:p>
    <w:p w14:paraId="4FE545B7" w14:textId="77777777" w:rsidR="00BD7169" w:rsidRPr="00AF7228" w:rsidRDefault="00BD7169" w:rsidP="00117D83">
      <w:pPr>
        <w:pStyle w:val="Heading3"/>
      </w:pPr>
      <w:bookmarkStart w:id="54" w:name="_Toc6238809"/>
      <w:r w:rsidRPr="00AF7228">
        <w:t>What’s Worked</w:t>
      </w:r>
      <w:bookmarkEnd w:id="54"/>
    </w:p>
    <w:p w14:paraId="569AA01B" w14:textId="77777777" w:rsidR="00B03DF7" w:rsidRPr="00AF7228" w:rsidRDefault="00B03DF7" w:rsidP="00EB7A13">
      <w:pPr>
        <w:pStyle w:val="BodyText"/>
      </w:pPr>
      <w:r w:rsidRPr="00AF7228">
        <w:t>Stakeholders provided consistent feedback that over the past three years, WentWest had:</w:t>
      </w:r>
    </w:p>
    <w:p w14:paraId="05187AFA" w14:textId="12F5FB4B" w:rsidR="00B03DF7" w:rsidRPr="00AF7228" w:rsidRDefault="00B03DF7" w:rsidP="00B03DF7">
      <w:pPr>
        <w:pStyle w:val="BulletPoint"/>
      </w:pPr>
      <w:r w:rsidRPr="00AD3544">
        <w:rPr>
          <w:b/>
        </w:rPr>
        <w:t>Enhanced regional planning</w:t>
      </w:r>
      <w:r w:rsidRPr="00AF7228">
        <w:t xml:space="preserve"> through its approach and bringing expertise to the processes.</w:t>
      </w:r>
    </w:p>
    <w:p w14:paraId="173280DF" w14:textId="24B534C8" w:rsidR="00B03DF7" w:rsidRPr="00AF7228" w:rsidRDefault="00B03DF7" w:rsidP="00B03DF7">
      <w:pPr>
        <w:pStyle w:val="BulletPoint"/>
      </w:pPr>
      <w:r w:rsidRPr="00AF7228">
        <w:t xml:space="preserve">Established </w:t>
      </w:r>
      <w:r w:rsidRPr="00AD3544">
        <w:rPr>
          <w:b/>
        </w:rPr>
        <w:t>a reputation for working with</w:t>
      </w:r>
      <w:r w:rsidRPr="00AF7228">
        <w:t xml:space="preserve"> a large cross section of organisations and diverse stakeholders in a respectful and mutually beneficial manner. These relationships have gained consensus around service initiatives and increased provision of integrated services. </w:t>
      </w:r>
    </w:p>
    <w:p w14:paraId="4D0219AB" w14:textId="65404432" w:rsidR="00B03DF7" w:rsidRPr="00AF7228" w:rsidRDefault="00AD3544" w:rsidP="00B03DF7">
      <w:pPr>
        <w:pStyle w:val="Quote"/>
        <w:ind w:left="426" w:right="106"/>
        <w:jc w:val="left"/>
        <w:rPr>
          <w:rFonts w:asciiTheme="minorHAnsi" w:hAnsiTheme="minorHAnsi"/>
          <w:sz w:val="21"/>
          <w:szCs w:val="21"/>
        </w:rPr>
      </w:pPr>
      <w:r w:rsidRPr="00AF7228">
        <w:rPr>
          <w:rFonts w:asciiTheme="minorHAnsi" w:hAnsiTheme="minorHAnsi"/>
          <w:sz w:val="21"/>
          <w:szCs w:val="21"/>
        </w:rPr>
        <w:t>WentWest is</w:t>
      </w:r>
      <w:r w:rsidR="00B03DF7" w:rsidRPr="00AF7228">
        <w:rPr>
          <w:rFonts w:asciiTheme="minorHAnsi" w:hAnsiTheme="minorHAnsi"/>
          <w:sz w:val="21"/>
          <w:szCs w:val="21"/>
        </w:rPr>
        <w:t xml:space="preserve"> very embedded in the community, acquired a strong understanding of their community and built on Partners in Recovery linkages</w:t>
      </w:r>
      <w:r w:rsidR="00994E9B">
        <w:rPr>
          <w:rFonts w:asciiTheme="minorHAnsi" w:hAnsiTheme="minorHAnsi"/>
          <w:sz w:val="21"/>
          <w:szCs w:val="21"/>
        </w:rPr>
        <w:t>.</w:t>
      </w:r>
      <w:r w:rsidR="00B03DF7" w:rsidRPr="00AF7228">
        <w:rPr>
          <w:rFonts w:asciiTheme="minorHAnsi" w:hAnsiTheme="minorHAnsi"/>
          <w:sz w:val="21"/>
          <w:szCs w:val="21"/>
        </w:rPr>
        <w:t xml:space="preserve"> (Consumer Advocate) </w:t>
      </w:r>
    </w:p>
    <w:p w14:paraId="56B69DC5" w14:textId="6D8529E6" w:rsidR="00B03DF7" w:rsidRPr="00AF7228" w:rsidRDefault="00B03DF7" w:rsidP="00B03DF7">
      <w:pPr>
        <w:pStyle w:val="Quote"/>
        <w:ind w:left="426" w:right="106"/>
        <w:jc w:val="left"/>
        <w:rPr>
          <w:rFonts w:asciiTheme="minorHAnsi" w:hAnsiTheme="minorHAnsi"/>
          <w:sz w:val="21"/>
          <w:szCs w:val="21"/>
        </w:rPr>
      </w:pPr>
      <w:r w:rsidRPr="00AF7228">
        <w:rPr>
          <w:rFonts w:asciiTheme="minorHAnsi" w:hAnsiTheme="minorHAnsi"/>
          <w:sz w:val="21"/>
          <w:szCs w:val="21"/>
        </w:rPr>
        <w:t>… is very good at consensus building and has achieved consensus around modelling &amp; data approaches</w:t>
      </w:r>
      <w:r w:rsidR="00994E9B">
        <w:rPr>
          <w:rFonts w:asciiTheme="minorHAnsi" w:hAnsiTheme="minorHAnsi"/>
          <w:sz w:val="21"/>
          <w:szCs w:val="21"/>
        </w:rPr>
        <w:t>.</w:t>
      </w:r>
      <w:r w:rsidRPr="00AF7228">
        <w:rPr>
          <w:rFonts w:asciiTheme="minorHAnsi" w:hAnsiTheme="minorHAnsi"/>
          <w:sz w:val="21"/>
          <w:szCs w:val="21"/>
        </w:rPr>
        <w:t xml:space="preserve"> (GP)</w:t>
      </w:r>
    </w:p>
    <w:p w14:paraId="29B06F60" w14:textId="7F692B07" w:rsidR="00BD7169" w:rsidRPr="00AF7228" w:rsidRDefault="00B03DF7" w:rsidP="00B03DF7">
      <w:pPr>
        <w:pStyle w:val="BulletPoint"/>
      </w:pPr>
      <w:r w:rsidRPr="00AD3544">
        <w:rPr>
          <w:b/>
        </w:rPr>
        <w:t>Established effective and ongoing working relationships</w:t>
      </w:r>
      <w:r w:rsidRPr="00AF7228">
        <w:t xml:space="preserve"> with a range of academic institutions. These relationships have better enabled the design and delivery of innovative and evidence based services in the region. </w:t>
      </w:r>
    </w:p>
    <w:p w14:paraId="45C58DEF" w14:textId="3681EC5A" w:rsidR="00B03DF7" w:rsidRPr="00AF7228" w:rsidRDefault="00B03DF7" w:rsidP="00B03DF7">
      <w:pPr>
        <w:pStyle w:val="BulletPoint"/>
      </w:pPr>
      <w:r w:rsidRPr="00AF7228">
        <w:t xml:space="preserve">Demonstrated </w:t>
      </w:r>
      <w:r w:rsidRPr="00AD3544">
        <w:rPr>
          <w:b/>
        </w:rPr>
        <w:t>a strong commitment to establishing</w:t>
      </w:r>
      <w:r w:rsidRPr="00AF7228">
        <w:t xml:space="preserve"> and utilising robust data management systems to improve decision making in relation to service commissioning and service accountability. This use of data is better enabling the provision of proven evidence based services and more effective use of limited funding.</w:t>
      </w:r>
    </w:p>
    <w:p w14:paraId="46E2DC19" w14:textId="43FE38A0" w:rsidR="00B03DF7" w:rsidRPr="00AF7228" w:rsidRDefault="00B03DF7" w:rsidP="00B03DF7">
      <w:pPr>
        <w:pStyle w:val="Quote"/>
        <w:ind w:left="426" w:right="106"/>
        <w:jc w:val="left"/>
        <w:rPr>
          <w:rFonts w:asciiTheme="minorHAnsi" w:hAnsiTheme="minorHAnsi"/>
          <w:sz w:val="21"/>
          <w:szCs w:val="21"/>
        </w:rPr>
      </w:pPr>
      <w:r w:rsidRPr="00AF7228">
        <w:rPr>
          <w:rFonts w:asciiTheme="minorHAnsi" w:hAnsiTheme="minorHAnsi"/>
          <w:sz w:val="21"/>
          <w:szCs w:val="21"/>
        </w:rPr>
        <w:t>WentWest has a strategic approach to the use of data - they are way ahead in terms of sophistication of data systems and analytics. They use health information data and link data from various sources (Centrelink, Medicare, Hospital Admissions) to inform commissioning decisions. (Academic Partner)</w:t>
      </w:r>
    </w:p>
    <w:p w14:paraId="00A49A71" w14:textId="72D5F99B" w:rsidR="00B03DF7" w:rsidRPr="00AF7228" w:rsidRDefault="00B03DF7" w:rsidP="00B03DF7">
      <w:pPr>
        <w:pStyle w:val="Quote"/>
        <w:ind w:left="426" w:right="106"/>
        <w:jc w:val="left"/>
        <w:rPr>
          <w:rFonts w:asciiTheme="minorHAnsi" w:hAnsiTheme="minorHAnsi"/>
          <w:sz w:val="21"/>
          <w:szCs w:val="21"/>
        </w:rPr>
      </w:pPr>
      <w:r w:rsidRPr="00AF7228">
        <w:rPr>
          <w:rFonts w:asciiTheme="minorHAnsi" w:hAnsiTheme="minorHAnsi"/>
          <w:sz w:val="21"/>
          <w:szCs w:val="21"/>
        </w:rPr>
        <w:t>WentWest has had a clear and sustained strategy for data and management systems</w:t>
      </w:r>
      <w:r w:rsidR="00994E9B">
        <w:rPr>
          <w:rFonts w:asciiTheme="minorHAnsi" w:hAnsiTheme="minorHAnsi"/>
          <w:sz w:val="21"/>
          <w:szCs w:val="21"/>
        </w:rPr>
        <w:t>.</w:t>
      </w:r>
      <w:r w:rsidRPr="00AF7228">
        <w:rPr>
          <w:rFonts w:asciiTheme="minorHAnsi" w:hAnsiTheme="minorHAnsi"/>
          <w:sz w:val="21"/>
          <w:szCs w:val="21"/>
        </w:rPr>
        <w:t xml:space="preserve"> (State </w:t>
      </w:r>
      <w:r w:rsidR="00994E9B">
        <w:rPr>
          <w:rFonts w:asciiTheme="minorHAnsi" w:hAnsiTheme="minorHAnsi"/>
          <w:sz w:val="21"/>
          <w:szCs w:val="21"/>
        </w:rPr>
        <w:t>A</w:t>
      </w:r>
      <w:r w:rsidR="00994E9B" w:rsidRPr="00AF7228">
        <w:rPr>
          <w:rFonts w:asciiTheme="minorHAnsi" w:hAnsiTheme="minorHAnsi"/>
          <w:sz w:val="21"/>
          <w:szCs w:val="21"/>
        </w:rPr>
        <w:t>uthority</w:t>
      </w:r>
      <w:r w:rsidRPr="00AF7228">
        <w:rPr>
          <w:rFonts w:asciiTheme="minorHAnsi" w:hAnsiTheme="minorHAnsi"/>
          <w:sz w:val="21"/>
          <w:szCs w:val="21"/>
        </w:rPr>
        <w:t>)</w:t>
      </w:r>
    </w:p>
    <w:p w14:paraId="2B679E61" w14:textId="15D592F7" w:rsidR="00B03DF7" w:rsidRPr="00AF7228" w:rsidRDefault="00B03DF7" w:rsidP="00B03DF7">
      <w:pPr>
        <w:pStyle w:val="BodyText"/>
      </w:pPr>
      <w:r w:rsidRPr="00AF7228">
        <w:t xml:space="preserve">A number of key initiatives were identified by the interviewees as examples of </w:t>
      </w:r>
      <w:proofErr w:type="spellStart"/>
      <w:r w:rsidRPr="00AF7228">
        <w:t>WentWest’s</w:t>
      </w:r>
      <w:proofErr w:type="spellEnd"/>
      <w:r w:rsidRPr="00AF7228">
        <w:t xml:space="preserve"> </w:t>
      </w:r>
      <w:r w:rsidRPr="00AD3544">
        <w:rPr>
          <w:b/>
        </w:rPr>
        <w:t>innovative approach to primary health</w:t>
      </w:r>
      <w:r w:rsidRPr="00AF7228">
        <w:t xml:space="preserve"> and improved mental health service provision. These included:</w:t>
      </w:r>
    </w:p>
    <w:p w14:paraId="4133C747" w14:textId="688AB58B" w:rsidR="00B03DF7" w:rsidRPr="00AF7228" w:rsidRDefault="00B03DF7" w:rsidP="00B03DF7">
      <w:pPr>
        <w:pStyle w:val="BulletPoint"/>
      </w:pPr>
      <w:r w:rsidRPr="00AF7228">
        <w:t>The GP-Psychiatry liaison which now has employs 2 psychiatrists a</w:t>
      </w:r>
      <w:r w:rsidR="00AF7228" w:rsidRPr="00AF7228">
        <w:t>cross a region with few private practice psychiatrists</w:t>
      </w:r>
      <w:r w:rsidR="00994E9B">
        <w:t>.</w:t>
      </w:r>
    </w:p>
    <w:p w14:paraId="7A70D90A" w14:textId="2C638D15" w:rsidR="00B03DF7" w:rsidRPr="00AF7228" w:rsidRDefault="00B03DF7" w:rsidP="00B03DF7">
      <w:pPr>
        <w:pStyle w:val="BulletPoint"/>
      </w:pPr>
      <w:r w:rsidRPr="00AF7228">
        <w:t>The increased focus on infant and child issues</w:t>
      </w:r>
      <w:r w:rsidR="00994E9B">
        <w:t>.</w:t>
      </w:r>
      <w:r w:rsidRPr="00AF7228">
        <w:t xml:space="preserve"> </w:t>
      </w:r>
    </w:p>
    <w:p w14:paraId="56434433" w14:textId="77777777" w:rsidR="00B03DF7" w:rsidRPr="00AF7228" w:rsidRDefault="00B03DF7" w:rsidP="00B03DF7">
      <w:pPr>
        <w:pStyle w:val="BulletPoint"/>
      </w:pPr>
      <w:r w:rsidRPr="00AF7228">
        <w:t>The tiered response to people with an intellectual disability and health issues.</w:t>
      </w:r>
    </w:p>
    <w:p w14:paraId="21630097" w14:textId="02283493" w:rsidR="00B03DF7" w:rsidRPr="00AF7228" w:rsidRDefault="00B03DF7" w:rsidP="00B03DF7">
      <w:pPr>
        <w:pStyle w:val="BulletPoint"/>
      </w:pPr>
      <w:r w:rsidRPr="00AF7228">
        <w:t>The GP Leaders Forum which includes the LHD to share ideas, build networks and collaborate</w:t>
      </w:r>
      <w:r w:rsidR="00994E9B">
        <w:t>.</w:t>
      </w:r>
    </w:p>
    <w:p w14:paraId="6D9C4432" w14:textId="6D58D65E" w:rsidR="00B03DF7" w:rsidRPr="00AF7228" w:rsidRDefault="00B03DF7" w:rsidP="00B03DF7">
      <w:pPr>
        <w:pStyle w:val="BulletPoint"/>
      </w:pPr>
      <w:r w:rsidRPr="00AF7228">
        <w:t>The leadership program and US study tour to build health leadership and expertise in the region.</w:t>
      </w:r>
    </w:p>
    <w:p w14:paraId="7049FA06" w14:textId="595FE42A" w:rsidR="00B03DF7" w:rsidRPr="00AF7228" w:rsidRDefault="00B03DF7" w:rsidP="00B03DF7">
      <w:pPr>
        <w:pStyle w:val="BodyText"/>
      </w:pPr>
      <w:r w:rsidRPr="00AF7228">
        <w:t xml:space="preserve">A key factor identified by interviewees in </w:t>
      </w:r>
      <w:proofErr w:type="spellStart"/>
      <w:r w:rsidRPr="00AF7228">
        <w:t>WentWest’s</w:t>
      </w:r>
      <w:proofErr w:type="spellEnd"/>
      <w:r w:rsidRPr="00AF7228">
        <w:t xml:space="preserve"> achievements have been strong and engaged leadership team with a clear strategic focus and expertise in health care systems. This, along with minimal turnover in the initial years have resulted in:</w:t>
      </w:r>
    </w:p>
    <w:p w14:paraId="6109B0BD" w14:textId="5B75ABFD" w:rsidR="00B03DF7" w:rsidRPr="00AF7228" w:rsidRDefault="00B03DF7" w:rsidP="00B03DF7">
      <w:pPr>
        <w:pStyle w:val="BulletPoint"/>
      </w:pPr>
      <w:r w:rsidRPr="00AF7228">
        <w:t>Implementation of visionary thinking – thus moving from ideas to practice</w:t>
      </w:r>
      <w:r w:rsidR="00994E9B">
        <w:t>.</w:t>
      </w:r>
    </w:p>
    <w:p w14:paraId="4BCE268A" w14:textId="4C53F8C8" w:rsidR="00B03DF7" w:rsidRPr="00AF7228" w:rsidRDefault="00B03DF7" w:rsidP="00B03DF7">
      <w:pPr>
        <w:pStyle w:val="BulletPoint"/>
      </w:pPr>
      <w:r w:rsidRPr="00AF7228">
        <w:lastRenderedPageBreak/>
        <w:t>Streamlined and effective internal WentWest operations and cohesive internal culture, including strong internal and clinical governance arrangements and a strong focus on continuous improvement</w:t>
      </w:r>
      <w:r w:rsidR="00994E9B">
        <w:t>.</w:t>
      </w:r>
    </w:p>
    <w:p w14:paraId="3EA95AD8" w14:textId="77777777" w:rsidR="00B03DF7" w:rsidRPr="00AF7228" w:rsidRDefault="00B03DF7" w:rsidP="00B03DF7">
      <w:pPr>
        <w:pStyle w:val="BulletPoint"/>
      </w:pPr>
      <w:r w:rsidRPr="00AF7228">
        <w:t xml:space="preserve">Continuity of external service provision and relationship building with service providers, community groups and stakeholders. </w:t>
      </w:r>
    </w:p>
    <w:p w14:paraId="480B27E0" w14:textId="0394530A" w:rsidR="00B03DF7" w:rsidRPr="00AF7228" w:rsidRDefault="00B03DF7" w:rsidP="00B03DF7">
      <w:pPr>
        <w:pStyle w:val="Quote"/>
        <w:ind w:left="426" w:right="106"/>
        <w:jc w:val="left"/>
        <w:rPr>
          <w:rFonts w:asciiTheme="minorHAnsi" w:hAnsiTheme="minorHAnsi"/>
          <w:sz w:val="21"/>
          <w:szCs w:val="21"/>
        </w:rPr>
      </w:pPr>
      <w:r w:rsidRPr="00AF7228">
        <w:rPr>
          <w:rFonts w:asciiTheme="minorHAnsi" w:hAnsiTheme="minorHAnsi"/>
          <w:sz w:val="21"/>
          <w:szCs w:val="21"/>
        </w:rPr>
        <w:t>WentWest has demonstrated clear leadership. While operating in a complex system they have demonstrated clear direction and knowledge and expertise in health services. They demonstrate transparency in their use and availability of data. (Academic Partner)</w:t>
      </w:r>
    </w:p>
    <w:p w14:paraId="6F059503" w14:textId="35C980F2" w:rsidR="00B03DF7" w:rsidRPr="00AF7228" w:rsidRDefault="00B03DF7" w:rsidP="00B03DF7">
      <w:pPr>
        <w:pStyle w:val="Quote"/>
        <w:ind w:left="426" w:right="106"/>
        <w:jc w:val="left"/>
        <w:rPr>
          <w:rFonts w:asciiTheme="minorHAnsi" w:hAnsiTheme="minorHAnsi"/>
          <w:sz w:val="21"/>
          <w:szCs w:val="21"/>
        </w:rPr>
      </w:pPr>
      <w:r w:rsidRPr="00AF7228">
        <w:rPr>
          <w:rFonts w:asciiTheme="minorHAnsi" w:hAnsiTheme="minorHAnsi"/>
          <w:sz w:val="21"/>
          <w:szCs w:val="21"/>
        </w:rPr>
        <w:t xml:space="preserve">WentWest has laid the foundations for what is ultimately required and adopted a systems approach to decision making. (Academic Partner) </w:t>
      </w:r>
    </w:p>
    <w:p w14:paraId="2AC0396C" w14:textId="708E3CF6" w:rsidR="00B03DF7" w:rsidRPr="00AF7228" w:rsidRDefault="00B03DF7" w:rsidP="00B03DF7">
      <w:pPr>
        <w:pStyle w:val="BodyText"/>
      </w:pPr>
      <w:r w:rsidRPr="00AF7228">
        <w:t xml:space="preserve">That </w:t>
      </w:r>
      <w:r w:rsidRPr="00AD3544">
        <w:rPr>
          <w:b/>
        </w:rPr>
        <w:t>leadership and the capacity to partner</w:t>
      </w:r>
      <w:r w:rsidRPr="00AF7228">
        <w:t xml:space="preserve"> and engage with other organisations was seen as contributing to the development of other organisations involved in western Sydney. Improved capability in </w:t>
      </w:r>
      <w:r w:rsidR="00EB7A13" w:rsidRPr="00EB7A13">
        <w:t>service delivery</w:t>
      </w:r>
      <w:r w:rsidRPr="00AF7228">
        <w:t xml:space="preserve">, the </w:t>
      </w:r>
      <w:r w:rsidR="00EB7A13" w:rsidRPr="00EB7A13">
        <w:t>quality of care/services</w:t>
      </w:r>
      <w:r w:rsidRPr="00AF7228">
        <w:t>,</w:t>
      </w:r>
      <w:r w:rsidR="00EB7A13" w:rsidRPr="00EB7A13">
        <w:t xml:space="preserve"> business plan</w:t>
      </w:r>
      <w:r w:rsidRPr="00AF7228">
        <w:t>ning,</w:t>
      </w:r>
      <w:r w:rsidR="00EB7A13" w:rsidRPr="00EB7A13">
        <w:t xml:space="preserve"> leadership</w:t>
      </w:r>
      <w:r w:rsidRPr="00AF7228">
        <w:t xml:space="preserve"> and w</w:t>
      </w:r>
      <w:r w:rsidR="00EB7A13" w:rsidRPr="00EB7A13">
        <w:t>orkforce capacity</w:t>
      </w:r>
      <w:r w:rsidRPr="00AF7228">
        <w:t xml:space="preserve"> and capability was reported by stakeholders.</w:t>
      </w:r>
    </w:p>
    <w:p w14:paraId="70AD6CF2" w14:textId="20263921" w:rsidR="00BD7169" w:rsidRPr="00AF7228" w:rsidRDefault="00BD7169" w:rsidP="00117D83">
      <w:pPr>
        <w:pStyle w:val="Heading3"/>
      </w:pPr>
      <w:bookmarkStart w:id="55" w:name="_Toc6238810"/>
      <w:r w:rsidRPr="00AF7228">
        <w:t xml:space="preserve">What’s </w:t>
      </w:r>
      <w:r w:rsidR="00994E9B">
        <w:t>N</w:t>
      </w:r>
      <w:r w:rsidR="00994E9B" w:rsidRPr="00AF7228">
        <w:t xml:space="preserve">ot </w:t>
      </w:r>
      <w:r w:rsidR="00994E9B">
        <w:t>W</w:t>
      </w:r>
      <w:r w:rsidRPr="00AF7228">
        <w:t>orked</w:t>
      </w:r>
      <w:bookmarkEnd w:id="55"/>
    </w:p>
    <w:p w14:paraId="48396D29" w14:textId="54697A8D" w:rsidR="00BD7169" w:rsidRPr="00AF7228" w:rsidRDefault="00AF7228" w:rsidP="00EB7A13">
      <w:pPr>
        <w:pStyle w:val="BodyText"/>
      </w:pPr>
      <w:r w:rsidRPr="00AF7228">
        <w:t xml:space="preserve">While stakeholder feedback indicated a need to continue to improve communication and engagement in planning and commissioning, the feedback overwhelming pointed to </w:t>
      </w:r>
      <w:r w:rsidRPr="00AD3544">
        <w:rPr>
          <w:b/>
        </w:rPr>
        <w:t>constraints</w:t>
      </w:r>
      <w:r w:rsidRPr="00AF7228">
        <w:t xml:space="preserve"> in the operating environment of WentWest and PHNs generally. A lot of feedback related to the mental health sector and the challenges organisations like PHNs confront.</w:t>
      </w:r>
    </w:p>
    <w:p w14:paraId="663E54C0" w14:textId="7D3D37F7" w:rsidR="00AF7228" w:rsidRPr="00AF7228" w:rsidRDefault="00AF7228" w:rsidP="00AF7228">
      <w:pPr>
        <w:pStyle w:val="Heading5"/>
      </w:pPr>
      <w:r w:rsidRPr="00AF7228">
        <w:t>The Mental Health Sector</w:t>
      </w:r>
    </w:p>
    <w:p w14:paraId="00463547" w14:textId="77777777" w:rsidR="00AF7228" w:rsidRPr="00AF7228" w:rsidRDefault="00AF7228" w:rsidP="00AF7228">
      <w:pPr>
        <w:pStyle w:val="BodyText"/>
      </w:pPr>
      <w:r w:rsidRPr="00AF7228">
        <w:t xml:space="preserve">The mental health sector in Australia was described by some interviewees as one that is </w:t>
      </w:r>
      <w:r w:rsidRPr="00AD3544">
        <w:rPr>
          <w:b/>
        </w:rPr>
        <w:t>highly competitive, reactionary and dominated</w:t>
      </w:r>
      <w:r w:rsidRPr="00AF7228">
        <w:t xml:space="preserve"> by very strong personalities and personal agendas at the expense of collaboration, sound policy and effective service delivery. Some interviewees shared that:</w:t>
      </w:r>
    </w:p>
    <w:p w14:paraId="20768B02" w14:textId="1932EA7D" w:rsidR="00AF7228" w:rsidRPr="00AF7228" w:rsidRDefault="00AF7228" w:rsidP="00B303FA">
      <w:pPr>
        <w:pStyle w:val="Quote"/>
        <w:ind w:left="0" w:right="106"/>
        <w:jc w:val="left"/>
        <w:rPr>
          <w:rFonts w:asciiTheme="minorHAnsi" w:hAnsiTheme="minorHAnsi"/>
          <w:sz w:val="21"/>
          <w:szCs w:val="21"/>
        </w:rPr>
      </w:pPr>
      <w:r w:rsidRPr="00AF7228">
        <w:rPr>
          <w:rFonts w:asciiTheme="minorHAnsi" w:hAnsiTheme="minorHAnsi"/>
          <w:sz w:val="21"/>
          <w:szCs w:val="21"/>
        </w:rPr>
        <w:t xml:space="preserve"> … the history of mental health in Australia is one of a cycle of reaction. It is a deeply divided sector that can be described as a “Game of Mates”. (Academic partner)</w:t>
      </w:r>
    </w:p>
    <w:p w14:paraId="7EBF97A0" w14:textId="6F1243D5" w:rsidR="00AF7228" w:rsidRPr="00AF7228" w:rsidRDefault="00994E9B" w:rsidP="00B303FA">
      <w:pPr>
        <w:pStyle w:val="Quote"/>
        <w:ind w:left="0" w:right="106"/>
        <w:jc w:val="left"/>
        <w:rPr>
          <w:rFonts w:asciiTheme="minorHAnsi" w:hAnsiTheme="minorHAnsi"/>
          <w:sz w:val="21"/>
          <w:szCs w:val="21"/>
        </w:rPr>
      </w:pPr>
      <w:r>
        <w:rPr>
          <w:rFonts w:asciiTheme="minorHAnsi" w:hAnsiTheme="minorHAnsi"/>
          <w:sz w:val="21"/>
          <w:szCs w:val="21"/>
        </w:rPr>
        <w:t>S</w:t>
      </w:r>
      <w:r w:rsidRPr="00AF7228">
        <w:rPr>
          <w:rFonts w:asciiTheme="minorHAnsi" w:hAnsiTheme="minorHAnsi"/>
          <w:sz w:val="21"/>
          <w:szCs w:val="21"/>
        </w:rPr>
        <w:t xml:space="preserve">ome </w:t>
      </w:r>
      <w:r w:rsidR="00AF7228" w:rsidRPr="00AF7228">
        <w:rPr>
          <w:rFonts w:asciiTheme="minorHAnsi" w:hAnsiTheme="minorHAnsi"/>
          <w:sz w:val="21"/>
          <w:szCs w:val="21"/>
        </w:rPr>
        <w:t>prominent members of the mental health sector demonstrate almost pathological behaviours to protect/colonise and then expand their areas of activity. (Academic partner)</w:t>
      </w:r>
    </w:p>
    <w:p w14:paraId="1728E3CB" w14:textId="1C85A1EF" w:rsidR="00AF7228" w:rsidRPr="00AF7228" w:rsidRDefault="00AF7228" w:rsidP="00B303FA">
      <w:pPr>
        <w:pStyle w:val="Quote"/>
        <w:ind w:left="0" w:right="106"/>
        <w:jc w:val="left"/>
        <w:rPr>
          <w:rFonts w:asciiTheme="minorHAnsi" w:hAnsiTheme="minorHAnsi"/>
          <w:sz w:val="21"/>
          <w:szCs w:val="21"/>
        </w:rPr>
      </w:pPr>
      <w:r w:rsidRPr="00AF7228">
        <w:rPr>
          <w:rFonts w:asciiTheme="minorHAnsi" w:hAnsiTheme="minorHAnsi"/>
          <w:sz w:val="21"/>
          <w:szCs w:val="21"/>
        </w:rPr>
        <w:t>The mental health sector has many people with strong personalities, who often never agree, and they carve out a territory and fight for that rather than reform. (GP)</w:t>
      </w:r>
    </w:p>
    <w:p w14:paraId="1B24E4BA" w14:textId="107B44D4" w:rsidR="00AF7228" w:rsidRPr="00AB3340" w:rsidRDefault="00AF7228" w:rsidP="00AF7228">
      <w:pPr>
        <w:pStyle w:val="BodyText"/>
      </w:pPr>
      <w:r w:rsidRPr="00AB3340">
        <w:t>It was also reported that culture is one of the biggest obstacles to improved mental health services.</w:t>
      </w:r>
    </w:p>
    <w:p w14:paraId="71677D5F" w14:textId="36813A0B" w:rsidR="00AF7228" w:rsidRPr="00AB3340" w:rsidRDefault="00AF7228" w:rsidP="00B303FA">
      <w:pPr>
        <w:pStyle w:val="Quote"/>
        <w:ind w:left="0" w:right="106"/>
        <w:jc w:val="left"/>
        <w:rPr>
          <w:rFonts w:asciiTheme="minorHAnsi" w:hAnsiTheme="minorHAnsi"/>
          <w:sz w:val="21"/>
          <w:szCs w:val="21"/>
        </w:rPr>
      </w:pPr>
      <w:r w:rsidRPr="00AB3340">
        <w:rPr>
          <w:rFonts w:asciiTheme="minorHAnsi" w:hAnsiTheme="minorHAnsi"/>
          <w:sz w:val="21"/>
          <w:szCs w:val="21"/>
        </w:rPr>
        <w:t xml:space="preserve">… </w:t>
      </w:r>
      <w:proofErr w:type="gramStart"/>
      <w:r w:rsidRPr="00AB3340">
        <w:rPr>
          <w:rFonts w:asciiTheme="minorHAnsi" w:hAnsiTheme="minorHAnsi"/>
          <w:sz w:val="21"/>
          <w:szCs w:val="21"/>
        </w:rPr>
        <w:t>hospitals</w:t>
      </w:r>
      <w:proofErr w:type="gramEnd"/>
      <w:r w:rsidRPr="00AB3340">
        <w:rPr>
          <w:rFonts w:asciiTheme="minorHAnsi" w:hAnsiTheme="minorHAnsi"/>
          <w:sz w:val="21"/>
          <w:szCs w:val="21"/>
        </w:rPr>
        <w:t xml:space="preserve"> are focused on themselves, individual practitioners are focused on themselves and their own aspects of care, rather than working as united care teams. (GP)</w:t>
      </w:r>
    </w:p>
    <w:p w14:paraId="2A41A27E" w14:textId="1E32F130" w:rsidR="00AF7228" w:rsidRPr="00AB3340" w:rsidRDefault="00AF7228" w:rsidP="00AF7228">
      <w:pPr>
        <w:pStyle w:val="BodyText"/>
      </w:pPr>
      <w:r w:rsidRPr="00AB3340">
        <w:t xml:space="preserve">Focus group participants also reported that difficulties were caused as a result of PHNs and LHDs having </w:t>
      </w:r>
      <w:r w:rsidRPr="00AD3544">
        <w:rPr>
          <w:b/>
        </w:rPr>
        <w:t>different geographical boundaries</w:t>
      </w:r>
      <w:r w:rsidRPr="00AB3340">
        <w:t>. This was one of the issues the Horvath Review identified as a problem with the previous Medicare Local structure but the new PHN boundaries in many areas simply changed them again without achieving alignment.</w:t>
      </w:r>
    </w:p>
    <w:p w14:paraId="330394B7" w14:textId="1BC9A96E" w:rsidR="00AF7228" w:rsidRPr="00AB3340" w:rsidRDefault="00AF7228" w:rsidP="00AF7228">
      <w:pPr>
        <w:pStyle w:val="BodyText"/>
      </w:pPr>
      <w:r w:rsidRPr="00AB3340">
        <w:t xml:space="preserve">Further reported difficulties related to the strong </w:t>
      </w:r>
      <w:r w:rsidRPr="00AD3544">
        <w:rPr>
          <w:b/>
        </w:rPr>
        <w:t>hospital centric</w:t>
      </w:r>
      <w:r w:rsidRPr="00AB3340">
        <w:t xml:space="preserve"> nature of Local Health Districts (LHDs). LHDs also have very different timelines, policies and processes to PHNs which makes collaboration more difficult. One interviewee shared that the:</w:t>
      </w:r>
    </w:p>
    <w:p w14:paraId="2B6CFB43" w14:textId="30C2BD54" w:rsidR="00AF7228" w:rsidRPr="00AB3340" w:rsidRDefault="00AF7228" w:rsidP="00B303FA">
      <w:pPr>
        <w:pStyle w:val="Quote"/>
        <w:ind w:left="0" w:right="106"/>
        <w:jc w:val="left"/>
        <w:rPr>
          <w:rFonts w:asciiTheme="minorHAnsi" w:hAnsiTheme="minorHAnsi"/>
          <w:sz w:val="21"/>
          <w:szCs w:val="21"/>
        </w:rPr>
      </w:pPr>
      <w:r w:rsidRPr="00AB3340">
        <w:rPr>
          <w:rFonts w:asciiTheme="minorHAnsi" w:hAnsiTheme="minorHAnsi"/>
          <w:sz w:val="21"/>
          <w:szCs w:val="21"/>
        </w:rPr>
        <w:t>LHD Mental Health unit is the biggest laggard when it comes to care coordination. They are very poor at communication. Nothing. (GP)</w:t>
      </w:r>
    </w:p>
    <w:p w14:paraId="0EEFF775" w14:textId="187D8265" w:rsidR="00AF7228" w:rsidRPr="00AF7228" w:rsidRDefault="00AF7228" w:rsidP="00AF7228">
      <w:pPr>
        <w:pStyle w:val="BodyText"/>
      </w:pPr>
      <w:r w:rsidRPr="00AB3340">
        <w:t xml:space="preserve">A number of concerns were shared about </w:t>
      </w:r>
      <w:r w:rsidRPr="00AD3544">
        <w:rPr>
          <w:b/>
        </w:rPr>
        <w:t>collaboration with headspace</w:t>
      </w:r>
      <w:r w:rsidRPr="00AB3340">
        <w:t xml:space="preserve">, </w:t>
      </w:r>
      <w:r w:rsidR="00540AAE" w:rsidRPr="00AB3340">
        <w:t>reflected in this comment</w:t>
      </w:r>
      <w:r w:rsidRPr="00AB3340">
        <w:t>:</w:t>
      </w:r>
    </w:p>
    <w:p w14:paraId="26F50D3C" w14:textId="5249A9B4" w:rsidR="00AF7228" w:rsidRPr="00AF7228" w:rsidRDefault="00994E9B" w:rsidP="00AF7228">
      <w:pPr>
        <w:pStyle w:val="Quote"/>
        <w:ind w:left="426" w:right="106"/>
        <w:jc w:val="left"/>
        <w:rPr>
          <w:rFonts w:asciiTheme="minorHAnsi" w:hAnsiTheme="minorHAnsi"/>
          <w:sz w:val="21"/>
          <w:szCs w:val="21"/>
        </w:rPr>
      </w:pPr>
      <w:r>
        <w:rPr>
          <w:rFonts w:asciiTheme="minorHAnsi" w:hAnsiTheme="minorHAnsi"/>
          <w:sz w:val="21"/>
          <w:szCs w:val="21"/>
        </w:rPr>
        <w:lastRenderedPageBreak/>
        <w:t>h</w:t>
      </w:r>
      <w:r w:rsidRPr="00AF7228">
        <w:rPr>
          <w:rFonts w:asciiTheme="minorHAnsi" w:hAnsiTheme="minorHAnsi"/>
          <w:sz w:val="21"/>
          <w:szCs w:val="21"/>
        </w:rPr>
        <w:t xml:space="preserve">eadspace </w:t>
      </w:r>
      <w:r w:rsidR="00AF7228" w:rsidRPr="00AF7228">
        <w:rPr>
          <w:rFonts w:asciiTheme="minorHAnsi" w:hAnsiTheme="minorHAnsi"/>
          <w:sz w:val="21"/>
          <w:szCs w:val="21"/>
        </w:rPr>
        <w:t xml:space="preserve">is a “black hole”. I refer a client and that is the end of the story. I never hear anything again. </w:t>
      </w:r>
      <w:r>
        <w:rPr>
          <w:rFonts w:asciiTheme="minorHAnsi" w:hAnsiTheme="minorHAnsi"/>
          <w:sz w:val="21"/>
          <w:szCs w:val="21"/>
        </w:rPr>
        <w:t>h</w:t>
      </w:r>
      <w:r w:rsidRPr="00AF7228">
        <w:rPr>
          <w:rFonts w:asciiTheme="minorHAnsi" w:hAnsiTheme="minorHAnsi"/>
          <w:sz w:val="21"/>
          <w:szCs w:val="21"/>
        </w:rPr>
        <w:t xml:space="preserve">eadspace </w:t>
      </w:r>
      <w:r w:rsidR="00AF7228" w:rsidRPr="00AF7228">
        <w:rPr>
          <w:rFonts w:asciiTheme="minorHAnsi" w:hAnsiTheme="minorHAnsi"/>
          <w:sz w:val="21"/>
          <w:szCs w:val="21"/>
        </w:rPr>
        <w:t>is fragmenting care further. This is the view of providers in this region and in my role as an Executive representative of … (</w:t>
      </w:r>
      <w:proofErr w:type="gramStart"/>
      <w:r w:rsidR="00AF7228" w:rsidRPr="00AF7228">
        <w:rPr>
          <w:rFonts w:asciiTheme="minorHAnsi" w:hAnsiTheme="minorHAnsi"/>
          <w:sz w:val="21"/>
          <w:szCs w:val="21"/>
        </w:rPr>
        <w:t>organisation’s</w:t>
      </w:r>
      <w:proofErr w:type="gramEnd"/>
      <w:r w:rsidR="00AF7228" w:rsidRPr="00AF7228">
        <w:rPr>
          <w:rFonts w:asciiTheme="minorHAnsi" w:hAnsiTheme="minorHAnsi"/>
          <w:sz w:val="21"/>
          <w:szCs w:val="21"/>
        </w:rPr>
        <w:t xml:space="preserve"> named removed). </w:t>
      </w:r>
      <w:r w:rsidR="00AD3544">
        <w:rPr>
          <w:rFonts w:asciiTheme="minorHAnsi" w:hAnsiTheme="minorHAnsi"/>
          <w:sz w:val="21"/>
          <w:szCs w:val="21"/>
        </w:rPr>
        <w:t>(GP)</w:t>
      </w:r>
    </w:p>
    <w:p w14:paraId="43B3F91D" w14:textId="6AC9456D" w:rsidR="00AF7228" w:rsidRPr="00AF7228" w:rsidRDefault="00AF7228" w:rsidP="00AF7228">
      <w:pPr>
        <w:pStyle w:val="BodyText"/>
      </w:pPr>
      <w:r w:rsidRPr="00AF7228">
        <w:t>Feedback</w:t>
      </w:r>
      <w:r w:rsidRPr="00AF7228">
        <w:rPr>
          <w:b/>
        </w:rPr>
        <w:t xml:space="preserve"> </w:t>
      </w:r>
      <w:r w:rsidRPr="00AF7228">
        <w:t xml:space="preserve">about the approach to suicide prevention demonstrated concern over the lack of focus on the causes of poor mental health, especially the </w:t>
      </w:r>
      <w:r w:rsidRPr="00AD3544">
        <w:rPr>
          <w:b/>
        </w:rPr>
        <w:t>social determinants</w:t>
      </w:r>
      <w:r w:rsidRPr="00AF7228">
        <w:t xml:space="preserve">, which is evident by too much focus on treatment rather than prevention. </w:t>
      </w:r>
    </w:p>
    <w:p w14:paraId="225432BA" w14:textId="6E013013" w:rsidR="00AF7228" w:rsidRPr="00AF7228" w:rsidRDefault="00AF7228" w:rsidP="00AF7228">
      <w:pPr>
        <w:pStyle w:val="Quote"/>
        <w:ind w:left="426" w:right="106"/>
        <w:jc w:val="left"/>
        <w:rPr>
          <w:rFonts w:asciiTheme="minorHAnsi" w:hAnsiTheme="minorHAnsi"/>
          <w:sz w:val="21"/>
          <w:szCs w:val="21"/>
        </w:rPr>
      </w:pPr>
      <w:r w:rsidRPr="00AF7228">
        <w:rPr>
          <w:rFonts w:asciiTheme="minorHAnsi" w:hAnsiTheme="minorHAnsi"/>
          <w:sz w:val="21"/>
          <w:szCs w:val="21"/>
        </w:rPr>
        <w:t xml:space="preserve">The government is wasting time and money trying to solve suicide and </w:t>
      </w:r>
      <w:proofErr w:type="spellStart"/>
      <w:r w:rsidRPr="00AF7228">
        <w:rPr>
          <w:rFonts w:asciiTheme="minorHAnsi" w:hAnsiTheme="minorHAnsi"/>
          <w:sz w:val="21"/>
          <w:szCs w:val="21"/>
        </w:rPr>
        <w:t>self harm</w:t>
      </w:r>
      <w:proofErr w:type="spellEnd"/>
      <w:r w:rsidRPr="00AF7228">
        <w:rPr>
          <w:rFonts w:asciiTheme="minorHAnsi" w:hAnsiTheme="minorHAnsi"/>
          <w:sz w:val="21"/>
          <w:szCs w:val="21"/>
        </w:rPr>
        <w:t xml:space="preserve"> without addressing the social and economic drivers and the market failure of Medicare. It’s like “p…. on a bushfire” and expecting the situation to improve. (GP)</w:t>
      </w:r>
    </w:p>
    <w:p w14:paraId="38F6C8FA" w14:textId="41518478" w:rsidR="00AF7228" w:rsidRPr="00AF7228" w:rsidRDefault="00AF7228" w:rsidP="00AF7228">
      <w:pPr>
        <w:pStyle w:val="Heading5"/>
      </w:pPr>
      <w:r w:rsidRPr="00AF7228">
        <w:t xml:space="preserve">Impact of Department of Health </w:t>
      </w:r>
    </w:p>
    <w:p w14:paraId="21E504A2" w14:textId="46795D22" w:rsidR="00AF7228" w:rsidRPr="00AF7228" w:rsidRDefault="00AF7228" w:rsidP="00AF7228">
      <w:pPr>
        <w:pStyle w:val="BulletPoint"/>
      </w:pPr>
      <w:r w:rsidRPr="00AF7228">
        <w:t xml:space="preserve">In relation to the work undertaken by PHNs and in particular their operating framework, some interviewees reported </w:t>
      </w:r>
      <w:r w:rsidRPr="00AD3544">
        <w:rPr>
          <w:b/>
        </w:rPr>
        <w:t>unrealistic expectations and workloads</w:t>
      </w:r>
      <w:r w:rsidRPr="00AF7228">
        <w:t xml:space="preserve"> dictated by DoH, </w:t>
      </w:r>
      <w:r w:rsidRPr="00AD3544">
        <w:rPr>
          <w:b/>
        </w:rPr>
        <w:t>perplexing funding decisions</w:t>
      </w:r>
      <w:r w:rsidRPr="00AF7228">
        <w:t xml:space="preserve"> and a perception that in many ways </w:t>
      </w:r>
      <w:proofErr w:type="spellStart"/>
      <w:r w:rsidRPr="00AD3544">
        <w:rPr>
          <w:b/>
        </w:rPr>
        <w:t>DoH’s</w:t>
      </w:r>
      <w:proofErr w:type="spellEnd"/>
      <w:r w:rsidRPr="00AD3544">
        <w:rPr>
          <w:b/>
        </w:rPr>
        <w:t xml:space="preserve"> approach was reactive and disruptive </w:t>
      </w:r>
      <w:r w:rsidRPr="00AF7228">
        <w:t xml:space="preserve">to PHNs daily operations. Funding guidelines which were deemed to restrict service and were ineffective in those locations where there was a limited range of capable providers. </w:t>
      </w:r>
      <w:r w:rsidRPr="00AD3544">
        <w:rPr>
          <w:b/>
        </w:rPr>
        <w:t>Access to data</w:t>
      </w:r>
      <w:r w:rsidRPr="00AF7228">
        <w:t xml:space="preserve"> was also identified as a constraint.</w:t>
      </w:r>
    </w:p>
    <w:p w14:paraId="69EF834E" w14:textId="77777777" w:rsidR="00AF7228" w:rsidRPr="00AF7228" w:rsidRDefault="00AF7228" w:rsidP="00AF7228">
      <w:pPr>
        <w:pStyle w:val="Quote"/>
        <w:ind w:left="426" w:right="106"/>
        <w:jc w:val="left"/>
        <w:rPr>
          <w:rFonts w:asciiTheme="minorHAnsi" w:hAnsiTheme="minorHAnsi"/>
          <w:sz w:val="21"/>
          <w:szCs w:val="21"/>
        </w:rPr>
      </w:pPr>
      <w:r w:rsidRPr="00AF7228">
        <w:rPr>
          <w:rFonts w:asciiTheme="minorHAnsi" w:hAnsiTheme="minorHAnsi"/>
          <w:sz w:val="21"/>
          <w:szCs w:val="21"/>
        </w:rPr>
        <w:t>The guidance, workload and timeframes issued by DoH are consistently unrealistic. Their (DoH) decisions relating to distribution of trial sites and funding allocations and feedback, service monitoring and roll out of key learnings are unclear.</w:t>
      </w:r>
    </w:p>
    <w:p w14:paraId="248D39FA" w14:textId="77777777" w:rsidR="00AF7228" w:rsidRPr="00AF7228" w:rsidRDefault="00AF7228" w:rsidP="00AF7228">
      <w:pPr>
        <w:pStyle w:val="Quote"/>
        <w:ind w:left="426" w:right="106"/>
        <w:jc w:val="left"/>
        <w:rPr>
          <w:rFonts w:asciiTheme="minorHAnsi" w:hAnsiTheme="minorHAnsi"/>
          <w:sz w:val="21"/>
          <w:szCs w:val="21"/>
        </w:rPr>
      </w:pPr>
      <w:r w:rsidRPr="00AF7228">
        <w:rPr>
          <w:rFonts w:asciiTheme="minorHAnsi" w:hAnsiTheme="minorHAnsi"/>
          <w:sz w:val="21"/>
          <w:szCs w:val="21"/>
        </w:rPr>
        <w:t>PHNs are expected to be agile and responsive to community needs but Ministerial announcements are often way ahead of action stage.</w:t>
      </w:r>
    </w:p>
    <w:p w14:paraId="70BFBC03" w14:textId="6F00450A" w:rsidR="00AF7228" w:rsidRPr="00AF7228" w:rsidRDefault="00AF7228" w:rsidP="00AF7228">
      <w:pPr>
        <w:pStyle w:val="Quote"/>
        <w:ind w:left="426" w:right="106"/>
        <w:jc w:val="left"/>
        <w:rPr>
          <w:rFonts w:asciiTheme="minorHAnsi" w:hAnsiTheme="minorHAnsi"/>
          <w:sz w:val="21"/>
          <w:szCs w:val="21"/>
        </w:rPr>
      </w:pPr>
      <w:r w:rsidRPr="00AF7228">
        <w:rPr>
          <w:rFonts w:asciiTheme="minorHAnsi" w:hAnsiTheme="minorHAnsi"/>
          <w:sz w:val="21"/>
          <w:szCs w:val="21"/>
        </w:rPr>
        <w:t xml:space="preserve">The growing interference and limitations on scope of responsibility </w:t>
      </w:r>
      <w:r w:rsidR="00994E9B">
        <w:rPr>
          <w:rFonts w:asciiTheme="minorHAnsi" w:hAnsiTheme="minorHAnsi"/>
          <w:sz w:val="21"/>
          <w:szCs w:val="21"/>
        </w:rPr>
        <w:t>and</w:t>
      </w:r>
      <w:r w:rsidR="00994E9B" w:rsidRPr="00AF7228">
        <w:rPr>
          <w:rFonts w:asciiTheme="minorHAnsi" w:hAnsiTheme="minorHAnsi"/>
          <w:sz w:val="21"/>
          <w:szCs w:val="21"/>
        </w:rPr>
        <w:t xml:space="preserve"> </w:t>
      </w:r>
      <w:r w:rsidRPr="00AF7228">
        <w:rPr>
          <w:rFonts w:asciiTheme="minorHAnsi" w:hAnsiTheme="minorHAnsi"/>
          <w:sz w:val="21"/>
          <w:szCs w:val="21"/>
        </w:rPr>
        <w:t xml:space="preserve">flexibility in funding decisions has negatively impacted service provision. </w:t>
      </w:r>
    </w:p>
    <w:p w14:paraId="45FBF6A6" w14:textId="78658AFD" w:rsidR="00AF7228" w:rsidRPr="00AF7228" w:rsidRDefault="00AF7228" w:rsidP="00AF7228">
      <w:pPr>
        <w:pStyle w:val="Quote"/>
        <w:ind w:left="426" w:right="106"/>
        <w:jc w:val="left"/>
        <w:rPr>
          <w:rFonts w:asciiTheme="minorHAnsi" w:hAnsiTheme="minorHAnsi"/>
          <w:sz w:val="21"/>
          <w:szCs w:val="21"/>
        </w:rPr>
      </w:pPr>
      <w:r w:rsidRPr="00AF7228">
        <w:rPr>
          <w:rFonts w:asciiTheme="minorHAnsi" w:hAnsiTheme="minorHAnsi"/>
          <w:sz w:val="21"/>
          <w:szCs w:val="21"/>
        </w:rPr>
        <w:t>Access to data remains an impediment for WentWest and PHNs generally. Too many providers have a vested interest in withholding access to data.</w:t>
      </w:r>
    </w:p>
    <w:p w14:paraId="130BB2A9" w14:textId="27FD4AAA" w:rsidR="00AF7228" w:rsidRPr="00AF7228" w:rsidRDefault="00AF7228" w:rsidP="00AF7228">
      <w:pPr>
        <w:pStyle w:val="Quote"/>
        <w:ind w:left="426" w:right="106"/>
        <w:jc w:val="left"/>
        <w:rPr>
          <w:rFonts w:asciiTheme="minorHAnsi" w:hAnsiTheme="minorHAnsi"/>
          <w:sz w:val="21"/>
          <w:szCs w:val="21"/>
        </w:rPr>
      </w:pPr>
      <w:r w:rsidRPr="00AF7228">
        <w:rPr>
          <w:rFonts w:asciiTheme="minorHAnsi" w:hAnsiTheme="minorHAnsi"/>
          <w:sz w:val="21"/>
          <w:szCs w:val="21"/>
        </w:rPr>
        <w:t xml:space="preserve">The Feds needs to work out what is centralised and standardised and what is local and regional. </w:t>
      </w:r>
    </w:p>
    <w:p w14:paraId="42D1AEEC" w14:textId="77777777" w:rsidR="00AF7228" w:rsidRPr="00AF7228" w:rsidRDefault="00AF7228" w:rsidP="00AF7228">
      <w:pPr>
        <w:pStyle w:val="Quote"/>
        <w:ind w:left="426" w:right="106"/>
        <w:jc w:val="left"/>
        <w:rPr>
          <w:rFonts w:asciiTheme="minorHAnsi" w:hAnsiTheme="minorHAnsi"/>
          <w:sz w:val="21"/>
          <w:szCs w:val="21"/>
        </w:rPr>
      </w:pPr>
      <w:r w:rsidRPr="00AF7228">
        <w:rPr>
          <w:rFonts w:asciiTheme="minorHAnsi" w:hAnsiTheme="minorHAnsi"/>
          <w:sz w:val="21"/>
          <w:szCs w:val="21"/>
        </w:rPr>
        <w:t>Treating all PHNs equally is not helpful. The Commonwealth needs to take a risk assessment approach and provide more assertive support to those PHNs that are not operating effectively.</w:t>
      </w:r>
    </w:p>
    <w:p w14:paraId="767D6705" w14:textId="00142CE3" w:rsidR="00AF7228" w:rsidRPr="00AF7228" w:rsidRDefault="00AF7228" w:rsidP="00AF7228">
      <w:pPr>
        <w:pStyle w:val="Heading5"/>
      </w:pPr>
      <w:r w:rsidRPr="00AF7228">
        <w:t>Other Constraints Identified</w:t>
      </w:r>
    </w:p>
    <w:p w14:paraId="3A474DCF" w14:textId="16989449" w:rsidR="00AF7228" w:rsidRPr="00AF7228" w:rsidRDefault="00AF7228" w:rsidP="00AF7228">
      <w:pPr>
        <w:pStyle w:val="BulletPoint"/>
      </w:pPr>
      <w:r w:rsidRPr="00AF7228">
        <w:rPr>
          <w:b/>
        </w:rPr>
        <w:t xml:space="preserve">Infrastructure </w:t>
      </w:r>
      <w:r w:rsidRPr="00AF7228">
        <w:t xml:space="preserve">- the lack of consistency across PHNs in relation to information technology, industrial relations, human resources, financial systems has resulted in significant establishment costs, inconsistencies and wasted effort. </w:t>
      </w:r>
    </w:p>
    <w:p w14:paraId="52B999A0" w14:textId="04281154" w:rsidR="00AF7228" w:rsidRPr="00AF7228" w:rsidRDefault="00AF7228" w:rsidP="00AF7228">
      <w:pPr>
        <w:pStyle w:val="BulletPoint"/>
      </w:pPr>
      <w:r w:rsidRPr="00AF7228">
        <w:rPr>
          <w:b/>
        </w:rPr>
        <w:t>Western Sydney</w:t>
      </w:r>
      <w:r w:rsidRPr="00AF7228">
        <w:t xml:space="preserve">’s geographical, social and service profile - Western Sydney was specifically described as a geographical area in which its residents experienced difficulty accessing care due to availability of services and capacity to pay for services. </w:t>
      </w:r>
    </w:p>
    <w:p w14:paraId="3547781A" w14:textId="0EC48509" w:rsidR="00AF7228" w:rsidRPr="00AF7228" w:rsidRDefault="00AF7228" w:rsidP="00AF7228">
      <w:pPr>
        <w:pStyle w:val="Quote"/>
        <w:ind w:left="426" w:right="106"/>
        <w:jc w:val="left"/>
      </w:pPr>
      <w:r w:rsidRPr="00AF7228">
        <w:rPr>
          <w:rFonts w:asciiTheme="minorHAnsi" w:hAnsiTheme="minorHAnsi"/>
          <w:sz w:val="21"/>
          <w:szCs w:val="21"/>
        </w:rPr>
        <w:t>Western Sydney represents the heart of the problems experienced when it comes to accessing health care services. There is lots of diversity amongst community members, lots of people, poor infrastructure, poor services generally and while there are high needs, service availability is low and capability to access due to service location and cost is also low. (</w:t>
      </w:r>
      <w:r w:rsidR="00AD3544">
        <w:rPr>
          <w:rFonts w:asciiTheme="minorHAnsi" w:hAnsiTheme="minorHAnsi"/>
          <w:sz w:val="21"/>
          <w:szCs w:val="21"/>
        </w:rPr>
        <w:t>Academic partner</w:t>
      </w:r>
      <w:r w:rsidRPr="00AF7228">
        <w:rPr>
          <w:rFonts w:asciiTheme="minorHAnsi" w:hAnsiTheme="minorHAnsi"/>
          <w:sz w:val="21"/>
          <w:szCs w:val="21"/>
        </w:rPr>
        <w:t>)</w:t>
      </w:r>
    </w:p>
    <w:p w14:paraId="7F9A871D" w14:textId="613F19B9" w:rsidR="00AF7228" w:rsidRPr="00AF7228" w:rsidRDefault="00AF7228" w:rsidP="00AF7228">
      <w:pPr>
        <w:pStyle w:val="BulletPoint"/>
      </w:pPr>
      <w:r w:rsidRPr="00AF7228">
        <w:rPr>
          <w:b/>
        </w:rPr>
        <w:t>NGOs collaboration</w:t>
      </w:r>
      <w:r w:rsidRPr="00AF7228">
        <w:t xml:space="preserve"> with PHNs - the working relationships between NGOs and PHNs was also described as difficult with large national NGOs viewing 31 PHNs as too small and small local NGOs being seen by PHNs as too small. </w:t>
      </w:r>
    </w:p>
    <w:p w14:paraId="24C5C582" w14:textId="77777777" w:rsidR="00AD3544" w:rsidRDefault="00AD3544" w:rsidP="00117D83">
      <w:pPr>
        <w:pStyle w:val="Heading3"/>
      </w:pPr>
    </w:p>
    <w:p w14:paraId="5E1D9170" w14:textId="1D641D53" w:rsidR="00BD7169" w:rsidRPr="00AF7228" w:rsidRDefault="00AF7228" w:rsidP="00117D83">
      <w:pPr>
        <w:pStyle w:val="Heading3"/>
        <w:rPr>
          <w:sz w:val="22"/>
        </w:rPr>
      </w:pPr>
      <w:bookmarkStart w:id="56" w:name="_Toc6238811"/>
      <w:r w:rsidRPr="00AF7228">
        <w:lastRenderedPageBreak/>
        <w:t>Future Focus and Priorities</w:t>
      </w:r>
      <w:bookmarkEnd w:id="56"/>
    </w:p>
    <w:p w14:paraId="2494D698" w14:textId="0A09E222" w:rsidR="00AF7228" w:rsidRPr="00AF7228" w:rsidRDefault="00AF7228" w:rsidP="00AF7228">
      <w:pPr>
        <w:pStyle w:val="BodyText"/>
      </w:pPr>
      <w:r w:rsidRPr="00AF7228">
        <w:t xml:space="preserve">Stakeholders were asked about the </w:t>
      </w:r>
      <w:r w:rsidRPr="00AD3544">
        <w:rPr>
          <w:b/>
        </w:rPr>
        <w:t>priorities for WentWest</w:t>
      </w:r>
      <w:r w:rsidRPr="00AF7228">
        <w:t xml:space="preserve"> and the region in relation to mental health needs and the role that WentWest and PHNs in general can play in reform. The following issues were identified as actions that will further consolidate and extend the positive impact of WentWest on mental health provision and broader PHN issues.</w:t>
      </w:r>
    </w:p>
    <w:p w14:paraId="7CF93E89" w14:textId="77777777" w:rsidR="00AF7228" w:rsidRPr="00AF7228" w:rsidRDefault="00AF7228" w:rsidP="00AF7228">
      <w:pPr>
        <w:pStyle w:val="Heading4"/>
      </w:pPr>
      <w:r w:rsidRPr="00AF7228">
        <w:t>WentWest Specific</w:t>
      </w:r>
    </w:p>
    <w:p w14:paraId="549FBE1A" w14:textId="75F8A16A" w:rsidR="00AF7228" w:rsidRPr="00AF7228" w:rsidRDefault="00AF7228" w:rsidP="00AF7228">
      <w:pPr>
        <w:pStyle w:val="BulletPoint"/>
      </w:pPr>
      <w:r w:rsidRPr="00AF7228">
        <w:rPr>
          <w:b/>
        </w:rPr>
        <w:t xml:space="preserve">Patient Centred Health </w:t>
      </w:r>
      <w:r w:rsidR="00AD3544" w:rsidRPr="00AF7228">
        <w:rPr>
          <w:b/>
        </w:rPr>
        <w:t xml:space="preserve">Home </w:t>
      </w:r>
      <w:r w:rsidR="00AD3544" w:rsidRPr="00AF7228">
        <w:t>–</w:t>
      </w:r>
      <w:r w:rsidRPr="00AF7228">
        <w:t xml:space="preserve"> the program is only operating in less than 1 in </w:t>
      </w:r>
      <w:r w:rsidR="00AD3544" w:rsidRPr="00AF7228">
        <w:t>10 General</w:t>
      </w:r>
      <w:r w:rsidRPr="00AF7228">
        <w:t xml:space="preserve"> Practices in the region. </w:t>
      </w:r>
      <w:r w:rsidR="00AD3544" w:rsidRPr="00AF7228">
        <w:t>This program needs to cover the network of 300 General Practices.</w:t>
      </w:r>
    </w:p>
    <w:p w14:paraId="131C06F3" w14:textId="2C4A0CA8" w:rsidR="00AF7228" w:rsidRPr="00AF7228" w:rsidRDefault="00AF7228" w:rsidP="00AF7228">
      <w:pPr>
        <w:pStyle w:val="BulletPoint"/>
      </w:pPr>
      <w:r w:rsidRPr="00AF7228">
        <w:rPr>
          <w:b/>
        </w:rPr>
        <w:t xml:space="preserve">Local Community Expert </w:t>
      </w:r>
      <w:r w:rsidRPr="00AF7228">
        <w:t>– WentWest cannot become simply a commissioning body. Use your knowledge about local needs and expertise to better advocate government for the range of interventions that will best meet the local communities’ needs. In so doing, WentWest will become an advisory body for the local population.</w:t>
      </w:r>
    </w:p>
    <w:p w14:paraId="74EE580E" w14:textId="721C5944" w:rsidR="00AF7228" w:rsidRPr="00AF7228" w:rsidRDefault="00AF7228" w:rsidP="00AF7228">
      <w:pPr>
        <w:pStyle w:val="BulletPoint"/>
      </w:pPr>
      <w:r w:rsidRPr="00AF7228">
        <w:rPr>
          <w:b/>
        </w:rPr>
        <w:t>Workforce Development</w:t>
      </w:r>
      <w:r w:rsidRPr="00AF7228">
        <w:t xml:space="preserve"> - Continue to educate GPs on available services, medications and pathways to care</w:t>
      </w:r>
    </w:p>
    <w:p w14:paraId="18687808" w14:textId="55FC24EF" w:rsidR="00AF7228" w:rsidRPr="00AF7228" w:rsidRDefault="00AF7228" w:rsidP="00AF7228">
      <w:pPr>
        <w:pStyle w:val="BulletPoint"/>
      </w:pPr>
      <w:r w:rsidRPr="00AF7228">
        <w:rPr>
          <w:b/>
        </w:rPr>
        <w:t>Dual Diagnosis Services</w:t>
      </w:r>
      <w:r w:rsidRPr="00AF7228">
        <w:t xml:space="preserve"> - Increase funding for AOD services and expand the provision of dual diagnosis services in the region, in particular provision of day care programs</w:t>
      </w:r>
    </w:p>
    <w:p w14:paraId="563455DF" w14:textId="1AE7E8D0" w:rsidR="00AF7228" w:rsidRPr="00AF7228" w:rsidRDefault="00AF7228" w:rsidP="00AF7228">
      <w:pPr>
        <w:pStyle w:val="BulletPoint"/>
      </w:pPr>
      <w:r w:rsidRPr="00AF7228">
        <w:rPr>
          <w:b/>
        </w:rPr>
        <w:t>Co Planning with the LHD</w:t>
      </w:r>
      <w:r w:rsidRPr="00AF7228">
        <w:t xml:space="preserve"> - Encourage the LHD to commit to the recommendations included in the Integrated Atlas</w:t>
      </w:r>
    </w:p>
    <w:p w14:paraId="3B51C3FE" w14:textId="5299E1A2" w:rsidR="00AF7228" w:rsidRPr="00AF7228" w:rsidRDefault="00AF7228" w:rsidP="00AF7228">
      <w:pPr>
        <w:pStyle w:val="BulletPoint"/>
      </w:pPr>
      <w:r w:rsidRPr="00AF7228">
        <w:rPr>
          <w:b/>
        </w:rPr>
        <w:t>Service Access</w:t>
      </w:r>
      <w:r w:rsidRPr="00AF7228">
        <w:t xml:space="preserve"> - Develop “one stop shops” that will facilitate streamlined and improved access to care, alternatives to Hospital Admission, and increase the availability of alternatives to hospital services that can meet the needs of people experiencing a crisis situation.</w:t>
      </w:r>
    </w:p>
    <w:p w14:paraId="4AD8BAD1" w14:textId="77777777" w:rsidR="00AF7228" w:rsidRPr="00AF7228" w:rsidRDefault="00AF7228" w:rsidP="00AF7228">
      <w:pPr>
        <w:pStyle w:val="Heading4"/>
      </w:pPr>
      <w:r w:rsidRPr="00AF7228">
        <w:t>PHNs in General</w:t>
      </w:r>
    </w:p>
    <w:p w14:paraId="7783D211" w14:textId="77777777" w:rsidR="00AF7228" w:rsidRPr="00AF7228" w:rsidRDefault="00AF7228" w:rsidP="00AF7228">
      <w:pPr>
        <w:pStyle w:val="BodyText"/>
      </w:pPr>
      <w:r w:rsidRPr="00AF7228">
        <w:t xml:space="preserve">A range of issues were identified to </w:t>
      </w:r>
      <w:r w:rsidRPr="00AD3544">
        <w:rPr>
          <w:b/>
        </w:rPr>
        <w:t>improve the effectiveness</w:t>
      </w:r>
      <w:r w:rsidRPr="00AF7228">
        <w:t xml:space="preserve"> </w:t>
      </w:r>
      <w:r w:rsidRPr="00AD3544">
        <w:rPr>
          <w:b/>
        </w:rPr>
        <w:t>of PHNs</w:t>
      </w:r>
      <w:r w:rsidRPr="00AF7228">
        <w:t xml:space="preserve"> generally. These included:</w:t>
      </w:r>
    </w:p>
    <w:p w14:paraId="15245836" w14:textId="77777777" w:rsidR="00AF7228" w:rsidRPr="00AF7228" w:rsidRDefault="00AF7228" w:rsidP="00AF7228">
      <w:pPr>
        <w:pStyle w:val="BulletPoint"/>
      </w:pPr>
      <w:r w:rsidRPr="00AD3544">
        <w:rPr>
          <w:b/>
        </w:rPr>
        <w:t>Greater transparency</w:t>
      </w:r>
      <w:r w:rsidRPr="00AF7228">
        <w:t xml:space="preserve"> in relation to funding decisions by DoH and PHNs</w:t>
      </w:r>
    </w:p>
    <w:p w14:paraId="2E58D740" w14:textId="77777777" w:rsidR="00AF7228" w:rsidRPr="00AF7228" w:rsidRDefault="00AF7228" w:rsidP="00AF7228">
      <w:pPr>
        <w:pStyle w:val="BulletPoint"/>
      </w:pPr>
      <w:r w:rsidRPr="00AF7228">
        <w:t xml:space="preserve">Promote </w:t>
      </w:r>
      <w:r w:rsidRPr="00AD3544">
        <w:rPr>
          <w:b/>
        </w:rPr>
        <w:t>pooled funding/co-commissioning</w:t>
      </w:r>
      <w:r w:rsidRPr="00AF7228">
        <w:t xml:space="preserve"> to strengthen service collaboration and minimise duplication of service provisions</w:t>
      </w:r>
    </w:p>
    <w:p w14:paraId="21467E9B" w14:textId="71094266" w:rsidR="00AF7228" w:rsidRPr="00AF7228" w:rsidRDefault="00AF7228" w:rsidP="00AF7228">
      <w:pPr>
        <w:pStyle w:val="BulletPoint"/>
      </w:pPr>
      <w:r w:rsidRPr="00AF7228">
        <w:t xml:space="preserve">Increased capacity to </w:t>
      </w:r>
      <w:r w:rsidRPr="00AD3544">
        <w:rPr>
          <w:b/>
        </w:rPr>
        <w:t>attract and retain</w:t>
      </w:r>
      <w:r w:rsidRPr="00AF7228">
        <w:t xml:space="preserve"> suitably skilled and experience</w:t>
      </w:r>
      <w:r w:rsidR="00994E9B">
        <w:t>d</w:t>
      </w:r>
      <w:r w:rsidRPr="00AF7228">
        <w:t xml:space="preserve"> staff </w:t>
      </w:r>
    </w:p>
    <w:p w14:paraId="7A4C119C" w14:textId="30B1CCBA" w:rsidR="00AF7228" w:rsidRPr="00AF7228" w:rsidRDefault="00AF7228" w:rsidP="00AF7228">
      <w:pPr>
        <w:pStyle w:val="BulletPoint"/>
      </w:pPr>
      <w:r w:rsidRPr="00AF7228">
        <w:t xml:space="preserve">Increased investment in and </w:t>
      </w:r>
      <w:r w:rsidRPr="00AD3544">
        <w:rPr>
          <w:b/>
        </w:rPr>
        <w:t>improved data systems</w:t>
      </w:r>
      <w:r w:rsidRPr="00AF7228">
        <w:t xml:space="preserve"> to ensure decisions are better informed by and evidence with an increased focus on outcomes rather inputs and greater knowledge about the effectiveness of local services. The development and use of more relational data systems to analyse the interconnectedness between different initiatives was also identified.</w:t>
      </w:r>
    </w:p>
    <w:p w14:paraId="534C8B8D" w14:textId="2A9B062D" w:rsidR="00AF7228" w:rsidRPr="00AF7228" w:rsidRDefault="00AF7228" w:rsidP="00AF7228">
      <w:pPr>
        <w:pStyle w:val="BulletPoint"/>
      </w:pPr>
      <w:r w:rsidRPr="00AF7228">
        <w:t xml:space="preserve">Increased focus on integration of government services and more local responsibility for service provision decisions, described as </w:t>
      </w:r>
      <w:r w:rsidRPr="00AD3544">
        <w:rPr>
          <w:b/>
        </w:rPr>
        <w:t>“integrated decentralisation”</w:t>
      </w:r>
      <w:r w:rsidRPr="00AF7228">
        <w:t>. This included mental health services such as headspace.</w:t>
      </w:r>
    </w:p>
    <w:p w14:paraId="3A92800E" w14:textId="3B54FDC4" w:rsidR="00AF7228" w:rsidRPr="00AF7228" w:rsidRDefault="00AF7228" w:rsidP="00AF7228">
      <w:pPr>
        <w:pStyle w:val="BulletPoint"/>
      </w:pPr>
      <w:r w:rsidRPr="00AF7228">
        <w:t xml:space="preserve">Broader and increased </w:t>
      </w:r>
      <w:r w:rsidRPr="00AD3544">
        <w:rPr>
          <w:b/>
        </w:rPr>
        <w:t>academic partnerships</w:t>
      </w:r>
      <w:r w:rsidRPr="00AF7228">
        <w:t xml:space="preserve"> to support PHNs to be abreast of best practice</w:t>
      </w:r>
    </w:p>
    <w:p w14:paraId="529311DF" w14:textId="6B7ECB05" w:rsidR="00AF7228" w:rsidRPr="00AF7228" w:rsidRDefault="00AF7228" w:rsidP="00AF7228">
      <w:pPr>
        <w:pStyle w:val="BulletPoint"/>
      </w:pPr>
      <w:r w:rsidRPr="00AF7228">
        <w:t xml:space="preserve">Increased use of the </w:t>
      </w:r>
      <w:r w:rsidRPr="00AD3544">
        <w:rPr>
          <w:b/>
        </w:rPr>
        <w:t>5</w:t>
      </w:r>
      <w:r w:rsidRPr="00AD3544">
        <w:rPr>
          <w:b/>
          <w:vertAlign w:val="superscript"/>
        </w:rPr>
        <w:t>th</w:t>
      </w:r>
      <w:r w:rsidRPr="00AD3544">
        <w:rPr>
          <w:b/>
        </w:rPr>
        <w:t xml:space="preserve"> Mental Health Plan</w:t>
      </w:r>
      <w:r w:rsidRPr="00AF7228">
        <w:t xml:space="preserve"> to provide clarity around the role of PHNs</w:t>
      </w:r>
    </w:p>
    <w:p w14:paraId="7A3F634B" w14:textId="2349DDE3" w:rsidR="00AF7228" w:rsidRPr="00AF7228" w:rsidRDefault="00AF7228" w:rsidP="00AF7228">
      <w:pPr>
        <w:pStyle w:val="BulletPoint"/>
      </w:pPr>
      <w:r w:rsidRPr="00AD3544">
        <w:rPr>
          <w:b/>
        </w:rPr>
        <w:t>Extend the focus of PHNs</w:t>
      </w:r>
      <w:r w:rsidRPr="00AF7228">
        <w:t xml:space="preserve"> from individuals to families and communities</w:t>
      </w:r>
    </w:p>
    <w:p w14:paraId="257633B3" w14:textId="22501F4B" w:rsidR="00AF7228" w:rsidRPr="00AF7228" w:rsidRDefault="00AF7228" w:rsidP="00AF7228">
      <w:pPr>
        <w:pStyle w:val="BulletPoint"/>
      </w:pPr>
      <w:r w:rsidRPr="00AF7228">
        <w:t xml:space="preserve">An </w:t>
      </w:r>
      <w:r w:rsidRPr="00AD3544">
        <w:rPr>
          <w:b/>
        </w:rPr>
        <w:t>increased focus on integrated primary care</w:t>
      </w:r>
      <w:r w:rsidRPr="00AF7228">
        <w:t xml:space="preserve"> through 1) a continued expansion of the medical home model, 2) improve pathways between non mental health and mental health services so that individuals are better able to have their holistic wellbeing needs better met, particularly for those </w:t>
      </w:r>
      <w:r w:rsidRPr="00AF7228">
        <w:lastRenderedPageBreak/>
        <w:t>with co-morbid chronic conditions 3) innovations like the GP-Psychiatry liaison model, 4) improved collaboration between headspace, GPs and other service providers for young people</w:t>
      </w:r>
    </w:p>
    <w:p w14:paraId="42AA2BED" w14:textId="5BF0072D" w:rsidR="00AF7228" w:rsidRPr="00AF7228" w:rsidRDefault="00AF7228" w:rsidP="00AF7228">
      <w:pPr>
        <w:pStyle w:val="BulletPoint"/>
      </w:pPr>
      <w:r w:rsidRPr="00AF7228">
        <w:t xml:space="preserve">More </w:t>
      </w:r>
      <w:r w:rsidRPr="00AD3544">
        <w:rPr>
          <w:b/>
        </w:rPr>
        <w:t>broad community health initiatives</w:t>
      </w:r>
      <w:r w:rsidRPr="00AF7228">
        <w:t xml:space="preserve"> that facilitate happiness and positive mental health focussing on what matters to each community, rather than broad brush national projects.</w:t>
      </w:r>
    </w:p>
    <w:p w14:paraId="1563EB08" w14:textId="1675C1D1" w:rsidR="00AF7228" w:rsidRPr="00AF7228" w:rsidRDefault="00AF7228" w:rsidP="00AF7228">
      <w:pPr>
        <w:pStyle w:val="Quotes"/>
        <w:rPr>
          <w:rFonts w:asciiTheme="minorHAnsi" w:hAnsiTheme="minorHAnsi"/>
          <w:iCs/>
          <w:color w:val="404040" w:themeColor="text1" w:themeTint="BF"/>
          <w:sz w:val="21"/>
          <w:szCs w:val="21"/>
        </w:rPr>
      </w:pPr>
      <w:r w:rsidRPr="00AF7228">
        <w:rPr>
          <w:rFonts w:asciiTheme="minorHAnsi" w:hAnsiTheme="minorHAnsi"/>
          <w:iCs/>
          <w:color w:val="404040" w:themeColor="text1" w:themeTint="BF"/>
          <w:sz w:val="21"/>
          <w:szCs w:val="21"/>
        </w:rPr>
        <w:t>Functioning communities are the foundation of good mental health. (GP)</w:t>
      </w:r>
    </w:p>
    <w:p w14:paraId="4AAE715C" w14:textId="411555A7" w:rsidR="00AF7228" w:rsidRPr="00AF7228" w:rsidRDefault="00AF7228" w:rsidP="00AF7228">
      <w:pPr>
        <w:pStyle w:val="BodyText"/>
      </w:pPr>
      <w:r w:rsidRPr="00AD3544">
        <w:rPr>
          <w:b/>
        </w:rPr>
        <w:t>Increase funding and resource allocation</w:t>
      </w:r>
      <w:r w:rsidRPr="00AF7228">
        <w:t xml:space="preserve"> to PHNs was a consistent theme in stakeholder feedback. This included increased funding allocation to prevention and early intervention initiatives, greater focus on and provision of funding for child mental health services, increase access to direct referrals to psychologists, and increased resources allocated to research service availability across the PHNs rather than the current focus on population research, as this would better enable the provision of services tailored to the unique context of each community.</w:t>
      </w:r>
    </w:p>
    <w:p w14:paraId="46980F63" w14:textId="12DBA806" w:rsidR="00AF7228" w:rsidRPr="00AF7228" w:rsidRDefault="00AF7228" w:rsidP="00AF7228">
      <w:pPr>
        <w:pStyle w:val="BodyText"/>
      </w:pPr>
      <w:r w:rsidRPr="00AF7228">
        <w:t>A number of issues were raised by stakeholders in relation to the Department of Health and the PHN program (these are specific actions not evident in the earlier discussion):</w:t>
      </w:r>
    </w:p>
    <w:p w14:paraId="21477F24" w14:textId="412D86F8" w:rsidR="00AF7228" w:rsidRPr="00AF7228" w:rsidRDefault="00AF7228" w:rsidP="00AF7228">
      <w:pPr>
        <w:pStyle w:val="BulletPoint"/>
      </w:pPr>
      <w:r w:rsidRPr="00AF7228">
        <w:t>DoH undertaking an analysis and impact assessment of the 31 PHNs to identify those PHNs performing well, those in need of support, and that identified best practice is shared with all PHNs.</w:t>
      </w:r>
    </w:p>
    <w:p w14:paraId="4EE54AB0" w14:textId="28A9BB2B" w:rsidR="00AF7228" w:rsidRPr="00AF7228" w:rsidRDefault="00AF7228" w:rsidP="00AF7228">
      <w:pPr>
        <w:pStyle w:val="BulletPoint"/>
      </w:pPr>
      <w:r w:rsidRPr="00AF7228">
        <w:t xml:space="preserve">DoH, or another entity, providing </w:t>
      </w:r>
      <w:r w:rsidRPr="00AD3544">
        <w:rPr>
          <w:b/>
        </w:rPr>
        <w:t>“backbone” support</w:t>
      </w:r>
      <w:r w:rsidRPr="00AF7228">
        <w:t xml:space="preserve"> for PHNs to enable better sharing of ideas and clear </w:t>
      </w:r>
      <w:r w:rsidR="00AD3544" w:rsidRPr="00AF7228">
        <w:t>direction around</w:t>
      </w:r>
      <w:r w:rsidRPr="00AF7228">
        <w:t xml:space="preserve"> what operations are centralised versus decentralised. </w:t>
      </w:r>
    </w:p>
    <w:p w14:paraId="5C79CA0B" w14:textId="12AC2506" w:rsidR="00AB3340" w:rsidRDefault="00AF7228" w:rsidP="00AB3340">
      <w:pPr>
        <w:pStyle w:val="BulletPoint"/>
      </w:pPr>
      <w:r w:rsidRPr="00AF7228">
        <w:t xml:space="preserve">DoH providing increased support to those PHNs that are underperforming and ensure that funding parameters are broad enough to allow PHNs the flexibility to tailor service provision to the unique needs of their communities. </w:t>
      </w:r>
      <w:r w:rsidR="00AB3340">
        <w:br w:type="page"/>
      </w:r>
    </w:p>
    <w:p w14:paraId="413099AA" w14:textId="77777777" w:rsidR="00713158" w:rsidRPr="00AF7228" w:rsidRDefault="00713158" w:rsidP="00AB3340">
      <w:pPr>
        <w:pStyle w:val="BulletPoint"/>
        <w:numPr>
          <w:ilvl w:val="0"/>
          <w:numId w:val="0"/>
        </w:numPr>
      </w:pPr>
    </w:p>
    <w:p w14:paraId="366ABB99" w14:textId="77777777" w:rsidR="00AB6C5C" w:rsidRPr="00AF7228" w:rsidRDefault="00AB6C5C"/>
    <w:p w14:paraId="25B9D81E" w14:textId="5B2EDD1E" w:rsidR="00C03F61" w:rsidRPr="00AF7228" w:rsidRDefault="00C03F61">
      <w:pPr>
        <w:spacing w:before="0" w:after="0"/>
      </w:pPr>
    </w:p>
    <w:p w14:paraId="62C72B4C" w14:textId="5B0D3BBE" w:rsidR="00CA638D" w:rsidRPr="00AF7228" w:rsidRDefault="00B2371A" w:rsidP="00712A8B">
      <w:pPr>
        <w:spacing w:line="260" w:lineRule="exact"/>
        <w:jc w:val="both"/>
      </w:pPr>
      <w:r w:rsidRPr="00AF7228">
        <w:t xml:space="preserve"> </w:t>
      </w:r>
    </w:p>
    <w:p w14:paraId="206134E3" w14:textId="79D37ED2" w:rsidR="003376B3" w:rsidRPr="00AF7228" w:rsidRDefault="003376B3" w:rsidP="003376B3">
      <w:pPr>
        <w:pStyle w:val="BodyText"/>
        <w:spacing w:line="20" w:lineRule="exact"/>
        <w:ind w:left="786"/>
        <w:rPr>
          <w:sz w:val="2"/>
        </w:rPr>
      </w:pPr>
    </w:p>
    <w:p w14:paraId="568143E3" w14:textId="63FECABE" w:rsidR="00BD7169" w:rsidRPr="00AF7228" w:rsidRDefault="00BD7169" w:rsidP="00EB7A13">
      <w:pPr>
        <w:pStyle w:val="BodyText"/>
      </w:pPr>
      <w:r w:rsidRPr="00AF7228">
        <w:rPr>
          <w:noProof/>
          <w:lang w:eastAsia="en-AU"/>
        </w:rPr>
        <mc:AlternateContent>
          <mc:Choice Requires="wpg">
            <w:drawing>
              <wp:inline distT="0" distB="0" distL="0" distR="0" wp14:anchorId="40B4CC3E" wp14:editId="730C2B9B">
                <wp:extent cx="5769610" cy="6350"/>
                <wp:effectExtent l="0" t="0" r="0" b="0"/>
                <wp:docPr id="122"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9610" cy="6350"/>
                          <a:chOff x="0" y="0"/>
                          <a:chExt cx="9086" cy="10"/>
                        </a:xfrm>
                      </wpg:grpSpPr>
                      <wps:wsp>
                        <wps:cNvPr id="123" name="Line 104"/>
                        <wps:cNvCnPr>
                          <a:cxnSpLocks/>
                        </wps:cNvCnPr>
                        <wps:spPr bwMode="auto">
                          <a:xfrm>
                            <a:off x="0" y="5"/>
                            <a:ext cx="9086" cy="0"/>
                          </a:xfrm>
                          <a:prstGeom prst="line">
                            <a:avLst/>
                          </a:prstGeom>
                          <a:noFill/>
                          <a:ln w="6096">
                            <a:solidFill>
                              <a:srgbClr val="00ADEE"/>
                            </a:solidFill>
                            <a:prstDash val="sysDot"/>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774895B" id="Group 103" o:spid="_x0000_s1026" style="width:454.3pt;height:.5pt;mso-position-horizontal-relative:char;mso-position-vertical-relative:line" coordsize="908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3fP9dQIAAIMFAAAOAAAAZHJzL2Uyb0RvYy54bWykVF1v2yAUfZ+0/4D8ntpOHDexmlRV7PSl&#10;2yp1+wEE8IeGAQGNE03777uAkzbtS9W92MD94Nxz7uXm9tBztGfadFKsovQqiRATRNJONKvo18/t&#10;ZBEhY7GgmEvBVtGRmeh2/fXLzaAKNpWt5JRpBEmEKQa1ilprVRHHhrSsx+ZKKibAWEvdYwtb3cRU&#10;4wGy9zyeJkkeD1JTpSVhxsBpGYzR2ueva0bsj7o2zCK+igCb9V/tvzv3jdc3uGg0Vm1HRhj4Eyh6&#10;3Am49JyqxBajZ929S9V3REsja3tFZB/Luu4I8zVANWnyppp7LZ+Vr6UphkadaQJq3/D06bTk+/5R&#10;o46CdtNphATuQSR/L0qTmaNnUE0BXvdaPalHHWqE5YMkvw2Y47d2t2+CM9oN3ySFhPjZSk/Poda9&#10;SwGFo4NX4XhWgR0sInA4v86XeQpiEbDls/koEmlByXdBpK3GsGWyyEMMxDpguAi3eYQjIlcONJp5&#10;4dL8H5dPLVbMS2QcS2cuZycuHzrBgMosUOmdNiLwSA7igsdXRofSAN0fZHAe+vjE4AsVl0zgQmlj&#10;75nskVusIg7gvC54/2BsIO3k4mQScttxDue44AINIEeyzH2AkbyjzuhsRje7Dddoj92UJXdlVY0K&#10;XLi5zCU2bfAzR1NKG4BDnwvqr2kZptW4trjjYQ1acuFuggoB6LgKA/ZnmSyrRbXIJtk0ryZZUpaT&#10;u+0mm+Tb9HpezsrNpkz/OtBpVrQdpUw43KdhT7OPNcD47IQxPY/7maD4MrtvPwB7+nvQ0IhB1dCF&#10;O0mPj9qRPvakX/lJ92Hjq+Sektd77/Xydq7/AQAA//8DAFBLAwQUAAYACAAAACEAMD/0Z98AAAAI&#10;AQAADwAAAGRycy9kb3ducmV2LnhtbEyPzWrDMBCE74W+g9hAb43klobUsRxC+nMKhSSFkptibWwT&#10;a2UsxXbevtte2svAMruz82XL0TWixy7UnjQkUwUCqfC2plLD5/7tfg4iREPWNJ5QwxUDLPPbm8yk&#10;1g+0xX4XS8EhFFKjoYqxTaUMRYXOhKlvkdg7+c6ZyGNXStuZgcNdIx+UmklnauIPlWlxXWFx3l2c&#10;hvfBDKvH5LXfnE/r62H/9PG1SVDru8n4smBZLUBEHOPfBfwwcH/IudjRX8gG0Whgmvir7D2r+QzE&#10;kZcUyDyT/wHybwAAAP//AwBQSwECLQAUAAYACAAAACEAtoM4kv4AAADhAQAAEwAAAAAAAAAAAAAA&#10;AAAAAAAAW0NvbnRlbnRfVHlwZXNdLnhtbFBLAQItABQABgAIAAAAIQA4/SH/1gAAAJQBAAALAAAA&#10;AAAAAAAAAAAAAC8BAABfcmVscy8ucmVsc1BLAQItABQABgAIAAAAIQA43fP9dQIAAIMFAAAOAAAA&#10;AAAAAAAAAAAAAC4CAABkcnMvZTJvRG9jLnhtbFBLAQItABQABgAIAAAAIQAwP/Rn3wAAAAgBAAAP&#10;AAAAAAAAAAAAAAAAAM8EAABkcnMvZG93bnJldi54bWxQSwUGAAAAAAQABADzAAAA2wUAAAAA&#10;">
                <v:line id="Line 104" o:spid="_x0000_s1027" style="position:absolute;visibility:visible;mso-wrap-style:square" from="0,5" to="90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7vQyAAAAOEAAAAPAAAAZHJzL2Rvd25yZXYueG1sRI/dasJA&#10;EEbvBd9hGaE3RTda2oboKpoiFe9qfYAhO/nB7GzMbmJ8+25B8GaY4eM7w1ltBlOLnlpXWVYwn0Ug&#10;iDOrKy4UnH/30xiE88gaa8uk4E4ONuvxaIWJtjf+of7kCxEg7BJUUHrfJFK6rCSDbmYb4pDltjXo&#10;w9kWUrd4C3BTy0UUfUiDFYcPJTaUlpRdTp1R8Jke8+8u1vk17d+bc3x93aW7TqmXyfC1DGO7BOFp&#10;8M/GA3HQwWHxBv9GYQO5/gMAAP//AwBQSwECLQAUAAYACAAAACEA2+H2y+4AAACFAQAAEwAAAAAA&#10;AAAAAAAAAAAAAAAAW0NvbnRlbnRfVHlwZXNdLnhtbFBLAQItABQABgAIAAAAIQBa9CxbvwAAABUB&#10;AAALAAAAAAAAAAAAAAAAAB8BAABfcmVscy8ucmVsc1BLAQItABQABgAIAAAAIQAJj7vQyAAAAOEA&#10;AAAPAAAAAAAAAAAAAAAAAAcCAABkcnMvZG93bnJldi54bWxQSwUGAAAAAAMAAwC3AAAA/AIAAAAA&#10;" strokecolor="#00adee" strokeweight=".48pt">
                  <v:stroke dashstyle="1 1"/>
                  <o:lock v:ext="edit" shapetype="f"/>
                </v:line>
                <w10:anchorlock/>
              </v:group>
            </w:pict>
          </mc:Fallback>
        </mc:AlternateContent>
      </w:r>
    </w:p>
    <w:p w14:paraId="4C36A6CE" w14:textId="099FE783" w:rsidR="003376B3" w:rsidRPr="00AF7228" w:rsidRDefault="003376B3" w:rsidP="00117D83">
      <w:pPr>
        <w:pStyle w:val="Heading1"/>
      </w:pPr>
      <w:bookmarkStart w:id="57" w:name="_Toc6238812"/>
      <w:r w:rsidRPr="00AF7228">
        <w:t>PART B</w:t>
      </w:r>
      <w:bookmarkEnd w:id="57"/>
    </w:p>
    <w:p w14:paraId="67AA0B78" w14:textId="77777777" w:rsidR="003376B3" w:rsidRPr="00AF7228" w:rsidRDefault="003376B3" w:rsidP="00BD7169">
      <w:pPr>
        <w:pStyle w:val="BodyText"/>
        <w:spacing w:line="20" w:lineRule="exact"/>
        <w:rPr>
          <w:sz w:val="2"/>
        </w:rPr>
      </w:pPr>
      <w:r w:rsidRPr="00AF7228">
        <w:rPr>
          <w:noProof/>
          <w:sz w:val="2"/>
          <w:lang w:eastAsia="en-AU"/>
        </w:rPr>
        <mc:AlternateContent>
          <mc:Choice Requires="wpg">
            <w:drawing>
              <wp:inline distT="0" distB="0" distL="0" distR="0" wp14:anchorId="00C69545" wp14:editId="5D5928C5">
                <wp:extent cx="5769610" cy="6350"/>
                <wp:effectExtent l="0" t="0" r="0" b="0"/>
                <wp:docPr id="124"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9610" cy="6350"/>
                          <a:chOff x="0" y="0"/>
                          <a:chExt cx="9086" cy="10"/>
                        </a:xfrm>
                      </wpg:grpSpPr>
                      <wps:wsp>
                        <wps:cNvPr id="125" name="Line 102"/>
                        <wps:cNvCnPr>
                          <a:cxnSpLocks/>
                        </wps:cNvCnPr>
                        <wps:spPr bwMode="auto">
                          <a:xfrm>
                            <a:off x="0" y="5"/>
                            <a:ext cx="9086" cy="0"/>
                          </a:xfrm>
                          <a:prstGeom prst="line">
                            <a:avLst/>
                          </a:prstGeom>
                          <a:noFill/>
                          <a:ln w="6096">
                            <a:solidFill>
                              <a:srgbClr val="00ADEE"/>
                            </a:solidFill>
                            <a:prstDash val="sysDot"/>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E1F1874" id="Group 101" o:spid="_x0000_s1026" style="width:454.3pt;height:.5pt;mso-position-horizontal-relative:char;mso-position-vertical-relative:line" coordsize="908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lYzdQIAAIMFAAAOAAAAZHJzL2Uyb0RvYy54bWykVF1v2yAUfZ+0/4D8ntpOHTexmlRV7PSl&#10;2yJ1+wEEsI1mAwIaJ5r233cBJ23al6p7sYH7wbnn3Mvt3aHv0J5pw6VYRulVEiEmiKRcNMvo18/N&#10;ZB4hY7GguJOCLaMjM9Hd6uuX20EVbCpb2VGmESQRphjUMmqtVUUcG9KyHpsrqZgAYy11jy1sdRNT&#10;jQfI3nfxNEnyeJCaKi0JMwZOy2CMVj5/XTNif9S1YRZ1ywiwWf/V/rtz33h1i4tGY9VyMsLAn0DR&#10;Yy7g0nOqEluMnjV/l6rnREsja3tFZB/LuuaE+RqgmjR5U82Dls/K19IUQ6PONAG1b3j6dFryfb/V&#10;iFPQbppFSOAeRPL3ojRJHT2DagrwetDqSW11qBGWj5L8NmCO39rdvgnOaDd8kxQS4mcrPT2HWvcu&#10;BRSODl6F41kFdrCIwOHsJl/kKYhFwJZfz0aRSAtKvgsibTWGLZJ5HmIg1gHDRbjNIxwRuXKg0cwL&#10;l+b/uHxqsWJeIuNYOnM5O3H5yAUDKqeBSu+0FoFHchAXPL4yOpQG6P4gg7PQxycGX6i4ZAIXShv7&#10;wGSP3GIZdQDO64L3j8YG0k4uTiYhN7zr4BwXnUADyJEsch9gZMepMzqb0c1u3Wm0x27KkvuyqkYF&#10;Ltxc5hKbNviZoymlDcChzwX117QM02pcW8y7sAYtO+FuggoB6LgKA/ZnkSyqeTXPJtk0ryZZUpaT&#10;+806m+Sb9GZWXpfrdZn+daDTrGg5pUw43KdhT7OPNcD47IQxPY/7maD4MrtvPwB7+nvQ0IhB1dCF&#10;O0mPW+1IH3vSr/yk+7DxVXJPyeu993p5O1f/AAAA//8DAFBLAwQUAAYACAAAACEAMD/0Z98AAAAI&#10;AQAADwAAAGRycy9kb3ducmV2LnhtbEyPzWrDMBCE74W+g9hAb43klobUsRxC+nMKhSSFkptibWwT&#10;a2UsxXbevtte2svAMruz82XL0TWixy7UnjQkUwUCqfC2plLD5/7tfg4iREPWNJ5QwxUDLPPbm8yk&#10;1g+0xX4XS8EhFFKjoYqxTaUMRYXOhKlvkdg7+c6ZyGNXStuZgcNdIx+UmklnauIPlWlxXWFx3l2c&#10;hvfBDKvH5LXfnE/r62H/9PG1SVDru8n4smBZLUBEHOPfBfwwcH/IudjRX8gG0Whgmvir7D2r+QzE&#10;kZcUyDyT/wHybwAAAP//AwBQSwECLQAUAAYACAAAACEAtoM4kv4AAADhAQAAEwAAAAAAAAAAAAAA&#10;AAAAAAAAW0NvbnRlbnRfVHlwZXNdLnhtbFBLAQItABQABgAIAAAAIQA4/SH/1gAAAJQBAAALAAAA&#10;AAAAAAAAAAAAAC8BAABfcmVscy8ucmVsc1BLAQItABQABgAIAAAAIQDR9lYzdQIAAIMFAAAOAAAA&#10;AAAAAAAAAAAAAC4CAABkcnMvZTJvRG9jLnhtbFBLAQItABQABgAIAAAAIQAwP/Rn3wAAAAgBAAAP&#10;AAAAAAAAAAAAAAAAAM8EAABkcnMvZG93bnJldi54bWxQSwUGAAAAAAQABADzAAAA2wUAAAAA&#10;">
                <v:line id="Line 102" o:spid="_x0000_s1027" style="position:absolute;visibility:visible;mso-wrap-style:square" from="0,5" to="90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oY/yAAAAOEAAAAPAAAAZHJzL2Rvd25yZXYueG1sRI/basJA&#10;EIbvC32HZQrelLpRsIboKhoRS+88PMCQnRxodjZmNzG+vVsQvBlm+Pm/4VuuB1OLnlpXWVYwGUcg&#10;iDOrKy4UXM77rxiE88gaa8uk4E4O1qv3tyUm2t74SP3JFyJA2CWooPS+SaR0WUkG3dg2xCHLbWvQ&#10;h7MtpG7xFuCmltMo+pYGKw4fSmwoLSn7O3VGwTz9zQ9drPNr2s+aS3z93KbbTqnRx7BbhLFZgPA0&#10;+FfjifjRwWE6g3+jsIFcPQAAAP//AwBQSwECLQAUAAYACAAAACEA2+H2y+4AAACFAQAAEwAAAAAA&#10;AAAAAAAAAAAAAAAAW0NvbnRlbnRfVHlwZXNdLnhtbFBLAQItABQABgAIAAAAIQBa9CxbvwAAABUB&#10;AAALAAAAAAAAAAAAAAAAAB8BAABfcmVscy8ucmVsc1BLAQItABQABgAIAAAAIQDpKoY/yAAAAOEA&#10;AAAPAAAAAAAAAAAAAAAAAAcCAABkcnMvZG93bnJldi54bWxQSwUGAAAAAAMAAwC3AAAA/AIAAAAA&#10;" strokecolor="#00adee" strokeweight=".48pt">
                  <v:stroke dashstyle="1 1"/>
                  <o:lock v:ext="edit" shapetype="f"/>
                </v:line>
                <w10:anchorlock/>
              </v:group>
            </w:pict>
          </mc:Fallback>
        </mc:AlternateContent>
      </w:r>
    </w:p>
    <w:p w14:paraId="19333FBA" w14:textId="77777777" w:rsidR="00EB7A13" w:rsidRPr="00AF7228" w:rsidRDefault="00EB7A13" w:rsidP="003376B3">
      <w:pPr>
        <w:pStyle w:val="BodyText"/>
        <w:jc w:val="both"/>
        <w:rPr>
          <w:color w:val="00AFEF"/>
        </w:rPr>
      </w:pPr>
    </w:p>
    <w:p w14:paraId="0186E43F" w14:textId="2BD438A1" w:rsidR="003376B3" w:rsidRPr="00AF7228" w:rsidRDefault="002A70E7" w:rsidP="003376B3">
      <w:pPr>
        <w:pStyle w:val="BodyText"/>
        <w:jc w:val="both"/>
        <w:rPr>
          <w:color w:val="00AFEF"/>
        </w:rPr>
      </w:pPr>
      <w:r w:rsidRPr="00AF7228">
        <w:rPr>
          <w:color w:val="00AFEF"/>
        </w:rPr>
        <w:t xml:space="preserve">This section addresses </w:t>
      </w:r>
      <w:r w:rsidR="00EB7A13" w:rsidRPr="00AF7228">
        <w:rPr>
          <w:color w:val="00AFEF"/>
        </w:rPr>
        <w:t xml:space="preserve">a number of </w:t>
      </w:r>
      <w:r w:rsidRPr="00AF7228">
        <w:rPr>
          <w:color w:val="00AFEF"/>
        </w:rPr>
        <w:t>issues raised in the Productivity Commission’s Terms of Reference and the Issues Paper</w:t>
      </w:r>
      <w:r w:rsidR="00263CC6" w:rsidRPr="00AF7228">
        <w:rPr>
          <w:color w:val="00AFEF"/>
        </w:rPr>
        <w:t xml:space="preserve">, </w:t>
      </w:r>
      <w:r w:rsidR="00EB7A13" w:rsidRPr="00AF7228">
        <w:rPr>
          <w:color w:val="00AFEF"/>
        </w:rPr>
        <w:t>name</w:t>
      </w:r>
      <w:r w:rsidR="00263CC6" w:rsidRPr="00AF7228">
        <w:rPr>
          <w:color w:val="00AFEF"/>
        </w:rPr>
        <w:t>ly:</w:t>
      </w:r>
    </w:p>
    <w:p w14:paraId="181E5158" w14:textId="6A91FD93" w:rsidR="00EB7A13" w:rsidRPr="00AF7228" w:rsidRDefault="00EB7A13" w:rsidP="00EB7A13">
      <w:pPr>
        <w:pStyle w:val="BodyText"/>
        <w:numPr>
          <w:ilvl w:val="0"/>
          <w:numId w:val="32"/>
        </w:numPr>
        <w:rPr>
          <w:color w:val="00AFEF"/>
        </w:rPr>
      </w:pPr>
      <w:r w:rsidRPr="00EB7A13">
        <w:rPr>
          <w:color w:val="00AFEF"/>
        </w:rPr>
        <w:t xml:space="preserve">The Commission should consider the role of mental health in supporting economic participation, enhancing productivity and economic growth. It should make recommendations, as necessary, to improve population mental health, </w:t>
      </w:r>
      <w:r w:rsidR="001964F3" w:rsidRPr="00EB7A13">
        <w:rPr>
          <w:color w:val="00AFEF"/>
        </w:rPr>
        <w:t>to</w:t>
      </w:r>
      <w:r w:rsidRPr="00EB7A13">
        <w:rPr>
          <w:color w:val="00AFEF"/>
        </w:rPr>
        <w:t xml:space="preserve"> realise economic and social participation and productivity benefits over the long term. </w:t>
      </w:r>
    </w:p>
    <w:p w14:paraId="35DC9B4E" w14:textId="7DB9DF5E" w:rsidR="00EB7A13" w:rsidRPr="00AF7228" w:rsidRDefault="00EB7A13" w:rsidP="00EB7A13">
      <w:pPr>
        <w:pStyle w:val="BodyText"/>
        <w:numPr>
          <w:ilvl w:val="0"/>
          <w:numId w:val="32"/>
        </w:numPr>
        <w:rPr>
          <w:color w:val="00AFEF"/>
        </w:rPr>
      </w:pPr>
      <w:r w:rsidRPr="00AF7228">
        <w:rPr>
          <w:color w:val="00AFEF"/>
        </w:rPr>
        <w:t>Examine the effectiveness of current programs and initiatives across all jurisdictions to improve mental health, suicide prevention and participation</w:t>
      </w:r>
      <w:r w:rsidR="001964F3">
        <w:rPr>
          <w:color w:val="00AFEF"/>
        </w:rPr>
        <w:t>.</w:t>
      </w:r>
    </w:p>
    <w:p w14:paraId="4EA8755C" w14:textId="0CC76713" w:rsidR="00EB7A13" w:rsidRPr="00AF7228" w:rsidRDefault="00EB7A13" w:rsidP="00EB7A13">
      <w:pPr>
        <w:pStyle w:val="BodyText"/>
        <w:numPr>
          <w:ilvl w:val="0"/>
          <w:numId w:val="32"/>
        </w:numPr>
        <w:rPr>
          <w:color w:val="00AFEF"/>
        </w:rPr>
      </w:pPr>
      <w:r w:rsidRPr="00AF7228">
        <w:rPr>
          <w:color w:val="00AFEF"/>
        </w:rPr>
        <w:t>Draw on domestic and international policies and experience</w:t>
      </w:r>
      <w:r w:rsidR="001964F3">
        <w:rPr>
          <w:color w:val="00AFEF"/>
        </w:rPr>
        <w:t>.</w:t>
      </w:r>
      <w:r w:rsidRPr="00AF7228">
        <w:rPr>
          <w:color w:val="00AFEF"/>
        </w:rPr>
        <w:t xml:space="preserve"> </w:t>
      </w:r>
    </w:p>
    <w:p w14:paraId="1C7421FA" w14:textId="58C9FA13" w:rsidR="00EB7A13" w:rsidRPr="00AF7228" w:rsidRDefault="00EB7A13" w:rsidP="00EB7A13">
      <w:pPr>
        <w:pStyle w:val="BodyText"/>
        <w:numPr>
          <w:ilvl w:val="0"/>
          <w:numId w:val="32"/>
        </w:numPr>
        <w:rPr>
          <w:color w:val="00AFEF"/>
        </w:rPr>
      </w:pPr>
      <w:r w:rsidRPr="00AF7228">
        <w:rPr>
          <w:color w:val="00AFEF"/>
        </w:rPr>
        <w:t>Have regard to recent and current reviews</w:t>
      </w:r>
      <w:r w:rsidR="001964F3">
        <w:rPr>
          <w:color w:val="00AFEF"/>
        </w:rPr>
        <w:t>.</w:t>
      </w:r>
    </w:p>
    <w:p w14:paraId="420A09BA" w14:textId="3F2EE41C" w:rsidR="00EB7A13" w:rsidRPr="00AF7228" w:rsidRDefault="00AD3544" w:rsidP="00EB7A13">
      <w:pPr>
        <w:pStyle w:val="BodyText"/>
        <w:numPr>
          <w:ilvl w:val="0"/>
          <w:numId w:val="32"/>
        </w:numPr>
        <w:rPr>
          <w:color w:val="00AFEF"/>
        </w:rPr>
      </w:pPr>
      <w:r w:rsidRPr="00AF7228">
        <w:rPr>
          <w:color w:val="00AFEF"/>
        </w:rPr>
        <w:t>(From the Issues Paper), structural issues, child protection, care/service integration, funding and monitoring and reporting outcomes.</w:t>
      </w:r>
    </w:p>
    <w:p w14:paraId="30BFF90C" w14:textId="77777777" w:rsidR="00EB7A13" w:rsidRPr="00AF7228" w:rsidRDefault="00EB7A13" w:rsidP="003376B3">
      <w:pPr>
        <w:pStyle w:val="BodyText"/>
        <w:jc w:val="both"/>
        <w:rPr>
          <w:color w:val="00AFEF"/>
        </w:rPr>
      </w:pPr>
    </w:p>
    <w:p w14:paraId="73693D1B" w14:textId="77777777" w:rsidR="002A70E7" w:rsidRPr="00AF7228" w:rsidRDefault="002A70E7">
      <w:pPr>
        <w:spacing w:before="0" w:after="0"/>
        <w:rPr>
          <w:b/>
          <w:bCs/>
          <w:color w:val="00AFEF"/>
          <w:sz w:val="36"/>
          <w:szCs w:val="40"/>
        </w:rPr>
      </w:pPr>
      <w:r w:rsidRPr="00AF7228">
        <w:br w:type="page"/>
      </w:r>
    </w:p>
    <w:p w14:paraId="17076E6C" w14:textId="38BB296B" w:rsidR="00117D83" w:rsidRPr="00AF7228" w:rsidRDefault="00117D83" w:rsidP="00117D83">
      <w:pPr>
        <w:pStyle w:val="Heading1"/>
      </w:pPr>
      <w:bookmarkStart w:id="58" w:name="_Toc6238813"/>
      <w:r w:rsidRPr="00AF7228">
        <w:lastRenderedPageBreak/>
        <w:t>The Prevalence of Mental Illness</w:t>
      </w:r>
      <w:bookmarkEnd w:id="58"/>
      <w:r w:rsidRPr="00AF7228">
        <w:t xml:space="preserve"> </w:t>
      </w:r>
    </w:p>
    <w:p w14:paraId="7DD2F2A7" w14:textId="56912FB3" w:rsidR="00117D83" w:rsidRPr="00AF7228" w:rsidRDefault="00117D83" w:rsidP="00117D83">
      <w:pPr>
        <w:pStyle w:val="BodyText"/>
      </w:pPr>
      <w:r w:rsidRPr="00117D83">
        <w:t xml:space="preserve">The ABS National Survey of Mental Health and Wellbeing (NSMHWB) provides the most comprehensive estimates for mental disorders in Australian adults both over their lifetime and in the preceding 12 months. The survey estimated that 45 per cent of Australians had experienced a mental disorder in their lifetime, with 20 per cent experiencing a mental disorder in the previous year. </w:t>
      </w:r>
    </w:p>
    <w:p w14:paraId="32201812" w14:textId="6F077D0F" w:rsidR="00117D83" w:rsidRPr="00117D83" w:rsidRDefault="00117D83" w:rsidP="00117D83">
      <w:pPr>
        <w:pStyle w:val="BodyText"/>
      </w:pPr>
      <w:r w:rsidRPr="00AF7228">
        <w:t xml:space="preserve">This survey was last conducted in </w:t>
      </w:r>
      <w:r w:rsidRPr="00117D83">
        <w:t xml:space="preserve">2007, this was the second ABS mental health and wellbeing survey, with the first survey conducted in 1997. The Department of Health </w:t>
      </w:r>
      <w:r w:rsidRPr="00AF7228">
        <w:t xml:space="preserve">confirmed at Senate Estimates in late 2018, </w:t>
      </w:r>
      <w:r w:rsidRPr="00117D83">
        <w:t xml:space="preserve">there </w:t>
      </w:r>
      <w:r w:rsidRPr="00AF7228">
        <w:t>were</w:t>
      </w:r>
      <w:r w:rsidRPr="00117D83">
        <w:t xml:space="preserve"> </w:t>
      </w:r>
      <w:r w:rsidRPr="00AF7228">
        <w:t>‘</w:t>
      </w:r>
      <w:r w:rsidRPr="00117D83">
        <w:t>no plans to fund another survey on mental health by the ABS</w:t>
      </w:r>
      <w:r w:rsidRPr="00AF7228">
        <w:t>’</w:t>
      </w:r>
      <w:r w:rsidRPr="00117D83">
        <w:t xml:space="preserve">. </w:t>
      </w:r>
    </w:p>
    <w:p w14:paraId="14483792" w14:textId="58CEF988" w:rsidR="00117D83" w:rsidRPr="00117D83" w:rsidRDefault="00117D83" w:rsidP="00117D83">
      <w:pPr>
        <w:pStyle w:val="BodyText"/>
      </w:pPr>
      <w:r w:rsidRPr="00117D83">
        <w:t>In addition to the NSMHWB, the</w:t>
      </w:r>
      <w:r w:rsidRPr="00AF7228">
        <w:t>re are a range of other sources, but none as complete, that can</w:t>
      </w:r>
      <w:r w:rsidRPr="00117D83">
        <w:t xml:space="preserve"> provide an indication of the prevalence and impact of mental health conditions in Australia: </w:t>
      </w:r>
    </w:p>
    <w:p w14:paraId="5642ABAF" w14:textId="7470203E" w:rsidR="00117D83" w:rsidRPr="00AF7228" w:rsidRDefault="00117D83" w:rsidP="00117D83">
      <w:pPr>
        <w:pStyle w:val="BulletPoint"/>
      </w:pPr>
      <w:r w:rsidRPr="00AF7228">
        <w:t xml:space="preserve">The most recent </w:t>
      </w:r>
      <w:r w:rsidRPr="00AD3544">
        <w:rPr>
          <w:b/>
        </w:rPr>
        <w:t>ABS National Health Survey</w:t>
      </w:r>
      <w:r w:rsidRPr="00AF7228">
        <w:t xml:space="preserve"> estimated there were 4.8 million Australians (20.1 per cent) with a mental or behavioural condition in 2017–18. This was an increase of 2.6 percentage points from 2014–15 This was mainly due to an increase in the number of people reporting anxiety-related conditions. This data does not address lifetime prevalence or incidence of mental illness in the past year. </w:t>
      </w:r>
    </w:p>
    <w:p w14:paraId="56C14897" w14:textId="7B69F308" w:rsidR="00117D83" w:rsidRPr="00117D83" w:rsidRDefault="00117D83" w:rsidP="00117D83">
      <w:pPr>
        <w:pStyle w:val="BulletPoint"/>
      </w:pPr>
      <w:r w:rsidRPr="00117D83">
        <w:t xml:space="preserve">The Australian </w:t>
      </w:r>
      <w:r w:rsidRPr="00AD3544">
        <w:rPr>
          <w:b/>
        </w:rPr>
        <w:t>Child and Adolescent</w:t>
      </w:r>
      <w:r w:rsidRPr="00117D83">
        <w:t xml:space="preserve"> Survey of Mental Health and Wellbeing </w:t>
      </w:r>
      <w:r w:rsidRPr="00AF7228">
        <w:t>(</w:t>
      </w:r>
      <w:r w:rsidRPr="00117D83">
        <w:t>2014</w:t>
      </w:r>
      <w:r w:rsidRPr="00AF7228">
        <w:t>)</w:t>
      </w:r>
      <w:r w:rsidRPr="00117D83">
        <w:t xml:space="preserve">, estimated that almost 14 per cent of young people aged 4 to 17 years (or 560,000 people) experienced a mental disorder in the 12 months before the survey. </w:t>
      </w:r>
    </w:p>
    <w:p w14:paraId="500AB7E6" w14:textId="593E6D6C" w:rsidR="00117D83" w:rsidRPr="00117D83" w:rsidRDefault="00117D83" w:rsidP="00117D83">
      <w:pPr>
        <w:pStyle w:val="BulletPoint"/>
      </w:pPr>
      <w:r w:rsidRPr="00AD3544">
        <w:rPr>
          <w:b/>
        </w:rPr>
        <w:t>Poor mental health</w:t>
      </w:r>
      <w:r w:rsidRPr="00117D83">
        <w:t xml:space="preserve"> </w:t>
      </w:r>
      <w:r w:rsidRPr="00AF7228">
        <w:t xml:space="preserve">is almost always </w:t>
      </w:r>
      <w:r w:rsidRPr="00117D83">
        <w:t xml:space="preserve">associated with suicidality. According to the ABS, 3,128 people died in Australia from intentional self-harm in 2017, rising from 2,866 in 2016. </w:t>
      </w:r>
      <w:r w:rsidRPr="00AF7228">
        <w:t xml:space="preserve">Most concerning is that there is a clear and consistent upward trend in both the rate (Age Standardised Rate – ASR) and the numbers of suicide deaths in Australia in the past decade – the ASR up some 15.6% and the number up </w:t>
      </w:r>
      <w:r w:rsidRPr="00117D83">
        <w:t>While suicidality is not confined solely to people with poor mental health, the NSMHWB estimated that</w:t>
      </w:r>
      <w:r w:rsidRPr="00AF7228">
        <w:t xml:space="preserve"> </w:t>
      </w:r>
      <w:r w:rsidRPr="00117D83">
        <w:t xml:space="preserve">94.2 per cent of persons who attempted suicide in the previous 12 months had experienced a mental disorder in the same time period. </w:t>
      </w:r>
    </w:p>
    <w:p w14:paraId="25D55919" w14:textId="0161800E" w:rsidR="00117D83" w:rsidRPr="00AF7228" w:rsidRDefault="00117D83" w:rsidP="00117D83">
      <w:pPr>
        <w:pStyle w:val="BulletPoint"/>
      </w:pPr>
      <w:r w:rsidRPr="00AD3544">
        <w:rPr>
          <w:b/>
        </w:rPr>
        <w:t>Globally, suicide rates are in decline</w:t>
      </w:r>
      <w:r w:rsidRPr="00AF7228">
        <w:t xml:space="preserve"> have fallen by 38% over the past 25 years.</w:t>
      </w:r>
      <w:r w:rsidR="003B145C" w:rsidRPr="00AF7228">
        <w:rPr>
          <w:rStyle w:val="FootnoteReference"/>
        </w:rPr>
        <w:t xml:space="preserve"> </w:t>
      </w:r>
      <w:r w:rsidR="003B145C" w:rsidRPr="00AF7228">
        <w:rPr>
          <w:rStyle w:val="FootnoteReference"/>
        </w:rPr>
        <w:footnoteReference w:id="27"/>
      </w:r>
      <w:r w:rsidRPr="00AF7228">
        <w:t xml:space="preserve"> Japan, Russia, China, South Korea, India, UK and many European countries have all seen rates decline. </w:t>
      </w:r>
      <w:r w:rsidRPr="00AD3544">
        <w:rPr>
          <w:b/>
        </w:rPr>
        <w:t>Australia</w:t>
      </w:r>
      <w:r w:rsidRPr="00AF7228">
        <w:t xml:space="preserve">, along with the United States of America, are </w:t>
      </w:r>
      <w:r w:rsidRPr="00AD3544">
        <w:rPr>
          <w:b/>
        </w:rPr>
        <w:t>the big exceptions</w:t>
      </w:r>
      <w:r w:rsidRPr="00AF7228">
        <w:t xml:space="preserve"> to the global trend. Suicide is the leading cause of death for males and females 15-44 and now accounts for more years of potential life lost, than any other single cause. The average age of suicide deaths has increased slowly over the past decade and is now approximately 44 years for both genders.</w:t>
      </w:r>
    </w:p>
    <w:p w14:paraId="19311113" w14:textId="50A5F35A" w:rsidR="00117D83" w:rsidRPr="00AF7228" w:rsidRDefault="00117D83" w:rsidP="00117D83">
      <w:pPr>
        <w:pStyle w:val="BulletPoint"/>
      </w:pPr>
      <w:r w:rsidRPr="00AD3544">
        <w:rPr>
          <w:b/>
        </w:rPr>
        <w:t>Aboriginal and Torres Strait Islander</w:t>
      </w:r>
      <w:r w:rsidRPr="00AF7228">
        <w:t xml:space="preserve"> suicides are approximately 2.2 times the rate for non-Indigenous Australians. The average age is also lower at 29 years.</w:t>
      </w:r>
    </w:p>
    <w:p w14:paraId="7DC2924B" w14:textId="61F0F5C5" w:rsidR="00117D83" w:rsidRPr="00117D83" w:rsidRDefault="00117D83" w:rsidP="00117D83">
      <w:pPr>
        <w:pStyle w:val="BulletPoint"/>
      </w:pPr>
      <w:r w:rsidRPr="00117D83">
        <w:t xml:space="preserve">According to the Australian Institute of Health and Welfare’s (AIHW) Burden of Disease Study, in 2011 the Australian population lost a total of 542,554 years of healthy life as a result of mental and substance use disorders. This accounted for 12.1 per cent of the total burden of disease, making mental and substance use abuse disorders the </w:t>
      </w:r>
      <w:r w:rsidRPr="00AD3544">
        <w:rPr>
          <w:b/>
        </w:rPr>
        <w:t>third highest cause</w:t>
      </w:r>
      <w:r w:rsidRPr="00117D83">
        <w:t xml:space="preserve"> of burden in Australia. </w:t>
      </w:r>
    </w:p>
    <w:p w14:paraId="48F2F865" w14:textId="0C97FF7F" w:rsidR="00117D83" w:rsidRPr="00AF7228" w:rsidRDefault="00117D83" w:rsidP="00117D83">
      <w:pPr>
        <w:pStyle w:val="BodyText"/>
      </w:pPr>
      <w:r w:rsidRPr="00AF7228">
        <w:lastRenderedPageBreak/>
        <w:t>The prevalence of mental illnesses in Australia is not declining and there is little evidence that despite improved access to the services, particularly through the M</w:t>
      </w:r>
      <w:r w:rsidR="003B145C" w:rsidRPr="00AF7228">
        <w:t xml:space="preserve">BS </w:t>
      </w:r>
      <w:r w:rsidRPr="00AF7228">
        <w:t xml:space="preserve">subsidised Better Access program, that </w:t>
      </w:r>
      <w:r w:rsidR="003B145C" w:rsidRPr="00AF7228">
        <w:t xml:space="preserve">the </w:t>
      </w:r>
      <w:r w:rsidRPr="00AF7228">
        <w:t>mental health and wellbeing of the Australian population is improving.</w:t>
      </w:r>
      <w:r w:rsidR="00D71D1B" w:rsidRPr="00AF7228">
        <w:t xml:space="preserve"> </w:t>
      </w:r>
      <w:r w:rsidR="00D71D1B" w:rsidRPr="00AF7228">
        <w:rPr>
          <w:rStyle w:val="FootnoteReference"/>
        </w:rPr>
        <w:footnoteReference w:id="28"/>
      </w:r>
      <w:r w:rsidR="00D71D1B" w:rsidRPr="00AF7228">
        <w:t xml:space="preserve"> </w:t>
      </w:r>
      <w:r w:rsidR="00D71D1B" w:rsidRPr="00AF7228">
        <w:rPr>
          <w:rStyle w:val="FootnoteReference"/>
        </w:rPr>
        <w:footnoteReference w:id="29"/>
      </w:r>
    </w:p>
    <w:p w14:paraId="255C00F3" w14:textId="5FD5276E" w:rsidR="00117D83" w:rsidRPr="00AF7228" w:rsidRDefault="00117D83" w:rsidP="00C36AC7">
      <w:pPr>
        <w:pStyle w:val="BodyText"/>
      </w:pPr>
      <w:r w:rsidRPr="00AF7228">
        <w:t>The following figures show the reality of the mental health of Australians.</w:t>
      </w:r>
      <w:r w:rsidRPr="00AF7228">
        <w:rPr>
          <w:noProof/>
          <w:lang w:eastAsia="en-AU"/>
        </w:rPr>
        <w:drawing>
          <wp:anchor distT="0" distB="0" distL="114300" distR="114300" simplePos="0" relativeHeight="251768320" behindDoc="0" locked="0" layoutInCell="1" allowOverlap="1" wp14:anchorId="7A2A1078" wp14:editId="03784EE4">
            <wp:simplePos x="0" y="0"/>
            <wp:positionH relativeFrom="column">
              <wp:posOffset>165124</wp:posOffset>
            </wp:positionH>
            <wp:positionV relativeFrom="paragraph">
              <wp:posOffset>282615</wp:posOffset>
            </wp:positionV>
            <wp:extent cx="5418455" cy="4064000"/>
            <wp:effectExtent l="0" t="0" r="0" b="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Mental-Health-of-Australians-2018-Draft2 copy.pdf"/>
                    <pic:cNvPicPr/>
                  </pic:nvPicPr>
                  <pic:blipFill>
                    <a:blip r:embed="rId43"/>
                    <a:stretch>
                      <a:fillRect/>
                    </a:stretch>
                  </pic:blipFill>
                  <pic:spPr>
                    <a:xfrm>
                      <a:off x="0" y="0"/>
                      <a:ext cx="5418455" cy="4064000"/>
                    </a:xfrm>
                    <a:prstGeom prst="rect">
                      <a:avLst/>
                    </a:prstGeom>
                  </pic:spPr>
                </pic:pic>
              </a:graphicData>
            </a:graphic>
            <wp14:sizeRelH relativeFrom="page">
              <wp14:pctWidth>0</wp14:pctWidth>
            </wp14:sizeRelH>
            <wp14:sizeRelV relativeFrom="page">
              <wp14:pctHeight>0</wp14:pctHeight>
            </wp14:sizeRelV>
          </wp:anchor>
        </w:drawing>
      </w:r>
    </w:p>
    <w:p w14:paraId="4BF6B892" w14:textId="060F6DF7" w:rsidR="00117D83" w:rsidRPr="00AF7228" w:rsidRDefault="00C36AC7" w:rsidP="00C36AC7">
      <w:pPr>
        <w:pStyle w:val="FigureCaption"/>
      </w:pPr>
      <w:bookmarkStart w:id="59" w:name="_Toc6237987"/>
      <w:r w:rsidRPr="00AF7228">
        <w:t>The Mental Health of Australians</w:t>
      </w:r>
      <w:bookmarkEnd w:id="59"/>
    </w:p>
    <w:p w14:paraId="161FFF25" w14:textId="5D5C5810" w:rsidR="00117D83" w:rsidRPr="00AF7228" w:rsidRDefault="00117D83" w:rsidP="00C36AC7">
      <w:pPr>
        <w:pStyle w:val="FigureCaption"/>
        <w:numPr>
          <w:ilvl w:val="0"/>
          <w:numId w:val="0"/>
        </w:numPr>
        <w:spacing w:before="0" w:after="0"/>
        <w:jc w:val="left"/>
      </w:pPr>
      <w:bookmarkStart w:id="60" w:name="_Toc4997153"/>
      <w:bookmarkStart w:id="61" w:name="_Toc5010338"/>
      <w:bookmarkStart w:id="62" w:name="_Toc6149527"/>
      <w:bookmarkStart w:id="63" w:name="_Toc6237988"/>
      <w:r w:rsidRPr="00AF7228">
        <w:rPr>
          <w:noProof/>
          <w:lang w:eastAsia="en-AU"/>
        </w:rPr>
        <w:lastRenderedPageBreak/>
        <w:drawing>
          <wp:anchor distT="0" distB="0" distL="114300" distR="114300" simplePos="0" relativeHeight="251767296" behindDoc="1" locked="0" layoutInCell="1" allowOverlap="1" wp14:anchorId="762972DF" wp14:editId="15CE80F2">
            <wp:simplePos x="0" y="0"/>
            <wp:positionH relativeFrom="column">
              <wp:posOffset>168275</wp:posOffset>
            </wp:positionH>
            <wp:positionV relativeFrom="paragraph">
              <wp:posOffset>224578</wp:posOffset>
            </wp:positionV>
            <wp:extent cx="5641340" cy="3445510"/>
            <wp:effectExtent l="0" t="0" r="0" b="0"/>
            <wp:wrapTight wrapText="bothSides">
              <wp:wrapPolygon edited="0">
                <wp:start x="3063" y="1115"/>
                <wp:lineTo x="924" y="1274"/>
                <wp:lineTo x="973" y="2468"/>
                <wp:lineTo x="8510" y="2548"/>
                <wp:lineTo x="6565" y="3662"/>
                <wp:lineTo x="6127" y="4140"/>
                <wp:lineTo x="5592" y="4857"/>
                <wp:lineTo x="1021" y="5334"/>
                <wp:lineTo x="924" y="5971"/>
                <wp:lineTo x="1945" y="6369"/>
                <wp:lineTo x="1070" y="6449"/>
                <wp:lineTo x="924" y="6608"/>
                <wp:lineTo x="973" y="7882"/>
                <wp:lineTo x="6565" y="8917"/>
                <wp:lineTo x="7634" y="8917"/>
                <wp:lineTo x="8218" y="10191"/>
                <wp:lineTo x="973" y="11385"/>
                <wp:lineTo x="973" y="11863"/>
                <wp:lineTo x="1945" y="12739"/>
                <wp:lineTo x="2383" y="12898"/>
                <wp:lineTo x="9579" y="14013"/>
                <wp:lineTo x="10795" y="14013"/>
                <wp:lineTo x="5009" y="14490"/>
                <wp:lineTo x="3063" y="14809"/>
                <wp:lineTo x="3063" y="15764"/>
                <wp:lineTo x="7489" y="16560"/>
                <wp:lineTo x="3112" y="16560"/>
                <wp:lineTo x="3112" y="17675"/>
                <wp:lineTo x="16533" y="17834"/>
                <wp:lineTo x="4474" y="18153"/>
                <wp:lineTo x="924" y="18471"/>
                <wp:lineTo x="1021" y="19108"/>
                <wp:lineTo x="1410" y="20382"/>
                <wp:lineTo x="1459" y="20621"/>
                <wp:lineTo x="3890" y="21258"/>
                <wp:lineTo x="11427" y="21258"/>
                <wp:lineTo x="16095" y="20541"/>
                <wp:lineTo x="16095" y="20382"/>
                <wp:lineTo x="16339" y="19586"/>
                <wp:lineTo x="16290" y="19188"/>
                <wp:lineTo x="17117" y="19108"/>
                <wp:lineTo x="18381" y="18471"/>
                <wp:lineTo x="18284" y="16958"/>
                <wp:lineTo x="18186" y="16560"/>
                <wp:lineTo x="17554" y="15286"/>
                <wp:lineTo x="17652" y="14172"/>
                <wp:lineTo x="16873" y="14013"/>
                <wp:lineTo x="12254" y="14013"/>
                <wp:lineTo x="19742" y="12978"/>
                <wp:lineTo x="19888" y="12739"/>
                <wp:lineTo x="20180" y="11783"/>
                <wp:lineTo x="20180" y="11465"/>
                <wp:lineTo x="19986" y="10191"/>
                <wp:lineTo x="20520" y="7643"/>
                <wp:lineTo x="20569" y="6529"/>
                <wp:lineTo x="20569" y="6290"/>
                <wp:lineTo x="19888" y="5095"/>
                <wp:lineTo x="19597" y="4220"/>
                <wp:lineTo x="19548" y="3503"/>
                <wp:lineTo x="18381" y="3344"/>
                <wp:lineTo x="8801" y="2548"/>
                <wp:lineTo x="11136" y="2388"/>
                <wp:lineTo x="11087" y="1274"/>
                <wp:lineTo x="7975" y="1115"/>
                <wp:lineTo x="3063" y="1115"/>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uicide-in-Australia-2017-InfoGraphic-Draft2.pdf"/>
                    <pic:cNvPicPr/>
                  </pic:nvPicPr>
                  <pic:blipFill rotWithShape="1">
                    <a:blip r:embed="rId44"/>
                    <a:srcRect b="18556"/>
                    <a:stretch/>
                  </pic:blipFill>
                  <pic:spPr bwMode="auto">
                    <a:xfrm>
                      <a:off x="0" y="0"/>
                      <a:ext cx="5641340" cy="34455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60"/>
      <w:bookmarkEnd w:id="61"/>
      <w:bookmarkEnd w:id="62"/>
      <w:bookmarkEnd w:id="63"/>
    </w:p>
    <w:p w14:paraId="5F07E7FC" w14:textId="77777777" w:rsidR="00117D83" w:rsidRPr="00AF7228" w:rsidRDefault="00117D83">
      <w:pPr>
        <w:spacing w:before="0" w:after="0"/>
      </w:pPr>
    </w:p>
    <w:p w14:paraId="60BE08A9" w14:textId="77777777" w:rsidR="00117D83" w:rsidRPr="00AF7228" w:rsidRDefault="00117D83">
      <w:pPr>
        <w:spacing w:before="0" w:after="0"/>
      </w:pPr>
    </w:p>
    <w:p w14:paraId="1DA0A4DC" w14:textId="77777777" w:rsidR="00117D83" w:rsidRPr="00AF7228" w:rsidRDefault="00117D83">
      <w:pPr>
        <w:spacing w:before="0" w:after="0"/>
      </w:pPr>
    </w:p>
    <w:p w14:paraId="01FC3588" w14:textId="77777777" w:rsidR="00117D83" w:rsidRPr="00AF7228" w:rsidRDefault="00117D83">
      <w:pPr>
        <w:spacing w:before="0" w:after="0"/>
      </w:pPr>
    </w:p>
    <w:p w14:paraId="54CCB670" w14:textId="77777777" w:rsidR="00117D83" w:rsidRPr="00AF7228" w:rsidRDefault="00117D83">
      <w:pPr>
        <w:spacing w:before="0" w:after="0"/>
      </w:pPr>
    </w:p>
    <w:p w14:paraId="6E8324C6" w14:textId="77777777" w:rsidR="00117D83" w:rsidRPr="00AF7228" w:rsidRDefault="00117D83">
      <w:pPr>
        <w:spacing w:before="0" w:after="0"/>
      </w:pPr>
    </w:p>
    <w:p w14:paraId="3A37E411" w14:textId="77777777" w:rsidR="00117D83" w:rsidRPr="00AF7228" w:rsidRDefault="00117D83">
      <w:pPr>
        <w:spacing w:before="0" w:after="0"/>
      </w:pPr>
    </w:p>
    <w:p w14:paraId="42151BD8" w14:textId="77777777" w:rsidR="00117D83" w:rsidRPr="00AF7228" w:rsidRDefault="00117D83">
      <w:pPr>
        <w:spacing w:before="0" w:after="0"/>
      </w:pPr>
    </w:p>
    <w:p w14:paraId="28E862CA" w14:textId="77777777" w:rsidR="00117D83" w:rsidRPr="00AF7228" w:rsidRDefault="00117D83">
      <w:pPr>
        <w:spacing w:before="0" w:after="0"/>
      </w:pPr>
    </w:p>
    <w:p w14:paraId="03C14CC9" w14:textId="77777777" w:rsidR="00117D83" w:rsidRPr="00AF7228" w:rsidRDefault="00117D83">
      <w:pPr>
        <w:spacing w:before="0" w:after="0"/>
      </w:pPr>
    </w:p>
    <w:p w14:paraId="4B86AE40" w14:textId="77777777" w:rsidR="00117D83" w:rsidRPr="00AF7228" w:rsidRDefault="00117D83">
      <w:pPr>
        <w:spacing w:before="0" w:after="0"/>
      </w:pPr>
    </w:p>
    <w:p w14:paraId="6A582FCA" w14:textId="77777777" w:rsidR="00117D83" w:rsidRPr="00AF7228" w:rsidRDefault="00117D83">
      <w:pPr>
        <w:spacing w:before="0" w:after="0"/>
      </w:pPr>
    </w:p>
    <w:p w14:paraId="4A094FE1" w14:textId="77777777" w:rsidR="00117D83" w:rsidRPr="00AF7228" w:rsidRDefault="00117D83">
      <w:pPr>
        <w:spacing w:before="0" w:after="0"/>
      </w:pPr>
    </w:p>
    <w:p w14:paraId="0609165F" w14:textId="77777777" w:rsidR="00117D83" w:rsidRPr="00AF7228" w:rsidRDefault="00117D83">
      <w:pPr>
        <w:spacing w:before="0" w:after="0"/>
      </w:pPr>
    </w:p>
    <w:p w14:paraId="643A46AF" w14:textId="77777777" w:rsidR="00117D83" w:rsidRPr="00AF7228" w:rsidRDefault="00117D83">
      <w:pPr>
        <w:spacing w:before="0" w:after="0"/>
      </w:pPr>
    </w:p>
    <w:p w14:paraId="2B166463" w14:textId="77777777" w:rsidR="00117D83" w:rsidRPr="00AF7228" w:rsidRDefault="00117D83">
      <w:pPr>
        <w:spacing w:before="0" w:after="0"/>
      </w:pPr>
    </w:p>
    <w:p w14:paraId="1CAE97A5" w14:textId="77777777" w:rsidR="00117D83" w:rsidRPr="00AF7228" w:rsidRDefault="00117D83">
      <w:pPr>
        <w:spacing w:before="0" w:after="0"/>
      </w:pPr>
    </w:p>
    <w:p w14:paraId="5DE8E666" w14:textId="77777777" w:rsidR="00117D83" w:rsidRPr="00AF7228" w:rsidRDefault="00117D83">
      <w:pPr>
        <w:spacing w:before="0" w:after="0"/>
      </w:pPr>
    </w:p>
    <w:p w14:paraId="6E6B77E0" w14:textId="77777777" w:rsidR="00117D83" w:rsidRPr="00AF7228" w:rsidRDefault="00117D83">
      <w:pPr>
        <w:spacing w:before="0" w:after="0"/>
      </w:pPr>
    </w:p>
    <w:p w14:paraId="18D8DD3F" w14:textId="77777777" w:rsidR="00117D83" w:rsidRPr="00AF7228" w:rsidRDefault="00117D83">
      <w:pPr>
        <w:spacing w:before="0" w:after="0"/>
      </w:pPr>
    </w:p>
    <w:p w14:paraId="7DEBCFCA" w14:textId="77777777" w:rsidR="00117D83" w:rsidRPr="00AF7228" w:rsidRDefault="00117D83">
      <w:pPr>
        <w:spacing w:before="0" w:after="0"/>
      </w:pPr>
    </w:p>
    <w:p w14:paraId="0977BD7C" w14:textId="77777777" w:rsidR="00117D83" w:rsidRPr="00AF7228" w:rsidRDefault="00117D83">
      <w:pPr>
        <w:spacing w:before="0" w:after="0"/>
      </w:pPr>
    </w:p>
    <w:p w14:paraId="1A76C315" w14:textId="77777777" w:rsidR="00117D83" w:rsidRPr="00AF7228" w:rsidRDefault="00117D83">
      <w:pPr>
        <w:spacing w:before="0" w:after="0"/>
      </w:pPr>
    </w:p>
    <w:p w14:paraId="17677111" w14:textId="77777777" w:rsidR="00117D83" w:rsidRPr="00AF7228" w:rsidRDefault="00117D83">
      <w:pPr>
        <w:spacing w:before="0" w:after="0"/>
      </w:pPr>
    </w:p>
    <w:p w14:paraId="619D5348" w14:textId="29112E9B" w:rsidR="00117D83" w:rsidRPr="00AF7228" w:rsidRDefault="00C36AC7" w:rsidP="00C36AC7">
      <w:pPr>
        <w:pStyle w:val="FigureCaption"/>
      </w:pPr>
      <w:bookmarkStart w:id="64" w:name="_Toc6237989"/>
      <w:r w:rsidRPr="00AF7228">
        <w:t>Suicide in Australia, 2017</w:t>
      </w:r>
      <w:r w:rsidR="00117D83" w:rsidRPr="00AF7228">
        <w:rPr>
          <w:noProof/>
          <w:lang w:eastAsia="en-AU"/>
        </w:rPr>
        <w:drawing>
          <wp:anchor distT="0" distB="0" distL="114300" distR="114300" simplePos="0" relativeHeight="251766272" behindDoc="0" locked="0" layoutInCell="1" allowOverlap="1" wp14:anchorId="2510E479" wp14:editId="44B50854">
            <wp:simplePos x="0" y="0"/>
            <wp:positionH relativeFrom="column">
              <wp:posOffset>143518</wp:posOffset>
            </wp:positionH>
            <wp:positionV relativeFrom="paragraph">
              <wp:posOffset>293386</wp:posOffset>
            </wp:positionV>
            <wp:extent cx="5556885" cy="4167505"/>
            <wp:effectExtent l="0" t="0" r="0" b="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ATSI-Suicide-InfoGraphic-2017-Draft2.pdf"/>
                    <pic:cNvPicPr/>
                  </pic:nvPicPr>
                  <pic:blipFill>
                    <a:blip r:embed="rId45"/>
                    <a:stretch>
                      <a:fillRect/>
                    </a:stretch>
                  </pic:blipFill>
                  <pic:spPr>
                    <a:xfrm>
                      <a:off x="0" y="0"/>
                      <a:ext cx="5556885" cy="4167505"/>
                    </a:xfrm>
                    <a:prstGeom prst="rect">
                      <a:avLst/>
                    </a:prstGeom>
                  </pic:spPr>
                </pic:pic>
              </a:graphicData>
            </a:graphic>
            <wp14:sizeRelH relativeFrom="page">
              <wp14:pctWidth>0</wp14:pctWidth>
            </wp14:sizeRelH>
            <wp14:sizeRelV relativeFrom="page">
              <wp14:pctHeight>0</wp14:pctHeight>
            </wp14:sizeRelV>
          </wp:anchor>
        </w:drawing>
      </w:r>
      <w:bookmarkEnd w:id="64"/>
    </w:p>
    <w:p w14:paraId="0F2641AC" w14:textId="002AAC0B" w:rsidR="00C36AC7" w:rsidRDefault="00C36AC7" w:rsidP="00C36AC7">
      <w:pPr>
        <w:pStyle w:val="FigureCaption"/>
      </w:pPr>
      <w:bookmarkStart w:id="65" w:name="_Toc6237990"/>
      <w:r w:rsidRPr="00AF7228">
        <w:t>Aboriginal and Torres Strait Islander Suicide, 2012-2016</w:t>
      </w:r>
      <w:bookmarkEnd w:id="65"/>
    </w:p>
    <w:p w14:paraId="056A6742" w14:textId="3102663D" w:rsidR="00AB3340" w:rsidRPr="00AB3340" w:rsidRDefault="00AB3340" w:rsidP="00AB3340">
      <w:pPr>
        <w:pStyle w:val="TableNotes"/>
      </w:pPr>
      <w:r>
        <w:t>Note that the data in Figure 1</w:t>
      </w:r>
      <w:r w:rsidR="00AD3544">
        <w:t>9</w:t>
      </w:r>
      <w:r>
        <w:t xml:space="preserve"> excludes Tasmania and Victoria and the ACT.</w:t>
      </w:r>
    </w:p>
    <w:p w14:paraId="0B5B0895" w14:textId="001E5D8D" w:rsidR="00C36AC7" w:rsidRPr="00AF7228" w:rsidRDefault="00C36AC7" w:rsidP="00AB3340">
      <w:pPr>
        <w:pStyle w:val="BodyText"/>
      </w:pPr>
    </w:p>
    <w:p w14:paraId="216191F6" w14:textId="365C3B48" w:rsidR="003376B3" w:rsidRPr="00AF7228" w:rsidRDefault="003376B3" w:rsidP="00117D83">
      <w:pPr>
        <w:pStyle w:val="Heading1"/>
      </w:pPr>
      <w:bookmarkStart w:id="66" w:name="_Toc6238814"/>
      <w:r w:rsidRPr="00AF7228">
        <w:lastRenderedPageBreak/>
        <w:t>The State of Mental Health Care in Australia</w:t>
      </w:r>
      <w:bookmarkEnd w:id="66"/>
      <w:r w:rsidRPr="00AF7228">
        <w:t xml:space="preserve"> </w:t>
      </w:r>
    </w:p>
    <w:p w14:paraId="3729400E" w14:textId="63950161" w:rsidR="003376B3" w:rsidRPr="00AD3544" w:rsidRDefault="003376B3" w:rsidP="00B303FA">
      <w:pPr>
        <w:pStyle w:val="Quote"/>
        <w:ind w:left="0" w:right="-36"/>
        <w:jc w:val="left"/>
        <w:rPr>
          <w:rFonts w:asciiTheme="minorHAnsi" w:hAnsiTheme="minorHAnsi"/>
          <w:szCs w:val="21"/>
        </w:rPr>
      </w:pPr>
      <w:r w:rsidRPr="00AD3544">
        <w:rPr>
          <w:rFonts w:asciiTheme="minorHAnsi" w:hAnsiTheme="minorHAnsi"/>
          <w:szCs w:val="21"/>
        </w:rPr>
        <w:t xml:space="preserve">This is the saddest case I have investigated in my time as Ombudsman. A 39-year-old woman spent over 18 months in prison, locked in her cell up to 23 hours a day, where she would scream with distress for hours on end. She had been charged with breaching an intervention order taken out by her family, who could not cope with her behaviour, and resisting police. This woman, whom we refer to as Rebecca, was found unfit to stand trial and not guilty because of mental impairment. She remained in prison simply because there was nowhere for her to go. </w:t>
      </w:r>
    </w:p>
    <w:p w14:paraId="22DB8DD2" w14:textId="7BF28649" w:rsidR="00B06990" w:rsidRPr="00AF7228" w:rsidRDefault="003376B3" w:rsidP="00D71D1B">
      <w:pPr>
        <w:pStyle w:val="BodyText"/>
        <w:ind w:right="887"/>
        <w:jc w:val="right"/>
      </w:pPr>
      <w:r w:rsidRPr="00AF7228">
        <w:t>Victorian Ombudsman, 16 October 2018</w:t>
      </w:r>
      <w:r w:rsidRPr="00AF7228">
        <w:rPr>
          <w:rStyle w:val="FootnoteReference"/>
        </w:rPr>
        <w:footnoteReference w:id="30"/>
      </w:r>
    </w:p>
    <w:p w14:paraId="59B1565A" w14:textId="5EBB19B9" w:rsidR="00D71D1B" w:rsidRPr="00AF7228" w:rsidRDefault="00B06990" w:rsidP="00B06990">
      <w:pPr>
        <w:pStyle w:val="BodyText"/>
      </w:pPr>
      <w:r w:rsidRPr="00AF7228">
        <w:t xml:space="preserve">Individual, </w:t>
      </w:r>
      <w:r w:rsidRPr="00AD3544">
        <w:rPr>
          <w:b/>
        </w:rPr>
        <w:t>whole of service</w:t>
      </w:r>
      <w:r w:rsidRPr="00AF7228">
        <w:t xml:space="preserve"> and </w:t>
      </w:r>
      <w:r w:rsidRPr="00AD3544">
        <w:rPr>
          <w:b/>
        </w:rPr>
        <w:t>systems level failures</w:t>
      </w:r>
      <w:r w:rsidRPr="00AF7228">
        <w:t xml:space="preserve"> in mental health care are reported to the Australian public on an almost daily basis. </w:t>
      </w:r>
      <w:r w:rsidR="00D71D1B" w:rsidRPr="00AF7228">
        <w:t xml:space="preserve">There is little doubt that this contributes to a collective despair across Australia. Young people consistently rate mental health and access to care as their number </w:t>
      </w:r>
      <w:r w:rsidR="001964F3">
        <w:t>one</w:t>
      </w:r>
      <w:r w:rsidR="001964F3" w:rsidRPr="00AF7228">
        <w:t xml:space="preserve"> </w:t>
      </w:r>
      <w:r w:rsidR="00D71D1B" w:rsidRPr="00AF7228">
        <w:t xml:space="preserve">concern. There is also little doubt that this contributes to stigma and prevents many people seeking the professional health care and support they need. </w:t>
      </w:r>
    </w:p>
    <w:p w14:paraId="57BBC9A1" w14:textId="4AD6C2B8" w:rsidR="00B06990" w:rsidRPr="00AF7228" w:rsidRDefault="00D71D1B" w:rsidP="00B06990">
      <w:pPr>
        <w:pStyle w:val="BodyText"/>
      </w:pPr>
      <w:r w:rsidRPr="00AF7228">
        <w:t xml:space="preserve">The Productivity Commission Inquiry must ask: </w:t>
      </w:r>
      <w:r w:rsidRPr="00AD3544">
        <w:rPr>
          <w:b/>
        </w:rPr>
        <w:t>why is</w:t>
      </w:r>
      <w:r w:rsidR="00B06990" w:rsidRPr="00AD3544">
        <w:rPr>
          <w:b/>
        </w:rPr>
        <w:t xml:space="preserve"> this occurring</w:t>
      </w:r>
      <w:r w:rsidR="00B06990" w:rsidRPr="00AF7228">
        <w:t>, 2</w:t>
      </w:r>
      <w:r w:rsidR="002A70E7" w:rsidRPr="00AF7228">
        <w:t>3</w:t>
      </w:r>
      <w:r w:rsidR="00B06990" w:rsidRPr="00AF7228">
        <w:t xml:space="preserve"> years after mental health was declared by the Australian Health Minister’s Council as a national health priority and nearly </w:t>
      </w:r>
      <w:r w:rsidR="001964F3">
        <w:t>three</w:t>
      </w:r>
      <w:r w:rsidR="001964F3" w:rsidRPr="00AF7228">
        <w:t xml:space="preserve"> </w:t>
      </w:r>
      <w:r w:rsidR="00B06990" w:rsidRPr="00AF7228">
        <w:t xml:space="preserve">decades on from the start of a national mental health strategy. </w:t>
      </w:r>
    </w:p>
    <w:p w14:paraId="6C316BB8" w14:textId="66C85304" w:rsidR="00B06990" w:rsidRPr="00AF7228" w:rsidRDefault="00B06990" w:rsidP="00B06990">
      <w:pPr>
        <w:pStyle w:val="BodyText"/>
      </w:pPr>
      <w:r w:rsidRPr="00AF7228">
        <w:t xml:space="preserve">Concurrent to the Productivity Commission Inquiry, there are three other major reviews of mental health underway in Australia and several major reviews have just been completed. These are discussed briefly in this section. </w:t>
      </w:r>
    </w:p>
    <w:p w14:paraId="0872B780" w14:textId="579BEB98" w:rsidR="00B06990" w:rsidRPr="00AF7228" w:rsidRDefault="00B06990" w:rsidP="00B06990">
      <w:pPr>
        <w:pStyle w:val="BodyText"/>
      </w:pPr>
      <w:r w:rsidRPr="00AF7228">
        <w:t xml:space="preserve">Indeed since the early 2000’s, a decade after the start of the First National Mental Health Plan and the completion of the Human Rights and Equal Opportunity Commission’s damming report in 1993 on human rights abuses faced by people with mental illnesses, there has been </w:t>
      </w:r>
      <w:r w:rsidRPr="00AD3544">
        <w:rPr>
          <w:b/>
        </w:rPr>
        <w:t>a continuous stream</w:t>
      </w:r>
      <w:r w:rsidRPr="00AF7228">
        <w:t xml:space="preserve"> of inquiries and reports issued on the state of mental health care in Australia. </w:t>
      </w:r>
    </w:p>
    <w:p w14:paraId="6972298C" w14:textId="018DFE9C" w:rsidR="00B06990" w:rsidRPr="00AF7228" w:rsidRDefault="00B06990" w:rsidP="00B06990">
      <w:pPr>
        <w:pStyle w:val="BodyText"/>
      </w:pPr>
      <w:r w:rsidRPr="00AD3544">
        <w:rPr>
          <w:b/>
        </w:rPr>
        <w:t>Appendix Three</w:t>
      </w:r>
      <w:r w:rsidRPr="00AF7228">
        <w:t xml:space="preserve"> lists a total of 12</w:t>
      </w:r>
      <w:r w:rsidR="00D71D1B" w:rsidRPr="00AF7228">
        <w:t>5</w:t>
      </w:r>
      <w:r w:rsidRPr="00AF7228">
        <w:t xml:space="preserve"> reviews or inquiries undertaken by the Australian Parliament, state and territory statutory authorities and others. Only f</w:t>
      </w:r>
      <w:r w:rsidR="00D71D1B" w:rsidRPr="00AF7228">
        <w:t>ive</w:t>
      </w:r>
      <w:r w:rsidRPr="00AF7228">
        <w:t xml:space="preserve"> of these were completed prior to the commencement of the National Mental Health Strategy and the First National Mental Health Plan in 1993. The majority have been conducted in the period since the completion of the COAG National Mental Health Plan in 2011.</w:t>
      </w:r>
    </w:p>
    <w:p w14:paraId="5BB0D4AC" w14:textId="0570213B" w:rsidR="00B06990" w:rsidRPr="00AF7228" w:rsidRDefault="00B06990" w:rsidP="00B06990">
      <w:pPr>
        <w:pStyle w:val="BodyText"/>
      </w:pPr>
      <w:r w:rsidRPr="00AF7228">
        <w:t xml:space="preserve">This equates to a major review </w:t>
      </w:r>
      <w:r w:rsidRPr="00AD3544">
        <w:rPr>
          <w:b/>
        </w:rPr>
        <w:t>every 84 days since 1st January 1993</w:t>
      </w:r>
      <w:r w:rsidRPr="00AF7228">
        <w:t>. Yet this is an incomplete list</w:t>
      </w:r>
      <w:r w:rsidR="00AD3544">
        <w:t xml:space="preserve">: </w:t>
      </w:r>
      <w:r w:rsidRPr="00AF7228">
        <w:t xml:space="preserve">it does not include inquiries conducted by any statutory authorities in Queensland, Tasmania, the ACT or NT since 2011 or by any state/territory parliaments or legislative assemblies (in any period). </w:t>
      </w:r>
      <w:r w:rsidR="00AD3544">
        <w:t>Nor does it include broader reviews of health services such as that undertaken in Victoria by Duckett</w:t>
      </w:r>
      <w:r w:rsidR="00AD3544">
        <w:rPr>
          <w:rStyle w:val="FootnoteReference"/>
        </w:rPr>
        <w:footnoteReference w:id="31"/>
      </w:r>
      <w:r w:rsidR="00AD3544">
        <w:t xml:space="preserve"> in 2016. </w:t>
      </w:r>
      <w:r w:rsidRPr="00AF7228">
        <w:t xml:space="preserve">A brief analysis of the findings from these inquiries in outlined later in this section. </w:t>
      </w:r>
    </w:p>
    <w:p w14:paraId="70918BEB" w14:textId="118CA414" w:rsidR="00B06990" w:rsidRPr="00AF7228" w:rsidRDefault="00B06990" w:rsidP="00B06990">
      <w:pPr>
        <w:pStyle w:val="BodyText"/>
      </w:pPr>
      <w:r w:rsidRPr="00AF7228">
        <w:t xml:space="preserve">The </w:t>
      </w:r>
      <w:r w:rsidRPr="00AD3544">
        <w:rPr>
          <w:b/>
        </w:rPr>
        <w:t>National Mental Health Commission’s Review</w:t>
      </w:r>
      <w:r w:rsidRPr="00AF7228">
        <w:t xml:space="preserve"> of Programmes and Services made it patently clear that the current investment in mental health services is yielding a poor return: </w:t>
      </w:r>
    </w:p>
    <w:p w14:paraId="21A95258" w14:textId="374A5737" w:rsidR="00B06990" w:rsidRPr="00B06990" w:rsidRDefault="00B06990" w:rsidP="00B303FA">
      <w:pPr>
        <w:pStyle w:val="Quote"/>
        <w:ind w:left="0" w:right="106"/>
        <w:jc w:val="left"/>
        <w:rPr>
          <w:rFonts w:asciiTheme="minorHAnsi" w:hAnsiTheme="minorHAnsi"/>
          <w:sz w:val="21"/>
          <w:szCs w:val="21"/>
        </w:rPr>
      </w:pPr>
      <w:r w:rsidRPr="00B06990">
        <w:rPr>
          <w:rFonts w:asciiTheme="minorHAnsi" w:hAnsiTheme="minorHAnsi"/>
          <w:sz w:val="21"/>
          <w:szCs w:val="21"/>
        </w:rPr>
        <w:t>Australia’s patchwork of services, programmes and systems for supporting mental health are not maximising the best outcomes from either a social or economic perspective. Many people do not receive the support they need and governments get poor returns on their substantial investment</w:t>
      </w:r>
      <w:r w:rsidRPr="00AF7228">
        <w:rPr>
          <w:rFonts w:asciiTheme="minorHAnsi" w:hAnsiTheme="minorHAnsi"/>
          <w:sz w:val="21"/>
          <w:szCs w:val="21"/>
        </w:rPr>
        <w:t>.</w:t>
      </w:r>
      <w:r w:rsidRPr="00AF7228">
        <w:rPr>
          <w:rStyle w:val="FootnoteReference"/>
          <w:szCs w:val="21"/>
        </w:rPr>
        <w:footnoteReference w:id="32"/>
      </w:r>
      <w:r w:rsidRPr="00AF7228">
        <w:rPr>
          <w:rFonts w:asciiTheme="minorHAnsi" w:hAnsiTheme="minorHAnsi"/>
          <w:sz w:val="21"/>
          <w:szCs w:val="21"/>
        </w:rPr>
        <w:t xml:space="preserve"> </w:t>
      </w:r>
      <w:r w:rsidRPr="00B06990">
        <w:rPr>
          <w:rFonts w:asciiTheme="minorHAnsi" w:hAnsiTheme="minorHAnsi"/>
          <w:sz w:val="21"/>
          <w:szCs w:val="21"/>
        </w:rPr>
        <w:t xml:space="preserve"> </w:t>
      </w:r>
    </w:p>
    <w:p w14:paraId="6930045A" w14:textId="420141CF" w:rsidR="00B06990" w:rsidRPr="00AF7228" w:rsidRDefault="00B06990" w:rsidP="00B06990">
      <w:pPr>
        <w:pStyle w:val="BodyText"/>
      </w:pPr>
      <w:r w:rsidRPr="00AF7228">
        <w:t>The NMHC goes on to state:</w:t>
      </w:r>
      <w:r w:rsidRPr="00AF7228">
        <w:rPr>
          <w:rStyle w:val="FootnoteReference"/>
        </w:rPr>
        <w:footnoteReference w:id="33"/>
      </w:r>
    </w:p>
    <w:p w14:paraId="03BD1CA8" w14:textId="77777777" w:rsidR="00B06990" w:rsidRPr="00B06990" w:rsidRDefault="00B06990" w:rsidP="00B303FA">
      <w:pPr>
        <w:pStyle w:val="BodyText"/>
        <w:rPr>
          <w:rFonts w:asciiTheme="minorHAnsi" w:hAnsiTheme="minorHAnsi"/>
          <w:i/>
          <w:iCs/>
          <w:color w:val="404040" w:themeColor="text1" w:themeTint="BF"/>
          <w:sz w:val="21"/>
          <w:szCs w:val="21"/>
        </w:rPr>
      </w:pPr>
      <w:r w:rsidRPr="00B06990">
        <w:rPr>
          <w:rFonts w:asciiTheme="minorHAnsi" w:hAnsiTheme="minorHAnsi"/>
          <w:i/>
          <w:iCs/>
          <w:color w:val="404040" w:themeColor="text1" w:themeTint="BF"/>
          <w:sz w:val="21"/>
          <w:szCs w:val="21"/>
        </w:rPr>
        <w:lastRenderedPageBreak/>
        <w:t xml:space="preserve">Nationwide, resources are concentrated in expensive acute care services, and too little is directed towards supports that help to prevent and intervene early in mental illness. </w:t>
      </w:r>
    </w:p>
    <w:p w14:paraId="4D2ECDD6" w14:textId="77777777" w:rsidR="00B06990" w:rsidRPr="00B06990" w:rsidRDefault="00B06990" w:rsidP="00B303FA">
      <w:pPr>
        <w:pStyle w:val="BodyText"/>
        <w:rPr>
          <w:rFonts w:asciiTheme="minorHAnsi" w:hAnsiTheme="minorHAnsi"/>
          <w:i/>
          <w:iCs/>
          <w:color w:val="404040" w:themeColor="text1" w:themeTint="BF"/>
          <w:sz w:val="21"/>
          <w:szCs w:val="21"/>
        </w:rPr>
      </w:pPr>
      <w:r w:rsidRPr="00B06990">
        <w:rPr>
          <w:rFonts w:asciiTheme="minorHAnsi" w:hAnsiTheme="minorHAnsi"/>
          <w:i/>
          <w:iCs/>
          <w:color w:val="404040" w:themeColor="text1" w:themeTint="BF"/>
          <w:sz w:val="21"/>
          <w:szCs w:val="21"/>
        </w:rPr>
        <w:t xml:space="preserve">Problems experienced by people with mental illness often are dealt with in isolation, with structural, cultural and practice barriers to integrated, wrap-around supports leading to system inefficiencies and poorer mental and physical health outcomes for individuals. </w:t>
      </w:r>
    </w:p>
    <w:p w14:paraId="0B97431E" w14:textId="789ABE5A" w:rsidR="00B06990" w:rsidRPr="00B06990" w:rsidRDefault="00B06990" w:rsidP="00B303FA">
      <w:pPr>
        <w:pStyle w:val="BodyText"/>
        <w:rPr>
          <w:rFonts w:asciiTheme="minorHAnsi" w:hAnsiTheme="minorHAnsi"/>
          <w:i/>
          <w:iCs/>
          <w:color w:val="404040" w:themeColor="text1" w:themeTint="BF"/>
          <w:sz w:val="21"/>
          <w:szCs w:val="21"/>
        </w:rPr>
      </w:pPr>
      <w:r w:rsidRPr="00B06990">
        <w:rPr>
          <w:rFonts w:asciiTheme="minorHAnsi" w:hAnsiTheme="minorHAnsi"/>
          <w:i/>
          <w:iCs/>
          <w:color w:val="404040" w:themeColor="text1" w:themeTint="BF"/>
          <w:sz w:val="21"/>
          <w:szCs w:val="21"/>
        </w:rPr>
        <w:t>The Review found inefficiency due to issues such as lack of economies of scale</w:t>
      </w:r>
      <w:r w:rsidRPr="00AF7228">
        <w:rPr>
          <w:rFonts w:asciiTheme="minorHAnsi" w:hAnsiTheme="minorHAnsi"/>
          <w:i/>
          <w:iCs/>
          <w:color w:val="404040" w:themeColor="text1" w:themeTint="BF"/>
          <w:sz w:val="21"/>
          <w:szCs w:val="21"/>
        </w:rPr>
        <w:t xml:space="preserve"> ….</w:t>
      </w:r>
      <w:r w:rsidRPr="00B06990">
        <w:rPr>
          <w:rFonts w:asciiTheme="minorHAnsi" w:hAnsiTheme="minorHAnsi"/>
          <w:i/>
          <w:iCs/>
          <w:color w:val="404040" w:themeColor="text1" w:themeTint="BF"/>
          <w:sz w:val="21"/>
          <w:szCs w:val="21"/>
        </w:rPr>
        <w:t xml:space="preserve"> But by far the biggest inefficiencies in the system come from doing the wrong things – from providing acute and crisis response services when prevention and early intervention services would have reduced the need for those expensive services, maintained people in the community with their families and enabled more people to participate in employment and education. </w:t>
      </w:r>
    </w:p>
    <w:p w14:paraId="44F689F9" w14:textId="77777777" w:rsidR="00B06990" w:rsidRPr="00B06990" w:rsidRDefault="00B06990" w:rsidP="00B303FA">
      <w:pPr>
        <w:pStyle w:val="BodyText"/>
        <w:rPr>
          <w:rFonts w:asciiTheme="minorHAnsi" w:hAnsiTheme="minorHAnsi"/>
          <w:i/>
          <w:iCs/>
          <w:color w:val="404040" w:themeColor="text1" w:themeTint="BF"/>
          <w:sz w:val="21"/>
          <w:szCs w:val="21"/>
        </w:rPr>
      </w:pPr>
      <w:r w:rsidRPr="00B06990">
        <w:rPr>
          <w:rFonts w:asciiTheme="minorHAnsi" w:hAnsiTheme="minorHAnsi"/>
          <w:i/>
          <w:iCs/>
          <w:color w:val="404040" w:themeColor="text1" w:themeTint="BF"/>
          <w:sz w:val="21"/>
          <w:szCs w:val="21"/>
        </w:rPr>
        <w:t xml:space="preserve">In fact, there is evidence that far too many people suffer worse mental and physical ill-health because of the treatment they receive, or are condemned to ongoing cycles of avoidable treatment and medications, including avoidable involuntary seclusion and restraint. </w:t>
      </w:r>
    </w:p>
    <w:p w14:paraId="4117F883" w14:textId="77777777" w:rsidR="00B06990" w:rsidRPr="00B06990" w:rsidRDefault="00B06990" w:rsidP="00B303FA">
      <w:pPr>
        <w:pStyle w:val="BodyText"/>
        <w:rPr>
          <w:rFonts w:asciiTheme="minorHAnsi" w:hAnsiTheme="minorHAnsi"/>
          <w:i/>
          <w:iCs/>
          <w:color w:val="404040" w:themeColor="text1" w:themeTint="BF"/>
          <w:sz w:val="21"/>
          <w:szCs w:val="21"/>
        </w:rPr>
      </w:pPr>
      <w:r w:rsidRPr="00B06990">
        <w:rPr>
          <w:rFonts w:asciiTheme="minorHAnsi" w:hAnsiTheme="minorHAnsi"/>
          <w:i/>
          <w:iCs/>
          <w:color w:val="404040" w:themeColor="text1" w:themeTint="BF"/>
          <w:sz w:val="21"/>
          <w:szCs w:val="21"/>
        </w:rPr>
        <w:t xml:space="preserve">These challenges are compounded by a mental health workforce under pressure, with services experiencing shortages, high rates of turnover and challenges in recruiting appropriately skilled and experienced staff. </w:t>
      </w:r>
    </w:p>
    <w:p w14:paraId="651E8BC3" w14:textId="77777777" w:rsidR="00B06990" w:rsidRPr="00AF7228" w:rsidRDefault="00B06990" w:rsidP="00B06990">
      <w:pPr>
        <w:pStyle w:val="BodyText"/>
      </w:pPr>
      <w:r w:rsidRPr="00AF7228">
        <w:t>On the positive side the Review found:</w:t>
      </w:r>
    </w:p>
    <w:p w14:paraId="61A74EF3" w14:textId="53F95CEE" w:rsidR="00B06990" w:rsidRPr="00B06990" w:rsidRDefault="00B06990" w:rsidP="00B303FA">
      <w:pPr>
        <w:pStyle w:val="BodyText"/>
        <w:rPr>
          <w:rFonts w:asciiTheme="minorHAnsi" w:hAnsiTheme="minorHAnsi"/>
          <w:i/>
          <w:iCs/>
          <w:color w:val="404040" w:themeColor="text1" w:themeTint="BF"/>
          <w:sz w:val="21"/>
          <w:szCs w:val="21"/>
        </w:rPr>
      </w:pPr>
      <w:r w:rsidRPr="00B06990">
        <w:rPr>
          <w:rFonts w:asciiTheme="minorHAnsi" w:hAnsiTheme="minorHAnsi"/>
          <w:i/>
          <w:iCs/>
          <w:color w:val="404040" w:themeColor="text1" w:themeTint="BF"/>
          <w:sz w:val="21"/>
          <w:szCs w:val="21"/>
        </w:rPr>
        <w:t>At a service level, we found there are many examples of wonderful innovation and that effective strategies do exist for keeping people and families on track to participate and contribute to the social and economic life of the community. The key feature of these strategies is that they take a person-centred, whole-of-life approach.</w:t>
      </w:r>
      <w:r w:rsidRPr="00AF7228">
        <w:rPr>
          <w:rStyle w:val="FootnoteReference"/>
          <w:i/>
          <w:iCs/>
          <w:color w:val="404040" w:themeColor="text1" w:themeTint="BF"/>
          <w:szCs w:val="21"/>
        </w:rPr>
        <w:footnoteReference w:id="34"/>
      </w:r>
      <w:r w:rsidRPr="00B06990">
        <w:rPr>
          <w:rFonts w:asciiTheme="minorHAnsi" w:hAnsiTheme="minorHAnsi"/>
          <w:i/>
          <w:iCs/>
          <w:color w:val="404040" w:themeColor="text1" w:themeTint="BF"/>
          <w:sz w:val="21"/>
          <w:szCs w:val="21"/>
        </w:rPr>
        <w:t xml:space="preserve"> </w:t>
      </w:r>
    </w:p>
    <w:p w14:paraId="281CDD2D" w14:textId="77777777" w:rsidR="00AD3544" w:rsidRDefault="00B06990" w:rsidP="00B6368F">
      <w:pPr>
        <w:pStyle w:val="BodyText"/>
      </w:pPr>
      <w:r w:rsidRPr="00AF7228">
        <w:t>This</w:t>
      </w:r>
      <w:r w:rsidR="00D71D1B" w:rsidRPr="00AF7228">
        <w:t xml:space="preserve"> last point</w:t>
      </w:r>
      <w:r w:rsidRPr="00AF7228">
        <w:t xml:space="preserve"> is consistent with </w:t>
      </w:r>
      <w:r w:rsidR="00D71D1B" w:rsidRPr="00AF7228">
        <w:t xml:space="preserve">earlier </w:t>
      </w:r>
      <w:r w:rsidRPr="00AF7228">
        <w:t>national reviews completed</w:t>
      </w:r>
      <w:r w:rsidR="00D71D1B" w:rsidRPr="00AF7228">
        <w:t xml:space="preserve"> - </w:t>
      </w:r>
      <w:r w:rsidRPr="00AF7228">
        <w:t xml:space="preserve">the so called </w:t>
      </w:r>
      <w:r w:rsidRPr="00AD3544">
        <w:rPr>
          <w:b/>
          <w:i/>
        </w:rPr>
        <w:t>“islands of excellence”</w:t>
      </w:r>
      <w:r w:rsidRPr="00AF7228">
        <w:t>.</w:t>
      </w:r>
      <w:r w:rsidRPr="00AF7228">
        <w:rPr>
          <w:rStyle w:val="FootnoteReference"/>
        </w:rPr>
        <w:footnoteReference w:id="35"/>
      </w:r>
      <w:r w:rsidRPr="00AF7228">
        <w:t xml:space="preserve"> </w:t>
      </w:r>
      <w:r w:rsidRPr="00AF7228">
        <w:rPr>
          <w:rStyle w:val="FootnoteReference"/>
        </w:rPr>
        <w:footnoteReference w:id="36"/>
      </w:r>
      <w:r w:rsidR="00D71D1B" w:rsidRPr="00AF7228">
        <w:t xml:space="preserve"> </w:t>
      </w:r>
      <w:r w:rsidRPr="00AF7228">
        <w:t xml:space="preserve">Incredibly, the islands have remained just that – isolated service level or sub-regional examples of good practice. It is clear that these examples have not been scaled to whole-of-region, state or national levels despite ever increasing investment by governments and others. </w:t>
      </w:r>
    </w:p>
    <w:p w14:paraId="509ECCCB" w14:textId="5BD2230C" w:rsidR="00BD7169" w:rsidRPr="00AF7228" w:rsidRDefault="00AD3544" w:rsidP="00B6368F">
      <w:pPr>
        <w:pStyle w:val="BodyText"/>
      </w:pPr>
      <w:r>
        <w:t xml:space="preserve">Even the roll out of </w:t>
      </w:r>
      <w:r w:rsidRPr="00AD3544">
        <w:rPr>
          <w:b/>
        </w:rPr>
        <w:t>110 headspace centres</w:t>
      </w:r>
      <w:r>
        <w:t xml:space="preserve"> has not delivered on the promise of </w:t>
      </w:r>
      <w:r w:rsidRPr="00AD3544">
        <w:t xml:space="preserve">quality </w:t>
      </w:r>
      <w:r>
        <w:t>integrated primary mental health care for young people with reasonable consistency after 12 years. Wait times for initial sessions can vary between 1 and 99 days (average 25 days).</w:t>
      </w:r>
      <w:r>
        <w:rPr>
          <w:rStyle w:val="FootnoteReference"/>
        </w:rPr>
        <w:footnoteReference w:id="37"/>
      </w:r>
      <w:r>
        <w:t xml:space="preserve">  Some researchers have also pointed to considerable variation in the clients attending headspace and whether those with a need for service are accessing care.</w:t>
      </w:r>
      <w:r>
        <w:rPr>
          <w:rStyle w:val="FootnoteReference"/>
        </w:rPr>
        <w:footnoteReference w:id="38"/>
      </w:r>
      <w:r>
        <w:t xml:space="preserve"> </w:t>
      </w:r>
      <w:r w:rsidRPr="00AD3544">
        <w:t xml:space="preserve"> </w:t>
      </w:r>
      <w:r>
        <w:t>In terms of outcomes from the services, the most recent evaluation data show</w:t>
      </w:r>
      <w:r w:rsidRPr="00AD3544">
        <w:t xml:space="preserve"> that 51% </w:t>
      </w:r>
      <w:r>
        <w:t xml:space="preserve">of clients </w:t>
      </w:r>
      <w:r w:rsidRPr="00AD3544">
        <w:t>had no significant change</w:t>
      </w:r>
      <w:r>
        <w:t>,</w:t>
      </w:r>
      <w:r w:rsidRPr="00AD3544">
        <w:t xml:space="preserve"> 13% had significant worsening</w:t>
      </w:r>
      <w:r>
        <w:t xml:space="preserve"> and </w:t>
      </w:r>
      <w:r w:rsidRPr="00AD3544">
        <w:t>36% had significant improvement in their symptoms.</w:t>
      </w:r>
      <w:r>
        <w:rPr>
          <w:rStyle w:val="FootnoteReference"/>
        </w:rPr>
        <w:footnoteReference w:id="39"/>
      </w:r>
    </w:p>
    <w:p w14:paraId="291EAF1F" w14:textId="77777777" w:rsidR="001964F3" w:rsidRDefault="001964F3" w:rsidP="00117D83">
      <w:pPr>
        <w:pStyle w:val="Heading1"/>
      </w:pPr>
      <w:bookmarkStart w:id="67" w:name="_Toc6238815"/>
    </w:p>
    <w:p w14:paraId="06E44B69" w14:textId="77777777" w:rsidR="001964F3" w:rsidRDefault="001964F3" w:rsidP="00117D83">
      <w:pPr>
        <w:pStyle w:val="Heading1"/>
      </w:pPr>
    </w:p>
    <w:p w14:paraId="173A73CE" w14:textId="77777777" w:rsidR="001964F3" w:rsidRDefault="001964F3" w:rsidP="00117D83">
      <w:pPr>
        <w:pStyle w:val="Heading1"/>
      </w:pPr>
    </w:p>
    <w:p w14:paraId="000BAF04" w14:textId="7F2DB30A" w:rsidR="00EB7A13" w:rsidRPr="00AF7228" w:rsidRDefault="00EB7A13" w:rsidP="00117D83">
      <w:pPr>
        <w:pStyle w:val="Heading1"/>
      </w:pPr>
      <w:r w:rsidRPr="00AF7228">
        <w:lastRenderedPageBreak/>
        <w:t>Results from Integrated Atlas Studies</w:t>
      </w:r>
      <w:bookmarkEnd w:id="67"/>
    </w:p>
    <w:p w14:paraId="20F792CB" w14:textId="5CA62F2D" w:rsidR="00EB7A13" w:rsidRPr="00AF7228" w:rsidRDefault="00EB7A13" w:rsidP="00EB7A13">
      <w:pPr>
        <w:pStyle w:val="BodyText"/>
      </w:pPr>
      <w:r w:rsidRPr="00AF7228">
        <w:t xml:space="preserve">Another set of analyses on the state of mental health in Australia, </w:t>
      </w:r>
      <w:r w:rsidR="00AD3544">
        <w:t>which</w:t>
      </w:r>
      <w:r w:rsidR="001964F3">
        <w:t xml:space="preserve"> we would like</w:t>
      </w:r>
      <w:r w:rsidR="00AD3544">
        <w:t xml:space="preserve"> to </w:t>
      </w:r>
      <w:r w:rsidRPr="00AF7228">
        <w:t>dr</w:t>
      </w:r>
      <w:r w:rsidR="00AD3544">
        <w:t>a</w:t>
      </w:r>
      <w:r w:rsidRPr="00AF7228">
        <w:t xml:space="preserve">w to the Commission’s attention is the development of </w:t>
      </w:r>
      <w:r w:rsidRPr="00AD3544">
        <w:rPr>
          <w:b/>
        </w:rPr>
        <w:t xml:space="preserve">Integrated Atlases of </w:t>
      </w:r>
      <w:r w:rsidR="001964F3">
        <w:rPr>
          <w:b/>
        </w:rPr>
        <w:t>M</w:t>
      </w:r>
      <w:r w:rsidR="001964F3" w:rsidRPr="00AD3544">
        <w:rPr>
          <w:b/>
        </w:rPr>
        <w:t xml:space="preserve">ental </w:t>
      </w:r>
      <w:r w:rsidR="001964F3">
        <w:rPr>
          <w:b/>
        </w:rPr>
        <w:t>H</w:t>
      </w:r>
      <w:r w:rsidRPr="00AD3544">
        <w:rPr>
          <w:b/>
        </w:rPr>
        <w:t>ealth</w:t>
      </w:r>
      <w:r w:rsidRPr="00AF7228">
        <w:t xml:space="preserve">, alcohol and other drugs and other chronic conditions. The Integrated Atlas methodology was first undertaken in western Sydney commissioned by </w:t>
      </w:r>
      <w:r w:rsidR="00AF7228" w:rsidRPr="00AF7228">
        <w:t>WentWest</w:t>
      </w:r>
      <w:r w:rsidRPr="00AF7228">
        <w:t xml:space="preserve"> in 2014. Since then a further 19 atlases have been produced covering PHNs and LHDs in Western Australia, Victoria, NSW, the ACT and Qld. Both urban and rural regions have been analysed (Figure </w:t>
      </w:r>
      <w:r w:rsidR="00AD3544">
        <w:t>20</w:t>
      </w:r>
      <w:r w:rsidRPr="00AF7228">
        <w:t xml:space="preserve">). This data can be compared with regions from over 20 countries where the same methodology has been applied. </w:t>
      </w:r>
    </w:p>
    <w:p w14:paraId="7351CE88" w14:textId="756938FD" w:rsidR="00EB7A13" w:rsidRPr="00AF7228" w:rsidRDefault="00EB7A13" w:rsidP="00AD3544">
      <w:pPr>
        <w:pStyle w:val="BodyText"/>
      </w:pPr>
      <w:r w:rsidRPr="00AF7228">
        <w:t xml:space="preserve">The Atlas reports focus on the universally available services – that is there is no out-of-pocket cost to accessing the service. Some of the Atlas reports include analyses of Medicare subsidised services. </w:t>
      </w:r>
    </w:p>
    <w:p w14:paraId="1CF8DECE" w14:textId="1E19F5EE" w:rsidR="00EB7A13" w:rsidRPr="00AF7228" w:rsidRDefault="00EB7A13" w:rsidP="00EB7A13">
      <w:pPr>
        <w:pStyle w:val="FigureCaption"/>
      </w:pPr>
      <w:bookmarkStart w:id="68" w:name="_Toc6237991"/>
      <w:r w:rsidRPr="00AF7228">
        <w:rPr>
          <w:noProof/>
          <w:lang w:eastAsia="en-AU"/>
        </w:rPr>
        <w:drawing>
          <wp:anchor distT="0" distB="0" distL="114300" distR="114300" simplePos="0" relativeHeight="251793920" behindDoc="0" locked="0" layoutInCell="1" allowOverlap="1" wp14:anchorId="5EF1C8F9" wp14:editId="59DC345A">
            <wp:simplePos x="0" y="0"/>
            <wp:positionH relativeFrom="column">
              <wp:posOffset>64588</wp:posOffset>
            </wp:positionH>
            <wp:positionV relativeFrom="paragraph">
              <wp:posOffset>93436</wp:posOffset>
            </wp:positionV>
            <wp:extent cx="5828030" cy="3290570"/>
            <wp:effectExtent l="0" t="0" r="1270" b="0"/>
            <wp:wrapSquare wrapText="bothSides"/>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creen Shot 2019-03-29 at 7.19.02 am.png"/>
                    <pic:cNvPicPr/>
                  </pic:nvPicPr>
                  <pic:blipFill>
                    <a:blip r:embed="rId46"/>
                    <a:stretch>
                      <a:fillRect/>
                    </a:stretch>
                  </pic:blipFill>
                  <pic:spPr>
                    <a:xfrm>
                      <a:off x="0" y="0"/>
                      <a:ext cx="5828030" cy="3290570"/>
                    </a:xfrm>
                    <a:prstGeom prst="rect">
                      <a:avLst/>
                    </a:prstGeom>
                  </pic:spPr>
                </pic:pic>
              </a:graphicData>
            </a:graphic>
            <wp14:sizeRelH relativeFrom="page">
              <wp14:pctWidth>0</wp14:pctWidth>
            </wp14:sizeRelH>
            <wp14:sizeRelV relativeFrom="page">
              <wp14:pctHeight>0</wp14:pctHeight>
            </wp14:sizeRelV>
          </wp:anchor>
        </w:drawing>
      </w:r>
      <w:r w:rsidRPr="00AF7228">
        <w:t>Integrated Atlases of Mental Health &amp; Chronic Care in Australia</w:t>
      </w:r>
      <w:r w:rsidRPr="00AF7228">
        <w:rPr>
          <w:rStyle w:val="FootnoteReference"/>
        </w:rPr>
        <w:footnoteReference w:id="40"/>
      </w:r>
      <w:bookmarkEnd w:id="68"/>
    </w:p>
    <w:p w14:paraId="56591F22" w14:textId="74DA687C" w:rsidR="00EB7A13" w:rsidRPr="00AF7228" w:rsidRDefault="00EB7A13" w:rsidP="00EB7A13">
      <w:pPr>
        <w:pStyle w:val="BodyText"/>
      </w:pPr>
      <w:r w:rsidRPr="00AF7228">
        <w:t xml:space="preserve">While there are significant differences between the Australian regions, there are also </w:t>
      </w:r>
      <w:r w:rsidRPr="00AD3544">
        <w:rPr>
          <w:b/>
        </w:rPr>
        <w:t xml:space="preserve">several important </w:t>
      </w:r>
      <w:r w:rsidR="00AD3544" w:rsidRPr="00AD3544">
        <w:rPr>
          <w:b/>
        </w:rPr>
        <w:t>consistencies evident</w:t>
      </w:r>
      <w:r w:rsidR="00AD3544">
        <w:t xml:space="preserve"> with some </w:t>
      </w:r>
      <w:r w:rsidRPr="00AF7228">
        <w:t>types of care almost completely absent and other characteristics. These include:</w:t>
      </w:r>
    </w:p>
    <w:p w14:paraId="340C3EA2" w14:textId="6E6CB5E6" w:rsidR="00EB7A13" w:rsidRPr="00AF7228" w:rsidRDefault="001964F3" w:rsidP="00EB7A13">
      <w:pPr>
        <w:pStyle w:val="BulletPoint"/>
      </w:pPr>
      <w:r>
        <w:t>a</w:t>
      </w:r>
      <w:r w:rsidRPr="00AF7228">
        <w:t xml:space="preserve">lternatives </w:t>
      </w:r>
      <w:r w:rsidR="00EB7A13" w:rsidRPr="00AF7228">
        <w:t>to hospital based residential services</w:t>
      </w:r>
    </w:p>
    <w:p w14:paraId="54CB9A2D" w14:textId="5B8B2F9D" w:rsidR="00EB7A13" w:rsidRPr="00AF7228" w:rsidRDefault="001964F3" w:rsidP="00EB7A13">
      <w:pPr>
        <w:pStyle w:val="BulletPoint"/>
      </w:pPr>
      <w:r>
        <w:t xml:space="preserve">a </w:t>
      </w:r>
      <w:r w:rsidR="00EB7A13" w:rsidRPr="00AF7228">
        <w:t>shortage of sub-acute care residential services</w:t>
      </w:r>
    </w:p>
    <w:p w14:paraId="21E69B92" w14:textId="05AE8C01" w:rsidR="00EB7A13" w:rsidRPr="00AF7228" w:rsidRDefault="001964F3" w:rsidP="00EB7A13">
      <w:pPr>
        <w:pStyle w:val="BulletPoint"/>
      </w:pPr>
      <w:r>
        <w:t>f</w:t>
      </w:r>
      <w:r w:rsidRPr="00AF7228">
        <w:t xml:space="preserve">ew </w:t>
      </w:r>
      <w:r w:rsidR="00EB7A13" w:rsidRPr="00AF7228">
        <w:t>employment mental health related services</w:t>
      </w:r>
    </w:p>
    <w:p w14:paraId="26EB071C" w14:textId="143DC068" w:rsidR="00EB7A13" w:rsidRPr="00AF7228" w:rsidRDefault="001964F3" w:rsidP="00EB7A13">
      <w:pPr>
        <w:pStyle w:val="BulletPoint"/>
      </w:pPr>
      <w:r>
        <w:t>a</w:t>
      </w:r>
      <w:r w:rsidRPr="00AF7228">
        <w:t xml:space="preserve">lmost </w:t>
      </w:r>
      <w:r w:rsidR="00EB7A13" w:rsidRPr="00AF7228">
        <w:t>no structured high intensity rehabilitation day care (the exception being for veterans provided through Veterans Affairs)</w:t>
      </w:r>
    </w:p>
    <w:p w14:paraId="217C7333" w14:textId="200B188B" w:rsidR="00EB7A13" w:rsidRPr="00AF7228" w:rsidRDefault="001964F3" w:rsidP="00EB7A13">
      <w:pPr>
        <w:pStyle w:val="BulletPoint"/>
      </w:pPr>
      <w:r>
        <w:t>g</w:t>
      </w:r>
      <w:r w:rsidRPr="00AF7228">
        <w:t xml:space="preserve">rossly </w:t>
      </w:r>
      <w:r w:rsidR="00EB7A13" w:rsidRPr="00AF7228">
        <w:t>inadequate child mental health services in almost all areas</w:t>
      </w:r>
    </w:p>
    <w:p w14:paraId="3E5C1D94" w14:textId="64B96044" w:rsidR="00EB7A13" w:rsidRPr="00AF7228" w:rsidRDefault="001964F3" w:rsidP="00EB7A13">
      <w:pPr>
        <w:pStyle w:val="BulletPoint"/>
      </w:pPr>
      <w:r>
        <w:t>i</w:t>
      </w:r>
      <w:r w:rsidRPr="00AF7228">
        <w:t xml:space="preserve">nadequate </w:t>
      </w:r>
      <w:r w:rsidR="00EB7A13" w:rsidRPr="00AF7228">
        <w:t xml:space="preserve">alcohol and other drug services </w:t>
      </w:r>
    </w:p>
    <w:p w14:paraId="6EE79D7D" w14:textId="36AEED64" w:rsidR="00EB7A13" w:rsidRPr="00AF7228" w:rsidRDefault="001964F3" w:rsidP="00EB7A13">
      <w:pPr>
        <w:pStyle w:val="BulletPoint"/>
      </w:pPr>
      <w:proofErr w:type="gramStart"/>
      <w:r>
        <w:lastRenderedPageBreak/>
        <w:t>a</w:t>
      </w:r>
      <w:proofErr w:type="gramEnd"/>
      <w:r w:rsidRPr="00AF7228">
        <w:t xml:space="preserve"> </w:t>
      </w:r>
      <w:r w:rsidR="00EB7A13" w:rsidRPr="00AF7228">
        <w:t>large number of small, short term funding arrangements for NGO-managed community mental health programs</w:t>
      </w:r>
      <w:r>
        <w:t>.</w:t>
      </w:r>
    </w:p>
    <w:p w14:paraId="4691C5BC" w14:textId="77777777" w:rsidR="00EB7A13" w:rsidRPr="00EB7A13" w:rsidRDefault="00EB7A13" w:rsidP="00EB7A13">
      <w:pPr>
        <w:pStyle w:val="BodyText"/>
      </w:pPr>
      <w:r w:rsidRPr="00AF7228">
        <w:t xml:space="preserve">Indeed, </w:t>
      </w:r>
      <w:r w:rsidRPr="00AD3544">
        <w:rPr>
          <w:b/>
        </w:rPr>
        <w:t>even in rural regions</w:t>
      </w:r>
      <w:r w:rsidRPr="00AF7228">
        <w:t xml:space="preserve">, there is a </w:t>
      </w:r>
      <w:r w:rsidRPr="00AF7228">
        <w:rPr>
          <w:rFonts w:eastAsiaTheme="minorEastAsia"/>
        </w:rPr>
        <w:t>high reliance on:</w:t>
      </w:r>
      <w:r w:rsidRPr="00EB7A13">
        <w:t xml:space="preserve"> </w:t>
      </w:r>
    </w:p>
    <w:p w14:paraId="615BAAEA" w14:textId="6FD5E340" w:rsidR="00EB7A13" w:rsidRPr="00EB7A13" w:rsidRDefault="001964F3" w:rsidP="00EB7A13">
      <w:pPr>
        <w:pStyle w:val="BulletPoint"/>
      </w:pPr>
      <w:r>
        <w:t>a</w:t>
      </w:r>
      <w:r w:rsidRPr="00EB7A13">
        <w:t xml:space="preserve">cute </w:t>
      </w:r>
      <w:r w:rsidR="00EB7A13" w:rsidRPr="00EB7A13">
        <w:t xml:space="preserve">inpatient care </w:t>
      </w:r>
    </w:p>
    <w:p w14:paraId="14B8C93F" w14:textId="7B7C0ADA" w:rsidR="00EB7A13" w:rsidRPr="00EB7A13" w:rsidRDefault="001964F3" w:rsidP="00EB7A13">
      <w:pPr>
        <w:pStyle w:val="BulletPoint"/>
      </w:pPr>
      <w:r>
        <w:t>a</w:t>
      </w:r>
      <w:r w:rsidRPr="00EB7A13">
        <w:t xml:space="preserve">cute </w:t>
      </w:r>
      <w:r w:rsidR="00EB7A13" w:rsidRPr="00EB7A13">
        <w:t xml:space="preserve">health related </w:t>
      </w:r>
      <w:r w:rsidR="00EB7A13" w:rsidRPr="00AF7228">
        <w:t xml:space="preserve">mobile </w:t>
      </w:r>
      <w:r w:rsidR="00EB7A13" w:rsidRPr="00EB7A13">
        <w:t>outpatient care</w:t>
      </w:r>
    </w:p>
    <w:p w14:paraId="100D417E" w14:textId="547A63E5" w:rsidR="00EB7A13" w:rsidRPr="00EB7A13" w:rsidRDefault="001964F3" w:rsidP="00EB7A13">
      <w:pPr>
        <w:pStyle w:val="BulletPoint"/>
      </w:pPr>
      <w:r>
        <w:t>n</w:t>
      </w:r>
      <w:r w:rsidRPr="00EB7A13">
        <w:t xml:space="preserve">on </w:t>
      </w:r>
      <w:r w:rsidR="00EB7A13" w:rsidRPr="00EB7A13">
        <w:t>acute outpatient care (mostly mobile, low intensity in nature</w:t>
      </w:r>
      <w:r>
        <w:t xml:space="preserve">; </w:t>
      </w:r>
      <w:r w:rsidR="00EB7A13" w:rsidRPr="00AF7228">
        <w:t>and</w:t>
      </w:r>
    </w:p>
    <w:p w14:paraId="67963CD0" w14:textId="76571FC8" w:rsidR="00EB7A13" w:rsidRPr="00AF7228" w:rsidRDefault="001964F3" w:rsidP="00EB7A13">
      <w:pPr>
        <w:pStyle w:val="BulletPoint"/>
      </w:pPr>
      <w:r>
        <w:t>a</w:t>
      </w:r>
      <w:r w:rsidRPr="00AF7228">
        <w:t xml:space="preserve"> </w:t>
      </w:r>
      <w:r w:rsidR="00EB7A13" w:rsidRPr="00AF7228">
        <w:t>s</w:t>
      </w:r>
      <w:r w:rsidR="00EB7A13" w:rsidRPr="00EB7A13">
        <w:t xml:space="preserve">ignificant investment in accessibility – assessing </w:t>
      </w:r>
      <w:r w:rsidR="00EB7A13" w:rsidRPr="00AF7228">
        <w:t xml:space="preserve">needs </w:t>
      </w:r>
      <w:r w:rsidR="00EB7A13" w:rsidRPr="00EB7A13">
        <w:t>and then trying to find services</w:t>
      </w:r>
      <w:r>
        <w:t>.</w:t>
      </w:r>
      <w:r w:rsidR="00EB7A13" w:rsidRPr="00EB7A13">
        <w:t xml:space="preserve">  </w:t>
      </w:r>
      <w:r w:rsidR="00EB7A13" w:rsidRPr="00AF7228">
        <w:t xml:space="preserve">   </w:t>
      </w:r>
    </w:p>
    <w:p w14:paraId="09A7E0B1" w14:textId="77777777" w:rsidR="00EB7A13" w:rsidRPr="00AF7228" w:rsidRDefault="00EB7A13" w:rsidP="00EB7A13">
      <w:pPr>
        <w:pStyle w:val="BodyText"/>
      </w:pPr>
      <w:r w:rsidRPr="00AF7228">
        <w:t xml:space="preserve">The </w:t>
      </w:r>
      <w:r w:rsidRPr="00AD3544">
        <w:rPr>
          <w:b/>
        </w:rPr>
        <w:t>distribution of the services</w:t>
      </w:r>
      <w:r w:rsidRPr="00AF7228">
        <w:t xml:space="preserve"> in most regions is also mis-aligned with the locations of highest demand – meaning that consumers have to travel some distance to access care. Western Sydney is one exception in this regard. </w:t>
      </w:r>
    </w:p>
    <w:p w14:paraId="086393B6" w14:textId="77777777" w:rsidR="00EB7A13" w:rsidRPr="00AF7228" w:rsidRDefault="00EB7A13" w:rsidP="00EB7A13">
      <w:pPr>
        <w:pStyle w:val="BodyText"/>
      </w:pPr>
      <w:r w:rsidRPr="00AF7228">
        <w:t xml:space="preserve">The </w:t>
      </w:r>
      <w:r w:rsidRPr="00AD3544">
        <w:rPr>
          <w:b/>
        </w:rPr>
        <w:t>inequities in access to Medicare</w:t>
      </w:r>
      <w:r w:rsidRPr="00AF7228">
        <w:t xml:space="preserve"> subsidised services highlighted earlier, generally compound the difficulties in accessing care and compromise the quality of care. Putting this in simple terms it means that consumers, or their </w:t>
      </w:r>
      <w:proofErr w:type="spellStart"/>
      <w:r w:rsidRPr="00AF7228">
        <w:t>carers</w:t>
      </w:r>
      <w:proofErr w:type="spellEnd"/>
      <w:r w:rsidRPr="00AF7228">
        <w:t>, will all too often be unable to:</w:t>
      </w:r>
    </w:p>
    <w:p w14:paraId="6F266370" w14:textId="77777777" w:rsidR="00EB7A13" w:rsidRPr="00AF7228" w:rsidRDefault="00EB7A13" w:rsidP="00EB7A13">
      <w:pPr>
        <w:pStyle w:val="BulletPoint"/>
      </w:pPr>
      <w:r w:rsidRPr="00AF7228">
        <w:t xml:space="preserve">find </w:t>
      </w:r>
      <w:r w:rsidRPr="00AD3544">
        <w:rPr>
          <w:b/>
        </w:rPr>
        <w:t>the range of services necessary to prevent</w:t>
      </w:r>
      <w:r w:rsidRPr="00AF7228">
        <w:t xml:space="preserve"> a deterioration in their mental health </w:t>
      </w:r>
    </w:p>
    <w:p w14:paraId="2EC1B3FA" w14:textId="77777777" w:rsidR="00EB7A13" w:rsidRPr="00AF7228" w:rsidRDefault="00EB7A13" w:rsidP="00EB7A13">
      <w:pPr>
        <w:pStyle w:val="BulletPoint"/>
      </w:pPr>
      <w:r w:rsidRPr="00AD3544">
        <w:rPr>
          <w:b/>
        </w:rPr>
        <w:t>access alternatives to an Emergency Department</w:t>
      </w:r>
      <w:r w:rsidRPr="00AF7228">
        <w:t xml:space="preserve"> presentation when a mental health crisis occurs</w:t>
      </w:r>
    </w:p>
    <w:p w14:paraId="58225410" w14:textId="076B2276" w:rsidR="00EB7A13" w:rsidRPr="00AF7228" w:rsidRDefault="00EB7A13" w:rsidP="00EB7A13">
      <w:pPr>
        <w:pStyle w:val="BulletPoint"/>
      </w:pPr>
      <w:r w:rsidRPr="00AD3544">
        <w:rPr>
          <w:b/>
        </w:rPr>
        <w:t>access longer stay residential services</w:t>
      </w:r>
      <w:r w:rsidRPr="00AF7228">
        <w:t xml:space="preserve"> for recovery following a period of acute </w:t>
      </w:r>
      <w:r w:rsidR="001964F3" w:rsidRPr="00AF7228">
        <w:t>hospital-based</w:t>
      </w:r>
      <w:r w:rsidRPr="00AF7228">
        <w:t xml:space="preserve"> care</w:t>
      </w:r>
    </w:p>
    <w:p w14:paraId="37FFC646" w14:textId="77777777" w:rsidR="00EB7A13" w:rsidRPr="00AF7228" w:rsidRDefault="00EB7A13" w:rsidP="00EB7A13">
      <w:pPr>
        <w:pStyle w:val="BulletPoint"/>
      </w:pPr>
      <w:r w:rsidRPr="00AF7228">
        <w:t xml:space="preserve">find </w:t>
      </w:r>
      <w:r w:rsidRPr="00AD3544">
        <w:rPr>
          <w:b/>
        </w:rPr>
        <w:t xml:space="preserve">services to enable them to return to their roles </w:t>
      </w:r>
      <w:r w:rsidRPr="00AF7228">
        <w:t>in the community – be these in undertaking training and education, employment and community social life</w:t>
      </w:r>
    </w:p>
    <w:p w14:paraId="6A664AD0" w14:textId="3415C470" w:rsidR="00EB7A13" w:rsidRPr="00AF7228" w:rsidRDefault="00EB7A13" w:rsidP="00EB7A13">
      <w:pPr>
        <w:pStyle w:val="BodyText"/>
      </w:pPr>
      <w:r w:rsidRPr="00AD3544">
        <w:rPr>
          <w:b/>
        </w:rPr>
        <w:t xml:space="preserve">General Practitioners </w:t>
      </w:r>
      <w:r w:rsidRPr="00AF7228">
        <w:t>are the gateway for most consumers to access health care across Australia. GPs, but particularly those in lower socio-economic urban areas, regional cities and rural and remote locations, will have great difficulty in being able to connect their patients with skilled primary and specialist care providers, with community care services and all too often</w:t>
      </w:r>
      <w:r w:rsidR="001964F3">
        <w:t>,</w:t>
      </w:r>
      <w:r w:rsidRPr="00AF7228">
        <w:t xml:space="preserve"> rely on the over-extended acute care services.</w:t>
      </w:r>
    </w:p>
    <w:p w14:paraId="59A7A55E" w14:textId="19EC47FD" w:rsidR="00AD3544" w:rsidRPr="00AD3544" w:rsidRDefault="00EB7A13" w:rsidP="00AD3544">
      <w:pPr>
        <w:pStyle w:val="BodyText"/>
      </w:pPr>
      <w:r w:rsidRPr="00AF7228">
        <w:t xml:space="preserve">The </w:t>
      </w:r>
      <w:r w:rsidRPr="00AD3544">
        <w:rPr>
          <w:b/>
        </w:rPr>
        <w:t>imbalance of care</w:t>
      </w:r>
      <w:r w:rsidRPr="00AF7228">
        <w:t xml:space="preserve"> in the Australian mental health ‘system’ lies at the heart of the poor mental health outcomes seen in the available outcomes data. The Atlas analyses provide a clearer understanding of ‘what is’ and a sounder basis for planning ‘what needs to be’, region by region.  </w:t>
      </w:r>
    </w:p>
    <w:p w14:paraId="2923C735" w14:textId="1D58259C" w:rsidR="003376B3" w:rsidRPr="00AF7228" w:rsidRDefault="00B06990" w:rsidP="00117D83">
      <w:pPr>
        <w:pStyle w:val="Heading1"/>
      </w:pPr>
      <w:bookmarkStart w:id="69" w:name="_Toc6238816"/>
      <w:r w:rsidRPr="00AF7228">
        <w:t xml:space="preserve">Recent </w:t>
      </w:r>
      <w:r w:rsidR="003376B3" w:rsidRPr="00AF7228">
        <w:t>Reports of Mental Health Service System</w:t>
      </w:r>
      <w:bookmarkEnd w:id="69"/>
      <w:r w:rsidR="003376B3" w:rsidRPr="00AF7228">
        <w:t xml:space="preserve"> </w:t>
      </w:r>
    </w:p>
    <w:p w14:paraId="1352F4C8" w14:textId="17727C69" w:rsidR="00BD7169" w:rsidRPr="00AF7228" w:rsidRDefault="00117D83" w:rsidP="00B06990">
      <w:pPr>
        <w:pStyle w:val="BodyText"/>
      </w:pPr>
      <w:r w:rsidRPr="00AF7228">
        <w:t xml:space="preserve">Two recent reports issued by </w:t>
      </w:r>
      <w:r w:rsidRPr="00AD3544">
        <w:rPr>
          <w:b/>
        </w:rPr>
        <w:t>independent statutory officers</w:t>
      </w:r>
      <w:r w:rsidRPr="00AF7228">
        <w:t xml:space="preserve"> in Western Australia and Victoria, have been analysed here. The two statutory offices involved, have both previously issued extensive reports on mental health services and suicides within the past ten </w:t>
      </w:r>
      <w:r w:rsidR="00AD3544" w:rsidRPr="00AF7228">
        <w:t>years.</w:t>
      </w:r>
      <w:r w:rsidRPr="00AF7228">
        <w:t xml:space="preserve"> They have therefore, endeavour</w:t>
      </w:r>
      <w:r w:rsidR="004D7F79" w:rsidRPr="00AF7228">
        <w:t>ed</w:t>
      </w:r>
      <w:r w:rsidRPr="00AF7228">
        <w:t xml:space="preserve"> to bring about </w:t>
      </w:r>
      <w:r w:rsidR="004D7F79" w:rsidRPr="00AF7228">
        <w:t xml:space="preserve">significant improvements </w:t>
      </w:r>
      <w:r w:rsidRPr="00AF7228">
        <w:t xml:space="preserve">in mental health services </w:t>
      </w:r>
      <w:r w:rsidR="004D7F79" w:rsidRPr="00AF7228">
        <w:t xml:space="preserve">and the broader responses of government </w:t>
      </w:r>
      <w:r w:rsidRPr="00AF7228">
        <w:t xml:space="preserve">previously. Their most recent reports starkly demonstrate how difficult it is to bring about systems level improvements in this area of health and social care.     </w:t>
      </w:r>
    </w:p>
    <w:p w14:paraId="7DE54B35" w14:textId="5C8FCA5B" w:rsidR="003376B3" w:rsidRPr="00AF7228" w:rsidRDefault="003376B3" w:rsidP="004D7F79">
      <w:pPr>
        <w:pStyle w:val="Heading3"/>
      </w:pPr>
      <w:bookmarkStart w:id="70" w:name="_Toc6238817"/>
      <w:r w:rsidRPr="00AF7228">
        <w:t>WA Coroner’s Report, January 2019</w:t>
      </w:r>
      <w:bookmarkEnd w:id="70"/>
    </w:p>
    <w:p w14:paraId="608333E7" w14:textId="3829C49A" w:rsidR="003376B3" w:rsidRPr="00AF7228" w:rsidRDefault="00117D83" w:rsidP="00BD7169">
      <w:pPr>
        <w:pStyle w:val="BodyText"/>
      </w:pPr>
      <w:r w:rsidRPr="00AF7228">
        <w:t xml:space="preserve">In January 2019, the Western Australian Coroner, </w:t>
      </w:r>
      <w:r w:rsidRPr="00AD3544">
        <w:rPr>
          <w:b/>
          <w:iCs/>
        </w:rPr>
        <w:t xml:space="preserve">Rosalinda </w:t>
      </w:r>
      <w:proofErr w:type="spellStart"/>
      <w:r w:rsidRPr="00AD3544">
        <w:rPr>
          <w:b/>
          <w:iCs/>
        </w:rPr>
        <w:t>Fogliani</w:t>
      </w:r>
      <w:proofErr w:type="spellEnd"/>
      <w:r w:rsidRPr="00AF7228">
        <w:rPr>
          <w:i/>
          <w:iCs/>
        </w:rPr>
        <w:t>,</w:t>
      </w:r>
      <w:r w:rsidRPr="00AF7228">
        <w:t xml:space="preserve"> released the Inquest findings into the deaths of 13 Aboriginal children and young persons in the Kimberley region between January </w:t>
      </w:r>
      <w:r w:rsidRPr="00AF7228">
        <w:lastRenderedPageBreak/>
        <w:t>2013 and March 2016.</w:t>
      </w:r>
      <w:r w:rsidR="004D7F79" w:rsidRPr="00AF7228">
        <w:rPr>
          <w:rStyle w:val="FootnoteReference"/>
        </w:rPr>
        <w:footnoteReference w:id="41"/>
      </w:r>
      <w:r w:rsidRPr="00AF7228">
        <w:t xml:space="preserve">  The similarities in the circumstances of each of these deaths, prompted the Coroner’s Office to examine them in one Inquest. In all but one death, the Coroner concluding the deaths were due to deliberate self-harm (suicide).</w:t>
      </w:r>
    </w:p>
    <w:p w14:paraId="5D9F7FBF" w14:textId="1A9864AB" w:rsidR="00117D83" w:rsidRPr="00AF7228" w:rsidRDefault="004D7F79" w:rsidP="00BD7169">
      <w:pPr>
        <w:pStyle w:val="BodyText"/>
      </w:pPr>
      <w:r w:rsidRPr="00AF7228">
        <w:t xml:space="preserve">The Coroner found </w:t>
      </w:r>
      <w:r w:rsidRPr="00AD3544">
        <w:rPr>
          <w:b/>
        </w:rPr>
        <w:t>a lack of consultation and engagement</w:t>
      </w:r>
      <w:r w:rsidRPr="00AF7228">
        <w:t xml:space="preserve"> in the design and implementation of services with Aboriginal communities, a continuing lack of coordination between agencies and </w:t>
      </w:r>
      <w:r w:rsidRPr="00AD3544">
        <w:rPr>
          <w:b/>
        </w:rPr>
        <w:t>a lack of accountability</w:t>
      </w:r>
      <w:r w:rsidRPr="00AF7228">
        <w:t xml:space="preserve">, a continuing failure to address the impact of </w:t>
      </w:r>
      <w:r w:rsidRPr="00AD3544">
        <w:rPr>
          <w:b/>
        </w:rPr>
        <w:t>intergenerational trauma</w:t>
      </w:r>
      <w:r w:rsidRPr="00AF7228">
        <w:t xml:space="preserve"> and failure to tackle the </w:t>
      </w:r>
      <w:r w:rsidRPr="00AD3544">
        <w:rPr>
          <w:b/>
        </w:rPr>
        <w:t>social determinants of ill-health</w:t>
      </w:r>
      <w:r w:rsidRPr="00AF7228">
        <w:t xml:space="preserve">. </w:t>
      </w:r>
    </w:p>
    <w:p w14:paraId="4E44C141" w14:textId="2D3D8C7E" w:rsidR="004D7F79" w:rsidRPr="00AF7228" w:rsidRDefault="004D7F79" w:rsidP="00BD7169">
      <w:pPr>
        <w:pStyle w:val="BodyText"/>
      </w:pPr>
      <w:r w:rsidRPr="00AF7228">
        <w:t xml:space="preserve">Coroner </w:t>
      </w:r>
      <w:proofErr w:type="spellStart"/>
      <w:r w:rsidRPr="00AF7228">
        <w:t>Fogilani</w:t>
      </w:r>
      <w:proofErr w:type="spellEnd"/>
      <w:r w:rsidRPr="00AF7228">
        <w:t xml:space="preserve"> made 42 recommendations mainly directed at government departments and agencies, both state and Commonwealth. Whether the Commonwealth agencies specifically identified by the Coroner act</w:t>
      </w:r>
      <w:r w:rsidR="001964F3">
        <w:t>ed</w:t>
      </w:r>
      <w:r w:rsidRPr="00AF7228">
        <w:t xml:space="preserve"> or the recommendations, is not clear.</w:t>
      </w:r>
    </w:p>
    <w:p w14:paraId="36D7F04F" w14:textId="507079AA" w:rsidR="00117D83" w:rsidRPr="00AF7228" w:rsidRDefault="00117D83" w:rsidP="00BD7169">
      <w:pPr>
        <w:pStyle w:val="BodyText"/>
      </w:pPr>
      <w:r w:rsidRPr="00AF7228">
        <w:t xml:space="preserve">Coroner </w:t>
      </w:r>
      <w:proofErr w:type="spellStart"/>
      <w:r w:rsidRPr="00AF7228">
        <w:t>Fogliani</w:t>
      </w:r>
      <w:proofErr w:type="spellEnd"/>
      <w:r w:rsidRPr="00AF7228">
        <w:t xml:space="preserve"> summed up her findings by stating:</w:t>
      </w:r>
    </w:p>
    <w:p w14:paraId="375029FB" w14:textId="77777777" w:rsidR="00117D83" w:rsidRPr="00117D83" w:rsidRDefault="00117D83" w:rsidP="00B303FA">
      <w:pPr>
        <w:pStyle w:val="BodyText"/>
        <w:rPr>
          <w:rFonts w:asciiTheme="minorHAnsi" w:hAnsiTheme="minorHAnsi"/>
          <w:i/>
          <w:iCs/>
          <w:color w:val="404040" w:themeColor="text1" w:themeTint="BF"/>
          <w:sz w:val="21"/>
          <w:szCs w:val="21"/>
        </w:rPr>
      </w:pPr>
      <w:r w:rsidRPr="00117D83">
        <w:rPr>
          <w:rFonts w:asciiTheme="minorHAnsi" w:hAnsiTheme="minorHAnsi"/>
          <w:i/>
          <w:iCs/>
          <w:color w:val="404040" w:themeColor="text1" w:themeTint="BF"/>
          <w:sz w:val="21"/>
          <w:szCs w:val="21"/>
        </w:rPr>
        <w:t xml:space="preserve">This Inquest has laid bare the urgent need to understand the deep inequalities giving rise to the current poor state of wellbeing of Aboriginal people in the Kimberley Region and to address the factors that elevate the risks of Aboriginal suicide at a community-led level, with genuine consultation and collaboration with Aboriginal communities. </w:t>
      </w:r>
    </w:p>
    <w:p w14:paraId="2507F0B6" w14:textId="3D034579" w:rsidR="00117D83" w:rsidRPr="00AF7228" w:rsidRDefault="00117D83" w:rsidP="00117D83">
      <w:pPr>
        <w:pStyle w:val="BodyText"/>
      </w:pPr>
      <w:r w:rsidRPr="00AF7228">
        <w:t xml:space="preserve">In 2008, the then WA Coroner, </w:t>
      </w:r>
      <w:r w:rsidR="004D7F79" w:rsidRPr="00AD3544">
        <w:rPr>
          <w:b/>
        </w:rPr>
        <w:t>Alastair</w:t>
      </w:r>
      <w:r w:rsidRPr="00AD3544">
        <w:rPr>
          <w:b/>
        </w:rPr>
        <w:t xml:space="preserve"> Hope</w:t>
      </w:r>
      <w:r w:rsidRPr="00AF7228">
        <w:t>, reported on the deaths of 22 Aboriginal people (mainly young persons) in the Kimberley.</w:t>
      </w:r>
      <w:r w:rsidR="004D7F79" w:rsidRPr="00AF7228">
        <w:rPr>
          <w:rStyle w:val="FootnoteReference"/>
        </w:rPr>
        <w:footnoteReference w:id="42"/>
      </w:r>
      <w:r w:rsidRPr="00AF7228">
        <w:t xml:space="preserve"> The Inquest revealed: </w:t>
      </w:r>
    </w:p>
    <w:p w14:paraId="21C7C6CC" w14:textId="77777777" w:rsidR="00117D83" w:rsidRPr="00AF7228" w:rsidRDefault="00117D83" w:rsidP="00117D83">
      <w:pPr>
        <w:pStyle w:val="BulletPoint"/>
      </w:pPr>
      <w:r w:rsidRPr="00AF7228">
        <w:t xml:space="preserve">No realistic leadership and </w:t>
      </w:r>
      <w:r w:rsidRPr="00AD3544">
        <w:rPr>
          <w:b/>
        </w:rPr>
        <w:t>a lack of accountability</w:t>
      </w:r>
      <w:r w:rsidRPr="00AF7228">
        <w:t xml:space="preserve"> from any agency in response to living conditions</w:t>
      </w:r>
    </w:p>
    <w:p w14:paraId="7AF78803" w14:textId="7301A945" w:rsidR="00117D83" w:rsidRPr="00AF7228" w:rsidRDefault="00117D83" w:rsidP="00117D83">
      <w:pPr>
        <w:pStyle w:val="BulletPoint"/>
      </w:pPr>
      <w:r w:rsidRPr="00AF7228">
        <w:t>Very poor health compared to other Western Australians</w:t>
      </w:r>
    </w:p>
    <w:p w14:paraId="2F72F927" w14:textId="05169540" w:rsidR="00117D83" w:rsidRPr="00AF7228" w:rsidRDefault="00117D83" w:rsidP="004D7F79">
      <w:pPr>
        <w:pStyle w:val="BulletPoint"/>
      </w:pPr>
      <w:r w:rsidRPr="00AF7228">
        <w:t>A widening ‘gap’ in wellbeing between Aboriginal and non-Aboriginal people</w:t>
      </w:r>
      <w:r w:rsidR="004D7F79" w:rsidRPr="00AF7228">
        <w:t xml:space="preserve"> </w:t>
      </w:r>
      <w:r w:rsidRPr="00AF7228">
        <w:t>despite funded Commonwealth and State programs targeting indigenous people</w:t>
      </w:r>
    </w:p>
    <w:p w14:paraId="68CD1C97" w14:textId="317A1F07" w:rsidR="00117D83" w:rsidRPr="00AF7228" w:rsidRDefault="00117D83" w:rsidP="00117D83">
      <w:pPr>
        <w:pStyle w:val="BulletPoint"/>
      </w:pPr>
      <w:r w:rsidRPr="00AF7228">
        <w:t>No single individual or organi</w:t>
      </w:r>
      <w:r w:rsidR="004D7F79" w:rsidRPr="00AF7228">
        <w:t>s</w:t>
      </w:r>
      <w:r w:rsidRPr="00AF7228">
        <w:t>ation in government responsible for achieving outcomes for Aboriginal people</w:t>
      </w:r>
    </w:p>
    <w:p w14:paraId="1FCEBB61" w14:textId="41F25749" w:rsidR="00117D83" w:rsidRPr="00AF7228" w:rsidRDefault="00117D83" w:rsidP="00117D83">
      <w:pPr>
        <w:pStyle w:val="BulletPoint"/>
      </w:pPr>
      <w:r w:rsidRPr="00AF7228">
        <w:t>Levels of educational achievement with skills inadequate for employment in the majority of students</w:t>
      </w:r>
    </w:p>
    <w:p w14:paraId="58F728A4" w14:textId="2D555762" w:rsidR="00117D83" w:rsidRPr="00AF7228" w:rsidRDefault="00117D83" w:rsidP="00117D83">
      <w:pPr>
        <w:pStyle w:val="BulletPoint"/>
      </w:pPr>
      <w:r w:rsidRPr="00AF7228">
        <w:t>Public housing in a disgraceful condition</w:t>
      </w:r>
    </w:p>
    <w:p w14:paraId="1CDF0275" w14:textId="20FE57DD" w:rsidR="00117D83" w:rsidRPr="00AF7228" w:rsidRDefault="00117D83" w:rsidP="00117D83">
      <w:pPr>
        <w:pStyle w:val="BulletPoint"/>
      </w:pPr>
      <w:r w:rsidRPr="00AF7228">
        <w:t>Aboriginal people experiencing a health crisis</w:t>
      </w:r>
    </w:p>
    <w:p w14:paraId="326E050B" w14:textId="2C3C7A5A" w:rsidR="00117D83" w:rsidRPr="00AF7228" w:rsidRDefault="00117D83" w:rsidP="00117D83">
      <w:pPr>
        <w:pStyle w:val="BulletPoint"/>
      </w:pPr>
      <w:r w:rsidRPr="00AF7228">
        <w:t xml:space="preserve">Alcohol abuse as the cause and as a result of many of the problems facing many Aboriginal people </w:t>
      </w:r>
    </w:p>
    <w:p w14:paraId="41C435DC" w14:textId="77777777" w:rsidR="00117D83" w:rsidRPr="00AF7228" w:rsidRDefault="00117D83" w:rsidP="00117D83">
      <w:pPr>
        <w:pStyle w:val="BulletPoint"/>
      </w:pPr>
      <w:r w:rsidRPr="00AF7228">
        <w:t xml:space="preserve">Serious challenges and extreme difficulty in providing comprehensive mental health and drug and alcohol care. </w:t>
      </w:r>
    </w:p>
    <w:p w14:paraId="267D32F4" w14:textId="150E1BD4" w:rsidR="00117D83" w:rsidRPr="00AF7228" w:rsidRDefault="00117D83" w:rsidP="00117D83">
      <w:pPr>
        <w:pStyle w:val="BodyText"/>
      </w:pPr>
      <w:r w:rsidRPr="00AF7228">
        <w:t>He stated:</w:t>
      </w:r>
    </w:p>
    <w:p w14:paraId="2B7CF080" w14:textId="64109A81" w:rsidR="00117D83" w:rsidRPr="00117D83" w:rsidRDefault="00117D83" w:rsidP="00117D83">
      <w:pPr>
        <w:pStyle w:val="BodyText"/>
        <w:ind w:left="426"/>
        <w:rPr>
          <w:rFonts w:asciiTheme="minorHAnsi" w:hAnsiTheme="minorHAnsi"/>
          <w:i/>
          <w:iCs/>
          <w:color w:val="404040" w:themeColor="text1" w:themeTint="BF"/>
          <w:sz w:val="21"/>
          <w:szCs w:val="21"/>
        </w:rPr>
      </w:pPr>
      <w:r w:rsidRPr="00117D83">
        <w:rPr>
          <w:rFonts w:asciiTheme="minorHAnsi" w:hAnsiTheme="minorHAnsi"/>
          <w:i/>
          <w:iCs/>
          <w:color w:val="404040" w:themeColor="text1" w:themeTint="BF"/>
          <w:sz w:val="21"/>
          <w:szCs w:val="21"/>
        </w:rPr>
        <w:t xml:space="preserve">That such conditions should exist among a group of people defined by race in the 21st century in a developed nation like Australia is a </w:t>
      </w:r>
      <w:r w:rsidRPr="00AD3544">
        <w:rPr>
          <w:rFonts w:asciiTheme="minorHAnsi" w:hAnsiTheme="minorHAnsi"/>
          <w:b/>
          <w:i/>
          <w:iCs/>
          <w:color w:val="404040" w:themeColor="text1" w:themeTint="BF"/>
          <w:sz w:val="21"/>
          <w:szCs w:val="21"/>
        </w:rPr>
        <w:t>disgrace</w:t>
      </w:r>
      <w:r w:rsidRPr="00117D83">
        <w:rPr>
          <w:rFonts w:asciiTheme="minorHAnsi" w:hAnsiTheme="minorHAnsi"/>
          <w:i/>
          <w:iCs/>
          <w:color w:val="404040" w:themeColor="text1" w:themeTint="BF"/>
          <w:sz w:val="21"/>
          <w:szCs w:val="21"/>
        </w:rPr>
        <w:t xml:space="preserve"> and should shame us all.</w:t>
      </w:r>
    </w:p>
    <w:p w14:paraId="732339D6" w14:textId="421DBFAC" w:rsidR="00117D83" w:rsidRPr="00117D83" w:rsidRDefault="00117D83" w:rsidP="00117D83">
      <w:pPr>
        <w:pStyle w:val="BodyText"/>
      </w:pPr>
      <w:r w:rsidRPr="00AF7228">
        <w:t xml:space="preserve">Coroner Hope called for </w:t>
      </w:r>
      <w:r w:rsidRPr="00117D83">
        <w:t>urgent action to address living conditions</w:t>
      </w:r>
      <w:r w:rsidRPr="00AF7228">
        <w:t xml:space="preserve"> and made 27 recommendations for multiple government agencies.</w:t>
      </w:r>
      <w:r w:rsidRPr="00117D83">
        <w:t xml:space="preserve"> </w:t>
      </w:r>
    </w:p>
    <w:p w14:paraId="485BE3C9" w14:textId="77777777" w:rsidR="00117D83" w:rsidRPr="00AF7228" w:rsidRDefault="00117D83" w:rsidP="00BD7169">
      <w:pPr>
        <w:pStyle w:val="BodyText"/>
      </w:pPr>
      <w:r w:rsidRPr="00AF7228">
        <w:lastRenderedPageBreak/>
        <w:t>In late March 2019, media reports</w:t>
      </w:r>
      <w:r w:rsidRPr="00AF7228">
        <w:rPr>
          <w:rStyle w:val="FootnoteReference"/>
        </w:rPr>
        <w:footnoteReference w:id="43"/>
      </w:r>
      <w:r w:rsidRPr="00AF7228">
        <w:t xml:space="preserve"> confirmed that in less than 3 months, 24 young Aboriginal and Torres Strait Islander people had taken their lives.  </w:t>
      </w:r>
    </w:p>
    <w:p w14:paraId="25256065" w14:textId="7002F8D1" w:rsidR="00BD7169" w:rsidRPr="00AF7228" w:rsidRDefault="00117D83" w:rsidP="00117D83">
      <w:pPr>
        <w:pStyle w:val="BodyText"/>
        <w:rPr>
          <w:bCs/>
        </w:rPr>
      </w:pPr>
      <w:r w:rsidRPr="00AF7228">
        <w:t xml:space="preserve">One leading Aboriginal suicide prevention expert in late 2018 heavily criticised the National Suicide Prevention Plan </w:t>
      </w:r>
      <w:r w:rsidR="00AF7228" w:rsidRPr="00AF7228">
        <w:t>saying,</w:t>
      </w:r>
      <w:r w:rsidRPr="00AF7228">
        <w:t xml:space="preserve"> </w:t>
      </w:r>
      <w:r w:rsidRPr="00AD3544">
        <w:rPr>
          <w:b/>
          <w:i/>
        </w:rPr>
        <w:t>“it is barely worth the paper it’s written on”</w:t>
      </w:r>
      <w:r w:rsidRPr="00AF7228">
        <w:t>.</w:t>
      </w:r>
      <w:r w:rsidRPr="00AF7228">
        <w:rPr>
          <w:rStyle w:val="FootnoteReference"/>
        </w:rPr>
        <w:footnoteReference w:id="44"/>
      </w:r>
      <w:r w:rsidRPr="00AF7228">
        <w:t xml:space="preserve"> Gerry </w:t>
      </w:r>
      <w:proofErr w:type="spellStart"/>
      <w:r w:rsidRPr="00AF7228">
        <w:t>Georgatos</w:t>
      </w:r>
      <w:proofErr w:type="spellEnd"/>
      <w:r w:rsidRPr="00AF7228">
        <w:t xml:space="preserve"> said that </w:t>
      </w:r>
      <w:r w:rsidR="00D71D1B" w:rsidRPr="00AF7228">
        <w:t>‘</w:t>
      </w:r>
      <w:r w:rsidRPr="00AF7228">
        <w:rPr>
          <w:bCs/>
        </w:rPr>
        <w:t>Australia will only reduce its national suicide toll if policymakers are held to account on poverty, education, bullying, and Indigenous disadvantage</w:t>
      </w:r>
      <w:r w:rsidR="00D71D1B" w:rsidRPr="00AF7228">
        <w:rPr>
          <w:bCs/>
        </w:rPr>
        <w:t>’</w:t>
      </w:r>
      <w:r w:rsidRPr="00AF7228">
        <w:rPr>
          <w:bCs/>
        </w:rPr>
        <w:t xml:space="preserve">. </w:t>
      </w:r>
      <w:r w:rsidRPr="00AD3544">
        <w:rPr>
          <w:b/>
          <w:bCs/>
        </w:rPr>
        <w:t>Poverty</w:t>
      </w:r>
      <w:r w:rsidRPr="00AF7228">
        <w:rPr>
          <w:bCs/>
        </w:rPr>
        <w:t xml:space="preserve"> he said was a common factor in all of the deaths reported in 2019. His comments reinforce the </w:t>
      </w:r>
      <w:r w:rsidRPr="00AD3544">
        <w:rPr>
          <w:b/>
          <w:bCs/>
        </w:rPr>
        <w:t>need for real accountability</w:t>
      </w:r>
      <w:r w:rsidR="00D71D1B" w:rsidRPr="00AF7228">
        <w:rPr>
          <w:bCs/>
        </w:rPr>
        <w:t xml:space="preserve"> and a genuine community driven and integrated policy and service response </w:t>
      </w:r>
      <w:r w:rsidRPr="00AF7228">
        <w:rPr>
          <w:bCs/>
        </w:rPr>
        <w:t>given the findings from the Inquests.</w:t>
      </w:r>
    </w:p>
    <w:p w14:paraId="246B044E" w14:textId="77777777" w:rsidR="003376B3" w:rsidRPr="00AF7228" w:rsidRDefault="003376B3" w:rsidP="004D7F79">
      <w:pPr>
        <w:pStyle w:val="Heading3"/>
      </w:pPr>
      <w:bookmarkStart w:id="71" w:name="_Toc6238818"/>
      <w:r w:rsidRPr="00AF7228">
        <w:t>Victorian Auditor General’s Office Report, March 2019</w:t>
      </w:r>
      <w:bookmarkEnd w:id="71"/>
    </w:p>
    <w:p w14:paraId="3890E094" w14:textId="4F217F4A" w:rsidR="003376B3" w:rsidRPr="00AF7228" w:rsidRDefault="003376B3" w:rsidP="00BD7169">
      <w:pPr>
        <w:pStyle w:val="BodyText"/>
      </w:pPr>
      <w:r w:rsidRPr="00AF7228">
        <w:t>In March 2019, the Victorian Auditor General’s Office (VAGO) released an audit report on the current 10</w:t>
      </w:r>
      <w:r w:rsidRPr="00AF7228">
        <w:rPr>
          <w:rFonts w:ascii="Cambria Math" w:hAnsi="Cambria Math" w:cs="Cambria Math"/>
        </w:rPr>
        <w:t>‐</w:t>
      </w:r>
      <w:r w:rsidRPr="00AF7228">
        <w:t>year Victorian Mental Health Plan and the supporting activities committed by government and the Department of Health and Human Services (DHHS) to address known problems with access to care.</w:t>
      </w:r>
      <w:r w:rsidR="004D7F79" w:rsidRPr="00AF7228">
        <w:rPr>
          <w:rStyle w:val="FootnoteReference"/>
        </w:rPr>
        <w:footnoteReference w:id="45"/>
      </w:r>
      <w:r w:rsidRPr="00AF7228">
        <w:t xml:space="preserve"> The audit’s objective was ‘to determine if people with mental illness have timely access to appropriate treatment and support services’. </w:t>
      </w:r>
    </w:p>
    <w:p w14:paraId="78F9D157" w14:textId="77777777" w:rsidR="004D7F79" w:rsidRPr="00AF7228" w:rsidRDefault="003376B3" w:rsidP="004D7F79">
      <w:pPr>
        <w:pStyle w:val="BodyText"/>
      </w:pPr>
      <w:r w:rsidRPr="00AF7228">
        <w:t xml:space="preserve">Like many other inquiries undertaken by independent statutory authorities over the past 15 years, the VAGO report again pointed to </w:t>
      </w:r>
      <w:r w:rsidRPr="00AD3544">
        <w:rPr>
          <w:b/>
        </w:rPr>
        <w:t>the failure of the relevant department to address the results of previous inquiries and reviews</w:t>
      </w:r>
      <w:r w:rsidRPr="00AF7228">
        <w:t xml:space="preserve">. </w:t>
      </w:r>
    </w:p>
    <w:p w14:paraId="2904691B" w14:textId="0A4F122A" w:rsidR="003376B3" w:rsidRPr="00AF7228" w:rsidRDefault="004D7F79" w:rsidP="00BD7169">
      <w:pPr>
        <w:pStyle w:val="BodyText"/>
      </w:pPr>
      <w:r w:rsidRPr="00AF7228">
        <w:t xml:space="preserve">Indeed the VAGO had conducted an audit in 2009 of the response to mental health crises in the community by the Department of Health, AMHS, Victoria Police and </w:t>
      </w:r>
      <w:r w:rsidR="001964F3">
        <w:t>A</w:t>
      </w:r>
      <w:r w:rsidR="001964F3" w:rsidRPr="00AF7228">
        <w:t xml:space="preserve">mbulance </w:t>
      </w:r>
      <w:r w:rsidRPr="00AF7228">
        <w:t>and found responses to these crises “</w:t>
      </w:r>
      <w:r w:rsidRPr="00AD3544">
        <w:rPr>
          <w:b/>
          <w:i/>
        </w:rPr>
        <w:t>are not consistently meeting the standards set out in the</w:t>
      </w:r>
      <w:r w:rsidRPr="00AD3544">
        <w:rPr>
          <w:i/>
        </w:rPr>
        <w:t xml:space="preserve"> </w:t>
      </w:r>
      <w:r w:rsidRPr="00AD3544">
        <w:rPr>
          <w:b/>
          <w:i/>
        </w:rPr>
        <w:t>Mental Health Act</w:t>
      </w:r>
      <w:r w:rsidRPr="00AD3544">
        <w:rPr>
          <w:i/>
        </w:rPr>
        <w:t xml:space="preserve"> 1986 or in agreed interagency protocols. The needs of the person in crisis at times comes second to other considerations, such as competing demands on time and resources, and historical and cultural practices</w:t>
      </w:r>
      <w:r w:rsidRPr="00AF7228">
        <w:t>”.</w:t>
      </w:r>
      <w:r w:rsidRPr="00AF7228">
        <w:rPr>
          <w:rStyle w:val="FootnoteReference"/>
        </w:rPr>
        <w:footnoteReference w:id="46"/>
      </w:r>
      <w:r w:rsidRPr="00AF7228">
        <w:t xml:space="preserve"> </w:t>
      </w:r>
    </w:p>
    <w:p w14:paraId="2940F465" w14:textId="2DA5416D" w:rsidR="003376B3" w:rsidRPr="00AF7228" w:rsidRDefault="003376B3" w:rsidP="00BD7169">
      <w:pPr>
        <w:pStyle w:val="BodyText"/>
      </w:pPr>
      <w:r w:rsidRPr="00AF7228">
        <w:t>In 2009</w:t>
      </w:r>
      <w:r w:rsidR="004D7F79" w:rsidRPr="00AF7228">
        <w:t>,</w:t>
      </w:r>
      <w:r w:rsidRPr="00AF7228">
        <w:t xml:space="preserve"> the imminent gap in meeting demand for mental health services was forecast </w:t>
      </w:r>
      <w:r w:rsidR="004D7F79" w:rsidRPr="00AF7228">
        <w:t xml:space="preserve">by the Department of Health </w:t>
      </w:r>
      <w:r w:rsidRPr="00AF7228">
        <w:t>in the previous decade</w:t>
      </w:r>
      <w:r w:rsidRPr="00AF7228">
        <w:rPr>
          <w:rFonts w:ascii="Cambria Math" w:hAnsi="Cambria Math" w:cs="Cambria Math"/>
        </w:rPr>
        <w:t>‐</w:t>
      </w:r>
      <w:r w:rsidRPr="00AF7228">
        <w:t xml:space="preserve">long mental health plan titled </w:t>
      </w:r>
      <w:r w:rsidRPr="00AF7228">
        <w:rPr>
          <w:i/>
          <w:iCs/>
        </w:rPr>
        <w:t>Because mental health matters: Victorian Mental Health Reform Strategy 2009–2019</w:t>
      </w:r>
      <w:r w:rsidRPr="00AF7228">
        <w:t xml:space="preserve">, which stated that: </w:t>
      </w:r>
    </w:p>
    <w:p w14:paraId="3BEC9A63" w14:textId="77777777" w:rsidR="003376B3" w:rsidRPr="00AF7228" w:rsidRDefault="003376B3" w:rsidP="00117D83">
      <w:pPr>
        <w:pStyle w:val="BodyText"/>
        <w:ind w:left="426"/>
        <w:rPr>
          <w:rFonts w:asciiTheme="minorHAnsi" w:hAnsiTheme="minorHAnsi"/>
          <w:i/>
          <w:iCs/>
          <w:color w:val="404040" w:themeColor="text1" w:themeTint="BF"/>
          <w:sz w:val="21"/>
          <w:szCs w:val="21"/>
        </w:rPr>
      </w:pPr>
      <w:r w:rsidRPr="00AF7228">
        <w:rPr>
          <w:rFonts w:asciiTheme="minorHAnsi" w:hAnsiTheme="minorHAnsi"/>
          <w:i/>
          <w:iCs/>
          <w:color w:val="404040" w:themeColor="text1" w:themeTint="BF"/>
          <w:sz w:val="21"/>
          <w:szCs w:val="21"/>
        </w:rPr>
        <w:t xml:space="preserve">Action is needed not only to address the current needs of the Victorian population but to plan for the projected numbers of people likely to be seeking help for mental health problems in ten years’ time. </w:t>
      </w:r>
    </w:p>
    <w:p w14:paraId="7EEB9DAE" w14:textId="1F3F8063" w:rsidR="003376B3" w:rsidRPr="00AF7228" w:rsidRDefault="00117D83" w:rsidP="00BD7169">
      <w:pPr>
        <w:pStyle w:val="BodyText"/>
      </w:pPr>
      <w:r w:rsidRPr="00AF7228">
        <w:t>Six years into the plan, i</w:t>
      </w:r>
      <w:r w:rsidR="003376B3" w:rsidRPr="00AF7228">
        <w:t xml:space="preserve">n 2015, the Department of Health and Human Services (DHHS), the agency responsible for managing Victoria’s public mental health system, acknowledged in </w:t>
      </w:r>
      <w:r w:rsidR="003376B3" w:rsidRPr="00AF7228">
        <w:rPr>
          <w:i/>
          <w:iCs/>
        </w:rPr>
        <w:t>Victoria</w:t>
      </w:r>
      <w:r w:rsidR="003376B3" w:rsidRPr="00AF7228">
        <w:t>’</w:t>
      </w:r>
      <w:r w:rsidR="003376B3" w:rsidRPr="00AF7228">
        <w:rPr>
          <w:i/>
          <w:iCs/>
        </w:rPr>
        <w:t xml:space="preserve">s 10-year mental health plan </w:t>
      </w:r>
      <w:r w:rsidR="003376B3" w:rsidRPr="00AF7228">
        <w:t>(10</w:t>
      </w:r>
      <w:r w:rsidR="003376B3" w:rsidRPr="00AF7228">
        <w:rPr>
          <w:rFonts w:ascii="Cambria Math" w:hAnsi="Cambria Math" w:cs="Cambria Math"/>
        </w:rPr>
        <w:t>‐</w:t>
      </w:r>
      <w:r w:rsidR="003376B3" w:rsidRPr="00AF7228">
        <w:t xml:space="preserve">year plan), that: </w:t>
      </w:r>
    </w:p>
    <w:p w14:paraId="300D149F" w14:textId="77777777" w:rsidR="003376B3" w:rsidRPr="00AF7228" w:rsidRDefault="003376B3" w:rsidP="00B06990">
      <w:pPr>
        <w:pStyle w:val="BodyText"/>
        <w:ind w:left="426"/>
        <w:rPr>
          <w:rFonts w:asciiTheme="minorHAnsi" w:hAnsiTheme="minorHAnsi"/>
          <w:i/>
          <w:iCs/>
          <w:color w:val="404040" w:themeColor="text1" w:themeTint="BF"/>
          <w:sz w:val="21"/>
          <w:szCs w:val="21"/>
        </w:rPr>
      </w:pPr>
      <w:r w:rsidRPr="00AF7228">
        <w:rPr>
          <w:rFonts w:asciiTheme="minorHAnsi" w:hAnsiTheme="minorHAnsi"/>
          <w:i/>
          <w:iCs/>
          <w:color w:val="404040" w:themeColor="text1" w:themeTint="BF"/>
          <w:sz w:val="21"/>
          <w:szCs w:val="21"/>
        </w:rPr>
        <w:t xml:space="preserve">...increasing and sustained demand pressure on services has not been matched with increasing resources. Shifting population and growth has left some services under even greater pressure. The result is longer waiting times to access services and higher thresholds for entry. The increased pressure on services creates a risk that people may receive treatment that is less timely, less intensive and shorter in duration than they want or need. </w:t>
      </w:r>
    </w:p>
    <w:p w14:paraId="00DCEDB5" w14:textId="16787F38" w:rsidR="003376B3" w:rsidRPr="00AF7228" w:rsidRDefault="004D7F79" w:rsidP="00BD7169">
      <w:pPr>
        <w:pStyle w:val="BodyText"/>
      </w:pPr>
      <w:r w:rsidRPr="00AF7228">
        <w:t xml:space="preserve">The conclusions reached by the VAGO in 2019 was </w:t>
      </w:r>
      <w:r w:rsidR="001964F3">
        <w:t>stark</w:t>
      </w:r>
      <w:r w:rsidRPr="00AF7228">
        <w:t>, if not damming:</w:t>
      </w:r>
    </w:p>
    <w:p w14:paraId="7F554063" w14:textId="77777777" w:rsidR="004D7F79" w:rsidRPr="004D7F79" w:rsidRDefault="004D7F79" w:rsidP="004D7F79">
      <w:pPr>
        <w:pStyle w:val="BodyText"/>
        <w:ind w:left="426"/>
        <w:rPr>
          <w:rFonts w:asciiTheme="minorHAnsi" w:hAnsiTheme="minorHAnsi"/>
          <w:i/>
          <w:iCs/>
          <w:color w:val="404040" w:themeColor="text1" w:themeTint="BF"/>
          <w:sz w:val="21"/>
          <w:szCs w:val="21"/>
        </w:rPr>
      </w:pPr>
      <w:r w:rsidRPr="00AD3544">
        <w:rPr>
          <w:rFonts w:asciiTheme="minorHAnsi" w:hAnsiTheme="minorHAnsi"/>
          <w:b/>
          <w:i/>
          <w:iCs/>
          <w:color w:val="404040" w:themeColor="text1" w:themeTint="BF"/>
          <w:sz w:val="21"/>
          <w:szCs w:val="21"/>
        </w:rPr>
        <w:lastRenderedPageBreak/>
        <w:t>DHHS has done too little to address the imbalance</w:t>
      </w:r>
      <w:r w:rsidRPr="004D7F79">
        <w:rPr>
          <w:rFonts w:asciiTheme="minorHAnsi" w:hAnsiTheme="minorHAnsi"/>
          <w:i/>
          <w:iCs/>
          <w:color w:val="404040" w:themeColor="text1" w:themeTint="BF"/>
          <w:sz w:val="21"/>
          <w:szCs w:val="21"/>
        </w:rPr>
        <w:t xml:space="preserve"> between demand for, and supply of, mental health services in Victoria. </w:t>
      </w:r>
    </w:p>
    <w:p w14:paraId="04940251" w14:textId="77777777" w:rsidR="004D7F79" w:rsidRPr="004D7F79" w:rsidRDefault="004D7F79" w:rsidP="004D7F79">
      <w:pPr>
        <w:pStyle w:val="BodyText"/>
        <w:ind w:left="426"/>
        <w:rPr>
          <w:rFonts w:asciiTheme="minorHAnsi" w:hAnsiTheme="minorHAnsi"/>
          <w:i/>
          <w:iCs/>
          <w:color w:val="404040" w:themeColor="text1" w:themeTint="BF"/>
          <w:sz w:val="21"/>
          <w:szCs w:val="21"/>
        </w:rPr>
      </w:pPr>
      <w:r w:rsidRPr="004D7F79">
        <w:rPr>
          <w:rFonts w:asciiTheme="minorHAnsi" w:hAnsiTheme="minorHAnsi"/>
          <w:i/>
          <w:iCs/>
          <w:color w:val="404040" w:themeColor="text1" w:themeTint="BF"/>
          <w:sz w:val="21"/>
          <w:szCs w:val="21"/>
        </w:rPr>
        <w:t xml:space="preserve">The </w:t>
      </w:r>
      <w:r w:rsidRPr="00AD3544">
        <w:rPr>
          <w:rFonts w:asciiTheme="minorHAnsi" w:hAnsiTheme="minorHAnsi"/>
          <w:b/>
          <w:i/>
          <w:iCs/>
          <w:color w:val="404040" w:themeColor="text1" w:themeTint="BF"/>
          <w:sz w:val="21"/>
          <w:szCs w:val="21"/>
        </w:rPr>
        <w:t>lack of sufficient and appropriate system‐level planning</w:t>
      </w:r>
      <w:r w:rsidRPr="004D7F79">
        <w:rPr>
          <w:rFonts w:asciiTheme="minorHAnsi" w:hAnsiTheme="minorHAnsi"/>
          <w:i/>
          <w:iCs/>
          <w:color w:val="404040" w:themeColor="text1" w:themeTint="BF"/>
          <w:sz w:val="21"/>
          <w:szCs w:val="21"/>
        </w:rPr>
        <w:t xml:space="preserve">, investment, and monitoring over many years means the mental health system in Victoria lags significantly behind other jurisdictions in the available funding and infrastructure, and the percentage of the population supported. </w:t>
      </w:r>
    </w:p>
    <w:p w14:paraId="3D2983B7" w14:textId="77777777" w:rsidR="004D7F79" w:rsidRPr="004D7F79" w:rsidRDefault="004D7F79" w:rsidP="004D7F79">
      <w:pPr>
        <w:pStyle w:val="BodyText"/>
        <w:ind w:left="426"/>
        <w:rPr>
          <w:rFonts w:asciiTheme="minorHAnsi" w:hAnsiTheme="minorHAnsi"/>
          <w:i/>
          <w:iCs/>
          <w:color w:val="404040" w:themeColor="text1" w:themeTint="BF"/>
          <w:sz w:val="21"/>
          <w:szCs w:val="21"/>
        </w:rPr>
      </w:pPr>
      <w:r w:rsidRPr="004D7F79">
        <w:rPr>
          <w:rFonts w:asciiTheme="minorHAnsi" w:hAnsiTheme="minorHAnsi"/>
          <w:i/>
          <w:iCs/>
          <w:color w:val="404040" w:themeColor="text1" w:themeTint="BF"/>
          <w:sz w:val="21"/>
          <w:szCs w:val="21"/>
        </w:rPr>
        <w:t>While DHHS understands the extent of the problem well and has been informed by multiple external reviews</w:t>
      </w:r>
      <w:r w:rsidRPr="00AD3544">
        <w:rPr>
          <w:rFonts w:asciiTheme="minorHAnsi" w:hAnsiTheme="minorHAnsi"/>
          <w:b/>
          <w:i/>
          <w:iCs/>
          <w:color w:val="404040" w:themeColor="text1" w:themeTint="BF"/>
          <w:sz w:val="21"/>
          <w:szCs w:val="21"/>
        </w:rPr>
        <w:t xml:space="preserve">, the 10‐year plan outlines few actions that demonstrate </w:t>
      </w:r>
      <w:r w:rsidRPr="00AD3544">
        <w:rPr>
          <w:rFonts w:asciiTheme="minorHAnsi" w:hAnsiTheme="minorHAnsi"/>
          <w:b/>
          <w:i/>
          <w:iCs/>
          <w:color w:val="404040" w:themeColor="text1" w:themeTint="BF"/>
          <w:sz w:val="21"/>
          <w:szCs w:val="21"/>
          <w:u w:val="single"/>
        </w:rPr>
        <w:t>how</w:t>
      </w:r>
      <w:r w:rsidRPr="00AD3544">
        <w:rPr>
          <w:rFonts w:asciiTheme="minorHAnsi" w:hAnsiTheme="minorHAnsi"/>
          <w:b/>
          <w:i/>
          <w:iCs/>
          <w:color w:val="404040" w:themeColor="text1" w:themeTint="BF"/>
          <w:sz w:val="21"/>
          <w:szCs w:val="21"/>
        </w:rPr>
        <w:t xml:space="preserve"> DHHS</w:t>
      </w:r>
      <w:r w:rsidRPr="004D7F79">
        <w:rPr>
          <w:rFonts w:asciiTheme="minorHAnsi" w:hAnsiTheme="minorHAnsi"/>
          <w:i/>
          <w:iCs/>
          <w:color w:val="404040" w:themeColor="text1" w:themeTint="BF"/>
          <w:sz w:val="21"/>
          <w:szCs w:val="21"/>
        </w:rPr>
        <w:t xml:space="preserve"> </w:t>
      </w:r>
      <w:r w:rsidRPr="00AD3544">
        <w:rPr>
          <w:rFonts w:asciiTheme="minorHAnsi" w:hAnsiTheme="minorHAnsi"/>
          <w:b/>
          <w:i/>
          <w:iCs/>
          <w:color w:val="404040" w:themeColor="text1" w:themeTint="BF"/>
          <w:sz w:val="21"/>
          <w:szCs w:val="21"/>
        </w:rPr>
        <w:t xml:space="preserve">will address the demand challenge </w:t>
      </w:r>
      <w:r w:rsidRPr="004D7F79">
        <w:rPr>
          <w:rFonts w:asciiTheme="minorHAnsi" w:hAnsiTheme="minorHAnsi"/>
          <w:i/>
          <w:iCs/>
          <w:color w:val="404040" w:themeColor="text1" w:themeTint="BF"/>
          <w:sz w:val="21"/>
          <w:szCs w:val="21"/>
        </w:rPr>
        <w:t xml:space="preserve">that the 10‐year plan articulates: </w:t>
      </w:r>
    </w:p>
    <w:p w14:paraId="7CAED659" w14:textId="495DDA66" w:rsidR="004D7F79" w:rsidRPr="004D7F79" w:rsidRDefault="004D7F79" w:rsidP="004D7F79">
      <w:pPr>
        <w:pStyle w:val="BodyText"/>
        <w:ind w:left="426"/>
        <w:rPr>
          <w:rFonts w:asciiTheme="minorHAnsi" w:hAnsiTheme="minorHAnsi"/>
          <w:i/>
          <w:iCs/>
          <w:color w:val="404040" w:themeColor="text1" w:themeTint="BF"/>
          <w:sz w:val="21"/>
          <w:szCs w:val="21"/>
        </w:rPr>
      </w:pPr>
      <w:r w:rsidRPr="004D7F79">
        <w:rPr>
          <w:rFonts w:asciiTheme="minorHAnsi" w:hAnsiTheme="minorHAnsi"/>
          <w:i/>
          <w:iCs/>
          <w:color w:val="404040" w:themeColor="text1" w:themeTint="BF"/>
          <w:sz w:val="21"/>
          <w:szCs w:val="21"/>
        </w:rPr>
        <w:sym w:font="Symbol" w:char="F0B7"/>
      </w:r>
      <w:r w:rsidRPr="004D7F79">
        <w:rPr>
          <w:rFonts w:asciiTheme="minorHAnsi" w:hAnsiTheme="minorHAnsi"/>
          <w:i/>
          <w:iCs/>
          <w:color w:val="404040" w:themeColor="text1" w:themeTint="BF"/>
          <w:sz w:val="21"/>
          <w:szCs w:val="21"/>
        </w:rPr>
        <w:t xml:space="preserve"> there are </w:t>
      </w:r>
      <w:r w:rsidRPr="00AD3544">
        <w:rPr>
          <w:rFonts w:asciiTheme="minorHAnsi" w:hAnsiTheme="minorHAnsi"/>
          <w:b/>
          <w:i/>
          <w:iCs/>
          <w:color w:val="404040" w:themeColor="text1" w:themeTint="BF"/>
          <w:sz w:val="21"/>
          <w:szCs w:val="21"/>
        </w:rPr>
        <w:t>no clear targets or measures</w:t>
      </w:r>
      <w:r w:rsidRPr="004D7F79">
        <w:rPr>
          <w:rFonts w:asciiTheme="minorHAnsi" w:hAnsiTheme="minorHAnsi"/>
          <w:i/>
          <w:iCs/>
          <w:color w:val="404040" w:themeColor="text1" w:themeTint="BF"/>
          <w:sz w:val="21"/>
          <w:szCs w:val="21"/>
        </w:rPr>
        <w:t xml:space="preserve"> to monitor progress in improving access </w:t>
      </w:r>
    </w:p>
    <w:p w14:paraId="5A62107D" w14:textId="5DF92C77" w:rsidR="004D7F79" w:rsidRPr="004D7F79" w:rsidRDefault="004D7F79" w:rsidP="004D7F79">
      <w:pPr>
        <w:pStyle w:val="BodyText"/>
        <w:ind w:left="426"/>
        <w:rPr>
          <w:rFonts w:asciiTheme="minorHAnsi" w:hAnsiTheme="minorHAnsi"/>
          <w:i/>
          <w:iCs/>
          <w:color w:val="404040" w:themeColor="text1" w:themeTint="BF"/>
          <w:sz w:val="21"/>
          <w:szCs w:val="21"/>
        </w:rPr>
      </w:pPr>
      <w:r w:rsidRPr="004D7F79">
        <w:rPr>
          <w:rFonts w:asciiTheme="minorHAnsi" w:hAnsiTheme="minorHAnsi"/>
          <w:i/>
          <w:iCs/>
          <w:color w:val="404040" w:themeColor="text1" w:themeTint="BF"/>
          <w:sz w:val="21"/>
          <w:szCs w:val="21"/>
        </w:rPr>
        <w:sym w:font="Symbol" w:char="F0B7"/>
      </w:r>
      <w:r w:rsidRPr="004D7F79">
        <w:rPr>
          <w:rFonts w:asciiTheme="minorHAnsi" w:hAnsiTheme="minorHAnsi"/>
          <w:i/>
          <w:iCs/>
          <w:color w:val="404040" w:themeColor="text1" w:themeTint="BF"/>
          <w:sz w:val="21"/>
          <w:szCs w:val="21"/>
        </w:rPr>
        <w:t xml:space="preserve"> there are </w:t>
      </w:r>
      <w:r w:rsidRPr="00AD3544">
        <w:rPr>
          <w:rFonts w:asciiTheme="minorHAnsi" w:hAnsiTheme="minorHAnsi"/>
          <w:b/>
          <w:i/>
          <w:iCs/>
          <w:color w:val="404040" w:themeColor="text1" w:themeTint="BF"/>
          <w:sz w:val="21"/>
          <w:szCs w:val="21"/>
        </w:rPr>
        <w:t>no forward plans</w:t>
      </w:r>
      <w:r w:rsidRPr="004D7F79">
        <w:rPr>
          <w:rFonts w:asciiTheme="minorHAnsi" w:hAnsiTheme="minorHAnsi"/>
          <w:i/>
          <w:iCs/>
          <w:color w:val="404040" w:themeColor="text1" w:themeTint="BF"/>
          <w:sz w:val="21"/>
          <w:szCs w:val="21"/>
        </w:rPr>
        <w:t xml:space="preserve"> for the capital infrastructure needed </w:t>
      </w:r>
    </w:p>
    <w:p w14:paraId="725F5B36" w14:textId="58A16AD3" w:rsidR="004D7F79" w:rsidRPr="004D7F79" w:rsidRDefault="004D7F79" w:rsidP="004D7F79">
      <w:pPr>
        <w:pStyle w:val="BodyText"/>
        <w:ind w:left="426"/>
        <w:rPr>
          <w:rFonts w:asciiTheme="minorHAnsi" w:hAnsiTheme="minorHAnsi"/>
          <w:i/>
          <w:iCs/>
          <w:color w:val="404040" w:themeColor="text1" w:themeTint="BF"/>
          <w:sz w:val="21"/>
          <w:szCs w:val="21"/>
        </w:rPr>
      </w:pPr>
      <w:r w:rsidRPr="004D7F79">
        <w:rPr>
          <w:rFonts w:asciiTheme="minorHAnsi" w:hAnsiTheme="minorHAnsi"/>
          <w:i/>
          <w:iCs/>
          <w:color w:val="404040" w:themeColor="text1" w:themeTint="BF"/>
          <w:sz w:val="21"/>
          <w:szCs w:val="21"/>
        </w:rPr>
        <w:sym w:font="Symbol" w:char="F0B7"/>
      </w:r>
      <w:r w:rsidRPr="004D7F79">
        <w:rPr>
          <w:rFonts w:asciiTheme="minorHAnsi" w:hAnsiTheme="minorHAnsi"/>
          <w:i/>
          <w:iCs/>
          <w:color w:val="404040" w:themeColor="text1" w:themeTint="BF"/>
          <w:sz w:val="21"/>
          <w:szCs w:val="21"/>
        </w:rPr>
        <w:t xml:space="preserve"> </w:t>
      </w:r>
      <w:proofErr w:type="gramStart"/>
      <w:r w:rsidRPr="00AD3544">
        <w:rPr>
          <w:rFonts w:asciiTheme="minorHAnsi" w:hAnsiTheme="minorHAnsi"/>
          <w:b/>
          <w:i/>
          <w:iCs/>
          <w:color w:val="404040" w:themeColor="text1" w:themeTint="BF"/>
          <w:sz w:val="21"/>
          <w:szCs w:val="21"/>
        </w:rPr>
        <w:t>the</w:t>
      </w:r>
      <w:proofErr w:type="gramEnd"/>
      <w:r w:rsidRPr="00AD3544">
        <w:rPr>
          <w:rFonts w:asciiTheme="minorHAnsi" w:hAnsiTheme="minorHAnsi"/>
          <w:b/>
          <w:i/>
          <w:iCs/>
          <w:color w:val="404040" w:themeColor="text1" w:themeTint="BF"/>
          <w:sz w:val="21"/>
          <w:szCs w:val="21"/>
        </w:rPr>
        <w:t xml:space="preserve"> workforce strategy does not address</w:t>
      </w:r>
      <w:r w:rsidRPr="004D7F79">
        <w:rPr>
          <w:rFonts w:asciiTheme="minorHAnsi" w:hAnsiTheme="minorHAnsi"/>
          <w:i/>
          <w:iCs/>
          <w:color w:val="404040" w:themeColor="text1" w:themeTint="BF"/>
          <w:sz w:val="21"/>
          <w:szCs w:val="21"/>
        </w:rPr>
        <w:t xml:space="preserve"> the particular issues in regional and rural areas and fails to articulate specific targets </w:t>
      </w:r>
    </w:p>
    <w:p w14:paraId="4F3B2937" w14:textId="62AFA410" w:rsidR="004D7F79" w:rsidRPr="004D7F79" w:rsidRDefault="004D7F79" w:rsidP="004D7F79">
      <w:pPr>
        <w:pStyle w:val="BodyText"/>
        <w:ind w:left="426"/>
        <w:rPr>
          <w:rFonts w:asciiTheme="minorHAnsi" w:hAnsiTheme="minorHAnsi"/>
          <w:i/>
          <w:iCs/>
          <w:color w:val="404040" w:themeColor="text1" w:themeTint="BF"/>
          <w:sz w:val="21"/>
          <w:szCs w:val="21"/>
        </w:rPr>
      </w:pPr>
      <w:r w:rsidRPr="004D7F79">
        <w:rPr>
          <w:rFonts w:asciiTheme="minorHAnsi" w:hAnsiTheme="minorHAnsi"/>
          <w:i/>
          <w:iCs/>
          <w:color w:val="404040" w:themeColor="text1" w:themeTint="BF"/>
          <w:sz w:val="21"/>
          <w:szCs w:val="21"/>
        </w:rPr>
        <w:sym w:font="Symbol" w:char="F0B7"/>
      </w:r>
      <w:r w:rsidRPr="004D7F79">
        <w:rPr>
          <w:rFonts w:asciiTheme="minorHAnsi" w:hAnsiTheme="minorHAnsi"/>
          <w:i/>
          <w:iCs/>
          <w:color w:val="404040" w:themeColor="text1" w:themeTint="BF"/>
          <w:sz w:val="21"/>
          <w:szCs w:val="21"/>
        </w:rPr>
        <w:t xml:space="preserve"> there is </w:t>
      </w:r>
      <w:r w:rsidRPr="00AD3544">
        <w:rPr>
          <w:rFonts w:asciiTheme="minorHAnsi" w:hAnsiTheme="minorHAnsi"/>
          <w:b/>
          <w:i/>
          <w:iCs/>
          <w:color w:val="404040" w:themeColor="text1" w:themeTint="BF"/>
          <w:sz w:val="21"/>
          <w:szCs w:val="21"/>
        </w:rPr>
        <w:t>no work to address barriers</w:t>
      </w:r>
      <w:r w:rsidRPr="004D7F79">
        <w:rPr>
          <w:rFonts w:asciiTheme="minorHAnsi" w:hAnsiTheme="minorHAnsi"/>
          <w:i/>
          <w:iCs/>
          <w:color w:val="404040" w:themeColor="text1" w:themeTint="BF"/>
          <w:sz w:val="21"/>
          <w:szCs w:val="21"/>
        </w:rPr>
        <w:t xml:space="preserve"> to access created by geographic catchment areas. </w:t>
      </w:r>
    </w:p>
    <w:p w14:paraId="2BA913E6" w14:textId="77777777" w:rsidR="004D7F79" w:rsidRPr="004D7F79" w:rsidRDefault="004D7F79" w:rsidP="004D7F79">
      <w:pPr>
        <w:pStyle w:val="BodyText"/>
        <w:ind w:left="426"/>
        <w:rPr>
          <w:rFonts w:asciiTheme="minorHAnsi" w:hAnsiTheme="minorHAnsi"/>
          <w:i/>
          <w:iCs/>
          <w:color w:val="404040" w:themeColor="text1" w:themeTint="BF"/>
          <w:sz w:val="21"/>
          <w:szCs w:val="21"/>
        </w:rPr>
      </w:pPr>
      <w:r w:rsidRPr="00AD3544">
        <w:rPr>
          <w:rFonts w:asciiTheme="minorHAnsi" w:hAnsiTheme="minorHAnsi"/>
          <w:b/>
          <w:i/>
          <w:iCs/>
          <w:color w:val="404040" w:themeColor="text1" w:themeTint="BF"/>
          <w:sz w:val="21"/>
          <w:szCs w:val="21"/>
        </w:rPr>
        <w:t>DHHS has made little progress</w:t>
      </w:r>
      <w:r w:rsidRPr="004D7F79">
        <w:rPr>
          <w:rFonts w:asciiTheme="minorHAnsi" w:hAnsiTheme="minorHAnsi"/>
          <w:i/>
          <w:iCs/>
          <w:color w:val="404040" w:themeColor="text1" w:themeTint="BF"/>
          <w:sz w:val="21"/>
          <w:szCs w:val="21"/>
        </w:rPr>
        <w:t xml:space="preserve"> closing the significant gap between area mental health services’ (AMHS) costs and the price they are paid by DHHS to deliver mental health services; and in addressing historical inequities in funding allocations that do not align to current populations and demographics. </w:t>
      </w:r>
    </w:p>
    <w:p w14:paraId="2482580B" w14:textId="09AB6C07" w:rsidR="003B145C" w:rsidRPr="00AF7228" w:rsidRDefault="004D7F79" w:rsidP="00BD7169">
      <w:pPr>
        <w:pStyle w:val="BodyText"/>
      </w:pPr>
      <w:r w:rsidRPr="00AF7228">
        <w:t>Th</w:t>
      </w:r>
      <w:r w:rsidR="00D71D1B" w:rsidRPr="00AF7228">
        <w:t xml:space="preserve">e VADO </w:t>
      </w:r>
      <w:r w:rsidRPr="00AF7228">
        <w:t xml:space="preserve">highlights that numerous external reviews have failed to make an impact on the responsible lead agency’s (DHHS) capacity to plan, invest and report on system needs and reforms.  </w:t>
      </w:r>
    </w:p>
    <w:p w14:paraId="3697F958" w14:textId="7B689642" w:rsidR="003376B3" w:rsidRPr="00AF7228" w:rsidRDefault="00B06990" w:rsidP="00117D83">
      <w:pPr>
        <w:pStyle w:val="Heading1"/>
      </w:pPr>
      <w:bookmarkStart w:id="72" w:name="_Toc6238819"/>
      <w:r w:rsidRPr="00AF7228">
        <w:t xml:space="preserve">A Brief Analysis of </w:t>
      </w:r>
      <w:r w:rsidR="00AB3340">
        <w:t>Other</w:t>
      </w:r>
      <w:r w:rsidRPr="00AF7228">
        <w:t xml:space="preserve"> Mental Health Reviews</w:t>
      </w:r>
      <w:bookmarkEnd w:id="72"/>
    </w:p>
    <w:p w14:paraId="1F4C6E50" w14:textId="23127C2A" w:rsidR="00117D83" w:rsidRPr="00AF7228" w:rsidRDefault="00117D83" w:rsidP="00117D83">
      <w:pPr>
        <w:pStyle w:val="BodyText"/>
      </w:pPr>
      <w:r w:rsidRPr="00AF7228">
        <w:t xml:space="preserve">This section summarises the results from a 2013 systematic review and synthesis of the findings of 32 National and State audits of mental health and related services undertaken by independent statutory authorities such as Ombudsman, Auditors, Public Advocates, Guardians and Commissioners. Added to that analysis, is a preliminary analysis of a further 14 reviews undertaken in 2018-2019.  </w:t>
      </w:r>
    </w:p>
    <w:p w14:paraId="03822FAB" w14:textId="747E4F91" w:rsidR="00117D83" w:rsidRPr="00AF7228" w:rsidRDefault="00117D83" w:rsidP="00117D83">
      <w:pPr>
        <w:pStyle w:val="BodyText"/>
      </w:pPr>
      <w:r w:rsidRPr="00AF7228">
        <w:t>In the 2013 analysis, in some cases, the reports on which the review is based were initiated by the office undertaking the review; others were prompted by public complaints, requests by a Government, Parliament or Legislative Assembly or constituted part of the office’s statutory functions (e.g. annual review of child deaths).</w:t>
      </w:r>
      <w:r w:rsidRPr="00AF7228">
        <w:rPr>
          <w:b/>
        </w:rPr>
        <w:t xml:space="preserve"> </w:t>
      </w:r>
      <w:r w:rsidRPr="00AF7228">
        <w:t>In all cases, including the more recent reviews undertaken in 2018-19, the resulting report was undertaken independently of the government and the departments or agencies responsible for program management and/or program implementation.</w:t>
      </w:r>
    </w:p>
    <w:p w14:paraId="262A4AD4" w14:textId="27B55665" w:rsidR="00117D83" w:rsidRPr="00AF7228" w:rsidRDefault="00117D83" w:rsidP="00117D83">
      <w:pPr>
        <w:pStyle w:val="BodyText"/>
      </w:pPr>
      <w:r w:rsidRPr="00AF7228">
        <w:t>The original analysis of 32 reports in 2013, was based on a systematic search of audits and reviews published by relevant statutory authorities from mid-2006 to mid-2011. This period was selected as it covered the period of the COAG National Action Plan on Mental Health (NAPMH). The COAG NAPMH was a direct response to damming assessments of the state of mental health care released by the Mental Health of Australia in October 2005</w:t>
      </w:r>
      <w:r w:rsidRPr="00AF7228">
        <w:rPr>
          <w:vertAlign w:val="superscript"/>
        </w:rPr>
        <w:footnoteReference w:id="47"/>
      </w:r>
      <w:r w:rsidRPr="00AF7228">
        <w:t xml:space="preserve"> and the Australian Senate in March 2006</w:t>
      </w:r>
      <w:r w:rsidRPr="00AF7228">
        <w:rPr>
          <w:vertAlign w:val="superscript"/>
        </w:rPr>
        <w:footnoteReference w:id="48"/>
      </w:r>
      <w:r w:rsidRPr="00AF7228">
        <w:t>.</w:t>
      </w:r>
    </w:p>
    <w:p w14:paraId="346B6C24" w14:textId="42CF4F84" w:rsidR="00117D83" w:rsidRPr="00AF7228" w:rsidRDefault="00117D83" w:rsidP="00117D83">
      <w:pPr>
        <w:pStyle w:val="BodyText"/>
      </w:pPr>
      <w:r w:rsidRPr="00AF7228">
        <w:t xml:space="preserve">The limitations of these audits and reviews are that they do not systematically analyse all aspects of the mental health care system. Nor, in the case of State and Territory focused audits do they investigate the system outside a particular jurisdiction. Moreover, when policy makers act quickly to implement the recommendations of these reports, their findings can quickly lose currency. Nevertheless, the reports </w:t>
      </w:r>
      <w:r w:rsidRPr="00AF7228">
        <w:lastRenderedPageBreak/>
        <w:t xml:space="preserve">represent the culmination of careful and systematic investigation of important questions by trained, independent investigators and the outcomes may be informative both as they apply to the jurisdiction and topic evaluated and for their potential applicability to other jurisdictions and topics.  </w:t>
      </w:r>
    </w:p>
    <w:p w14:paraId="2F07173F" w14:textId="7D03DEDA" w:rsidR="00117D83" w:rsidRPr="00AF7228" w:rsidRDefault="00117D83" w:rsidP="00117D83">
      <w:pPr>
        <w:pStyle w:val="BodyText"/>
      </w:pPr>
      <w:r w:rsidRPr="00AF7228">
        <w:t xml:space="preserve">To date the findings of these reports have not been synthesized by government or other researchers. The opportunity for the Productivity Commission, is that within this vast number of reviews, lie almost all of the answers to the questions it has been tasked with by the Federal Government. </w:t>
      </w:r>
    </w:p>
    <w:p w14:paraId="3A99710C" w14:textId="75887DC1" w:rsidR="00117D83" w:rsidRPr="00AF7228" w:rsidRDefault="00117D83" w:rsidP="00117D83">
      <w:pPr>
        <w:pStyle w:val="Heading3"/>
      </w:pPr>
      <w:bookmarkStart w:id="73" w:name="_Toc6238820"/>
      <w:r w:rsidRPr="00AF7228">
        <w:t>Summary of Analyses</w:t>
      </w:r>
      <w:bookmarkEnd w:id="73"/>
      <w:r w:rsidRPr="00AF7228">
        <w:t xml:space="preserve"> </w:t>
      </w:r>
    </w:p>
    <w:p w14:paraId="7198D9FC" w14:textId="564E6B11" w:rsidR="004D7F79" w:rsidRPr="00AF7228" w:rsidRDefault="004D7F79" w:rsidP="004D7F79">
      <w:pPr>
        <w:pStyle w:val="BodyText"/>
      </w:pPr>
      <w:r w:rsidRPr="004D7F79">
        <w:rPr>
          <w:b/>
          <w:i/>
        </w:rPr>
        <w:t>Inadequate service access</w:t>
      </w:r>
      <w:r w:rsidRPr="004D7F79">
        <w:t xml:space="preserve"> included gaps in community mental health awareness and primary prevention programs and inadequate access to community-based mental health care. There were also inadequate community and hospital services in justice settings, rural and remote regions, a paucity of specialised community, crisis and hospital treatment for young people, inadequate specialised community and hospital treatment for older people, and a lack of supported accommodation for people with a mental illness. One driver of insufficient access was the inequitable distribution of the workforce across hospital and community sectors. A second was the exclusion of consumers from care unless they were in crisis.  </w:t>
      </w:r>
    </w:p>
    <w:p w14:paraId="0A0867BA" w14:textId="6088589B" w:rsidR="004D7F79" w:rsidRDefault="004D7F79" w:rsidP="004D7F79">
      <w:pPr>
        <w:pStyle w:val="BodyText"/>
      </w:pPr>
      <w:r w:rsidRPr="004D7F79">
        <w:t xml:space="preserve">Another limitation was a reliance on diagnosis rather than </w:t>
      </w:r>
      <w:r w:rsidRPr="004D7F79">
        <w:rPr>
          <w:i/>
        </w:rPr>
        <w:t>need</w:t>
      </w:r>
      <w:r w:rsidRPr="004D7F79">
        <w:t xml:space="preserve"> in allocating services resulting in delays in service for consumers in clear need and the use of demand ‘management’ strategies rather than need for services (e.g., capping Access to Allied Psychological Therapies by individual GPs), thereby compromising equitable access to care.  </w:t>
      </w:r>
    </w:p>
    <w:p w14:paraId="69BC1F67" w14:textId="5CE988E5" w:rsidR="00AD3544" w:rsidRPr="004D7F79" w:rsidRDefault="00AD3544" w:rsidP="004D7F79">
      <w:pPr>
        <w:pStyle w:val="BodyText"/>
      </w:pPr>
      <w:r>
        <w:t xml:space="preserve">Poor planning was regularly highlighted in reports. </w:t>
      </w:r>
    </w:p>
    <w:p w14:paraId="05F482CC" w14:textId="3A00618A" w:rsidR="004D7F79" w:rsidRPr="00AF7228" w:rsidRDefault="004D7F79" w:rsidP="004D7F79">
      <w:pPr>
        <w:pStyle w:val="BodyText"/>
      </w:pPr>
      <w:r w:rsidRPr="00AF7228">
        <w:rPr>
          <w:b/>
          <w:i/>
        </w:rPr>
        <w:t>P</w:t>
      </w:r>
      <w:r w:rsidRPr="004D7F79">
        <w:rPr>
          <w:b/>
          <w:i/>
        </w:rPr>
        <w:t>oor cooperation between agencies and inadequate continuity of care</w:t>
      </w:r>
      <w:r w:rsidRPr="00AF7228">
        <w:t xml:space="preserve"> consistently compromises m</w:t>
      </w:r>
      <w:r w:rsidRPr="004D7F79">
        <w:t xml:space="preserve">ental health care. This was evident across the care spectrum from prevention to accommodation with agencies failing to follow-up, share information, integrate services, </w:t>
      </w:r>
      <w:r w:rsidR="00AD3544">
        <w:t xml:space="preserve">undertake workforce development, </w:t>
      </w:r>
      <w:r w:rsidRPr="004D7F79">
        <w:t xml:space="preserve">agree on the division of responsibilities and develop consistency in entry criteria. For example, community mental health teams in Western Australia had shared only 19% of care plans with other professionals such as general practitioners and more than one audit implicated poor interagency communication in the subsequent deaths of young people. </w:t>
      </w:r>
    </w:p>
    <w:p w14:paraId="7F7FF367" w14:textId="39FEFB1E" w:rsidR="004D7F79" w:rsidRPr="004D7F79" w:rsidRDefault="004D7F79" w:rsidP="004D7F79">
      <w:pPr>
        <w:pStyle w:val="BodyText"/>
      </w:pPr>
      <w:r w:rsidRPr="004D7F79">
        <w:t xml:space="preserve">Sectors nominated as requiring improved cooperation included health and mental health, emergency services, police, primary care, education, disability, child protection, housing, justice, Indigenous, family services, sport and recreation. </w:t>
      </w:r>
    </w:p>
    <w:p w14:paraId="2E128116" w14:textId="30DAED0A" w:rsidR="004D7F79" w:rsidRPr="00AF7228" w:rsidRDefault="004D7F79" w:rsidP="004D7F79">
      <w:pPr>
        <w:pStyle w:val="BodyText"/>
      </w:pPr>
      <w:r w:rsidRPr="00AD3544">
        <w:rPr>
          <w:b/>
          <w:i/>
        </w:rPr>
        <w:t>Human rights concerns</w:t>
      </w:r>
      <w:r w:rsidRPr="00AF7228">
        <w:t xml:space="preserve"> were regularly identified in the audits among some crisis and in</w:t>
      </w:r>
      <w:r w:rsidR="001964F3">
        <w:t>-</w:t>
      </w:r>
      <w:r w:rsidRPr="00AF7228">
        <w:t xml:space="preserve">patient services and denial of equitable access to supported accommodation. Examples included consumers who were not a threat to others being transferred to hospital by police vans instead of ambulances (contrary to service protocol), Crisis and Assertive Treatment Team (CATT) members requesting detention of intoxicated consumers in police cells in contravention of the relevant charter of human rights, </w:t>
      </w:r>
      <w:r w:rsidR="00AD3544">
        <w:t xml:space="preserve">excessive use of restraint and seclusion, </w:t>
      </w:r>
      <w:r w:rsidRPr="00AF7228">
        <w:t xml:space="preserve">consumers not informed of their rights in hospital, wrongful </w:t>
      </w:r>
      <w:r w:rsidR="00AD3544">
        <w:t xml:space="preserve">and extended </w:t>
      </w:r>
      <w:r w:rsidRPr="00AF7228">
        <w:t>shackling of prisoners with a mental illness in hospital,</w:t>
      </w:r>
      <w:r w:rsidRPr="00AF7228">
        <w:fldChar w:fldCharType="begin"/>
      </w:r>
      <w:r w:rsidRPr="00AF7228">
        <w:instrText xml:space="preserve"> ADDIN EN.CITE &lt;EndNote&gt;&lt;Cite&gt;&lt;Author&gt;Guardian for Children and Young People&lt;/Author&gt;&lt;Year&gt;2011&lt;/Year&gt;&lt;RecNum&gt;64&lt;/RecNum&gt;&lt;DisplayText&gt;&lt;style face="superscript"&gt;22,31&lt;/style&gt;&lt;/DisplayText&gt;&lt;record&gt;&lt;rec-number&gt;64&lt;/rec-number&gt;&lt;foreign-keys&gt;&lt;key app="EN" db-id="a0wvtv9915rpfwev2fivx2tvf0zpeaa9ttse"&gt;64&lt;/key&gt;&lt;/foreign-keys&gt;&lt;ref-type name="Report"&gt;27&lt;/ref-type&gt;&lt;contributors&gt;&lt;authors&gt;&lt;author&gt;Guardian for Children and Young People,&lt;/author&gt;&lt;/authors&gt;&lt;/contributors&gt;&lt;titles&gt;&lt;title&gt;Report of the Case File Audit of Mental Health Services for Children and Young People in Care&lt;/title&gt;&lt;/titles&gt;&lt;dates&gt;&lt;year&gt;2011&lt;/year&gt;&lt;/dates&gt;&lt;pub-location&gt;Adelaide&lt;/pub-location&gt;&lt;publisher&gt;Guardian for Children and Young People&lt;/publisher&gt;&lt;urls&gt;&lt;/urls&gt;&lt;/record&gt;&lt;/Cite&gt;&lt;Cite&gt;&lt;Author&gt;Ombudsman SA&lt;/Author&gt;&lt;Year&gt;2012&lt;/Year&gt;&lt;RecNum&gt;29&lt;/RecNum&gt;&lt;record&gt;&lt;rec-number&gt;29&lt;/rec-number&gt;&lt;foreign-keys&gt;&lt;key app="EN" db-id="a0wvtv9915rpfwev2fivx2tvf0zpeaa9ttse"&gt;29&lt;/key&gt;&lt;/foreign-keys&gt;&lt;ref-type name="Report"&gt;27&lt;/ref-type&gt;&lt;contributors&gt;&lt;authors&gt;&lt;author&gt;Ombudsman SA,&lt;/author&gt;&lt;/authors&gt;&lt;/contributors&gt;&lt;titles&gt;&lt;title&gt;Ombudsman investigation into the Department for Correctional Services in relation to the restraining and shackling of prisoners in hospitals&lt;/title&gt;&lt;/titles&gt;&lt;dates&gt;&lt;year&gt;2012&lt;/year&gt;&lt;/dates&gt;&lt;pub-location&gt;Adelaide&lt;/pub-location&gt;&lt;publisher&gt;Ombudsman SA&lt;/publisher&gt;&lt;urls&gt;&lt;/urls&gt;&lt;/record&gt;&lt;/Cite&gt;&lt;Cite&gt;&lt;Author&gt;Ombudsman SA&lt;/Author&gt;&lt;Year&gt;2012&lt;/Year&gt;&lt;RecNum&gt;29&lt;/RecNum&gt;&lt;record&gt;&lt;rec-number&gt;29&lt;/rec-number&gt;&lt;foreign-keys&gt;&lt;key app="EN" db-id="a0wvtv9915rpfwev2fivx2tvf0zpeaa9ttse"&gt;29&lt;/key&gt;&lt;/foreign-keys&gt;&lt;ref-type name="Report"&gt;27&lt;/ref-type&gt;&lt;contributors&gt;&lt;authors&gt;&lt;author&gt;Ombudsman SA,&lt;/author&gt;&lt;/authors&gt;&lt;/contributors&gt;&lt;titles&gt;&lt;title&gt;Ombudsman investigation into the Department for Correctional Services in relation to the restraining and shackling of prisoners in hospitals&lt;/title&gt;&lt;/titles&gt;&lt;dates&gt;&lt;year&gt;2012&lt;/year&gt;&lt;/dates&gt;&lt;pub-location&gt;Adelaide&lt;/pub-location&gt;&lt;publisher&gt;Ombudsman SA&lt;/publisher&gt;&lt;urls&gt;&lt;/urls&gt;&lt;/record&gt;&lt;/Cite&gt;&lt;/EndNote&gt;</w:instrText>
      </w:r>
      <w:r w:rsidRPr="00AF7228">
        <w:fldChar w:fldCharType="end"/>
      </w:r>
      <w:hyperlink w:anchor="_ENREF_31" w:tooltip="Ombudsman SA, 2012 #29" w:history="1"/>
      <w:r w:rsidRPr="00AF7228">
        <w:t xml:space="preserve"> perceived organisational bias directed towards forensic inpatients, a denial of privacy in in-patient consultations in violation of the national standards </w:t>
      </w:r>
      <w:r w:rsidR="00AD3544">
        <w:t>and</w:t>
      </w:r>
      <w:r w:rsidRPr="00AF7228">
        <w:t xml:space="preserve"> privacy legislation, and voluntarily admitted consumers placed in locked wards. </w:t>
      </w:r>
    </w:p>
    <w:p w14:paraId="6AA9B665" w14:textId="59C4782A" w:rsidR="004D7F79" w:rsidRPr="00AF7228" w:rsidRDefault="004D7F79" w:rsidP="004D7F79">
      <w:pPr>
        <w:pStyle w:val="BodyText"/>
      </w:pPr>
      <w:r w:rsidRPr="00AF7228">
        <w:t>Further, it has been reported that consumers with a mental illness have been systematically denied their rights to supported accommodation. In particular, in NSW, supported accommodation was not available to people with a primary diagnosis of a mental illness. The NSW Ombudsman described this situation as a denial of ‘fundamental rights under mental health and disability legislation’. He reported that up to 60% of current psychiatric in</w:t>
      </w:r>
      <w:r w:rsidR="001964F3">
        <w:t>-</w:t>
      </w:r>
      <w:r w:rsidRPr="00AF7228">
        <w:t xml:space="preserve">patients could be discharged if suitable supported accommodation were available. The responsible government Department responded that </w:t>
      </w:r>
      <w:r w:rsidR="00AD3544">
        <w:t>‘</w:t>
      </w:r>
      <w:r w:rsidRPr="00AF7228">
        <w:t>if psychiatric patients were allocated the places, other people with disability would be denied places</w:t>
      </w:r>
      <w:r w:rsidR="00AD3544">
        <w:t>’</w:t>
      </w:r>
      <w:r w:rsidRPr="00AF7228">
        <w:t xml:space="preserve">. The </w:t>
      </w:r>
      <w:r w:rsidRPr="00AF7228">
        <w:lastRenderedPageBreak/>
        <w:t xml:space="preserve">Ombudsman responded that ‘it is unacceptable to trade-off the rights of people with a psychiatric disability against those of others’.   </w:t>
      </w:r>
    </w:p>
    <w:p w14:paraId="0BC723D3" w14:textId="50BDEB6C" w:rsidR="004D7F79" w:rsidRPr="004D7F79" w:rsidRDefault="004D7F79" w:rsidP="004D7F79">
      <w:pPr>
        <w:pStyle w:val="BodyText"/>
      </w:pPr>
      <w:r w:rsidRPr="004D7F79">
        <w:t xml:space="preserve">Action was consistently recommended across services and sectors to address </w:t>
      </w:r>
      <w:r w:rsidRPr="004D7F79">
        <w:rPr>
          <w:b/>
          <w:i/>
        </w:rPr>
        <w:t>gaps in training</w:t>
      </w:r>
      <w:r w:rsidRPr="004D7F79">
        <w:t>.  Examples of the training required included de-escalation training for CATT members and police including those operating tasers, specialist training in the mental health of older people,</w:t>
      </w:r>
      <w:r w:rsidRPr="00AF7228">
        <w:t xml:space="preserve"> </w:t>
      </w:r>
      <w:r w:rsidRPr="004D7F79">
        <w:t>mental health literacy training for social security and immigration staff, practical training for housing sector staff in strategies for supporting people with a mental illness, training for health staff in negotiating the housing system, and exposure of police to consumer perspectives.</w:t>
      </w:r>
      <w:r w:rsidRPr="004D7F79" w:rsidDel="004A712F">
        <w:t xml:space="preserve"> </w:t>
      </w:r>
    </w:p>
    <w:p w14:paraId="71B6150A" w14:textId="37BB4C23" w:rsidR="004D7F79" w:rsidRPr="004D7F79" w:rsidRDefault="004D7F79" w:rsidP="004D7F79">
      <w:pPr>
        <w:pStyle w:val="BodyText"/>
      </w:pPr>
      <w:r w:rsidRPr="004D7F79">
        <w:t>Many of the audits</w:t>
      </w:r>
      <w:r w:rsidR="00AD3544">
        <w:t>, including the most recent reports from 2018,</w:t>
      </w:r>
      <w:r w:rsidRPr="004D7F79">
        <w:t xml:space="preserve"> criticised the </w:t>
      </w:r>
      <w:r w:rsidRPr="004D7F79">
        <w:rPr>
          <w:b/>
          <w:i/>
        </w:rPr>
        <w:t>lack of appropriate data collection and monitoring</w:t>
      </w:r>
      <w:r w:rsidRPr="004D7F79">
        <w:t xml:space="preserve"> by services and programs. </w:t>
      </w:r>
      <w:r w:rsidR="00AD3544">
        <w:t xml:space="preserve">Despite the commitment in the First National Mental Health Plan to develop meaningful data for planning and performance monitoring, nearly three decades later, audit reports continue to point to the lack of accessible data. </w:t>
      </w:r>
    </w:p>
    <w:p w14:paraId="5E3D2A31" w14:textId="524603F6" w:rsidR="003B145C" w:rsidRPr="004D7F79" w:rsidRDefault="00AD3544" w:rsidP="004D7F79">
      <w:pPr>
        <w:pStyle w:val="BodyText"/>
      </w:pPr>
      <w:r>
        <w:t xml:space="preserve">There are many groups in the community identified as being </w:t>
      </w:r>
      <w:r w:rsidR="004D7F79" w:rsidRPr="004D7F79">
        <w:t xml:space="preserve">particularly disadvantaged. </w:t>
      </w:r>
      <w:r w:rsidR="004D7F79" w:rsidRPr="004D7F79">
        <w:rPr>
          <w:b/>
          <w:i/>
        </w:rPr>
        <w:t>Groups with particular unmet need</w:t>
      </w:r>
      <w:r w:rsidR="004D7F79" w:rsidRPr="004D7F79">
        <w:rPr>
          <w:i/>
        </w:rPr>
        <w:t xml:space="preserve"> </w:t>
      </w:r>
      <w:r w:rsidR="004D7F79" w:rsidRPr="004D7F79">
        <w:t xml:space="preserve">included those in the forensic/justice system, people from rural regions, those who were younger or older, people of Indigenous background, or from a culturally and linguistically diverse background, veterans, </w:t>
      </w:r>
      <w:r>
        <w:t xml:space="preserve">new mothers </w:t>
      </w:r>
      <w:r w:rsidR="004D7F79" w:rsidRPr="004D7F79">
        <w:t>and children at risk. Disadvantage was particularly evident in forensic contexts</w:t>
      </w:r>
      <w:r>
        <w:t>.</w:t>
      </w:r>
      <w:r w:rsidR="004D7F79" w:rsidRPr="00AF7228">
        <w:t xml:space="preserve"> </w:t>
      </w:r>
    </w:p>
    <w:p w14:paraId="7F456E79" w14:textId="5CBEEA3F" w:rsidR="003376B3" w:rsidRPr="00AF7228" w:rsidRDefault="003376B3" w:rsidP="00117D83">
      <w:pPr>
        <w:pStyle w:val="Heading1"/>
      </w:pPr>
      <w:bookmarkStart w:id="74" w:name="_Toc6238821"/>
      <w:r w:rsidRPr="00AF7228">
        <w:t>Why Reform</w:t>
      </w:r>
      <w:r w:rsidR="002A70E7" w:rsidRPr="00AF7228">
        <w:t xml:space="preserve">s Have </w:t>
      </w:r>
      <w:r w:rsidRPr="00AF7228">
        <w:t>F</w:t>
      </w:r>
      <w:r w:rsidR="00263CC6" w:rsidRPr="00AF7228">
        <w:t>allen Short of the</w:t>
      </w:r>
      <w:r w:rsidRPr="00AF7228">
        <w:t xml:space="preserve"> Objectives</w:t>
      </w:r>
      <w:bookmarkEnd w:id="74"/>
    </w:p>
    <w:p w14:paraId="25AC0488" w14:textId="0BA77B35" w:rsidR="003376B3" w:rsidRPr="00AF7228" w:rsidRDefault="003376B3" w:rsidP="00B303FA">
      <w:pPr>
        <w:pStyle w:val="BodyText"/>
        <w:rPr>
          <w:rFonts w:asciiTheme="minorHAnsi" w:hAnsiTheme="minorHAnsi"/>
          <w:i/>
          <w:iCs/>
          <w:color w:val="404040" w:themeColor="text1" w:themeTint="BF"/>
          <w:sz w:val="21"/>
          <w:szCs w:val="21"/>
        </w:rPr>
      </w:pPr>
      <w:r w:rsidRPr="00AF7228">
        <w:rPr>
          <w:rFonts w:asciiTheme="minorHAnsi" w:hAnsiTheme="minorHAnsi"/>
          <w:i/>
          <w:iCs/>
          <w:color w:val="404040" w:themeColor="text1" w:themeTint="BF"/>
          <w:sz w:val="21"/>
          <w:szCs w:val="21"/>
        </w:rPr>
        <w:t xml:space="preserve">While the aims of the Second (National Mental Health) Plan (1998-2003) have been an appropriate guide to change, </w:t>
      </w:r>
      <w:r w:rsidRPr="00AD3544">
        <w:rPr>
          <w:rFonts w:asciiTheme="minorHAnsi" w:hAnsiTheme="minorHAnsi"/>
          <w:b/>
          <w:i/>
          <w:iCs/>
          <w:color w:val="404040" w:themeColor="text1" w:themeTint="BF"/>
          <w:sz w:val="21"/>
          <w:szCs w:val="21"/>
        </w:rPr>
        <w:t>what has been lacking is effective implementation</w:t>
      </w:r>
      <w:r w:rsidRPr="00AF7228">
        <w:rPr>
          <w:rFonts w:asciiTheme="minorHAnsi" w:hAnsiTheme="minorHAnsi"/>
          <w:i/>
          <w:iCs/>
          <w:color w:val="404040" w:themeColor="text1" w:themeTint="BF"/>
          <w:sz w:val="21"/>
          <w:szCs w:val="21"/>
        </w:rPr>
        <w:t>. The failures have not been due to a lack of clear and appropriate directions, but rather to failures in investment and commitment.</w:t>
      </w:r>
    </w:p>
    <w:p w14:paraId="53369086" w14:textId="6F0322CB" w:rsidR="003376B3" w:rsidRPr="00AF7228" w:rsidRDefault="003376B3" w:rsidP="00BD7169">
      <w:pPr>
        <w:pStyle w:val="BodyText"/>
        <w:ind w:right="-36"/>
        <w:jc w:val="right"/>
      </w:pPr>
      <w:r w:rsidRPr="00AF7228">
        <w:t>Steering Committee for the Evaluation of the Second National Mental Health Plan 2003</w:t>
      </w:r>
    </w:p>
    <w:p w14:paraId="665AC319" w14:textId="77777777" w:rsidR="00B06990" w:rsidRPr="00AF7228" w:rsidRDefault="00B06990" w:rsidP="003E4974">
      <w:pPr>
        <w:pStyle w:val="BodyText"/>
      </w:pPr>
    </w:p>
    <w:p w14:paraId="36F8FA74" w14:textId="41BF318E" w:rsidR="00B06990" w:rsidRPr="00AF7228" w:rsidRDefault="00B06990" w:rsidP="00B303FA">
      <w:pPr>
        <w:pStyle w:val="BodyText"/>
        <w:rPr>
          <w:rFonts w:asciiTheme="minorHAnsi" w:hAnsiTheme="minorHAnsi"/>
          <w:i/>
          <w:iCs/>
          <w:color w:val="404040" w:themeColor="text1" w:themeTint="BF"/>
          <w:sz w:val="21"/>
          <w:szCs w:val="21"/>
        </w:rPr>
      </w:pPr>
      <w:r w:rsidRPr="00AF7228">
        <w:rPr>
          <w:rFonts w:asciiTheme="minorHAnsi" w:hAnsiTheme="minorHAnsi"/>
          <w:i/>
          <w:iCs/>
          <w:color w:val="404040" w:themeColor="text1" w:themeTint="BF"/>
          <w:sz w:val="21"/>
          <w:szCs w:val="21"/>
        </w:rPr>
        <w:t xml:space="preserve">… </w:t>
      </w:r>
      <w:proofErr w:type="gramStart"/>
      <w:r w:rsidRPr="00AF7228">
        <w:rPr>
          <w:rFonts w:asciiTheme="minorHAnsi" w:hAnsiTheme="minorHAnsi"/>
          <w:i/>
          <w:iCs/>
          <w:color w:val="404040" w:themeColor="text1" w:themeTint="BF"/>
          <w:sz w:val="21"/>
          <w:szCs w:val="21"/>
        </w:rPr>
        <w:t>mental</w:t>
      </w:r>
      <w:proofErr w:type="gramEnd"/>
      <w:r w:rsidRPr="00AF7228">
        <w:rPr>
          <w:rFonts w:asciiTheme="minorHAnsi" w:hAnsiTheme="minorHAnsi"/>
          <w:i/>
          <w:iCs/>
          <w:color w:val="404040" w:themeColor="text1" w:themeTint="BF"/>
          <w:sz w:val="21"/>
          <w:szCs w:val="21"/>
        </w:rPr>
        <w:t xml:space="preserve"> health in Australia is a shambles … </w:t>
      </w:r>
      <w:r w:rsidRPr="00AD3544">
        <w:rPr>
          <w:rFonts w:asciiTheme="minorHAnsi" w:hAnsiTheme="minorHAnsi"/>
          <w:b/>
          <w:i/>
          <w:iCs/>
          <w:color w:val="404040" w:themeColor="text1" w:themeTint="BF"/>
          <w:sz w:val="21"/>
          <w:szCs w:val="21"/>
        </w:rPr>
        <w:t>a national disgrace</w:t>
      </w:r>
      <w:r w:rsidRPr="00AF7228">
        <w:rPr>
          <w:rFonts w:asciiTheme="minorHAnsi" w:hAnsiTheme="minorHAnsi"/>
          <w:i/>
          <w:iCs/>
          <w:color w:val="404040" w:themeColor="text1" w:themeTint="BF"/>
          <w:sz w:val="21"/>
          <w:szCs w:val="21"/>
        </w:rPr>
        <w:t xml:space="preserve">. </w:t>
      </w:r>
    </w:p>
    <w:p w14:paraId="08AD11E1" w14:textId="77777777" w:rsidR="00B06990" w:rsidRPr="00AF7228" w:rsidRDefault="00B06990" w:rsidP="00B06990">
      <w:pPr>
        <w:pStyle w:val="BodyText"/>
        <w:ind w:right="106"/>
        <w:jc w:val="right"/>
      </w:pPr>
      <w:r w:rsidRPr="00AF7228">
        <w:t xml:space="preserve">The Hon Christopher </w:t>
      </w:r>
      <w:proofErr w:type="spellStart"/>
      <w:r w:rsidRPr="00AF7228">
        <w:t>Pyne</w:t>
      </w:r>
      <w:proofErr w:type="spellEnd"/>
      <w:r w:rsidRPr="00AF7228">
        <w:t xml:space="preserve">, Parliamentary Secretary, Mental Health, March 2006. </w:t>
      </w:r>
    </w:p>
    <w:p w14:paraId="6F534A94" w14:textId="77777777" w:rsidR="003376B3" w:rsidRPr="00AF7228" w:rsidRDefault="003376B3" w:rsidP="00BD7169">
      <w:pPr>
        <w:pStyle w:val="BodyText"/>
        <w:ind w:right="-36"/>
      </w:pPr>
    </w:p>
    <w:p w14:paraId="6961112A" w14:textId="1F65344E" w:rsidR="003376B3" w:rsidRPr="00AF7228" w:rsidRDefault="003376B3" w:rsidP="00B303FA">
      <w:pPr>
        <w:pStyle w:val="BodyText"/>
        <w:rPr>
          <w:rFonts w:asciiTheme="minorHAnsi" w:hAnsiTheme="minorHAnsi"/>
          <w:i/>
          <w:iCs/>
          <w:color w:val="404040" w:themeColor="text1" w:themeTint="BF"/>
          <w:sz w:val="21"/>
          <w:szCs w:val="21"/>
        </w:rPr>
      </w:pPr>
      <w:r w:rsidRPr="00AF7228">
        <w:rPr>
          <w:rFonts w:asciiTheme="minorHAnsi" w:hAnsiTheme="minorHAnsi"/>
          <w:i/>
          <w:iCs/>
          <w:color w:val="404040" w:themeColor="text1" w:themeTint="BF"/>
          <w:sz w:val="21"/>
          <w:szCs w:val="21"/>
        </w:rPr>
        <w:t xml:space="preserve">I believe the governments of Australia also owe the mentally ill an apology – </w:t>
      </w:r>
      <w:r w:rsidRPr="00AD3544">
        <w:rPr>
          <w:rFonts w:asciiTheme="minorHAnsi" w:hAnsiTheme="minorHAnsi"/>
          <w:b/>
          <w:i/>
          <w:iCs/>
          <w:color w:val="404040" w:themeColor="text1" w:themeTint="BF"/>
          <w:sz w:val="21"/>
          <w:szCs w:val="21"/>
        </w:rPr>
        <w:t>a sincere and direct apology</w:t>
      </w:r>
      <w:r w:rsidRPr="00AF7228">
        <w:rPr>
          <w:rFonts w:asciiTheme="minorHAnsi" w:hAnsiTheme="minorHAnsi"/>
          <w:i/>
          <w:iCs/>
          <w:color w:val="404040" w:themeColor="text1" w:themeTint="BF"/>
          <w:sz w:val="21"/>
          <w:szCs w:val="21"/>
        </w:rPr>
        <w:t xml:space="preserve"> for the years of under-funding, the </w:t>
      </w:r>
      <w:r w:rsidRPr="00AD3544">
        <w:rPr>
          <w:rFonts w:asciiTheme="minorHAnsi" w:hAnsiTheme="minorHAnsi"/>
          <w:b/>
          <w:i/>
          <w:iCs/>
          <w:color w:val="404040" w:themeColor="text1" w:themeTint="BF"/>
          <w:sz w:val="21"/>
          <w:szCs w:val="21"/>
        </w:rPr>
        <w:t>haphazard policy</w:t>
      </w:r>
      <w:r w:rsidRPr="00AF7228">
        <w:rPr>
          <w:rFonts w:asciiTheme="minorHAnsi" w:hAnsiTheme="minorHAnsi"/>
          <w:i/>
          <w:iCs/>
          <w:color w:val="404040" w:themeColor="text1" w:themeTint="BF"/>
          <w:sz w:val="21"/>
          <w:szCs w:val="21"/>
        </w:rPr>
        <w:t xml:space="preserve">, the poor coordination, the endless excuses and evasions. I am not saying the new funding … will fix every </w:t>
      </w:r>
      <w:r w:rsidR="00AD3544" w:rsidRPr="00AF7228">
        <w:rPr>
          <w:rFonts w:asciiTheme="minorHAnsi" w:hAnsiTheme="minorHAnsi"/>
          <w:i/>
          <w:iCs/>
          <w:color w:val="404040" w:themeColor="text1" w:themeTint="BF"/>
          <w:sz w:val="21"/>
          <w:szCs w:val="21"/>
        </w:rPr>
        <w:t>problem.</w:t>
      </w:r>
      <w:r w:rsidRPr="00AF7228">
        <w:rPr>
          <w:rFonts w:asciiTheme="minorHAnsi" w:hAnsiTheme="minorHAnsi"/>
          <w:i/>
          <w:iCs/>
          <w:color w:val="404040" w:themeColor="text1" w:themeTint="BF"/>
          <w:sz w:val="21"/>
          <w:szCs w:val="21"/>
        </w:rPr>
        <w:t xml:space="preserve"> It is a huge down payment. </w:t>
      </w:r>
    </w:p>
    <w:p w14:paraId="4BDC6CC5" w14:textId="77777777" w:rsidR="003376B3" w:rsidRPr="00AF7228" w:rsidRDefault="003376B3" w:rsidP="00BD7169">
      <w:pPr>
        <w:pStyle w:val="BodyText"/>
        <w:ind w:right="106"/>
        <w:jc w:val="right"/>
      </w:pPr>
      <w:r w:rsidRPr="00AF7228">
        <w:t xml:space="preserve">NSW Premier, Hon Morris </w:t>
      </w:r>
      <w:proofErr w:type="spellStart"/>
      <w:r w:rsidRPr="00AF7228">
        <w:t>Iemma</w:t>
      </w:r>
      <w:proofErr w:type="spellEnd"/>
      <w:r w:rsidRPr="00AF7228">
        <w:t xml:space="preserve">, 1 June 2006, </w:t>
      </w:r>
      <w:r w:rsidRPr="00AF7228">
        <w:br/>
        <w:t>on the announcement of $4.5Billion investment in mental health by COAG</w:t>
      </w:r>
    </w:p>
    <w:p w14:paraId="19ED7488" w14:textId="248AEFE0" w:rsidR="00D71D1B" w:rsidRPr="00AF7228" w:rsidRDefault="00D71D1B" w:rsidP="00AB3340">
      <w:pPr>
        <w:pStyle w:val="Heading3"/>
      </w:pPr>
      <w:bookmarkStart w:id="75" w:name="_Toc6238822"/>
      <w:r w:rsidRPr="004D7F79">
        <w:t xml:space="preserve">Why </w:t>
      </w:r>
      <w:r w:rsidR="003E4974">
        <w:t>D</w:t>
      </w:r>
      <w:r w:rsidRPr="004D7F79">
        <w:t xml:space="preserve">o </w:t>
      </w:r>
      <w:r w:rsidR="00AB3340">
        <w:t xml:space="preserve">the </w:t>
      </w:r>
      <w:r w:rsidR="003E4974">
        <w:t>P</w:t>
      </w:r>
      <w:r w:rsidRPr="004D7F79">
        <w:t xml:space="preserve">roblems </w:t>
      </w:r>
      <w:r w:rsidR="00AB3340">
        <w:t xml:space="preserve">in </w:t>
      </w:r>
      <w:r w:rsidR="003E4974">
        <w:t>M</w:t>
      </w:r>
      <w:r w:rsidRPr="004D7F79">
        <w:t xml:space="preserve">ental </w:t>
      </w:r>
      <w:r w:rsidR="003E4974">
        <w:t>H</w:t>
      </w:r>
      <w:r w:rsidRPr="004D7F79">
        <w:t xml:space="preserve">ealth </w:t>
      </w:r>
      <w:r w:rsidR="003E4974">
        <w:t>C</w:t>
      </w:r>
      <w:r w:rsidR="00AB3340">
        <w:t>are</w:t>
      </w:r>
      <w:r w:rsidRPr="004D7F79">
        <w:t xml:space="preserve"> </w:t>
      </w:r>
      <w:r w:rsidR="003E4974">
        <w:t>P</w:t>
      </w:r>
      <w:r w:rsidRPr="004D7F79">
        <w:t>ersist?</w:t>
      </w:r>
      <w:bookmarkEnd w:id="75"/>
      <w:r w:rsidRPr="004D7F79">
        <w:t xml:space="preserve">  </w:t>
      </w:r>
    </w:p>
    <w:p w14:paraId="4ECA047D" w14:textId="78B6DA9B" w:rsidR="00D71D1B" w:rsidRPr="00AF7228" w:rsidRDefault="00D71D1B" w:rsidP="00D71D1B">
      <w:pPr>
        <w:pStyle w:val="BodyText"/>
      </w:pPr>
      <w:r w:rsidRPr="004D7F79">
        <w:t xml:space="preserve">There are number of reasons. Despite the wealth of data in these audit reports and their potential role in mental health reform, there are typically </w:t>
      </w:r>
      <w:r w:rsidRPr="00AD3544">
        <w:rPr>
          <w:b/>
        </w:rPr>
        <w:t>no accountability mechanisms</w:t>
      </w:r>
      <w:r w:rsidRPr="004D7F79">
        <w:t xml:space="preserve"> that ensure the responsible lead authorities change their practices to address the recommendations in these audits. Moreover, there are no formal mechanisms by which the findings and recommendations can be incorporated into national and State mental health plans or the processes of the National Mental Health Commission. </w:t>
      </w:r>
    </w:p>
    <w:p w14:paraId="6A42DDFB" w14:textId="1DE5172D" w:rsidR="00D71D1B" w:rsidRPr="004D7F79" w:rsidRDefault="00D71D1B" w:rsidP="00D71D1B">
      <w:pPr>
        <w:pStyle w:val="BodyText"/>
      </w:pPr>
      <w:r w:rsidRPr="004D7F79">
        <w:lastRenderedPageBreak/>
        <w:t>Independent evaluations of the National Mental Health Plans have repeated pointed to the need to strengthen accountability</w:t>
      </w:r>
      <w:r w:rsidRPr="00AF7228">
        <w:rPr>
          <w:rStyle w:val="FootnoteReference"/>
        </w:rPr>
        <w:footnoteReference w:id="49"/>
      </w:r>
      <w:r w:rsidRPr="004D7F79">
        <w:t xml:space="preserve"> and others have argued that the failure to develop robust monitoring and reporting is a contributing factor in the failure to deliver mental health reform in Australia.</w:t>
      </w:r>
      <w:r w:rsidRPr="00AF7228">
        <w:rPr>
          <w:rStyle w:val="FootnoteReference"/>
        </w:rPr>
        <w:footnoteReference w:id="50"/>
      </w:r>
      <w:r w:rsidRPr="00AF7228">
        <w:t xml:space="preserve"> </w:t>
      </w:r>
      <w:r w:rsidRPr="00AF7228">
        <w:rPr>
          <w:rStyle w:val="FootnoteReference"/>
        </w:rPr>
        <w:footnoteReference w:id="51"/>
      </w:r>
      <w:r w:rsidRPr="004D7F79">
        <w:t xml:space="preserve"> </w:t>
      </w:r>
    </w:p>
    <w:p w14:paraId="0C23A07E" w14:textId="6A1BBD5F" w:rsidR="00D71D1B" w:rsidRPr="00AF7228" w:rsidRDefault="004D7F79" w:rsidP="004D7F79">
      <w:pPr>
        <w:pStyle w:val="BodyText"/>
      </w:pPr>
      <w:r w:rsidRPr="00AF7228">
        <w:t>T</w:t>
      </w:r>
      <w:r w:rsidRPr="004D7F79">
        <w:t>he consistency in the ga</w:t>
      </w:r>
      <w:r w:rsidR="00D71D1B" w:rsidRPr="00AF7228">
        <w:t>ps identified in</w:t>
      </w:r>
      <w:r w:rsidRPr="004D7F79">
        <w:t xml:space="preserve"> the findings from previous enquiries </w:t>
      </w:r>
      <w:r w:rsidR="00D71D1B" w:rsidRPr="00AF7228">
        <w:t xml:space="preserve">dating back more than </w:t>
      </w:r>
      <w:r w:rsidR="003E4974">
        <w:t>two</w:t>
      </w:r>
      <w:r w:rsidR="003E4974" w:rsidRPr="00AF7228">
        <w:t xml:space="preserve"> </w:t>
      </w:r>
      <w:r w:rsidR="00D71D1B" w:rsidRPr="00AF7228">
        <w:t xml:space="preserve">decades </w:t>
      </w:r>
      <w:r w:rsidRPr="004D7F79">
        <w:t xml:space="preserve">and </w:t>
      </w:r>
      <w:r w:rsidR="00D71D1B" w:rsidRPr="00AF7228">
        <w:t xml:space="preserve">the </w:t>
      </w:r>
      <w:r w:rsidRPr="004D7F79">
        <w:t>contemporary feedback from consumers</w:t>
      </w:r>
      <w:r w:rsidR="00D71D1B" w:rsidRPr="00AF7228">
        <w:t xml:space="preserve">, carers and providers, </w:t>
      </w:r>
      <w:r w:rsidRPr="004D7F79">
        <w:t>suggest</w:t>
      </w:r>
      <w:r w:rsidR="00D71D1B" w:rsidRPr="00AF7228">
        <w:t>s</w:t>
      </w:r>
      <w:r w:rsidRPr="004D7F79">
        <w:t xml:space="preserve"> that the areas identified require action at a systemic level</w:t>
      </w:r>
      <w:r w:rsidR="00D71D1B" w:rsidRPr="00AF7228">
        <w:t xml:space="preserve"> and sustained over time</w:t>
      </w:r>
      <w:r w:rsidRPr="004D7F79">
        <w:t xml:space="preserve">. </w:t>
      </w:r>
    </w:p>
    <w:p w14:paraId="7A8663E3" w14:textId="1E975BAC" w:rsidR="00D71D1B" w:rsidRPr="00AF7228" w:rsidRDefault="00D71D1B" w:rsidP="004D7F79">
      <w:pPr>
        <w:pStyle w:val="BodyText"/>
      </w:pPr>
      <w:r w:rsidRPr="00AF7228">
        <w:t>The commitments by governments, sometimes by First Ministers, has never been sustained. Plans are made and agreed, but efforts falter and commitments fade away. Funding remains fixed with little real growth and little real growth in innovation or research and outcomes remain opaque if visible at all.</w:t>
      </w:r>
      <w:r w:rsidRPr="00AF7228">
        <w:rPr>
          <w:rStyle w:val="FootnoteReference"/>
        </w:rPr>
        <w:footnoteReference w:id="52"/>
      </w:r>
      <w:r w:rsidRPr="00AF7228">
        <w:t xml:space="preserve"> </w:t>
      </w:r>
    </w:p>
    <w:p w14:paraId="7C05C17F" w14:textId="1259DD4D" w:rsidR="004D7F79" w:rsidRDefault="004D7F79" w:rsidP="004D7F79">
      <w:pPr>
        <w:pStyle w:val="BodyText"/>
      </w:pPr>
      <w:r w:rsidRPr="004D7F79">
        <w:t>The need to improve access to services and accommodation, continuity of care, training, cooperation across agencies and services and to address human rights is clear as is the need to increase service access for specific groups, particularly those in forensic environments.</w:t>
      </w:r>
    </w:p>
    <w:p w14:paraId="1C8B7ECF" w14:textId="5283A534" w:rsidR="00AD3544" w:rsidRDefault="00AD3544" w:rsidP="00AD3544">
      <w:pPr>
        <w:pStyle w:val="Heading3"/>
      </w:pPr>
      <w:bookmarkStart w:id="76" w:name="_Toc6238823"/>
      <w:r>
        <w:t>The Structural Shift Needed</w:t>
      </w:r>
      <w:bookmarkEnd w:id="76"/>
    </w:p>
    <w:p w14:paraId="61CDD68E" w14:textId="4C4AC98F" w:rsidR="00AD3544" w:rsidRDefault="00AD3544" w:rsidP="004D7F79">
      <w:pPr>
        <w:pStyle w:val="BodyText"/>
      </w:pPr>
      <w:r>
        <w:t xml:space="preserve">As recent auditors and researchers have stated, while there is an abundance, indeed a bewildering number of national and state wide plans and strategy documents produced by every government on mental health and suicide prevention, there is a dearth of detail or focus on the implementation of reform. There needs to be three fundamental structural shifts:  </w:t>
      </w:r>
    </w:p>
    <w:p w14:paraId="26DACDBB" w14:textId="77777777" w:rsidR="00AD3544" w:rsidRDefault="00AD3544" w:rsidP="00AD3544">
      <w:pPr>
        <w:pStyle w:val="BulletPoint2"/>
      </w:pPr>
      <w:r>
        <w:t>The focus of mental health service planning, implementation and monitoring must move to regions. The diversity of our regions, even across the Sydney metro area, requires LHD and PHN integrated planning to be continuous and adaptive to rapidly changing community needs</w:t>
      </w:r>
    </w:p>
    <w:p w14:paraId="6A6CBB8A" w14:textId="7950AD7A" w:rsidR="00AD3544" w:rsidRDefault="00AD3544" w:rsidP="00AD3544">
      <w:pPr>
        <w:pStyle w:val="BulletPoint2"/>
      </w:pPr>
      <w:r>
        <w:t>National planning must focus on the broader policy issues that help create the conditions for mentally healthy individuals, families and communities</w:t>
      </w:r>
    </w:p>
    <w:p w14:paraId="1F65AF95" w14:textId="271C1469" w:rsidR="00AD3544" w:rsidRPr="004D7F79" w:rsidRDefault="00AD3544" w:rsidP="00AD3544">
      <w:pPr>
        <w:pStyle w:val="BulletPoint2"/>
      </w:pPr>
      <w:r>
        <w:t xml:space="preserve">The focus on providers, peak bodies, national NGOs and professional groups – each protecting their own sectional interests – must move to a focus on OUTCOMES for the consumers of mental health services and their carers/supports.  </w:t>
      </w:r>
    </w:p>
    <w:p w14:paraId="2E5F85D8" w14:textId="77777777" w:rsidR="00D71D1B" w:rsidRPr="00AF7228" w:rsidRDefault="00D71D1B" w:rsidP="00D71D1B">
      <w:pPr>
        <w:pStyle w:val="Heading3"/>
      </w:pPr>
      <w:bookmarkStart w:id="77" w:name="_Toc6238824"/>
      <w:r w:rsidRPr="00AF7228">
        <w:t>An Alternative View</w:t>
      </w:r>
      <w:bookmarkEnd w:id="77"/>
      <w:r w:rsidRPr="00AF7228">
        <w:t xml:space="preserve"> </w:t>
      </w:r>
    </w:p>
    <w:p w14:paraId="25FFB895" w14:textId="764D76E5" w:rsidR="003376B3" w:rsidRPr="00AF7228" w:rsidRDefault="002A70E7" w:rsidP="003376B3">
      <w:pPr>
        <w:pStyle w:val="BodyText"/>
      </w:pPr>
      <w:r w:rsidRPr="00AF7228">
        <w:t xml:space="preserve">Despite the continuous process of review and inquiry into mental health care in Australia </w:t>
      </w:r>
      <w:r w:rsidR="00D71D1B" w:rsidRPr="00AF7228">
        <w:t>summarised here</w:t>
      </w:r>
      <w:r w:rsidRPr="00AF7228">
        <w:t>, there is an alternative view “that things are better than they were, and that’s what we should focus on”.</w:t>
      </w:r>
      <w:r w:rsidRPr="00AF7228">
        <w:rPr>
          <w:rStyle w:val="FootnoteReference"/>
        </w:rPr>
        <w:footnoteReference w:id="53"/>
      </w:r>
      <w:r w:rsidRPr="00AF7228">
        <w:t xml:space="preserve"> The proponents of this view argue that there is a need to take a long-term perspective to mental health reform in Australia “informed by evidence and that does not rely on ‘crisis’-driven, ad hoc changes to service delivery”.</w:t>
      </w:r>
      <w:r w:rsidRPr="00AF7228">
        <w:rPr>
          <w:rStyle w:val="FootnoteReference"/>
        </w:rPr>
        <w:footnoteReference w:id="54"/>
      </w:r>
      <w:r w:rsidRPr="00AF7228">
        <w:t xml:space="preserve"> They point to governments being ‘forced to respond to well-published examples of service failure and personal tragedy’.</w:t>
      </w:r>
      <w:r w:rsidR="00AB3340">
        <w:t xml:space="preserve"> Indeed they point to the mental health agenda been hijacked by ‘policy entrepreneurs’.</w:t>
      </w:r>
      <w:r w:rsidR="007A7B22">
        <w:rPr>
          <w:rStyle w:val="FootnoteReference"/>
        </w:rPr>
        <w:footnoteReference w:id="55"/>
      </w:r>
    </w:p>
    <w:p w14:paraId="5E58E646" w14:textId="3C46AC65" w:rsidR="003376B3" w:rsidRPr="00AF7228" w:rsidRDefault="002A70E7" w:rsidP="003376B3">
      <w:pPr>
        <w:pStyle w:val="BodyText"/>
      </w:pPr>
      <w:r w:rsidRPr="00AF7228">
        <w:lastRenderedPageBreak/>
        <w:t xml:space="preserve">This </w:t>
      </w:r>
      <w:r w:rsidR="00D71D1B" w:rsidRPr="00AF7228">
        <w:t xml:space="preserve">view </w:t>
      </w:r>
      <w:r w:rsidRPr="00AF7228">
        <w:t>fails to explain why the Abbott Government committed in 2013 to the NMHC review in the absence of any such ‘well-published’ examples of service failure or</w:t>
      </w:r>
      <w:r w:rsidR="003E4974">
        <w:t xml:space="preserve"> why</w:t>
      </w:r>
      <w:r w:rsidRPr="00AF7228">
        <w:t xml:space="preserve"> the Andrews Government in Victoria formed the view in late 2018 that </w:t>
      </w:r>
      <w:r w:rsidR="003E4974">
        <w:t xml:space="preserve">the </w:t>
      </w:r>
      <w:r w:rsidRPr="00AF7228">
        <w:t xml:space="preserve">“mental health system was broken” and establish a Royal Commission. Nor does it explain why almost every jurisdiction has now established a Mental Health Commission to independently (from Health Departments) provide greater accountability and oversight of programs and policies. </w:t>
      </w:r>
    </w:p>
    <w:p w14:paraId="1AA89D9F" w14:textId="75820BDF" w:rsidR="002A70E7" w:rsidRPr="00AF7228" w:rsidRDefault="002A70E7" w:rsidP="003376B3">
      <w:pPr>
        <w:pStyle w:val="BodyText"/>
      </w:pPr>
      <w:r w:rsidRPr="00AF7228">
        <w:t xml:space="preserve">Clearly, the executive branches of government, parliaments, a range of independent statutory authorities and researchers, as well as the broader community, believe there are persistent </w:t>
      </w:r>
      <w:r w:rsidR="00AD3544" w:rsidRPr="00AF7228">
        <w:t>and serious</w:t>
      </w:r>
      <w:r w:rsidRPr="00AF7228">
        <w:t xml:space="preserve"> shortcomings in mental health care and that ‘the long-term approach to reform’ is not delivering.  </w:t>
      </w:r>
    </w:p>
    <w:p w14:paraId="1386E379" w14:textId="263CA2A9" w:rsidR="003376B3" w:rsidRPr="00AF7228" w:rsidRDefault="002A70E7" w:rsidP="003376B3">
      <w:pPr>
        <w:pStyle w:val="BodyText"/>
      </w:pPr>
      <w:r w:rsidRPr="00AF7228">
        <w:t>A relevant question then to the Productivity Commission is, why have the well intentioned policy objectives repeatedly failed to be implemented? This is raised to some extent in the Commission’s Issues Paper when asking:</w:t>
      </w:r>
    </w:p>
    <w:p w14:paraId="165BBB9D" w14:textId="326B1F42" w:rsidR="002A70E7" w:rsidRPr="002A70E7" w:rsidRDefault="002A70E7" w:rsidP="002A70E7">
      <w:pPr>
        <w:pStyle w:val="BodyText"/>
        <w:rPr>
          <w:i/>
        </w:rPr>
      </w:pPr>
      <w:r w:rsidRPr="002A70E7">
        <w:rPr>
          <w:i/>
        </w:rPr>
        <w:t>How effective are the governance and institutional arrangements for mental health in Australia in achieving the objectives agreed by COAG Health Council in the Fifth Plan? How can they be improved?</w:t>
      </w:r>
      <w:r w:rsidRPr="00AF7228">
        <w:rPr>
          <w:rStyle w:val="FootnoteReference"/>
          <w:i/>
        </w:rPr>
        <w:footnoteReference w:id="56"/>
      </w:r>
    </w:p>
    <w:p w14:paraId="7F38E896" w14:textId="77777777" w:rsidR="002A70E7" w:rsidRPr="00AF7228" w:rsidRDefault="002A70E7" w:rsidP="003376B3">
      <w:pPr>
        <w:pStyle w:val="BodyText"/>
      </w:pPr>
    </w:p>
    <w:p w14:paraId="38D15CD8" w14:textId="4183605E" w:rsidR="00EB7A13" w:rsidRPr="00AF7228" w:rsidRDefault="00EB7A13">
      <w:pPr>
        <w:spacing w:before="0" w:after="0"/>
      </w:pPr>
      <w:r w:rsidRPr="00AF7228">
        <w:br w:type="page"/>
      </w:r>
    </w:p>
    <w:p w14:paraId="6814CDE3" w14:textId="77777777" w:rsidR="003376B3" w:rsidRPr="00AF7228" w:rsidRDefault="003376B3" w:rsidP="003376B3">
      <w:pPr>
        <w:pStyle w:val="BodyText"/>
      </w:pPr>
    </w:p>
    <w:p w14:paraId="52E393AC" w14:textId="77777777" w:rsidR="003376B3" w:rsidRPr="00AF7228" w:rsidRDefault="003376B3" w:rsidP="003376B3">
      <w:pPr>
        <w:pStyle w:val="BodyText"/>
      </w:pPr>
    </w:p>
    <w:p w14:paraId="7FA51914" w14:textId="3ADBC17E" w:rsidR="003376B3" w:rsidRPr="00AF7228" w:rsidRDefault="003376B3" w:rsidP="003376B3">
      <w:pPr>
        <w:pStyle w:val="BodyText"/>
        <w:rPr>
          <w:b/>
        </w:rPr>
      </w:pPr>
    </w:p>
    <w:p w14:paraId="1B9AD4DE" w14:textId="77777777" w:rsidR="00D71D1B" w:rsidRPr="00AF7228" w:rsidRDefault="00D71D1B" w:rsidP="003376B3">
      <w:pPr>
        <w:pStyle w:val="BodyText"/>
        <w:rPr>
          <w:b/>
        </w:rPr>
      </w:pPr>
    </w:p>
    <w:p w14:paraId="7BC00E2C" w14:textId="77777777" w:rsidR="003376B3" w:rsidRPr="00AF7228" w:rsidRDefault="003376B3" w:rsidP="003376B3">
      <w:pPr>
        <w:pStyle w:val="BodyText"/>
      </w:pPr>
    </w:p>
    <w:p w14:paraId="7D2B7BE6" w14:textId="3D2C8132" w:rsidR="003376B3" w:rsidRPr="00AF7228" w:rsidRDefault="003376B3" w:rsidP="00EB7A13">
      <w:pPr>
        <w:pStyle w:val="BodyText"/>
      </w:pPr>
    </w:p>
    <w:bookmarkStart w:id="78" w:name="_Toc5010283"/>
    <w:bookmarkStart w:id="79" w:name="_Toc6149478"/>
    <w:bookmarkStart w:id="80" w:name="_Toc6238825"/>
    <w:p w14:paraId="7AC90E94" w14:textId="77777777" w:rsidR="00EB7A13" w:rsidRPr="00AF7228" w:rsidRDefault="00117D83" w:rsidP="00117D83">
      <w:pPr>
        <w:pStyle w:val="Heading1"/>
      </w:pPr>
      <w:r w:rsidRPr="00AF7228">
        <w:rPr>
          <w:noProof/>
          <w:sz w:val="2"/>
          <w:lang w:eastAsia="en-AU"/>
        </w:rPr>
        <mc:AlternateContent>
          <mc:Choice Requires="wpg">
            <w:drawing>
              <wp:inline distT="0" distB="0" distL="0" distR="0" wp14:anchorId="2700D263" wp14:editId="6593F17C">
                <wp:extent cx="5769610" cy="6350"/>
                <wp:effectExtent l="0" t="0" r="0" b="0"/>
                <wp:docPr id="60"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9610" cy="6350"/>
                          <a:chOff x="0" y="0"/>
                          <a:chExt cx="9086" cy="10"/>
                        </a:xfrm>
                      </wpg:grpSpPr>
                      <wps:wsp>
                        <wps:cNvPr id="61" name="Line 102"/>
                        <wps:cNvCnPr>
                          <a:cxnSpLocks/>
                        </wps:cNvCnPr>
                        <wps:spPr bwMode="auto">
                          <a:xfrm>
                            <a:off x="0" y="5"/>
                            <a:ext cx="9086" cy="0"/>
                          </a:xfrm>
                          <a:prstGeom prst="line">
                            <a:avLst/>
                          </a:prstGeom>
                          <a:noFill/>
                          <a:ln w="6096">
                            <a:solidFill>
                              <a:srgbClr val="00ADEE"/>
                            </a:solidFill>
                            <a:prstDash val="sysDot"/>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C9175DD" id="Group 101" o:spid="_x0000_s1026" style="width:454.3pt;height:.5pt;mso-position-horizontal-relative:char;mso-position-vertical-relative:line" coordsize="908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ar3cwIAAIEFAAAOAAAAZHJzL2Uyb0RvYy54bWykVF1v2yAUfZ+0/4D8ntpOEzex6lRV7PSl&#10;2yJ1+wEEsI1mAwIaJ5r233cBJ23al6p7sYH7wbnn3Mvt3aHv0J5pw6UoovQqiRATRFIumiL69XMz&#10;WUTIWCwo7qRgRXRkJrpbff1yO6icTWUrO8o0giTC5IMqotZalcexIS3rsbmSigkw1lL32MJWNzHV&#10;eIDsfRdPkySLB6mp0pIwY+C0DMZo5fPXNSP2R10bZlFXRIDN+q/23537xqtbnDcaq5aTEQb+BIoe&#10;cwGXnlOV2GL0rPm7VD0nWhpZ2ysi+1jWNSfM1wDVpMmbah60fFa+liYfGnWmCah9w9On05Lv+61G&#10;nBZRBvQI3ING/lqUJqljZ1BNDk4PWj2prQ4lwvJRkt8GzPFbu9s3wRnthm+SQkL8bKVn51Dr3qWA&#10;utHBi3A8i8AOFhE4nN9kyywFMARs2fV81Ii0IOS7INJWY9gyWWQhBmIdMJyH2zzCEZErB/rMvFBp&#10;/o/KpxYr5hUyjqUTlemJykcuGDA5DUx6n7UINJKDuKDxldGBNMD2Bwmchy4+EfjCxCUROFfa2Acm&#10;e+QWRdQBOC8L3j8aGzg7uTiVhNzwroNznHcCDa5FlpkPMLLj1Bmdzehmt+402mM3Y8l9WVWjABdu&#10;LnOJTRv8zNGU0gbg0OWC+mtahmk1ri3mXViDlJ1wN0GFAHRchfH6s0yW1aJazCazaVZNZklZTu43&#10;69kk26Q38/K6XK/L9K8Dnc7yllPKhMN9GvV09jH9x0cnDOl52M8ExZfZffcB2NPfg4Y+DKqGJtxJ&#10;etxqR/rYkn7l59yHjW+Se0he773Xy8u5+gcAAP//AwBQSwMEFAAGAAgAAAAhADA/9GffAAAACAEA&#10;AA8AAABkcnMvZG93bnJldi54bWxMj81qwzAQhO+FvoPYQG+N5JaG1LEcQvpzCoUkhZKbYm1sE2tl&#10;LMV23r7bXtrLwDK7s/Nly9E1oscu1J40JFMFAqnwtqZSw+f+7X4OIkRD1jSeUMMVAyzz25vMpNYP&#10;tMV+F0vBIRRSo6GKsU2lDEWFzoSpb5HYO/nOmchjV0rbmYHDXSMflJpJZ2riD5VpcV1hcd5dnIb3&#10;wQyrx+S135xP6+th//TxtUlQ67vJ+LJgWS1ARBzj3wX8MHB/yLnY0V/IBtFoYJr4q+w9q/kMxJGX&#10;FMg8k/8B8m8AAAD//wMAUEsBAi0AFAAGAAgAAAAhALaDOJL+AAAA4QEAABMAAAAAAAAAAAAAAAAA&#10;AAAAAFtDb250ZW50X1R5cGVzXS54bWxQSwECLQAUAAYACAAAACEAOP0h/9YAAACUAQAACwAAAAAA&#10;AAAAAAAAAAAvAQAAX3JlbHMvLnJlbHNQSwECLQAUAAYACAAAACEAH3Wq93MCAACBBQAADgAAAAAA&#10;AAAAAAAAAAAuAgAAZHJzL2Uyb0RvYy54bWxQSwECLQAUAAYACAAAACEAMD/0Z98AAAAIAQAADwAA&#10;AAAAAAAAAAAAAADNBAAAZHJzL2Rvd25yZXYueG1sUEsFBgAAAAAEAAQA8wAAANkFAAAAAA==&#10;">
                <v:line id="Line 102" o:spid="_x0000_s1027" style="position:absolute;visibility:visible;mso-wrap-style:square" from="0,5" to="90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vp7yAAAAOAAAAAPAAAAZHJzL2Rvd25yZXYueG1sRI/NasMw&#10;EITvgb6D2EIvoZZTaGIcKyFxKC255ecBFmv9Q62VY8mO+/ZVoZDLwDDMN0y2nUwrRupdY1nBIopB&#10;EBdWN1wpuF4+XhMQziNrbC2Tgh9ysN08zTJMtb3zicazr0SAsEtRQe19l0rpipoMush2xCErbW/Q&#10;B9tXUvd4D3DTyrc4XkqDDYeFGjvKayq+z4NRsMqP5eeQ6PKWj+/dNbnN9/l+UOrleTqsg+zWIDxN&#10;/tH4R3xpBcsF/B0KZ0BufgEAAP//AwBQSwECLQAUAAYACAAAACEA2+H2y+4AAACFAQAAEwAAAAAA&#10;AAAAAAAAAAAAAAAAW0NvbnRlbnRfVHlwZXNdLnhtbFBLAQItABQABgAIAAAAIQBa9CxbvwAAABUB&#10;AAALAAAAAAAAAAAAAAAAAB8BAABfcmVscy8ucmVsc1BLAQItABQABgAIAAAAIQAaPvp7yAAAAOAA&#10;AAAPAAAAAAAAAAAAAAAAAAcCAABkcnMvZG93bnJldi54bWxQSwUGAAAAAAMAAwC3AAAA/AIAAAAA&#10;" strokecolor="#00adee" strokeweight=".48pt">
                  <v:stroke dashstyle="1 1"/>
                  <o:lock v:ext="edit" shapetype="f"/>
                </v:line>
                <w10:anchorlock/>
              </v:group>
            </w:pict>
          </mc:Fallback>
        </mc:AlternateContent>
      </w:r>
      <w:bookmarkEnd w:id="78"/>
      <w:bookmarkEnd w:id="79"/>
      <w:bookmarkEnd w:id="80"/>
    </w:p>
    <w:p w14:paraId="75896474" w14:textId="77777777" w:rsidR="00EB7A13" w:rsidRPr="00AF7228" w:rsidRDefault="00EB7A13" w:rsidP="00EB7A13">
      <w:pPr>
        <w:pStyle w:val="p1"/>
        <w:rPr>
          <w:lang w:val="en-AU"/>
        </w:rPr>
      </w:pPr>
    </w:p>
    <w:p w14:paraId="22D26753" w14:textId="77777777" w:rsidR="00EB7A13" w:rsidRPr="00AF7228" w:rsidRDefault="00263CC6" w:rsidP="00117D83">
      <w:pPr>
        <w:pStyle w:val="Heading1"/>
      </w:pPr>
      <w:bookmarkStart w:id="81" w:name="_Toc6238826"/>
      <w:r w:rsidRPr="00AF7228">
        <w:t>Part C – Transforming M</w:t>
      </w:r>
      <w:r w:rsidR="00D71D1B" w:rsidRPr="00AF7228">
        <w:t xml:space="preserve">ental </w:t>
      </w:r>
      <w:r w:rsidRPr="00AF7228">
        <w:t>H</w:t>
      </w:r>
      <w:r w:rsidR="00D71D1B" w:rsidRPr="00AF7228">
        <w:t>ealth C</w:t>
      </w:r>
      <w:r w:rsidRPr="00AF7228">
        <w:t>are</w:t>
      </w:r>
      <w:bookmarkEnd w:id="81"/>
    </w:p>
    <w:p w14:paraId="50FB43F9" w14:textId="7CD29478" w:rsidR="00263CC6" w:rsidRPr="00AF7228" w:rsidRDefault="00117D83" w:rsidP="00EB7A13">
      <w:pPr>
        <w:pStyle w:val="p1"/>
        <w:rPr>
          <w:lang w:val="en-AU"/>
        </w:rPr>
      </w:pPr>
      <w:r w:rsidRPr="00AF7228">
        <w:rPr>
          <w:rStyle w:val="BodyTextChar"/>
          <w:rFonts w:eastAsia="MS Mincho"/>
          <w:lang w:val="en-AU"/>
        </w:rPr>
        <w:br/>
      </w:r>
      <w:r w:rsidRPr="00AF7228">
        <w:rPr>
          <w:noProof/>
          <w:sz w:val="2"/>
          <w:lang w:val="en-AU" w:eastAsia="en-AU"/>
        </w:rPr>
        <mc:AlternateContent>
          <mc:Choice Requires="wpg">
            <w:drawing>
              <wp:inline distT="0" distB="0" distL="0" distR="0" wp14:anchorId="424B8D3E" wp14:editId="67766E25">
                <wp:extent cx="5769610" cy="6350"/>
                <wp:effectExtent l="0" t="0" r="0" b="0"/>
                <wp:docPr id="62"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9610" cy="6350"/>
                          <a:chOff x="0" y="0"/>
                          <a:chExt cx="9086" cy="10"/>
                        </a:xfrm>
                      </wpg:grpSpPr>
                      <wps:wsp>
                        <wps:cNvPr id="63" name="Line 102"/>
                        <wps:cNvCnPr>
                          <a:cxnSpLocks/>
                        </wps:cNvCnPr>
                        <wps:spPr bwMode="auto">
                          <a:xfrm>
                            <a:off x="0" y="5"/>
                            <a:ext cx="9086" cy="0"/>
                          </a:xfrm>
                          <a:prstGeom prst="line">
                            <a:avLst/>
                          </a:prstGeom>
                          <a:noFill/>
                          <a:ln w="6096">
                            <a:solidFill>
                              <a:srgbClr val="00ADEE"/>
                            </a:solidFill>
                            <a:prstDash val="sysDot"/>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8FA5C82" id="Group 101" o:spid="_x0000_s1026" style="width:454.3pt;height:.5pt;mso-position-horizontal-relative:char;mso-position-vertical-relative:line" coordsize="908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92dQIAAIEFAAAOAAAAZHJzL2Uyb0RvYy54bWykVF1v2yAUfZ+0/4D8ntpOEzex6lRV7PSl&#10;2yJ1+wEEsI2GwQIaJ5r233cBJ23al6p7sYH7wbnn3Mvt3aETaM+04UoWUXqVRIhJoiiXTRH9+rmZ&#10;LCJkLJYUCyVZER2Zie5WX7/cDn3OpqpVgjKNIIk0+dAXUWttn8exIS3rsLlSPZNgrJXusIWtbmKq&#10;8QDZOxFPkySLB6VprxVhxsBpGYzRyueva0bsj7o2zCJRRIDN+q/23537xqtbnDca9y0nIwz8CRQd&#10;5hIuPacqscXoWfN3qTpOtDKqtldEdbGqa06YrwGqSZM31Txo9dz7Wpp8aPozTUDtG54+nZZ83281&#10;4rSIsmmEJO5AI38tSpPUsTP0TQ5OD7p/6rc6lAjLR0V+GzDHb+1u3wRntBu+KQoJ8bNVnp1DrTuX&#10;AupGBy/C8SwCO1hE4HB+ky2zFLQiYMuu56NGpAUh3wWRthrDlskiCzEQ64DhPNzmEY6IXDnQZ+aF&#10;SvN/VD61uGdeIeNYOlF5faLykUsGTE4Dk95nLQON5CAvaHxldCANsP1BAuehi08EvjBxSQTOe23s&#10;A1MdcosiEgDOy4L3j8YGzk4uTiWpNlwIOMe5kGgANZJl5gOMEpw6o7MZ3ezWQqM9djOW3JdVNQpw&#10;4eYyl9i0wc8cTalsAA5dLqm/pmWYVuPaYi7CGqQU0t0EFQLQcRXG688yWVaLajGbzKZZNZklZTm5&#10;36xnk2yT3szL63K9LtO/DnQ6y1tOKZMO92nU09nH9B8fnTCk52E/ExRfZvfdB2BPfw8a+jCoGppw&#10;p+hxqx3pY0v6lZ9zHza+Se4heb33Xi8v5+ofAAAA//8DAFBLAwQUAAYACAAAACEAMD/0Z98AAAAI&#10;AQAADwAAAGRycy9kb3ducmV2LnhtbEyPzWrDMBCE74W+g9hAb43klobUsRxC+nMKhSSFkptibWwT&#10;a2UsxXbevtte2svAMruz82XL0TWixy7UnjQkUwUCqfC2plLD5/7tfg4iREPWNJ5QwxUDLPPbm8yk&#10;1g+0xX4XS8EhFFKjoYqxTaUMRYXOhKlvkdg7+c6ZyGNXStuZgcNdIx+UmklnauIPlWlxXWFx3l2c&#10;hvfBDKvH5LXfnE/r62H/9PG1SVDru8n4smBZLUBEHOPfBfwwcH/IudjRX8gG0Whgmvir7D2r+QzE&#10;kZcUyDyT/wHybwAAAP//AwBQSwECLQAUAAYACAAAACEAtoM4kv4AAADhAQAAEwAAAAAAAAAAAAAA&#10;AAAAAAAAW0NvbnRlbnRfVHlwZXNdLnhtbFBLAQItABQABgAIAAAAIQA4/SH/1gAAAJQBAAALAAAA&#10;AAAAAAAAAAAAAC8BAABfcmVscy8ucmVsc1BLAQItABQABgAIAAAAIQA4g+92dQIAAIEFAAAOAAAA&#10;AAAAAAAAAAAAAC4CAABkcnMvZTJvRG9jLnhtbFBLAQItABQABgAIAAAAIQAwP/Rn3wAAAAgBAAAP&#10;AAAAAAAAAAAAAAAAAM8EAABkcnMvZG93bnJldi54bWxQSwUGAAAAAAQABADzAAAA2wUAAAAA&#10;">
                <v:line id="Line 102" o:spid="_x0000_s1027" style="position:absolute;visibility:visible;mso-wrap-style:square" from="0,5" to="90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MGXyAAAAOAAAAAPAAAAZHJzL2Rvd25yZXYueG1sRI/dasJA&#10;FITvC77DcgRvim7aUg3RVTQiLd758wCH7MkPZs/G7CbGt+8WCr0ZGIb5hlltBlOLnlpXWVbwNotA&#10;EGdWV1wouF4O0xiE88gaa8uk4EkONuvRywoTbR98ov7sCxEg7BJUUHrfJFK6rCSDbmYb4pDltjXo&#10;g20LqVt8BLip5XsUzaXBisNCiQ2lJWW3c2cULNJj/tXFOr+n/Wdzje+vu3TXKTUZD/tlkO0ShKfB&#10;/zf+EN9awfwDfg+FMyDXPwAAAP//AwBQSwECLQAUAAYACAAAACEA2+H2y+4AAACFAQAAEwAAAAAA&#10;AAAAAAAAAAAAAAAAW0NvbnRlbnRfVHlwZXNdLnhtbFBLAQItABQABgAIAAAAIQBa9CxbvwAAABUB&#10;AAALAAAAAAAAAAAAAAAAAB8BAABfcmVscy8ucmVsc1BLAQItABQABgAIAAAAIQCFoMGXyAAAAOAA&#10;AAAPAAAAAAAAAAAAAAAAAAcCAABkcnMvZG93bnJldi54bWxQSwUGAAAAAAMAAwC3AAAA/AIAAAAA&#10;" strokecolor="#00adee" strokeweight=".48pt">
                  <v:stroke dashstyle="1 1"/>
                  <o:lock v:ext="edit" shapetype="f"/>
                </v:line>
                <w10:anchorlock/>
              </v:group>
            </w:pict>
          </mc:Fallback>
        </mc:AlternateContent>
      </w:r>
    </w:p>
    <w:p w14:paraId="3B8DCF9B" w14:textId="77777777" w:rsidR="00263CC6" w:rsidRPr="00AF7228" w:rsidRDefault="00263CC6" w:rsidP="00117D83">
      <w:pPr>
        <w:pStyle w:val="Heading1"/>
      </w:pPr>
    </w:p>
    <w:p w14:paraId="613D6D67" w14:textId="0A74B842" w:rsidR="00117D83" w:rsidRPr="00AF7228" w:rsidRDefault="00117D83">
      <w:pPr>
        <w:spacing w:before="0" w:after="0"/>
      </w:pPr>
      <w:r w:rsidRPr="00AF7228">
        <w:br w:type="page"/>
      </w:r>
    </w:p>
    <w:p w14:paraId="4D931E00" w14:textId="6B0667F1" w:rsidR="00D71D1B" w:rsidRPr="00AF7228" w:rsidRDefault="00D71D1B" w:rsidP="00D71D1B">
      <w:pPr>
        <w:pStyle w:val="Heading1"/>
      </w:pPr>
      <w:bookmarkStart w:id="82" w:name="_Toc6238827"/>
      <w:r w:rsidRPr="00AF7228">
        <w:lastRenderedPageBreak/>
        <w:t>Introduction</w:t>
      </w:r>
      <w:bookmarkEnd w:id="82"/>
    </w:p>
    <w:p w14:paraId="24756DC0" w14:textId="68889E09" w:rsidR="00D71D1B" w:rsidRPr="00AF7228" w:rsidRDefault="00D71D1B" w:rsidP="00D71D1B">
      <w:pPr>
        <w:pStyle w:val="BodyText"/>
      </w:pPr>
      <w:r w:rsidRPr="00AF7228">
        <w:t xml:space="preserve">WentWest believes, on all the </w:t>
      </w:r>
      <w:r w:rsidR="00EB7A13" w:rsidRPr="00AF7228">
        <w:t xml:space="preserve">available </w:t>
      </w:r>
      <w:r w:rsidRPr="00AF7228">
        <w:t xml:space="preserve">evidence, that with our partners we are making progress on transforming mental health care in western Sydney. </w:t>
      </w:r>
    </w:p>
    <w:p w14:paraId="36E75683" w14:textId="29E90E5A" w:rsidR="00AB3340" w:rsidRDefault="00AB3340" w:rsidP="00D71D1B">
      <w:pPr>
        <w:pStyle w:val="BodyText"/>
      </w:pPr>
      <w:r>
        <w:t>A number of recent reviews of the Primary Health Network program</w:t>
      </w:r>
      <w:r>
        <w:rPr>
          <w:rStyle w:val="FootnoteReference"/>
        </w:rPr>
        <w:footnoteReference w:id="57"/>
      </w:r>
      <w:proofErr w:type="gramStart"/>
      <w:r>
        <w:t xml:space="preserve"> </w:t>
      </w:r>
      <w:proofErr w:type="gramEnd"/>
      <w:r>
        <w:rPr>
          <w:rStyle w:val="FootnoteReference"/>
        </w:rPr>
        <w:footnoteReference w:id="58"/>
      </w:r>
      <w:r>
        <w:t xml:space="preserve"> </w:t>
      </w:r>
      <w:r>
        <w:rPr>
          <w:rStyle w:val="FootnoteReference"/>
        </w:rPr>
        <w:footnoteReference w:id="59"/>
      </w:r>
      <w:r>
        <w:t>, support this view, notwithstanding the challenges the PHNs face.</w:t>
      </w:r>
    </w:p>
    <w:p w14:paraId="6FCE884D" w14:textId="0269FBA3" w:rsidR="00D71D1B" w:rsidRPr="00AF7228" w:rsidRDefault="00D71D1B" w:rsidP="00D71D1B">
      <w:pPr>
        <w:pStyle w:val="BodyText"/>
      </w:pPr>
      <w:r w:rsidRPr="00AF7228">
        <w:t>We believe we can do much better and do it faster with some changes to national mental health policy and strategy, targeted investments in services and models of care and tackling entrenched disadvantage.</w:t>
      </w:r>
    </w:p>
    <w:p w14:paraId="74D439EF" w14:textId="79F91A8C" w:rsidR="00D71D1B" w:rsidRPr="00AF7228" w:rsidRDefault="00D71D1B" w:rsidP="00D71D1B">
      <w:pPr>
        <w:pStyle w:val="Heading1"/>
      </w:pPr>
      <w:bookmarkStart w:id="83" w:name="_Toc6238828"/>
      <w:r w:rsidRPr="00AF7228">
        <w:t xml:space="preserve">General </w:t>
      </w:r>
      <w:r w:rsidR="00AB3340">
        <w:t xml:space="preserve">Strategic </w:t>
      </w:r>
      <w:r w:rsidRPr="00AF7228">
        <w:t>Recommendations</w:t>
      </w:r>
      <w:bookmarkEnd w:id="83"/>
    </w:p>
    <w:p w14:paraId="510C868C" w14:textId="4D9AFAC4" w:rsidR="00D71D1B" w:rsidRPr="00AF7228" w:rsidRDefault="00D71D1B" w:rsidP="00D71D1B">
      <w:pPr>
        <w:pStyle w:val="Heading3"/>
      </w:pPr>
      <w:bookmarkStart w:id="84" w:name="_Toc6238829"/>
      <w:r w:rsidRPr="00AF7228">
        <w:t>Systemic Problems Require Systems Solutions</w:t>
      </w:r>
      <w:bookmarkEnd w:id="84"/>
    </w:p>
    <w:p w14:paraId="57598273" w14:textId="7C84DB06" w:rsidR="00D71D1B" w:rsidRPr="00AF7228" w:rsidRDefault="00D71D1B" w:rsidP="00D71D1B">
      <w:pPr>
        <w:pStyle w:val="BodyText"/>
      </w:pPr>
      <w:r w:rsidRPr="00AF7228">
        <w:t>Health care i</w:t>
      </w:r>
      <w:r w:rsidR="00AD3544">
        <w:t>s</w:t>
      </w:r>
      <w:r w:rsidRPr="00AF7228">
        <w:t xml:space="preserve"> a complex business. It is well documented that health care is not like other markets in the economy. Changing health outcomes requires much more than implementing </w:t>
      </w:r>
      <w:r w:rsidR="00AB3340">
        <w:t xml:space="preserve">‘EBM’ - </w:t>
      </w:r>
      <w:r w:rsidRPr="00AF7228">
        <w:t xml:space="preserve">evidence based medicine. </w:t>
      </w:r>
      <w:r w:rsidR="00AD3544">
        <w:t>Health care systems have many of the features of ‘complex adaptive systems’ where there is far less predictability.</w:t>
      </w:r>
      <w:r w:rsidRPr="00AF7228">
        <w:t xml:space="preserve"> </w:t>
      </w:r>
    </w:p>
    <w:p w14:paraId="3E155DFC" w14:textId="046A698A" w:rsidR="00EB7A13" w:rsidRPr="00AF7228" w:rsidRDefault="00AD3544" w:rsidP="00D71D1B">
      <w:pPr>
        <w:pStyle w:val="BodyText"/>
      </w:pPr>
      <w:r>
        <w:t>‘</w:t>
      </w:r>
      <w:r w:rsidR="00EB7A13" w:rsidRPr="00AF7228">
        <w:t>Evidence informed health care</w:t>
      </w:r>
      <w:r>
        <w:t>’</w:t>
      </w:r>
      <w:r w:rsidR="00EB7A13" w:rsidRPr="00AF7228">
        <w:t>, based on</w:t>
      </w:r>
      <w:r w:rsidR="009814AF" w:rsidRPr="00AF7228">
        <w:t xml:space="preserve"> </w:t>
      </w:r>
      <w:r>
        <w:t xml:space="preserve">an </w:t>
      </w:r>
      <w:r w:rsidR="009814AF" w:rsidRPr="00AF7228">
        <w:t xml:space="preserve">understanding </w:t>
      </w:r>
      <w:r w:rsidR="00EB7A13" w:rsidRPr="00AF7228">
        <w:t xml:space="preserve">of </w:t>
      </w:r>
      <w:r w:rsidR="009814AF" w:rsidRPr="00AF7228">
        <w:t xml:space="preserve">what works, in which </w:t>
      </w:r>
      <w:r w:rsidR="00EB7A13" w:rsidRPr="00AF7228">
        <w:t xml:space="preserve">context and </w:t>
      </w:r>
      <w:r w:rsidR="009814AF" w:rsidRPr="00AF7228">
        <w:t>circumstances, and for whom (rather than merely, whether it works), is far more suited to this challenge.</w:t>
      </w:r>
      <w:r w:rsidR="00EB7A13" w:rsidRPr="00AF7228">
        <w:t xml:space="preserve"> </w:t>
      </w:r>
    </w:p>
    <w:p w14:paraId="400D23AF" w14:textId="3C280DE1" w:rsidR="005A367F" w:rsidRPr="00AF7228" w:rsidRDefault="005A367F" w:rsidP="00EB7A13">
      <w:pPr>
        <w:pStyle w:val="BodyText"/>
      </w:pPr>
      <w:r w:rsidRPr="00AF7228">
        <w:t xml:space="preserve">Centralised planning models are not well suited to complex adaptive systems such as health care and mental health </w:t>
      </w:r>
      <w:r w:rsidRPr="007420D5">
        <w:t>care</w:t>
      </w:r>
      <w:r w:rsidR="007420D5" w:rsidRPr="007420D5">
        <w:t>.</w:t>
      </w:r>
      <w:r w:rsidR="007420D5">
        <w:rPr>
          <w:rStyle w:val="FootnoteReference"/>
        </w:rPr>
        <w:footnoteReference w:id="60"/>
      </w:r>
      <w:r w:rsidR="007420D5">
        <w:t xml:space="preserve"> The key features of complex adaptive systems are listed in Table 5 and Table 6 lists the characteristics of complex health care interventions.</w:t>
      </w:r>
      <w:r w:rsidR="007420D5" w:rsidRPr="007420D5">
        <w:rPr>
          <w:rStyle w:val="FootnoteReference"/>
        </w:rPr>
        <w:t xml:space="preserve"> </w:t>
      </w:r>
      <w:r w:rsidR="007420D5" w:rsidRPr="00AF7228">
        <w:rPr>
          <w:rStyle w:val="FootnoteReference"/>
        </w:rPr>
        <w:footnoteReference w:id="61"/>
      </w:r>
      <w:r w:rsidR="007420D5">
        <w:t xml:space="preserve"> </w:t>
      </w:r>
      <w:r w:rsidR="00AD3544">
        <w:t xml:space="preserve">We believe these offer a more coherent and relevant basis for mental health reform going forward than a continuation of the centrally developed five year national plans and strategies. </w:t>
      </w:r>
    </w:p>
    <w:p w14:paraId="3ACD6AA8" w14:textId="33146084" w:rsidR="009814AF" w:rsidRDefault="007420D5" w:rsidP="007420D5">
      <w:pPr>
        <w:pStyle w:val="TableCaption"/>
      </w:pPr>
      <w:bookmarkStart w:id="85" w:name="_Toc6237998"/>
      <w:r>
        <w:t>The Key Features of Complex Adaptive Systems</w:t>
      </w:r>
      <w:bookmarkEnd w:id="85"/>
    </w:p>
    <w:tbl>
      <w:tblPr>
        <w:tblStyle w:val="TableGrid"/>
        <w:tblW w:w="0" w:type="auto"/>
        <w:tblLook w:val="04A0" w:firstRow="1" w:lastRow="0" w:firstColumn="1" w:lastColumn="0" w:noHBand="0" w:noVBand="1"/>
      </w:tblPr>
      <w:tblGrid>
        <w:gridCol w:w="4584"/>
        <w:gridCol w:w="4584"/>
      </w:tblGrid>
      <w:tr w:rsidR="007420D5" w14:paraId="46DFF503" w14:textId="77777777" w:rsidTr="007420D5">
        <w:tc>
          <w:tcPr>
            <w:tcW w:w="4584" w:type="dxa"/>
          </w:tcPr>
          <w:p w14:paraId="6E8F1DAA" w14:textId="5EF52AA7" w:rsidR="007420D5" w:rsidRDefault="007420D5" w:rsidP="007420D5">
            <w:pPr>
              <w:pStyle w:val="BodyText"/>
            </w:pPr>
            <w:r w:rsidRPr="007420D5">
              <w:rPr>
                <w:b/>
              </w:rPr>
              <w:t>Embeddedness/nested systems</w:t>
            </w:r>
            <w:r w:rsidRPr="007420D5">
              <w:t>: CASs are embedded within a wider context and other CASs.</w:t>
            </w:r>
          </w:p>
        </w:tc>
        <w:tc>
          <w:tcPr>
            <w:tcW w:w="4584" w:type="dxa"/>
          </w:tcPr>
          <w:p w14:paraId="0371FC12" w14:textId="27639708" w:rsidR="007420D5" w:rsidRDefault="007420D5" w:rsidP="00EB7A13">
            <w:pPr>
              <w:pStyle w:val="BodyText"/>
            </w:pPr>
            <w:r w:rsidRPr="007420D5">
              <w:rPr>
                <w:b/>
              </w:rPr>
              <w:t>Non-linearity</w:t>
            </w:r>
            <w:r w:rsidRPr="007420D5">
              <w:t>: The magnitude of system input and agent interactions is not linearly related to the magnitude of changes in the system. A CAS can react suddenly to minor inputs or fail to change despite overwhelming external pressure.</w:t>
            </w:r>
          </w:p>
        </w:tc>
      </w:tr>
      <w:tr w:rsidR="007420D5" w14:paraId="5AD89DCA" w14:textId="77777777" w:rsidTr="007420D5">
        <w:tc>
          <w:tcPr>
            <w:tcW w:w="4584" w:type="dxa"/>
          </w:tcPr>
          <w:p w14:paraId="18C74FF4" w14:textId="7684C7E2" w:rsidR="007420D5" w:rsidRDefault="007420D5" w:rsidP="00EB7A13">
            <w:pPr>
              <w:pStyle w:val="BodyText"/>
            </w:pPr>
            <w:r w:rsidRPr="007420D5">
              <w:rPr>
                <w:b/>
              </w:rPr>
              <w:t>Fuzzy boundaries</w:t>
            </w:r>
            <w:r w:rsidRPr="007420D5">
              <w:t>: System boundaries are permeable and hard to define.</w:t>
            </w:r>
          </w:p>
        </w:tc>
        <w:tc>
          <w:tcPr>
            <w:tcW w:w="4584" w:type="dxa"/>
          </w:tcPr>
          <w:p w14:paraId="315311A4" w14:textId="5F3722C5" w:rsidR="007420D5" w:rsidRDefault="007420D5" w:rsidP="00EB7A13">
            <w:pPr>
              <w:pStyle w:val="BodyText"/>
            </w:pPr>
            <w:r w:rsidRPr="007420D5">
              <w:rPr>
                <w:b/>
              </w:rPr>
              <w:t>Phase changes</w:t>
            </w:r>
            <w:r w:rsidRPr="007420D5">
              <w:t>: Where a small change in the system inputs results in a qualitative change in the system’s state.</w:t>
            </w:r>
          </w:p>
        </w:tc>
      </w:tr>
      <w:tr w:rsidR="007420D5" w14:paraId="33A6F0D1" w14:textId="77777777" w:rsidTr="007420D5">
        <w:tc>
          <w:tcPr>
            <w:tcW w:w="4584" w:type="dxa"/>
          </w:tcPr>
          <w:p w14:paraId="432A26B9" w14:textId="6FF48D4A" w:rsidR="007420D5" w:rsidRDefault="007420D5" w:rsidP="00EB7A13">
            <w:pPr>
              <w:pStyle w:val="BodyText"/>
            </w:pPr>
            <w:r w:rsidRPr="007420D5">
              <w:rPr>
                <w:b/>
              </w:rPr>
              <w:t>Distributed control and self-organi</w:t>
            </w:r>
            <w:r w:rsidR="00AD3544">
              <w:rPr>
                <w:b/>
              </w:rPr>
              <w:t>s</w:t>
            </w:r>
            <w:r w:rsidRPr="007420D5">
              <w:rPr>
                <w:b/>
              </w:rPr>
              <w:t>ation</w:t>
            </w:r>
            <w:r w:rsidRPr="007420D5">
              <w:t xml:space="preserve">: System patterns are not created by top-down control; instead, autonomous agents interact to create outcomes. Thus, </w:t>
            </w:r>
            <w:r w:rsidRPr="007420D5">
              <w:lastRenderedPageBreak/>
              <w:t>organi</w:t>
            </w:r>
            <w:r w:rsidR="00AD3544">
              <w:t>s</w:t>
            </w:r>
            <w:r w:rsidRPr="007420D5">
              <w:t xml:space="preserve">ation in a CAS emerges naturally from local rules held by agents. </w:t>
            </w:r>
          </w:p>
        </w:tc>
        <w:tc>
          <w:tcPr>
            <w:tcW w:w="4584" w:type="dxa"/>
          </w:tcPr>
          <w:p w14:paraId="431C66F7" w14:textId="5606F8B3" w:rsidR="007420D5" w:rsidRDefault="007420D5" w:rsidP="00EB7A13">
            <w:pPr>
              <w:pStyle w:val="BodyText"/>
            </w:pPr>
            <w:r w:rsidRPr="00AD3544">
              <w:rPr>
                <w:b/>
              </w:rPr>
              <w:lastRenderedPageBreak/>
              <w:t>Sensitivity to initial conditions and historicism</w:t>
            </w:r>
            <w:r w:rsidRPr="007420D5">
              <w:t xml:space="preserve">: Future agent actions are affected by past changes in </w:t>
            </w:r>
            <w:r w:rsidRPr="007420D5">
              <w:lastRenderedPageBreak/>
              <w:t>the system, leading initial conditions to exert a strong influence on system behavio</w:t>
            </w:r>
            <w:r w:rsidR="00AD3544">
              <w:t>u</w:t>
            </w:r>
            <w:r w:rsidRPr="007420D5">
              <w:t>rs.</w:t>
            </w:r>
          </w:p>
        </w:tc>
      </w:tr>
      <w:tr w:rsidR="007420D5" w14:paraId="28ADD3A6" w14:textId="77777777" w:rsidTr="007420D5">
        <w:tc>
          <w:tcPr>
            <w:tcW w:w="4584" w:type="dxa"/>
          </w:tcPr>
          <w:p w14:paraId="267148A9" w14:textId="63A1ECD1" w:rsidR="007420D5" w:rsidRDefault="007420D5" w:rsidP="00EB7A13">
            <w:pPr>
              <w:pStyle w:val="BodyText"/>
            </w:pPr>
            <w:r w:rsidRPr="007420D5">
              <w:rPr>
                <w:b/>
              </w:rPr>
              <w:lastRenderedPageBreak/>
              <w:t>Emergence</w:t>
            </w:r>
            <w:r w:rsidRPr="007420D5">
              <w:t>: Interactions between agents create system outcomes that are not directly intended and are greater than the sum of the individual agent behavio</w:t>
            </w:r>
            <w:r w:rsidR="00AD3544">
              <w:t>u</w:t>
            </w:r>
            <w:r w:rsidRPr="007420D5">
              <w:t>rs.</w:t>
            </w:r>
          </w:p>
        </w:tc>
        <w:tc>
          <w:tcPr>
            <w:tcW w:w="4584" w:type="dxa"/>
          </w:tcPr>
          <w:p w14:paraId="62FD40DA" w14:textId="37B5831B" w:rsidR="007420D5" w:rsidRDefault="007420D5" w:rsidP="00EB7A13">
            <w:pPr>
              <w:pStyle w:val="BodyText"/>
            </w:pPr>
            <w:r w:rsidRPr="007420D5">
              <w:rPr>
                <w:b/>
              </w:rPr>
              <w:t>Non-equilibrium</w:t>
            </w:r>
            <w:r w:rsidRPr="007420D5">
              <w:t>: CASs are characteri</w:t>
            </w:r>
            <w:r w:rsidR="00AD3544">
              <w:t>s</w:t>
            </w:r>
            <w:r w:rsidRPr="007420D5">
              <w:t>ed by continual change and do not reach equilibrium.</w:t>
            </w:r>
          </w:p>
        </w:tc>
      </w:tr>
      <w:tr w:rsidR="007420D5" w14:paraId="390D3451" w14:textId="77777777" w:rsidTr="007420D5">
        <w:tc>
          <w:tcPr>
            <w:tcW w:w="4584" w:type="dxa"/>
          </w:tcPr>
          <w:p w14:paraId="2F9D42B9" w14:textId="67A943FB" w:rsidR="007420D5" w:rsidRDefault="007420D5" w:rsidP="00EB7A13">
            <w:pPr>
              <w:pStyle w:val="BodyText"/>
            </w:pPr>
            <w:r w:rsidRPr="007420D5">
              <w:rPr>
                <w:b/>
              </w:rPr>
              <w:t>Unpredictability</w:t>
            </w:r>
            <w:r w:rsidRPr="007420D5">
              <w:t>: The behavio</w:t>
            </w:r>
            <w:r w:rsidR="00AD3544">
              <w:t>u</w:t>
            </w:r>
            <w:r w:rsidRPr="007420D5">
              <w:t>r of a CAS cannot be predicted due to its non-linearity, sensitivity to initial conditions, and historicism.</w:t>
            </w:r>
          </w:p>
        </w:tc>
        <w:tc>
          <w:tcPr>
            <w:tcW w:w="4584" w:type="dxa"/>
          </w:tcPr>
          <w:p w14:paraId="3F158E9F" w14:textId="688FAEDD" w:rsidR="007420D5" w:rsidRDefault="007420D5" w:rsidP="00EB7A13">
            <w:pPr>
              <w:pStyle w:val="BodyText"/>
            </w:pPr>
            <w:r w:rsidRPr="007420D5">
              <w:rPr>
                <w:b/>
              </w:rPr>
              <w:t>Adaptation and co-evolution</w:t>
            </w:r>
            <w:r w:rsidRPr="007420D5">
              <w:t>: Agents and systems evolve together, reacting to changes in the context to ensure optimal functioning and survival.</w:t>
            </w:r>
          </w:p>
        </w:tc>
      </w:tr>
    </w:tbl>
    <w:p w14:paraId="5AE60278" w14:textId="73124B5D" w:rsidR="009814AF" w:rsidRPr="00AF7228" w:rsidRDefault="009814AF" w:rsidP="00EB7A13">
      <w:pPr>
        <w:pStyle w:val="TableCaption"/>
      </w:pPr>
      <w:r w:rsidRPr="00AF7228">
        <w:t xml:space="preserve"> </w:t>
      </w:r>
      <w:bookmarkStart w:id="86" w:name="_Toc6237999"/>
      <w:r w:rsidRPr="00AF7228">
        <w:t xml:space="preserve">Seven </w:t>
      </w:r>
      <w:r w:rsidR="00AD3544">
        <w:t>C</w:t>
      </w:r>
      <w:r w:rsidRPr="00AF7228">
        <w:t xml:space="preserve">haracteristics of </w:t>
      </w:r>
      <w:r w:rsidR="00AD3544">
        <w:t>C</w:t>
      </w:r>
      <w:r w:rsidRPr="00AF7228">
        <w:t xml:space="preserve">omplex </w:t>
      </w:r>
      <w:r w:rsidR="00AD3544">
        <w:t>H</w:t>
      </w:r>
      <w:r w:rsidRPr="00AF7228">
        <w:t xml:space="preserve">ealth </w:t>
      </w:r>
      <w:r w:rsidR="00AD3544">
        <w:t>I</w:t>
      </w:r>
      <w:r w:rsidRPr="00AF7228">
        <w:t>nterventions</w:t>
      </w:r>
      <w:bookmarkEnd w:id="86"/>
      <w:r w:rsidRPr="00AF7228">
        <w:t xml:space="preserve"> </w:t>
      </w:r>
    </w:p>
    <w:p w14:paraId="378CE9A4" w14:textId="01C88B9F" w:rsidR="009814AF" w:rsidRPr="00AF7228" w:rsidRDefault="009814AF" w:rsidP="00AB3340">
      <w:pPr>
        <w:pStyle w:val="TableText"/>
        <w:pBdr>
          <w:top w:val="single" w:sz="2" w:space="1" w:color="auto"/>
          <w:left w:val="single" w:sz="2" w:space="4" w:color="auto"/>
          <w:bottom w:val="single" w:sz="2" w:space="1" w:color="auto"/>
          <w:right w:val="single" w:sz="2" w:space="4" w:color="auto"/>
        </w:pBdr>
      </w:pPr>
      <w:r w:rsidRPr="00AF7228">
        <w:t xml:space="preserve">The intervention is a theory of theories. It is vital to uncover differences in stakeholders’ understandings of program theory (logic model) and try to reconcile these differences through the development of a shared theory. </w:t>
      </w:r>
    </w:p>
    <w:p w14:paraId="33EC0335" w14:textId="77777777" w:rsidR="009814AF" w:rsidRPr="00AF7228" w:rsidRDefault="009814AF" w:rsidP="00AB3340">
      <w:pPr>
        <w:pStyle w:val="TableText"/>
        <w:pBdr>
          <w:top w:val="single" w:sz="2" w:space="1" w:color="auto"/>
          <w:left w:val="single" w:sz="2" w:space="4" w:color="auto"/>
          <w:bottom w:val="single" w:sz="2" w:space="1" w:color="auto"/>
          <w:right w:val="single" w:sz="2" w:space="4" w:color="auto"/>
        </w:pBdr>
      </w:pPr>
      <w:r w:rsidRPr="00AF7228">
        <w:t xml:space="preserve">The intervention involves the actions of people. Understanding human intentions and motivations, what stakeholders know and how they reason, is essential to understanding the intervention. </w:t>
      </w:r>
    </w:p>
    <w:p w14:paraId="0043DECD" w14:textId="77777777" w:rsidR="009814AF" w:rsidRPr="00AF7228" w:rsidRDefault="009814AF" w:rsidP="00AB3340">
      <w:pPr>
        <w:pStyle w:val="TableText"/>
        <w:pBdr>
          <w:top w:val="single" w:sz="2" w:space="1" w:color="auto"/>
          <w:left w:val="single" w:sz="2" w:space="4" w:color="auto"/>
          <w:bottom w:val="single" w:sz="2" w:space="1" w:color="auto"/>
          <w:right w:val="single" w:sz="2" w:space="4" w:color="auto"/>
        </w:pBdr>
      </w:pPr>
      <w:r w:rsidRPr="00AF7228">
        <w:t xml:space="preserve">The intervention consists of a chain of steps or processes. At each stage, the intervention could work as expected or “misfire” and behave differently. </w:t>
      </w:r>
    </w:p>
    <w:p w14:paraId="46C70A15" w14:textId="77777777" w:rsidR="009814AF" w:rsidRPr="00AF7228" w:rsidRDefault="009814AF" w:rsidP="00AB3340">
      <w:pPr>
        <w:pStyle w:val="TableText"/>
        <w:pBdr>
          <w:top w:val="single" w:sz="2" w:space="1" w:color="auto"/>
          <w:left w:val="single" w:sz="2" w:space="4" w:color="auto"/>
          <w:bottom w:val="single" w:sz="2" w:space="1" w:color="auto"/>
          <w:right w:val="single" w:sz="2" w:space="4" w:color="auto"/>
        </w:pBdr>
      </w:pPr>
      <w:r w:rsidRPr="00AF7228">
        <w:t xml:space="preserve">These chains of steps/processes are often not linear. Negotiation and feedback are involved at each stage. </w:t>
      </w:r>
    </w:p>
    <w:p w14:paraId="5CDA9687" w14:textId="77777777" w:rsidR="009814AF" w:rsidRPr="00AF7228" w:rsidRDefault="009814AF" w:rsidP="00AB3340">
      <w:pPr>
        <w:pStyle w:val="TableText"/>
        <w:pBdr>
          <w:top w:val="single" w:sz="2" w:space="1" w:color="auto"/>
          <w:left w:val="single" w:sz="2" w:space="4" w:color="auto"/>
          <w:bottom w:val="single" w:sz="2" w:space="1" w:color="auto"/>
          <w:right w:val="single" w:sz="2" w:space="4" w:color="auto"/>
        </w:pBdr>
      </w:pPr>
      <w:r w:rsidRPr="00AF7228">
        <w:t xml:space="preserve">Interventions are embedded in social systems. How they work is shaped by this context. </w:t>
      </w:r>
    </w:p>
    <w:p w14:paraId="48CDAB88" w14:textId="77777777" w:rsidR="009814AF" w:rsidRPr="00AF7228" w:rsidRDefault="009814AF" w:rsidP="00AB3340">
      <w:pPr>
        <w:pStyle w:val="TableText"/>
        <w:pBdr>
          <w:top w:val="single" w:sz="2" w:space="1" w:color="auto"/>
          <w:left w:val="single" w:sz="2" w:space="4" w:color="auto"/>
          <w:bottom w:val="single" w:sz="2" w:space="1" w:color="auto"/>
          <w:right w:val="single" w:sz="2" w:space="4" w:color="auto"/>
        </w:pBdr>
      </w:pPr>
      <w:r w:rsidRPr="00AF7228">
        <w:t xml:space="preserve">Interventions are leaky and prone to modification as they are implemented. To attempt to freeze the intervention and keep it constant would miss the point. The process of adaptation and local embedding is an inherent and necessary characteristic. </w:t>
      </w:r>
    </w:p>
    <w:p w14:paraId="7DC9D058" w14:textId="76B6D532" w:rsidR="009814AF" w:rsidRPr="00AF7228" w:rsidRDefault="009814AF" w:rsidP="00AB3340">
      <w:pPr>
        <w:pStyle w:val="TableText"/>
        <w:pBdr>
          <w:top w:val="single" w:sz="2" w:space="1" w:color="auto"/>
          <w:left w:val="single" w:sz="2" w:space="4" w:color="auto"/>
          <w:bottom w:val="single" w:sz="2" w:space="1" w:color="auto"/>
          <w:right w:val="single" w:sz="2" w:space="4" w:color="auto"/>
        </w:pBdr>
      </w:pPr>
      <w:r w:rsidRPr="00AF7228">
        <w:t xml:space="preserve">Interventions are open systems and change through learning as stakeholders come to understand them. </w:t>
      </w:r>
    </w:p>
    <w:p w14:paraId="5841D6D1" w14:textId="3CE7588F" w:rsidR="00D71D1B" w:rsidRPr="00AF7228" w:rsidRDefault="00AB3340" w:rsidP="00D71D1B">
      <w:pPr>
        <w:pStyle w:val="Heading3"/>
      </w:pPr>
      <w:bookmarkStart w:id="87" w:name="_Toc6238830"/>
      <w:r>
        <w:t>‘</w:t>
      </w:r>
      <w:r w:rsidR="00D71D1B" w:rsidRPr="00AF7228">
        <w:t>Context is Everything</w:t>
      </w:r>
      <w:r>
        <w:t>’</w:t>
      </w:r>
      <w:r>
        <w:rPr>
          <w:rStyle w:val="FootnoteReference"/>
        </w:rPr>
        <w:footnoteReference w:id="62"/>
      </w:r>
      <w:bookmarkEnd w:id="87"/>
    </w:p>
    <w:p w14:paraId="758B9224" w14:textId="5C3EEC24" w:rsidR="00AB3340" w:rsidRDefault="00AB3340" w:rsidP="00AB3340">
      <w:pPr>
        <w:pStyle w:val="BodyText"/>
      </w:pPr>
      <w:r w:rsidRPr="00AB3340">
        <w:t xml:space="preserve">The role of context is critical in health services </w:t>
      </w:r>
      <w:r>
        <w:t xml:space="preserve">reform and </w:t>
      </w:r>
      <w:r w:rsidRPr="00AB3340">
        <w:t xml:space="preserve">research. </w:t>
      </w:r>
      <w:r>
        <w:t>The same intervention in what appears to be the same setting by the same practitioners in a different community on one side of Sydney to another, can produce different outcomes. This reality has been widely documented</w:t>
      </w:r>
      <w:r>
        <w:rPr>
          <w:rStyle w:val="FootnoteReference"/>
        </w:rPr>
        <w:footnoteReference w:id="63"/>
      </w:r>
      <w:r>
        <w:t xml:space="preserve"> and greater efforts are being directed to the study of health ‘ecosystems’ lead by leading think tanks including work specifically in mental health ecosystems.</w:t>
      </w:r>
      <w:r>
        <w:rPr>
          <w:rStyle w:val="FootnoteReference"/>
        </w:rPr>
        <w:footnoteReference w:id="64"/>
      </w:r>
      <w:r>
        <w:t xml:space="preserve"> </w:t>
      </w:r>
      <w:r w:rsidR="00AD3544">
        <w:rPr>
          <w:rStyle w:val="FootnoteReference"/>
        </w:rPr>
        <w:footnoteReference w:id="65"/>
      </w:r>
    </w:p>
    <w:p w14:paraId="02D4D890" w14:textId="6F9BC5D6" w:rsidR="00AB3340" w:rsidRDefault="00AB3340" w:rsidP="00AB3340">
      <w:pPr>
        <w:pStyle w:val="BodyText"/>
      </w:pPr>
      <w:r>
        <w:t>The framework presented in Part A of this submission, provides a robust alternative to the current approach to mental health reform in Australia at both national, state and regional levels.</w:t>
      </w:r>
    </w:p>
    <w:p w14:paraId="77625006" w14:textId="07E3006C" w:rsidR="00AB3340" w:rsidRPr="00AB3340" w:rsidRDefault="00AB3340" w:rsidP="00AB3340">
      <w:pPr>
        <w:pStyle w:val="BodyText"/>
      </w:pPr>
      <w:r>
        <w:t>Planning and implementation that combines:</w:t>
      </w:r>
    </w:p>
    <w:p w14:paraId="75D03CEE" w14:textId="77777777" w:rsidR="00AB3340" w:rsidRPr="00AF7228" w:rsidRDefault="00AB3340" w:rsidP="00AB3340">
      <w:pPr>
        <w:pStyle w:val="BulletPoint"/>
      </w:pPr>
      <w:r w:rsidRPr="00AF7228">
        <w:rPr>
          <w:b/>
        </w:rPr>
        <w:t>Evidence based medicine</w:t>
      </w:r>
      <w:r w:rsidRPr="00AF7228">
        <w:t xml:space="preserve"> – or Experimental knowledge developed through Random Controlled Trials, systematic reviews and the like</w:t>
      </w:r>
    </w:p>
    <w:p w14:paraId="50BE73D1" w14:textId="77777777" w:rsidR="00AB3340" w:rsidRPr="00AF7228" w:rsidRDefault="00AB3340" w:rsidP="00AB3340">
      <w:pPr>
        <w:pStyle w:val="BulletPoint"/>
      </w:pPr>
      <w:r w:rsidRPr="00AF7228">
        <w:rPr>
          <w:b/>
        </w:rPr>
        <w:t xml:space="preserve">Observational cohort studies </w:t>
      </w:r>
      <w:r w:rsidRPr="00AF7228">
        <w:t>– providing richer understandings of interventions and target audience impacts</w:t>
      </w:r>
    </w:p>
    <w:p w14:paraId="356DEE6C" w14:textId="77777777" w:rsidR="00AB3340" w:rsidRPr="00AF7228" w:rsidRDefault="00AB3340" w:rsidP="00AB3340">
      <w:pPr>
        <w:pStyle w:val="BulletPoint"/>
        <w:rPr>
          <w:b/>
        </w:rPr>
      </w:pPr>
      <w:r w:rsidRPr="00AF7228">
        <w:rPr>
          <w:b/>
        </w:rPr>
        <w:lastRenderedPageBreak/>
        <w:t xml:space="preserve">Context Analysis – </w:t>
      </w:r>
      <w:r w:rsidRPr="00AF7228">
        <w:t>demographics and geo-spatial analysis</w:t>
      </w:r>
    </w:p>
    <w:p w14:paraId="55606260" w14:textId="77777777" w:rsidR="00AB3340" w:rsidRPr="00AF7228" w:rsidRDefault="00AB3340" w:rsidP="00AB3340">
      <w:pPr>
        <w:pStyle w:val="BulletPoint"/>
      </w:pPr>
      <w:r w:rsidRPr="009814AF">
        <w:t xml:space="preserve">‘Evidence-based health care’ </w:t>
      </w:r>
      <w:r w:rsidRPr="00AF7228">
        <w:t>or</w:t>
      </w:r>
      <w:r w:rsidRPr="009814AF">
        <w:t xml:space="preserve"> ‘</w:t>
      </w:r>
      <w:r w:rsidRPr="009814AF">
        <w:rPr>
          <w:b/>
          <w:bCs/>
        </w:rPr>
        <w:t>evidence-informed policy</w:t>
      </w:r>
      <w:r w:rsidRPr="009814AF">
        <w:t>’</w:t>
      </w:r>
      <w:r w:rsidRPr="00AF7228">
        <w:t xml:space="preserve"> -</w:t>
      </w:r>
      <w:r w:rsidRPr="009814AF">
        <w:t xml:space="preserve"> through the addition of routine big data and local context information, </w:t>
      </w:r>
    </w:p>
    <w:p w14:paraId="6DAADF1B" w14:textId="77777777" w:rsidR="00AB3340" w:rsidRPr="00AF7228" w:rsidRDefault="00AB3340" w:rsidP="00AB3340">
      <w:pPr>
        <w:pStyle w:val="BulletPoint"/>
      </w:pPr>
      <w:r w:rsidRPr="00AF7228">
        <w:rPr>
          <w:b/>
        </w:rPr>
        <w:t>‘K</w:t>
      </w:r>
      <w:r w:rsidRPr="009814AF">
        <w:rPr>
          <w:b/>
        </w:rPr>
        <w:t>nowledge- guided policy’</w:t>
      </w:r>
      <w:r w:rsidRPr="00AF7228">
        <w:t xml:space="preserve"> -</w:t>
      </w:r>
      <w:r w:rsidRPr="009814AF">
        <w:t xml:space="preserve"> through the incorporation of domain experts</w:t>
      </w:r>
      <w:r w:rsidRPr="00AF7228">
        <w:t>, both within and beyond the western Sydney region,</w:t>
      </w:r>
      <w:r w:rsidRPr="009814AF">
        <w:t xml:space="preserve"> to the data analysis process</w:t>
      </w:r>
    </w:p>
    <w:p w14:paraId="4F3DEDAB" w14:textId="77777777" w:rsidR="00AB3340" w:rsidRPr="009814AF" w:rsidRDefault="00AB3340" w:rsidP="00AB3340">
      <w:pPr>
        <w:pStyle w:val="BulletPoint"/>
      </w:pPr>
      <w:r w:rsidRPr="00AF7228">
        <w:rPr>
          <w:b/>
        </w:rPr>
        <w:t xml:space="preserve">Experiential knowledge </w:t>
      </w:r>
      <w:r w:rsidRPr="00AF7228">
        <w:t>– the incorporation of the expertise from those with lived experience – consumers and carers</w:t>
      </w:r>
    </w:p>
    <w:p w14:paraId="1D28E52F" w14:textId="0772C606" w:rsidR="00C36AC7" w:rsidRPr="00AF7228" w:rsidRDefault="00AB3340" w:rsidP="00C36AC7">
      <w:pPr>
        <w:pStyle w:val="BodyText"/>
      </w:pPr>
      <w:r w:rsidRPr="00AF7228">
        <w:rPr>
          <w:b/>
          <w:bCs/>
        </w:rPr>
        <w:t>Evidence-informed</w:t>
      </w:r>
      <w:r w:rsidRPr="00AF7228">
        <w:t>, rather than merely evidence-based, healthcare policy and practice acknowledges that policy-making is an inherently political process in which research evidence is only one factor that influences decision-making.</w:t>
      </w:r>
      <w:r w:rsidRPr="00AF7228">
        <w:rPr>
          <w:rStyle w:val="FootnoteReference"/>
        </w:rPr>
        <w:footnoteReference w:id="66"/>
      </w:r>
    </w:p>
    <w:p w14:paraId="28D5FEA0" w14:textId="0071020B" w:rsidR="009814AF" w:rsidRPr="00AF7228" w:rsidRDefault="00D71D1B" w:rsidP="00D71D1B">
      <w:pPr>
        <w:pStyle w:val="Heading3"/>
      </w:pPr>
      <w:bookmarkStart w:id="88" w:name="_Toc6238831"/>
      <w:r w:rsidRPr="00AF7228">
        <w:t>The Building Block of Primary Care</w:t>
      </w:r>
      <w:bookmarkEnd w:id="88"/>
    </w:p>
    <w:p w14:paraId="0D7232A6" w14:textId="7E507EF9" w:rsidR="00AB3340" w:rsidRPr="00AB3340" w:rsidRDefault="00AB3340" w:rsidP="00B303FA">
      <w:pPr>
        <w:pStyle w:val="BodyText"/>
        <w:rPr>
          <w:rFonts w:asciiTheme="minorHAnsi" w:hAnsiTheme="minorHAnsi"/>
          <w:i/>
          <w:iCs/>
          <w:color w:val="404040" w:themeColor="text1" w:themeTint="BF"/>
          <w:sz w:val="21"/>
          <w:szCs w:val="21"/>
        </w:rPr>
      </w:pPr>
      <w:r w:rsidRPr="00AB3340">
        <w:rPr>
          <w:rFonts w:asciiTheme="minorHAnsi" w:hAnsiTheme="minorHAnsi"/>
          <w:i/>
          <w:iCs/>
          <w:color w:val="404040" w:themeColor="text1" w:themeTint="BF"/>
          <w:sz w:val="21"/>
          <w:szCs w:val="21"/>
        </w:rPr>
        <w:t>A strong primary care system is essential to the equity, efficiency and effectiveness of the health system and improvements in health outcomes</w:t>
      </w:r>
      <w:r w:rsidR="003E4974">
        <w:rPr>
          <w:rFonts w:asciiTheme="minorHAnsi" w:hAnsiTheme="minorHAnsi"/>
          <w:i/>
          <w:iCs/>
          <w:color w:val="404040" w:themeColor="text1" w:themeTint="BF"/>
          <w:sz w:val="21"/>
          <w:szCs w:val="21"/>
        </w:rPr>
        <w:t>.</w:t>
      </w:r>
    </w:p>
    <w:p w14:paraId="70917F42" w14:textId="6D3FB662" w:rsidR="00AB3340" w:rsidRDefault="00AB3340" w:rsidP="00AB3340">
      <w:pPr>
        <w:pStyle w:val="BodyText"/>
        <w:jc w:val="right"/>
      </w:pPr>
      <w:r>
        <w:t>Russell and Dawda, Menzies Centre for Health Policy Feb 2019.</w:t>
      </w:r>
    </w:p>
    <w:p w14:paraId="41051A02" w14:textId="7D4616BC" w:rsidR="00AB3340" w:rsidRDefault="00AB3340" w:rsidP="005A367F">
      <w:pPr>
        <w:pStyle w:val="BodyText"/>
      </w:pPr>
      <w:r>
        <w:t xml:space="preserve">The view expressed in the quote from this recent review of PHNs, is one that has been documented many times by many of the world’s leading health organisations – WHO, Institute of Medicine, Institute of Healthcare Improvement and others. </w:t>
      </w:r>
    </w:p>
    <w:p w14:paraId="68EE6C64" w14:textId="09643E86" w:rsidR="00AB3340" w:rsidRDefault="005A367F" w:rsidP="005A367F">
      <w:pPr>
        <w:pStyle w:val="BodyText"/>
      </w:pPr>
      <w:r w:rsidRPr="00AF7228">
        <w:t>In the Australian context, primary health care is supported through the Medical Benefits Scheme or Medicare. Approved providers receive payments for a schedule of over 5,000 services or items. The fee-for-service or occasions of service funding model supports the overwhelming majority of primary care practice in Australia. It does not readily support the exemplary primary care practices documented by Bodenheimer et al or the Institute of Healthcare Improvement</w:t>
      </w:r>
      <w:r w:rsidRPr="00AF7228">
        <w:rPr>
          <w:rStyle w:val="FootnoteReference"/>
        </w:rPr>
        <w:footnoteReference w:id="67"/>
      </w:r>
      <w:r w:rsidRPr="00AF7228">
        <w:t xml:space="preserve">, and others around the world. </w:t>
      </w:r>
    </w:p>
    <w:p w14:paraId="5F367A27" w14:textId="6498FEB7" w:rsidR="005A367F" w:rsidRPr="00AF7228" w:rsidRDefault="00AB3340" w:rsidP="005A367F">
      <w:pPr>
        <w:pStyle w:val="BodyText"/>
      </w:pPr>
      <w:r>
        <w:t>Russell and Dawda (2019), Duckett</w:t>
      </w:r>
      <w:r>
        <w:rPr>
          <w:rStyle w:val="FootnoteReference"/>
        </w:rPr>
        <w:footnoteReference w:id="68"/>
      </w:r>
      <w:r>
        <w:t xml:space="preserve"> (2015) and many other Australian researchers have pointed to the Medicare fee-for-service models hindering the adoption of collaborative and integrated care. </w:t>
      </w:r>
    </w:p>
    <w:p w14:paraId="4A10D9AD" w14:textId="54DB43FA" w:rsidR="00AB3340" w:rsidRPr="00AF7228" w:rsidRDefault="00AB3340" w:rsidP="00AB3340">
      <w:pPr>
        <w:pStyle w:val="BodyText"/>
      </w:pPr>
      <w:r w:rsidRPr="00AF7228">
        <w:t>Exemplar primary care has the Ten Building Blocks described earlier in Part A</w:t>
      </w:r>
      <w:r>
        <w:t xml:space="preserve"> of this submission</w:t>
      </w:r>
      <w:r w:rsidRPr="00AF7228">
        <w:t>. The four foundational elements – engaged leadership, data-driven improvement, ‘empanelment’ or the linking of each patient to a care team and a primary care clinician, and team based care – assist the implementation of the remaining six building blocks.</w:t>
      </w:r>
    </w:p>
    <w:p w14:paraId="6627439B" w14:textId="028B78AF" w:rsidR="005A367F" w:rsidRPr="00AF7228" w:rsidRDefault="005A367F" w:rsidP="005A367F">
      <w:pPr>
        <w:pStyle w:val="BodyText"/>
      </w:pPr>
      <w:r w:rsidRPr="00AF7228">
        <w:t xml:space="preserve">Primary care models such as the Patient Centred Health Care or Medical Home do embody these elements. In Australia, the closest model to these is the DVA </w:t>
      </w:r>
      <w:r w:rsidR="00AB3340">
        <w:t>‘</w:t>
      </w:r>
      <w:r w:rsidRPr="00AF7228">
        <w:t>White</w:t>
      </w:r>
      <w:r w:rsidR="00AB3340">
        <w:t>’</w:t>
      </w:r>
      <w:r w:rsidRPr="00AF7228">
        <w:t xml:space="preserve"> and </w:t>
      </w:r>
      <w:r w:rsidR="00AB3340">
        <w:t>‘</w:t>
      </w:r>
      <w:r w:rsidRPr="00AF7228">
        <w:t>Gold</w:t>
      </w:r>
      <w:r w:rsidR="00AB3340">
        <w:t>’</w:t>
      </w:r>
      <w:r w:rsidRPr="00AF7228">
        <w:t xml:space="preserve"> Health Care schemes. </w:t>
      </w:r>
      <w:r w:rsidR="00AB3340">
        <w:t>Nonetheless, the DVA model lacks a number of the elements described by Bodenheimer.</w:t>
      </w:r>
      <w:r w:rsidRPr="00AF7228">
        <w:t xml:space="preserve"> </w:t>
      </w:r>
    </w:p>
    <w:p w14:paraId="06B3B8C2" w14:textId="6E9D8EF4" w:rsidR="005A367F" w:rsidRPr="00AF7228" w:rsidRDefault="005A367F" w:rsidP="005A367F">
      <w:pPr>
        <w:pStyle w:val="BodyText"/>
      </w:pPr>
      <w:r w:rsidRPr="00AF7228">
        <w:t>Fundamental reform to Medicare, and associated primary care funded programs, is required if Australia is to be able to meet the challenges of an ag</w:t>
      </w:r>
      <w:r w:rsidR="00AB3340">
        <w:t>ing</w:t>
      </w:r>
      <w:r w:rsidRPr="00AF7228">
        <w:t xml:space="preserve"> and more diverse population</w:t>
      </w:r>
      <w:r w:rsidR="00AB3340">
        <w:t xml:space="preserve"> and address the growing inequality of access to MBS-subsidised services</w:t>
      </w:r>
      <w:r w:rsidRPr="00AF7228">
        <w:t xml:space="preserve">. That reform should be driven by aligning our major funding programs to the Ten Building Blocks framework.   </w:t>
      </w:r>
    </w:p>
    <w:p w14:paraId="2E431492" w14:textId="77777777" w:rsidR="007420D5" w:rsidRDefault="007420D5">
      <w:pPr>
        <w:spacing w:before="0" w:after="0"/>
        <w:rPr>
          <w:b/>
          <w:bCs/>
          <w:color w:val="00AFEF"/>
          <w:sz w:val="36"/>
          <w:szCs w:val="40"/>
        </w:rPr>
      </w:pPr>
      <w:r>
        <w:br w:type="page"/>
      </w:r>
    </w:p>
    <w:p w14:paraId="10194703" w14:textId="216B5907" w:rsidR="00D71D1B" w:rsidRPr="00AF7228" w:rsidRDefault="00D71D1B" w:rsidP="00D71D1B">
      <w:pPr>
        <w:pStyle w:val="Heading1"/>
      </w:pPr>
      <w:bookmarkStart w:id="89" w:name="_Toc6238832"/>
      <w:r w:rsidRPr="00AF7228">
        <w:lastRenderedPageBreak/>
        <w:t>S</w:t>
      </w:r>
      <w:r w:rsidR="00AB3340">
        <w:t xml:space="preserve">trategic </w:t>
      </w:r>
      <w:r w:rsidRPr="00AF7228">
        <w:t>Issues in Mental Health</w:t>
      </w:r>
      <w:bookmarkEnd w:id="89"/>
    </w:p>
    <w:p w14:paraId="03F0C044" w14:textId="643AAE84" w:rsidR="00AD3544" w:rsidRDefault="00AD3544" w:rsidP="00D71D1B">
      <w:pPr>
        <w:pStyle w:val="Heading3"/>
      </w:pPr>
      <w:bookmarkStart w:id="90" w:name="_Toc6238833"/>
      <w:r>
        <w:t>The National Mental Health Commission Review</w:t>
      </w:r>
      <w:bookmarkEnd w:id="90"/>
    </w:p>
    <w:p w14:paraId="3A45E3C8" w14:textId="363D6FDC" w:rsidR="00AD3544" w:rsidRDefault="00AD3544" w:rsidP="00AD3544">
      <w:pPr>
        <w:pStyle w:val="BodyText"/>
      </w:pPr>
      <w:r>
        <w:t xml:space="preserve">The 2014 Review of Programmes and Services undertaken by the NMHC was the most extensive review of mental health services in a generation. The recommendations from the Review were endorsed by the Federal Government in November 2015 with responsibility for implementation assigned to the DOH. Regrettably, in our view, the Government did not assign an oversight role to the NMHC or to the expert committee that was appointed in 2015 to prepare the Australian Government’s response. </w:t>
      </w:r>
    </w:p>
    <w:p w14:paraId="6DF91672" w14:textId="797F2AC5" w:rsidR="00AD3544" w:rsidRPr="00AD3544" w:rsidRDefault="00AD3544" w:rsidP="00AD3544">
      <w:pPr>
        <w:pStyle w:val="BodyText"/>
      </w:pPr>
      <w:r>
        <w:t xml:space="preserve">Consequently, much of the intent of the review has been lost or weakened. For example, the NMHC made a strong case for moving away from continuing to fund and manage national programs in both mental health and suicide prevention and devolve this to PHNs. National NGOs continue to be funded and hence manage, significant program expenditures. PHNs have little if any capacity to commission, integrate or contextualise these investments. PHNs continue to have little access to program metrics or outcomes data. This is counter to the recommendations of the NMHC Review and compromises community outcomes.   </w:t>
      </w:r>
    </w:p>
    <w:p w14:paraId="687064E6" w14:textId="7D60C19E" w:rsidR="00D71D1B" w:rsidRPr="00AF7228" w:rsidRDefault="00EB7A13" w:rsidP="00D71D1B">
      <w:pPr>
        <w:pStyle w:val="Heading3"/>
      </w:pPr>
      <w:bookmarkStart w:id="91" w:name="_Toc6238834"/>
      <w:r w:rsidRPr="00AF7228">
        <w:t>Mental Health in All Policy</w:t>
      </w:r>
      <w:bookmarkEnd w:id="91"/>
    </w:p>
    <w:p w14:paraId="2DCAEB1E" w14:textId="1784F8FD" w:rsidR="00EB7A13" w:rsidRDefault="00EB7A13" w:rsidP="00EB7A13">
      <w:pPr>
        <w:pStyle w:val="BodyText"/>
      </w:pPr>
      <w:r w:rsidRPr="00AF7228">
        <w:t xml:space="preserve">In 2009 the National Advisory Council on Mental Health, as part of the work led by the National Health and Hospital Reform Commission, produced a </w:t>
      </w:r>
      <w:r w:rsidR="00AB3340">
        <w:t>discussion paper</w:t>
      </w:r>
      <w:r w:rsidRPr="00AF7228">
        <w:t xml:space="preserve"> setting out a broader vision and direction for mental health policy in Australia</w:t>
      </w:r>
      <w:r w:rsidR="00AB3340">
        <w:t>; one focussed on creating and protecting ‘mental wealth’ across the lifespan.</w:t>
      </w:r>
      <w:r w:rsidR="00AB3340" w:rsidRPr="00AB3340">
        <w:rPr>
          <w:rStyle w:val="FootnoteReference"/>
        </w:rPr>
        <w:t xml:space="preserve"> </w:t>
      </w:r>
      <w:r w:rsidR="00AB3340">
        <w:rPr>
          <w:rStyle w:val="FootnoteReference"/>
        </w:rPr>
        <w:footnoteReference w:id="69"/>
      </w:r>
      <w:r w:rsidR="00AB3340">
        <w:t xml:space="preserve">  It had wide stakeholder endorsement at the time.</w:t>
      </w:r>
    </w:p>
    <w:p w14:paraId="0CCEFA96" w14:textId="6877FD86" w:rsidR="00AB3340" w:rsidRDefault="00AB3340" w:rsidP="00EB7A13">
      <w:pPr>
        <w:pStyle w:val="BodyText"/>
      </w:pPr>
      <w:r>
        <w:t>It stated:</w:t>
      </w:r>
    </w:p>
    <w:p w14:paraId="3906A3CE" w14:textId="453CDCF3" w:rsidR="00AB3340" w:rsidRPr="00AB3340" w:rsidRDefault="00AB3340" w:rsidP="00B303FA">
      <w:pPr>
        <w:pStyle w:val="BodyText"/>
        <w:rPr>
          <w:rFonts w:asciiTheme="minorHAnsi" w:hAnsiTheme="minorHAnsi"/>
          <w:i/>
          <w:iCs/>
          <w:color w:val="404040" w:themeColor="text1" w:themeTint="BF"/>
          <w:sz w:val="21"/>
          <w:szCs w:val="21"/>
        </w:rPr>
      </w:pPr>
      <w:r w:rsidRPr="00AB3340">
        <w:rPr>
          <w:rFonts w:asciiTheme="minorHAnsi" w:hAnsiTheme="minorHAnsi"/>
          <w:i/>
          <w:iCs/>
          <w:color w:val="404040" w:themeColor="text1" w:themeTint="BF"/>
          <w:sz w:val="21"/>
          <w:szCs w:val="21"/>
        </w:rPr>
        <w:t>A mentally healthy Australia is fundamental to our sustainability – economically, culturally and socially. Being mentally healthy means being in a state of complete mental, emotional and social wellbeing and this involves much more than merely ‘the absence of</w:t>
      </w:r>
      <w:r>
        <w:rPr>
          <w:rFonts w:asciiTheme="minorHAnsi" w:hAnsiTheme="minorHAnsi"/>
          <w:i/>
          <w:iCs/>
          <w:color w:val="404040" w:themeColor="text1" w:themeTint="BF"/>
          <w:sz w:val="21"/>
          <w:szCs w:val="21"/>
        </w:rPr>
        <w:t xml:space="preserve"> </w:t>
      </w:r>
      <w:r w:rsidRPr="00AB3340">
        <w:rPr>
          <w:rFonts w:asciiTheme="minorHAnsi" w:hAnsiTheme="minorHAnsi"/>
          <w:i/>
          <w:iCs/>
          <w:color w:val="404040" w:themeColor="text1" w:themeTint="BF"/>
          <w:sz w:val="21"/>
          <w:szCs w:val="21"/>
        </w:rPr>
        <w:t xml:space="preserve">a mental illness’. Being mentally healthy is more than having access to a </w:t>
      </w:r>
      <w:r w:rsidR="003E4974" w:rsidRPr="00AB3340">
        <w:rPr>
          <w:rFonts w:asciiTheme="minorHAnsi" w:hAnsiTheme="minorHAnsi"/>
          <w:i/>
          <w:iCs/>
          <w:color w:val="404040" w:themeColor="text1" w:themeTint="BF"/>
          <w:sz w:val="21"/>
          <w:szCs w:val="21"/>
        </w:rPr>
        <w:t>first-rate</w:t>
      </w:r>
      <w:r w:rsidRPr="00AB3340">
        <w:rPr>
          <w:rFonts w:asciiTheme="minorHAnsi" w:hAnsiTheme="minorHAnsi"/>
          <w:i/>
          <w:iCs/>
          <w:color w:val="404040" w:themeColor="text1" w:themeTint="BF"/>
          <w:sz w:val="21"/>
          <w:szCs w:val="21"/>
        </w:rPr>
        <w:t xml:space="preserve"> person-centred health care service where and when we need it. </w:t>
      </w:r>
    </w:p>
    <w:p w14:paraId="4EC6E350" w14:textId="59F0586A" w:rsidR="00AB3340" w:rsidRPr="00AB3340" w:rsidRDefault="00AB3340" w:rsidP="00B303FA">
      <w:pPr>
        <w:pStyle w:val="BodyText"/>
        <w:rPr>
          <w:rFonts w:asciiTheme="minorHAnsi" w:hAnsiTheme="minorHAnsi"/>
          <w:i/>
          <w:iCs/>
          <w:color w:val="404040" w:themeColor="text1" w:themeTint="BF"/>
          <w:sz w:val="21"/>
          <w:szCs w:val="21"/>
        </w:rPr>
      </w:pPr>
      <w:r w:rsidRPr="00AB3340">
        <w:rPr>
          <w:rFonts w:asciiTheme="minorHAnsi" w:hAnsiTheme="minorHAnsi"/>
          <w:i/>
          <w:iCs/>
          <w:color w:val="404040" w:themeColor="text1" w:themeTint="BF"/>
          <w:sz w:val="21"/>
          <w:szCs w:val="21"/>
        </w:rPr>
        <w:t>Our governments’ investment in mental health need</w:t>
      </w:r>
      <w:r>
        <w:rPr>
          <w:rFonts w:asciiTheme="minorHAnsi" w:hAnsiTheme="minorHAnsi"/>
          <w:i/>
          <w:iCs/>
          <w:color w:val="404040" w:themeColor="text1" w:themeTint="BF"/>
          <w:sz w:val="21"/>
          <w:szCs w:val="21"/>
        </w:rPr>
        <w:t xml:space="preserve"> </w:t>
      </w:r>
      <w:r w:rsidRPr="00AB3340">
        <w:rPr>
          <w:rFonts w:asciiTheme="minorHAnsi" w:hAnsiTheme="minorHAnsi"/>
          <w:i/>
          <w:iCs/>
          <w:color w:val="404040" w:themeColor="text1" w:themeTint="BF"/>
          <w:sz w:val="21"/>
          <w:szCs w:val="21"/>
        </w:rPr>
        <w:t xml:space="preserve">to evolve significantly: beyond the dominant focus on acute and sub-acute health care to include a more balanced emphasis on community care, a clear focus on managing the risk factors that can give rise to mental illness and a strengthening of the protective factors that prevent mental illness and promote mental health. </w:t>
      </w:r>
    </w:p>
    <w:p w14:paraId="3F0B46DC" w14:textId="77777777" w:rsidR="00AB3340" w:rsidRPr="00AB3340" w:rsidRDefault="00AB3340" w:rsidP="00B303FA">
      <w:pPr>
        <w:pStyle w:val="BodyText"/>
        <w:rPr>
          <w:rFonts w:asciiTheme="minorHAnsi" w:hAnsiTheme="minorHAnsi"/>
          <w:i/>
          <w:iCs/>
          <w:color w:val="404040" w:themeColor="text1" w:themeTint="BF"/>
          <w:sz w:val="21"/>
          <w:szCs w:val="21"/>
        </w:rPr>
      </w:pPr>
      <w:r w:rsidRPr="00AB3340">
        <w:rPr>
          <w:rFonts w:asciiTheme="minorHAnsi" w:hAnsiTheme="minorHAnsi"/>
          <w:i/>
          <w:iCs/>
          <w:color w:val="404040" w:themeColor="text1" w:themeTint="BF"/>
          <w:sz w:val="21"/>
          <w:szCs w:val="21"/>
        </w:rPr>
        <w:t xml:space="preserve">To be successful, investment in a mentally healthy Australia needs to be embedded across a whole-of- government national policy framework. This means that we need to reflect a focus on mental health across the board – in our approach to education, social services, housing, employment, Indigenous affairs and so on – not just in our health or mental health services </w:t>
      </w:r>
    </w:p>
    <w:p w14:paraId="2EAA34BF" w14:textId="77777777" w:rsidR="00AB3340" w:rsidRPr="00AB3340" w:rsidRDefault="00AB3340" w:rsidP="00B303FA">
      <w:pPr>
        <w:pStyle w:val="BodyText"/>
        <w:rPr>
          <w:rFonts w:asciiTheme="minorHAnsi" w:hAnsiTheme="minorHAnsi"/>
          <w:i/>
          <w:iCs/>
          <w:color w:val="404040" w:themeColor="text1" w:themeTint="BF"/>
          <w:sz w:val="21"/>
          <w:szCs w:val="21"/>
        </w:rPr>
      </w:pPr>
      <w:r w:rsidRPr="00AB3340">
        <w:rPr>
          <w:rFonts w:asciiTheme="minorHAnsi" w:hAnsiTheme="minorHAnsi"/>
          <w:i/>
          <w:iCs/>
          <w:color w:val="404040" w:themeColor="text1" w:themeTint="BF"/>
          <w:sz w:val="21"/>
          <w:szCs w:val="21"/>
        </w:rPr>
        <w:t xml:space="preserve">Our vision is that all Australians can live a mentally healthy life and be able to access quality mental health services and support when and where they need it. </w:t>
      </w:r>
    </w:p>
    <w:p w14:paraId="7B2A391B" w14:textId="4AF51E48" w:rsidR="00AB3340" w:rsidRDefault="00AB3340" w:rsidP="00EB7A13">
      <w:pPr>
        <w:pStyle w:val="BodyText"/>
      </w:pPr>
      <w:r>
        <w:t xml:space="preserve">As we have known for a long time, health outcomes, including mental health outcomes, are determined by social and environmental factors more than other factors. Policies on human rights, taxation, employment and income, transport, housing, education, parenting and early childhood, aged care, public infrastructure and the built environment, social security and immigration – all beyond the </w:t>
      </w:r>
      <w:r>
        <w:lastRenderedPageBreak/>
        <w:t xml:space="preserve">responsibility of </w:t>
      </w:r>
      <w:r w:rsidR="003E4974">
        <w:t>H</w:t>
      </w:r>
      <w:r>
        <w:t xml:space="preserve">ealth Ministers and their agencies – impact positively and negatively on individual’s and community’s mental health and wellbeing. </w:t>
      </w:r>
    </w:p>
    <w:p w14:paraId="33949495" w14:textId="5A560BED" w:rsidR="00AB3340" w:rsidRDefault="00AB3340" w:rsidP="00EB7A13">
      <w:pPr>
        <w:pStyle w:val="BodyText"/>
      </w:pPr>
      <w:r>
        <w:t>The intergovernmental arrangements ensuring that consideration, at the very least, is given to policies in these areas</w:t>
      </w:r>
      <w:r w:rsidR="003E4974">
        <w:t xml:space="preserve"> -</w:t>
      </w:r>
      <w:r>
        <w:t xml:space="preserve">before they are </w:t>
      </w:r>
      <w:r w:rsidR="003E4974">
        <w:t>implemented,</w:t>
      </w:r>
      <w:r>
        <w:t xml:space="preserve"> and active monitoring is operatin</w:t>
      </w:r>
      <w:r w:rsidR="003E4974">
        <w:t xml:space="preserve">g </w:t>
      </w:r>
      <w:proofErr w:type="gramStart"/>
      <w:r w:rsidR="003E4974">
        <w:t xml:space="preserve">- </w:t>
      </w:r>
      <w:r>
        <w:t xml:space="preserve"> must</w:t>
      </w:r>
      <w:proofErr w:type="gramEnd"/>
      <w:r>
        <w:t xml:space="preserve"> be given priority at the highest level of all Australian governments. Cross-portfolio and </w:t>
      </w:r>
      <w:r w:rsidR="00AD3544">
        <w:t>intergovernmental</w:t>
      </w:r>
      <w:r>
        <w:t xml:space="preserve"> governance arrangements must be strengthened with greater community leadership and engagement and greater transparency. </w:t>
      </w:r>
    </w:p>
    <w:p w14:paraId="5E45F244" w14:textId="5E9274B8" w:rsidR="00AB3340" w:rsidRPr="00AF7228" w:rsidRDefault="00AB3340" w:rsidP="00EB7A13">
      <w:pPr>
        <w:pStyle w:val="BodyText"/>
      </w:pPr>
      <w:r>
        <w:t xml:space="preserve">To continue to not build health and mental health policy into all policy, will simply contribute to the challenges now so evident in the mental health and wellbeing of the Australian community. </w:t>
      </w:r>
    </w:p>
    <w:p w14:paraId="003F503C" w14:textId="0FCA8C2D" w:rsidR="009814AF" w:rsidRPr="00AF7228" w:rsidRDefault="00D71D1B" w:rsidP="00D71D1B">
      <w:pPr>
        <w:pStyle w:val="Heading3"/>
      </w:pPr>
      <w:bookmarkStart w:id="92" w:name="_Toc6238835"/>
      <w:r w:rsidRPr="00AF7228">
        <w:t>Accountability</w:t>
      </w:r>
      <w:bookmarkEnd w:id="92"/>
    </w:p>
    <w:p w14:paraId="7A54ED79" w14:textId="184B3DB5" w:rsidR="00AB3340" w:rsidRDefault="00AB3340" w:rsidP="00D71D1B">
      <w:pPr>
        <w:pStyle w:val="BodyText"/>
      </w:pPr>
      <w:r>
        <w:t>A consistent theme in evaluations and independent reviews of national mental health plans, has been the absence of accountability. This transcends almost every facet of mental health service provision. Too little is known about the impacts and outcomes of services and initiatives. This has to change.</w:t>
      </w:r>
    </w:p>
    <w:p w14:paraId="694F591A" w14:textId="1975C2D4" w:rsidR="00AB3340" w:rsidRDefault="00AB3340" w:rsidP="00D71D1B">
      <w:pPr>
        <w:pStyle w:val="BodyText"/>
      </w:pPr>
      <w:r>
        <w:t>Allied with the lack of accountability is the lack of access to data. De-identified service utilisation and outcomes data must be available to program planners, researchers and most importantly the Australian community to enable informed decisions – from new investments and closing services to making an informed choice of a provider. The technologies are available to make this happen and accessible to all Australians.</w:t>
      </w:r>
    </w:p>
    <w:p w14:paraId="64F450A6" w14:textId="1AF5F89D" w:rsidR="00AB3340" w:rsidRDefault="00D71D1B" w:rsidP="00D71D1B">
      <w:pPr>
        <w:pStyle w:val="BodyText"/>
      </w:pPr>
      <w:r w:rsidRPr="004D7F79">
        <w:t>Governments need to consider how agencies can be held accountable if they fail to implement the changes recommended by auditors</w:t>
      </w:r>
      <w:r w:rsidR="00AB3340">
        <w:t xml:space="preserve"> and statutory authorities</w:t>
      </w:r>
      <w:r w:rsidRPr="004D7F79">
        <w:t xml:space="preserve">. </w:t>
      </w:r>
    </w:p>
    <w:p w14:paraId="3C289305" w14:textId="2335E08D" w:rsidR="00D71D1B" w:rsidRPr="00AF7228" w:rsidRDefault="00D71D1B" w:rsidP="00D71D1B">
      <w:pPr>
        <w:pStyle w:val="BodyText"/>
      </w:pPr>
      <w:r w:rsidRPr="004D7F79">
        <w:t xml:space="preserve">Further, we need to develop formal processes by which the findings of independent audits are reviewed </w:t>
      </w:r>
      <w:r w:rsidR="00AF7228" w:rsidRPr="00AF7228">
        <w:t>systematically,</w:t>
      </w:r>
      <w:r w:rsidRPr="004D7F79">
        <w:t xml:space="preserve"> and the outcomes made available in accessible form to the Australian Health Ministers’ Advisory Council (AHMAC) and/or the Council of Australian Governments (CoAG) and to consumers and carers and those who represent them.  </w:t>
      </w:r>
    </w:p>
    <w:p w14:paraId="44623B49" w14:textId="689444FA" w:rsidR="00C36AC7" w:rsidRPr="00AF7228" w:rsidRDefault="00C36AC7" w:rsidP="00C36AC7">
      <w:pPr>
        <w:pStyle w:val="Heading3"/>
      </w:pPr>
      <w:bookmarkStart w:id="93" w:name="_Toc6238836"/>
      <w:r w:rsidRPr="00AF7228">
        <w:t>Quality Matters</w:t>
      </w:r>
      <w:bookmarkEnd w:id="93"/>
    </w:p>
    <w:p w14:paraId="1B2718F8" w14:textId="5F8111E1" w:rsidR="00C36AC7" w:rsidRDefault="00C36AC7" w:rsidP="00C36AC7">
      <w:pPr>
        <w:pStyle w:val="BodyText"/>
      </w:pPr>
      <w:r w:rsidRPr="00AF7228">
        <w:t>Jorm</w:t>
      </w:r>
      <w:r w:rsidR="00AB3340">
        <w:rPr>
          <w:rStyle w:val="FootnoteReference"/>
        </w:rPr>
        <w:footnoteReference w:id="70"/>
      </w:r>
      <w:r w:rsidRPr="00AF7228">
        <w:t xml:space="preserve"> and other researchers have pointed to the quality of mental health care as being a key factor in why there has not been any improvement in the mental wellbeing of Australians despite increased awareness and literacy and access to care.</w:t>
      </w:r>
      <w:r w:rsidR="00AB3340">
        <w:t xml:space="preserve"> Access has been prioritised over quality of care. </w:t>
      </w:r>
    </w:p>
    <w:p w14:paraId="1BB25C1B" w14:textId="4FF35079" w:rsidR="00AB3340" w:rsidRPr="00AF7228" w:rsidRDefault="00AB3340" w:rsidP="00C36AC7">
      <w:pPr>
        <w:pStyle w:val="BodyText"/>
      </w:pPr>
      <w:r>
        <w:t>The NMHC 2017 review of the ADFs and DVAs suicide and self-harm prevention services</w:t>
      </w:r>
      <w:r>
        <w:rPr>
          <w:rStyle w:val="FootnoteReference"/>
        </w:rPr>
        <w:footnoteReference w:id="71"/>
      </w:r>
      <w:r>
        <w:t xml:space="preserve">, found that Canadian and Dutch serving and former defence force members were able to access high quality, specialist mental health and suicide prevention services. Services were concentrated where defence force members live, work or have moved to and engaged primary and specialist providers who worked solely with former and serving defence force members and their families. </w:t>
      </w:r>
    </w:p>
    <w:p w14:paraId="3043C322" w14:textId="5E78F343" w:rsidR="003376B3" w:rsidRDefault="00AB3340" w:rsidP="00AB3340">
      <w:pPr>
        <w:pStyle w:val="BodyText"/>
      </w:pPr>
      <w:r>
        <w:t xml:space="preserve">Scaling up the initiatives undertaken by WentWest and other leading PHNs in Australia to build quality mental health care, and borrowing and adapting from the best practices elsewhere, must be a priority moving forward. </w:t>
      </w:r>
    </w:p>
    <w:p w14:paraId="61194374" w14:textId="50E68532" w:rsidR="007420D5" w:rsidRDefault="007420D5">
      <w:pPr>
        <w:spacing w:before="0" w:after="0"/>
      </w:pPr>
      <w:r>
        <w:br w:type="page"/>
      </w:r>
    </w:p>
    <w:p w14:paraId="01DDF574" w14:textId="17FA6781" w:rsidR="003376B3" w:rsidRPr="00AF7228" w:rsidRDefault="003376B3" w:rsidP="00D71D1B">
      <w:pPr>
        <w:pStyle w:val="BodyText"/>
      </w:pPr>
      <w:r w:rsidRPr="00AF7228">
        <w:rPr>
          <w:noProof/>
          <w:lang w:eastAsia="en-AU"/>
        </w:rPr>
        <w:lastRenderedPageBreak/>
        <mc:AlternateContent>
          <mc:Choice Requires="wpg">
            <w:drawing>
              <wp:inline distT="0" distB="0" distL="0" distR="0" wp14:anchorId="7C6188C1" wp14:editId="44C86151">
                <wp:extent cx="5769610" cy="6350"/>
                <wp:effectExtent l="0" t="0" r="0" b="0"/>
                <wp:docPr id="24"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9610" cy="6350"/>
                          <a:chOff x="0" y="0"/>
                          <a:chExt cx="9086" cy="10"/>
                        </a:xfrm>
                      </wpg:grpSpPr>
                      <wps:wsp>
                        <wps:cNvPr id="36" name="Line 7"/>
                        <wps:cNvCnPr>
                          <a:cxnSpLocks/>
                        </wps:cNvCnPr>
                        <wps:spPr bwMode="auto">
                          <a:xfrm>
                            <a:off x="0" y="5"/>
                            <a:ext cx="9086" cy="0"/>
                          </a:xfrm>
                          <a:prstGeom prst="line">
                            <a:avLst/>
                          </a:prstGeom>
                          <a:noFill/>
                          <a:ln w="6096">
                            <a:solidFill>
                              <a:srgbClr val="00ADEE"/>
                            </a:solidFill>
                            <a:prstDash val="sysDot"/>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33F39A6" id="Group 6" o:spid="_x0000_s1026" style="width:454.3pt;height:.5pt;mso-position-horizontal-relative:char;mso-position-vertical-relative:line" coordsize="908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ULjcwIAAH0FAAAOAAAAZHJzL2Uyb0RvYy54bWykVF1vmzAUfZ+0/2DxngIJoQkKqapA+tJt&#10;kbr9AMcYsGZsZLsh0bT/vmubpE37UnUvYPt++Nxz7vXq7thxdKBKMynyIL6JAkQFkRUTTR78+rmd&#10;LAKkDRYV5lLQPDhRHdytv35ZDX1Gp7KVvKIKQRKhs6HPg9aYPgtDTVraYX0jeyrAWEvVYQNb1YSV&#10;wgNk73g4jaI0HKSqeiUJ1RpOC28M1i5/XVNiftS1pgbxPABsxn2V++7tN1yvcNYo3LeMjDDwJ1B0&#10;mAm49JKqwAajZ8XepeoYUVLL2twQ2YWyrhmhrgaoJo7eVPOg5HPvammyoekvNAG1b3j6dFry/bBT&#10;iFV5ME0CJHAHGrlrUWq5GfomA5cH1T/1O+ULhOWjJL81mMO3drtvvDPaD99kBenws5GOm2OtOpsC&#10;qkZHJ8HpIgE9GkTgcH6bLtMYlCJgS2fzUSHSgozvgkhbjmHLaJH6GIi1wHDmb3MIR0S2HOgy/UKk&#10;/j8in1rcU6ePtiyNRM4AiSfykQmKbj2PzmMjPInkKK5IfGW0EDVw/UH65r6Dz/S98HBNA856pc0D&#10;lR2yizzgAM2Jgg+P2njGzi5WIyG3jHM4xxkXaAAtomXqArTkrLJGa9Oq2W+4Qgds5yu6L8pypP/K&#10;zWYusG69nz7pQhoPHDpcVO6aluKqHNcGM+7XICQX9iaoEICOKz9af5bRslyUi2SSTNNykkRFMbnf&#10;bpJJuo1v58Ws2GyK+K8FHSdZy6qKCov7POZx8jH1xwfHD+hl0C8EhdfZXe8B2PPfgYYu9Kr6FtzL&#10;6rRTlvSxId3KzbgLG98j+4i83juvl1dz/Q8AAP//AwBQSwMEFAAGAAgAAAAhADA/9GffAAAACAEA&#10;AA8AAABkcnMvZG93bnJldi54bWxMj81qwzAQhO+FvoPYQG+N5JaG1LEcQvpzCoUkhZKbYm1sE2tl&#10;LMV23r7bXtrLwDK7s/Nly9E1oscu1J40JFMFAqnwtqZSw+f+7X4OIkRD1jSeUMMVAyzz25vMpNYP&#10;tMV+F0vBIRRSo6GKsU2lDEWFzoSpb5HYO/nOmchjV0rbmYHDXSMflJpJZ2riD5VpcV1hcd5dnIb3&#10;wQyrx+S135xP6+th//TxtUlQ67vJ+LJgWS1ARBzj3wX8MHB/yLnY0V/IBtFoYJr4q+w9q/kMxJGX&#10;FMg8k/8B8m8AAAD//wMAUEsBAi0AFAAGAAgAAAAhALaDOJL+AAAA4QEAABMAAAAAAAAAAAAAAAAA&#10;AAAAAFtDb250ZW50X1R5cGVzXS54bWxQSwECLQAUAAYACAAAACEAOP0h/9YAAACUAQAACwAAAAAA&#10;AAAAAAAAAAAvAQAAX3JlbHMvLnJlbHNQSwECLQAUAAYACAAAACEAdFFC43MCAAB9BQAADgAAAAAA&#10;AAAAAAAAAAAuAgAAZHJzL2Uyb0RvYy54bWxQSwECLQAUAAYACAAAACEAMD/0Z98AAAAIAQAADwAA&#10;AAAAAAAAAAAAAADNBAAAZHJzL2Rvd25yZXYueG1sUEsFBgAAAAAEAAQA8wAAANkFAAAAAA==&#10;">
                <v:line id="Line 7" o:spid="_x0000_s1027" style="position:absolute;visibility:visible;mso-wrap-style:square" from="0,5" to="90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E0SyAAAAOAAAAAPAAAAZHJzL2Rvd25yZXYueG1sRI/dasJA&#10;FITvC77DcgRvim7aUg3RVTQiLd758wCH7MkPZs/G7CbGt+8WCr0ZGIb5hlltBlOLnlpXWVbwNotA&#10;EGdWV1wouF4O0xiE88gaa8uk4EkONuvRywoTbR98ov7sCxEg7BJUUHrfJFK6rCSDbmYb4pDltjXo&#10;g20LqVt8BLip5XsUzaXBisNCiQ2lJWW3c2cULNJj/tXFOr+n/Wdzje+vu3TXKTUZD/tlkO0ShKfB&#10;/zf+EN9awcccfg+FMyDXPwAAAP//AwBQSwECLQAUAAYACAAAACEA2+H2y+4AAACFAQAAEwAAAAAA&#10;AAAAAAAAAAAAAAAAW0NvbnRlbnRfVHlwZXNdLnhtbFBLAQItABQABgAIAAAAIQBa9CxbvwAAABUB&#10;AAALAAAAAAAAAAAAAAAAAB8BAABfcmVscy8ucmVsc1BLAQItABQABgAIAAAAIQCGZE0SyAAAAOAA&#10;AAAPAAAAAAAAAAAAAAAAAAcCAABkcnMvZG93bnJldi54bWxQSwUGAAAAAAMAAwC3AAAA/AIAAAAA&#10;" strokecolor="#00adee" strokeweight=".48pt">
                  <v:stroke dashstyle="1 1"/>
                  <o:lock v:ext="edit" shapetype="f"/>
                </v:line>
                <w10:anchorlock/>
              </v:group>
            </w:pict>
          </mc:Fallback>
        </mc:AlternateContent>
      </w:r>
    </w:p>
    <w:p w14:paraId="56639956" w14:textId="661B6680" w:rsidR="00506EFD" w:rsidRPr="00AF7228" w:rsidRDefault="00506EFD" w:rsidP="00117D83">
      <w:pPr>
        <w:pStyle w:val="Heading1"/>
      </w:pPr>
      <w:bookmarkStart w:id="94" w:name="_Toc6238837"/>
      <w:r w:rsidRPr="00AF7228">
        <w:t>Appendix</w:t>
      </w:r>
      <w:r w:rsidRPr="00AF7228">
        <w:rPr>
          <w:spacing w:val="-2"/>
        </w:rPr>
        <w:t xml:space="preserve"> </w:t>
      </w:r>
      <w:r w:rsidRPr="00AF7228">
        <w:t>One</w:t>
      </w:r>
      <w:r w:rsidR="00D71D1B" w:rsidRPr="00AF7228">
        <w:t>: The Role of PHNs</w:t>
      </w:r>
      <w:bookmarkEnd w:id="94"/>
    </w:p>
    <w:p w14:paraId="45FE4FE9" w14:textId="77777777" w:rsidR="00506EFD" w:rsidRPr="00AF7228" w:rsidRDefault="00506EFD" w:rsidP="003376B3">
      <w:pPr>
        <w:pStyle w:val="BodyText"/>
        <w:spacing w:line="20" w:lineRule="exact"/>
        <w:rPr>
          <w:sz w:val="2"/>
        </w:rPr>
      </w:pPr>
      <w:r w:rsidRPr="00AF7228">
        <w:rPr>
          <w:noProof/>
          <w:sz w:val="2"/>
          <w:lang w:eastAsia="en-AU"/>
        </w:rPr>
        <mc:AlternateContent>
          <mc:Choice Requires="wpg">
            <w:drawing>
              <wp:inline distT="0" distB="0" distL="0" distR="0" wp14:anchorId="25A3A4CB" wp14:editId="11F5C489">
                <wp:extent cx="5769610" cy="6350"/>
                <wp:effectExtent l="0" t="0" r="0" b="0"/>
                <wp:docPr id="37"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9610" cy="6350"/>
                          <a:chOff x="0" y="0"/>
                          <a:chExt cx="9086" cy="10"/>
                        </a:xfrm>
                      </wpg:grpSpPr>
                      <wps:wsp>
                        <wps:cNvPr id="44" name="Line 5"/>
                        <wps:cNvCnPr>
                          <a:cxnSpLocks/>
                        </wps:cNvCnPr>
                        <wps:spPr bwMode="auto">
                          <a:xfrm>
                            <a:off x="0" y="5"/>
                            <a:ext cx="9086" cy="0"/>
                          </a:xfrm>
                          <a:prstGeom prst="line">
                            <a:avLst/>
                          </a:prstGeom>
                          <a:noFill/>
                          <a:ln w="6096">
                            <a:solidFill>
                              <a:srgbClr val="00ADEE"/>
                            </a:solidFill>
                            <a:prstDash val="sysDot"/>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C983885" id="Group 4" o:spid="_x0000_s1026" style="width:454.3pt;height:.5pt;mso-position-horizontal-relative:char;mso-position-vertical-relative:line" coordsize="908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XSicwIAAH0FAAAOAAAAZHJzL2Uyb0RvYy54bWykVF1v2yAUfZ+0/4D8ntpuHTex6lRV7PSl&#10;2yp1+wEE8IeGAQGNE03777uAkzbtS9W92BfuB+eew+Xmdj9wtGPa9FKUUXqRRIgJImkv2jL69XMz&#10;W0TIWCwo5lKwMjowE92uvn65GVXBLmUnOWUaQRFhilGVUWetKuLYkI4N2FxIxQQ4G6kHbGGp25hq&#10;PEL1gceXSZLHo9RUaUmYMbBbBWe08vWbhhH7o2kMs4iXEWCz/qv9d+u+8eoGF63GquvJBAN/AsWA&#10;ewGHnkpV2GL0rPt3pYaeaGlkYy+IHGLZND1hvgfoJk3edHOv5bPyvbTF2KoTTUDtG54+XZZ83z1q&#10;1NMyurqOkMADaOSPRZnjZlRtASH3Wj2pRx0aBPNBkt8G3PFbv1u3IRhtx2+SQjn8bKXnZt/owZWA&#10;rtHeS3A4ScD2FhHYnF/nyzwFpQj48qv5pBDpQMZ3SaSrp7RlsshDDuQ6YLgIp3mEEyLXDtwy80Kk&#10;+T8inzqsmNfHOJYmIrPsSORDLxiaBx59xFoEEslenJH4yukgGuD6g/T56rg40vfCwzkNuFDa2Hsm&#10;B+SMMuIAzYuCdw/GBsaOIU4jITc957CPCy7QCFoky9wnGMl76pzOZ3S7XXONdtjNV3JX1fVE/1mY&#10;q1xh04U4czCVtC4OF3DDBfVWxzCtJ9vingcbhOTCBUKHAHSywmj9WSbLelEvsll2mdezLKmq2d1m&#10;nc3yTXo9r66q9bpK/zrQaVZ0PaVMONzHMU+zj6k/PThhQE+DfiIoPq/u7x6APf49aLiFQdVwBbeS&#10;Hh61I326kN7yM+7TpvfIPSKv1z7q5dVc/QMAAP//AwBQSwMEFAAGAAgAAAAhADA/9GffAAAACAEA&#10;AA8AAABkcnMvZG93bnJldi54bWxMj81qwzAQhO+FvoPYQG+N5JaG1LEcQvpzCoUkhZKbYm1sE2tl&#10;LMV23r7bXtrLwDK7s/Nly9E1oscu1J40JFMFAqnwtqZSw+f+7X4OIkRD1jSeUMMVAyzz25vMpNYP&#10;tMV+F0vBIRRSo6GKsU2lDEWFzoSpb5HYO/nOmchjV0rbmYHDXSMflJpJZ2riD5VpcV1hcd5dnIb3&#10;wQyrx+S135xP6+th//TxtUlQ67vJ+LJgWS1ARBzj3wX8MHB/yLnY0V/IBtFoYJr4q+w9q/kMxJGX&#10;FMg8k/8B8m8AAAD//wMAUEsBAi0AFAAGAAgAAAAhALaDOJL+AAAA4QEAABMAAAAAAAAAAAAAAAAA&#10;AAAAAFtDb250ZW50X1R5cGVzXS54bWxQSwECLQAUAAYACAAAACEAOP0h/9YAAACUAQAACwAAAAAA&#10;AAAAAAAAAAAvAQAAX3JlbHMvLnJlbHNQSwECLQAUAAYACAAAACEAJbV0onMCAAB9BQAADgAAAAAA&#10;AAAAAAAAAAAuAgAAZHJzL2Uyb0RvYy54bWxQSwECLQAUAAYACAAAACEAMD/0Z98AAAAIAQAADwAA&#10;AAAAAAAAAAAAAADNBAAAZHJzL2Rvd25yZXYueG1sUEsFBgAAAAAEAAQA8wAAANkFAAAAAA==&#10;">
                <v:line id="Line 5" o:spid="_x0000_s1027" style="position:absolute;visibility:visible;mso-wrap-style:square" from="0,5" to="90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WDyAAAAOAAAAAPAAAAZHJzL2Rvd25yZXYueG1sRI/dasJA&#10;FITvBd9hOUJvim4stg3RVTRSKt7V+gCH7MkPZs/G7CbGt+8WBG8GhmG+YVabwdSip9ZVlhXMZxEI&#10;4szqigsF59+vaQzCeWSNtWVScCcHm/V4tMJE2xv/UH/yhQgQdgkqKL1vEildVpJBN7MNcchy2xr0&#10;wbaF1C3eAtzU8i2KPqTBisNCiQ2lJWWXU2cUfKbH/LuLdX5N+/fmHF9fd+muU+plMuyXQbZLEJ4G&#10;/2w8EAetYLGA/0PhDMj1HwAAAP//AwBQSwECLQAUAAYACAAAACEA2+H2y+4AAACFAQAAEwAAAAAA&#10;AAAAAAAAAAAAAAAAW0NvbnRlbnRfVHlwZXNdLnhtbFBLAQItABQABgAIAAAAIQBa9CxbvwAAABUB&#10;AAALAAAAAAAAAAAAAAAAAB8BAABfcmVscy8ucmVsc1BLAQItABQABgAIAAAAIQBB/AWDyAAAAOAA&#10;AAAPAAAAAAAAAAAAAAAAAAcCAABkcnMvZG93bnJldi54bWxQSwUGAAAAAAMAAwC3AAAA/AIAAAAA&#10;" strokecolor="#00adee" strokeweight=".48pt">
                  <v:stroke dashstyle="1 1"/>
                  <o:lock v:ext="edit" shapetype="f"/>
                </v:line>
                <w10:anchorlock/>
              </v:group>
            </w:pict>
          </mc:Fallback>
        </mc:AlternateContent>
      </w:r>
    </w:p>
    <w:p w14:paraId="35CD8189" w14:textId="32146F5F" w:rsidR="00506EFD" w:rsidRPr="00AF7228" w:rsidRDefault="00506EFD" w:rsidP="00647F8A">
      <w:pPr>
        <w:pStyle w:val="BodyText"/>
        <w:spacing w:before="75"/>
        <w:ind w:right="745"/>
      </w:pPr>
      <w:r w:rsidRPr="00AF7228">
        <w:t xml:space="preserve">The </w:t>
      </w:r>
      <w:r w:rsidR="003E4974">
        <w:t>r</w:t>
      </w:r>
      <w:r w:rsidR="003E4974" w:rsidRPr="00AF7228">
        <w:t xml:space="preserve">ole </w:t>
      </w:r>
      <w:r w:rsidRPr="00AF7228">
        <w:t xml:space="preserve">of PHNs has been set out by the Commonwealth Department of Health in various documents since their establishment. </w:t>
      </w:r>
    </w:p>
    <w:p w14:paraId="27EF2822" w14:textId="5501550B" w:rsidR="00506EFD" w:rsidRPr="00AF7228" w:rsidRDefault="00506EFD" w:rsidP="00647F8A">
      <w:pPr>
        <w:pStyle w:val="BodyText"/>
        <w:spacing w:before="75"/>
        <w:ind w:right="745"/>
      </w:pPr>
      <w:r w:rsidRPr="00AF7228">
        <w:t>PHNs were established with two overarching objectives</w:t>
      </w:r>
      <w:r w:rsidR="003E4974">
        <w:t>:</w:t>
      </w:r>
      <w:r w:rsidRPr="00AF7228">
        <w:rPr>
          <w:rStyle w:val="FootnoteReference"/>
        </w:rPr>
        <w:footnoteReference w:id="72"/>
      </w:r>
      <w:r w:rsidRPr="00AF7228">
        <w:t xml:space="preserve"> </w:t>
      </w:r>
    </w:p>
    <w:p w14:paraId="1CE35F25" w14:textId="77777777" w:rsidR="00506EFD" w:rsidRPr="00AF7228" w:rsidRDefault="00506EFD" w:rsidP="00647F8A">
      <w:pPr>
        <w:pStyle w:val="BulletPoint"/>
      </w:pPr>
      <w:r w:rsidRPr="00AF7228">
        <w:t xml:space="preserve">To increase the efficiency and effectiveness of medical services for patients, particularly those at risk of poor health outcomes. </w:t>
      </w:r>
    </w:p>
    <w:p w14:paraId="59C5CA28" w14:textId="77777777" w:rsidR="00506EFD" w:rsidRPr="00AF7228" w:rsidRDefault="00506EFD" w:rsidP="00647F8A">
      <w:pPr>
        <w:pStyle w:val="BulletPoint"/>
      </w:pPr>
      <w:r w:rsidRPr="00AF7228">
        <w:t xml:space="preserve">To improve coordination of care to ensure patients receive the right care, in the right place, at the right time. </w:t>
      </w:r>
    </w:p>
    <w:p w14:paraId="13E957D2" w14:textId="77777777" w:rsidR="00506EFD" w:rsidRPr="00AF7228" w:rsidRDefault="00506EFD" w:rsidP="00647F8A">
      <w:pPr>
        <w:pStyle w:val="BodyText"/>
        <w:spacing w:before="75"/>
        <w:ind w:right="745"/>
      </w:pPr>
      <w:r w:rsidRPr="00AF7228">
        <w:t>The three main roles for PHNs are:</w:t>
      </w:r>
      <w:r w:rsidRPr="00AF7228">
        <w:rPr>
          <w:rStyle w:val="FootnoteReference"/>
        </w:rPr>
        <w:footnoteReference w:id="73"/>
      </w:r>
    </w:p>
    <w:p w14:paraId="79DACD5B" w14:textId="77777777" w:rsidR="00506EFD" w:rsidRPr="00AF7228" w:rsidRDefault="00506EFD" w:rsidP="00286F1D">
      <w:pPr>
        <w:pStyle w:val="BulletPoint"/>
        <w:numPr>
          <w:ilvl w:val="0"/>
          <w:numId w:val="7"/>
        </w:numPr>
      </w:pPr>
      <w:r w:rsidRPr="00AF7228">
        <w:t xml:space="preserve">Commission health services that meet the needs of the people in their regions and fill identified gaps in primary health care. </w:t>
      </w:r>
    </w:p>
    <w:p w14:paraId="5A05137E" w14:textId="77777777" w:rsidR="00506EFD" w:rsidRPr="00AF7228" w:rsidRDefault="00506EFD" w:rsidP="00286F1D">
      <w:pPr>
        <w:pStyle w:val="BulletPoint"/>
        <w:numPr>
          <w:ilvl w:val="0"/>
          <w:numId w:val="7"/>
        </w:numPr>
      </w:pPr>
      <w:r w:rsidRPr="00AF7228">
        <w:t xml:space="preserve">Work closely with general practitioners (GPs) and other professionals to build health workforce capacity and provide the highest quality standard of care through practice support activities. </w:t>
      </w:r>
    </w:p>
    <w:p w14:paraId="0FC9B74C" w14:textId="77777777" w:rsidR="00506EFD" w:rsidRPr="00AF7228" w:rsidRDefault="00506EFD" w:rsidP="00286F1D">
      <w:pPr>
        <w:pStyle w:val="BulletPoint"/>
        <w:numPr>
          <w:ilvl w:val="0"/>
          <w:numId w:val="7"/>
        </w:numPr>
      </w:pPr>
      <w:r w:rsidRPr="00AF7228">
        <w:t xml:space="preserve">Work collaboratively to integrate health services at the local level to create a better experience for patients as they navigate the health system, reduce waste and red tape and eliminate service duplication. </w:t>
      </w:r>
    </w:p>
    <w:p w14:paraId="48898F03" w14:textId="77777777" w:rsidR="00506EFD" w:rsidRPr="00AF7228" w:rsidRDefault="00506EFD" w:rsidP="00647F8A">
      <w:pPr>
        <w:pStyle w:val="BodyText"/>
        <w:spacing w:before="75"/>
        <w:ind w:right="745"/>
      </w:pPr>
      <w:r w:rsidRPr="00AF7228">
        <w:t>The objectives of the PHN mental health funding are to:</w:t>
      </w:r>
      <w:r w:rsidRPr="00AF7228">
        <w:rPr>
          <w:rStyle w:val="FootnoteReference"/>
        </w:rPr>
        <w:footnoteReference w:id="74"/>
      </w:r>
    </w:p>
    <w:p w14:paraId="60404CF7" w14:textId="3E539E2B" w:rsidR="00506EFD" w:rsidRPr="00AF7228" w:rsidRDefault="003E4974" w:rsidP="00647F8A">
      <w:pPr>
        <w:pStyle w:val="BulletPoint2"/>
      </w:pPr>
      <w:r>
        <w:t>I</w:t>
      </w:r>
      <w:r w:rsidR="00506EFD" w:rsidRPr="00AF7228">
        <w:t xml:space="preserve">mprove targeting of psychological interventions to most appropriately support people with or at risk of mild mental illness at the local level through the development and/or commissioning of </w:t>
      </w:r>
      <w:r w:rsidR="00506EFD" w:rsidRPr="00AF7228">
        <w:rPr>
          <w:b/>
        </w:rPr>
        <w:t>low intensity mental health</w:t>
      </w:r>
      <w:r w:rsidR="00506EFD" w:rsidRPr="00AF7228">
        <w:rPr>
          <w:b/>
          <w:spacing w:val="-5"/>
        </w:rPr>
        <w:t xml:space="preserve"> </w:t>
      </w:r>
      <w:r w:rsidR="00506EFD" w:rsidRPr="00AF7228">
        <w:rPr>
          <w:b/>
        </w:rPr>
        <w:t>services</w:t>
      </w:r>
      <w:r>
        <w:t>.</w:t>
      </w:r>
    </w:p>
    <w:p w14:paraId="1DD588A2" w14:textId="5BDA8A2D" w:rsidR="00506EFD" w:rsidRPr="00AF7228" w:rsidRDefault="003E4974" w:rsidP="00647F8A">
      <w:pPr>
        <w:pStyle w:val="BulletPoint2"/>
      </w:pPr>
      <w:r>
        <w:t>S</w:t>
      </w:r>
      <w:r w:rsidR="00506EFD" w:rsidRPr="00AF7228">
        <w:t xml:space="preserve">upport region-specific, cross sectoral approaches to early intervention </w:t>
      </w:r>
      <w:r w:rsidR="00506EFD" w:rsidRPr="00AF7228">
        <w:rPr>
          <w:b/>
        </w:rPr>
        <w:t>for children and young</w:t>
      </w:r>
      <w:r w:rsidR="00506EFD" w:rsidRPr="00AF7228">
        <w:rPr>
          <w:b/>
          <w:spacing w:val="-5"/>
        </w:rPr>
        <w:t xml:space="preserve"> </w:t>
      </w:r>
      <w:r w:rsidR="00506EFD" w:rsidRPr="00AF7228">
        <w:rPr>
          <w:b/>
        </w:rPr>
        <w:t>people</w:t>
      </w:r>
      <w:r w:rsidR="00506EFD" w:rsidRPr="00AF7228">
        <w:rPr>
          <w:b/>
          <w:spacing w:val="-6"/>
        </w:rPr>
        <w:t xml:space="preserve"> </w:t>
      </w:r>
      <w:r w:rsidR="00506EFD" w:rsidRPr="00AF7228">
        <w:t>with,</w:t>
      </w:r>
      <w:r w:rsidR="00506EFD" w:rsidRPr="00AF7228">
        <w:rPr>
          <w:spacing w:val="-8"/>
        </w:rPr>
        <w:t xml:space="preserve"> </w:t>
      </w:r>
      <w:r w:rsidR="00506EFD" w:rsidRPr="00AF7228">
        <w:t>or</w:t>
      </w:r>
      <w:r w:rsidR="00506EFD" w:rsidRPr="00AF7228">
        <w:rPr>
          <w:spacing w:val="-6"/>
        </w:rPr>
        <w:t xml:space="preserve"> </w:t>
      </w:r>
      <w:r w:rsidR="00506EFD" w:rsidRPr="00AF7228">
        <w:t>at</w:t>
      </w:r>
      <w:r w:rsidR="00506EFD" w:rsidRPr="00AF7228">
        <w:rPr>
          <w:spacing w:val="-5"/>
        </w:rPr>
        <w:t xml:space="preserve"> </w:t>
      </w:r>
      <w:r w:rsidR="00506EFD" w:rsidRPr="00AF7228">
        <w:t>risk</w:t>
      </w:r>
      <w:r w:rsidR="00506EFD" w:rsidRPr="00AF7228">
        <w:rPr>
          <w:spacing w:val="-5"/>
        </w:rPr>
        <w:t xml:space="preserve"> </w:t>
      </w:r>
      <w:r w:rsidR="00506EFD" w:rsidRPr="00AF7228">
        <w:t>of</w:t>
      </w:r>
      <w:r w:rsidR="00506EFD" w:rsidRPr="00AF7228">
        <w:rPr>
          <w:spacing w:val="-8"/>
        </w:rPr>
        <w:t xml:space="preserve"> </w:t>
      </w:r>
      <w:r w:rsidR="00506EFD" w:rsidRPr="00AF7228">
        <w:t>mental</w:t>
      </w:r>
      <w:r w:rsidR="00506EFD" w:rsidRPr="00AF7228">
        <w:rPr>
          <w:spacing w:val="-6"/>
        </w:rPr>
        <w:t xml:space="preserve"> </w:t>
      </w:r>
      <w:r w:rsidR="00506EFD" w:rsidRPr="00AF7228">
        <w:t>illness</w:t>
      </w:r>
      <w:r w:rsidR="00506EFD" w:rsidRPr="00AF7228">
        <w:rPr>
          <w:spacing w:val="-5"/>
        </w:rPr>
        <w:t xml:space="preserve"> </w:t>
      </w:r>
      <w:r w:rsidR="00506EFD" w:rsidRPr="00AF7228">
        <w:t>(including</w:t>
      </w:r>
      <w:r w:rsidR="00506EFD" w:rsidRPr="00AF7228">
        <w:rPr>
          <w:spacing w:val="-6"/>
        </w:rPr>
        <w:t xml:space="preserve"> </w:t>
      </w:r>
      <w:r w:rsidR="00506EFD" w:rsidRPr="00AF7228">
        <w:t>those</w:t>
      </w:r>
      <w:r w:rsidR="00506EFD" w:rsidRPr="00AF7228">
        <w:rPr>
          <w:spacing w:val="-7"/>
        </w:rPr>
        <w:t xml:space="preserve"> </w:t>
      </w:r>
      <w:r w:rsidR="00506EFD" w:rsidRPr="00AF7228">
        <w:t>with</w:t>
      </w:r>
      <w:r w:rsidR="00506EFD" w:rsidRPr="00AF7228">
        <w:rPr>
          <w:spacing w:val="-6"/>
        </w:rPr>
        <w:t xml:space="preserve"> </w:t>
      </w:r>
      <w:r w:rsidR="00506EFD" w:rsidRPr="00AF7228">
        <w:t>severe</w:t>
      </w:r>
      <w:r w:rsidR="00506EFD" w:rsidRPr="00AF7228">
        <w:rPr>
          <w:spacing w:val="-7"/>
        </w:rPr>
        <w:t xml:space="preserve"> </w:t>
      </w:r>
      <w:r w:rsidR="00506EFD" w:rsidRPr="00AF7228">
        <w:t>mental</w:t>
      </w:r>
      <w:r w:rsidR="00506EFD" w:rsidRPr="00AF7228">
        <w:rPr>
          <w:spacing w:val="-6"/>
        </w:rPr>
        <w:t xml:space="preserve"> </w:t>
      </w:r>
      <w:r w:rsidR="00506EFD" w:rsidRPr="00AF7228">
        <w:t>illness</w:t>
      </w:r>
      <w:r w:rsidR="00506EFD" w:rsidRPr="00AF7228">
        <w:rPr>
          <w:spacing w:val="-5"/>
        </w:rPr>
        <w:t xml:space="preserve"> </w:t>
      </w:r>
      <w:r w:rsidR="00506EFD" w:rsidRPr="00AF7228">
        <w:t>who are being managed in primary care) and implementation of an equitable and integrated approach to primary mental health services for this population</w:t>
      </w:r>
      <w:r w:rsidR="00506EFD" w:rsidRPr="00AF7228">
        <w:rPr>
          <w:spacing w:val="-7"/>
        </w:rPr>
        <w:t xml:space="preserve"> </w:t>
      </w:r>
      <w:r w:rsidR="00506EFD" w:rsidRPr="00AF7228">
        <w:t>group</w:t>
      </w:r>
      <w:r>
        <w:t>.</w:t>
      </w:r>
    </w:p>
    <w:p w14:paraId="23E76DB8" w14:textId="475A082D" w:rsidR="00506EFD" w:rsidRPr="00AF7228" w:rsidRDefault="003E4974" w:rsidP="00647F8A">
      <w:pPr>
        <w:pStyle w:val="BulletPoint2"/>
      </w:pPr>
      <w:r>
        <w:t>A</w:t>
      </w:r>
      <w:r w:rsidR="00506EFD" w:rsidRPr="00AF7228">
        <w:t>ddress</w:t>
      </w:r>
      <w:r w:rsidR="00506EFD" w:rsidRPr="00AF7228">
        <w:rPr>
          <w:spacing w:val="-11"/>
        </w:rPr>
        <w:t xml:space="preserve"> </w:t>
      </w:r>
      <w:r w:rsidR="00506EFD" w:rsidRPr="00AF7228">
        <w:t>service</w:t>
      </w:r>
      <w:r w:rsidR="00506EFD" w:rsidRPr="00AF7228">
        <w:rPr>
          <w:spacing w:val="-10"/>
        </w:rPr>
        <w:t xml:space="preserve"> </w:t>
      </w:r>
      <w:r w:rsidR="00506EFD" w:rsidRPr="00AF7228">
        <w:t>gaps</w:t>
      </w:r>
      <w:r w:rsidR="00506EFD" w:rsidRPr="00AF7228">
        <w:rPr>
          <w:spacing w:val="-10"/>
        </w:rPr>
        <w:t xml:space="preserve"> </w:t>
      </w:r>
      <w:r w:rsidR="00506EFD" w:rsidRPr="00AF7228">
        <w:t>in</w:t>
      </w:r>
      <w:r w:rsidR="00506EFD" w:rsidRPr="00AF7228">
        <w:rPr>
          <w:spacing w:val="-11"/>
        </w:rPr>
        <w:t xml:space="preserve"> </w:t>
      </w:r>
      <w:r w:rsidR="00506EFD" w:rsidRPr="00AF7228">
        <w:t>the</w:t>
      </w:r>
      <w:r w:rsidR="00506EFD" w:rsidRPr="00AF7228">
        <w:rPr>
          <w:spacing w:val="-12"/>
        </w:rPr>
        <w:t xml:space="preserve"> </w:t>
      </w:r>
      <w:r w:rsidR="00506EFD" w:rsidRPr="00AF7228">
        <w:t>provision</w:t>
      </w:r>
      <w:r w:rsidR="00506EFD" w:rsidRPr="00AF7228">
        <w:rPr>
          <w:spacing w:val="-14"/>
        </w:rPr>
        <w:t xml:space="preserve"> </w:t>
      </w:r>
      <w:r w:rsidR="00506EFD" w:rsidRPr="00AF7228">
        <w:t>of</w:t>
      </w:r>
      <w:r w:rsidR="00506EFD" w:rsidRPr="00AF7228">
        <w:rPr>
          <w:spacing w:val="-11"/>
        </w:rPr>
        <w:t xml:space="preserve"> </w:t>
      </w:r>
      <w:r w:rsidR="00506EFD" w:rsidRPr="00AF7228">
        <w:t>psychological</w:t>
      </w:r>
      <w:r w:rsidR="00506EFD" w:rsidRPr="00AF7228">
        <w:rPr>
          <w:spacing w:val="-14"/>
        </w:rPr>
        <w:t xml:space="preserve"> </w:t>
      </w:r>
      <w:r w:rsidR="00506EFD" w:rsidRPr="00AF7228">
        <w:t>therapies</w:t>
      </w:r>
      <w:r w:rsidR="00506EFD" w:rsidRPr="00AF7228">
        <w:rPr>
          <w:spacing w:val="-10"/>
        </w:rPr>
        <w:t xml:space="preserve"> </w:t>
      </w:r>
      <w:r w:rsidR="00506EFD" w:rsidRPr="00AF7228">
        <w:t>for</w:t>
      </w:r>
      <w:r w:rsidR="00506EFD" w:rsidRPr="00AF7228">
        <w:rPr>
          <w:spacing w:val="-10"/>
        </w:rPr>
        <w:t xml:space="preserve"> </w:t>
      </w:r>
      <w:r w:rsidR="00506EFD" w:rsidRPr="00AF7228">
        <w:t>people</w:t>
      </w:r>
      <w:r w:rsidR="00506EFD" w:rsidRPr="00AF7228">
        <w:rPr>
          <w:spacing w:val="-12"/>
        </w:rPr>
        <w:t xml:space="preserve"> </w:t>
      </w:r>
      <w:r w:rsidR="00506EFD" w:rsidRPr="00AF7228">
        <w:rPr>
          <w:b/>
        </w:rPr>
        <w:t>in</w:t>
      </w:r>
      <w:r w:rsidR="00506EFD" w:rsidRPr="00AF7228">
        <w:rPr>
          <w:b/>
          <w:spacing w:val="-11"/>
        </w:rPr>
        <w:t xml:space="preserve"> </w:t>
      </w:r>
      <w:r w:rsidR="00506EFD" w:rsidRPr="00AF7228">
        <w:rPr>
          <w:b/>
        </w:rPr>
        <w:t>rural</w:t>
      </w:r>
      <w:r w:rsidR="00506EFD" w:rsidRPr="00AF7228">
        <w:rPr>
          <w:b/>
          <w:spacing w:val="-12"/>
        </w:rPr>
        <w:t xml:space="preserve"> </w:t>
      </w:r>
      <w:r w:rsidR="00506EFD" w:rsidRPr="00AF7228">
        <w:rPr>
          <w:b/>
        </w:rPr>
        <w:t>and</w:t>
      </w:r>
      <w:r w:rsidR="00506EFD" w:rsidRPr="00AF7228">
        <w:rPr>
          <w:b/>
          <w:spacing w:val="-11"/>
        </w:rPr>
        <w:t xml:space="preserve"> </w:t>
      </w:r>
      <w:r w:rsidR="00506EFD" w:rsidRPr="00AF7228">
        <w:rPr>
          <w:b/>
        </w:rPr>
        <w:t>remote areas</w:t>
      </w:r>
      <w:r w:rsidR="00506EFD" w:rsidRPr="00AF7228">
        <w:rPr>
          <w:b/>
          <w:spacing w:val="-8"/>
        </w:rPr>
        <w:t xml:space="preserve"> </w:t>
      </w:r>
      <w:r w:rsidR="00506EFD" w:rsidRPr="00AF7228">
        <w:rPr>
          <w:b/>
        </w:rPr>
        <w:t>and</w:t>
      </w:r>
      <w:r w:rsidR="00506EFD" w:rsidRPr="00AF7228">
        <w:rPr>
          <w:b/>
          <w:spacing w:val="-9"/>
        </w:rPr>
        <w:t xml:space="preserve"> </w:t>
      </w:r>
      <w:r w:rsidR="00506EFD" w:rsidRPr="00AF7228">
        <w:rPr>
          <w:b/>
        </w:rPr>
        <w:t>other</w:t>
      </w:r>
      <w:r w:rsidR="00506EFD" w:rsidRPr="00AF7228">
        <w:rPr>
          <w:b/>
          <w:spacing w:val="-7"/>
        </w:rPr>
        <w:t xml:space="preserve"> </w:t>
      </w:r>
      <w:r w:rsidR="00506EFD" w:rsidRPr="00AF7228">
        <w:rPr>
          <w:b/>
        </w:rPr>
        <w:t>under-serviced</w:t>
      </w:r>
      <w:r w:rsidR="00506EFD" w:rsidRPr="00AF7228">
        <w:rPr>
          <w:b/>
          <w:spacing w:val="-10"/>
        </w:rPr>
        <w:t xml:space="preserve"> </w:t>
      </w:r>
      <w:r w:rsidR="00506EFD" w:rsidRPr="00AF7228">
        <w:rPr>
          <w:b/>
        </w:rPr>
        <w:t>and/or</w:t>
      </w:r>
      <w:r w:rsidR="00506EFD" w:rsidRPr="00AF7228">
        <w:rPr>
          <w:b/>
          <w:spacing w:val="-7"/>
        </w:rPr>
        <w:t xml:space="preserve"> </w:t>
      </w:r>
      <w:r w:rsidR="00506EFD" w:rsidRPr="00AF7228">
        <w:rPr>
          <w:b/>
        </w:rPr>
        <w:t>hard</w:t>
      </w:r>
      <w:r w:rsidR="00506EFD" w:rsidRPr="00AF7228">
        <w:rPr>
          <w:b/>
          <w:spacing w:val="-9"/>
        </w:rPr>
        <w:t xml:space="preserve"> </w:t>
      </w:r>
      <w:r w:rsidR="00506EFD" w:rsidRPr="00AF7228">
        <w:rPr>
          <w:b/>
        </w:rPr>
        <w:t>to</w:t>
      </w:r>
      <w:r w:rsidR="00506EFD" w:rsidRPr="00AF7228">
        <w:rPr>
          <w:b/>
          <w:spacing w:val="-9"/>
        </w:rPr>
        <w:t xml:space="preserve"> </w:t>
      </w:r>
      <w:r w:rsidR="00506EFD" w:rsidRPr="00AF7228">
        <w:rPr>
          <w:b/>
        </w:rPr>
        <w:t>reach</w:t>
      </w:r>
      <w:r w:rsidR="00506EFD" w:rsidRPr="00AF7228">
        <w:rPr>
          <w:b/>
          <w:spacing w:val="-10"/>
        </w:rPr>
        <w:t xml:space="preserve"> </w:t>
      </w:r>
      <w:r w:rsidR="00506EFD" w:rsidRPr="00AF7228">
        <w:rPr>
          <w:b/>
        </w:rPr>
        <w:t>populations</w:t>
      </w:r>
      <w:r w:rsidR="00506EFD" w:rsidRPr="00AF7228">
        <w:t>,</w:t>
      </w:r>
      <w:r w:rsidR="00506EFD" w:rsidRPr="00AF7228">
        <w:rPr>
          <w:spacing w:val="-8"/>
        </w:rPr>
        <w:t xml:space="preserve"> </w:t>
      </w:r>
      <w:r w:rsidR="00506EFD" w:rsidRPr="00AF7228">
        <w:t>making</w:t>
      </w:r>
      <w:r w:rsidR="00506EFD" w:rsidRPr="00AF7228">
        <w:rPr>
          <w:spacing w:val="-9"/>
        </w:rPr>
        <w:t xml:space="preserve"> </w:t>
      </w:r>
      <w:r w:rsidR="00506EFD" w:rsidRPr="00AF7228">
        <w:t>optimal</w:t>
      </w:r>
      <w:r w:rsidR="00506EFD" w:rsidRPr="00AF7228">
        <w:rPr>
          <w:spacing w:val="-10"/>
        </w:rPr>
        <w:t xml:space="preserve"> </w:t>
      </w:r>
      <w:r w:rsidR="00506EFD" w:rsidRPr="00AF7228">
        <w:t>use</w:t>
      </w:r>
      <w:r w:rsidR="00506EFD" w:rsidRPr="00AF7228">
        <w:rPr>
          <w:spacing w:val="-10"/>
        </w:rPr>
        <w:t xml:space="preserve"> </w:t>
      </w:r>
      <w:r w:rsidR="00506EFD" w:rsidRPr="00AF7228">
        <w:t>of</w:t>
      </w:r>
      <w:r w:rsidR="00506EFD" w:rsidRPr="00AF7228">
        <w:rPr>
          <w:spacing w:val="-8"/>
        </w:rPr>
        <w:t xml:space="preserve"> </w:t>
      </w:r>
      <w:r w:rsidR="00506EFD" w:rsidRPr="00AF7228">
        <w:t>the available service infrastructure and</w:t>
      </w:r>
      <w:r w:rsidR="00506EFD" w:rsidRPr="00AF7228">
        <w:rPr>
          <w:spacing w:val="-1"/>
        </w:rPr>
        <w:t xml:space="preserve"> </w:t>
      </w:r>
      <w:r w:rsidR="00506EFD" w:rsidRPr="00AF7228">
        <w:t>workforce</w:t>
      </w:r>
      <w:r>
        <w:t>.</w:t>
      </w:r>
    </w:p>
    <w:p w14:paraId="0068EE89" w14:textId="50C4B2D0" w:rsidR="00506EFD" w:rsidRPr="00AF7228" w:rsidRDefault="003E4974" w:rsidP="00647F8A">
      <w:pPr>
        <w:pStyle w:val="BulletPoint2"/>
      </w:pPr>
      <w:r>
        <w:t>C</w:t>
      </w:r>
      <w:r w:rsidR="00506EFD" w:rsidRPr="00AF7228">
        <w:t xml:space="preserve">ommission primary mental health care services for people with severe mental illness being managed in primary care, including clinical care coordination for people with </w:t>
      </w:r>
      <w:r w:rsidR="00506EFD" w:rsidRPr="00AF7228">
        <w:rPr>
          <w:b/>
        </w:rPr>
        <w:t>severe and complex</w:t>
      </w:r>
      <w:r w:rsidR="00506EFD" w:rsidRPr="00AF7228">
        <w:rPr>
          <w:b/>
          <w:spacing w:val="-7"/>
        </w:rPr>
        <w:t xml:space="preserve"> </w:t>
      </w:r>
      <w:r w:rsidR="00506EFD" w:rsidRPr="00AF7228">
        <w:rPr>
          <w:b/>
        </w:rPr>
        <w:t>mental</w:t>
      </w:r>
      <w:r w:rsidR="00506EFD" w:rsidRPr="00AF7228">
        <w:rPr>
          <w:b/>
          <w:spacing w:val="-7"/>
        </w:rPr>
        <w:t xml:space="preserve"> </w:t>
      </w:r>
      <w:r w:rsidR="00506EFD" w:rsidRPr="00AF7228">
        <w:rPr>
          <w:b/>
        </w:rPr>
        <w:t>illness</w:t>
      </w:r>
      <w:r w:rsidR="00506EFD" w:rsidRPr="00AF7228">
        <w:rPr>
          <w:b/>
          <w:spacing w:val="-6"/>
        </w:rPr>
        <w:t xml:space="preserve"> </w:t>
      </w:r>
      <w:r w:rsidR="00506EFD" w:rsidRPr="00AF7228">
        <w:t>who</w:t>
      </w:r>
      <w:r w:rsidR="00506EFD" w:rsidRPr="00AF7228">
        <w:rPr>
          <w:spacing w:val="-4"/>
        </w:rPr>
        <w:t xml:space="preserve"> </w:t>
      </w:r>
      <w:r w:rsidR="00506EFD" w:rsidRPr="00AF7228">
        <w:t>are</w:t>
      </w:r>
      <w:r w:rsidR="00506EFD" w:rsidRPr="00AF7228">
        <w:rPr>
          <w:spacing w:val="-5"/>
        </w:rPr>
        <w:t xml:space="preserve"> </w:t>
      </w:r>
      <w:r w:rsidR="00506EFD" w:rsidRPr="00AF7228">
        <w:t>being</w:t>
      </w:r>
      <w:r w:rsidR="00506EFD" w:rsidRPr="00AF7228">
        <w:rPr>
          <w:spacing w:val="-6"/>
        </w:rPr>
        <w:t xml:space="preserve"> </w:t>
      </w:r>
      <w:r w:rsidR="00506EFD" w:rsidRPr="00AF7228">
        <w:t>managed</w:t>
      </w:r>
      <w:r w:rsidR="00506EFD" w:rsidRPr="00AF7228">
        <w:rPr>
          <w:spacing w:val="-6"/>
        </w:rPr>
        <w:t xml:space="preserve"> </w:t>
      </w:r>
      <w:r w:rsidR="00506EFD" w:rsidRPr="00AF7228">
        <w:t>in</w:t>
      </w:r>
      <w:r w:rsidR="00506EFD" w:rsidRPr="00AF7228">
        <w:rPr>
          <w:spacing w:val="-7"/>
        </w:rPr>
        <w:t xml:space="preserve"> </w:t>
      </w:r>
      <w:r w:rsidR="00506EFD" w:rsidRPr="00AF7228">
        <w:t>primary</w:t>
      </w:r>
      <w:r w:rsidR="00506EFD" w:rsidRPr="00AF7228">
        <w:rPr>
          <w:spacing w:val="-8"/>
        </w:rPr>
        <w:t xml:space="preserve"> </w:t>
      </w:r>
      <w:r w:rsidR="00506EFD" w:rsidRPr="00AF7228">
        <w:t>care</w:t>
      </w:r>
      <w:r w:rsidR="00506EFD" w:rsidRPr="00AF7228">
        <w:rPr>
          <w:spacing w:val="-4"/>
        </w:rPr>
        <w:t xml:space="preserve"> </w:t>
      </w:r>
      <w:r w:rsidR="00506EFD" w:rsidRPr="00AF7228">
        <w:t>including</w:t>
      </w:r>
      <w:r w:rsidR="00506EFD" w:rsidRPr="00AF7228">
        <w:rPr>
          <w:spacing w:val="-6"/>
        </w:rPr>
        <w:t xml:space="preserve"> </w:t>
      </w:r>
      <w:r w:rsidR="00506EFD" w:rsidRPr="00AF7228">
        <w:t>through</w:t>
      </w:r>
      <w:r w:rsidR="00506EFD" w:rsidRPr="00AF7228">
        <w:rPr>
          <w:spacing w:val="-6"/>
        </w:rPr>
        <w:t xml:space="preserve"> </w:t>
      </w:r>
      <w:r w:rsidR="00506EFD" w:rsidRPr="00AF7228">
        <w:t>the</w:t>
      </w:r>
      <w:r w:rsidR="00506EFD" w:rsidRPr="00AF7228">
        <w:rPr>
          <w:spacing w:val="-6"/>
        </w:rPr>
        <w:t xml:space="preserve"> </w:t>
      </w:r>
      <w:r w:rsidR="00506EFD" w:rsidRPr="00AF7228">
        <w:t>phased implementation</w:t>
      </w:r>
      <w:r w:rsidR="00506EFD" w:rsidRPr="00AF7228">
        <w:rPr>
          <w:spacing w:val="-6"/>
        </w:rPr>
        <w:t xml:space="preserve"> </w:t>
      </w:r>
      <w:r w:rsidR="00506EFD" w:rsidRPr="00AF7228">
        <w:t>of</w:t>
      </w:r>
      <w:r w:rsidR="00506EFD" w:rsidRPr="00AF7228">
        <w:rPr>
          <w:spacing w:val="-6"/>
        </w:rPr>
        <w:t xml:space="preserve"> </w:t>
      </w:r>
      <w:r w:rsidR="00506EFD" w:rsidRPr="00AF7228">
        <w:t>primary</w:t>
      </w:r>
      <w:r w:rsidR="00506EFD" w:rsidRPr="00AF7228">
        <w:rPr>
          <w:spacing w:val="-4"/>
        </w:rPr>
        <w:t xml:space="preserve"> </w:t>
      </w:r>
      <w:r w:rsidR="00506EFD" w:rsidRPr="00AF7228">
        <w:t>mental</w:t>
      </w:r>
      <w:r w:rsidR="00506EFD" w:rsidRPr="00AF7228">
        <w:rPr>
          <w:spacing w:val="-6"/>
        </w:rPr>
        <w:t xml:space="preserve"> </w:t>
      </w:r>
      <w:r w:rsidR="00506EFD" w:rsidRPr="00AF7228">
        <w:t>health</w:t>
      </w:r>
      <w:r w:rsidR="00506EFD" w:rsidRPr="00AF7228">
        <w:rPr>
          <w:spacing w:val="-5"/>
        </w:rPr>
        <w:t xml:space="preserve"> </w:t>
      </w:r>
      <w:r w:rsidR="00506EFD" w:rsidRPr="00AF7228">
        <w:t>care</w:t>
      </w:r>
      <w:r w:rsidR="00506EFD" w:rsidRPr="00AF7228">
        <w:rPr>
          <w:spacing w:val="-5"/>
        </w:rPr>
        <w:t xml:space="preserve"> </w:t>
      </w:r>
      <w:r w:rsidR="00506EFD" w:rsidRPr="00AF7228">
        <w:t>packages</w:t>
      </w:r>
      <w:r w:rsidR="00506EFD" w:rsidRPr="00AF7228">
        <w:rPr>
          <w:spacing w:val="-2"/>
        </w:rPr>
        <w:t xml:space="preserve"> </w:t>
      </w:r>
      <w:r w:rsidR="00506EFD" w:rsidRPr="00AF7228">
        <w:t>and</w:t>
      </w:r>
      <w:r w:rsidR="00506EFD" w:rsidRPr="00AF7228">
        <w:rPr>
          <w:spacing w:val="-5"/>
        </w:rPr>
        <w:t xml:space="preserve"> </w:t>
      </w:r>
      <w:r w:rsidR="00506EFD" w:rsidRPr="00AF7228">
        <w:t>the</w:t>
      </w:r>
      <w:r w:rsidR="00506EFD" w:rsidRPr="00AF7228">
        <w:rPr>
          <w:spacing w:val="-6"/>
        </w:rPr>
        <w:t xml:space="preserve"> </w:t>
      </w:r>
      <w:r w:rsidR="00506EFD" w:rsidRPr="00AF7228">
        <w:t>use</w:t>
      </w:r>
      <w:r w:rsidR="00506EFD" w:rsidRPr="00AF7228">
        <w:rPr>
          <w:spacing w:val="-4"/>
        </w:rPr>
        <w:t xml:space="preserve"> </w:t>
      </w:r>
      <w:r w:rsidR="00506EFD" w:rsidRPr="00AF7228">
        <w:t>of</w:t>
      </w:r>
      <w:r w:rsidR="00506EFD" w:rsidRPr="00AF7228">
        <w:rPr>
          <w:spacing w:val="-8"/>
        </w:rPr>
        <w:t xml:space="preserve"> </w:t>
      </w:r>
      <w:r w:rsidR="00506EFD" w:rsidRPr="00AF7228">
        <w:t>mental</w:t>
      </w:r>
      <w:r w:rsidR="00506EFD" w:rsidRPr="00AF7228">
        <w:rPr>
          <w:spacing w:val="-3"/>
        </w:rPr>
        <w:t xml:space="preserve"> </w:t>
      </w:r>
      <w:r w:rsidR="00506EFD" w:rsidRPr="00AF7228">
        <w:t>health</w:t>
      </w:r>
      <w:r w:rsidR="00506EFD" w:rsidRPr="00AF7228">
        <w:rPr>
          <w:spacing w:val="-3"/>
        </w:rPr>
        <w:t xml:space="preserve"> </w:t>
      </w:r>
      <w:r w:rsidR="00506EFD" w:rsidRPr="00AF7228">
        <w:t>nurses</w:t>
      </w:r>
      <w:r>
        <w:t>.</w:t>
      </w:r>
    </w:p>
    <w:p w14:paraId="5493A435" w14:textId="250CC0C9" w:rsidR="00506EFD" w:rsidRPr="00AF7228" w:rsidRDefault="003E4974" w:rsidP="00647F8A">
      <w:pPr>
        <w:pStyle w:val="BulletPoint2"/>
      </w:pPr>
      <w:r>
        <w:t>E</w:t>
      </w:r>
      <w:r w:rsidR="00506EFD" w:rsidRPr="00AF7228">
        <w:t xml:space="preserve">ncourage and promote a systems based regional approach to </w:t>
      </w:r>
      <w:r w:rsidR="00506EFD" w:rsidRPr="00AF7228">
        <w:rPr>
          <w:b/>
        </w:rPr>
        <w:t xml:space="preserve">suicide prevention </w:t>
      </w:r>
      <w:r w:rsidR="00506EFD" w:rsidRPr="00AF7228">
        <w:t>including community based activities and liaising with Local Hospital Networks (LHNs) and other providers to help ensure appropriate follow-up and support arrangements</w:t>
      </w:r>
      <w:r w:rsidR="00506EFD" w:rsidRPr="00AF7228">
        <w:rPr>
          <w:spacing w:val="-9"/>
        </w:rPr>
        <w:t xml:space="preserve"> </w:t>
      </w:r>
      <w:r w:rsidR="00506EFD" w:rsidRPr="00AF7228">
        <w:t>are</w:t>
      </w:r>
    </w:p>
    <w:p w14:paraId="3F0F6610" w14:textId="1AF24662" w:rsidR="00506EFD" w:rsidRPr="00AF7228" w:rsidRDefault="006738F3" w:rsidP="00647F8A">
      <w:pPr>
        <w:pStyle w:val="BulletPoint2"/>
      </w:pPr>
      <w:r>
        <w:lastRenderedPageBreak/>
        <w:t>I</w:t>
      </w:r>
      <w:r w:rsidR="00506EFD" w:rsidRPr="00AF7228">
        <w:t>n place at a regional level for individuals after a suicide attempt and for other people at high risk of suicide, including Aboriginal and Torres Strait Islander people</w:t>
      </w:r>
      <w:r>
        <w:t>.</w:t>
      </w:r>
    </w:p>
    <w:p w14:paraId="4CCB4FC0" w14:textId="5B82CFBA" w:rsidR="00506EFD" w:rsidRPr="00AF7228" w:rsidRDefault="006738F3" w:rsidP="00647F8A">
      <w:pPr>
        <w:pStyle w:val="BulletPoint2"/>
      </w:pPr>
      <w:r>
        <w:t>E</w:t>
      </w:r>
      <w:r w:rsidRPr="00AF7228">
        <w:t xml:space="preserve">nhance </w:t>
      </w:r>
      <w:r w:rsidR="00506EFD" w:rsidRPr="00AF7228">
        <w:t xml:space="preserve">access to and better integrate </w:t>
      </w:r>
      <w:r w:rsidR="00506EFD" w:rsidRPr="00AF7228">
        <w:rPr>
          <w:b/>
        </w:rPr>
        <w:t xml:space="preserve">Aboriginal </w:t>
      </w:r>
      <w:r w:rsidR="00506EFD" w:rsidRPr="00AF7228">
        <w:rPr>
          <w:b/>
          <w:spacing w:val="-2"/>
        </w:rPr>
        <w:t xml:space="preserve">and </w:t>
      </w:r>
      <w:r w:rsidR="00506EFD" w:rsidRPr="00AF7228">
        <w:rPr>
          <w:b/>
        </w:rPr>
        <w:t xml:space="preserve">Torres Strait Islander mental health </w:t>
      </w:r>
      <w:r w:rsidR="00506EFD" w:rsidRPr="00AF7228">
        <w:t>services</w:t>
      </w:r>
      <w:r w:rsidR="00506EFD" w:rsidRPr="00AF7228">
        <w:rPr>
          <w:spacing w:val="-6"/>
        </w:rPr>
        <w:t xml:space="preserve"> </w:t>
      </w:r>
      <w:r w:rsidR="00506EFD" w:rsidRPr="00AF7228">
        <w:t>at</w:t>
      </w:r>
      <w:r w:rsidR="00506EFD" w:rsidRPr="00AF7228">
        <w:rPr>
          <w:spacing w:val="-5"/>
        </w:rPr>
        <w:t xml:space="preserve"> </w:t>
      </w:r>
      <w:r w:rsidR="00506EFD" w:rsidRPr="00AF7228">
        <w:t>a</w:t>
      </w:r>
      <w:r w:rsidR="00506EFD" w:rsidRPr="00AF7228">
        <w:rPr>
          <w:spacing w:val="-3"/>
        </w:rPr>
        <w:t xml:space="preserve"> </w:t>
      </w:r>
      <w:r w:rsidR="00506EFD" w:rsidRPr="00AF7228">
        <w:t>local</w:t>
      </w:r>
      <w:r w:rsidR="00506EFD" w:rsidRPr="00AF7228">
        <w:rPr>
          <w:spacing w:val="-6"/>
        </w:rPr>
        <w:t xml:space="preserve"> </w:t>
      </w:r>
      <w:r w:rsidR="00506EFD" w:rsidRPr="00AF7228">
        <w:t>level</w:t>
      </w:r>
      <w:r w:rsidR="00506EFD" w:rsidRPr="00AF7228">
        <w:rPr>
          <w:spacing w:val="-6"/>
        </w:rPr>
        <w:t xml:space="preserve"> </w:t>
      </w:r>
      <w:r w:rsidR="00506EFD" w:rsidRPr="00AF7228">
        <w:t>facilitating</w:t>
      </w:r>
      <w:r w:rsidR="00506EFD" w:rsidRPr="00AF7228">
        <w:rPr>
          <w:spacing w:val="-4"/>
        </w:rPr>
        <w:t xml:space="preserve"> </w:t>
      </w:r>
      <w:r w:rsidR="00506EFD" w:rsidRPr="00AF7228">
        <w:t>a</w:t>
      </w:r>
      <w:r w:rsidR="00506EFD" w:rsidRPr="00AF7228">
        <w:rPr>
          <w:spacing w:val="-6"/>
        </w:rPr>
        <w:t xml:space="preserve"> </w:t>
      </w:r>
      <w:r w:rsidR="00506EFD" w:rsidRPr="00AF7228">
        <w:t>joined</w:t>
      </w:r>
      <w:r w:rsidR="00506EFD" w:rsidRPr="00AF7228">
        <w:rPr>
          <w:spacing w:val="-6"/>
        </w:rPr>
        <w:t xml:space="preserve"> </w:t>
      </w:r>
      <w:r w:rsidR="00506EFD" w:rsidRPr="00AF7228">
        <w:t>up</w:t>
      </w:r>
      <w:r w:rsidR="00506EFD" w:rsidRPr="00AF7228">
        <w:rPr>
          <w:spacing w:val="-4"/>
        </w:rPr>
        <w:t xml:space="preserve"> </w:t>
      </w:r>
      <w:r w:rsidR="00506EFD" w:rsidRPr="00AF7228">
        <w:t>approach</w:t>
      </w:r>
      <w:r w:rsidR="00506EFD" w:rsidRPr="00AF7228">
        <w:rPr>
          <w:spacing w:val="-4"/>
        </w:rPr>
        <w:t xml:space="preserve"> </w:t>
      </w:r>
      <w:r w:rsidR="00506EFD" w:rsidRPr="00AF7228">
        <w:t>with</w:t>
      </w:r>
      <w:r w:rsidR="00506EFD" w:rsidRPr="00AF7228">
        <w:rPr>
          <w:spacing w:val="-6"/>
        </w:rPr>
        <w:t xml:space="preserve"> </w:t>
      </w:r>
      <w:r w:rsidR="00506EFD" w:rsidRPr="00AF7228">
        <w:t>other</w:t>
      </w:r>
      <w:r w:rsidR="00506EFD" w:rsidRPr="00AF7228">
        <w:rPr>
          <w:spacing w:val="-6"/>
        </w:rPr>
        <w:t xml:space="preserve"> </w:t>
      </w:r>
      <w:r w:rsidR="00506EFD" w:rsidRPr="00AF7228">
        <w:t>closely</w:t>
      </w:r>
      <w:r w:rsidR="00506EFD" w:rsidRPr="00AF7228">
        <w:rPr>
          <w:spacing w:val="-5"/>
        </w:rPr>
        <w:t xml:space="preserve"> </w:t>
      </w:r>
      <w:r w:rsidR="00506EFD" w:rsidRPr="00AF7228">
        <w:t>connected</w:t>
      </w:r>
      <w:r w:rsidR="00506EFD" w:rsidRPr="00AF7228">
        <w:rPr>
          <w:spacing w:val="-4"/>
        </w:rPr>
        <w:t xml:space="preserve"> </w:t>
      </w:r>
      <w:r w:rsidR="00506EFD" w:rsidRPr="00AF7228">
        <w:t>services including social and emotional wellbeing, suicide prevention and alcohol and other drug services.</w:t>
      </w:r>
      <w:r w:rsidR="00506EFD" w:rsidRPr="00AF7228">
        <w:br/>
      </w:r>
    </w:p>
    <w:p w14:paraId="2EBF4DB8" w14:textId="44680044" w:rsidR="00506EFD" w:rsidRPr="00AF7228" w:rsidRDefault="006738F3" w:rsidP="00647F8A">
      <w:pPr>
        <w:pStyle w:val="BodyText"/>
      </w:pPr>
      <w:r>
        <w:t>These objectives</w:t>
      </w:r>
      <w:r w:rsidR="00506EFD" w:rsidRPr="00AF7228">
        <w:t xml:space="preserve"> will be underpinned by:</w:t>
      </w:r>
    </w:p>
    <w:p w14:paraId="7C1564EE" w14:textId="5B314D57" w:rsidR="00506EFD" w:rsidRPr="00AF7228" w:rsidRDefault="006738F3" w:rsidP="002A70E7">
      <w:pPr>
        <w:pStyle w:val="BulletPoint2"/>
      </w:pPr>
      <w:r>
        <w:t>E</w:t>
      </w:r>
      <w:r w:rsidRPr="00AF7228">
        <w:t xml:space="preserve">vidence </w:t>
      </w:r>
      <w:r w:rsidR="00506EFD" w:rsidRPr="00AF7228">
        <w:t xml:space="preserve">based </w:t>
      </w:r>
      <w:r w:rsidR="00506EFD" w:rsidRPr="00AF7228">
        <w:rPr>
          <w:b/>
        </w:rPr>
        <w:t xml:space="preserve">regional mental health and suicide prevention </w:t>
      </w:r>
      <w:r w:rsidR="00506EFD" w:rsidRPr="00AF7228">
        <w:t>plans and service mapping to identify</w:t>
      </w:r>
      <w:r w:rsidR="00506EFD" w:rsidRPr="00AF7228">
        <w:rPr>
          <w:spacing w:val="-9"/>
        </w:rPr>
        <w:t xml:space="preserve"> </w:t>
      </w:r>
      <w:r w:rsidR="00506EFD" w:rsidRPr="00AF7228">
        <w:t>needs</w:t>
      </w:r>
      <w:r w:rsidR="00506EFD" w:rsidRPr="00AF7228">
        <w:rPr>
          <w:spacing w:val="-8"/>
        </w:rPr>
        <w:t xml:space="preserve"> </w:t>
      </w:r>
      <w:r w:rsidR="00506EFD" w:rsidRPr="00AF7228">
        <w:t>and</w:t>
      </w:r>
      <w:r w:rsidR="00506EFD" w:rsidRPr="00AF7228">
        <w:rPr>
          <w:spacing w:val="-9"/>
        </w:rPr>
        <w:t xml:space="preserve"> </w:t>
      </w:r>
      <w:r w:rsidR="00506EFD" w:rsidRPr="00AF7228">
        <w:t>gaps,</w:t>
      </w:r>
      <w:r w:rsidR="00506EFD" w:rsidRPr="00AF7228">
        <w:rPr>
          <w:spacing w:val="-10"/>
        </w:rPr>
        <w:t xml:space="preserve"> </w:t>
      </w:r>
      <w:r w:rsidR="00506EFD" w:rsidRPr="00AF7228">
        <w:t>reduce</w:t>
      </w:r>
      <w:r w:rsidR="00506EFD" w:rsidRPr="00AF7228">
        <w:rPr>
          <w:spacing w:val="-8"/>
        </w:rPr>
        <w:t xml:space="preserve"> </w:t>
      </w:r>
      <w:r w:rsidR="00506EFD" w:rsidRPr="00AF7228">
        <w:t>duplication,</w:t>
      </w:r>
      <w:r w:rsidR="00506EFD" w:rsidRPr="00AF7228">
        <w:rPr>
          <w:spacing w:val="-10"/>
        </w:rPr>
        <w:t xml:space="preserve"> </w:t>
      </w:r>
      <w:r w:rsidR="00506EFD" w:rsidRPr="00AF7228">
        <w:t>remove</w:t>
      </w:r>
      <w:r w:rsidR="00506EFD" w:rsidRPr="00AF7228">
        <w:rPr>
          <w:spacing w:val="-10"/>
        </w:rPr>
        <w:t xml:space="preserve"> </w:t>
      </w:r>
      <w:r w:rsidR="00506EFD" w:rsidRPr="00AF7228">
        <w:t>inefficiencies</w:t>
      </w:r>
      <w:r w:rsidR="00506EFD" w:rsidRPr="00AF7228">
        <w:rPr>
          <w:spacing w:val="-10"/>
        </w:rPr>
        <w:t xml:space="preserve"> </w:t>
      </w:r>
      <w:r w:rsidR="00506EFD" w:rsidRPr="00AF7228">
        <w:t>and</w:t>
      </w:r>
      <w:r w:rsidR="00506EFD" w:rsidRPr="00AF7228">
        <w:rPr>
          <w:spacing w:val="-10"/>
        </w:rPr>
        <w:t xml:space="preserve"> </w:t>
      </w:r>
      <w:r w:rsidR="00506EFD" w:rsidRPr="00AF7228">
        <w:t>encourage</w:t>
      </w:r>
      <w:r w:rsidR="00506EFD" w:rsidRPr="00AF7228">
        <w:rPr>
          <w:spacing w:val="-7"/>
        </w:rPr>
        <w:t xml:space="preserve"> </w:t>
      </w:r>
      <w:r w:rsidR="00506EFD" w:rsidRPr="00AF7228">
        <w:t>integration</w:t>
      </w:r>
      <w:r>
        <w:t>.</w:t>
      </w:r>
    </w:p>
    <w:p w14:paraId="5BCDFD8A" w14:textId="0D70E763" w:rsidR="00506EFD" w:rsidRPr="00AF7228" w:rsidRDefault="006738F3" w:rsidP="002A70E7">
      <w:pPr>
        <w:pStyle w:val="BulletPoint2"/>
      </w:pPr>
      <w:r>
        <w:t>A</w:t>
      </w:r>
      <w:r w:rsidRPr="00AF7228">
        <w:t xml:space="preserve"> </w:t>
      </w:r>
      <w:r w:rsidR="00506EFD" w:rsidRPr="00AF7228">
        <w:t xml:space="preserve">continuum of primary mental health services within a person-centred </w:t>
      </w:r>
      <w:r w:rsidR="00506EFD" w:rsidRPr="00AF7228">
        <w:rPr>
          <w:b/>
        </w:rPr>
        <w:t xml:space="preserve">stepped care approach </w:t>
      </w:r>
      <w:r w:rsidR="00506EFD" w:rsidRPr="00AF7228">
        <w:t>so that a range of service types, making the best use of available workforce and technology, are available within local regions to better match with individual and local population</w:t>
      </w:r>
      <w:r w:rsidR="00506EFD" w:rsidRPr="00AF7228">
        <w:rPr>
          <w:spacing w:val="-1"/>
        </w:rPr>
        <w:t xml:space="preserve"> </w:t>
      </w:r>
      <w:r w:rsidR="00506EFD" w:rsidRPr="00AF7228">
        <w:t>need.</w:t>
      </w:r>
    </w:p>
    <w:p w14:paraId="08847360" w14:textId="77777777" w:rsidR="00506EFD" w:rsidRPr="00AF7228" w:rsidRDefault="00506EFD" w:rsidP="00506EFD">
      <w:pPr>
        <w:tabs>
          <w:tab w:val="left" w:pos="1538"/>
        </w:tabs>
        <w:spacing w:before="5" w:line="276" w:lineRule="auto"/>
        <w:ind w:left="709" w:right="955"/>
        <w:jc w:val="both"/>
      </w:pPr>
    </w:p>
    <w:p w14:paraId="36D0F5AA" w14:textId="77777777" w:rsidR="00C36AC7" w:rsidRPr="00AF7228" w:rsidRDefault="00C36AC7">
      <w:pPr>
        <w:spacing w:before="0" w:after="0"/>
      </w:pPr>
      <w:r w:rsidRPr="00AF7228">
        <w:br w:type="page"/>
      </w:r>
    </w:p>
    <w:p w14:paraId="748B7AB5" w14:textId="1A57D69D" w:rsidR="00C36AC7" w:rsidRPr="00AF7228" w:rsidRDefault="00C36AC7" w:rsidP="00C36AC7">
      <w:pPr>
        <w:pStyle w:val="BodyText"/>
      </w:pPr>
      <w:r w:rsidRPr="00AF7228">
        <w:rPr>
          <w:noProof/>
          <w:lang w:eastAsia="en-AU"/>
        </w:rPr>
        <w:lastRenderedPageBreak/>
        <mc:AlternateContent>
          <mc:Choice Requires="wpg">
            <w:drawing>
              <wp:inline distT="0" distB="0" distL="0" distR="0" wp14:anchorId="1DB3DC21" wp14:editId="1810AA0B">
                <wp:extent cx="5769610" cy="6350"/>
                <wp:effectExtent l="0" t="0" r="0" b="0"/>
                <wp:docPr id="145"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9610" cy="6350"/>
                          <a:chOff x="0" y="0"/>
                          <a:chExt cx="9086" cy="10"/>
                        </a:xfrm>
                      </wpg:grpSpPr>
                      <wps:wsp>
                        <wps:cNvPr id="146" name="Line 7"/>
                        <wps:cNvCnPr>
                          <a:cxnSpLocks/>
                        </wps:cNvCnPr>
                        <wps:spPr bwMode="auto">
                          <a:xfrm>
                            <a:off x="0" y="5"/>
                            <a:ext cx="9086" cy="0"/>
                          </a:xfrm>
                          <a:prstGeom prst="line">
                            <a:avLst/>
                          </a:prstGeom>
                          <a:noFill/>
                          <a:ln w="6096">
                            <a:solidFill>
                              <a:srgbClr val="00ADEE"/>
                            </a:solidFill>
                            <a:prstDash val="sysDot"/>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F3CD223" id="Group 6" o:spid="_x0000_s1026" style="width:454.3pt;height:.5pt;mso-position-horizontal-relative:char;mso-position-vertical-relative:line" coordsize="908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M0cwIAAH8FAAAOAAAAZHJzL2Uyb0RvYy54bWykVF1v2yAUfZ+0/4D8ntpOHTexmlRV7PSl&#10;2yp1+wEEsI2GwQISJ5r233cBJ23al6p7sYH7wbnn3Mvt3aETaM+04Uouo/QqiRCTRFEum2X06+dm&#10;Mo+QsVhSLJRky+jITHS3+vrldugLNlWtEpRpBEmkKYZ+GbXW9kUcG9KyDpsr1TMJxlrpDlvY6iam&#10;Gg+QvRPxNEnyeFCa9loRZgyclsEYrXz+umbE/qhrwywSywiwWf/V/rt133h1i4tG477lZISBP4Gi&#10;w1zCpedUJbYY7TR/l6rjRCujantFVBeruuaE+RqgmjR5U82DVrve19IUQ9OfaQJq3/D06bTk+/5J&#10;I05Bu2wWIYk7EMnfi3JHztA3Bfg86P65f9KhQlg+KvLbgDl+a3f7Jjij7fBNUUiHd1Z5cg617lwK&#10;KBsdvAbHswbsYBGBw9lNvshTkIqALb+ejRKRFnR8F0TaagxbJPM8xECsA4aLcJtHOCJy5UCbmRcm&#10;zf8x+dzinnmBjGPpzCRACUw+csnQTSDSu6xlYJEc5AWLr4wOowGyP8jfLPTwib8XIi55wEWvjX1g&#10;qkNusYwEQPOq4P2jsYGyk4sTSaoNFwLOcSEkGkCMZJH7AKMEp87obEY327XQaI/dhCX3ZVWN/F+4&#10;ucwlNm3wM0dTKhuAQ49L6q9pGabVuLaYi7AGJYV0N0GFAHRcheH6s0gW1byaZ5NsmleTLCnLyf1m&#10;nU3yTXozK6/L9bpM/zrQaVa0nFImHe7ToKfZx+Qfn5wwoudRPxMUX2b3zQdgT38PGtowqBp6cKvo&#10;8Uk70seO9Cs/5T5sfJHcM/J6771e3s3VPwAAAP//AwBQSwMEFAAGAAgAAAAhADA/9GffAAAACAEA&#10;AA8AAABkcnMvZG93bnJldi54bWxMj81qwzAQhO+FvoPYQG+N5JaG1LEcQvpzCoUkhZKbYm1sE2tl&#10;LMV23r7bXtrLwDK7s/Nly9E1oscu1J40JFMFAqnwtqZSw+f+7X4OIkRD1jSeUMMVAyzz25vMpNYP&#10;tMV+F0vBIRRSo6GKsU2lDEWFzoSpb5HYO/nOmchjV0rbmYHDXSMflJpJZ2riD5VpcV1hcd5dnIb3&#10;wQyrx+S135xP6+th//TxtUlQ67vJ+LJgWS1ARBzj3wX8MHB/yLnY0V/IBtFoYJr4q+w9q/kMxJGX&#10;FMg8k/8B8m8AAAD//wMAUEsBAi0AFAAGAAgAAAAhALaDOJL+AAAA4QEAABMAAAAAAAAAAAAAAAAA&#10;AAAAAFtDb250ZW50X1R5cGVzXS54bWxQSwECLQAUAAYACAAAACEAOP0h/9YAAACUAQAACwAAAAAA&#10;AAAAAAAAAAAvAQAAX3JlbHMvLnJlbHNQSwECLQAUAAYACAAAACEAcd/jNHMCAAB/BQAADgAAAAAA&#10;AAAAAAAAAAAuAgAAZHJzL2Uyb0RvYy54bWxQSwECLQAUAAYACAAAACEAMD/0Z98AAAAIAQAADwAA&#10;AAAAAAAAAAAAAADNBAAAZHJzL2Rvd25yZXYueG1sUEsFBgAAAAAEAAQA8wAAANkFAAAAAA==&#10;">
                <v:line id="Line 7" o:spid="_x0000_s1027" style="position:absolute;visibility:visible;mso-wrap-style:square" from="0,5" to="90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3oyAAAAOEAAAAPAAAAZHJzL2Rvd25yZXYueG1sRI/basJA&#10;EIbvC77DMoI3RTctrYboKhqRFu88PMCQnRwwOxuzmxjfvlso9GaY4ef/hm+1GUwtempdZVnB2ywC&#10;QZxZXXGh4Ho5TGMQziNrrC2Tgic52KxHLytMtH3wifqzL0SAsEtQQel9k0jpspIMupltiEOW29ag&#10;D2dbSN3iI8BNLd+jaC4NVhw+lNhQWlJ2O3dGwSI95l9drPN72n821/j+ukt3nVKT8bBfhrFdgvA0&#10;+P/GH+JbB4ePOfwahQ3k+gcAAP//AwBQSwECLQAUAAYACAAAACEA2+H2y+4AAACFAQAAEwAAAAAA&#10;AAAAAAAAAAAAAAAAW0NvbnRlbnRfVHlwZXNdLnhtbFBLAQItABQABgAIAAAAIQBa9CxbvwAAABUB&#10;AAALAAAAAAAAAAAAAAAAAB8BAABfcmVscy8ucmVsc1BLAQItABQABgAIAAAAIQDEJ/3oyAAAAOEA&#10;AAAPAAAAAAAAAAAAAAAAAAcCAABkcnMvZG93bnJldi54bWxQSwUGAAAAAAMAAwC3AAAA/AIAAAAA&#10;" strokecolor="#00adee" strokeweight=".48pt">
                  <v:stroke dashstyle="1 1"/>
                  <o:lock v:ext="edit" shapetype="f"/>
                </v:line>
                <w10:anchorlock/>
              </v:group>
            </w:pict>
          </mc:Fallback>
        </mc:AlternateContent>
      </w:r>
    </w:p>
    <w:p w14:paraId="25EF5B54" w14:textId="2DEC5F97" w:rsidR="00C36AC7" w:rsidRPr="00AF7228" w:rsidRDefault="00C36AC7" w:rsidP="00C36AC7">
      <w:pPr>
        <w:pStyle w:val="Heading1"/>
      </w:pPr>
      <w:bookmarkStart w:id="95" w:name="_Toc6238838"/>
      <w:r w:rsidRPr="00AF7228">
        <w:t>Appendix</w:t>
      </w:r>
      <w:r w:rsidRPr="00AF7228">
        <w:rPr>
          <w:spacing w:val="-2"/>
        </w:rPr>
        <w:t xml:space="preserve"> </w:t>
      </w:r>
      <w:r w:rsidRPr="00AF7228">
        <w:t>Two: The Integrated Atlas of Mental Health</w:t>
      </w:r>
      <w:bookmarkEnd w:id="95"/>
      <w:r w:rsidRPr="00AF7228">
        <w:t xml:space="preserve"> </w:t>
      </w:r>
    </w:p>
    <w:p w14:paraId="6A8F7CCE" w14:textId="77777777" w:rsidR="00C36AC7" w:rsidRPr="00AF7228" w:rsidRDefault="00C36AC7" w:rsidP="00C36AC7">
      <w:pPr>
        <w:pStyle w:val="BodyText"/>
        <w:spacing w:line="20" w:lineRule="exact"/>
        <w:rPr>
          <w:sz w:val="2"/>
        </w:rPr>
      </w:pPr>
      <w:r w:rsidRPr="00AF7228">
        <w:rPr>
          <w:noProof/>
          <w:sz w:val="2"/>
          <w:lang w:eastAsia="en-AU"/>
        </w:rPr>
        <mc:AlternateContent>
          <mc:Choice Requires="wpg">
            <w:drawing>
              <wp:inline distT="0" distB="0" distL="0" distR="0" wp14:anchorId="5258297C" wp14:editId="1B3C4A73">
                <wp:extent cx="5769610" cy="6350"/>
                <wp:effectExtent l="0" t="0" r="0" b="0"/>
                <wp:docPr id="147"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9610" cy="6350"/>
                          <a:chOff x="0" y="0"/>
                          <a:chExt cx="9086" cy="10"/>
                        </a:xfrm>
                      </wpg:grpSpPr>
                      <wps:wsp>
                        <wps:cNvPr id="148" name="Line 5"/>
                        <wps:cNvCnPr>
                          <a:cxnSpLocks/>
                        </wps:cNvCnPr>
                        <wps:spPr bwMode="auto">
                          <a:xfrm>
                            <a:off x="0" y="5"/>
                            <a:ext cx="9086" cy="0"/>
                          </a:xfrm>
                          <a:prstGeom prst="line">
                            <a:avLst/>
                          </a:prstGeom>
                          <a:noFill/>
                          <a:ln w="6096">
                            <a:solidFill>
                              <a:srgbClr val="00ADEE"/>
                            </a:solidFill>
                            <a:prstDash val="sysDot"/>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01582F0" id="Group 4" o:spid="_x0000_s1026" style="width:454.3pt;height:.5pt;mso-position-horizontal-relative:char;mso-position-vertical-relative:line" coordsize="908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2XidAIAAH8FAAAOAAAAZHJzL2Uyb0RvYy54bWykVFFv2yAQfp+0/4D8ntpOHTexmlRV7PSl&#10;2yp1+wEEsI2GwQISJ5r233eAkzbtS9W92Ad3HN993x23d4dOoD3Thiu5jNKrJEJMEkW5bJbRr5+b&#10;yTxCxmJJsVCSLaMjM9Hd6uuX26Ev2FS1SlCmESSRphj6ZdRa2xdxbEjLOmyuVM8kOGulO2xhqZuY&#10;ajxA9k7E0yTJ40Fp2mtFmDGwWwZntPL565oR+6OuDbNILCPAZv1X++/WfePVLS4ajfuWkxEG/gSK&#10;DnMJl55TldhitNP8XaqOE62Mqu0VUV2s6poT5muAatLkTTUPWu16X0tTDE1/pgmofcPTp9OS7/sn&#10;jTgF7bKbCEncgUj+XpQ5coa+KSDmQffP/ZMOFYL5qMhvA+74rd+tmxCMtsM3RSEd3lnlyTnUunMp&#10;oGx08Boczxqwg0UENmc3+SJPQSoCvvx6NkpEWtDx3SHSVuOxRTLPwxk464DhItzmEY6IXDnQZuaF&#10;SfN/TD63uGdeIONYOjMJTR+YfOSSoVkg0oesZWCRHOQFi6+cDqMBsj/In8+OixN/L0Rc8oCLXhv7&#10;wFSHnLGMBEDzquD9o7GBslOIE0mqDRcC9nEhJBpAjGSR+wNGCU6d0/mMbrZrodEeuwlL7suqGvm/&#10;CHOZS2zaEGeOplTWxeECelxSb7UM02q0LeYi2KCkkC4QKgSgoxWG688iWVTzap5NsmleTbKkLCf3&#10;m3U2yTfpzay8LtfrMv3rQKdZ0XJKmXS4T4OeZh+Tf3xywoieR/1MUHyZ3TcfgD39PWhow6Bq6MGt&#10;oscn7UgfO9Jbfsr9sfFFcs/I67WPenk3V/8AAAD//wMAUEsDBBQABgAIAAAAIQAwP/Rn3wAAAAgB&#10;AAAPAAAAZHJzL2Rvd25yZXYueG1sTI/NasMwEITvhb6D2EBvjeSWhtSxHEL6cwqFJIWSm2JtbBNr&#10;ZSzFdt6+217ay8Ayu7PzZcvRNaLHLtSeNCRTBQKp8LamUsPn/u1+DiJEQ9Y0nlDDFQMs89ubzKTW&#10;D7TFfhdLwSEUUqOhirFNpQxFhc6EqW+R2Dv5zpnIY1dK25mBw10jH5SaSWdq4g+VaXFdYXHeXZyG&#10;98EMq8fktd+cT+vrYf/08bVJUOu7yfiyYFktQEQc498F/DBwf8i52NFfyAbRaGCa+KvsPav5DMSR&#10;lxTIPJP/AfJvAAAA//8DAFBLAQItABQABgAIAAAAIQC2gziS/gAAAOEBAAATAAAAAAAAAAAAAAAA&#10;AAAAAABbQ29udGVudF9UeXBlc10ueG1sUEsBAi0AFAAGAAgAAAAhADj9If/WAAAAlAEAAAsAAAAA&#10;AAAAAAAAAAAALwEAAF9yZWxzLy5yZWxzUEsBAi0AFAAGAAgAAAAhAEpHZeJ0AgAAfwUAAA4AAAAA&#10;AAAAAAAAAAAALgIAAGRycy9lMm9Eb2MueG1sUEsBAi0AFAAGAAgAAAAhADA/9GffAAAACAEAAA8A&#10;AAAAAAAAAAAAAAAAzgQAAGRycy9kb3ducmV2LnhtbFBLBQYAAAAABAAEAPMAAADaBQAAAAA=&#10;">
                <v:line id="Line 5" o:spid="_x0000_s1027" style="position:absolute;visibility:visible;mso-wrap-style:square" from="0,5" to="90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MwByQAAAOEAAAAPAAAAZHJzL2Rvd25yZXYueG1sRI/NasNA&#10;DITvhb7DokIvJVmntKlxsgmJS2nJLWkeQHjlH+LVOt614759dSj0MmgY9Emz3k6uVSP1ofFsYDFP&#10;QBEX3jZcGTh/f8xSUCEiW2w9k4EfCrDd3N+tMbP+xkcaT7FSAuGQoYE6xi7TOhQ1OQxz3xFLVvre&#10;YRTbV9r2eBO4a/Vzkiy1w4blQo0d5TUVl9PgDLzlh/JzSG15zcfX7pxen/b5fjDm8WF6X4nsVqAi&#10;TfF/4w/xZaXDi7wsjWQCvfkFAAD//wMAUEsBAi0AFAAGAAgAAAAhANvh9svuAAAAhQEAABMAAAAA&#10;AAAAAAAAAAAAAAAAAFtDb250ZW50X1R5cGVzXS54bWxQSwECLQAUAAYACAAAACEAWvQsW78AAAAV&#10;AQAACwAAAAAAAAAAAAAAAAAfAQAAX3JlbHMvLnJlbHNQSwECLQAUAAYACAAAACEA2vTMAckAAADh&#10;AAAADwAAAAAAAAAAAAAAAAAHAgAAZHJzL2Rvd25yZXYueG1sUEsFBgAAAAADAAMAtwAAAP0CAAAA&#10;AA==&#10;" strokecolor="#00adee" strokeweight=".48pt">
                  <v:stroke dashstyle="1 1"/>
                  <o:lock v:ext="edit" shapetype="f"/>
                </v:line>
                <w10:anchorlock/>
              </v:group>
            </w:pict>
          </mc:Fallback>
        </mc:AlternateContent>
      </w:r>
    </w:p>
    <w:p w14:paraId="41A9AAE2" w14:textId="4B550090" w:rsidR="00C36AC7" w:rsidRPr="00AF7228" w:rsidRDefault="00C36AC7" w:rsidP="00C36AC7">
      <w:pPr>
        <w:pStyle w:val="Heading3"/>
      </w:pPr>
      <w:bookmarkStart w:id="96" w:name="_Toc6238839"/>
      <w:r w:rsidRPr="00AF7228">
        <w:t>Methodology</w:t>
      </w:r>
      <w:bookmarkEnd w:id="96"/>
    </w:p>
    <w:p w14:paraId="2CAABEA0" w14:textId="75048F97" w:rsidR="00C36AC7" w:rsidRPr="00C36AC7" w:rsidRDefault="00C36AC7" w:rsidP="00C36AC7">
      <w:pPr>
        <w:pStyle w:val="BodyText"/>
      </w:pPr>
      <w:r w:rsidRPr="00AF7228">
        <w:t>T</w:t>
      </w:r>
      <w:r w:rsidRPr="00C36AC7">
        <w:t>he Description and Evaluation of Services and Directories in Europe for Long-Term Care (DESDE-LTC) has been utilised in the development of th</w:t>
      </w:r>
      <w:r w:rsidR="00AF7228" w:rsidRPr="00AF7228">
        <w:t>e western Sydney</w:t>
      </w:r>
      <w:r w:rsidRPr="00C36AC7">
        <w:t xml:space="preserve"> Integrated Atlas. Th</w:t>
      </w:r>
      <w:r w:rsidR="00AF7228" w:rsidRPr="00AF7228">
        <w:t xml:space="preserve">e DESDE </w:t>
      </w:r>
      <w:r w:rsidRPr="00C36AC7">
        <w:t>is</w:t>
      </w:r>
      <w:r w:rsidR="00AF7228" w:rsidRPr="00AF7228">
        <w:t xml:space="preserve"> an</w:t>
      </w:r>
      <w:r w:rsidRPr="00C36AC7">
        <w:t xml:space="preserve"> open-access, validated, international instrument for the standardised description and classification of services for long term. Whilst originally developed around health issues requiring long term care, the application of the DESDE-LTC across chronic conditions in Australia includes services across a spectrum of care intensity and duration. </w:t>
      </w:r>
    </w:p>
    <w:p w14:paraId="2D5FC1FD" w14:textId="77777777" w:rsidR="00C36AC7" w:rsidRPr="00C36AC7" w:rsidRDefault="00C36AC7" w:rsidP="00C36AC7">
      <w:pPr>
        <w:pStyle w:val="BodyText"/>
      </w:pPr>
      <w:r w:rsidRPr="00C36AC7">
        <w:t>The DESDE-LTC includes a taxonomy tree and coding system that allows the classification of services in a defined catchment area according to the main care structure or activity offered, as well as the level of availability and utilisation. The classification of services based on the actual activity of the service, rather than the name of the service provider, therefore reflects the real provision of care.</w:t>
      </w:r>
    </w:p>
    <w:p w14:paraId="4DA1D3C9" w14:textId="77777777" w:rsidR="00C36AC7" w:rsidRPr="00C36AC7" w:rsidRDefault="00C36AC7" w:rsidP="00C36AC7">
      <w:pPr>
        <w:pStyle w:val="BodyText"/>
      </w:pPr>
      <w:r w:rsidRPr="00C36AC7">
        <w:t xml:space="preserve">In research on health and social services there are typically different units of analysis, however the Integrated Atlas requires that comparisons be made across a single and common ‘unit of analysis’ group. Different units of analysis include: Macro-organisations (e.g. Local Health Networks), Meso-organisations (e.g. hospitals), and Micro-organisations (e.g. services). It could also include smaller units within a service such as care: types, modalities, units, intervention programs, packages, activities, or philosophies. </w:t>
      </w:r>
    </w:p>
    <w:p w14:paraId="5446ADCB" w14:textId="77777777" w:rsidR="00C36AC7" w:rsidRPr="00C36AC7" w:rsidRDefault="00C36AC7" w:rsidP="00C36AC7">
      <w:pPr>
        <w:pStyle w:val="BodyText"/>
        <w:rPr>
          <w:b/>
        </w:rPr>
      </w:pPr>
      <w:r w:rsidRPr="00C36AC7">
        <w:t>Analysis based on DESDE-LTC is focused on the evaluation of individual service delivery teams or Basic Stable Inputs of Care (BSIC).</w:t>
      </w:r>
      <w:bookmarkStart w:id="97" w:name="_Toc481096917"/>
    </w:p>
    <w:p w14:paraId="3686348A" w14:textId="77777777" w:rsidR="00C36AC7" w:rsidRPr="00AF7228" w:rsidRDefault="00C36AC7" w:rsidP="00C36AC7">
      <w:pPr>
        <w:pStyle w:val="Heading4"/>
      </w:pPr>
      <w:bookmarkStart w:id="98" w:name="_Toc488836059"/>
      <w:bookmarkStart w:id="99" w:name="_Toc503790985"/>
      <w:bookmarkStart w:id="100" w:name="_Toc514230854"/>
      <w:r w:rsidRPr="00AF7228">
        <w:t>Basic Stable Inputs of Care</w:t>
      </w:r>
      <w:bookmarkEnd w:id="97"/>
      <w:bookmarkEnd w:id="98"/>
      <w:bookmarkEnd w:id="99"/>
      <w:bookmarkEnd w:id="100"/>
    </w:p>
    <w:p w14:paraId="559A6C45" w14:textId="77777777" w:rsidR="00C36AC7" w:rsidRPr="00C36AC7" w:rsidRDefault="00C36AC7" w:rsidP="00C36AC7">
      <w:pPr>
        <w:pStyle w:val="BodyText"/>
        <w:rPr>
          <w:i/>
        </w:rPr>
      </w:pPr>
      <w:r w:rsidRPr="00C36AC7">
        <w:rPr>
          <w:i/>
        </w:rPr>
        <w:t>A Basic Stable Input of Care (BSIC) is a team of staff working together to provide care for a group of people, often referred to as a service delivery team.</w:t>
      </w:r>
    </w:p>
    <w:p w14:paraId="32AACFF1" w14:textId="654E9C32" w:rsidR="00C36AC7" w:rsidRPr="00C36AC7" w:rsidRDefault="00AD3544" w:rsidP="00C36AC7">
      <w:pPr>
        <w:pStyle w:val="BodyText"/>
      </w:pPr>
      <w:r w:rsidRPr="00C36AC7">
        <w:t>To be considered for inclusion, a team</w:t>
      </w:r>
      <w:r w:rsidRPr="00AF7228">
        <w:t xml:space="preserve"> </w:t>
      </w:r>
      <w:r w:rsidRPr="00C36AC7">
        <w:t xml:space="preserve">has to be stable both in terms of the longevity of the service as well as the structure of the service. </w:t>
      </w:r>
      <w:r w:rsidR="00C36AC7" w:rsidRPr="00C36AC7">
        <w:t>The longevity of the service is related to the time period for which the service has been funded with a team considered to be stable if it has been funded three or more years or has funding secured for three years. The structural stability of a service is related to both physical and administrative parameters with a team considered stable if it has administrative support and two of the following: their own space (e.g. dedicated building or shared office); their own finances (e.g. a specific cost</w:t>
      </w:r>
      <w:r w:rsidR="005B3900">
        <w:t xml:space="preserve"> </w:t>
      </w:r>
      <w:r w:rsidR="00C36AC7" w:rsidRPr="00C36AC7">
        <w:t>centre); or their own forms of documentation (e.g. data collection or service reports).</w:t>
      </w:r>
    </w:p>
    <w:p w14:paraId="77FE0E9C" w14:textId="77777777" w:rsidR="00C36AC7" w:rsidRPr="00AF7228" w:rsidRDefault="00C36AC7" w:rsidP="00C36AC7">
      <w:pPr>
        <w:pStyle w:val="Heading4"/>
      </w:pPr>
      <w:bookmarkStart w:id="101" w:name="_Toc503790986"/>
      <w:bookmarkStart w:id="102" w:name="_Toc514230855"/>
      <w:r w:rsidRPr="00AF7228">
        <w:t>Classification of BSIC</w:t>
      </w:r>
      <w:bookmarkEnd w:id="101"/>
      <w:bookmarkEnd w:id="102"/>
    </w:p>
    <w:p w14:paraId="688370A7" w14:textId="37CA41E4" w:rsidR="00C36AC7" w:rsidRPr="00C36AC7" w:rsidRDefault="00C36AC7" w:rsidP="00C36AC7">
      <w:pPr>
        <w:pStyle w:val="BodyText"/>
      </w:pPr>
      <w:r w:rsidRPr="00C36AC7">
        <w:t>Once a BSIC is identified utilising the criteria for inclusion, the Main Types of Care (MTC) provided are determined based on the Long Term Care Mapping Tree</w:t>
      </w:r>
      <w:r w:rsidR="005B3900">
        <w:t>.</w:t>
      </w:r>
      <w:r w:rsidRPr="00C36AC7">
        <w:t xml:space="preserve"> Each of six main types of care (i.e. branches) are further classified depending on a range of other characteristics related to the service including acuity, mobility, intensity and access to health-related staff and/or information. The six main types of care include: </w:t>
      </w:r>
    </w:p>
    <w:p w14:paraId="1585ABC9" w14:textId="49CFFF67" w:rsidR="00C36AC7" w:rsidRPr="00C36AC7" w:rsidRDefault="00C36AC7" w:rsidP="00C36AC7">
      <w:pPr>
        <w:pStyle w:val="BodyText"/>
        <w:rPr>
          <w:b/>
          <w:bCs/>
        </w:rPr>
      </w:pPr>
      <w:r w:rsidRPr="00C36AC7">
        <w:rPr>
          <w:b/>
          <w:bCs/>
        </w:rPr>
        <w:t>R</w:t>
      </w:r>
      <w:r w:rsidRPr="00C36AC7">
        <w:t xml:space="preserve"> </w:t>
      </w:r>
      <w:r w:rsidRPr="00C36AC7">
        <w:tab/>
        <w:t>Residential Care - facilities which provide overnight beds related to clinical and social management of client health conditions (e.g. inpatient hospital wards, crisis shelters, residential rehabilitation services and inpatient withdrawal units)</w:t>
      </w:r>
      <w:r w:rsidRPr="00AF7228">
        <w:t>.</w:t>
      </w:r>
    </w:p>
    <w:p w14:paraId="441BEDD3" w14:textId="7FBA2AB7" w:rsidR="00C36AC7" w:rsidRPr="00C36AC7" w:rsidRDefault="00C36AC7" w:rsidP="00C36AC7">
      <w:pPr>
        <w:pStyle w:val="BodyText"/>
      </w:pPr>
      <w:r w:rsidRPr="00C36AC7">
        <w:rPr>
          <w:b/>
          <w:bCs/>
        </w:rPr>
        <w:lastRenderedPageBreak/>
        <w:t>D</w:t>
      </w:r>
      <w:r w:rsidRPr="00C36AC7">
        <w:t xml:space="preserve"> </w:t>
      </w:r>
      <w:r w:rsidRPr="00C36AC7">
        <w:tab/>
        <w:t>Day Care - facilities which have regular opening hours, provide a combination of treatment options (e.g. support, social contact, structured activities) normally available to several clients at a time and expect clients to stay at the facility beyond allocated face to face contact with staff.</w:t>
      </w:r>
    </w:p>
    <w:p w14:paraId="7E7F8D24" w14:textId="2405A804" w:rsidR="00C36AC7" w:rsidRPr="00C36AC7" w:rsidRDefault="00C36AC7" w:rsidP="00C36AC7">
      <w:pPr>
        <w:pStyle w:val="BodyText"/>
      </w:pPr>
      <w:r w:rsidRPr="00C36AC7">
        <w:rPr>
          <w:b/>
          <w:bCs/>
        </w:rPr>
        <w:t>O</w:t>
      </w:r>
      <w:r w:rsidRPr="00C36AC7">
        <w:t xml:space="preserve"> </w:t>
      </w:r>
      <w:r w:rsidRPr="00C36AC7">
        <w:tab/>
        <w:t xml:space="preserve">Outpatient Care - services that involve contact between staff and clients for some purpose related to the management of their condition and associated clinical and social needs and are not provided as a part of residential or day services. Includes outreach services. </w:t>
      </w:r>
    </w:p>
    <w:p w14:paraId="7E56A7F1" w14:textId="34A53394" w:rsidR="00C36AC7" w:rsidRPr="00C36AC7" w:rsidRDefault="00C36AC7" w:rsidP="00C36AC7">
      <w:pPr>
        <w:pStyle w:val="BodyText"/>
      </w:pPr>
      <w:r w:rsidRPr="00C36AC7">
        <w:rPr>
          <w:b/>
          <w:bCs/>
        </w:rPr>
        <w:t>A</w:t>
      </w:r>
      <w:r w:rsidRPr="00C36AC7">
        <w:t xml:space="preserve"> </w:t>
      </w:r>
      <w:r w:rsidRPr="00C36AC7">
        <w:tab/>
        <w:t>Accessibility to Care - services whose main function is to facilitate access to care for clients with long-term care needs (e.g. care coordination services).</w:t>
      </w:r>
    </w:p>
    <w:p w14:paraId="5D75D125" w14:textId="5EA32A93" w:rsidR="00C36AC7" w:rsidRPr="00C36AC7" w:rsidRDefault="00C36AC7" w:rsidP="00C36AC7">
      <w:pPr>
        <w:pStyle w:val="BodyText"/>
      </w:pPr>
      <w:r w:rsidRPr="00C36AC7">
        <w:rPr>
          <w:b/>
          <w:bCs/>
        </w:rPr>
        <w:t>I</w:t>
      </w:r>
      <w:r w:rsidRPr="00C36AC7">
        <w:t xml:space="preserve"> </w:t>
      </w:r>
      <w:r w:rsidRPr="00C36AC7">
        <w:tab/>
        <w:t>Information for Care - services whose main function is to provide clients with information or assessment of their needs and are not involved in subsequent follow-up or direct provision of care (e.g. telephone information and triage type services).</w:t>
      </w:r>
    </w:p>
    <w:p w14:paraId="0BE55761" w14:textId="5544AAE1" w:rsidR="00C36AC7" w:rsidRPr="00C36AC7" w:rsidRDefault="00C36AC7" w:rsidP="00C36AC7">
      <w:pPr>
        <w:pStyle w:val="BodyText"/>
      </w:pPr>
      <w:r w:rsidRPr="00C36AC7">
        <w:rPr>
          <w:b/>
          <w:bCs/>
        </w:rPr>
        <w:t>S</w:t>
      </w:r>
      <w:r w:rsidRPr="00C36AC7">
        <w:t xml:space="preserve"> </w:t>
      </w:r>
      <w:r w:rsidRPr="00C36AC7">
        <w:tab/>
        <w:t>Self-Help and Voluntary Care - services which aim to provide clients with support, self-help or contact, with un-paid staff that offer any type of care (i.e. Residential, Day, Outpatient, Accessibility or Information).</w:t>
      </w:r>
    </w:p>
    <w:p w14:paraId="4270BDA9" w14:textId="77777777" w:rsidR="00C36AC7" w:rsidRPr="00AF7228" w:rsidRDefault="00C36AC7" w:rsidP="00C36AC7">
      <w:pPr>
        <w:pStyle w:val="BodyText"/>
      </w:pPr>
      <w:bookmarkStart w:id="103" w:name="_Toc478378941"/>
      <w:bookmarkStart w:id="104" w:name="_Toc481096918"/>
      <w:bookmarkStart w:id="105" w:name="_Toc486336911"/>
      <w:bookmarkStart w:id="106" w:name="_Toc487806846"/>
      <w:r w:rsidRPr="00AF7228">
        <w:t xml:space="preserve">Each BSIC is classified by using one or more codes based on the MTC they deliver. Some services might include a principal structure or activity (e.g. a Residential Care ‘R’ code) and an additional one (e.g. a ‘Day Care’ ‘D’ code). </w:t>
      </w:r>
    </w:p>
    <w:p w14:paraId="7A28E1B2" w14:textId="77777777" w:rsidR="00C36AC7" w:rsidRPr="00AF7228" w:rsidRDefault="00C36AC7" w:rsidP="00AF7228">
      <w:pPr>
        <w:pStyle w:val="Heading4"/>
      </w:pPr>
      <w:bookmarkStart w:id="107" w:name="_Toc503790987"/>
      <w:bookmarkStart w:id="108" w:name="_Toc514230856"/>
      <w:r w:rsidRPr="00AF7228">
        <w:t>Inclusion Criteria</w:t>
      </w:r>
      <w:bookmarkEnd w:id="103"/>
      <w:bookmarkEnd w:id="104"/>
      <w:bookmarkEnd w:id="105"/>
      <w:bookmarkEnd w:id="106"/>
      <w:bookmarkEnd w:id="107"/>
      <w:bookmarkEnd w:id="108"/>
    </w:p>
    <w:p w14:paraId="50E85754" w14:textId="423B0244" w:rsidR="00C36AC7" w:rsidRPr="00AF7228" w:rsidRDefault="00C36AC7" w:rsidP="00C36AC7">
      <w:pPr>
        <w:pStyle w:val="BodyText"/>
      </w:pPr>
      <w:r w:rsidRPr="00AF7228">
        <w:t>To ensure consistency and comparability, both nationally and internationally, set inclusion criteria determine whether services are considered for analysis.</w:t>
      </w:r>
      <w:r w:rsidR="00AF7228" w:rsidRPr="00AF7228">
        <w:t xml:space="preserve"> </w:t>
      </w:r>
      <w:r w:rsidRPr="00AF7228">
        <w:t>As part of the DESDE methodology, for a service to be included it has to be geographically relevant, specialised, universally accessible, stable and providing direct care or support (</w:t>
      </w:r>
      <w:r w:rsidRPr="00AF7228">
        <w:fldChar w:fldCharType="begin"/>
      </w:r>
      <w:r w:rsidRPr="00AF7228">
        <w:instrText xml:space="preserve"> REF _Ref487547021 \r \h  \* MERGEFORMAT </w:instrText>
      </w:r>
      <w:r w:rsidRPr="00AF7228">
        <w:fldChar w:fldCharType="separate"/>
      </w:r>
      <w:r w:rsidR="00EF2823">
        <w:t>Table 7</w:t>
      </w:r>
      <w:r w:rsidRPr="00AF7228">
        <w:fldChar w:fldCharType="end"/>
      </w:r>
      <w:r w:rsidRPr="00AF7228">
        <w:t>).</w:t>
      </w:r>
    </w:p>
    <w:tbl>
      <w:tblPr>
        <w:tblW w:w="9072" w:type="dxa"/>
        <w:jc w:val="center"/>
        <w:tblBorders>
          <w:top w:val="single" w:sz="4" w:space="0" w:color="003D69"/>
          <w:left w:val="single" w:sz="4" w:space="0" w:color="003D69"/>
          <w:bottom w:val="single" w:sz="4" w:space="0" w:color="003D69"/>
          <w:insideH w:val="single" w:sz="4" w:space="0" w:color="003D69"/>
        </w:tblBorders>
        <w:tblLook w:val="04A0" w:firstRow="1" w:lastRow="0" w:firstColumn="1" w:lastColumn="0" w:noHBand="0" w:noVBand="1"/>
      </w:tblPr>
      <w:tblGrid>
        <w:gridCol w:w="2033"/>
        <w:gridCol w:w="7039"/>
      </w:tblGrid>
      <w:tr w:rsidR="00C36AC7" w:rsidRPr="00AF7228" w14:paraId="33C47B08" w14:textId="77777777" w:rsidTr="00C34200">
        <w:trPr>
          <w:trHeight w:val="30"/>
          <w:jc w:val="center"/>
        </w:trPr>
        <w:tc>
          <w:tcPr>
            <w:tcW w:w="9023" w:type="dxa"/>
            <w:gridSpan w:val="2"/>
            <w:tcBorders>
              <w:top w:val="nil"/>
              <w:left w:val="nil"/>
              <w:bottom w:val="nil"/>
              <w:right w:val="nil"/>
            </w:tcBorders>
            <w:shd w:val="clear" w:color="auto" w:fill="auto"/>
          </w:tcPr>
          <w:p w14:paraId="7C6B19AA" w14:textId="5EECE75E" w:rsidR="00C36AC7" w:rsidRPr="00AF7228" w:rsidRDefault="00C36AC7" w:rsidP="00C36AC7">
            <w:pPr>
              <w:pStyle w:val="TableCaption"/>
              <w:rPr>
                <w:rFonts w:eastAsia="MS Mincho"/>
              </w:rPr>
            </w:pPr>
            <w:bookmarkStart w:id="109" w:name="_Ref487547021"/>
            <w:bookmarkStart w:id="110" w:name="_Toc488836082"/>
            <w:bookmarkStart w:id="111" w:name="_Toc488836115"/>
            <w:bookmarkStart w:id="112" w:name="_Toc488933358"/>
            <w:bookmarkStart w:id="113" w:name="_Toc503791039"/>
            <w:bookmarkStart w:id="114" w:name="_Toc514230909"/>
            <w:bookmarkStart w:id="115" w:name="_Toc6238000"/>
            <w:r w:rsidRPr="00AF7228">
              <w:rPr>
                <w:rFonts w:eastAsia="MS Mincho"/>
              </w:rPr>
              <w:t>Atlas Service Inclusion Criteria</w:t>
            </w:r>
            <w:bookmarkEnd w:id="109"/>
            <w:bookmarkEnd w:id="110"/>
            <w:bookmarkEnd w:id="111"/>
            <w:bookmarkEnd w:id="112"/>
            <w:bookmarkEnd w:id="113"/>
            <w:bookmarkEnd w:id="114"/>
            <w:bookmarkEnd w:id="115"/>
          </w:p>
        </w:tc>
      </w:tr>
      <w:tr w:rsidR="00C36AC7" w:rsidRPr="00AF7228" w14:paraId="7B1742F9" w14:textId="77777777" w:rsidTr="00C34200">
        <w:trPr>
          <w:trHeight w:val="30"/>
          <w:jc w:val="center"/>
        </w:trPr>
        <w:tc>
          <w:tcPr>
            <w:tcW w:w="9023" w:type="dxa"/>
            <w:gridSpan w:val="2"/>
            <w:tcBorders>
              <w:top w:val="nil"/>
              <w:left w:val="nil"/>
              <w:bottom w:val="single" w:sz="4" w:space="0" w:color="003D69"/>
              <w:right w:val="nil"/>
            </w:tcBorders>
            <w:shd w:val="clear" w:color="auto" w:fill="003D69"/>
          </w:tcPr>
          <w:p w14:paraId="13B0A785" w14:textId="77777777" w:rsidR="00C36AC7" w:rsidRPr="00AF7228" w:rsidRDefault="00C36AC7" w:rsidP="00C34200">
            <w:pPr>
              <w:pStyle w:val="TableHeading"/>
              <w:spacing w:before="0" w:after="0" w:line="280" w:lineRule="exact"/>
              <w:jc w:val="both"/>
              <w:rPr>
                <w:rFonts w:ascii="Calibri" w:hAnsi="Calibri" w:cs="Arial"/>
                <w:szCs w:val="18"/>
                <w:lang w:eastAsia="ja-JP"/>
              </w:rPr>
            </w:pPr>
            <w:r w:rsidRPr="00AF7228">
              <w:rPr>
                <w:rFonts w:ascii="Calibri" w:hAnsi="Calibri" w:cs="Arial"/>
                <w:b/>
                <w:szCs w:val="18"/>
                <w:lang w:eastAsia="ja-JP"/>
              </w:rPr>
              <w:t>Criterion                                 Description</w:t>
            </w:r>
          </w:p>
        </w:tc>
      </w:tr>
      <w:tr w:rsidR="00C36AC7" w:rsidRPr="00AF7228" w14:paraId="10E728E0" w14:textId="77777777" w:rsidTr="00C34200">
        <w:trPr>
          <w:trHeight w:val="367"/>
          <w:jc w:val="center"/>
        </w:trPr>
        <w:tc>
          <w:tcPr>
            <w:tcW w:w="2022" w:type="dxa"/>
            <w:tcBorders>
              <w:top w:val="single" w:sz="4" w:space="0" w:color="003D69"/>
              <w:left w:val="nil"/>
              <w:bottom w:val="single" w:sz="4" w:space="0" w:color="003D69"/>
              <w:right w:val="nil"/>
            </w:tcBorders>
            <w:shd w:val="clear" w:color="auto" w:fill="D8DADC"/>
          </w:tcPr>
          <w:p w14:paraId="46714A5C" w14:textId="77777777" w:rsidR="00C36AC7" w:rsidRPr="00AF7228" w:rsidRDefault="00C36AC7" w:rsidP="00C34200">
            <w:pPr>
              <w:pStyle w:val="TableText"/>
              <w:spacing w:before="0" w:after="0" w:line="280" w:lineRule="exact"/>
              <w:rPr>
                <w:rFonts w:cs="Arial"/>
                <w:szCs w:val="18"/>
                <w:lang w:eastAsia="ja-JP"/>
              </w:rPr>
            </w:pPr>
            <w:r w:rsidRPr="00AF7228">
              <w:rPr>
                <w:rFonts w:cs="Arial"/>
                <w:b/>
                <w:szCs w:val="18"/>
                <w:lang w:eastAsia="ja-JP"/>
              </w:rPr>
              <w:t xml:space="preserve">Geographically relevant </w:t>
            </w:r>
          </w:p>
        </w:tc>
        <w:tc>
          <w:tcPr>
            <w:tcW w:w="7001" w:type="dxa"/>
            <w:tcBorders>
              <w:top w:val="single" w:sz="4" w:space="0" w:color="003D69"/>
              <w:left w:val="nil"/>
              <w:bottom w:val="single" w:sz="4" w:space="0" w:color="003D69"/>
              <w:right w:val="nil"/>
            </w:tcBorders>
            <w:shd w:val="clear" w:color="auto" w:fill="auto"/>
          </w:tcPr>
          <w:p w14:paraId="033E87AA" w14:textId="77777777" w:rsidR="00C36AC7" w:rsidRPr="00AF7228" w:rsidRDefault="00C36AC7" w:rsidP="00C34200">
            <w:pPr>
              <w:pStyle w:val="TableText"/>
              <w:spacing w:before="0" w:after="0" w:line="280" w:lineRule="exact"/>
              <w:jc w:val="both"/>
              <w:rPr>
                <w:rFonts w:cs="Arial"/>
                <w:szCs w:val="18"/>
                <w:lang w:eastAsia="ja-JP"/>
              </w:rPr>
            </w:pPr>
            <w:r w:rsidRPr="00AF7228">
              <w:rPr>
                <w:rFonts w:cs="Arial"/>
                <w:szCs w:val="18"/>
                <w:lang w:eastAsia="ja-JP"/>
              </w:rPr>
              <w:t>Only service provide care within a predetermine set geographical region are included.</w:t>
            </w:r>
          </w:p>
        </w:tc>
      </w:tr>
      <w:tr w:rsidR="00C36AC7" w:rsidRPr="00AF7228" w14:paraId="576A7380" w14:textId="77777777" w:rsidTr="00C34200">
        <w:trPr>
          <w:trHeight w:val="870"/>
          <w:jc w:val="center"/>
        </w:trPr>
        <w:tc>
          <w:tcPr>
            <w:tcW w:w="2022" w:type="dxa"/>
            <w:tcBorders>
              <w:top w:val="single" w:sz="4" w:space="0" w:color="003D69"/>
              <w:left w:val="nil"/>
              <w:bottom w:val="single" w:sz="4" w:space="0" w:color="003D69"/>
              <w:right w:val="nil"/>
            </w:tcBorders>
            <w:shd w:val="clear" w:color="auto" w:fill="D8DADC"/>
          </w:tcPr>
          <w:p w14:paraId="0F17E1FC" w14:textId="77777777" w:rsidR="00C36AC7" w:rsidRPr="00AF7228" w:rsidRDefault="00C36AC7" w:rsidP="00C34200">
            <w:pPr>
              <w:pStyle w:val="TableText"/>
              <w:spacing w:before="0" w:after="0" w:line="280" w:lineRule="exact"/>
              <w:rPr>
                <w:rFonts w:cs="Arial"/>
                <w:szCs w:val="18"/>
                <w:lang w:eastAsia="ja-JP"/>
              </w:rPr>
            </w:pPr>
            <w:r w:rsidRPr="00AF7228">
              <w:rPr>
                <w:rFonts w:cs="Arial"/>
                <w:b/>
                <w:szCs w:val="18"/>
                <w:lang w:eastAsia="ja-JP"/>
              </w:rPr>
              <w:t>Specialised</w:t>
            </w:r>
          </w:p>
        </w:tc>
        <w:tc>
          <w:tcPr>
            <w:tcW w:w="7001" w:type="dxa"/>
            <w:tcBorders>
              <w:top w:val="single" w:sz="4" w:space="0" w:color="003D69"/>
              <w:left w:val="nil"/>
              <w:bottom w:val="single" w:sz="4" w:space="0" w:color="003D69"/>
              <w:right w:val="nil"/>
            </w:tcBorders>
            <w:shd w:val="clear" w:color="auto" w:fill="auto"/>
          </w:tcPr>
          <w:p w14:paraId="22454B67" w14:textId="77777777" w:rsidR="00C36AC7" w:rsidRPr="00AF7228" w:rsidRDefault="00C36AC7" w:rsidP="00C34200">
            <w:pPr>
              <w:pStyle w:val="TableText"/>
              <w:spacing w:before="0" w:after="0" w:line="280" w:lineRule="exact"/>
              <w:jc w:val="both"/>
              <w:rPr>
                <w:rFonts w:cs="Arial"/>
                <w:szCs w:val="18"/>
                <w:lang w:eastAsia="ja-JP"/>
              </w:rPr>
            </w:pPr>
            <w:r w:rsidRPr="00AF7228">
              <w:rPr>
                <w:rFonts w:cs="Arial"/>
                <w:szCs w:val="18"/>
                <w:lang w:eastAsia="ja-JP"/>
              </w:rPr>
              <w:t xml:space="preserve">Must specifically target people with a lived experience of mental illness i.e. the primary reason for using the service is for treatment of mental illness related issue. This excludes generalist services that may lack staff with specialised mental health training and experience. </w:t>
            </w:r>
          </w:p>
        </w:tc>
      </w:tr>
      <w:tr w:rsidR="00C36AC7" w:rsidRPr="00AF7228" w14:paraId="1A88ACBA" w14:textId="77777777" w:rsidTr="00C34200">
        <w:trPr>
          <w:trHeight w:val="607"/>
          <w:jc w:val="center"/>
        </w:trPr>
        <w:tc>
          <w:tcPr>
            <w:tcW w:w="2022" w:type="dxa"/>
            <w:tcBorders>
              <w:top w:val="single" w:sz="4" w:space="0" w:color="003D69"/>
              <w:left w:val="nil"/>
              <w:bottom w:val="single" w:sz="4" w:space="0" w:color="003D69"/>
              <w:right w:val="nil"/>
            </w:tcBorders>
            <w:shd w:val="clear" w:color="auto" w:fill="D8DADC"/>
          </w:tcPr>
          <w:p w14:paraId="29DDE179" w14:textId="77777777" w:rsidR="00C36AC7" w:rsidRPr="00AF7228" w:rsidRDefault="00C36AC7" w:rsidP="00C34200">
            <w:pPr>
              <w:pStyle w:val="TableText"/>
              <w:spacing w:before="0" w:after="0" w:line="280" w:lineRule="exact"/>
              <w:rPr>
                <w:rFonts w:cs="Arial"/>
                <w:szCs w:val="18"/>
                <w:lang w:eastAsia="ja-JP"/>
              </w:rPr>
            </w:pPr>
            <w:r w:rsidRPr="00AF7228">
              <w:rPr>
                <w:rFonts w:cs="Arial"/>
                <w:b/>
                <w:szCs w:val="18"/>
                <w:lang w:eastAsia="ja-JP"/>
              </w:rPr>
              <w:t>Universally accessible</w:t>
            </w:r>
          </w:p>
        </w:tc>
        <w:tc>
          <w:tcPr>
            <w:tcW w:w="7001" w:type="dxa"/>
            <w:tcBorders>
              <w:top w:val="single" w:sz="4" w:space="0" w:color="003D69"/>
              <w:left w:val="nil"/>
              <w:bottom w:val="single" w:sz="4" w:space="0" w:color="003D69"/>
              <w:right w:val="nil"/>
            </w:tcBorders>
            <w:shd w:val="clear" w:color="auto" w:fill="auto"/>
          </w:tcPr>
          <w:p w14:paraId="401FAEFB" w14:textId="77777777" w:rsidR="00C36AC7" w:rsidRPr="00AF7228" w:rsidRDefault="00C36AC7" w:rsidP="00C34200">
            <w:pPr>
              <w:pStyle w:val="TableText"/>
              <w:spacing w:before="0" w:after="0" w:line="280" w:lineRule="exact"/>
              <w:jc w:val="both"/>
              <w:rPr>
                <w:rFonts w:cs="Arial"/>
                <w:szCs w:val="18"/>
                <w:lang w:eastAsia="ja-JP"/>
              </w:rPr>
            </w:pPr>
            <w:r w:rsidRPr="00AF7228">
              <w:rPr>
                <w:rFonts w:cs="Arial"/>
                <w:szCs w:val="18"/>
                <w:lang w:eastAsia="ja-JP"/>
              </w:rPr>
              <w:t>Regardless of whether they are publicly or privately funded, only services that do not have a significant out-of-pocket cost are included.</w:t>
            </w:r>
          </w:p>
        </w:tc>
      </w:tr>
      <w:tr w:rsidR="00C36AC7" w:rsidRPr="00AF7228" w14:paraId="78C60BE7" w14:textId="77777777" w:rsidTr="00C34200">
        <w:trPr>
          <w:trHeight w:val="394"/>
          <w:jc w:val="center"/>
        </w:trPr>
        <w:tc>
          <w:tcPr>
            <w:tcW w:w="2022" w:type="dxa"/>
            <w:tcBorders>
              <w:top w:val="single" w:sz="4" w:space="0" w:color="003D69"/>
              <w:left w:val="nil"/>
              <w:bottom w:val="single" w:sz="4" w:space="0" w:color="003D69"/>
              <w:right w:val="nil"/>
            </w:tcBorders>
            <w:shd w:val="clear" w:color="auto" w:fill="D8DADC"/>
          </w:tcPr>
          <w:p w14:paraId="0857115F" w14:textId="77777777" w:rsidR="00C36AC7" w:rsidRPr="00AF7228" w:rsidRDefault="00C36AC7" w:rsidP="00C34200">
            <w:pPr>
              <w:pStyle w:val="TableText"/>
              <w:spacing w:before="0" w:after="0" w:line="280" w:lineRule="exact"/>
              <w:rPr>
                <w:rFonts w:cs="Arial"/>
                <w:szCs w:val="18"/>
                <w:lang w:eastAsia="ja-JP"/>
              </w:rPr>
            </w:pPr>
            <w:r w:rsidRPr="00AF7228">
              <w:rPr>
                <w:rFonts w:cs="Arial"/>
                <w:b/>
                <w:szCs w:val="18"/>
                <w:lang w:eastAsia="ja-JP"/>
              </w:rPr>
              <w:t>Stable</w:t>
            </w:r>
          </w:p>
        </w:tc>
        <w:tc>
          <w:tcPr>
            <w:tcW w:w="7001" w:type="dxa"/>
            <w:tcBorders>
              <w:top w:val="single" w:sz="4" w:space="0" w:color="003D69"/>
              <w:left w:val="nil"/>
              <w:bottom w:val="single" w:sz="4" w:space="0" w:color="003D69"/>
              <w:right w:val="nil"/>
            </w:tcBorders>
            <w:shd w:val="clear" w:color="auto" w:fill="auto"/>
          </w:tcPr>
          <w:p w14:paraId="0F422D07" w14:textId="77777777" w:rsidR="00C36AC7" w:rsidRPr="00AF7228" w:rsidRDefault="00C36AC7" w:rsidP="00C34200">
            <w:pPr>
              <w:pStyle w:val="TableText"/>
              <w:spacing w:before="0" w:after="0" w:line="280" w:lineRule="exact"/>
              <w:jc w:val="both"/>
              <w:rPr>
                <w:rFonts w:cs="Arial"/>
                <w:szCs w:val="18"/>
                <w:lang w:eastAsia="ja-JP"/>
              </w:rPr>
            </w:pPr>
            <w:r w:rsidRPr="00AF7228">
              <w:rPr>
                <w:rFonts w:cs="Arial"/>
                <w:szCs w:val="18"/>
                <w:lang w:eastAsia="ja-JP"/>
              </w:rPr>
              <w:t>The service has or will receive funding for more than three years.</w:t>
            </w:r>
          </w:p>
        </w:tc>
      </w:tr>
      <w:tr w:rsidR="00C36AC7" w:rsidRPr="00AF7228" w14:paraId="0F8EAD16" w14:textId="77777777" w:rsidTr="00C34200">
        <w:trPr>
          <w:trHeight w:val="884"/>
          <w:jc w:val="center"/>
        </w:trPr>
        <w:tc>
          <w:tcPr>
            <w:tcW w:w="2022" w:type="dxa"/>
            <w:tcBorders>
              <w:top w:val="single" w:sz="4" w:space="0" w:color="003D69"/>
              <w:left w:val="nil"/>
              <w:bottom w:val="single" w:sz="4" w:space="0" w:color="003D69"/>
              <w:right w:val="nil"/>
            </w:tcBorders>
            <w:shd w:val="clear" w:color="auto" w:fill="D8DADC"/>
          </w:tcPr>
          <w:p w14:paraId="60C39D1E" w14:textId="77777777" w:rsidR="00C36AC7" w:rsidRPr="00AF7228" w:rsidRDefault="00C36AC7" w:rsidP="00C34200">
            <w:pPr>
              <w:pStyle w:val="TableText"/>
              <w:spacing w:before="0" w:after="0" w:line="280" w:lineRule="exact"/>
              <w:rPr>
                <w:rFonts w:cs="Arial"/>
                <w:szCs w:val="18"/>
                <w:lang w:eastAsia="ja-JP"/>
              </w:rPr>
            </w:pPr>
            <w:r w:rsidRPr="00AF7228">
              <w:rPr>
                <w:rFonts w:cs="Arial"/>
                <w:b/>
                <w:szCs w:val="18"/>
                <w:lang w:eastAsia="ja-JP"/>
              </w:rPr>
              <w:t>Providing direct care or support</w:t>
            </w:r>
          </w:p>
        </w:tc>
        <w:tc>
          <w:tcPr>
            <w:tcW w:w="7001" w:type="dxa"/>
            <w:tcBorders>
              <w:top w:val="single" w:sz="4" w:space="0" w:color="003D69"/>
              <w:left w:val="nil"/>
              <w:bottom w:val="single" w:sz="4" w:space="0" w:color="003D69"/>
              <w:right w:val="nil"/>
            </w:tcBorders>
            <w:shd w:val="clear" w:color="auto" w:fill="auto"/>
          </w:tcPr>
          <w:p w14:paraId="4B6F8002" w14:textId="77777777" w:rsidR="00C36AC7" w:rsidRPr="00AF7228" w:rsidRDefault="00C36AC7" w:rsidP="00C34200">
            <w:pPr>
              <w:pStyle w:val="TableText"/>
              <w:spacing w:before="0" w:after="0" w:line="280" w:lineRule="exact"/>
              <w:jc w:val="both"/>
              <w:rPr>
                <w:rFonts w:cs="Arial"/>
                <w:szCs w:val="18"/>
                <w:lang w:eastAsia="ja-JP"/>
              </w:rPr>
            </w:pPr>
            <w:r w:rsidRPr="00AF7228">
              <w:rPr>
                <w:rFonts w:cs="Arial"/>
                <w:szCs w:val="18"/>
                <w:lang w:eastAsia="ja-JP"/>
              </w:rPr>
              <w:t>Must provide direct contact to people with a lived experience of mental illness. Services that are only concerned with the coordination of other services or system improvement are excluded.</w:t>
            </w:r>
          </w:p>
        </w:tc>
      </w:tr>
    </w:tbl>
    <w:p w14:paraId="12EBEEA1" w14:textId="4B85E510" w:rsidR="00C36AC7" w:rsidRPr="00AF7228" w:rsidRDefault="00C36AC7" w:rsidP="00C36AC7">
      <w:pPr>
        <w:pStyle w:val="BodyText"/>
      </w:pPr>
    </w:p>
    <w:p w14:paraId="6AB17E10" w14:textId="6F8A1A40" w:rsidR="00C36AC7" w:rsidRPr="00AF7228" w:rsidRDefault="00C36AC7" w:rsidP="00C36AC7">
      <w:pPr>
        <w:pStyle w:val="BodyText"/>
      </w:pPr>
    </w:p>
    <w:p w14:paraId="2C0CE04F" w14:textId="77777777" w:rsidR="00C36AC7" w:rsidRPr="00AF7228" w:rsidRDefault="00C36AC7" w:rsidP="00C36AC7">
      <w:pPr>
        <w:pStyle w:val="BodyText"/>
      </w:pPr>
    </w:p>
    <w:p w14:paraId="520C0E74" w14:textId="77777777" w:rsidR="00C36AC7" w:rsidRPr="00AF7228" w:rsidRDefault="00C36AC7" w:rsidP="00C36AC7">
      <w:pPr>
        <w:pStyle w:val="BodyText"/>
      </w:pPr>
    </w:p>
    <w:p w14:paraId="5FC6BD7C" w14:textId="2719D7F6" w:rsidR="00C36AC7" w:rsidRPr="00AF7228" w:rsidRDefault="00C36AC7" w:rsidP="00C36AC7">
      <w:pPr>
        <w:spacing w:before="0" w:after="0"/>
      </w:pPr>
      <w:r w:rsidRPr="00AF7228">
        <w:br w:type="page"/>
      </w:r>
    </w:p>
    <w:p w14:paraId="257EB044" w14:textId="77777777" w:rsidR="00C36AC7" w:rsidRPr="00AF7228" w:rsidRDefault="00C36AC7" w:rsidP="00C36AC7">
      <w:pPr>
        <w:spacing w:before="0" w:after="0"/>
      </w:pPr>
    </w:p>
    <w:p w14:paraId="215219C4" w14:textId="77777777" w:rsidR="00C36AC7" w:rsidRPr="00AF7228" w:rsidRDefault="00C36AC7" w:rsidP="00C36AC7">
      <w:pPr>
        <w:pStyle w:val="FigureCaption"/>
        <w:spacing w:before="0" w:line="240" w:lineRule="atLeast"/>
      </w:pPr>
      <w:bookmarkStart w:id="116" w:name="_Toc514231062"/>
      <w:bookmarkStart w:id="117" w:name="_Toc6237992"/>
      <w:r w:rsidRPr="00AF7228">
        <w:t>Long Term Care Mapping Tree</w:t>
      </w:r>
      <w:bookmarkEnd w:id="116"/>
      <w:bookmarkEnd w:id="117"/>
    </w:p>
    <w:p w14:paraId="5C3C6E88" w14:textId="6B60AA76" w:rsidR="00C36AC7" w:rsidRPr="00AF7228" w:rsidRDefault="00C36AC7" w:rsidP="00C36AC7">
      <w:pPr>
        <w:pStyle w:val="BodyText"/>
      </w:pPr>
      <w:r w:rsidRPr="00AF7228">
        <w:rPr>
          <w:noProof/>
          <w:lang w:eastAsia="en-AU"/>
        </w:rPr>
        <w:drawing>
          <wp:anchor distT="0" distB="0" distL="114300" distR="114300" simplePos="0" relativeHeight="251789824" behindDoc="0" locked="0" layoutInCell="1" allowOverlap="1" wp14:anchorId="0471A2B7" wp14:editId="0743E5BD">
            <wp:simplePos x="0" y="0"/>
            <wp:positionH relativeFrom="column">
              <wp:posOffset>635</wp:posOffset>
            </wp:positionH>
            <wp:positionV relativeFrom="paragraph">
              <wp:posOffset>-2409190</wp:posOffset>
            </wp:positionV>
            <wp:extent cx="5828030" cy="2555240"/>
            <wp:effectExtent l="0" t="0" r="1270" b="0"/>
            <wp:wrapSquare wrapText="bothSides"/>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828030" cy="2555240"/>
                    </a:xfrm>
                    <a:prstGeom prst="rect">
                      <a:avLst/>
                    </a:prstGeom>
                  </pic:spPr>
                </pic:pic>
              </a:graphicData>
            </a:graphic>
            <wp14:sizeRelH relativeFrom="page">
              <wp14:pctWidth>0</wp14:pctWidth>
            </wp14:sizeRelH>
            <wp14:sizeRelV relativeFrom="page">
              <wp14:pctHeight>0</wp14:pctHeight>
            </wp14:sizeRelV>
          </wp:anchor>
        </w:drawing>
      </w:r>
      <w:r w:rsidRPr="00AF7228">
        <w:t xml:space="preserve">As with the other 19 Atlas reports </w:t>
      </w:r>
      <w:r w:rsidRPr="00AF7228">
        <w:rPr>
          <w:noProof/>
          <w:lang w:eastAsia="en-AU"/>
        </w:rPr>
        <mc:AlternateContent>
          <mc:Choice Requires="wpg">
            <w:drawing>
              <wp:anchor distT="0" distB="0" distL="114300" distR="114300" simplePos="0" relativeHeight="251791872" behindDoc="0" locked="0" layoutInCell="1" allowOverlap="1" wp14:anchorId="0302A7FD" wp14:editId="17F34CE2">
                <wp:simplePos x="0" y="0"/>
                <wp:positionH relativeFrom="margin">
                  <wp:align>center</wp:align>
                </wp:positionH>
                <wp:positionV relativeFrom="paragraph">
                  <wp:posOffset>543560</wp:posOffset>
                </wp:positionV>
                <wp:extent cx="5145405" cy="3084195"/>
                <wp:effectExtent l="0" t="0" r="36195" b="14605"/>
                <wp:wrapTopAndBottom/>
                <wp:docPr id="209"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45405" cy="3084195"/>
                          <a:chOff x="0" y="0"/>
                          <a:chExt cx="5145409" cy="3084813"/>
                        </a:xfrm>
                      </wpg:grpSpPr>
                      <wps:wsp>
                        <wps:cNvPr id="210" name="Rounded Rectangle 210"/>
                        <wps:cNvSpPr/>
                        <wps:spPr>
                          <a:xfrm>
                            <a:off x="0" y="2453729"/>
                            <a:ext cx="5139566" cy="631084"/>
                          </a:xfrm>
                          <a:prstGeom prst="roundRect">
                            <a:avLst/>
                          </a:prstGeom>
                          <a:noFill/>
                          <a:ln w="22225" cap="rnd" cmpd="sng" algn="ctr">
                            <a:solidFill>
                              <a:srgbClr val="003D69"/>
                            </a:solidFill>
                            <a:prstDash val="solid"/>
                            <a:round/>
                          </a:ln>
                          <a:effectLst/>
                        </wps:spPr>
                        <wps:txbx>
                          <w:txbxContent>
                            <w:p w14:paraId="606DEC62" w14:textId="77777777" w:rsidR="00B303FA" w:rsidRDefault="00B303FA" w:rsidP="00C36AC7">
                              <w:pPr>
                                <w:pStyle w:val="NormalWeb"/>
                                <w:spacing w:before="0" w:beforeAutospacing="0" w:after="0" w:afterAutospacing="0"/>
                                <w:jc w:val="center"/>
                              </w:pPr>
                              <w:r w:rsidRPr="009D305D">
                                <w:rPr>
                                  <w:rFonts w:ascii="Arial" w:eastAsia="Arial" w:hAnsi="Arial" w:cs="Arial"/>
                                  <w:color w:val="000000"/>
                                  <w:kern w:val="24"/>
                                  <w:sz w:val="20"/>
                                  <w:szCs w:val="20"/>
                                </w:rPr>
                                <w:t>Integration of information</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11" name="Rounded Rectangle 211"/>
                        <wps:cNvSpPr/>
                        <wps:spPr>
                          <a:xfrm>
                            <a:off x="2960331" y="0"/>
                            <a:ext cx="2179234" cy="525488"/>
                          </a:xfrm>
                          <a:prstGeom prst="roundRect">
                            <a:avLst/>
                          </a:prstGeom>
                          <a:noFill/>
                          <a:ln w="22225" cap="rnd" cmpd="sng" algn="ctr">
                            <a:solidFill>
                              <a:srgbClr val="003D69"/>
                            </a:solidFill>
                            <a:prstDash val="solid"/>
                            <a:round/>
                          </a:ln>
                          <a:effectLst/>
                        </wps:spPr>
                        <wps:txbx>
                          <w:txbxContent>
                            <w:p w14:paraId="7EE1907B" w14:textId="77777777" w:rsidR="00B303FA" w:rsidRDefault="00B303FA" w:rsidP="00C36AC7">
                              <w:pPr>
                                <w:pStyle w:val="NormalWeb"/>
                                <w:spacing w:before="0" w:beforeAutospacing="0" w:after="0" w:afterAutospacing="0"/>
                                <w:jc w:val="center"/>
                              </w:pPr>
                              <w:r w:rsidRPr="009D305D">
                                <w:rPr>
                                  <w:rFonts w:ascii="Arial" w:eastAsia="Arial" w:hAnsi="Arial" w:cs="Arial"/>
                                  <w:color w:val="000000"/>
                                  <w:kern w:val="24"/>
                                  <w:sz w:val="20"/>
                                  <w:szCs w:val="20"/>
                                </w:rPr>
                                <w:t>Identification of available databases with local data</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2" name="Rounded Rectangle 212"/>
                        <wps:cNvSpPr/>
                        <wps:spPr>
                          <a:xfrm>
                            <a:off x="0" y="0"/>
                            <a:ext cx="2179234" cy="1232655"/>
                          </a:xfrm>
                          <a:prstGeom prst="roundRect">
                            <a:avLst/>
                          </a:prstGeom>
                          <a:noFill/>
                          <a:ln w="22225" cap="rnd" cmpd="sng" algn="ctr">
                            <a:solidFill>
                              <a:srgbClr val="003D69"/>
                            </a:solidFill>
                            <a:prstDash val="solid"/>
                            <a:round/>
                          </a:ln>
                          <a:effectLst/>
                        </wps:spPr>
                        <wps:txbx>
                          <w:txbxContent>
                            <w:p w14:paraId="388B42DD" w14:textId="77777777" w:rsidR="00B303FA" w:rsidRDefault="00B303FA" w:rsidP="00C36AC7">
                              <w:pPr>
                                <w:pStyle w:val="NormalWeb"/>
                                <w:spacing w:before="0" w:beforeAutospacing="0" w:after="0" w:afterAutospacing="0"/>
                                <w:jc w:val="center"/>
                              </w:pPr>
                              <w:r w:rsidRPr="009D305D">
                                <w:rPr>
                                  <w:rFonts w:ascii="Arial" w:eastAsia="Arial" w:hAnsi="Arial" w:cs="Arial"/>
                                  <w:color w:val="000000"/>
                                  <w:kern w:val="24"/>
                                  <w:sz w:val="20"/>
                                  <w:szCs w:val="20"/>
                                </w:rPr>
                                <w:t>Data Collection</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13" name="Rounded Rectangle 213"/>
                        <wps:cNvSpPr/>
                        <wps:spPr>
                          <a:xfrm>
                            <a:off x="77913" y="800222"/>
                            <a:ext cx="2020295" cy="302683"/>
                          </a:xfrm>
                          <a:prstGeom prst="roundRect">
                            <a:avLst/>
                          </a:prstGeom>
                          <a:noFill/>
                          <a:ln w="22225" cap="rnd" cmpd="sng" algn="ctr">
                            <a:solidFill>
                              <a:srgbClr val="C4D7E6"/>
                            </a:solidFill>
                            <a:prstDash val="solid"/>
                            <a:round/>
                          </a:ln>
                          <a:effectLst/>
                        </wps:spPr>
                        <wps:txbx>
                          <w:txbxContent>
                            <w:p w14:paraId="414F1FAB" w14:textId="77777777" w:rsidR="00B303FA" w:rsidRDefault="00B303FA" w:rsidP="00C36AC7">
                              <w:pPr>
                                <w:pStyle w:val="NormalWeb"/>
                                <w:spacing w:before="0" w:beforeAutospacing="0" w:after="0" w:afterAutospacing="0"/>
                                <w:jc w:val="center"/>
                              </w:pPr>
                              <w:r w:rsidRPr="009D305D">
                                <w:rPr>
                                  <w:rFonts w:ascii="Arial" w:eastAsia="Arial" w:hAnsi="Arial" w:cs="Arial"/>
                                  <w:color w:val="000000"/>
                                  <w:kern w:val="24"/>
                                  <w:sz w:val="20"/>
                                  <w:szCs w:val="20"/>
                                </w:rPr>
                                <w:t>Interview service providers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4" name="Rounded Rectangle 214"/>
                        <wps:cNvSpPr/>
                        <wps:spPr>
                          <a:xfrm>
                            <a:off x="0" y="1341323"/>
                            <a:ext cx="2179234" cy="432586"/>
                          </a:xfrm>
                          <a:prstGeom prst="roundRect">
                            <a:avLst/>
                          </a:prstGeom>
                          <a:noFill/>
                          <a:ln w="22225" cap="rnd" cmpd="sng" algn="ctr">
                            <a:solidFill>
                              <a:srgbClr val="003D69"/>
                            </a:solidFill>
                            <a:prstDash val="solid"/>
                            <a:round/>
                          </a:ln>
                          <a:effectLst/>
                        </wps:spPr>
                        <wps:txbx>
                          <w:txbxContent>
                            <w:p w14:paraId="7E21722F" w14:textId="77777777" w:rsidR="00B303FA" w:rsidRDefault="00B303FA" w:rsidP="00C36AC7">
                              <w:pPr>
                                <w:pStyle w:val="NormalWeb"/>
                                <w:spacing w:before="0" w:beforeAutospacing="0" w:after="0" w:afterAutospacing="0"/>
                                <w:jc w:val="center"/>
                              </w:pPr>
                              <w:r w:rsidRPr="009D305D">
                                <w:rPr>
                                  <w:rFonts w:ascii="Arial" w:eastAsia="Arial" w:hAnsi="Arial" w:cs="Arial"/>
                                  <w:color w:val="000000"/>
                                  <w:kern w:val="24"/>
                                  <w:sz w:val="20"/>
                                  <w:szCs w:val="20"/>
                                </w:rPr>
                                <w:t>Coding of services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5" name="Rounded Rectangle 215"/>
                        <wps:cNvSpPr/>
                        <wps:spPr>
                          <a:xfrm>
                            <a:off x="0" y="1871003"/>
                            <a:ext cx="2179234" cy="441898"/>
                          </a:xfrm>
                          <a:prstGeom prst="roundRect">
                            <a:avLst/>
                          </a:prstGeom>
                          <a:noFill/>
                          <a:ln w="22225" cap="rnd" cmpd="sng" algn="ctr">
                            <a:solidFill>
                              <a:srgbClr val="003D69"/>
                            </a:solidFill>
                            <a:prstDash val="solid"/>
                            <a:round/>
                          </a:ln>
                          <a:effectLst/>
                        </wps:spPr>
                        <wps:txbx>
                          <w:txbxContent>
                            <w:p w14:paraId="33AD0843" w14:textId="77777777" w:rsidR="00B303FA" w:rsidRDefault="00B303FA" w:rsidP="00C36AC7">
                              <w:pPr>
                                <w:pStyle w:val="NormalWeb"/>
                                <w:spacing w:before="0" w:beforeAutospacing="0" w:after="0" w:afterAutospacing="0"/>
                                <w:jc w:val="center"/>
                              </w:pPr>
                              <w:r w:rsidRPr="009D305D">
                                <w:rPr>
                                  <w:rFonts w:ascii="Arial" w:eastAsia="Arial" w:hAnsi="Arial" w:cs="Arial"/>
                                  <w:color w:val="000000"/>
                                  <w:kern w:val="24"/>
                                  <w:sz w:val="20"/>
                                  <w:szCs w:val="20"/>
                                </w:rPr>
                                <w:t>Analysis of patterns of care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6" name="Rounded Rectangle 216"/>
                        <wps:cNvSpPr/>
                        <wps:spPr>
                          <a:xfrm>
                            <a:off x="2960331" y="652315"/>
                            <a:ext cx="2179234" cy="1029501"/>
                          </a:xfrm>
                          <a:prstGeom prst="roundRect">
                            <a:avLst/>
                          </a:prstGeom>
                          <a:noFill/>
                          <a:ln w="22225" cap="rnd" cmpd="sng" algn="ctr">
                            <a:solidFill>
                              <a:srgbClr val="003D69"/>
                            </a:solidFill>
                            <a:prstDash val="solid"/>
                            <a:round/>
                          </a:ln>
                          <a:effectLst/>
                        </wps:spPr>
                        <wps:txbx>
                          <w:txbxContent>
                            <w:p w14:paraId="1EB59847" w14:textId="77777777" w:rsidR="00B303FA" w:rsidRDefault="00B303FA" w:rsidP="00C36AC7">
                              <w:pPr>
                                <w:pStyle w:val="NormalWeb"/>
                                <w:spacing w:before="0" w:beforeAutospacing="0" w:after="0" w:afterAutospacing="0"/>
                                <w:jc w:val="center"/>
                              </w:pPr>
                              <w:r w:rsidRPr="009D305D">
                                <w:rPr>
                                  <w:rFonts w:ascii="Arial" w:eastAsia="Arial" w:hAnsi="Arial" w:cs="Arial"/>
                                  <w:color w:val="000000"/>
                                  <w:kern w:val="24"/>
                                  <w:sz w:val="20"/>
                                  <w:szCs w:val="20"/>
                                </w:rPr>
                                <w:t>Analysis of local data</w:t>
                              </w:r>
                            </w:p>
                            <w:p w14:paraId="379FA107" w14:textId="77777777" w:rsidR="00B303FA" w:rsidRDefault="00B303FA" w:rsidP="00C36AC7">
                              <w:pPr>
                                <w:pStyle w:val="NormalWeb"/>
                                <w:spacing w:before="0" w:beforeAutospacing="0" w:after="0" w:afterAutospacing="0"/>
                                <w:jc w:val="center"/>
                              </w:pPr>
                              <w:r w:rsidRPr="009D305D">
                                <w:rPr>
                                  <w:rFonts w:ascii="Arial" w:eastAsia="Arial" w:hAnsi="Arial" w:cs="Arial"/>
                                  <w:color w:val="000000"/>
                                  <w:kern w:val="24"/>
                                  <w:sz w:val="20"/>
                                  <w:szCs w:val="20"/>
                                </w:rPr>
                                <w:t>(mapping of demographic and socio-economic indicators relevant to mental health and AOD)</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8" name="Rounded Rectangle 218"/>
                        <wps:cNvSpPr/>
                        <wps:spPr>
                          <a:xfrm>
                            <a:off x="77913" y="307791"/>
                            <a:ext cx="2020295" cy="432023"/>
                          </a:xfrm>
                          <a:prstGeom prst="roundRect">
                            <a:avLst/>
                          </a:prstGeom>
                          <a:noFill/>
                          <a:ln w="22225" cap="rnd" cmpd="sng" algn="ctr">
                            <a:solidFill>
                              <a:srgbClr val="C4D7E6"/>
                            </a:solidFill>
                            <a:prstDash val="solid"/>
                            <a:round/>
                          </a:ln>
                          <a:effectLst/>
                        </wps:spPr>
                        <wps:txbx>
                          <w:txbxContent>
                            <w:p w14:paraId="238D0324" w14:textId="77777777" w:rsidR="00B303FA" w:rsidRDefault="00B303FA" w:rsidP="00C36AC7">
                              <w:pPr>
                                <w:pStyle w:val="NormalWeb"/>
                                <w:spacing w:before="0" w:beforeAutospacing="0" w:after="0" w:afterAutospacing="0"/>
                                <w:jc w:val="center"/>
                              </w:pPr>
                              <w:r w:rsidRPr="009D305D">
                                <w:rPr>
                                  <w:rFonts w:ascii="Arial" w:eastAsia="Arial" w:hAnsi="Arial" w:cs="Arial"/>
                                  <w:color w:val="000000"/>
                                  <w:kern w:val="24"/>
                                  <w:sz w:val="20"/>
                                  <w:szCs w:val="20"/>
                                </w:rPr>
                                <w:t>Identification of all MH and AOD services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9" name="Rounded Rectangle 219"/>
                        <wps:cNvSpPr/>
                        <wps:spPr>
                          <a:xfrm>
                            <a:off x="2966175" y="1787412"/>
                            <a:ext cx="2179234" cy="525489"/>
                          </a:xfrm>
                          <a:prstGeom prst="roundRect">
                            <a:avLst/>
                          </a:prstGeom>
                          <a:noFill/>
                          <a:ln w="22225" cap="rnd" cmpd="sng" algn="ctr">
                            <a:solidFill>
                              <a:srgbClr val="003D69"/>
                            </a:solidFill>
                            <a:prstDash val="solid"/>
                            <a:round/>
                          </a:ln>
                          <a:effectLst/>
                        </wps:spPr>
                        <wps:txbx>
                          <w:txbxContent>
                            <w:p w14:paraId="6244827C" w14:textId="77777777" w:rsidR="00B303FA" w:rsidRDefault="00B303FA" w:rsidP="00C36AC7">
                              <w:pPr>
                                <w:pStyle w:val="NormalWeb"/>
                                <w:spacing w:before="0" w:beforeAutospacing="0" w:after="0" w:afterAutospacing="0"/>
                                <w:jc w:val="center"/>
                              </w:pPr>
                              <w:r w:rsidRPr="009D305D">
                                <w:rPr>
                                  <w:rFonts w:ascii="Arial" w:eastAsia="Arial" w:hAnsi="Arial" w:cs="Arial"/>
                                  <w:color w:val="000000"/>
                                  <w:kern w:val="24"/>
                                  <w:sz w:val="20"/>
                                  <w:szCs w:val="20"/>
                                </w:rPr>
                                <w:t>Mapping of services in relation to indicators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20" name="Down Arrow 220"/>
                        <wps:cNvSpPr/>
                        <wps:spPr>
                          <a:xfrm>
                            <a:off x="2056526" y="0"/>
                            <a:ext cx="1023913" cy="2505988"/>
                          </a:xfrm>
                          <a:prstGeom prst="downArrow">
                            <a:avLst/>
                          </a:prstGeom>
                          <a:solidFill>
                            <a:sysClr val="window" lastClr="FFFFFF"/>
                          </a:solidFill>
                          <a:ln w="22225" cap="rnd" cmpd="sng" algn="ctr">
                            <a:solidFill>
                              <a:srgbClr val="003D69"/>
                            </a:solidFill>
                            <a:prstDash val="solid"/>
                            <a:round/>
                          </a:ln>
                          <a:effectLst/>
                        </wps:spPr>
                        <wps:txbx>
                          <w:txbxContent>
                            <w:p w14:paraId="5A52D6E5" w14:textId="77777777" w:rsidR="00B303FA" w:rsidRDefault="00B303FA" w:rsidP="00C36AC7">
                              <w:pPr>
                                <w:pStyle w:val="NormalWeb"/>
                                <w:spacing w:before="0" w:beforeAutospacing="0" w:after="0" w:afterAutospacing="0"/>
                                <w:jc w:val="center"/>
                              </w:pPr>
                              <w:r w:rsidRPr="009D305D">
                                <w:rPr>
                                  <w:rFonts w:ascii="Arial" w:eastAsia="Arial" w:hAnsi="Arial" w:cs="Arial"/>
                                  <w:color w:val="000000"/>
                                  <w:kern w:val="24"/>
                                  <w:sz w:val="20"/>
                                  <w:szCs w:val="20"/>
                                </w:rPr>
                                <w:t xml:space="preserve">Regular meetings with EMPHN to validate findings  </w:t>
                              </w:r>
                            </w:p>
                          </w:txbxContent>
                        </wps:txbx>
                        <wps:bodyPr vert="vert270" rtlCol="0" anchor="ctr"/>
                      </wps:wsp>
                      <wps:wsp>
                        <wps:cNvPr id="221" name="Rounded Rectangle 221"/>
                        <wps:cNvSpPr/>
                        <wps:spPr>
                          <a:xfrm>
                            <a:off x="158939" y="2718577"/>
                            <a:ext cx="1861356" cy="265135"/>
                          </a:xfrm>
                          <a:prstGeom prst="roundRect">
                            <a:avLst/>
                          </a:prstGeom>
                          <a:noFill/>
                          <a:ln w="22225" cap="rnd" cmpd="sng" algn="ctr">
                            <a:solidFill>
                              <a:srgbClr val="C4D7E6"/>
                            </a:solidFill>
                            <a:prstDash val="solid"/>
                            <a:round/>
                          </a:ln>
                          <a:effectLst/>
                        </wps:spPr>
                        <wps:txbx>
                          <w:txbxContent>
                            <w:p w14:paraId="38782B21" w14:textId="77777777" w:rsidR="00B303FA" w:rsidRDefault="00B303FA" w:rsidP="00C36AC7">
                              <w:pPr>
                                <w:pStyle w:val="NormalWeb"/>
                                <w:spacing w:before="0" w:beforeAutospacing="0" w:after="0" w:afterAutospacing="0"/>
                                <w:jc w:val="center"/>
                              </w:pPr>
                              <w:r w:rsidRPr="009D305D">
                                <w:rPr>
                                  <w:rFonts w:ascii="Arial" w:eastAsia="Arial" w:hAnsi="Arial" w:cs="Arial"/>
                                  <w:color w:val="000000"/>
                                  <w:kern w:val="24"/>
                                  <w:sz w:val="20"/>
                                  <w:szCs w:val="20"/>
                                </w:rPr>
                                <w:t>Report for comment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22" name="Rounded Rectangle 222"/>
                        <wps:cNvSpPr/>
                        <wps:spPr>
                          <a:xfrm>
                            <a:off x="3119270" y="2718577"/>
                            <a:ext cx="1861356" cy="265135"/>
                          </a:xfrm>
                          <a:prstGeom prst="roundRect">
                            <a:avLst/>
                          </a:prstGeom>
                          <a:noFill/>
                          <a:ln w="22225" cap="rnd" cmpd="sng" algn="ctr">
                            <a:solidFill>
                              <a:srgbClr val="C4D7E6"/>
                            </a:solidFill>
                            <a:prstDash val="solid"/>
                            <a:round/>
                          </a:ln>
                          <a:effectLst/>
                        </wps:spPr>
                        <wps:txbx>
                          <w:txbxContent>
                            <w:p w14:paraId="39764653" w14:textId="77777777" w:rsidR="00B303FA" w:rsidRDefault="00B303FA" w:rsidP="00C36AC7">
                              <w:pPr>
                                <w:pStyle w:val="NormalWeb"/>
                                <w:spacing w:before="0" w:beforeAutospacing="0" w:after="0" w:afterAutospacing="0"/>
                                <w:jc w:val="center"/>
                              </w:pPr>
                              <w:r w:rsidRPr="009D305D">
                                <w:rPr>
                                  <w:rFonts w:ascii="Arial" w:eastAsia="Arial" w:hAnsi="Arial" w:cs="Arial"/>
                                  <w:color w:val="000000"/>
                                  <w:kern w:val="24"/>
                                  <w:sz w:val="20"/>
                                  <w:szCs w:val="20"/>
                                </w:rPr>
                                <w:t>Final Report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23" name="Straight Arrow Connector 223"/>
                        <wps:cNvCnPr>
                          <a:stCxn id="221" idx="3"/>
                          <a:endCxn id="222" idx="1"/>
                        </wps:cNvCnPr>
                        <wps:spPr>
                          <a:xfrm>
                            <a:off x="2020296" y="2851145"/>
                            <a:ext cx="1098975" cy="0"/>
                          </a:xfrm>
                          <a:prstGeom prst="straightConnector1">
                            <a:avLst/>
                          </a:prstGeom>
                          <a:noFill/>
                          <a:ln w="22225" cap="flat" cmpd="sng" algn="ctr">
                            <a:solidFill>
                              <a:srgbClr val="003D69"/>
                            </a:solidFill>
                            <a:prstDash val="solid"/>
                            <a:miter lim="800000"/>
                            <a:tailEnd type="triangle"/>
                          </a:ln>
                          <a:effec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302A7FD" id="Group 1" o:spid="_x0000_s1027" style="position:absolute;margin-left:0;margin-top:42.8pt;width:405.15pt;height:242.85pt;z-index:251791872;mso-position-horizontal:center;mso-position-horizontal-relative:margin" coordsize="51454,30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ObUzgUAADgqAAAOAAAAZHJzL2Uyb0RvYy54bWzsWm1vozgQ/n7S/QfE92uwgQBR01XVtNVJ&#10;1V613dN+doEk6MDmbKdJ79fvjA3kpU2b3TtVySWtFAHGxp7xM/OMZ84/LarSecqlKgQfuuTMc52c&#10;pyIr+GTo/vn15rfYdZRmPGOl4PnQfc6V++ni11/O5/Ugp2IqyiyXDgzC1WBeD92p1vWg11PpNK+Y&#10;OhN1zqFxLGTFNNzKSS+TbA6jV2WPel6/Nxcyq6VIc6Xg6cg2uhdm/PE4T/Uf47HKtVMOXZibNr/S&#10;/D7ib+/inA0mktXTIm2mwX5iFhUrOHy0G2rENHNmsngxVFWkUigx1mepqHpiPC7S3KwBVkO8jdXc&#10;SjGrzVomg/mk7sQEot2Q008Pm35+updOkQ1d6iWuw1kFSjLfdQgKZ15PBvDOrawf6ntpVwiXdyL9&#10;S0Fzb7Md7yfLlxdjWWEnWKizMFJ/7qSeL7STwsOQBGHgha6TQpvvxQFJQquXdArKe9EvnV6v9YRp&#10;tz1j4mPPHhvYD5vpddOZ17DH1FKM6t+J8WHK6txoR6GIWjES2GZWjF/EjGd55nyBXcj4pMwdCo1G&#10;qKYHSrS5U41wX5UXDUI/oomVyVJqfhL2+3btfZ+A3NaWzga1VPo2F5WDF0MX9hLPcCpmn7KnO6Wt&#10;qNr3UE9c3BRlCc/ZoOTOHHYF/KFqGGBT8gyuqho2i+IT12HlBDCfamlGVKIsMuyNnZWcPF6V0nli&#10;iDvPH/XN9EExa6/hp0dMTe17psmu0kzWTq/kOGBusNzMGRVpJYZXevG4MDu42bBq8CiyZ1CHFBbu&#10;qk5vCvjSHVP6nknAN6gIbBa0ToX8x3XmgH9Y098zJnPXKX/nsDMSEgRoMMxNEEYUbuRqy+NqC59V&#10;VwKWSsDa1am5xPd12V6Opai+gam6xK9CE+MpfHvo6vbySlurBKYuzS8vzUtgImqm7/hDneLQKAeU&#10;2NfFNybrRq0aNsRn0e5FNthQrH0Xe3JxOdNiXBito9yslAyGDS4Q7B8CEBDSdoB0SgRIvQ8QmvQ9&#10;34cBX5oVSqKE+oEFSEjDII6PHSAUBbBU/UEABM1Lg5Yjggh9CyKdGneCCBibd8BBqE/7ofG5nec8&#10;QvdhqMOBoeMY3Yf/FjY6Je6EjShKgDEiPmLPA6ZjyUdLsagH/8BFG3pJ+/E6u9wjjFwFo+i63/g3&#10;w6NaJvbfUizDMQ8MI8fpQYD4bCdZnRp3Qon1IMQPiE8NAoCONxHYGskKfBrG7SZsI5k2umjo6v8/&#10;CjF+9ASRA4hDwLJvh0inxh+BSBwRCHY3vMhqHBIEJE6OPg4xNuIEkQOACJwvbYdIp8adILIaqvdD&#10;6pPmkO9VV0KQeHnmLOCYQ5LoFLDj0dUBAAXSHNuBYgw+2rudgLIMSnwPrzfcyWpQAozLs5RsH1Hy&#10;UUFJJ94DOvc9zqCkyzC9lhoxGYKdUQLupE8ioHAQvJMojgKyGb2v8i5z/tumII42NOkkfALKSu5r&#10;D1MkmGyy7mQk5ty5lFLMHQpPm/P7nfwI9ULgWcDgXh7/Ar3yzckXJk5p6IXJe8mRDOZhpvFW9nDt&#10;4Ek9qy4DCAl7GABSa5CBg4dD98b84XI2U4IHmHbs1NLAyqYW8ZdGoMiVLGCb9UPrj2tHawcZ6Y/K&#10;vNG3Mm/Q+CO7i4Rx4oM9xw0UkTiMDFddngyRuE/8sMlPQ3oBbhp17535/SieQjoJn+zvntvft/Jv&#10;Nk2wM1HxCUmMHTghZfdKji7FeULKniOly8Y9aMmKyVQ3bOVKcA7FRkICb1lNyl1xW0YGRGDBbeEZ&#10;uqUig0qw9uSUZ8s2QKJps2dBDersIHizpXDKpu4s96FxSKDEDL3PinvykjjB8AEZkHHg2yNo1ays&#10;W5Itxdk4lcBSK1tn80YJ1bhkkLL9mBqqqtBQWlkWlcluep5ZJRtoVpTXPHP0cw2lfloWpjSt8c3v&#10;FltZPK5xF1NkB+WJhss1pZRY/7h6b7jOsuDz4jsAAAD//wMAUEsDBBQABgAIAAAAIQCCcb+t3gAA&#10;AAcBAAAPAAAAZHJzL2Rvd25yZXYueG1sTI9BS8NAFITvgv9heYI3u4khNaTZlFLUUxFsBentNfua&#10;hGbfhuw2Sf+960mPwwwz3xTr2XRipMG1lhXEiwgEcWV1y7WCr8PbUwbCeWSNnWVScCMH6/L+rsBc&#10;24k/adz7WoQSdjkqaLzvcyld1ZBBt7A9cfDOdjDogxxqqQecQrnp5HMULaXBlsNCgz1tG6ou+6tR&#10;8D7htEni13F3OW9vx0P68b2LSanHh3mzAuFp9n9h+MUP6FAGppO9snaiUxCOeAVZugQR3CyOEhAn&#10;BelLnIAsC/mfv/wBAAD//wMAUEsBAi0AFAAGAAgAAAAhALaDOJL+AAAA4QEAABMAAAAAAAAAAAAA&#10;AAAAAAAAAFtDb250ZW50X1R5cGVzXS54bWxQSwECLQAUAAYACAAAACEAOP0h/9YAAACUAQAACwAA&#10;AAAAAAAAAAAAAAAvAQAAX3JlbHMvLnJlbHNQSwECLQAUAAYACAAAACEAlHjm1M4FAAA4KgAADgAA&#10;AAAAAAAAAAAAAAAuAgAAZHJzL2Uyb0RvYy54bWxQSwECLQAUAAYACAAAACEAgnG/rd4AAAAHAQAA&#10;DwAAAAAAAAAAAAAAAAAoCAAAZHJzL2Rvd25yZXYueG1sUEsFBgAAAAAEAAQA8wAAADMJAAAAAA==&#10;">
                <v:roundrect id="Rounded Rectangle 210" o:spid="_x0000_s1028" style="position:absolute;top:24537;width:51395;height:631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CPvwgAAANwAAAAPAAAAZHJzL2Rvd25yZXYueG1sRE/Pa8Iw&#10;FL4P9j+EJ3hbEwVldI0yx5Ti2MEq7Ppsnm1Z81KarK3//XIY7Pjx/c62k23FQL1vHGtYJAoEcelM&#10;w5WGy3n/9AzCB2SDrWPScCcP283jQ4apcSOfaChCJWII+xQ11CF0qZS+rMmiT1xHHLmb6y2GCPtK&#10;mh7HGG5buVRqLS02HBtq7OitpvK7+LEarPo85Oor3/Nu/b4qrh+4mvxR6/lsen0BEWgK/+I/d240&#10;LBdxfjwTj4Dc/AIAAP//AwBQSwECLQAUAAYACAAAACEA2+H2y+4AAACFAQAAEwAAAAAAAAAAAAAA&#10;AAAAAAAAW0NvbnRlbnRfVHlwZXNdLnhtbFBLAQItABQABgAIAAAAIQBa9CxbvwAAABUBAAALAAAA&#10;AAAAAAAAAAAAAB8BAABfcmVscy8ucmVsc1BLAQItABQABgAIAAAAIQBwbCPvwgAAANwAAAAPAAAA&#10;AAAAAAAAAAAAAAcCAABkcnMvZG93bnJldi54bWxQSwUGAAAAAAMAAwC3AAAA9gIAAAAA&#10;" filled="f" strokecolor="#003d69" strokeweight="1.75pt">
                  <v:stroke endcap="round"/>
                  <v:textbox>
                    <w:txbxContent>
                      <w:p w14:paraId="606DEC62" w14:textId="77777777" w:rsidR="00B303FA" w:rsidRDefault="00B303FA" w:rsidP="00C36AC7">
                        <w:pPr>
                          <w:pStyle w:val="NormalWeb"/>
                          <w:spacing w:before="0" w:beforeAutospacing="0" w:after="0" w:afterAutospacing="0"/>
                          <w:jc w:val="center"/>
                        </w:pPr>
                        <w:r w:rsidRPr="009D305D">
                          <w:rPr>
                            <w:rFonts w:ascii="Arial" w:eastAsia="Arial" w:hAnsi="Arial" w:cs="Arial"/>
                            <w:color w:val="000000"/>
                            <w:kern w:val="24"/>
                            <w:sz w:val="20"/>
                            <w:szCs w:val="20"/>
                          </w:rPr>
                          <w:t>Integration of information</w:t>
                        </w:r>
                      </w:p>
                    </w:txbxContent>
                  </v:textbox>
                </v:roundrect>
                <v:roundrect id="Rounded Rectangle 211" o:spid="_x0000_s1029" style="position:absolute;left:29603;width:21792;height:525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HDnxQAAANwAAAAPAAAAZHJzL2Rvd25yZXYueG1sRI/RasJA&#10;FETfC/2H5RZ8q5vkQUt0IyJULFS00Q+4ZG+y0ezdNLvV9O+7hUIfh5k5wyxXo+3EjQbfOlaQThMQ&#10;xJXTLTcKzqfX5xcQPiBr7ByTgm/ysCoeH5aYa3fnD7qVoRERwj5HBSaEPpfSV4Ys+qnriaNXu8Fi&#10;iHJopB7wHuG2k1mSzKTFluOCwZ42hqpr+WUVJJ/z9nA8bCreX+j4Vmd+a8Z3pSZP43oBItAY/sN/&#10;7Z1WkKUp/J6JR0AWPwAAAP//AwBQSwECLQAUAAYACAAAACEA2+H2y+4AAACFAQAAEwAAAAAAAAAA&#10;AAAAAAAAAAAAW0NvbnRlbnRfVHlwZXNdLnhtbFBLAQItABQABgAIAAAAIQBa9CxbvwAAABUBAAAL&#10;AAAAAAAAAAAAAAAAAB8BAABfcmVscy8ucmVsc1BLAQItABQABgAIAAAAIQAfIHDnxQAAANwAAAAP&#10;AAAAAAAAAAAAAAAAAAcCAABkcnMvZG93bnJldi54bWxQSwUGAAAAAAMAAwC3AAAA+QIAAAAA&#10;" filled="f" strokecolor="#003d69" strokeweight="1.75pt">
                  <v:stroke endcap="round"/>
                  <v:textbox>
                    <w:txbxContent>
                      <w:p w14:paraId="7EE1907B" w14:textId="77777777" w:rsidR="00B303FA" w:rsidRDefault="00B303FA" w:rsidP="00C36AC7">
                        <w:pPr>
                          <w:pStyle w:val="NormalWeb"/>
                          <w:spacing w:before="0" w:beforeAutospacing="0" w:after="0" w:afterAutospacing="0"/>
                          <w:jc w:val="center"/>
                        </w:pPr>
                        <w:r w:rsidRPr="009D305D">
                          <w:rPr>
                            <w:rFonts w:ascii="Arial" w:eastAsia="Arial" w:hAnsi="Arial" w:cs="Arial"/>
                            <w:color w:val="000000"/>
                            <w:kern w:val="24"/>
                            <w:sz w:val="20"/>
                            <w:szCs w:val="20"/>
                          </w:rPr>
                          <w:t>Identification of available databases with local data</w:t>
                        </w:r>
                      </w:p>
                    </w:txbxContent>
                  </v:textbox>
                </v:roundrect>
                <v:roundrect id="Rounded Rectangle 212" o:spid="_x0000_s1030" style="position:absolute;width:21792;height:1232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hgDxQAAANwAAAAPAAAAZHJzL2Rvd25yZXYueG1sRI9Ba8JA&#10;FITvQv/D8gq96a4BRaKb0BYtweKhacHrM/tMQrNvQ3bV+O+7hUKPw8x8w2zy0XbiSoNvHWuYzxQI&#10;4sqZlmsNX5+76QqED8gGO8ek4U4e8uxhssHUuBt/0LUMtYgQ9ilqaELoUyl91ZBFP3M9cfTObrAY&#10;ohxqaQa8RbjtZKLUUlpsOS402NNrQ9V3ebEarDq8FepY7PhluV2Up3dcjH6v9dPj+LwGEWgM/+G/&#10;dmE0JPMEfs/EIyCzHwAAAP//AwBQSwECLQAUAAYACAAAACEA2+H2y+4AAACFAQAAEwAAAAAAAAAA&#10;AAAAAAAAAAAAW0NvbnRlbnRfVHlwZXNdLnhtbFBLAQItABQABgAIAAAAIQBa9CxbvwAAABUBAAAL&#10;AAAAAAAAAAAAAAAAAB8BAABfcmVscy8ucmVsc1BLAQItABQABgAIAAAAIQDv8hgDxQAAANwAAAAP&#10;AAAAAAAAAAAAAAAAAAcCAABkcnMvZG93bnJldi54bWxQSwUGAAAAAAMAAwC3AAAA+QIAAAAA&#10;" filled="f" strokecolor="#003d69" strokeweight="1.75pt">
                  <v:stroke endcap="round"/>
                  <v:textbox>
                    <w:txbxContent>
                      <w:p w14:paraId="388B42DD" w14:textId="77777777" w:rsidR="00B303FA" w:rsidRDefault="00B303FA" w:rsidP="00C36AC7">
                        <w:pPr>
                          <w:pStyle w:val="NormalWeb"/>
                          <w:spacing w:before="0" w:beforeAutospacing="0" w:after="0" w:afterAutospacing="0"/>
                          <w:jc w:val="center"/>
                        </w:pPr>
                        <w:r w:rsidRPr="009D305D">
                          <w:rPr>
                            <w:rFonts w:ascii="Arial" w:eastAsia="Arial" w:hAnsi="Arial" w:cs="Arial"/>
                            <w:color w:val="000000"/>
                            <w:kern w:val="24"/>
                            <w:sz w:val="20"/>
                            <w:szCs w:val="20"/>
                          </w:rPr>
                          <w:t>Data Collection</w:t>
                        </w:r>
                      </w:p>
                    </w:txbxContent>
                  </v:textbox>
                </v:roundrect>
                <v:roundrect id="Rounded Rectangle 213" o:spid="_x0000_s1031" style="position:absolute;left:779;top:8002;width:20203;height:302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injxAAAANwAAAAPAAAAZHJzL2Rvd25yZXYueG1sRI/BasMw&#10;EETvhfyD2EBujRy7mOBECcEQMAQKtducF2trmVorYymJ+/dVodDjMDNvmP1xtoO40+R7xwo26wQE&#10;cet0z52C9+b8vAXhA7LGwTEp+CYPx8PiaY+Fdg9+o3sdOhEh7AtUYEIYCyl9a8iiX7uROHqfbrIY&#10;opw6qSd8RLgdZJokubTYc1wwOFJpqP2qb1ZB+9FkL9loqm35ml+S8nrKZ90ptVrOpx2IQHP4D/+1&#10;K60g3WTweyYeAXn4AQAA//8DAFBLAQItABQABgAIAAAAIQDb4fbL7gAAAIUBAAATAAAAAAAAAAAA&#10;AAAAAAAAAABbQ29udGVudF9UeXBlc10ueG1sUEsBAi0AFAAGAAgAAAAhAFr0LFu/AAAAFQEAAAsA&#10;AAAAAAAAAAAAAAAAHwEAAF9yZWxzLy5yZWxzUEsBAi0AFAAGAAgAAAAhANUGKePEAAAA3AAAAA8A&#10;AAAAAAAAAAAAAAAABwIAAGRycy9kb3ducmV2LnhtbFBLBQYAAAAAAwADALcAAAD4AgAAAAA=&#10;" filled="f" strokecolor="#c4d7e6" strokeweight="1.75pt">
                  <v:stroke endcap="round"/>
                  <v:textbox>
                    <w:txbxContent>
                      <w:p w14:paraId="414F1FAB" w14:textId="77777777" w:rsidR="00B303FA" w:rsidRDefault="00B303FA" w:rsidP="00C36AC7">
                        <w:pPr>
                          <w:pStyle w:val="NormalWeb"/>
                          <w:spacing w:before="0" w:beforeAutospacing="0" w:after="0" w:afterAutospacing="0"/>
                          <w:jc w:val="center"/>
                        </w:pPr>
                        <w:r w:rsidRPr="009D305D">
                          <w:rPr>
                            <w:rFonts w:ascii="Arial" w:eastAsia="Arial" w:hAnsi="Arial" w:cs="Arial"/>
                            <w:color w:val="000000"/>
                            <w:kern w:val="24"/>
                            <w:sz w:val="20"/>
                            <w:szCs w:val="20"/>
                          </w:rPr>
                          <w:t>Interview service providers</w:t>
                        </w:r>
                      </w:p>
                    </w:txbxContent>
                  </v:textbox>
                </v:roundrect>
                <v:roundrect id="Rounded Rectangle 214" o:spid="_x0000_s1032" style="position:absolute;top:13413;width:21792;height:432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9N/xQAAANwAAAAPAAAAZHJzL2Rvd25yZXYueG1sRI/dasJA&#10;FITvC77DcoTe1Y2htBLdSBEUhYo/7QMcsifZ2OzZmF01ffuuUPBymJlvmNm8t424UudrxwrGowQE&#10;ceF0zZWC76/lywSED8gaG8ek4Jc8zPPB0wwz7W58oOsxVCJC2GeowITQZlL6wpBFP3ItcfRK11kM&#10;UXaV1B3eItw2Mk2SN2mx5rhgsKWFoeLneLEKkvN7vdvvFgVvT7TflKlfmf5Tqedh/zEFEagPj/B/&#10;e60VpONXuJ+JR0DmfwAAAP//AwBQSwECLQAUAAYACAAAACEA2+H2y+4AAACFAQAAEwAAAAAAAAAA&#10;AAAAAAAAAAAAW0NvbnRlbnRfVHlwZXNdLnhtbFBLAQItABQABgAIAAAAIQBa9CxbvwAAABUBAAAL&#10;AAAAAAAAAAAAAAAAAB8BAABfcmVscy8ucmVsc1BLAQItABQABgAIAAAAIQAPV9N/xQAAANwAAAAP&#10;AAAAAAAAAAAAAAAAAAcCAABkcnMvZG93bnJldi54bWxQSwUGAAAAAAMAAwC3AAAA+QIAAAAA&#10;" filled="f" strokecolor="#003d69" strokeweight="1.75pt">
                  <v:stroke endcap="round"/>
                  <v:textbox>
                    <w:txbxContent>
                      <w:p w14:paraId="7E21722F" w14:textId="77777777" w:rsidR="00B303FA" w:rsidRDefault="00B303FA" w:rsidP="00C36AC7">
                        <w:pPr>
                          <w:pStyle w:val="NormalWeb"/>
                          <w:spacing w:before="0" w:beforeAutospacing="0" w:after="0" w:afterAutospacing="0"/>
                          <w:jc w:val="center"/>
                        </w:pPr>
                        <w:r w:rsidRPr="009D305D">
                          <w:rPr>
                            <w:rFonts w:ascii="Arial" w:eastAsia="Arial" w:hAnsi="Arial" w:cs="Arial"/>
                            <w:color w:val="000000"/>
                            <w:kern w:val="24"/>
                            <w:sz w:val="20"/>
                            <w:szCs w:val="20"/>
                          </w:rPr>
                          <w:t>Coding of services</w:t>
                        </w:r>
                      </w:p>
                    </w:txbxContent>
                  </v:textbox>
                </v:roundrect>
                <v:roundrect id="Rounded Rectangle 215" o:spid="_x0000_s1033" style="position:absolute;top:18710;width:21792;height:44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3bkxQAAANwAAAAPAAAAZHJzL2Rvd25yZXYueG1sRI/dasJA&#10;FITvC77DcoTe1Y2BthLdSBEUhYo/7QMcsifZ2OzZmF01ffuuUPBymJlvmNm8t424UudrxwrGowQE&#10;ceF0zZWC76/lywSED8gaG8ek4Jc8zPPB0wwz7W58oOsxVCJC2GeowITQZlL6wpBFP3ItcfRK11kM&#10;UXaV1B3eItw2Mk2SN2mx5rhgsKWFoeLneLEKkvN7vdvvFgVvT7TflKlfmf5Tqedh/zEFEagPj/B/&#10;e60VpONXuJ+JR0DmfwAAAP//AwBQSwECLQAUAAYACAAAACEA2+H2y+4AAACFAQAAEwAAAAAAAAAA&#10;AAAAAAAAAAAAW0NvbnRlbnRfVHlwZXNdLnhtbFBLAQItABQABgAIAAAAIQBa9CxbvwAAABUBAAAL&#10;AAAAAAAAAAAAAAAAAB8BAABfcmVscy8ucmVsc1BLAQItABQABgAIAAAAIQBgG3bkxQAAANwAAAAP&#10;AAAAAAAAAAAAAAAAAAcCAABkcnMvZG93bnJldi54bWxQSwUGAAAAAAMAAwC3AAAA+QIAAAAA&#10;" filled="f" strokecolor="#003d69" strokeweight="1.75pt">
                  <v:stroke endcap="round"/>
                  <v:textbox>
                    <w:txbxContent>
                      <w:p w14:paraId="33AD0843" w14:textId="77777777" w:rsidR="00B303FA" w:rsidRDefault="00B303FA" w:rsidP="00C36AC7">
                        <w:pPr>
                          <w:pStyle w:val="NormalWeb"/>
                          <w:spacing w:before="0" w:beforeAutospacing="0" w:after="0" w:afterAutospacing="0"/>
                          <w:jc w:val="center"/>
                        </w:pPr>
                        <w:r w:rsidRPr="009D305D">
                          <w:rPr>
                            <w:rFonts w:ascii="Arial" w:eastAsia="Arial" w:hAnsi="Arial" w:cs="Arial"/>
                            <w:color w:val="000000"/>
                            <w:kern w:val="24"/>
                            <w:sz w:val="20"/>
                            <w:szCs w:val="20"/>
                          </w:rPr>
                          <w:t>Analysis of patterns of care</w:t>
                        </w:r>
                      </w:p>
                    </w:txbxContent>
                  </v:textbox>
                </v:roundrect>
                <v:roundrect id="Rounded Rectangle 216" o:spid="_x0000_s1034" style="position:absolute;left:29603;top:6523;width:21792;height:102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eiTwwAAANwAAAAPAAAAZHJzL2Rvd25yZXYueG1sRI/RisIw&#10;FETfhf2HcBd809Q+qHSNsggrCoquux9waa5NtbmpTdT690YQfBxm5gwzmbW2EldqfOlYwaCfgCDO&#10;nS65UPD/99Mbg/ABWWPlmBTcycNs+tGZYKbdjX/pug+FiBD2GSowIdSZlD43ZNH3XU0cvYNrLIYo&#10;m0LqBm8RbiuZJslQWiw5LhisaW4oP+0vVkFyHpXb3Xae8+ZIu9Uh9QvTrpXqfrbfXyACteEdfrWX&#10;WkE6GMLzTDwCcvoAAAD//wMAUEsBAi0AFAAGAAgAAAAhANvh9svuAAAAhQEAABMAAAAAAAAAAAAA&#10;AAAAAAAAAFtDb250ZW50X1R5cGVzXS54bWxQSwECLQAUAAYACAAAACEAWvQsW78AAAAVAQAACwAA&#10;AAAAAAAAAAAAAAAfAQAAX3JlbHMvLnJlbHNQSwECLQAUAAYACAAAACEAkMnok8MAAADcAAAADwAA&#10;AAAAAAAAAAAAAAAHAgAAZHJzL2Rvd25yZXYueG1sUEsFBgAAAAADAAMAtwAAAPcCAAAAAA==&#10;" filled="f" strokecolor="#003d69" strokeweight="1.75pt">
                  <v:stroke endcap="round"/>
                  <v:textbox>
                    <w:txbxContent>
                      <w:p w14:paraId="1EB59847" w14:textId="77777777" w:rsidR="00B303FA" w:rsidRDefault="00B303FA" w:rsidP="00C36AC7">
                        <w:pPr>
                          <w:pStyle w:val="NormalWeb"/>
                          <w:spacing w:before="0" w:beforeAutospacing="0" w:after="0" w:afterAutospacing="0"/>
                          <w:jc w:val="center"/>
                        </w:pPr>
                        <w:r w:rsidRPr="009D305D">
                          <w:rPr>
                            <w:rFonts w:ascii="Arial" w:eastAsia="Arial" w:hAnsi="Arial" w:cs="Arial"/>
                            <w:color w:val="000000"/>
                            <w:kern w:val="24"/>
                            <w:sz w:val="20"/>
                            <w:szCs w:val="20"/>
                          </w:rPr>
                          <w:t>Analysis of local data</w:t>
                        </w:r>
                      </w:p>
                      <w:p w14:paraId="379FA107" w14:textId="77777777" w:rsidR="00B303FA" w:rsidRDefault="00B303FA" w:rsidP="00C36AC7">
                        <w:pPr>
                          <w:pStyle w:val="NormalWeb"/>
                          <w:spacing w:before="0" w:beforeAutospacing="0" w:after="0" w:afterAutospacing="0"/>
                          <w:jc w:val="center"/>
                        </w:pPr>
                        <w:r w:rsidRPr="009D305D">
                          <w:rPr>
                            <w:rFonts w:ascii="Arial" w:eastAsia="Arial" w:hAnsi="Arial" w:cs="Arial"/>
                            <w:color w:val="000000"/>
                            <w:kern w:val="24"/>
                            <w:sz w:val="20"/>
                            <w:szCs w:val="20"/>
                          </w:rPr>
                          <w:t>(mapping of demographic and socio-economic indicators relevant to mental health and AOD)</w:t>
                        </w:r>
                      </w:p>
                    </w:txbxContent>
                  </v:textbox>
                </v:roundrect>
                <v:roundrect id="Rounded Rectangle 218" o:spid="_x0000_s1035" style="position:absolute;left:779;top:3077;width:20203;height:43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ruSwQAAANwAAAAPAAAAZHJzL2Rvd25yZXYueG1sRE/LisIw&#10;FN0L8w/hCu409UEpHWMphQFBGPAxs740d5pic1OaqPXvJwvB5eG8t8VoO3GnwbeOFSwXCQji2umW&#10;GwWX89c8A+EDssbOMSl4kodi9zHZYq7dg490P4VGxBD2OSowIfS5lL42ZNEvXE8cuT83WAwRDo3U&#10;Az5iuO3kKklSabHl2GCwp8pQfT3drIL657zerHuzz6rv9JBUv2U66kap2XQsP0EEGsNb/HLvtYLV&#10;Mq6NZ+IRkLt/AAAA//8DAFBLAQItABQABgAIAAAAIQDb4fbL7gAAAIUBAAATAAAAAAAAAAAAAAAA&#10;AAAAAABbQ29udGVudF9UeXBlc10ueG1sUEsBAi0AFAAGAAgAAAAhAFr0LFu/AAAAFQEAAAsAAAAA&#10;AAAAAAAAAAAAHwEAAF9yZWxzLy5yZWxzUEsBAi0AFAAGAAgAAAAhANuiu5LBAAAA3AAAAA8AAAAA&#10;AAAAAAAAAAAABwIAAGRycy9kb3ducmV2LnhtbFBLBQYAAAAAAwADALcAAAD1AgAAAAA=&#10;" filled="f" strokecolor="#c4d7e6" strokeweight="1.75pt">
                  <v:stroke endcap="round"/>
                  <v:textbox>
                    <w:txbxContent>
                      <w:p w14:paraId="238D0324" w14:textId="77777777" w:rsidR="00B303FA" w:rsidRDefault="00B303FA" w:rsidP="00C36AC7">
                        <w:pPr>
                          <w:pStyle w:val="NormalWeb"/>
                          <w:spacing w:before="0" w:beforeAutospacing="0" w:after="0" w:afterAutospacing="0"/>
                          <w:jc w:val="center"/>
                        </w:pPr>
                        <w:r w:rsidRPr="009D305D">
                          <w:rPr>
                            <w:rFonts w:ascii="Arial" w:eastAsia="Arial" w:hAnsi="Arial" w:cs="Arial"/>
                            <w:color w:val="000000"/>
                            <w:kern w:val="24"/>
                            <w:sz w:val="20"/>
                            <w:szCs w:val="20"/>
                          </w:rPr>
                          <w:t>Identification of all MH and AOD services</w:t>
                        </w:r>
                      </w:p>
                    </w:txbxContent>
                  </v:textbox>
                </v:roundrect>
                <v:roundrect id="Rounded Rectangle 219" o:spid="_x0000_s1036" style="position:absolute;left:29661;top:17874;width:21793;height:525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nzhxQAAANwAAAAPAAAAZHJzL2Rvd25yZXYueG1sRI/dasJA&#10;FITvC77DcoTe1Y25aGt0I0VQFCr+tA9wyJ5kY7NnY3bV9O27QsHLYWa+YWbz3jbiSp2vHSsYjxIQ&#10;xIXTNVcKvr+WL+8gfEDW2DgmBb/kYZ4PnmaYaXfjA12PoRIRwj5DBSaENpPSF4Ys+pFriaNXus5i&#10;iLKrpO7wFuG2kWmSvEqLNccFgy0tDBU/x4tVkJzf6t1+tyh4e6L9pkz9yvSfSj0P+48piEB9eIT/&#10;22utIB1P4H4mHgGZ/wEAAP//AwBQSwECLQAUAAYACAAAACEA2+H2y+4AAACFAQAAEwAAAAAAAAAA&#10;AAAAAAAAAAAAW0NvbnRlbnRfVHlwZXNdLnhtbFBLAQItABQABgAIAAAAIQBa9CxbvwAAABUBAAAL&#10;AAAAAAAAAAAAAAAAAB8BAABfcmVscy8ucmVsc1BLAQItABQABgAIAAAAIQDhVnzhxQAAANwAAAAP&#10;AAAAAAAAAAAAAAAAAAcCAABkcnMvZG93bnJldi54bWxQSwUGAAAAAAMAAwC3AAAA+QIAAAAA&#10;" filled="f" strokecolor="#003d69" strokeweight="1.75pt">
                  <v:stroke endcap="round"/>
                  <v:textbox>
                    <w:txbxContent>
                      <w:p w14:paraId="6244827C" w14:textId="77777777" w:rsidR="00B303FA" w:rsidRDefault="00B303FA" w:rsidP="00C36AC7">
                        <w:pPr>
                          <w:pStyle w:val="NormalWeb"/>
                          <w:spacing w:before="0" w:beforeAutospacing="0" w:after="0" w:afterAutospacing="0"/>
                          <w:jc w:val="center"/>
                        </w:pPr>
                        <w:r w:rsidRPr="009D305D">
                          <w:rPr>
                            <w:rFonts w:ascii="Arial" w:eastAsia="Arial" w:hAnsi="Arial" w:cs="Arial"/>
                            <w:color w:val="000000"/>
                            <w:kern w:val="24"/>
                            <w:sz w:val="20"/>
                            <w:szCs w:val="20"/>
                          </w:rPr>
                          <w:t>Mapping of services in relation to indicators</w:t>
                        </w: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20" o:spid="_x0000_s1037" type="#_x0000_t67" style="position:absolute;left:20565;width:10239;height:25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c4lvwAAANwAAAAPAAAAZHJzL2Rvd25yZXYueG1sRE9Ni8Iw&#10;EL0L/ocwgjdNtweRrlHEZaF7rO66eBuasSk2k5JErf/eHASPj/e92gy2EzfyoXWs4GOegSCunW65&#10;UfB7+J4tQYSIrLFzTAoeFGCzHo9WWGh354pu+9iIFMKhQAUmxr6QMtSGLIa564kTd3beYkzQN1J7&#10;vKdw28k8yxbSYsupwWBPO0P1ZX+1Cq4/w+HPR7k9/ZuqL0tZLY9fRqnpZNh+gog0xLf45S61gjxP&#10;89OZdATk+gkAAP//AwBQSwECLQAUAAYACAAAACEA2+H2y+4AAACFAQAAEwAAAAAAAAAAAAAAAAAA&#10;AAAAW0NvbnRlbnRfVHlwZXNdLnhtbFBLAQItABQABgAIAAAAIQBa9CxbvwAAABUBAAALAAAAAAAA&#10;AAAAAAAAAB8BAABfcmVscy8ucmVsc1BLAQItABQABgAIAAAAIQD9Wc4lvwAAANwAAAAPAAAAAAAA&#10;AAAAAAAAAAcCAABkcnMvZG93bnJldi54bWxQSwUGAAAAAAMAAwC3AAAA8wIAAAAA&#10;" adj="17187" fillcolor="window" strokecolor="#003d69" strokeweight="1.75pt">
                  <v:stroke joinstyle="round" endcap="round"/>
                  <v:textbox style="layout-flow:vertical;mso-layout-flow-alt:bottom-to-top">
                    <w:txbxContent>
                      <w:p w14:paraId="5A52D6E5" w14:textId="77777777" w:rsidR="00B303FA" w:rsidRDefault="00B303FA" w:rsidP="00C36AC7">
                        <w:pPr>
                          <w:pStyle w:val="NormalWeb"/>
                          <w:spacing w:before="0" w:beforeAutospacing="0" w:after="0" w:afterAutospacing="0"/>
                          <w:jc w:val="center"/>
                        </w:pPr>
                        <w:r w:rsidRPr="009D305D">
                          <w:rPr>
                            <w:rFonts w:ascii="Arial" w:eastAsia="Arial" w:hAnsi="Arial" w:cs="Arial"/>
                            <w:color w:val="000000"/>
                            <w:kern w:val="24"/>
                            <w:sz w:val="20"/>
                            <w:szCs w:val="20"/>
                          </w:rPr>
                          <w:t xml:space="preserve">Regular meetings with EMPHN to validate findings  </w:t>
                        </w:r>
                      </w:p>
                    </w:txbxContent>
                  </v:textbox>
                </v:shape>
                <v:roundrect id="Rounded Rectangle 221" o:spid="_x0000_s1038" style="position:absolute;left:1589;top:27185;width:18613;height:26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NiyxAAAANwAAAAPAAAAZHJzL2Rvd25yZXYueG1sRI/BasMw&#10;EETvhfyD2EBvjWynmOBECcEQCBQKtducF2trmVorYymO8/dRodDjMDNvmN1htr2YaPSdYwXpKgFB&#10;3Djdcavgsz69bED4gKyxd0wK7uThsF887bDQ7sYfNFWhFRHCvkAFJoShkNI3hiz6lRuIo/ftRosh&#10;yrGVesRbhNteZkmSS4sdxwWDA5WGmp/qahU0X/X6dT2Y86Z8z9+S8nLMZ90q9bycj1sQgebwH/5r&#10;n7WCLEvh90w8AnL/AAAA//8DAFBLAQItABQABgAIAAAAIQDb4fbL7gAAAIUBAAATAAAAAAAAAAAA&#10;AAAAAAAAAABbQ29udGVudF9UeXBlc10ueG1sUEsBAi0AFAAGAAgAAAAhAFr0LFu/AAAAFQEAAAsA&#10;AAAAAAAAAAAAAAAAHwEAAF9yZWxzLy5yZWxzUEsBAi0AFAAGAAgAAAAhAIT02LLEAAAA3AAAAA8A&#10;AAAAAAAAAAAAAAAABwIAAGRycy9kb3ducmV2LnhtbFBLBQYAAAAAAwADALcAAAD4AgAAAAA=&#10;" filled="f" strokecolor="#c4d7e6" strokeweight="1.75pt">
                  <v:stroke endcap="round"/>
                  <v:textbox>
                    <w:txbxContent>
                      <w:p w14:paraId="38782B21" w14:textId="77777777" w:rsidR="00B303FA" w:rsidRDefault="00B303FA" w:rsidP="00C36AC7">
                        <w:pPr>
                          <w:pStyle w:val="NormalWeb"/>
                          <w:spacing w:before="0" w:beforeAutospacing="0" w:after="0" w:afterAutospacing="0"/>
                          <w:jc w:val="center"/>
                        </w:pPr>
                        <w:r w:rsidRPr="009D305D">
                          <w:rPr>
                            <w:rFonts w:ascii="Arial" w:eastAsia="Arial" w:hAnsi="Arial" w:cs="Arial"/>
                            <w:color w:val="000000"/>
                            <w:kern w:val="24"/>
                            <w:sz w:val="20"/>
                            <w:szCs w:val="20"/>
                          </w:rPr>
                          <w:t>Report for comment</w:t>
                        </w:r>
                      </w:p>
                    </w:txbxContent>
                  </v:textbox>
                </v:roundrect>
                <v:roundrect id="Rounded Rectangle 222" o:spid="_x0000_s1039" style="position:absolute;left:31192;top:27185;width:18614;height:26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kbFxAAAANwAAAAPAAAAZHJzL2Rvd25yZXYueG1sRI/BasMw&#10;EETvhf6D2EJvjRy7GONECcFQCBQCddKeF2tjmVgrY6m2+/dVoNDjMDNvmO1+sb2YaPSdYwXrVQKC&#10;uHG641bB5fz2UoDwAVlj75gU/JCH/e7xYYuldjN/0FSHVkQI+xIVmBCGUkrfGLLoV24gjt7VjRZD&#10;lGMr9YhzhNtepkmSS4sdxwWDA1WGmlv9bRU0n+fsNRvMsahO+XtSfR3yRbdKPT8thw2IQEv4D/+1&#10;j1pBmqZwPxOPgNz9AgAA//8DAFBLAQItABQABgAIAAAAIQDb4fbL7gAAAIUBAAATAAAAAAAAAAAA&#10;AAAAAAAAAABbQ29udGVudF9UeXBlc10ueG1sUEsBAi0AFAAGAAgAAAAhAFr0LFu/AAAAFQEAAAsA&#10;AAAAAAAAAAAAAAAAHwEAAF9yZWxzLy5yZWxzUEsBAi0AFAAGAAgAAAAhAHQmRsXEAAAA3AAAAA8A&#10;AAAAAAAAAAAAAAAABwIAAGRycy9kb3ducmV2LnhtbFBLBQYAAAAAAwADALcAAAD4AgAAAAA=&#10;" filled="f" strokecolor="#c4d7e6" strokeweight="1.75pt">
                  <v:stroke endcap="round"/>
                  <v:textbox>
                    <w:txbxContent>
                      <w:p w14:paraId="39764653" w14:textId="77777777" w:rsidR="00B303FA" w:rsidRDefault="00B303FA" w:rsidP="00C36AC7">
                        <w:pPr>
                          <w:pStyle w:val="NormalWeb"/>
                          <w:spacing w:before="0" w:beforeAutospacing="0" w:after="0" w:afterAutospacing="0"/>
                          <w:jc w:val="center"/>
                        </w:pPr>
                        <w:r w:rsidRPr="009D305D">
                          <w:rPr>
                            <w:rFonts w:ascii="Arial" w:eastAsia="Arial" w:hAnsi="Arial" w:cs="Arial"/>
                            <w:color w:val="000000"/>
                            <w:kern w:val="24"/>
                            <w:sz w:val="20"/>
                            <w:szCs w:val="20"/>
                          </w:rPr>
                          <w:t>Final Report</w:t>
                        </w:r>
                      </w:p>
                    </w:txbxContent>
                  </v:textbox>
                </v:roundrect>
                <v:shapetype id="_x0000_t32" coordsize="21600,21600" o:spt="32" o:oned="t" path="m,l21600,21600e" filled="f">
                  <v:path arrowok="t" fillok="f" o:connecttype="none"/>
                  <o:lock v:ext="edit" shapetype="t"/>
                </v:shapetype>
                <v:shape id="Straight Arrow Connector 223" o:spid="_x0000_s1040" type="#_x0000_t32" style="position:absolute;left:20202;top:28511;width:1099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UzFxQAAANwAAAAPAAAAZHJzL2Rvd25yZXYueG1sRI9PawIx&#10;FMTvBb9DeAVvmu2W/mE1ighSeyjUrQW9PTbP3cXNy5JEjd/eFIQeh5n5DTOdR9OJMznfWlbwNM5A&#10;EFdWt1wr2P6sRu8gfEDW2FkmBVfyMJ8NHqZYaHvhDZ3LUIsEYV+ggiaEvpDSVw0Z9GPbEyfvYJ3B&#10;kKSrpXZ4SXDTyTzLXqXBltNCgz0tG6qO5ckoCNv+t2vfoll/H3b70n99uvjxotTwMS4mIALF8B++&#10;t9daQZ4/w9+ZdATk7AYAAP//AwBQSwECLQAUAAYACAAAACEA2+H2y+4AAACFAQAAEwAAAAAAAAAA&#10;AAAAAAAAAAAAW0NvbnRlbnRfVHlwZXNdLnhtbFBLAQItABQABgAIAAAAIQBa9CxbvwAAABUBAAAL&#10;AAAAAAAAAAAAAAAAAB8BAABfcmVscy8ucmVsc1BLAQItABQABgAIAAAAIQBfuUzFxQAAANwAAAAP&#10;AAAAAAAAAAAAAAAAAAcCAABkcnMvZG93bnJldi54bWxQSwUGAAAAAAMAAwC3AAAA+QIAAAAA&#10;" strokecolor="#003d69" strokeweight="1.75pt">
                  <v:stroke endarrow="block" joinstyle="miter"/>
                </v:shape>
                <w10:wrap type="topAndBottom" anchorx="margin"/>
              </v:group>
            </w:pict>
          </mc:Fallback>
        </mc:AlternateContent>
      </w:r>
      <w:r w:rsidRPr="00AF7228">
        <w:t>developed in Australia, there were five key steps involved in the creation of the Integrated Mental Health Atlas for Western Sydney atlas (</w:t>
      </w:r>
      <w:r w:rsidRPr="00AF7228">
        <w:fldChar w:fldCharType="begin"/>
      </w:r>
      <w:r w:rsidRPr="00AF7228">
        <w:instrText xml:space="preserve"> REF _Ref480454375 \w \h  \* MERGEFORMAT </w:instrText>
      </w:r>
      <w:r w:rsidRPr="00AF7228">
        <w:fldChar w:fldCharType="separate"/>
      </w:r>
      <w:r w:rsidR="00EF2823">
        <w:t>Figure 22</w:t>
      </w:r>
      <w:r w:rsidRPr="00AF7228">
        <w:fldChar w:fldCharType="end"/>
      </w:r>
      <w:r w:rsidRPr="00AF7228">
        <w:t>).</w:t>
      </w:r>
    </w:p>
    <w:p w14:paraId="387FE9A9" w14:textId="0A39DDF6" w:rsidR="00C36AC7" w:rsidRPr="00AF7228" w:rsidRDefault="00C36AC7" w:rsidP="00C36AC7">
      <w:pPr>
        <w:pStyle w:val="FigureCaption"/>
        <w:spacing w:before="240"/>
      </w:pPr>
      <w:bookmarkStart w:id="118" w:name="_Ref480454375"/>
      <w:bookmarkStart w:id="119" w:name="_Toc481097123"/>
      <w:bookmarkStart w:id="120" w:name="_Toc486325408"/>
      <w:bookmarkStart w:id="121" w:name="_Toc488046960"/>
      <w:bookmarkStart w:id="122" w:name="_Toc503791260"/>
      <w:bookmarkStart w:id="123" w:name="_Toc514231069"/>
      <w:bookmarkStart w:id="124" w:name="_Toc6237993"/>
      <w:r w:rsidRPr="00AF7228">
        <w:t>Integrated Mental Health and AOD Atlas Development Process</w:t>
      </w:r>
      <w:bookmarkEnd w:id="118"/>
      <w:bookmarkEnd w:id="119"/>
      <w:bookmarkEnd w:id="120"/>
      <w:bookmarkEnd w:id="121"/>
      <w:bookmarkEnd w:id="122"/>
      <w:bookmarkEnd w:id="123"/>
      <w:bookmarkEnd w:id="124"/>
    </w:p>
    <w:p w14:paraId="201E08C8" w14:textId="560A33B1" w:rsidR="00C36AC7" w:rsidRPr="00AF7228" w:rsidRDefault="00C36AC7" w:rsidP="00C36AC7">
      <w:pPr>
        <w:pStyle w:val="BodyText"/>
      </w:pPr>
    </w:p>
    <w:p w14:paraId="5C4ACDFD" w14:textId="250D8675" w:rsidR="00506EFD" w:rsidRPr="00AF7228" w:rsidRDefault="00506EFD" w:rsidP="00506EFD">
      <w:pPr>
        <w:widowControl w:val="0"/>
        <w:autoSpaceDE w:val="0"/>
        <w:autoSpaceDN w:val="0"/>
        <w:ind w:left="709"/>
      </w:pPr>
      <w:r w:rsidRPr="00AF7228">
        <w:br w:type="page"/>
      </w:r>
    </w:p>
    <w:p w14:paraId="034A4C66" w14:textId="3B194B07" w:rsidR="00647F8A" w:rsidRPr="00AF7228" w:rsidRDefault="00647F8A" w:rsidP="00647F8A">
      <w:pPr>
        <w:ind w:right="-36"/>
      </w:pPr>
      <w:r w:rsidRPr="00AF7228">
        <w:rPr>
          <w:rFonts w:ascii="Times New Roman"/>
          <w:noProof/>
          <w:sz w:val="2"/>
          <w:lang w:eastAsia="en-AU"/>
        </w:rPr>
        <w:lastRenderedPageBreak/>
        <mc:AlternateContent>
          <mc:Choice Requires="wpg">
            <w:drawing>
              <wp:inline distT="0" distB="0" distL="0" distR="0" wp14:anchorId="54602395" wp14:editId="0741F562">
                <wp:extent cx="5769610" cy="6350"/>
                <wp:effectExtent l="0" t="0" r="0" b="0"/>
                <wp:docPr id="128"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9610" cy="6350"/>
                          <a:chOff x="0" y="0"/>
                          <a:chExt cx="9086" cy="10"/>
                        </a:xfrm>
                      </wpg:grpSpPr>
                      <wps:wsp>
                        <wps:cNvPr id="129" name="Line 7"/>
                        <wps:cNvCnPr>
                          <a:cxnSpLocks/>
                        </wps:cNvCnPr>
                        <wps:spPr bwMode="auto">
                          <a:xfrm>
                            <a:off x="0" y="5"/>
                            <a:ext cx="9086" cy="0"/>
                          </a:xfrm>
                          <a:prstGeom prst="line">
                            <a:avLst/>
                          </a:prstGeom>
                          <a:noFill/>
                          <a:ln w="6096">
                            <a:solidFill>
                              <a:srgbClr val="00ADEE"/>
                            </a:solidFill>
                            <a:prstDash val="sysDot"/>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B4EBE8D" id="Group 6" o:spid="_x0000_s1026" style="width:454.3pt;height:.5pt;mso-position-horizontal-relative:char;mso-position-vertical-relative:line" coordsize="908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IWecgIAAH8FAAAOAAAAZHJzL2Uyb0RvYy54bWykVF1v2yAUfZ+0/4D8ntpOEzexklRV7PSl&#10;2yJ1+wEE8IeGAQGJE03777uAkzbtS9W92MD94Nxz7mVxf+w4OjBtWimWUXqTRIgJImkr6mX06+dm&#10;NIuQsVhQzKVgy+jETHS/+vpl0aucjWUjOWUaQRJh8l4to8ZalcexIQ3rsLmRigkwVlJ32MJW1zHV&#10;uIfsHY/HSZLFvdRUaUmYMXBaBGO08vmrihH7o6oMs4gvI8Bm/Vf7785949UC57XGqmnJAAN/AkWH&#10;WwGXXlIV2GK01+27VF1LtDSysjdEdrGsqpYwXwNUkyZvqnnUcq98LXXe1+pCE1D7hqdPpyXfD1uN&#10;WgrajUEqgTsQyd+LMkdOr+ocfB61elZbHSqE5ZMkvw2Y47d2t6+DM9r13ySFdHhvpSfnWOnOpYCy&#10;0dFrcLpowI4WETic3mXzLAWpCNiy2+kgEWlAx3dBpCmHsHkyy0IMxDpgOA+3eYQDIlcOtJl5YdL8&#10;H5PPDVbMC2QcSxcm52cmn1rB0F0g0rusRWCRHMUVi6+MDqMBsj/I3zT08Jm/FyKuecC50sY+Mtkh&#10;t1hGHKB5VfDhydhA2dnFiSTkpuUcznHOBepBjGSe+QAjeUud0dmMrndrrtEBuwlLHoqyHPi/cnOZ&#10;C2ya4GdOppA2AIceF9Rf0zBMy2FtccvDGpTkwt0EFQLQYRWG6888mZezcjYZTcZZOZokRTF62Kwn&#10;o2yT3k2L22K9LtK/DnQ6yZuWUiYc7vOgp5OPyT88OWFEL6N+ISi+zu6bD8Ce/x40tGFQNfTgTtLT&#10;VjvSh470Kz/lPmx4kdwz8nrvvV7ezdU/AAAA//8DAFBLAwQUAAYACAAAACEAMD/0Z98AAAAIAQAA&#10;DwAAAGRycy9kb3ducmV2LnhtbEyPzWrDMBCE74W+g9hAb43klobUsRxC+nMKhSSFkptibWwTa2Us&#10;xXbevtte2svAMruz82XL0TWixy7UnjQkUwUCqfC2plLD5/7tfg4iREPWNJ5QwxUDLPPbm8yk1g+0&#10;xX4XS8EhFFKjoYqxTaUMRYXOhKlvkdg7+c6ZyGNXStuZgcNdIx+UmklnauIPlWlxXWFx3l2chvfB&#10;DKvH5LXfnE/r62H/9PG1SVDru8n4smBZLUBEHOPfBfwwcH/IudjRX8gG0Whgmvir7D2r+QzEkZcU&#10;yDyT/wHybwAAAP//AwBQSwECLQAUAAYACAAAACEAtoM4kv4AAADhAQAAEwAAAAAAAAAAAAAAAAAA&#10;AAAAW0NvbnRlbnRfVHlwZXNdLnhtbFBLAQItABQABgAIAAAAIQA4/SH/1gAAAJQBAAALAAAAAAAA&#10;AAAAAAAAAC8BAABfcmVscy8ucmVsc1BLAQItABQABgAIAAAAIQB1hIWecgIAAH8FAAAOAAAAAAAA&#10;AAAAAAAAAC4CAABkcnMvZTJvRG9jLnhtbFBLAQItABQABgAIAAAAIQAwP/Rn3wAAAAgBAAAPAAAA&#10;AAAAAAAAAAAAAMwEAABkcnMvZG93bnJldi54bWxQSwUGAAAAAAQABADzAAAA2AUAAAAA&#10;">
                <v:line id="Line 7" o:spid="_x0000_s1027" style="position:absolute;visibility:visible;mso-wrap-style:square" from="0,5" to="90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4w6yAAAAOEAAAAPAAAAZHJzL2Rvd25yZXYueG1sRI/dasJA&#10;EEbvBd9hGaE3pW4U2sboKpoiFe9qfYAhO/nB7GzMbmJ8+25B8GaY4eM7w1ltBlOLnlpXWVYwm0Yg&#10;iDOrKy4UnH/3bzEI55E11pZJwZ0cbNbj0QoTbW/8Q/3JFyJA2CWooPS+SaR0WUkG3dQ2xCHLbWvQ&#10;h7MtpG7xFuCmlvMo+pAGKw4fSmwoLSm7nDqj4DM95t9drPNr2r835/j6ukt3nVIvk+FrGcZ2CcLT&#10;4J+NB+Kgg8N8Af9GYQO5/gMAAP//AwBQSwECLQAUAAYACAAAACEA2+H2y+4AAACFAQAAEwAAAAAA&#10;AAAAAAAAAAAAAAAAW0NvbnRlbnRfVHlwZXNdLnhtbFBLAQItABQABgAIAAAAIQBa9CxbvwAAABUB&#10;AAALAAAAAAAAAAAAAAAAAB8BAABfcmVscy8ucmVsc1BLAQItABQABgAIAAAAIQBoZ4w6yAAAAOEA&#10;AAAPAAAAAAAAAAAAAAAAAAcCAABkcnMvZG93bnJldi54bWxQSwUGAAAAAAMAAwC3AAAA/AIAAAAA&#10;" strokecolor="#00adee" strokeweight=".48pt">
                  <v:stroke dashstyle="1 1"/>
                  <o:lock v:ext="edit" shapetype="f"/>
                </v:line>
                <w10:anchorlock/>
              </v:group>
            </w:pict>
          </mc:Fallback>
        </mc:AlternateContent>
      </w:r>
    </w:p>
    <w:p w14:paraId="54619828" w14:textId="10FBA7AF" w:rsidR="00647F8A" w:rsidRPr="00AF7228" w:rsidRDefault="00647F8A" w:rsidP="00647F8A">
      <w:pPr>
        <w:pStyle w:val="BodyText"/>
        <w:spacing w:line="20" w:lineRule="exact"/>
        <w:ind w:left="786"/>
        <w:rPr>
          <w:rFonts w:ascii="Times New Roman"/>
          <w:sz w:val="2"/>
        </w:rPr>
      </w:pPr>
    </w:p>
    <w:p w14:paraId="0C654176" w14:textId="0C88251D" w:rsidR="00D71D1B" w:rsidRPr="00AF7228" w:rsidRDefault="00647F8A" w:rsidP="00D71D1B">
      <w:pPr>
        <w:pStyle w:val="Heading1"/>
      </w:pPr>
      <w:bookmarkStart w:id="125" w:name="_Toc6238840"/>
      <w:r w:rsidRPr="00AF7228">
        <w:t>Appendix</w:t>
      </w:r>
      <w:r w:rsidRPr="00AF7228">
        <w:rPr>
          <w:spacing w:val="-2"/>
        </w:rPr>
        <w:t xml:space="preserve"> T</w:t>
      </w:r>
      <w:r w:rsidR="00C36AC7" w:rsidRPr="00AF7228">
        <w:rPr>
          <w:spacing w:val="-2"/>
        </w:rPr>
        <w:t>hree</w:t>
      </w:r>
      <w:r w:rsidR="00D71D1B" w:rsidRPr="00AF7228">
        <w:t>: Brief Description of New Initiatives 2016-2019</w:t>
      </w:r>
      <w:bookmarkEnd w:id="125"/>
    </w:p>
    <w:bookmarkStart w:id="126" w:name="_Toc6149493"/>
    <w:bookmarkStart w:id="127" w:name="_Toc6238841"/>
    <w:p w14:paraId="40DE6009" w14:textId="50D553E7" w:rsidR="00506EFD" w:rsidRPr="00AF7228" w:rsidRDefault="00647F8A" w:rsidP="00D71D1B">
      <w:pPr>
        <w:pStyle w:val="Heading1"/>
      </w:pPr>
      <w:r w:rsidRPr="00AF7228">
        <w:rPr>
          <w:noProof/>
          <w:sz w:val="2"/>
          <w:lang w:eastAsia="en-AU"/>
        </w:rPr>
        <mc:AlternateContent>
          <mc:Choice Requires="wpg">
            <w:drawing>
              <wp:inline distT="0" distB="0" distL="0" distR="0" wp14:anchorId="087437E6" wp14:editId="6D913384">
                <wp:extent cx="5769610" cy="6350"/>
                <wp:effectExtent l="0" t="0" r="0" b="0"/>
                <wp:docPr id="130"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9610" cy="6350"/>
                          <a:chOff x="0" y="0"/>
                          <a:chExt cx="9086" cy="10"/>
                        </a:xfrm>
                      </wpg:grpSpPr>
                      <wps:wsp>
                        <wps:cNvPr id="131" name="Line 5"/>
                        <wps:cNvCnPr>
                          <a:cxnSpLocks/>
                        </wps:cNvCnPr>
                        <wps:spPr bwMode="auto">
                          <a:xfrm>
                            <a:off x="0" y="5"/>
                            <a:ext cx="9086" cy="0"/>
                          </a:xfrm>
                          <a:prstGeom prst="line">
                            <a:avLst/>
                          </a:prstGeom>
                          <a:noFill/>
                          <a:ln w="6096">
                            <a:solidFill>
                              <a:srgbClr val="00ADEE"/>
                            </a:solidFill>
                            <a:prstDash val="sysDot"/>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E23093F" id="Group 4" o:spid="_x0000_s1026" style="width:454.3pt;height:.5pt;mso-position-horizontal-relative:char;mso-position-vertical-relative:line" coordsize="908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VEYcgIAAH8FAAAOAAAAZHJzL2Uyb0RvYy54bWykVF1v2yAUfZ+0/4D8ntpOHDexmlRV7PSl&#10;2yp1+wEE8IeGAQGNE03777uAkzbtS9W92BfuB+eew+Xm9tBztGfadFKsovQqiRATRNJONKvo18/t&#10;ZBEhY7GgmEvBVtGRmeh2/fXLzaAKNpWt5JRpBEWEKQa1ilprVRHHhrSsx+ZKKibAWUvdYwtL3cRU&#10;4wGq9zyeJkkeD1JTpSVhxsBuGZzR2teva0bsj7o2zCK+igCb9V/tvzv3jdc3uGg0Vm1HRhj4Eyh6&#10;3Ak49FyqxBajZ929K9V3REsja3tFZB/Luu4I8z1AN2nyppt7LZ+V76UphkadaQJq3/D06bLk+/5R&#10;o46CdjPgR+AeRPLnosyRM6imgJh7rZ7Uow4dgvkgyW8D7vit362bEIx2wzdJoRx+ttKTc6h170pA&#10;2+jgNTieNWAHiwhszq/zZZ4CFAK+fDYfJSIt6PguibTVmLZMFnnIgVwHDBfhNI9wROTagWtmXpg0&#10;/8fkU4sV8wIZx9KZyfTE5EMnGJoHIn3IRgQWyUFcsPjK6TAaIPuD/PnquDjx90LEJQ+4UNrYeyZ7&#10;5IxVxAGaVwXvH4wNlJ1CnEhCbjvOYR8XXKABxEiWuU8wknfUOZ3P6Ga34RrtsZuw5K6sqpH/izBX&#10;ucSmDXHmaEppXRwu4I4L6q2WYVqNtsUdDzYoyYULhA4B6GiF4fqzTJbVolpkk2yaV5MsKcvJ3XaT&#10;TfJtej0vZ+VmU6Z/Heg0K9qOUiYc7tOgp9nH5B+fnDCi51E/ExRfVveXD8Ce/h40XMOgariDO0mP&#10;j9qRPt5Ib/kp92nji+SekddrH/Xybq7/AQAA//8DAFBLAwQUAAYACAAAACEAMD/0Z98AAAAIAQAA&#10;DwAAAGRycy9kb3ducmV2LnhtbEyPzWrDMBCE74W+g9hAb43klobUsRxC+nMKhSSFkptibWwTa2Us&#10;xXbevtte2svAMruz82XL0TWixy7UnjQkUwUCqfC2plLD5/7tfg4iREPWNJ5QwxUDLPPbm8yk1g+0&#10;xX4XS8EhFFKjoYqxTaUMRYXOhKlvkdg7+c6ZyGNXStuZgcNdIx+UmklnauIPlWlxXWFx3l2chvfB&#10;DKvH5LXfnE/r62H/9PG1SVDru8n4smBZLUBEHOPfBfwwcH/IudjRX8gG0Whgmvir7D2r+QzEkZcU&#10;yDyT/wHybwAAAP//AwBQSwECLQAUAAYACAAAACEAtoM4kv4AAADhAQAAEwAAAAAAAAAAAAAAAAAA&#10;AAAAW0NvbnRlbnRfVHlwZXNdLnhtbFBLAQItABQABgAIAAAAIQA4/SH/1gAAAJQBAAALAAAAAAAA&#10;AAAAAAAAAC8BAABfcmVscy8ucmVsc1BLAQItABQABgAIAAAAIQBmFVEYcgIAAH8FAAAOAAAAAAAA&#10;AAAAAAAAAC4CAABkcnMvZTJvRG9jLnhtbFBLAQItABQABgAIAAAAIQAwP/Rn3wAAAAgBAAAPAAAA&#10;AAAAAAAAAAAAAMwEAABkcnMvZG93bnJldi54bWxQSwUGAAAAAAQABADzAAAA2AUAAAAA&#10;">
                <v:line id="Line 5" o:spid="_x0000_s1027" style="position:absolute;visibility:visible;mso-wrap-style:square" from="0,5" to="90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BbhyAAAAOEAAAAPAAAAZHJzL2Rvd25yZXYueG1sRI/dasJA&#10;EEbvhb7DMoXeSN1osQ3RVTRFFO9qfYAhO/mh2dmY3cT49l1B8GaY4eM7w1muB1OLnlpXWVYwnUQg&#10;iDOrKy4UnH937zEI55E11pZJwY0crFcvoyUm2l75h/qTL0SAsEtQQel9k0jpspIMuoltiEOW29ag&#10;D2dbSN3iNcBNLWdR9CkNVhw+lNhQWlL2d+qMgq/0mO+7WOeXtJ835/gy3qbbTqm31+F7EcZmAcLT&#10;4J+NB+Kgg8PHFO5GYQO5+gcAAP//AwBQSwECLQAUAAYACAAAACEA2+H2y+4AAACFAQAAEwAAAAAA&#10;AAAAAAAAAAAAAAAAW0NvbnRlbnRfVHlwZXNdLnhtbFBLAQItABQABgAIAAAAIQBa9CxbvwAAABUB&#10;AAALAAAAAAAAAAAAAAAAAB8BAABfcmVscy8ucmVsc1BLAQItABQABgAIAAAAIQATyBbhyAAAAOEA&#10;AAAPAAAAAAAAAAAAAAAAAAcCAABkcnMvZG93bnJldi54bWxQSwUGAAAAAAMAAwC3AAAA/AIAAAAA&#10;" strokecolor="#00adee" strokeweight=".48pt">
                  <v:stroke dashstyle="1 1"/>
                  <o:lock v:ext="edit" shapetype="f"/>
                </v:line>
                <w10:anchorlock/>
              </v:group>
            </w:pict>
          </mc:Fallback>
        </mc:AlternateContent>
      </w:r>
      <w:bookmarkEnd w:id="126"/>
      <w:bookmarkEnd w:id="127"/>
    </w:p>
    <w:tbl>
      <w:tblPr>
        <w:tblW w:w="9072" w:type="dxa"/>
        <w:tblCellSpacing w:w="14" w:type="dxa"/>
        <w:tblInd w:w="142" w:type="dxa"/>
        <w:tblLayout w:type="fixed"/>
        <w:tblCellMar>
          <w:left w:w="0" w:type="dxa"/>
          <w:right w:w="0" w:type="dxa"/>
        </w:tblCellMar>
        <w:tblLook w:val="01E0" w:firstRow="1" w:lastRow="1" w:firstColumn="1" w:lastColumn="1" w:noHBand="0" w:noVBand="0"/>
      </w:tblPr>
      <w:tblGrid>
        <w:gridCol w:w="1701"/>
        <w:gridCol w:w="7371"/>
      </w:tblGrid>
      <w:tr w:rsidR="00647F8A" w:rsidRPr="00AF7228" w14:paraId="5382709A" w14:textId="77777777" w:rsidTr="00647F8A">
        <w:trPr>
          <w:trHeight w:val="335"/>
          <w:tblCellSpacing w:w="14" w:type="dxa"/>
        </w:trPr>
        <w:tc>
          <w:tcPr>
            <w:tcW w:w="1659" w:type="dxa"/>
            <w:tcBorders>
              <w:top w:val="nil"/>
              <w:left w:val="nil"/>
            </w:tcBorders>
            <w:shd w:val="clear" w:color="auto" w:fill="2A2A85"/>
          </w:tcPr>
          <w:p w14:paraId="30F52C4D" w14:textId="77777777" w:rsidR="00647F8A" w:rsidRPr="00AF7228" w:rsidRDefault="00647F8A" w:rsidP="003376B3">
            <w:pPr>
              <w:pStyle w:val="TableParagraph"/>
              <w:spacing w:before="45"/>
              <w:ind w:left="93"/>
              <w:rPr>
                <w:b/>
              </w:rPr>
            </w:pPr>
            <w:r w:rsidRPr="00AF7228">
              <w:rPr>
                <w:b/>
                <w:color w:val="FFFFFF"/>
              </w:rPr>
              <w:t>Activities</w:t>
            </w:r>
          </w:p>
        </w:tc>
        <w:tc>
          <w:tcPr>
            <w:tcW w:w="7329" w:type="dxa"/>
            <w:tcBorders>
              <w:top w:val="nil"/>
              <w:right w:val="nil"/>
            </w:tcBorders>
            <w:shd w:val="clear" w:color="auto" w:fill="2A2A85"/>
          </w:tcPr>
          <w:p w14:paraId="48B143CA" w14:textId="77777777" w:rsidR="00647F8A" w:rsidRPr="00AF7228" w:rsidRDefault="00647F8A" w:rsidP="003376B3">
            <w:pPr>
              <w:pStyle w:val="TableParagraph"/>
              <w:spacing w:before="45"/>
              <w:ind w:left="92"/>
              <w:rPr>
                <w:b/>
              </w:rPr>
            </w:pPr>
            <w:r w:rsidRPr="00AF7228">
              <w:rPr>
                <w:b/>
                <w:color w:val="FFFFFF"/>
              </w:rPr>
              <w:t>Description</w:t>
            </w:r>
          </w:p>
        </w:tc>
      </w:tr>
      <w:tr w:rsidR="00647F8A" w:rsidRPr="00AF7228" w14:paraId="1C27983B" w14:textId="77777777" w:rsidTr="00647F8A">
        <w:trPr>
          <w:trHeight w:val="1825"/>
          <w:tblCellSpacing w:w="14" w:type="dxa"/>
        </w:trPr>
        <w:tc>
          <w:tcPr>
            <w:tcW w:w="1659" w:type="dxa"/>
            <w:tcBorders>
              <w:left w:val="nil"/>
            </w:tcBorders>
            <w:shd w:val="clear" w:color="auto" w:fill="00ADEE"/>
          </w:tcPr>
          <w:p w14:paraId="4E26A414" w14:textId="77777777" w:rsidR="00647F8A" w:rsidRPr="00AF7228" w:rsidRDefault="00647F8A" w:rsidP="003376B3">
            <w:pPr>
              <w:pStyle w:val="TableParagraph"/>
              <w:rPr>
                <w:b/>
              </w:rPr>
            </w:pPr>
          </w:p>
          <w:p w14:paraId="3B716ED4" w14:textId="77777777" w:rsidR="00647F8A" w:rsidRPr="00AF7228" w:rsidRDefault="00647F8A" w:rsidP="003376B3">
            <w:pPr>
              <w:pStyle w:val="TableParagraph"/>
              <w:rPr>
                <w:b/>
              </w:rPr>
            </w:pPr>
          </w:p>
          <w:p w14:paraId="09B59382" w14:textId="77777777" w:rsidR="00647F8A" w:rsidRPr="00AF7228" w:rsidRDefault="00647F8A" w:rsidP="003376B3">
            <w:pPr>
              <w:pStyle w:val="TableParagraph"/>
              <w:rPr>
                <w:b/>
                <w:sz w:val="19"/>
              </w:rPr>
            </w:pPr>
          </w:p>
          <w:p w14:paraId="15E8A990" w14:textId="77777777" w:rsidR="00647F8A" w:rsidRPr="00AF7228" w:rsidRDefault="00647F8A" w:rsidP="003376B3">
            <w:pPr>
              <w:pStyle w:val="TableParagraph"/>
              <w:ind w:left="93"/>
              <w:rPr>
                <w:b/>
              </w:rPr>
            </w:pPr>
            <w:r w:rsidRPr="00AF7228">
              <w:rPr>
                <w:b/>
                <w:color w:val="FFFFFF"/>
              </w:rPr>
              <w:t>Helpline</w:t>
            </w:r>
          </w:p>
        </w:tc>
        <w:tc>
          <w:tcPr>
            <w:tcW w:w="7329" w:type="dxa"/>
            <w:tcBorders>
              <w:right w:val="nil"/>
            </w:tcBorders>
            <w:shd w:val="clear" w:color="auto" w:fill="C1EEFF"/>
          </w:tcPr>
          <w:p w14:paraId="19BDA9CB" w14:textId="77777777" w:rsidR="00647F8A" w:rsidRPr="00AF7228" w:rsidRDefault="00647F8A" w:rsidP="003376B3">
            <w:pPr>
              <w:pStyle w:val="TableParagraph"/>
              <w:spacing w:line="276" w:lineRule="auto"/>
              <w:ind w:left="92" w:right="174"/>
            </w:pPr>
            <w:r w:rsidRPr="00AF7228">
              <w:t>A professional telephone counselling and support service, ‘On the Line’, available 24/7 as an effective low intensity service which incorporates direct telephone support, real-time counselling, call back services. Additionally, this service will allow for direct liaison with WentWest as well as the mental health professional and providers for WentWest, should the caller/ consumer disclose, or be identified as needing, face to face services.</w:t>
            </w:r>
          </w:p>
        </w:tc>
      </w:tr>
      <w:tr w:rsidR="00647F8A" w:rsidRPr="00AF7228" w14:paraId="682ACFC1" w14:textId="77777777" w:rsidTr="00647F8A">
        <w:trPr>
          <w:trHeight w:val="1814"/>
          <w:tblCellSpacing w:w="14" w:type="dxa"/>
        </w:trPr>
        <w:tc>
          <w:tcPr>
            <w:tcW w:w="1659" w:type="dxa"/>
            <w:tcBorders>
              <w:left w:val="nil"/>
            </w:tcBorders>
            <w:shd w:val="clear" w:color="auto" w:fill="00ADEE"/>
          </w:tcPr>
          <w:p w14:paraId="3607CDDA" w14:textId="77777777" w:rsidR="00647F8A" w:rsidRPr="00AF7228" w:rsidRDefault="00647F8A" w:rsidP="003376B3">
            <w:pPr>
              <w:pStyle w:val="TableParagraph"/>
              <w:rPr>
                <w:b/>
              </w:rPr>
            </w:pPr>
          </w:p>
          <w:p w14:paraId="6470E36F" w14:textId="77777777" w:rsidR="00647F8A" w:rsidRPr="00AF7228" w:rsidRDefault="00647F8A" w:rsidP="003376B3">
            <w:pPr>
              <w:pStyle w:val="TableParagraph"/>
              <w:spacing w:before="191" w:line="276" w:lineRule="auto"/>
              <w:ind w:left="93"/>
              <w:rPr>
                <w:b/>
              </w:rPr>
            </w:pPr>
            <w:r w:rsidRPr="00AF7228">
              <w:rPr>
                <w:b/>
                <w:color w:val="FFFFFF"/>
              </w:rPr>
              <w:t>Consumer Navigation Planning Tool (No Wrong Door</w:t>
            </w:r>
          </w:p>
        </w:tc>
        <w:tc>
          <w:tcPr>
            <w:tcW w:w="7329" w:type="dxa"/>
            <w:tcBorders>
              <w:right w:val="nil"/>
            </w:tcBorders>
            <w:shd w:val="clear" w:color="auto" w:fill="C1EEFF"/>
          </w:tcPr>
          <w:p w14:paraId="59D1FEDA" w14:textId="3D15EC55" w:rsidR="00647F8A" w:rsidRPr="00AF7228" w:rsidRDefault="00647F8A" w:rsidP="003376B3">
            <w:pPr>
              <w:pStyle w:val="TableParagraph"/>
              <w:spacing w:line="276" w:lineRule="auto"/>
              <w:ind w:left="92" w:right="157"/>
            </w:pPr>
            <w:r w:rsidRPr="00AF7228">
              <w:t>Assist people with mental health experience and their families and carers to navigate information relevant to their current mental health concerns as well as provide information regarding service delivery, service types and professional</w:t>
            </w:r>
            <w:r w:rsidR="006738F3">
              <w:t xml:space="preserve"> help</w:t>
            </w:r>
            <w:r w:rsidRPr="00AF7228">
              <w:t xml:space="preserve"> within the region. This will assist people in their choice of services and be better informed about the services they may require. This will be a 24-hour online app that will support primary mental health care</w:t>
            </w:r>
            <w:r w:rsidRPr="00AF7228">
              <w:rPr>
                <w:spacing w:val="-21"/>
              </w:rPr>
              <w:t xml:space="preserve"> </w:t>
            </w:r>
            <w:r w:rsidRPr="00AF7228">
              <w:t>services within the region.</w:t>
            </w:r>
          </w:p>
        </w:tc>
      </w:tr>
      <w:tr w:rsidR="00647F8A" w:rsidRPr="00AF7228" w14:paraId="0EC075DC" w14:textId="77777777" w:rsidTr="00647F8A">
        <w:trPr>
          <w:trHeight w:val="2483"/>
          <w:tblCellSpacing w:w="14" w:type="dxa"/>
        </w:trPr>
        <w:tc>
          <w:tcPr>
            <w:tcW w:w="1659" w:type="dxa"/>
            <w:tcBorders>
              <w:left w:val="nil"/>
            </w:tcBorders>
            <w:shd w:val="clear" w:color="auto" w:fill="00ADEE"/>
          </w:tcPr>
          <w:p w14:paraId="4D7101CB" w14:textId="77777777" w:rsidR="00647F8A" w:rsidRPr="00AF7228" w:rsidRDefault="00647F8A" w:rsidP="003376B3">
            <w:pPr>
              <w:pStyle w:val="TableParagraph"/>
              <w:rPr>
                <w:b/>
              </w:rPr>
            </w:pPr>
          </w:p>
          <w:p w14:paraId="035EAB0E" w14:textId="77777777" w:rsidR="00647F8A" w:rsidRPr="00AF7228" w:rsidRDefault="00647F8A" w:rsidP="003376B3">
            <w:pPr>
              <w:pStyle w:val="TableParagraph"/>
              <w:rPr>
                <w:b/>
              </w:rPr>
            </w:pPr>
          </w:p>
          <w:p w14:paraId="61D4F78C" w14:textId="77777777" w:rsidR="00647F8A" w:rsidRPr="00AF7228" w:rsidRDefault="00647F8A" w:rsidP="003376B3">
            <w:pPr>
              <w:pStyle w:val="TableParagraph"/>
              <w:rPr>
                <w:b/>
                <w:sz w:val="19"/>
              </w:rPr>
            </w:pPr>
          </w:p>
          <w:p w14:paraId="4229B04B" w14:textId="3116576F" w:rsidR="00647F8A" w:rsidRPr="00AF7228" w:rsidRDefault="00647F8A" w:rsidP="003376B3">
            <w:pPr>
              <w:pStyle w:val="TableParagraph"/>
              <w:spacing w:line="276" w:lineRule="auto"/>
              <w:ind w:left="93" w:right="289"/>
              <w:rPr>
                <w:b/>
              </w:rPr>
            </w:pPr>
            <w:r w:rsidRPr="00AF7228">
              <w:rPr>
                <w:b/>
                <w:color w:val="FFFFFF"/>
              </w:rPr>
              <w:t>Online Support and Health Coaching (Anna Cares)</w:t>
            </w:r>
          </w:p>
        </w:tc>
        <w:tc>
          <w:tcPr>
            <w:tcW w:w="7329" w:type="dxa"/>
            <w:tcBorders>
              <w:right w:val="nil"/>
            </w:tcBorders>
            <w:shd w:val="clear" w:color="auto" w:fill="C1EEFF"/>
          </w:tcPr>
          <w:p w14:paraId="545CFF71" w14:textId="77777777" w:rsidR="00647F8A" w:rsidRPr="00AF7228" w:rsidRDefault="00647F8A" w:rsidP="003376B3">
            <w:pPr>
              <w:pStyle w:val="TableParagraph"/>
              <w:spacing w:line="276" w:lineRule="auto"/>
              <w:ind w:left="92" w:right="111"/>
            </w:pPr>
            <w:r w:rsidRPr="00AF7228">
              <w:t>Assist people via an online health coach, ‘Anna Cares’, an interactive health coaching app that allows consumers to monitor and assist with their recovery as well as self-care. This app informs and supports the work of the face to face professional (psychologist) as the service is prescribed to the consumer, which provides feedback to the consumer registered with Anna Cares, and to the prescribing agent and WentWest. The technology creates an ongoing support tool for consumers after treatment is completed. This service will help patients with day-to-day activities and supports them to</w:t>
            </w:r>
            <w:r w:rsidRPr="00AF7228">
              <w:rPr>
                <w:spacing w:val="-7"/>
              </w:rPr>
              <w:t xml:space="preserve"> </w:t>
            </w:r>
            <w:r w:rsidRPr="00AF7228">
              <w:t>maintain independence.</w:t>
            </w:r>
          </w:p>
        </w:tc>
      </w:tr>
      <w:tr w:rsidR="00647F8A" w:rsidRPr="00AF7228" w14:paraId="662939E1" w14:textId="77777777" w:rsidTr="00647F8A">
        <w:trPr>
          <w:trHeight w:val="3059"/>
          <w:tblCellSpacing w:w="14" w:type="dxa"/>
        </w:trPr>
        <w:tc>
          <w:tcPr>
            <w:tcW w:w="1659" w:type="dxa"/>
            <w:tcBorders>
              <w:left w:val="nil"/>
            </w:tcBorders>
            <w:shd w:val="clear" w:color="auto" w:fill="00ADEE"/>
          </w:tcPr>
          <w:p w14:paraId="08762A4E" w14:textId="77777777" w:rsidR="00647F8A" w:rsidRPr="00AF7228" w:rsidRDefault="00647F8A" w:rsidP="003376B3">
            <w:pPr>
              <w:pStyle w:val="TableParagraph"/>
              <w:rPr>
                <w:b/>
              </w:rPr>
            </w:pPr>
          </w:p>
          <w:p w14:paraId="38419A59" w14:textId="77777777" w:rsidR="00647F8A" w:rsidRPr="00AF7228" w:rsidRDefault="00647F8A" w:rsidP="003376B3">
            <w:pPr>
              <w:pStyle w:val="TableParagraph"/>
              <w:rPr>
                <w:b/>
              </w:rPr>
            </w:pPr>
          </w:p>
          <w:p w14:paraId="47CB2205" w14:textId="77777777" w:rsidR="00647F8A" w:rsidRPr="00AF7228" w:rsidRDefault="00647F8A" w:rsidP="003376B3">
            <w:pPr>
              <w:pStyle w:val="TableParagraph"/>
              <w:rPr>
                <w:b/>
              </w:rPr>
            </w:pPr>
          </w:p>
          <w:p w14:paraId="56E503EA" w14:textId="77777777" w:rsidR="00647F8A" w:rsidRPr="00AF7228" w:rsidRDefault="00647F8A" w:rsidP="003376B3">
            <w:pPr>
              <w:pStyle w:val="TableParagraph"/>
              <w:rPr>
                <w:b/>
              </w:rPr>
            </w:pPr>
          </w:p>
          <w:p w14:paraId="2AD409A4" w14:textId="77777777" w:rsidR="00647F8A" w:rsidRPr="00AF7228" w:rsidRDefault="00647F8A" w:rsidP="003376B3">
            <w:pPr>
              <w:pStyle w:val="TableParagraph"/>
              <w:spacing w:before="158" w:line="276" w:lineRule="auto"/>
              <w:ind w:left="93" w:right="94"/>
              <w:rPr>
                <w:b/>
              </w:rPr>
            </w:pPr>
            <w:r w:rsidRPr="00AF7228">
              <w:rPr>
                <w:b/>
                <w:color w:val="FFFFFF"/>
              </w:rPr>
              <w:t>Western Sydney Recovery College:</w:t>
            </w:r>
          </w:p>
        </w:tc>
        <w:tc>
          <w:tcPr>
            <w:tcW w:w="7329" w:type="dxa"/>
            <w:tcBorders>
              <w:right w:val="nil"/>
            </w:tcBorders>
            <w:shd w:val="clear" w:color="auto" w:fill="C1EEFF"/>
          </w:tcPr>
          <w:p w14:paraId="2382A60E" w14:textId="4124F9A4" w:rsidR="00647F8A" w:rsidRPr="00AF7228" w:rsidRDefault="00647F8A" w:rsidP="003376B3">
            <w:pPr>
              <w:pStyle w:val="TableParagraph"/>
              <w:spacing w:line="276" w:lineRule="auto"/>
              <w:ind w:left="92" w:right="174"/>
            </w:pPr>
            <w:r w:rsidRPr="00AF7228">
              <w:t xml:space="preserve">Peer worker led self-management groups delivered within primary care settings. The Recovery College provides a </w:t>
            </w:r>
            <w:r w:rsidR="006738F3" w:rsidRPr="00AF7228">
              <w:t>person-centred</w:t>
            </w:r>
            <w:r w:rsidRPr="00AF7228">
              <w:t xml:space="preserve"> model for individuals, carer’s and families living with a mental illness as well as the opportunity for personal growth and education through the programs. These courses are unique as they are delivered by Peer Facilitators who have lived experience with their own mental illness, further strengthening the journey of recovery. Courses are co-produced by clinicians jointly with people with lived experience which encourages the development of increased individual and system wide understanding of the experience of mental illness, recovery and maintaining recovery.</w:t>
            </w:r>
          </w:p>
        </w:tc>
      </w:tr>
      <w:tr w:rsidR="00647F8A" w:rsidRPr="00AF7228" w14:paraId="75C48B48" w14:textId="77777777" w:rsidTr="00647F8A">
        <w:trPr>
          <w:trHeight w:val="1825"/>
          <w:tblCellSpacing w:w="14" w:type="dxa"/>
        </w:trPr>
        <w:tc>
          <w:tcPr>
            <w:tcW w:w="1659" w:type="dxa"/>
            <w:tcBorders>
              <w:left w:val="nil"/>
              <w:bottom w:val="nil"/>
            </w:tcBorders>
            <w:shd w:val="clear" w:color="auto" w:fill="00ADEE"/>
          </w:tcPr>
          <w:p w14:paraId="569E61ED" w14:textId="77777777" w:rsidR="00647F8A" w:rsidRPr="00AF7228" w:rsidRDefault="00647F8A" w:rsidP="003376B3">
            <w:pPr>
              <w:pStyle w:val="TableParagraph"/>
              <w:rPr>
                <w:b/>
              </w:rPr>
            </w:pPr>
          </w:p>
          <w:p w14:paraId="151F9E3D" w14:textId="77777777" w:rsidR="00647F8A" w:rsidRPr="00AF7228" w:rsidRDefault="00647F8A" w:rsidP="003376B3">
            <w:pPr>
              <w:pStyle w:val="TableParagraph"/>
              <w:spacing w:before="5"/>
              <w:rPr>
                <w:b/>
                <w:sz w:val="28"/>
              </w:rPr>
            </w:pPr>
          </w:p>
          <w:p w14:paraId="7906352A" w14:textId="77777777" w:rsidR="00647F8A" w:rsidRPr="00AF7228" w:rsidRDefault="00647F8A" w:rsidP="003376B3">
            <w:pPr>
              <w:pStyle w:val="TableParagraph"/>
              <w:spacing w:line="276" w:lineRule="auto"/>
              <w:ind w:left="93" w:right="119"/>
              <w:rPr>
                <w:b/>
              </w:rPr>
            </w:pPr>
            <w:r w:rsidRPr="00AF7228">
              <w:rPr>
                <w:b/>
                <w:color w:val="FFFFFF"/>
              </w:rPr>
              <w:t>Hospital to Home program:</w:t>
            </w:r>
          </w:p>
        </w:tc>
        <w:tc>
          <w:tcPr>
            <w:tcW w:w="7329" w:type="dxa"/>
            <w:tcBorders>
              <w:bottom w:val="nil"/>
              <w:right w:val="nil"/>
            </w:tcBorders>
            <w:shd w:val="clear" w:color="auto" w:fill="C1EEFF"/>
          </w:tcPr>
          <w:p w14:paraId="7E32967F" w14:textId="122A0F89" w:rsidR="00647F8A" w:rsidRPr="00AF7228" w:rsidRDefault="00647F8A" w:rsidP="003376B3">
            <w:pPr>
              <w:pStyle w:val="TableParagraph"/>
              <w:spacing w:line="276" w:lineRule="auto"/>
              <w:ind w:left="92" w:right="188"/>
            </w:pPr>
            <w:r w:rsidRPr="00AF7228">
              <w:t xml:space="preserve">Support for mental health consumers during hospital admission and the </w:t>
            </w:r>
            <w:r w:rsidR="006738F3">
              <w:t>six</w:t>
            </w:r>
            <w:r w:rsidR="006738F3" w:rsidRPr="00AF7228">
              <w:t xml:space="preserve"> </w:t>
            </w:r>
            <w:r w:rsidRPr="00AF7228">
              <w:t xml:space="preserve">to </w:t>
            </w:r>
            <w:r w:rsidR="006738F3">
              <w:t>eight</w:t>
            </w:r>
            <w:r w:rsidRPr="00AF7228">
              <w:t>-week period after discharge - a time when many consumers are vulnerable and require additional support in order to return to living fulfilling and autonomous lives. Hospital to Home focuses on helping consumers to self-manage their recovery, connect with their social networks and minimise feelings of isolation</w:t>
            </w:r>
          </w:p>
        </w:tc>
      </w:tr>
      <w:tr w:rsidR="00647F8A" w:rsidRPr="00AF7228" w14:paraId="45FC4BF9" w14:textId="77777777" w:rsidTr="00647F8A">
        <w:trPr>
          <w:trHeight w:val="1825"/>
          <w:tblCellSpacing w:w="14" w:type="dxa"/>
        </w:trPr>
        <w:tc>
          <w:tcPr>
            <w:tcW w:w="1659" w:type="dxa"/>
            <w:tcBorders>
              <w:left w:val="nil"/>
              <w:bottom w:val="nil"/>
            </w:tcBorders>
            <w:shd w:val="clear" w:color="auto" w:fill="00ADEE"/>
          </w:tcPr>
          <w:p w14:paraId="102040D2" w14:textId="77777777" w:rsidR="00647F8A" w:rsidRPr="00AF7228" w:rsidRDefault="00647F8A" w:rsidP="003376B3">
            <w:pPr>
              <w:pStyle w:val="TableParagraph"/>
              <w:rPr>
                <w:b/>
                <w:color w:val="FFFFFF" w:themeColor="background1"/>
              </w:rPr>
            </w:pPr>
          </w:p>
          <w:p w14:paraId="40636EE9" w14:textId="77777777" w:rsidR="00647F8A" w:rsidRPr="00AF7228" w:rsidRDefault="00647F8A" w:rsidP="003376B3">
            <w:pPr>
              <w:pStyle w:val="TableParagraph"/>
              <w:rPr>
                <w:b/>
                <w:color w:val="FFFFFF" w:themeColor="background1"/>
              </w:rPr>
            </w:pPr>
          </w:p>
          <w:p w14:paraId="41A2CA72" w14:textId="77777777" w:rsidR="00647F8A" w:rsidRPr="00AF7228" w:rsidRDefault="00647F8A" w:rsidP="003376B3">
            <w:pPr>
              <w:pStyle w:val="TableParagraph"/>
              <w:rPr>
                <w:b/>
                <w:color w:val="FFFFFF" w:themeColor="background1"/>
              </w:rPr>
            </w:pPr>
          </w:p>
          <w:p w14:paraId="1D3D3D2D" w14:textId="77777777" w:rsidR="00647F8A" w:rsidRPr="00AF7228" w:rsidRDefault="00647F8A" w:rsidP="003376B3">
            <w:pPr>
              <w:pStyle w:val="TableParagraph"/>
              <w:rPr>
                <w:b/>
                <w:color w:val="FFFFFF" w:themeColor="background1"/>
              </w:rPr>
            </w:pPr>
          </w:p>
          <w:p w14:paraId="51609EF2" w14:textId="77777777" w:rsidR="00647F8A" w:rsidRPr="00AF7228" w:rsidRDefault="00647F8A" w:rsidP="003376B3">
            <w:pPr>
              <w:pStyle w:val="TableParagraph"/>
              <w:rPr>
                <w:b/>
                <w:color w:val="FFFFFF" w:themeColor="background1"/>
              </w:rPr>
            </w:pPr>
          </w:p>
          <w:p w14:paraId="02BE7B37" w14:textId="77777777" w:rsidR="00647F8A" w:rsidRPr="00AF7228" w:rsidRDefault="00647F8A" w:rsidP="003376B3">
            <w:pPr>
              <w:pStyle w:val="TableParagraph"/>
              <w:rPr>
                <w:b/>
                <w:color w:val="FFFFFF" w:themeColor="background1"/>
              </w:rPr>
            </w:pPr>
          </w:p>
          <w:p w14:paraId="6089A387" w14:textId="77777777" w:rsidR="00647F8A" w:rsidRPr="00AF7228" w:rsidRDefault="00647F8A" w:rsidP="003376B3">
            <w:pPr>
              <w:pStyle w:val="TableParagraph"/>
              <w:rPr>
                <w:b/>
                <w:color w:val="FFFFFF" w:themeColor="background1"/>
              </w:rPr>
            </w:pPr>
          </w:p>
          <w:p w14:paraId="1B5354E1" w14:textId="77777777" w:rsidR="00647F8A" w:rsidRPr="00AF7228" w:rsidRDefault="00647F8A" w:rsidP="003376B3">
            <w:pPr>
              <w:pStyle w:val="TableParagraph"/>
              <w:rPr>
                <w:b/>
                <w:color w:val="FFFFFF" w:themeColor="background1"/>
              </w:rPr>
            </w:pPr>
          </w:p>
          <w:p w14:paraId="66EBF641" w14:textId="77777777" w:rsidR="00647F8A" w:rsidRPr="00AF7228" w:rsidRDefault="00647F8A" w:rsidP="003376B3">
            <w:pPr>
              <w:pStyle w:val="TableParagraph"/>
              <w:rPr>
                <w:b/>
                <w:color w:val="FFFFFF" w:themeColor="background1"/>
              </w:rPr>
            </w:pPr>
          </w:p>
          <w:p w14:paraId="05531680" w14:textId="77777777" w:rsidR="00647F8A" w:rsidRPr="00AF7228" w:rsidRDefault="00647F8A" w:rsidP="003376B3">
            <w:pPr>
              <w:pStyle w:val="TableParagraph"/>
              <w:rPr>
                <w:b/>
                <w:color w:val="FFFFFF" w:themeColor="background1"/>
              </w:rPr>
            </w:pPr>
          </w:p>
          <w:p w14:paraId="5F92DBC7" w14:textId="77777777" w:rsidR="00647F8A" w:rsidRPr="00AF7228" w:rsidRDefault="00647F8A" w:rsidP="003376B3">
            <w:pPr>
              <w:pStyle w:val="TableParagraph"/>
              <w:ind w:left="107"/>
              <w:rPr>
                <w:b/>
                <w:color w:val="FFFFFF" w:themeColor="background1"/>
              </w:rPr>
            </w:pPr>
            <w:r w:rsidRPr="00AF7228">
              <w:rPr>
                <w:b/>
                <w:color w:val="FFFFFF" w:themeColor="background1"/>
              </w:rPr>
              <w:t>General Practice Support and Capability Building – Psychiatrist Liaison Model</w:t>
            </w:r>
          </w:p>
        </w:tc>
        <w:tc>
          <w:tcPr>
            <w:tcW w:w="7329" w:type="dxa"/>
            <w:tcBorders>
              <w:bottom w:val="nil"/>
              <w:right w:val="nil"/>
            </w:tcBorders>
            <w:shd w:val="clear" w:color="auto" w:fill="C1EEFF"/>
          </w:tcPr>
          <w:p w14:paraId="200652BD" w14:textId="77777777" w:rsidR="00647F8A" w:rsidRPr="00AF7228" w:rsidRDefault="00647F8A" w:rsidP="003376B3">
            <w:pPr>
              <w:pStyle w:val="TableParagraph"/>
              <w:spacing w:line="276" w:lineRule="auto"/>
              <w:ind w:left="92" w:right="188"/>
            </w:pPr>
            <w:r w:rsidRPr="00AF7228">
              <w:t>An innovative model of integrated mental, physical and behavioural health within primary care supported by comprehensive mental health expertise. It is a co-located primary mental health service provided in GP clinics via a referral process. It is built on provision of a 1.0 FTE Consultant Psychiatry Liaison (CPL), embedded into the western Sydney primary care network and who will facilitate the provision of services to patients with mental health needs through coordination between GP practices and the wider primary care network. In 2019 this was expanded to 2.0 FTE CPL.</w:t>
            </w:r>
          </w:p>
          <w:p w14:paraId="2DA0D04A" w14:textId="77777777" w:rsidR="00647F8A" w:rsidRPr="00AF7228" w:rsidRDefault="00647F8A" w:rsidP="003376B3">
            <w:pPr>
              <w:pStyle w:val="TableParagraph"/>
              <w:spacing w:line="276" w:lineRule="auto"/>
              <w:ind w:left="92" w:right="188"/>
            </w:pPr>
            <w:r w:rsidRPr="00AF7228">
              <w:t>Practice teams can access CPL for support, advice and to build capability across the primary care team to support severe and complex care needs. Includes the commissioning of support and capability building for the primary care team that aligns to the Quadruple Aim and builds general practice as the Healthcare Home. The model was initially implemented across 10 general practices and has since expanded. The model includes core components of:</w:t>
            </w:r>
          </w:p>
          <w:p w14:paraId="0D636022" w14:textId="77777777" w:rsidR="00647F8A" w:rsidRPr="00AF7228" w:rsidRDefault="00647F8A" w:rsidP="00286F1D">
            <w:pPr>
              <w:pStyle w:val="TableParagraph"/>
              <w:numPr>
                <w:ilvl w:val="0"/>
                <w:numId w:val="8"/>
              </w:numPr>
              <w:tabs>
                <w:tab w:val="left" w:pos="813"/>
                <w:tab w:val="left" w:pos="814"/>
              </w:tabs>
              <w:spacing w:line="276" w:lineRule="auto"/>
              <w:ind w:right="262"/>
            </w:pPr>
            <w:r w:rsidRPr="00AF7228">
              <w:t>Mental health services embedded to Primary Care with alignment to the Healthcare Home model</w:t>
            </w:r>
          </w:p>
          <w:p w14:paraId="386BA323" w14:textId="77777777" w:rsidR="00647F8A" w:rsidRPr="00AF7228" w:rsidRDefault="00647F8A" w:rsidP="00286F1D">
            <w:pPr>
              <w:pStyle w:val="TableParagraph"/>
              <w:numPr>
                <w:ilvl w:val="0"/>
                <w:numId w:val="8"/>
              </w:numPr>
              <w:tabs>
                <w:tab w:val="left" w:pos="813"/>
                <w:tab w:val="left" w:pos="814"/>
              </w:tabs>
              <w:spacing w:line="280" w:lineRule="exact"/>
            </w:pPr>
            <w:r w:rsidRPr="00AF7228">
              <w:t>Working in a team-based model of care in the practice</w:t>
            </w:r>
          </w:p>
          <w:p w14:paraId="145E44B1" w14:textId="77777777" w:rsidR="00647F8A" w:rsidRPr="00AF7228" w:rsidRDefault="00647F8A" w:rsidP="00286F1D">
            <w:pPr>
              <w:pStyle w:val="TableParagraph"/>
              <w:numPr>
                <w:ilvl w:val="0"/>
                <w:numId w:val="8"/>
              </w:numPr>
              <w:tabs>
                <w:tab w:val="left" w:pos="813"/>
                <w:tab w:val="left" w:pos="814"/>
              </w:tabs>
              <w:spacing w:before="31" w:line="273" w:lineRule="auto"/>
              <w:ind w:right="644"/>
            </w:pPr>
            <w:r w:rsidRPr="00AF7228">
              <w:t>Using and supporting electronic shared care plan (</w:t>
            </w:r>
            <w:proofErr w:type="spellStart"/>
            <w:r w:rsidRPr="00AF7228">
              <w:t>LinkedEHR</w:t>
            </w:r>
            <w:proofErr w:type="spellEnd"/>
            <w:r w:rsidRPr="00AF7228">
              <w:t>) to deliver services</w:t>
            </w:r>
          </w:p>
          <w:p w14:paraId="7F7DFF02" w14:textId="72A2A69A" w:rsidR="00647F8A" w:rsidRPr="00AF7228" w:rsidRDefault="00647F8A" w:rsidP="00286F1D">
            <w:pPr>
              <w:pStyle w:val="TableParagraph"/>
              <w:numPr>
                <w:ilvl w:val="0"/>
                <w:numId w:val="8"/>
              </w:numPr>
              <w:tabs>
                <w:tab w:val="left" w:pos="813"/>
                <w:tab w:val="left" w:pos="814"/>
              </w:tabs>
              <w:spacing w:before="4" w:line="276" w:lineRule="auto"/>
              <w:ind w:right="338"/>
            </w:pPr>
            <w:r w:rsidRPr="00AF7228">
              <w:t xml:space="preserve">WentWest will assist and coordinate referral to the </w:t>
            </w:r>
            <w:r w:rsidR="006738F3">
              <w:t>p</w:t>
            </w:r>
            <w:r w:rsidR="006738F3" w:rsidRPr="00AF7228">
              <w:t xml:space="preserve">sychiatrist </w:t>
            </w:r>
            <w:r w:rsidRPr="00AF7228">
              <w:t>as a regional service (in addition to practice based referrals)</w:t>
            </w:r>
          </w:p>
          <w:p w14:paraId="1FACDF39" w14:textId="77777777" w:rsidR="00647F8A" w:rsidRPr="00AF7228" w:rsidRDefault="00647F8A" w:rsidP="003376B3">
            <w:pPr>
              <w:pStyle w:val="TableParagraph"/>
              <w:spacing w:line="276" w:lineRule="auto"/>
              <w:ind w:left="92" w:right="188"/>
            </w:pPr>
            <w:r w:rsidRPr="00AF7228">
              <w:t>In addition, it is essential the model is supported by other providers such as mental health nurses, counsellors, social workers, peer worker and addiction specialists to be liaison-collaborators.</w:t>
            </w:r>
          </w:p>
        </w:tc>
      </w:tr>
      <w:tr w:rsidR="00647F8A" w:rsidRPr="00AF7228" w14:paraId="4C80DDEF" w14:textId="77777777" w:rsidTr="00647F8A">
        <w:trPr>
          <w:trHeight w:val="1825"/>
          <w:tblCellSpacing w:w="14" w:type="dxa"/>
        </w:trPr>
        <w:tc>
          <w:tcPr>
            <w:tcW w:w="1659" w:type="dxa"/>
            <w:tcBorders>
              <w:left w:val="nil"/>
              <w:bottom w:val="nil"/>
            </w:tcBorders>
            <w:shd w:val="clear" w:color="auto" w:fill="00ADEE"/>
          </w:tcPr>
          <w:p w14:paraId="7AFB671F" w14:textId="77777777" w:rsidR="00647F8A" w:rsidRPr="00AF7228" w:rsidRDefault="00647F8A" w:rsidP="003376B3">
            <w:pPr>
              <w:pStyle w:val="TableParagraph"/>
              <w:ind w:left="107"/>
              <w:rPr>
                <w:b/>
                <w:color w:val="FFFFFF" w:themeColor="background1"/>
              </w:rPr>
            </w:pPr>
          </w:p>
          <w:p w14:paraId="19AFFE09" w14:textId="77777777" w:rsidR="00647F8A" w:rsidRPr="00AF7228" w:rsidRDefault="00647F8A" w:rsidP="003376B3">
            <w:pPr>
              <w:pStyle w:val="TableParagraph"/>
              <w:ind w:left="107"/>
              <w:rPr>
                <w:b/>
                <w:color w:val="FFFFFF" w:themeColor="background1"/>
                <w:sz w:val="22"/>
              </w:rPr>
            </w:pPr>
          </w:p>
          <w:p w14:paraId="0FB156CB" w14:textId="77777777" w:rsidR="00647F8A" w:rsidRPr="00AF7228" w:rsidRDefault="00647F8A" w:rsidP="003376B3">
            <w:pPr>
              <w:pStyle w:val="TableParagraph"/>
              <w:ind w:left="107"/>
              <w:rPr>
                <w:b/>
                <w:color w:val="FFFFFF" w:themeColor="background1"/>
              </w:rPr>
            </w:pPr>
            <w:r w:rsidRPr="00AF7228">
              <w:rPr>
                <w:b/>
                <w:color w:val="FFFFFF" w:themeColor="background1"/>
              </w:rPr>
              <w:t>Mental Health Nurse Credentialing</w:t>
            </w:r>
          </w:p>
        </w:tc>
        <w:tc>
          <w:tcPr>
            <w:tcW w:w="7329" w:type="dxa"/>
            <w:tcBorders>
              <w:bottom w:val="nil"/>
              <w:right w:val="nil"/>
            </w:tcBorders>
            <w:shd w:val="clear" w:color="auto" w:fill="C1EEFF"/>
          </w:tcPr>
          <w:p w14:paraId="215B7414" w14:textId="77777777" w:rsidR="00647F8A" w:rsidRPr="00AF7228" w:rsidRDefault="00647F8A" w:rsidP="003376B3">
            <w:pPr>
              <w:pStyle w:val="TableParagraph"/>
              <w:spacing w:line="276" w:lineRule="auto"/>
              <w:ind w:left="92" w:right="188"/>
            </w:pPr>
            <w:r w:rsidRPr="00AF7228">
              <w:t>Developed in 2017. This approach supports the credentialing of nurses in primary care to provide services that support increased provision of services in general practices, for example metabolic screening, medication management and monitoring such as that required for Clozapine administration. Development of the primary care workforce via activities that support and enhance the role of practice nurses is essential to enable new and extended models of care in general practice.</w:t>
            </w:r>
          </w:p>
        </w:tc>
      </w:tr>
      <w:tr w:rsidR="00647F8A" w:rsidRPr="00AF7228" w14:paraId="6EFAD53C" w14:textId="77777777" w:rsidTr="00647F8A">
        <w:trPr>
          <w:trHeight w:val="1484"/>
          <w:tblCellSpacing w:w="14" w:type="dxa"/>
        </w:trPr>
        <w:tc>
          <w:tcPr>
            <w:tcW w:w="1659" w:type="dxa"/>
            <w:tcBorders>
              <w:left w:val="nil"/>
              <w:bottom w:val="nil"/>
            </w:tcBorders>
            <w:shd w:val="clear" w:color="auto" w:fill="00ADEE"/>
          </w:tcPr>
          <w:p w14:paraId="06CEFC49" w14:textId="77777777" w:rsidR="00647F8A" w:rsidRPr="00AF7228" w:rsidRDefault="00647F8A" w:rsidP="003376B3">
            <w:pPr>
              <w:pStyle w:val="TableParagraph"/>
              <w:ind w:left="107"/>
              <w:rPr>
                <w:b/>
                <w:color w:val="FFFFFF" w:themeColor="background1"/>
              </w:rPr>
            </w:pPr>
          </w:p>
          <w:p w14:paraId="4DB1238F" w14:textId="77777777" w:rsidR="00647F8A" w:rsidRPr="00AF7228" w:rsidRDefault="00647F8A" w:rsidP="003376B3">
            <w:pPr>
              <w:pStyle w:val="TableParagraph"/>
              <w:ind w:left="107"/>
              <w:rPr>
                <w:b/>
                <w:color w:val="FFFFFF" w:themeColor="background1"/>
              </w:rPr>
            </w:pPr>
            <w:r w:rsidRPr="00AF7228">
              <w:rPr>
                <w:b/>
                <w:color w:val="FFFFFF" w:themeColor="background1"/>
              </w:rPr>
              <w:t>After Hours Services for Mental Health</w:t>
            </w:r>
          </w:p>
        </w:tc>
        <w:tc>
          <w:tcPr>
            <w:tcW w:w="7329" w:type="dxa"/>
            <w:tcBorders>
              <w:bottom w:val="nil"/>
              <w:right w:val="nil"/>
            </w:tcBorders>
            <w:shd w:val="clear" w:color="auto" w:fill="C1EEFF"/>
          </w:tcPr>
          <w:p w14:paraId="1FADF0C7" w14:textId="77777777" w:rsidR="00647F8A" w:rsidRPr="00AF7228" w:rsidRDefault="00647F8A" w:rsidP="003376B3">
            <w:pPr>
              <w:pStyle w:val="TableParagraph"/>
              <w:spacing w:line="276" w:lineRule="auto"/>
              <w:ind w:left="92" w:right="188"/>
            </w:pPr>
            <w:r w:rsidRPr="00AF7228">
              <w:t>Address service availability gaps and consumer health literacy, seeking to improve and support appropriate utilisation of available western Sydney after hours primary care services and ultimately reduce low acuity and unnecessary Emergency Department presentations. Provision of incentives for primary care service’s to be opened extended hours and develop an afterhours network.</w:t>
            </w:r>
          </w:p>
        </w:tc>
      </w:tr>
      <w:tr w:rsidR="00647F8A" w:rsidRPr="00AF7228" w14:paraId="183D0D3D" w14:textId="77777777" w:rsidTr="00647F8A">
        <w:trPr>
          <w:trHeight w:val="1825"/>
          <w:tblCellSpacing w:w="14" w:type="dxa"/>
        </w:trPr>
        <w:tc>
          <w:tcPr>
            <w:tcW w:w="1659" w:type="dxa"/>
            <w:tcBorders>
              <w:left w:val="nil"/>
              <w:bottom w:val="nil"/>
            </w:tcBorders>
            <w:shd w:val="clear" w:color="auto" w:fill="00ADEE"/>
          </w:tcPr>
          <w:p w14:paraId="27D361EC" w14:textId="77777777" w:rsidR="00647F8A" w:rsidRPr="00AF7228" w:rsidRDefault="00647F8A" w:rsidP="003376B3">
            <w:pPr>
              <w:pStyle w:val="TableParagraph"/>
              <w:ind w:left="107"/>
              <w:rPr>
                <w:b/>
                <w:color w:val="FFFFFF" w:themeColor="background1"/>
              </w:rPr>
            </w:pPr>
          </w:p>
          <w:p w14:paraId="73606FC6" w14:textId="77777777" w:rsidR="00647F8A" w:rsidRPr="00AF7228" w:rsidRDefault="00647F8A" w:rsidP="003376B3">
            <w:pPr>
              <w:pStyle w:val="TableParagraph"/>
              <w:ind w:left="107"/>
              <w:rPr>
                <w:b/>
                <w:color w:val="FFFFFF" w:themeColor="background1"/>
                <w:sz w:val="22"/>
              </w:rPr>
            </w:pPr>
          </w:p>
          <w:p w14:paraId="55AD055A" w14:textId="64DE45BF" w:rsidR="00647F8A" w:rsidRPr="00AF7228" w:rsidRDefault="00647F8A" w:rsidP="003376B3">
            <w:pPr>
              <w:pStyle w:val="TableParagraph"/>
              <w:ind w:left="107"/>
              <w:rPr>
                <w:b/>
                <w:color w:val="FFFFFF" w:themeColor="background1"/>
              </w:rPr>
            </w:pPr>
            <w:r w:rsidRPr="00AF7228">
              <w:rPr>
                <w:b/>
                <w:color w:val="FFFFFF" w:themeColor="background1"/>
              </w:rPr>
              <w:t>Helpline Suicide Call-back Service</w:t>
            </w:r>
          </w:p>
        </w:tc>
        <w:tc>
          <w:tcPr>
            <w:tcW w:w="7329" w:type="dxa"/>
            <w:tcBorders>
              <w:bottom w:val="nil"/>
              <w:right w:val="nil"/>
            </w:tcBorders>
            <w:shd w:val="clear" w:color="auto" w:fill="C1EEFF"/>
          </w:tcPr>
          <w:p w14:paraId="69B32270" w14:textId="77777777" w:rsidR="00647F8A" w:rsidRPr="00AF7228" w:rsidRDefault="00647F8A" w:rsidP="003376B3">
            <w:pPr>
              <w:pStyle w:val="TableParagraph"/>
              <w:spacing w:line="276" w:lineRule="auto"/>
              <w:ind w:left="92" w:right="188"/>
            </w:pPr>
            <w:r w:rsidRPr="00AF7228">
              <w:t xml:space="preserve">24-hour service that provides telephone and </w:t>
            </w:r>
            <w:hyperlink r:id="rId48">
              <w:r w:rsidRPr="00AF7228">
                <w:rPr>
                  <w:rStyle w:val="Hyperlink"/>
                </w:rPr>
                <w:t xml:space="preserve">online counselling </w:t>
              </w:r>
            </w:hyperlink>
            <w:r w:rsidRPr="00AF7228">
              <w:t>to people 15 years and over who are suicidal, caring for someone who is suicidal, bereaved by suicide or a health professionals supporting people affected by suicide. Provides immediate telephone counselling and support in a crisis and can provide up to six further telephone counselling sessions with the same counsellor scheduled at times best suited to client’s needs.</w:t>
            </w:r>
          </w:p>
        </w:tc>
      </w:tr>
      <w:tr w:rsidR="00647F8A" w:rsidRPr="00AF7228" w14:paraId="36346546" w14:textId="77777777" w:rsidTr="00647F8A">
        <w:trPr>
          <w:trHeight w:val="985"/>
          <w:tblCellSpacing w:w="14" w:type="dxa"/>
        </w:trPr>
        <w:tc>
          <w:tcPr>
            <w:tcW w:w="1659" w:type="dxa"/>
            <w:tcBorders>
              <w:left w:val="nil"/>
              <w:bottom w:val="nil"/>
            </w:tcBorders>
            <w:shd w:val="clear" w:color="auto" w:fill="00ADEE"/>
          </w:tcPr>
          <w:p w14:paraId="79319BDF" w14:textId="77777777" w:rsidR="00647F8A" w:rsidRPr="00AF7228" w:rsidRDefault="00647F8A" w:rsidP="003376B3">
            <w:pPr>
              <w:pStyle w:val="TableParagraph"/>
              <w:ind w:left="107"/>
              <w:rPr>
                <w:b/>
                <w:color w:val="FFFFFF" w:themeColor="background1"/>
              </w:rPr>
            </w:pPr>
            <w:r w:rsidRPr="00AF7228">
              <w:rPr>
                <w:b/>
                <w:color w:val="FFFFFF" w:themeColor="background1"/>
              </w:rPr>
              <w:t>Lifespan Model for Suicide Prevention</w:t>
            </w:r>
          </w:p>
        </w:tc>
        <w:tc>
          <w:tcPr>
            <w:tcW w:w="7329" w:type="dxa"/>
            <w:tcBorders>
              <w:bottom w:val="nil"/>
              <w:right w:val="nil"/>
            </w:tcBorders>
            <w:shd w:val="clear" w:color="auto" w:fill="C1EEFF"/>
          </w:tcPr>
          <w:p w14:paraId="7F35BB7C" w14:textId="77777777" w:rsidR="00647F8A" w:rsidRPr="00AF7228" w:rsidRDefault="00647F8A" w:rsidP="003376B3">
            <w:pPr>
              <w:pStyle w:val="TableParagraph"/>
              <w:spacing w:line="276" w:lineRule="auto"/>
              <w:ind w:left="92" w:right="188"/>
            </w:pPr>
            <w:r w:rsidRPr="00AF7228">
              <w:t xml:space="preserve">Co-design suicide prevention services based on the evidence-based components of the Black Dog </w:t>
            </w:r>
            <w:proofErr w:type="spellStart"/>
            <w:r w:rsidRPr="00AF7228">
              <w:t>LifeSpan</w:t>
            </w:r>
            <w:proofErr w:type="spellEnd"/>
            <w:r w:rsidRPr="00AF7228">
              <w:t xml:space="preserve"> model, with a focus on 3-4 components of this model. </w:t>
            </w:r>
          </w:p>
          <w:p w14:paraId="4B667F74" w14:textId="77777777" w:rsidR="00647F8A" w:rsidRPr="00AF7228" w:rsidRDefault="00647F8A" w:rsidP="003376B3">
            <w:pPr>
              <w:pStyle w:val="TableParagraph"/>
              <w:spacing w:line="276" w:lineRule="auto"/>
              <w:ind w:left="92" w:right="188"/>
            </w:pPr>
            <w:r w:rsidRPr="00AF7228">
              <w:t xml:space="preserve">(This was further contextualised through work with The Sax Institute, Brain and Mind Centre (University of Sydney) and </w:t>
            </w:r>
            <w:proofErr w:type="spellStart"/>
            <w:r w:rsidRPr="00AF7228">
              <w:t>Synergia</w:t>
            </w:r>
            <w:proofErr w:type="spellEnd"/>
            <w:r w:rsidRPr="00AF7228">
              <w:t xml:space="preserve">.)  </w:t>
            </w:r>
          </w:p>
        </w:tc>
      </w:tr>
      <w:tr w:rsidR="00647F8A" w:rsidRPr="00AF7228" w14:paraId="04F3819E" w14:textId="77777777" w:rsidTr="00647F8A">
        <w:trPr>
          <w:trHeight w:val="1825"/>
          <w:tblCellSpacing w:w="14" w:type="dxa"/>
        </w:trPr>
        <w:tc>
          <w:tcPr>
            <w:tcW w:w="1659" w:type="dxa"/>
            <w:tcBorders>
              <w:left w:val="nil"/>
              <w:bottom w:val="nil"/>
            </w:tcBorders>
            <w:shd w:val="clear" w:color="auto" w:fill="00ADEE"/>
          </w:tcPr>
          <w:p w14:paraId="131E09FF" w14:textId="77777777" w:rsidR="00647F8A" w:rsidRPr="00AF7228" w:rsidRDefault="00647F8A" w:rsidP="003376B3">
            <w:pPr>
              <w:pStyle w:val="TableParagraph"/>
              <w:ind w:left="107"/>
              <w:rPr>
                <w:b/>
                <w:color w:val="FFFFFF" w:themeColor="background1"/>
              </w:rPr>
            </w:pPr>
            <w:r w:rsidRPr="00AF7228">
              <w:rPr>
                <w:b/>
                <w:color w:val="FFFFFF" w:themeColor="background1"/>
              </w:rPr>
              <w:lastRenderedPageBreak/>
              <w:t>Aboriginal &amp; Torres Strait Islander Mental Health First Aid (MHFA) &amp; ASIST (Applied Suicide Intervention</w:t>
            </w:r>
          </w:p>
          <w:p w14:paraId="02722DC5" w14:textId="3E26AE7E" w:rsidR="00647F8A" w:rsidRPr="00AF7228" w:rsidRDefault="00647F8A" w:rsidP="003376B3">
            <w:pPr>
              <w:pStyle w:val="TableParagraph"/>
              <w:ind w:left="107"/>
              <w:rPr>
                <w:b/>
                <w:color w:val="FFFFFF" w:themeColor="background1"/>
              </w:rPr>
            </w:pPr>
            <w:r w:rsidRPr="00AF7228">
              <w:rPr>
                <w:b/>
                <w:color w:val="FFFFFF" w:themeColor="background1"/>
              </w:rPr>
              <w:t>Skills Training)</w:t>
            </w:r>
          </w:p>
        </w:tc>
        <w:tc>
          <w:tcPr>
            <w:tcW w:w="7329" w:type="dxa"/>
            <w:tcBorders>
              <w:bottom w:val="nil"/>
              <w:right w:val="nil"/>
            </w:tcBorders>
            <w:shd w:val="clear" w:color="auto" w:fill="C1EEFF"/>
          </w:tcPr>
          <w:p w14:paraId="71527F88" w14:textId="77777777" w:rsidR="00647F8A" w:rsidRPr="00AF7228" w:rsidRDefault="00647F8A" w:rsidP="003376B3">
            <w:pPr>
              <w:pStyle w:val="TableParagraph"/>
              <w:spacing w:line="276" w:lineRule="auto"/>
              <w:ind w:left="99" w:right="188"/>
            </w:pPr>
            <w:r w:rsidRPr="00AF7228">
              <w:t>Evidence-based training for mental health first aid and suicide prevention that aims to support people on their journey of recovery and for those involved in their care through educational sessions.</w:t>
            </w:r>
          </w:p>
        </w:tc>
      </w:tr>
      <w:tr w:rsidR="00647F8A" w:rsidRPr="00AF7228" w14:paraId="29201B74" w14:textId="77777777" w:rsidTr="00647F8A">
        <w:trPr>
          <w:trHeight w:val="1825"/>
          <w:tblCellSpacing w:w="14" w:type="dxa"/>
        </w:trPr>
        <w:tc>
          <w:tcPr>
            <w:tcW w:w="1659" w:type="dxa"/>
            <w:tcBorders>
              <w:left w:val="nil"/>
              <w:bottom w:val="nil"/>
            </w:tcBorders>
            <w:shd w:val="clear" w:color="auto" w:fill="00ADEE"/>
          </w:tcPr>
          <w:p w14:paraId="0CC04286" w14:textId="77777777" w:rsidR="00647F8A" w:rsidRPr="00AF7228" w:rsidRDefault="00647F8A" w:rsidP="003376B3">
            <w:pPr>
              <w:pStyle w:val="TableParagraph"/>
              <w:ind w:left="107"/>
              <w:rPr>
                <w:b/>
                <w:color w:val="FFFFFF" w:themeColor="background1"/>
              </w:rPr>
            </w:pPr>
          </w:p>
          <w:p w14:paraId="46C4C407" w14:textId="77777777" w:rsidR="00647F8A" w:rsidRPr="00AF7228" w:rsidRDefault="00647F8A" w:rsidP="003376B3">
            <w:pPr>
              <w:pStyle w:val="TableParagraph"/>
              <w:ind w:left="107"/>
              <w:rPr>
                <w:b/>
                <w:color w:val="FFFFFF" w:themeColor="background1"/>
                <w:sz w:val="22"/>
              </w:rPr>
            </w:pPr>
          </w:p>
          <w:p w14:paraId="05A126F9" w14:textId="77777777" w:rsidR="00647F8A" w:rsidRPr="00AF7228" w:rsidRDefault="00647F8A" w:rsidP="003376B3">
            <w:pPr>
              <w:pStyle w:val="TableParagraph"/>
              <w:ind w:left="107"/>
              <w:rPr>
                <w:b/>
                <w:color w:val="FFFFFF" w:themeColor="background1"/>
              </w:rPr>
            </w:pPr>
            <w:r w:rsidRPr="00AF7228">
              <w:rPr>
                <w:b/>
                <w:color w:val="FFFFFF" w:themeColor="background1"/>
              </w:rPr>
              <w:t>Cert 4 Peer Work (MHCC):</w:t>
            </w:r>
          </w:p>
        </w:tc>
        <w:tc>
          <w:tcPr>
            <w:tcW w:w="7329" w:type="dxa"/>
            <w:tcBorders>
              <w:bottom w:val="nil"/>
              <w:right w:val="nil"/>
            </w:tcBorders>
            <w:shd w:val="clear" w:color="auto" w:fill="C1EEFF"/>
          </w:tcPr>
          <w:p w14:paraId="1260DD8D" w14:textId="6D00E625" w:rsidR="00647F8A" w:rsidRPr="00AF7228" w:rsidRDefault="00647F8A" w:rsidP="003376B3">
            <w:pPr>
              <w:pStyle w:val="TableParagraph"/>
              <w:spacing w:line="276" w:lineRule="auto"/>
              <w:ind w:left="92" w:right="188"/>
            </w:pPr>
            <w:r w:rsidRPr="00AF7228">
              <w:t xml:space="preserve">Training for Peer Workers via The Recovery College who can support the Aboriginal </w:t>
            </w:r>
            <w:r w:rsidR="006738F3">
              <w:t>and</w:t>
            </w:r>
            <w:r w:rsidR="006738F3" w:rsidRPr="00AF7228">
              <w:t xml:space="preserve"> </w:t>
            </w:r>
            <w:r w:rsidRPr="00AF7228">
              <w:t>Torres Strait Islander community via ATSI Certificate 4 peer workforce modules. This qualification is specific to workers who have lived experience of mental health problems as either a consumer or carer and who work in mental health services in roles that support consumer peers or carer peers.</w:t>
            </w:r>
          </w:p>
        </w:tc>
      </w:tr>
    </w:tbl>
    <w:p w14:paraId="4E8CD14A" w14:textId="282120FF" w:rsidR="00647F8A" w:rsidRPr="00AF7228" w:rsidRDefault="00647F8A" w:rsidP="00647F8A">
      <w:pPr>
        <w:pStyle w:val="BodyText"/>
      </w:pPr>
    </w:p>
    <w:tbl>
      <w:tblPr>
        <w:tblW w:w="9072" w:type="dxa"/>
        <w:tblInd w:w="142"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CellMar>
          <w:left w:w="0" w:type="dxa"/>
          <w:right w:w="0" w:type="dxa"/>
        </w:tblCellMar>
        <w:tblLook w:val="01E0" w:firstRow="1" w:lastRow="1" w:firstColumn="1" w:lastColumn="1" w:noHBand="0" w:noVBand="0"/>
      </w:tblPr>
      <w:tblGrid>
        <w:gridCol w:w="1701"/>
        <w:gridCol w:w="7371"/>
      </w:tblGrid>
      <w:tr w:rsidR="00647F8A" w:rsidRPr="00AF7228" w14:paraId="05872348" w14:textId="77777777" w:rsidTr="00647F8A">
        <w:trPr>
          <w:trHeight w:val="364"/>
        </w:trPr>
        <w:tc>
          <w:tcPr>
            <w:tcW w:w="1701" w:type="dxa"/>
            <w:tcBorders>
              <w:top w:val="nil"/>
              <w:left w:val="nil"/>
            </w:tcBorders>
            <w:shd w:val="clear" w:color="auto" w:fill="2A2A85"/>
          </w:tcPr>
          <w:p w14:paraId="55142528" w14:textId="77777777" w:rsidR="00647F8A" w:rsidRPr="00AF7228" w:rsidRDefault="00647F8A" w:rsidP="003376B3">
            <w:pPr>
              <w:pStyle w:val="TableParagraph"/>
              <w:rPr>
                <w:rFonts w:ascii="Times New Roman"/>
                <w:sz w:val="20"/>
              </w:rPr>
            </w:pPr>
          </w:p>
        </w:tc>
        <w:tc>
          <w:tcPr>
            <w:tcW w:w="7371" w:type="dxa"/>
            <w:tcBorders>
              <w:top w:val="nil"/>
              <w:right w:val="nil"/>
            </w:tcBorders>
            <w:shd w:val="clear" w:color="auto" w:fill="2A2A85"/>
          </w:tcPr>
          <w:p w14:paraId="00E25297" w14:textId="77777777" w:rsidR="00647F8A" w:rsidRPr="00AF7228" w:rsidRDefault="00647F8A" w:rsidP="003376B3">
            <w:pPr>
              <w:pStyle w:val="TableParagraph"/>
              <w:spacing w:before="16"/>
              <w:ind w:left="92"/>
              <w:rPr>
                <w:b/>
              </w:rPr>
            </w:pPr>
            <w:r w:rsidRPr="00AF7228">
              <w:rPr>
                <w:b/>
                <w:color w:val="FFFFFF"/>
              </w:rPr>
              <w:t>Platform Building and Infrastructure Support</w:t>
            </w:r>
          </w:p>
        </w:tc>
      </w:tr>
      <w:tr w:rsidR="00647F8A" w:rsidRPr="00AF7228" w14:paraId="503CD3D1" w14:textId="77777777" w:rsidTr="00647F8A">
        <w:trPr>
          <w:trHeight w:val="2164"/>
        </w:trPr>
        <w:tc>
          <w:tcPr>
            <w:tcW w:w="1701" w:type="dxa"/>
            <w:tcBorders>
              <w:left w:val="nil"/>
            </w:tcBorders>
            <w:shd w:val="clear" w:color="auto" w:fill="00ADEE"/>
          </w:tcPr>
          <w:p w14:paraId="2C612C05" w14:textId="77777777" w:rsidR="00647F8A" w:rsidRPr="00AF7228" w:rsidRDefault="00647F8A" w:rsidP="003376B3">
            <w:pPr>
              <w:pStyle w:val="TableParagraph"/>
              <w:rPr>
                <w:b/>
              </w:rPr>
            </w:pPr>
          </w:p>
          <w:p w14:paraId="26E276E5" w14:textId="77777777" w:rsidR="00647F8A" w:rsidRPr="00AF7228" w:rsidRDefault="00647F8A" w:rsidP="003376B3">
            <w:pPr>
              <w:pStyle w:val="TableParagraph"/>
              <w:spacing w:before="7"/>
              <w:rPr>
                <w:b/>
                <w:sz w:val="27"/>
              </w:rPr>
            </w:pPr>
          </w:p>
          <w:p w14:paraId="58F7F6C9" w14:textId="77777777" w:rsidR="00647F8A" w:rsidRPr="00AF7228" w:rsidRDefault="00647F8A" w:rsidP="003376B3">
            <w:pPr>
              <w:pStyle w:val="TableParagraph"/>
              <w:spacing w:line="276" w:lineRule="auto"/>
              <w:ind w:left="93" w:right="199"/>
              <w:rPr>
                <w:b/>
              </w:rPr>
            </w:pPr>
            <w:r w:rsidRPr="00AF7228">
              <w:rPr>
                <w:b/>
                <w:color w:val="FFFFFF"/>
              </w:rPr>
              <w:t>Regional Mental Health Expenditure</w:t>
            </w:r>
          </w:p>
        </w:tc>
        <w:tc>
          <w:tcPr>
            <w:tcW w:w="7371" w:type="dxa"/>
            <w:tcBorders>
              <w:right w:val="nil"/>
            </w:tcBorders>
            <w:shd w:val="clear" w:color="auto" w:fill="8FE1FF"/>
          </w:tcPr>
          <w:p w14:paraId="3BC35912" w14:textId="77777777" w:rsidR="00647F8A" w:rsidRPr="00AF7228" w:rsidRDefault="00647F8A" w:rsidP="003376B3">
            <w:pPr>
              <w:pStyle w:val="TableParagraph"/>
              <w:spacing w:line="276" w:lineRule="auto"/>
              <w:ind w:left="92" w:right="113"/>
            </w:pPr>
            <w:r w:rsidRPr="00AF7228">
              <w:t>Significant federal expenditure on mental health is via the Medical Benefits Schedule (MBS) and the Pharmaceutical Benefits Schedule (PBS). To realise the goals and objectives in our regional plan we will need to reorient some of this spend towards supporting a different model of care and activities. This activity will be a detailed review and analysis of MBS and PBS data activity at a practice level (General Practice and Allied Health) for mental</w:t>
            </w:r>
            <w:r w:rsidRPr="00AF7228">
              <w:rPr>
                <w:spacing w:val="-14"/>
              </w:rPr>
              <w:t xml:space="preserve"> </w:t>
            </w:r>
            <w:r w:rsidRPr="00AF7228">
              <w:t>health associated expenditure in western Sydney</w:t>
            </w:r>
          </w:p>
        </w:tc>
      </w:tr>
      <w:tr w:rsidR="00647F8A" w:rsidRPr="00AF7228" w14:paraId="7BDC89E3" w14:textId="77777777" w:rsidTr="00647F8A">
        <w:trPr>
          <w:trHeight w:val="2160"/>
        </w:trPr>
        <w:tc>
          <w:tcPr>
            <w:tcW w:w="1701" w:type="dxa"/>
            <w:tcBorders>
              <w:left w:val="nil"/>
              <w:bottom w:val="nil"/>
            </w:tcBorders>
            <w:shd w:val="clear" w:color="auto" w:fill="00ADEE"/>
          </w:tcPr>
          <w:p w14:paraId="4896CF51" w14:textId="77777777" w:rsidR="00647F8A" w:rsidRPr="00AF7228" w:rsidRDefault="00647F8A" w:rsidP="003376B3">
            <w:pPr>
              <w:pStyle w:val="TableParagraph"/>
              <w:rPr>
                <w:b/>
              </w:rPr>
            </w:pPr>
          </w:p>
          <w:p w14:paraId="5C9C40D3" w14:textId="568A197E" w:rsidR="00647F8A" w:rsidRPr="00AF7228" w:rsidRDefault="00647F8A" w:rsidP="003376B3">
            <w:pPr>
              <w:pStyle w:val="TableParagraph"/>
              <w:spacing w:before="181" w:line="276" w:lineRule="auto"/>
              <w:ind w:left="93" w:right="108"/>
              <w:rPr>
                <w:b/>
              </w:rPr>
            </w:pPr>
            <w:r w:rsidRPr="00AF7228">
              <w:rPr>
                <w:b/>
                <w:color w:val="FFFFFF"/>
              </w:rPr>
              <w:t>Centralised Referral and Triage System for primary mental health services</w:t>
            </w:r>
          </w:p>
        </w:tc>
        <w:tc>
          <w:tcPr>
            <w:tcW w:w="7371" w:type="dxa"/>
            <w:tcBorders>
              <w:bottom w:val="nil"/>
              <w:right w:val="nil"/>
            </w:tcBorders>
            <w:shd w:val="clear" w:color="auto" w:fill="8FE1FF"/>
          </w:tcPr>
          <w:p w14:paraId="716FB5CB" w14:textId="77777777" w:rsidR="00647F8A" w:rsidRPr="00B303FA" w:rsidRDefault="00647F8A" w:rsidP="003376B3">
            <w:pPr>
              <w:pStyle w:val="BodyText"/>
              <w:ind w:left="155"/>
              <w:rPr>
                <w:rFonts w:asciiTheme="minorHAnsi" w:hAnsiTheme="minorHAnsi" w:cstheme="minorHAnsi"/>
                <w:sz w:val="21"/>
                <w:szCs w:val="21"/>
              </w:rPr>
            </w:pPr>
            <w:r w:rsidRPr="00B303FA">
              <w:rPr>
                <w:rFonts w:asciiTheme="minorHAnsi" w:hAnsiTheme="minorHAnsi" w:cstheme="minorHAnsi"/>
                <w:sz w:val="21"/>
                <w:szCs w:val="21"/>
              </w:rPr>
              <w:t>WentWest has maintained its established centralised intake process for client referral from the primary health sector to community and primary mental health care services.</w:t>
            </w:r>
          </w:p>
          <w:p w14:paraId="659E1019" w14:textId="77777777" w:rsidR="00647F8A" w:rsidRPr="00AF7228" w:rsidRDefault="00647F8A" w:rsidP="003376B3">
            <w:pPr>
              <w:pStyle w:val="BodyText"/>
              <w:ind w:left="155"/>
            </w:pPr>
            <w:r w:rsidRPr="00B303FA">
              <w:rPr>
                <w:rFonts w:asciiTheme="minorHAnsi" w:hAnsiTheme="minorHAnsi" w:cstheme="minorHAnsi"/>
                <w:sz w:val="21"/>
                <w:szCs w:val="21"/>
              </w:rPr>
              <w:t>Redesigning the referral form to assist primary care to better engage and refer to a suite of commissioned services. This supports a stepped care model and entry point for a number of services that will streamline the service for both client and provider.</w:t>
            </w:r>
          </w:p>
        </w:tc>
      </w:tr>
    </w:tbl>
    <w:p w14:paraId="19FBA4CA" w14:textId="77777777" w:rsidR="00647F8A" w:rsidRPr="00AF7228" w:rsidRDefault="00647F8A" w:rsidP="00647F8A">
      <w:pPr>
        <w:pStyle w:val="BodyText"/>
      </w:pPr>
    </w:p>
    <w:p w14:paraId="5F2E4CB9" w14:textId="77777777" w:rsidR="00647F8A" w:rsidRPr="00AF7228" w:rsidRDefault="00647F8A">
      <w:pPr>
        <w:spacing w:before="0" w:after="0"/>
      </w:pPr>
      <w:r w:rsidRPr="00AF7228">
        <w:br w:type="page"/>
      </w:r>
    </w:p>
    <w:p w14:paraId="6F68E90B" w14:textId="77777777" w:rsidR="00F53DEF" w:rsidRPr="00AF7228" w:rsidRDefault="00F53DEF" w:rsidP="00F53DEF">
      <w:pPr>
        <w:pStyle w:val="BodyText"/>
        <w:spacing w:line="20" w:lineRule="exact"/>
        <w:rPr>
          <w:rFonts w:ascii="Times New Roman"/>
          <w:sz w:val="2"/>
        </w:rPr>
      </w:pPr>
      <w:r w:rsidRPr="00AF7228">
        <w:rPr>
          <w:rFonts w:ascii="Times New Roman"/>
          <w:noProof/>
          <w:sz w:val="2"/>
          <w:lang w:eastAsia="en-AU"/>
        </w:rPr>
        <w:lastRenderedPageBreak/>
        <mc:AlternateContent>
          <mc:Choice Requires="wpg">
            <w:drawing>
              <wp:inline distT="0" distB="0" distL="0" distR="0" wp14:anchorId="24D8EA31" wp14:editId="309D2E8C">
                <wp:extent cx="5769610" cy="6350"/>
                <wp:effectExtent l="0" t="0" r="0" b="0"/>
                <wp:docPr id="132"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9610" cy="6350"/>
                          <a:chOff x="0" y="0"/>
                          <a:chExt cx="9086" cy="10"/>
                        </a:xfrm>
                      </wpg:grpSpPr>
                      <wps:wsp>
                        <wps:cNvPr id="133" name="Line 7"/>
                        <wps:cNvCnPr>
                          <a:cxnSpLocks/>
                        </wps:cNvCnPr>
                        <wps:spPr bwMode="auto">
                          <a:xfrm>
                            <a:off x="0" y="5"/>
                            <a:ext cx="9086" cy="0"/>
                          </a:xfrm>
                          <a:prstGeom prst="line">
                            <a:avLst/>
                          </a:prstGeom>
                          <a:noFill/>
                          <a:ln w="6096">
                            <a:solidFill>
                              <a:srgbClr val="00ADEE"/>
                            </a:solidFill>
                            <a:prstDash val="sysDot"/>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960C132" id="Group 6" o:spid="_x0000_s1026" style="width:454.3pt;height:.5pt;mso-position-horizontal-relative:char;mso-position-vertical-relative:line" coordsize="908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FPicgIAAH8FAAAOAAAAZHJzL2Uyb0RvYy54bWykVFtv2yAUfp+0/4D8ntjOxU2sJlUVO33p&#10;tkrdfgABfNEwICBxomn/fQdw0qZ9qboXGzgXvvN953B7d+w4OjBtWilWUTpOIsQEkbQV9Sr69XM7&#10;WkTIWCwo5lKwVXRiJrpbf/1y26ucTWQjOWUaQRJh8l6tosZalcexIQ3rsBlLxQQYK6k7bGGr65hq&#10;3EP2jseTJMniXmqqtCTMGDgtgjFa+/xVxYj9UVWGWcRXEWCz/qv9d+e+8foW57XGqmnJAAN/AkWH&#10;WwGXXlIV2GK01+27VF1LtDSysmMiu1hWVUuYrwGqSZM31TxouVe+ljrva3WhCah9w9On05LvhyeN&#10;WgraTScRErgDkfy9KHPk9KrOwedBq2f1pEOFsHyU5LcBc/zW7vZ1cEa7/pukkA7vrfTkHCvduRRQ&#10;Njp6DU4XDdjRIgKH85tsmaUgFQFbNp0PEpEGdHwXRJpyCFsmiyzEQKwDhvNwm0c4IHLlQJuZFybN&#10;/zH53GDFvEDGsXRhcnpm8rEVDN0EIr3LRgQWyVFcsfjK6DAaIPuD/M1DD5/5eyHimgecK23sA5Md&#10;cotVxAGaVwUfHo0NlJ1dnEhCblvO4RznXKAexEiWmQ8wkrfUGZ3N6Hq34RodsJuw5L4oy4H/KzeX&#10;ucCmCX7mZAppA3DocUH9NQ3DtBzWFrc8rEFJLtxNUCEAHVZhuP4sk2W5KBez0WySlaNZUhSj++1m&#10;Nsq26c28mBabTZH+daDTWd60lDLhcJ8HPZ19TP7hyQkjehn1C0HxdXbffAD2/PegoQ2DqqEHd5Ke&#10;nrQjfehIv/JT7sOGF8k9I6/33uvl3Vz/AwAA//8DAFBLAwQUAAYACAAAACEAMD/0Z98AAAAIAQAA&#10;DwAAAGRycy9kb3ducmV2LnhtbEyPzWrDMBCE74W+g9hAb43klobUsRxC+nMKhSSFkptibWwTa2Us&#10;xXbevtte2svAMruz82XL0TWixy7UnjQkUwUCqfC2plLD5/7tfg4iREPWNJ5QwxUDLPPbm8yk1g+0&#10;xX4XS8EhFFKjoYqxTaUMRYXOhKlvkdg7+c6ZyGNXStuZgcNdIx+UmklnauIPlWlxXWFx3l2chvfB&#10;DKvH5LXfnE/r62H/9PG1SVDru8n4smBZLUBEHOPfBfwwcH/IudjRX8gG0Whgmvir7D2r+QzEkZcU&#10;yDyT/wHybwAAAP//AwBQSwECLQAUAAYACAAAACEAtoM4kv4AAADhAQAAEwAAAAAAAAAAAAAAAAAA&#10;AAAAW0NvbnRlbnRfVHlwZXNdLnhtbFBLAQItABQABgAIAAAAIQA4/SH/1gAAAJQBAAALAAAAAAAA&#10;AAAAAAAAAC8BAABfcmVscy8ucmVsc1BLAQItABQABgAIAAAAIQAYYFPicgIAAH8FAAAOAAAAAAAA&#10;AAAAAAAAAC4CAABkcnMvZTJvRG9jLnhtbFBLAQItABQABgAIAAAAIQAwP/Rn3wAAAAgBAAAPAAAA&#10;AAAAAAAAAAAAAMwEAABkcnMvZG93bnJldi54bWxQSwUGAAAAAAQABADzAAAA2AUAAAAA&#10;">
                <v:line id="Line 7" o:spid="_x0000_s1027" style="position:absolute;visibility:visible;mso-wrap-style:square" from="0,5" to="90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i0NyAAAAOEAAAAPAAAAZHJzL2Rvd25yZXYueG1sRI/dasJA&#10;EEbvBd9hGaE3RTdW2oboKhopFe9qfYAhO/nB7GzMbmJ8+25B8GaY4eM7w1ltBlOLnlpXWVYwn0Ug&#10;iDOrKy4UnH+/pjEI55E11pZJwZ0cbNbj0QoTbW/8Q/3JFyJA2CWooPS+SaR0WUkG3cw2xCHLbWvQ&#10;h7MtpG7xFuCmlm9R9CENVhw+lNhQWlJ2OXVGwWd6zL+7WOfXtH9vzvH1dZfuOqVeJsN+GcZ2CcLT&#10;4J+NB+Kgg8NiAf9GYQO5/gMAAP//AwBQSwECLQAUAAYACAAAACEA2+H2y+4AAACFAQAAEwAAAAAA&#10;AAAAAAAAAAAAAAAAW0NvbnRlbnRfVHlwZXNdLnhtbFBLAQItABQABgAIAAAAIQBa9CxbvwAAABUB&#10;AAALAAAAAAAAAAAAAAAAAB8BAABfcmVscy8ucmVsc1BLAQItABQABgAIAAAAIQCMVi0NyAAAAOEA&#10;AAAPAAAAAAAAAAAAAAAAAAcCAABkcnMvZG93bnJldi54bWxQSwUGAAAAAAMAAwC3AAAA/AIAAAAA&#10;" strokecolor="#00adee" strokeweight=".48pt">
                  <v:stroke dashstyle="1 1"/>
                  <o:lock v:ext="edit" shapetype="f"/>
                </v:line>
                <w10:anchorlock/>
              </v:group>
            </w:pict>
          </mc:Fallback>
        </mc:AlternateContent>
      </w:r>
    </w:p>
    <w:p w14:paraId="26C13253" w14:textId="14536D28" w:rsidR="00F53DEF" w:rsidRPr="00AF7228" w:rsidRDefault="00F53DEF" w:rsidP="00117D83">
      <w:pPr>
        <w:pStyle w:val="Heading1"/>
      </w:pPr>
      <w:bookmarkStart w:id="128" w:name="_Toc6238842"/>
      <w:r w:rsidRPr="00AF7228">
        <w:t>Appendix</w:t>
      </w:r>
      <w:r w:rsidRPr="00AF7228">
        <w:rPr>
          <w:spacing w:val="-2"/>
        </w:rPr>
        <w:t xml:space="preserve"> </w:t>
      </w:r>
      <w:r w:rsidR="00AF7228" w:rsidRPr="00AF7228">
        <w:rPr>
          <w:spacing w:val="-2"/>
        </w:rPr>
        <w:t>Four</w:t>
      </w:r>
      <w:r w:rsidR="00D71D1B" w:rsidRPr="00AF7228">
        <w:t xml:space="preserve">: </w:t>
      </w:r>
      <w:r w:rsidR="00EB7A13" w:rsidRPr="00AF7228">
        <w:t>Results of WentWest Stakeholder Consultations</w:t>
      </w:r>
      <w:bookmarkEnd w:id="128"/>
      <w:r w:rsidR="00D71D1B" w:rsidRPr="00AF7228">
        <w:t xml:space="preserve"> </w:t>
      </w:r>
    </w:p>
    <w:p w14:paraId="5CB46035" w14:textId="77777777" w:rsidR="00F53DEF" w:rsidRPr="00AF7228" w:rsidRDefault="00F53DEF" w:rsidP="00F53DEF">
      <w:pPr>
        <w:pStyle w:val="BodyText"/>
        <w:spacing w:line="20" w:lineRule="exact"/>
        <w:rPr>
          <w:sz w:val="2"/>
        </w:rPr>
      </w:pPr>
      <w:r w:rsidRPr="00AF7228">
        <w:rPr>
          <w:noProof/>
          <w:sz w:val="2"/>
          <w:lang w:eastAsia="en-AU"/>
        </w:rPr>
        <mc:AlternateContent>
          <mc:Choice Requires="wpg">
            <w:drawing>
              <wp:inline distT="0" distB="0" distL="0" distR="0" wp14:anchorId="190F750C" wp14:editId="010A0C14">
                <wp:extent cx="5769610" cy="6350"/>
                <wp:effectExtent l="0" t="0" r="0" b="0"/>
                <wp:docPr id="13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9610" cy="6350"/>
                          <a:chOff x="0" y="0"/>
                          <a:chExt cx="9086" cy="10"/>
                        </a:xfrm>
                      </wpg:grpSpPr>
                      <wps:wsp>
                        <wps:cNvPr id="135" name="Line 5"/>
                        <wps:cNvCnPr>
                          <a:cxnSpLocks/>
                        </wps:cNvCnPr>
                        <wps:spPr bwMode="auto">
                          <a:xfrm>
                            <a:off x="0" y="5"/>
                            <a:ext cx="9086" cy="0"/>
                          </a:xfrm>
                          <a:prstGeom prst="line">
                            <a:avLst/>
                          </a:prstGeom>
                          <a:noFill/>
                          <a:ln w="6096">
                            <a:solidFill>
                              <a:srgbClr val="00ADEE"/>
                            </a:solidFill>
                            <a:prstDash val="sysDot"/>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B1FDFCA" id="Group 4" o:spid="_x0000_s1026" style="width:454.3pt;height:.5pt;mso-position-horizontal-relative:char;mso-position-vertical-relative:line" coordsize="908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XPKcwIAAH8FAAAOAAAAZHJzL2Uyb0RvYy54bWykVF1v2yAUfZ+0/4D8ntpOHDexmlRV7PSl&#10;2yp1+wEE8IeGAQGNE03777uAkzbtS9W92BfuB+eew+Xm9tBztGfadFKsovQqiRATRNJONKvo18/t&#10;ZBEhY7GgmEvBVtGRmeh2/fXLzaAKNpWt5JRpBEWEKQa1ilprVRHHhrSsx+ZKKibAWUvdYwtL3cRU&#10;4wGq9zyeJkkeD1JTpSVhxsBuGZzR2teva0bsj7o2zCK+igCb9V/tvzv3jdc3uGg0Vm1HRhj4Eyh6&#10;3Ak49FyqxBajZ929K9V3REsja3tFZB/Luu4I8z1AN2nyppt7LZ+V76UphkadaQJq3/D06bLk+/5R&#10;o46CdrMsQgL3IJI/F2WOnEE1BcTca/WkHnXoEMwHSX4bcMdv/W7dhGC0G75JCuXws5WenEOte1cC&#10;2kYHr8HxrAE7WERgc36dL/MUpCLgy2fzUSLSgo7vkkhbjWnLZJGHHMh1wHARTvMIR0SuHbhm5oVJ&#10;839MPrVYMS+QcSydmZyfmHzoBEPzQKQP2YjAIjmICxZfOR1GA2R/kD9fHRcn/l6IuOQBF0obe89k&#10;j5yxijhA86rg/YOxgbJTiBNJyG3HOezjggs0gBjJMvcJRvKOOqfzGd3sNlyjPXYTltyVVTXyfxHm&#10;KpfYtCHOHE0prYvDBdxxQb3VMkyr0ba448EGJblwgdAhAB2tMFx/lsmyWlSLbJJN82qSJWU5udtu&#10;skm+Ta/n5azcbMr0rwOdZkXbUcqEw30a9DT7mPzjkxNG9DzqZ4Liy+r+8gHY09+DhmsYVA13cCfp&#10;8VE70scb6S0/5T5tfJHcM/J67aNe3s31PwAAAP//AwBQSwMEFAAGAAgAAAAhADA/9GffAAAACAEA&#10;AA8AAABkcnMvZG93bnJldi54bWxMj81qwzAQhO+FvoPYQG+N5JaG1LEcQvpzCoUkhZKbYm1sE2tl&#10;LMV23r7bXtrLwDK7s/Nly9E1oscu1J40JFMFAqnwtqZSw+f+7X4OIkRD1jSeUMMVAyzz25vMpNYP&#10;tMV+F0vBIRRSo6GKsU2lDEWFzoSpb5HYO/nOmchjV0rbmYHDXSMflJpJZ2riD5VpcV1hcd5dnIb3&#10;wQyrx+S135xP6+th//TxtUlQ67vJ+LJgWS1ARBzj3wX8MHB/yLnY0V/IBtFoYJr4q+w9q/kMxJGX&#10;FMg8k/8B8m8AAAD//wMAUEsBAi0AFAAGAAgAAAAhALaDOJL+AAAA4QEAABMAAAAAAAAAAAAAAAAA&#10;AAAAAFtDb250ZW50X1R5cGVzXS54bWxQSwECLQAUAAYACAAAACEAOP0h/9YAAACUAQAACwAAAAAA&#10;AAAAAAAAAAAvAQAAX3JlbHMvLnJlbHNQSwECLQAUAAYACAAAACEAY0lzynMCAAB/BQAADgAAAAAA&#10;AAAAAAAAAAAuAgAAZHJzL2Uyb0RvYy54bWxQSwECLQAUAAYACAAAACEAMD/0Z98AAAAIAQAADwAA&#10;AAAAAAAAAAAAAADNBAAAZHJzL2Rvd25yZXYueG1sUEsFBgAAAAAEAAQA8wAAANkFAAAAAA==&#10;">
                <v:line id="Line 5" o:spid="_x0000_s1027" style="position:absolute;visibility:visible;mso-wrap-style:square" from="0,5" to="90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xDiyAAAAOEAAAAPAAAAZHJzL2Rvd25yZXYueG1sRI/basJA&#10;EIbvC77DMkJvim5sUUN0FY2UFu88PMCQnRwwOxuzmxjfvlso9GaY4ef/hm+9HUwtempdZVnBbBqB&#10;IM6srrhQcL18TmIQziNrrC2Tgic52G5GL2tMtH3wifqzL0SAsEtQQel9k0jpspIMuqltiEOW29ag&#10;D2dbSN3iI8BNLd+jaCENVhw+lNhQWlJ2O3dGwTI95l9drPN72s+ba3x/26f7TqnX8XBYhbFbgfA0&#10;+P/GH+JbB4ePOfwahQ3k5gcAAP//AwBQSwECLQAUAAYACAAAACEA2+H2y+4AAACFAQAAEwAAAAAA&#10;AAAAAAAAAAAAAAAAW0NvbnRlbnRfVHlwZXNdLnhtbFBLAQItABQABgAIAAAAIQBa9CxbvwAAABUB&#10;AAALAAAAAAAAAAAAAAAAAB8BAABfcmVscy8ucmVsc1BLAQItABQABgAIAAAAIQBs8xDiyAAAAOEA&#10;AAAPAAAAAAAAAAAAAAAAAAcCAABkcnMvZG93bnJldi54bWxQSwUGAAAAAAMAAwC3AAAA/AIAAAAA&#10;" strokecolor="#00adee" strokeweight=".48pt">
                  <v:stroke dashstyle="1 1"/>
                  <o:lock v:ext="edit" shapetype="f"/>
                </v:line>
                <w10:anchorlock/>
              </v:group>
            </w:pict>
          </mc:Fallback>
        </mc:AlternateContent>
      </w:r>
    </w:p>
    <w:p w14:paraId="68999789" w14:textId="2BED9F14" w:rsidR="005C1635" w:rsidRPr="00AF7228" w:rsidRDefault="00EB7A13" w:rsidP="00AF7228">
      <w:pPr>
        <w:pStyle w:val="Heading3"/>
      </w:pPr>
      <w:bookmarkStart w:id="129" w:name="_Toc6238843"/>
      <w:r w:rsidRPr="00AF7228">
        <w:t>Interviews</w:t>
      </w:r>
      <w:r w:rsidR="005A367F" w:rsidRPr="00AF7228">
        <w:t xml:space="preserve"> and Group Meetings</w:t>
      </w:r>
      <w:bookmarkEnd w:id="129"/>
    </w:p>
    <w:p w14:paraId="05C91D0E" w14:textId="644B7E5A" w:rsidR="005C1635" w:rsidRPr="005C1635" w:rsidRDefault="005C1635" w:rsidP="005C1635">
      <w:pPr>
        <w:pStyle w:val="BodyText"/>
      </w:pPr>
      <w:r w:rsidRPr="005C1635">
        <w:t xml:space="preserve">Qualitative data was collected via focus groups, one with consumers </w:t>
      </w:r>
      <w:r w:rsidRPr="00AF7228">
        <w:t xml:space="preserve">and carers </w:t>
      </w:r>
      <w:r w:rsidRPr="005C1635">
        <w:t>and one with service providers</w:t>
      </w:r>
      <w:r w:rsidRPr="00AF7228">
        <w:t>,</w:t>
      </w:r>
      <w:r w:rsidRPr="005C1635">
        <w:t xml:space="preserve"> and </w:t>
      </w:r>
      <w:r w:rsidRPr="00AF7228">
        <w:t xml:space="preserve">key informant </w:t>
      </w:r>
      <w:r w:rsidRPr="005C1635">
        <w:t xml:space="preserve">interviews. The purpose was to record participants views and experiences relating to </w:t>
      </w:r>
      <w:proofErr w:type="spellStart"/>
      <w:r w:rsidRPr="005C1635">
        <w:t>WentWest’s</w:t>
      </w:r>
      <w:proofErr w:type="spellEnd"/>
      <w:r w:rsidRPr="005C1635">
        <w:t xml:space="preserve"> and more generally PHNs</w:t>
      </w:r>
      <w:r w:rsidRPr="00AF7228">
        <w:t>’</w:t>
      </w:r>
      <w:r w:rsidRPr="005C1635">
        <w:t xml:space="preserve"> operational context, performance, obstacles and areas for improvement in relation to the provision of mental health services. </w:t>
      </w:r>
    </w:p>
    <w:p w14:paraId="0F6C4EF9" w14:textId="31956D4F" w:rsidR="005C1635" w:rsidRPr="005C1635" w:rsidRDefault="005C1635" w:rsidP="005C1635">
      <w:pPr>
        <w:pStyle w:val="BodyText"/>
      </w:pPr>
      <w:r w:rsidRPr="005C1635">
        <w:t>In total, 12 interviews with 14 individuals</w:t>
      </w:r>
      <w:r w:rsidRPr="00AF7228">
        <w:t xml:space="preserve"> were conducted</w:t>
      </w:r>
      <w:r w:rsidRPr="005C1635">
        <w:t xml:space="preserve">. </w:t>
      </w:r>
      <w:r w:rsidR="00EF3888" w:rsidRPr="005C1635">
        <w:t>Typically,</w:t>
      </w:r>
      <w:r w:rsidRPr="005C1635">
        <w:t xml:space="preserve"> each interview’s duration was between 45–90 minutes and interviews were conducted face to face with some supplementary phone discussions to clarify shared information. Open ended questions were used to facilitate discussion around issues most relevant to each interviewee’s expertise and experiences with WentWest and PHNs. Participants were informed that all shared information would be reported anonymously. </w:t>
      </w:r>
    </w:p>
    <w:p w14:paraId="491E525D" w14:textId="4C8F42DF" w:rsidR="005C1635" w:rsidRPr="005C1635" w:rsidRDefault="005C1635" w:rsidP="005C1635">
      <w:pPr>
        <w:pStyle w:val="BodyText"/>
      </w:pPr>
      <w:r w:rsidRPr="005C1635">
        <w:t xml:space="preserve">The focus groups were </w:t>
      </w:r>
      <w:r w:rsidR="00EF3888">
        <w:t>two</w:t>
      </w:r>
      <w:r w:rsidR="00EF3888" w:rsidRPr="005C1635">
        <w:t xml:space="preserve"> </w:t>
      </w:r>
      <w:r w:rsidRPr="005C1635">
        <w:t xml:space="preserve">hours in duration and a total of 15 service providers and 11 consumers </w:t>
      </w:r>
      <w:r w:rsidRPr="00AF7228">
        <w:t xml:space="preserve">and carers </w:t>
      </w:r>
      <w:r w:rsidRPr="005C1635">
        <w:t>attended these forums.</w:t>
      </w:r>
      <w:r w:rsidRPr="00AF7228">
        <w:t xml:space="preserve"> </w:t>
      </w:r>
    </w:p>
    <w:p w14:paraId="4C8A3D99" w14:textId="2F053051" w:rsidR="005A367F" w:rsidRPr="00AF7228" w:rsidRDefault="005C1635" w:rsidP="00AF7228">
      <w:pPr>
        <w:pStyle w:val="BodyText"/>
      </w:pPr>
      <w:r w:rsidRPr="005C1635">
        <w:t xml:space="preserve">All interviews and the </w:t>
      </w:r>
      <w:r w:rsidR="00EF3888">
        <w:t>two</w:t>
      </w:r>
      <w:r w:rsidRPr="005C1635">
        <w:t xml:space="preserve"> focus groups were held between 19 February and 14 March 2019.</w:t>
      </w:r>
    </w:p>
    <w:p w14:paraId="3E3C7C7E" w14:textId="3B5C8A1B" w:rsidR="00EB7A13" w:rsidRPr="00AF7228" w:rsidRDefault="00AF7228" w:rsidP="005C1635">
      <w:pPr>
        <w:pStyle w:val="BodyText"/>
      </w:pPr>
      <w:r w:rsidRPr="00AF7228">
        <w:t xml:space="preserve">The results are summarised at the conclusion of Part A in this submission. </w:t>
      </w:r>
    </w:p>
    <w:p w14:paraId="31F2C0AD" w14:textId="72473646" w:rsidR="00EB7A13" w:rsidRPr="00AF7228" w:rsidRDefault="00EB7A13" w:rsidP="00EB7A13">
      <w:pPr>
        <w:pStyle w:val="Heading3"/>
      </w:pPr>
      <w:bookmarkStart w:id="130" w:name="_Toc6238844"/>
      <w:r w:rsidRPr="00AF7228">
        <w:t>Survey Results</w:t>
      </w:r>
      <w:bookmarkEnd w:id="130"/>
      <w:r w:rsidRPr="00AF7228">
        <w:t xml:space="preserve"> </w:t>
      </w:r>
    </w:p>
    <w:p w14:paraId="5A7ECBBD" w14:textId="2E3FA67A" w:rsidR="00EB7A13" w:rsidRPr="00AF7228" w:rsidRDefault="00EB7A13" w:rsidP="005A367F">
      <w:pPr>
        <w:pStyle w:val="Heading5"/>
      </w:pPr>
      <w:r w:rsidRPr="00AF7228">
        <w:t>Introduction</w:t>
      </w:r>
    </w:p>
    <w:p w14:paraId="1F3DA10F" w14:textId="35A39940" w:rsidR="00EB7A13" w:rsidRPr="00AF7228" w:rsidRDefault="00EB7A13" w:rsidP="00EB7A13">
      <w:pPr>
        <w:pStyle w:val="BodyText"/>
      </w:pPr>
      <w:r w:rsidRPr="00AF7228">
        <w:t>An online</w:t>
      </w:r>
      <w:r w:rsidRPr="00EB7A13">
        <w:t xml:space="preserve"> survey was </w:t>
      </w:r>
      <w:r w:rsidR="00AF7228" w:rsidRPr="00AF7228">
        <w:t xml:space="preserve">used </w:t>
      </w:r>
      <w:r w:rsidRPr="00EB7A13">
        <w:t xml:space="preserve">to gather feedback from key stakeholders on a range of issues relating specifically to </w:t>
      </w:r>
      <w:proofErr w:type="spellStart"/>
      <w:r w:rsidRPr="00EB7A13">
        <w:t>WentWest’s</w:t>
      </w:r>
      <w:proofErr w:type="spellEnd"/>
      <w:r w:rsidRPr="00EB7A13">
        <w:t xml:space="preserve"> performance</w:t>
      </w:r>
      <w:r w:rsidRPr="00AF7228">
        <w:t xml:space="preserve"> and the role of PHNs in mental health reform</w:t>
      </w:r>
      <w:r w:rsidRPr="00EB7A13">
        <w:t>. Consumers, carers and service providers were invited by WentWest via existing networks to complete the survey, which was accessible March 1</w:t>
      </w:r>
      <w:r w:rsidRPr="00AF7228">
        <w:t>0</w:t>
      </w:r>
      <w:r w:rsidRPr="00EB7A13">
        <w:t>–2</w:t>
      </w:r>
      <w:r w:rsidRPr="00AF7228">
        <w:t>7</w:t>
      </w:r>
      <w:r w:rsidRPr="00EB7A13">
        <w:t>, 2019. A total of 19 stakeholders undertook the survey, one being a consumer who did not complete the survey. No carers completed the survey.</w:t>
      </w:r>
    </w:p>
    <w:p w14:paraId="37CE166B" w14:textId="44C27B72" w:rsidR="005A367F" w:rsidRPr="00AF7228" w:rsidRDefault="005A367F" w:rsidP="005A367F">
      <w:pPr>
        <w:pStyle w:val="Heading5"/>
      </w:pPr>
      <w:r w:rsidRPr="00AF7228">
        <w:t>Focus of the Survey</w:t>
      </w:r>
    </w:p>
    <w:p w14:paraId="681128B0" w14:textId="77777777" w:rsidR="005A367F" w:rsidRPr="00AF7228" w:rsidRDefault="005A367F" w:rsidP="00EB7A13">
      <w:pPr>
        <w:pStyle w:val="BodyText"/>
      </w:pPr>
      <w:r w:rsidRPr="00AF7228">
        <w:t>Stakeholder feedback was sought on the National Headline KPIs set for PHNs by the DoH and:</w:t>
      </w:r>
    </w:p>
    <w:p w14:paraId="74068FA4" w14:textId="71A1298D" w:rsidR="005A367F" w:rsidRPr="00AF7228" w:rsidRDefault="005A367F" w:rsidP="005A367F">
      <w:pPr>
        <w:pStyle w:val="BulletPoint"/>
      </w:pPr>
      <w:r w:rsidRPr="00AF7228">
        <w:t>the alignment with PHN objectives, the availability of existing data sources, and feasibility of PHNs to influence change</w:t>
      </w:r>
    </w:p>
    <w:p w14:paraId="052566D8" w14:textId="4EC40813" w:rsidR="005A367F" w:rsidRPr="00AF7228" w:rsidRDefault="005A367F" w:rsidP="005A367F">
      <w:pPr>
        <w:pStyle w:val="BulletPoint"/>
      </w:pPr>
      <w:r w:rsidRPr="00AF7228">
        <w:t>the performance of WentWest over the past 3 years in achieving these KPIs</w:t>
      </w:r>
    </w:p>
    <w:p w14:paraId="51769280" w14:textId="46A036D9" w:rsidR="005A367F" w:rsidRPr="00AF7228" w:rsidRDefault="005A367F" w:rsidP="005A367F">
      <w:pPr>
        <w:pStyle w:val="BulletPoint"/>
      </w:pPr>
      <w:r w:rsidRPr="00AF7228">
        <w:t xml:space="preserve">the quality of </w:t>
      </w:r>
      <w:proofErr w:type="spellStart"/>
      <w:r w:rsidRPr="00AF7228">
        <w:t>WentWest’s</w:t>
      </w:r>
      <w:proofErr w:type="spellEnd"/>
      <w:r w:rsidRPr="00AF7228">
        <w:t xml:space="preserve"> planning processes</w:t>
      </w:r>
    </w:p>
    <w:p w14:paraId="0B65001F" w14:textId="4F24ABF4" w:rsidR="005A367F" w:rsidRPr="00AF7228" w:rsidRDefault="005A367F" w:rsidP="005A367F">
      <w:pPr>
        <w:pStyle w:val="BulletPoint"/>
      </w:pPr>
      <w:r w:rsidRPr="00AF7228">
        <w:t xml:space="preserve">the organisational performance of WentWest in relation to skills-based boards and councils, population needs analysis and planning and financial management. </w:t>
      </w:r>
    </w:p>
    <w:p w14:paraId="0D59C84C" w14:textId="05513F49" w:rsidR="005A367F" w:rsidRPr="00EB7A13" w:rsidRDefault="005A367F" w:rsidP="00EB7A13">
      <w:pPr>
        <w:pStyle w:val="BodyText"/>
      </w:pPr>
      <w:r w:rsidRPr="00AF7228">
        <w:t xml:space="preserve">In addition stakeholders were asked to provide an indication of the impact of WentWest in relation to their own organisation and the region. Finally they were asked to indicate if the roles for PHNs for the next five years were in their view important and the capacity of WentWest to fulfil the specific role. </w:t>
      </w:r>
    </w:p>
    <w:p w14:paraId="1A58892E" w14:textId="48071F94" w:rsidR="00EB7A13" w:rsidRPr="00AF7228" w:rsidRDefault="00EB7A13" w:rsidP="00EB7A13">
      <w:pPr>
        <w:pStyle w:val="Heading5"/>
      </w:pPr>
      <w:r w:rsidRPr="00AF7228">
        <w:t xml:space="preserve">Who Participated? </w:t>
      </w:r>
    </w:p>
    <w:p w14:paraId="51935D30" w14:textId="10C183FB" w:rsidR="00EB7A13" w:rsidRPr="00EB7A13" w:rsidRDefault="00EB7A13" w:rsidP="00EB7A13">
      <w:pPr>
        <w:pStyle w:val="BodyText"/>
        <w:numPr>
          <w:ilvl w:val="0"/>
          <w:numId w:val="34"/>
        </w:numPr>
      </w:pPr>
      <w:r w:rsidRPr="00EB7A13">
        <w:t>Place of work</w:t>
      </w:r>
      <w:r w:rsidR="00B03DF7" w:rsidRPr="00AF7228">
        <w:t>:</w:t>
      </w:r>
      <w:r w:rsidRPr="00EB7A13">
        <w:t xml:space="preserve"> 50% </w:t>
      </w:r>
      <w:r w:rsidR="00B03DF7" w:rsidRPr="00AF7228">
        <w:t xml:space="preserve">were from organisations in the </w:t>
      </w:r>
      <w:r w:rsidRPr="00EB7A13">
        <w:t xml:space="preserve">private sector, 31% </w:t>
      </w:r>
      <w:r w:rsidR="00B03DF7" w:rsidRPr="00AF7228">
        <w:t xml:space="preserve">from the </w:t>
      </w:r>
      <w:r w:rsidRPr="00EB7A13">
        <w:t>not for profit</w:t>
      </w:r>
      <w:r w:rsidR="00B03DF7" w:rsidRPr="00AF7228">
        <w:t xml:space="preserve"> sector</w:t>
      </w:r>
      <w:r w:rsidRPr="00EB7A13">
        <w:t>,</w:t>
      </w:r>
      <w:r w:rsidR="00B03DF7" w:rsidRPr="00AF7228">
        <w:t xml:space="preserve"> and</w:t>
      </w:r>
      <w:r w:rsidRPr="00EB7A13">
        <w:t xml:space="preserve"> 19% </w:t>
      </w:r>
      <w:r w:rsidR="00B03DF7" w:rsidRPr="00AF7228">
        <w:t xml:space="preserve">the </w:t>
      </w:r>
      <w:r w:rsidRPr="00EB7A13">
        <w:t>public sector</w:t>
      </w:r>
    </w:p>
    <w:p w14:paraId="1D6ACC1D" w14:textId="228FCE49" w:rsidR="00EB7A13" w:rsidRPr="00EB7A13" w:rsidRDefault="00EB7A13" w:rsidP="00EB7A13">
      <w:pPr>
        <w:pStyle w:val="BodyText"/>
        <w:numPr>
          <w:ilvl w:val="0"/>
          <w:numId w:val="34"/>
        </w:numPr>
      </w:pPr>
      <w:r w:rsidRPr="00EB7A13">
        <w:t>Workforce size (FTEs)</w:t>
      </w:r>
      <w:r w:rsidR="00B03DF7" w:rsidRPr="00AF7228">
        <w:t>:</w:t>
      </w:r>
      <w:r w:rsidRPr="00EB7A13">
        <w:t xml:space="preserve"> 50% </w:t>
      </w:r>
      <w:r w:rsidR="00B03DF7" w:rsidRPr="00AF7228">
        <w:t xml:space="preserve">were from organisations that employed </w:t>
      </w:r>
      <w:r w:rsidRPr="00EB7A13">
        <w:t>less than 10, 31% more than 100, 13% 21-50, 6% 51 – 100</w:t>
      </w:r>
    </w:p>
    <w:p w14:paraId="25252790" w14:textId="5245FEF6" w:rsidR="00EB7A13" w:rsidRPr="00EB7A13" w:rsidRDefault="00EB7A13" w:rsidP="00EB7A13">
      <w:pPr>
        <w:pStyle w:val="BodyText"/>
        <w:numPr>
          <w:ilvl w:val="0"/>
          <w:numId w:val="34"/>
        </w:numPr>
      </w:pPr>
      <w:r w:rsidRPr="00EB7A13">
        <w:lastRenderedPageBreak/>
        <w:t>Provided services</w:t>
      </w:r>
      <w:r w:rsidR="00EF3888">
        <w:t xml:space="preserve"> -</w:t>
      </w:r>
      <w:r w:rsidR="00EF3888" w:rsidRPr="00EB7A13">
        <w:t xml:space="preserve"> </w:t>
      </w:r>
      <w:r w:rsidRPr="00EB7A13">
        <w:t xml:space="preserve">top 5 identified services </w:t>
      </w:r>
      <w:r w:rsidR="00B03DF7" w:rsidRPr="00AF7228">
        <w:t xml:space="preserve">that their </w:t>
      </w:r>
      <w:r w:rsidR="00AD3544" w:rsidRPr="00AF7228">
        <w:t>organisations</w:t>
      </w:r>
      <w:r w:rsidR="00B03DF7" w:rsidRPr="00AF7228">
        <w:t xml:space="preserve"> provided were: </w:t>
      </w:r>
      <w:r w:rsidRPr="00EB7A13">
        <w:t>mental health</w:t>
      </w:r>
      <w:r w:rsidR="00B03DF7" w:rsidRPr="00AF7228">
        <w:t xml:space="preserve"> (</w:t>
      </w:r>
      <w:r w:rsidRPr="00EB7A13">
        <w:t>81%</w:t>
      </w:r>
      <w:r w:rsidR="00B03DF7" w:rsidRPr="00AF7228">
        <w:t>)</w:t>
      </w:r>
      <w:r w:rsidRPr="00EB7A13">
        <w:t>, alcohol and other drugs</w:t>
      </w:r>
      <w:r w:rsidR="00B03DF7" w:rsidRPr="00AF7228">
        <w:t xml:space="preserve"> (</w:t>
      </w:r>
      <w:r w:rsidRPr="00EB7A13">
        <w:t>44%</w:t>
      </w:r>
      <w:r w:rsidR="00B03DF7" w:rsidRPr="00AF7228">
        <w:t>)</w:t>
      </w:r>
      <w:r w:rsidRPr="00EB7A13">
        <w:t>, suicide prevention</w:t>
      </w:r>
      <w:r w:rsidR="00B03DF7" w:rsidRPr="00AF7228">
        <w:t xml:space="preserve"> (</w:t>
      </w:r>
      <w:r w:rsidRPr="00EB7A13">
        <w:t>38%</w:t>
      </w:r>
      <w:r w:rsidR="00B03DF7" w:rsidRPr="00AF7228">
        <w:t>)</w:t>
      </w:r>
      <w:r w:rsidRPr="00EB7A13">
        <w:t>, relationship counselling</w:t>
      </w:r>
      <w:r w:rsidR="00B03DF7" w:rsidRPr="00AF7228">
        <w:t xml:space="preserve"> (</w:t>
      </w:r>
      <w:r w:rsidRPr="00EB7A13">
        <w:t>31%</w:t>
      </w:r>
      <w:r w:rsidR="00B03DF7" w:rsidRPr="00AF7228">
        <w:t>)</w:t>
      </w:r>
      <w:r w:rsidRPr="00EB7A13">
        <w:t>, domestic violence</w:t>
      </w:r>
      <w:r w:rsidR="00B03DF7" w:rsidRPr="00AF7228">
        <w:t xml:space="preserve"> and</w:t>
      </w:r>
      <w:r w:rsidRPr="00EB7A13">
        <w:t xml:space="preserve"> specialist health</w:t>
      </w:r>
      <w:r w:rsidR="00B03DF7" w:rsidRPr="00AF7228">
        <w:t xml:space="preserve"> (both </w:t>
      </w:r>
      <w:r w:rsidRPr="00EB7A13">
        <w:t>25%</w:t>
      </w:r>
      <w:r w:rsidR="00B03DF7" w:rsidRPr="00AF7228">
        <w:t>)</w:t>
      </w:r>
    </w:p>
    <w:p w14:paraId="1D6B8D8A" w14:textId="233BFDC6" w:rsidR="00EB7A13" w:rsidRPr="00EB7A13" w:rsidRDefault="00EB7A13" w:rsidP="00EB7A13">
      <w:pPr>
        <w:pStyle w:val="BodyText"/>
        <w:numPr>
          <w:ilvl w:val="0"/>
          <w:numId w:val="34"/>
        </w:numPr>
      </w:pPr>
      <w:r w:rsidRPr="00EB7A13">
        <w:t>Targeted client group</w:t>
      </w:r>
      <w:r w:rsidR="00EF3888">
        <w:t>s -</w:t>
      </w:r>
      <w:r w:rsidRPr="00EB7A13">
        <w:t xml:space="preserve"> </w:t>
      </w:r>
      <w:r w:rsidR="00B03DF7" w:rsidRPr="00AF7228">
        <w:t>the</w:t>
      </w:r>
      <w:r w:rsidRPr="00EB7A13">
        <w:t xml:space="preserve"> least serviced groups were</w:t>
      </w:r>
      <w:r w:rsidR="00B03DF7" w:rsidRPr="00AF7228">
        <w:t>:</w:t>
      </w:r>
      <w:r w:rsidRPr="00EB7A13">
        <w:t xml:space="preserve"> children, family, aged and youth, LGBTIQ and CALD and Aboriginal and Torres Strait Islanders</w:t>
      </w:r>
    </w:p>
    <w:p w14:paraId="4221B2E3" w14:textId="38B67CDD" w:rsidR="00EB7A13" w:rsidRPr="00EB7A13" w:rsidRDefault="00EB7A13" w:rsidP="00EB7A13">
      <w:pPr>
        <w:pStyle w:val="BodyText"/>
        <w:numPr>
          <w:ilvl w:val="0"/>
          <w:numId w:val="34"/>
        </w:numPr>
      </w:pPr>
      <w:r w:rsidRPr="00EB7A13">
        <w:t>Location of service provision</w:t>
      </w:r>
      <w:r w:rsidR="00B03DF7" w:rsidRPr="00AF7228">
        <w:t>:</w:t>
      </w:r>
      <w:r w:rsidRPr="00EB7A13">
        <w:t xml:space="preserve"> 56% in WentWest catchment are</w:t>
      </w:r>
      <w:r w:rsidR="00B03DF7" w:rsidRPr="00AF7228">
        <w:t>a</w:t>
      </w:r>
      <w:r w:rsidRPr="00EB7A13">
        <w:t xml:space="preserve"> and provided contracted services to WentWest and 44% in catchment area and do not provide contracted services</w:t>
      </w:r>
    </w:p>
    <w:p w14:paraId="21D87A72" w14:textId="537816B7" w:rsidR="00EB7A13" w:rsidRPr="00EB7A13" w:rsidRDefault="00EB7A13" w:rsidP="00EB7A13">
      <w:pPr>
        <w:pStyle w:val="BodyText"/>
        <w:numPr>
          <w:ilvl w:val="0"/>
          <w:numId w:val="34"/>
        </w:numPr>
      </w:pPr>
      <w:r w:rsidRPr="00EB7A13">
        <w:t>Working relationship with other PHNs</w:t>
      </w:r>
      <w:r w:rsidR="00B03DF7" w:rsidRPr="00AF7228">
        <w:t xml:space="preserve">: </w:t>
      </w:r>
      <w:r w:rsidRPr="00EB7A13">
        <w:t xml:space="preserve">50% </w:t>
      </w:r>
      <w:r w:rsidR="00B03DF7" w:rsidRPr="00AF7228">
        <w:t xml:space="preserve">of the organisations </w:t>
      </w:r>
      <w:r w:rsidRPr="00EB7A13">
        <w:t xml:space="preserve">do </w:t>
      </w:r>
      <w:r w:rsidR="00B03DF7" w:rsidRPr="00AF7228">
        <w:t>work with other PHNs</w:t>
      </w:r>
      <w:r w:rsidR="00AF7228" w:rsidRPr="00AF7228">
        <w:t>.</w:t>
      </w:r>
    </w:p>
    <w:p w14:paraId="2E18B4A7" w14:textId="77777777" w:rsidR="00EB7A13" w:rsidRPr="00AF7228" w:rsidRDefault="00EB7A13" w:rsidP="00EB7A13">
      <w:pPr>
        <w:pStyle w:val="Heading5"/>
      </w:pPr>
      <w:r w:rsidRPr="00AF7228">
        <w:t>Key Findings</w:t>
      </w:r>
    </w:p>
    <w:p w14:paraId="04D734ED" w14:textId="171864C1" w:rsidR="00EB7A13" w:rsidRPr="00EB7A13" w:rsidRDefault="00EB7A13" w:rsidP="00EB7A13">
      <w:pPr>
        <w:pStyle w:val="BodyText"/>
        <w:numPr>
          <w:ilvl w:val="0"/>
          <w:numId w:val="35"/>
        </w:numPr>
      </w:pPr>
      <w:r w:rsidRPr="00AF7228">
        <w:t>The o</w:t>
      </w:r>
      <w:r w:rsidRPr="00EB7A13">
        <w:t xml:space="preserve">verall impact of WentWest commissioning on </w:t>
      </w:r>
      <w:r w:rsidRPr="00AF7228">
        <w:t xml:space="preserve">their </w:t>
      </w:r>
      <w:r w:rsidRPr="00EB7A13">
        <w:t>organi</w:t>
      </w:r>
      <w:r w:rsidRPr="00AF7228">
        <w:t>s</w:t>
      </w:r>
      <w:r w:rsidRPr="00EB7A13">
        <w:t>ation’s</w:t>
      </w:r>
      <w:r w:rsidR="005A367F" w:rsidRPr="00AF7228">
        <w:t xml:space="preserve"> performance and capacity was</w:t>
      </w:r>
      <w:r w:rsidRPr="00AF7228">
        <w:t xml:space="preserve"> rated </w:t>
      </w:r>
      <w:r w:rsidR="005A367F" w:rsidRPr="00AF7228">
        <w:t xml:space="preserve">by a majority of respondents as </w:t>
      </w:r>
      <w:r w:rsidRPr="00AF7228">
        <w:t>between ‘slightly positive’ to ‘very positive’ in relation to:</w:t>
      </w:r>
      <w:r w:rsidRPr="00EB7A13">
        <w:t xml:space="preserve"> </w:t>
      </w:r>
      <w:r w:rsidRPr="00AF7228">
        <w:t>1) ‘</w:t>
      </w:r>
      <w:r w:rsidRPr="00EB7A13">
        <w:t>service delivery</w:t>
      </w:r>
      <w:r w:rsidRPr="00AF7228">
        <w:t>’ (</w:t>
      </w:r>
      <w:r w:rsidRPr="00EB7A13">
        <w:t>56%</w:t>
      </w:r>
      <w:r w:rsidRPr="00AF7228">
        <w:t>); 2)</w:t>
      </w:r>
      <w:r w:rsidRPr="00EB7A13">
        <w:t xml:space="preserve"> </w:t>
      </w:r>
      <w:r w:rsidRPr="00AF7228">
        <w:t>‘</w:t>
      </w:r>
      <w:r w:rsidRPr="00EB7A13">
        <w:t>quality of care/services</w:t>
      </w:r>
      <w:r w:rsidRPr="00AF7228">
        <w:t>’ (</w:t>
      </w:r>
      <w:r w:rsidRPr="00EB7A13">
        <w:t>60%</w:t>
      </w:r>
      <w:r w:rsidRPr="00AF7228">
        <w:t>); 3)</w:t>
      </w:r>
      <w:r w:rsidRPr="00EB7A13">
        <w:t xml:space="preserve"> business plan</w:t>
      </w:r>
      <w:r w:rsidRPr="00AF7228">
        <w:t>ning (</w:t>
      </w:r>
      <w:r w:rsidRPr="00EB7A13">
        <w:t>50%</w:t>
      </w:r>
      <w:r w:rsidRPr="00AF7228">
        <w:t>); 4)</w:t>
      </w:r>
      <w:r w:rsidRPr="00EB7A13">
        <w:t xml:space="preserve"> </w:t>
      </w:r>
      <w:r w:rsidRPr="00AF7228">
        <w:t>‘</w:t>
      </w:r>
      <w:r w:rsidRPr="00EB7A13">
        <w:t>leadership</w:t>
      </w:r>
      <w:r w:rsidRPr="00AF7228">
        <w:t>’ (</w:t>
      </w:r>
      <w:r w:rsidRPr="00EB7A13">
        <w:t>51%</w:t>
      </w:r>
      <w:r w:rsidRPr="00AF7228">
        <w:t>)</w:t>
      </w:r>
      <w:r w:rsidR="00AF7228" w:rsidRPr="00AF7228">
        <w:t>. 44% of respondents rated w</w:t>
      </w:r>
      <w:r w:rsidRPr="00EB7A13">
        <w:t>orkforce capacity</w:t>
      </w:r>
      <w:r w:rsidR="005A367F" w:rsidRPr="00AF7228">
        <w:t xml:space="preserve"> </w:t>
      </w:r>
      <w:r w:rsidR="00AF7228" w:rsidRPr="00AF7228">
        <w:t>similarly.</w:t>
      </w:r>
      <w:r w:rsidR="005A367F" w:rsidRPr="00AF7228">
        <w:t xml:space="preserve"> </w:t>
      </w:r>
    </w:p>
    <w:p w14:paraId="4F161BCC" w14:textId="7061410B" w:rsidR="00EB7A13" w:rsidRPr="00AF7228" w:rsidRDefault="005A367F" w:rsidP="00EB7A13">
      <w:pPr>
        <w:pStyle w:val="BodyText"/>
        <w:numPr>
          <w:ilvl w:val="0"/>
          <w:numId w:val="35"/>
        </w:numPr>
      </w:pPr>
      <w:r w:rsidRPr="00AF7228">
        <w:t>The r</w:t>
      </w:r>
      <w:r w:rsidR="00EB7A13" w:rsidRPr="00EB7A13">
        <w:t xml:space="preserve">elevance of </w:t>
      </w:r>
      <w:r w:rsidR="00EB7A13" w:rsidRPr="00AF7228">
        <w:t xml:space="preserve">the </w:t>
      </w:r>
      <w:proofErr w:type="spellStart"/>
      <w:r w:rsidR="00EB7A13" w:rsidRPr="00EB7A13">
        <w:t>D</w:t>
      </w:r>
      <w:r w:rsidR="00AF7228" w:rsidRPr="00AF7228">
        <w:t>oH</w:t>
      </w:r>
      <w:r w:rsidR="00EB7A13" w:rsidRPr="00AF7228">
        <w:t>’s</w:t>
      </w:r>
      <w:proofErr w:type="spellEnd"/>
      <w:r w:rsidR="00EB7A13" w:rsidRPr="00EB7A13">
        <w:t xml:space="preserve"> </w:t>
      </w:r>
      <w:r w:rsidRPr="00AF7228">
        <w:t xml:space="preserve">‘National Headline’ </w:t>
      </w:r>
      <w:r w:rsidR="00EB7A13" w:rsidRPr="00EB7A13">
        <w:t xml:space="preserve">KPIs to </w:t>
      </w:r>
      <w:proofErr w:type="spellStart"/>
      <w:r w:rsidR="00EB7A13" w:rsidRPr="00EB7A13">
        <w:t>WentWest’s</w:t>
      </w:r>
      <w:proofErr w:type="spellEnd"/>
      <w:r w:rsidR="00EB7A13" w:rsidRPr="00EB7A13">
        <w:t xml:space="preserve"> context </w:t>
      </w:r>
      <w:r w:rsidR="00EB7A13" w:rsidRPr="00AF7228">
        <w:t>in relation to</w:t>
      </w:r>
      <w:r w:rsidR="00EF3888">
        <w:t>:</w:t>
      </w:r>
      <w:r w:rsidR="00EB7A13" w:rsidRPr="00AF7228">
        <w:t xml:space="preserve"> 1) ‘</w:t>
      </w:r>
      <w:r w:rsidR="00EB7A13" w:rsidRPr="00EB7A13">
        <w:t>preventable hospitalisations</w:t>
      </w:r>
      <w:r w:rsidR="00EB7A13" w:rsidRPr="00AF7228">
        <w:t>’</w:t>
      </w:r>
      <w:r w:rsidR="00EB7A13" w:rsidRPr="00EB7A13">
        <w:t xml:space="preserve"> </w:t>
      </w:r>
      <w:r w:rsidR="00EB7A13" w:rsidRPr="00AF7228">
        <w:t xml:space="preserve">was rated at </w:t>
      </w:r>
      <w:r w:rsidR="00EB7A13" w:rsidRPr="00EB7A13">
        <w:t>93%</w:t>
      </w:r>
      <w:r w:rsidR="00EB7A13" w:rsidRPr="00AF7228">
        <w:t xml:space="preserve"> and 2)</w:t>
      </w:r>
      <w:r w:rsidR="00EB7A13" w:rsidRPr="00EB7A13">
        <w:t xml:space="preserve"> </w:t>
      </w:r>
      <w:r w:rsidR="00EB7A13" w:rsidRPr="00AF7228">
        <w:t>‘</w:t>
      </w:r>
      <w:r w:rsidR="00EB7A13" w:rsidRPr="00EB7A13">
        <w:t>mental health treatment rates</w:t>
      </w:r>
      <w:r w:rsidR="00EB7A13" w:rsidRPr="00AF7228">
        <w:t>’,</w:t>
      </w:r>
      <w:r w:rsidR="00EB7A13" w:rsidRPr="00EB7A13">
        <w:t xml:space="preserve"> 85%</w:t>
      </w:r>
      <w:r w:rsidR="00EB7A13" w:rsidRPr="00AF7228">
        <w:t>.</w:t>
      </w:r>
      <w:r w:rsidR="00EB7A13" w:rsidRPr="00EB7A13">
        <w:t xml:space="preserve"> </w:t>
      </w:r>
      <w:r w:rsidR="00EB7A13" w:rsidRPr="00AF7228">
        <w:t>R</w:t>
      </w:r>
      <w:r w:rsidR="00EB7A13" w:rsidRPr="00EB7A13">
        <w:t xml:space="preserve">espondents </w:t>
      </w:r>
      <w:r w:rsidR="00EB7A13" w:rsidRPr="00AF7228">
        <w:t xml:space="preserve">were </w:t>
      </w:r>
      <w:r w:rsidR="00EB7A13" w:rsidRPr="00EB7A13">
        <w:t xml:space="preserve">least sure about </w:t>
      </w:r>
      <w:r w:rsidR="00EB7A13" w:rsidRPr="00AF7228">
        <w:t>‘</w:t>
      </w:r>
      <w:r w:rsidR="00EB7A13" w:rsidRPr="00EB7A13">
        <w:t xml:space="preserve">childhood </w:t>
      </w:r>
      <w:r w:rsidR="00EF3888" w:rsidRPr="00EB7A13">
        <w:t>immuni</w:t>
      </w:r>
      <w:r w:rsidR="00EF3888">
        <w:t>s</w:t>
      </w:r>
      <w:r w:rsidR="00EF3888" w:rsidRPr="00EB7A13">
        <w:t>ation</w:t>
      </w:r>
      <w:r w:rsidR="00EF3888" w:rsidRPr="00AF7228">
        <w:t>’</w:t>
      </w:r>
      <w:r w:rsidR="00EF3888" w:rsidRPr="00EB7A13">
        <w:t xml:space="preserve"> </w:t>
      </w:r>
      <w:r w:rsidR="00EB7A13" w:rsidRPr="00EB7A13">
        <w:t xml:space="preserve">and </w:t>
      </w:r>
      <w:r w:rsidR="00EB7A13" w:rsidRPr="00AF7228">
        <w:t>‘</w:t>
      </w:r>
      <w:r w:rsidR="00EB7A13" w:rsidRPr="00EB7A13">
        <w:t>cancer screening</w:t>
      </w:r>
      <w:r w:rsidR="00EB7A13" w:rsidRPr="00AF7228">
        <w:t>’.</w:t>
      </w:r>
      <w:r w:rsidRPr="00AF7228">
        <w:t xml:space="preserve"> </w:t>
      </w:r>
    </w:p>
    <w:p w14:paraId="3C1F6067" w14:textId="32EB64B8" w:rsidR="00EB7A13" w:rsidRPr="00EB7A13" w:rsidRDefault="005A367F" w:rsidP="00EB7A13">
      <w:pPr>
        <w:pStyle w:val="BodyText"/>
        <w:numPr>
          <w:ilvl w:val="0"/>
          <w:numId w:val="35"/>
        </w:numPr>
      </w:pPr>
      <w:r w:rsidRPr="00AF7228">
        <w:t>Nearly all respondents (</w:t>
      </w:r>
      <w:r w:rsidR="00AF7228" w:rsidRPr="00AF7228">
        <w:t>85</w:t>
      </w:r>
      <w:r w:rsidRPr="00AF7228">
        <w:t xml:space="preserve">%) felt that it was </w:t>
      </w:r>
      <w:r w:rsidR="00AF7228" w:rsidRPr="00AF7228">
        <w:t xml:space="preserve">‘moderately to </w:t>
      </w:r>
      <w:r w:rsidRPr="00AF7228">
        <w:t>highly feasible</w:t>
      </w:r>
      <w:r w:rsidR="00AF7228" w:rsidRPr="00AF7228">
        <w:t>’</w:t>
      </w:r>
      <w:r w:rsidRPr="00AF7228">
        <w:t xml:space="preserve"> for WentWest to improve </w:t>
      </w:r>
      <w:r w:rsidR="00AF7228" w:rsidRPr="00AF7228">
        <w:t>‘</w:t>
      </w:r>
      <w:r w:rsidRPr="00AF7228">
        <w:t>mental health treatments rates</w:t>
      </w:r>
      <w:r w:rsidR="00AF7228" w:rsidRPr="00AF7228">
        <w:t>’</w:t>
      </w:r>
      <w:r w:rsidRPr="00AF7228">
        <w:t xml:space="preserve">. 69% felt that WentWest had a moderate to high feasibility of influencing outcomes in relation to </w:t>
      </w:r>
      <w:r w:rsidR="00AF7228" w:rsidRPr="00AF7228">
        <w:t>‘</w:t>
      </w:r>
      <w:r w:rsidRPr="00AF7228">
        <w:t>avoidable hospitalisations</w:t>
      </w:r>
      <w:r w:rsidR="00AF7228" w:rsidRPr="00AF7228">
        <w:t>’</w:t>
      </w:r>
      <w:r w:rsidRPr="00AF7228">
        <w:t>.</w:t>
      </w:r>
    </w:p>
    <w:p w14:paraId="1E3547B0" w14:textId="50CDC152" w:rsidR="00EB7A13" w:rsidRPr="00EB7A13" w:rsidRDefault="00EB7A13" w:rsidP="00EB7A13">
      <w:pPr>
        <w:pStyle w:val="BodyText"/>
        <w:numPr>
          <w:ilvl w:val="0"/>
          <w:numId w:val="35"/>
        </w:numPr>
      </w:pPr>
      <w:r w:rsidRPr="00AF7228">
        <w:t>In relation to p</w:t>
      </w:r>
      <w:r w:rsidRPr="00EB7A13">
        <w:t>erformance</w:t>
      </w:r>
      <w:r w:rsidRPr="00AF7228">
        <w:t xml:space="preserve">, </w:t>
      </w:r>
      <w:r w:rsidR="005A367F" w:rsidRPr="00AF7228">
        <w:t xml:space="preserve">nearly a third of </w:t>
      </w:r>
      <w:r w:rsidRPr="00AF7228">
        <w:t xml:space="preserve">respondents </w:t>
      </w:r>
      <w:r w:rsidR="005A367F" w:rsidRPr="00AF7228">
        <w:t xml:space="preserve">(31%) gave top rating for </w:t>
      </w:r>
      <w:proofErr w:type="spellStart"/>
      <w:r w:rsidR="005A367F" w:rsidRPr="00AF7228">
        <w:t>WentWest’s</w:t>
      </w:r>
      <w:proofErr w:type="spellEnd"/>
      <w:r w:rsidR="005A367F" w:rsidRPr="00AF7228">
        <w:t xml:space="preserve"> efforts on </w:t>
      </w:r>
      <w:r w:rsidRPr="00AF7228">
        <w:t>‘</w:t>
      </w:r>
      <w:r w:rsidRPr="00EB7A13">
        <w:t>mental health treatment rates</w:t>
      </w:r>
      <w:r w:rsidRPr="00AF7228">
        <w:t>’</w:t>
      </w:r>
      <w:r w:rsidRPr="00EB7A13">
        <w:t xml:space="preserve"> </w:t>
      </w:r>
      <w:r w:rsidR="005A367F" w:rsidRPr="00AF7228">
        <w:t xml:space="preserve">and </w:t>
      </w:r>
      <w:r w:rsidRPr="00AF7228">
        <w:t>‘</w:t>
      </w:r>
      <w:r w:rsidRPr="00EB7A13">
        <w:t>preventable suicides</w:t>
      </w:r>
      <w:r w:rsidRPr="00AF7228">
        <w:t>’</w:t>
      </w:r>
      <w:r w:rsidR="005A367F" w:rsidRPr="00AF7228">
        <w:t>.</w:t>
      </w:r>
    </w:p>
    <w:p w14:paraId="7D0BF7F6" w14:textId="0678C88B" w:rsidR="00EB7A13" w:rsidRPr="00EB7A13" w:rsidRDefault="00EB7A13" w:rsidP="00EB7A13">
      <w:pPr>
        <w:pStyle w:val="BodyText"/>
        <w:numPr>
          <w:ilvl w:val="0"/>
          <w:numId w:val="35"/>
        </w:numPr>
      </w:pPr>
      <w:r w:rsidRPr="00AF7228">
        <w:t>Respondents rated the q</w:t>
      </w:r>
      <w:r w:rsidRPr="00EB7A13">
        <w:t xml:space="preserve">uality of WentWest planning processes </w:t>
      </w:r>
      <w:r w:rsidRPr="00AF7228">
        <w:t>highly with</w:t>
      </w:r>
      <w:r w:rsidRPr="00EB7A13">
        <w:t xml:space="preserve"> </w:t>
      </w:r>
      <w:r w:rsidRPr="00AF7228">
        <w:t xml:space="preserve">the </w:t>
      </w:r>
      <w:r w:rsidRPr="00EB7A13">
        <w:t>highest rating</w:t>
      </w:r>
      <w:r w:rsidRPr="00AF7228">
        <w:t>s</w:t>
      </w:r>
      <w:r w:rsidRPr="00EB7A13">
        <w:t xml:space="preserve"> </w:t>
      </w:r>
      <w:r w:rsidRPr="00AF7228">
        <w:t>being for ‘</w:t>
      </w:r>
      <w:r w:rsidRPr="00EB7A13">
        <w:t>inclusiveness of stakeholders</w:t>
      </w:r>
      <w:r w:rsidRPr="00AF7228">
        <w:t>’</w:t>
      </w:r>
      <w:r w:rsidRPr="00EB7A13">
        <w:t xml:space="preserve"> and </w:t>
      </w:r>
      <w:r w:rsidRPr="00AF7228">
        <w:t>‘</w:t>
      </w:r>
      <w:r w:rsidRPr="00EB7A13">
        <w:t>communication on progress</w:t>
      </w:r>
      <w:r w:rsidRPr="00AF7228">
        <w:t>’</w:t>
      </w:r>
      <w:r w:rsidR="00AF7228" w:rsidRPr="00AF7228">
        <w:t>.</w:t>
      </w:r>
    </w:p>
    <w:p w14:paraId="4F348E14" w14:textId="7232AEB3" w:rsidR="00EB7A13" w:rsidRPr="00EB7A13" w:rsidRDefault="00EB7A13" w:rsidP="00EB7A13">
      <w:pPr>
        <w:pStyle w:val="BodyText"/>
        <w:numPr>
          <w:ilvl w:val="0"/>
          <w:numId w:val="35"/>
        </w:numPr>
      </w:pPr>
      <w:r w:rsidRPr="00AF7228">
        <w:t xml:space="preserve">With regard to </w:t>
      </w:r>
      <w:r w:rsidRPr="00EB7A13">
        <w:t xml:space="preserve">WentWest </w:t>
      </w:r>
      <w:r w:rsidR="005A367F" w:rsidRPr="00AF7228">
        <w:t xml:space="preserve">organisational </w:t>
      </w:r>
      <w:r w:rsidRPr="00EB7A13">
        <w:t>performance</w:t>
      </w:r>
      <w:r w:rsidRPr="00AF7228">
        <w:t xml:space="preserve">, </w:t>
      </w:r>
      <w:r w:rsidR="005A367F" w:rsidRPr="00AF7228">
        <w:t xml:space="preserve">a majority of respondents were ‘unsure’ in relation to </w:t>
      </w:r>
      <w:r w:rsidR="00AF7228" w:rsidRPr="00AF7228">
        <w:t xml:space="preserve">governance structures and financial reporting. </w:t>
      </w:r>
      <w:r w:rsidR="005A367F" w:rsidRPr="00AF7228">
        <w:t>M</w:t>
      </w:r>
      <w:r w:rsidRPr="00EB7A13">
        <w:t>ost positive comments relate</w:t>
      </w:r>
      <w:r w:rsidRPr="00AF7228">
        <w:t>d</w:t>
      </w:r>
      <w:r w:rsidRPr="00EB7A13">
        <w:t xml:space="preserve"> to </w:t>
      </w:r>
      <w:r w:rsidRPr="00AF7228">
        <w:t>‘</w:t>
      </w:r>
      <w:r w:rsidRPr="00EB7A13">
        <w:t>Annual plans</w:t>
      </w:r>
      <w:r w:rsidRPr="00AF7228">
        <w:t>’</w:t>
      </w:r>
      <w:r w:rsidRPr="00EB7A13">
        <w:t xml:space="preserve">, </w:t>
      </w:r>
      <w:r w:rsidRPr="00AF7228">
        <w:t>‘</w:t>
      </w:r>
      <w:r w:rsidRPr="00EB7A13">
        <w:t>population needs</w:t>
      </w:r>
      <w:r w:rsidRPr="00AF7228">
        <w:t>’</w:t>
      </w:r>
      <w:r w:rsidRPr="00EB7A13">
        <w:t xml:space="preserve">, </w:t>
      </w:r>
      <w:r w:rsidRPr="00AF7228">
        <w:t>and ‘</w:t>
      </w:r>
      <w:r w:rsidRPr="00EB7A13">
        <w:t>community advisory committees</w:t>
      </w:r>
      <w:r w:rsidRPr="00AF7228">
        <w:t>’</w:t>
      </w:r>
      <w:r w:rsidRPr="00EB7A13">
        <w:t xml:space="preserve">. </w:t>
      </w:r>
    </w:p>
    <w:p w14:paraId="2E3B7CE5" w14:textId="59CABC02" w:rsidR="00EB7A13" w:rsidRPr="00EB7A13" w:rsidRDefault="00EB7A13" w:rsidP="005A367F">
      <w:pPr>
        <w:pStyle w:val="BodyText"/>
        <w:numPr>
          <w:ilvl w:val="0"/>
          <w:numId w:val="35"/>
        </w:numPr>
      </w:pPr>
      <w:proofErr w:type="spellStart"/>
      <w:r w:rsidRPr="00AF7228">
        <w:t>WentWest’s</w:t>
      </w:r>
      <w:proofErr w:type="spellEnd"/>
      <w:r w:rsidRPr="00AF7228">
        <w:t xml:space="preserve"> </w:t>
      </w:r>
      <w:r w:rsidR="005A367F" w:rsidRPr="00AF7228">
        <w:t>impact</w:t>
      </w:r>
      <w:r w:rsidRPr="00EB7A13">
        <w:t xml:space="preserve"> on </w:t>
      </w:r>
      <w:r w:rsidRPr="00AF7228">
        <w:t xml:space="preserve">key </w:t>
      </w:r>
      <w:r w:rsidRPr="00EB7A13">
        <w:t xml:space="preserve">attributes </w:t>
      </w:r>
      <w:r w:rsidRPr="00AF7228">
        <w:t xml:space="preserve">of mental health </w:t>
      </w:r>
      <w:r w:rsidRPr="00EB7A13">
        <w:t>service</w:t>
      </w:r>
      <w:r w:rsidRPr="00AF7228">
        <w:t xml:space="preserve"> </w:t>
      </w:r>
      <w:r w:rsidRPr="00EB7A13">
        <w:t>in Western Sydney</w:t>
      </w:r>
      <w:r w:rsidRPr="00AF7228">
        <w:t xml:space="preserve"> was assessed b</w:t>
      </w:r>
      <w:r w:rsidR="005A367F" w:rsidRPr="00AF7228">
        <w:t>y</w:t>
      </w:r>
      <w:r w:rsidRPr="00EB7A13">
        <w:t xml:space="preserve"> only 10 respondents</w:t>
      </w:r>
      <w:r w:rsidRPr="00AF7228">
        <w:t>. The</w:t>
      </w:r>
      <w:r w:rsidRPr="00EB7A13">
        <w:t xml:space="preserve"> highest </w:t>
      </w:r>
      <w:r w:rsidRPr="00AF7228">
        <w:t xml:space="preserve">ratings on </w:t>
      </w:r>
      <w:r w:rsidRPr="00EB7A13">
        <w:t>i</w:t>
      </w:r>
      <w:r w:rsidR="005A367F" w:rsidRPr="00AF7228">
        <w:t>mpact</w:t>
      </w:r>
      <w:r w:rsidRPr="00EB7A13">
        <w:t xml:space="preserve"> (</w:t>
      </w:r>
      <w:r w:rsidRPr="00AF7228">
        <w:t>‘</w:t>
      </w:r>
      <w:r w:rsidRPr="00EB7A13">
        <w:t>moderate</w:t>
      </w:r>
      <w:r w:rsidRPr="00AF7228">
        <w:t>’</w:t>
      </w:r>
      <w:r w:rsidR="005A367F" w:rsidRPr="00AF7228">
        <w:t>, ‘high’ or</w:t>
      </w:r>
      <w:r w:rsidRPr="00EB7A13">
        <w:t xml:space="preserve"> </w:t>
      </w:r>
      <w:r w:rsidRPr="00AF7228">
        <w:t>‘</w:t>
      </w:r>
      <w:r w:rsidRPr="00EB7A13">
        <w:t>very high</w:t>
      </w:r>
      <w:r w:rsidRPr="00AF7228">
        <w:t>’</w:t>
      </w:r>
      <w:r w:rsidRPr="00EB7A13">
        <w:t xml:space="preserve">) </w:t>
      </w:r>
      <w:r w:rsidRPr="00AF7228">
        <w:t>were: 1) ‘</w:t>
      </w:r>
      <w:r w:rsidRPr="00EB7A13">
        <w:t>quality of mental health care</w:t>
      </w:r>
      <w:r w:rsidRPr="00AF7228">
        <w:t>’</w:t>
      </w:r>
      <w:r w:rsidRPr="00EB7A13">
        <w:t xml:space="preserve"> </w:t>
      </w:r>
      <w:r w:rsidRPr="00AF7228">
        <w:t>(</w:t>
      </w:r>
      <w:r w:rsidRPr="00EB7A13">
        <w:t>70%</w:t>
      </w:r>
      <w:r w:rsidRPr="00AF7228">
        <w:t>); 2)</w:t>
      </w:r>
      <w:r w:rsidRPr="00EB7A13">
        <w:t xml:space="preserve"> </w:t>
      </w:r>
      <w:r w:rsidRPr="00AF7228">
        <w:t>‘</w:t>
      </w:r>
      <w:r w:rsidRPr="00EB7A13">
        <w:t>access to mental health care</w:t>
      </w:r>
      <w:r w:rsidRPr="00AF7228">
        <w:t>’</w:t>
      </w:r>
      <w:r w:rsidRPr="00EB7A13">
        <w:t xml:space="preserve"> </w:t>
      </w:r>
      <w:r w:rsidRPr="00AF7228">
        <w:t>(</w:t>
      </w:r>
      <w:r w:rsidRPr="00EB7A13">
        <w:t>70%</w:t>
      </w:r>
      <w:r w:rsidRPr="00AF7228">
        <w:t>)</w:t>
      </w:r>
      <w:r w:rsidR="005A367F" w:rsidRPr="00AF7228">
        <w:t>;</w:t>
      </w:r>
      <w:r w:rsidRPr="00EB7A13">
        <w:t xml:space="preserve"> </w:t>
      </w:r>
      <w:r w:rsidRPr="00AF7228">
        <w:t xml:space="preserve">3) </w:t>
      </w:r>
      <w:r w:rsidR="005A367F" w:rsidRPr="00AF7228">
        <w:t xml:space="preserve">regional planning (70%); and 4) Improved mental health care patient/consumer outcomes (70%). ‘Workforce capacity’, ‘workforce capability’ and </w:t>
      </w:r>
      <w:r w:rsidRPr="00AF7228">
        <w:t>‘</w:t>
      </w:r>
      <w:r w:rsidRPr="00EB7A13">
        <w:t>collaboration between primary health care workers</w:t>
      </w:r>
      <w:r w:rsidRPr="00AF7228">
        <w:t>’ (</w:t>
      </w:r>
      <w:r w:rsidR="005A367F" w:rsidRPr="00AF7228">
        <w:t xml:space="preserve">all with </w:t>
      </w:r>
      <w:r w:rsidRPr="00AF7228">
        <w:t>60%</w:t>
      </w:r>
      <w:r w:rsidR="005A367F" w:rsidRPr="00AF7228">
        <w:t xml:space="preserve"> respondents rating as ‘</w:t>
      </w:r>
      <w:r w:rsidRPr="00EB7A13">
        <w:t>moderate</w:t>
      </w:r>
      <w:r w:rsidR="005A367F" w:rsidRPr="00AF7228">
        <w:t>’, ‘high’ or</w:t>
      </w:r>
      <w:r w:rsidRPr="00EB7A13">
        <w:t xml:space="preserve"> </w:t>
      </w:r>
      <w:r w:rsidR="005A367F" w:rsidRPr="00AF7228">
        <w:t>‘</w:t>
      </w:r>
      <w:r w:rsidRPr="00EB7A13">
        <w:t>very high</w:t>
      </w:r>
      <w:r w:rsidR="005A367F" w:rsidRPr="00AF7228">
        <w:t>’</w:t>
      </w:r>
      <w:r w:rsidRPr="00AF7228">
        <w:t>). ‘I</w:t>
      </w:r>
      <w:r w:rsidRPr="00EB7A13">
        <w:t xml:space="preserve">mproved </w:t>
      </w:r>
      <w:r w:rsidR="005A367F" w:rsidRPr="00AF7228">
        <w:t xml:space="preserve">access to </w:t>
      </w:r>
      <w:r w:rsidRPr="00EB7A13">
        <w:t>and availab</w:t>
      </w:r>
      <w:r w:rsidR="005A367F" w:rsidRPr="00AF7228">
        <w:t>i</w:t>
      </w:r>
      <w:r w:rsidRPr="00EB7A13">
        <w:t>l</w:t>
      </w:r>
      <w:r w:rsidR="005A367F" w:rsidRPr="00AF7228">
        <w:t xml:space="preserve">ity of </w:t>
      </w:r>
      <w:r w:rsidRPr="00EB7A13">
        <w:t>data</w:t>
      </w:r>
      <w:r w:rsidRPr="00AF7228">
        <w:t>’</w:t>
      </w:r>
      <w:r w:rsidRPr="00EB7A13">
        <w:t xml:space="preserve"> was least known and the lowest rated</w:t>
      </w:r>
      <w:r w:rsidR="005A367F" w:rsidRPr="00AF7228">
        <w:t xml:space="preserve"> element.</w:t>
      </w:r>
    </w:p>
    <w:p w14:paraId="3B3318AF" w14:textId="31813410" w:rsidR="00EB7A13" w:rsidRPr="00EB7A13" w:rsidRDefault="00EB7A13" w:rsidP="00EB7A13">
      <w:pPr>
        <w:pStyle w:val="BodyText"/>
        <w:numPr>
          <w:ilvl w:val="0"/>
          <w:numId w:val="35"/>
        </w:numPr>
      </w:pPr>
      <w:proofErr w:type="spellStart"/>
      <w:r w:rsidRPr="00AF7228">
        <w:t>WentWest’s</w:t>
      </w:r>
      <w:proofErr w:type="spellEnd"/>
      <w:r w:rsidRPr="00AF7228">
        <w:t xml:space="preserve"> ‘</w:t>
      </w:r>
      <w:r w:rsidR="005A367F" w:rsidRPr="00AF7228">
        <w:t>impact</w:t>
      </w:r>
      <w:r w:rsidRPr="00EB7A13">
        <w:t xml:space="preserve"> on </w:t>
      </w:r>
      <w:r w:rsidR="005A367F" w:rsidRPr="00AF7228">
        <w:t xml:space="preserve">developing </w:t>
      </w:r>
      <w:r w:rsidRPr="00EB7A13">
        <w:t>care pathways</w:t>
      </w:r>
      <w:r w:rsidRPr="00AF7228">
        <w:t>’ was rated by</w:t>
      </w:r>
      <w:r w:rsidRPr="00EB7A13">
        <w:t xml:space="preserve"> only 10 </w:t>
      </w:r>
      <w:r w:rsidRPr="00AF7228">
        <w:t>respondents. The</w:t>
      </w:r>
      <w:r w:rsidRPr="00EB7A13">
        <w:t xml:space="preserve"> least known </w:t>
      </w:r>
      <w:r w:rsidRPr="00AF7228">
        <w:t xml:space="preserve">of the listed care </w:t>
      </w:r>
      <w:r w:rsidRPr="00EB7A13">
        <w:t xml:space="preserve">pathways </w:t>
      </w:r>
      <w:r w:rsidRPr="00AF7228">
        <w:t>was that ‘</w:t>
      </w:r>
      <w:r w:rsidRPr="00EB7A13">
        <w:t xml:space="preserve">between GPs and </w:t>
      </w:r>
      <w:r w:rsidRPr="00AF7228">
        <w:t>hospital</w:t>
      </w:r>
      <w:r w:rsidRPr="00EB7A13">
        <w:t xml:space="preserve"> services</w:t>
      </w:r>
      <w:r w:rsidRPr="00AF7228">
        <w:t>’</w:t>
      </w:r>
      <w:r w:rsidRPr="00EB7A13">
        <w:t xml:space="preserve"> </w:t>
      </w:r>
      <w:r w:rsidRPr="00AF7228">
        <w:t>(</w:t>
      </w:r>
      <w:r w:rsidRPr="00EB7A13">
        <w:t>60%</w:t>
      </w:r>
      <w:r w:rsidRPr="00AF7228">
        <w:t xml:space="preserve"> rated as ‘unsure’)</w:t>
      </w:r>
      <w:r w:rsidRPr="00EB7A13">
        <w:t xml:space="preserve"> </w:t>
      </w:r>
      <w:r w:rsidRPr="00AF7228">
        <w:t xml:space="preserve">and with the least impact (30% rated impact as ‘moderate’ or ‘significant’). The </w:t>
      </w:r>
      <w:r w:rsidRPr="00EB7A13">
        <w:t xml:space="preserve">most positive impact related to </w:t>
      </w:r>
      <w:r w:rsidRPr="00AF7228">
        <w:t>‘</w:t>
      </w:r>
      <w:r w:rsidRPr="00EB7A13">
        <w:t>GPs and psychologists</w:t>
      </w:r>
      <w:r w:rsidRPr="00AF7228">
        <w:t>’</w:t>
      </w:r>
      <w:r w:rsidRPr="00EB7A13">
        <w:t xml:space="preserve"> </w:t>
      </w:r>
      <w:r w:rsidRPr="00AF7228">
        <w:t>(</w:t>
      </w:r>
      <w:r w:rsidRPr="00EB7A13">
        <w:t>60%</w:t>
      </w:r>
      <w:r w:rsidRPr="00AF7228">
        <w:t xml:space="preserve"> rated as ‘moderate’ or ‘significant’)</w:t>
      </w:r>
    </w:p>
    <w:p w14:paraId="30FA218D" w14:textId="74C5A970" w:rsidR="00EB7A13" w:rsidRPr="00AF7228" w:rsidRDefault="00EB7A13" w:rsidP="00EB7A13">
      <w:pPr>
        <w:pStyle w:val="BodyText"/>
        <w:numPr>
          <w:ilvl w:val="0"/>
          <w:numId w:val="35"/>
        </w:numPr>
      </w:pPr>
      <w:r w:rsidRPr="00EB7A13">
        <w:t xml:space="preserve">WentWest capacity to fulfil </w:t>
      </w:r>
      <w:r w:rsidR="005A367F" w:rsidRPr="00AF7228">
        <w:t xml:space="preserve">the </w:t>
      </w:r>
      <w:r w:rsidRPr="00EB7A13">
        <w:t>Australian Government</w:t>
      </w:r>
      <w:r w:rsidR="005A367F" w:rsidRPr="00AF7228">
        <w:t>’s</w:t>
      </w:r>
      <w:r w:rsidRPr="00EB7A13">
        <w:t xml:space="preserve"> goals</w:t>
      </w:r>
      <w:r w:rsidR="005A367F" w:rsidRPr="00AF7228">
        <w:t xml:space="preserve"> for the next five years</w:t>
      </w:r>
      <w:r w:rsidRPr="00EB7A13">
        <w:t>, only 10 completed this question</w:t>
      </w:r>
      <w:r w:rsidR="005A367F" w:rsidRPr="00AF7228">
        <w:t>. However, there was</w:t>
      </w:r>
      <w:r w:rsidRPr="00EB7A13">
        <w:t xml:space="preserve"> strong agreement </w:t>
      </w:r>
      <w:r w:rsidR="005A367F" w:rsidRPr="00AF7228">
        <w:t xml:space="preserve">that </w:t>
      </w:r>
      <w:r w:rsidRPr="00EB7A13">
        <w:t xml:space="preserve">all goals </w:t>
      </w:r>
      <w:r w:rsidR="005A367F" w:rsidRPr="00AF7228">
        <w:t xml:space="preserve">were important and there was a high degree of confidence in </w:t>
      </w:r>
      <w:proofErr w:type="spellStart"/>
      <w:r w:rsidR="005A367F" w:rsidRPr="00AF7228">
        <w:t>WentWest’s</w:t>
      </w:r>
      <w:proofErr w:type="spellEnd"/>
      <w:r w:rsidR="005A367F" w:rsidRPr="00AF7228">
        <w:t xml:space="preserve"> capacity to achieve them.</w:t>
      </w:r>
      <w:r w:rsidRPr="00EB7A13">
        <w:t xml:space="preserve"> </w:t>
      </w:r>
    </w:p>
    <w:p w14:paraId="407C1FA8" w14:textId="74D73992" w:rsidR="00D71D1B" w:rsidRPr="00AF7228" w:rsidRDefault="00C36AC7">
      <w:pPr>
        <w:spacing w:before="0" w:after="0"/>
        <w:rPr>
          <w:highlight w:val="yellow"/>
        </w:rPr>
      </w:pPr>
      <w:r w:rsidRPr="00AF7228">
        <w:rPr>
          <w:highlight w:val="yellow"/>
        </w:rPr>
        <w:br w:type="page"/>
      </w:r>
    </w:p>
    <w:p w14:paraId="0E9A2CB0" w14:textId="77777777" w:rsidR="00D71D1B" w:rsidRPr="00AF7228" w:rsidRDefault="00D71D1B" w:rsidP="00D71D1B">
      <w:pPr>
        <w:pStyle w:val="BodyText"/>
        <w:spacing w:line="20" w:lineRule="exact"/>
        <w:rPr>
          <w:rFonts w:ascii="Times New Roman"/>
          <w:sz w:val="2"/>
        </w:rPr>
      </w:pPr>
      <w:r w:rsidRPr="00AF7228">
        <w:rPr>
          <w:rFonts w:ascii="Times New Roman"/>
          <w:noProof/>
          <w:sz w:val="2"/>
          <w:lang w:eastAsia="en-AU"/>
        </w:rPr>
        <w:lastRenderedPageBreak/>
        <mc:AlternateContent>
          <mc:Choice Requires="wpg">
            <w:drawing>
              <wp:inline distT="0" distB="0" distL="0" distR="0" wp14:anchorId="4BB10825" wp14:editId="619253B9">
                <wp:extent cx="5769610" cy="6350"/>
                <wp:effectExtent l="0" t="0" r="0" b="0"/>
                <wp:docPr id="140"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9610" cy="6350"/>
                          <a:chOff x="0" y="0"/>
                          <a:chExt cx="9086" cy="10"/>
                        </a:xfrm>
                      </wpg:grpSpPr>
                      <wps:wsp>
                        <wps:cNvPr id="141" name="Line 7"/>
                        <wps:cNvCnPr>
                          <a:cxnSpLocks/>
                        </wps:cNvCnPr>
                        <wps:spPr bwMode="auto">
                          <a:xfrm>
                            <a:off x="0" y="5"/>
                            <a:ext cx="9086" cy="0"/>
                          </a:xfrm>
                          <a:prstGeom prst="line">
                            <a:avLst/>
                          </a:prstGeom>
                          <a:noFill/>
                          <a:ln w="6096">
                            <a:solidFill>
                              <a:srgbClr val="00ADEE"/>
                            </a:solidFill>
                            <a:prstDash val="sysDot"/>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8C634C6" id="Group 6" o:spid="_x0000_s1026" style="width:454.3pt;height:.5pt;mso-position-horizontal-relative:char;mso-position-vertical-relative:line" coordsize="908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OxEcQIAAH8FAAAOAAAAZHJzL2Uyb0RvYy54bWykVF1v2yAUfZ+0/4D8ntpOHTexmlRV7PSl&#10;2yp1+wEE8IeGAQGJE03777uAkzbtS9W92MD94Nxz7uX27tBztGfadFIso/QqiRATRNJONMvo18/N&#10;ZB4hY7GgmEvBltGRmehu9fXL7aAKNpWt5JRpBEmEKQa1jFprVRHHhrSsx+ZKKibAWEvdYwtb3cRU&#10;4wGy9zyeJkkeD1JTpSVhxsBpGYzRyueva0bsj7o2zCK+jACb9V/tv1v3jVe3uGg0Vm1HRhj4Eyh6&#10;3Am49JyqxBajne7epeo7oqWRtb0iso9lXXeE+RqgmjR5U82Dljvla2mKoVFnmoDaNzx9Oi35vn/S&#10;qKOgXQb8CNyDSP5elDtyBtUU4POg1bN60qFCWD5K8tuAOX5rd/smOKPt8E1SSId3VnpyDrXuXQoo&#10;Gx28BsezBuxgEYHD2U2+yFOAQsCWX89GiUgLOr4LIm01hi2SeR5iINYBw0W4zSMcEblyoM3MC5Pm&#10;/5h8brFiXiDjWDozmZ6YfOwEQzeBSO+yFoFFchAXLL4yOowGyP4gf7PQwyf+Xoi45AEXShv7wGSP&#10;3GIZcYDmVcH7R2MDZScXJ5KQm45zOMcFF2gAMZJF7gOM5B11RmczutmuuUZ77CYsuS+rauT/ws1l&#10;LrFpg585mlLaABx6XFB/Tcswrca1xR0Pa1CSC3cTVAhAx1UYrj+LZFHNq3k2yaZ5NcmSspzcb9bZ&#10;JN+kN7Pyulyvy/SvA51mRdtRyoTDfRr0NPuY/OOTE0b0POpnguLL7L75AOzp70FDGwZVQw9uJT0+&#10;aUf62JF+5afch40vkntGXu+918u7ufoHAAD//wMAUEsDBBQABgAIAAAAIQAwP/Rn3wAAAAgBAAAP&#10;AAAAZHJzL2Rvd25yZXYueG1sTI/NasMwEITvhb6D2EBvjeSWhtSxHEL6cwqFJIWSm2JtbBNrZSzF&#10;dt6+217ay8Ayu7PzZcvRNaLHLtSeNCRTBQKp8LamUsPn/u1+DiJEQ9Y0nlDDFQMs89ubzKTWD7TF&#10;fhdLwSEUUqOhirFNpQxFhc6EqW+R2Dv5zpnIY1dK25mBw10jH5SaSWdq4g+VaXFdYXHeXZyG98EM&#10;q8fktd+cT+vrYf/08bVJUOu7yfiyYFktQEQc498F/DBwf8i52NFfyAbRaGCa+KvsPav5DMSRlxTI&#10;PJP/AfJvAAAA//8DAFBLAQItABQABgAIAAAAIQC2gziS/gAAAOEBAAATAAAAAAAAAAAAAAAAAAAA&#10;AABbQ29udGVudF9UeXBlc10ueG1sUEsBAi0AFAAGAAgAAAAhADj9If/WAAAAlAEAAAsAAAAAAAAA&#10;AAAAAAAALwEAAF9yZWxzLy5yZWxzUEsBAi0AFAAGAAgAAAAhAKQE7ERxAgAAfwUAAA4AAAAAAAAA&#10;AAAAAAAALgIAAGRycy9lMm9Eb2MueG1sUEsBAi0AFAAGAAgAAAAhADA/9GffAAAACAEAAA8AAAAA&#10;AAAAAAAAAAAAywQAAGRycy9kb3ducmV2LnhtbFBLBQYAAAAABAAEAPMAAADXBQAAAAA=&#10;">
                <v:line id="Line 7" o:spid="_x0000_s1027" style="position:absolute;visibility:visible;mso-wrap-style:square" from="0,5" to="90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mWcyAAAAOEAAAAPAAAAZHJzL2Rvd25yZXYueG1sRI/dasJA&#10;EEbvhb7DMoXeSN0otQ3RVTRFFO9qfYAhO/mh2dmY3cT49l1B8GaY4eM7w1muB1OLnlpXWVYwnUQg&#10;iDOrKy4UnH937zEI55E11pZJwY0crFcvoyUm2l75h/qTL0SAsEtQQel9k0jpspIMuoltiEOW29ag&#10;D2dbSN3iNcBNLWdR9CkNVhw+lNhQWlL2d+qMgq/0mO+7WOeXtJ835/gy3qbbTqm31+F7EcZmAcLT&#10;4J+NB+Kgg8PHFO5GYQO5+gcAAP//AwBQSwECLQAUAAYACAAAACEA2+H2y+4AAACFAQAAEwAAAAAA&#10;AAAAAAAAAAAAAAAAW0NvbnRlbnRfVHlwZXNdLnhtbFBLAQItABQABgAIAAAAIQBa9CxbvwAAABUB&#10;AAALAAAAAAAAAAAAAAAAAB8BAABfcmVscy8ucmVsc1BLAQItABQABgAIAAAAIQBLzmWcyAAAAOEA&#10;AAAPAAAAAAAAAAAAAAAAAAcCAABkcnMvZG93bnJldi54bWxQSwUGAAAAAAMAAwC3AAAA/AIAAAAA&#10;" strokecolor="#00adee" strokeweight=".48pt">
                  <v:stroke dashstyle="1 1"/>
                  <o:lock v:ext="edit" shapetype="f"/>
                </v:line>
                <w10:anchorlock/>
              </v:group>
            </w:pict>
          </mc:Fallback>
        </mc:AlternateContent>
      </w:r>
    </w:p>
    <w:p w14:paraId="210AF22C" w14:textId="2E26A8F5" w:rsidR="00F53DEF" w:rsidRPr="00AF7228" w:rsidRDefault="00D71D1B" w:rsidP="00117D83">
      <w:pPr>
        <w:pStyle w:val="Heading1"/>
      </w:pPr>
      <w:bookmarkStart w:id="131" w:name="_Toc6238845"/>
      <w:r w:rsidRPr="00AF7228">
        <w:t>Appendix F</w:t>
      </w:r>
      <w:r w:rsidR="00AF7228" w:rsidRPr="00AF7228">
        <w:t>ive</w:t>
      </w:r>
      <w:r w:rsidRPr="00AF7228">
        <w:t xml:space="preserve">: </w:t>
      </w:r>
      <w:r w:rsidR="00F53DEF" w:rsidRPr="00AF7228">
        <w:t>Inquiries into Mental Illness</w:t>
      </w:r>
      <w:bookmarkEnd w:id="131"/>
      <w:r w:rsidR="00F53DEF" w:rsidRPr="00AF7228">
        <w:t xml:space="preserve"> </w:t>
      </w:r>
    </w:p>
    <w:p w14:paraId="1120F501" w14:textId="77777777" w:rsidR="00D71D1B" w:rsidRPr="00AF7228" w:rsidRDefault="00D71D1B" w:rsidP="00D71D1B">
      <w:pPr>
        <w:pStyle w:val="BodyText"/>
        <w:spacing w:line="20" w:lineRule="exact"/>
        <w:rPr>
          <w:rFonts w:ascii="Times New Roman"/>
          <w:sz w:val="2"/>
        </w:rPr>
      </w:pPr>
      <w:r w:rsidRPr="00AF7228">
        <w:rPr>
          <w:rFonts w:ascii="Times New Roman"/>
          <w:noProof/>
          <w:sz w:val="2"/>
          <w:lang w:eastAsia="en-AU"/>
        </w:rPr>
        <mc:AlternateContent>
          <mc:Choice Requires="wpg">
            <w:drawing>
              <wp:inline distT="0" distB="0" distL="0" distR="0" wp14:anchorId="3863EF72" wp14:editId="6CE5B836">
                <wp:extent cx="5769610" cy="6350"/>
                <wp:effectExtent l="0" t="0" r="0" b="0"/>
                <wp:docPr id="142"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9610" cy="6350"/>
                          <a:chOff x="0" y="0"/>
                          <a:chExt cx="9086" cy="10"/>
                        </a:xfrm>
                      </wpg:grpSpPr>
                      <wps:wsp>
                        <wps:cNvPr id="143" name="Line 7"/>
                        <wps:cNvCnPr>
                          <a:cxnSpLocks/>
                        </wps:cNvCnPr>
                        <wps:spPr bwMode="auto">
                          <a:xfrm>
                            <a:off x="0" y="5"/>
                            <a:ext cx="9086" cy="0"/>
                          </a:xfrm>
                          <a:prstGeom prst="line">
                            <a:avLst/>
                          </a:prstGeom>
                          <a:noFill/>
                          <a:ln w="6096">
                            <a:solidFill>
                              <a:srgbClr val="00ADEE"/>
                            </a:solidFill>
                            <a:prstDash val="sysDot"/>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494B690" id="Group 6" o:spid="_x0000_s1026" style="width:454.3pt;height:.5pt;mso-position-horizontal-relative:char;mso-position-vertical-relative:line" coordsize="908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UXAcgIAAH8FAAAOAAAAZHJzL2Uyb0RvYy54bWykVF1v2yAUfZ+0/4D8ntpOHTexmlRV7PSl&#10;2yJ1+wEE8IeGAQGNE03777uAkzbtS9W92MD94Nxz7uX27tBztGfadFIso/QqiRATRNJONMvo18/N&#10;ZB4hY7GgmEvBltGRmehu9fXL7aAKNpWt5JRpBEmEKQa1jFprVRHHhrSsx+ZKKibAWEvdYwtb3cRU&#10;4wGy9zyeJkkeD1JTpSVhxsBpGYzRyueva0bsj7o2zCK+jACb9V/tvzv3jVe3uGg0Vm1HRhj4Eyh6&#10;3Am49JyqxBajZ929S9V3REsja3tFZB/Luu4I8zVANWnyppoHLZ+Vr6UphkadaQJq3/D06bTk+36r&#10;UUdBu2waIYF7EMnfi3JHzqCaAnwetHpSWx0qhOWjJL8NmOO3drdvgjPaDd8khXT42UpPzqHWvUsB&#10;ZaOD1+B41oAdLCJwOLvJF3kKUhGw5dezUSLSgo7vgkhbjWGLZJ6HGIh1wHARbvMIR0SuHGgz88Kk&#10;+T8mn1qsmBfIOJbOTF6fmHzsBEM3gUjvshaBRXIQFyy+MjqMBsj+IH+z0MMn/l6IuOQBF0ob+8Bk&#10;j9xiGXGA5lXB+0djA2UnFyeSkJuOczjHBRdoADGSRe4DjOQddUZnM7rZrblGe+wmLLkvq2rk/8LN&#10;ZS6xaYOfOZpS2gAcelxQf03LMK3GtcUdD2tQkgt3E1QIQMdVGK4/i2RRzat5NsmmeTXJkrKc3G/W&#10;2STfpDez8rpcr8v0rwOdZkXbUcqEw30a9DT7mPzjkxNG9DzqZ4Liy+y++QDs6e9BQxsGVUMP7iQ9&#10;brUjfexIv/JT7sPGF8k9I6/33uvl3Vz9AwAA//8DAFBLAwQUAAYACAAAACEAMD/0Z98AAAAIAQAA&#10;DwAAAGRycy9kb3ducmV2LnhtbEyPzWrDMBCE74W+g9hAb43klobUsRxC+nMKhSSFkptibWwTa2Us&#10;xXbevtte2svAMruz82XL0TWixy7UnjQkUwUCqfC2plLD5/7tfg4iREPWNJ5QwxUDLPPbm8yk1g+0&#10;xX4XS8EhFFKjoYqxTaUMRYXOhKlvkdg7+c6ZyGNXStuZgcNdIx+UmklnauIPlWlxXWFx3l2chvfB&#10;DKvH5LXfnE/r62H/9PG1SVDru8n4smBZLUBEHOPfBfwwcH/IudjRX8gG0Whgmvir7D2r+QzEkZcU&#10;yDyT/wHybwAAAP//AwBQSwECLQAUAAYACAAAACEAtoM4kv4AAADhAQAAEwAAAAAAAAAAAAAAAAAA&#10;AAAAW0NvbnRlbnRfVHlwZXNdLnhtbFBLAQItABQABgAIAAAAIQA4/SH/1gAAAJQBAAALAAAAAAAA&#10;AAAAAAAAAC8BAABfcmVscy8ucmVsc1BLAQItABQABgAIAAAAIQCGqUXAcgIAAH8FAAAOAAAAAAAA&#10;AAAAAAAAAC4CAABkcnMvZTJvRG9jLnhtbFBLAQItABQABgAIAAAAIQAwP/Rn3wAAAAgBAAAPAAAA&#10;AAAAAAAAAAAAAMwEAABkcnMvZG93bnJldi54bWxQSwUGAAAAAAQABADzAAAA2AUAAAAA&#10;">
                <v:line id="Line 7" o:spid="_x0000_s1027" style="position:absolute;visibility:visible;mso-wrap-style:square" from="0,5" to="90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F5wyQAAAOEAAAAPAAAAZHJzL2Rvd25yZXYueG1sRI/dasJA&#10;EEbvC32HZQq9Ed3Y1hqiq2hKqXhX9QGG7OQHs7Mxu4nx7d2C0Jthho/vDGe5HkwtempdZVnBdBKB&#10;IM6srrhQcDp+j2MQziNrrC2Tghs5WK+en5aYaHvlX+oPvhABwi5BBaX3TSKly0oy6Ca2IQ5ZbluD&#10;PpxtIXWL1wA3tXyLok9psOLwocSG0pKy86EzCubpPv/pYp1f0n7WnOLLaJtuO6VeX4avRRibBQhP&#10;g/9vPBA7HRw+3uHPKGwgV3cAAAD//wMAUEsBAi0AFAAGAAgAAAAhANvh9svuAAAAhQEAABMAAAAA&#10;AAAAAAAAAAAAAAAAAFtDb250ZW50X1R5cGVzXS54bWxQSwECLQAUAAYACAAAACEAWvQsW78AAAAV&#10;AQAACwAAAAAAAAAAAAAAAAAfAQAAX3JlbHMvLnJlbHNQSwECLQAUAAYACAAAACEA1FBecMkAAADh&#10;AAAADwAAAAAAAAAAAAAAAAAHAgAAZHJzL2Rvd25yZXYueG1sUEsFBgAAAAADAAMAtwAAAP0CAAAA&#10;AA==&#10;" strokecolor="#00adee" strokeweight=".48pt">
                  <v:stroke dashstyle="1 1"/>
                  <o:lock v:ext="edit" shapetype="f"/>
                </v:line>
                <w10:anchorlock/>
              </v:group>
            </w:pict>
          </mc:Fallback>
        </mc:AlternateContent>
      </w:r>
    </w:p>
    <w:p w14:paraId="3BF93A08" w14:textId="77777777" w:rsidR="00F53DEF" w:rsidRPr="00AF7228" w:rsidRDefault="00F53DEF" w:rsidP="00F53DEF">
      <w:pPr>
        <w:pStyle w:val="BodyText"/>
        <w:ind w:right="745"/>
      </w:pPr>
      <w:r w:rsidRPr="00AF7228">
        <w:t>A full listing of inquiries ever undertaken into mental illness and mental health is beyond the resources available for this submission. However, it is in all probability, numbers in the hundreds. The Burdekin Report in 1993, states ‘in NSW alone, there have been approximately 40 inquiries into psychiatric facilities and services since the first recorded case of mental illness in 1801’.</w:t>
      </w:r>
      <w:r w:rsidRPr="00AF7228">
        <w:rPr>
          <w:rStyle w:val="FootnoteReference"/>
        </w:rPr>
        <w:footnoteReference w:id="75"/>
      </w:r>
      <w:r w:rsidRPr="00AF7228">
        <w:t xml:space="preserve"> </w:t>
      </w:r>
    </w:p>
    <w:p w14:paraId="633419A6" w14:textId="77777777" w:rsidR="00F53DEF" w:rsidRPr="00AF7228" w:rsidRDefault="00F53DEF" w:rsidP="00F53DEF">
      <w:pPr>
        <w:pStyle w:val="BodyText"/>
        <w:ind w:right="745"/>
      </w:pPr>
      <w:r w:rsidRPr="00AF7228">
        <w:t>At the time of this submission there were no less than four major inquiries in mental health services and related matters simultaneously underway across Australia.</w:t>
      </w:r>
      <w:r w:rsidRPr="00AF7228">
        <w:rPr>
          <w:rStyle w:val="FootnoteReference"/>
        </w:rPr>
        <w:footnoteReference w:id="76"/>
      </w:r>
      <w:r w:rsidRPr="00AF7228">
        <w:t xml:space="preserve"> </w:t>
      </w:r>
    </w:p>
    <w:p w14:paraId="60C8DFDA" w14:textId="77777777" w:rsidR="00F53DEF" w:rsidRPr="00AF7228" w:rsidRDefault="00F53DEF" w:rsidP="00F53DEF">
      <w:pPr>
        <w:pStyle w:val="BodyText"/>
        <w:ind w:right="745"/>
      </w:pPr>
      <w:r w:rsidRPr="00AF7228">
        <w:t xml:space="preserve">Given the history of mental health services in Australia, the vast majority of inquiries have been at a state or territory level, rather than national inquiries. Burdekin identifies only two national inquiries at the time of his review: A </w:t>
      </w:r>
      <w:proofErr w:type="spellStart"/>
      <w:r w:rsidRPr="00AF7228">
        <w:t>Stoller</w:t>
      </w:r>
      <w:proofErr w:type="spellEnd"/>
      <w:r w:rsidRPr="00AF7228">
        <w:t xml:space="preserve"> and KW </w:t>
      </w:r>
      <w:proofErr w:type="spellStart"/>
      <w:r w:rsidRPr="00AF7228">
        <w:t>Ascott</w:t>
      </w:r>
      <w:proofErr w:type="spellEnd"/>
      <w:r w:rsidRPr="00AF7228">
        <w:t xml:space="preserve"> (1955), </w:t>
      </w:r>
      <w:r w:rsidRPr="00AF7228">
        <w:rPr>
          <w:i/>
        </w:rPr>
        <w:t xml:space="preserve">Mental health facilities and need of Australia </w:t>
      </w:r>
      <w:r w:rsidRPr="00AF7228">
        <w:t xml:space="preserve">and P Eisen and K Wolfenden (1988), </w:t>
      </w:r>
      <w:r w:rsidRPr="00AF7228">
        <w:rPr>
          <w:i/>
        </w:rPr>
        <w:t>National mental health services policy: the report of the consultancy to advise the Commonwealth, State and Territory Health Ministers.</w:t>
      </w:r>
      <w:r w:rsidRPr="00AF7228">
        <w:rPr>
          <w:rStyle w:val="FootnoteReference"/>
          <w:i/>
        </w:rPr>
        <w:footnoteReference w:id="77"/>
      </w:r>
      <w:r w:rsidRPr="00AF7228">
        <w:rPr>
          <w:i/>
        </w:rPr>
        <w:t xml:space="preserve"> </w:t>
      </w:r>
      <w:r w:rsidRPr="00AF7228">
        <w:t xml:space="preserve"> </w:t>
      </w:r>
    </w:p>
    <w:p w14:paraId="15409347" w14:textId="77777777" w:rsidR="00F53DEF" w:rsidRPr="00AF7228" w:rsidRDefault="00F53DEF" w:rsidP="00117D83">
      <w:pPr>
        <w:pStyle w:val="Heading3"/>
      </w:pPr>
      <w:bookmarkStart w:id="132" w:name="_Toc6238846"/>
      <w:r w:rsidRPr="00AF7228">
        <w:t>Major National Inquiries/Reviews Since 1993</w:t>
      </w:r>
      <w:bookmarkEnd w:id="132"/>
    </w:p>
    <w:p w14:paraId="695EBF8A" w14:textId="57C56679" w:rsidR="00F53DEF" w:rsidRPr="00AF7228" w:rsidRDefault="00F53DEF" w:rsidP="00F53DEF">
      <w:pPr>
        <w:pStyle w:val="BodyText"/>
        <w:ind w:right="745"/>
      </w:pPr>
      <w:r w:rsidRPr="00AF7228">
        <w:t xml:space="preserve">Since the Burdekin Inquiry (1989-1993) and the subsequent introduction of the National Mental Health Strategy in 1992, there have been a significant number of major national reviews. An extensive, but incomplete, list is shown in Table </w:t>
      </w:r>
      <w:r w:rsidR="00AF7228" w:rsidRPr="00AF7228">
        <w:t>7</w:t>
      </w:r>
      <w:r w:rsidRPr="00AF7228">
        <w:t>.</w:t>
      </w:r>
    </w:p>
    <w:p w14:paraId="72E70C89" w14:textId="736E55AF" w:rsidR="00F53DEF" w:rsidRPr="00AF7228" w:rsidRDefault="00F53DEF" w:rsidP="00F53DEF">
      <w:pPr>
        <w:pStyle w:val="TableCaption"/>
      </w:pPr>
      <w:bookmarkStart w:id="133" w:name="_Toc6238001"/>
      <w:r w:rsidRPr="00AF7228">
        <w:t xml:space="preserve">Major National Reviews of Mental Health Since 1993 </w:t>
      </w:r>
      <w:bookmarkEnd w:id="133"/>
    </w:p>
    <w:tbl>
      <w:tblPr>
        <w:tblStyle w:val="TableGrid"/>
        <w:tblW w:w="0" w:type="auto"/>
        <w:tblInd w:w="-5" w:type="dxa"/>
        <w:tblLook w:val="04A0" w:firstRow="1" w:lastRow="0" w:firstColumn="1" w:lastColumn="0" w:noHBand="0" w:noVBand="1"/>
      </w:tblPr>
      <w:tblGrid>
        <w:gridCol w:w="993"/>
        <w:gridCol w:w="4110"/>
        <w:gridCol w:w="4070"/>
      </w:tblGrid>
      <w:tr w:rsidR="00F53DEF" w:rsidRPr="00AF7228" w14:paraId="155C1999" w14:textId="77777777" w:rsidTr="00AF7228">
        <w:tc>
          <w:tcPr>
            <w:tcW w:w="993" w:type="dxa"/>
          </w:tcPr>
          <w:p w14:paraId="4EB4D4A7" w14:textId="77777777" w:rsidR="00F53DEF" w:rsidRPr="00AF7228" w:rsidRDefault="00F53DEF" w:rsidP="00D16256">
            <w:pPr>
              <w:pStyle w:val="TableHeading"/>
              <w:jc w:val="center"/>
              <w:rPr>
                <w:color w:val="4F81BD" w:themeColor="accent1"/>
              </w:rPr>
            </w:pPr>
            <w:r w:rsidRPr="00AF7228">
              <w:rPr>
                <w:color w:val="4F81BD" w:themeColor="accent1"/>
              </w:rPr>
              <w:t>Year</w:t>
            </w:r>
          </w:p>
        </w:tc>
        <w:tc>
          <w:tcPr>
            <w:tcW w:w="4110" w:type="dxa"/>
          </w:tcPr>
          <w:p w14:paraId="0A4EFB5D" w14:textId="77777777" w:rsidR="00F53DEF" w:rsidRPr="00AF7228" w:rsidRDefault="00F53DEF" w:rsidP="00D16256">
            <w:pPr>
              <w:pStyle w:val="TableHeading"/>
              <w:jc w:val="center"/>
              <w:rPr>
                <w:rFonts w:asciiTheme="minorHAnsi" w:hAnsiTheme="minorHAnsi"/>
                <w:b/>
                <w:color w:val="4F81BD" w:themeColor="accent1"/>
                <w:sz w:val="20"/>
              </w:rPr>
            </w:pPr>
            <w:r w:rsidRPr="00AF7228">
              <w:rPr>
                <w:rFonts w:asciiTheme="minorHAnsi" w:hAnsiTheme="minorHAnsi"/>
                <w:b/>
                <w:color w:val="4F81BD" w:themeColor="accent1"/>
                <w:sz w:val="20"/>
              </w:rPr>
              <w:t>Organisation/authors</w:t>
            </w:r>
          </w:p>
        </w:tc>
        <w:tc>
          <w:tcPr>
            <w:tcW w:w="4070" w:type="dxa"/>
          </w:tcPr>
          <w:p w14:paraId="130DD975" w14:textId="77777777" w:rsidR="00F53DEF" w:rsidRPr="00AF7228" w:rsidRDefault="00F53DEF" w:rsidP="00D16256">
            <w:pPr>
              <w:pStyle w:val="TableHeading"/>
              <w:jc w:val="center"/>
              <w:rPr>
                <w:rFonts w:asciiTheme="minorHAnsi" w:hAnsiTheme="minorHAnsi"/>
                <w:b/>
                <w:color w:val="4F81BD" w:themeColor="accent1"/>
                <w:sz w:val="20"/>
              </w:rPr>
            </w:pPr>
            <w:r w:rsidRPr="00AF7228">
              <w:rPr>
                <w:rFonts w:asciiTheme="minorHAnsi" w:hAnsiTheme="minorHAnsi"/>
                <w:b/>
                <w:color w:val="4F81BD" w:themeColor="accent1"/>
                <w:sz w:val="20"/>
              </w:rPr>
              <w:t>Title</w:t>
            </w:r>
          </w:p>
        </w:tc>
      </w:tr>
      <w:tr w:rsidR="00F53DEF" w:rsidRPr="00AF7228" w14:paraId="3A73E80D" w14:textId="77777777" w:rsidTr="00AF7228">
        <w:tc>
          <w:tcPr>
            <w:tcW w:w="993" w:type="dxa"/>
          </w:tcPr>
          <w:p w14:paraId="094ECFFD" w14:textId="77777777" w:rsidR="00F53DEF" w:rsidRPr="00AF7228" w:rsidRDefault="00F53DEF" w:rsidP="00D16256">
            <w:pPr>
              <w:pStyle w:val="TableText"/>
            </w:pPr>
            <w:r w:rsidRPr="00AF7228">
              <w:t>1996</w:t>
            </w:r>
          </w:p>
        </w:tc>
        <w:tc>
          <w:tcPr>
            <w:tcW w:w="4110" w:type="dxa"/>
          </w:tcPr>
          <w:p w14:paraId="2F8DC260" w14:textId="77777777" w:rsidR="00F53DEF" w:rsidRPr="00AF7228" w:rsidRDefault="00F53DEF" w:rsidP="00D16256">
            <w:pPr>
              <w:pStyle w:val="TableText"/>
            </w:pPr>
            <w:r w:rsidRPr="00AF7228">
              <w:t>B McKay (prepared for the Dept of Health &amp; Ageing)</w:t>
            </w:r>
          </w:p>
        </w:tc>
        <w:tc>
          <w:tcPr>
            <w:tcW w:w="4070" w:type="dxa"/>
          </w:tcPr>
          <w:p w14:paraId="6C66AFD1" w14:textId="77777777" w:rsidR="00F53DEF" w:rsidRPr="00AF7228" w:rsidRDefault="00F53DEF" w:rsidP="00D16256">
            <w:pPr>
              <w:pStyle w:val="TableText"/>
            </w:pPr>
            <w:r w:rsidRPr="00AF7228">
              <w:rPr>
                <w:lang w:bidi="en-AU"/>
              </w:rPr>
              <w:t>Final report: Optimum supply and effective use of psychiatrists</w:t>
            </w:r>
          </w:p>
        </w:tc>
      </w:tr>
      <w:tr w:rsidR="00F53DEF" w:rsidRPr="00AF7228" w14:paraId="4FDC156F" w14:textId="77777777" w:rsidTr="00AF7228">
        <w:tc>
          <w:tcPr>
            <w:tcW w:w="993" w:type="dxa"/>
          </w:tcPr>
          <w:p w14:paraId="0B9A0FC5" w14:textId="77777777" w:rsidR="00F53DEF" w:rsidRPr="00AF7228" w:rsidRDefault="00F53DEF" w:rsidP="00D16256">
            <w:pPr>
              <w:pStyle w:val="TableText"/>
            </w:pPr>
            <w:r w:rsidRPr="00AF7228">
              <w:t>1999</w:t>
            </w:r>
          </w:p>
        </w:tc>
        <w:tc>
          <w:tcPr>
            <w:tcW w:w="4110" w:type="dxa"/>
          </w:tcPr>
          <w:p w14:paraId="305BB243" w14:textId="77777777" w:rsidR="00F53DEF" w:rsidRPr="00AF7228" w:rsidRDefault="00F53DEF" w:rsidP="00D16256">
            <w:pPr>
              <w:pStyle w:val="TableText"/>
            </w:pPr>
            <w:r w:rsidRPr="00AF7228">
              <w:rPr>
                <w:lang w:bidi="en-AU"/>
              </w:rPr>
              <w:t>Australian Medical Workforce Advisory Committee</w:t>
            </w:r>
          </w:p>
        </w:tc>
        <w:tc>
          <w:tcPr>
            <w:tcW w:w="4070" w:type="dxa"/>
          </w:tcPr>
          <w:p w14:paraId="48D288EF" w14:textId="1F21B1EF" w:rsidR="00F53DEF" w:rsidRPr="00AF7228" w:rsidRDefault="00F53DEF" w:rsidP="00D16256">
            <w:pPr>
              <w:pStyle w:val="TableText"/>
            </w:pPr>
            <w:r w:rsidRPr="00AF7228">
              <w:rPr>
                <w:lang w:bidi="en-AU"/>
              </w:rPr>
              <w:t xml:space="preserve">The specialist psychiatry workforce in Australia: supply </w:t>
            </w:r>
            <w:r w:rsidRPr="00AF7228">
              <w:t>and</w:t>
            </w:r>
            <w:r w:rsidRPr="00AF7228">
              <w:rPr>
                <w:lang w:bidi="en-AU"/>
              </w:rPr>
              <w:t xml:space="preserve"> requirements, 1999-</w:t>
            </w:r>
            <w:r w:rsidR="00AD3544" w:rsidRPr="00AF7228">
              <w:rPr>
                <w:lang w:bidi="en-AU"/>
              </w:rPr>
              <w:t>2010:</w:t>
            </w:r>
            <w:r w:rsidRPr="00AF7228">
              <w:rPr>
                <w:lang w:bidi="en-AU"/>
              </w:rPr>
              <w:t xml:space="preserve"> summary of findings </w:t>
            </w:r>
            <w:r w:rsidRPr="00AF7228">
              <w:t>&amp;</w:t>
            </w:r>
            <w:r w:rsidRPr="00AF7228">
              <w:rPr>
                <w:lang w:bidi="en-AU"/>
              </w:rPr>
              <w:t xml:space="preserve"> recommendations </w:t>
            </w:r>
          </w:p>
        </w:tc>
      </w:tr>
      <w:tr w:rsidR="00F53DEF" w:rsidRPr="00AF7228" w14:paraId="6E011223" w14:textId="77777777" w:rsidTr="00AF7228">
        <w:tc>
          <w:tcPr>
            <w:tcW w:w="993" w:type="dxa"/>
          </w:tcPr>
          <w:p w14:paraId="492F30A5" w14:textId="77777777" w:rsidR="00F53DEF" w:rsidRPr="00AF7228" w:rsidRDefault="00F53DEF" w:rsidP="00D16256">
            <w:pPr>
              <w:pStyle w:val="TableText"/>
            </w:pPr>
            <w:r w:rsidRPr="00AF7228">
              <w:t>2004</w:t>
            </w:r>
          </w:p>
        </w:tc>
        <w:tc>
          <w:tcPr>
            <w:tcW w:w="4110" w:type="dxa"/>
          </w:tcPr>
          <w:p w14:paraId="326A044E" w14:textId="77777777" w:rsidR="00F53DEF" w:rsidRPr="00AF7228" w:rsidRDefault="00F53DEF" w:rsidP="00D16256">
            <w:pPr>
              <w:pStyle w:val="TableText"/>
            </w:pPr>
            <w:r w:rsidRPr="00AF7228">
              <w:rPr>
                <w:lang w:bidi="en-AU"/>
              </w:rPr>
              <w:t>Mental Health Council of Australia</w:t>
            </w:r>
          </w:p>
        </w:tc>
        <w:tc>
          <w:tcPr>
            <w:tcW w:w="4070" w:type="dxa"/>
          </w:tcPr>
          <w:p w14:paraId="2834006D" w14:textId="77777777" w:rsidR="00F53DEF" w:rsidRPr="00AF7228" w:rsidRDefault="00F53DEF" w:rsidP="00D16256">
            <w:pPr>
              <w:pStyle w:val="TableText"/>
            </w:pPr>
            <w:r w:rsidRPr="00AF7228">
              <w:t>Out of Hospital, Out of Mind</w:t>
            </w:r>
          </w:p>
        </w:tc>
      </w:tr>
      <w:tr w:rsidR="00F53DEF" w:rsidRPr="00AF7228" w14:paraId="5DFF91BF" w14:textId="77777777" w:rsidTr="00AF7228">
        <w:tc>
          <w:tcPr>
            <w:tcW w:w="993" w:type="dxa"/>
          </w:tcPr>
          <w:p w14:paraId="3A21BFED" w14:textId="77777777" w:rsidR="00F53DEF" w:rsidRPr="00AF7228" w:rsidRDefault="00F53DEF" w:rsidP="00D16256">
            <w:pPr>
              <w:pStyle w:val="TableText"/>
            </w:pPr>
            <w:r w:rsidRPr="00AF7228">
              <w:t>2006</w:t>
            </w:r>
          </w:p>
        </w:tc>
        <w:tc>
          <w:tcPr>
            <w:tcW w:w="4110" w:type="dxa"/>
          </w:tcPr>
          <w:p w14:paraId="3BCCC0A3" w14:textId="77777777" w:rsidR="00F53DEF" w:rsidRPr="00AF7228" w:rsidRDefault="00F53DEF" w:rsidP="00D16256">
            <w:pPr>
              <w:pStyle w:val="TableText"/>
            </w:pPr>
            <w:r w:rsidRPr="00AF7228">
              <w:rPr>
                <w:lang w:bidi="en-AU"/>
              </w:rPr>
              <w:t xml:space="preserve">Mental Health Council of Australia </w:t>
            </w:r>
          </w:p>
        </w:tc>
        <w:tc>
          <w:tcPr>
            <w:tcW w:w="4070" w:type="dxa"/>
          </w:tcPr>
          <w:p w14:paraId="39070961" w14:textId="77777777" w:rsidR="00F53DEF" w:rsidRPr="00AF7228" w:rsidRDefault="00F53DEF" w:rsidP="00D16256">
            <w:pPr>
              <w:pStyle w:val="TableText"/>
            </w:pPr>
            <w:r w:rsidRPr="00AF7228">
              <w:t xml:space="preserve">Not for Service: </w:t>
            </w:r>
            <w:r w:rsidRPr="00AF7228">
              <w:rPr>
                <w:lang w:eastAsia="en-AU" w:bidi="en-AU"/>
              </w:rPr>
              <w:t xml:space="preserve">Experiences of Injustice and Despair in Mental Health Care in Australia </w:t>
            </w:r>
          </w:p>
        </w:tc>
      </w:tr>
      <w:tr w:rsidR="00F53DEF" w:rsidRPr="00AF7228" w14:paraId="6FF1DF10" w14:textId="77777777" w:rsidTr="00AF7228">
        <w:tc>
          <w:tcPr>
            <w:tcW w:w="993" w:type="dxa"/>
          </w:tcPr>
          <w:p w14:paraId="30873F7A" w14:textId="77777777" w:rsidR="00F53DEF" w:rsidRPr="00AF7228" w:rsidRDefault="00F53DEF" w:rsidP="00D16256">
            <w:pPr>
              <w:pStyle w:val="TableText"/>
            </w:pPr>
            <w:r w:rsidRPr="00AF7228">
              <w:t>2006</w:t>
            </w:r>
          </w:p>
        </w:tc>
        <w:tc>
          <w:tcPr>
            <w:tcW w:w="4110" w:type="dxa"/>
          </w:tcPr>
          <w:p w14:paraId="4F9B0529" w14:textId="77777777" w:rsidR="00F53DEF" w:rsidRPr="00AF7228" w:rsidRDefault="00F53DEF" w:rsidP="00D16256">
            <w:pPr>
              <w:pStyle w:val="TableText"/>
            </w:pPr>
            <w:r w:rsidRPr="00AF7228">
              <w:t>Gavin Andrews (prepared for the Dept of Health &amp; Ageing)</w:t>
            </w:r>
          </w:p>
        </w:tc>
        <w:tc>
          <w:tcPr>
            <w:tcW w:w="4070" w:type="dxa"/>
          </w:tcPr>
          <w:p w14:paraId="0921C792" w14:textId="77777777" w:rsidR="00F53DEF" w:rsidRPr="00AF7228" w:rsidRDefault="00F53DEF" w:rsidP="00D16256">
            <w:pPr>
              <w:pStyle w:val="TableText"/>
            </w:pPr>
            <w:r w:rsidRPr="00AF7228">
              <w:t xml:space="preserve">Tolkien II A needs-based, costed stepped-care model for Mental Health Services </w:t>
            </w:r>
          </w:p>
        </w:tc>
      </w:tr>
      <w:tr w:rsidR="00F53DEF" w:rsidRPr="00AF7228" w14:paraId="4074D940" w14:textId="77777777" w:rsidTr="00AF7228">
        <w:tc>
          <w:tcPr>
            <w:tcW w:w="993" w:type="dxa"/>
          </w:tcPr>
          <w:p w14:paraId="2D075D67" w14:textId="77777777" w:rsidR="00F53DEF" w:rsidRPr="00AF7228" w:rsidRDefault="00F53DEF" w:rsidP="00D16256">
            <w:pPr>
              <w:pStyle w:val="TableText"/>
            </w:pPr>
            <w:r w:rsidRPr="00AF7228">
              <w:t>2009</w:t>
            </w:r>
          </w:p>
        </w:tc>
        <w:tc>
          <w:tcPr>
            <w:tcW w:w="4110" w:type="dxa"/>
          </w:tcPr>
          <w:p w14:paraId="0E97042C" w14:textId="77777777" w:rsidR="00F53DEF" w:rsidRPr="00AF7228" w:rsidRDefault="00F53DEF" w:rsidP="00D16256">
            <w:pPr>
              <w:pStyle w:val="TableText"/>
            </w:pPr>
            <w:r w:rsidRPr="00AF7228">
              <w:t xml:space="preserve">David </w:t>
            </w:r>
            <w:proofErr w:type="spellStart"/>
            <w:r w:rsidRPr="00AF7228">
              <w:t>Dunt</w:t>
            </w:r>
            <w:proofErr w:type="spellEnd"/>
            <w:r w:rsidRPr="00AF7228">
              <w:t xml:space="preserve"> (prepared for Minister of Veterans Affairs)</w:t>
            </w:r>
          </w:p>
        </w:tc>
        <w:tc>
          <w:tcPr>
            <w:tcW w:w="4070" w:type="dxa"/>
          </w:tcPr>
          <w:p w14:paraId="5287D7F6" w14:textId="77777777" w:rsidR="00F53DEF" w:rsidRPr="00AF7228" w:rsidRDefault="00F53DEF" w:rsidP="00D16256">
            <w:pPr>
              <w:pStyle w:val="TableText"/>
            </w:pPr>
            <w:r w:rsidRPr="00AF7228">
              <w:t>Review of mental health care in the ADF and transition through discharge</w:t>
            </w:r>
          </w:p>
        </w:tc>
      </w:tr>
      <w:tr w:rsidR="00F53DEF" w:rsidRPr="00AF7228" w14:paraId="087653A8" w14:textId="77777777" w:rsidTr="00AF7228">
        <w:tc>
          <w:tcPr>
            <w:tcW w:w="993" w:type="dxa"/>
          </w:tcPr>
          <w:p w14:paraId="5DBF40C5" w14:textId="77777777" w:rsidR="00F53DEF" w:rsidRPr="00AF7228" w:rsidRDefault="00F53DEF" w:rsidP="00D16256">
            <w:pPr>
              <w:pStyle w:val="TableText"/>
            </w:pPr>
            <w:r w:rsidRPr="00AF7228">
              <w:t>2009</w:t>
            </w:r>
          </w:p>
        </w:tc>
        <w:tc>
          <w:tcPr>
            <w:tcW w:w="4110" w:type="dxa"/>
          </w:tcPr>
          <w:p w14:paraId="0D249B36" w14:textId="77777777" w:rsidR="00F53DEF" w:rsidRPr="00AF7228" w:rsidRDefault="00F53DEF" w:rsidP="00D16256">
            <w:pPr>
              <w:pStyle w:val="TableText"/>
            </w:pPr>
            <w:r w:rsidRPr="00AF7228">
              <w:t xml:space="preserve">David </w:t>
            </w:r>
            <w:proofErr w:type="spellStart"/>
            <w:r w:rsidRPr="00AF7228">
              <w:t>Dunt</w:t>
            </w:r>
            <w:proofErr w:type="spellEnd"/>
            <w:r w:rsidRPr="00AF7228">
              <w:t xml:space="preserve"> (prepared for Minister of Veterans Affairs)</w:t>
            </w:r>
          </w:p>
        </w:tc>
        <w:tc>
          <w:tcPr>
            <w:tcW w:w="4070" w:type="dxa"/>
          </w:tcPr>
          <w:p w14:paraId="506331B2" w14:textId="77777777" w:rsidR="00F53DEF" w:rsidRPr="00AF7228" w:rsidRDefault="00F53DEF" w:rsidP="00D16256">
            <w:pPr>
              <w:pStyle w:val="TableText"/>
            </w:pPr>
            <w:r w:rsidRPr="00AF7228">
              <w:rPr>
                <w:rFonts w:eastAsia="MS Gothic"/>
                <w:lang w:bidi="en-AU"/>
              </w:rPr>
              <w:t>Independent study into suicide in the ex-service community</w:t>
            </w:r>
          </w:p>
        </w:tc>
      </w:tr>
      <w:tr w:rsidR="00F53DEF" w:rsidRPr="00AF7228" w14:paraId="7A6910C0" w14:textId="77777777" w:rsidTr="00AF7228">
        <w:tc>
          <w:tcPr>
            <w:tcW w:w="993" w:type="dxa"/>
          </w:tcPr>
          <w:p w14:paraId="3E740D47" w14:textId="77777777" w:rsidR="00F53DEF" w:rsidRPr="00AF7228" w:rsidRDefault="00F53DEF" w:rsidP="00D16256">
            <w:pPr>
              <w:pStyle w:val="TableText"/>
            </w:pPr>
            <w:r w:rsidRPr="00AF7228">
              <w:t>2010</w:t>
            </w:r>
          </w:p>
        </w:tc>
        <w:tc>
          <w:tcPr>
            <w:tcW w:w="4110" w:type="dxa"/>
          </w:tcPr>
          <w:p w14:paraId="052E2DF2" w14:textId="77777777" w:rsidR="00F53DEF" w:rsidRPr="00AF7228" w:rsidRDefault="00F53DEF" w:rsidP="00D16256">
            <w:pPr>
              <w:pStyle w:val="TableText"/>
            </w:pPr>
            <w:r w:rsidRPr="00AF7228">
              <w:t>Graham Martin &amp; Andrew Page (prepared for the Dept of Health &amp; Ageing)</w:t>
            </w:r>
          </w:p>
        </w:tc>
        <w:tc>
          <w:tcPr>
            <w:tcW w:w="4070" w:type="dxa"/>
          </w:tcPr>
          <w:p w14:paraId="57A54586" w14:textId="77777777" w:rsidR="00F53DEF" w:rsidRPr="00AF7228" w:rsidRDefault="00F53DEF" w:rsidP="00D16256">
            <w:pPr>
              <w:pStyle w:val="TableText"/>
            </w:pPr>
            <w:r w:rsidRPr="00AF7228">
              <w:t>National Suicide Prevention Strategies: A Comparison</w:t>
            </w:r>
          </w:p>
        </w:tc>
      </w:tr>
      <w:tr w:rsidR="00F53DEF" w:rsidRPr="00AF7228" w14:paraId="6E7CEC25" w14:textId="77777777" w:rsidTr="00AF7228">
        <w:tc>
          <w:tcPr>
            <w:tcW w:w="993" w:type="dxa"/>
          </w:tcPr>
          <w:p w14:paraId="2BB4853F" w14:textId="77777777" w:rsidR="00F53DEF" w:rsidRPr="00AF7228" w:rsidRDefault="00F53DEF" w:rsidP="00D16256">
            <w:pPr>
              <w:pStyle w:val="TableText"/>
            </w:pPr>
            <w:r w:rsidRPr="00AF7228">
              <w:lastRenderedPageBreak/>
              <w:t>2010</w:t>
            </w:r>
          </w:p>
        </w:tc>
        <w:tc>
          <w:tcPr>
            <w:tcW w:w="4110" w:type="dxa"/>
          </w:tcPr>
          <w:p w14:paraId="47688027" w14:textId="77777777" w:rsidR="00F53DEF" w:rsidRPr="00AF7228" w:rsidRDefault="00F53DEF" w:rsidP="00D16256">
            <w:pPr>
              <w:pStyle w:val="TableText"/>
            </w:pPr>
            <w:r w:rsidRPr="00AF7228">
              <w:t>John Mendoza et al, ConNetica</w:t>
            </w:r>
          </w:p>
        </w:tc>
        <w:tc>
          <w:tcPr>
            <w:tcW w:w="4070" w:type="dxa"/>
          </w:tcPr>
          <w:p w14:paraId="0F092FD6" w14:textId="77777777" w:rsidR="00F53DEF" w:rsidRPr="00AF7228" w:rsidRDefault="00F53DEF" w:rsidP="00D16256">
            <w:pPr>
              <w:pStyle w:val="TableText"/>
            </w:pPr>
            <w:r w:rsidRPr="00AF7228">
              <w:t>Suicide and Suicide Prevention in Australia: Breaking the Silence</w:t>
            </w:r>
          </w:p>
        </w:tc>
      </w:tr>
      <w:tr w:rsidR="00F53DEF" w:rsidRPr="00AF7228" w14:paraId="555F2492" w14:textId="77777777" w:rsidTr="00AF7228">
        <w:tc>
          <w:tcPr>
            <w:tcW w:w="993" w:type="dxa"/>
          </w:tcPr>
          <w:p w14:paraId="497C4B9D" w14:textId="77777777" w:rsidR="00F53DEF" w:rsidRPr="00AF7228" w:rsidRDefault="00F53DEF" w:rsidP="00D16256">
            <w:pPr>
              <w:pStyle w:val="TableText"/>
            </w:pPr>
            <w:r w:rsidRPr="00AF7228">
              <w:t>2013</w:t>
            </w:r>
          </w:p>
        </w:tc>
        <w:tc>
          <w:tcPr>
            <w:tcW w:w="4110" w:type="dxa"/>
          </w:tcPr>
          <w:p w14:paraId="406DAFC2" w14:textId="77777777" w:rsidR="00F53DEF" w:rsidRPr="00AF7228" w:rsidRDefault="00F53DEF" w:rsidP="00D16256">
            <w:pPr>
              <w:pStyle w:val="TableText"/>
            </w:pPr>
            <w:r w:rsidRPr="00AF7228">
              <w:t>Medibank Private &amp; Nous</w:t>
            </w:r>
          </w:p>
        </w:tc>
        <w:tc>
          <w:tcPr>
            <w:tcW w:w="4070" w:type="dxa"/>
          </w:tcPr>
          <w:p w14:paraId="4AFC8AA1" w14:textId="77777777" w:rsidR="00F53DEF" w:rsidRPr="00AF7228" w:rsidRDefault="00F53DEF" w:rsidP="00D16256">
            <w:pPr>
              <w:pStyle w:val="TableText"/>
            </w:pPr>
            <w:r w:rsidRPr="00AF7228">
              <w:t xml:space="preserve">The Case for Mental Health Reform in Australia: A Review of Expenditure and System Design </w:t>
            </w:r>
          </w:p>
        </w:tc>
      </w:tr>
      <w:tr w:rsidR="00F53DEF" w:rsidRPr="00AF7228" w14:paraId="04FCC5DF" w14:textId="77777777" w:rsidTr="00AF7228">
        <w:tc>
          <w:tcPr>
            <w:tcW w:w="993" w:type="dxa"/>
          </w:tcPr>
          <w:p w14:paraId="3E0AC5F6" w14:textId="77777777" w:rsidR="00F53DEF" w:rsidRPr="00AF7228" w:rsidRDefault="00F53DEF" w:rsidP="00D16256">
            <w:pPr>
              <w:pStyle w:val="TableText"/>
            </w:pPr>
            <w:r w:rsidRPr="00AF7228">
              <w:t>2013</w:t>
            </w:r>
          </w:p>
        </w:tc>
        <w:tc>
          <w:tcPr>
            <w:tcW w:w="4110" w:type="dxa"/>
          </w:tcPr>
          <w:p w14:paraId="3E594ECD" w14:textId="77777777" w:rsidR="00F53DEF" w:rsidRPr="00AF7228" w:rsidRDefault="00F53DEF" w:rsidP="00D16256">
            <w:pPr>
              <w:pStyle w:val="TableText"/>
            </w:pPr>
            <w:r w:rsidRPr="00AF7228">
              <w:t>John Mendoza et al; ConNetica</w:t>
            </w:r>
          </w:p>
        </w:tc>
        <w:tc>
          <w:tcPr>
            <w:tcW w:w="4070" w:type="dxa"/>
          </w:tcPr>
          <w:p w14:paraId="0330DF8D" w14:textId="77777777" w:rsidR="00F53DEF" w:rsidRPr="00AF7228" w:rsidRDefault="00F53DEF" w:rsidP="00D16256">
            <w:pPr>
              <w:pStyle w:val="TableText"/>
            </w:pPr>
            <w:r w:rsidRPr="00AF7228">
              <w:t>Obsessive Hope Disorder: Reflections on 30 years of mental health reform in Australia and visions for the future.</w:t>
            </w:r>
          </w:p>
        </w:tc>
      </w:tr>
      <w:tr w:rsidR="00F53DEF" w:rsidRPr="00AF7228" w14:paraId="0C8E0E01" w14:textId="77777777" w:rsidTr="00AF7228">
        <w:tc>
          <w:tcPr>
            <w:tcW w:w="993" w:type="dxa"/>
          </w:tcPr>
          <w:p w14:paraId="703F9E7A" w14:textId="77777777" w:rsidR="00F53DEF" w:rsidRPr="00AF7228" w:rsidRDefault="00F53DEF" w:rsidP="00D16256">
            <w:pPr>
              <w:pStyle w:val="TableText"/>
            </w:pPr>
            <w:r w:rsidRPr="00AF7228">
              <w:t>2014</w:t>
            </w:r>
          </w:p>
        </w:tc>
        <w:tc>
          <w:tcPr>
            <w:tcW w:w="4110" w:type="dxa"/>
          </w:tcPr>
          <w:p w14:paraId="53AFB46F" w14:textId="77777777" w:rsidR="00F53DEF" w:rsidRPr="00AF7228" w:rsidRDefault="00F53DEF" w:rsidP="00D16256">
            <w:pPr>
              <w:pStyle w:val="TableText"/>
            </w:pPr>
            <w:r w:rsidRPr="00AF7228">
              <w:t>National Mental Health Commission</w:t>
            </w:r>
          </w:p>
        </w:tc>
        <w:tc>
          <w:tcPr>
            <w:tcW w:w="4070" w:type="dxa"/>
          </w:tcPr>
          <w:p w14:paraId="16A9D647" w14:textId="54B549EB" w:rsidR="00F53DEF" w:rsidRPr="00AF7228" w:rsidRDefault="00F53DEF" w:rsidP="00D16256">
            <w:pPr>
              <w:pStyle w:val="TableText"/>
            </w:pPr>
            <w:r w:rsidRPr="00AF7228">
              <w:t xml:space="preserve">Contributing Lives, Thriving Communities – Review of Mental Health Programs </w:t>
            </w:r>
            <w:r w:rsidR="00AF7228" w:rsidRPr="00AF7228">
              <w:t>&amp;</w:t>
            </w:r>
            <w:r w:rsidRPr="00AF7228">
              <w:t xml:space="preserve"> Services </w:t>
            </w:r>
          </w:p>
        </w:tc>
      </w:tr>
      <w:tr w:rsidR="00F53DEF" w:rsidRPr="00AF7228" w14:paraId="4B10D43D" w14:textId="77777777" w:rsidTr="00AF7228">
        <w:tc>
          <w:tcPr>
            <w:tcW w:w="993" w:type="dxa"/>
          </w:tcPr>
          <w:p w14:paraId="40BBF648" w14:textId="77777777" w:rsidR="00F53DEF" w:rsidRPr="00AF7228" w:rsidRDefault="00F53DEF" w:rsidP="00D16256">
            <w:pPr>
              <w:pStyle w:val="TableText"/>
            </w:pPr>
            <w:r w:rsidRPr="00AF7228">
              <w:t>2015</w:t>
            </w:r>
          </w:p>
        </w:tc>
        <w:tc>
          <w:tcPr>
            <w:tcW w:w="4110" w:type="dxa"/>
          </w:tcPr>
          <w:p w14:paraId="05E411A9" w14:textId="440C6142" w:rsidR="00F53DEF" w:rsidRPr="00AF7228" w:rsidRDefault="00F53DEF" w:rsidP="00D16256">
            <w:pPr>
              <w:pStyle w:val="TableText"/>
            </w:pPr>
            <w:r w:rsidRPr="00AF7228">
              <w:t>Australian Government (prepared by Expert Reference Group)</w:t>
            </w:r>
          </w:p>
        </w:tc>
        <w:tc>
          <w:tcPr>
            <w:tcW w:w="4070" w:type="dxa"/>
          </w:tcPr>
          <w:p w14:paraId="19862A48" w14:textId="77777777" w:rsidR="00F53DEF" w:rsidRPr="00AF7228" w:rsidRDefault="00F53DEF" w:rsidP="00D16256">
            <w:pPr>
              <w:pStyle w:val="TableText"/>
            </w:pPr>
            <w:r w:rsidRPr="00AF7228">
              <w:t>Response to the Review of Mental Health Programmes</w:t>
            </w:r>
          </w:p>
        </w:tc>
      </w:tr>
      <w:tr w:rsidR="00F53DEF" w:rsidRPr="00AF7228" w14:paraId="3A224A6E" w14:textId="77777777" w:rsidTr="00AF7228">
        <w:tc>
          <w:tcPr>
            <w:tcW w:w="993" w:type="dxa"/>
          </w:tcPr>
          <w:p w14:paraId="5FAAF7F5" w14:textId="77777777" w:rsidR="00F53DEF" w:rsidRPr="00AF7228" w:rsidRDefault="00F53DEF" w:rsidP="00D16256">
            <w:pPr>
              <w:pStyle w:val="TableText"/>
            </w:pPr>
            <w:r w:rsidRPr="00AF7228">
              <w:t>2016</w:t>
            </w:r>
          </w:p>
        </w:tc>
        <w:tc>
          <w:tcPr>
            <w:tcW w:w="4110" w:type="dxa"/>
          </w:tcPr>
          <w:p w14:paraId="3CF75D01" w14:textId="77777777" w:rsidR="00F53DEF" w:rsidRPr="00AF7228" w:rsidRDefault="00F53DEF" w:rsidP="00D16256">
            <w:pPr>
              <w:pStyle w:val="TableText"/>
            </w:pPr>
            <w:r w:rsidRPr="00AF7228">
              <w:t>Australian Institute of Health and Welfare</w:t>
            </w:r>
          </w:p>
        </w:tc>
        <w:tc>
          <w:tcPr>
            <w:tcW w:w="4070" w:type="dxa"/>
          </w:tcPr>
          <w:p w14:paraId="78B7B186" w14:textId="77777777" w:rsidR="00F53DEF" w:rsidRPr="00AF7228" w:rsidRDefault="00F53DEF" w:rsidP="00D16256">
            <w:pPr>
              <w:pStyle w:val="TableText"/>
            </w:pPr>
            <w:r w:rsidRPr="00AF7228">
              <w:t>Incidence of suicide among serving and ex-serving Australian Defence Force personnel 2001–2014</w:t>
            </w:r>
          </w:p>
        </w:tc>
      </w:tr>
      <w:tr w:rsidR="00F53DEF" w:rsidRPr="00AF7228" w14:paraId="34F97431" w14:textId="77777777" w:rsidTr="00AF7228">
        <w:tc>
          <w:tcPr>
            <w:tcW w:w="993" w:type="dxa"/>
          </w:tcPr>
          <w:p w14:paraId="508E3567" w14:textId="77777777" w:rsidR="00F53DEF" w:rsidRPr="00AF7228" w:rsidRDefault="00F53DEF" w:rsidP="00D16256">
            <w:pPr>
              <w:pStyle w:val="TableText"/>
            </w:pPr>
            <w:r w:rsidRPr="00AF7228">
              <w:t>2017</w:t>
            </w:r>
          </w:p>
        </w:tc>
        <w:tc>
          <w:tcPr>
            <w:tcW w:w="4110" w:type="dxa"/>
          </w:tcPr>
          <w:p w14:paraId="7AA38948" w14:textId="77777777" w:rsidR="00F53DEF" w:rsidRPr="00AF7228" w:rsidRDefault="00F53DEF" w:rsidP="00D16256">
            <w:pPr>
              <w:pStyle w:val="TableText"/>
            </w:pPr>
            <w:r w:rsidRPr="00AF7228">
              <w:t>National Mental Health Commission (subcontracted to ConNetica)</w:t>
            </w:r>
          </w:p>
        </w:tc>
        <w:tc>
          <w:tcPr>
            <w:tcW w:w="4070" w:type="dxa"/>
          </w:tcPr>
          <w:p w14:paraId="6ED67954" w14:textId="77777777" w:rsidR="00F53DEF" w:rsidRPr="00AF7228" w:rsidRDefault="00F53DEF" w:rsidP="00D16256">
            <w:pPr>
              <w:pStyle w:val="TableText"/>
            </w:pPr>
            <w:r w:rsidRPr="00AF7228">
              <w:t>Review of Suicide and Self Harm Prevention for Serving and Former members of the Australian Defence Force and their Families</w:t>
            </w:r>
          </w:p>
        </w:tc>
      </w:tr>
    </w:tbl>
    <w:p w14:paraId="0C04A6E6" w14:textId="77777777" w:rsidR="00D16256" w:rsidRPr="00AF7228" w:rsidRDefault="00D16256" w:rsidP="00117D83">
      <w:pPr>
        <w:pStyle w:val="Heading3"/>
      </w:pPr>
      <w:bookmarkStart w:id="134" w:name="_Toc6238847"/>
      <w:r w:rsidRPr="00AF7228">
        <w:t>Federal Parliamentary Inquiries</w:t>
      </w:r>
      <w:bookmarkEnd w:id="134"/>
      <w:r w:rsidRPr="00AF7228">
        <w:t xml:space="preserve"> </w:t>
      </w:r>
    </w:p>
    <w:p w14:paraId="2983768F" w14:textId="1284E536" w:rsidR="00D16256" w:rsidRPr="00AF7228" w:rsidRDefault="00D16256" w:rsidP="00D16256">
      <w:pPr>
        <w:pStyle w:val="BodyText"/>
        <w:ind w:right="745"/>
      </w:pPr>
      <w:r w:rsidRPr="00AF7228">
        <w:t xml:space="preserve">There </w:t>
      </w:r>
      <w:r w:rsidR="00AD3544" w:rsidRPr="00AF7228">
        <w:t>has</w:t>
      </w:r>
      <w:r w:rsidRPr="00AF7228">
        <w:t xml:space="preserve"> been a total of 29 Federal Parliamentary inquiries since 1971; the vast majority since the commencement of the National Mental Health Strategy in 1992.</w:t>
      </w:r>
      <w:r w:rsidRPr="00AF7228">
        <w:rPr>
          <w:rStyle w:val="FootnoteReference"/>
        </w:rPr>
        <w:footnoteReference w:id="78"/>
      </w:r>
      <w:r w:rsidRPr="00AF7228">
        <w:t xml:space="preserve"> These are listed below. This list does not include inquiries dealing with alcohol and other drug issues, gambling, Indigenous wellbeing (such as </w:t>
      </w:r>
      <w:r w:rsidRPr="00AF7228">
        <w:rPr>
          <w:i/>
        </w:rPr>
        <w:t xml:space="preserve">The Stolen Generations), </w:t>
      </w:r>
      <w:r w:rsidRPr="00AF7228">
        <w:t>the National Disability Insurance Scheme (unless specifically on mental health matters), asylum seekers or those in offshore detention,</w:t>
      </w:r>
      <w:r w:rsidRPr="00AF7228">
        <w:rPr>
          <w:i/>
        </w:rPr>
        <w:t xml:space="preserve"> </w:t>
      </w:r>
      <w:r w:rsidRPr="00AF7228">
        <w:t xml:space="preserve">or people in institutional care (such as </w:t>
      </w:r>
      <w:r w:rsidRPr="00AF7228">
        <w:rPr>
          <w:i/>
        </w:rPr>
        <w:t>The</w:t>
      </w:r>
      <w:r w:rsidRPr="00AF7228">
        <w:t xml:space="preserve"> </w:t>
      </w:r>
      <w:r w:rsidRPr="00AF7228">
        <w:rPr>
          <w:i/>
        </w:rPr>
        <w:t xml:space="preserve">Forgotten Australians or </w:t>
      </w:r>
      <w:r w:rsidRPr="00AF7228">
        <w:rPr>
          <w:bCs/>
          <w:i/>
          <w:lang w:bidi="en-AU"/>
        </w:rPr>
        <w:t>Royal Commission into Institutional Responses to Child Sexual Abuse</w:t>
      </w:r>
      <w:r w:rsidRPr="00AF7228">
        <w:rPr>
          <w:i/>
        </w:rPr>
        <w:t>).</w:t>
      </w:r>
      <w:r w:rsidRPr="00AF7228">
        <w:t xml:space="preserve"> </w:t>
      </w:r>
    </w:p>
    <w:p w14:paraId="33681DD9" w14:textId="38EE9985" w:rsidR="00D16256" w:rsidRPr="00AF7228" w:rsidRDefault="00D16256" w:rsidP="00D16256">
      <w:pPr>
        <w:pStyle w:val="TableCaption"/>
      </w:pPr>
      <w:bookmarkStart w:id="135" w:name="_Toc6238002"/>
      <w:r w:rsidRPr="00AF7228">
        <w:t>Federal Parliamentary Inquiries on Mental Health Since 1971</w:t>
      </w:r>
      <w:bookmarkEnd w:id="135"/>
    </w:p>
    <w:tbl>
      <w:tblPr>
        <w:tblStyle w:val="TableGrid"/>
        <w:tblW w:w="0" w:type="auto"/>
        <w:tblInd w:w="-5" w:type="dxa"/>
        <w:tblLook w:val="04A0" w:firstRow="1" w:lastRow="0" w:firstColumn="1" w:lastColumn="0" w:noHBand="0" w:noVBand="1"/>
      </w:tblPr>
      <w:tblGrid>
        <w:gridCol w:w="1418"/>
        <w:gridCol w:w="4489"/>
        <w:gridCol w:w="3266"/>
      </w:tblGrid>
      <w:tr w:rsidR="00D16256" w:rsidRPr="00AF7228" w14:paraId="4F36417F" w14:textId="77777777" w:rsidTr="00AF7228">
        <w:tc>
          <w:tcPr>
            <w:tcW w:w="1418" w:type="dxa"/>
          </w:tcPr>
          <w:p w14:paraId="3C4DD5C4" w14:textId="1BB44FB2" w:rsidR="00D16256" w:rsidRPr="00AF7228" w:rsidRDefault="00D16256" w:rsidP="003376B3">
            <w:pPr>
              <w:pStyle w:val="BodyText"/>
              <w:ind w:left="170" w:hanging="172"/>
              <w:jc w:val="center"/>
              <w:rPr>
                <w:b/>
                <w:sz w:val="21"/>
              </w:rPr>
            </w:pPr>
            <w:r w:rsidRPr="00AF7228">
              <w:rPr>
                <w:b/>
                <w:sz w:val="21"/>
              </w:rPr>
              <w:t>Tabl</w:t>
            </w:r>
            <w:r w:rsidR="00AF7228" w:rsidRPr="00AF7228">
              <w:rPr>
                <w:b/>
                <w:sz w:val="21"/>
              </w:rPr>
              <w:t>ed</w:t>
            </w:r>
            <w:r w:rsidRPr="00AF7228">
              <w:rPr>
                <w:b/>
                <w:sz w:val="21"/>
              </w:rPr>
              <w:t xml:space="preserve"> date</w:t>
            </w:r>
          </w:p>
        </w:tc>
        <w:tc>
          <w:tcPr>
            <w:tcW w:w="4489" w:type="dxa"/>
          </w:tcPr>
          <w:p w14:paraId="110E8211" w14:textId="77777777" w:rsidR="00D16256" w:rsidRPr="00AF7228" w:rsidRDefault="00D16256" w:rsidP="003376B3">
            <w:pPr>
              <w:pStyle w:val="BodyText"/>
              <w:jc w:val="center"/>
              <w:rPr>
                <w:b/>
                <w:sz w:val="21"/>
              </w:rPr>
            </w:pPr>
            <w:r w:rsidRPr="00AF7228">
              <w:rPr>
                <w:b/>
                <w:sz w:val="21"/>
              </w:rPr>
              <w:t>Name of Inquiry</w:t>
            </w:r>
          </w:p>
        </w:tc>
        <w:tc>
          <w:tcPr>
            <w:tcW w:w="3266" w:type="dxa"/>
          </w:tcPr>
          <w:p w14:paraId="74A0930D" w14:textId="77777777" w:rsidR="00D16256" w:rsidRPr="00AF7228" w:rsidRDefault="00D16256" w:rsidP="003376B3">
            <w:pPr>
              <w:pStyle w:val="BodyText"/>
              <w:jc w:val="center"/>
              <w:rPr>
                <w:b/>
                <w:sz w:val="21"/>
              </w:rPr>
            </w:pPr>
            <w:r w:rsidRPr="00AF7228">
              <w:rPr>
                <w:b/>
                <w:sz w:val="21"/>
              </w:rPr>
              <w:t>Committee</w:t>
            </w:r>
          </w:p>
        </w:tc>
      </w:tr>
      <w:tr w:rsidR="00D16256" w:rsidRPr="00AF7228" w14:paraId="287C222C" w14:textId="77777777" w:rsidTr="00AF7228">
        <w:tc>
          <w:tcPr>
            <w:tcW w:w="1418" w:type="dxa"/>
          </w:tcPr>
          <w:p w14:paraId="6F7B9501" w14:textId="77777777" w:rsidR="00D16256" w:rsidRPr="00AF7228" w:rsidRDefault="00D16256" w:rsidP="00D16256">
            <w:pPr>
              <w:pStyle w:val="TableText"/>
            </w:pPr>
            <w:r w:rsidRPr="00AF7228">
              <w:t>5/05/1971</w:t>
            </w:r>
          </w:p>
        </w:tc>
        <w:tc>
          <w:tcPr>
            <w:tcW w:w="4489" w:type="dxa"/>
          </w:tcPr>
          <w:p w14:paraId="73102878" w14:textId="61F54B93" w:rsidR="00D16256" w:rsidRPr="00AF7228" w:rsidRDefault="00D16256" w:rsidP="00D16256">
            <w:pPr>
              <w:pStyle w:val="TableText"/>
            </w:pPr>
            <w:r w:rsidRPr="00AF7228">
              <w:t xml:space="preserve">Mentally </w:t>
            </w:r>
            <w:r w:rsidR="00AF7228" w:rsidRPr="00AF7228">
              <w:t>&amp;</w:t>
            </w:r>
            <w:r w:rsidRPr="00AF7228">
              <w:t xml:space="preserve"> Physically Handicapped People in Australia</w:t>
            </w:r>
          </w:p>
        </w:tc>
        <w:tc>
          <w:tcPr>
            <w:tcW w:w="3266" w:type="dxa"/>
          </w:tcPr>
          <w:p w14:paraId="4DED6D04" w14:textId="77777777" w:rsidR="00D16256" w:rsidRPr="00AF7228" w:rsidRDefault="00D16256" w:rsidP="00D16256">
            <w:pPr>
              <w:pStyle w:val="TableText"/>
            </w:pPr>
            <w:r w:rsidRPr="00AF7228">
              <w:t>Standing Committee on Health and Welfare (Senate)</w:t>
            </w:r>
          </w:p>
        </w:tc>
      </w:tr>
      <w:tr w:rsidR="00D16256" w:rsidRPr="00AF7228" w14:paraId="5CE22CAC" w14:textId="77777777" w:rsidTr="00AF7228">
        <w:tc>
          <w:tcPr>
            <w:tcW w:w="1418" w:type="dxa"/>
          </w:tcPr>
          <w:p w14:paraId="3D37C528" w14:textId="77777777" w:rsidR="00D16256" w:rsidRPr="00AF7228" w:rsidRDefault="00D16256" w:rsidP="00D16256">
            <w:pPr>
              <w:pStyle w:val="TableText"/>
            </w:pPr>
            <w:r w:rsidRPr="00AF7228">
              <w:t>24/11/1988</w:t>
            </w:r>
          </w:p>
        </w:tc>
        <w:tc>
          <w:tcPr>
            <w:tcW w:w="4489" w:type="dxa"/>
          </w:tcPr>
          <w:p w14:paraId="1F935AD6" w14:textId="77777777" w:rsidR="00D16256" w:rsidRPr="00AF7228" w:rsidRDefault="00D16256" w:rsidP="00D16256">
            <w:pPr>
              <w:pStyle w:val="TableText"/>
            </w:pPr>
            <w:r w:rsidRPr="00AF7228">
              <w:t xml:space="preserve">After the march: Strengthening support for the veterans – Counselling and ancillary services for Vietnam Veterans </w:t>
            </w:r>
          </w:p>
        </w:tc>
        <w:tc>
          <w:tcPr>
            <w:tcW w:w="3266" w:type="dxa"/>
          </w:tcPr>
          <w:p w14:paraId="73108C45" w14:textId="77777777" w:rsidR="00D16256" w:rsidRPr="00AF7228" w:rsidRDefault="00D16256" w:rsidP="00D16256">
            <w:pPr>
              <w:pStyle w:val="TableText"/>
            </w:pPr>
            <w:r w:rsidRPr="00AF7228">
              <w:t>Standing Committee on Family and Committee Affairs (House)</w:t>
            </w:r>
          </w:p>
        </w:tc>
      </w:tr>
      <w:tr w:rsidR="00D16256" w:rsidRPr="00AF7228" w14:paraId="36C8F494" w14:textId="77777777" w:rsidTr="00AF7228">
        <w:tc>
          <w:tcPr>
            <w:tcW w:w="1418" w:type="dxa"/>
          </w:tcPr>
          <w:p w14:paraId="6BD8BB31" w14:textId="77777777" w:rsidR="00D16256" w:rsidRPr="00AF7228" w:rsidRDefault="00D16256" w:rsidP="00D16256">
            <w:pPr>
              <w:pStyle w:val="TableText"/>
            </w:pPr>
            <w:r w:rsidRPr="00AF7228">
              <w:t>5/06/1995</w:t>
            </w:r>
          </w:p>
        </w:tc>
        <w:tc>
          <w:tcPr>
            <w:tcW w:w="4489" w:type="dxa"/>
          </w:tcPr>
          <w:p w14:paraId="7492388A" w14:textId="77777777" w:rsidR="00D16256" w:rsidRPr="00AF7228" w:rsidRDefault="00D16256" w:rsidP="00D16256">
            <w:pPr>
              <w:pStyle w:val="TableText"/>
            </w:pPr>
            <w:r w:rsidRPr="00AF7228">
              <w:t xml:space="preserve">Psychotherapeutic Medication in Australia </w:t>
            </w:r>
          </w:p>
        </w:tc>
        <w:tc>
          <w:tcPr>
            <w:tcW w:w="3266" w:type="dxa"/>
          </w:tcPr>
          <w:p w14:paraId="288FFC26" w14:textId="77777777" w:rsidR="00D16256" w:rsidRPr="00AF7228" w:rsidRDefault="00D16256" w:rsidP="00D16256">
            <w:pPr>
              <w:pStyle w:val="TableText"/>
            </w:pPr>
            <w:r w:rsidRPr="00AF7228">
              <w:t>Standing Committee on Committee Affairs (House)</w:t>
            </w:r>
          </w:p>
        </w:tc>
      </w:tr>
      <w:tr w:rsidR="00D16256" w:rsidRPr="00AF7228" w14:paraId="641A46B7" w14:textId="77777777" w:rsidTr="00AF7228">
        <w:tc>
          <w:tcPr>
            <w:tcW w:w="1418" w:type="dxa"/>
          </w:tcPr>
          <w:p w14:paraId="565BA323" w14:textId="77777777" w:rsidR="00D16256" w:rsidRPr="00AF7228" w:rsidRDefault="00D16256" w:rsidP="00D16256">
            <w:pPr>
              <w:pStyle w:val="TableText"/>
            </w:pPr>
            <w:r w:rsidRPr="00AF7228">
              <w:t>2/06/1997</w:t>
            </w:r>
          </w:p>
        </w:tc>
        <w:tc>
          <w:tcPr>
            <w:tcW w:w="4489" w:type="dxa"/>
          </w:tcPr>
          <w:p w14:paraId="148E5999" w14:textId="77777777" w:rsidR="00D16256" w:rsidRPr="00AF7228" w:rsidRDefault="00D16256" w:rsidP="00D16256">
            <w:pPr>
              <w:pStyle w:val="TableText"/>
            </w:pPr>
            <w:r w:rsidRPr="00AF7228">
              <w:t>Aspects of youth suicide – summary report</w:t>
            </w:r>
          </w:p>
        </w:tc>
        <w:tc>
          <w:tcPr>
            <w:tcW w:w="3266" w:type="dxa"/>
          </w:tcPr>
          <w:p w14:paraId="340FFAEE" w14:textId="77777777" w:rsidR="00D16256" w:rsidRPr="00AF7228" w:rsidRDefault="00D16256" w:rsidP="00D16256">
            <w:pPr>
              <w:pStyle w:val="TableText"/>
            </w:pPr>
            <w:r w:rsidRPr="00AF7228">
              <w:t>Standing Committee on Family and Committee Affairs (House)</w:t>
            </w:r>
          </w:p>
        </w:tc>
      </w:tr>
      <w:tr w:rsidR="00D16256" w:rsidRPr="00AF7228" w14:paraId="37FEC1D0" w14:textId="77777777" w:rsidTr="00AF7228">
        <w:tc>
          <w:tcPr>
            <w:tcW w:w="1418" w:type="dxa"/>
          </w:tcPr>
          <w:p w14:paraId="5F17B48B" w14:textId="77777777" w:rsidR="00D16256" w:rsidRPr="00AF7228" w:rsidRDefault="00D16256" w:rsidP="00D16256">
            <w:pPr>
              <w:pStyle w:val="TableText"/>
            </w:pPr>
            <w:r w:rsidRPr="00AF7228">
              <w:t>16/11/2004</w:t>
            </w:r>
          </w:p>
        </w:tc>
        <w:tc>
          <w:tcPr>
            <w:tcW w:w="4489" w:type="dxa"/>
          </w:tcPr>
          <w:p w14:paraId="2B761F13" w14:textId="77777777" w:rsidR="00D16256" w:rsidRPr="00AF7228" w:rsidRDefault="00D16256" w:rsidP="00D16256">
            <w:pPr>
              <w:pStyle w:val="TableText"/>
            </w:pPr>
            <w:r w:rsidRPr="00AF7228">
              <w:t xml:space="preserve">Provisions of the Criminal Code Amendment (Suicide Related Material Offences) Bill 2004 </w:t>
            </w:r>
          </w:p>
        </w:tc>
        <w:tc>
          <w:tcPr>
            <w:tcW w:w="3266" w:type="dxa"/>
          </w:tcPr>
          <w:p w14:paraId="6D92E8ED" w14:textId="77777777" w:rsidR="00D16256" w:rsidRPr="00AF7228" w:rsidRDefault="00D16256" w:rsidP="00D16256">
            <w:pPr>
              <w:pStyle w:val="TableText"/>
            </w:pPr>
            <w:r w:rsidRPr="00AF7228">
              <w:t xml:space="preserve">Legal and Constitutional Legislation Committee (Senate) </w:t>
            </w:r>
          </w:p>
        </w:tc>
      </w:tr>
      <w:tr w:rsidR="00D16256" w:rsidRPr="00AF7228" w14:paraId="27029D1B" w14:textId="77777777" w:rsidTr="00AF7228">
        <w:tc>
          <w:tcPr>
            <w:tcW w:w="1418" w:type="dxa"/>
          </w:tcPr>
          <w:p w14:paraId="435E09D3" w14:textId="77777777" w:rsidR="00D16256" w:rsidRPr="00AF7228" w:rsidRDefault="00D16256" w:rsidP="00D16256">
            <w:pPr>
              <w:pStyle w:val="TableText"/>
            </w:pPr>
            <w:r w:rsidRPr="00AF7228">
              <w:t>12/05/2005</w:t>
            </w:r>
          </w:p>
        </w:tc>
        <w:tc>
          <w:tcPr>
            <w:tcW w:w="4489" w:type="dxa"/>
          </w:tcPr>
          <w:p w14:paraId="09ABC583" w14:textId="77777777" w:rsidR="00D16256" w:rsidRPr="00AF7228" w:rsidRDefault="00D16256" w:rsidP="00D16256">
            <w:pPr>
              <w:pStyle w:val="TableText"/>
            </w:pPr>
            <w:r w:rsidRPr="00AF7228">
              <w:t>Provisions of the Criminal Code Amendment (Suicide Related Material Offences) Bill 2005</w:t>
            </w:r>
          </w:p>
        </w:tc>
        <w:tc>
          <w:tcPr>
            <w:tcW w:w="3266" w:type="dxa"/>
          </w:tcPr>
          <w:p w14:paraId="1DC4EE9C" w14:textId="77777777" w:rsidR="00D16256" w:rsidRPr="00AF7228" w:rsidRDefault="00D16256" w:rsidP="00D16256">
            <w:pPr>
              <w:pStyle w:val="TableText"/>
            </w:pPr>
            <w:r w:rsidRPr="00AF7228">
              <w:t>Legal and Constitutional Legislation Committee (Senate)</w:t>
            </w:r>
          </w:p>
        </w:tc>
      </w:tr>
      <w:tr w:rsidR="00D16256" w:rsidRPr="00AF7228" w14:paraId="73B13A13" w14:textId="77777777" w:rsidTr="00AF7228">
        <w:tc>
          <w:tcPr>
            <w:tcW w:w="1418" w:type="dxa"/>
          </w:tcPr>
          <w:p w14:paraId="2A51E4C2" w14:textId="77777777" w:rsidR="00D16256" w:rsidRPr="00AF7228" w:rsidRDefault="00D16256" w:rsidP="00D16256">
            <w:pPr>
              <w:pStyle w:val="TableText"/>
            </w:pPr>
            <w:r w:rsidRPr="00AF7228">
              <w:t>30/03/2006</w:t>
            </w:r>
          </w:p>
        </w:tc>
        <w:tc>
          <w:tcPr>
            <w:tcW w:w="4489" w:type="dxa"/>
          </w:tcPr>
          <w:p w14:paraId="22C1B90D" w14:textId="77777777" w:rsidR="00D16256" w:rsidRPr="00AF7228" w:rsidRDefault="00D16256" w:rsidP="00D16256">
            <w:pPr>
              <w:pStyle w:val="TableText"/>
            </w:pPr>
            <w:r w:rsidRPr="00AF7228">
              <w:t>A national approach to mental health – From crisis to community: First report</w:t>
            </w:r>
          </w:p>
        </w:tc>
        <w:tc>
          <w:tcPr>
            <w:tcW w:w="3266" w:type="dxa"/>
          </w:tcPr>
          <w:p w14:paraId="7CE4E1A4" w14:textId="77777777" w:rsidR="00D16256" w:rsidRPr="00AF7228" w:rsidRDefault="00D16256" w:rsidP="00D16256">
            <w:pPr>
              <w:pStyle w:val="TableText"/>
            </w:pPr>
            <w:r w:rsidRPr="00AF7228">
              <w:t>Select Committee on Mental Health (Senate)</w:t>
            </w:r>
          </w:p>
        </w:tc>
      </w:tr>
      <w:tr w:rsidR="00D16256" w:rsidRPr="00AF7228" w14:paraId="3E821AEF" w14:textId="77777777" w:rsidTr="00AF7228">
        <w:tc>
          <w:tcPr>
            <w:tcW w:w="1418" w:type="dxa"/>
          </w:tcPr>
          <w:p w14:paraId="710DE183" w14:textId="77777777" w:rsidR="00D16256" w:rsidRPr="00AF7228" w:rsidRDefault="00D16256" w:rsidP="00D16256">
            <w:pPr>
              <w:pStyle w:val="TableText"/>
            </w:pPr>
            <w:r w:rsidRPr="00AF7228">
              <w:lastRenderedPageBreak/>
              <w:t>9/05/2006</w:t>
            </w:r>
          </w:p>
        </w:tc>
        <w:tc>
          <w:tcPr>
            <w:tcW w:w="4489" w:type="dxa"/>
          </w:tcPr>
          <w:p w14:paraId="3C914D1C" w14:textId="77777777" w:rsidR="00D16256" w:rsidRPr="00AF7228" w:rsidRDefault="00D16256" w:rsidP="00D16256">
            <w:pPr>
              <w:pStyle w:val="TableText"/>
            </w:pPr>
            <w:r w:rsidRPr="00AF7228">
              <w:t>A national approach to mental health – From crisis to community: Final report</w:t>
            </w:r>
          </w:p>
        </w:tc>
        <w:tc>
          <w:tcPr>
            <w:tcW w:w="3266" w:type="dxa"/>
          </w:tcPr>
          <w:p w14:paraId="2D480204" w14:textId="77777777" w:rsidR="00D16256" w:rsidRPr="00AF7228" w:rsidRDefault="00D16256" w:rsidP="00D16256">
            <w:pPr>
              <w:pStyle w:val="TableText"/>
            </w:pPr>
            <w:r w:rsidRPr="00AF7228">
              <w:t>Select Committee on Mental Health (Senate)</w:t>
            </w:r>
          </w:p>
        </w:tc>
      </w:tr>
      <w:tr w:rsidR="00D16256" w:rsidRPr="00AF7228" w14:paraId="07C65887" w14:textId="77777777" w:rsidTr="00AF7228">
        <w:tc>
          <w:tcPr>
            <w:tcW w:w="1418" w:type="dxa"/>
          </w:tcPr>
          <w:p w14:paraId="2050279B" w14:textId="77777777" w:rsidR="00D16256" w:rsidRPr="00AF7228" w:rsidRDefault="00D16256" w:rsidP="00D16256">
            <w:pPr>
              <w:pStyle w:val="TableText"/>
            </w:pPr>
            <w:r w:rsidRPr="00AF7228">
              <w:t>19/06/2008</w:t>
            </w:r>
          </w:p>
        </w:tc>
        <w:tc>
          <w:tcPr>
            <w:tcW w:w="4489" w:type="dxa"/>
          </w:tcPr>
          <w:p w14:paraId="3E0C248C" w14:textId="77777777" w:rsidR="00D16256" w:rsidRPr="00AF7228" w:rsidRDefault="00D16256" w:rsidP="00D16256">
            <w:pPr>
              <w:pStyle w:val="TableText"/>
            </w:pPr>
            <w:r w:rsidRPr="00AF7228">
              <w:t>Interim report: Mental health services in Australia</w:t>
            </w:r>
          </w:p>
        </w:tc>
        <w:tc>
          <w:tcPr>
            <w:tcW w:w="3266" w:type="dxa"/>
          </w:tcPr>
          <w:p w14:paraId="72E2F462" w14:textId="5CFD1C39" w:rsidR="00D16256" w:rsidRPr="00AF7228" w:rsidRDefault="00D16256" w:rsidP="00D16256">
            <w:pPr>
              <w:pStyle w:val="TableText"/>
            </w:pPr>
            <w:r w:rsidRPr="00AF7228">
              <w:t xml:space="preserve">Community Affairs, Legislative </w:t>
            </w:r>
            <w:r w:rsidR="00AF7228" w:rsidRPr="00AF7228">
              <w:t>and</w:t>
            </w:r>
            <w:r w:rsidRPr="00AF7228">
              <w:t xml:space="preserve"> General Purposes Standing Committee (Senate)</w:t>
            </w:r>
          </w:p>
        </w:tc>
      </w:tr>
      <w:tr w:rsidR="00D16256" w:rsidRPr="00AF7228" w14:paraId="1DE43C88" w14:textId="77777777" w:rsidTr="00AF7228">
        <w:tc>
          <w:tcPr>
            <w:tcW w:w="1418" w:type="dxa"/>
          </w:tcPr>
          <w:p w14:paraId="5F3EEF82" w14:textId="77777777" w:rsidR="00D16256" w:rsidRPr="00AF7228" w:rsidRDefault="00D16256" w:rsidP="00D16256">
            <w:pPr>
              <w:pStyle w:val="TableText"/>
            </w:pPr>
            <w:r w:rsidRPr="00AF7228">
              <w:t>25/09/2008</w:t>
            </w:r>
          </w:p>
        </w:tc>
        <w:tc>
          <w:tcPr>
            <w:tcW w:w="4489" w:type="dxa"/>
          </w:tcPr>
          <w:p w14:paraId="0C773E79" w14:textId="77777777" w:rsidR="00D16256" w:rsidRPr="00AF7228" w:rsidRDefault="00D16256" w:rsidP="00D16256">
            <w:pPr>
              <w:pStyle w:val="TableText"/>
            </w:pPr>
            <w:r w:rsidRPr="00AF7228">
              <w:t>Towards Recovery: Mental health services in Australia</w:t>
            </w:r>
          </w:p>
        </w:tc>
        <w:tc>
          <w:tcPr>
            <w:tcW w:w="3266" w:type="dxa"/>
          </w:tcPr>
          <w:p w14:paraId="55A45F2E" w14:textId="77777777" w:rsidR="00D16256" w:rsidRPr="00AF7228" w:rsidRDefault="00D16256" w:rsidP="00D16256">
            <w:pPr>
              <w:pStyle w:val="TableText"/>
            </w:pPr>
            <w:r w:rsidRPr="00AF7228">
              <w:t>Community Affairs, Legislative and General Purposes Standing Committee (Senate)</w:t>
            </w:r>
          </w:p>
        </w:tc>
      </w:tr>
      <w:tr w:rsidR="00D16256" w:rsidRPr="00AF7228" w14:paraId="52153016" w14:textId="77777777" w:rsidTr="00AF7228">
        <w:tc>
          <w:tcPr>
            <w:tcW w:w="1418" w:type="dxa"/>
          </w:tcPr>
          <w:p w14:paraId="57F2F88F" w14:textId="77777777" w:rsidR="00D16256" w:rsidRPr="00AF7228" w:rsidRDefault="00D16256" w:rsidP="00D16256">
            <w:pPr>
              <w:pStyle w:val="TableText"/>
            </w:pPr>
            <w:r w:rsidRPr="00AF7228">
              <w:t>24/06/2010</w:t>
            </w:r>
          </w:p>
        </w:tc>
        <w:tc>
          <w:tcPr>
            <w:tcW w:w="4489" w:type="dxa"/>
          </w:tcPr>
          <w:p w14:paraId="1F3666E9" w14:textId="77777777" w:rsidR="00D16256" w:rsidRPr="00AF7228" w:rsidRDefault="00D16256" w:rsidP="00D16256">
            <w:pPr>
              <w:pStyle w:val="TableText"/>
            </w:pPr>
            <w:r w:rsidRPr="00AF7228">
              <w:t>The Hidden toll: Suicide in Australia</w:t>
            </w:r>
          </w:p>
        </w:tc>
        <w:tc>
          <w:tcPr>
            <w:tcW w:w="3266" w:type="dxa"/>
          </w:tcPr>
          <w:p w14:paraId="0516ADC6" w14:textId="77777777" w:rsidR="00D16256" w:rsidRPr="00AF7228" w:rsidRDefault="00D16256" w:rsidP="00D16256">
            <w:pPr>
              <w:pStyle w:val="TableText"/>
            </w:pPr>
            <w:r w:rsidRPr="00AF7228">
              <w:t>Community Affairs References Committee (Senate)</w:t>
            </w:r>
          </w:p>
        </w:tc>
      </w:tr>
      <w:tr w:rsidR="00D16256" w:rsidRPr="00AF7228" w14:paraId="4E9BD1A5" w14:textId="77777777" w:rsidTr="00AF7228">
        <w:tc>
          <w:tcPr>
            <w:tcW w:w="1418" w:type="dxa"/>
          </w:tcPr>
          <w:p w14:paraId="11E2ADD0" w14:textId="77777777" w:rsidR="00D16256" w:rsidRPr="00AF7228" w:rsidRDefault="00D16256" w:rsidP="00D16256">
            <w:pPr>
              <w:pStyle w:val="TableText"/>
            </w:pPr>
            <w:r w:rsidRPr="00AF7228">
              <w:t>4/07/2011</w:t>
            </w:r>
          </w:p>
        </w:tc>
        <w:tc>
          <w:tcPr>
            <w:tcW w:w="4489" w:type="dxa"/>
          </w:tcPr>
          <w:p w14:paraId="4032B4AB" w14:textId="77777777" w:rsidR="00D16256" w:rsidRPr="00AF7228" w:rsidRDefault="00D16256" w:rsidP="00D16256">
            <w:pPr>
              <w:pStyle w:val="TableText"/>
            </w:pPr>
            <w:r w:rsidRPr="00AF7228">
              <w:t xml:space="preserve">Before it’s too late: report on early intervention programs aimed at preventing youth suicide </w:t>
            </w:r>
          </w:p>
        </w:tc>
        <w:tc>
          <w:tcPr>
            <w:tcW w:w="3266" w:type="dxa"/>
          </w:tcPr>
          <w:p w14:paraId="7449CF1F" w14:textId="77777777" w:rsidR="00D16256" w:rsidRPr="00AF7228" w:rsidRDefault="00D16256" w:rsidP="00D16256">
            <w:pPr>
              <w:pStyle w:val="TableText"/>
            </w:pPr>
            <w:r w:rsidRPr="00AF7228">
              <w:t>Standing Committee on Health and Aging (House)</w:t>
            </w:r>
          </w:p>
        </w:tc>
      </w:tr>
      <w:tr w:rsidR="00D16256" w:rsidRPr="00AF7228" w14:paraId="18DB5A46" w14:textId="77777777" w:rsidTr="00AF7228">
        <w:tc>
          <w:tcPr>
            <w:tcW w:w="1418" w:type="dxa"/>
          </w:tcPr>
          <w:p w14:paraId="4AC68AAC" w14:textId="77777777" w:rsidR="00D16256" w:rsidRPr="00AF7228" w:rsidRDefault="00D16256" w:rsidP="00D16256">
            <w:pPr>
              <w:pStyle w:val="TableText"/>
            </w:pPr>
            <w:r w:rsidRPr="00AF7228">
              <w:t>31/10/2011</w:t>
            </w:r>
          </w:p>
        </w:tc>
        <w:tc>
          <w:tcPr>
            <w:tcW w:w="4489" w:type="dxa"/>
          </w:tcPr>
          <w:p w14:paraId="3DC2B942" w14:textId="77777777" w:rsidR="00D16256" w:rsidRPr="00AF7228" w:rsidRDefault="00D16256" w:rsidP="00D16256">
            <w:pPr>
              <w:pStyle w:val="TableText"/>
            </w:pPr>
            <w:r w:rsidRPr="00AF7228">
              <w:t>Interim report: Funding and administration of mental health services</w:t>
            </w:r>
          </w:p>
        </w:tc>
        <w:tc>
          <w:tcPr>
            <w:tcW w:w="3266" w:type="dxa"/>
          </w:tcPr>
          <w:p w14:paraId="7249EB78" w14:textId="77777777" w:rsidR="00D16256" w:rsidRPr="00AF7228" w:rsidRDefault="00D16256" w:rsidP="00D16256">
            <w:pPr>
              <w:pStyle w:val="TableText"/>
            </w:pPr>
            <w:r w:rsidRPr="00AF7228">
              <w:t>Community Affairs References Committee (Senate)</w:t>
            </w:r>
          </w:p>
        </w:tc>
      </w:tr>
      <w:tr w:rsidR="00D16256" w:rsidRPr="00AF7228" w14:paraId="5E0B9FAA" w14:textId="77777777" w:rsidTr="00AF7228">
        <w:tc>
          <w:tcPr>
            <w:tcW w:w="1418" w:type="dxa"/>
          </w:tcPr>
          <w:p w14:paraId="3222F6B0" w14:textId="77777777" w:rsidR="00D16256" w:rsidRPr="00AF7228" w:rsidRDefault="00D16256" w:rsidP="00D16256">
            <w:pPr>
              <w:pStyle w:val="TableText"/>
            </w:pPr>
            <w:r w:rsidRPr="00AF7228">
              <w:t>31/10/2011</w:t>
            </w:r>
          </w:p>
        </w:tc>
        <w:tc>
          <w:tcPr>
            <w:tcW w:w="4489" w:type="dxa"/>
          </w:tcPr>
          <w:p w14:paraId="025E8DD1" w14:textId="77777777" w:rsidR="00D16256" w:rsidRPr="00AF7228" w:rsidRDefault="00D16256" w:rsidP="00D16256">
            <w:pPr>
              <w:pStyle w:val="TableText"/>
            </w:pPr>
            <w:r w:rsidRPr="00AF7228">
              <w:t>Second Interim report: Funding and administration of mental health services</w:t>
            </w:r>
          </w:p>
        </w:tc>
        <w:tc>
          <w:tcPr>
            <w:tcW w:w="3266" w:type="dxa"/>
          </w:tcPr>
          <w:p w14:paraId="0073302B" w14:textId="77777777" w:rsidR="00D16256" w:rsidRPr="00AF7228" w:rsidRDefault="00D16256" w:rsidP="00D16256">
            <w:pPr>
              <w:pStyle w:val="TableText"/>
            </w:pPr>
            <w:r w:rsidRPr="00AF7228">
              <w:t>Community Affairs References Committee (Senate)</w:t>
            </w:r>
          </w:p>
        </w:tc>
      </w:tr>
      <w:tr w:rsidR="00D16256" w:rsidRPr="00AF7228" w14:paraId="4E8F61FD" w14:textId="77777777" w:rsidTr="00AF7228">
        <w:tc>
          <w:tcPr>
            <w:tcW w:w="1418" w:type="dxa"/>
          </w:tcPr>
          <w:p w14:paraId="7EF91683" w14:textId="77777777" w:rsidR="00D16256" w:rsidRPr="00AF7228" w:rsidRDefault="00D16256" w:rsidP="00D16256">
            <w:pPr>
              <w:pStyle w:val="TableText"/>
            </w:pPr>
            <w:r w:rsidRPr="00AF7228">
              <w:t>1/11/2011</w:t>
            </w:r>
          </w:p>
        </w:tc>
        <w:tc>
          <w:tcPr>
            <w:tcW w:w="4489" w:type="dxa"/>
          </w:tcPr>
          <w:p w14:paraId="34E1A3EA" w14:textId="77777777" w:rsidR="00D16256" w:rsidRPr="00AF7228" w:rsidRDefault="00D16256" w:rsidP="00D16256">
            <w:pPr>
              <w:pStyle w:val="TableText"/>
            </w:pPr>
            <w:r w:rsidRPr="00AF7228">
              <w:t>Commonwealth funding and administration of mental health services</w:t>
            </w:r>
          </w:p>
        </w:tc>
        <w:tc>
          <w:tcPr>
            <w:tcW w:w="3266" w:type="dxa"/>
          </w:tcPr>
          <w:p w14:paraId="4F5A1974" w14:textId="77777777" w:rsidR="00D16256" w:rsidRPr="00AF7228" w:rsidRDefault="00D16256" w:rsidP="00D16256">
            <w:pPr>
              <w:pStyle w:val="TableText"/>
            </w:pPr>
            <w:r w:rsidRPr="00AF7228">
              <w:t>Community Affairs References Committee (Senate)</w:t>
            </w:r>
          </w:p>
        </w:tc>
      </w:tr>
      <w:tr w:rsidR="00D16256" w:rsidRPr="00AF7228" w14:paraId="72696173" w14:textId="77777777" w:rsidTr="00AF7228">
        <w:tc>
          <w:tcPr>
            <w:tcW w:w="1418" w:type="dxa"/>
          </w:tcPr>
          <w:p w14:paraId="6DAF017F" w14:textId="77777777" w:rsidR="00D16256" w:rsidRPr="00AF7228" w:rsidRDefault="00D16256" w:rsidP="00D16256">
            <w:pPr>
              <w:pStyle w:val="TableText"/>
            </w:pPr>
            <w:r w:rsidRPr="00AF7228">
              <w:t>28/06/2012</w:t>
            </w:r>
          </w:p>
        </w:tc>
        <w:tc>
          <w:tcPr>
            <w:tcW w:w="4489" w:type="dxa"/>
          </w:tcPr>
          <w:p w14:paraId="6DD95620" w14:textId="77777777" w:rsidR="00D16256" w:rsidRPr="00AF7228" w:rsidRDefault="00D16256" w:rsidP="00D16256">
            <w:pPr>
              <w:pStyle w:val="TableText"/>
            </w:pPr>
            <w:r w:rsidRPr="00AF7228">
              <w:t>Work wanted: mental health and workforce participation</w:t>
            </w:r>
          </w:p>
        </w:tc>
        <w:tc>
          <w:tcPr>
            <w:tcW w:w="3266" w:type="dxa"/>
          </w:tcPr>
          <w:p w14:paraId="45CA0688" w14:textId="77777777" w:rsidR="00D16256" w:rsidRPr="00AF7228" w:rsidRDefault="00D16256" w:rsidP="00D16256">
            <w:pPr>
              <w:pStyle w:val="TableText"/>
            </w:pPr>
            <w:r w:rsidRPr="00AF7228">
              <w:t>Standing Committee on Education and Employment (House)</w:t>
            </w:r>
          </w:p>
        </w:tc>
      </w:tr>
      <w:tr w:rsidR="00D16256" w:rsidRPr="00AF7228" w14:paraId="4C50E9B0" w14:textId="77777777" w:rsidTr="00AF7228">
        <w:tc>
          <w:tcPr>
            <w:tcW w:w="1418" w:type="dxa"/>
          </w:tcPr>
          <w:p w14:paraId="4FCC7502" w14:textId="77777777" w:rsidR="00D16256" w:rsidRPr="00AF7228" w:rsidRDefault="00D16256" w:rsidP="00D16256">
            <w:pPr>
              <w:pStyle w:val="TableText"/>
            </w:pPr>
            <w:r w:rsidRPr="00AF7228">
              <w:t>24/06/2013</w:t>
            </w:r>
          </w:p>
        </w:tc>
        <w:tc>
          <w:tcPr>
            <w:tcW w:w="4489" w:type="dxa"/>
          </w:tcPr>
          <w:p w14:paraId="71B1ADDB" w14:textId="77777777" w:rsidR="00D16256" w:rsidRPr="00AF7228" w:rsidRDefault="00D16256" w:rsidP="00D16256">
            <w:pPr>
              <w:pStyle w:val="TableText"/>
            </w:pPr>
            <w:r w:rsidRPr="00AF7228">
              <w:t>Care of ADF personnel wounded and injured on operations</w:t>
            </w:r>
          </w:p>
        </w:tc>
        <w:tc>
          <w:tcPr>
            <w:tcW w:w="3266" w:type="dxa"/>
          </w:tcPr>
          <w:p w14:paraId="4867AC7C" w14:textId="77777777" w:rsidR="00D16256" w:rsidRPr="00AF7228" w:rsidRDefault="00D16256" w:rsidP="00D16256">
            <w:pPr>
              <w:pStyle w:val="TableText"/>
            </w:pPr>
            <w:r w:rsidRPr="00AF7228">
              <w:t>Joint Standing Committee on Foreign Affairs, Defence and Trade (House)</w:t>
            </w:r>
          </w:p>
        </w:tc>
      </w:tr>
      <w:tr w:rsidR="00D16256" w:rsidRPr="00AF7228" w14:paraId="193565F2" w14:textId="77777777" w:rsidTr="00AF7228">
        <w:tc>
          <w:tcPr>
            <w:tcW w:w="1418" w:type="dxa"/>
          </w:tcPr>
          <w:p w14:paraId="139726CB" w14:textId="1A71877C" w:rsidR="00D16256" w:rsidRPr="00AF7228" w:rsidRDefault="00D16256" w:rsidP="00D16256">
            <w:pPr>
              <w:pStyle w:val="TableText"/>
            </w:pPr>
            <w:r w:rsidRPr="00AF7228">
              <w:t>12/11/2013</w:t>
            </w:r>
            <w:r w:rsidR="00AF7228" w:rsidRPr="00AF7228">
              <w:t xml:space="preserve">; </w:t>
            </w:r>
            <w:r w:rsidRPr="00AF7228">
              <w:t>18/02/2014</w:t>
            </w:r>
            <w:r w:rsidR="00AF7228" w:rsidRPr="00AF7228">
              <w:t>;</w:t>
            </w:r>
            <w:r w:rsidR="00AF7228" w:rsidRPr="00AF7228">
              <w:br/>
            </w:r>
            <w:r w:rsidRPr="00AF7228">
              <w:t>19/3/2014</w:t>
            </w:r>
          </w:p>
        </w:tc>
        <w:tc>
          <w:tcPr>
            <w:tcW w:w="4489" w:type="dxa"/>
          </w:tcPr>
          <w:p w14:paraId="28B7F11F" w14:textId="0D5951AA" w:rsidR="00D16256" w:rsidRPr="00AF7228" w:rsidRDefault="00D16256" w:rsidP="00D16256">
            <w:pPr>
              <w:pStyle w:val="TableText"/>
            </w:pPr>
            <w:r w:rsidRPr="00AF7228">
              <w:t xml:space="preserve">Interim, 2nd &amp; 3rd reports: Care and management of younger and </w:t>
            </w:r>
            <w:r w:rsidR="00AD3544" w:rsidRPr="00AF7228">
              <w:t>older living</w:t>
            </w:r>
            <w:r w:rsidRPr="00AF7228">
              <w:t xml:space="preserve"> with dementia and behavioural and</w:t>
            </w:r>
            <w:r w:rsidR="00AF7228" w:rsidRPr="00AF7228">
              <w:t xml:space="preserve"> </w:t>
            </w:r>
            <w:r w:rsidRPr="00AF7228">
              <w:t xml:space="preserve">psychiatric symptoms of dementia </w:t>
            </w:r>
          </w:p>
        </w:tc>
        <w:tc>
          <w:tcPr>
            <w:tcW w:w="3266" w:type="dxa"/>
          </w:tcPr>
          <w:p w14:paraId="33A9EEA8" w14:textId="77777777" w:rsidR="00D16256" w:rsidRPr="00AF7228" w:rsidRDefault="00D16256" w:rsidP="00D16256">
            <w:pPr>
              <w:pStyle w:val="TableText"/>
            </w:pPr>
            <w:r w:rsidRPr="00AF7228">
              <w:t>Community Affairs References Committee (Senate)</w:t>
            </w:r>
          </w:p>
        </w:tc>
      </w:tr>
      <w:tr w:rsidR="00D16256" w:rsidRPr="00AF7228" w14:paraId="415B8AD8" w14:textId="77777777" w:rsidTr="00AF7228">
        <w:tc>
          <w:tcPr>
            <w:tcW w:w="1418" w:type="dxa"/>
          </w:tcPr>
          <w:p w14:paraId="3094B042" w14:textId="77777777" w:rsidR="00D16256" w:rsidRPr="00AF7228" w:rsidRDefault="00D16256" w:rsidP="00D16256">
            <w:pPr>
              <w:pStyle w:val="TableText"/>
            </w:pPr>
            <w:r w:rsidRPr="00AF7228">
              <w:t>26/03/2014</w:t>
            </w:r>
          </w:p>
        </w:tc>
        <w:tc>
          <w:tcPr>
            <w:tcW w:w="4489" w:type="dxa"/>
          </w:tcPr>
          <w:p w14:paraId="533AA86B" w14:textId="5046DB4F" w:rsidR="00D16256" w:rsidRPr="00AF7228" w:rsidRDefault="00D16256" w:rsidP="00D16256">
            <w:pPr>
              <w:pStyle w:val="TableText"/>
            </w:pPr>
            <w:r w:rsidRPr="00AF7228">
              <w:t xml:space="preserve">Final </w:t>
            </w:r>
            <w:hyperlink r:id="rId49" w:tgtFrame="_top" w:history="1">
              <w:r w:rsidRPr="00AF7228">
                <w:t xml:space="preserve">Report—Care and management of younger and older Australians living with dementia and behavioural and psychiatric symptoms of dementia </w:t>
              </w:r>
            </w:hyperlink>
          </w:p>
        </w:tc>
        <w:tc>
          <w:tcPr>
            <w:tcW w:w="3266" w:type="dxa"/>
          </w:tcPr>
          <w:p w14:paraId="0C5C05EA" w14:textId="77777777" w:rsidR="00D16256" w:rsidRPr="00AF7228" w:rsidRDefault="00D16256" w:rsidP="00D16256">
            <w:pPr>
              <w:pStyle w:val="TableText"/>
            </w:pPr>
            <w:r w:rsidRPr="00AF7228">
              <w:t>Community Affairs References Committee (Senate)</w:t>
            </w:r>
          </w:p>
        </w:tc>
      </w:tr>
      <w:tr w:rsidR="00D16256" w:rsidRPr="00AF7228" w14:paraId="3589A668" w14:textId="77777777" w:rsidTr="00AF7228">
        <w:tc>
          <w:tcPr>
            <w:tcW w:w="1418" w:type="dxa"/>
          </w:tcPr>
          <w:p w14:paraId="6FEA5A15" w14:textId="77777777" w:rsidR="00D16256" w:rsidRPr="00AF7228" w:rsidRDefault="00D16256" w:rsidP="00D16256">
            <w:pPr>
              <w:pStyle w:val="TableText"/>
            </w:pPr>
            <w:r w:rsidRPr="00AF7228">
              <w:t>24/06/2015</w:t>
            </w:r>
          </w:p>
        </w:tc>
        <w:tc>
          <w:tcPr>
            <w:tcW w:w="4489" w:type="dxa"/>
          </w:tcPr>
          <w:p w14:paraId="0C8EBAC3" w14:textId="77777777" w:rsidR="00D16256" w:rsidRPr="00AF7228" w:rsidRDefault="00D16256" w:rsidP="00D16256">
            <w:pPr>
              <w:pStyle w:val="TableText"/>
            </w:pPr>
            <w:r w:rsidRPr="00AF7228">
              <w:t xml:space="preserve">Adequacy of existing residential care arrangements available for young people with severe physical, mental or intellectual disabilities in Australia </w:t>
            </w:r>
          </w:p>
        </w:tc>
        <w:tc>
          <w:tcPr>
            <w:tcW w:w="3266" w:type="dxa"/>
          </w:tcPr>
          <w:p w14:paraId="5A9F8A4E" w14:textId="77777777" w:rsidR="00D16256" w:rsidRPr="00AF7228" w:rsidRDefault="00D16256" w:rsidP="00D16256">
            <w:pPr>
              <w:pStyle w:val="TableText"/>
            </w:pPr>
            <w:r w:rsidRPr="00AF7228">
              <w:t>Community Affairs References Committee (Senate)</w:t>
            </w:r>
          </w:p>
        </w:tc>
      </w:tr>
      <w:tr w:rsidR="00D16256" w:rsidRPr="00AF7228" w14:paraId="0FBF3307" w14:textId="77777777" w:rsidTr="00AF7228">
        <w:tc>
          <w:tcPr>
            <w:tcW w:w="1418" w:type="dxa"/>
          </w:tcPr>
          <w:p w14:paraId="7CC1B5F9" w14:textId="77777777" w:rsidR="00D16256" w:rsidRPr="00AF7228" w:rsidRDefault="00D16256" w:rsidP="00D16256">
            <w:pPr>
              <w:pStyle w:val="TableText"/>
            </w:pPr>
            <w:r w:rsidRPr="00AF7228">
              <w:t>12/10/2015</w:t>
            </w:r>
          </w:p>
        </w:tc>
        <w:tc>
          <w:tcPr>
            <w:tcW w:w="4489" w:type="dxa"/>
          </w:tcPr>
          <w:p w14:paraId="2E6F1BA0" w14:textId="33D5D194" w:rsidR="00D16256" w:rsidRPr="00AF7228" w:rsidRDefault="00AF7228" w:rsidP="00D16256">
            <w:pPr>
              <w:pStyle w:val="TableText"/>
            </w:pPr>
            <w:r w:rsidRPr="00AF7228">
              <w:t>4th</w:t>
            </w:r>
            <w:r w:rsidR="00D16256" w:rsidRPr="00AF7228">
              <w:t xml:space="preserve"> report: Mental health: a consensus for action </w:t>
            </w:r>
          </w:p>
        </w:tc>
        <w:tc>
          <w:tcPr>
            <w:tcW w:w="3266" w:type="dxa"/>
          </w:tcPr>
          <w:p w14:paraId="7783A0DD" w14:textId="77777777" w:rsidR="00D16256" w:rsidRPr="00AF7228" w:rsidRDefault="00D16256" w:rsidP="00D16256">
            <w:pPr>
              <w:pStyle w:val="TableText"/>
            </w:pPr>
            <w:r w:rsidRPr="00AF7228">
              <w:t>Select Committee on Health (Senate)</w:t>
            </w:r>
          </w:p>
        </w:tc>
      </w:tr>
      <w:tr w:rsidR="00D16256" w:rsidRPr="00AF7228" w14:paraId="443286B3" w14:textId="77777777" w:rsidTr="00AF7228">
        <w:tc>
          <w:tcPr>
            <w:tcW w:w="1418" w:type="dxa"/>
          </w:tcPr>
          <w:p w14:paraId="35154705" w14:textId="77777777" w:rsidR="00D16256" w:rsidRPr="00AF7228" w:rsidRDefault="00D16256" w:rsidP="00D16256">
            <w:pPr>
              <w:pStyle w:val="TableText"/>
            </w:pPr>
            <w:r w:rsidRPr="00AF7228">
              <w:t>17/03/2016</w:t>
            </w:r>
          </w:p>
        </w:tc>
        <w:tc>
          <w:tcPr>
            <w:tcW w:w="4489" w:type="dxa"/>
          </w:tcPr>
          <w:p w14:paraId="0C525C7E" w14:textId="77777777" w:rsidR="00D16256" w:rsidRPr="00AF7228" w:rsidRDefault="00D16256" w:rsidP="00D16256">
            <w:pPr>
              <w:pStyle w:val="TableText"/>
            </w:pPr>
            <w:r w:rsidRPr="00AF7228">
              <w:t xml:space="preserve">Mental health of Australian Defence Force members and veterans </w:t>
            </w:r>
          </w:p>
        </w:tc>
        <w:tc>
          <w:tcPr>
            <w:tcW w:w="3266" w:type="dxa"/>
          </w:tcPr>
          <w:p w14:paraId="4EB300CD" w14:textId="77777777" w:rsidR="00D16256" w:rsidRPr="00AF7228" w:rsidRDefault="00D16256" w:rsidP="00D16256">
            <w:pPr>
              <w:pStyle w:val="TableText"/>
            </w:pPr>
            <w:r w:rsidRPr="00AF7228">
              <w:t>Foreign Affairs, Defence and Trade Committee (Senate)</w:t>
            </w:r>
          </w:p>
        </w:tc>
      </w:tr>
      <w:tr w:rsidR="00D16256" w:rsidRPr="00AF7228" w14:paraId="15198BD2" w14:textId="77777777" w:rsidTr="00AF7228">
        <w:tc>
          <w:tcPr>
            <w:tcW w:w="1418" w:type="dxa"/>
          </w:tcPr>
          <w:p w14:paraId="61664CC7" w14:textId="77777777" w:rsidR="00D16256" w:rsidRPr="00AF7228" w:rsidRDefault="00D16256" w:rsidP="00D16256">
            <w:pPr>
              <w:pStyle w:val="TableText"/>
            </w:pPr>
            <w:r w:rsidRPr="00AF7228">
              <w:t>29/11/2016</w:t>
            </w:r>
          </w:p>
        </w:tc>
        <w:tc>
          <w:tcPr>
            <w:tcW w:w="4489" w:type="dxa"/>
          </w:tcPr>
          <w:p w14:paraId="2C9C60A3" w14:textId="77777777" w:rsidR="00D16256" w:rsidRPr="00AF7228" w:rsidRDefault="00D16256" w:rsidP="00D16256">
            <w:pPr>
              <w:pStyle w:val="TableText"/>
            </w:pPr>
            <w:r w:rsidRPr="00AF7228">
              <w:t xml:space="preserve">Indefinite detention of people with cognitive and psychiatric impairment in Australia </w:t>
            </w:r>
          </w:p>
        </w:tc>
        <w:tc>
          <w:tcPr>
            <w:tcW w:w="3266" w:type="dxa"/>
          </w:tcPr>
          <w:p w14:paraId="063407BD" w14:textId="77777777" w:rsidR="00D16256" w:rsidRPr="00AF7228" w:rsidRDefault="00D16256" w:rsidP="00D16256">
            <w:pPr>
              <w:pStyle w:val="TableText"/>
            </w:pPr>
            <w:r w:rsidRPr="00AF7228">
              <w:t>Community Affairs References Committee (Senate)</w:t>
            </w:r>
          </w:p>
        </w:tc>
      </w:tr>
      <w:tr w:rsidR="00D16256" w:rsidRPr="00AF7228" w14:paraId="4ADD2613" w14:textId="77777777" w:rsidTr="00AF7228">
        <w:tc>
          <w:tcPr>
            <w:tcW w:w="1418" w:type="dxa"/>
          </w:tcPr>
          <w:p w14:paraId="1015A692" w14:textId="77777777" w:rsidR="00D16256" w:rsidRPr="00AF7228" w:rsidRDefault="00D16256" w:rsidP="00D16256">
            <w:pPr>
              <w:pStyle w:val="TableText"/>
            </w:pPr>
            <w:r w:rsidRPr="00AF7228">
              <w:t>15/08/2017</w:t>
            </w:r>
          </w:p>
        </w:tc>
        <w:tc>
          <w:tcPr>
            <w:tcW w:w="4489" w:type="dxa"/>
          </w:tcPr>
          <w:p w14:paraId="29A3FA1E" w14:textId="5BD4F17B" w:rsidR="00D16256" w:rsidRPr="00AF7228" w:rsidRDefault="00D16256" w:rsidP="00D16256">
            <w:pPr>
              <w:pStyle w:val="TableText"/>
            </w:pPr>
            <w:r w:rsidRPr="00AF7228">
              <w:t xml:space="preserve">Provision of services under the NDIS for people with psychosocial disabilities related to mental health </w:t>
            </w:r>
          </w:p>
        </w:tc>
        <w:tc>
          <w:tcPr>
            <w:tcW w:w="3266" w:type="dxa"/>
          </w:tcPr>
          <w:p w14:paraId="12BF2AE4" w14:textId="77777777" w:rsidR="00D16256" w:rsidRPr="00AF7228" w:rsidRDefault="00D16256" w:rsidP="00D16256">
            <w:pPr>
              <w:pStyle w:val="TableText"/>
            </w:pPr>
            <w:r w:rsidRPr="00AF7228">
              <w:t>Joint Standing Committee on National Disability Insurance Scheme (both)</w:t>
            </w:r>
          </w:p>
        </w:tc>
      </w:tr>
      <w:tr w:rsidR="00D16256" w:rsidRPr="00AF7228" w14:paraId="35FBD7CB" w14:textId="77777777" w:rsidTr="00AF7228">
        <w:tc>
          <w:tcPr>
            <w:tcW w:w="1418" w:type="dxa"/>
          </w:tcPr>
          <w:p w14:paraId="210A780D" w14:textId="77777777" w:rsidR="00D16256" w:rsidRPr="00AF7228" w:rsidRDefault="00D16256" w:rsidP="00D16256">
            <w:pPr>
              <w:pStyle w:val="TableText"/>
            </w:pPr>
            <w:r w:rsidRPr="00AF7228">
              <w:t>15/08/2017</w:t>
            </w:r>
          </w:p>
        </w:tc>
        <w:tc>
          <w:tcPr>
            <w:tcW w:w="4489" w:type="dxa"/>
          </w:tcPr>
          <w:p w14:paraId="29AC59B3" w14:textId="77777777" w:rsidR="00D16256" w:rsidRPr="00AF7228" w:rsidRDefault="00D16256" w:rsidP="00D16256">
            <w:pPr>
              <w:pStyle w:val="TableText"/>
            </w:pPr>
            <w:r w:rsidRPr="00AF7228">
              <w:t>The constant battle: suicide by veterans</w:t>
            </w:r>
          </w:p>
        </w:tc>
        <w:tc>
          <w:tcPr>
            <w:tcW w:w="3266" w:type="dxa"/>
          </w:tcPr>
          <w:p w14:paraId="53F9ECBC" w14:textId="77777777" w:rsidR="00D16256" w:rsidRPr="00AF7228" w:rsidRDefault="00D16256" w:rsidP="00D16256">
            <w:pPr>
              <w:pStyle w:val="TableText"/>
            </w:pPr>
            <w:r w:rsidRPr="00AF7228">
              <w:t>Foreign Affairs, Defence and Trade Committee (Senate)</w:t>
            </w:r>
          </w:p>
        </w:tc>
      </w:tr>
      <w:tr w:rsidR="00D16256" w:rsidRPr="00AF7228" w14:paraId="176D03EA" w14:textId="77777777" w:rsidTr="00AF7228">
        <w:tc>
          <w:tcPr>
            <w:tcW w:w="1418" w:type="dxa"/>
          </w:tcPr>
          <w:p w14:paraId="19924504" w14:textId="77777777" w:rsidR="00D16256" w:rsidRPr="00AF7228" w:rsidRDefault="00D16256" w:rsidP="00D16256">
            <w:pPr>
              <w:pStyle w:val="TableText"/>
            </w:pPr>
            <w:r w:rsidRPr="00AF7228">
              <w:t>04/12/2018</w:t>
            </w:r>
          </w:p>
        </w:tc>
        <w:tc>
          <w:tcPr>
            <w:tcW w:w="4489" w:type="dxa"/>
          </w:tcPr>
          <w:p w14:paraId="1B6E5BC2" w14:textId="77777777" w:rsidR="00D16256" w:rsidRPr="00AF7228" w:rsidRDefault="00D16256" w:rsidP="00D16256">
            <w:pPr>
              <w:pStyle w:val="TableText"/>
            </w:pPr>
            <w:r w:rsidRPr="00AF7228">
              <w:t>Accessibility and quality of mental health services in rural &amp; remote Australia - Report</w:t>
            </w:r>
          </w:p>
        </w:tc>
        <w:tc>
          <w:tcPr>
            <w:tcW w:w="3266" w:type="dxa"/>
          </w:tcPr>
          <w:p w14:paraId="73C2E8E1" w14:textId="77777777" w:rsidR="00D16256" w:rsidRPr="00AF7228" w:rsidRDefault="00D16256" w:rsidP="00D16256">
            <w:pPr>
              <w:pStyle w:val="TableText"/>
            </w:pPr>
            <w:r w:rsidRPr="00AF7228">
              <w:t>Community Affairs References Committee (Senate)</w:t>
            </w:r>
          </w:p>
        </w:tc>
      </w:tr>
      <w:tr w:rsidR="00D16256" w:rsidRPr="00AF7228" w14:paraId="0937D003" w14:textId="77777777" w:rsidTr="00AF7228">
        <w:tc>
          <w:tcPr>
            <w:tcW w:w="1418" w:type="dxa"/>
          </w:tcPr>
          <w:p w14:paraId="4C3BEB5E" w14:textId="77777777" w:rsidR="00D16256" w:rsidRPr="00AF7228" w:rsidRDefault="00D16256" w:rsidP="00D16256">
            <w:pPr>
              <w:pStyle w:val="TableText"/>
            </w:pPr>
            <w:r w:rsidRPr="00AF7228">
              <w:t>14/02/2019</w:t>
            </w:r>
          </w:p>
        </w:tc>
        <w:tc>
          <w:tcPr>
            <w:tcW w:w="4489" w:type="dxa"/>
          </w:tcPr>
          <w:p w14:paraId="31C15A4E" w14:textId="77777777" w:rsidR="00D16256" w:rsidRPr="00AF7228" w:rsidRDefault="009F0A12" w:rsidP="00D16256">
            <w:pPr>
              <w:pStyle w:val="TableText"/>
            </w:pPr>
            <w:hyperlink r:id="rId50" w:tgtFrame="_top" w:history="1">
              <w:r w:rsidR="00D16256" w:rsidRPr="00AF7228">
                <w:t>Accessibility and quality of mental health services in rural and remote Australia—Additional information</w:t>
              </w:r>
            </w:hyperlink>
          </w:p>
        </w:tc>
        <w:tc>
          <w:tcPr>
            <w:tcW w:w="3266" w:type="dxa"/>
          </w:tcPr>
          <w:p w14:paraId="61B21E0D" w14:textId="77777777" w:rsidR="00D16256" w:rsidRPr="00AF7228" w:rsidRDefault="00D16256" w:rsidP="00D16256">
            <w:pPr>
              <w:pStyle w:val="TableText"/>
            </w:pPr>
            <w:r w:rsidRPr="00AF7228">
              <w:t>Community Affairs References Committee (Senate)</w:t>
            </w:r>
          </w:p>
        </w:tc>
      </w:tr>
    </w:tbl>
    <w:p w14:paraId="04EC9EF9" w14:textId="77777777" w:rsidR="00D16256" w:rsidRPr="00AF7228" w:rsidRDefault="00D16256" w:rsidP="00117D83">
      <w:pPr>
        <w:pStyle w:val="Heading3"/>
      </w:pPr>
      <w:bookmarkStart w:id="136" w:name="_Toc6238848"/>
      <w:r w:rsidRPr="00AF7228">
        <w:t>Reviews by State/Territory Statutory Authorities Since 2006</w:t>
      </w:r>
      <w:bookmarkEnd w:id="136"/>
    </w:p>
    <w:p w14:paraId="049B581B" w14:textId="5EBDCBA3" w:rsidR="00D16256" w:rsidRPr="00AF7228" w:rsidRDefault="00D16256" w:rsidP="00D16256">
      <w:pPr>
        <w:pStyle w:val="BodyText"/>
        <w:ind w:right="-36"/>
      </w:pPr>
      <w:r w:rsidRPr="00AF7228">
        <w:t xml:space="preserve">Griffiths, Mendoza and Carron-Arthur (2015) </w:t>
      </w:r>
      <w:r w:rsidRPr="00AF7228">
        <w:rPr>
          <w:rFonts w:eastAsiaTheme="minorEastAsia"/>
        </w:rPr>
        <w:t xml:space="preserve">conducted a systematic qualitative review of all </w:t>
      </w:r>
      <w:r w:rsidRPr="00AF7228">
        <w:t xml:space="preserve">32 </w:t>
      </w:r>
      <w:r w:rsidRPr="00AF7228">
        <w:rPr>
          <w:rFonts w:eastAsiaTheme="minorEastAsia"/>
        </w:rPr>
        <w:t xml:space="preserve">audits undertaken </w:t>
      </w:r>
      <w:r w:rsidRPr="00AF7228">
        <w:t xml:space="preserve">by statutory authorities </w:t>
      </w:r>
      <w:r w:rsidRPr="00AF7228">
        <w:rPr>
          <w:rFonts w:eastAsiaTheme="minorEastAsia"/>
        </w:rPr>
        <w:t xml:space="preserve">in Australia between </w:t>
      </w:r>
      <w:r w:rsidRPr="00AF7228">
        <w:t>mid-</w:t>
      </w:r>
      <w:r w:rsidRPr="00AF7228">
        <w:rPr>
          <w:rFonts w:eastAsiaTheme="minorEastAsia"/>
        </w:rPr>
        <w:t xml:space="preserve">2006 and </w:t>
      </w:r>
      <w:r w:rsidRPr="00AF7228">
        <w:t>mid-</w:t>
      </w:r>
      <w:r w:rsidRPr="00AF7228">
        <w:rPr>
          <w:rFonts w:eastAsiaTheme="minorEastAsia"/>
        </w:rPr>
        <w:t>201</w:t>
      </w:r>
      <w:r w:rsidRPr="00AF7228">
        <w:t xml:space="preserve">1. This period covered the years of the COAG National Mental Health Plan which saw the largest ever increase (in real terms </w:t>
      </w:r>
      <w:r w:rsidRPr="00AF7228">
        <w:lastRenderedPageBreak/>
        <w:t>around 20%) of mental health funding. These audits were undertaken by Offices of Auditor’s General, Ombudsman, Public Advocates, Child Safety Commissions, Human Rights Commissions, and Public Trustees.</w:t>
      </w:r>
      <w:r w:rsidRPr="00AF7228">
        <w:rPr>
          <w:rFonts w:eastAsiaTheme="minorEastAsia"/>
        </w:rPr>
        <w:t xml:space="preserve"> </w:t>
      </w:r>
      <w:r w:rsidRPr="00AF7228">
        <w:t xml:space="preserve">It did not include reports conducted by Coroner’s, including those examining suicide clusters. </w:t>
      </w:r>
    </w:p>
    <w:p w14:paraId="568FA646" w14:textId="26B05A4D" w:rsidR="00D16256" w:rsidRPr="00AF7228" w:rsidRDefault="00D16256" w:rsidP="00D16256">
      <w:pPr>
        <w:pStyle w:val="BodyText"/>
        <w:ind w:right="-36"/>
      </w:pPr>
      <w:r w:rsidRPr="00AF7228">
        <w:t>The majority of these reports focus on mental health services or systems of care, interagency arrangements and accountability. Some, particularly those undertaken by Public Advocates and Ombudsman, address individual cases. Nonetheless, these individual cases reveal consistent,</w:t>
      </w:r>
      <w:r w:rsidR="00EF3888">
        <w:t xml:space="preserve"> </w:t>
      </w:r>
      <w:r w:rsidRPr="00AF7228">
        <w:t>systemic problems with mental health care.</w:t>
      </w:r>
    </w:p>
    <w:p w14:paraId="5FEABA8C" w14:textId="5684F72A" w:rsidR="00D16256" w:rsidRPr="00AF7228" w:rsidRDefault="00AF7228" w:rsidP="00D16256">
      <w:pPr>
        <w:pStyle w:val="BodyText"/>
        <w:ind w:right="-36"/>
      </w:pPr>
      <w:r w:rsidRPr="00AF7228">
        <w:t xml:space="preserve">For this submission, </w:t>
      </w:r>
      <w:r w:rsidR="00D16256" w:rsidRPr="00AF7228">
        <w:t>a partial review of these websites and those of the state and territory parliaments in four jurisdictions (NSW, SA, Victoria, WA)</w:t>
      </w:r>
      <w:r w:rsidRPr="00AF7228">
        <w:t xml:space="preserve"> for the period from July 2011 to March 2019</w:t>
      </w:r>
      <w:r w:rsidR="00D16256" w:rsidRPr="00AF7228">
        <w:t>,</w:t>
      </w:r>
      <w:r w:rsidR="00B06990" w:rsidRPr="00AF7228">
        <w:t xml:space="preserve"> </w:t>
      </w:r>
      <w:r w:rsidR="00D16256" w:rsidRPr="00AF7228">
        <w:t xml:space="preserve">revealed another 42 reports where mental health and/or suicide prevention were a first or second order focus. The list includes only </w:t>
      </w:r>
      <w:r w:rsidR="00EF3888">
        <w:t>two</w:t>
      </w:r>
      <w:r w:rsidR="00EF3888" w:rsidRPr="00AF7228">
        <w:t xml:space="preserve"> </w:t>
      </w:r>
      <w:r w:rsidR="00D16256" w:rsidRPr="00AF7228">
        <w:t xml:space="preserve">reports from a state Health Department – they </w:t>
      </w:r>
      <w:r w:rsidR="00EF3888">
        <w:t xml:space="preserve">have </w:t>
      </w:r>
      <w:r w:rsidR="00D16256" w:rsidRPr="00AF7228">
        <w:t xml:space="preserve">been from South Australia and linked to inquiries by statutory offices. </w:t>
      </w:r>
    </w:p>
    <w:p w14:paraId="4B037502" w14:textId="6A8E30A7" w:rsidR="00D16256" w:rsidRPr="00AF7228" w:rsidRDefault="00D16256" w:rsidP="00D16256">
      <w:pPr>
        <w:pStyle w:val="BodyText"/>
        <w:ind w:right="-36"/>
      </w:pPr>
      <w:r w:rsidRPr="00AF7228">
        <w:t xml:space="preserve">Almost all the annual reports issued by these </w:t>
      </w:r>
      <w:r w:rsidR="00AF7228" w:rsidRPr="00AF7228">
        <w:t xml:space="preserve">state/territory </w:t>
      </w:r>
      <w:r w:rsidRPr="00AF7228">
        <w:t>statutory agencies in the period since 2011</w:t>
      </w:r>
      <w:r w:rsidR="00AF7228" w:rsidRPr="00AF7228">
        <w:t>,</w:t>
      </w:r>
      <w:r w:rsidRPr="00AF7228">
        <w:t xml:space="preserve"> </w:t>
      </w:r>
      <w:r w:rsidR="00AF7228" w:rsidRPr="00AF7228">
        <w:t xml:space="preserve">also </w:t>
      </w:r>
      <w:r w:rsidRPr="00AF7228">
        <w:t xml:space="preserve">contain references specifically to mental </w:t>
      </w:r>
      <w:r w:rsidR="00AD3544" w:rsidRPr="00AF7228">
        <w:t>health, but</w:t>
      </w:r>
      <w:r w:rsidRPr="00AF7228">
        <w:t xml:space="preserve"> have been omitted from </w:t>
      </w:r>
      <w:r w:rsidR="00AF7228" w:rsidRPr="00AF7228">
        <w:t>T</w:t>
      </w:r>
      <w:r w:rsidRPr="00AF7228">
        <w:t>able</w:t>
      </w:r>
      <w:r w:rsidR="00AF7228" w:rsidRPr="00AF7228">
        <w:t xml:space="preserve"> 9</w:t>
      </w:r>
      <w:r w:rsidRPr="00AF7228">
        <w:t>.</w:t>
      </w:r>
    </w:p>
    <w:p w14:paraId="5EACB9FF" w14:textId="5770C7CE" w:rsidR="00D16256" w:rsidRPr="00AF7228" w:rsidRDefault="00D16256" w:rsidP="00D16256">
      <w:pPr>
        <w:pStyle w:val="TableCaption"/>
      </w:pPr>
      <w:bookmarkStart w:id="137" w:name="_Toc6238003"/>
      <w:r w:rsidRPr="00AF7228">
        <w:t>Reviews Undertaken by State/Territory Statutory Authorities, 2011-2019</w:t>
      </w:r>
      <w:bookmarkEnd w:id="137"/>
    </w:p>
    <w:tbl>
      <w:tblPr>
        <w:tblStyle w:val="TableGrid"/>
        <w:tblW w:w="0" w:type="auto"/>
        <w:tblInd w:w="-5" w:type="dxa"/>
        <w:tblLook w:val="04A0" w:firstRow="1" w:lastRow="0" w:firstColumn="1" w:lastColumn="0" w:noHBand="0" w:noVBand="1"/>
      </w:tblPr>
      <w:tblGrid>
        <w:gridCol w:w="993"/>
        <w:gridCol w:w="5811"/>
        <w:gridCol w:w="2369"/>
      </w:tblGrid>
      <w:tr w:rsidR="00D16256" w:rsidRPr="00AF7228" w14:paraId="13E36801" w14:textId="77777777" w:rsidTr="00AF7228">
        <w:tc>
          <w:tcPr>
            <w:tcW w:w="993" w:type="dxa"/>
          </w:tcPr>
          <w:p w14:paraId="23685789" w14:textId="77777777" w:rsidR="00D16256" w:rsidRPr="00AF7228" w:rsidRDefault="00D16256" w:rsidP="00D16256">
            <w:pPr>
              <w:pStyle w:val="TableHeading"/>
              <w:jc w:val="center"/>
              <w:rPr>
                <w:b/>
                <w:color w:val="4F81BD" w:themeColor="accent1"/>
              </w:rPr>
            </w:pPr>
            <w:r w:rsidRPr="00AF7228">
              <w:rPr>
                <w:b/>
                <w:color w:val="4F81BD" w:themeColor="accent1"/>
              </w:rPr>
              <w:t>Year</w:t>
            </w:r>
          </w:p>
        </w:tc>
        <w:tc>
          <w:tcPr>
            <w:tcW w:w="5811" w:type="dxa"/>
          </w:tcPr>
          <w:p w14:paraId="74F2EBD2" w14:textId="77777777" w:rsidR="00D16256" w:rsidRPr="00AF7228" w:rsidRDefault="00D16256" w:rsidP="00D16256">
            <w:pPr>
              <w:pStyle w:val="TableHeading"/>
              <w:jc w:val="center"/>
              <w:rPr>
                <w:b/>
                <w:color w:val="4F81BD" w:themeColor="accent1"/>
              </w:rPr>
            </w:pPr>
            <w:r w:rsidRPr="00AF7228">
              <w:rPr>
                <w:b/>
                <w:color w:val="4F81BD" w:themeColor="accent1"/>
              </w:rPr>
              <w:t>Name of Inquiry/Report</w:t>
            </w:r>
          </w:p>
        </w:tc>
        <w:tc>
          <w:tcPr>
            <w:tcW w:w="2369" w:type="dxa"/>
          </w:tcPr>
          <w:p w14:paraId="264DDB51" w14:textId="77777777" w:rsidR="00D16256" w:rsidRPr="00AF7228" w:rsidRDefault="00D16256" w:rsidP="00D16256">
            <w:pPr>
              <w:pStyle w:val="TableHeading"/>
              <w:jc w:val="center"/>
              <w:rPr>
                <w:b/>
                <w:color w:val="4F81BD" w:themeColor="accent1"/>
              </w:rPr>
            </w:pPr>
            <w:r w:rsidRPr="00AF7228">
              <w:rPr>
                <w:b/>
                <w:color w:val="4F81BD" w:themeColor="accent1"/>
              </w:rPr>
              <w:t>Organisation/Committee</w:t>
            </w:r>
          </w:p>
        </w:tc>
      </w:tr>
      <w:tr w:rsidR="00D16256" w:rsidRPr="00AF7228" w14:paraId="6CF1FF9E" w14:textId="77777777" w:rsidTr="00AF7228">
        <w:tc>
          <w:tcPr>
            <w:tcW w:w="993" w:type="dxa"/>
          </w:tcPr>
          <w:p w14:paraId="16199CF9" w14:textId="77777777" w:rsidR="00D16256" w:rsidRPr="00AF7228" w:rsidRDefault="00D16256" w:rsidP="00D16256">
            <w:pPr>
              <w:pStyle w:val="TableText"/>
            </w:pPr>
            <w:r w:rsidRPr="00AF7228">
              <w:t>2012</w:t>
            </w:r>
          </w:p>
        </w:tc>
        <w:tc>
          <w:tcPr>
            <w:tcW w:w="5811" w:type="dxa"/>
          </w:tcPr>
          <w:p w14:paraId="6FA7AF2E" w14:textId="77777777" w:rsidR="00D16256" w:rsidRPr="00AF7228" w:rsidRDefault="00D16256" w:rsidP="00D16256">
            <w:pPr>
              <w:pStyle w:val="TableText"/>
            </w:pPr>
            <w:r w:rsidRPr="00AF7228">
              <w:t xml:space="preserve">Denial of rights: the need to improve accommodation and support for people with psychiatric disability. </w:t>
            </w:r>
          </w:p>
        </w:tc>
        <w:tc>
          <w:tcPr>
            <w:tcW w:w="2369" w:type="dxa"/>
          </w:tcPr>
          <w:p w14:paraId="0EF876CB" w14:textId="77777777" w:rsidR="00D16256" w:rsidRPr="00AF7228" w:rsidRDefault="00D16256" w:rsidP="00D16256">
            <w:pPr>
              <w:pStyle w:val="TableText"/>
            </w:pPr>
            <w:r w:rsidRPr="00AF7228">
              <w:t>NSW Ombudsman</w:t>
            </w:r>
          </w:p>
        </w:tc>
      </w:tr>
      <w:tr w:rsidR="00D16256" w:rsidRPr="00AF7228" w14:paraId="3B0DB8D3" w14:textId="77777777" w:rsidTr="00AF7228">
        <w:tc>
          <w:tcPr>
            <w:tcW w:w="993" w:type="dxa"/>
          </w:tcPr>
          <w:p w14:paraId="1AE8413E" w14:textId="77777777" w:rsidR="00D16256" w:rsidRPr="00AF7228" w:rsidRDefault="00D16256" w:rsidP="00D16256">
            <w:pPr>
              <w:pStyle w:val="TableText"/>
            </w:pPr>
            <w:r w:rsidRPr="00AF7228">
              <w:t>2012</w:t>
            </w:r>
          </w:p>
        </w:tc>
        <w:tc>
          <w:tcPr>
            <w:tcW w:w="5811" w:type="dxa"/>
          </w:tcPr>
          <w:p w14:paraId="5B1BB047" w14:textId="77777777" w:rsidR="00D16256" w:rsidRPr="00AF7228" w:rsidRDefault="009F0A12" w:rsidP="00D16256">
            <w:pPr>
              <w:pStyle w:val="TableText"/>
            </w:pPr>
            <w:hyperlink r:id="rId51" w:tgtFrame="_blank" w:tooltip="Department for Correctional Services - Restraining and Shackling of Prisoners in Hospitals" w:history="1">
              <w:r w:rsidR="00D16256" w:rsidRPr="00AF7228">
                <w:t>Dept for Correctional Services – Restraining and shackling of prisoners in hospitals</w:t>
              </w:r>
            </w:hyperlink>
          </w:p>
        </w:tc>
        <w:tc>
          <w:tcPr>
            <w:tcW w:w="2369" w:type="dxa"/>
          </w:tcPr>
          <w:p w14:paraId="50467BF1" w14:textId="77777777" w:rsidR="00D16256" w:rsidRPr="00AF7228" w:rsidRDefault="00D16256" w:rsidP="00D16256">
            <w:pPr>
              <w:pStyle w:val="TableText"/>
            </w:pPr>
            <w:r w:rsidRPr="00AF7228">
              <w:t>SA Ombudsman</w:t>
            </w:r>
          </w:p>
        </w:tc>
      </w:tr>
      <w:tr w:rsidR="00D16256" w:rsidRPr="00AF7228" w14:paraId="117A571D" w14:textId="77777777" w:rsidTr="00AF7228">
        <w:tc>
          <w:tcPr>
            <w:tcW w:w="993" w:type="dxa"/>
          </w:tcPr>
          <w:p w14:paraId="18783C30" w14:textId="77777777" w:rsidR="00D16256" w:rsidRPr="00AF7228" w:rsidRDefault="00D16256" w:rsidP="00D16256">
            <w:pPr>
              <w:pStyle w:val="TableText"/>
            </w:pPr>
            <w:r w:rsidRPr="00AF7228">
              <w:t>2013</w:t>
            </w:r>
          </w:p>
        </w:tc>
        <w:tc>
          <w:tcPr>
            <w:tcW w:w="5811" w:type="dxa"/>
          </w:tcPr>
          <w:p w14:paraId="57A9C67E" w14:textId="77777777" w:rsidR="00D16256" w:rsidRPr="00AF7228" w:rsidRDefault="00D16256" w:rsidP="00D16256">
            <w:pPr>
              <w:pStyle w:val="TableText"/>
            </w:pPr>
            <w:r w:rsidRPr="00AF7228">
              <w:t>Addressing Homelessness: Partnerships and Plans</w:t>
            </w:r>
          </w:p>
        </w:tc>
        <w:tc>
          <w:tcPr>
            <w:tcW w:w="2369" w:type="dxa"/>
          </w:tcPr>
          <w:p w14:paraId="2730AD70" w14:textId="77777777" w:rsidR="00D16256" w:rsidRPr="00AF7228" w:rsidRDefault="00D16256" w:rsidP="00D16256">
            <w:pPr>
              <w:pStyle w:val="TableText"/>
            </w:pPr>
            <w:r w:rsidRPr="00AF7228">
              <w:t>Victorian Auditor General</w:t>
            </w:r>
          </w:p>
        </w:tc>
      </w:tr>
      <w:tr w:rsidR="00D16256" w:rsidRPr="00AF7228" w14:paraId="740D9BBA" w14:textId="77777777" w:rsidTr="00AF7228">
        <w:tc>
          <w:tcPr>
            <w:tcW w:w="993" w:type="dxa"/>
          </w:tcPr>
          <w:p w14:paraId="1D6CBA92" w14:textId="77777777" w:rsidR="00D16256" w:rsidRPr="00AF7228" w:rsidRDefault="00D16256" w:rsidP="00D16256">
            <w:pPr>
              <w:pStyle w:val="TableText"/>
            </w:pPr>
            <w:r w:rsidRPr="00AF7228">
              <w:t>2013</w:t>
            </w:r>
          </w:p>
        </w:tc>
        <w:tc>
          <w:tcPr>
            <w:tcW w:w="5811" w:type="dxa"/>
          </w:tcPr>
          <w:p w14:paraId="6F3E2E01" w14:textId="77777777" w:rsidR="00D16256" w:rsidRPr="00AF7228" w:rsidRDefault="009F0A12" w:rsidP="00D16256">
            <w:pPr>
              <w:pStyle w:val="TableText"/>
            </w:pPr>
            <w:hyperlink r:id="rId52" w:tgtFrame="_blank" w:tooltip="Department for Correctional Services - Treatment of a prisoner" w:history="1">
              <w:r w:rsidR="00D16256" w:rsidRPr="00AF7228">
                <w:t>Dept for Correctional Services – Treatment of a prisoner</w:t>
              </w:r>
            </w:hyperlink>
          </w:p>
        </w:tc>
        <w:tc>
          <w:tcPr>
            <w:tcW w:w="2369" w:type="dxa"/>
          </w:tcPr>
          <w:p w14:paraId="3F77DAB1" w14:textId="77777777" w:rsidR="00D16256" w:rsidRPr="00AF7228" w:rsidRDefault="00D16256" w:rsidP="00D16256">
            <w:pPr>
              <w:pStyle w:val="TableText"/>
            </w:pPr>
            <w:r w:rsidRPr="00AF7228">
              <w:t>SA Ombudsman</w:t>
            </w:r>
          </w:p>
        </w:tc>
      </w:tr>
      <w:tr w:rsidR="00D16256" w:rsidRPr="00AF7228" w14:paraId="38AD9D1A" w14:textId="77777777" w:rsidTr="00AF7228">
        <w:tc>
          <w:tcPr>
            <w:tcW w:w="993" w:type="dxa"/>
          </w:tcPr>
          <w:p w14:paraId="491C3032" w14:textId="77777777" w:rsidR="00D16256" w:rsidRPr="00AF7228" w:rsidRDefault="00D16256" w:rsidP="00D16256">
            <w:pPr>
              <w:pStyle w:val="TableText"/>
            </w:pPr>
            <w:r w:rsidRPr="00AF7228">
              <w:t>2013</w:t>
            </w:r>
          </w:p>
        </w:tc>
        <w:tc>
          <w:tcPr>
            <w:tcW w:w="5811" w:type="dxa"/>
          </w:tcPr>
          <w:p w14:paraId="5971D14B" w14:textId="77777777" w:rsidR="00D16256" w:rsidRPr="00AF7228" w:rsidRDefault="00D16256" w:rsidP="00D16256">
            <w:pPr>
              <w:pStyle w:val="TableText"/>
            </w:pPr>
            <w:r w:rsidRPr="00AF7228">
              <w:t>Investigation into children transferred from the youth justice system to the adult prison system</w:t>
            </w:r>
          </w:p>
        </w:tc>
        <w:tc>
          <w:tcPr>
            <w:tcW w:w="2369" w:type="dxa"/>
          </w:tcPr>
          <w:p w14:paraId="7E770FFF" w14:textId="77777777" w:rsidR="00D16256" w:rsidRPr="00AF7228" w:rsidRDefault="00D16256" w:rsidP="00D16256">
            <w:pPr>
              <w:pStyle w:val="TableText"/>
            </w:pPr>
            <w:r w:rsidRPr="00AF7228">
              <w:t>Victorian Ombudsman</w:t>
            </w:r>
          </w:p>
        </w:tc>
      </w:tr>
      <w:tr w:rsidR="00D16256" w:rsidRPr="00AF7228" w14:paraId="304EC3B3" w14:textId="77777777" w:rsidTr="00AF7228">
        <w:tc>
          <w:tcPr>
            <w:tcW w:w="993" w:type="dxa"/>
          </w:tcPr>
          <w:p w14:paraId="7770C4D6" w14:textId="77777777" w:rsidR="00D16256" w:rsidRPr="00AF7228" w:rsidRDefault="00D16256" w:rsidP="00D16256">
            <w:pPr>
              <w:pStyle w:val="TableText"/>
            </w:pPr>
            <w:r w:rsidRPr="00AF7228">
              <w:t>2013</w:t>
            </w:r>
          </w:p>
        </w:tc>
        <w:tc>
          <w:tcPr>
            <w:tcW w:w="5811" w:type="dxa"/>
          </w:tcPr>
          <w:p w14:paraId="3C3C3024" w14:textId="77777777" w:rsidR="00D16256" w:rsidRPr="00AF7228" w:rsidRDefault="00D16256" w:rsidP="00D16256">
            <w:pPr>
              <w:pStyle w:val="TableText"/>
            </w:pPr>
            <w:r w:rsidRPr="00AF7228">
              <w:t xml:space="preserve">A Better Way. A report into the Department of Housing’s disruptive behaviour strategy &amp; more effective methods for dealing with tenants </w:t>
            </w:r>
          </w:p>
        </w:tc>
        <w:tc>
          <w:tcPr>
            <w:tcW w:w="2369" w:type="dxa"/>
          </w:tcPr>
          <w:p w14:paraId="6C0FAC38" w14:textId="77777777" w:rsidR="00D16256" w:rsidRPr="00AF7228" w:rsidRDefault="00D16256" w:rsidP="00D16256">
            <w:pPr>
              <w:pStyle w:val="TableText"/>
            </w:pPr>
            <w:r w:rsidRPr="00AF7228">
              <w:t>WA Equal Opportunity Commissioner</w:t>
            </w:r>
          </w:p>
        </w:tc>
      </w:tr>
      <w:tr w:rsidR="00D16256" w:rsidRPr="00AF7228" w14:paraId="5346B069" w14:textId="77777777" w:rsidTr="00AF7228">
        <w:tc>
          <w:tcPr>
            <w:tcW w:w="993" w:type="dxa"/>
          </w:tcPr>
          <w:p w14:paraId="58B67E78" w14:textId="77777777" w:rsidR="00D16256" w:rsidRPr="00AF7228" w:rsidRDefault="00D16256" w:rsidP="00D16256">
            <w:pPr>
              <w:pStyle w:val="TableText"/>
            </w:pPr>
            <w:r w:rsidRPr="00AF7228">
              <w:t>2014</w:t>
            </w:r>
          </w:p>
        </w:tc>
        <w:tc>
          <w:tcPr>
            <w:tcW w:w="5811" w:type="dxa"/>
          </w:tcPr>
          <w:p w14:paraId="6C1EB6A1" w14:textId="77777777" w:rsidR="00D16256" w:rsidRPr="00AF7228" w:rsidRDefault="00D16256" w:rsidP="00D16256">
            <w:pPr>
              <w:pStyle w:val="TableText"/>
            </w:pPr>
            <w:r w:rsidRPr="00AF7228">
              <w:t>Investigation into ways that State Government departments and authorities can prevent or reduce suicide by young people</w:t>
            </w:r>
          </w:p>
        </w:tc>
        <w:tc>
          <w:tcPr>
            <w:tcW w:w="2369" w:type="dxa"/>
          </w:tcPr>
          <w:p w14:paraId="7151340C" w14:textId="77777777" w:rsidR="00D16256" w:rsidRPr="00AF7228" w:rsidRDefault="00D16256" w:rsidP="00D16256">
            <w:pPr>
              <w:pStyle w:val="TableText"/>
            </w:pPr>
            <w:r w:rsidRPr="00AF7228">
              <w:t xml:space="preserve">WA Ombudsman </w:t>
            </w:r>
          </w:p>
        </w:tc>
      </w:tr>
      <w:tr w:rsidR="00D16256" w:rsidRPr="00AF7228" w14:paraId="5E1F05B9" w14:textId="77777777" w:rsidTr="00AF7228">
        <w:tc>
          <w:tcPr>
            <w:tcW w:w="993" w:type="dxa"/>
          </w:tcPr>
          <w:p w14:paraId="59EA9651" w14:textId="77777777" w:rsidR="00D16256" w:rsidRPr="00AF7228" w:rsidRDefault="00D16256" w:rsidP="00D16256">
            <w:pPr>
              <w:pStyle w:val="TableText"/>
            </w:pPr>
            <w:r w:rsidRPr="00AF7228">
              <w:t>2014</w:t>
            </w:r>
          </w:p>
        </w:tc>
        <w:tc>
          <w:tcPr>
            <w:tcW w:w="5811" w:type="dxa"/>
          </w:tcPr>
          <w:p w14:paraId="17958A07" w14:textId="77777777" w:rsidR="00D16256" w:rsidRPr="00AF7228" w:rsidRDefault="00D16256" w:rsidP="00D16256">
            <w:pPr>
              <w:pStyle w:val="TableText"/>
            </w:pPr>
            <w:r w:rsidRPr="00AF7228">
              <w:t>Investigation into deaths and harm in custody (suicide)</w:t>
            </w:r>
          </w:p>
        </w:tc>
        <w:tc>
          <w:tcPr>
            <w:tcW w:w="2369" w:type="dxa"/>
          </w:tcPr>
          <w:p w14:paraId="5EDCF7E5" w14:textId="77777777" w:rsidR="00D16256" w:rsidRPr="00AF7228" w:rsidRDefault="00D16256" w:rsidP="00D16256">
            <w:pPr>
              <w:pStyle w:val="TableText"/>
            </w:pPr>
            <w:r w:rsidRPr="00AF7228">
              <w:t>Victorian Ombudsman</w:t>
            </w:r>
          </w:p>
        </w:tc>
      </w:tr>
      <w:tr w:rsidR="00D16256" w:rsidRPr="00AF7228" w14:paraId="5EDF3050" w14:textId="77777777" w:rsidTr="00AF7228">
        <w:tc>
          <w:tcPr>
            <w:tcW w:w="993" w:type="dxa"/>
          </w:tcPr>
          <w:p w14:paraId="672B7BDF" w14:textId="77777777" w:rsidR="00D16256" w:rsidRPr="00AF7228" w:rsidRDefault="00D16256" w:rsidP="00D16256">
            <w:pPr>
              <w:pStyle w:val="TableText"/>
            </w:pPr>
            <w:r w:rsidRPr="00AF7228">
              <w:t>2014</w:t>
            </w:r>
          </w:p>
        </w:tc>
        <w:tc>
          <w:tcPr>
            <w:tcW w:w="5811" w:type="dxa"/>
          </w:tcPr>
          <w:p w14:paraId="0A3C08E9" w14:textId="77777777" w:rsidR="00D16256" w:rsidRPr="00AF7228" w:rsidRDefault="00D16256" w:rsidP="00D16256">
            <w:pPr>
              <w:pStyle w:val="TableText"/>
            </w:pPr>
            <w:r w:rsidRPr="00AF7228">
              <w:t>Mental Health Strategies for the Justice System</w:t>
            </w:r>
          </w:p>
        </w:tc>
        <w:tc>
          <w:tcPr>
            <w:tcW w:w="2369" w:type="dxa"/>
          </w:tcPr>
          <w:p w14:paraId="3C2E7F87" w14:textId="77777777" w:rsidR="00D16256" w:rsidRPr="00AF7228" w:rsidRDefault="00D16256" w:rsidP="00D16256">
            <w:pPr>
              <w:pStyle w:val="TableText"/>
            </w:pPr>
            <w:r w:rsidRPr="00AF7228">
              <w:t>Victorian Auditor General</w:t>
            </w:r>
          </w:p>
        </w:tc>
      </w:tr>
      <w:tr w:rsidR="00D16256" w:rsidRPr="00AF7228" w14:paraId="63D7E3EF" w14:textId="77777777" w:rsidTr="00AF7228">
        <w:tc>
          <w:tcPr>
            <w:tcW w:w="993" w:type="dxa"/>
          </w:tcPr>
          <w:p w14:paraId="334D57D6" w14:textId="77777777" w:rsidR="00D16256" w:rsidRPr="00AF7228" w:rsidRDefault="00D16256" w:rsidP="00D16256">
            <w:pPr>
              <w:pStyle w:val="TableText"/>
            </w:pPr>
            <w:r w:rsidRPr="00AF7228">
              <w:t>2014</w:t>
            </w:r>
          </w:p>
        </w:tc>
        <w:tc>
          <w:tcPr>
            <w:tcW w:w="5811" w:type="dxa"/>
          </w:tcPr>
          <w:p w14:paraId="392F805D" w14:textId="2D1E0FE8" w:rsidR="00D16256" w:rsidRPr="00AF7228" w:rsidRDefault="00D16256" w:rsidP="00D16256">
            <w:pPr>
              <w:pStyle w:val="TableText"/>
            </w:pPr>
            <w:r w:rsidRPr="00AF7228">
              <w:t xml:space="preserve">Implementation </w:t>
            </w:r>
            <w:r w:rsidR="00EF3888">
              <w:t>and</w:t>
            </w:r>
            <w:r w:rsidR="00EF3888" w:rsidRPr="00AF7228">
              <w:t xml:space="preserve"> </w:t>
            </w:r>
            <w:r w:rsidRPr="00AF7228">
              <w:t>Initial Outcomes of the Suicide Prevention Strategy</w:t>
            </w:r>
          </w:p>
        </w:tc>
        <w:tc>
          <w:tcPr>
            <w:tcW w:w="2369" w:type="dxa"/>
          </w:tcPr>
          <w:p w14:paraId="6E5C3E88" w14:textId="77777777" w:rsidR="00D16256" w:rsidRPr="00AF7228" w:rsidRDefault="00D16256" w:rsidP="00D16256">
            <w:pPr>
              <w:pStyle w:val="TableText"/>
            </w:pPr>
            <w:r w:rsidRPr="00AF7228">
              <w:t xml:space="preserve">WA Auditor General </w:t>
            </w:r>
          </w:p>
        </w:tc>
      </w:tr>
      <w:tr w:rsidR="00D16256" w:rsidRPr="00AF7228" w14:paraId="251D5020" w14:textId="77777777" w:rsidTr="00AF7228">
        <w:tc>
          <w:tcPr>
            <w:tcW w:w="993" w:type="dxa"/>
          </w:tcPr>
          <w:p w14:paraId="6C5043D4" w14:textId="77777777" w:rsidR="00D16256" w:rsidRPr="00AF7228" w:rsidRDefault="00D16256" w:rsidP="00D16256">
            <w:pPr>
              <w:pStyle w:val="TableText"/>
            </w:pPr>
            <w:r w:rsidRPr="00AF7228">
              <w:t>2014</w:t>
            </w:r>
          </w:p>
        </w:tc>
        <w:tc>
          <w:tcPr>
            <w:tcW w:w="5811" w:type="dxa"/>
          </w:tcPr>
          <w:p w14:paraId="5E470D75" w14:textId="77777777" w:rsidR="00D16256" w:rsidRPr="00AF7228" w:rsidRDefault="00D16256" w:rsidP="00D16256">
            <w:pPr>
              <w:pStyle w:val="TableText"/>
            </w:pPr>
            <w:r w:rsidRPr="00AF7228">
              <w:t>Licensing and Regulation of Psychiatric Hostels</w:t>
            </w:r>
          </w:p>
        </w:tc>
        <w:tc>
          <w:tcPr>
            <w:tcW w:w="2369" w:type="dxa"/>
          </w:tcPr>
          <w:p w14:paraId="66DC1BA4" w14:textId="77777777" w:rsidR="00D16256" w:rsidRPr="00AF7228" w:rsidRDefault="00D16256" w:rsidP="00D16256">
            <w:pPr>
              <w:pStyle w:val="TableText"/>
            </w:pPr>
            <w:r w:rsidRPr="00AF7228">
              <w:t>WA Auditor General</w:t>
            </w:r>
          </w:p>
        </w:tc>
      </w:tr>
      <w:tr w:rsidR="00D16256" w:rsidRPr="00AF7228" w14:paraId="4A9EF119" w14:textId="77777777" w:rsidTr="00AF7228">
        <w:tc>
          <w:tcPr>
            <w:tcW w:w="993" w:type="dxa"/>
          </w:tcPr>
          <w:p w14:paraId="7097A487" w14:textId="77777777" w:rsidR="00D16256" w:rsidRPr="00AF7228" w:rsidRDefault="00D16256" w:rsidP="00D16256">
            <w:pPr>
              <w:pStyle w:val="TableText"/>
            </w:pPr>
            <w:r w:rsidRPr="00AF7228">
              <w:t>2014</w:t>
            </w:r>
          </w:p>
        </w:tc>
        <w:tc>
          <w:tcPr>
            <w:tcW w:w="5811" w:type="dxa"/>
          </w:tcPr>
          <w:p w14:paraId="048FC522" w14:textId="77777777" w:rsidR="00D16256" w:rsidRPr="00AF7228" w:rsidRDefault="00D16256" w:rsidP="00D16256">
            <w:pPr>
              <w:pStyle w:val="TableText"/>
            </w:pPr>
            <w:r w:rsidRPr="00AF7228">
              <w:t xml:space="preserve">Investigation following concerns raised by Community Visitors about a mental health facility </w:t>
            </w:r>
          </w:p>
        </w:tc>
        <w:tc>
          <w:tcPr>
            <w:tcW w:w="2369" w:type="dxa"/>
          </w:tcPr>
          <w:p w14:paraId="1A8A6705" w14:textId="77777777" w:rsidR="00D16256" w:rsidRPr="00AF7228" w:rsidRDefault="00D16256" w:rsidP="00D16256">
            <w:pPr>
              <w:pStyle w:val="TableText"/>
            </w:pPr>
            <w:r w:rsidRPr="00AF7228">
              <w:t>Victorian Ombudsman</w:t>
            </w:r>
          </w:p>
        </w:tc>
      </w:tr>
      <w:tr w:rsidR="00D16256" w:rsidRPr="00AF7228" w14:paraId="6E0B208B" w14:textId="77777777" w:rsidTr="00AF7228">
        <w:tc>
          <w:tcPr>
            <w:tcW w:w="993" w:type="dxa"/>
          </w:tcPr>
          <w:p w14:paraId="4E943475" w14:textId="77777777" w:rsidR="00D16256" w:rsidRPr="00AF7228" w:rsidRDefault="00D16256" w:rsidP="00D16256">
            <w:pPr>
              <w:pStyle w:val="TableText"/>
            </w:pPr>
            <w:r w:rsidRPr="00AF7228">
              <w:t>2015</w:t>
            </w:r>
          </w:p>
        </w:tc>
        <w:tc>
          <w:tcPr>
            <w:tcW w:w="5811" w:type="dxa"/>
          </w:tcPr>
          <w:p w14:paraId="26AD4752" w14:textId="77777777" w:rsidR="00D16256" w:rsidRPr="00AF7228" w:rsidRDefault="00D16256" w:rsidP="00D16256">
            <w:pPr>
              <w:pStyle w:val="TableText"/>
            </w:pPr>
            <w:r w:rsidRPr="00AF7228">
              <w:t>Our Children Can’t Wait: Review of the implementation of recommendations of the 2011 Report of the Inquiry into the mental health &amp; wellbeing of children &amp; young people in WA</w:t>
            </w:r>
          </w:p>
        </w:tc>
        <w:tc>
          <w:tcPr>
            <w:tcW w:w="2369" w:type="dxa"/>
          </w:tcPr>
          <w:p w14:paraId="6095CDF5" w14:textId="77777777" w:rsidR="00D16256" w:rsidRPr="00AF7228" w:rsidRDefault="00D16256" w:rsidP="00D16256">
            <w:pPr>
              <w:pStyle w:val="TableText"/>
            </w:pPr>
            <w:r w:rsidRPr="00AF7228">
              <w:t>WA Commissioner for Children &amp; Young People</w:t>
            </w:r>
          </w:p>
        </w:tc>
      </w:tr>
      <w:tr w:rsidR="00D16256" w:rsidRPr="00AF7228" w14:paraId="15F292BE" w14:textId="77777777" w:rsidTr="00AF7228">
        <w:tc>
          <w:tcPr>
            <w:tcW w:w="993" w:type="dxa"/>
          </w:tcPr>
          <w:p w14:paraId="3BEC6DF5" w14:textId="77777777" w:rsidR="00D16256" w:rsidRPr="00AF7228" w:rsidRDefault="00D16256" w:rsidP="00D16256">
            <w:pPr>
              <w:pStyle w:val="TableText"/>
            </w:pPr>
            <w:r w:rsidRPr="00AF7228">
              <w:t>2015</w:t>
            </w:r>
          </w:p>
        </w:tc>
        <w:tc>
          <w:tcPr>
            <w:tcW w:w="5811" w:type="dxa"/>
          </w:tcPr>
          <w:p w14:paraId="78431469" w14:textId="77777777" w:rsidR="00D16256" w:rsidRPr="00AF7228" w:rsidRDefault="00D16256" w:rsidP="00D16256">
            <w:pPr>
              <w:pStyle w:val="TableText"/>
            </w:pPr>
            <w:r w:rsidRPr="00AF7228">
              <w:t xml:space="preserve">NSW Health: Mental health post-discharge care </w:t>
            </w:r>
          </w:p>
        </w:tc>
        <w:tc>
          <w:tcPr>
            <w:tcW w:w="2369" w:type="dxa"/>
          </w:tcPr>
          <w:p w14:paraId="4072FA21" w14:textId="77777777" w:rsidR="00D16256" w:rsidRPr="00AF7228" w:rsidRDefault="00D16256" w:rsidP="00D16256">
            <w:pPr>
              <w:pStyle w:val="TableText"/>
            </w:pPr>
            <w:r w:rsidRPr="00AF7228">
              <w:t>NSW Auditor General</w:t>
            </w:r>
          </w:p>
        </w:tc>
      </w:tr>
      <w:tr w:rsidR="00D16256" w:rsidRPr="00AF7228" w14:paraId="586AF22A" w14:textId="77777777" w:rsidTr="00AF7228">
        <w:tc>
          <w:tcPr>
            <w:tcW w:w="993" w:type="dxa"/>
          </w:tcPr>
          <w:p w14:paraId="15F432D5" w14:textId="77777777" w:rsidR="00D16256" w:rsidRPr="00AF7228" w:rsidRDefault="00D16256" w:rsidP="00D16256">
            <w:pPr>
              <w:pStyle w:val="TableText"/>
            </w:pPr>
            <w:r w:rsidRPr="00AF7228">
              <w:t>2016</w:t>
            </w:r>
          </w:p>
        </w:tc>
        <w:tc>
          <w:tcPr>
            <w:tcW w:w="5811" w:type="dxa"/>
          </w:tcPr>
          <w:p w14:paraId="544EC482" w14:textId="77777777" w:rsidR="00D16256" w:rsidRPr="00AF7228" w:rsidRDefault="009F0A12" w:rsidP="00D16256">
            <w:pPr>
              <w:pStyle w:val="TableText"/>
            </w:pPr>
            <w:hyperlink r:id="rId53" w:tgtFrame="_blank" w:history="1">
              <w:r w:rsidR="00D16256" w:rsidRPr="00AF7228">
                <w:t>Dept for Correctional Services – Shackling of a prisoner in hospital</w:t>
              </w:r>
            </w:hyperlink>
          </w:p>
        </w:tc>
        <w:tc>
          <w:tcPr>
            <w:tcW w:w="2369" w:type="dxa"/>
          </w:tcPr>
          <w:p w14:paraId="6CD592BB" w14:textId="77777777" w:rsidR="00D16256" w:rsidRPr="00AF7228" w:rsidRDefault="00D16256" w:rsidP="00D16256">
            <w:pPr>
              <w:pStyle w:val="TableText"/>
            </w:pPr>
            <w:r w:rsidRPr="00AF7228">
              <w:t>SA Ombudsman</w:t>
            </w:r>
          </w:p>
        </w:tc>
      </w:tr>
      <w:tr w:rsidR="00D16256" w:rsidRPr="00AF7228" w14:paraId="69165CE0" w14:textId="77777777" w:rsidTr="00AF7228">
        <w:tc>
          <w:tcPr>
            <w:tcW w:w="993" w:type="dxa"/>
          </w:tcPr>
          <w:p w14:paraId="19D91432" w14:textId="77777777" w:rsidR="00D16256" w:rsidRPr="00AF7228" w:rsidRDefault="00D16256" w:rsidP="00D16256">
            <w:pPr>
              <w:pStyle w:val="TableText"/>
            </w:pPr>
            <w:r w:rsidRPr="00AF7228">
              <w:t>2016</w:t>
            </w:r>
          </w:p>
        </w:tc>
        <w:tc>
          <w:tcPr>
            <w:tcW w:w="5811" w:type="dxa"/>
          </w:tcPr>
          <w:p w14:paraId="37E87AF6" w14:textId="6DCD8E32" w:rsidR="00D16256" w:rsidRPr="00AF7228" w:rsidRDefault="009F0A12" w:rsidP="00D16256">
            <w:pPr>
              <w:pStyle w:val="TableText"/>
            </w:pPr>
            <w:hyperlink r:id="rId54" w:tgtFrame="_blank" w:history="1">
              <w:r w:rsidR="00D16256" w:rsidRPr="00AF7228">
                <w:t>Dept for Correctional Services –</w:t>
              </w:r>
              <w:r w:rsidR="00AF7228" w:rsidRPr="00AF7228">
                <w:t>S</w:t>
              </w:r>
              <w:r w:rsidR="00D16256" w:rsidRPr="00AF7228">
                <w:t>hackling of a prisoner in hospital</w:t>
              </w:r>
            </w:hyperlink>
          </w:p>
        </w:tc>
        <w:tc>
          <w:tcPr>
            <w:tcW w:w="2369" w:type="dxa"/>
          </w:tcPr>
          <w:p w14:paraId="6CC1FD11" w14:textId="77777777" w:rsidR="00D16256" w:rsidRPr="00AF7228" w:rsidRDefault="00D16256" w:rsidP="00D16256">
            <w:pPr>
              <w:pStyle w:val="TableText"/>
            </w:pPr>
            <w:r w:rsidRPr="00AF7228">
              <w:t>SA Ombudsman</w:t>
            </w:r>
          </w:p>
        </w:tc>
      </w:tr>
      <w:tr w:rsidR="00D16256" w:rsidRPr="00AF7228" w14:paraId="7211103A" w14:textId="77777777" w:rsidTr="00AF7228">
        <w:tc>
          <w:tcPr>
            <w:tcW w:w="993" w:type="dxa"/>
          </w:tcPr>
          <w:p w14:paraId="19F5E634" w14:textId="77777777" w:rsidR="00D16256" w:rsidRPr="00AF7228" w:rsidRDefault="00D16256" w:rsidP="00D16256">
            <w:pPr>
              <w:pStyle w:val="TableText"/>
            </w:pPr>
            <w:r w:rsidRPr="00AF7228">
              <w:t>2016</w:t>
            </w:r>
          </w:p>
        </w:tc>
        <w:tc>
          <w:tcPr>
            <w:tcW w:w="5811" w:type="dxa"/>
          </w:tcPr>
          <w:p w14:paraId="098D10CA" w14:textId="77777777" w:rsidR="00D16256" w:rsidRPr="00AF7228" w:rsidRDefault="00D16256" w:rsidP="00D16256">
            <w:pPr>
              <w:pStyle w:val="TableText"/>
            </w:pPr>
            <w:r w:rsidRPr="00AF7228">
              <w:t>Efficiency and Effectiveness of Hospital Services: Emergency Care</w:t>
            </w:r>
          </w:p>
        </w:tc>
        <w:tc>
          <w:tcPr>
            <w:tcW w:w="2369" w:type="dxa"/>
          </w:tcPr>
          <w:p w14:paraId="03C9DC32" w14:textId="77777777" w:rsidR="00D16256" w:rsidRPr="00AF7228" w:rsidRDefault="00D16256" w:rsidP="00D16256">
            <w:pPr>
              <w:pStyle w:val="TableText"/>
            </w:pPr>
            <w:r w:rsidRPr="00AF7228">
              <w:t>Victorian Auditor General</w:t>
            </w:r>
          </w:p>
        </w:tc>
      </w:tr>
      <w:tr w:rsidR="00D16256" w:rsidRPr="00AF7228" w14:paraId="558A506E" w14:textId="77777777" w:rsidTr="00AF7228">
        <w:tc>
          <w:tcPr>
            <w:tcW w:w="993" w:type="dxa"/>
          </w:tcPr>
          <w:p w14:paraId="13A86567" w14:textId="77777777" w:rsidR="00D16256" w:rsidRPr="00AF7228" w:rsidRDefault="00D16256" w:rsidP="00D16256">
            <w:pPr>
              <w:pStyle w:val="TableText"/>
            </w:pPr>
            <w:r w:rsidRPr="00AF7228">
              <w:t>2016</w:t>
            </w:r>
          </w:p>
        </w:tc>
        <w:tc>
          <w:tcPr>
            <w:tcW w:w="5811" w:type="dxa"/>
          </w:tcPr>
          <w:p w14:paraId="3E46DC49" w14:textId="77777777" w:rsidR="00D16256" w:rsidRPr="00AF7228" w:rsidRDefault="00D16256" w:rsidP="00D16256">
            <w:pPr>
              <w:pStyle w:val="TableText"/>
            </w:pPr>
            <w:r w:rsidRPr="00AF7228">
              <w:t xml:space="preserve">Reintegrating young people into the community after detention </w:t>
            </w:r>
          </w:p>
        </w:tc>
        <w:tc>
          <w:tcPr>
            <w:tcW w:w="2369" w:type="dxa"/>
          </w:tcPr>
          <w:p w14:paraId="3F7DBB61" w14:textId="77777777" w:rsidR="00D16256" w:rsidRPr="00AF7228" w:rsidRDefault="00D16256" w:rsidP="00D16256">
            <w:pPr>
              <w:pStyle w:val="TableText"/>
            </w:pPr>
            <w:r w:rsidRPr="00AF7228">
              <w:t>NSW Auditor General</w:t>
            </w:r>
          </w:p>
        </w:tc>
      </w:tr>
      <w:tr w:rsidR="00D16256" w:rsidRPr="00AF7228" w14:paraId="37F4DAE9" w14:textId="77777777" w:rsidTr="00AF7228">
        <w:tc>
          <w:tcPr>
            <w:tcW w:w="993" w:type="dxa"/>
          </w:tcPr>
          <w:p w14:paraId="363C5DC9" w14:textId="77777777" w:rsidR="00D16256" w:rsidRPr="00AF7228" w:rsidRDefault="00D16256" w:rsidP="00D16256">
            <w:pPr>
              <w:pStyle w:val="TableText"/>
            </w:pPr>
            <w:r w:rsidRPr="00AF7228">
              <w:t>2017</w:t>
            </w:r>
          </w:p>
        </w:tc>
        <w:tc>
          <w:tcPr>
            <w:tcW w:w="5811" w:type="dxa"/>
          </w:tcPr>
          <w:p w14:paraId="44E6A8FB" w14:textId="77777777" w:rsidR="00D16256" w:rsidRPr="00AF7228" w:rsidRDefault="00D16256" w:rsidP="00D16256">
            <w:pPr>
              <w:pStyle w:val="TableText"/>
            </w:pPr>
            <w:r w:rsidRPr="00AF7228">
              <w:t xml:space="preserve">Inquiry into behaviour management in schools </w:t>
            </w:r>
          </w:p>
        </w:tc>
        <w:tc>
          <w:tcPr>
            <w:tcW w:w="2369" w:type="dxa"/>
          </w:tcPr>
          <w:p w14:paraId="5FED9187" w14:textId="77777777" w:rsidR="00D16256" w:rsidRPr="00AF7228" w:rsidRDefault="00D16256" w:rsidP="00D16256">
            <w:pPr>
              <w:pStyle w:val="TableText"/>
            </w:pPr>
            <w:r w:rsidRPr="00AF7228">
              <w:t>NSW Ombudsman</w:t>
            </w:r>
          </w:p>
        </w:tc>
      </w:tr>
      <w:tr w:rsidR="00D16256" w:rsidRPr="00AF7228" w14:paraId="4C418373" w14:textId="77777777" w:rsidTr="00AF7228">
        <w:tc>
          <w:tcPr>
            <w:tcW w:w="993" w:type="dxa"/>
          </w:tcPr>
          <w:p w14:paraId="477EE194" w14:textId="77777777" w:rsidR="00D16256" w:rsidRPr="00AF7228" w:rsidRDefault="00D16256" w:rsidP="00D16256">
            <w:pPr>
              <w:pStyle w:val="TableText"/>
            </w:pPr>
            <w:r w:rsidRPr="00AF7228">
              <w:lastRenderedPageBreak/>
              <w:t>2017</w:t>
            </w:r>
          </w:p>
        </w:tc>
        <w:tc>
          <w:tcPr>
            <w:tcW w:w="5811" w:type="dxa"/>
          </w:tcPr>
          <w:p w14:paraId="69A0C8CC" w14:textId="77777777" w:rsidR="00D16256" w:rsidRPr="00AF7228" w:rsidRDefault="00D16256" w:rsidP="00D16256">
            <w:pPr>
              <w:pStyle w:val="TableText"/>
            </w:pPr>
            <w:proofErr w:type="spellStart"/>
            <w:r w:rsidRPr="00AF7228">
              <w:t>Oakden</w:t>
            </w:r>
            <w:proofErr w:type="spellEnd"/>
            <w:r w:rsidRPr="00AF7228">
              <w:t xml:space="preserve"> Report: </w:t>
            </w:r>
            <w:proofErr w:type="spellStart"/>
            <w:r w:rsidRPr="00AF7228">
              <w:t>Oakden</w:t>
            </w:r>
            <w:proofErr w:type="spellEnd"/>
            <w:r w:rsidRPr="00AF7228">
              <w:t xml:space="preserve"> Older Persons Mental Health Service </w:t>
            </w:r>
          </w:p>
        </w:tc>
        <w:tc>
          <w:tcPr>
            <w:tcW w:w="2369" w:type="dxa"/>
          </w:tcPr>
          <w:p w14:paraId="584438BD" w14:textId="77777777" w:rsidR="00D16256" w:rsidRPr="00AF7228" w:rsidRDefault="00D16256" w:rsidP="00D16256">
            <w:pPr>
              <w:pStyle w:val="TableText"/>
            </w:pPr>
            <w:r w:rsidRPr="00AF7228">
              <w:t>SA Chief Psychiatrist</w:t>
            </w:r>
          </w:p>
        </w:tc>
      </w:tr>
      <w:tr w:rsidR="00D16256" w:rsidRPr="00AF7228" w14:paraId="31553408" w14:textId="77777777" w:rsidTr="00AF7228">
        <w:tc>
          <w:tcPr>
            <w:tcW w:w="993" w:type="dxa"/>
          </w:tcPr>
          <w:p w14:paraId="085CB5FC" w14:textId="77777777" w:rsidR="00D16256" w:rsidRPr="00AF7228" w:rsidRDefault="00D16256" w:rsidP="00D16256">
            <w:pPr>
              <w:pStyle w:val="TableText"/>
            </w:pPr>
            <w:r w:rsidRPr="00AF7228">
              <w:t>2017</w:t>
            </w:r>
          </w:p>
        </w:tc>
        <w:tc>
          <w:tcPr>
            <w:tcW w:w="5811" w:type="dxa"/>
          </w:tcPr>
          <w:p w14:paraId="67BE4AE7" w14:textId="77777777" w:rsidR="00D16256" w:rsidRPr="00AF7228" w:rsidRDefault="009F0A12" w:rsidP="00D16256">
            <w:pPr>
              <w:pStyle w:val="TableText"/>
            </w:pPr>
            <w:hyperlink r:id="rId55" w:tgtFrame="_blank" w:history="1">
              <w:r w:rsidR="00D16256" w:rsidRPr="00AF7228">
                <w:t>Dept for Correctional Services – Unlawful shackling of a mental health patient in hospital</w:t>
              </w:r>
            </w:hyperlink>
          </w:p>
        </w:tc>
        <w:tc>
          <w:tcPr>
            <w:tcW w:w="2369" w:type="dxa"/>
          </w:tcPr>
          <w:p w14:paraId="0A4C6F44" w14:textId="77777777" w:rsidR="00D16256" w:rsidRPr="00AF7228" w:rsidRDefault="00D16256" w:rsidP="00D16256">
            <w:pPr>
              <w:pStyle w:val="TableText"/>
            </w:pPr>
            <w:r w:rsidRPr="00AF7228">
              <w:t>SA Ombudsman</w:t>
            </w:r>
          </w:p>
        </w:tc>
      </w:tr>
      <w:tr w:rsidR="00D16256" w:rsidRPr="00AF7228" w14:paraId="667687E7" w14:textId="77777777" w:rsidTr="00AF7228">
        <w:tc>
          <w:tcPr>
            <w:tcW w:w="993" w:type="dxa"/>
          </w:tcPr>
          <w:p w14:paraId="2CB9F6D1" w14:textId="77777777" w:rsidR="00D16256" w:rsidRPr="00AF7228" w:rsidRDefault="00D16256" w:rsidP="00D16256">
            <w:pPr>
              <w:pStyle w:val="TableText"/>
            </w:pPr>
            <w:r w:rsidRPr="00AF7228">
              <w:t>2017</w:t>
            </w:r>
          </w:p>
        </w:tc>
        <w:tc>
          <w:tcPr>
            <w:tcW w:w="5811" w:type="dxa"/>
          </w:tcPr>
          <w:p w14:paraId="753E7695" w14:textId="77777777" w:rsidR="00D16256" w:rsidRPr="00AF7228" w:rsidRDefault="00D16256" w:rsidP="00D16256">
            <w:pPr>
              <w:pStyle w:val="TableText"/>
            </w:pPr>
            <w:r w:rsidRPr="00AF7228">
              <w:t xml:space="preserve">NSW Ombudsman Inquiry into behaviour management in schools </w:t>
            </w:r>
          </w:p>
        </w:tc>
        <w:tc>
          <w:tcPr>
            <w:tcW w:w="2369" w:type="dxa"/>
          </w:tcPr>
          <w:p w14:paraId="785816FB" w14:textId="77777777" w:rsidR="00D16256" w:rsidRPr="00AF7228" w:rsidRDefault="00D16256" w:rsidP="00D16256">
            <w:pPr>
              <w:pStyle w:val="TableText"/>
            </w:pPr>
            <w:r w:rsidRPr="00AF7228">
              <w:t>NSW Ombudsman</w:t>
            </w:r>
          </w:p>
        </w:tc>
      </w:tr>
      <w:tr w:rsidR="00D16256" w:rsidRPr="00AF7228" w14:paraId="2D855387" w14:textId="77777777" w:rsidTr="00AF7228">
        <w:tc>
          <w:tcPr>
            <w:tcW w:w="993" w:type="dxa"/>
          </w:tcPr>
          <w:p w14:paraId="6C489855" w14:textId="77777777" w:rsidR="00D16256" w:rsidRPr="00AF7228" w:rsidRDefault="00D16256" w:rsidP="00D16256">
            <w:pPr>
              <w:pStyle w:val="TableText"/>
            </w:pPr>
            <w:r w:rsidRPr="00AF7228">
              <w:t>2017</w:t>
            </w:r>
          </w:p>
        </w:tc>
        <w:tc>
          <w:tcPr>
            <w:tcW w:w="5811" w:type="dxa"/>
          </w:tcPr>
          <w:p w14:paraId="3808F8E7" w14:textId="15A08739" w:rsidR="00D16256" w:rsidRPr="00AF7228" w:rsidRDefault="00D16256" w:rsidP="00D16256">
            <w:pPr>
              <w:pStyle w:val="TableText"/>
            </w:pPr>
            <w:r w:rsidRPr="00AF7228">
              <w:t xml:space="preserve">Submission to Ministry of Health’s Review of seclusion, restraint </w:t>
            </w:r>
            <w:r w:rsidR="00AF7228" w:rsidRPr="00AF7228">
              <w:t>&amp;</w:t>
            </w:r>
            <w:r w:rsidRPr="00AF7228">
              <w:t xml:space="preserve"> observation of consumers with a mental illness in NSW Health facilities </w:t>
            </w:r>
          </w:p>
        </w:tc>
        <w:tc>
          <w:tcPr>
            <w:tcW w:w="2369" w:type="dxa"/>
          </w:tcPr>
          <w:p w14:paraId="4B4191DB" w14:textId="77777777" w:rsidR="00D16256" w:rsidRPr="00AF7228" w:rsidRDefault="00D16256" w:rsidP="00D16256">
            <w:pPr>
              <w:pStyle w:val="TableText"/>
            </w:pPr>
            <w:r w:rsidRPr="00AF7228">
              <w:t>NSW Ombudsman</w:t>
            </w:r>
          </w:p>
        </w:tc>
      </w:tr>
      <w:tr w:rsidR="00D16256" w:rsidRPr="00AF7228" w14:paraId="11ABD511" w14:textId="77777777" w:rsidTr="00AF7228">
        <w:tc>
          <w:tcPr>
            <w:tcW w:w="993" w:type="dxa"/>
          </w:tcPr>
          <w:p w14:paraId="6EE23B21" w14:textId="77777777" w:rsidR="00D16256" w:rsidRPr="00AF7228" w:rsidRDefault="00D16256" w:rsidP="00D16256">
            <w:pPr>
              <w:pStyle w:val="TableText"/>
            </w:pPr>
            <w:r w:rsidRPr="00AF7228">
              <w:t>2017</w:t>
            </w:r>
          </w:p>
        </w:tc>
        <w:tc>
          <w:tcPr>
            <w:tcW w:w="5811" w:type="dxa"/>
          </w:tcPr>
          <w:p w14:paraId="78036010" w14:textId="77777777" w:rsidR="00D16256" w:rsidRPr="00AF7228" w:rsidRDefault="00D16256" w:rsidP="00D16256">
            <w:pPr>
              <w:pStyle w:val="TableText"/>
            </w:pPr>
            <w:r w:rsidRPr="00AF7228">
              <w:t xml:space="preserve">Investigation into Victorian government school expulsions </w:t>
            </w:r>
          </w:p>
        </w:tc>
        <w:tc>
          <w:tcPr>
            <w:tcW w:w="2369" w:type="dxa"/>
          </w:tcPr>
          <w:p w14:paraId="3489486A" w14:textId="77777777" w:rsidR="00D16256" w:rsidRPr="00AF7228" w:rsidRDefault="00D16256" w:rsidP="00D16256">
            <w:pPr>
              <w:pStyle w:val="TableText"/>
            </w:pPr>
            <w:r w:rsidRPr="00AF7228">
              <w:t>Victorian Ombudsman</w:t>
            </w:r>
          </w:p>
        </w:tc>
      </w:tr>
      <w:tr w:rsidR="00D16256" w:rsidRPr="00AF7228" w14:paraId="7DFDEB14" w14:textId="77777777" w:rsidTr="00AF7228">
        <w:tc>
          <w:tcPr>
            <w:tcW w:w="993" w:type="dxa"/>
          </w:tcPr>
          <w:p w14:paraId="08199664" w14:textId="77777777" w:rsidR="00D16256" w:rsidRPr="00AF7228" w:rsidRDefault="00D16256" w:rsidP="00D16256">
            <w:pPr>
              <w:pStyle w:val="TableText"/>
            </w:pPr>
            <w:r w:rsidRPr="00AF7228">
              <w:t>2017</w:t>
            </w:r>
          </w:p>
        </w:tc>
        <w:tc>
          <w:tcPr>
            <w:tcW w:w="5811" w:type="dxa"/>
          </w:tcPr>
          <w:p w14:paraId="58AB2A0E" w14:textId="77777777" w:rsidR="00D16256" w:rsidRPr="00AF7228" w:rsidRDefault="00D16256" w:rsidP="00D16256">
            <w:pPr>
              <w:pStyle w:val="TableText"/>
            </w:pPr>
            <w:r w:rsidRPr="00AF7228">
              <w:t xml:space="preserve">The same four walls: inquiry into the use of isolation, separation &amp; lockdowns in the Victorian youth justice system </w:t>
            </w:r>
          </w:p>
        </w:tc>
        <w:tc>
          <w:tcPr>
            <w:tcW w:w="2369" w:type="dxa"/>
          </w:tcPr>
          <w:p w14:paraId="39794FFA" w14:textId="5EB30874" w:rsidR="00D16256" w:rsidRPr="00AF7228" w:rsidRDefault="00D16256" w:rsidP="00D16256">
            <w:pPr>
              <w:pStyle w:val="TableText"/>
            </w:pPr>
            <w:r w:rsidRPr="00AF7228">
              <w:t xml:space="preserve">Victorian Commission for Children </w:t>
            </w:r>
            <w:r w:rsidR="00AF7228" w:rsidRPr="00AF7228">
              <w:t>&amp;</w:t>
            </w:r>
            <w:r w:rsidRPr="00AF7228">
              <w:t xml:space="preserve"> Young People</w:t>
            </w:r>
          </w:p>
        </w:tc>
      </w:tr>
      <w:tr w:rsidR="00D16256" w:rsidRPr="00AF7228" w14:paraId="30472D6C" w14:textId="77777777" w:rsidTr="00AF7228">
        <w:tc>
          <w:tcPr>
            <w:tcW w:w="993" w:type="dxa"/>
          </w:tcPr>
          <w:p w14:paraId="1130667D" w14:textId="77777777" w:rsidR="00D16256" w:rsidRPr="00AF7228" w:rsidRDefault="00D16256" w:rsidP="00D16256">
            <w:pPr>
              <w:pStyle w:val="TableText"/>
            </w:pPr>
            <w:r w:rsidRPr="00AF7228">
              <w:t>2017</w:t>
            </w:r>
          </w:p>
        </w:tc>
        <w:tc>
          <w:tcPr>
            <w:tcW w:w="5811" w:type="dxa"/>
          </w:tcPr>
          <w:p w14:paraId="08D88595" w14:textId="43FEF313" w:rsidR="00D16256" w:rsidRPr="00AF7228" w:rsidRDefault="00D16256" w:rsidP="00D16256">
            <w:pPr>
              <w:pStyle w:val="TableText"/>
            </w:pPr>
            <w:r w:rsidRPr="00AF7228">
              <w:t>Inquiry into FIFO work arrangements (suicide rates</w:t>
            </w:r>
            <w:r w:rsidR="00AF7228" w:rsidRPr="00AF7228">
              <w:t xml:space="preserve"> among</w:t>
            </w:r>
            <w:r w:rsidRPr="00AF7228">
              <w:t xml:space="preserve"> FIFO workers)</w:t>
            </w:r>
          </w:p>
        </w:tc>
        <w:tc>
          <w:tcPr>
            <w:tcW w:w="2369" w:type="dxa"/>
          </w:tcPr>
          <w:p w14:paraId="75895322" w14:textId="55A75A92" w:rsidR="00D16256" w:rsidRPr="00AF7228" w:rsidRDefault="00D16256" w:rsidP="00D16256">
            <w:pPr>
              <w:pStyle w:val="TableText"/>
            </w:pPr>
            <w:r w:rsidRPr="00AF7228">
              <w:t xml:space="preserve">WA Parliament, Education </w:t>
            </w:r>
            <w:r w:rsidR="00AF7228" w:rsidRPr="00AF7228">
              <w:t xml:space="preserve">&amp; </w:t>
            </w:r>
            <w:r w:rsidRPr="00AF7228">
              <w:t>Health Standing Comm</w:t>
            </w:r>
            <w:r w:rsidR="00AF7228" w:rsidRPr="00AF7228">
              <w:t>.</w:t>
            </w:r>
          </w:p>
        </w:tc>
      </w:tr>
      <w:tr w:rsidR="00D16256" w:rsidRPr="00AF7228" w14:paraId="7D120C88" w14:textId="77777777" w:rsidTr="00AF7228">
        <w:tc>
          <w:tcPr>
            <w:tcW w:w="993" w:type="dxa"/>
          </w:tcPr>
          <w:p w14:paraId="35A65BA1" w14:textId="77777777" w:rsidR="00D16256" w:rsidRPr="00AF7228" w:rsidRDefault="00D16256" w:rsidP="00D16256">
            <w:pPr>
              <w:pStyle w:val="TableText"/>
            </w:pPr>
            <w:r w:rsidRPr="00AF7228">
              <w:t>2017</w:t>
            </w:r>
          </w:p>
        </w:tc>
        <w:tc>
          <w:tcPr>
            <w:tcW w:w="5811" w:type="dxa"/>
          </w:tcPr>
          <w:p w14:paraId="4A160FB2" w14:textId="77777777" w:rsidR="00D16256" w:rsidRPr="00AF7228" w:rsidRDefault="00D16256" w:rsidP="00D16256">
            <w:pPr>
              <w:pStyle w:val="TableText"/>
            </w:pPr>
            <w:r w:rsidRPr="00AF7228">
              <w:t>Probe into potential unlawful discrimination of people with mental health issues in Victorian travel insurance industry</w:t>
            </w:r>
          </w:p>
        </w:tc>
        <w:tc>
          <w:tcPr>
            <w:tcW w:w="2369" w:type="dxa"/>
          </w:tcPr>
          <w:p w14:paraId="4B650232" w14:textId="77777777" w:rsidR="00D16256" w:rsidRPr="00AF7228" w:rsidRDefault="00D16256" w:rsidP="00D16256">
            <w:pPr>
              <w:pStyle w:val="TableText"/>
            </w:pPr>
            <w:r w:rsidRPr="00AF7228">
              <w:t>Victorian Human Rights Commission</w:t>
            </w:r>
          </w:p>
        </w:tc>
      </w:tr>
      <w:tr w:rsidR="00D16256" w:rsidRPr="00AF7228" w14:paraId="645C6877" w14:textId="77777777" w:rsidTr="00AF7228">
        <w:tc>
          <w:tcPr>
            <w:tcW w:w="993" w:type="dxa"/>
          </w:tcPr>
          <w:p w14:paraId="3877AB7A" w14:textId="77777777" w:rsidR="00D16256" w:rsidRPr="00AF7228" w:rsidRDefault="00D16256" w:rsidP="00D16256">
            <w:pPr>
              <w:pStyle w:val="TableText"/>
            </w:pPr>
            <w:r w:rsidRPr="00AF7228">
              <w:t>2017</w:t>
            </w:r>
          </w:p>
        </w:tc>
        <w:tc>
          <w:tcPr>
            <w:tcW w:w="5811" w:type="dxa"/>
          </w:tcPr>
          <w:p w14:paraId="61FA3AB7" w14:textId="102ABA5E" w:rsidR="00D16256" w:rsidRPr="00AF7228" w:rsidRDefault="009F0A12" w:rsidP="00D16256">
            <w:pPr>
              <w:pStyle w:val="TableText"/>
            </w:pPr>
            <w:hyperlink r:id="rId56" w:tgtFrame="_blank" w:history="1">
              <w:r w:rsidR="00D16256" w:rsidRPr="00AF7228">
                <w:t xml:space="preserve">Dept for Correctional Services </w:t>
              </w:r>
              <w:r w:rsidR="00AF7228" w:rsidRPr="00AF7228">
                <w:t>&amp;</w:t>
              </w:r>
              <w:r w:rsidR="00D16256" w:rsidRPr="00AF7228">
                <w:t xml:space="preserve"> Central Adelaide </w:t>
              </w:r>
              <w:r w:rsidR="00AF7228" w:rsidRPr="00AF7228">
                <w:t>LH</w:t>
              </w:r>
              <w:r w:rsidR="00D16256" w:rsidRPr="00AF7228">
                <w:t xml:space="preserve">N (SA Prison Health Service) – Wrongful placement </w:t>
              </w:r>
              <w:r w:rsidR="00AF7228" w:rsidRPr="00AF7228">
                <w:t>&amp;</w:t>
              </w:r>
              <w:r w:rsidR="00D16256" w:rsidRPr="00AF7228">
                <w:t xml:space="preserve"> delay in providing medication</w:t>
              </w:r>
            </w:hyperlink>
          </w:p>
        </w:tc>
        <w:tc>
          <w:tcPr>
            <w:tcW w:w="2369" w:type="dxa"/>
          </w:tcPr>
          <w:p w14:paraId="57AB5EB0" w14:textId="77777777" w:rsidR="00D16256" w:rsidRPr="00AF7228" w:rsidRDefault="00D16256" w:rsidP="00D16256">
            <w:pPr>
              <w:pStyle w:val="TableText"/>
            </w:pPr>
            <w:r w:rsidRPr="00AF7228">
              <w:t xml:space="preserve">SA Ombudsman </w:t>
            </w:r>
          </w:p>
        </w:tc>
      </w:tr>
      <w:tr w:rsidR="00D16256" w:rsidRPr="00AF7228" w14:paraId="3F8927F7" w14:textId="77777777" w:rsidTr="00AF7228">
        <w:tc>
          <w:tcPr>
            <w:tcW w:w="993" w:type="dxa"/>
          </w:tcPr>
          <w:p w14:paraId="482097F6" w14:textId="77777777" w:rsidR="00D16256" w:rsidRPr="00AF7228" w:rsidRDefault="00D16256" w:rsidP="00D16256">
            <w:pPr>
              <w:pStyle w:val="TableText"/>
            </w:pPr>
            <w:r w:rsidRPr="00AF7228">
              <w:t>2018</w:t>
            </w:r>
          </w:p>
        </w:tc>
        <w:tc>
          <w:tcPr>
            <w:tcW w:w="5811" w:type="dxa"/>
          </w:tcPr>
          <w:p w14:paraId="2572A670" w14:textId="77777777" w:rsidR="00D16256" w:rsidRPr="00AF7228" w:rsidRDefault="00D16256" w:rsidP="00D16256">
            <w:pPr>
              <w:pStyle w:val="TableText"/>
            </w:pPr>
            <w:proofErr w:type="spellStart"/>
            <w:r w:rsidRPr="00AF7228">
              <w:t>Oakden</w:t>
            </w:r>
            <w:proofErr w:type="spellEnd"/>
            <w:r w:rsidRPr="00AF7228">
              <w:t xml:space="preserve"> Older Persons Mental Health Service </w:t>
            </w:r>
          </w:p>
        </w:tc>
        <w:tc>
          <w:tcPr>
            <w:tcW w:w="2369" w:type="dxa"/>
          </w:tcPr>
          <w:p w14:paraId="3A67EA02" w14:textId="77777777" w:rsidR="00D16256" w:rsidRPr="00AF7228" w:rsidRDefault="00D16256" w:rsidP="00D16256">
            <w:pPr>
              <w:pStyle w:val="TableText"/>
            </w:pPr>
            <w:r w:rsidRPr="00AF7228">
              <w:t>ICAC, SA</w:t>
            </w:r>
          </w:p>
        </w:tc>
      </w:tr>
      <w:tr w:rsidR="00D16256" w:rsidRPr="00AF7228" w14:paraId="6C3A091F" w14:textId="77777777" w:rsidTr="00AF7228">
        <w:tc>
          <w:tcPr>
            <w:tcW w:w="993" w:type="dxa"/>
          </w:tcPr>
          <w:p w14:paraId="0BCF1563" w14:textId="77777777" w:rsidR="00D16256" w:rsidRPr="00AF7228" w:rsidRDefault="00D16256" w:rsidP="00D16256">
            <w:pPr>
              <w:pStyle w:val="TableText"/>
            </w:pPr>
            <w:r w:rsidRPr="00AF7228">
              <w:t>2018</w:t>
            </w:r>
          </w:p>
        </w:tc>
        <w:tc>
          <w:tcPr>
            <w:tcW w:w="5811" w:type="dxa"/>
          </w:tcPr>
          <w:p w14:paraId="22742499" w14:textId="2FD0661F" w:rsidR="00D16256" w:rsidRPr="00AF7228" w:rsidRDefault="00D16256" w:rsidP="00D16256">
            <w:pPr>
              <w:pStyle w:val="TableText"/>
            </w:pPr>
            <w:r w:rsidRPr="00AF7228">
              <w:t>Final Report</w:t>
            </w:r>
            <w:r w:rsidR="00AF7228" w:rsidRPr="00AF7228">
              <w:t xml:space="preserve">, </w:t>
            </w:r>
            <w:proofErr w:type="spellStart"/>
            <w:r w:rsidRPr="00AF7228">
              <w:t>Oakden</w:t>
            </w:r>
            <w:proofErr w:type="spellEnd"/>
            <w:r w:rsidRPr="00AF7228">
              <w:t xml:space="preserve"> Report Response Plan Oversight Committee </w:t>
            </w:r>
          </w:p>
        </w:tc>
        <w:tc>
          <w:tcPr>
            <w:tcW w:w="2369" w:type="dxa"/>
          </w:tcPr>
          <w:p w14:paraId="5CACCCCF" w14:textId="77777777" w:rsidR="00D16256" w:rsidRPr="00AF7228" w:rsidRDefault="00D16256" w:rsidP="00D16256">
            <w:pPr>
              <w:pStyle w:val="TableText"/>
            </w:pPr>
            <w:r w:rsidRPr="00AF7228">
              <w:t xml:space="preserve">SA Government </w:t>
            </w:r>
          </w:p>
        </w:tc>
      </w:tr>
      <w:tr w:rsidR="00D16256" w:rsidRPr="00AF7228" w14:paraId="60964503" w14:textId="77777777" w:rsidTr="00AF7228">
        <w:tc>
          <w:tcPr>
            <w:tcW w:w="993" w:type="dxa"/>
          </w:tcPr>
          <w:p w14:paraId="097CE7FF" w14:textId="77777777" w:rsidR="00D16256" w:rsidRPr="00AF7228" w:rsidRDefault="00D16256" w:rsidP="00D16256">
            <w:pPr>
              <w:pStyle w:val="TableText"/>
            </w:pPr>
            <w:r w:rsidRPr="00AF7228">
              <w:t>2018</w:t>
            </w:r>
          </w:p>
        </w:tc>
        <w:tc>
          <w:tcPr>
            <w:tcW w:w="5811" w:type="dxa"/>
          </w:tcPr>
          <w:p w14:paraId="17DCCD53" w14:textId="77777777" w:rsidR="00D16256" w:rsidRPr="00AF7228" w:rsidRDefault="00D16256" w:rsidP="00D16256">
            <w:pPr>
              <w:pStyle w:val="TableText"/>
            </w:pPr>
            <w:r w:rsidRPr="00AF7228">
              <w:t xml:space="preserve">Mental Health Governance Review </w:t>
            </w:r>
          </w:p>
        </w:tc>
        <w:tc>
          <w:tcPr>
            <w:tcW w:w="2369" w:type="dxa"/>
          </w:tcPr>
          <w:p w14:paraId="0CBD98A9" w14:textId="77777777" w:rsidR="00D16256" w:rsidRPr="00AF7228" w:rsidRDefault="00D16256" w:rsidP="00D16256">
            <w:pPr>
              <w:pStyle w:val="TableText"/>
            </w:pPr>
            <w:r w:rsidRPr="00AF7228">
              <w:t>SA Health</w:t>
            </w:r>
          </w:p>
        </w:tc>
      </w:tr>
      <w:tr w:rsidR="00D16256" w:rsidRPr="00AF7228" w14:paraId="413137E3" w14:textId="77777777" w:rsidTr="00AF7228">
        <w:tc>
          <w:tcPr>
            <w:tcW w:w="993" w:type="dxa"/>
          </w:tcPr>
          <w:p w14:paraId="7FE27813" w14:textId="77777777" w:rsidR="00D16256" w:rsidRPr="00AF7228" w:rsidRDefault="00D16256" w:rsidP="00D16256">
            <w:pPr>
              <w:pStyle w:val="TableText"/>
            </w:pPr>
            <w:r w:rsidRPr="00AF7228">
              <w:t>2018</w:t>
            </w:r>
          </w:p>
        </w:tc>
        <w:tc>
          <w:tcPr>
            <w:tcW w:w="5811" w:type="dxa"/>
          </w:tcPr>
          <w:p w14:paraId="2E257800" w14:textId="77777777" w:rsidR="00D16256" w:rsidRPr="00AF7228" w:rsidRDefault="00D16256" w:rsidP="00D16256">
            <w:pPr>
              <w:pStyle w:val="TableText"/>
            </w:pPr>
            <w:r w:rsidRPr="00AF7228">
              <w:t>The Clinical Rehabilitation Services Draft Model of Care</w:t>
            </w:r>
          </w:p>
        </w:tc>
        <w:tc>
          <w:tcPr>
            <w:tcW w:w="2369" w:type="dxa"/>
          </w:tcPr>
          <w:p w14:paraId="6E795EA8" w14:textId="77777777" w:rsidR="00D16256" w:rsidRPr="00AF7228" w:rsidRDefault="00D16256" w:rsidP="00D16256">
            <w:pPr>
              <w:pStyle w:val="TableText"/>
            </w:pPr>
            <w:r w:rsidRPr="00AF7228">
              <w:t>SA Health</w:t>
            </w:r>
          </w:p>
        </w:tc>
      </w:tr>
      <w:tr w:rsidR="00D16256" w:rsidRPr="00AF7228" w14:paraId="6ADBF57A" w14:textId="77777777" w:rsidTr="00AF7228">
        <w:tc>
          <w:tcPr>
            <w:tcW w:w="993" w:type="dxa"/>
          </w:tcPr>
          <w:p w14:paraId="1839C5D3" w14:textId="77777777" w:rsidR="00D16256" w:rsidRPr="00AF7228" w:rsidRDefault="00D16256" w:rsidP="00D16256">
            <w:pPr>
              <w:pStyle w:val="TableText"/>
            </w:pPr>
            <w:r w:rsidRPr="00AF7228">
              <w:t>2018</w:t>
            </w:r>
          </w:p>
        </w:tc>
        <w:tc>
          <w:tcPr>
            <w:tcW w:w="5811" w:type="dxa"/>
          </w:tcPr>
          <w:p w14:paraId="7B66F8A1" w14:textId="77777777" w:rsidR="00D16256" w:rsidRPr="00AF7228" w:rsidRDefault="00D16256" w:rsidP="00D16256">
            <w:pPr>
              <w:pStyle w:val="TableText"/>
            </w:pPr>
            <w:r w:rsidRPr="00AF7228">
              <w:t>Young People Leaving Care</w:t>
            </w:r>
          </w:p>
        </w:tc>
        <w:tc>
          <w:tcPr>
            <w:tcW w:w="2369" w:type="dxa"/>
          </w:tcPr>
          <w:p w14:paraId="385D358B" w14:textId="77777777" w:rsidR="00D16256" w:rsidRPr="00AF7228" w:rsidRDefault="00D16256" w:rsidP="00D16256">
            <w:pPr>
              <w:pStyle w:val="TableText"/>
            </w:pPr>
            <w:r w:rsidRPr="00AF7228">
              <w:t xml:space="preserve">WA Auditor General </w:t>
            </w:r>
          </w:p>
        </w:tc>
      </w:tr>
      <w:tr w:rsidR="00D16256" w:rsidRPr="00AF7228" w14:paraId="20734A2B" w14:textId="77777777" w:rsidTr="00AF7228">
        <w:tc>
          <w:tcPr>
            <w:tcW w:w="993" w:type="dxa"/>
          </w:tcPr>
          <w:p w14:paraId="13653D50" w14:textId="77777777" w:rsidR="00D16256" w:rsidRPr="00AF7228" w:rsidRDefault="00D16256" w:rsidP="00D16256">
            <w:pPr>
              <w:pStyle w:val="TableText"/>
            </w:pPr>
            <w:r w:rsidRPr="00AF7228">
              <w:t>2018</w:t>
            </w:r>
          </w:p>
        </w:tc>
        <w:tc>
          <w:tcPr>
            <w:tcW w:w="5811" w:type="dxa"/>
          </w:tcPr>
          <w:p w14:paraId="2DEDE06F" w14:textId="77777777" w:rsidR="00D16256" w:rsidRPr="00AF7228" w:rsidRDefault="00D16256" w:rsidP="00D16256">
            <w:pPr>
              <w:pStyle w:val="TableText"/>
            </w:pPr>
            <w:r w:rsidRPr="00AF7228">
              <w:t xml:space="preserve">Final Report. Managing antisocial behaviour in public housing </w:t>
            </w:r>
          </w:p>
        </w:tc>
        <w:tc>
          <w:tcPr>
            <w:tcW w:w="2369" w:type="dxa"/>
          </w:tcPr>
          <w:p w14:paraId="19C7C8E9" w14:textId="77777777" w:rsidR="00D16256" w:rsidRPr="00AF7228" w:rsidRDefault="00D16256" w:rsidP="00D16256">
            <w:pPr>
              <w:pStyle w:val="TableText"/>
            </w:pPr>
            <w:r w:rsidRPr="00AF7228">
              <w:t>NSW Auditor General</w:t>
            </w:r>
          </w:p>
        </w:tc>
      </w:tr>
      <w:tr w:rsidR="00D16256" w:rsidRPr="00AF7228" w14:paraId="20F48BF0" w14:textId="77777777" w:rsidTr="00AF7228">
        <w:tc>
          <w:tcPr>
            <w:tcW w:w="993" w:type="dxa"/>
          </w:tcPr>
          <w:p w14:paraId="01F11DF4" w14:textId="77777777" w:rsidR="00D16256" w:rsidRPr="00AF7228" w:rsidRDefault="00D16256" w:rsidP="00D16256">
            <w:pPr>
              <w:pStyle w:val="TableText"/>
            </w:pPr>
            <w:r w:rsidRPr="00AF7228">
              <w:t>2018</w:t>
            </w:r>
          </w:p>
        </w:tc>
        <w:tc>
          <w:tcPr>
            <w:tcW w:w="5811" w:type="dxa"/>
          </w:tcPr>
          <w:p w14:paraId="1A16D450" w14:textId="77777777" w:rsidR="00D16256" w:rsidRPr="00AF7228" w:rsidRDefault="00D16256" w:rsidP="00D16256">
            <w:pPr>
              <w:pStyle w:val="TableText"/>
            </w:pPr>
            <w:r w:rsidRPr="00AF7228">
              <w:t>Maintaining the Mental Health of Child Protection Practitioners</w:t>
            </w:r>
          </w:p>
        </w:tc>
        <w:tc>
          <w:tcPr>
            <w:tcW w:w="2369" w:type="dxa"/>
          </w:tcPr>
          <w:p w14:paraId="78DBBD27" w14:textId="77777777" w:rsidR="00D16256" w:rsidRPr="00AF7228" w:rsidRDefault="00D16256" w:rsidP="00D16256">
            <w:pPr>
              <w:pStyle w:val="TableText"/>
            </w:pPr>
            <w:r w:rsidRPr="00AF7228">
              <w:t>Victorian Auditor General</w:t>
            </w:r>
          </w:p>
        </w:tc>
      </w:tr>
      <w:tr w:rsidR="00D16256" w:rsidRPr="00AF7228" w14:paraId="51F5C549" w14:textId="77777777" w:rsidTr="00AF7228">
        <w:tc>
          <w:tcPr>
            <w:tcW w:w="993" w:type="dxa"/>
          </w:tcPr>
          <w:p w14:paraId="60A938F2" w14:textId="77777777" w:rsidR="00D16256" w:rsidRPr="00AF7228" w:rsidRDefault="00D16256" w:rsidP="00D16256">
            <w:pPr>
              <w:pStyle w:val="TableText"/>
            </w:pPr>
            <w:r w:rsidRPr="00AF7228">
              <w:t>2018</w:t>
            </w:r>
          </w:p>
        </w:tc>
        <w:tc>
          <w:tcPr>
            <w:tcW w:w="5811" w:type="dxa"/>
          </w:tcPr>
          <w:p w14:paraId="56FA960C" w14:textId="77777777" w:rsidR="00D16256" w:rsidRPr="00AF7228" w:rsidRDefault="00D16256" w:rsidP="00D16256">
            <w:pPr>
              <w:pStyle w:val="TableText"/>
            </w:pPr>
            <w:r w:rsidRPr="00AF7228">
              <w:t xml:space="preserve">The Bullying Project, What South Australian children and young people have told us about bullying. </w:t>
            </w:r>
          </w:p>
        </w:tc>
        <w:tc>
          <w:tcPr>
            <w:tcW w:w="2369" w:type="dxa"/>
          </w:tcPr>
          <w:p w14:paraId="665B270B" w14:textId="58E69D93" w:rsidR="00D16256" w:rsidRPr="00AF7228" w:rsidRDefault="00D16256" w:rsidP="00D16256">
            <w:pPr>
              <w:pStyle w:val="TableText"/>
            </w:pPr>
            <w:r w:rsidRPr="00AF7228">
              <w:t xml:space="preserve">SA Commissioner for Children </w:t>
            </w:r>
            <w:r w:rsidR="00AF7228" w:rsidRPr="00AF7228">
              <w:t xml:space="preserve">&amp; </w:t>
            </w:r>
            <w:r w:rsidRPr="00AF7228">
              <w:t>Young People</w:t>
            </w:r>
          </w:p>
        </w:tc>
      </w:tr>
      <w:tr w:rsidR="00D16256" w:rsidRPr="00AF7228" w14:paraId="5B29DAAA" w14:textId="77777777" w:rsidTr="00AF7228">
        <w:tc>
          <w:tcPr>
            <w:tcW w:w="993" w:type="dxa"/>
          </w:tcPr>
          <w:p w14:paraId="5C9E57C3" w14:textId="77777777" w:rsidR="00D16256" w:rsidRPr="00AF7228" w:rsidRDefault="00D16256" w:rsidP="00D16256">
            <w:pPr>
              <w:pStyle w:val="TableText"/>
            </w:pPr>
            <w:r w:rsidRPr="00AF7228">
              <w:t>2018</w:t>
            </w:r>
          </w:p>
        </w:tc>
        <w:tc>
          <w:tcPr>
            <w:tcW w:w="5811" w:type="dxa"/>
          </w:tcPr>
          <w:p w14:paraId="4199B04D" w14:textId="77777777" w:rsidR="00D16256" w:rsidRPr="00AF7228" w:rsidRDefault="00D16256" w:rsidP="00D16256">
            <w:pPr>
              <w:pStyle w:val="TableText"/>
            </w:pPr>
            <w:r w:rsidRPr="00AF7228">
              <w:t>Managing Disruptive Behaviour in Public Housing</w:t>
            </w:r>
          </w:p>
        </w:tc>
        <w:tc>
          <w:tcPr>
            <w:tcW w:w="2369" w:type="dxa"/>
          </w:tcPr>
          <w:p w14:paraId="400D595B" w14:textId="77777777" w:rsidR="00D16256" w:rsidRPr="00AF7228" w:rsidRDefault="00D16256" w:rsidP="00D16256">
            <w:pPr>
              <w:pStyle w:val="TableText"/>
            </w:pPr>
            <w:r w:rsidRPr="00AF7228">
              <w:t>WA Auditor General</w:t>
            </w:r>
          </w:p>
        </w:tc>
      </w:tr>
      <w:tr w:rsidR="00D16256" w:rsidRPr="00AF7228" w14:paraId="28346363" w14:textId="77777777" w:rsidTr="00AF7228">
        <w:tc>
          <w:tcPr>
            <w:tcW w:w="993" w:type="dxa"/>
          </w:tcPr>
          <w:p w14:paraId="6FB68718" w14:textId="77777777" w:rsidR="00D16256" w:rsidRPr="00AF7228" w:rsidRDefault="00D16256" w:rsidP="00D16256">
            <w:pPr>
              <w:pStyle w:val="TableText"/>
            </w:pPr>
            <w:r w:rsidRPr="00AF7228">
              <w:t>2018</w:t>
            </w:r>
          </w:p>
        </w:tc>
        <w:tc>
          <w:tcPr>
            <w:tcW w:w="5811" w:type="dxa"/>
          </w:tcPr>
          <w:p w14:paraId="48698DAB" w14:textId="77777777" w:rsidR="00D16256" w:rsidRPr="00AF7228" w:rsidRDefault="00D16256" w:rsidP="00D16256">
            <w:pPr>
              <w:pStyle w:val="TableText"/>
            </w:pPr>
            <w:r w:rsidRPr="00AF7228">
              <w:t>Managing Rehabilitation Services in Youth Detention</w:t>
            </w:r>
          </w:p>
        </w:tc>
        <w:tc>
          <w:tcPr>
            <w:tcW w:w="2369" w:type="dxa"/>
          </w:tcPr>
          <w:p w14:paraId="146CACF8" w14:textId="77777777" w:rsidR="00D16256" w:rsidRPr="00AF7228" w:rsidRDefault="00D16256" w:rsidP="00D16256">
            <w:pPr>
              <w:pStyle w:val="TableText"/>
            </w:pPr>
            <w:r w:rsidRPr="00AF7228">
              <w:t>Victorian Auditor General</w:t>
            </w:r>
          </w:p>
        </w:tc>
      </w:tr>
      <w:tr w:rsidR="00D16256" w:rsidRPr="00AF7228" w14:paraId="12A9623C" w14:textId="77777777" w:rsidTr="00AF7228">
        <w:tc>
          <w:tcPr>
            <w:tcW w:w="993" w:type="dxa"/>
          </w:tcPr>
          <w:p w14:paraId="7CD596C4" w14:textId="77777777" w:rsidR="00D16256" w:rsidRPr="00AF7228" w:rsidRDefault="00D16256" w:rsidP="00D16256">
            <w:pPr>
              <w:pStyle w:val="TableText"/>
            </w:pPr>
            <w:r w:rsidRPr="00AF7228">
              <w:t>2018</w:t>
            </w:r>
          </w:p>
        </w:tc>
        <w:tc>
          <w:tcPr>
            <w:tcW w:w="5811" w:type="dxa"/>
          </w:tcPr>
          <w:p w14:paraId="2905DA2F" w14:textId="122208B2" w:rsidR="00D16256" w:rsidRPr="00AF7228" w:rsidRDefault="00AF7228" w:rsidP="00D16256">
            <w:pPr>
              <w:pStyle w:val="TableText"/>
            </w:pPr>
            <w:r w:rsidRPr="00AF7228">
              <w:t>T</w:t>
            </w:r>
            <w:r w:rsidR="00D16256" w:rsidRPr="00AF7228">
              <w:t xml:space="preserve">he imprisonment of a woman found unfit to stand trial. </w:t>
            </w:r>
          </w:p>
        </w:tc>
        <w:tc>
          <w:tcPr>
            <w:tcW w:w="2369" w:type="dxa"/>
          </w:tcPr>
          <w:p w14:paraId="60901603" w14:textId="77777777" w:rsidR="00D16256" w:rsidRPr="00AF7228" w:rsidRDefault="00D16256" w:rsidP="00D16256">
            <w:pPr>
              <w:pStyle w:val="TableText"/>
            </w:pPr>
            <w:r w:rsidRPr="00AF7228">
              <w:t>Victorian Ombudsman</w:t>
            </w:r>
          </w:p>
        </w:tc>
      </w:tr>
      <w:tr w:rsidR="00D16256" w:rsidRPr="00AF7228" w14:paraId="2BD5E0D6" w14:textId="77777777" w:rsidTr="00AF7228">
        <w:tc>
          <w:tcPr>
            <w:tcW w:w="993" w:type="dxa"/>
          </w:tcPr>
          <w:p w14:paraId="072A55EB" w14:textId="77777777" w:rsidR="00D16256" w:rsidRPr="00AF7228" w:rsidRDefault="00D16256" w:rsidP="00D16256">
            <w:pPr>
              <w:pStyle w:val="TableText"/>
            </w:pPr>
            <w:r w:rsidRPr="00AF7228">
              <w:t>2019</w:t>
            </w:r>
          </w:p>
        </w:tc>
        <w:tc>
          <w:tcPr>
            <w:tcW w:w="5811" w:type="dxa"/>
          </w:tcPr>
          <w:p w14:paraId="7E2EBBBC" w14:textId="77777777" w:rsidR="00D16256" w:rsidRPr="00AF7228" w:rsidRDefault="00D16256" w:rsidP="00D16256">
            <w:pPr>
              <w:pStyle w:val="TableText"/>
            </w:pPr>
            <w:r w:rsidRPr="00AF7228">
              <w:t>Report: Inquest into the Deaths of 13 Children and Young Persons in the Kimberley Region</w:t>
            </w:r>
            <w:r w:rsidRPr="00AF7228">
              <w:rPr>
                <w:vertAlign w:val="superscript"/>
              </w:rPr>
              <w:footnoteReference w:id="79"/>
            </w:r>
          </w:p>
        </w:tc>
        <w:tc>
          <w:tcPr>
            <w:tcW w:w="2369" w:type="dxa"/>
          </w:tcPr>
          <w:p w14:paraId="61E5114F" w14:textId="77777777" w:rsidR="00D16256" w:rsidRPr="00AF7228" w:rsidRDefault="00D16256" w:rsidP="00D16256">
            <w:pPr>
              <w:pStyle w:val="TableText"/>
            </w:pPr>
            <w:r w:rsidRPr="00AF7228">
              <w:t>WA Coroner</w:t>
            </w:r>
          </w:p>
        </w:tc>
      </w:tr>
      <w:tr w:rsidR="00D16256" w:rsidRPr="00AF7228" w14:paraId="7FF5B698" w14:textId="77777777" w:rsidTr="00AF7228">
        <w:tc>
          <w:tcPr>
            <w:tcW w:w="993" w:type="dxa"/>
          </w:tcPr>
          <w:p w14:paraId="471F431D" w14:textId="77777777" w:rsidR="00D16256" w:rsidRPr="00AF7228" w:rsidRDefault="00D16256" w:rsidP="00D16256">
            <w:pPr>
              <w:pStyle w:val="TableText"/>
            </w:pPr>
            <w:r w:rsidRPr="00AF7228">
              <w:t>2019</w:t>
            </w:r>
          </w:p>
        </w:tc>
        <w:tc>
          <w:tcPr>
            <w:tcW w:w="5811" w:type="dxa"/>
          </w:tcPr>
          <w:p w14:paraId="155E936B" w14:textId="77777777" w:rsidR="00D16256" w:rsidRPr="00AF7228" w:rsidRDefault="00D16256" w:rsidP="00D16256">
            <w:pPr>
              <w:pStyle w:val="TableText"/>
            </w:pPr>
            <w:r w:rsidRPr="00AF7228">
              <w:t xml:space="preserve">Interim Response to the Report into Mental Health Governance in South Australia </w:t>
            </w:r>
          </w:p>
        </w:tc>
        <w:tc>
          <w:tcPr>
            <w:tcW w:w="2369" w:type="dxa"/>
          </w:tcPr>
          <w:p w14:paraId="684A2837" w14:textId="77777777" w:rsidR="00D16256" w:rsidRPr="00AF7228" w:rsidRDefault="00D16256" w:rsidP="00D16256">
            <w:pPr>
              <w:pStyle w:val="TableText"/>
            </w:pPr>
            <w:r w:rsidRPr="00AF7228">
              <w:t>SA Government</w:t>
            </w:r>
          </w:p>
        </w:tc>
      </w:tr>
      <w:tr w:rsidR="00D16256" w:rsidRPr="00AF7228" w14:paraId="39F5DB40" w14:textId="77777777" w:rsidTr="00AF7228">
        <w:tc>
          <w:tcPr>
            <w:tcW w:w="993" w:type="dxa"/>
          </w:tcPr>
          <w:p w14:paraId="106AE5A6" w14:textId="77777777" w:rsidR="00D16256" w:rsidRPr="00AF7228" w:rsidRDefault="00D16256" w:rsidP="00D16256">
            <w:pPr>
              <w:pStyle w:val="TableText"/>
            </w:pPr>
            <w:r w:rsidRPr="00AF7228">
              <w:t>2019</w:t>
            </w:r>
          </w:p>
        </w:tc>
        <w:tc>
          <w:tcPr>
            <w:tcW w:w="5811" w:type="dxa"/>
          </w:tcPr>
          <w:p w14:paraId="6FF8D1AA" w14:textId="77777777" w:rsidR="00D16256" w:rsidRPr="00AF7228" w:rsidRDefault="00D16256" w:rsidP="00D16256">
            <w:pPr>
              <w:pStyle w:val="TableText"/>
            </w:pPr>
            <w:r w:rsidRPr="00AF7228">
              <w:t>Access to Mental Health Services</w:t>
            </w:r>
          </w:p>
        </w:tc>
        <w:tc>
          <w:tcPr>
            <w:tcW w:w="2369" w:type="dxa"/>
          </w:tcPr>
          <w:p w14:paraId="37906816" w14:textId="77777777" w:rsidR="00D16256" w:rsidRPr="00AF7228" w:rsidRDefault="00D16256" w:rsidP="00D16256">
            <w:pPr>
              <w:pStyle w:val="TableText"/>
            </w:pPr>
            <w:r w:rsidRPr="00AF7228">
              <w:t>Victorian Auditor General</w:t>
            </w:r>
          </w:p>
        </w:tc>
      </w:tr>
    </w:tbl>
    <w:p w14:paraId="43B2A876" w14:textId="5EF8CA7C" w:rsidR="00506EFD" w:rsidRPr="00AF7228" w:rsidRDefault="00AD3544" w:rsidP="00AF7228">
      <w:pPr>
        <w:pStyle w:val="BodyText"/>
      </w:pPr>
      <w:r>
        <w:t>A</w:t>
      </w:r>
      <w:r w:rsidR="00D16256" w:rsidRPr="00AF7228">
        <w:t xml:space="preserve"> total</w:t>
      </w:r>
      <w:r>
        <w:t xml:space="preserve"> of</w:t>
      </w:r>
      <w:r w:rsidR="00D16256" w:rsidRPr="00AF7228">
        <w:t xml:space="preserve"> 12</w:t>
      </w:r>
      <w:r>
        <w:t>5</w:t>
      </w:r>
      <w:r w:rsidR="00D16256" w:rsidRPr="00AF7228">
        <w:t xml:space="preserve"> reviews are listed here. All but </w:t>
      </w:r>
      <w:r>
        <w:t>5</w:t>
      </w:r>
      <w:r w:rsidR="00D16256" w:rsidRPr="00AF7228">
        <w:t xml:space="preserve"> of these were completed prior to the commencement of the National Mental Health Strategy and the First National Mental Health Plan in 1993. The majority have been conducted in the period since the completion of the COAG National Mental Health Plan in 2011.</w:t>
      </w:r>
      <w:r w:rsidR="00AF7228" w:rsidRPr="00AF7228">
        <w:t xml:space="preserve"> </w:t>
      </w:r>
      <w:r w:rsidR="00D16256" w:rsidRPr="00AF7228">
        <w:t>This equates to a major review every 84 days since 1st January 1993, and yet it does not include inquiries conducted by any statutory authorities in Queensland, Tasmania, the ACT or NT or by any state/territory parliaments or legislative assemblies</w:t>
      </w:r>
      <w:r>
        <w:t xml:space="preserve"> or broader health service reviews</w:t>
      </w:r>
      <w:r w:rsidR="00D16256" w:rsidRPr="00AF7228">
        <w:t xml:space="preserve">. </w:t>
      </w:r>
    </w:p>
    <w:p w14:paraId="27741D28" w14:textId="2E1701F4" w:rsidR="001D7B8F" w:rsidRPr="00AF7228" w:rsidRDefault="00273D41" w:rsidP="00117D83">
      <w:pPr>
        <w:pStyle w:val="Heading1"/>
      </w:pPr>
      <w:bookmarkStart w:id="138" w:name="_Toc6238849"/>
      <w:r w:rsidRPr="00AF7228">
        <w:lastRenderedPageBreak/>
        <w:t>References</w:t>
      </w:r>
      <w:bookmarkEnd w:id="138"/>
    </w:p>
    <w:p w14:paraId="3D165EB0" w14:textId="77777777" w:rsidR="00956301" w:rsidRDefault="00956301" w:rsidP="00D71D1B">
      <w:pPr>
        <w:pStyle w:val="TableText"/>
      </w:pPr>
      <w:r w:rsidRPr="00956301">
        <w:t xml:space="preserve">APEC (2014). APEC Roadmap to Promote Mental Wellness in a Healthy Asia Pacific (2014-2020). Beijing: China </w:t>
      </w:r>
      <w:hyperlink r:id="rId57" w:history="1">
        <w:r w:rsidRPr="00956301">
          <w:rPr>
            <w:rStyle w:val="Hyperlink"/>
            <w:sz w:val="18"/>
          </w:rPr>
          <w:t>https://www.mhinnovation.net/sites/default/files/downloads/resource/APEC%20Roadmap%20to%20Promote%20MentalWellness%20in%20a%20Healthy%20Asia%20Pacific%20%282014-2020%29.pdf</w:t>
        </w:r>
      </w:hyperlink>
    </w:p>
    <w:p w14:paraId="5987CD12" w14:textId="6588684E" w:rsidR="008C71FC" w:rsidRPr="00AF7228" w:rsidRDefault="00F63673" w:rsidP="00D71D1B">
      <w:pPr>
        <w:pStyle w:val="TableText"/>
      </w:pPr>
      <w:r w:rsidRPr="00AF7228">
        <w:t>Australian Bureau of Statistics.</w:t>
      </w:r>
      <w:r w:rsidR="008F10A6" w:rsidRPr="00AF7228">
        <w:t xml:space="preserve"> </w:t>
      </w:r>
      <w:r w:rsidR="004442A1" w:rsidRPr="00AF7228">
        <w:t xml:space="preserve">(2017). </w:t>
      </w:r>
      <w:r w:rsidR="00813C7E" w:rsidRPr="00AF7228">
        <w:t xml:space="preserve">Estimated Resident Population </w:t>
      </w:r>
      <w:r w:rsidR="008C71FC" w:rsidRPr="00AF7228">
        <w:t>30 September 2016</w:t>
      </w:r>
      <w:r w:rsidR="00813C7E" w:rsidRPr="00AF7228">
        <w:t>.</w:t>
      </w:r>
    </w:p>
    <w:p w14:paraId="31FB715C" w14:textId="2A5FB8F3" w:rsidR="00956301" w:rsidRPr="00956301" w:rsidRDefault="00956301" w:rsidP="00956301">
      <w:pPr>
        <w:pStyle w:val="TableText"/>
      </w:pPr>
      <w:r w:rsidRPr="00956301">
        <w:t>Australian Government (2015). Response to the Review of Mental Health Programmes.</w:t>
      </w:r>
      <w:r>
        <w:t xml:space="preserve"> </w:t>
      </w:r>
    </w:p>
    <w:p w14:paraId="340DEF9A" w14:textId="676377A7" w:rsidR="00887E89" w:rsidRPr="00AF7228" w:rsidRDefault="00887E89" w:rsidP="00D71D1B">
      <w:pPr>
        <w:pStyle w:val="TableText"/>
      </w:pPr>
      <w:r w:rsidRPr="00AF7228">
        <w:t>Australian Institute of Health and Welfare. (</w:t>
      </w:r>
      <w:r w:rsidRPr="00AF7228">
        <w:rPr>
          <w:rFonts w:cs="Arial"/>
          <w:color w:val="000000"/>
          <w:szCs w:val="18"/>
        </w:rPr>
        <w:t>2014). Analysis of the National Hospital Morbidity Database.</w:t>
      </w:r>
      <w:r w:rsidR="004442A1" w:rsidRPr="00AF7228">
        <w:rPr>
          <w:rFonts w:cs="Arial"/>
          <w:color w:val="000000"/>
          <w:szCs w:val="18"/>
        </w:rPr>
        <w:t xml:space="preserve"> </w:t>
      </w:r>
      <w:r w:rsidR="009E40A0" w:rsidRPr="00AF7228">
        <w:rPr>
          <w:rFonts w:cs="Arial"/>
          <w:color w:val="000000"/>
          <w:szCs w:val="18"/>
        </w:rPr>
        <w:t>Retrieved</w:t>
      </w:r>
      <w:r w:rsidR="004442A1" w:rsidRPr="00AF7228">
        <w:rPr>
          <w:rFonts w:cs="Arial"/>
          <w:color w:val="000000"/>
          <w:szCs w:val="18"/>
        </w:rPr>
        <w:t xml:space="preserve"> from: </w:t>
      </w:r>
      <w:hyperlink r:id="rId58" w:history="1">
        <w:r w:rsidR="004442A1" w:rsidRPr="00AF7228">
          <w:rPr>
            <w:rStyle w:val="Hyperlink"/>
            <w:rFonts w:cs="Arial"/>
            <w:szCs w:val="18"/>
          </w:rPr>
          <w:t>http://myhealthycommunities.gov.au/national/apc0029</w:t>
        </w:r>
      </w:hyperlink>
      <w:r w:rsidR="004442A1" w:rsidRPr="00AF7228">
        <w:rPr>
          <w:rFonts w:cs="Arial"/>
          <w:color w:val="000000"/>
          <w:szCs w:val="18"/>
        </w:rPr>
        <w:t xml:space="preserve"> </w:t>
      </w:r>
    </w:p>
    <w:p w14:paraId="683752E1" w14:textId="5290CFAB" w:rsidR="004442A1" w:rsidRPr="00AF7228" w:rsidRDefault="00F63673" w:rsidP="00D71D1B">
      <w:pPr>
        <w:pStyle w:val="TableText"/>
      </w:pPr>
      <w:r w:rsidRPr="00AF7228">
        <w:t>Australian Institute of Health and Welfare.</w:t>
      </w:r>
      <w:r w:rsidR="00887E89" w:rsidRPr="00AF7228">
        <w:t xml:space="preserve"> (</w:t>
      </w:r>
      <w:r w:rsidR="00887E89" w:rsidRPr="00AF7228">
        <w:rPr>
          <w:rFonts w:cs="Arial"/>
          <w:color w:val="000000"/>
          <w:szCs w:val="18"/>
        </w:rPr>
        <w:t>2015). Analysis of the National Hospital Morbidity Database.</w:t>
      </w:r>
      <w:r w:rsidR="004442A1" w:rsidRPr="00AF7228">
        <w:rPr>
          <w:rFonts w:cs="Arial"/>
          <w:color w:val="000000"/>
          <w:szCs w:val="18"/>
        </w:rPr>
        <w:t xml:space="preserve"> </w:t>
      </w:r>
      <w:r w:rsidR="009E40A0" w:rsidRPr="00AF7228">
        <w:rPr>
          <w:rFonts w:cs="Arial"/>
          <w:color w:val="000000"/>
          <w:szCs w:val="18"/>
        </w:rPr>
        <w:t>Retrieved</w:t>
      </w:r>
      <w:r w:rsidR="004442A1" w:rsidRPr="00AF7228">
        <w:rPr>
          <w:rFonts w:cs="Arial"/>
          <w:color w:val="000000"/>
          <w:szCs w:val="18"/>
        </w:rPr>
        <w:t xml:space="preserve"> from: </w:t>
      </w:r>
      <w:hyperlink r:id="rId59" w:history="1">
        <w:r w:rsidR="004442A1" w:rsidRPr="00AF7228">
          <w:rPr>
            <w:rStyle w:val="Hyperlink"/>
            <w:rFonts w:cs="Arial"/>
            <w:szCs w:val="18"/>
          </w:rPr>
          <w:t>http://myhealthycommunities.gov.au/national/apc0029</w:t>
        </w:r>
      </w:hyperlink>
      <w:r w:rsidR="004442A1" w:rsidRPr="00AF7228">
        <w:rPr>
          <w:rFonts w:cs="Arial"/>
          <w:color w:val="000000"/>
          <w:szCs w:val="18"/>
        </w:rPr>
        <w:t xml:space="preserve"> </w:t>
      </w:r>
    </w:p>
    <w:p w14:paraId="5AB89186" w14:textId="16F21F83" w:rsidR="00181928" w:rsidRDefault="00181928" w:rsidP="00D71D1B">
      <w:pPr>
        <w:pStyle w:val="TableText"/>
        <w:rPr>
          <w:lang w:val="en-US"/>
        </w:rPr>
      </w:pPr>
      <w:r>
        <w:rPr>
          <w:shd w:val="clear" w:color="auto" w:fill="FFFFFF"/>
          <w:lang w:eastAsia="en-GB"/>
        </w:rPr>
        <w:t xml:space="preserve">Australian Parliament (2019). </w:t>
      </w:r>
      <w:r w:rsidRPr="005D4602">
        <w:rPr>
          <w:i/>
          <w:lang w:val="en-US"/>
        </w:rPr>
        <w:t>House of Representatives Register of Committee Reports</w:t>
      </w:r>
      <w:r>
        <w:rPr>
          <w:i/>
          <w:lang w:val="en-US"/>
        </w:rPr>
        <w:t xml:space="preserve">. </w:t>
      </w:r>
    </w:p>
    <w:p w14:paraId="1D53D5C4" w14:textId="3E20BC64" w:rsidR="00181928" w:rsidRPr="00181928" w:rsidRDefault="00181928" w:rsidP="00D71D1B">
      <w:pPr>
        <w:pStyle w:val="TableText"/>
        <w:rPr>
          <w:lang w:val="en-US"/>
        </w:rPr>
      </w:pPr>
      <w:r>
        <w:rPr>
          <w:shd w:val="clear" w:color="auto" w:fill="FFFFFF"/>
          <w:lang w:eastAsia="en-GB"/>
        </w:rPr>
        <w:t xml:space="preserve">Australian Parliament (2019). </w:t>
      </w:r>
      <w:r>
        <w:rPr>
          <w:i/>
          <w:lang w:val="en-US"/>
        </w:rPr>
        <w:t xml:space="preserve">Register of Senate Committee Reports. </w:t>
      </w:r>
    </w:p>
    <w:p w14:paraId="2FC55FFC" w14:textId="77777777" w:rsidR="00181928" w:rsidRDefault="00181928" w:rsidP="00D71D1B">
      <w:pPr>
        <w:pStyle w:val="TableText"/>
        <w:rPr>
          <w:shd w:val="clear" w:color="auto" w:fill="FFFFFF"/>
          <w:lang w:eastAsia="en-GB"/>
        </w:rPr>
      </w:pPr>
      <w:r w:rsidRPr="00181928">
        <w:rPr>
          <w:shd w:val="clear" w:color="auto" w:fill="FFFFFF"/>
          <w:lang w:eastAsia="en-GB"/>
        </w:rPr>
        <w:t xml:space="preserve">Australian Senate (2006). </w:t>
      </w:r>
      <w:r w:rsidRPr="00181928">
        <w:rPr>
          <w:i/>
          <w:shd w:val="clear" w:color="auto" w:fill="FFFFFF"/>
          <w:lang w:eastAsia="en-GB"/>
        </w:rPr>
        <w:t>From Crisis to Community: Inquiry into Mental Health Services in Australia</w:t>
      </w:r>
      <w:r w:rsidRPr="00181928">
        <w:rPr>
          <w:shd w:val="clear" w:color="auto" w:fill="FFFFFF"/>
          <w:lang w:eastAsia="en-GB"/>
        </w:rPr>
        <w:t xml:space="preserve">. Community Affairs Committee, Canberra </w:t>
      </w:r>
    </w:p>
    <w:p w14:paraId="125F2971" w14:textId="77777777" w:rsidR="00181928" w:rsidRPr="00181928" w:rsidRDefault="00181928" w:rsidP="00181928">
      <w:pPr>
        <w:pStyle w:val="TableText"/>
        <w:rPr>
          <w:lang w:val="en-US"/>
        </w:rPr>
      </w:pPr>
      <w:proofErr w:type="spellStart"/>
      <w:r w:rsidRPr="00181928">
        <w:t>Avani</w:t>
      </w:r>
      <w:proofErr w:type="spellEnd"/>
      <w:r w:rsidRPr="00181928">
        <w:t xml:space="preserve"> Dias. </w:t>
      </w:r>
      <w:r w:rsidRPr="00181928">
        <w:rPr>
          <w:lang w:val="en-US"/>
        </w:rPr>
        <w:t>ABC Triple J “Hack”. 26 March 2019.</w:t>
      </w:r>
    </w:p>
    <w:p w14:paraId="0B17C1A3" w14:textId="700F357A" w:rsidR="007A7B22" w:rsidRPr="007A7B22" w:rsidRDefault="007A7B22" w:rsidP="007A7B22">
      <w:pPr>
        <w:pStyle w:val="TableText"/>
      </w:pPr>
      <w:r>
        <w:t xml:space="preserve">Bate, Paul. </w:t>
      </w:r>
      <w:r w:rsidRPr="007A7B22">
        <w:t xml:space="preserve">Emeritus Professor of Health Services Management, University College London in The Health Foundation (2014). </w:t>
      </w:r>
      <w:r w:rsidRPr="007A7B22">
        <w:rPr>
          <w:i/>
        </w:rPr>
        <w:t>Perspectives on Context</w:t>
      </w:r>
      <w:r w:rsidRPr="007A7B22">
        <w:t xml:space="preserve">. London; UK. </w:t>
      </w:r>
    </w:p>
    <w:p w14:paraId="74F83B10" w14:textId="5A8808C5" w:rsidR="00C36AC7" w:rsidRPr="00AF7228" w:rsidRDefault="00C36AC7" w:rsidP="00D71D1B">
      <w:pPr>
        <w:pStyle w:val="TableText"/>
      </w:pPr>
      <w:r w:rsidRPr="00AF7228">
        <w:rPr>
          <w:shd w:val="clear" w:color="auto" w:fill="FFFFFF"/>
          <w:lang w:eastAsia="en-GB"/>
        </w:rPr>
        <w:t>Bell T, Mendoza J, Stretton A</w:t>
      </w:r>
      <w:r w:rsidR="00AB3340">
        <w:rPr>
          <w:shd w:val="clear" w:color="auto" w:fill="FFFFFF"/>
          <w:lang w:eastAsia="en-GB"/>
        </w:rPr>
        <w:t xml:space="preserve"> &amp;</w:t>
      </w:r>
      <w:r w:rsidRPr="00AF7228">
        <w:rPr>
          <w:shd w:val="clear" w:color="auto" w:fill="FFFFFF"/>
          <w:lang w:eastAsia="en-GB"/>
        </w:rPr>
        <w:t xml:space="preserve"> Salvador-Carulla L. (2018). </w:t>
      </w:r>
      <w:r w:rsidRPr="00AF7228">
        <w:rPr>
          <w:i/>
          <w:iCs/>
          <w:lang w:eastAsia="en-GB"/>
        </w:rPr>
        <w:t>EMPHN Integrated Mental Health and AOD Service Atlas (East &amp; North East Melbourne) – Final report</w:t>
      </w:r>
      <w:r w:rsidRPr="00AF7228">
        <w:rPr>
          <w:shd w:val="clear" w:color="auto" w:fill="FFFFFF"/>
          <w:lang w:eastAsia="en-GB"/>
        </w:rPr>
        <w:t>. ConNetica, Sunshine Coast Qld.</w:t>
      </w:r>
    </w:p>
    <w:p w14:paraId="4D800AB5" w14:textId="1D44DD91" w:rsidR="007A7B22" w:rsidRPr="007A7B22" w:rsidRDefault="007A7B22" w:rsidP="007A7B22">
      <w:pPr>
        <w:pStyle w:val="TableText"/>
      </w:pPr>
      <w:r w:rsidRPr="007A7B22">
        <w:rPr>
          <w:iCs/>
        </w:rPr>
        <w:t>Bloom DE, Ca</w:t>
      </w:r>
      <w:r>
        <w:rPr>
          <w:iCs/>
        </w:rPr>
        <w:t>f</w:t>
      </w:r>
      <w:r w:rsidRPr="007A7B22">
        <w:rPr>
          <w:iCs/>
        </w:rPr>
        <w:t>ero ET, Jané-Llopis E, Abrahams-Gessel S, Bloom LR, Fathima S, Feigl AB, Gaziano T, Mowa M, Pandya A, Prettner</w:t>
      </w:r>
      <w:r>
        <w:rPr>
          <w:iCs/>
        </w:rPr>
        <w:t xml:space="preserve"> </w:t>
      </w:r>
      <w:r w:rsidRPr="007A7B22">
        <w:rPr>
          <w:iCs/>
        </w:rPr>
        <w:t>K, Rosenberg L, Seligman B, Stein AZ &amp; Weinstein C. (2011).</w:t>
      </w:r>
      <w:r w:rsidRPr="007A7B22">
        <w:rPr>
          <w:i/>
          <w:iCs/>
        </w:rPr>
        <w:t xml:space="preserve"> The Global Economic Burden of Noncommunicable Diseases. </w:t>
      </w:r>
      <w:r w:rsidRPr="007A7B22">
        <w:rPr>
          <w:iCs/>
        </w:rPr>
        <w:t>Geneva: World Economic Forum</w:t>
      </w:r>
      <w:r w:rsidRPr="007A7B22">
        <w:rPr>
          <w:i/>
          <w:iCs/>
        </w:rPr>
        <w:t xml:space="preserve">. </w:t>
      </w:r>
      <w:r w:rsidRPr="007A7B22">
        <w:rPr>
          <w:iCs/>
        </w:rPr>
        <w:t>Available at:</w:t>
      </w:r>
      <w:r>
        <w:rPr>
          <w:iCs/>
        </w:rPr>
        <w:t xml:space="preserve"> </w:t>
      </w:r>
      <w:hyperlink r:id="rId60" w:history="1">
        <w:r w:rsidRPr="00963D8E">
          <w:rPr>
            <w:rStyle w:val="Hyperlink"/>
            <w:iCs/>
            <w:sz w:val="18"/>
          </w:rPr>
          <w:t>http://www3.weforum.org/docs/WEF_Harvard_HE_GlobalEconomicBurdenNonCommunicableDiseases_2011.pdf</w:t>
        </w:r>
      </w:hyperlink>
      <w:r>
        <w:rPr>
          <w:iCs/>
        </w:rPr>
        <w:t xml:space="preserve"> </w:t>
      </w:r>
    </w:p>
    <w:p w14:paraId="5F850828" w14:textId="12F906A2" w:rsidR="00956301" w:rsidRDefault="00956301" w:rsidP="007A7B22">
      <w:pPr>
        <w:pStyle w:val="TableText"/>
        <w:rPr>
          <w:lang w:val="en-US"/>
        </w:rPr>
      </w:pPr>
      <w:r w:rsidRPr="00956301">
        <w:rPr>
          <w:lang w:val="en-US"/>
        </w:rPr>
        <w:t xml:space="preserve">Bodenheimer T, et al (2014). The 10 Building Blocks of High Performing Primary Care. </w:t>
      </w:r>
      <w:r w:rsidRPr="00956301">
        <w:rPr>
          <w:i/>
          <w:lang w:val="en-US"/>
        </w:rPr>
        <w:t xml:space="preserve">Annals of Family Med. </w:t>
      </w:r>
      <w:r w:rsidRPr="00956301">
        <w:rPr>
          <w:lang w:val="en-US"/>
        </w:rPr>
        <w:t>12(2); 166-171</w:t>
      </w:r>
    </w:p>
    <w:p w14:paraId="5E1B2AC0" w14:textId="4E604D5F" w:rsidR="00D16256" w:rsidRPr="00AF7228" w:rsidRDefault="00D16256" w:rsidP="00D71D1B">
      <w:pPr>
        <w:pStyle w:val="TableText"/>
      </w:pPr>
      <w:r w:rsidRPr="00AF7228">
        <w:t xml:space="preserve">Burdekin, Brain (1993). </w:t>
      </w:r>
      <w:r w:rsidRPr="00AF7228">
        <w:rPr>
          <w:i/>
        </w:rPr>
        <w:t>Human rights and Mental Illness: report of the national inquiry into the human rights of people with mental illness.</w:t>
      </w:r>
      <w:r w:rsidRPr="00AF7228">
        <w:t xml:space="preserve"> Human Rights and Equal Opportunity Commission, AGPS, Canberra, p.5.</w:t>
      </w:r>
    </w:p>
    <w:p w14:paraId="5082D8A3" w14:textId="08937136" w:rsidR="00181928" w:rsidRPr="00181928" w:rsidRDefault="00181928" w:rsidP="00181928">
      <w:pPr>
        <w:pStyle w:val="TableText"/>
        <w:rPr>
          <w:lang w:val="en-US"/>
        </w:rPr>
      </w:pPr>
      <w:r w:rsidRPr="00181928">
        <w:rPr>
          <w:lang w:val="en-US"/>
        </w:rPr>
        <w:t xml:space="preserve">Currie </w:t>
      </w:r>
      <w:r w:rsidR="007A7B22">
        <w:rPr>
          <w:lang w:val="en-US"/>
        </w:rPr>
        <w:t>and</w:t>
      </w:r>
      <w:r w:rsidRPr="00181928">
        <w:rPr>
          <w:lang w:val="en-US"/>
        </w:rPr>
        <w:t xml:space="preserve"> Thornicroft G, (2009). </w:t>
      </w:r>
      <w:r w:rsidRPr="00181928">
        <w:rPr>
          <w:i/>
          <w:lang w:val="en-US"/>
        </w:rPr>
        <w:t>Evaluation of the 3</w:t>
      </w:r>
      <w:r w:rsidRPr="00181928">
        <w:rPr>
          <w:i/>
          <w:vertAlign w:val="superscript"/>
          <w:lang w:val="en-US"/>
        </w:rPr>
        <w:t>rd</w:t>
      </w:r>
      <w:r w:rsidRPr="00181928">
        <w:rPr>
          <w:i/>
          <w:lang w:val="en-US"/>
        </w:rPr>
        <w:t xml:space="preserve"> National Mental Health Plan.</w:t>
      </w:r>
      <w:r w:rsidRPr="00181928">
        <w:rPr>
          <w:lang w:val="en-US"/>
        </w:rPr>
        <w:t xml:space="preserve"> DOH, Canberra</w:t>
      </w:r>
    </w:p>
    <w:p w14:paraId="66551AEC" w14:textId="77777777" w:rsidR="00181928" w:rsidRPr="00181928" w:rsidRDefault="00181928" w:rsidP="00181928">
      <w:pPr>
        <w:pStyle w:val="TableText"/>
      </w:pPr>
      <w:r w:rsidRPr="00181928">
        <w:t xml:space="preserve">Dahlgren G and Whitehead M, (1992). </w:t>
      </w:r>
      <w:r w:rsidRPr="00181928">
        <w:rPr>
          <w:i/>
        </w:rPr>
        <w:t>Policies and strategies to promote social equity in health</w:t>
      </w:r>
      <w:r w:rsidRPr="00181928">
        <w:t xml:space="preserve">. Copenhagen: WHO </w:t>
      </w:r>
    </w:p>
    <w:p w14:paraId="2E4CD5F5" w14:textId="5A65A642" w:rsidR="00F23394" w:rsidRPr="00AF7228" w:rsidRDefault="00F23394" w:rsidP="00D71D1B">
      <w:pPr>
        <w:pStyle w:val="TableText"/>
      </w:pPr>
      <w:r w:rsidRPr="00AF7228">
        <w:t>Department of Health</w:t>
      </w:r>
      <w:r w:rsidR="00F63673" w:rsidRPr="00AF7228">
        <w:t>.</w:t>
      </w:r>
      <w:r w:rsidRPr="00AF7228">
        <w:t xml:space="preserve"> (2015a) MBS Mental Health by PHN – Patient</w:t>
      </w:r>
      <w:r w:rsidR="00352348" w:rsidRPr="00AF7228">
        <w:t xml:space="preserve">. </w:t>
      </w:r>
      <w:r w:rsidR="009E40A0" w:rsidRPr="00AF7228">
        <w:rPr>
          <w:rFonts w:cs="Arial"/>
          <w:color w:val="000000"/>
          <w:szCs w:val="18"/>
        </w:rPr>
        <w:t>Retrieved</w:t>
      </w:r>
      <w:r w:rsidR="00352348" w:rsidRPr="00AF7228">
        <w:t xml:space="preserve"> from: </w:t>
      </w:r>
      <w:hyperlink r:id="rId61" w:history="1">
        <w:r w:rsidR="00352348" w:rsidRPr="00AF7228">
          <w:rPr>
            <w:rStyle w:val="Hyperlink"/>
          </w:rPr>
          <w:t>http://www.health.gov.au/internet/main/publishing.nsf/Content/PHN-Mental_Health_Data</w:t>
        </w:r>
      </w:hyperlink>
    </w:p>
    <w:p w14:paraId="728B6F27" w14:textId="331094A2" w:rsidR="00F23394" w:rsidRPr="00AF7228" w:rsidRDefault="00F23394" w:rsidP="00D71D1B">
      <w:pPr>
        <w:pStyle w:val="TableText"/>
      </w:pPr>
      <w:r w:rsidRPr="00AF7228">
        <w:rPr>
          <w:rFonts w:cs="Arial"/>
          <w:color w:val="000000"/>
          <w:szCs w:val="18"/>
        </w:rPr>
        <w:t>Department of Health</w:t>
      </w:r>
      <w:r w:rsidR="00F63673" w:rsidRPr="00AF7228">
        <w:rPr>
          <w:rFonts w:cs="Arial"/>
          <w:color w:val="000000"/>
          <w:szCs w:val="18"/>
        </w:rPr>
        <w:t>.</w:t>
      </w:r>
      <w:r w:rsidRPr="00AF7228">
        <w:rPr>
          <w:rFonts w:cs="Arial"/>
          <w:color w:val="000000"/>
          <w:szCs w:val="18"/>
        </w:rPr>
        <w:t xml:space="preserve"> (2015b) MBS Mental Health by SA3 – Patient</w:t>
      </w:r>
      <w:r w:rsidR="00352348" w:rsidRPr="00AF7228">
        <w:rPr>
          <w:rFonts w:cs="Arial"/>
          <w:color w:val="000000"/>
          <w:szCs w:val="18"/>
        </w:rPr>
        <w:t>.</w:t>
      </w:r>
      <w:r w:rsidRPr="00AF7228">
        <w:rPr>
          <w:rFonts w:cs="Arial"/>
          <w:color w:val="000000"/>
          <w:szCs w:val="18"/>
        </w:rPr>
        <w:t xml:space="preserve"> </w:t>
      </w:r>
      <w:r w:rsidR="009E40A0" w:rsidRPr="00AF7228">
        <w:rPr>
          <w:rFonts w:cs="Arial"/>
          <w:color w:val="000000"/>
          <w:szCs w:val="18"/>
        </w:rPr>
        <w:t>Retrieved</w:t>
      </w:r>
      <w:r w:rsidR="00352348" w:rsidRPr="00AF7228">
        <w:t xml:space="preserve"> from: </w:t>
      </w:r>
      <w:hyperlink r:id="rId62" w:history="1">
        <w:r w:rsidR="00352348" w:rsidRPr="00AF7228">
          <w:rPr>
            <w:rStyle w:val="Hyperlink"/>
          </w:rPr>
          <w:t>http://www.health.gov.au/internet/main/publishing.nsf/Content/PHN-Mental_Health_Data</w:t>
        </w:r>
      </w:hyperlink>
    </w:p>
    <w:p w14:paraId="154D67BC" w14:textId="0EBBF709" w:rsidR="00F23394" w:rsidRPr="00AF7228" w:rsidRDefault="00F23394" w:rsidP="00D71D1B">
      <w:pPr>
        <w:pStyle w:val="TableText"/>
      </w:pPr>
      <w:r w:rsidRPr="00AF7228">
        <w:t>Department of Health</w:t>
      </w:r>
      <w:r w:rsidR="00F63673" w:rsidRPr="00AF7228">
        <w:t>.</w:t>
      </w:r>
      <w:r w:rsidRPr="00AF7228">
        <w:t xml:space="preserve"> (2015c) MHNIP Tables</w:t>
      </w:r>
      <w:r w:rsidR="00352348" w:rsidRPr="00AF7228">
        <w:t xml:space="preserve">. </w:t>
      </w:r>
      <w:r w:rsidR="00352348" w:rsidRPr="00AF7228">
        <w:rPr>
          <w:rFonts w:cs="Arial"/>
          <w:color w:val="000000"/>
        </w:rPr>
        <w:t>Provided by WentWest.</w:t>
      </w:r>
    </w:p>
    <w:p w14:paraId="393CE708" w14:textId="37ED5F8A" w:rsidR="00F63673" w:rsidRPr="00AF7228" w:rsidRDefault="00F63673" w:rsidP="00D71D1B">
      <w:pPr>
        <w:pStyle w:val="TableText"/>
      </w:pPr>
      <w:r w:rsidRPr="00AF7228">
        <w:rPr>
          <w:rFonts w:cs="Arial"/>
          <w:color w:val="000000"/>
          <w:szCs w:val="18"/>
        </w:rPr>
        <w:t>Department of Health. (2015d) PBS Patient Count by ATC3, PHN and SA3</w:t>
      </w:r>
      <w:r w:rsidR="00352348" w:rsidRPr="00AF7228">
        <w:rPr>
          <w:rFonts w:cs="Arial"/>
          <w:color w:val="000000"/>
          <w:szCs w:val="18"/>
        </w:rPr>
        <w:t>. Provided by WentWest.</w:t>
      </w:r>
    </w:p>
    <w:p w14:paraId="6A34121E" w14:textId="504B97FF" w:rsidR="00F23394" w:rsidRPr="00AF7228" w:rsidRDefault="00F23394" w:rsidP="00D71D1B">
      <w:pPr>
        <w:pStyle w:val="TableText"/>
      </w:pPr>
      <w:r w:rsidRPr="00AF7228">
        <w:rPr>
          <w:rFonts w:cs="Arial"/>
          <w:color w:val="000000"/>
          <w:szCs w:val="18"/>
        </w:rPr>
        <w:t>Department of Health</w:t>
      </w:r>
      <w:r w:rsidR="00F63673" w:rsidRPr="00AF7228">
        <w:rPr>
          <w:rFonts w:cs="Arial"/>
          <w:color w:val="000000"/>
          <w:szCs w:val="18"/>
        </w:rPr>
        <w:t>.</w:t>
      </w:r>
      <w:r w:rsidRPr="00AF7228">
        <w:rPr>
          <w:rFonts w:cs="Arial"/>
          <w:color w:val="000000"/>
          <w:szCs w:val="18"/>
        </w:rPr>
        <w:t xml:space="preserve"> (2016a) MBS Items Time Series</w:t>
      </w:r>
      <w:r w:rsidR="00352348" w:rsidRPr="00AF7228">
        <w:rPr>
          <w:rFonts w:cs="Arial"/>
          <w:color w:val="000000"/>
          <w:szCs w:val="18"/>
        </w:rPr>
        <w:t>, PHN and SA3.</w:t>
      </w:r>
      <w:r w:rsidRPr="00AF7228">
        <w:rPr>
          <w:rFonts w:cs="Arial"/>
          <w:color w:val="000000"/>
          <w:szCs w:val="18"/>
        </w:rPr>
        <w:t xml:space="preserve"> </w:t>
      </w:r>
      <w:r w:rsidR="00352348" w:rsidRPr="00AF7228">
        <w:rPr>
          <w:rFonts w:cs="Arial"/>
          <w:color w:val="000000"/>
          <w:szCs w:val="18"/>
        </w:rPr>
        <w:t>Provided by WentWest.</w:t>
      </w:r>
    </w:p>
    <w:p w14:paraId="47BBAFAF" w14:textId="671BB387" w:rsidR="00F23394" w:rsidRPr="00AF7228" w:rsidRDefault="00F23394" w:rsidP="00D71D1B">
      <w:pPr>
        <w:pStyle w:val="TableText"/>
      </w:pPr>
      <w:r w:rsidRPr="00AF7228">
        <w:rPr>
          <w:rFonts w:cs="Arial"/>
          <w:color w:val="000000"/>
          <w:szCs w:val="18"/>
        </w:rPr>
        <w:t>Department of Health</w:t>
      </w:r>
      <w:r w:rsidR="00F63673" w:rsidRPr="00AF7228">
        <w:rPr>
          <w:rFonts w:cs="Arial"/>
          <w:color w:val="000000"/>
          <w:szCs w:val="18"/>
        </w:rPr>
        <w:t>.</w:t>
      </w:r>
      <w:r w:rsidRPr="00AF7228">
        <w:rPr>
          <w:rFonts w:cs="Arial"/>
          <w:color w:val="000000"/>
          <w:szCs w:val="18"/>
        </w:rPr>
        <w:t xml:space="preserve"> (2016b) ATAPS Tables</w:t>
      </w:r>
      <w:r w:rsidR="00352348" w:rsidRPr="00AF7228">
        <w:rPr>
          <w:rFonts w:cs="Arial"/>
          <w:color w:val="000000"/>
          <w:szCs w:val="18"/>
        </w:rPr>
        <w:t>. Provided by WentWest.</w:t>
      </w:r>
    </w:p>
    <w:p w14:paraId="097D2293" w14:textId="5344601B" w:rsidR="003376B3" w:rsidRDefault="00F63673" w:rsidP="00D71D1B">
      <w:pPr>
        <w:pStyle w:val="TableText"/>
        <w:rPr>
          <w:rFonts w:cs="Arial"/>
          <w:color w:val="000000"/>
          <w:szCs w:val="18"/>
        </w:rPr>
      </w:pPr>
      <w:r w:rsidRPr="00AF7228">
        <w:rPr>
          <w:rFonts w:cs="Arial"/>
          <w:color w:val="000000"/>
          <w:szCs w:val="18"/>
        </w:rPr>
        <w:t>Department of Health. (2016c) PBS Patient Count by ATC3, PHN and SA3</w:t>
      </w:r>
      <w:r w:rsidR="00352348" w:rsidRPr="00AF7228">
        <w:rPr>
          <w:rFonts w:cs="Arial"/>
          <w:color w:val="000000"/>
          <w:szCs w:val="18"/>
        </w:rPr>
        <w:t>. Provided by WentWest.</w:t>
      </w:r>
    </w:p>
    <w:p w14:paraId="0127BC23" w14:textId="0DFE46E7" w:rsidR="00181928" w:rsidRPr="00181928" w:rsidRDefault="00181928" w:rsidP="00D71D1B">
      <w:pPr>
        <w:pStyle w:val="TableText"/>
      </w:pPr>
      <w:r>
        <w:rPr>
          <w:rFonts w:cs="Arial"/>
          <w:color w:val="000000"/>
          <w:szCs w:val="18"/>
        </w:rPr>
        <w:t xml:space="preserve">Department of Health (2018). </w:t>
      </w:r>
      <w:r w:rsidRPr="00181928">
        <w:rPr>
          <w:rFonts w:cs="Arial"/>
          <w:i/>
          <w:color w:val="000000"/>
          <w:szCs w:val="18"/>
          <w:lang w:val="en-US"/>
        </w:rPr>
        <w:t>The Report of the PHN Advisory Panel on Mental Health</w:t>
      </w:r>
      <w:r>
        <w:rPr>
          <w:rFonts w:cs="Arial"/>
          <w:i/>
          <w:color w:val="000000"/>
          <w:szCs w:val="18"/>
          <w:lang w:val="en-US"/>
        </w:rPr>
        <w:t xml:space="preserve">. </w:t>
      </w:r>
      <w:r>
        <w:rPr>
          <w:rFonts w:cs="Arial"/>
          <w:color w:val="000000"/>
          <w:szCs w:val="18"/>
          <w:lang w:val="en-US"/>
        </w:rPr>
        <w:t xml:space="preserve"> </w:t>
      </w:r>
      <w:r w:rsidR="007A7B22">
        <w:rPr>
          <w:rFonts w:cs="Arial"/>
          <w:color w:val="000000"/>
          <w:szCs w:val="18"/>
          <w:lang w:val="en-US"/>
        </w:rPr>
        <w:t>DoH Canberra.</w:t>
      </w:r>
    </w:p>
    <w:p w14:paraId="20BB725D" w14:textId="5A21FC30" w:rsidR="00181928" w:rsidRDefault="00181928" w:rsidP="00D71D1B">
      <w:pPr>
        <w:pStyle w:val="TableText"/>
        <w:rPr>
          <w:lang w:val="en-US"/>
        </w:rPr>
      </w:pPr>
      <w:r w:rsidRPr="007A1563">
        <w:t>Department of Health</w:t>
      </w:r>
      <w:r w:rsidRPr="00AB3340">
        <w:rPr>
          <w:lang w:val="en-US"/>
        </w:rPr>
        <w:t xml:space="preserve"> </w:t>
      </w:r>
      <w:r>
        <w:rPr>
          <w:lang w:val="en-US"/>
        </w:rPr>
        <w:t xml:space="preserve">(n-da). </w:t>
      </w:r>
      <w:r w:rsidRPr="007A1563">
        <w:t>Primary Health Networks Primary Mental Health Care Funding</w:t>
      </w:r>
      <w:r>
        <w:t>.</w:t>
      </w:r>
      <w:r w:rsidR="007A7B22">
        <w:t xml:space="preserve"> </w:t>
      </w:r>
      <w:r w:rsidR="007A7B22">
        <w:rPr>
          <w:rFonts w:cs="Arial"/>
          <w:color w:val="000000"/>
          <w:szCs w:val="18"/>
          <w:lang w:val="en-US"/>
        </w:rPr>
        <w:t>DoH Canberra</w:t>
      </w:r>
    </w:p>
    <w:p w14:paraId="1C0297B9" w14:textId="064CFFCF" w:rsidR="007A7B22" w:rsidRPr="007A7B22" w:rsidRDefault="007A7B22" w:rsidP="007A7B22">
      <w:pPr>
        <w:pStyle w:val="TableText"/>
        <w:rPr>
          <w:rFonts w:cs="Arial"/>
          <w:color w:val="000000"/>
          <w:szCs w:val="18"/>
        </w:rPr>
      </w:pPr>
      <w:r>
        <w:rPr>
          <w:rFonts w:cs="Arial"/>
          <w:color w:val="000000"/>
          <w:szCs w:val="18"/>
        </w:rPr>
        <w:t xml:space="preserve">Department of Health (2018). </w:t>
      </w:r>
      <w:r w:rsidRPr="007A7B22">
        <w:rPr>
          <w:rFonts w:cs="Arial"/>
          <w:i/>
          <w:color w:val="000000"/>
          <w:szCs w:val="18"/>
          <w:lang w:val="en-US"/>
        </w:rPr>
        <w:t>Reform and System Transformation: A Five Year Horizon for PHNs</w:t>
      </w:r>
      <w:r>
        <w:rPr>
          <w:rFonts w:cs="Arial"/>
          <w:i/>
          <w:color w:val="000000"/>
          <w:szCs w:val="18"/>
          <w:lang w:val="en-US"/>
        </w:rPr>
        <w:t xml:space="preserve">. </w:t>
      </w:r>
      <w:r w:rsidRPr="007A7B22">
        <w:rPr>
          <w:rFonts w:cs="Arial"/>
          <w:color w:val="000000"/>
          <w:szCs w:val="18"/>
          <w:lang w:val="en-US"/>
        </w:rPr>
        <w:t>PHN Advisory Panel on Mental Health</w:t>
      </w:r>
      <w:r>
        <w:rPr>
          <w:rFonts w:cs="Arial"/>
          <w:color w:val="000000"/>
          <w:szCs w:val="18"/>
          <w:lang w:val="en-US"/>
        </w:rPr>
        <w:t xml:space="preserve"> Report, Sept 2018. DoH Canberra.</w:t>
      </w:r>
    </w:p>
    <w:p w14:paraId="363789A1" w14:textId="1DFBA9D5" w:rsidR="00AD3544" w:rsidRPr="00AD3544" w:rsidRDefault="00AD3544" w:rsidP="00AD3544">
      <w:pPr>
        <w:pStyle w:val="TableText"/>
      </w:pPr>
      <w:r w:rsidRPr="00AD3544">
        <w:t xml:space="preserve">Duckett S, Cuddihy M, Newhman H. (2016). </w:t>
      </w:r>
      <w:r w:rsidRPr="00AD3544">
        <w:rPr>
          <w:i/>
        </w:rPr>
        <w:t>Targeting zero: Supporting the Victorian hospital system to eliminate avoidable harm and strengthen quality of care.</w:t>
      </w:r>
      <w:r w:rsidRPr="00AD3544">
        <w:t xml:space="preserve"> Report of the Review of Hospital Safety and Quality Assurance in Victoria. Victorian Government, Melbourne. Available at</w:t>
      </w:r>
      <w:r>
        <w:t>:</w:t>
      </w:r>
      <w:r w:rsidRPr="00AD3544">
        <w:t xml:space="preserve"> www2.health.vic.gov.au/hospitals-and-healthservices/quality-safety- service/hospital-safety-and-quality-review</w:t>
      </w:r>
      <w:r>
        <w:t xml:space="preserve">   </w:t>
      </w:r>
      <w:r w:rsidRPr="00AD3544">
        <w:t xml:space="preserve">   </w:t>
      </w:r>
    </w:p>
    <w:p w14:paraId="3FE96023" w14:textId="530C5AC2" w:rsidR="00AB3340" w:rsidRDefault="00AB3340" w:rsidP="00D71D1B">
      <w:pPr>
        <w:pStyle w:val="TableText"/>
      </w:pPr>
      <w:r w:rsidRPr="00AB3340">
        <w:rPr>
          <w:lang w:val="en-US"/>
        </w:rPr>
        <w:t xml:space="preserve">Duckett S, </w:t>
      </w:r>
      <w:r w:rsidRPr="00AB3340">
        <w:t xml:space="preserve">Beaumont M, Bell G, Gunn J, Murphy A, Wilson R &amp; Crowley T (2015). </w:t>
      </w:r>
      <w:r w:rsidRPr="00AB3340">
        <w:rPr>
          <w:i/>
        </w:rPr>
        <w:t>Leading Change in Primary Care: Boards of Primary Health Networks can help improve the Australian health care system</w:t>
      </w:r>
      <w:r w:rsidR="00181928">
        <w:rPr>
          <w:i/>
        </w:rPr>
        <w:t>.</w:t>
      </w:r>
      <w:r w:rsidRPr="00AB3340">
        <w:t xml:space="preserve"> At: </w:t>
      </w:r>
      <w:hyperlink r:id="rId63" w:history="1">
        <w:r w:rsidRPr="00AB3340">
          <w:rPr>
            <w:rStyle w:val="Hyperlink"/>
            <w:sz w:val="18"/>
          </w:rPr>
          <w:t>https://ahha.asn.au/sites/default/files/docs/policy-issue/leading_change_in_primary_care.pdf</w:t>
        </w:r>
      </w:hyperlink>
      <w:r w:rsidRPr="00AB3340">
        <w:t xml:space="preserve"> </w:t>
      </w:r>
    </w:p>
    <w:p w14:paraId="7C560F7A" w14:textId="2677BCAE" w:rsidR="00181928" w:rsidRPr="007A7B22" w:rsidRDefault="00181928" w:rsidP="00181928">
      <w:pPr>
        <w:pStyle w:val="TableText"/>
      </w:pPr>
      <w:r w:rsidRPr="00181928">
        <w:lastRenderedPageBreak/>
        <w:t xml:space="preserve">Enticott JC, Meadows GN, </w:t>
      </w:r>
      <w:proofErr w:type="spellStart"/>
      <w:r w:rsidRPr="00181928">
        <w:t>Shawyer</w:t>
      </w:r>
      <w:proofErr w:type="spellEnd"/>
      <w:r w:rsidRPr="00181928">
        <w:t xml:space="preserve"> F, </w:t>
      </w:r>
      <w:proofErr w:type="spellStart"/>
      <w:r w:rsidRPr="00181928">
        <w:t>Inder</w:t>
      </w:r>
      <w:proofErr w:type="spellEnd"/>
      <w:r w:rsidRPr="00181928">
        <w:t xml:space="preserve"> B </w:t>
      </w:r>
      <w:r w:rsidR="007420D5">
        <w:t>and</w:t>
      </w:r>
      <w:r w:rsidRPr="00181928">
        <w:t xml:space="preserve"> Pattern S. (2015). Mental disorders and distress: associations with demographics, remoteness and socioeconomic deprivation of area of residence across Australia. </w:t>
      </w:r>
      <w:r w:rsidRPr="007A7B22">
        <w:rPr>
          <w:i/>
        </w:rPr>
        <w:t>ANZ J of Psychiatry</w:t>
      </w:r>
      <w:r w:rsidR="007A7B22" w:rsidRPr="007A7B22">
        <w:rPr>
          <w:i/>
        </w:rPr>
        <w:t xml:space="preserve">; </w:t>
      </w:r>
      <w:r w:rsidR="007A7B22" w:rsidRPr="007A7B22">
        <w:t>50(12). DOI:</w:t>
      </w:r>
      <w:r w:rsidR="007A7B22">
        <w:t xml:space="preserve"> </w:t>
      </w:r>
      <w:r w:rsidR="007A7B22" w:rsidRPr="007A7B22">
        <w:t>10.1177/0004867415615948</w:t>
      </w:r>
      <w:r w:rsidR="007A7B22">
        <w:t xml:space="preserve">. </w:t>
      </w:r>
    </w:p>
    <w:p w14:paraId="591897B2" w14:textId="391D9BA8" w:rsidR="002A70E7" w:rsidRPr="00AF7228" w:rsidRDefault="003376B3" w:rsidP="00D71D1B">
      <w:pPr>
        <w:pStyle w:val="TableText"/>
      </w:pPr>
      <w:r w:rsidRPr="00AF7228">
        <w:t xml:space="preserve">Ernst &amp; Young (2018). </w:t>
      </w:r>
      <w:r w:rsidRPr="00AF7228">
        <w:rPr>
          <w:i/>
        </w:rPr>
        <w:t>Evaluation of the Primary Health Networks Program: Final Report</w:t>
      </w:r>
      <w:r w:rsidRPr="00AF7228">
        <w:t>. E&amp;Y Australia.</w:t>
      </w:r>
    </w:p>
    <w:p w14:paraId="215FD607" w14:textId="77777777" w:rsidR="00181928" w:rsidRDefault="00181928" w:rsidP="00181928">
      <w:pPr>
        <w:pStyle w:val="TableText"/>
      </w:pPr>
      <w:r w:rsidRPr="00181928">
        <w:rPr>
          <w:lang w:val="en-US"/>
        </w:rPr>
        <w:t xml:space="preserve">Faust M, et al (2019). </w:t>
      </w:r>
      <w:r w:rsidRPr="00181928">
        <w:t xml:space="preserve">Healthcare ecosystems research in mental health: a scoping review of methods to describe the context of local care delivery. </w:t>
      </w:r>
      <w:r w:rsidRPr="00181928">
        <w:rPr>
          <w:i/>
        </w:rPr>
        <w:t>BMC Health Services Research</w:t>
      </w:r>
      <w:r w:rsidRPr="00181928">
        <w:t xml:space="preserve">. </w:t>
      </w:r>
      <w:hyperlink r:id="rId64" w:history="1">
        <w:r w:rsidRPr="00181928">
          <w:rPr>
            <w:rStyle w:val="Hyperlink"/>
            <w:sz w:val="18"/>
          </w:rPr>
          <w:t>https://doi.org/10.1186/s12913-019-4005-5</w:t>
        </w:r>
      </w:hyperlink>
      <w:r w:rsidRPr="00181928">
        <w:t xml:space="preserve">  </w:t>
      </w:r>
    </w:p>
    <w:p w14:paraId="1CDA6276" w14:textId="77777777" w:rsidR="00181928" w:rsidRDefault="00181928" w:rsidP="00D71D1B">
      <w:pPr>
        <w:pStyle w:val="TableText"/>
      </w:pPr>
      <w:proofErr w:type="spellStart"/>
      <w:r w:rsidRPr="00181928">
        <w:t>Fogilani</w:t>
      </w:r>
      <w:proofErr w:type="spellEnd"/>
      <w:r w:rsidRPr="00181928">
        <w:t xml:space="preserve"> F (2019). </w:t>
      </w:r>
      <w:r w:rsidRPr="00181928">
        <w:rPr>
          <w:i/>
        </w:rPr>
        <w:t>Inquest into the deaths of thirteen children and young persons in the Kimberley Region</w:t>
      </w:r>
      <w:r w:rsidRPr="00181928">
        <w:t xml:space="preserve">, Western Australia. WA Coroner; Perth </w:t>
      </w:r>
    </w:p>
    <w:p w14:paraId="5A0E8836" w14:textId="77777777" w:rsidR="00181928" w:rsidRPr="00181928" w:rsidRDefault="00181928" w:rsidP="00181928">
      <w:pPr>
        <w:pStyle w:val="TableText"/>
        <w:rPr>
          <w:i/>
        </w:rPr>
      </w:pPr>
      <w:proofErr w:type="spellStart"/>
      <w:r w:rsidRPr="00181928">
        <w:t>Georgatos</w:t>
      </w:r>
      <w:proofErr w:type="spellEnd"/>
      <w:r w:rsidRPr="00181928">
        <w:t xml:space="preserve"> G. (2018). </w:t>
      </w:r>
      <w:r w:rsidRPr="00181928">
        <w:rPr>
          <w:i/>
        </w:rPr>
        <w:t xml:space="preserve">Australia’s ‘suicide prevention plan’ is barely worth the name: </w:t>
      </w:r>
      <w:r w:rsidRPr="00181928">
        <w:rPr>
          <w:i/>
          <w:iCs/>
        </w:rPr>
        <w:t xml:space="preserve">Where is the focus on early intervention? </w:t>
      </w:r>
      <w:r w:rsidRPr="00181928">
        <w:t xml:space="preserve">Accessed at </w:t>
      </w:r>
      <w:hyperlink r:id="rId65" w:history="1">
        <w:r w:rsidRPr="00181928">
          <w:rPr>
            <w:rStyle w:val="Hyperlink"/>
            <w:sz w:val="18"/>
          </w:rPr>
          <w:t>https://www.policyforum.net/australias-suicide-prevention-plan-is-barely-worth-the-name/</w:t>
        </w:r>
      </w:hyperlink>
    </w:p>
    <w:p w14:paraId="60592C5C" w14:textId="15529993" w:rsidR="002A70E7" w:rsidRPr="00AF7228" w:rsidRDefault="002A70E7" w:rsidP="00D71D1B">
      <w:pPr>
        <w:pStyle w:val="TableText"/>
      </w:pPr>
      <w:r w:rsidRPr="00AF7228">
        <w:t xml:space="preserve">Glass, D. (2018). </w:t>
      </w:r>
      <w:r w:rsidRPr="00AF7228">
        <w:rPr>
          <w:i/>
        </w:rPr>
        <w:t>Investigation into the imprisonment of a woman found unfit to stand trial</w:t>
      </w:r>
      <w:r w:rsidRPr="00AF7228">
        <w:t xml:space="preserve">. Victorian Ombudsman. Accessed at: </w:t>
      </w:r>
      <w:hyperlink r:id="rId66" w:history="1">
        <w:r w:rsidRPr="00AF7228">
          <w:rPr>
            <w:rStyle w:val="Hyperlink"/>
            <w:sz w:val="18"/>
          </w:rPr>
          <w:t>www.ombudsman.vic.gov.au</w:t>
        </w:r>
      </w:hyperlink>
    </w:p>
    <w:p w14:paraId="2B69EC24" w14:textId="77777777" w:rsidR="00181928" w:rsidRPr="00181928" w:rsidRDefault="00181928" w:rsidP="00181928">
      <w:pPr>
        <w:pStyle w:val="TableText"/>
      </w:pPr>
      <w:r w:rsidRPr="00181928">
        <w:t xml:space="preserve">Greaves A (2019). </w:t>
      </w:r>
      <w:r w:rsidRPr="00181928">
        <w:rPr>
          <w:i/>
          <w:iCs/>
        </w:rPr>
        <w:t>Access to</w:t>
      </w:r>
      <w:r w:rsidRPr="00181928">
        <w:t xml:space="preserve"> </w:t>
      </w:r>
      <w:r w:rsidRPr="00181928">
        <w:rPr>
          <w:i/>
          <w:iCs/>
        </w:rPr>
        <w:t>Mental Health Services</w:t>
      </w:r>
      <w:r w:rsidRPr="00181928">
        <w:t>. Victorian Auditor General’s Office; Melbourne.</w:t>
      </w:r>
    </w:p>
    <w:p w14:paraId="6347245D" w14:textId="475DC48F" w:rsidR="00D16256" w:rsidRPr="00AF7228" w:rsidRDefault="00D16256" w:rsidP="00D71D1B">
      <w:pPr>
        <w:pStyle w:val="TableText"/>
      </w:pPr>
      <w:r w:rsidRPr="00AF7228">
        <w:t xml:space="preserve">Griffiths, K, Mendoza J and Carron-Arthur B. (2015). </w:t>
      </w:r>
      <w:proofErr w:type="spellStart"/>
      <w:r w:rsidRPr="00AF7228">
        <w:t>Whereto</w:t>
      </w:r>
      <w:proofErr w:type="spellEnd"/>
      <w:r w:rsidRPr="00AF7228">
        <w:t xml:space="preserve"> mental health reform in Australia: Is anyone listening to our independent auditors? </w:t>
      </w:r>
      <w:r w:rsidRPr="00AF7228">
        <w:rPr>
          <w:i/>
        </w:rPr>
        <w:t>Medical Journal of Aust</w:t>
      </w:r>
      <w:r w:rsidRPr="00AF7228">
        <w:t>. 202:4.</w:t>
      </w:r>
    </w:p>
    <w:p w14:paraId="606F3895" w14:textId="77777777" w:rsidR="00181928" w:rsidRDefault="00181928" w:rsidP="00181928">
      <w:pPr>
        <w:pStyle w:val="TableText"/>
      </w:pPr>
      <w:r w:rsidRPr="00181928">
        <w:t xml:space="preserve">Goodwin N. (2013) Understanding integrated care: a complex process, a fundamental principle. </w:t>
      </w:r>
      <w:proofErr w:type="spellStart"/>
      <w:r w:rsidRPr="00181928">
        <w:rPr>
          <w:i/>
        </w:rPr>
        <w:t>Int</w:t>
      </w:r>
      <w:proofErr w:type="spellEnd"/>
      <w:r w:rsidRPr="00181928">
        <w:rPr>
          <w:i/>
        </w:rPr>
        <w:t xml:space="preserve"> J </w:t>
      </w:r>
      <w:proofErr w:type="spellStart"/>
      <w:r w:rsidRPr="00181928">
        <w:rPr>
          <w:i/>
        </w:rPr>
        <w:t>Integr</w:t>
      </w:r>
      <w:proofErr w:type="spellEnd"/>
      <w:r w:rsidRPr="00181928">
        <w:rPr>
          <w:i/>
        </w:rPr>
        <w:t xml:space="preserve"> Care</w:t>
      </w:r>
      <w:r w:rsidRPr="00181928">
        <w:t>; 13.</w:t>
      </w:r>
    </w:p>
    <w:p w14:paraId="19E477BA" w14:textId="40ADCB38" w:rsidR="00AD3544" w:rsidRPr="00AD3544" w:rsidRDefault="00AD3544" w:rsidP="00AD3544">
      <w:pPr>
        <w:pStyle w:val="TableText"/>
      </w:pPr>
      <w:r w:rsidRPr="00AD3544">
        <w:t>Hilferty F, Cassells R, Muir K, Duncan A, Christensen D, Mitrou F, Gao G, Mavisakalyan A, Hafekost K, Tarverdi</w:t>
      </w:r>
      <w:r>
        <w:t xml:space="preserve"> </w:t>
      </w:r>
      <w:r w:rsidRPr="00AD3544">
        <w:t xml:space="preserve">Y, Nguyen H, Wingrove C and Katz I. (2015). </w:t>
      </w:r>
      <w:r w:rsidRPr="00AD3544">
        <w:rPr>
          <w:i/>
          <w:iCs/>
        </w:rPr>
        <w:t>Is headspace making a difference to young people’s lives? Final Report of</w:t>
      </w:r>
      <w:r>
        <w:rPr>
          <w:i/>
          <w:iCs/>
        </w:rPr>
        <w:t xml:space="preserve"> </w:t>
      </w:r>
      <w:r w:rsidRPr="00AD3544">
        <w:rPr>
          <w:i/>
          <w:iCs/>
        </w:rPr>
        <w:t>the independent evaluation of the headspace program</w:t>
      </w:r>
      <w:r w:rsidRPr="00AD3544">
        <w:t xml:space="preserve">. Sydney: Social Policy Research Centre, UNSW. </w:t>
      </w:r>
    </w:p>
    <w:p w14:paraId="69339C48" w14:textId="035C2DE7" w:rsidR="00181928" w:rsidRPr="00181928" w:rsidRDefault="00181928" w:rsidP="00AD3544">
      <w:pPr>
        <w:pStyle w:val="TableText"/>
      </w:pPr>
      <w:r w:rsidRPr="00181928">
        <w:t xml:space="preserve">Hollingshead AB </w:t>
      </w:r>
      <w:r w:rsidR="007420D5">
        <w:t>and</w:t>
      </w:r>
      <w:r w:rsidRPr="00181928">
        <w:t xml:space="preserve"> Redlich FC. (1958). </w:t>
      </w:r>
      <w:r w:rsidRPr="00181928">
        <w:rPr>
          <w:i/>
        </w:rPr>
        <w:t>Social class and mental illness: Community study</w:t>
      </w:r>
      <w:r w:rsidRPr="00181928">
        <w:t>. Hoboken, NJ, John Wiley.</w:t>
      </w:r>
    </w:p>
    <w:p w14:paraId="012DE584" w14:textId="77777777" w:rsidR="00181928" w:rsidRPr="00181928" w:rsidRDefault="00181928" w:rsidP="00181928">
      <w:pPr>
        <w:pStyle w:val="TableText"/>
        <w:rPr>
          <w:lang w:val="en-US"/>
        </w:rPr>
      </w:pPr>
      <w:r w:rsidRPr="00181928">
        <w:rPr>
          <w:lang w:val="en-US"/>
        </w:rPr>
        <w:t xml:space="preserve">Hope A (2008). </w:t>
      </w:r>
      <w:r w:rsidRPr="00181928">
        <w:rPr>
          <w:i/>
        </w:rPr>
        <w:t>Inquest into the deaths of twenty two young persons in the Kimberley Region</w:t>
      </w:r>
      <w:r w:rsidRPr="00181928">
        <w:t>, Western Australia. WA Coroner; Perth</w:t>
      </w:r>
    </w:p>
    <w:p w14:paraId="7229A595" w14:textId="4B348621" w:rsidR="00EB7A13" w:rsidRPr="00AF7228" w:rsidRDefault="00EB7A13" w:rsidP="00D71D1B">
      <w:pPr>
        <w:pStyle w:val="TableText"/>
      </w:pPr>
      <w:r w:rsidRPr="00AF7228">
        <w:t>Horvath J (2014).</w:t>
      </w:r>
      <w:r w:rsidRPr="00AF7228">
        <w:rPr>
          <w:i/>
        </w:rPr>
        <w:t xml:space="preserve"> Review of Medicare Locals.</w:t>
      </w:r>
      <w:r w:rsidRPr="00AF7228">
        <w:t xml:space="preserve"> Dept of Health. Canberra. Available at: </w:t>
      </w:r>
      <w:hyperlink r:id="rId67" w:history="1">
        <w:r w:rsidRPr="00AF7228">
          <w:rPr>
            <w:rStyle w:val="Hyperlink"/>
            <w:sz w:val="18"/>
          </w:rPr>
          <w:t>https://www.health.gov.au/internet/main/publishing.nsf/Content/A69978FAABB1225ECA257CD3001810B7/$File/Review-of-Medicare-Locals-may2014.pdf</w:t>
        </w:r>
      </w:hyperlink>
      <w:r w:rsidRPr="00AF7228">
        <w:t xml:space="preserve"> </w:t>
      </w:r>
    </w:p>
    <w:p w14:paraId="4B53B2E8" w14:textId="53EA740B" w:rsidR="00181928" w:rsidRPr="007A7B22" w:rsidRDefault="00181928" w:rsidP="00181928">
      <w:pPr>
        <w:pStyle w:val="TableText"/>
        <w:rPr>
          <w:color w:val="0000FF"/>
          <w:u w:val="single"/>
        </w:rPr>
      </w:pPr>
      <w:r w:rsidRPr="00181928">
        <w:t>Institute for Healthcare Improvement, Health Affairs Blog, 14 February 2019</w:t>
      </w:r>
      <w:r>
        <w:t xml:space="preserve">. </w:t>
      </w:r>
      <w:r w:rsidRPr="007A7B22">
        <w:t>Available at:</w:t>
      </w:r>
      <w:r w:rsidR="007A7B22" w:rsidRPr="007A7B22">
        <w:t xml:space="preserve"> </w:t>
      </w:r>
      <w:hyperlink r:id="rId68" w:history="1">
        <w:r w:rsidR="007A7B22" w:rsidRPr="00963D8E">
          <w:rPr>
            <w:rStyle w:val="Hyperlink"/>
            <w:sz w:val="18"/>
          </w:rPr>
          <w:t>https://www.healthaffairs.org/do/10.1377/hblog20190212.965975/full/</w:t>
        </w:r>
      </w:hyperlink>
    </w:p>
    <w:p w14:paraId="0C8B5590" w14:textId="5CBDAC7D" w:rsidR="007A7B22" w:rsidRPr="007A7B22" w:rsidRDefault="00181928" w:rsidP="007A7B22">
      <w:pPr>
        <w:pStyle w:val="TableText"/>
        <w:rPr>
          <w:lang w:val="en-US"/>
        </w:rPr>
      </w:pPr>
      <w:r w:rsidRPr="007A7B22">
        <w:rPr>
          <w:lang w:val="en-US"/>
        </w:rPr>
        <w:t>Institute for Healthcare Improvement</w:t>
      </w:r>
      <w:r w:rsidR="007A7B22" w:rsidRPr="007A7B22">
        <w:rPr>
          <w:lang w:val="en-US"/>
        </w:rPr>
        <w:t xml:space="preserve"> (2015). </w:t>
      </w:r>
      <w:r w:rsidR="007A7B22" w:rsidRPr="007A7B22">
        <w:rPr>
          <w:i/>
          <w:lang w:val="en-US"/>
        </w:rPr>
        <w:t>Team-Based Care: Optimizing Primary Care for Patients and Providers.</w:t>
      </w:r>
      <w:r w:rsidR="007A7B22" w:rsidRPr="007A7B22">
        <w:rPr>
          <w:lang w:val="en-US"/>
        </w:rPr>
        <w:t xml:space="preserve"> Training course, Seattle, WA.</w:t>
      </w:r>
    </w:p>
    <w:p w14:paraId="0D6BCDB6" w14:textId="7BE39307" w:rsidR="007A7B22" w:rsidRPr="007A7B22" w:rsidRDefault="007A7B22" w:rsidP="007A7B22">
      <w:pPr>
        <w:pStyle w:val="TableText"/>
        <w:rPr>
          <w:i/>
        </w:rPr>
      </w:pPr>
      <w:r>
        <w:t xml:space="preserve">Isaacs AN, Endicott J, Meadows G </w:t>
      </w:r>
      <w:r w:rsidR="007420D5">
        <w:t>and</w:t>
      </w:r>
      <w:r>
        <w:t xml:space="preserve"> Inder B (2018). </w:t>
      </w:r>
      <w:r w:rsidRPr="007A7B22">
        <w:t>Lower Income Levels in Australia Are Strongly Associated With Elevated Psychological Distress: Implications for Healthcare and Other Policy Areas</w:t>
      </w:r>
      <w:r>
        <w:t xml:space="preserve">. </w:t>
      </w:r>
      <w:r>
        <w:rPr>
          <w:i/>
        </w:rPr>
        <w:t>Frontiers in Psychiatry;</w:t>
      </w:r>
      <w:r w:rsidRPr="007A7B22">
        <w:t xml:space="preserve"> </w:t>
      </w:r>
      <w:hyperlink r:id="rId69" w:history="1">
        <w:r w:rsidRPr="007A7B22">
          <w:rPr>
            <w:rStyle w:val="Hyperlink"/>
            <w:sz w:val="18"/>
          </w:rPr>
          <w:t>https://doi.org/10.3389/fpsyt.2018.00536</w:t>
        </w:r>
      </w:hyperlink>
    </w:p>
    <w:p w14:paraId="7F2AC6AA" w14:textId="3ECF3758" w:rsidR="00D71D1B" w:rsidRPr="00AF7228" w:rsidRDefault="00D71D1B" w:rsidP="00D71D1B">
      <w:pPr>
        <w:pStyle w:val="TableText"/>
      </w:pPr>
      <w:r w:rsidRPr="00AF7228">
        <w:t xml:space="preserve">Jorm AF. (2018). Australia’s ‘Better Access’ scheme: Has it had an impact on population mental health? </w:t>
      </w:r>
      <w:r w:rsidRPr="00AF7228">
        <w:rPr>
          <w:i/>
        </w:rPr>
        <w:t>ANZ J Psychiatry;</w:t>
      </w:r>
      <w:r w:rsidRPr="00AF7228">
        <w:t xml:space="preserve"> 52(11), 1057–1062.</w:t>
      </w:r>
    </w:p>
    <w:p w14:paraId="2EE23034" w14:textId="01EC52C2" w:rsidR="00D16256" w:rsidRPr="00AF7228" w:rsidRDefault="00D71D1B" w:rsidP="00D71D1B">
      <w:pPr>
        <w:pStyle w:val="TableText"/>
      </w:pPr>
      <w:r w:rsidRPr="00AF7228">
        <w:t xml:space="preserve">Jorm AF, Patten SB, Brugha TS, Mojtabai R. </w:t>
      </w:r>
      <w:r w:rsidR="00AB3340">
        <w:t xml:space="preserve">(2017). </w:t>
      </w:r>
      <w:r w:rsidRPr="00AF7228">
        <w:t xml:space="preserve">Has increased provision of treatment reduced the prevalence of common mental disorders? Review of the evidence from four countries. </w:t>
      </w:r>
      <w:r w:rsidRPr="00AF7228">
        <w:rPr>
          <w:i/>
          <w:iCs/>
        </w:rPr>
        <w:t>World Psychiatry</w:t>
      </w:r>
      <w:r w:rsidRPr="00AF7228">
        <w:t xml:space="preserve">;16(1):90–99. </w:t>
      </w:r>
    </w:p>
    <w:p w14:paraId="07179189" w14:textId="381EAF8D" w:rsidR="00AD3544" w:rsidRDefault="00AD3544" w:rsidP="00AD3544">
      <w:pPr>
        <w:pStyle w:val="TableText"/>
        <w:rPr>
          <w:lang w:val="en-US"/>
        </w:rPr>
      </w:pPr>
      <w:r>
        <w:rPr>
          <w:lang w:val="en-US"/>
        </w:rPr>
        <w:t xml:space="preserve">Jorm A (2016). </w:t>
      </w:r>
      <w:r w:rsidRPr="00AD3544">
        <w:rPr>
          <w:lang w:val="en-US"/>
        </w:rPr>
        <w:t>Headspace: The gap between the</w:t>
      </w:r>
      <w:r>
        <w:rPr>
          <w:lang w:val="en-US"/>
        </w:rPr>
        <w:t xml:space="preserve"> </w:t>
      </w:r>
      <w:r w:rsidRPr="00AD3544">
        <w:rPr>
          <w:lang w:val="en-US"/>
        </w:rPr>
        <w:t>evidence and the arguments</w:t>
      </w:r>
      <w:r>
        <w:rPr>
          <w:lang w:val="en-US"/>
        </w:rPr>
        <w:t xml:space="preserve">. </w:t>
      </w:r>
      <w:r w:rsidRPr="00AD3544">
        <w:rPr>
          <w:i/>
          <w:lang w:val="en-US"/>
        </w:rPr>
        <w:t>Australian &amp; New Zealand Journal of Psychiatry</w:t>
      </w:r>
      <w:r>
        <w:rPr>
          <w:lang w:val="en-US"/>
        </w:rPr>
        <w:t xml:space="preserve">: </w:t>
      </w:r>
      <w:r w:rsidRPr="00AD3544">
        <w:rPr>
          <w:lang w:val="en-US"/>
        </w:rPr>
        <w:t>50(3) 195–196</w:t>
      </w:r>
    </w:p>
    <w:p w14:paraId="06558BA2" w14:textId="39F50041" w:rsidR="00956301" w:rsidRDefault="00956301" w:rsidP="00956301">
      <w:pPr>
        <w:pStyle w:val="TableText"/>
      </w:pPr>
      <w:r w:rsidRPr="00956301">
        <w:rPr>
          <w:lang w:val="en-US"/>
        </w:rPr>
        <w:t xml:space="preserve">Lancy A </w:t>
      </w:r>
      <w:r w:rsidR="007420D5">
        <w:rPr>
          <w:lang w:val="en-US"/>
        </w:rPr>
        <w:t>and</w:t>
      </w:r>
      <w:r w:rsidRPr="00956301">
        <w:rPr>
          <w:lang w:val="en-US"/>
        </w:rPr>
        <w:t xml:space="preserve"> Gruen N (2013). </w:t>
      </w:r>
      <w:r w:rsidRPr="00956301">
        <w:t xml:space="preserve">Constructing the Herald/Age – Lateral Economics Index of Australia’s Wellbeing. </w:t>
      </w:r>
      <w:r w:rsidRPr="00956301">
        <w:rPr>
          <w:i/>
        </w:rPr>
        <w:t>The Aust. Economic Review</w:t>
      </w:r>
      <w:r w:rsidRPr="00956301">
        <w:t>: 46(1); 92–102</w:t>
      </w:r>
    </w:p>
    <w:p w14:paraId="1DCEA170" w14:textId="068974C7" w:rsidR="00181928" w:rsidRPr="00181928" w:rsidRDefault="00181928" w:rsidP="00181928">
      <w:pPr>
        <w:pStyle w:val="TableText"/>
        <w:rPr>
          <w:lang w:val="en-US"/>
        </w:rPr>
      </w:pPr>
      <w:r w:rsidRPr="00181928">
        <w:t xml:space="preserve">Langner TS and Michael ST (1963). </w:t>
      </w:r>
      <w:r w:rsidRPr="00181928">
        <w:rPr>
          <w:i/>
        </w:rPr>
        <w:t>Life Stress and Mental Health</w:t>
      </w:r>
      <w:r w:rsidRPr="00181928">
        <w:t xml:space="preserve">. London: Collier-Macmillan.   </w:t>
      </w:r>
    </w:p>
    <w:p w14:paraId="660F6446" w14:textId="7082BE4B" w:rsidR="007420D5" w:rsidRPr="007420D5" w:rsidRDefault="007420D5" w:rsidP="007420D5">
      <w:pPr>
        <w:pStyle w:val="TableText"/>
      </w:pPr>
      <w:r w:rsidRPr="007420D5">
        <w:t xml:space="preserve">Long KM, McDermott F and Meadows, G (2018). Being pragmatic about healthcare complexity: our experiences applying complexity theory and pragmatism to health services research. </w:t>
      </w:r>
      <w:r w:rsidRPr="007420D5">
        <w:rPr>
          <w:i/>
        </w:rPr>
        <w:t>BMC Medicine</w:t>
      </w:r>
      <w:r w:rsidRPr="007420D5">
        <w:t xml:space="preserve">; 16:94 </w:t>
      </w:r>
      <w:hyperlink r:id="rId70" w:history="1">
        <w:r w:rsidRPr="007420D5">
          <w:t>https://doi.org/10.1186/s12916-018-1087-6</w:t>
        </w:r>
      </w:hyperlink>
      <w:r>
        <w:t xml:space="preserve"> </w:t>
      </w:r>
    </w:p>
    <w:p w14:paraId="4B62867F" w14:textId="0AF4167C" w:rsidR="00181928" w:rsidRPr="00AF7228" w:rsidRDefault="00181928" w:rsidP="00956301">
      <w:pPr>
        <w:pStyle w:val="TableText"/>
      </w:pPr>
      <w:r w:rsidRPr="00181928">
        <w:t xml:space="preserve">Meadows, GN, Enticott JC, Linder B, Russell GM &amp; Gurr R. (2015). Better access to mental health care and the failure of the Medicare principle of universality. </w:t>
      </w:r>
      <w:r w:rsidRPr="00181928">
        <w:rPr>
          <w:i/>
        </w:rPr>
        <w:t>MJA</w:t>
      </w:r>
      <w:r w:rsidRPr="00181928">
        <w:t>: 202(4) 190-195.</w:t>
      </w:r>
    </w:p>
    <w:p w14:paraId="08CCBE03" w14:textId="61AF2BF8" w:rsidR="00570FDD" w:rsidRPr="00AF7228" w:rsidRDefault="00D16256" w:rsidP="00D71D1B">
      <w:pPr>
        <w:pStyle w:val="TableText"/>
      </w:pPr>
      <w:r w:rsidRPr="00AF7228">
        <w:t xml:space="preserve">Mendoza J, Bresnan A, Rosenberg S, Elson A, Gilbert Y, Long P, Wilson K &amp; Hopkins J. (2013). </w:t>
      </w:r>
      <w:r w:rsidRPr="00AF7228">
        <w:rPr>
          <w:i/>
        </w:rPr>
        <w:t>Obsessive Hope Disorder: Reflections on 30 years of mental health reform in Australia and visions for the future. Technical Report</w:t>
      </w:r>
      <w:r w:rsidRPr="00AF7228">
        <w:t>. ConNetica, Caloundra, QLD.</w:t>
      </w:r>
    </w:p>
    <w:p w14:paraId="0A97CD61" w14:textId="42901F6E" w:rsidR="00AF7228" w:rsidRDefault="00AF7228" w:rsidP="00D71D1B">
      <w:pPr>
        <w:pStyle w:val="TableText"/>
      </w:pPr>
      <w:r>
        <w:t xml:space="preserve">Mendoza J, Rosenberg S </w:t>
      </w:r>
      <w:r w:rsidR="007420D5">
        <w:t>and</w:t>
      </w:r>
      <w:r>
        <w:t xml:space="preserve"> Visser V (2010). </w:t>
      </w:r>
      <w:r w:rsidRPr="00AF7228">
        <w:rPr>
          <w:i/>
        </w:rPr>
        <w:t>Suicide and Suicide Prevention in Australia: Breaking the Silence</w:t>
      </w:r>
      <w:r>
        <w:t xml:space="preserve">. ConNetica, Caloundra. </w:t>
      </w:r>
    </w:p>
    <w:p w14:paraId="07221CA3" w14:textId="6FFBD9E8" w:rsidR="00181928" w:rsidRPr="00181928" w:rsidRDefault="00181928" w:rsidP="00181928">
      <w:pPr>
        <w:pStyle w:val="TableText"/>
        <w:rPr>
          <w:lang w:val="en-US"/>
        </w:rPr>
      </w:pPr>
      <w:r w:rsidRPr="00181928">
        <w:lastRenderedPageBreak/>
        <w:t xml:space="preserve">Mendoza JA, Hickie IB, </w:t>
      </w:r>
      <w:r w:rsidR="007420D5">
        <w:t>and</w:t>
      </w:r>
      <w:r w:rsidRPr="00181928">
        <w:t xml:space="preserve"> Bell T (2016). </w:t>
      </w:r>
      <w:r w:rsidRPr="00181928">
        <w:rPr>
          <w:i/>
        </w:rPr>
        <w:t>Analysis of suicide by 28 Federal Electorates, 2008-12</w:t>
      </w:r>
      <w:r w:rsidRPr="00181928">
        <w:t>. Media releases May 24.</w:t>
      </w:r>
    </w:p>
    <w:p w14:paraId="09394549" w14:textId="19AA4A8A" w:rsidR="00181928" w:rsidRPr="00181928" w:rsidRDefault="00181928" w:rsidP="00181928">
      <w:pPr>
        <w:pStyle w:val="TableText"/>
      </w:pPr>
      <w:r w:rsidRPr="00181928">
        <w:t xml:space="preserve">Mental Health Council of Australia (2005). </w:t>
      </w:r>
      <w:r w:rsidRPr="00181928">
        <w:rPr>
          <w:i/>
        </w:rPr>
        <w:t xml:space="preserve">Not for Service: Experiences of Injustice and Despair in Mental </w:t>
      </w:r>
      <w:r>
        <w:rPr>
          <w:i/>
        </w:rPr>
        <w:t>H</w:t>
      </w:r>
      <w:r w:rsidRPr="00181928">
        <w:rPr>
          <w:i/>
        </w:rPr>
        <w:t>ealth Care in Australia</w:t>
      </w:r>
      <w:r w:rsidRPr="00181928">
        <w:t xml:space="preserve">. MHCA: Canberra. </w:t>
      </w:r>
    </w:p>
    <w:p w14:paraId="06C0A466" w14:textId="520AFCF9" w:rsidR="00EB7A13" w:rsidRPr="00AF7228" w:rsidRDefault="00EB7A13" w:rsidP="00D71D1B">
      <w:pPr>
        <w:pStyle w:val="TableText"/>
      </w:pPr>
      <w:r w:rsidRPr="00EB7A13">
        <w:t xml:space="preserve">National Advisory Council on Mental Health (2009). </w:t>
      </w:r>
      <w:r w:rsidRPr="00EB7A13">
        <w:rPr>
          <w:i/>
        </w:rPr>
        <w:t xml:space="preserve">A Mentally Healthy Future for All Australians. </w:t>
      </w:r>
      <w:r w:rsidRPr="00EB7A13">
        <w:t>Report to the Rudd Government and the National Health and Hospitals Reform Commission, Canberra.</w:t>
      </w:r>
    </w:p>
    <w:p w14:paraId="3F5D13D4" w14:textId="5B2DCA8F" w:rsidR="00B06990" w:rsidRPr="00AF7228" w:rsidRDefault="00B06990" w:rsidP="00D71D1B">
      <w:pPr>
        <w:pStyle w:val="TableText"/>
      </w:pPr>
      <w:r w:rsidRPr="00AF7228">
        <w:t xml:space="preserve">National Mental Health Commission (2014). </w:t>
      </w:r>
      <w:r w:rsidRPr="00AF7228">
        <w:rPr>
          <w:i/>
        </w:rPr>
        <w:t>The National Review of Mental Health Programmes and Services</w:t>
      </w:r>
      <w:r w:rsidRPr="00AF7228">
        <w:t xml:space="preserve">. Sydney: NMHC </w:t>
      </w:r>
    </w:p>
    <w:p w14:paraId="7A163C1F" w14:textId="77777777" w:rsidR="00181928" w:rsidRPr="00181928" w:rsidRDefault="00181928" w:rsidP="00181928">
      <w:pPr>
        <w:pStyle w:val="TableText"/>
      </w:pPr>
      <w:r w:rsidRPr="00181928">
        <w:t>National Public Health Partnership (NPHP</w:t>
      </w:r>
      <w:r w:rsidRPr="00181928">
        <w:rPr>
          <w:i/>
        </w:rPr>
        <w:t>). Preventing chronic disease: a strategic framework.</w:t>
      </w:r>
      <w:r w:rsidRPr="00181928">
        <w:t xml:space="preserve"> Melbourne: NPHP,2001 </w:t>
      </w:r>
    </w:p>
    <w:p w14:paraId="5EBE4E8A" w14:textId="35E0F746" w:rsidR="00D16256" w:rsidRPr="00AF7228" w:rsidRDefault="00570FDD" w:rsidP="00D71D1B">
      <w:pPr>
        <w:pStyle w:val="TableText"/>
      </w:pPr>
      <w:r w:rsidRPr="00AF7228">
        <w:t xml:space="preserve">Page A, Atkinson JA, Campos W, et al. (2018). A decision-support tool to inform suicide prevention activity in Greater Western Sydney (Australia). </w:t>
      </w:r>
      <w:r w:rsidRPr="00AF7228">
        <w:rPr>
          <w:i/>
        </w:rPr>
        <w:t xml:space="preserve">Aust &amp; NZ Journal of </w:t>
      </w:r>
      <w:r w:rsidR="00AD3544" w:rsidRPr="00AF7228">
        <w:rPr>
          <w:i/>
        </w:rPr>
        <w:t xml:space="preserve">Psychiatry; </w:t>
      </w:r>
      <w:r w:rsidR="00AD3544" w:rsidRPr="00AF7228">
        <w:t>1</w:t>
      </w:r>
      <w:r w:rsidRPr="00AF7228">
        <w:t xml:space="preserve">-11: DOI: 10.1177/000486741876315 </w:t>
      </w:r>
    </w:p>
    <w:p w14:paraId="07E0780F" w14:textId="036CD9AE" w:rsidR="009814AF" w:rsidRPr="00AF7228" w:rsidRDefault="00D16256" w:rsidP="00D71D1B">
      <w:pPr>
        <w:pStyle w:val="TableText"/>
      </w:pPr>
      <w:r w:rsidRPr="00AF7228">
        <w:t xml:space="preserve">Parliament of Australia. </w:t>
      </w:r>
      <w:r w:rsidRPr="00AF7228">
        <w:rPr>
          <w:i/>
        </w:rPr>
        <w:t>House of Representatives Register of Committee Reports</w:t>
      </w:r>
      <w:r w:rsidRPr="00AF7228">
        <w:t xml:space="preserve"> and </w:t>
      </w:r>
      <w:r w:rsidRPr="00AF7228">
        <w:rPr>
          <w:i/>
        </w:rPr>
        <w:t xml:space="preserve">Register of Senate Committee Reports (1970-2019). </w:t>
      </w:r>
      <w:r w:rsidRPr="00AF7228">
        <w:t>Accessed at</w:t>
      </w:r>
      <w:r w:rsidR="003376B3" w:rsidRPr="00AF7228">
        <w:rPr>
          <w:i/>
        </w:rPr>
        <w:t xml:space="preserve">: </w:t>
      </w:r>
      <w:hyperlink r:id="rId71" w:history="1">
        <w:r w:rsidR="003376B3" w:rsidRPr="00AF7228">
          <w:rPr>
            <w:rStyle w:val="Hyperlink"/>
            <w:sz w:val="18"/>
          </w:rPr>
          <w:t>http://www.aph.gov.au/Parliamentary_Business/Committees</w:t>
        </w:r>
      </w:hyperlink>
      <w:r w:rsidR="003376B3" w:rsidRPr="00AF7228">
        <w:t xml:space="preserve"> &amp; </w:t>
      </w:r>
      <w:hyperlink r:id="rId72" w:history="1">
        <w:r w:rsidR="003376B3" w:rsidRPr="00AF7228">
          <w:rPr>
            <w:rStyle w:val="Hyperlink"/>
            <w:sz w:val="18"/>
          </w:rPr>
          <w:t>https://parlinfo/search/summary</w:t>
        </w:r>
      </w:hyperlink>
      <w:r w:rsidR="003376B3" w:rsidRPr="00AF7228">
        <w:t xml:space="preserve">. </w:t>
      </w:r>
    </w:p>
    <w:p w14:paraId="594FA323" w14:textId="77777777" w:rsidR="00181928" w:rsidRPr="00181928" w:rsidRDefault="00181928" w:rsidP="00181928">
      <w:pPr>
        <w:pStyle w:val="TableText"/>
      </w:pPr>
      <w:r w:rsidRPr="00181928">
        <w:t xml:space="preserve">Pearson DD (2009). </w:t>
      </w:r>
      <w:r w:rsidRPr="00181928">
        <w:rPr>
          <w:i/>
        </w:rPr>
        <w:t>Responding to Mental Health Crises in the Community.</w:t>
      </w:r>
      <w:r w:rsidRPr="00181928">
        <w:t xml:space="preserve"> Victorian Auditor General’s Office; Melbourne</w:t>
      </w:r>
    </w:p>
    <w:p w14:paraId="57AC00D3" w14:textId="2E3DAFB7" w:rsidR="00181928" w:rsidRDefault="00181928" w:rsidP="00D71D1B">
      <w:pPr>
        <w:pStyle w:val="TableText"/>
      </w:pPr>
      <w:r w:rsidRPr="00181928">
        <w:t xml:space="preserve">Pickett KE, et al. (2006). Income inequality and the prevalence of mental illness: a preliminary international analysis. </w:t>
      </w:r>
      <w:r w:rsidRPr="00181928">
        <w:rPr>
          <w:i/>
        </w:rPr>
        <w:t>Journal of Epidemiology &amp; Community Health</w:t>
      </w:r>
      <w:r w:rsidRPr="00181928">
        <w:t xml:space="preserve"> 60(7): 646-647.</w:t>
      </w:r>
    </w:p>
    <w:p w14:paraId="24F24BC7" w14:textId="16DDD7C9" w:rsidR="009814AF" w:rsidRPr="00AF7228" w:rsidRDefault="009814AF" w:rsidP="00D71D1B">
      <w:pPr>
        <w:pStyle w:val="TableText"/>
      </w:pPr>
      <w:r w:rsidRPr="00AF7228">
        <w:t xml:space="preserve">Platt S, Arensman E and Rezaeian M. (2019) National Suicide Prevention Strategies – Progress and Challenges. </w:t>
      </w:r>
      <w:r w:rsidRPr="00AF7228">
        <w:rPr>
          <w:i/>
        </w:rPr>
        <w:t xml:space="preserve">Crisis </w:t>
      </w:r>
      <w:r w:rsidRPr="00AF7228">
        <w:rPr>
          <w:iCs/>
        </w:rPr>
        <w:t>40:</w:t>
      </w:r>
      <w:r w:rsidRPr="00AF7228">
        <w:t>2, 75–82</w:t>
      </w:r>
      <w:r w:rsidRPr="00AF7228">
        <w:rPr>
          <w:i/>
        </w:rPr>
        <w:t xml:space="preserve"> </w:t>
      </w:r>
      <w:r w:rsidRPr="00AF7228">
        <w:t>https://doi.org/10.1027/0227-5910/a000587</w:t>
      </w:r>
      <w:r w:rsidRPr="00AF7228">
        <w:rPr>
          <w:i/>
        </w:rPr>
        <w:t xml:space="preserve"> </w:t>
      </w:r>
    </w:p>
    <w:p w14:paraId="1E00BC9F" w14:textId="6247C7D6" w:rsidR="000541B9" w:rsidRPr="00AF7228" w:rsidRDefault="009E40A0" w:rsidP="00D71D1B">
      <w:pPr>
        <w:pStyle w:val="TableText"/>
      </w:pPr>
      <w:r w:rsidRPr="00AF7228">
        <w:t xml:space="preserve">Public Health Information Development Unit. (2017). </w:t>
      </w:r>
      <w:r w:rsidRPr="00AF7228">
        <w:rPr>
          <w:i/>
        </w:rPr>
        <w:t>Social Health Atlas of Australia: Primary Health Networks</w:t>
      </w:r>
      <w:r w:rsidRPr="00AF7228">
        <w:t xml:space="preserve">. </w:t>
      </w:r>
      <w:r w:rsidRPr="00AF7228">
        <w:rPr>
          <w:rFonts w:cs="Arial"/>
          <w:color w:val="000000"/>
          <w:szCs w:val="18"/>
        </w:rPr>
        <w:t>Retrieved</w:t>
      </w:r>
      <w:r w:rsidRPr="00AF7228">
        <w:t xml:space="preserve"> from: PHIDU </w:t>
      </w:r>
      <w:hyperlink r:id="rId73" w:history="1">
        <w:r w:rsidR="000541B9" w:rsidRPr="00AF7228">
          <w:rPr>
            <w:rStyle w:val="Hyperlink"/>
          </w:rPr>
          <w:t>http://www.phidu.torrens.edu.au/social-health-atlases/data</w:t>
        </w:r>
      </w:hyperlink>
    </w:p>
    <w:p w14:paraId="40A2B07F" w14:textId="77777777" w:rsidR="007A7B22" w:rsidRDefault="007A7B22" w:rsidP="00181928">
      <w:pPr>
        <w:pStyle w:val="TableText"/>
        <w:rPr>
          <w:lang w:val="en-US"/>
        </w:rPr>
      </w:pPr>
      <w:r w:rsidRPr="007A7B22">
        <w:rPr>
          <w:lang w:val="en-US"/>
        </w:rPr>
        <w:t xml:space="preserve">Productivity Commission (2019). </w:t>
      </w:r>
      <w:r w:rsidRPr="007A7B22">
        <w:rPr>
          <w:i/>
          <w:lang w:val="en-US"/>
        </w:rPr>
        <w:t>The Social and Economic Benefits of Improving Mental Health. Issues Paper</w:t>
      </w:r>
      <w:r w:rsidRPr="007A7B22">
        <w:rPr>
          <w:lang w:val="en-US"/>
        </w:rPr>
        <w:t>. Australian Government. p32.</w:t>
      </w:r>
    </w:p>
    <w:p w14:paraId="06E620E8" w14:textId="5840950B" w:rsidR="00181928" w:rsidRPr="00181928" w:rsidRDefault="00181928" w:rsidP="00181928">
      <w:pPr>
        <w:pStyle w:val="TableText"/>
      </w:pPr>
      <w:r w:rsidRPr="00181928">
        <w:t xml:space="preserve">Raine R, Fitzpatrick R, Barratt H, Bevan G, et al. (2016). Challenges, solutions and future directions in the evaluation of service innovations in health care and public health. </w:t>
      </w:r>
      <w:r w:rsidRPr="00181928">
        <w:rPr>
          <w:i/>
        </w:rPr>
        <w:t>Health Serv Deliv Res</w:t>
      </w:r>
      <w:r w:rsidRPr="00181928">
        <w:t xml:space="preserve">; 4(16):1–136. </w:t>
      </w:r>
    </w:p>
    <w:p w14:paraId="4B8B5213" w14:textId="0EAB0BB8" w:rsidR="007420D5" w:rsidRPr="007420D5" w:rsidRDefault="007420D5" w:rsidP="007420D5">
      <w:pPr>
        <w:pStyle w:val="TableText"/>
        <w:rPr>
          <w:lang w:val="en-US"/>
        </w:rPr>
      </w:pPr>
      <w:r w:rsidRPr="007420D5">
        <w:rPr>
          <w:lang w:val="en-US"/>
        </w:rPr>
        <w:t xml:space="preserve">Rosenberg </w:t>
      </w:r>
      <w:r>
        <w:rPr>
          <w:lang w:val="en-US"/>
        </w:rPr>
        <w:t>SP, Hickie IB, McGorry P, Salvador-Carulla L, Christensen H, Mendoza J, Burns J, Rosen A, Russell L and Sinclair S.</w:t>
      </w:r>
      <w:r w:rsidRPr="007420D5">
        <w:rPr>
          <w:lang w:val="en-US"/>
        </w:rPr>
        <w:t xml:space="preserve"> (2015). Using accountability for mental health to drive reform. </w:t>
      </w:r>
      <w:r w:rsidRPr="007420D5">
        <w:rPr>
          <w:i/>
          <w:lang w:val="en-US"/>
        </w:rPr>
        <w:t>Med J Aust;</w:t>
      </w:r>
      <w:r w:rsidRPr="007420D5">
        <w:rPr>
          <w:lang w:val="en-US"/>
        </w:rPr>
        <w:t xml:space="preserve"> 203(8): 328-330.</w:t>
      </w:r>
    </w:p>
    <w:p w14:paraId="77634142" w14:textId="34028266" w:rsidR="007A7B22" w:rsidRDefault="007A7B22" w:rsidP="00D71D1B">
      <w:pPr>
        <w:pStyle w:val="TableText"/>
        <w:rPr>
          <w:i/>
          <w:lang w:val="en-US"/>
        </w:rPr>
      </w:pPr>
      <w:r w:rsidRPr="00181928">
        <w:rPr>
          <w:lang w:val="en-US"/>
        </w:rPr>
        <w:t xml:space="preserve">Rosenberg S &amp; Hickie I (2018). No gold medals: Australia’s international mental health performance. </w:t>
      </w:r>
      <w:r w:rsidRPr="007A7B22">
        <w:rPr>
          <w:i/>
          <w:lang w:val="en-US"/>
        </w:rPr>
        <w:t>Australasian Psychiatry;</w:t>
      </w:r>
      <w:r>
        <w:rPr>
          <w:lang w:val="en-US"/>
        </w:rPr>
        <w:t xml:space="preserve"> </w:t>
      </w:r>
      <w:r w:rsidRPr="007A7B22">
        <w:rPr>
          <w:lang w:val="en-US"/>
        </w:rPr>
        <w:t>1-5. DOI</w:t>
      </w:r>
      <w:r>
        <w:rPr>
          <w:lang w:val="en-US"/>
        </w:rPr>
        <w:t>: 10.1177/1039856218804335</w:t>
      </w:r>
      <w:r w:rsidRPr="00181928">
        <w:rPr>
          <w:i/>
          <w:lang w:val="en-US"/>
        </w:rPr>
        <w:t>.</w:t>
      </w:r>
    </w:p>
    <w:p w14:paraId="54B51EC5" w14:textId="77777777" w:rsidR="007A7B22" w:rsidRPr="007A7B22" w:rsidRDefault="007A7B22" w:rsidP="007A7B22">
      <w:pPr>
        <w:pStyle w:val="TableText"/>
        <w:rPr>
          <w:lang w:val="en-US"/>
        </w:rPr>
      </w:pPr>
      <w:r w:rsidRPr="007A7B22">
        <w:rPr>
          <w:lang w:val="en-US"/>
        </w:rPr>
        <w:t xml:space="preserve">Russell L &amp; Dawda P (2019). </w:t>
      </w:r>
      <w:r w:rsidRPr="007A7B22">
        <w:rPr>
          <w:i/>
          <w:lang w:val="en-US"/>
        </w:rPr>
        <w:t xml:space="preserve"> The role of PHNs in the delivery of primary care reforms. </w:t>
      </w:r>
      <w:r w:rsidRPr="007A7B22">
        <w:rPr>
          <w:lang w:val="en-US"/>
        </w:rPr>
        <w:t xml:space="preserve"> Menzies Centre for Health Policy, University of Sydney.</w:t>
      </w:r>
    </w:p>
    <w:p w14:paraId="3F6F6A7F" w14:textId="5BD769BC" w:rsidR="00D16256" w:rsidRPr="00AF7228" w:rsidRDefault="00D16256" w:rsidP="00D71D1B">
      <w:pPr>
        <w:pStyle w:val="TableText"/>
      </w:pPr>
      <w:r w:rsidRPr="00AF7228">
        <w:t xml:space="preserve">Salvador-Carulla, L., Fernandez, A., Feng, X., Astell-Burt, T., Maas, C., Smith-Merry, J., Gillespie, J. (2016). </w:t>
      </w:r>
      <w:r w:rsidRPr="00AF7228">
        <w:rPr>
          <w:i/>
        </w:rPr>
        <w:t>The Integrated Mental Health Atlas of Western Sydney</w:t>
      </w:r>
      <w:r w:rsidRPr="00AF7228">
        <w:t xml:space="preserve">. Mental Health Policy Unit, Brain and Mind Centre, Faculty of Health Sciences, University of Sydney. Western Sydney Partners in Recovery, Sydney. </w:t>
      </w:r>
    </w:p>
    <w:p w14:paraId="531DF863" w14:textId="77777777" w:rsidR="009814AF" w:rsidRPr="00AF7228" w:rsidRDefault="009814AF" w:rsidP="00D71D1B">
      <w:pPr>
        <w:pStyle w:val="TableText"/>
      </w:pPr>
      <w:r w:rsidRPr="00AF7228">
        <w:t xml:space="preserve">Salvador-Carulla, L., Lukersmith, S., Sullivan, W. (2017). From the EBM pyramid to the Greek temple: A new conceptual approach to Guidelines as implementation tools in mental health. </w:t>
      </w:r>
      <w:r w:rsidRPr="00AF7228">
        <w:rPr>
          <w:i/>
          <w:iCs/>
        </w:rPr>
        <w:t>Epidemiology and Psychiatric Sciences</w:t>
      </w:r>
      <w:r w:rsidRPr="00AF7228">
        <w:t xml:space="preserve">, 26(2), 105-114. </w:t>
      </w:r>
    </w:p>
    <w:p w14:paraId="1B42464B" w14:textId="10FD8719" w:rsidR="00181928" w:rsidRPr="007A7B22" w:rsidRDefault="00181928" w:rsidP="007A7B22">
      <w:pPr>
        <w:pStyle w:val="TableText"/>
      </w:pPr>
      <w:r w:rsidRPr="00AF7228">
        <w:t>Salvador-Carulla, L,</w:t>
      </w:r>
      <w:r w:rsidR="007A7B22">
        <w:t xml:space="preserve"> Faust M, Alberto Salinas J, Mendoza J, and Suontausta P. </w:t>
      </w:r>
      <w:r>
        <w:t xml:space="preserve">(2019). </w:t>
      </w:r>
      <w:r w:rsidR="007A7B22" w:rsidRPr="007A7B22">
        <w:rPr>
          <w:i/>
          <w:lang w:val="en-US"/>
        </w:rPr>
        <w:t>U</w:t>
      </w:r>
      <w:r w:rsidR="007A7B22" w:rsidRPr="007A7B22">
        <w:rPr>
          <w:i/>
          <w:iCs/>
          <w:lang w:val="en-US"/>
        </w:rPr>
        <w:t>sing evidence to shape mental health care in rural areas</w:t>
      </w:r>
      <w:r w:rsidR="007A7B22">
        <w:rPr>
          <w:b/>
          <w:i/>
          <w:iCs/>
          <w:lang w:val="en-US"/>
        </w:rPr>
        <w:t xml:space="preserve">. </w:t>
      </w:r>
      <w:r w:rsidR="007A7B22" w:rsidRPr="007A7B22">
        <w:rPr>
          <w:iCs/>
          <w:lang w:val="en-US"/>
        </w:rPr>
        <w:t>15</w:t>
      </w:r>
      <w:r w:rsidR="007A7B22" w:rsidRPr="007A7B22">
        <w:rPr>
          <w:iCs/>
          <w:vertAlign w:val="superscript"/>
          <w:lang w:val="en-US"/>
        </w:rPr>
        <w:t>th</w:t>
      </w:r>
      <w:r w:rsidR="007A7B22" w:rsidRPr="007A7B22">
        <w:rPr>
          <w:iCs/>
          <w:lang w:val="en-US"/>
        </w:rPr>
        <w:t xml:space="preserve"> National Rural Health Conference, Hobart</w:t>
      </w:r>
      <w:r w:rsidR="007A7B22">
        <w:rPr>
          <w:b/>
          <w:iCs/>
          <w:lang w:val="en-US"/>
        </w:rPr>
        <w:t>.</w:t>
      </w:r>
    </w:p>
    <w:p w14:paraId="3E78EFE6" w14:textId="7C5D1D84" w:rsidR="00181928" w:rsidRDefault="00181928" w:rsidP="00181928">
      <w:pPr>
        <w:pStyle w:val="TableText"/>
      </w:pPr>
      <w:r w:rsidRPr="00181928">
        <w:t xml:space="preserve">Savigny DA, T (2009). </w:t>
      </w:r>
      <w:r w:rsidRPr="00181928">
        <w:rPr>
          <w:i/>
        </w:rPr>
        <w:t>Systems Thinking for Health Systems Strengthening</w:t>
      </w:r>
      <w:r w:rsidRPr="00181928">
        <w:t xml:space="preserve">. WHO: Geneve. </w:t>
      </w:r>
    </w:p>
    <w:p w14:paraId="5DB5346E" w14:textId="2CA12E46" w:rsidR="00181928" w:rsidRPr="00181928" w:rsidRDefault="00181928" w:rsidP="00181928">
      <w:pPr>
        <w:pStyle w:val="TableText"/>
        <w:rPr>
          <w:i/>
          <w:lang w:val="en-US"/>
        </w:rPr>
      </w:pPr>
      <w:r w:rsidRPr="00181928">
        <w:rPr>
          <w:lang w:val="en-US"/>
        </w:rPr>
        <w:t xml:space="preserve">Silva M, Loureiro A &amp; Cardoso G (2016). Social determinants of mental health: a review of the evidence. </w:t>
      </w:r>
      <w:r w:rsidRPr="00181928">
        <w:rPr>
          <w:i/>
          <w:lang w:val="en-US"/>
        </w:rPr>
        <w:t xml:space="preserve">Eur J Psychiat; </w:t>
      </w:r>
      <w:r w:rsidRPr="00181928">
        <w:rPr>
          <w:lang w:val="en-US"/>
        </w:rPr>
        <w:t>30(4): 259-292.</w:t>
      </w:r>
    </w:p>
    <w:p w14:paraId="0A03593B" w14:textId="5F2135BC" w:rsidR="00D16256" w:rsidRPr="00AF7228" w:rsidRDefault="00181928" w:rsidP="00D71D1B">
      <w:pPr>
        <w:pStyle w:val="TableText"/>
      </w:pPr>
      <w:r>
        <w:rPr>
          <w:lang w:val="en-US"/>
        </w:rPr>
        <w:t xml:space="preserve">WentWest (2016). </w:t>
      </w:r>
      <w:r w:rsidRPr="004D7F79">
        <w:rPr>
          <w:i/>
          <w:lang w:val="en-US"/>
        </w:rPr>
        <w:t>Population Health Commissioning Atlas</w:t>
      </w:r>
      <w:r>
        <w:rPr>
          <w:lang w:val="en-US"/>
        </w:rPr>
        <w:t xml:space="preserve">. </w:t>
      </w:r>
      <w:r w:rsidR="007A7B22" w:rsidRPr="007A7B22">
        <w:rPr>
          <w:lang w:val="en-US"/>
        </w:rPr>
        <w:t>Western Sydney PHN</w:t>
      </w:r>
      <w:r w:rsidR="007A7B22">
        <w:rPr>
          <w:lang w:val="en-US"/>
        </w:rPr>
        <w:t>, Blacktown, NSW.</w:t>
      </w:r>
      <w:r>
        <w:rPr>
          <w:lang w:val="en-US"/>
        </w:rPr>
        <w:t xml:space="preserve"> </w:t>
      </w:r>
    </w:p>
    <w:p w14:paraId="26C38A14" w14:textId="1FB70E89" w:rsidR="007A7B22" w:rsidRDefault="007A7B22" w:rsidP="00956301">
      <w:pPr>
        <w:pStyle w:val="TableText"/>
        <w:rPr>
          <w:i/>
          <w:lang w:val="en-US"/>
        </w:rPr>
      </w:pPr>
      <w:r>
        <w:rPr>
          <w:lang w:val="en-US"/>
        </w:rPr>
        <w:t xml:space="preserve">WentWest 2018). </w:t>
      </w:r>
      <w:r>
        <w:rPr>
          <w:i/>
          <w:lang w:val="en-US"/>
        </w:rPr>
        <w:t xml:space="preserve">Values in Action: year in review 2017-2018. </w:t>
      </w:r>
      <w:r w:rsidRPr="007A7B22">
        <w:rPr>
          <w:lang w:val="en-US"/>
        </w:rPr>
        <w:t>Western Sydney PHN</w:t>
      </w:r>
      <w:r>
        <w:rPr>
          <w:lang w:val="en-US"/>
        </w:rPr>
        <w:t>, Blacktown, NSW.</w:t>
      </w:r>
    </w:p>
    <w:p w14:paraId="3EFD92EE" w14:textId="609A6D90" w:rsidR="007A7B22" w:rsidRPr="007A7B22" w:rsidRDefault="007A7B22" w:rsidP="007A7B22">
      <w:pPr>
        <w:pStyle w:val="TableText"/>
        <w:rPr>
          <w:lang w:val="en-US"/>
        </w:rPr>
      </w:pPr>
      <w:r>
        <w:rPr>
          <w:lang w:val="en-US"/>
        </w:rPr>
        <w:t>W</w:t>
      </w:r>
      <w:r w:rsidRPr="007A7B22">
        <w:rPr>
          <w:lang w:val="en-US"/>
        </w:rPr>
        <w:t>hiteford,</w:t>
      </w:r>
      <w:r>
        <w:rPr>
          <w:lang w:val="en-US"/>
        </w:rPr>
        <w:t xml:space="preserve"> H.</w:t>
      </w:r>
      <w:r w:rsidRPr="007A7B22">
        <w:rPr>
          <w:lang w:val="en-US"/>
        </w:rPr>
        <w:t xml:space="preserve"> Keynote Presentation, Qld Mental Health Commission </w:t>
      </w:r>
      <w:r w:rsidRPr="007A7B22">
        <w:rPr>
          <w:i/>
          <w:lang w:val="en-US"/>
        </w:rPr>
        <w:t xml:space="preserve">Leading Reform Summit. </w:t>
      </w:r>
      <w:r w:rsidRPr="007A7B22">
        <w:rPr>
          <w:lang w:val="en-US"/>
        </w:rPr>
        <w:t>21 November 2018, Brisbane</w:t>
      </w:r>
      <w:r>
        <w:rPr>
          <w:lang w:val="en-US"/>
        </w:rPr>
        <w:t>.</w:t>
      </w:r>
    </w:p>
    <w:p w14:paraId="20FA872F" w14:textId="058DA832" w:rsidR="007A7B22" w:rsidRDefault="007A7B22" w:rsidP="007A7B22">
      <w:pPr>
        <w:pStyle w:val="TableText"/>
        <w:rPr>
          <w:lang w:val="en-US"/>
        </w:rPr>
      </w:pPr>
      <w:r w:rsidRPr="007A7B22">
        <w:rPr>
          <w:lang w:val="en-US"/>
        </w:rPr>
        <w:t xml:space="preserve">Whiteford, </w:t>
      </w:r>
      <w:r>
        <w:rPr>
          <w:lang w:val="en-US"/>
        </w:rPr>
        <w:t>H, Harris, M and Diminic S. (2013)</w:t>
      </w:r>
      <w:r w:rsidRPr="007A7B22">
        <w:rPr>
          <w:lang w:val="en-US"/>
        </w:rPr>
        <w:t xml:space="preserve">. Mental health service system improvement: Translating evidence into policy. </w:t>
      </w:r>
      <w:r w:rsidRPr="007A7B22">
        <w:rPr>
          <w:i/>
          <w:lang w:val="en-US"/>
        </w:rPr>
        <w:t>Australian &amp; New Zealand Journal of Psychiatry</w:t>
      </w:r>
      <w:r w:rsidRPr="007A7B22">
        <w:rPr>
          <w:lang w:val="en-US"/>
        </w:rPr>
        <w:t>; 47:8, 703-706.</w:t>
      </w:r>
    </w:p>
    <w:p w14:paraId="267A275C" w14:textId="73495DA5" w:rsidR="007A7B22" w:rsidRPr="007A7B22" w:rsidRDefault="007A7B22" w:rsidP="007A7B22">
      <w:pPr>
        <w:pStyle w:val="TableText"/>
        <w:rPr>
          <w:lang w:val="en-US"/>
        </w:rPr>
      </w:pPr>
      <w:r>
        <w:rPr>
          <w:lang w:val="en-US"/>
        </w:rPr>
        <w:t xml:space="preserve">Whiteford, H (2014). Does our advocacy need a crisis to be effective? </w:t>
      </w:r>
      <w:r w:rsidRPr="007A7B22">
        <w:rPr>
          <w:i/>
          <w:lang w:val="en-US"/>
        </w:rPr>
        <w:t>ANZ Journal of Psychiatry</w:t>
      </w:r>
      <w:r>
        <w:rPr>
          <w:lang w:val="en-US"/>
        </w:rPr>
        <w:t>; 48(9): 871-876.</w:t>
      </w:r>
    </w:p>
    <w:p w14:paraId="41AB77F2" w14:textId="39087FF9" w:rsidR="007A7B22" w:rsidRPr="007A7B22" w:rsidRDefault="007A7B22" w:rsidP="007A7B22">
      <w:pPr>
        <w:pStyle w:val="TableText"/>
        <w:rPr>
          <w:lang w:val="en-US"/>
        </w:rPr>
      </w:pPr>
      <w:r>
        <w:rPr>
          <w:lang w:val="en-US"/>
        </w:rPr>
        <w:t xml:space="preserve">Whiteford H, Meurk C, Carstensen G, Hall W, Hill P and Head BW (2016). </w:t>
      </w:r>
      <w:r w:rsidRPr="007A7B22">
        <w:rPr>
          <w:lang w:val="en-US"/>
        </w:rPr>
        <w:t>How Did Youth Mental Health Make It</w:t>
      </w:r>
      <w:r>
        <w:rPr>
          <w:lang w:val="en-US"/>
        </w:rPr>
        <w:t xml:space="preserve"> </w:t>
      </w:r>
      <w:proofErr w:type="gramStart"/>
      <w:r w:rsidRPr="007A7B22">
        <w:rPr>
          <w:lang w:val="en-US"/>
        </w:rPr>
        <w:t>Onto</w:t>
      </w:r>
      <w:proofErr w:type="gramEnd"/>
      <w:r w:rsidRPr="007A7B22">
        <w:rPr>
          <w:lang w:val="en-US"/>
        </w:rPr>
        <w:t xml:space="preserve"> Australia’s 2011 Federal Policy</w:t>
      </w:r>
      <w:r>
        <w:rPr>
          <w:lang w:val="en-US"/>
        </w:rPr>
        <w:t xml:space="preserve">. </w:t>
      </w:r>
      <w:r>
        <w:rPr>
          <w:i/>
          <w:lang w:val="en-US"/>
        </w:rPr>
        <w:t xml:space="preserve">Sage Open; </w:t>
      </w:r>
      <w:r w:rsidRPr="007A7B22">
        <w:rPr>
          <w:lang w:val="en-US"/>
        </w:rPr>
        <w:t>DOI: 10.1177/2158244016680855</w:t>
      </w:r>
    </w:p>
    <w:p w14:paraId="1C979372" w14:textId="77777777" w:rsidR="00181928" w:rsidRPr="00181928" w:rsidRDefault="00181928" w:rsidP="00181928">
      <w:pPr>
        <w:pStyle w:val="TableText"/>
      </w:pPr>
      <w:r w:rsidRPr="00181928">
        <w:lastRenderedPageBreak/>
        <w:t xml:space="preserve">World Health Organization. (2008). </w:t>
      </w:r>
      <w:r w:rsidRPr="00181928">
        <w:rPr>
          <w:i/>
        </w:rPr>
        <w:t>Scaling up care for mental, neurological, and substance use disorders: Mental Health Gap Action Programme (mhGAP)</w:t>
      </w:r>
      <w:r w:rsidRPr="00181928">
        <w:t>. In: WHO, (ed.). Geneve.</w:t>
      </w:r>
    </w:p>
    <w:p w14:paraId="7FB0078F" w14:textId="77777777" w:rsidR="00181928" w:rsidRPr="00181928" w:rsidRDefault="00181928" w:rsidP="00181928">
      <w:pPr>
        <w:pStyle w:val="TableText"/>
        <w:rPr>
          <w:lang w:val="en-US"/>
        </w:rPr>
      </w:pPr>
      <w:r w:rsidRPr="00181928">
        <w:t xml:space="preserve">World Health Organization &amp; Calouste Gulbenkian Foundation. (2014). </w:t>
      </w:r>
      <w:r w:rsidRPr="00181928">
        <w:rPr>
          <w:i/>
        </w:rPr>
        <w:t>Social determinants of mental health.</w:t>
      </w:r>
      <w:r w:rsidRPr="00181928">
        <w:t xml:space="preserve"> Geneva.</w:t>
      </w:r>
    </w:p>
    <w:p w14:paraId="348C0668" w14:textId="77777777" w:rsidR="00181928" w:rsidRPr="00181928" w:rsidRDefault="00181928" w:rsidP="00181928">
      <w:pPr>
        <w:pStyle w:val="TableText"/>
      </w:pPr>
      <w:r w:rsidRPr="00181928">
        <w:t xml:space="preserve">World Health Organisation Europe. (2009). </w:t>
      </w:r>
      <w:r w:rsidRPr="00181928">
        <w:rPr>
          <w:i/>
        </w:rPr>
        <w:t>Mental Health, Resilience and Inequalities</w:t>
      </w:r>
      <w:r w:rsidRPr="00181928">
        <w:t>. Copenhagen, Denmark, WHO</w:t>
      </w:r>
    </w:p>
    <w:p w14:paraId="37A1A8F3" w14:textId="5A8E1A8E" w:rsidR="007A7B22" w:rsidRDefault="00181928" w:rsidP="00956301">
      <w:pPr>
        <w:pStyle w:val="TableText"/>
      </w:pPr>
      <w:r w:rsidRPr="00181928">
        <w:t>World Health Organisation</w:t>
      </w:r>
      <w:r w:rsidRPr="009814AF">
        <w:rPr>
          <w:rStyle w:val="FootnoteTextChar"/>
        </w:rPr>
        <w:t xml:space="preserve"> </w:t>
      </w:r>
      <w:r w:rsidRPr="007A7B22">
        <w:rPr>
          <w:rStyle w:val="FootnoteTextChar"/>
        </w:rPr>
        <w:t>(201</w:t>
      </w:r>
      <w:r w:rsidR="007A7B22" w:rsidRPr="007A7B22">
        <w:rPr>
          <w:rStyle w:val="FootnoteTextChar"/>
        </w:rPr>
        <w:t>8</w:t>
      </w:r>
      <w:r w:rsidRPr="007A7B22">
        <w:rPr>
          <w:rStyle w:val="FootnoteTextChar"/>
        </w:rPr>
        <w:t>)</w:t>
      </w:r>
      <w:r>
        <w:rPr>
          <w:rStyle w:val="FootnoteTextChar"/>
        </w:rPr>
        <w:t xml:space="preserve"> </w:t>
      </w:r>
      <w:r w:rsidR="007A7B22" w:rsidRPr="007A7B22">
        <w:rPr>
          <w:rStyle w:val="FootnoteTextChar"/>
          <w:i/>
        </w:rPr>
        <w:t>Global; Health Observatory Data: suicide, 2016.</w:t>
      </w:r>
      <w:r w:rsidR="007A7B22">
        <w:rPr>
          <w:rStyle w:val="FootnoteTextChar"/>
        </w:rPr>
        <w:t xml:space="preserve"> </w:t>
      </w:r>
      <w:r w:rsidRPr="007A7B22">
        <w:rPr>
          <w:rStyle w:val="FootnoteTextChar"/>
        </w:rPr>
        <w:t>Available at:</w:t>
      </w:r>
      <w:r>
        <w:rPr>
          <w:rStyle w:val="FootnoteTextChar"/>
        </w:rPr>
        <w:t xml:space="preserve"> </w:t>
      </w:r>
      <w:hyperlink r:id="rId74" w:history="1">
        <w:r w:rsidRPr="001E490B">
          <w:rPr>
            <w:rStyle w:val="Hyperlink"/>
            <w:sz w:val="18"/>
          </w:rPr>
          <w:t>https://www.who.int/gho/mental_health/suicide_rates/en/</w:t>
        </w:r>
      </w:hyperlink>
      <w:r>
        <w:rPr>
          <w:rStyle w:val="FootnoteTextChar"/>
        </w:rPr>
        <w:t xml:space="preserve"> </w:t>
      </w:r>
    </w:p>
    <w:sectPr w:rsidR="007A7B22" w:rsidSect="00C5514D">
      <w:headerReference w:type="even" r:id="rId75"/>
      <w:footerReference w:type="default" r:id="rId76"/>
      <w:pgSz w:w="11900" w:h="16840" w:code="9"/>
      <w:pgMar w:top="1361" w:right="1361" w:bottom="1361" w:left="1361" w:header="680" w:footer="680" w:gutter="0"/>
      <w:cols w:space="708"/>
      <w:docGrid w:linePitch="273"/>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4438800" w14:textId="77777777" w:rsidR="00935DB2" w:rsidRDefault="00935DB2" w:rsidP="006703A1">
      <w:r>
        <w:separator/>
      </w:r>
    </w:p>
    <w:p w14:paraId="4DC523CB" w14:textId="77777777" w:rsidR="00935DB2" w:rsidRDefault="00935DB2" w:rsidP="006703A1"/>
  </w:endnote>
  <w:endnote w:type="continuationSeparator" w:id="0">
    <w:p w14:paraId="1D6E1B87" w14:textId="77777777" w:rsidR="00935DB2" w:rsidRDefault="00935DB2" w:rsidP="006703A1">
      <w:r>
        <w:continuationSeparator/>
      </w:r>
    </w:p>
    <w:p w14:paraId="2422DB7E" w14:textId="77777777" w:rsidR="00935DB2" w:rsidRDefault="00935DB2" w:rsidP="006703A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old">
    <w:altName w:val="Arial"/>
    <w:panose1 w:val="020B0704020202020204"/>
    <w:charset w:val="00"/>
    <w:family w:val="auto"/>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Segoe UI"/>
    <w:charset w:val="00"/>
    <w:family w:val="swiss"/>
    <w:pitch w:val="variable"/>
    <w:sig w:usb0="E1000AEF" w:usb1="5000A1FF" w:usb2="00000000" w:usb3="00000000" w:csb0="000001BF" w:csb1="00000000"/>
  </w:font>
  <w:font w:name="InterstateBold">
    <w:altName w:val="Times New Roman"/>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140D0E" w14:textId="77777777" w:rsidR="00B303FA" w:rsidRDefault="00B303FA" w:rsidP="006703A1">
    <w:pPr>
      <w:pStyle w:val="Footer"/>
      <w:spacing w:line="14" w:lineRule="auto"/>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483" w:type="pct"/>
      <w:jc w:val="center"/>
      <w:tblLayout w:type="fixed"/>
      <w:tblCellMar>
        <w:left w:w="85" w:type="dxa"/>
        <w:right w:w="85" w:type="dxa"/>
      </w:tblCellMar>
      <w:tblLook w:val="04A0" w:firstRow="1" w:lastRow="0" w:firstColumn="1" w:lastColumn="0" w:noHBand="0" w:noVBand="1"/>
    </w:tblPr>
    <w:tblGrid>
      <w:gridCol w:w="8506"/>
      <w:gridCol w:w="1559"/>
    </w:tblGrid>
    <w:tr w:rsidR="00B303FA" w:rsidRPr="00E770F7" w14:paraId="3063DAE2" w14:textId="77777777" w:rsidTr="00C34200">
      <w:trPr>
        <w:trHeight w:hRule="exact" w:val="454"/>
        <w:jc w:val="center"/>
      </w:trPr>
      <w:tc>
        <w:tcPr>
          <w:tcW w:w="8506" w:type="dxa"/>
          <w:vAlign w:val="bottom"/>
        </w:tcPr>
        <w:p w14:paraId="5004F5E2" w14:textId="797C93AD" w:rsidR="00B303FA" w:rsidRPr="00E770F7" w:rsidRDefault="00935DB2" w:rsidP="005330D8">
          <w:pPr>
            <w:pStyle w:val="Footer"/>
          </w:pPr>
          <w:fldSimple w:instr=" FILENAME  ">
            <w:r w:rsidR="00B303FA">
              <w:rPr>
                <w:noProof/>
              </w:rPr>
              <w:t>WentWest PHN - Productivity Commission Submission</w:t>
            </w:r>
          </w:fldSimple>
        </w:p>
      </w:tc>
      <w:tc>
        <w:tcPr>
          <w:tcW w:w="1559" w:type="dxa"/>
          <w:vAlign w:val="bottom"/>
        </w:tcPr>
        <w:p w14:paraId="6959AD8D" w14:textId="39D59472" w:rsidR="00B303FA" w:rsidRPr="00E770F7" w:rsidRDefault="00B303FA" w:rsidP="005330D8">
          <w:pPr>
            <w:pStyle w:val="Footer"/>
          </w:pPr>
          <w:r>
            <w:t xml:space="preserve">Page </w:t>
          </w:r>
          <w:r>
            <w:fldChar w:fldCharType="begin"/>
          </w:r>
          <w:r>
            <w:instrText xml:space="preserve"> PAGE    </w:instrText>
          </w:r>
          <w:r>
            <w:fldChar w:fldCharType="separate"/>
          </w:r>
          <w:r w:rsidR="009F0A12">
            <w:rPr>
              <w:noProof/>
            </w:rPr>
            <w:t>18</w:t>
          </w:r>
          <w:r>
            <w:rPr>
              <w:noProof/>
            </w:rPr>
            <w:fldChar w:fldCharType="end"/>
          </w:r>
          <w:r>
            <w:t xml:space="preserve"> of 78</w:t>
          </w:r>
        </w:p>
      </w:tc>
    </w:tr>
  </w:tbl>
  <w:p w14:paraId="01D0CFB8" w14:textId="77777777" w:rsidR="00B303FA" w:rsidRPr="00AA6B76" w:rsidRDefault="00B303FA" w:rsidP="006A7955">
    <w:pPr>
      <w:pStyle w:val="Footer"/>
      <w:rPr>
        <w:sz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jc w:val="center"/>
      <w:tblLayout w:type="fixed"/>
      <w:tblCellMar>
        <w:left w:w="85" w:type="dxa"/>
        <w:right w:w="85" w:type="dxa"/>
      </w:tblCellMar>
      <w:tblLook w:val="04A0" w:firstRow="1" w:lastRow="0" w:firstColumn="1" w:lastColumn="0" w:noHBand="0" w:noVBand="1"/>
    </w:tblPr>
    <w:tblGrid>
      <w:gridCol w:w="1115"/>
      <w:gridCol w:w="6949"/>
      <w:gridCol w:w="1114"/>
    </w:tblGrid>
    <w:tr w:rsidR="00B303FA" w:rsidRPr="00E770F7" w14:paraId="6D03E82A" w14:textId="77777777" w:rsidTr="006F6285">
      <w:trPr>
        <w:trHeight w:hRule="exact" w:val="336"/>
        <w:jc w:val="center"/>
      </w:trPr>
      <w:tc>
        <w:tcPr>
          <w:tcW w:w="1134" w:type="dxa"/>
          <w:vAlign w:val="bottom"/>
        </w:tcPr>
        <w:p w14:paraId="7B1D625D" w14:textId="71BB1CCF" w:rsidR="00B303FA" w:rsidRPr="00E770F7" w:rsidRDefault="00B303FA" w:rsidP="005330D8">
          <w:pPr>
            <w:pStyle w:val="Footer"/>
          </w:pPr>
          <w:r>
            <w:fldChar w:fldCharType="begin"/>
          </w:r>
          <w:r>
            <w:instrText xml:space="preserve"> STYLEREF  Date  \* MERGEFORMAT </w:instrText>
          </w:r>
          <w:r>
            <w:rPr>
              <w:caps/>
              <w:noProof/>
              <w:color w:val="595959" w:themeColor="text1" w:themeTint="A6"/>
            </w:rPr>
            <w:fldChar w:fldCharType="end"/>
          </w:r>
        </w:p>
      </w:tc>
      <w:tc>
        <w:tcPr>
          <w:tcW w:w="7088" w:type="dxa"/>
          <w:vAlign w:val="bottom"/>
        </w:tcPr>
        <w:p w14:paraId="31538558" w14:textId="2104C5A7" w:rsidR="00B303FA" w:rsidRPr="00130F1E" w:rsidRDefault="00935DB2" w:rsidP="005330D8">
          <w:pPr>
            <w:pStyle w:val="Footer"/>
            <w:jc w:val="right"/>
            <w:rPr>
              <w:caps/>
              <w:color w:val="70B313"/>
            </w:rPr>
          </w:pPr>
          <w:fldSimple w:instr=" FILENAME  ">
            <w:r w:rsidR="00B303FA">
              <w:rPr>
                <w:noProof/>
              </w:rPr>
              <w:t>WentWest PHN - Productivity Commission Submission</w:t>
            </w:r>
          </w:fldSimple>
        </w:p>
      </w:tc>
      <w:tc>
        <w:tcPr>
          <w:tcW w:w="1134" w:type="dxa"/>
          <w:shd w:val="clear" w:color="auto" w:fill="auto"/>
          <w:tcMar>
            <w:right w:w="28" w:type="dxa"/>
          </w:tcMar>
          <w:vAlign w:val="bottom"/>
        </w:tcPr>
        <w:p w14:paraId="6C2F48AC" w14:textId="77777777" w:rsidR="00B303FA" w:rsidRPr="00E770F7" w:rsidRDefault="00B303FA" w:rsidP="006F6285">
          <w:pPr>
            <w:pStyle w:val="Footer"/>
            <w:jc w:val="right"/>
          </w:pPr>
          <w:r>
            <w:fldChar w:fldCharType="begin"/>
          </w:r>
          <w:r>
            <w:instrText xml:space="preserve"> PAGE</w:instrText>
          </w:r>
          <w:r>
            <w:fldChar w:fldCharType="separate"/>
          </w:r>
          <w:r w:rsidR="009F0A12">
            <w:rPr>
              <w:noProof/>
            </w:rPr>
            <w:t>vii</w:t>
          </w:r>
          <w:r>
            <w:rPr>
              <w:noProof/>
            </w:rPr>
            <w:fldChar w:fldCharType="end"/>
          </w:r>
          <w:r w:rsidRPr="00046AC5">
            <w:t xml:space="preserve"> </w:t>
          </w:r>
        </w:p>
      </w:tc>
    </w:tr>
  </w:tbl>
  <w:p w14:paraId="49EE92DC" w14:textId="77777777" w:rsidR="00B303FA" w:rsidRPr="00AA6B76" w:rsidRDefault="00B303FA" w:rsidP="00046AC5">
    <w:pPr>
      <w:pStyle w:val="Footer"/>
      <w:rPr>
        <w:sz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20" w:type="pct"/>
      <w:jc w:val="center"/>
      <w:tblLayout w:type="fixed"/>
      <w:tblCellMar>
        <w:left w:w="85" w:type="dxa"/>
        <w:right w:w="85" w:type="dxa"/>
      </w:tblCellMar>
      <w:tblLook w:val="04A0" w:firstRow="1" w:lastRow="0" w:firstColumn="1" w:lastColumn="0" w:noHBand="0" w:noVBand="1"/>
    </w:tblPr>
    <w:tblGrid>
      <w:gridCol w:w="7657"/>
      <w:gridCol w:w="1558"/>
    </w:tblGrid>
    <w:tr w:rsidR="00B303FA" w:rsidRPr="00E770F7" w14:paraId="3352D368" w14:textId="77777777" w:rsidTr="00C5514D">
      <w:trPr>
        <w:trHeight w:val="1"/>
        <w:jc w:val="center"/>
      </w:trPr>
      <w:tc>
        <w:tcPr>
          <w:tcW w:w="7656" w:type="dxa"/>
          <w:vAlign w:val="bottom"/>
        </w:tcPr>
        <w:p w14:paraId="61F6EDEC" w14:textId="4B34CD8A" w:rsidR="00B303FA" w:rsidRPr="00130F1E" w:rsidRDefault="00B303FA" w:rsidP="005330D8">
          <w:pPr>
            <w:pStyle w:val="Footer"/>
            <w:jc w:val="right"/>
            <w:rPr>
              <w:caps/>
              <w:color w:val="70B313"/>
            </w:rPr>
          </w:pPr>
          <w:r>
            <w:t>Western Sydney PHN – Productivity Commission Submission</w:t>
          </w:r>
        </w:p>
      </w:tc>
      <w:tc>
        <w:tcPr>
          <w:tcW w:w="1558" w:type="dxa"/>
          <w:shd w:val="clear" w:color="auto" w:fill="auto"/>
          <w:tcMar>
            <w:right w:w="28" w:type="dxa"/>
          </w:tcMar>
          <w:vAlign w:val="bottom"/>
        </w:tcPr>
        <w:p w14:paraId="59126FAB" w14:textId="09E9DDCA" w:rsidR="00B303FA" w:rsidRPr="00C5514D" w:rsidRDefault="00B303FA" w:rsidP="00C5514D">
          <w:pPr>
            <w:pStyle w:val="Footer"/>
            <w:ind w:left="192"/>
            <w:jc w:val="right"/>
          </w:pPr>
          <w:r w:rsidRPr="00C5514D">
            <w:t xml:space="preserve">Page </w:t>
          </w:r>
          <w:r w:rsidRPr="00C5514D">
            <w:fldChar w:fldCharType="begin"/>
          </w:r>
          <w:r w:rsidRPr="00C5514D">
            <w:instrText xml:space="preserve"> PAGE </w:instrText>
          </w:r>
          <w:r w:rsidRPr="00C5514D">
            <w:fldChar w:fldCharType="separate"/>
          </w:r>
          <w:r w:rsidR="009F0A12">
            <w:rPr>
              <w:noProof/>
            </w:rPr>
            <w:t>19</w:t>
          </w:r>
          <w:r w:rsidRPr="00C5514D">
            <w:fldChar w:fldCharType="end"/>
          </w:r>
          <w:r w:rsidRPr="00C5514D">
            <w:t xml:space="preserve"> of </w:t>
          </w:r>
          <w:r>
            <w:t>78</w:t>
          </w:r>
          <w:r w:rsidRPr="00C5514D">
            <w:t xml:space="preserve"> </w:t>
          </w:r>
        </w:p>
      </w:tc>
    </w:tr>
  </w:tbl>
  <w:p w14:paraId="0B84FFEC" w14:textId="77777777" w:rsidR="00B303FA" w:rsidRPr="00AA6B76" w:rsidRDefault="00B303FA" w:rsidP="00046AC5">
    <w:pPr>
      <w:pStyle w:val="Footer"/>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74A3393" w14:textId="77777777" w:rsidR="00935DB2" w:rsidRDefault="00935DB2" w:rsidP="006703A1">
      <w:r>
        <w:separator/>
      </w:r>
    </w:p>
    <w:p w14:paraId="34A94FBE" w14:textId="77777777" w:rsidR="00935DB2" w:rsidRDefault="00935DB2" w:rsidP="006703A1"/>
  </w:footnote>
  <w:footnote w:type="continuationSeparator" w:id="0">
    <w:p w14:paraId="611DE94E" w14:textId="77777777" w:rsidR="00935DB2" w:rsidRDefault="00935DB2" w:rsidP="006703A1">
      <w:r>
        <w:continuationSeparator/>
      </w:r>
    </w:p>
    <w:p w14:paraId="538C4281" w14:textId="77777777" w:rsidR="00935DB2" w:rsidRDefault="00935DB2" w:rsidP="006703A1"/>
  </w:footnote>
  <w:footnote w:id="1">
    <w:p w14:paraId="60399CC2" w14:textId="7A1C7517" w:rsidR="00B303FA" w:rsidRPr="007A7B22" w:rsidRDefault="00B303FA">
      <w:pPr>
        <w:pStyle w:val="FootnoteText"/>
      </w:pPr>
      <w:r>
        <w:rPr>
          <w:rStyle w:val="FootnoteReference"/>
        </w:rPr>
        <w:footnoteRef/>
      </w:r>
      <w:r>
        <w:t xml:space="preserve"> </w:t>
      </w:r>
      <w:r w:rsidRPr="007A7B22">
        <w:rPr>
          <w:iCs/>
        </w:rPr>
        <w:t>Bloom, et al. (2011).</w:t>
      </w:r>
      <w:r w:rsidRPr="007A7B22">
        <w:rPr>
          <w:i/>
          <w:iCs/>
        </w:rPr>
        <w:t xml:space="preserve"> The Global Economic Burden of Noncommunicable Diseases. </w:t>
      </w:r>
      <w:r w:rsidRPr="007A7B22">
        <w:rPr>
          <w:iCs/>
        </w:rPr>
        <w:t>Geneva: World Economic Forum</w:t>
      </w:r>
      <w:r w:rsidRPr="007A7B22">
        <w:rPr>
          <w:i/>
          <w:iCs/>
        </w:rPr>
        <w:t xml:space="preserve">. </w:t>
      </w:r>
    </w:p>
  </w:footnote>
  <w:footnote w:id="2">
    <w:p w14:paraId="1CFC7CA1" w14:textId="7410A393" w:rsidR="00B303FA" w:rsidRPr="00181928" w:rsidRDefault="00B303FA">
      <w:pPr>
        <w:pStyle w:val="FootnoteText"/>
      </w:pPr>
      <w:r>
        <w:rPr>
          <w:rStyle w:val="FootnoteReference"/>
        </w:rPr>
        <w:footnoteRef/>
      </w:r>
      <w:r>
        <w:t xml:space="preserve"> APEC (2014). </w:t>
      </w:r>
      <w:r w:rsidRPr="00D71D1B">
        <w:t>APEC Roadmap to Promote Mental Wellness in a Healthy Asia Pacific (2014-2020)</w:t>
      </w:r>
      <w:r>
        <w:t>. Beijing: China</w:t>
      </w:r>
      <w:r w:rsidRPr="00D71D1B">
        <w:t xml:space="preserve"> </w:t>
      </w:r>
    </w:p>
  </w:footnote>
  <w:footnote w:id="3">
    <w:p w14:paraId="35430ED4" w14:textId="3174A498" w:rsidR="00B303FA" w:rsidRPr="00D71D1B" w:rsidRDefault="00B303FA">
      <w:pPr>
        <w:pStyle w:val="FootnoteText"/>
      </w:pPr>
      <w:r>
        <w:rPr>
          <w:rStyle w:val="FootnoteReference"/>
        </w:rPr>
        <w:footnoteRef/>
      </w:r>
      <w:r>
        <w:t xml:space="preserve"> </w:t>
      </w:r>
      <w:r>
        <w:rPr>
          <w:lang w:val="en-US"/>
        </w:rPr>
        <w:t xml:space="preserve">Lancy A &amp; Gruen N (2013). </w:t>
      </w:r>
      <w:r w:rsidRPr="00D71D1B">
        <w:t>Constructing the Herald/Age – Lateral Economics Index of Australia’s Wellbeing</w:t>
      </w:r>
      <w:r>
        <w:t xml:space="preserve">. </w:t>
      </w:r>
      <w:r w:rsidRPr="00D71D1B">
        <w:rPr>
          <w:i/>
        </w:rPr>
        <w:t>The Aust. Economic Review</w:t>
      </w:r>
      <w:r>
        <w:t>:</w:t>
      </w:r>
      <w:r w:rsidRPr="00D71D1B">
        <w:t xml:space="preserve"> 46</w:t>
      </w:r>
      <w:r>
        <w:t>(1);</w:t>
      </w:r>
      <w:r w:rsidRPr="00D71D1B">
        <w:t xml:space="preserve"> 92–102 </w:t>
      </w:r>
      <w:r>
        <w:br/>
        <w:t xml:space="preserve">See also </w:t>
      </w:r>
      <w:hyperlink r:id="rId1" w:history="1">
        <w:r w:rsidRPr="001E490B">
          <w:rPr>
            <w:rStyle w:val="Hyperlink"/>
            <w:rFonts w:ascii="Cambria" w:hAnsi="Cambria"/>
            <w:sz w:val="18"/>
          </w:rPr>
          <w:t>https://www.smh.com.au/national/the-wellbeing-cost-of-mental-health-hits-200-billion-20160909-grcxxl.html</w:t>
        </w:r>
      </w:hyperlink>
      <w:r>
        <w:t xml:space="preserve"> </w:t>
      </w:r>
    </w:p>
  </w:footnote>
  <w:footnote w:id="4">
    <w:p w14:paraId="336A2C4F" w14:textId="77777777" w:rsidR="00B303FA" w:rsidRPr="00B03DF7" w:rsidRDefault="00B303FA" w:rsidP="00B03DF7">
      <w:pPr>
        <w:pStyle w:val="FootnoteText"/>
        <w:rPr>
          <w:lang w:val="en-US"/>
        </w:rPr>
      </w:pPr>
      <w:r>
        <w:rPr>
          <w:rStyle w:val="FootnoteReference"/>
        </w:rPr>
        <w:footnoteRef/>
      </w:r>
      <w:r>
        <w:t xml:space="preserve"> </w:t>
      </w:r>
      <w:r>
        <w:rPr>
          <w:lang w:val="en-US"/>
        </w:rPr>
        <w:t xml:space="preserve">At the time of the submission, the Productivity Commission had not indicated if alcohol and other drug issues would be included in the scope of the Inquiry and hence this is not addressed directly. </w:t>
      </w:r>
    </w:p>
  </w:footnote>
  <w:footnote w:id="5">
    <w:p w14:paraId="3825009D" w14:textId="7BF8FF1E" w:rsidR="00B303FA" w:rsidRPr="007A1563" w:rsidRDefault="00B303FA" w:rsidP="00713158">
      <w:pPr>
        <w:pStyle w:val="FootnoteText"/>
      </w:pPr>
      <w:r>
        <w:rPr>
          <w:rStyle w:val="FootnoteReference"/>
        </w:rPr>
        <w:footnoteRef/>
      </w:r>
      <w:r>
        <w:t xml:space="preserve"> </w:t>
      </w:r>
      <w:r w:rsidRPr="007A1563">
        <w:t xml:space="preserve">National Mental Health Commission </w:t>
      </w:r>
      <w:r>
        <w:t>(</w:t>
      </w:r>
      <w:r w:rsidRPr="007A1563">
        <w:t>2014</w:t>
      </w:r>
      <w:r>
        <w:t>).</w:t>
      </w:r>
      <w:r w:rsidRPr="007A1563">
        <w:t xml:space="preserve"> The National Review of Mental Health Programmes and Services. Sydney</w:t>
      </w:r>
      <w:r>
        <w:t>.</w:t>
      </w:r>
    </w:p>
  </w:footnote>
  <w:footnote w:id="6">
    <w:p w14:paraId="7E955C60" w14:textId="0E8497A1" w:rsidR="00B303FA" w:rsidRPr="007A1563" w:rsidRDefault="00B303FA" w:rsidP="00713158">
      <w:pPr>
        <w:pStyle w:val="FootnoteText"/>
        <w:rPr>
          <w:lang w:val="en-US"/>
        </w:rPr>
      </w:pPr>
      <w:r>
        <w:rPr>
          <w:rStyle w:val="FootnoteReference"/>
        </w:rPr>
        <w:footnoteRef/>
      </w:r>
      <w:r>
        <w:t xml:space="preserve"> Australian Government (2015). </w:t>
      </w:r>
      <w:r w:rsidRPr="007A1563">
        <w:t xml:space="preserve">Response to the </w:t>
      </w:r>
      <w:r w:rsidRPr="00DA0FEA">
        <w:t>Review of Mental Health Programmes</w:t>
      </w:r>
      <w:r>
        <w:t>.</w:t>
      </w:r>
    </w:p>
  </w:footnote>
  <w:footnote w:id="7">
    <w:p w14:paraId="05D2BB14" w14:textId="73AC2DDC" w:rsidR="00B303FA" w:rsidRPr="009814AF" w:rsidRDefault="00B303FA">
      <w:pPr>
        <w:pStyle w:val="FootnoteText"/>
      </w:pPr>
      <w:r>
        <w:rPr>
          <w:rStyle w:val="FootnoteReference"/>
        </w:rPr>
        <w:footnoteRef/>
      </w:r>
      <w:r>
        <w:t xml:space="preserve"> Adapted from </w:t>
      </w:r>
      <w:r>
        <w:rPr>
          <w:lang w:val="en-US"/>
        </w:rPr>
        <w:t xml:space="preserve">Salvador Carulla </w:t>
      </w:r>
      <w:r>
        <w:t>et al</w:t>
      </w:r>
      <w:r w:rsidRPr="009814AF">
        <w:t xml:space="preserve">. (2017). From the EBM pyramid to the Greek temple: A new conceptual approach to Guidelines as implementation tools in mental health. </w:t>
      </w:r>
      <w:r w:rsidRPr="009814AF">
        <w:rPr>
          <w:i/>
          <w:iCs/>
        </w:rPr>
        <w:t>Epidemiology and Psychiatric Sciences</w:t>
      </w:r>
      <w:r w:rsidRPr="009814AF">
        <w:t xml:space="preserve">, 26(2), 105-114. </w:t>
      </w:r>
    </w:p>
  </w:footnote>
  <w:footnote w:id="8">
    <w:p w14:paraId="317265E1" w14:textId="4A4B7B0A" w:rsidR="00B303FA" w:rsidRPr="0043354A" w:rsidRDefault="00B303FA">
      <w:pPr>
        <w:pStyle w:val="FootnoteText"/>
        <w:rPr>
          <w:lang w:val="en-US"/>
        </w:rPr>
      </w:pPr>
      <w:r>
        <w:rPr>
          <w:rStyle w:val="FootnoteReference"/>
        </w:rPr>
        <w:footnoteRef/>
      </w:r>
      <w:r>
        <w:t xml:space="preserve"> </w:t>
      </w:r>
      <w:r>
        <w:rPr>
          <w:lang w:val="en-US"/>
        </w:rPr>
        <w:t xml:space="preserve">Bodenheimer T, et al (2014). The 10 Building Blocks of High Performing Primary Care. </w:t>
      </w:r>
      <w:r>
        <w:rPr>
          <w:i/>
          <w:lang w:val="en-US"/>
        </w:rPr>
        <w:t xml:space="preserve">Annals of Family Med. </w:t>
      </w:r>
      <w:r>
        <w:rPr>
          <w:lang w:val="en-US"/>
        </w:rPr>
        <w:t>12(2); 166-171</w:t>
      </w:r>
    </w:p>
  </w:footnote>
  <w:footnote w:id="9">
    <w:p w14:paraId="2B974B75" w14:textId="120FB5E1" w:rsidR="00B303FA" w:rsidRPr="004D7F79" w:rsidRDefault="00B303FA">
      <w:pPr>
        <w:pStyle w:val="FootnoteText"/>
        <w:rPr>
          <w:lang w:val="en-US"/>
        </w:rPr>
      </w:pPr>
      <w:r>
        <w:rPr>
          <w:rStyle w:val="FootnoteReference"/>
        </w:rPr>
        <w:footnoteRef/>
      </w:r>
      <w:r>
        <w:t xml:space="preserve"> </w:t>
      </w:r>
      <w:r>
        <w:rPr>
          <w:lang w:val="en-US"/>
        </w:rPr>
        <w:t xml:space="preserve">WentWest (2016). </w:t>
      </w:r>
      <w:r w:rsidRPr="004D7F79">
        <w:rPr>
          <w:i/>
          <w:lang w:val="en-US"/>
        </w:rPr>
        <w:t>Population Health Commissioning Atlas</w:t>
      </w:r>
      <w:r>
        <w:rPr>
          <w:lang w:val="en-US"/>
        </w:rPr>
        <w:t xml:space="preserve">. WSPHN. </w:t>
      </w:r>
    </w:p>
  </w:footnote>
  <w:footnote w:id="10">
    <w:p w14:paraId="3B2946AA" w14:textId="5CD5E409" w:rsidR="00B303FA" w:rsidRPr="0043354A" w:rsidRDefault="00B303FA">
      <w:pPr>
        <w:pStyle w:val="FootnoteText"/>
      </w:pPr>
      <w:r>
        <w:rPr>
          <w:rStyle w:val="FootnoteReference"/>
        </w:rPr>
        <w:footnoteRef/>
      </w:r>
      <w:r>
        <w:t xml:space="preserve"> </w:t>
      </w:r>
      <w:r w:rsidRPr="0043354A">
        <w:t>Dahlgren G</w:t>
      </w:r>
      <w:r>
        <w:t xml:space="preserve"> &amp;</w:t>
      </w:r>
      <w:r w:rsidRPr="0043354A">
        <w:t xml:space="preserve"> Whitehead M, </w:t>
      </w:r>
      <w:r>
        <w:t xml:space="preserve">(1992). </w:t>
      </w:r>
      <w:r w:rsidRPr="0043354A">
        <w:rPr>
          <w:i/>
        </w:rPr>
        <w:t>Policies and strategies to promote social equity in health</w:t>
      </w:r>
      <w:r>
        <w:t>.</w:t>
      </w:r>
      <w:r w:rsidRPr="0043354A">
        <w:t xml:space="preserve"> Copenhagen: W</w:t>
      </w:r>
      <w:r>
        <w:t>HO</w:t>
      </w:r>
      <w:r w:rsidRPr="0043354A">
        <w:t xml:space="preserve"> </w:t>
      </w:r>
    </w:p>
  </w:footnote>
  <w:footnote w:id="11">
    <w:p w14:paraId="30AB03BF" w14:textId="7C14423A" w:rsidR="00B303FA" w:rsidRPr="0043354A" w:rsidRDefault="00B303FA">
      <w:pPr>
        <w:pStyle w:val="FootnoteText"/>
        <w:rPr>
          <w:lang w:val="en-US"/>
        </w:rPr>
      </w:pPr>
      <w:r>
        <w:rPr>
          <w:rStyle w:val="FootnoteReference"/>
        </w:rPr>
        <w:footnoteRef/>
      </w:r>
      <w:r>
        <w:t xml:space="preserve"> </w:t>
      </w:r>
      <w:r w:rsidRPr="0043354A">
        <w:t xml:space="preserve">Hollingshead AB &amp; Redlich FC. (1958). </w:t>
      </w:r>
      <w:r w:rsidRPr="0043354A">
        <w:rPr>
          <w:i/>
        </w:rPr>
        <w:t>Social class and mental illness: Community study.</w:t>
      </w:r>
      <w:r w:rsidRPr="0043354A">
        <w:t xml:space="preserve"> Hoboken, NJ, John Wiley</w:t>
      </w:r>
      <w:r>
        <w:t>.</w:t>
      </w:r>
    </w:p>
  </w:footnote>
  <w:footnote w:id="12">
    <w:p w14:paraId="407F4875" w14:textId="77777777" w:rsidR="00B303FA" w:rsidRPr="0043354A" w:rsidRDefault="00B303FA" w:rsidP="0043354A">
      <w:pPr>
        <w:pStyle w:val="FootnoteText"/>
        <w:rPr>
          <w:lang w:val="en-US"/>
        </w:rPr>
      </w:pPr>
      <w:r>
        <w:rPr>
          <w:rStyle w:val="FootnoteReference"/>
        </w:rPr>
        <w:footnoteRef/>
      </w:r>
      <w:r>
        <w:t xml:space="preserve"> </w:t>
      </w:r>
      <w:r w:rsidRPr="0043354A">
        <w:t xml:space="preserve">Pickett KE, et al. (2006). Income inequality and the prevalence of mental illness: a preliminary international analysis. </w:t>
      </w:r>
      <w:r w:rsidRPr="0043354A">
        <w:rPr>
          <w:i/>
        </w:rPr>
        <w:t xml:space="preserve">Journal of Epidemiology </w:t>
      </w:r>
      <w:r>
        <w:rPr>
          <w:i/>
        </w:rPr>
        <w:t>&amp;</w:t>
      </w:r>
      <w:r w:rsidRPr="0043354A">
        <w:rPr>
          <w:i/>
        </w:rPr>
        <w:t xml:space="preserve"> Community Health</w:t>
      </w:r>
      <w:r w:rsidRPr="0043354A">
        <w:t xml:space="preserve"> </w:t>
      </w:r>
      <w:r w:rsidRPr="0043354A">
        <w:rPr>
          <w:bCs/>
        </w:rPr>
        <w:t>60</w:t>
      </w:r>
      <w:r w:rsidRPr="0043354A">
        <w:t>(7): 646-647.</w:t>
      </w:r>
    </w:p>
  </w:footnote>
  <w:footnote w:id="13">
    <w:p w14:paraId="6E0B7E5A" w14:textId="2AB0ECAE" w:rsidR="00B303FA" w:rsidRPr="0043354A" w:rsidRDefault="00B303FA" w:rsidP="0043354A">
      <w:pPr>
        <w:pStyle w:val="FootnoteText"/>
        <w:rPr>
          <w:lang w:val="en-US"/>
        </w:rPr>
      </w:pPr>
      <w:r>
        <w:rPr>
          <w:rStyle w:val="FootnoteReference"/>
        </w:rPr>
        <w:footnoteRef/>
      </w:r>
      <w:r>
        <w:t xml:space="preserve"> Langner TS &amp; Michael ST (1963). Life Stress and Mental Health. London: Collier-Macmillan.   </w:t>
      </w:r>
    </w:p>
  </w:footnote>
  <w:footnote w:id="14">
    <w:p w14:paraId="11337046" w14:textId="0ABA7CB9" w:rsidR="00B303FA" w:rsidRPr="0043354A" w:rsidRDefault="00B303FA">
      <w:pPr>
        <w:pStyle w:val="FootnoteText"/>
        <w:rPr>
          <w:lang w:val="en-US"/>
        </w:rPr>
      </w:pPr>
      <w:r>
        <w:rPr>
          <w:rStyle w:val="FootnoteReference"/>
        </w:rPr>
        <w:footnoteRef/>
      </w:r>
      <w:r>
        <w:t xml:space="preserve"> </w:t>
      </w:r>
      <w:r w:rsidRPr="0043354A">
        <w:t xml:space="preserve">World Health Organisation Europe. (2009). </w:t>
      </w:r>
      <w:r w:rsidRPr="0043354A">
        <w:rPr>
          <w:i/>
        </w:rPr>
        <w:t>Mental Health, Resilience and Inequalities</w:t>
      </w:r>
      <w:r w:rsidRPr="0043354A">
        <w:t>. Copenhagen, Denmark, WHO</w:t>
      </w:r>
    </w:p>
  </w:footnote>
  <w:footnote w:id="15">
    <w:p w14:paraId="22F21B0E" w14:textId="782B165F" w:rsidR="00B303FA" w:rsidRPr="0043354A" w:rsidRDefault="00B303FA">
      <w:pPr>
        <w:pStyle w:val="FootnoteText"/>
        <w:rPr>
          <w:lang w:val="en-US"/>
        </w:rPr>
      </w:pPr>
      <w:r>
        <w:rPr>
          <w:rStyle w:val="FootnoteReference"/>
        </w:rPr>
        <w:footnoteRef/>
      </w:r>
      <w:r>
        <w:t xml:space="preserve"> </w:t>
      </w:r>
      <w:r w:rsidRPr="0043354A">
        <w:t xml:space="preserve">World Health Organization </w:t>
      </w:r>
      <w:r>
        <w:t>&amp;</w:t>
      </w:r>
      <w:r w:rsidRPr="0043354A">
        <w:t xml:space="preserve"> Calouste Gulbenkian Foundation. (2014). </w:t>
      </w:r>
      <w:r w:rsidRPr="0043354A">
        <w:rPr>
          <w:i/>
        </w:rPr>
        <w:t>Social determinants of mental health.</w:t>
      </w:r>
      <w:r w:rsidRPr="0043354A">
        <w:t xml:space="preserve"> Geneva.</w:t>
      </w:r>
    </w:p>
  </w:footnote>
  <w:footnote w:id="16">
    <w:p w14:paraId="518FCC03" w14:textId="40AC1210" w:rsidR="00B303FA" w:rsidRPr="0043354A" w:rsidRDefault="00B303FA">
      <w:pPr>
        <w:pStyle w:val="FootnoteText"/>
        <w:rPr>
          <w:i/>
          <w:lang w:val="en-US"/>
        </w:rPr>
      </w:pPr>
      <w:r>
        <w:rPr>
          <w:rStyle w:val="FootnoteReference"/>
        </w:rPr>
        <w:footnoteRef/>
      </w:r>
      <w:r>
        <w:t xml:space="preserve"> </w:t>
      </w:r>
      <w:r>
        <w:rPr>
          <w:lang w:val="en-US"/>
        </w:rPr>
        <w:t xml:space="preserve">Silva M, Loureiro A &amp; Cardoso G (2016). Social determinants of mental health: a review of the evidence. </w:t>
      </w:r>
      <w:r>
        <w:rPr>
          <w:i/>
          <w:lang w:val="en-US"/>
        </w:rPr>
        <w:t xml:space="preserve">Eur J Psychiat; </w:t>
      </w:r>
      <w:r w:rsidRPr="0043354A">
        <w:rPr>
          <w:lang w:val="en-US"/>
        </w:rPr>
        <w:t>30(4): 259-292.</w:t>
      </w:r>
    </w:p>
  </w:footnote>
  <w:footnote w:id="17">
    <w:p w14:paraId="1B1F35D0" w14:textId="1AEB2D64" w:rsidR="00B303FA" w:rsidRPr="009814AF" w:rsidRDefault="00B303FA">
      <w:pPr>
        <w:pStyle w:val="FootnoteText"/>
      </w:pPr>
      <w:r>
        <w:rPr>
          <w:rStyle w:val="FootnoteReference"/>
        </w:rPr>
        <w:footnoteRef/>
      </w:r>
      <w:r>
        <w:t xml:space="preserve"> </w:t>
      </w:r>
      <w:r w:rsidRPr="009814AF">
        <w:t>National Public Health Partnership (NPHP</w:t>
      </w:r>
      <w:r w:rsidRPr="009814AF">
        <w:rPr>
          <w:i/>
        </w:rPr>
        <w:t>). Preventing chronic disease: a strategic framework.</w:t>
      </w:r>
      <w:r w:rsidRPr="009814AF">
        <w:t xml:space="preserve"> Melbourne: NPHP,</w:t>
      </w:r>
      <w:r>
        <w:t xml:space="preserve"> </w:t>
      </w:r>
      <w:r w:rsidRPr="009814AF">
        <w:t xml:space="preserve">2001 </w:t>
      </w:r>
    </w:p>
  </w:footnote>
  <w:footnote w:id="18">
    <w:p w14:paraId="1DCA86F7" w14:textId="1D5AF504" w:rsidR="00B303FA" w:rsidRPr="00B6368F" w:rsidRDefault="00B303FA">
      <w:pPr>
        <w:pStyle w:val="FootnoteText"/>
        <w:rPr>
          <w:lang w:val="en-US"/>
        </w:rPr>
      </w:pPr>
      <w:r>
        <w:rPr>
          <w:rStyle w:val="FootnoteReference"/>
        </w:rPr>
        <w:footnoteRef/>
      </w:r>
      <w:r>
        <w:t xml:space="preserve"> </w:t>
      </w:r>
      <w:r>
        <w:rPr>
          <w:lang w:val="en-US"/>
        </w:rPr>
        <w:t xml:space="preserve">Salvador Carulla et al (2015). </w:t>
      </w:r>
      <w:r w:rsidRPr="00B6368F">
        <w:rPr>
          <w:i/>
        </w:rPr>
        <w:t>The Integrated Mental Health Atlas of Western Sydney</w:t>
      </w:r>
      <w:r w:rsidRPr="00B6368F">
        <w:t xml:space="preserve">. Mental Health Policy Unit, </w:t>
      </w:r>
      <w:r>
        <w:t xml:space="preserve"> </w:t>
      </w:r>
      <w:r w:rsidRPr="00B6368F">
        <w:t>Brain</w:t>
      </w:r>
      <w:r>
        <w:t xml:space="preserve"> </w:t>
      </w:r>
      <w:r w:rsidRPr="00B6368F">
        <w:t>and Mind Centre, Faculty of Health Sciences, University of Sydney. Western Sydney Partners in Recovery, Sydney.</w:t>
      </w:r>
    </w:p>
  </w:footnote>
  <w:footnote w:id="19">
    <w:p w14:paraId="5B20497C" w14:textId="201EEA50" w:rsidR="00B303FA" w:rsidRPr="00C03F61" w:rsidRDefault="00B303FA">
      <w:pPr>
        <w:pStyle w:val="FootnoteText"/>
      </w:pPr>
      <w:r>
        <w:rPr>
          <w:rStyle w:val="FootnoteReference"/>
        </w:rPr>
        <w:footnoteRef/>
      </w:r>
      <w:r>
        <w:t xml:space="preserve"> </w:t>
      </w:r>
      <w:r w:rsidRPr="00C03F61">
        <w:t>World Health Organization.</w:t>
      </w:r>
      <w:r>
        <w:t xml:space="preserve"> (2008).</w:t>
      </w:r>
      <w:r w:rsidRPr="00C03F61">
        <w:t xml:space="preserve"> </w:t>
      </w:r>
      <w:r w:rsidRPr="00C03F61">
        <w:rPr>
          <w:i/>
        </w:rPr>
        <w:t>Scaling up care for mental, neurological, and substance use disorders: Mental Health Gap Action Programme (mhGAP)</w:t>
      </w:r>
      <w:r w:rsidRPr="00C03F61">
        <w:t>. In: WHO, (ed.). Geneve.</w:t>
      </w:r>
    </w:p>
  </w:footnote>
  <w:footnote w:id="20">
    <w:p w14:paraId="205D8FCE" w14:textId="27ED9F5E" w:rsidR="00B303FA" w:rsidRPr="00C03F61" w:rsidRDefault="00B303FA">
      <w:pPr>
        <w:pStyle w:val="FootnoteText"/>
      </w:pPr>
      <w:r>
        <w:rPr>
          <w:rStyle w:val="FootnoteReference"/>
        </w:rPr>
        <w:footnoteRef/>
      </w:r>
      <w:r>
        <w:t xml:space="preserve"> </w:t>
      </w:r>
      <w:r w:rsidRPr="00C03F61">
        <w:t xml:space="preserve">Goodwin N. </w:t>
      </w:r>
      <w:r>
        <w:t xml:space="preserve">(2013) </w:t>
      </w:r>
      <w:r w:rsidRPr="00C03F61">
        <w:t xml:space="preserve">Understanding integrated care: a complex process, a fundamental principle. </w:t>
      </w:r>
      <w:r w:rsidRPr="00C03F61">
        <w:rPr>
          <w:i/>
        </w:rPr>
        <w:t>Int J Integr Care</w:t>
      </w:r>
      <w:r w:rsidRPr="00C03F61">
        <w:t>; 13.</w:t>
      </w:r>
    </w:p>
  </w:footnote>
  <w:footnote w:id="21">
    <w:p w14:paraId="16261E87" w14:textId="612439C9" w:rsidR="00B303FA" w:rsidRPr="00C03F61" w:rsidRDefault="00B303FA">
      <w:pPr>
        <w:pStyle w:val="FootnoteText"/>
      </w:pPr>
      <w:r>
        <w:rPr>
          <w:rStyle w:val="FootnoteReference"/>
        </w:rPr>
        <w:footnoteRef/>
      </w:r>
      <w:r>
        <w:t xml:space="preserve"> </w:t>
      </w:r>
      <w:r w:rsidRPr="00C03F61">
        <w:t>Savigny DA, T</w:t>
      </w:r>
      <w:r>
        <w:t xml:space="preserve"> (2009)</w:t>
      </w:r>
      <w:r w:rsidRPr="00C03F61">
        <w:t xml:space="preserve">. </w:t>
      </w:r>
      <w:r w:rsidRPr="00C03F61">
        <w:rPr>
          <w:i/>
        </w:rPr>
        <w:t>Systems Thinking for Health Systems Strengthening</w:t>
      </w:r>
      <w:r w:rsidRPr="00C03F61">
        <w:t xml:space="preserve">. </w:t>
      </w:r>
      <w:r>
        <w:t xml:space="preserve">WHO: </w:t>
      </w:r>
      <w:r w:rsidRPr="00C03F61">
        <w:t xml:space="preserve">Geneve. </w:t>
      </w:r>
    </w:p>
  </w:footnote>
  <w:footnote w:id="22">
    <w:p w14:paraId="672E4236" w14:textId="08636949" w:rsidR="00B303FA" w:rsidRPr="00EB7A13" w:rsidRDefault="00B303FA">
      <w:pPr>
        <w:pStyle w:val="FootnoteText"/>
      </w:pPr>
      <w:r>
        <w:rPr>
          <w:rStyle w:val="FootnoteReference"/>
        </w:rPr>
        <w:footnoteRef/>
      </w:r>
      <w:r>
        <w:t xml:space="preserve"> </w:t>
      </w:r>
      <w:r w:rsidRPr="00EB7A13">
        <w:t xml:space="preserve">Meadows, GN, Enticott JC, Linder B, Russell GM &amp; Gurr R. (2015). Better access to mental health care and the failure of the Medicare principle of universality. </w:t>
      </w:r>
      <w:r w:rsidRPr="00EB7A13">
        <w:rPr>
          <w:i/>
        </w:rPr>
        <w:t>MJA</w:t>
      </w:r>
      <w:r w:rsidRPr="00EB7A13">
        <w:t>: 202(4) 190-195.</w:t>
      </w:r>
    </w:p>
  </w:footnote>
  <w:footnote w:id="23">
    <w:p w14:paraId="1849386C" w14:textId="0169E3C2" w:rsidR="00B303FA" w:rsidRPr="00EB7A13" w:rsidRDefault="00B303FA">
      <w:pPr>
        <w:pStyle w:val="FootnoteText"/>
        <w:rPr>
          <w:lang w:val="en-US"/>
        </w:rPr>
      </w:pPr>
      <w:r>
        <w:rPr>
          <w:rStyle w:val="FootnoteReference"/>
        </w:rPr>
        <w:footnoteRef/>
      </w:r>
      <w:r>
        <w:t xml:space="preserve"> </w:t>
      </w:r>
      <w:r w:rsidRPr="00EB7A13">
        <w:t xml:space="preserve">Enticott JC, Meadows GN, Shawyer F, Inder B &amp; Pattern S. (2015). Mental disorders and distress: associations with demographics, remoteness and socioeconomic deprivation of area of residence across Australia. </w:t>
      </w:r>
      <w:r w:rsidRPr="00EB7A13">
        <w:rPr>
          <w:i/>
        </w:rPr>
        <w:t>ANZ J of Psychiatry</w:t>
      </w:r>
    </w:p>
  </w:footnote>
  <w:footnote w:id="24">
    <w:p w14:paraId="058DBBAD" w14:textId="3D9154A4" w:rsidR="00B303FA" w:rsidRPr="00EB7A13" w:rsidRDefault="00B303FA">
      <w:pPr>
        <w:pStyle w:val="FootnoteText"/>
        <w:rPr>
          <w:lang w:val="en-US"/>
        </w:rPr>
      </w:pPr>
      <w:r>
        <w:rPr>
          <w:rStyle w:val="FootnoteReference"/>
        </w:rPr>
        <w:footnoteRef/>
      </w:r>
      <w:r>
        <w:t xml:space="preserve"> </w:t>
      </w:r>
      <w:r w:rsidRPr="00EB7A13">
        <w:t xml:space="preserve">Mendoza JA, Hickie IB, &amp; Bell T (2016). </w:t>
      </w:r>
      <w:r w:rsidRPr="00EB7A13">
        <w:rPr>
          <w:i/>
        </w:rPr>
        <w:t>Analysis of suicide by 28 Federal Electorates, 2008-12</w:t>
      </w:r>
      <w:r w:rsidRPr="00EB7A13">
        <w:t>. Media releases May 24</w:t>
      </w:r>
      <w:r>
        <w:t>.</w:t>
      </w:r>
    </w:p>
  </w:footnote>
  <w:footnote w:id="25">
    <w:p w14:paraId="5A104A3A" w14:textId="0D390ECB" w:rsidR="00B303FA" w:rsidRPr="00EB7A13" w:rsidRDefault="00B303FA" w:rsidP="00EB7A13">
      <w:pPr>
        <w:pStyle w:val="FootnoteText"/>
        <w:ind w:right="106"/>
      </w:pPr>
      <w:r>
        <w:rPr>
          <w:rStyle w:val="FootnoteReference"/>
        </w:rPr>
        <w:footnoteRef/>
      </w:r>
      <w:r>
        <w:t xml:space="preserve"> Page A, Atkinson JA, Campos W, et al. (2018). A decision-support tool to inform suicide prevention activity in Greater Western Sydney (Australia). </w:t>
      </w:r>
      <w:r>
        <w:rPr>
          <w:i/>
        </w:rPr>
        <w:t xml:space="preserve">Aust &amp; NZ Journal of Psychiatry; </w:t>
      </w:r>
      <w:r>
        <w:t xml:space="preserve"> 1-11: DOI: 10.1177/000486741876315 </w:t>
      </w:r>
    </w:p>
  </w:footnote>
  <w:footnote w:id="26">
    <w:p w14:paraId="6559DB55" w14:textId="03F9F937" w:rsidR="00B303FA" w:rsidRPr="00AB3340" w:rsidRDefault="00B303FA">
      <w:pPr>
        <w:pStyle w:val="FootnoteText"/>
        <w:rPr>
          <w:lang w:val="en-US"/>
        </w:rPr>
      </w:pPr>
      <w:r>
        <w:rPr>
          <w:rStyle w:val="FootnoteReference"/>
        </w:rPr>
        <w:footnoteRef/>
      </w:r>
      <w:r>
        <w:t xml:space="preserve"> </w:t>
      </w:r>
      <w:r w:rsidRPr="00AB3340">
        <w:rPr>
          <w:lang w:val="en-US"/>
        </w:rPr>
        <w:t>This includes ‘The Report of the PHN Advisory Panel on Mental Health</w:t>
      </w:r>
      <w:r>
        <w:rPr>
          <w:lang w:val="en-US"/>
        </w:rPr>
        <w:t>” &amp;</w:t>
      </w:r>
      <w:r w:rsidRPr="00AB3340">
        <w:rPr>
          <w:lang w:val="en-US"/>
        </w:rPr>
        <w:t xml:space="preserve"> the “Evaluation of the PHN Program’ E&amp;Y.</w:t>
      </w:r>
    </w:p>
  </w:footnote>
  <w:footnote w:id="27">
    <w:p w14:paraId="4DFEF1C1" w14:textId="5EA315F8" w:rsidR="00B303FA" w:rsidRPr="009814AF" w:rsidRDefault="00B303FA" w:rsidP="003B145C">
      <w:pPr>
        <w:pStyle w:val="NormalWeb"/>
        <w:rPr>
          <w:rStyle w:val="FootnoteTextChar"/>
        </w:rPr>
      </w:pPr>
      <w:r>
        <w:rPr>
          <w:rStyle w:val="FootnoteReference"/>
        </w:rPr>
        <w:footnoteRef/>
      </w:r>
      <w:r>
        <w:t xml:space="preserve"> </w:t>
      </w:r>
      <w:r w:rsidRPr="007420D5">
        <w:rPr>
          <w:rFonts w:ascii="Cambria" w:hAnsi="Cambria"/>
          <w:sz w:val="18"/>
          <w:szCs w:val="20"/>
        </w:rPr>
        <w:t>WHO. Global Health Observator</w:t>
      </w:r>
      <w:r>
        <w:rPr>
          <w:rFonts w:ascii="Cambria" w:hAnsi="Cambria"/>
          <w:sz w:val="18"/>
          <w:szCs w:val="20"/>
        </w:rPr>
        <w:t>y.</w:t>
      </w:r>
      <w:r>
        <w:t xml:space="preserve"> </w:t>
      </w:r>
      <w:r w:rsidRPr="009814AF">
        <w:rPr>
          <w:rStyle w:val="FootnoteTextChar"/>
        </w:rPr>
        <w:t xml:space="preserve">(https://www.who.int/gho/mental_health/suicide_rates/en/ </w:t>
      </w:r>
    </w:p>
  </w:footnote>
  <w:footnote w:id="28">
    <w:p w14:paraId="79AEBC50" w14:textId="68E99223" w:rsidR="00B303FA" w:rsidRPr="00D71D1B" w:rsidRDefault="00B303FA" w:rsidP="00D71D1B">
      <w:pPr>
        <w:rPr>
          <w:rFonts w:ascii="Cambria" w:hAnsi="Cambria"/>
          <w:sz w:val="18"/>
        </w:rPr>
      </w:pPr>
      <w:r>
        <w:rPr>
          <w:rStyle w:val="FootnoteReference"/>
        </w:rPr>
        <w:footnoteRef/>
      </w:r>
      <w:r>
        <w:t xml:space="preserve"> </w:t>
      </w:r>
      <w:r w:rsidRPr="00D71D1B">
        <w:rPr>
          <w:rFonts w:ascii="Cambria" w:hAnsi="Cambria"/>
          <w:sz w:val="18"/>
        </w:rPr>
        <w:t xml:space="preserve"> Jorm AF. (2018). Australia’s ‘Better Access’ scheme: Has it had an impact on population mental health? </w:t>
      </w:r>
      <w:r w:rsidRPr="00D71D1B">
        <w:rPr>
          <w:rFonts w:ascii="Cambria" w:hAnsi="Cambria"/>
          <w:i/>
          <w:sz w:val="18"/>
        </w:rPr>
        <w:t>ANZ J Psychia</w:t>
      </w:r>
      <w:r>
        <w:rPr>
          <w:rFonts w:ascii="Cambria" w:hAnsi="Cambria"/>
          <w:i/>
          <w:sz w:val="18"/>
        </w:rPr>
        <w:t>try</w:t>
      </w:r>
      <w:r w:rsidRPr="00D71D1B">
        <w:rPr>
          <w:rFonts w:ascii="Cambria" w:hAnsi="Cambria"/>
          <w:i/>
          <w:sz w:val="18"/>
        </w:rPr>
        <w:t>;</w:t>
      </w:r>
      <w:r w:rsidRPr="00D71D1B">
        <w:rPr>
          <w:rFonts w:ascii="Cambria" w:hAnsi="Cambria"/>
          <w:sz w:val="18"/>
        </w:rPr>
        <w:t xml:space="preserve"> 52(11), 1057–1062.</w:t>
      </w:r>
    </w:p>
  </w:footnote>
  <w:footnote w:id="29">
    <w:p w14:paraId="3E315DB7" w14:textId="7E3670B6" w:rsidR="00B303FA" w:rsidRPr="00D71D1B" w:rsidRDefault="00B303FA">
      <w:pPr>
        <w:pStyle w:val="FootnoteText"/>
      </w:pPr>
      <w:r>
        <w:rPr>
          <w:rStyle w:val="FootnoteReference"/>
        </w:rPr>
        <w:footnoteRef/>
      </w:r>
      <w:r>
        <w:t xml:space="preserve"> </w:t>
      </w:r>
      <w:r w:rsidRPr="00D71D1B">
        <w:t>Jorm AF, Patten SB, Brugha TS</w:t>
      </w:r>
      <w:r>
        <w:t xml:space="preserve"> &amp; </w:t>
      </w:r>
      <w:r w:rsidRPr="00D71D1B">
        <w:t>Mojtabai R.</w:t>
      </w:r>
      <w:r>
        <w:t xml:space="preserve"> (2017).</w:t>
      </w:r>
      <w:r w:rsidRPr="00D71D1B">
        <w:t xml:space="preserve"> Has increased provision of treatment reduced the prevalence of common mental disorders? Review of the evidence from four countries.</w:t>
      </w:r>
      <w:r>
        <w:t xml:space="preserve"> </w:t>
      </w:r>
      <w:r w:rsidRPr="00D71D1B">
        <w:rPr>
          <w:i/>
          <w:iCs/>
        </w:rPr>
        <w:t>World Psychiatry</w:t>
      </w:r>
      <w:r w:rsidRPr="00D71D1B">
        <w:t xml:space="preserve">;16(1):90–99. </w:t>
      </w:r>
    </w:p>
  </w:footnote>
  <w:footnote w:id="30">
    <w:p w14:paraId="39851985" w14:textId="000213E7" w:rsidR="00B303FA" w:rsidRPr="00BD7169" w:rsidRDefault="00B303FA" w:rsidP="00BD7169">
      <w:pPr>
        <w:pStyle w:val="FootnoteText"/>
        <w:widowControl w:val="0"/>
        <w:autoSpaceDE w:val="0"/>
        <w:autoSpaceDN w:val="0"/>
        <w:ind w:right="106"/>
      </w:pPr>
      <w:r>
        <w:rPr>
          <w:rStyle w:val="FootnoteReference"/>
        </w:rPr>
        <w:footnoteRef/>
      </w:r>
      <w:r>
        <w:t xml:space="preserve"> Glass, D. </w:t>
      </w:r>
      <w:r>
        <w:rPr>
          <w:lang w:val="en-US"/>
        </w:rPr>
        <w:t xml:space="preserve">(2018). </w:t>
      </w:r>
      <w:r w:rsidRPr="0071137E">
        <w:rPr>
          <w:i/>
        </w:rPr>
        <w:t>Investigation into the imprisonment of a woman found unfit to stand trial</w:t>
      </w:r>
      <w:r>
        <w:t xml:space="preserve">. </w:t>
      </w:r>
      <w:r>
        <w:rPr>
          <w:lang w:val="en-US"/>
        </w:rPr>
        <w:t>Victorian Ombudsman.</w:t>
      </w:r>
    </w:p>
  </w:footnote>
  <w:footnote w:id="31">
    <w:p w14:paraId="602C0518" w14:textId="5EE9EF3E" w:rsidR="00B303FA" w:rsidRDefault="00B303FA">
      <w:pPr>
        <w:pStyle w:val="FootnoteText"/>
      </w:pPr>
      <w:r>
        <w:rPr>
          <w:rStyle w:val="FootnoteReference"/>
        </w:rPr>
        <w:footnoteRef/>
      </w:r>
      <w:r>
        <w:t xml:space="preserve"> </w:t>
      </w:r>
      <w:r w:rsidRPr="00AD3544">
        <w:rPr>
          <w:bCs/>
        </w:rPr>
        <w:t xml:space="preserve">Duckett </w:t>
      </w:r>
      <w:r>
        <w:rPr>
          <w:bCs/>
        </w:rPr>
        <w:t xml:space="preserve">et al </w:t>
      </w:r>
      <w:r w:rsidRPr="00AD3544">
        <w:rPr>
          <w:bCs/>
        </w:rPr>
        <w:t xml:space="preserve">(2016). </w:t>
      </w:r>
      <w:r w:rsidRPr="00AD3544">
        <w:rPr>
          <w:bCs/>
          <w:i/>
        </w:rPr>
        <w:t>Targeting zero: Supporting the Victorian hospital system to eliminate avoidable harm and strengthen quality of care.</w:t>
      </w:r>
      <w:r w:rsidRPr="00AD3544">
        <w:rPr>
          <w:bCs/>
        </w:rPr>
        <w:t xml:space="preserve"> Report of the Review of Hospital Safety and Quality Assurance. Victorian Govt, Melbourne.</w:t>
      </w:r>
    </w:p>
  </w:footnote>
  <w:footnote w:id="32">
    <w:p w14:paraId="4AE7E653" w14:textId="6D2A7062" w:rsidR="00B303FA" w:rsidRPr="00B06990" w:rsidRDefault="00B303FA">
      <w:pPr>
        <w:pStyle w:val="FootnoteText"/>
        <w:rPr>
          <w:lang w:val="en-US"/>
        </w:rPr>
      </w:pPr>
      <w:r>
        <w:rPr>
          <w:rStyle w:val="FootnoteReference"/>
        </w:rPr>
        <w:footnoteRef/>
      </w:r>
      <w:r>
        <w:t xml:space="preserve"> National Mental Health Commission (2014). </w:t>
      </w:r>
      <w:r w:rsidRPr="00B06990">
        <w:rPr>
          <w:i/>
        </w:rPr>
        <w:t>National Review of Programmes and Services</w:t>
      </w:r>
      <w:r>
        <w:t>. NMHC: Sydney. p.14</w:t>
      </w:r>
    </w:p>
  </w:footnote>
  <w:footnote w:id="33">
    <w:p w14:paraId="45466D34" w14:textId="401B13E4" w:rsidR="00B303FA" w:rsidRPr="00B06990" w:rsidRDefault="00B303FA">
      <w:pPr>
        <w:pStyle w:val="FootnoteText"/>
        <w:rPr>
          <w:lang w:val="en-US"/>
        </w:rPr>
      </w:pPr>
      <w:r>
        <w:rPr>
          <w:rStyle w:val="FootnoteReference"/>
        </w:rPr>
        <w:footnoteRef/>
      </w:r>
      <w:r>
        <w:t xml:space="preserve"> </w:t>
      </w:r>
      <w:r>
        <w:rPr>
          <w:lang w:val="en-US"/>
        </w:rPr>
        <w:t>Ibid, p 15.</w:t>
      </w:r>
    </w:p>
  </w:footnote>
  <w:footnote w:id="34">
    <w:p w14:paraId="206EF566" w14:textId="6B2CAE2E" w:rsidR="00B303FA" w:rsidRPr="00B06990" w:rsidRDefault="00B303FA">
      <w:pPr>
        <w:pStyle w:val="FootnoteText"/>
        <w:rPr>
          <w:lang w:val="en-US"/>
        </w:rPr>
      </w:pPr>
      <w:r>
        <w:rPr>
          <w:rStyle w:val="FootnoteReference"/>
        </w:rPr>
        <w:footnoteRef/>
      </w:r>
      <w:r>
        <w:t xml:space="preserve"> </w:t>
      </w:r>
      <w:r>
        <w:rPr>
          <w:lang w:val="en-US"/>
        </w:rPr>
        <w:t>Ibid, p 14.</w:t>
      </w:r>
    </w:p>
  </w:footnote>
  <w:footnote w:id="35">
    <w:p w14:paraId="327FA550" w14:textId="57C465F7" w:rsidR="00B303FA" w:rsidRPr="00B06990" w:rsidRDefault="00B303FA">
      <w:pPr>
        <w:pStyle w:val="FootnoteText"/>
        <w:rPr>
          <w:lang w:val="en-US"/>
        </w:rPr>
      </w:pPr>
      <w:r>
        <w:rPr>
          <w:rStyle w:val="FootnoteReference"/>
        </w:rPr>
        <w:footnoteRef/>
      </w:r>
      <w:r>
        <w:t xml:space="preserve"> </w:t>
      </w:r>
      <w:r>
        <w:rPr>
          <w:lang w:val="en-US"/>
        </w:rPr>
        <w:t xml:space="preserve">Mental Health Council of Australia (2005). </w:t>
      </w:r>
      <w:r w:rsidRPr="00B06990">
        <w:rPr>
          <w:i/>
          <w:lang w:val="en-US"/>
        </w:rPr>
        <w:t>Not for Service: Experiences of Injustice and Despair in Mental health Care in Australia</w:t>
      </w:r>
      <w:r>
        <w:rPr>
          <w:lang w:val="en-US"/>
        </w:rPr>
        <w:t xml:space="preserve">. MHCA: Canberra. </w:t>
      </w:r>
    </w:p>
  </w:footnote>
  <w:footnote w:id="36">
    <w:p w14:paraId="46BDEBAA" w14:textId="0E255DDE" w:rsidR="00B303FA" w:rsidRPr="00B06990" w:rsidRDefault="00B303FA">
      <w:pPr>
        <w:pStyle w:val="FootnoteText"/>
        <w:rPr>
          <w:lang w:val="en-US"/>
        </w:rPr>
      </w:pPr>
      <w:r>
        <w:rPr>
          <w:rStyle w:val="FootnoteReference"/>
        </w:rPr>
        <w:footnoteRef/>
      </w:r>
      <w:r>
        <w:t xml:space="preserve"> </w:t>
      </w:r>
      <w:r w:rsidRPr="00B06990">
        <w:t xml:space="preserve">Mendoza J, </w:t>
      </w:r>
      <w:r>
        <w:t>et al</w:t>
      </w:r>
      <w:r w:rsidRPr="00B06990">
        <w:t xml:space="preserve">. (2013). </w:t>
      </w:r>
      <w:r w:rsidRPr="00B06990">
        <w:rPr>
          <w:i/>
        </w:rPr>
        <w:t>Obsessive Hope Disorder: Reflections on 30 years of mental health reform in Australia and visions for the future. Technical Report</w:t>
      </w:r>
      <w:r w:rsidRPr="00B06990">
        <w:t>. ConNetica, Caloundra, QLD.</w:t>
      </w:r>
    </w:p>
  </w:footnote>
  <w:footnote w:id="37">
    <w:p w14:paraId="4D8AB6B6" w14:textId="0A1B4919" w:rsidR="00B303FA" w:rsidRPr="00AD3544" w:rsidRDefault="00B303FA">
      <w:pPr>
        <w:pStyle w:val="FootnoteText"/>
        <w:rPr>
          <w:lang w:val="en-US"/>
        </w:rPr>
      </w:pPr>
      <w:r>
        <w:rPr>
          <w:rStyle w:val="FootnoteReference"/>
        </w:rPr>
        <w:footnoteRef/>
      </w:r>
      <w:r>
        <w:t xml:space="preserve"> </w:t>
      </w:r>
      <w:r w:rsidRPr="00AD3544">
        <w:rPr>
          <w:lang w:val="en-US"/>
        </w:rPr>
        <w:t xml:space="preserve">DOH Officials statements, Senates Estimates Committee hearing, 10 April 2019. </w:t>
      </w:r>
    </w:p>
  </w:footnote>
  <w:footnote w:id="38">
    <w:p w14:paraId="4C330BD2" w14:textId="0EA10143" w:rsidR="00B303FA" w:rsidRPr="00AD3544" w:rsidRDefault="00B303FA">
      <w:pPr>
        <w:pStyle w:val="FootnoteText"/>
        <w:rPr>
          <w:lang w:val="en-US"/>
        </w:rPr>
      </w:pPr>
      <w:r w:rsidRPr="00AD3544">
        <w:rPr>
          <w:lang w:val="en-US"/>
        </w:rPr>
        <w:footnoteRef/>
      </w:r>
      <w:r w:rsidRPr="00AD3544">
        <w:rPr>
          <w:lang w:val="en-US"/>
        </w:rPr>
        <w:t xml:space="preserve"> Jorm A (2016). Headspace: The gap between the evidence and the arguments. </w:t>
      </w:r>
      <w:r w:rsidRPr="00AD3544">
        <w:rPr>
          <w:i/>
          <w:lang w:val="en-US"/>
        </w:rPr>
        <w:t>ANZ J Psychiatry</w:t>
      </w:r>
      <w:r w:rsidRPr="00AD3544">
        <w:rPr>
          <w:lang w:val="en-US"/>
        </w:rPr>
        <w:t>: 50(3) 195–196</w:t>
      </w:r>
    </w:p>
  </w:footnote>
  <w:footnote w:id="39">
    <w:p w14:paraId="6674BFAF" w14:textId="22E5812C" w:rsidR="00B303FA" w:rsidRPr="00AD3544" w:rsidRDefault="00B303FA" w:rsidP="00AD3544">
      <w:pPr>
        <w:pStyle w:val="FootnoteText"/>
      </w:pPr>
      <w:r>
        <w:rPr>
          <w:rStyle w:val="FootnoteReference"/>
        </w:rPr>
        <w:footnoteRef/>
      </w:r>
      <w:r>
        <w:t xml:space="preserve"> </w:t>
      </w:r>
      <w:r w:rsidRPr="00AD3544">
        <w:t xml:space="preserve">Hilferty, </w:t>
      </w:r>
      <w:r>
        <w:t>et al</w:t>
      </w:r>
      <w:r w:rsidRPr="00AD3544">
        <w:t xml:space="preserve">. (2015). </w:t>
      </w:r>
      <w:r w:rsidRPr="00AD3544">
        <w:rPr>
          <w:i/>
          <w:iCs/>
        </w:rPr>
        <w:t>Is headspace making a difference to young people’s lives? Final Report of</w:t>
      </w:r>
      <w:r>
        <w:rPr>
          <w:i/>
          <w:iCs/>
        </w:rPr>
        <w:t xml:space="preserve"> </w:t>
      </w:r>
      <w:r w:rsidRPr="00AD3544">
        <w:rPr>
          <w:i/>
          <w:iCs/>
        </w:rPr>
        <w:t>the independent evaluation of the headspace program</w:t>
      </w:r>
      <w:r w:rsidRPr="00AD3544">
        <w:t xml:space="preserve">. Sydney: Social Policy Research Centre, UNSW Australia. </w:t>
      </w:r>
    </w:p>
    <w:p w14:paraId="2D962F71" w14:textId="1B9F5EE7" w:rsidR="00B303FA" w:rsidRDefault="00B303FA">
      <w:pPr>
        <w:pStyle w:val="FootnoteText"/>
      </w:pPr>
    </w:p>
  </w:footnote>
  <w:footnote w:id="40">
    <w:p w14:paraId="128856E3" w14:textId="77777777" w:rsidR="00B303FA" w:rsidRPr="00EB7A13" w:rsidRDefault="00B303FA" w:rsidP="00EB7A13">
      <w:pPr>
        <w:pStyle w:val="FootnoteText"/>
        <w:rPr>
          <w:lang w:val="en-US"/>
        </w:rPr>
      </w:pPr>
      <w:r>
        <w:rPr>
          <w:rStyle w:val="FootnoteReference"/>
        </w:rPr>
        <w:footnoteRef/>
      </w:r>
      <w:r>
        <w:t xml:space="preserve"> </w:t>
      </w:r>
      <w:r>
        <w:rPr>
          <w:lang w:val="en-US"/>
        </w:rPr>
        <w:t>Presentation by Luis Salvador Carulla at Rural Health Conference, Hobart, March 2019.</w:t>
      </w:r>
    </w:p>
  </w:footnote>
  <w:footnote w:id="41">
    <w:p w14:paraId="356824A2" w14:textId="4685FE7F" w:rsidR="00B303FA" w:rsidRPr="004D7F79" w:rsidRDefault="00B303FA">
      <w:pPr>
        <w:pStyle w:val="FootnoteText"/>
      </w:pPr>
      <w:r>
        <w:rPr>
          <w:rStyle w:val="FootnoteReference"/>
        </w:rPr>
        <w:footnoteRef/>
      </w:r>
      <w:r>
        <w:t xml:space="preserve"> Fogilani F (2019). </w:t>
      </w:r>
      <w:r w:rsidRPr="004D7F79">
        <w:t>Inquest into the deaths of thirteen children and young persons in the Kimberley Region, Western Australia</w:t>
      </w:r>
      <w:r>
        <w:t>. WA Coroner; Perth</w:t>
      </w:r>
      <w:r w:rsidRPr="004D7F79">
        <w:t xml:space="preserve"> </w:t>
      </w:r>
    </w:p>
  </w:footnote>
  <w:footnote w:id="42">
    <w:p w14:paraId="156F6ACF" w14:textId="7F6A11D9" w:rsidR="00B303FA" w:rsidRPr="004D7F79" w:rsidRDefault="00B303FA">
      <w:pPr>
        <w:pStyle w:val="FootnoteText"/>
        <w:rPr>
          <w:lang w:val="en-US"/>
        </w:rPr>
      </w:pPr>
      <w:r>
        <w:rPr>
          <w:rStyle w:val="FootnoteReference"/>
        </w:rPr>
        <w:footnoteRef/>
      </w:r>
      <w:r>
        <w:t xml:space="preserve"> </w:t>
      </w:r>
      <w:r>
        <w:rPr>
          <w:lang w:val="en-US"/>
        </w:rPr>
        <w:t xml:space="preserve">Hope A (2008). </w:t>
      </w:r>
      <w:r w:rsidRPr="004D7F79">
        <w:t xml:space="preserve">Inquest into the deaths of </w:t>
      </w:r>
      <w:r>
        <w:t xml:space="preserve">twenty two </w:t>
      </w:r>
      <w:r w:rsidRPr="004D7F79">
        <w:t>young persons in the Kimberley Region, Western Australia</w:t>
      </w:r>
      <w:r>
        <w:t>. WA Coroner; Perth</w:t>
      </w:r>
    </w:p>
  </w:footnote>
  <w:footnote w:id="43">
    <w:p w14:paraId="3AE4E17F" w14:textId="4A302F55" w:rsidR="00B303FA" w:rsidRPr="00117D83" w:rsidRDefault="00B303FA">
      <w:pPr>
        <w:pStyle w:val="FootnoteText"/>
        <w:rPr>
          <w:lang w:val="en-US"/>
        </w:rPr>
      </w:pPr>
      <w:r>
        <w:rPr>
          <w:rStyle w:val="FootnoteReference"/>
        </w:rPr>
        <w:footnoteRef/>
      </w:r>
      <w:r>
        <w:t xml:space="preserve"> Avani Dias. </w:t>
      </w:r>
      <w:r>
        <w:rPr>
          <w:lang w:val="en-US"/>
        </w:rPr>
        <w:t>ABC Triple J “Hack”. 26 March 2019.</w:t>
      </w:r>
    </w:p>
  </w:footnote>
  <w:footnote w:id="44">
    <w:p w14:paraId="48DC76E6" w14:textId="7B4C05F3" w:rsidR="00B303FA" w:rsidRPr="004D7F79" w:rsidRDefault="00B303FA">
      <w:pPr>
        <w:pStyle w:val="FootnoteText"/>
        <w:rPr>
          <w:bCs/>
          <w:i/>
        </w:rPr>
      </w:pPr>
      <w:r>
        <w:rPr>
          <w:rStyle w:val="FootnoteReference"/>
        </w:rPr>
        <w:footnoteRef/>
      </w:r>
      <w:r>
        <w:t xml:space="preserve"> </w:t>
      </w:r>
      <w:r w:rsidRPr="00117D83">
        <w:rPr>
          <w:bCs/>
        </w:rPr>
        <w:t>Georgatos</w:t>
      </w:r>
      <w:r>
        <w:rPr>
          <w:bCs/>
        </w:rPr>
        <w:t xml:space="preserve"> G. (2018). </w:t>
      </w:r>
      <w:r w:rsidRPr="00117D83">
        <w:rPr>
          <w:bCs/>
          <w:i/>
        </w:rPr>
        <w:t>Australia’s ‘suicide prevention plan’ is barely worth the name</w:t>
      </w:r>
      <w:r>
        <w:rPr>
          <w:bCs/>
          <w:i/>
        </w:rPr>
        <w:t xml:space="preserve">: </w:t>
      </w:r>
      <w:r w:rsidRPr="00117D83">
        <w:rPr>
          <w:bCs/>
          <w:i/>
          <w:iCs/>
        </w:rPr>
        <w:t>Where is the focus on early intervention</w:t>
      </w:r>
      <w:r>
        <w:rPr>
          <w:bCs/>
          <w:i/>
          <w:iCs/>
        </w:rPr>
        <w:t xml:space="preserve">? </w:t>
      </w:r>
      <w:r>
        <w:t xml:space="preserve">Accessed at </w:t>
      </w:r>
      <w:hyperlink r:id="rId2" w:history="1">
        <w:r w:rsidRPr="001E490B">
          <w:rPr>
            <w:rStyle w:val="Hyperlink"/>
            <w:rFonts w:ascii="Cambria" w:hAnsi="Cambria"/>
            <w:sz w:val="18"/>
          </w:rPr>
          <w:t>https://www.policyforum.net/australias-suicide-prevention-plan-is-barely-worth-the-name/</w:t>
        </w:r>
      </w:hyperlink>
    </w:p>
  </w:footnote>
  <w:footnote w:id="45">
    <w:p w14:paraId="531D1093" w14:textId="16FFBF53" w:rsidR="00B303FA" w:rsidRPr="004D7F79" w:rsidRDefault="00B303FA">
      <w:pPr>
        <w:pStyle w:val="FootnoteText"/>
      </w:pPr>
      <w:r>
        <w:rPr>
          <w:rStyle w:val="FootnoteReference"/>
        </w:rPr>
        <w:footnoteRef/>
      </w:r>
      <w:r>
        <w:t xml:space="preserve"> Greaves A (2019). </w:t>
      </w:r>
      <w:r w:rsidRPr="004D7F79">
        <w:rPr>
          <w:i/>
          <w:iCs/>
        </w:rPr>
        <w:t>Access to</w:t>
      </w:r>
      <w:r>
        <w:t xml:space="preserve"> </w:t>
      </w:r>
      <w:r w:rsidRPr="004D7F79">
        <w:rPr>
          <w:i/>
          <w:iCs/>
        </w:rPr>
        <w:t>Mental Health Services</w:t>
      </w:r>
      <w:r w:rsidRPr="004D7F79">
        <w:t>.</w:t>
      </w:r>
      <w:r>
        <w:t xml:space="preserve"> </w:t>
      </w:r>
      <w:r w:rsidRPr="004D7F79">
        <w:t>Victorian Auditor General’s Office</w:t>
      </w:r>
      <w:r>
        <w:t>; Melbourne.</w:t>
      </w:r>
    </w:p>
  </w:footnote>
  <w:footnote w:id="46">
    <w:p w14:paraId="4367E1C5" w14:textId="3715FA17" w:rsidR="00B303FA" w:rsidRPr="004D7F79" w:rsidRDefault="00B303FA">
      <w:pPr>
        <w:pStyle w:val="FootnoteText"/>
        <w:rPr>
          <w:lang w:val="en-US"/>
        </w:rPr>
      </w:pPr>
      <w:r>
        <w:rPr>
          <w:rStyle w:val="FootnoteReference"/>
        </w:rPr>
        <w:footnoteRef/>
      </w:r>
      <w:r>
        <w:t xml:space="preserve"> Pearson DD (2009). </w:t>
      </w:r>
      <w:r w:rsidRPr="004D7F79">
        <w:rPr>
          <w:i/>
          <w:lang w:val="en-US"/>
        </w:rPr>
        <w:t>Responding to Mental Health Crises</w:t>
      </w:r>
      <w:r>
        <w:rPr>
          <w:i/>
          <w:lang w:val="en-US"/>
        </w:rPr>
        <w:t xml:space="preserve"> in the Community</w:t>
      </w:r>
      <w:r>
        <w:rPr>
          <w:lang w:val="en-US"/>
        </w:rPr>
        <w:t xml:space="preserve">. </w:t>
      </w:r>
      <w:r w:rsidRPr="004D7F79">
        <w:t>Victorian Auditor General’s Office</w:t>
      </w:r>
      <w:r>
        <w:t>; Melbourne</w:t>
      </w:r>
    </w:p>
  </w:footnote>
  <w:footnote w:id="47">
    <w:p w14:paraId="69E1520B" w14:textId="77777777" w:rsidR="00B303FA" w:rsidRPr="00486CE8" w:rsidRDefault="00B303FA" w:rsidP="00117D83">
      <w:pPr>
        <w:pStyle w:val="FootnoteText"/>
      </w:pPr>
      <w:r w:rsidRPr="00117D83">
        <w:rPr>
          <w:vertAlign w:val="superscript"/>
        </w:rPr>
        <w:footnoteRef/>
      </w:r>
      <w:r w:rsidRPr="00117D83">
        <w:rPr>
          <w:vertAlign w:val="superscript"/>
        </w:rPr>
        <w:t xml:space="preserve"> </w:t>
      </w:r>
      <w:r w:rsidRPr="00486CE8">
        <w:t xml:space="preserve">Mental Health Council of Australia </w:t>
      </w:r>
      <w:r>
        <w:t>(</w:t>
      </w:r>
      <w:r w:rsidRPr="00486CE8">
        <w:t>2005</w:t>
      </w:r>
      <w:r>
        <w:t>).</w:t>
      </w:r>
      <w:r w:rsidRPr="00486CE8">
        <w:t xml:space="preserve"> </w:t>
      </w:r>
      <w:r w:rsidRPr="00117D83">
        <w:rPr>
          <w:i/>
        </w:rPr>
        <w:t>Not for Service: Experiences of Injustice and Despair in Mental Health Services in Australia</w:t>
      </w:r>
      <w:r w:rsidRPr="00486CE8">
        <w:t>.</w:t>
      </w:r>
      <w:r>
        <w:t xml:space="preserve"> MHCA:</w:t>
      </w:r>
      <w:r w:rsidRPr="00486CE8">
        <w:t xml:space="preserve"> Canberra</w:t>
      </w:r>
      <w:r>
        <w:t>.</w:t>
      </w:r>
      <w:r w:rsidRPr="00486CE8">
        <w:t xml:space="preserve"> </w:t>
      </w:r>
    </w:p>
  </w:footnote>
  <w:footnote w:id="48">
    <w:p w14:paraId="041560FE" w14:textId="77777777" w:rsidR="00B303FA" w:rsidRPr="00486CE8" w:rsidRDefault="00B303FA" w:rsidP="00117D83">
      <w:pPr>
        <w:pStyle w:val="FootnoteText"/>
      </w:pPr>
      <w:r w:rsidRPr="00117D83">
        <w:rPr>
          <w:vertAlign w:val="superscript"/>
        </w:rPr>
        <w:footnoteRef/>
      </w:r>
      <w:r w:rsidRPr="00486CE8">
        <w:t xml:space="preserve"> Australian Senate </w:t>
      </w:r>
      <w:r>
        <w:t>(</w:t>
      </w:r>
      <w:r w:rsidRPr="00486CE8">
        <w:t>2006</w:t>
      </w:r>
      <w:r>
        <w:t>).</w:t>
      </w:r>
      <w:r w:rsidRPr="00486CE8">
        <w:t xml:space="preserve"> </w:t>
      </w:r>
      <w:r w:rsidRPr="00117D83">
        <w:rPr>
          <w:i/>
        </w:rPr>
        <w:t>From Crisis to Community: Inquiry into Mental Health Services in Australia</w:t>
      </w:r>
      <w:r w:rsidRPr="00486CE8">
        <w:t>. Communi</w:t>
      </w:r>
      <w:r>
        <w:t>ty Affairs Committee, Canberra.</w:t>
      </w:r>
    </w:p>
  </w:footnote>
  <w:footnote w:id="49">
    <w:p w14:paraId="768782AF" w14:textId="3C31BFE2" w:rsidR="00B303FA" w:rsidRPr="00D71D1B" w:rsidRDefault="00B303FA">
      <w:pPr>
        <w:pStyle w:val="FootnoteText"/>
        <w:rPr>
          <w:lang w:val="en-US"/>
        </w:rPr>
      </w:pPr>
      <w:r>
        <w:rPr>
          <w:rStyle w:val="FootnoteReference"/>
        </w:rPr>
        <w:footnoteRef/>
      </w:r>
      <w:r>
        <w:t xml:space="preserve"> </w:t>
      </w:r>
      <w:r>
        <w:rPr>
          <w:lang w:val="en-US"/>
        </w:rPr>
        <w:t xml:space="preserve">Currie C &amp; Thornicroft G, (2009). </w:t>
      </w:r>
      <w:r w:rsidRPr="00AB3340">
        <w:rPr>
          <w:i/>
          <w:lang w:val="en-US"/>
        </w:rPr>
        <w:t>Evaluation of the 3</w:t>
      </w:r>
      <w:r w:rsidRPr="00AB3340">
        <w:rPr>
          <w:i/>
          <w:vertAlign w:val="superscript"/>
          <w:lang w:val="en-US"/>
        </w:rPr>
        <w:t>rd</w:t>
      </w:r>
      <w:r w:rsidRPr="00AB3340">
        <w:rPr>
          <w:i/>
          <w:lang w:val="en-US"/>
        </w:rPr>
        <w:t xml:space="preserve"> National Mental Health Plan.</w:t>
      </w:r>
      <w:r>
        <w:rPr>
          <w:lang w:val="en-US"/>
        </w:rPr>
        <w:t xml:space="preserve"> DOH, Canberra</w:t>
      </w:r>
    </w:p>
  </w:footnote>
  <w:footnote w:id="50">
    <w:p w14:paraId="323F3795" w14:textId="316CB37C" w:rsidR="00B303FA" w:rsidRPr="00D71D1B" w:rsidRDefault="00B303FA">
      <w:pPr>
        <w:pStyle w:val="FootnoteText"/>
        <w:rPr>
          <w:lang w:val="en-US"/>
        </w:rPr>
      </w:pPr>
      <w:r>
        <w:rPr>
          <w:rStyle w:val="FootnoteReference"/>
        </w:rPr>
        <w:footnoteRef/>
      </w:r>
      <w:r>
        <w:t xml:space="preserve"> </w:t>
      </w:r>
      <w:r>
        <w:rPr>
          <w:lang w:val="en-US"/>
        </w:rPr>
        <w:t>NMHC Review, p30.</w:t>
      </w:r>
    </w:p>
  </w:footnote>
  <w:footnote w:id="51">
    <w:p w14:paraId="7928705A" w14:textId="33A6E448" w:rsidR="00B303FA" w:rsidRPr="007420D5" w:rsidRDefault="00B303FA">
      <w:pPr>
        <w:pStyle w:val="FootnoteText"/>
      </w:pPr>
      <w:r>
        <w:rPr>
          <w:rStyle w:val="FootnoteReference"/>
        </w:rPr>
        <w:footnoteRef/>
      </w:r>
      <w:r>
        <w:t xml:space="preserve"> </w:t>
      </w:r>
      <w:r w:rsidRPr="007420D5">
        <w:rPr>
          <w:lang w:val="en-US"/>
        </w:rPr>
        <w:t xml:space="preserve">Rosenberg et al (2015). </w:t>
      </w:r>
      <w:r w:rsidRPr="007420D5">
        <w:t>Using accountability for mental health to drive reform</w:t>
      </w:r>
      <w:r>
        <w:t xml:space="preserve">. </w:t>
      </w:r>
      <w:r w:rsidRPr="007420D5">
        <w:rPr>
          <w:i/>
        </w:rPr>
        <w:t>Med J Aust</w:t>
      </w:r>
      <w:r>
        <w:t>; 203(8): 328-330.</w:t>
      </w:r>
    </w:p>
  </w:footnote>
  <w:footnote w:id="52">
    <w:p w14:paraId="76149D2F" w14:textId="097D1C6E" w:rsidR="00B303FA" w:rsidRPr="00AB3340" w:rsidRDefault="00B303FA">
      <w:pPr>
        <w:pStyle w:val="FootnoteText"/>
        <w:rPr>
          <w:i/>
          <w:lang w:val="en-US"/>
        </w:rPr>
      </w:pPr>
      <w:r>
        <w:rPr>
          <w:rStyle w:val="FootnoteReference"/>
        </w:rPr>
        <w:footnoteRef/>
      </w:r>
      <w:r>
        <w:t xml:space="preserve"> </w:t>
      </w:r>
      <w:r>
        <w:rPr>
          <w:lang w:val="en-US"/>
        </w:rPr>
        <w:t xml:space="preserve">Rosenberg S &amp; Hickie I (2018). No gold medals: Australia’s international mental health performance. </w:t>
      </w:r>
      <w:r>
        <w:rPr>
          <w:i/>
          <w:lang w:val="en-US"/>
        </w:rPr>
        <w:t>Aust Psychiatry.</w:t>
      </w:r>
    </w:p>
  </w:footnote>
  <w:footnote w:id="53">
    <w:p w14:paraId="4D050085" w14:textId="14D78406" w:rsidR="00B303FA" w:rsidRPr="002A70E7" w:rsidRDefault="00B303FA">
      <w:pPr>
        <w:pStyle w:val="FootnoteText"/>
        <w:rPr>
          <w:lang w:val="en-US"/>
        </w:rPr>
      </w:pPr>
      <w:r>
        <w:rPr>
          <w:rStyle w:val="FootnoteReference"/>
        </w:rPr>
        <w:footnoteRef/>
      </w:r>
      <w:r>
        <w:t xml:space="preserve"> </w:t>
      </w:r>
      <w:r>
        <w:rPr>
          <w:lang w:val="en-US"/>
        </w:rPr>
        <w:t xml:space="preserve">Professor Harvey Whiteford, Keynote Presentation, Qld Mental Health Commission </w:t>
      </w:r>
      <w:r>
        <w:rPr>
          <w:i/>
          <w:lang w:val="en-US"/>
        </w:rPr>
        <w:t xml:space="preserve">Leading Reform Summit. </w:t>
      </w:r>
      <w:r>
        <w:rPr>
          <w:lang w:val="en-US"/>
        </w:rPr>
        <w:t xml:space="preserve">21 November 2018, Brisbane, </w:t>
      </w:r>
    </w:p>
  </w:footnote>
  <w:footnote w:id="54">
    <w:p w14:paraId="6529C178" w14:textId="541D4FF0" w:rsidR="00B303FA" w:rsidRPr="002A70E7" w:rsidRDefault="00B303FA">
      <w:pPr>
        <w:pStyle w:val="FootnoteText"/>
        <w:rPr>
          <w:lang w:val="en-US"/>
        </w:rPr>
      </w:pPr>
      <w:r>
        <w:rPr>
          <w:rStyle w:val="FootnoteReference"/>
        </w:rPr>
        <w:footnoteRef/>
      </w:r>
      <w:r>
        <w:t xml:space="preserve"> </w:t>
      </w:r>
      <w:r>
        <w:rPr>
          <w:lang w:val="en-US"/>
        </w:rPr>
        <w:t xml:space="preserve">Whiteford, et al. (2013). Mental health service system improvement: Translating evidence into policy. </w:t>
      </w:r>
      <w:r>
        <w:rPr>
          <w:i/>
          <w:lang w:val="en-US"/>
        </w:rPr>
        <w:t>Australian &amp; New Zealand Journal of Psychiatry</w:t>
      </w:r>
      <w:r>
        <w:rPr>
          <w:lang w:val="en-US"/>
        </w:rPr>
        <w:t>; 47:8, 703-706.</w:t>
      </w:r>
    </w:p>
  </w:footnote>
  <w:footnote w:id="55">
    <w:p w14:paraId="14D72655" w14:textId="2FFB96A1" w:rsidR="00B303FA" w:rsidRDefault="00B303FA">
      <w:pPr>
        <w:pStyle w:val="FootnoteText"/>
      </w:pPr>
      <w:r>
        <w:rPr>
          <w:rStyle w:val="FootnoteReference"/>
        </w:rPr>
        <w:footnoteRef/>
      </w:r>
      <w:r>
        <w:t xml:space="preserve"> </w:t>
      </w:r>
      <w:r w:rsidRPr="007A7B22">
        <w:rPr>
          <w:lang w:val="en-US"/>
        </w:rPr>
        <w:t>Whiteford</w:t>
      </w:r>
      <w:r>
        <w:rPr>
          <w:lang w:val="en-US"/>
        </w:rPr>
        <w:t xml:space="preserve">, et al </w:t>
      </w:r>
      <w:r w:rsidRPr="007A7B22">
        <w:rPr>
          <w:lang w:val="en-US"/>
        </w:rPr>
        <w:t xml:space="preserve">(2016). </w:t>
      </w:r>
      <w:r w:rsidRPr="007A7B22">
        <w:rPr>
          <w:bCs/>
          <w:lang w:val="en-US"/>
        </w:rPr>
        <w:t>How Did Youth Mental Health Make It</w:t>
      </w:r>
      <w:r w:rsidRPr="007A7B22">
        <w:rPr>
          <w:lang w:val="en-US"/>
        </w:rPr>
        <w:t xml:space="preserve"> </w:t>
      </w:r>
      <w:r w:rsidRPr="007A7B22">
        <w:rPr>
          <w:bCs/>
          <w:lang w:val="en-US"/>
        </w:rPr>
        <w:t>Onto Australia’s 2011 Federal Policy</w:t>
      </w:r>
      <w:r w:rsidRPr="007A7B22">
        <w:rPr>
          <w:lang w:val="en-US"/>
        </w:rPr>
        <w:t xml:space="preserve">. </w:t>
      </w:r>
      <w:r w:rsidRPr="007A7B22">
        <w:rPr>
          <w:i/>
          <w:lang w:val="en-US"/>
        </w:rPr>
        <w:t>Sage Open</w:t>
      </w:r>
    </w:p>
  </w:footnote>
  <w:footnote w:id="56">
    <w:p w14:paraId="529AE970" w14:textId="1820A5D1" w:rsidR="00B303FA" w:rsidRPr="002A70E7" w:rsidRDefault="00B303FA">
      <w:pPr>
        <w:pStyle w:val="FootnoteText"/>
        <w:rPr>
          <w:lang w:val="en-US"/>
        </w:rPr>
      </w:pPr>
      <w:r>
        <w:rPr>
          <w:rStyle w:val="FootnoteReference"/>
        </w:rPr>
        <w:footnoteRef/>
      </w:r>
      <w:r>
        <w:t xml:space="preserve"> </w:t>
      </w:r>
      <w:r>
        <w:rPr>
          <w:lang w:val="en-US"/>
        </w:rPr>
        <w:t xml:space="preserve">Productivity Commission (2019). </w:t>
      </w:r>
      <w:r w:rsidRPr="002A70E7">
        <w:rPr>
          <w:i/>
          <w:lang w:val="en-US"/>
        </w:rPr>
        <w:t>The Social and Economic Benefits of Improving Mental Health. Issues Paper</w:t>
      </w:r>
      <w:r>
        <w:rPr>
          <w:lang w:val="en-US"/>
        </w:rPr>
        <w:t>. Australian Government. p32.</w:t>
      </w:r>
    </w:p>
  </w:footnote>
  <w:footnote w:id="57">
    <w:p w14:paraId="457642B6" w14:textId="1590E308" w:rsidR="00B303FA" w:rsidRPr="00AB3340" w:rsidRDefault="00B303FA">
      <w:pPr>
        <w:pStyle w:val="FootnoteText"/>
        <w:rPr>
          <w:lang w:val="en-US"/>
        </w:rPr>
      </w:pPr>
      <w:r>
        <w:rPr>
          <w:rStyle w:val="FootnoteReference"/>
        </w:rPr>
        <w:footnoteRef/>
      </w:r>
      <w:r>
        <w:t xml:space="preserve"> </w:t>
      </w:r>
      <w:r w:rsidRPr="00AB3340">
        <w:t xml:space="preserve">Ernst &amp; Young (2018). </w:t>
      </w:r>
      <w:r w:rsidRPr="00AB3340">
        <w:rPr>
          <w:i/>
        </w:rPr>
        <w:t>Evaluation of the Primary Health Networks Program: Final Report</w:t>
      </w:r>
      <w:r w:rsidRPr="00AB3340">
        <w:t>. E&amp;Y Australia</w:t>
      </w:r>
    </w:p>
  </w:footnote>
  <w:footnote w:id="58">
    <w:p w14:paraId="37EC403C" w14:textId="7B9DD1A9" w:rsidR="00B303FA" w:rsidRPr="00AB3340" w:rsidRDefault="00B303FA">
      <w:pPr>
        <w:pStyle w:val="FootnoteText"/>
        <w:rPr>
          <w:lang w:val="en-US"/>
        </w:rPr>
      </w:pPr>
      <w:r>
        <w:rPr>
          <w:rStyle w:val="FootnoteReference"/>
        </w:rPr>
        <w:footnoteRef/>
      </w:r>
      <w:r>
        <w:t xml:space="preserve"> </w:t>
      </w:r>
      <w:r>
        <w:rPr>
          <w:lang w:val="en-US"/>
        </w:rPr>
        <w:t xml:space="preserve">Department of Health (2018). </w:t>
      </w:r>
      <w:r>
        <w:rPr>
          <w:i/>
          <w:lang w:val="en-US"/>
        </w:rPr>
        <w:t xml:space="preserve">Report of the PHN Advisory Panel on Mental Health. </w:t>
      </w:r>
      <w:r>
        <w:rPr>
          <w:lang w:val="en-US"/>
        </w:rPr>
        <w:t xml:space="preserve"> DoH, Canberra.</w:t>
      </w:r>
    </w:p>
  </w:footnote>
  <w:footnote w:id="59">
    <w:p w14:paraId="6CD851EF" w14:textId="502B8E1D" w:rsidR="00B303FA" w:rsidRPr="00AB3340" w:rsidRDefault="00B303FA">
      <w:pPr>
        <w:pStyle w:val="FootnoteText"/>
        <w:rPr>
          <w:lang w:val="en-US"/>
        </w:rPr>
      </w:pPr>
      <w:r>
        <w:rPr>
          <w:rStyle w:val="FootnoteReference"/>
        </w:rPr>
        <w:footnoteRef/>
      </w:r>
      <w:r>
        <w:t xml:space="preserve"> </w:t>
      </w:r>
      <w:r>
        <w:rPr>
          <w:lang w:val="en-US"/>
        </w:rPr>
        <w:t xml:space="preserve">Russell L &amp; Dawda P (2019). </w:t>
      </w:r>
      <w:r>
        <w:rPr>
          <w:i/>
          <w:lang w:val="en-US"/>
        </w:rPr>
        <w:t xml:space="preserve"> The role of PHNs in the delivery of primary care reforms. </w:t>
      </w:r>
      <w:r>
        <w:rPr>
          <w:lang w:val="en-US"/>
        </w:rPr>
        <w:t xml:space="preserve"> Menzies Centre for Health Policy, University of Sydney.</w:t>
      </w:r>
    </w:p>
  </w:footnote>
  <w:footnote w:id="60">
    <w:p w14:paraId="3BFEE047" w14:textId="3421C098" w:rsidR="00B303FA" w:rsidRDefault="00B303FA">
      <w:pPr>
        <w:pStyle w:val="FootnoteText"/>
      </w:pPr>
      <w:r>
        <w:rPr>
          <w:rStyle w:val="FootnoteReference"/>
        </w:rPr>
        <w:footnoteRef/>
      </w:r>
      <w:r>
        <w:t xml:space="preserve"> Long KM, McDermott F &amp; Meadows, G (2018). </w:t>
      </w:r>
      <w:r w:rsidRPr="007420D5">
        <w:t>Being pragmatic about healthcare complexity: our experiences applying complexity theory and pragmatism to health services research</w:t>
      </w:r>
      <w:r>
        <w:t xml:space="preserve">. </w:t>
      </w:r>
      <w:r w:rsidRPr="007420D5">
        <w:rPr>
          <w:i/>
        </w:rPr>
        <w:t>BMC Medicine</w:t>
      </w:r>
      <w:r>
        <w:t>;</w:t>
      </w:r>
      <w:r w:rsidRPr="007420D5">
        <w:t xml:space="preserve"> 16:94</w:t>
      </w:r>
      <w:r>
        <w:t>.</w:t>
      </w:r>
    </w:p>
  </w:footnote>
  <w:footnote w:id="61">
    <w:p w14:paraId="5F21C1EE" w14:textId="77777777" w:rsidR="00B303FA" w:rsidRPr="00B03DF7" w:rsidRDefault="00B303FA" w:rsidP="007420D5">
      <w:pPr>
        <w:pStyle w:val="FootnoteText"/>
        <w:rPr>
          <w:bCs/>
          <w:i/>
        </w:rPr>
      </w:pPr>
      <w:r>
        <w:rPr>
          <w:rStyle w:val="FootnoteReference"/>
        </w:rPr>
        <w:footnoteRef/>
      </w:r>
      <w:r>
        <w:t xml:space="preserve"> </w:t>
      </w:r>
      <w:r>
        <w:rPr>
          <w:lang w:val="en-US"/>
        </w:rPr>
        <w:t xml:space="preserve">Platt S, et al (2019) </w:t>
      </w:r>
      <w:r w:rsidRPr="009814AF">
        <w:rPr>
          <w:bCs/>
        </w:rPr>
        <w:t>National Suicide Prevention Strategies – Progress and Challenges</w:t>
      </w:r>
      <w:r>
        <w:rPr>
          <w:bCs/>
        </w:rPr>
        <w:t xml:space="preserve">. </w:t>
      </w:r>
      <w:r>
        <w:rPr>
          <w:bCs/>
          <w:i/>
        </w:rPr>
        <w:t xml:space="preserve">Crisis </w:t>
      </w:r>
      <w:r w:rsidRPr="009814AF">
        <w:rPr>
          <w:bCs/>
          <w:iCs/>
        </w:rPr>
        <w:t>40</w:t>
      </w:r>
      <w:r>
        <w:rPr>
          <w:bCs/>
          <w:iCs/>
        </w:rPr>
        <w:t>:</w:t>
      </w:r>
      <w:r w:rsidRPr="009814AF">
        <w:rPr>
          <w:bCs/>
        </w:rPr>
        <w:t>2, 75–82</w:t>
      </w:r>
      <w:r w:rsidRPr="009814AF">
        <w:rPr>
          <w:bCs/>
          <w:i/>
        </w:rPr>
        <w:t xml:space="preserve"> </w:t>
      </w:r>
      <w:r w:rsidRPr="009814AF">
        <w:rPr>
          <w:bCs/>
        </w:rPr>
        <w:t>https://doi.org/10.1027/0227-5910/a000587</w:t>
      </w:r>
      <w:r w:rsidRPr="009814AF">
        <w:rPr>
          <w:bCs/>
          <w:i/>
        </w:rPr>
        <w:t xml:space="preserve"> </w:t>
      </w:r>
    </w:p>
  </w:footnote>
  <w:footnote w:id="62">
    <w:p w14:paraId="123D3993" w14:textId="2294877E" w:rsidR="00B303FA" w:rsidRPr="00AB3340" w:rsidRDefault="00B303FA">
      <w:pPr>
        <w:pStyle w:val="FootnoteText"/>
      </w:pPr>
      <w:r>
        <w:rPr>
          <w:rStyle w:val="FootnoteReference"/>
        </w:rPr>
        <w:footnoteRef/>
      </w:r>
      <w:r>
        <w:t xml:space="preserve"> </w:t>
      </w:r>
      <w:r w:rsidRPr="00AB3340">
        <w:t>Emeritus Professor of Health Services Management</w:t>
      </w:r>
      <w:r>
        <w:t>,</w:t>
      </w:r>
      <w:r w:rsidRPr="00AB3340">
        <w:t xml:space="preserve"> Paul Bate, University College London</w:t>
      </w:r>
      <w:r>
        <w:t xml:space="preserve"> in The Health Foundation (2014). </w:t>
      </w:r>
      <w:r w:rsidRPr="00AD3544">
        <w:rPr>
          <w:i/>
        </w:rPr>
        <w:t>Perspectives on Context</w:t>
      </w:r>
      <w:r>
        <w:t>. London; UK.</w:t>
      </w:r>
      <w:r w:rsidRPr="00AB3340">
        <w:t xml:space="preserve"> </w:t>
      </w:r>
    </w:p>
  </w:footnote>
  <w:footnote w:id="63">
    <w:p w14:paraId="60550221" w14:textId="43ED4F76" w:rsidR="00B303FA" w:rsidRPr="00AB3340" w:rsidRDefault="00B303FA">
      <w:pPr>
        <w:pStyle w:val="FootnoteText"/>
      </w:pPr>
      <w:r>
        <w:rPr>
          <w:rStyle w:val="FootnoteReference"/>
        </w:rPr>
        <w:footnoteRef/>
      </w:r>
      <w:r>
        <w:t xml:space="preserve"> </w:t>
      </w:r>
      <w:r w:rsidRPr="00AB3340">
        <w:t xml:space="preserve">Raine R, Fitzpatrick R, Barratt H, Bevan G, et al. </w:t>
      </w:r>
      <w:r>
        <w:t>(</w:t>
      </w:r>
      <w:r w:rsidRPr="00AB3340">
        <w:t>2016</w:t>
      </w:r>
      <w:r>
        <w:t xml:space="preserve">). </w:t>
      </w:r>
      <w:r w:rsidRPr="00AB3340">
        <w:t xml:space="preserve">Challenges, solutions and future directions in the evaluation of service innovations in health care and public health. </w:t>
      </w:r>
      <w:r w:rsidRPr="00AB3340">
        <w:rPr>
          <w:i/>
        </w:rPr>
        <w:t>Health Serv Deliv Res</w:t>
      </w:r>
      <w:r>
        <w:t xml:space="preserve">; </w:t>
      </w:r>
      <w:r w:rsidRPr="00AB3340">
        <w:t xml:space="preserve">4(16):1–136. </w:t>
      </w:r>
    </w:p>
  </w:footnote>
  <w:footnote w:id="64">
    <w:p w14:paraId="33A1E5F8" w14:textId="3E4C6B48" w:rsidR="00B303FA" w:rsidRPr="00AB3340" w:rsidRDefault="00B303FA">
      <w:pPr>
        <w:pStyle w:val="FootnoteText"/>
      </w:pPr>
      <w:r>
        <w:rPr>
          <w:rStyle w:val="FootnoteReference"/>
        </w:rPr>
        <w:footnoteRef/>
      </w:r>
      <w:r>
        <w:t xml:space="preserve"> </w:t>
      </w:r>
      <w:r>
        <w:rPr>
          <w:lang w:val="en-US"/>
        </w:rPr>
        <w:t xml:space="preserve">Faust M, et al (2019). </w:t>
      </w:r>
      <w:r w:rsidRPr="00AB3340">
        <w:t>Healthcare ecosystems research in mental health: a scoping review of methods to describe the context of local care delivery</w:t>
      </w:r>
      <w:r>
        <w:t xml:space="preserve">. BMC Health Services Research. </w:t>
      </w:r>
    </w:p>
  </w:footnote>
  <w:footnote w:id="65">
    <w:p w14:paraId="74F6082D" w14:textId="61AD2E96" w:rsidR="00B303FA" w:rsidRDefault="00B303FA">
      <w:pPr>
        <w:pStyle w:val="FootnoteText"/>
      </w:pPr>
      <w:r>
        <w:rPr>
          <w:rStyle w:val="FootnoteReference"/>
        </w:rPr>
        <w:footnoteRef/>
      </w:r>
      <w:r>
        <w:t xml:space="preserve"> de Savigny D &amp; Adam T (2009). </w:t>
      </w:r>
      <w:r>
        <w:rPr>
          <w:i/>
        </w:rPr>
        <w:t>Systems thinking for health systems strengthening.</w:t>
      </w:r>
      <w:r>
        <w:t xml:space="preserve"> WHO.</w:t>
      </w:r>
    </w:p>
  </w:footnote>
  <w:footnote w:id="66">
    <w:p w14:paraId="70803B9F" w14:textId="77777777" w:rsidR="00B303FA" w:rsidRPr="009814AF" w:rsidRDefault="00B303FA" w:rsidP="00AB3340">
      <w:pPr>
        <w:pStyle w:val="FootnoteText"/>
      </w:pPr>
      <w:r>
        <w:rPr>
          <w:rStyle w:val="FootnoteReference"/>
        </w:rPr>
        <w:footnoteRef/>
      </w:r>
      <w:r>
        <w:t xml:space="preserve"> Adapted from </w:t>
      </w:r>
      <w:r>
        <w:rPr>
          <w:lang w:val="en-US"/>
        </w:rPr>
        <w:t xml:space="preserve">Salvador Carulla </w:t>
      </w:r>
      <w:r>
        <w:t>et al</w:t>
      </w:r>
      <w:r w:rsidRPr="009814AF">
        <w:t xml:space="preserve">. (2017). From the EBM pyramid to the Greek temple: A new conceptual approach to Guidelines as implementation tools in mental health. </w:t>
      </w:r>
      <w:r w:rsidRPr="009814AF">
        <w:rPr>
          <w:i/>
          <w:iCs/>
        </w:rPr>
        <w:t>Epidemiology and Psychiatric Sciences</w:t>
      </w:r>
      <w:r w:rsidRPr="009814AF">
        <w:t xml:space="preserve">, 26(2), 105-114. </w:t>
      </w:r>
    </w:p>
  </w:footnote>
  <w:footnote w:id="67">
    <w:p w14:paraId="67587FF8" w14:textId="33CC43A9" w:rsidR="00B303FA" w:rsidRPr="005A367F" w:rsidRDefault="00B303FA">
      <w:pPr>
        <w:pStyle w:val="FootnoteText"/>
        <w:rPr>
          <w:lang w:val="en-US"/>
        </w:rPr>
      </w:pPr>
      <w:r>
        <w:rPr>
          <w:rStyle w:val="FootnoteReference"/>
        </w:rPr>
        <w:footnoteRef/>
      </w:r>
      <w:r>
        <w:t xml:space="preserve"> </w:t>
      </w:r>
      <w:r>
        <w:rPr>
          <w:lang w:val="en-US"/>
        </w:rPr>
        <w:t xml:space="preserve">Institute for Healthcare Improvement. </w:t>
      </w:r>
      <w:r w:rsidRPr="007420D5">
        <w:rPr>
          <w:lang w:val="en-US"/>
        </w:rPr>
        <w:t>(2015)</w:t>
      </w:r>
    </w:p>
  </w:footnote>
  <w:footnote w:id="68">
    <w:p w14:paraId="1607A916" w14:textId="1EE65FF9" w:rsidR="00B303FA" w:rsidRPr="00AB3340" w:rsidRDefault="00B303FA">
      <w:pPr>
        <w:pStyle w:val="FootnoteText"/>
      </w:pPr>
      <w:r>
        <w:rPr>
          <w:rStyle w:val="FootnoteReference"/>
        </w:rPr>
        <w:footnoteRef/>
      </w:r>
      <w:r>
        <w:t xml:space="preserve"> </w:t>
      </w:r>
      <w:r>
        <w:rPr>
          <w:lang w:val="en-US"/>
        </w:rPr>
        <w:t xml:space="preserve">Duckett S, </w:t>
      </w:r>
      <w:r w:rsidRPr="00AB3340">
        <w:t>Beaumont</w:t>
      </w:r>
      <w:r>
        <w:t xml:space="preserve"> M</w:t>
      </w:r>
      <w:r w:rsidRPr="00AB3340">
        <w:t>, Bell</w:t>
      </w:r>
      <w:r>
        <w:t xml:space="preserve"> G</w:t>
      </w:r>
      <w:r w:rsidRPr="00AB3340">
        <w:t>, Gunn</w:t>
      </w:r>
      <w:r>
        <w:t xml:space="preserve"> J</w:t>
      </w:r>
      <w:r w:rsidRPr="00AB3340">
        <w:t>, Murphy</w:t>
      </w:r>
      <w:r>
        <w:t xml:space="preserve"> A</w:t>
      </w:r>
      <w:r w:rsidRPr="00AB3340">
        <w:t>, Wilson</w:t>
      </w:r>
      <w:r>
        <w:t xml:space="preserve"> R &amp; </w:t>
      </w:r>
      <w:r w:rsidRPr="00AB3340">
        <w:t>Crowley</w:t>
      </w:r>
      <w:r>
        <w:t xml:space="preserve"> T (2015).</w:t>
      </w:r>
      <w:r w:rsidRPr="00AB3340">
        <w:t xml:space="preserve"> </w:t>
      </w:r>
      <w:r w:rsidRPr="00AB3340">
        <w:rPr>
          <w:i/>
        </w:rPr>
        <w:t>Leading Change in Primary Care: Boards of Primary Health Networks can help improve the Australian health care system</w:t>
      </w:r>
      <w:r>
        <w:t>.</w:t>
      </w:r>
    </w:p>
  </w:footnote>
  <w:footnote w:id="69">
    <w:p w14:paraId="462139F5" w14:textId="77777777" w:rsidR="00B303FA" w:rsidRPr="00AB3340" w:rsidRDefault="00B303FA" w:rsidP="00AB3340">
      <w:pPr>
        <w:pStyle w:val="FootnoteText"/>
        <w:rPr>
          <w:i/>
          <w:lang w:val="en-US"/>
        </w:rPr>
      </w:pPr>
      <w:r>
        <w:rPr>
          <w:rStyle w:val="FootnoteReference"/>
        </w:rPr>
        <w:footnoteRef/>
      </w:r>
      <w:r>
        <w:t xml:space="preserve"> </w:t>
      </w:r>
      <w:r>
        <w:rPr>
          <w:lang w:val="en-US"/>
        </w:rPr>
        <w:t xml:space="preserve">National Advisory Council on Mental Health (2009). </w:t>
      </w:r>
      <w:r>
        <w:rPr>
          <w:i/>
          <w:lang w:val="en-US"/>
        </w:rPr>
        <w:t xml:space="preserve">A Mentally Healthy Future for all Australians. A Discussion Paper. </w:t>
      </w:r>
      <w:r w:rsidRPr="00AB3340">
        <w:rPr>
          <w:lang w:val="en-US"/>
        </w:rPr>
        <w:t>November 2009. Canberra</w:t>
      </w:r>
    </w:p>
  </w:footnote>
  <w:footnote w:id="70">
    <w:p w14:paraId="36DA1416" w14:textId="04D0016A" w:rsidR="00B303FA" w:rsidRPr="00AB3340" w:rsidRDefault="00B303FA">
      <w:pPr>
        <w:pStyle w:val="FootnoteText"/>
        <w:rPr>
          <w:lang w:val="en-US"/>
        </w:rPr>
      </w:pPr>
      <w:r>
        <w:rPr>
          <w:rStyle w:val="FootnoteReference"/>
        </w:rPr>
        <w:footnoteRef/>
      </w:r>
      <w:r>
        <w:t xml:space="preserve"> </w:t>
      </w:r>
      <w:r w:rsidRPr="00AB3340">
        <w:rPr>
          <w:lang w:val="en-US"/>
        </w:rPr>
        <w:t>Jorm A,</w:t>
      </w:r>
      <w:r>
        <w:rPr>
          <w:lang w:val="en-US"/>
        </w:rPr>
        <w:t xml:space="preserve"> et al (</w:t>
      </w:r>
      <w:r>
        <w:t xml:space="preserve">2017). </w:t>
      </w:r>
      <w:r w:rsidRPr="00AF7228">
        <w:rPr>
          <w:bCs/>
        </w:rPr>
        <w:t xml:space="preserve">Has increased provision of treatment reduced the prevalence of common mental disorders? Review of the evidence from four countries. </w:t>
      </w:r>
      <w:r w:rsidRPr="00AF7228">
        <w:rPr>
          <w:bCs/>
          <w:i/>
          <w:iCs/>
        </w:rPr>
        <w:t>World Psychiatry</w:t>
      </w:r>
      <w:r w:rsidRPr="00AF7228">
        <w:rPr>
          <w:bCs/>
        </w:rPr>
        <w:t>;16(1):90–99.</w:t>
      </w:r>
    </w:p>
  </w:footnote>
  <w:footnote w:id="71">
    <w:p w14:paraId="21F1B5F8" w14:textId="10B0B845" w:rsidR="00B303FA" w:rsidRPr="00AB3340" w:rsidRDefault="00B303FA">
      <w:pPr>
        <w:pStyle w:val="FootnoteText"/>
        <w:rPr>
          <w:lang w:val="en-US"/>
        </w:rPr>
      </w:pPr>
      <w:r>
        <w:rPr>
          <w:rStyle w:val="FootnoteReference"/>
        </w:rPr>
        <w:footnoteRef/>
      </w:r>
      <w:r>
        <w:t xml:space="preserve"> </w:t>
      </w:r>
      <w:r>
        <w:rPr>
          <w:lang w:val="en-US"/>
        </w:rPr>
        <w:t xml:space="preserve">National Mental Health Commission (2017). </w:t>
      </w:r>
      <w:r w:rsidRPr="00AB3340">
        <w:rPr>
          <w:i/>
          <w:lang w:val="en-US"/>
        </w:rPr>
        <w:t>Review of Suicide and Self Harm Prevention for Serving and Former Members of the ADF and their Families</w:t>
      </w:r>
      <w:r>
        <w:rPr>
          <w:lang w:val="en-US"/>
        </w:rPr>
        <w:t>. Sydney.</w:t>
      </w:r>
    </w:p>
  </w:footnote>
  <w:footnote w:id="72">
    <w:p w14:paraId="1C816582" w14:textId="77777777" w:rsidR="00B303FA" w:rsidRPr="007A1563" w:rsidRDefault="00B303FA" w:rsidP="00647F8A">
      <w:pPr>
        <w:pStyle w:val="FootnoteText"/>
        <w:rPr>
          <w:lang w:val="en-US"/>
        </w:rPr>
      </w:pPr>
      <w:r>
        <w:rPr>
          <w:rStyle w:val="FootnoteReference"/>
        </w:rPr>
        <w:footnoteRef/>
      </w:r>
      <w:r>
        <w:t xml:space="preserve"> </w:t>
      </w:r>
      <w:r>
        <w:rPr>
          <w:lang w:val="en-US"/>
        </w:rPr>
        <w:t xml:space="preserve">Ernst &amp; Young (2018). </w:t>
      </w:r>
      <w:r>
        <w:rPr>
          <w:i/>
          <w:lang w:val="en-US"/>
        </w:rPr>
        <w:t xml:space="preserve">Evaluation of the Primary Health Networks Program: Final Report. </w:t>
      </w:r>
      <w:r>
        <w:rPr>
          <w:lang w:val="en-US"/>
        </w:rPr>
        <w:t>E&amp;Y Australia.</w:t>
      </w:r>
    </w:p>
  </w:footnote>
  <w:footnote w:id="73">
    <w:p w14:paraId="2B1FE65F" w14:textId="77777777" w:rsidR="00B303FA" w:rsidRPr="007A1563" w:rsidRDefault="00B303FA" w:rsidP="00647F8A">
      <w:pPr>
        <w:pStyle w:val="FootnoteText"/>
        <w:rPr>
          <w:lang w:val="en-US"/>
        </w:rPr>
      </w:pPr>
      <w:r>
        <w:rPr>
          <w:rStyle w:val="FootnoteReference"/>
        </w:rPr>
        <w:footnoteRef/>
      </w:r>
      <w:r>
        <w:t xml:space="preserve"> </w:t>
      </w:r>
      <w:r>
        <w:rPr>
          <w:lang w:val="en-US"/>
        </w:rPr>
        <w:t>Ibid, p.10.</w:t>
      </w:r>
    </w:p>
  </w:footnote>
  <w:footnote w:id="74">
    <w:p w14:paraId="01D5A28E" w14:textId="77777777" w:rsidR="00B303FA" w:rsidRPr="00E73C0C" w:rsidRDefault="00B303FA" w:rsidP="00647F8A">
      <w:pPr>
        <w:pStyle w:val="FootnoteText"/>
        <w:rPr>
          <w:lang w:val="en-US"/>
        </w:rPr>
      </w:pPr>
      <w:r>
        <w:rPr>
          <w:rStyle w:val="FootnoteReference"/>
        </w:rPr>
        <w:footnoteRef/>
      </w:r>
      <w:r>
        <w:t xml:space="preserve"> </w:t>
      </w:r>
      <w:r w:rsidRPr="007A1563">
        <w:t>Primary Health Networks Primary Mental Health Care Funding, Department of Health</w:t>
      </w:r>
    </w:p>
  </w:footnote>
  <w:footnote w:id="75">
    <w:p w14:paraId="797E1003" w14:textId="77777777" w:rsidR="00B303FA" w:rsidRPr="005D4602" w:rsidRDefault="00B303FA" w:rsidP="00D16256">
      <w:pPr>
        <w:pStyle w:val="FootnoteText"/>
        <w:ind w:right="106"/>
        <w:rPr>
          <w:lang w:val="en-US"/>
        </w:rPr>
      </w:pPr>
      <w:r>
        <w:rPr>
          <w:rStyle w:val="FootnoteReference"/>
        </w:rPr>
        <w:footnoteRef/>
      </w:r>
      <w:r>
        <w:t xml:space="preserve"> </w:t>
      </w:r>
      <w:r>
        <w:rPr>
          <w:lang w:val="en-US"/>
        </w:rPr>
        <w:t xml:space="preserve">Burdekin, Brian (1993). </w:t>
      </w:r>
      <w:r>
        <w:rPr>
          <w:i/>
          <w:lang w:val="en-US"/>
        </w:rPr>
        <w:t xml:space="preserve">Human rights and Mental Illness: report of the national inquiry into the human rights of people with mental illness. </w:t>
      </w:r>
      <w:r>
        <w:rPr>
          <w:lang w:val="en-US"/>
        </w:rPr>
        <w:t xml:space="preserve">Human Rights and Equal Opportunity Commission, AGPS, Canberra, p.5. </w:t>
      </w:r>
    </w:p>
  </w:footnote>
  <w:footnote w:id="76">
    <w:p w14:paraId="74393E7F" w14:textId="77777777" w:rsidR="00B303FA" w:rsidRPr="0071137E" w:rsidRDefault="00B303FA" w:rsidP="00D16256">
      <w:pPr>
        <w:pStyle w:val="FootnoteText"/>
        <w:ind w:right="106"/>
        <w:rPr>
          <w:szCs w:val="18"/>
        </w:rPr>
      </w:pPr>
      <w:r>
        <w:rPr>
          <w:rStyle w:val="FootnoteReference"/>
        </w:rPr>
        <w:footnoteRef/>
      </w:r>
      <w:r>
        <w:t xml:space="preserve"> </w:t>
      </w:r>
      <w:r w:rsidRPr="0071137E">
        <w:rPr>
          <w:szCs w:val="18"/>
          <w:lang w:val="en-US"/>
        </w:rPr>
        <w:t xml:space="preserve">Productivity Commission Inquiry on Mental Health; Victorian Royal Commission into Mental Health; </w:t>
      </w:r>
      <w:r w:rsidRPr="0071137E">
        <w:rPr>
          <w:szCs w:val="18"/>
        </w:rPr>
        <w:t xml:space="preserve">Review of the Clinical Governance of public mental health services (WA); and </w:t>
      </w:r>
      <w:r>
        <w:rPr>
          <w:szCs w:val="18"/>
        </w:rPr>
        <w:t>the Medicare Review of Mental Health Items under the Better Access program</w:t>
      </w:r>
      <w:r w:rsidRPr="0071137E">
        <w:rPr>
          <w:szCs w:val="18"/>
        </w:rPr>
        <w:t>.</w:t>
      </w:r>
    </w:p>
  </w:footnote>
  <w:footnote w:id="77">
    <w:p w14:paraId="531F79CF" w14:textId="77777777" w:rsidR="00B303FA" w:rsidRPr="005D4602" w:rsidRDefault="00B303FA" w:rsidP="00D16256">
      <w:pPr>
        <w:pStyle w:val="FootnoteText"/>
        <w:ind w:right="106"/>
        <w:rPr>
          <w:lang w:val="en-US"/>
        </w:rPr>
      </w:pPr>
      <w:r>
        <w:rPr>
          <w:rStyle w:val="FootnoteReference"/>
        </w:rPr>
        <w:footnoteRef/>
      </w:r>
      <w:r>
        <w:t xml:space="preserve"> </w:t>
      </w:r>
      <w:r>
        <w:rPr>
          <w:lang w:val="en-US"/>
        </w:rPr>
        <w:t>Op cit, p.17.</w:t>
      </w:r>
    </w:p>
  </w:footnote>
  <w:footnote w:id="78">
    <w:p w14:paraId="161B8916" w14:textId="77777777" w:rsidR="00B303FA" w:rsidRPr="005D4602" w:rsidRDefault="00B303FA" w:rsidP="00D16256">
      <w:pPr>
        <w:pStyle w:val="FootnoteText"/>
        <w:ind w:right="-36"/>
        <w:rPr>
          <w:i/>
          <w:lang w:val="en-US"/>
        </w:rPr>
      </w:pPr>
      <w:r>
        <w:rPr>
          <w:rStyle w:val="FootnoteReference"/>
        </w:rPr>
        <w:footnoteRef/>
      </w:r>
      <w:r>
        <w:t xml:space="preserve"> </w:t>
      </w:r>
      <w:r w:rsidRPr="005D4602">
        <w:rPr>
          <w:i/>
          <w:lang w:val="en-US"/>
        </w:rPr>
        <w:t>House of Representatives Register of Committee Reports</w:t>
      </w:r>
      <w:r>
        <w:rPr>
          <w:lang w:val="en-US"/>
        </w:rPr>
        <w:t xml:space="preserve"> and </w:t>
      </w:r>
      <w:r>
        <w:rPr>
          <w:i/>
          <w:lang w:val="en-US"/>
        </w:rPr>
        <w:t xml:space="preserve">Register of Senate Committee Reports (1970-2019) </w:t>
      </w:r>
    </w:p>
  </w:footnote>
  <w:footnote w:id="79">
    <w:p w14:paraId="35A32BBE" w14:textId="77777777" w:rsidR="00B303FA" w:rsidRPr="0071137E" w:rsidRDefault="00B303FA" w:rsidP="00D16256">
      <w:pPr>
        <w:pStyle w:val="FootnoteText"/>
        <w:ind w:right="106"/>
        <w:rPr>
          <w:lang w:val="en-US"/>
        </w:rPr>
      </w:pPr>
      <w:r>
        <w:rPr>
          <w:rStyle w:val="FootnoteReference"/>
        </w:rPr>
        <w:footnoteRef/>
      </w:r>
      <w:r>
        <w:t xml:space="preserve"> </w:t>
      </w:r>
      <w:r>
        <w:rPr>
          <w:lang w:val="en-US"/>
        </w:rPr>
        <w:t>This is the only report from a State Coroner included here due to the prominent national reporting and multiple deaths involved.</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CC437E" w14:textId="77777777" w:rsidR="00B303FA" w:rsidRPr="00927B9D" w:rsidRDefault="00B303FA" w:rsidP="001F569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F9FA8E" w14:textId="77777777" w:rsidR="00B303FA" w:rsidRPr="00130F1E" w:rsidRDefault="00B303FA" w:rsidP="00130F1E">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DE0344" w14:textId="2FCD8A17" w:rsidR="00B303FA" w:rsidRPr="00FC1383" w:rsidRDefault="00B303FA" w:rsidP="007C5A24">
    <w:pPr>
      <w:pStyle w:val="Header"/>
      <w:jc w:val="right"/>
      <w:rPr>
        <w:caps/>
        <w:color w:val="595959" w:themeColor="text1" w:themeTint="A6"/>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156186" w14:textId="77777777" w:rsidR="00B303FA" w:rsidRPr="00927B9D" w:rsidRDefault="00B303FA" w:rsidP="001F569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D"/>
    <w:multiLevelType w:val="singleLevel"/>
    <w:tmpl w:val="A1444AAA"/>
    <w:lvl w:ilvl="0">
      <w:start w:val="1"/>
      <w:numFmt w:val="decimal"/>
      <w:lvlText w:val="%1."/>
      <w:lvlJc w:val="left"/>
      <w:pPr>
        <w:tabs>
          <w:tab w:val="num" w:pos="1209"/>
        </w:tabs>
        <w:ind w:left="1209" w:hanging="360"/>
      </w:pPr>
    </w:lvl>
  </w:abstractNum>
  <w:abstractNum w:abstractNumId="1" w15:restartNumberingAfterBreak="0">
    <w:nsid w:val="002E0CE1"/>
    <w:multiLevelType w:val="multilevel"/>
    <w:tmpl w:val="18480C06"/>
    <w:lvl w:ilvl="0">
      <w:start w:val="1"/>
      <w:numFmt w:val="decimal"/>
      <w:pStyle w:val="FigureCaption"/>
      <w:suff w:val="space"/>
      <w:lvlText w:val="Figure %1"/>
      <w:lvlJc w:val="left"/>
      <w:pPr>
        <w:ind w:left="0" w:firstLine="0"/>
      </w:pPr>
      <w:rPr>
        <w:rFonts w:ascii="Arial" w:hAnsi="Arial" w:hint="default"/>
        <w:b/>
        <w:i w:val="0"/>
        <w:caps/>
      </w:rPr>
    </w:lvl>
    <w:lvl w:ilvl="1">
      <w:start w:val="1"/>
      <w:numFmt w:val="upperLetter"/>
      <w:lvlText w:val="%2."/>
      <w:lvlJc w:val="left"/>
      <w:pPr>
        <w:ind w:left="720" w:firstLine="0"/>
      </w:pPr>
      <w:rPr>
        <w:rFonts w:hint="default"/>
      </w:rPr>
    </w:lvl>
    <w:lvl w:ilvl="2">
      <w:start w:val="1"/>
      <w:numFmt w:val="decimal"/>
      <w:lvlText w:val="%3."/>
      <w:lvlJc w:val="left"/>
      <w:pPr>
        <w:ind w:left="1440" w:firstLine="0"/>
      </w:pPr>
      <w:rPr>
        <w:rFonts w:hint="default"/>
      </w:rPr>
    </w:lvl>
    <w:lvl w:ilvl="3">
      <w:start w:val="1"/>
      <w:numFmt w:val="lowerLetter"/>
      <w:lvlText w:val="%4)"/>
      <w:lvlJc w:val="left"/>
      <w:pPr>
        <w:ind w:left="2160" w:firstLine="0"/>
      </w:pPr>
      <w:rPr>
        <w:rFonts w:hint="default"/>
      </w:rPr>
    </w:lvl>
    <w:lvl w:ilvl="4">
      <w:start w:val="1"/>
      <w:numFmt w:val="decimal"/>
      <w:lvlText w:val="(%5)"/>
      <w:lvlJc w:val="left"/>
      <w:pPr>
        <w:ind w:left="2880" w:firstLine="0"/>
      </w:pPr>
      <w:rPr>
        <w:rFonts w:hint="default"/>
      </w:rPr>
    </w:lvl>
    <w:lvl w:ilvl="5">
      <w:start w:val="1"/>
      <w:numFmt w:val="lowerLetter"/>
      <w:lvlText w:val="(%6)"/>
      <w:lvlJc w:val="left"/>
      <w:pPr>
        <w:ind w:left="3600" w:firstLine="0"/>
      </w:pPr>
      <w:rPr>
        <w:rFonts w:hint="default"/>
      </w:rPr>
    </w:lvl>
    <w:lvl w:ilvl="6">
      <w:start w:val="1"/>
      <w:numFmt w:val="lowerRoman"/>
      <w:lvlText w:val="(%7)"/>
      <w:lvlJc w:val="left"/>
      <w:pPr>
        <w:ind w:left="4320" w:firstLine="0"/>
      </w:pPr>
      <w:rPr>
        <w:rFonts w:hint="default"/>
      </w:rPr>
    </w:lvl>
    <w:lvl w:ilvl="7">
      <w:start w:val="1"/>
      <w:numFmt w:val="lowerLetter"/>
      <w:lvlText w:val="(%8)"/>
      <w:lvlJc w:val="left"/>
      <w:pPr>
        <w:ind w:left="5040" w:firstLine="0"/>
      </w:pPr>
      <w:rPr>
        <w:rFonts w:hint="default"/>
      </w:rPr>
    </w:lvl>
    <w:lvl w:ilvl="8">
      <w:start w:val="1"/>
      <w:numFmt w:val="lowerRoman"/>
      <w:lvlText w:val="(%9)"/>
      <w:lvlJc w:val="left"/>
      <w:pPr>
        <w:ind w:left="5760" w:firstLine="0"/>
      </w:pPr>
      <w:rPr>
        <w:rFonts w:hint="default"/>
      </w:rPr>
    </w:lvl>
  </w:abstractNum>
  <w:abstractNum w:abstractNumId="2" w15:restartNumberingAfterBreak="0">
    <w:nsid w:val="00E87CE5"/>
    <w:multiLevelType w:val="hybridMultilevel"/>
    <w:tmpl w:val="9EC6A8D6"/>
    <w:lvl w:ilvl="0" w:tplc="08A28DF6">
      <w:numFmt w:val="bullet"/>
      <w:lvlText w:val="-"/>
      <w:lvlJc w:val="left"/>
      <w:pPr>
        <w:ind w:left="700" w:hanging="360"/>
      </w:pPr>
      <w:rPr>
        <w:rFonts w:ascii="Arial" w:eastAsia="Times New Roman" w:hAnsi="Arial" w:cs="Arial" w:hint="default"/>
      </w:rPr>
    </w:lvl>
    <w:lvl w:ilvl="1" w:tplc="04090003" w:tentative="1">
      <w:start w:val="1"/>
      <w:numFmt w:val="bullet"/>
      <w:lvlText w:val="o"/>
      <w:lvlJc w:val="left"/>
      <w:pPr>
        <w:ind w:left="1420" w:hanging="360"/>
      </w:pPr>
      <w:rPr>
        <w:rFonts w:ascii="Courier New" w:hAnsi="Courier New" w:cs="Courier New" w:hint="default"/>
      </w:rPr>
    </w:lvl>
    <w:lvl w:ilvl="2" w:tplc="04090005" w:tentative="1">
      <w:start w:val="1"/>
      <w:numFmt w:val="bullet"/>
      <w:lvlText w:val=""/>
      <w:lvlJc w:val="left"/>
      <w:pPr>
        <w:ind w:left="2140" w:hanging="360"/>
      </w:pPr>
      <w:rPr>
        <w:rFonts w:ascii="Wingdings" w:hAnsi="Wingdings" w:hint="default"/>
      </w:rPr>
    </w:lvl>
    <w:lvl w:ilvl="3" w:tplc="04090001" w:tentative="1">
      <w:start w:val="1"/>
      <w:numFmt w:val="bullet"/>
      <w:lvlText w:val=""/>
      <w:lvlJc w:val="left"/>
      <w:pPr>
        <w:ind w:left="2860" w:hanging="360"/>
      </w:pPr>
      <w:rPr>
        <w:rFonts w:ascii="Symbol" w:hAnsi="Symbol" w:hint="default"/>
      </w:rPr>
    </w:lvl>
    <w:lvl w:ilvl="4" w:tplc="04090003" w:tentative="1">
      <w:start w:val="1"/>
      <w:numFmt w:val="bullet"/>
      <w:lvlText w:val="o"/>
      <w:lvlJc w:val="left"/>
      <w:pPr>
        <w:ind w:left="3580" w:hanging="360"/>
      </w:pPr>
      <w:rPr>
        <w:rFonts w:ascii="Courier New" w:hAnsi="Courier New" w:cs="Courier New" w:hint="default"/>
      </w:rPr>
    </w:lvl>
    <w:lvl w:ilvl="5" w:tplc="04090005" w:tentative="1">
      <w:start w:val="1"/>
      <w:numFmt w:val="bullet"/>
      <w:lvlText w:val=""/>
      <w:lvlJc w:val="left"/>
      <w:pPr>
        <w:ind w:left="4300" w:hanging="360"/>
      </w:pPr>
      <w:rPr>
        <w:rFonts w:ascii="Wingdings" w:hAnsi="Wingdings" w:hint="default"/>
      </w:rPr>
    </w:lvl>
    <w:lvl w:ilvl="6" w:tplc="04090001" w:tentative="1">
      <w:start w:val="1"/>
      <w:numFmt w:val="bullet"/>
      <w:lvlText w:val=""/>
      <w:lvlJc w:val="left"/>
      <w:pPr>
        <w:ind w:left="5020" w:hanging="360"/>
      </w:pPr>
      <w:rPr>
        <w:rFonts w:ascii="Symbol" w:hAnsi="Symbol" w:hint="default"/>
      </w:rPr>
    </w:lvl>
    <w:lvl w:ilvl="7" w:tplc="04090003" w:tentative="1">
      <w:start w:val="1"/>
      <w:numFmt w:val="bullet"/>
      <w:lvlText w:val="o"/>
      <w:lvlJc w:val="left"/>
      <w:pPr>
        <w:ind w:left="5740" w:hanging="360"/>
      </w:pPr>
      <w:rPr>
        <w:rFonts w:ascii="Courier New" w:hAnsi="Courier New" w:cs="Courier New" w:hint="default"/>
      </w:rPr>
    </w:lvl>
    <w:lvl w:ilvl="8" w:tplc="04090005" w:tentative="1">
      <w:start w:val="1"/>
      <w:numFmt w:val="bullet"/>
      <w:lvlText w:val=""/>
      <w:lvlJc w:val="left"/>
      <w:pPr>
        <w:ind w:left="6460" w:hanging="360"/>
      </w:pPr>
      <w:rPr>
        <w:rFonts w:ascii="Wingdings" w:hAnsi="Wingdings" w:hint="default"/>
      </w:rPr>
    </w:lvl>
  </w:abstractNum>
  <w:abstractNum w:abstractNumId="3" w15:restartNumberingAfterBreak="0">
    <w:nsid w:val="06CC7A16"/>
    <w:multiLevelType w:val="hybridMultilevel"/>
    <w:tmpl w:val="EFC29E70"/>
    <w:lvl w:ilvl="0" w:tplc="B600CFF8">
      <w:start w:val="1"/>
      <w:numFmt w:val="bullet"/>
      <w:lvlText w:val="•"/>
      <w:lvlJc w:val="left"/>
      <w:pPr>
        <w:tabs>
          <w:tab w:val="num" w:pos="720"/>
        </w:tabs>
        <w:ind w:left="720" w:hanging="360"/>
      </w:pPr>
      <w:rPr>
        <w:rFonts w:ascii="Arial" w:hAnsi="Arial" w:hint="default"/>
      </w:rPr>
    </w:lvl>
    <w:lvl w:ilvl="1" w:tplc="D4CAC130" w:tentative="1">
      <w:start w:val="1"/>
      <w:numFmt w:val="bullet"/>
      <w:lvlText w:val="•"/>
      <w:lvlJc w:val="left"/>
      <w:pPr>
        <w:tabs>
          <w:tab w:val="num" w:pos="1440"/>
        </w:tabs>
        <w:ind w:left="1440" w:hanging="360"/>
      </w:pPr>
      <w:rPr>
        <w:rFonts w:ascii="Arial" w:hAnsi="Arial" w:hint="default"/>
      </w:rPr>
    </w:lvl>
    <w:lvl w:ilvl="2" w:tplc="DEEA4048" w:tentative="1">
      <w:start w:val="1"/>
      <w:numFmt w:val="bullet"/>
      <w:lvlText w:val="•"/>
      <w:lvlJc w:val="left"/>
      <w:pPr>
        <w:tabs>
          <w:tab w:val="num" w:pos="2160"/>
        </w:tabs>
        <w:ind w:left="2160" w:hanging="360"/>
      </w:pPr>
      <w:rPr>
        <w:rFonts w:ascii="Arial" w:hAnsi="Arial" w:hint="default"/>
      </w:rPr>
    </w:lvl>
    <w:lvl w:ilvl="3" w:tplc="7444F408" w:tentative="1">
      <w:start w:val="1"/>
      <w:numFmt w:val="bullet"/>
      <w:lvlText w:val="•"/>
      <w:lvlJc w:val="left"/>
      <w:pPr>
        <w:tabs>
          <w:tab w:val="num" w:pos="2880"/>
        </w:tabs>
        <w:ind w:left="2880" w:hanging="360"/>
      </w:pPr>
      <w:rPr>
        <w:rFonts w:ascii="Arial" w:hAnsi="Arial" w:hint="default"/>
      </w:rPr>
    </w:lvl>
    <w:lvl w:ilvl="4" w:tplc="705841FA" w:tentative="1">
      <w:start w:val="1"/>
      <w:numFmt w:val="bullet"/>
      <w:lvlText w:val="•"/>
      <w:lvlJc w:val="left"/>
      <w:pPr>
        <w:tabs>
          <w:tab w:val="num" w:pos="3600"/>
        </w:tabs>
        <w:ind w:left="3600" w:hanging="360"/>
      </w:pPr>
      <w:rPr>
        <w:rFonts w:ascii="Arial" w:hAnsi="Arial" w:hint="default"/>
      </w:rPr>
    </w:lvl>
    <w:lvl w:ilvl="5" w:tplc="646293C0" w:tentative="1">
      <w:start w:val="1"/>
      <w:numFmt w:val="bullet"/>
      <w:lvlText w:val="•"/>
      <w:lvlJc w:val="left"/>
      <w:pPr>
        <w:tabs>
          <w:tab w:val="num" w:pos="4320"/>
        </w:tabs>
        <w:ind w:left="4320" w:hanging="360"/>
      </w:pPr>
      <w:rPr>
        <w:rFonts w:ascii="Arial" w:hAnsi="Arial" w:hint="default"/>
      </w:rPr>
    </w:lvl>
    <w:lvl w:ilvl="6" w:tplc="D7265D04" w:tentative="1">
      <w:start w:val="1"/>
      <w:numFmt w:val="bullet"/>
      <w:lvlText w:val="•"/>
      <w:lvlJc w:val="left"/>
      <w:pPr>
        <w:tabs>
          <w:tab w:val="num" w:pos="5040"/>
        </w:tabs>
        <w:ind w:left="5040" w:hanging="360"/>
      </w:pPr>
      <w:rPr>
        <w:rFonts w:ascii="Arial" w:hAnsi="Arial" w:hint="default"/>
      </w:rPr>
    </w:lvl>
    <w:lvl w:ilvl="7" w:tplc="E8AED8B4" w:tentative="1">
      <w:start w:val="1"/>
      <w:numFmt w:val="bullet"/>
      <w:lvlText w:val="•"/>
      <w:lvlJc w:val="left"/>
      <w:pPr>
        <w:tabs>
          <w:tab w:val="num" w:pos="5760"/>
        </w:tabs>
        <w:ind w:left="5760" w:hanging="360"/>
      </w:pPr>
      <w:rPr>
        <w:rFonts w:ascii="Arial" w:hAnsi="Arial" w:hint="default"/>
      </w:rPr>
    </w:lvl>
    <w:lvl w:ilvl="8" w:tplc="16A4084C"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F5C0107"/>
    <w:multiLevelType w:val="hybridMultilevel"/>
    <w:tmpl w:val="379A9604"/>
    <w:lvl w:ilvl="0" w:tplc="B9325458">
      <w:start w:val="1"/>
      <w:numFmt w:val="bullet"/>
      <w:lvlText w:val="•"/>
      <w:lvlJc w:val="left"/>
      <w:pPr>
        <w:tabs>
          <w:tab w:val="num" w:pos="720"/>
        </w:tabs>
        <w:ind w:left="720" w:hanging="360"/>
      </w:pPr>
      <w:rPr>
        <w:rFonts w:ascii="Times New Roman" w:hAnsi="Times New Roman" w:hint="default"/>
      </w:rPr>
    </w:lvl>
    <w:lvl w:ilvl="1" w:tplc="4A365C76" w:tentative="1">
      <w:start w:val="1"/>
      <w:numFmt w:val="bullet"/>
      <w:lvlText w:val="•"/>
      <w:lvlJc w:val="left"/>
      <w:pPr>
        <w:tabs>
          <w:tab w:val="num" w:pos="1440"/>
        </w:tabs>
        <w:ind w:left="1440" w:hanging="360"/>
      </w:pPr>
      <w:rPr>
        <w:rFonts w:ascii="Times New Roman" w:hAnsi="Times New Roman" w:hint="default"/>
      </w:rPr>
    </w:lvl>
    <w:lvl w:ilvl="2" w:tplc="B178CE9E" w:tentative="1">
      <w:start w:val="1"/>
      <w:numFmt w:val="bullet"/>
      <w:lvlText w:val="•"/>
      <w:lvlJc w:val="left"/>
      <w:pPr>
        <w:tabs>
          <w:tab w:val="num" w:pos="2160"/>
        </w:tabs>
        <w:ind w:left="2160" w:hanging="360"/>
      </w:pPr>
      <w:rPr>
        <w:rFonts w:ascii="Times New Roman" w:hAnsi="Times New Roman" w:hint="default"/>
      </w:rPr>
    </w:lvl>
    <w:lvl w:ilvl="3" w:tplc="F876678E" w:tentative="1">
      <w:start w:val="1"/>
      <w:numFmt w:val="bullet"/>
      <w:lvlText w:val="•"/>
      <w:lvlJc w:val="left"/>
      <w:pPr>
        <w:tabs>
          <w:tab w:val="num" w:pos="2880"/>
        </w:tabs>
        <w:ind w:left="2880" w:hanging="360"/>
      </w:pPr>
      <w:rPr>
        <w:rFonts w:ascii="Times New Roman" w:hAnsi="Times New Roman" w:hint="default"/>
      </w:rPr>
    </w:lvl>
    <w:lvl w:ilvl="4" w:tplc="1C008E8C" w:tentative="1">
      <w:start w:val="1"/>
      <w:numFmt w:val="bullet"/>
      <w:lvlText w:val="•"/>
      <w:lvlJc w:val="left"/>
      <w:pPr>
        <w:tabs>
          <w:tab w:val="num" w:pos="3600"/>
        </w:tabs>
        <w:ind w:left="3600" w:hanging="360"/>
      </w:pPr>
      <w:rPr>
        <w:rFonts w:ascii="Times New Roman" w:hAnsi="Times New Roman" w:hint="default"/>
      </w:rPr>
    </w:lvl>
    <w:lvl w:ilvl="5" w:tplc="28D4C43C" w:tentative="1">
      <w:start w:val="1"/>
      <w:numFmt w:val="bullet"/>
      <w:lvlText w:val="•"/>
      <w:lvlJc w:val="left"/>
      <w:pPr>
        <w:tabs>
          <w:tab w:val="num" w:pos="4320"/>
        </w:tabs>
        <w:ind w:left="4320" w:hanging="360"/>
      </w:pPr>
      <w:rPr>
        <w:rFonts w:ascii="Times New Roman" w:hAnsi="Times New Roman" w:hint="default"/>
      </w:rPr>
    </w:lvl>
    <w:lvl w:ilvl="6" w:tplc="CFD00626" w:tentative="1">
      <w:start w:val="1"/>
      <w:numFmt w:val="bullet"/>
      <w:lvlText w:val="•"/>
      <w:lvlJc w:val="left"/>
      <w:pPr>
        <w:tabs>
          <w:tab w:val="num" w:pos="5040"/>
        </w:tabs>
        <w:ind w:left="5040" w:hanging="360"/>
      </w:pPr>
      <w:rPr>
        <w:rFonts w:ascii="Times New Roman" w:hAnsi="Times New Roman" w:hint="default"/>
      </w:rPr>
    </w:lvl>
    <w:lvl w:ilvl="7" w:tplc="1D4A1094" w:tentative="1">
      <w:start w:val="1"/>
      <w:numFmt w:val="bullet"/>
      <w:lvlText w:val="•"/>
      <w:lvlJc w:val="left"/>
      <w:pPr>
        <w:tabs>
          <w:tab w:val="num" w:pos="5760"/>
        </w:tabs>
        <w:ind w:left="5760" w:hanging="360"/>
      </w:pPr>
      <w:rPr>
        <w:rFonts w:ascii="Times New Roman" w:hAnsi="Times New Roman" w:hint="default"/>
      </w:rPr>
    </w:lvl>
    <w:lvl w:ilvl="8" w:tplc="58A06484"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134D1456"/>
    <w:multiLevelType w:val="multilevel"/>
    <w:tmpl w:val="D122AC70"/>
    <w:lvl w:ilvl="0">
      <w:start w:val="1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3D62173"/>
    <w:multiLevelType w:val="multilevel"/>
    <w:tmpl w:val="DA6019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4D57452"/>
    <w:multiLevelType w:val="multilevel"/>
    <w:tmpl w:val="48369AF4"/>
    <w:lvl w:ilvl="0">
      <w:start w:val="1"/>
      <w:numFmt w:val="decimal"/>
      <w:lvlText w:val="%1."/>
      <w:lvlJc w:val="left"/>
      <w:pPr>
        <w:ind w:left="2563" w:hanging="720"/>
      </w:pPr>
      <w:rPr>
        <w:rFonts w:ascii="Arial Bold" w:hAnsi="Arial Bold" w:hint="default"/>
        <w:b/>
        <w:bCs/>
        <w:i w:val="0"/>
        <w:iCs w:val="0"/>
        <w:sz w:val="32"/>
        <w:szCs w:val="32"/>
      </w:rPr>
    </w:lvl>
    <w:lvl w:ilvl="1">
      <w:start w:val="1"/>
      <w:numFmt w:val="decimal"/>
      <w:lvlText w:val="%1.%2"/>
      <w:lvlJc w:val="left"/>
      <w:pPr>
        <w:ind w:left="720" w:hanging="720"/>
      </w:pPr>
      <w:rPr>
        <w:rFonts w:ascii="Arial" w:hAnsi="Arial" w:hint="default"/>
        <w:b/>
        <w:i w:val="0"/>
        <w:sz w:val="24"/>
      </w:rPr>
    </w:lvl>
    <w:lvl w:ilvl="2">
      <w:start w:val="1"/>
      <w:numFmt w:val="decimal"/>
      <w:lvlText w:val="%1.%2.%3"/>
      <w:lvlJc w:val="left"/>
      <w:pPr>
        <w:ind w:left="851" w:hanging="851"/>
      </w:pPr>
      <w:rPr>
        <w:rFonts w:ascii="Arial" w:hAnsi="Arial" w:hint="default"/>
        <w:sz w:val="20"/>
      </w:rPr>
    </w:lvl>
    <w:lvl w:ilvl="3">
      <w:start w:val="1"/>
      <w:numFmt w:val="decimal"/>
      <w:lvlText w:val="%1.%2.%3.%4"/>
      <w:lvlJc w:val="left"/>
      <w:pPr>
        <w:ind w:left="851" w:hanging="851"/>
      </w:pPr>
      <w:rPr>
        <w:rFonts w:hint="default"/>
      </w:rPr>
    </w:lvl>
    <w:lvl w:ilvl="4">
      <w:start w:val="1"/>
      <w:numFmt w:val="decimal"/>
      <w:lvlText w:val="%1.%2.%3.%4.%5"/>
      <w:lvlJc w:val="left"/>
      <w:pPr>
        <w:ind w:left="851" w:hanging="851"/>
      </w:pPr>
      <w:rPr>
        <w:rFonts w:hint="default"/>
      </w:rPr>
    </w:lvl>
    <w:lvl w:ilvl="5">
      <w:start w:val="1"/>
      <w:numFmt w:val="decimal"/>
      <w:lvlText w:val="%1.%2.%3.%4.%5.%6"/>
      <w:lvlJc w:val="left"/>
      <w:pPr>
        <w:ind w:left="851" w:hanging="851"/>
      </w:pPr>
      <w:rPr>
        <w:rFonts w:hint="default"/>
      </w:rPr>
    </w:lvl>
    <w:lvl w:ilvl="6">
      <w:start w:val="1"/>
      <w:numFmt w:val="decimal"/>
      <w:lvlText w:val="%1.%2.%3.%4.%5.%6.%7"/>
      <w:lvlJc w:val="left"/>
      <w:pPr>
        <w:ind w:left="851" w:hanging="851"/>
      </w:pPr>
      <w:rPr>
        <w:rFonts w:hint="default"/>
      </w:rPr>
    </w:lvl>
    <w:lvl w:ilvl="7">
      <w:start w:val="1"/>
      <w:numFmt w:val="decimal"/>
      <w:lvlText w:val="%1.%2.%3.%4.%5.%6.%7.%8"/>
      <w:lvlJc w:val="left"/>
      <w:pPr>
        <w:ind w:left="851" w:hanging="851"/>
      </w:pPr>
      <w:rPr>
        <w:rFonts w:hint="default"/>
      </w:rPr>
    </w:lvl>
    <w:lvl w:ilvl="8">
      <w:start w:val="1"/>
      <w:numFmt w:val="decimal"/>
      <w:lvlText w:val="%1.%2.%3.%4.%5.%6.%7.%8.%9"/>
      <w:lvlJc w:val="left"/>
      <w:pPr>
        <w:ind w:left="851" w:hanging="851"/>
      </w:pPr>
      <w:rPr>
        <w:rFonts w:hint="default"/>
      </w:rPr>
    </w:lvl>
  </w:abstractNum>
  <w:abstractNum w:abstractNumId="8" w15:restartNumberingAfterBreak="0">
    <w:nsid w:val="19F33E6E"/>
    <w:multiLevelType w:val="multilevel"/>
    <w:tmpl w:val="7646DCFE"/>
    <w:lvl w:ilvl="0">
      <w:start w:val="1"/>
      <w:numFmt w:val="bullet"/>
      <w:lvlText w:val=""/>
      <w:lvlJc w:val="left"/>
      <w:pPr>
        <w:ind w:left="1080" w:hanging="360"/>
      </w:pPr>
      <w:rPr>
        <w:rFonts w:ascii="Symbol" w:hAnsi="Symbol"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9" w15:restartNumberingAfterBreak="0">
    <w:nsid w:val="1C4E2542"/>
    <w:multiLevelType w:val="hybridMultilevel"/>
    <w:tmpl w:val="4256630C"/>
    <w:lvl w:ilvl="0" w:tplc="0409000F">
      <w:start w:val="1"/>
      <w:numFmt w:val="decimal"/>
      <w:lvlText w:val="%1."/>
      <w:lvlJc w:val="left"/>
      <w:pPr>
        <w:ind w:left="360" w:hanging="360"/>
      </w:pPr>
      <w:rPr>
        <w:rFonts w:hint="default"/>
      </w:rPr>
    </w:lvl>
    <w:lvl w:ilvl="1" w:tplc="67FCBB58">
      <w:start w:val="1"/>
      <w:numFmt w:val="bullet"/>
      <w:lvlText w:val="­"/>
      <w:lvlJc w:val="left"/>
      <w:pPr>
        <w:ind w:left="851" w:hanging="426"/>
      </w:pPr>
      <w:rPr>
        <w:rFonts w:ascii="Calibri" w:hAnsi="Calibri" w:hint="default"/>
      </w:rPr>
    </w:lvl>
    <w:lvl w:ilvl="2" w:tplc="F6DE2E46">
      <w:start w:val="1"/>
      <w:numFmt w:val="bullet"/>
      <w:lvlText w:val="o"/>
      <w:lvlJc w:val="left"/>
      <w:pPr>
        <w:ind w:left="1276" w:hanging="425"/>
      </w:pPr>
      <w:rPr>
        <w:rFonts w:ascii="Courier New" w:hAnsi="Courier New"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C687A34"/>
    <w:multiLevelType w:val="multilevel"/>
    <w:tmpl w:val="F348BC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EE27CC5"/>
    <w:multiLevelType w:val="hybridMultilevel"/>
    <w:tmpl w:val="D9FC5C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2D87A96"/>
    <w:multiLevelType w:val="multilevel"/>
    <w:tmpl w:val="2BE207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33676AB"/>
    <w:multiLevelType w:val="multilevel"/>
    <w:tmpl w:val="AF806F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7756CDF"/>
    <w:multiLevelType w:val="multilevel"/>
    <w:tmpl w:val="F58ED3F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8B01E37"/>
    <w:multiLevelType w:val="hybridMultilevel"/>
    <w:tmpl w:val="AE06CCC2"/>
    <w:lvl w:ilvl="0" w:tplc="A596D8F8">
      <w:start w:val="1"/>
      <w:numFmt w:val="bullet"/>
      <w:lvlText w:val="•"/>
      <w:lvlJc w:val="left"/>
      <w:pPr>
        <w:tabs>
          <w:tab w:val="num" w:pos="720"/>
        </w:tabs>
        <w:ind w:left="720" w:hanging="360"/>
      </w:pPr>
      <w:rPr>
        <w:rFonts w:ascii="Times New Roman" w:hAnsi="Times New Roman" w:hint="default"/>
      </w:rPr>
    </w:lvl>
    <w:lvl w:ilvl="1" w:tplc="23C48A4A">
      <w:numFmt w:val="bullet"/>
      <w:lvlText w:val="–"/>
      <w:lvlJc w:val="left"/>
      <w:pPr>
        <w:tabs>
          <w:tab w:val="num" w:pos="1440"/>
        </w:tabs>
        <w:ind w:left="1440" w:hanging="360"/>
      </w:pPr>
      <w:rPr>
        <w:rFonts w:ascii="Times New Roman" w:hAnsi="Times New Roman" w:hint="default"/>
      </w:rPr>
    </w:lvl>
    <w:lvl w:ilvl="2" w:tplc="BED215D2" w:tentative="1">
      <w:start w:val="1"/>
      <w:numFmt w:val="bullet"/>
      <w:lvlText w:val="•"/>
      <w:lvlJc w:val="left"/>
      <w:pPr>
        <w:tabs>
          <w:tab w:val="num" w:pos="2160"/>
        </w:tabs>
        <w:ind w:left="2160" w:hanging="360"/>
      </w:pPr>
      <w:rPr>
        <w:rFonts w:ascii="Times New Roman" w:hAnsi="Times New Roman" w:hint="default"/>
      </w:rPr>
    </w:lvl>
    <w:lvl w:ilvl="3" w:tplc="7D6AC9B6" w:tentative="1">
      <w:start w:val="1"/>
      <w:numFmt w:val="bullet"/>
      <w:lvlText w:val="•"/>
      <w:lvlJc w:val="left"/>
      <w:pPr>
        <w:tabs>
          <w:tab w:val="num" w:pos="2880"/>
        </w:tabs>
        <w:ind w:left="2880" w:hanging="360"/>
      </w:pPr>
      <w:rPr>
        <w:rFonts w:ascii="Times New Roman" w:hAnsi="Times New Roman" w:hint="default"/>
      </w:rPr>
    </w:lvl>
    <w:lvl w:ilvl="4" w:tplc="D00875FC" w:tentative="1">
      <w:start w:val="1"/>
      <w:numFmt w:val="bullet"/>
      <w:lvlText w:val="•"/>
      <w:lvlJc w:val="left"/>
      <w:pPr>
        <w:tabs>
          <w:tab w:val="num" w:pos="3600"/>
        </w:tabs>
        <w:ind w:left="3600" w:hanging="360"/>
      </w:pPr>
      <w:rPr>
        <w:rFonts w:ascii="Times New Roman" w:hAnsi="Times New Roman" w:hint="default"/>
      </w:rPr>
    </w:lvl>
    <w:lvl w:ilvl="5" w:tplc="A7923D48" w:tentative="1">
      <w:start w:val="1"/>
      <w:numFmt w:val="bullet"/>
      <w:lvlText w:val="•"/>
      <w:lvlJc w:val="left"/>
      <w:pPr>
        <w:tabs>
          <w:tab w:val="num" w:pos="4320"/>
        </w:tabs>
        <w:ind w:left="4320" w:hanging="360"/>
      </w:pPr>
      <w:rPr>
        <w:rFonts w:ascii="Times New Roman" w:hAnsi="Times New Roman" w:hint="default"/>
      </w:rPr>
    </w:lvl>
    <w:lvl w:ilvl="6" w:tplc="6262B49A" w:tentative="1">
      <w:start w:val="1"/>
      <w:numFmt w:val="bullet"/>
      <w:lvlText w:val="•"/>
      <w:lvlJc w:val="left"/>
      <w:pPr>
        <w:tabs>
          <w:tab w:val="num" w:pos="5040"/>
        </w:tabs>
        <w:ind w:left="5040" w:hanging="360"/>
      </w:pPr>
      <w:rPr>
        <w:rFonts w:ascii="Times New Roman" w:hAnsi="Times New Roman" w:hint="default"/>
      </w:rPr>
    </w:lvl>
    <w:lvl w:ilvl="7" w:tplc="0024B254" w:tentative="1">
      <w:start w:val="1"/>
      <w:numFmt w:val="bullet"/>
      <w:lvlText w:val="•"/>
      <w:lvlJc w:val="left"/>
      <w:pPr>
        <w:tabs>
          <w:tab w:val="num" w:pos="5760"/>
        </w:tabs>
        <w:ind w:left="5760" w:hanging="360"/>
      </w:pPr>
      <w:rPr>
        <w:rFonts w:ascii="Times New Roman" w:hAnsi="Times New Roman" w:hint="default"/>
      </w:rPr>
    </w:lvl>
    <w:lvl w:ilvl="8" w:tplc="D34EF91C"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31C62AE8"/>
    <w:multiLevelType w:val="hybridMultilevel"/>
    <w:tmpl w:val="5E5A1BCE"/>
    <w:lvl w:ilvl="0" w:tplc="0E5E78FE">
      <w:numFmt w:val="bullet"/>
      <w:lvlText w:val=""/>
      <w:lvlJc w:val="left"/>
      <w:pPr>
        <w:ind w:left="813" w:hanging="360"/>
      </w:pPr>
      <w:rPr>
        <w:rFonts w:ascii="Symbol" w:eastAsia="Symbol" w:hAnsi="Symbol" w:cs="Symbol" w:hint="default"/>
        <w:w w:val="100"/>
        <w:sz w:val="22"/>
        <w:szCs w:val="22"/>
        <w:lang w:val="en-AU" w:eastAsia="en-AU" w:bidi="en-AU"/>
      </w:rPr>
    </w:lvl>
    <w:lvl w:ilvl="1" w:tplc="459AB4AC">
      <w:numFmt w:val="bullet"/>
      <w:lvlText w:val="•"/>
      <w:lvlJc w:val="left"/>
      <w:pPr>
        <w:ind w:left="1458" w:hanging="360"/>
      </w:pPr>
      <w:rPr>
        <w:rFonts w:hint="default"/>
        <w:lang w:val="en-AU" w:eastAsia="en-AU" w:bidi="en-AU"/>
      </w:rPr>
    </w:lvl>
    <w:lvl w:ilvl="2" w:tplc="A548606E">
      <w:numFmt w:val="bullet"/>
      <w:lvlText w:val="•"/>
      <w:lvlJc w:val="left"/>
      <w:pPr>
        <w:ind w:left="2096" w:hanging="360"/>
      </w:pPr>
      <w:rPr>
        <w:rFonts w:hint="default"/>
        <w:lang w:val="en-AU" w:eastAsia="en-AU" w:bidi="en-AU"/>
      </w:rPr>
    </w:lvl>
    <w:lvl w:ilvl="3" w:tplc="E362D8FC">
      <w:numFmt w:val="bullet"/>
      <w:lvlText w:val="•"/>
      <w:lvlJc w:val="left"/>
      <w:pPr>
        <w:ind w:left="2734" w:hanging="360"/>
      </w:pPr>
      <w:rPr>
        <w:rFonts w:hint="default"/>
        <w:lang w:val="en-AU" w:eastAsia="en-AU" w:bidi="en-AU"/>
      </w:rPr>
    </w:lvl>
    <w:lvl w:ilvl="4" w:tplc="D5E4463C">
      <w:numFmt w:val="bullet"/>
      <w:lvlText w:val="•"/>
      <w:lvlJc w:val="left"/>
      <w:pPr>
        <w:ind w:left="3372" w:hanging="360"/>
      </w:pPr>
      <w:rPr>
        <w:rFonts w:hint="default"/>
        <w:lang w:val="en-AU" w:eastAsia="en-AU" w:bidi="en-AU"/>
      </w:rPr>
    </w:lvl>
    <w:lvl w:ilvl="5" w:tplc="BFE2FA38">
      <w:numFmt w:val="bullet"/>
      <w:lvlText w:val="•"/>
      <w:lvlJc w:val="left"/>
      <w:pPr>
        <w:ind w:left="4010" w:hanging="360"/>
      </w:pPr>
      <w:rPr>
        <w:rFonts w:hint="default"/>
        <w:lang w:val="en-AU" w:eastAsia="en-AU" w:bidi="en-AU"/>
      </w:rPr>
    </w:lvl>
    <w:lvl w:ilvl="6" w:tplc="CFD47F7C">
      <w:numFmt w:val="bullet"/>
      <w:lvlText w:val="•"/>
      <w:lvlJc w:val="left"/>
      <w:pPr>
        <w:ind w:left="4648" w:hanging="360"/>
      </w:pPr>
      <w:rPr>
        <w:rFonts w:hint="default"/>
        <w:lang w:val="en-AU" w:eastAsia="en-AU" w:bidi="en-AU"/>
      </w:rPr>
    </w:lvl>
    <w:lvl w:ilvl="7" w:tplc="46162174">
      <w:numFmt w:val="bullet"/>
      <w:lvlText w:val="•"/>
      <w:lvlJc w:val="left"/>
      <w:pPr>
        <w:ind w:left="5286" w:hanging="360"/>
      </w:pPr>
      <w:rPr>
        <w:rFonts w:hint="default"/>
        <w:lang w:val="en-AU" w:eastAsia="en-AU" w:bidi="en-AU"/>
      </w:rPr>
    </w:lvl>
    <w:lvl w:ilvl="8" w:tplc="C14AA618">
      <w:numFmt w:val="bullet"/>
      <w:lvlText w:val="•"/>
      <w:lvlJc w:val="left"/>
      <w:pPr>
        <w:ind w:left="5924" w:hanging="360"/>
      </w:pPr>
      <w:rPr>
        <w:rFonts w:hint="default"/>
        <w:lang w:val="en-AU" w:eastAsia="en-AU" w:bidi="en-AU"/>
      </w:rPr>
    </w:lvl>
  </w:abstractNum>
  <w:abstractNum w:abstractNumId="17" w15:restartNumberingAfterBreak="0">
    <w:nsid w:val="36A34765"/>
    <w:multiLevelType w:val="multilevel"/>
    <w:tmpl w:val="8676BE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87776E3"/>
    <w:multiLevelType w:val="multilevel"/>
    <w:tmpl w:val="B2B66EC6"/>
    <w:lvl w:ilvl="0">
      <w:start w:val="1"/>
      <w:numFmt w:val="decimal"/>
      <w:suff w:val="space"/>
      <w:lvlText w:val="Table %1"/>
      <w:lvlJc w:val="left"/>
      <w:pPr>
        <w:ind w:left="0" w:firstLine="0"/>
      </w:pPr>
      <w:rPr>
        <w:rFonts w:ascii="Calibri" w:hAnsi="Calibri" w:cs="Times New Roman" w:hint="default"/>
        <w:b/>
        <w:bCs w:val="0"/>
        <w:i w:val="0"/>
        <w:iCs w:val="0"/>
        <w:caps/>
        <w:smallCaps w:val="0"/>
        <w:strike w:val="0"/>
        <w:dstrike w:val="0"/>
        <w:noProof w:val="0"/>
        <w:vanish w:val="0"/>
        <w:color w:val="000000"/>
        <w:spacing w:val="0"/>
        <w:kern w:val="0"/>
        <w:position w:val="0"/>
        <w:sz w:val="2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upperLetter"/>
      <w:lvlText w:val="%2."/>
      <w:lvlJc w:val="left"/>
      <w:pPr>
        <w:ind w:left="720" w:firstLine="0"/>
      </w:pPr>
      <w:rPr>
        <w:rFonts w:hint="default"/>
      </w:rPr>
    </w:lvl>
    <w:lvl w:ilvl="2">
      <w:start w:val="1"/>
      <w:numFmt w:val="decimal"/>
      <w:lvlText w:val="%3."/>
      <w:lvlJc w:val="left"/>
      <w:pPr>
        <w:ind w:left="1440" w:firstLine="0"/>
      </w:pPr>
      <w:rPr>
        <w:rFonts w:hint="default"/>
      </w:rPr>
    </w:lvl>
    <w:lvl w:ilvl="3">
      <w:start w:val="1"/>
      <w:numFmt w:val="lowerLetter"/>
      <w:lvlText w:val="%4)"/>
      <w:lvlJc w:val="left"/>
      <w:pPr>
        <w:ind w:left="2160" w:firstLine="0"/>
      </w:pPr>
      <w:rPr>
        <w:rFonts w:hint="default"/>
      </w:rPr>
    </w:lvl>
    <w:lvl w:ilvl="4">
      <w:start w:val="1"/>
      <w:numFmt w:val="decimal"/>
      <w:lvlText w:val="(%5)"/>
      <w:lvlJc w:val="left"/>
      <w:pPr>
        <w:ind w:left="2880" w:firstLine="0"/>
      </w:pPr>
      <w:rPr>
        <w:rFonts w:hint="default"/>
      </w:rPr>
    </w:lvl>
    <w:lvl w:ilvl="5">
      <w:start w:val="1"/>
      <w:numFmt w:val="lowerLetter"/>
      <w:lvlText w:val="(%6)"/>
      <w:lvlJc w:val="left"/>
      <w:pPr>
        <w:ind w:left="3600" w:firstLine="0"/>
      </w:pPr>
      <w:rPr>
        <w:rFonts w:hint="default"/>
      </w:rPr>
    </w:lvl>
    <w:lvl w:ilvl="6">
      <w:start w:val="1"/>
      <w:numFmt w:val="lowerRoman"/>
      <w:lvlText w:val="(%7)"/>
      <w:lvlJc w:val="left"/>
      <w:pPr>
        <w:ind w:left="4320" w:firstLine="0"/>
      </w:pPr>
      <w:rPr>
        <w:rFonts w:hint="default"/>
      </w:rPr>
    </w:lvl>
    <w:lvl w:ilvl="7">
      <w:start w:val="1"/>
      <w:numFmt w:val="lowerLetter"/>
      <w:lvlText w:val="(%8)"/>
      <w:lvlJc w:val="left"/>
      <w:pPr>
        <w:ind w:left="5040" w:firstLine="0"/>
      </w:pPr>
      <w:rPr>
        <w:rFonts w:hint="default"/>
      </w:rPr>
    </w:lvl>
    <w:lvl w:ilvl="8">
      <w:start w:val="1"/>
      <w:numFmt w:val="lowerRoman"/>
      <w:lvlText w:val="(%9)"/>
      <w:lvlJc w:val="left"/>
      <w:pPr>
        <w:ind w:left="5760" w:firstLine="0"/>
      </w:pPr>
      <w:rPr>
        <w:rFonts w:hint="default"/>
      </w:rPr>
    </w:lvl>
  </w:abstractNum>
  <w:abstractNum w:abstractNumId="19" w15:restartNumberingAfterBreak="0">
    <w:nsid w:val="44EB3E99"/>
    <w:multiLevelType w:val="multilevel"/>
    <w:tmpl w:val="3D2405AC"/>
    <w:lvl w:ilvl="0">
      <w:start w:val="1"/>
      <w:numFmt w:val="decimal"/>
      <w:pStyle w:val="TableCaption"/>
      <w:suff w:val="space"/>
      <w:lvlText w:val="Table %1"/>
      <w:lvlJc w:val="left"/>
      <w:pPr>
        <w:ind w:left="0" w:firstLine="0"/>
      </w:pPr>
      <w:rPr>
        <w:rFonts w:ascii="Arial" w:hAnsi="Arial" w:hint="default"/>
        <w:b/>
        <w:i w:val="0"/>
        <w:caps/>
        <w:color w:val="000000" w:themeColor="text1"/>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0" w15:restartNumberingAfterBreak="0">
    <w:nsid w:val="459235AF"/>
    <w:multiLevelType w:val="multilevel"/>
    <w:tmpl w:val="5792F1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504A628B"/>
    <w:multiLevelType w:val="multilevel"/>
    <w:tmpl w:val="6D802B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546312F"/>
    <w:multiLevelType w:val="hybridMultilevel"/>
    <w:tmpl w:val="ADBEF304"/>
    <w:lvl w:ilvl="0" w:tplc="0409000B">
      <w:start w:val="765"/>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A61005D"/>
    <w:multiLevelType w:val="multilevel"/>
    <w:tmpl w:val="3118D6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B075F57"/>
    <w:multiLevelType w:val="hybridMultilevel"/>
    <w:tmpl w:val="CE98502E"/>
    <w:lvl w:ilvl="0" w:tplc="22847C94">
      <w:start w:val="1"/>
      <w:numFmt w:val="bullet"/>
      <w:pStyle w:val="BulletPoint"/>
      <w:lvlText w:val=""/>
      <w:lvlJc w:val="left"/>
      <w:pPr>
        <w:ind w:left="425" w:hanging="425"/>
      </w:pPr>
      <w:rPr>
        <w:rFonts w:ascii="Symbol" w:hAnsi="Symbol" w:hint="default"/>
      </w:rPr>
    </w:lvl>
    <w:lvl w:ilvl="1" w:tplc="67FCBB58">
      <w:start w:val="1"/>
      <w:numFmt w:val="bullet"/>
      <w:pStyle w:val="BulletPoint2"/>
      <w:lvlText w:val="­"/>
      <w:lvlJc w:val="left"/>
      <w:pPr>
        <w:ind w:left="852" w:hanging="426"/>
      </w:pPr>
      <w:rPr>
        <w:rFonts w:ascii="Calibri" w:hAnsi="Calibri" w:hint="default"/>
      </w:rPr>
    </w:lvl>
    <w:lvl w:ilvl="2" w:tplc="F6DE2E46">
      <w:start w:val="1"/>
      <w:numFmt w:val="bullet"/>
      <w:pStyle w:val="BulletPoint3"/>
      <w:lvlText w:val="o"/>
      <w:lvlJc w:val="left"/>
      <w:pPr>
        <w:ind w:left="1276" w:hanging="425"/>
      </w:pPr>
      <w:rPr>
        <w:rFonts w:ascii="Courier New" w:hAnsi="Courier New"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5B8431FC"/>
    <w:multiLevelType w:val="multilevel"/>
    <w:tmpl w:val="B46AFE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BBA2E66"/>
    <w:multiLevelType w:val="multilevel"/>
    <w:tmpl w:val="7276AC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68DF772A"/>
    <w:multiLevelType w:val="multilevel"/>
    <w:tmpl w:val="D3D04F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69B64541"/>
    <w:multiLevelType w:val="multilevel"/>
    <w:tmpl w:val="4886CB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6B26657B"/>
    <w:multiLevelType w:val="hybridMultilevel"/>
    <w:tmpl w:val="DF6AA94A"/>
    <w:lvl w:ilvl="0" w:tplc="0E4A7528">
      <w:start w:val="2"/>
      <w:numFmt w:val="decimal"/>
      <w:lvlText w:val="%1."/>
      <w:lvlJc w:val="left"/>
      <w:pPr>
        <w:ind w:left="1222" w:hanging="403"/>
      </w:pPr>
      <w:rPr>
        <w:rFonts w:ascii="Calibri" w:eastAsia="Calibri" w:hAnsi="Calibri" w:cs="Calibri" w:hint="default"/>
        <w:b/>
        <w:bCs/>
        <w:color w:val="00AFEF"/>
        <w:w w:val="100"/>
        <w:sz w:val="40"/>
        <w:szCs w:val="40"/>
        <w:lang w:val="en-AU" w:eastAsia="en-AU" w:bidi="en-AU"/>
      </w:rPr>
    </w:lvl>
    <w:lvl w:ilvl="1" w:tplc="07AC9904">
      <w:numFmt w:val="bullet"/>
      <w:lvlText w:val="•"/>
      <w:lvlJc w:val="left"/>
      <w:pPr>
        <w:ind w:left="1538" w:hanging="360"/>
      </w:pPr>
      <w:rPr>
        <w:rFonts w:ascii="Arial" w:eastAsia="Arial" w:hAnsi="Arial" w:cs="Arial" w:hint="default"/>
        <w:w w:val="100"/>
        <w:sz w:val="22"/>
        <w:szCs w:val="22"/>
        <w:lang w:val="en-AU" w:eastAsia="en-AU" w:bidi="en-AU"/>
      </w:rPr>
    </w:lvl>
    <w:lvl w:ilvl="2" w:tplc="A174825A">
      <w:numFmt w:val="bullet"/>
      <w:lvlText w:val="•"/>
      <w:lvlJc w:val="left"/>
      <w:pPr>
        <w:ind w:left="1540" w:hanging="360"/>
      </w:pPr>
      <w:rPr>
        <w:rFonts w:hint="default"/>
        <w:lang w:val="en-AU" w:eastAsia="en-AU" w:bidi="en-AU"/>
      </w:rPr>
    </w:lvl>
    <w:lvl w:ilvl="3" w:tplc="3B6AE518">
      <w:numFmt w:val="bullet"/>
      <w:lvlText w:val="•"/>
      <w:lvlJc w:val="left"/>
      <w:pPr>
        <w:ind w:left="2698" w:hanging="360"/>
      </w:pPr>
      <w:rPr>
        <w:rFonts w:hint="default"/>
        <w:lang w:val="en-AU" w:eastAsia="en-AU" w:bidi="en-AU"/>
      </w:rPr>
    </w:lvl>
    <w:lvl w:ilvl="4" w:tplc="782E0116">
      <w:numFmt w:val="bullet"/>
      <w:lvlText w:val="•"/>
      <w:lvlJc w:val="left"/>
      <w:pPr>
        <w:ind w:left="3856" w:hanging="360"/>
      </w:pPr>
      <w:rPr>
        <w:rFonts w:hint="default"/>
        <w:lang w:val="en-AU" w:eastAsia="en-AU" w:bidi="en-AU"/>
      </w:rPr>
    </w:lvl>
    <w:lvl w:ilvl="5" w:tplc="1260599C">
      <w:numFmt w:val="bullet"/>
      <w:lvlText w:val="•"/>
      <w:lvlJc w:val="left"/>
      <w:pPr>
        <w:ind w:left="5014" w:hanging="360"/>
      </w:pPr>
      <w:rPr>
        <w:rFonts w:hint="default"/>
        <w:lang w:val="en-AU" w:eastAsia="en-AU" w:bidi="en-AU"/>
      </w:rPr>
    </w:lvl>
    <w:lvl w:ilvl="6" w:tplc="17EE6428">
      <w:numFmt w:val="bullet"/>
      <w:lvlText w:val="•"/>
      <w:lvlJc w:val="left"/>
      <w:pPr>
        <w:ind w:left="6173" w:hanging="360"/>
      </w:pPr>
      <w:rPr>
        <w:rFonts w:hint="default"/>
        <w:lang w:val="en-AU" w:eastAsia="en-AU" w:bidi="en-AU"/>
      </w:rPr>
    </w:lvl>
    <w:lvl w:ilvl="7" w:tplc="DA126CDA">
      <w:numFmt w:val="bullet"/>
      <w:lvlText w:val="•"/>
      <w:lvlJc w:val="left"/>
      <w:pPr>
        <w:ind w:left="7331" w:hanging="360"/>
      </w:pPr>
      <w:rPr>
        <w:rFonts w:hint="default"/>
        <w:lang w:val="en-AU" w:eastAsia="en-AU" w:bidi="en-AU"/>
      </w:rPr>
    </w:lvl>
    <w:lvl w:ilvl="8" w:tplc="6450E1A4">
      <w:numFmt w:val="bullet"/>
      <w:lvlText w:val="•"/>
      <w:lvlJc w:val="left"/>
      <w:pPr>
        <w:ind w:left="8489" w:hanging="360"/>
      </w:pPr>
      <w:rPr>
        <w:rFonts w:hint="default"/>
        <w:lang w:val="en-AU" w:eastAsia="en-AU" w:bidi="en-AU"/>
      </w:rPr>
    </w:lvl>
  </w:abstractNum>
  <w:abstractNum w:abstractNumId="30" w15:restartNumberingAfterBreak="0">
    <w:nsid w:val="6DFC2195"/>
    <w:multiLevelType w:val="hybridMultilevel"/>
    <w:tmpl w:val="F4DAD9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EB72178"/>
    <w:multiLevelType w:val="multilevel"/>
    <w:tmpl w:val="3EDA9B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7045451D"/>
    <w:multiLevelType w:val="hybridMultilevel"/>
    <w:tmpl w:val="603C5420"/>
    <w:lvl w:ilvl="0" w:tplc="DFF42D84">
      <w:start w:val="1"/>
      <w:numFmt w:val="bullet"/>
      <w:lvlText w:val="•"/>
      <w:lvlJc w:val="left"/>
      <w:pPr>
        <w:tabs>
          <w:tab w:val="num" w:pos="720"/>
        </w:tabs>
        <w:ind w:left="720" w:hanging="360"/>
      </w:pPr>
      <w:rPr>
        <w:rFonts w:ascii="Arial" w:hAnsi="Arial" w:hint="default"/>
      </w:rPr>
    </w:lvl>
    <w:lvl w:ilvl="1" w:tplc="AB52E464" w:tentative="1">
      <w:start w:val="1"/>
      <w:numFmt w:val="bullet"/>
      <w:lvlText w:val="•"/>
      <w:lvlJc w:val="left"/>
      <w:pPr>
        <w:tabs>
          <w:tab w:val="num" w:pos="1440"/>
        </w:tabs>
        <w:ind w:left="1440" w:hanging="360"/>
      </w:pPr>
      <w:rPr>
        <w:rFonts w:ascii="Arial" w:hAnsi="Arial" w:hint="default"/>
      </w:rPr>
    </w:lvl>
    <w:lvl w:ilvl="2" w:tplc="76BA5420" w:tentative="1">
      <w:start w:val="1"/>
      <w:numFmt w:val="bullet"/>
      <w:lvlText w:val="•"/>
      <w:lvlJc w:val="left"/>
      <w:pPr>
        <w:tabs>
          <w:tab w:val="num" w:pos="2160"/>
        </w:tabs>
        <w:ind w:left="2160" w:hanging="360"/>
      </w:pPr>
      <w:rPr>
        <w:rFonts w:ascii="Arial" w:hAnsi="Arial" w:hint="default"/>
      </w:rPr>
    </w:lvl>
    <w:lvl w:ilvl="3" w:tplc="BE3CA966" w:tentative="1">
      <w:start w:val="1"/>
      <w:numFmt w:val="bullet"/>
      <w:lvlText w:val="•"/>
      <w:lvlJc w:val="left"/>
      <w:pPr>
        <w:tabs>
          <w:tab w:val="num" w:pos="2880"/>
        </w:tabs>
        <w:ind w:left="2880" w:hanging="360"/>
      </w:pPr>
      <w:rPr>
        <w:rFonts w:ascii="Arial" w:hAnsi="Arial" w:hint="default"/>
      </w:rPr>
    </w:lvl>
    <w:lvl w:ilvl="4" w:tplc="25C8D7DC" w:tentative="1">
      <w:start w:val="1"/>
      <w:numFmt w:val="bullet"/>
      <w:lvlText w:val="•"/>
      <w:lvlJc w:val="left"/>
      <w:pPr>
        <w:tabs>
          <w:tab w:val="num" w:pos="3600"/>
        </w:tabs>
        <w:ind w:left="3600" w:hanging="360"/>
      </w:pPr>
      <w:rPr>
        <w:rFonts w:ascii="Arial" w:hAnsi="Arial" w:hint="default"/>
      </w:rPr>
    </w:lvl>
    <w:lvl w:ilvl="5" w:tplc="C4EC2426" w:tentative="1">
      <w:start w:val="1"/>
      <w:numFmt w:val="bullet"/>
      <w:lvlText w:val="•"/>
      <w:lvlJc w:val="left"/>
      <w:pPr>
        <w:tabs>
          <w:tab w:val="num" w:pos="4320"/>
        </w:tabs>
        <w:ind w:left="4320" w:hanging="360"/>
      </w:pPr>
      <w:rPr>
        <w:rFonts w:ascii="Arial" w:hAnsi="Arial" w:hint="default"/>
      </w:rPr>
    </w:lvl>
    <w:lvl w:ilvl="6" w:tplc="16E0D0A2" w:tentative="1">
      <w:start w:val="1"/>
      <w:numFmt w:val="bullet"/>
      <w:lvlText w:val="•"/>
      <w:lvlJc w:val="left"/>
      <w:pPr>
        <w:tabs>
          <w:tab w:val="num" w:pos="5040"/>
        </w:tabs>
        <w:ind w:left="5040" w:hanging="360"/>
      </w:pPr>
      <w:rPr>
        <w:rFonts w:ascii="Arial" w:hAnsi="Arial" w:hint="default"/>
      </w:rPr>
    </w:lvl>
    <w:lvl w:ilvl="7" w:tplc="74985F76" w:tentative="1">
      <w:start w:val="1"/>
      <w:numFmt w:val="bullet"/>
      <w:lvlText w:val="•"/>
      <w:lvlJc w:val="left"/>
      <w:pPr>
        <w:tabs>
          <w:tab w:val="num" w:pos="5760"/>
        </w:tabs>
        <w:ind w:left="5760" w:hanging="360"/>
      </w:pPr>
      <w:rPr>
        <w:rFonts w:ascii="Arial" w:hAnsi="Arial" w:hint="default"/>
      </w:rPr>
    </w:lvl>
    <w:lvl w:ilvl="8" w:tplc="B772270A"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751333E2"/>
    <w:multiLevelType w:val="multilevel"/>
    <w:tmpl w:val="393AEC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777753B0"/>
    <w:multiLevelType w:val="multilevel"/>
    <w:tmpl w:val="8BC8E1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8C02061"/>
    <w:multiLevelType w:val="hybridMultilevel"/>
    <w:tmpl w:val="DCD80B3E"/>
    <w:lvl w:ilvl="0" w:tplc="C5445814">
      <w:start w:val="1"/>
      <w:numFmt w:val="bullet"/>
      <w:lvlText w:val="•"/>
      <w:lvlJc w:val="left"/>
      <w:pPr>
        <w:tabs>
          <w:tab w:val="num" w:pos="720"/>
        </w:tabs>
        <w:ind w:left="720" w:hanging="360"/>
      </w:pPr>
      <w:rPr>
        <w:rFonts w:ascii="Arial" w:hAnsi="Arial" w:hint="default"/>
      </w:rPr>
    </w:lvl>
    <w:lvl w:ilvl="1" w:tplc="4DF637C2">
      <w:start w:val="1"/>
      <w:numFmt w:val="bullet"/>
      <w:lvlText w:val="•"/>
      <w:lvlJc w:val="left"/>
      <w:pPr>
        <w:tabs>
          <w:tab w:val="num" w:pos="1440"/>
        </w:tabs>
        <w:ind w:left="1440" w:hanging="360"/>
      </w:pPr>
      <w:rPr>
        <w:rFonts w:ascii="Arial" w:hAnsi="Arial" w:hint="default"/>
      </w:rPr>
    </w:lvl>
    <w:lvl w:ilvl="2" w:tplc="93187F64">
      <w:numFmt w:val="bullet"/>
      <w:lvlText w:val="•"/>
      <w:lvlJc w:val="left"/>
      <w:pPr>
        <w:tabs>
          <w:tab w:val="num" w:pos="2160"/>
        </w:tabs>
        <w:ind w:left="2160" w:hanging="360"/>
      </w:pPr>
      <w:rPr>
        <w:rFonts w:ascii="Arial" w:hAnsi="Arial" w:hint="default"/>
      </w:rPr>
    </w:lvl>
    <w:lvl w:ilvl="3" w:tplc="9112F190" w:tentative="1">
      <w:start w:val="1"/>
      <w:numFmt w:val="bullet"/>
      <w:lvlText w:val="•"/>
      <w:lvlJc w:val="left"/>
      <w:pPr>
        <w:tabs>
          <w:tab w:val="num" w:pos="2880"/>
        </w:tabs>
        <w:ind w:left="2880" w:hanging="360"/>
      </w:pPr>
      <w:rPr>
        <w:rFonts w:ascii="Arial" w:hAnsi="Arial" w:hint="default"/>
      </w:rPr>
    </w:lvl>
    <w:lvl w:ilvl="4" w:tplc="A7B67D2E" w:tentative="1">
      <w:start w:val="1"/>
      <w:numFmt w:val="bullet"/>
      <w:lvlText w:val="•"/>
      <w:lvlJc w:val="left"/>
      <w:pPr>
        <w:tabs>
          <w:tab w:val="num" w:pos="3600"/>
        </w:tabs>
        <w:ind w:left="3600" w:hanging="360"/>
      </w:pPr>
      <w:rPr>
        <w:rFonts w:ascii="Arial" w:hAnsi="Arial" w:hint="default"/>
      </w:rPr>
    </w:lvl>
    <w:lvl w:ilvl="5" w:tplc="EF2CF342" w:tentative="1">
      <w:start w:val="1"/>
      <w:numFmt w:val="bullet"/>
      <w:lvlText w:val="•"/>
      <w:lvlJc w:val="left"/>
      <w:pPr>
        <w:tabs>
          <w:tab w:val="num" w:pos="4320"/>
        </w:tabs>
        <w:ind w:left="4320" w:hanging="360"/>
      </w:pPr>
      <w:rPr>
        <w:rFonts w:ascii="Arial" w:hAnsi="Arial" w:hint="default"/>
      </w:rPr>
    </w:lvl>
    <w:lvl w:ilvl="6" w:tplc="E8384682" w:tentative="1">
      <w:start w:val="1"/>
      <w:numFmt w:val="bullet"/>
      <w:lvlText w:val="•"/>
      <w:lvlJc w:val="left"/>
      <w:pPr>
        <w:tabs>
          <w:tab w:val="num" w:pos="5040"/>
        </w:tabs>
        <w:ind w:left="5040" w:hanging="360"/>
      </w:pPr>
      <w:rPr>
        <w:rFonts w:ascii="Arial" w:hAnsi="Arial" w:hint="default"/>
      </w:rPr>
    </w:lvl>
    <w:lvl w:ilvl="7" w:tplc="39CE277E" w:tentative="1">
      <w:start w:val="1"/>
      <w:numFmt w:val="bullet"/>
      <w:lvlText w:val="•"/>
      <w:lvlJc w:val="left"/>
      <w:pPr>
        <w:tabs>
          <w:tab w:val="num" w:pos="5760"/>
        </w:tabs>
        <w:ind w:left="5760" w:hanging="360"/>
      </w:pPr>
      <w:rPr>
        <w:rFonts w:ascii="Arial" w:hAnsi="Arial" w:hint="default"/>
      </w:rPr>
    </w:lvl>
    <w:lvl w:ilvl="8" w:tplc="5E80DCDE"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7C8E2F07"/>
    <w:multiLevelType w:val="multilevel"/>
    <w:tmpl w:val="BCEA14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DDD6010"/>
    <w:multiLevelType w:val="multilevel"/>
    <w:tmpl w:val="2C3C6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7E5B2E54"/>
    <w:multiLevelType w:val="hybridMultilevel"/>
    <w:tmpl w:val="FB966A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4"/>
  </w:num>
  <w:num w:numId="2">
    <w:abstractNumId w:val="19"/>
  </w:num>
  <w:num w:numId="3">
    <w:abstractNumId w:val="1"/>
  </w:num>
  <w:num w:numId="4">
    <w:abstractNumId w:val="11"/>
  </w:num>
  <w:num w:numId="5">
    <w:abstractNumId w:val="30"/>
  </w:num>
  <w:num w:numId="6">
    <w:abstractNumId w:val="29"/>
  </w:num>
  <w:num w:numId="7">
    <w:abstractNumId w:val="9"/>
  </w:num>
  <w:num w:numId="8">
    <w:abstractNumId w:val="16"/>
  </w:num>
  <w:num w:numId="9">
    <w:abstractNumId w:val="28"/>
  </w:num>
  <w:num w:numId="10">
    <w:abstractNumId w:val="5"/>
  </w:num>
  <w:num w:numId="11">
    <w:abstractNumId w:val="4"/>
  </w:num>
  <w:num w:numId="12">
    <w:abstractNumId w:val="15"/>
  </w:num>
  <w:num w:numId="13">
    <w:abstractNumId w:val="20"/>
  </w:num>
  <w:num w:numId="14">
    <w:abstractNumId w:val="6"/>
  </w:num>
  <w:num w:numId="15">
    <w:abstractNumId w:val="37"/>
  </w:num>
  <w:num w:numId="16">
    <w:abstractNumId w:val="17"/>
  </w:num>
  <w:num w:numId="17">
    <w:abstractNumId w:val="31"/>
  </w:num>
  <w:num w:numId="18">
    <w:abstractNumId w:val="13"/>
  </w:num>
  <w:num w:numId="19">
    <w:abstractNumId w:val="23"/>
  </w:num>
  <w:num w:numId="20">
    <w:abstractNumId w:val="10"/>
  </w:num>
  <w:num w:numId="21">
    <w:abstractNumId w:val="34"/>
  </w:num>
  <w:num w:numId="22">
    <w:abstractNumId w:val="25"/>
  </w:num>
  <w:num w:numId="23">
    <w:abstractNumId w:val="21"/>
  </w:num>
  <w:num w:numId="24">
    <w:abstractNumId w:val="26"/>
  </w:num>
  <w:num w:numId="25">
    <w:abstractNumId w:val="27"/>
  </w:num>
  <w:num w:numId="26">
    <w:abstractNumId w:val="0"/>
  </w:num>
  <w:num w:numId="27">
    <w:abstractNumId w:val="7"/>
  </w:num>
  <w:num w:numId="28">
    <w:abstractNumId w:val="12"/>
  </w:num>
  <w:num w:numId="29">
    <w:abstractNumId w:val="14"/>
  </w:num>
  <w:num w:numId="30">
    <w:abstractNumId w:val="18"/>
  </w:num>
  <w:num w:numId="31">
    <w:abstractNumId w:val="38"/>
  </w:num>
  <w:num w:numId="32">
    <w:abstractNumId w:val="22"/>
  </w:num>
  <w:num w:numId="33">
    <w:abstractNumId w:val="35"/>
  </w:num>
  <w:num w:numId="34">
    <w:abstractNumId w:val="32"/>
  </w:num>
  <w:num w:numId="35">
    <w:abstractNumId w:val="3"/>
  </w:num>
  <w:num w:numId="36">
    <w:abstractNumId w:val="8"/>
  </w:num>
  <w:num w:numId="37">
    <w:abstractNumId w:val="2"/>
  </w:num>
  <w:num w:numId="38">
    <w:abstractNumId w:val="33"/>
  </w:num>
  <w:num w:numId="39">
    <w:abstractNumId w:val="36"/>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evenAndOddHeaders/>
  <w:drawingGridHorizontalSpacing w:val="100"/>
  <w:drawingGridVerticalSpacing w:val="273"/>
  <w:displayHorizontalDrawingGridEvery w:val="0"/>
  <w:displayVerticalDrawingGridEvery w:val="0"/>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26E0E"/>
    <w:rsid w:val="0000013E"/>
    <w:rsid w:val="00002EA8"/>
    <w:rsid w:val="00003F5A"/>
    <w:rsid w:val="00005E33"/>
    <w:rsid w:val="00005F99"/>
    <w:rsid w:val="000064B2"/>
    <w:rsid w:val="00007D19"/>
    <w:rsid w:val="000101E8"/>
    <w:rsid w:val="000112E1"/>
    <w:rsid w:val="00012363"/>
    <w:rsid w:val="00013695"/>
    <w:rsid w:val="000173E3"/>
    <w:rsid w:val="00017E35"/>
    <w:rsid w:val="0002693E"/>
    <w:rsid w:val="00027D76"/>
    <w:rsid w:val="00030EAD"/>
    <w:rsid w:val="00030EB2"/>
    <w:rsid w:val="00034BE1"/>
    <w:rsid w:val="000351CA"/>
    <w:rsid w:val="00042114"/>
    <w:rsid w:val="00043863"/>
    <w:rsid w:val="00043BF5"/>
    <w:rsid w:val="00043E49"/>
    <w:rsid w:val="00046AC5"/>
    <w:rsid w:val="00047943"/>
    <w:rsid w:val="00047A91"/>
    <w:rsid w:val="00050CB2"/>
    <w:rsid w:val="00052398"/>
    <w:rsid w:val="00053D61"/>
    <w:rsid w:val="000541B9"/>
    <w:rsid w:val="00054F69"/>
    <w:rsid w:val="000558E8"/>
    <w:rsid w:val="00060286"/>
    <w:rsid w:val="000619CB"/>
    <w:rsid w:val="000705C8"/>
    <w:rsid w:val="000711DD"/>
    <w:rsid w:val="00071754"/>
    <w:rsid w:val="00071D08"/>
    <w:rsid w:val="00073B54"/>
    <w:rsid w:val="000755A3"/>
    <w:rsid w:val="000809AE"/>
    <w:rsid w:val="00081574"/>
    <w:rsid w:val="00082E7B"/>
    <w:rsid w:val="00084248"/>
    <w:rsid w:val="00084CA7"/>
    <w:rsid w:val="0008742B"/>
    <w:rsid w:val="000906CE"/>
    <w:rsid w:val="0009212B"/>
    <w:rsid w:val="0009439C"/>
    <w:rsid w:val="00095F6D"/>
    <w:rsid w:val="00096358"/>
    <w:rsid w:val="000A2B7B"/>
    <w:rsid w:val="000A4394"/>
    <w:rsid w:val="000A4B66"/>
    <w:rsid w:val="000B3F19"/>
    <w:rsid w:val="000B4DB6"/>
    <w:rsid w:val="000B624D"/>
    <w:rsid w:val="000C00B5"/>
    <w:rsid w:val="000C0598"/>
    <w:rsid w:val="000C3B30"/>
    <w:rsid w:val="000C6B6C"/>
    <w:rsid w:val="000C76B0"/>
    <w:rsid w:val="000C7D92"/>
    <w:rsid w:val="000D115D"/>
    <w:rsid w:val="000D12D1"/>
    <w:rsid w:val="000D2937"/>
    <w:rsid w:val="000D480A"/>
    <w:rsid w:val="000D4D46"/>
    <w:rsid w:val="000D63D7"/>
    <w:rsid w:val="000E1796"/>
    <w:rsid w:val="000E33C3"/>
    <w:rsid w:val="000E3696"/>
    <w:rsid w:val="000E3BA0"/>
    <w:rsid w:val="000E4087"/>
    <w:rsid w:val="000E6B80"/>
    <w:rsid w:val="000F16D7"/>
    <w:rsid w:val="000F18F8"/>
    <w:rsid w:val="000F2BD5"/>
    <w:rsid w:val="000F4EAB"/>
    <w:rsid w:val="00103BCD"/>
    <w:rsid w:val="00104F57"/>
    <w:rsid w:val="001060D0"/>
    <w:rsid w:val="00107C8D"/>
    <w:rsid w:val="00111FB7"/>
    <w:rsid w:val="00114C78"/>
    <w:rsid w:val="00115C55"/>
    <w:rsid w:val="00117493"/>
    <w:rsid w:val="00117D83"/>
    <w:rsid w:val="00121967"/>
    <w:rsid w:val="0012416B"/>
    <w:rsid w:val="00130F1E"/>
    <w:rsid w:val="00131B2F"/>
    <w:rsid w:val="00132501"/>
    <w:rsid w:val="00134392"/>
    <w:rsid w:val="00134912"/>
    <w:rsid w:val="00135E38"/>
    <w:rsid w:val="00137756"/>
    <w:rsid w:val="0014002D"/>
    <w:rsid w:val="0014099E"/>
    <w:rsid w:val="00141916"/>
    <w:rsid w:val="001505AD"/>
    <w:rsid w:val="00152171"/>
    <w:rsid w:val="00152383"/>
    <w:rsid w:val="001523DC"/>
    <w:rsid w:val="00152478"/>
    <w:rsid w:val="00153616"/>
    <w:rsid w:val="00153B8A"/>
    <w:rsid w:val="00160102"/>
    <w:rsid w:val="00160E06"/>
    <w:rsid w:val="00160F0D"/>
    <w:rsid w:val="00162761"/>
    <w:rsid w:val="00163D9B"/>
    <w:rsid w:val="0016446D"/>
    <w:rsid w:val="0016522F"/>
    <w:rsid w:val="001674EF"/>
    <w:rsid w:val="001700C2"/>
    <w:rsid w:val="00170182"/>
    <w:rsid w:val="0017021B"/>
    <w:rsid w:val="00170372"/>
    <w:rsid w:val="0017181B"/>
    <w:rsid w:val="00173BF4"/>
    <w:rsid w:val="001756A7"/>
    <w:rsid w:val="001778E0"/>
    <w:rsid w:val="00181928"/>
    <w:rsid w:val="001838A5"/>
    <w:rsid w:val="00185A52"/>
    <w:rsid w:val="00190429"/>
    <w:rsid w:val="001928B2"/>
    <w:rsid w:val="00192C3A"/>
    <w:rsid w:val="00192F9F"/>
    <w:rsid w:val="00195683"/>
    <w:rsid w:val="001964F3"/>
    <w:rsid w:val="001964F8"/>
    <w:rsid w:val="00197F60"/>
    <w:rsid w:val="001A013C"/>
    <w:rsid w:val="001A09F7"/>
    <w:rsid w:val="001A119B"/>
    <w:rsid w:val="001A292D"/>
    <w:rsid w:val="001A33B5"/>
    <w:rsid w:val="001A5998"/>
    <w:rsid w:val="001A66F6"/>
    <w:rsid w:val="001B01D7"/>
    <w:rsid w:val="001B4FF8"/>
    <w:rsid w:val="001B6996"/>
    <w:rsid w:val="001C1990"/>
    <w:rsid w:val="001C24FD"/>
    <w:rsid w:val="001C253F"/>
    <w:rsid w:val="001C3946"/>
    <w:rsid w:val="001C4C2C"/>
    <w:rsid w:val="001C60E2"/>
    <w:rsid w:val="001D344D"/>
    <w:rsid w:val="001D7B8F"/>
    <w:rsid w:val="001E19AA"/>
    <w:rsid w:val="001E2486"/>
    <w:rsid w:val="001E4297"/>
    <w:rsid w:val="001E5D92"/>
    <w:rsid w:val="001F0693"/>
    <w:rsid w:val="001F5694"/>
    <w:rsid w:val="001F5D0C"/>
    <w:rsid w:val="001F63EB"/>
    <w:rsid w:val="001F6850"/>
    <w:rsid w:val="001F68C7"/>
    <w:rsid w:val="001F7BB5"/>
    <w:rsid w:val="00200348"/>
    <w:rsid w:val="00201077"/>
    <w:rsid w:val="0020487D"/>
    <w:rsid w:val="00206E88"/>
    <w:rsid w:val="002122AA"/>
    <w:rsid w:val="00213755"/>
    <w:rsid w:val="0021439D"/>
    <w:rsid w:val="0021448A"/>
    <w:rsid w:val="002163EF"/>
    <w:rsid w:val="0021644F"/>
    <w:rsid w:val="00216C55"/>
    <w:rsid w:val="00220E76"/>
    <w:rsid w:val="002218D3"/>
    <w:rsid w:val="0022524C"/>
    <w:rsid w:val="0022640E"/>
    <w:rsid w:val="00226E2F"/>
    <w:rsid w:val="00227869"/>
    <w:rsid w:val="002308A4"/>
    <w:rsid w:val="0023197B"/>
    <w:rsid w:val="00231B7C"/>
    <w:rsid w:val="002327F9"/>
    <w:rsid w:val="00236598"/>
    <w:rsid w:val="00237BC9"/>
    <w:rsid w:val="002408C7"/>
    <w:rsid w:val="00243CDE"/>
    <w:rsid w:val="0024688E"/>
    <w:rsid w:val="00246A67"/>
    <w:rsid w:val="00246C67"/>
    <w:rsid w:val="00250A27"/>
    <w:rsid w:val="00251616"/>
    <w:rsid w:val="00252CC2"/>
    <w:rsid w:val="002551AD"/>
    <w:rsid w:val="002565CC"/>
    <w:rsid w:val="002572F2"/>
    <w:rsid w:val="00262E09"/>
    <w:rsid w:val="00263CC6"/>
    <w:rsid w:val="0027015B"/>
    <w:rsid w:val="00271594"/>
    <w:rsid w:val="00273113"/>
    <w:rsid w:val="002736F1"/>
    <w:rsid w:val="00273711"/>
    <w:rsid w:val="00273D41"/>
    <w:rsid w:val="00274489"/>
    <w:rsid w:val="0027487D"/>
    <w:rsid w:val="002757CA"/>
    <w:rsid w:val="00282168"/>
    <w:rsid w:val="0028348E"/>
    <w:rsid w:val="0028679F"/>
    <w:rsid w:val="00286F1D"/>
    <w:rsid w:val="0028792E"/>
    <w:rsid w:val="00290A5F"/>
    <w:rsid w:val="00290D11"/>
    <w:rsid w:val="0029116C"/>
    <w:rsid w:val="002923D8"/>
    <w:rsid w:val="00292978"/>
    <w:rsid w:val="00292BF5"/>
    <w:rsid w:val="00293AFD"/>
    <w:rsid w:val="00294E3D"/>
    <w:rsid w:val="00296A2C"/>
    <w:rsid w:val="002A15C7"/>
    <w:rsid w:val="002A3570"/>
    <w:rsid w:val="002A6862"/>
    <w:rsid w:val="002A70E7"/>
    <w:rsid w:val="002B0783"/>
    <w:rsid w:val="002B0E5E"/>
    <w:rsid w:val="002B1358"/>
    <w:rsid w:val="002B34C2"/>
    <w:rsid w:val="002B3E66"/>
    <w:rsid w:val="002B49E3"/>
    <w:rsid w:val="002B4D8B"/>
    <w:rsid w:val="002B5A92"/>
    <w:rsid w:val="002B5D1C"/>
    <w:rsid w:val="002C20AD"/>
    <w:rsid w:val="002C48DA"/>
    <w:rsid w:val="002C4AA6"/>
    <w:rsid w:val="002C546F"/>
    <w:rsid w:val="002C640B"/>
    <w:rsid w:val="002C6980"/>
    <w:rsid w:val="002C7A39"/>
    <w:rsid w:val="002C7A88"/>
    <w:rsid w:val="002C7FC2"/>
    <w:rsid w:val="002D1C00"/>
    <w:rsid w:val="002D63A5"/>
    <w:rsid w:val="002D6441"/>
    <w:rsid w:val="002D6E9D"/>
    <w:rsid w:val="002E124D"/>
    <w:rsid w:val="002E1A55"/>
    <w:rsid w:val="002E2290"/>
    <w:rsid w:val="002E3C87"/>
    <w:rsid w:val="002E493A"/>
    <w:rsid w:val="002E5891"/>
    <w:rsid w:val="002E5B5D"/>
    <w:rsid w:val="002F07E2"/>
    <w:rsid w:val="002F0D31"/>
    <w:rsid w:val="002F158A"/>
    <w:rsid w:val="002F2339"/>
    <w:rsid w:val="002F4076"/>
    <w:rsid w:val="002F4E09"/>
    <w:rsid w:val="002F501E"/>
    <w:rsid w:val="002F56A0"/>
    <w:rsid w:val="002F5F65"/>
    <w:rsid w:val="003004E8"/>
    <w:rsid w:val="003046D6"/>
    <w:rsid w:val="003053B4"/>
    <w:rsid w:val="00305A7C"/>
    <w:rsid w:val="00307CDC"/>
    <w:rsid w:val="00316393"/>
    <w:rsid w:val="0031659B"/>
    <w:rsid w:val="003176DA"/>
    <w:rsid w:val="00322534"/>
    <w:rsid w:val="00323EB9"/>
    <w:rsid w:val="003259D7"/>
    <w:rsid w:val="00325A31"/>
    <w:rsid w:val="00326667"/>
    <w:rsid w:val="00327BA5"/>
    <w:rsid w:val="003302BB"/>
    <w:rsid w:val="00330530"/>
    <w:rsid w:val="00330CC4"/>
    <w:rsid w:val="00331103"/>
    <w:rsid w:val="00332535"/>
    <w:rsid w:val="00334949"/>
    <w:rsid w:val="00334F1B"/>
    <w:rsid w:val="00335287"/>
    <w:rsid w:val="003359C4"/>
    <w:rsid w:val="003376B3"/>
    <w:rsid w:val="0034303A"/>
    <w:rsid w:val="003430BD"/>
    <w:rsid w:val="00346A37"/>
    <w:rsid w:val="00352348"/>
    <w:rsid w:val="00352B1E"/>
    <w:rsid w:val="00352EFD"/>
    <w:rsid w:val="00354280"/>
    <w:rsid w:val="00355CC7"/>
    <w:rsid w:val="00361ACD"/>
    <w:rsid w:val="00362E07"/>
    <w:rsid w:val="003643F0"/>
    <w:rsid w:val="00364A5E"/>
    <w:rsid w:val="00364FD9"/>
    <w:rsid w:val="003650B4"/>
    <w:rsid w:val="003665DA"/>
    <w:rsid w:val="00366DAE"/>
    <w:rsid w:val="00367DA3"/>
    <w:rsid w:val="00370E56"/>
    <w:rsid w:val="00374096"/>
    <w:rsid w:val="003744C1"/>
    <w:rsid w:val="00375646"/>
    <w:rsid w:val="003765DE"/>
    <w:rsid w:val="003825E3"/>
    <w:rsid w:val="00382886"/>
    <w:rsid w:val="00382ECF"/>
    <w:rsid w:val="00383E77"/>
    <w:rsid w:val="00391DFF"/>
    <w:rsid w:val="0039533D"/>
    <w:rsid w:val="00397E44"/>
    <w:rsid w:val="003A0FC1"/>
    <w:rsid w:val="003A3A0B"/>
    <w:rsid w:val="003A3A56"/>
    <w:rsid w:val="003A444C"/>
    <w:rsid w:val="003A4C5A"/>
    <w:rsid w:val="003B0D61"/>
    <w:rsid w:val="003B145C"/>
    <w:rsid w:val="003B2432"/>
    <w:rsid w:val="003B3AD8"/>
    <w:rsid w:val="003B41B2"/>
    <w:rsid w:val="003B4E55"/>
    <w:rsid w:val="003B4EC8"/>
    <w:rsid w:val="003B6AE2"/>
    <w:rsid w:val="003C2781"/>
    <w:rsid w:val="003C2A18"/>
    <w:rsid w:val="003C444E"/>
    <w:rsid w:val="003D2CCB"/>
    <w:rsid w:val="003D3927"/>
    <w:rsid w:val="003D5A62"/>
    <w:rsid w:val="003D5D00"/>
    <w:rsid w:val="003D6CDC"/>
    <w:rsid w:val="003E00A5"/>
    <w:rsid w:val="003E4974"/>
    <w:rsid w:val="003E516B"/>
    <w:rsid w:val="003E5409"/>
    <w:rsid w:val="003F0E2A"/>
    <w:rsid w:val="003F1112"/>
    <w:rsid w:val="003F20EC"/>
    <w:rsid w:val="003F3022"/>
    <w:rsid w:val="003F3208"/>
    <w:rsid w:val="00401374"/>
    <w:rsid w:val="004044F8"/>
    <w:rsid w:val="00404FE4"/>
    <w:rsid w:val="0040734A"/>
    <w:rsid w:val="0041159C"/>
    <w:rsid w:val="00411E15"/>
    <w:rsid w:val="0041245F"/>
    <w:rsid w:val="0041363D"/>
    <w:rsid w:val="00415C1C"/>
    <w:rsid w:val="0042231F"/>
    <w:rsid w:val="0042426B"/>
    <w:rsid w:val="004247FC"/>
    <w:rsid w:val="0042618E"/>
    <w:rsid w:val="00426519"/>
    <w:rsid w:val="00426C8C"/>
    <w:rsid w:val="00427206"/>
    <w:rsid w:val="00427793"/>
    <w:rsid w:val="00427CFC"/>
    <w:rsid w:val="0043041E"/>
    <w:rsid w:val="00431B55"/>
    <w:rsid w:val="0043354A"/>
    <w:rsid w:val="00434597"/>
    <w:rsid w:val="004345EF"/>
    <w:rsid w:val="0043541F"/>
    <w:rsid w:val="004370E9"/>
    <w:rsid w:val="0043748A"/>
    <w:rsid w:val="00440F36"/>
    <w:rsid w:val="004410F7"/>
    <w:rsid w:val="004442A1"/>
    <w:rsid w:val="00446E5E"/>
    <w:rsid w:val="00451057"/>
    <w:rsid w:val="004517CC"/>
    <w:rsid w:val="00451D37"/>
    <w:rsid w:val="004526CF"/>
    <w:rsid w:val="00466724"/>
    <w:rsid w:val="00470E8E"/>
    <w:rsid w:val="00476BAF"/>
    <w:rsid w:val="00476D18"/>
    <w:rsid w:val="00480EF2"/>
    <w:rsid w:val="00481A0F"/>
    <w:rsid w:val="004828BB"/>
    <w:rsid w:val="004843F3"/>
    <w:rsid w:val="00486636"/>
    <w:rsid w:val="00491359"/>
    <w:rsid w:val="00492EBD"/>
    <w:rsid w:val="004932F6"/>
    <w:rsid w:val="004961D0"/>
    <w:rsid w:val="004976F4"/>
    <w:rsid w:val="004A23CF"/>
    <w:rsid w:val="004A2F2E"/>
    <w:rsid w:val="004A3C3C"/>
    <w:rsid w:val="004A4D63"/>
    <w:rsid w:val="004A521F"/>
    <w:rsid w:val="004A5926"/>
    <w:rsid w:val="004A703A"/>
    <w:rsid w:val="004B2818"/>
    <w:rsid w:val="004B3375"/>
    <w:rsid w:val="004C03BF"/>
    <w:rsid w:val="004C0AFB"/>
    <w:rsid w:val="004C1017"/>
    <w:rsid w:val="004C3394"/>
    <w:rsid w:val="004C351D"/>
    <w:rsid w:val="004C42DD"/>
    <w:rsid w:val="004C5163"/>
    <w:rsid w:val="004C6261"/>
    <w:rsid w:val="004C6786"/>
    <w:rsid w:val="004C69A9"/>
    <w:rsid w:val="004D213E"/>
    <w:rsid w:val="004D4A0E"/>
    <w:rsid w:val="004D5CD6"/>
    <w:rsid w:val="004D7F79"/>
    <w:rsid w:val="004E3FD3"/>
    <w:rsid w:val="004E4513"/>
    <w:rsid w:val="004F004C"/>
    <w:rsid w:val="004F032F"/>
    <w:rsid w:val="004F23C3"/>
    <w:rsid w:val="004F2580"/>
    <w:rsid w:val="004F2AD9"/>
    <w:rsid w:val="004F438C"/>
    <w:rsid w:val="004F45B0"/>
    <w:rsid w:val="004F61D8"/>
    <w:rsid w:val="004F6E16"/>
    <w:rsid w:val="004F78AE"/>
    <w:rsid w:val="00500B96"/>
    <w:rsid w:val="005027C7"/>
    <w:rsid w:val="0050348F"/>
    <w:rsid w:val="005064C6"/>
    <w:rsid w:val="00506EFD"/>
    <w:rsid w:val="00510BAC"/>
    <w:rsid w:val="00511D6B"/>
    <w:rsid w:val="005168F9"/>
    <w:rsid w:val="00517D60"/>
    <w:rsid w:val="005214D8"/>
    <w:rsid w:val="00522959"/>
    <w:rsid w:val="00526AE2"/>
    <w:rsid w:val="00530195"/>
    <w:rsid w:val="005330D8"/>
    <w:rsid w:val="005367A4"/>
    <w:rsid w:val="005403E7"/>
    <w:rsid w:val="00540AAE"/>
    <w:rsid w:val="0054240A"/>
    <w:rsid w:val="00544DC8"/>
    <w:rsid w:val="00544FBA"/>
    <w:rsid w:val="00545670"/>
    <w:rsid w:val="00545D0F"/>
    <w:rsid w:val="00551D87"/>
    <w:rsid w:val="005531E3"/>
    <w:rsid w:val="00553E44"/>
    <w:rsid w:val="00557300"/>
    <w:rsid w:val="005601E0"/>
    <w:rsid w:val="00562383"/>
    <w:rsid w:val="00570FDD"/>
    <w:rsid w:val="00571DF7"/>
    <w:rsid w:val="00572F99"/>
    <w:rsid w:val="005741DF"/>
    <w:rsid w:val="00575A6E"/>
    <w:rsid w:val="00584A62"/>
    <w:rsid w:val="005861CC"/>
    <w:rsid w:val="0058790E"/>
    <w:rsid w:val="00590EAD"/>
    <w:rsid w:val="005923CA"/>
    <w:rsid w:val="00594797"/>
    <w:rsid w:val="005977AA"/>
    <w:rsid w:val="005A0E16"/>
    <w:rsid w:val="005A0EC4"/>
    <w:rsid w:val="005A22C2"/>
    <w:rsid w:val="005A367F"/>
    <w:rsid w:val="005A6573"/>
    <w:rsid w:val="005A7E39"/>
    <w:rsid w:val="005B1A3E"/>
    <w:rsid w:val="005B3900"/>
    <w:rsid w:val="005B59BE"/>
    <w:rsid w:val="005B690F"/>
    <w:rsid w:val="005C0033"/>
    <w:rsid w:val="005C1635"/>
    <w:rsid w:val="005C4706"/>
    <w:rsid w:val="005C4981"/>
    <w:rsid w:val="005C6FAC"/>
    <w:rsid w:val="005C7FF4"/>
    <w:rsid w:val="005D0431"/>
    <w:rsid w:val="005D15BB"/>
    <w:rsid w:val="005D2AF6"/>
    <w:rsid w:val="005D3CAD"/>
    <w:rsid w:val="005D43E6"/>
    <w:rsid w:val="005D56DA"/>
    <w:rsid w:val="005D6BAC"/>
    <w:rsid w:val="005D6E73"/>
    <w:rsid w:val="005D750A"/>
    <w:rsid w:val="005D7CBB"/>
    <w:rsid w:val="005E0EE3"/>
    <w:rsid w:val="005E1AD3"/>
    <w:rsid w:val="005E4722"/>
    <w:rsid w:val="005E49EB"/>
    <w:rsid w:val="005E5110"/>
    <w:rsid w:val="005E7165"/>
    <w:rsid w:val="005F12E2"/>
    <w:rsid w:val="005F22DC"/>
    <w:rsid w:val="00602A65"/>
    <w:rsid w:val="006065D2"/>
    <w:rsid w:val="00621209"/>
    <w:rsid w:val="0062145F"/>
    <w:rsid w:val="006215DD"/>
    <w:rsid w:val="00622C09"/>
    <w:rsid w:val="006232ED"/>
    <w:rsid w:val="006243FE"/>
    <w:rsid w:val="00625AF8"/>
    <w:rsid w:val="006271ED"/>
    <w:rsid w:val="006350CB"/>
    <w:rsid w:val="00636068"/>
    <w:rsid w:val="006363F6"/>
    <w:rsid w:val="006364D8"/>
    <w:rsid w:val="006440FF"/>
    <w:rsid w:val="00644766"/>
    <w:rsid w:val="00647F8A"/>
    <w:rsid w:val="006548A2"/>
    <w:rsid w:val="00657FC7"/>
    <w:rsid w:val="00663334"/>
    <w:rsid w:val="006646A7"/>
    <w:rsid w:val="00664AEA"/>
    <w:rsid w:val="00666AAB"/>
    <w:rsid w:val="006703A1"/>
    <w:rsid w:val="00672B76"/>
    <w:rsid w:val="00672B78"/>
    <w:rsid w:val="006738F3"/>
    <w:rsid w:val="006745FA"/>
    <w:rsid w:val="0067562F"/>
    <w:rsid w:val="0067591A"/>
    <w:rsid w:val="00675B5B"/>
    <w:rsid w:val="00676C9A"/>
    <w:rsid w:val="00680FD0"/>
    <w:rsid w:val="00682C9F"/>
    <w:rsid w:val="00684A66"/>
    <w:rsid w:val="0068693A"/>
    <w:rsid w:val="00686D9A"/>
    <w:rsid w:val="00692BA9"/>
    <w:rsid w:val="00693118"/>
    <w:rsid w:val="006938F6"/>
    <w:rsid w:val="00694E97"/>
    <w:rsid w:val="00696104"/>
    <w:rsid w:val="006976C9"/>
    <w:rsid w:val="006A1AAC"/>
    <w:rsid w:val="006A3271"/>
    <w:rsid w:val="006A34AE"/>
    <w:rsid w:val="006A41FD"/>
    <w:rsid w:val="006A431A"/>
    <w:rsid w:val="006A5E79"/>
    <w:rsid w:val="006A7955"/>
    <w:rsid w:val="006B008F"/>
    <w:rsid w:val="006B1A74"/>
    <w:rsid w:val="006B1EEF"/>
    <w:rsid w:val="006B221F"/>
    <w:rsid w:val="006B24A2"/>
    <w:rsid w:val="006B3058"/>
    <w:rsid w:val="006B3BC6"/>
    <w:rsid w:val="006B66C6"/>
    <w:rsid w:val="006B7527"/>
    <w:rsid w:val="006C19F4"/>
    <w:rsid w:val="006C20AF"/>
    <w:rsid w:val="006C2114"/>
    <w:rsid w:val="006C40DF"/>
    <w:rsid w:val="006C610C"/>
    <w:rsid w:val="006C7428"/>
    <w:rsid w:val="006D138B"/>
    <w:rsid w:val="006D2A3A"/>
    <w:rsid w:val="006D51E7"/>
    <w:rsid w:val="006D613D"/>
    <w:rsid w:val="006D6FAB"/>
    <w:rsid w:val="006E0AC4"/>
    <w:rsid w:val="006E3DEB"/>
    <w:rsid w:val="006E498F"/>
    <w:rsid w:val="006E52CB"/>
    <w:rsid w:val="006E6187"/>
    <w:rsid w:val="006E69CD"/>
    <w:rsid w:val="006E7770"/>
    <w:rsid w:val="006F139D"/>
    <w:rsid w:val="006F2B3D"/>
    <w:rsid w:val="006F32E6"/>
    <w:rsid w:val="006F3842"/>
    <w:rsid w:val="006F6285"/>
    <w:rsid w:val="006F6D89"/>
    <w:rsid w:val="00701AAB"/>
    <w:rsid w:val="00702290"/>
    <w:rsid w:val="00706445"/>
    <w:rsid w:val="0070785E"/>
    <w:rsid w:val="007102C6"/>
    <w:rsid w:val="00712A8B"/>
    <w:rsid w:val="00713158"/>
    <w:rsid w:val="00717A44"/>
    <w:rsid w:val="00720B4F"/>
    <w:rsid w:val="00721035"/>
    <w:rsid w:val="0072284C"/>
    <w:rsid w:val="007270F0"/>
    <w:rsid w:val="0072729F"/>
    <w:rsid w:val="00731118"/>
    <w:rsid w:val="007327BF"/>
    <w:rsid w:val="007335E2"/>
    <w:rsid w:val="0073465D"/>
    <w:rsid w:val="00735D64"/>
    <w:rsid w:val="00736310"/>
    <w:rsid w:val="00737676"/>
    <w:rsid w:val="00741288"/>
    <w:rsid w:val="007420D5"/>
    <w:rsid w:val="007427F6"/>
    <w:rsid w:val="00743B21"/>
    <w:rsid w:val="00745030"/>
    <w:rsid w:val="00746235"/>
    <w:rsid w:val="00746274"/>
    <w:rsid w:val="007467A6"/>
    <w:rsid w:val="00746BB3"/>
    <w:rsid w:val="00754492"/>
    <w:rsid w:val="00755EEC"/>
    <w:rsid w:val="007560EA"/>
    <w:rsid w:val="007573A3"/>
    <w:rsid w:val="00757FDF"/>
    <w:rsid w:val="00760AFD"/>
    <w:rsid w:val="00762C7B"/>
    <w:rsid w:val="007646AF"/>
    <w:rsid w:val="007649A5"/>
    <w:rsid w:val="00765935"/>
    <w:rsid w:val="00771417"/>
    <w:rsid w:val="00771D0E"/>
    <w:rsid w:val="00771E47"/>
    <w:rsid w:val="00772565"/>
    <w:rsid w:val="0077266F"/>
    <w:rsid w:val="00773441"/>
    <w:rsid w:val="00773CF9"/>
    <w:rsid w:val="00777A2D"/>
    <w:rsid w:val="0078006C"/>
    <w:rsid w:val="00781931"/>
    <w:rsid w:val="007827F2"/>
    <w:rsid w:val="00790202"/>
    <w:rsid w:val="007911D9"/>
    <w:rsid w:val="00791A56"/>
    <w:rsid w:val="0079475C"/>
    <w:rsid w:val="00797D92"/>
    <w:rsid w:val="007A4140"/>
    <w:rsid w:val="007A46E9"/>
    <w:rsid w:val="007A4892"/>
    <w:rsid w:val="007A753A"/>
    <w:rsid w:val="007A7B22"/>
    <w:rsid w:val="007B0A32"/>
    <w:rsid w:val="007B441F"/>
    <w:rsid w:val="007B57E3"/>
    <w:rsid w:val="007B5E81"/>
    <w:rsid w:val="007B78AA"/>
    <w:rsid w:val="007C35E4"/>
    <w:rsid w:val="007C3E4B"/>
    <w:rsid w:val="007C4C72"/>
    <w:rsid w:val="007C5A24"/>
    <w:rsid w:val="007C6B99"/>
    <w:rsid w:val="007C6E50"/>
    <w:rsid w:val="007D1911"/>
    <w:rsid w:val="007D21D8"/>
    <w:rsid w:val="007D220C"/>
    <w:rsid w:val="007D3586"/>
    <w:rsid w:val="007D3C02"/>
    <w:rsid w:val="007D52C5"/>
    <w:rsid w:val="007E06DC"/>
    <w:rsid w:val="007E0ED8"/>
    <w:rsid w:val="007E107F"/>
    <w:rsid w:val="007E110A"/>
    <w:rsid w:val="007E17B2"/>
    <w:rsid w:val="007E1AAE"/>
    <w:rsid w:val="007E1BD0"/>
    <w:rsid w:val="007E3845"/>
    <w:rsid w:val="007E4A76"/>
    <w:rsid w:val="007E55BB"/>
    <w:rsid w:val="007E6BDA"/>
    <w:rsid w:val="007E7E91"/>
    <w:rsid w:val="007F0465"/>
    <w:rsid w:val="007F071B"/>
    <w:rsid w:val="007F13F7"/>
    <w:rsid w:val="007F26EB"/>
    <w:rsid w:val="007F299A"/>
    <w:rsid w:val="007F30A8"/>
    <w:rsid w:val="007F6ABE"/>
    <w:rsid w:val="007F6F62"/>
    <w:rsid w:val="008013DA"/>
    <w:rsid w:val="008020E8"/>
    <w:rsid w:val="0080519E"/>
    <w:rsid w:val="00810C48"/>
    <w:rsid w:val="00811542"/>
    <w:rsid w:val="00813C7E"/>
    <w:rsid w:val="0081564E"/>
    <w:rsid w:val="008167B1"/>
    <w:rsid w:val="0081752E"/>
    <w:rsid w:val="008234CB"/>
    <w:rsid w:val="00823D58"/>
    <w:rsid w:val="00823F90"/>
    <w:rsid w:val="00826119"/>
    <w:rsid w:val="00826B4A"/>
    <w:rsid w:val="008277CD"/>
    <w:rsid w:val="00830F57"/>
    <w:rsid w:val="0083142E"/>
    <w:rsid w:val="00836074"/>
    <w:rsid w:val="00840133"/>
    <w:rsid w:val="00841062"/>
    <w:rsid w:val="00841965"/>
    <w:rsid w:val="0084233E"/>
    <w:rsid w:val="008470EF"/>
    <w:rsid w:val="008548F1"/>
    <w:rsid w:val="0085606E"/>
    <w:rsid w:val="00860F58"/>
    <w:rsid w:val="008624FA"/>
    <w:rsid w:val="0086386F"/>
    <w:rsid w:val="008640BF"/>
    <w:rsid w:val="00864386"/>
    <w:rsid w:val="008655E2"/>
    <w:rsid w:val="00866D45"/>
    <w:rsid w:val="008708AE"/>
    <w:rsid w:val="00870D39"/>
    <w:rsid w:val="00874B14"/>
    <w:rsid w:val="008754D3"/>
    <w:rsid w:val="00877B62"/>
    <w:rsid w:val="00877EC6"/>
    <w:rsid w:val="00880646"/>
    <w:rsid w:val="008835F3"/>
    <w:rsid w:val="008849DF"/>
    <w:rsid w:val="00886AE4"/>
    <w:rsid w:val="00887E89"/>
    <w:rsid w:val="00890B9B"/>
    <w:rsid w:val="0089193B"/>
    <w:rsid w:val="00893B98"/>
    <w:rsid w:val="00893F5C"/>
    <w:rsid w:val="00894057"/>
    <w:rsid w:val="00895C8B"/>
    <w:rsid w:val="00895E36"/>
    <w:rsid w:val="00896834"/>
    <w:rsid w:val="008A163B"/>
    <w:rsid w:val="008A1B10"/>
    <w:rsid w:val="008A1C19"/>
    <w:rsid w:val="008A2F0D"/>
    <w:rsid w:val="008A40A6"/>
    <w:rsid w:val="008A41E8"/>
    <w:rsid w:val="008A5577"/>
    <w:rsid w:val="008B019C"/>
    <w:rsid w:val="008B1C04"/>
    <w:rsid w:val="008B24A5"/>
    <w:rsid w:val="008B4442"/>
    <w:rsid w:val="008B76A0"/>
    <w:rsid w:val="008C38A4"/>
    <w:rsid w:val="008C71FC"/>
    <w:rsid w:val="008C7DEA"/>
    <w:rsid w:val="008D1360"/>
    <w:rsid w:val="008D13CB"/>
    <w:rsid w:val="008D1B02"/>
    <w:rsid w:val="008D3124"/>
    <w:rsid w:val="008D4129"/>
    <w:rsid w:val="008D4583"/>
    <w:rsid w:val="008D4E2C"/>
    <w:rsid w:val="008E107B"/>
    <w:rsid w:val="008E20B5"/>
    <w:rsid w:val="008E2BFA"/>
    <w:rsid w:val="008E4703"/>
    <w:rsid w:val="008E510F"/>
    <w:rsid w:val="008E51E0"/>
    <w:rsid w:val="008E57C5"/>
    <w:rsid w:val="008E6CF7"/>
    <w:rsid w:val="008E74E7"/>
    <w:rsid w:val="008F04AF"/>
    <w:rsid w:val="008F0DA9"/>
    <w:rsid w:val="008F10A6"/>
    <w:rsid w:val="008F161D"/>
    <w:rsid w:val="008F3C92"/>
    <w:rsid w:val="008F45AA"/>
    <w:rsid w:val="008F4643"/>
    <w:rsid w:val="008F4C1A"/>
    <w:rsid w:val="008F652E"/>
    <w:rsid w:val="008F66E3"/>
    <w:rsid w:val="00901544"/>
    <w:rsid w:val="00902321"/>
    <w:rsid w:val="00911475"/>
    <w:rsid w:val="00927B9D"/>
    <w:rsid w:val="00933262"/>
    <w:rsid w:val="00935085"/>
    <w:rsid w:val="00935742"/>
    <w:rsid w:val="009359FB"/>
    <w:rsid w:val="00935B2C"/>
    <w:rsid w:val="00935DB2"/>
    <w:rsid w:val="00936D74"/>
    <w:rsid w:val="00942400"/>
    <w:rsid w:val="00942646"/>
    <w:rsid w:val="00943A24"/>
    <w:rsid w:val="009467B3"/>
    <w:rsid w:val="00953EEE"/>
    <w:rsid w:val="00955AB3"/>
    <w:rsid w:val="00956301"/>
    <w:rsid w:val="00956907"/>
    <w:rsid w:val="00957F2C"/>
    <w:rsid w:val="009619BC"/>
    <w:rsid w:val="0096373E"/>
    <w:rsid w:val="00965635"/>
    <w:rsid w:val="0096731B"/>
    <w:rsid w:val="009712B6"/>
    <w:rsid w:val="00977CBE"/>
    <w:rsid w:val="00980E9C"/>
    <w:rsid w:val="009814AF"/>
    <w:rsid w:val="00982DEA"/>
    <w:rsid w:val="00985703"/>
    <w:rsid w:val="0098657A"/>
    <w:rsid w:val="00987D63"/>
    <w:rsid w:val="00993AC7"/>
    <w:rsid w:val="00993B7F"/>
    <w:rsid w:val="009947A8"/>
    <w:rsid w:val="00994E9B"/>
    <w:rsid w:val="009A2082"/>
    <w:rsid w:val="009A3598"/>
    <w:rsid w:val="009A6B42"/>
    <w:rsid w:val="009B2019"/>
    <w:rsid w:val="009B2838"/>
    <w:rsid w:val="009B4429"/>
    <w:rsid w:val="009B4A79"/>
    <w:rsid w:val="009B66E5"/>
    <w:rsid w:val="009C28BE"/>
    <w:rsid w:val="009C2E99"/>
    <w:rsid w:val="009C4324"/>
    <w:rsid w:val="009C46DD"/>
    <w:rsid w:val="009C4BF5"/>
    <w:rsid w:val="009C6AD5"/>
    <w:rsid w:val="009C6CA6"/>
    <w:rsid w:val="009D0100"/>
    <w:rsid w:val="009D4666"/>
    <w:rsid w:val="009E0239"/>
    <w:rsid w:val="009E11E6"/>
    <w:rsid w:val="009E333A"/>
    <w:rsid w:val="009E40A0"/>
    <w:rsid w:val="009E4C5B"/>
    <w:rsid w:val="009E5C68"/>
    <w:rsid w:val="009E6C05"/>
    <w:rsid w:val="009F0A12"/>
    <w:rsid w:val="009F28F3"/>
    <w:rsid w:val="009F2B4D"/>
    <w:rsid w:val="009F343A"/>
    <w:rsid w:val="009F4788"/>
    <w:rsid w:val="009F5945"/>
    <w:rsid w:val="009F6D5C"/>
    <w:rsid w:val="00A06148"/>
    <w:rsid w:val="00A0779E"/>
    <w:rsid w:val="00A10173"/>
    <w:rsid w:val="00A123B8"/>
    <w:rsid w:val="00A1577C"/>
    <w:rsid w:val="00A15E16"/>
    <w:rsid w:val="00A16E73"/>
    <w:rsid w:val="00A20309"/>
    <w:rsid w:val="00A253F4"/>
    <w:rsid w:val="00A326F9"/>
    <w:rsid w:val="00A32703"/>
    <w:rsid w:val="00A32E98"/>
    <w:rsid w:val="00A33F93"/>
    <w:rsid w:val="00A367F1"/>
    <w:rsid w:val="00A3706F"/>
    <w:rsid w:val="00A37CFB"/>
    <w:rsid w:val="00A41664"/>
    <w:rsid w:val="00A42161"/>
    <w:rsid w:val="00A43F7D"/>
    <w:rsid w:val="00A45100"/>
    <w:rsid w:val="00A45B9A"/>
    <w:rsid w:val="00A466D8"/>
    <w:rsid w:val="00A46A12"/>
    <w:rsid w:val="00A47F15"/>
    <w:rsid w:val="00A509FC"/>
    <w:rsid w:val="00A53DB8"/>
    <w:rsid w:val="00A61CFA"/>
    <w:rsid w:val="00A63B73"/>
    <w:rsid w:val="00A64A8F"/>
    <w:rsid w:val="00A66205"/>
    <w:rsid w:val="00A671E4"/>
    <w:rsid w:val="00A67292"/>
    <w:rsid w:val="00A74002"/>
    <w:rsid w:val="00A756A5"/>
    <w:rsid w:val="00A76D18"/>
    <w:rsid w:val="00A802E7"/>
    <w:rsid w:val="00A83A2E"/>
    <w:rsid w:val="00A83D08"/>
    <w:rsid w:val="00A846F7"/>
    <w:rsid w:val="00A868AE"/>
    <w:rsid w:val="00A92B01"/>
    <w:rsid w:val="00A93A20"/>
    <w:rsid w:val="00A945FC"/>
    <w:rsid w:val="00A94A53"/>
    <w:rsid w:val="00A94B2B"/>
    <w:rsid w:val="00A96C75"/>
    <w:rsid w:val="00AA3686"/>
    <w:rsid w:val="00AA6B76"/>
    <w:rsid w:val="00AB1C7B"/>
    <w:rsid w:val="00AB3340"/>
    <w:rsid w:val="00AB37D4"/>
    <w:rsid w:val="00AB5400"/>
    <w:rsid w:val="00AB5724"/>
    <w:rsid w:val="00AB5B08"/>
    <w:rsid w:val="00AB6C5C"/>
    <w:rsid w:val="00AB7266"/>
    <w:rsid w:val="00AC1CC1"/>
    <w:rsid w:val="00AC469F"/>
    <w:rsid w:val="00AC4D1E"/>
    <w:rsid w:val="00AC516D"/>
    <w:rsid w:val="00AC5ADE"/>
    <w:rsid w:val="00AD2633"/>
    <w:rsid w:val="00AD3544"/>
    <w:rsid w:val="00AD396E"/>
    <w:rsid w:val="00AD6273"/>
    <w:rsid w:val="00AE1E8E"/>
    <w:rsid w:val="00AE429C"/>
    <w:rsid w:val="00AE4DE1"/>
    <w:rsid w:val="00AE74F5"/>
    <w:rsid w:val="00AF2AD9"/>
    <w:rsid w:val="00AF48A4"/>
    <w:rsid w:val="00AF4DC0"/>
    <w:rsid w:val="00AF7228"/>
    <w:rsid w:val="00B00438"/>
    <w:rsid w:val="00B009C9"/>
    <w:rsid w:val="00B03DF7"/>
    <w:rsid w:val="00B04294"/>
    <w:rsid w:val="00B065D0"/>
    <w:rsid w:val="00B06990"/>
    <w:rsid w:val="00B06BE5"/>
    <w:rsid w:val="00B0789C"/>
    <w:rsid w:val="00B10D4A"/>
    <w:rsid w:val="00B2371A"/>
    <w:rsid w:val="00B2614D"/>
    <w:rsid w:val="00B303FA"/>
    <w:rsid w:val="00B34923"/>
    <w:rsid w:val="00B3499E"/>
    <w:rsid w:val="00B41415"/>
    <w:rsid w:val="00B442D3"/>
    <w:rsid w:val="00B44450"/>
    <w:rsid w:val="00B44509"/>
    <w:rsid w:val="00B45F99"/>
    <w:rsid w:val="00B45FDB"/>
    <w:rsid w:val="00B51818"/>
    <w:rsid w:val="00B51DF9"/>
    <w:rsid w:val="00B5711A"/>
    <w:rsid w:val="00B5745B"/>
    <w:rsid w:val="00B61DCB"/>
    <w:rsid w:val="00B62E7E"/>
    <w:rsid w:val="00B6368F"/>
    <w:rsid w:val="00B7158B"/>
    <w:rsid w:val="00B71AEF"/>
    <w:rsid w:val="00B7522F"/>
    <w:rsid w:val="00B77CC7"/>
    <w:rsid w:val="00B817D5"/>
    <w:rsid w:val="00B8312B"/>
    <w:rsid w:val="00B835CE"/>
    <w:rsid w:val="00B83865"/>
    <w:rsid w:val="00B860B3"/>
    <w:rsid w:val="00B94C4F"/>
    <w:rsid w:val="00BA16EF"/>
    <w:rsid w:val="00BA419A"/>
    <w:rsid w:val="00BB0140"/>
    <w:rsid w:val="00BB022D"/>
    <w:rsid w:val="00BB1548"/>
    <w:rsid w:val="00BB5A0F"/>
    <w:rsid w:val="00BB6F16"/>
    <w:rsid w:val="00BB7C2B"/>
    <w:rsid w:val="00BC01D5"/>
    <w:rsid w:val="00BC07CF"/>
    <w:rsid w:val="00BC2A38"/>
    <w:rsid w:val="00BC3490"/>
    <w:rsid w:val="00BC3498"/>
    <w:rsid w:val="00BC403C"/>
    <w:rsid w:val="00BC41C8"/>
    <w:rsid w:val="00BC45C4"/>
    <w:rsid w:val="00BC5244"/>
    <w:rsid w:val="00BC5E4F"/>
    <w:rsid w:val="00BC6E48"/>
    <w:rsid w:val="00BD074A"/>
    <w:rsid w:val="00BD1404"/>
    <w:rsid w:val="00BD1A22"/>
    <w:rsid w:val="00BD2D3A"/>
    <w:rsid w:val="00BD315D"/>
    <w:rsid w:val="00BD480D"/>
    <w:rsid w:val="00BD50C0"/>
    <w:rsid w:val="00BD7169"/>
    <w:rsid w:val="00BE09AD"/>
    <w:rsid w:val="00BE1C33"/>
    <w:rsid w:val="00BE2C7B"/>
    <w:rsid w:val="00BE3AEA"/>
    <w:rsid w:val="00BE407C"/>
    <w:rsid w:val="00BE4531"/>
    <w:rsid w:val="00BE60FD"/>
    <w:rsid w:val="00BE65B1"/>
    <w:rsid w:val="00BE7156"/>
    <w:rsid w:val="00BF000D"/>
    <w:rsid w:val="00BF3698"/>
    <w:rsid w:val="00BF54E1"/>
    <w:rsid w:val="00BF5CAF"/>
    <w:rsid w:val="00C00AC8"/>
    <w:rsid w:val="00C00EB7"/>
    <w:rsid w:val="00C03F61"/>
    <w:rsid w:val="00C0486D"/>
    <w:rsid w:val="00C04EB3"/>
    <w:rsid w:val="00C06420"/>
    <w:rsid w:val="00C11074"/>
    <w:rsid w:val="00C13545"/>
    <w:rsid w:val="00C13F41"/>
    <w:rsid w:val="00C141A6"/>
    <w:rsid w:val="00C14793"/>
    <w:rsid w:val="00C205EF"/>
    <w:rsid w:val="00C20C84"/>
    <w:rsid w:val="00C2250F"/>
    <w:rsid w:val="00C23F44"/>
    <w:rsid w:val="00C25252"/>
    <w:rsid w:val="00C300EE"/>
    <w:rsid w:val="00C34200"/>
    <w:rsid w:val="00C363DC"/>
    <w:rsid w:val="00C36AC7"/>
    <w:rsid w:val="00C37B0B"/>
    <w:rsid w:val="00C37CF0"/>
    <w:rsid w:val="00C41F88"/>
    <w:rsid w:val="00C424FE"/>
    <w:rsid w:val="00C425EC"/>
    <w:rsid w:val="00C42E22"/>
    <w:rsid w:val="00C44016"/>
    <w:rsid w:val="00C4438C"/>
    <w:rsid w:val="00C446D9"/>
    <w:rsid w:val="00C45D8E"/>
    <w:rsid w:val="00C46F5B"/>
    <w:rsid w:val="00C50002"/>
    <w:rsid w:val="00C51379"/>
    <w:rsid w:val="00C52F92"/>
    <w:rsid w:val="00C54311"/>
    <w:rsid w:val="00C5514D"/>
    <w:rsid w:val="00C64348"/>
    <w:rsid w:val="00C64F3F"/>
    <w:rsid w:val="00C700C7"/>
    <w:rsid w:val="00C70491"/>
    <w:rsid w:val="00C7091D"/>
    <w:rsid w:val="00C72214"/>
    <w:rsid w:val="00C75C2F"/>
    <w:rsid w:val="00C75C61"/>
    <w:rsid w:val="00C75E68"/>
    <w:rsid w:val="00C76DCA"/>
    <w:rsid w:val="00C80D99"/>
    <w:rsid w:val="00C81458"/>
    <w:rsid w:val="00C8154C"/>
    <w:rsid w:val="00C83056"/>
    <w:rsid w:val="00C87671"/>
    <w:rsid w:val="00C90023"/>
    <w:rsid w:val="00C90A2B"/>
    <w:rsid w:val="00C91B07"/>
    <w:rsid w:val="00C92840"/>
    <w:rsid w:val="00C930EA"/>
    <w:rsid w:val="00C9395C"/>
    <w:rsid w:val="00C94D4B"/>
    <w:rsid w:val="00CA1487"/>
    <w:rsid w:val="00CA2E79"/>
    <w:rsid w:val="00CA2EED"/>
    <w:rsid w:val="00CA3006"/>
    <w:rsid w:val="00CA3813"/>
    <w:rsid w:val="00CA5436"/>
    <w:rsid w:val="00CA638D"/>
    <w:rsid w:val="00CB098C"/>
    <w:rsid w:val="00CB10E6"/>
    <w:rsid w:val="00CB28A4"/>
    <w:rsid w:val="00CB3330"/>
    <w:rsid w:val="00CB487E"/>
    <w:rsid w:val="00CB4988"/>
    <w:rsid w:val="00CB7681"/>
    <w:rsid w:val="00CB7732"/>
    <w:rsid w:val="00CB79C2"/>
    <w:rsid w:val="00CC016B"/>
    <w:rsid w:val="00CC31C5"/>
    <w:rsid w:val="00CC3E88"/>
    <w:rsid w:val="00CC5B04"/>
    <w:rsid w:val="00CD26F2"/>
    <w:rsid w:val="00CD3B36"/>
    <w:rsid w:val="00CD433E"/>
    <w:rsid w:val="00CD66A1"/>
    <w:rsid w:val="00CD7291"/>
    <w:rsid w:val="00CE0462"/>
    <w:rsid w:val="00CE6116"/>
    <w:rsid w:val="00CE6598"/>
    <w:rsid w:val="00CF6F7A"/>
    <w:rsid w:val="00D034A4"/>
    <w:rsid w:val="00D04581"/>
    <w:rsid w:val="00D05225"/>
    <w:rsid w:val="00D05B26"/>
    <w:rsid w:val="00D101BE"/>
    <w:rsid w:val="00D11A0E"/>
    <w:rsid w:val="00D12CFC"/>
    <w:rsid w:val="00D15378"/>
    <w:rsid w:val="00D16256"/>
    <w:rsid w:val="00D17104"/>
    <w:rsid w:val="00D20DC0"/>
    <w:rsid w:val="00D217AF"/>
    <w:rsid w:val="00D22304"/>
    <w:rsid w:val="00D2341D"/>
    <w:rsid w:val="00D26E0E"/>
    <w:rsid w:val="00D27A21"/>
    <w:rsid w:val="00D34BCB"/>
    <w:rsid w:val="00D35C25"/>
    <w:rsid w:val="00D36A42"/>
    <w:rsid w:val="00D36CB7"/>
    <w:rsid w:val="00D40DBA"/>
    <w:rsid w:val="00D4177C"/>
    <w:rsid w:val="00D41AAA"/>
    <w:rsid w:val="00D43FC5"/>
    <w:rsid w:val="00D46286"/>
    <w:rsid w:val="00D50046"/>
    <w:rsid w:val="00D5024A"/>
    <w:rsid w:val="00D55A72"/>
    <w:rsid w:val="00D55B99"/>
    <w:rsid w:val="00D55BE0"/>
    <w:rsid w:val="00D56950"/>
    <w:rsid w:val="00D6059B"/>
    <w:rsid w:val="00D6383E"/>
    <w:rsid w:val="00D63F01"/>
    <w:rsid w:val="00D66924"/>
    <w:rsid w:val="00D713FC"/>
    <w:rsid w:val="00D71D1B"/>
    <w:rsid w:val="00D72357"/>
    <w:rsid w:val="00D76A82"/>
    <w:rsid w:val="00D76BBC"/>
    <w:rsid w:val="00D84EB7"/>
    <w:rsid w:val="00D92C21"/>
    <w:rsid w:val="00D9344B"/>
    <w:rsid w:val="00D93835"/>
    <w:rsid w:val="00D94C40"/>
    <w:rsid w:val="00D9600E"/>
    <w:rsid w:val="00D9658A"/>
    <w:rsid w:val="00D9699F"/>
    <w:rsid w:val="00D97674"/>
    <w:rsid w:val="00DA09E5"/>
    <w:rsid w:val="00DA1184"/>
    <w:rsid w:val="00DA1ED3"/>
    <w:rsid w:val="00DA3899"/>
    <w:rsid w:val="00DA6C74"/>
    <w:rsid w:val="00DB00E5"/>
    <w:rsid w:val="00DB107E"/>
    <w:rsid w:val="00DB2777"/>
    <w:rsid w:val="00DB3E95"/>
    <w:rsid w:val="00DB7BAD"/>
    <w:rsid w:val="00DC0E51"/>
    <w:rsid w:val="00DC1125"/>
    <w:rsid w:val="00DC3AF2"/>
    <w:rsid w:val="00DC3DA3"/>
    <w:rsid w:val="00DC4447"/>
    <w:rsid w:val="00DC53B2"/>
    <w:rsid w:val="00DD25A8"/>
    <w:rsid w:val="00DD4404"/>
    <w:rsid w:val="00DD6255"/>
    <w:rsid w:val="00DD66A4"/>
    <w:rsid w:val="00DD791A"/>
    <w:rsid w:val="00DD7998"/>
    <w:rsid w:val="00DE19F0"/>
    <w:rsid w:val="00DE1A63"/>
    <w:rsid w:val="00DF086D"/>
    <w:rsid w:val="00DF3FC2"/>
    <w:rsid w:val="00DF50FA"/>
    <w:rsid w:val="00DF5607"/>
    <w:rsid w:val="00DF6360"/>
    <w:rsid w:val="00DF7482"/>
    <w:rsid w:val="00E0525B"/>
    <w:rsid w:val="00E05D75"/>
    <w:rsid w:val="00E07F66"/>
    <w:rsid w:val="00E11CB0"/>
    <w:rsid w:val="00E1217C"/>
    <w:rsid w:val="00E1669E"/>
    <w:rsid w:val="00E16C6D"/>
    <w:rsid w:val="00E23C58"/>
    <w:rsid w:val="00E23D3B"/>
    <w:rsid w:val="00E25A00"/>
    <w:rsid w:val="00E3209C"/>
    <w:rsid w:val="00E32AE0"/>
    <w:rsid w:val="00E341DA"/>
    <w:rsid w:val="00E35FC0"/>
    <w:rsid w:val="00E36535"/>
    <w:rsid w:val="00E36D9C"/>
    <w:rsid w:val="00E41B73"/>
    <w:rsid w:val="00E44B95"/>
    <w:rsid w:val="00E45B41"/>
    <w:rsid w:val="00E472F8"/>
    <w:rsid w:val="00E506F7"/>
    <w:rsid w:val="00E51150"/>
    <w:rsid w:val="00E519E7"/>
    <w:rsid w:val="00E54225"/>
    <w:rsid w:val="00E543CD"/>
    <w:rsid w:val="00E54BA6"/>
    <w:rsid w:val="00E54CBD"/>
    <w:rsid w:val="00E54EBC"/>
    <w:rsid w:val="00E555A9"/>
    <w:rsid w:val="00E56F88"/>
    <w:rsid w:val="00E57AC1"/>
    <w:rsid w:val="00E634B6"/>
    <w:rsid w:val="00E66CC6"/>
    <w:rsid w:val="00E76DD1"/>
    <w:rsid w:val="00E770F7"/>
    <w:rsid w:val="00E82AD0"/>
    <w:rsid w:val="00E8715C"/>
    <w:rsid w:val="00E917E4"/>
    <w:rsid w:val="00E92405"/>
    <w:rsid w:val="00E92BC7"/>
    <w:rsid w:val="00E941B8"/>
    <w:rsid w:val="00E9606E"/>
    <w:rsid w:val="00E97188"/>
    <w:rsid w:val="00EA04E5"/>
    <w:rsid w:val="00EA2DFF"/>
    <w:rsid w:val="00EA421C"/>
    <w:rsid w:val="00EA5856"/>
    <w:rsid w:val="00EA5972"/>
    <w:rsid w:val="00EB01E0"/>
    <w:rsid w:val="00EB0E8F"/>
    <w:rsid w:val="00EB10A9"/>
    <w:rsid w:val="00EB3D07"/>
    <w:rsid w:val="00EB7A13"/>
    <w:rsid w:val="00EC1834"/>
    <w:rsid w:val="00EC18E9"/>
    <w:rsid w:val="00EC30A1"/>
    <w:rsid w:val="00EC3CF7"/>
    <w:rsid w:val="00EC6E45"/>
    <w:rsid w:val="00EC79A7"/>
    <w:rsid w:val="00ED1B68"/>
    <w:rsid w:val="00ED291C"/>
    <w:rsid w:val="00ED3600"/>
    <w:rsid w:val="00ED5CA9"/>
    <w:rsid w:val="00ED63B7"/>
    <w:rsid w:val="00EE01A2"/>
    <w:rsid w:val="00EE327A"/>
    <w:rsid w:val="00EE442B"/>
    <w:rsid w:val="00EE5347"/>
    <w:rsid w:val="00EF1E46"/>
    <w:rsid w:val="00EF2823"/>
    <w:rsid w:val="00EF2B28"/>
    <w:rsid w:val="00EF3888"/>
    <w:rsid w:val="00EF5898"/>
    <w:rsid w:val="00EF5A0B"/>
    <w:rsid w:val="00F035FF"/>
    <w:rsid w:val="00F14D0B"/>
    <w:rsid w:val="00F14FB5"/>
    <w:rsid w:val="00F222D7"/>
    <w:rsid w:val="00F22360"/>
    <w:rsid w:val="00F23394"/>
    <w:rsid w:val="00F25E04"/>
    <w:rsid w:val="00F3115C"/>
    <w:rsid w:val="00F316D3"/>
    <w:rsid w:val="00F31C37"/>
    <w:rsid w:val="00F32C79"/>
    <w:rsid w:val="00F32DA1"/>
    <w:rsid w:val="00F3543F"/>
    <w:rsid w:val="00F42063"/>
    <w:rsid w:val="00F43E26"/>
    <w:rsid w:val="00F43F41"/>
    <w:rsid w:val="00F50623"/>
    <w:rsid w:val="00F52D5D"/>
    <w:rsid w:val="00F52FB0"/>
    <w:rsid w:val="00F53DEF"/>
    <w:rsid w:val="00F551F6"/>
    <w:rsid w:val="00F61FFE"/>
    <w:rsid w:val="00F634BA"/>
    <w:rsid w:val="00F63673"/>
    <w:rsid w:val="00F636EF"/>
    <w:rsid w:val="00F63A2F"/>
    <w:rsid w:val="00F67F8F"/>
    <w:rsid w:val="00F709EC"/>
    <w:rsid w:val="00F712E8"/>
    <w:rsid w:val="00F731C7"/>
    <w:rsid w:val="00F73C92"/>
    <w:rsid w:val="00F74983"/>
    <w:rsid w:val="00F7692D"/>
    <w:rsid w:val="00F770BC"/>
    <w:rsid w:val="00F8158C"/>
    <w:rsid w:val="00F8268F"/>
    <w:rsid w:val="00F870AF"/>
    <w:rsid w:val="00F87948"/>
    <w:rsid w:val="00F9025B"/>
    <w:rsid w:val="00F93B17"/>
    <w:rsid w:val="00F94946"/>
    <w:rsid w:val="00F95E6B"/>
    <w:rsid w:val="00F97343"/>
    <w:rsid w:val="00FA2FE6"/>
    <w:rsid w:val="00FA394E"/>
    <w:rsid w:val="00FA5D53"/>
    <w:rsid w:val="00FB0ED4"/>
    <w:rsid w:val="00FB16C5"/>
    <w:rsid w:val="00FB1ABC"/>
    <w:rsid w:val="00FB3419"/>
    <w:rsid w:val="00FB41FD"/>
    <w:rsid w:val="00FB5210"/>
    <w:rsid w:val="00FC1383"/>
    <w:rsid w:val="00FC3FB5"/>
    <w:rsid w:val="00FC4857"/>
    <w:rsid w:val="00FC4BD5"/>
    <w:rsid w:val="00FC4C41"/>
    <w:rsid w:val="00FD2583"/>
    <w:rsid w:val="00FD4093"/>
    <w:rsid w:val="00FD5513"/>
    <w:rsid w:val="00FE07B9"/>
    <w:rsid w:val="00FE1322"/>
    <w:rsid w:val="00FE2722"/>
    <w:rsid w:val="00FE64D9"/>
    <w:rsid w:val="00FF023E"/>
    <w:rsid w:val="00FF1AFC"/>
    <w:rsid w:val="00FF3A54"/>
    <w:rsid w:val="00FF3A82"/>
    <w:rsid w:val="00FF5C84"/>
    <w:rsid w:val="00FF77B0"/>
  </w:rsids>
  <m:mathPr>
    <m:mathFont m:val="Cambria Math"/>
    <m:brkBin m:val="before"/>
    <m:brkBinSub m:val="--"/>
    <m:smallFrac m:val="0"/>
    <m:dispDef m:val="0"/>
    <m:lMargin m:val="0"/>
    <m:rMargin m:val="0"/>
    <m:defJc m:val="centerGroup"/>
    <m:wrapRight/>
    <m:intLim m:val="subSup"/>
    <m:naryLim m:val="subSup"/>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566C8498"/>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MS Mincho" w:hAnsi="Cambria" w:cs="Times New Roman"/>
        <w:lang w:val="en-AU" w:eastAsia="ja-JP" w:bidi="ar-SA"/>
      </w:rPr>
    </w:rPrDefault>
    <w:pPrDefault/>
  </w:docDefaults>
  <w:latentStyles w:defLockedState="0" w:defUIPriority="99" w:defSemiHidden="0" w:defUnhideWhenUsed="0" w:defQFormat="0" w:count="371">
    <w:lsdException w:name="Normal" w:uiPriority="10" w:qFormat="1"/>
    <w:lsdException w:name="heading 1" w:uiPriority="0" w:qFormat="1"/>
    <w:lsdException w:name="heading 2" w:uiPriority="0" w:qFormat="1"/>
    <w:lsdException w:name="heading 3" w:uiPriority="0"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iPriority="0" w:unhideWhenUsed="1"/>
    <w:lsdException w:name="List Number 5" w:semiHidden="1" w:unhideWhenUsed="1"/>
    <w:lsdException w:name="Title" w:uiPriority="4"/>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iPriority="1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1" w:qFormat="1"/>
    <w:lsdException w:name="Quote" w:uiPriority="29" w:qFormat="1"/>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lsdException w:name="Intense Emphasis" w:uiPriority="66"/>
    <w:lsdException w:name="Subtle Reference" w:uiPriority="67"/>
    <w:lsdException w:name="Intense Reference" w:uiPriority="68"/>
    <w:lsdException w:name="Book Title" w:uiPriority="69"/>
    <w:lsdException w:name="Bibliography" w:semiHidden="1" w:uiPriority="70" w:unhideWhenUsed="1"/>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0"/>
    <w:qFormat/>
    <w:rsid w:val="007A7B22"/>
    <w:pPr>
      <w:spacing w:before="120" w:after="120"/>
    </w:pPr>
    <w:rPr>
      <w:rFonts w:ascii="Arial" w:eastAsia="Times New Roman" w:hAnsi="Arial"/>
      <w:lang w:eastAsia="en-US"/>
    </w:rPr>
  </w:style>
  <w:style w:type="paragraph" w:styleId="Heading1">
    <w:name w:val="heading 1"/>
    <w:basedOn w:val="Normal"/>
    <w:next w:val="BodyText"/>
    <w:link w:val="Heading1Char"/>
    <w:autoRedefine/>
    <w:qFormat/>
    <w:rsid w:val="00117D83"/>
    <w:pPr>
      <w:spacing w:before="9" w:after="0"/>
      <w:ind w:right="106"/>
      <w:outlineLvl w:val="0"/>
    </w:pPr>
    <w:rPr>
      <w:b/>
      <w:bCs/>
      <w:color w:val="00AFEF"/>
      <w:sz w:val="36"/>
      <w:szCs w:val="40"/>
    </w:rPr>
  </w:style>
  <w:style w:type="paragraph" w:styleId="Heading2">
    <w:name w:val="heading 2"/>
    <w:basedOn w:val="Heading1"/>
    <w:next w:val="BodyText"/>
    <w:link w:val="Heading2Char"/>
    <w:qFormat/>
    <w:rsid w:val="00CA2E79"/>
    <w:pPr>
      <w:numPr>
        <w:ilvl w:val="1"/>
      </w:numPr>
      <w:spacing w:line="240" w:lineRule="exact"/>
      <w:outlineLvl w:val="1"/>
    </w:pPr>
    <w:rPr>
      <w:bCs w:val="0"/>
      <w:sz w:val="24"/>
      <w:szCs w:val="26"/>
    </w:rPr>
  </w:style>
  <w:style w:type="paragraph" w:styleId="Heading3">
    <w:name w:val="heading 3"/>
    <w:basedOn w:val="Heading2"/>
    <w:next w:val="BodyText"/>
    <w:link w:val="Heading3Char"/>
    <w:autoRedefine/>
    <w:qFormat/>
    <w:rsid w:val="00D36A42"/>
    <w:pPr>
      <w:numPr>
        <w:ilvl w:val="0"/>
      </w:numPr>
      <w:spacing w:before="200" w:line="280" w:lineRule="exact"/>
      <w:ind w:right="108"/>
      <w:outlineLvl w:val="2"/>
    </w:pPr>
    <w:rPr>
      <w:sz w:val="28"/>
    </w:rPr>
  </w:style>
  <w:style w:type="paragraph" w:styleId="Heading4">
    <w:name w:val="heading 4"/>
    <w:basedOn w:val="BodyText"/>
    <w:next w:val="BodyText"/>
    <w:link w:val="Heading4Char"/>
    <w:unhideWhenUsed/>
    <w:qFormat/>
    <w:rsid w:val="00D36A42"/>
    <w:pPr>
      <w:keepNext/>
      <w:keepLines/>
      <w:spacing w:before="200" w:after="0" w:line="240" w:lineRule="exact"/>
      <w:outlineLvl w:val="3"/>
    </w:pPr>
    <w:rPr>
      <w:b/>
      <w:i/>
      <w:color w:val="003D69"/>
      <w:sz w:val="24"/>
      <w:szCs w:val="26"/>
    </w:rPr>
  </w:style>
  <w:style w:type="paragraph" w:styleId="Heading5">
    <w:name w:val="heading 5"/>
    <w:basedOn w:val="BodyText"/>
    <w:next w:val="BodyText"/>
    <w:link w:val="Heading5Char"/>
    <w:unhideWhenUsed/>
    <w:qFormat/>
    <w:rsid w:val="004D5CD6"/>
    <w:pPr>
      <w:keepNext/>
      <w:keepLines/>
      <w:spacing w:before="200" w:after="0" w:line="240" w:lineRule="exact"/>
      <w:outlineLvl w:val="4"/>
    </w:pPr>
    <w:rPr>
      <w:b/>
      <w:bCs/>
      <w:iCs/>
      <w:szCs w:val="26"/>
    </w:rPr>
  </w:style>
  <w:style w:type="paragraph" w:styleId="Heading6">
    <w:name w:val="heading 6"/>
    <w:basedOn w:val="Normal"/>
    <w:next w:val="Normal"/>
    <w:link w:val="Heading6Char"/>
    <w:uiPriority w:val="99"/>
    <w:semiHidden/>
    <w:qFormat/>
    <w:rsid w:val="00F731C7"/>
    <w:pPr>
      <w:spacing w:before="240" w:after="60"/>
      <w:outlineLvl w:val="5"/>
    </w:pPr>
    <w:rPr>
      <w:rFonts w:ascii="Calibri" w:hAnsi="Calibri"/>
      <w:b/>
      <w:bCs/>
      <w:szCs w:val="22"/>
    </w:rPr>
  </w:style>
  <w:style w:type="paragraph" w:styleId="Heading7">
    <w:name w:val="heading 7"/>
    <w:basedOn w:val="Normal"/>
    <w:next w:val="Normal"/>
    <w:link w:val="Heading7Char"/>
    <w:uiPriority w:val="99"/>
    <w:semiHidden/>
    <w:qFormat/>
    <w:rsid w:val="00F731C7"/>
    <w:pPr>
      <w:spacing w:before="240" w:after="60"/>
      <w:outlineLvl w:val="6"/>
    </w:pPr>
    <w:rPr>
      <w:rFonts w:ascii="Calibri" w:hAnsi="Calibri"/>
    </w:rPr>
  </w:style>
  <w:style w:type="paragraph" w:styleId="Heading8">
    <w:name w:val="heading 8"/>
    <w:basedOn w:val="Normal"/>
    <w:next w:val="Normal"/>
    <w:link w:val="Heading8Char"/>
    <w:uiPriority w:val="99"/>
    <w:semiHidden/>
    <w:qFormat/>
    <w:rsid w:val="00F731C7"/>
    <w:pPr>
      <w:spacing w:before="240" w:after="60"/>
      <w:outlineLvl w:val="7"/>
    </w:pPr>
    <w:rPr>
      <w:rFonts w:ascii="Calibri" w:hAnsi="Calibri"/>
      <w:i/>
      <w:iCs/>
    </w:rPr>
  </w:style>
  <w:style w:type="paragraph" w:styleId="Heading9">
    <w:name w:val="heading 9"/>
    <w:basedOn w:val="Normal"/>
    <w:next w:val="Normal"/>
    <w:link w:val="Heading9Char"/>
    <w:uiPriority w:val="99"/>
    <w:semiHidden/>
    <w:qFormat/>
    <w:rsid w:val="00F731C7"/>
    <w:pPr>
      <w:spacing w:before="240" w:after="60"/>
      <w:outlineLvl w:val="8"/>
    </w:pPr>
    <w:rPr>
      <w:rFonts w:eastAsia="MS Gothic"/>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sid w:val="00D36A42"/>
    <w:rPr>
      <w:rFonts w:ascii="Arial" w:eastAsia="Times New Roman" w:hAnsi="Arial"/>
      <w:b/>
      <w:color w:val="00AFEF"/>
      <w:sz w:val="28"/>
      <w:szCs w:val="26"/>
      <w:lang w:eastAsia="en-US"/>
    </w:rPr>
  </w:style>
  <w:style w:type="paragraph" w:customStyle="1" w:styleId="Contents">
    <w:name w:val="Contents"/>
    <w:basedOn w:val="Normal"/>
    <w:next w:val="BodyText"/>
    <w:uiPriority w:val="4"/>
    <w:rsid w:val="006F6285"/>
    <w:pPr>
      <w:keepNext/>
      <w:pageBreakBefore/>
      <w:spacing w:after="240"/>
    </w:pPr>
    <w:rPr>
      <w:rFonts w:eastAsia="MS Gothic"/>
      <w:b/>
      <w:bCs/>
      <w:color w:val="6DB52C"/>
      <w:sz w:val="36"/>
      <w:szCs w:val="44"/>
    </w:rPr>
  </w:style>
  <w:style w:type="character" w:customStyle="1" w:styleId="Heading4Char">
    <w:name w:val="Heading 4 Char"/>
    <w:basedOn w:val="DefaultParagraphFont"/>
    <w:link w:val="Heading4"/>
    <w:rsid w:val="00D36A42"/>
    <w:rPr>
      <w:rFonts w:ascii="Arial" w:eastAsia="Times New Roman" w:hAnsi="Arial"/>
      <w:b/>
      <w:i/>
      <w:color w:val="003D69"/>
      <w:sz w:val="24"/>
      <w:szCs w:val="26"/>
      <w:lang w:eastAsia="en-US"/>
    </w:rPr>
  </w:style>
  <w:style w:type="paragraph" w:styleId="Title">
    <w:name w:val="Title"/>
    <w:basedOn w:val="Contents"/>
    <w:next w:val="BodyText"/>
    <w:link w:val="TitleChar"/>
    <w:uiPriority w:val="4"/>
    <w:rsid w:val="00DF3FC2"/>
    <w:pPr>
      <w:pageBreakBefore w:val="0"/>
      <w:tabs>
        <w:tab w:val="right" w:pos="8647"/>
      </w:tabs>
    </w:pPr>
    <w:rPr>
      <w:szCs w:val="32"/>
    </w:rPr>
  </w:style>
  <w:style w:type="character" w:customStyle="1" w:styleId="TitleChar">
    <w:name w:val="Title Char"/>
    <w:basedOn w:val="DefaultParagraphFont"/>
    <w:link w:val="Title"/>
    <w:uiPriority w:val="4"/>
    <w:rsid w:val="00DF3FC2"/>
    <w:rPr>
      <w:rFonts w:ascii="Arial" w:eastAsia="MS Gothic" w:hAnsi="Arial"/>
      <w:b/>
      <w:bCs/>
      <w:color w:val="6DB52C"/>
      <w:sz w:val="36"/>
      <w:szCs w:val="32"/>
      <w:lang w:eastAsia="en-US"/>
    </w:rPr>
  </w:style>
  <w:style w:type="paragraph" w:styleId="FootnoteText">
    <w:name w:val="footnote text"/>
    <w:basedOn w:val="Normal"/>
    <w:link w:val="FootnoteTextChar"/>
    <w:autoRedefine/>
    <w:uiPriority w:val="99"/>
    <w:unhideWhenUsed/>
    <w:qFormat/>
    <w:rsid w:val="00713158"/>
    <w:pPr>
      <w:spacing w:before="0"/>
      <w:contextualSpacing/>
    </w:pPr>
    <w:rPr>
      <w:rFonts w:ascii="Cambria" w:hAnsi="Cambria"/>
      <w:sz w:val="18"/>
    </w:rPr>
  </w:style>
  <w:style w:type="character" w:customStyle="1" w:styleId="FootnoteTextChar">
    <w:name w:val="Footnote Text Char"/>
    <w:link w:val="FootnoteText"/>
    <w:uiPriority w:val="99"/>
    <w:rsid w:val="00713158"/>
    <w:rPr>
      <w:rFonts w:eastAsia="Times New Roman"/>
      <w:sz w:val="18"/>
      <w:lang w:eastAsia="en-US"/>
    </w:rPr>
  </w:style>
  <w:style w:type="character" w:customStyle="1" w:styleId="Heading1Char">
    <w:name w:val="Heading 1 Char"/>
    <w:link w:val="Heading1"/>
    <w:uiPriority w:val="9"/>
    <w:rsid w:val="00117D83"/>
    <w:rPr>
      <w:rFonts w:ascii="Arial" w:eastAsia="Times New Roman" w:hAnsi="Arial"/>
      <w:b/>
      <w:bCs/>
      <w:color w:val="00AFEF"/>
      <w:sz w:val="36"/>
      <w:szCs w:val="40"/>
      <w:lang w:eastAsia="en-US"/>
    </w:rPr>
  </w:style>
  <w:style w:type="character" w:customStyle="1" w:styleId="Heading2Char">
    <w:name w:val="Heading 2 Char"/>
    <w:link w:val="Heading2"/>
    <w:uiPriority w:val="9"/>
    <w:rsid w:val="00CA2E79"/>
    <w:rPr>
      <w:rFonts w:ascii="Arial" w:eastAsia="MS Gothic" w:hAnsi="Arial"/>
      <w:b/>
      <w:color w:val="6DB52C"/>
      <w:sz w:val="24"/>
      <w:szCs w:val="26"/>
      <w:lang w:eastAsia="en-US"/>
    </w:rPr>
  </w:style>
  <w:style w:type="table" w:styleId="TableGrid">
    <w:name w:val="Table Grid"/>
    <w:aliases w:val="AA Proposal Table Grid"/>
    <w:basedOn w:val="TableNormal"/>
    <w:uiPriority w:val="39"/>
    <w:rsid w:val="00F93B17"/>
    <w:rPr>
      <w:rFonts w:ascii="Arial" w:hAnsi="Arial"/>
      <w:sz w:val="18"/>
    </w:rPr>
    <w:tblPr>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335E2"/>
    <w:pPr>
      <w:spacing w:before="0" w:after="0"/>
    </w:pPr>
  </w:style>
  <w:style w:type="character" w:customStyle="1" w:styleId="HeaderChar">
    <w:name w:val="Header Char"/>
    <w:link w:val="Header"/>
    <w:uiPriority w:val="99"/>
    <w:rsid w:val="007335E2"/>
    <w:rPr>
      <w:rFonts w:ascii="Arial" w:eastAsia="Times New Roman" w:hAnsi="Arial"/>
      <w:lang w:eastAsia="en-US"/>
    </w:rPr>
  </w:style>
  <w:style w:type="paragraph" w:styleId="Footer">
    <w:name w:val="footer"/>
    <w:basedOn w:val="Normal"/>
    <w:link w:val="FooterChar"/>
    <w:uiPriority w:val="99"/>
    <w:unhideWhenUsed/>
    <w:rsid w:val="00AA6B76"/>
    <w:pPr>
      <w:spacing w:before="0" w:after="0"/>
    </w:pPr>
    <w:rPr>
      <w:sz w:val="18"/>
    </w:rPr>
  </w:style>
  <w:style w:type="character" w:customStyle="1" w:styleId="FooterChar">
    <w:name w:val="Footer Char"/>
    <w:link w:val="Footer"/>
    <w:uiPriority w:val="99"/>
    <w:rsid w:val="00AA6B76"/>
    <w:rPr>
      <w:rFonts w:ascii="Arial" w:eastAsia="Times New Roman" w:hAnsi="Arial"/>
      <w:sz w:val="18"/>
      <w:lang w:eastAsia="en-US"/>
    </w:rPr>
  </w:style>
  <w:style w:type="paragraph" w:styleId="BalloonText">
    <w:name w:val="Balloon Text"/>
    <w:basedOn w:val="Normal"/>
    <w:link w:val="BalloonTextChar"/>
    <w:uiPriority w:val="99"/>
    <w:semiHidden/>
    <w:unhideWhenUsed/>
    <w:rsid w:val="00EF1E46"/>
    <w:rPr>
      <w:rFonts w:ascii="Lucida Grande" w:hAnsi="Lucida Grande"/>
      <w:sz w:val="18"/>
      <w:szCs w:val="18"/>
    </w:rPr>
  </w:style>
  <w:style w:type="character" w:customStyle="1" w:styleId="BalloonTextChar">
    <w:name w:val="Balloon Text Char"/>
    <w:link w:val="BalloonText"/>
    <w:uiPriority w:val="99"/>
    <w:semiHidden/>
    <w:rsid w:val="00EF1E46"/>
    <w:rPr>
      <w:rFonts w:ascii="Lucida Grande" w:hAnsi="Lucida Grande" w:cs="Lucida Grande"/>
      <w:sz w:val="18"/>
      <w:szCs w:val="18"/>
      <w:lang w:val="en-US"/>
    </w:rPr>
  </w:style>
  <w:style w:type="paragraph" w:customStyle="1" w:styleId="Client">
    <w:name w:val="Client"/>
    <w:basedOn w:val="Project"/>
    <w:next w:val="Normal"/>
    <w:uiPriority w:val="10"/>
    <w:rsid w:val="00D4177C"/>
    <w:pPr>
      <w:spacing w:after="400"/>
      <w:ind w:right="68"/>
    </w:pPr>
    <w:rPr>
      <w:color w:val="FFFFFF" w:themeColor="background1"/>
      <w:sz w:val="32"/>
      <w:szCs w:val="24"/>
    </w:rPr>
  </w:style>
  <w:style w:type="paragraph" w:customStyle="1" w:styleId="Project">
    <w:name w:val="Project"/>
    <w:basedOn w:val="Normal"/>
    <w:next w:val="Normal"/>
    <w:uiPriority w:val="10"/>
    <w:rsid w:val="00DF3FC2"/>
    <w:pPr>
      <w:autoSpaceDE w:val="0"/>
      <w:autoSpaceDN w:val="0"/>
      <w:adjustRightInd w:val="0"/>
      <w:spacing w:before="0" w:after="240"/>
    </w:pPr>
    <w:rPr>
      <w:rFonts w:cs="InterstateBold"/>
      <w:b/>
      <w:bCs/>
      <w:color w:val="6DB52C"/>
      <w:sz w:val="52"/>
      <w:szCs w:val="32"/>
      <w:lang w:eastAsia="ja-JP"/>
    </w:rPr>
  </w:style>
  <w:style w:type="paragraph" w:customStyle="1" w:styleId="BulletPoint3">
    <w:name w:val="Bullet Point 3"/>
    <w:basedOn w:val="BodyText"/>
    <w:rsid w:val="00237BC9"/>
    <w:pPr>
      <w:numPr>
        <w:ilvl w:val="2"/>
        <w:numId w:val="1"/>
      </w:numPr>
    </w:pPr>
  </w:style>
  <w:style w:type="paragraph" w:customStyle="1" w:styleId="BulletPoint">
    <w:name w:val="Bullet Point"/>
    <w:basedOn w:val="BodyText"/>
    <w:link w:val="BulletPointChar"/>
    <w:qFormat/>
    <w:rsid w:val="00237BC9"/>
    <w:pPr>
      <w:numPr>
        <w:numId w:val="1"/>
      </w:numPr>
    </w:pPr>
  </w:style>
  <w:style w:type="character" w:customStyle="1" w:styleId="BulletPointChar">
    <w:name w:val="Bullet Point Char"/>
    <w:link w:val="BulletPoint"/>
    <w:rsid w:val="00237BC9"/>
    <w:rPr>
      <w:rFonts w:ascii="Arial" w:eastAsia="Times New Roman" w:hAnsi="Arial"/>
      <w:lang w:eastAsia="en-US"/>
    </w:rPr>
  </w:style>
  <w:style w:type="paragraph" w:styleId="BodyText">
    <w:name w:val="Body Text"/>
    <w:basedOn w:val="Normal"/>
    <w:link w:val="BodyTextChar"/>
    <w:qFormat/>
    <w:rsid w:val="00013695"/>
    <w:pPr>
      <w:spacing w:line="280" w:lineRule="exact"/>
    </w:pPr>
  </w:style>
  <w:style w:type="character" w:customStyle="1" w:styleId="BodyTextChar">
    <w:name w:val="Body Text Char"/>
    <w:link w:val="BodyText"/>
    <w:rsid w:val="00013695"/>
    <w:rPr>
      <w:rFonts w:ascii="Arial" w:eastAsia="Times New Roman" w:hAnsi="Arial"/>
      <w:lang w:eastAsia="en-US"/>
    </w:rPr>
  </w:style>
  <w:style w:type="paragraph" w:styleId="TOC1">
    <w:name w:val="toc 1"/>
    <w:basedOn w:val="Normal"/>
    <w:uiPriority w:val="39"/>
    <w:rsid w:val="00736310"/>
    <w:pPr>
      <w:tabs>
        <w:tab w:val="left" w:pos="425"/>
        <w:tab w:val="right" w:leader="dot" w:pos="9072"/>
      </w:tabs>
      <w:ind w:left="425" w:hanging="425"/>
    </w:pPr>
    <w:rPr>
      <w:rFonts w:cs="InterstateBold"/>
      <w:b/>
      <w:bCs/>
      <w:color w:val="003D69"/>
      <w:sz w:val="24"/>
      <w:lang w:eastAsia="ja-JP"/>
    </w:rPr>
  </w:style>
  <w:style w:type="paragraph" w:styleId="TOC2">
    <w:name w:val="toc 2"/>
    <w:basedOn w:val="Normal"/>
    <w:uiPriority w:val="39"/>
    <w:rsid w:val="002F07E2"/>
    <w:pPr>
      <w:tabs>
        <w:tab w:val="left" w:pos="992"/>
        <w:tab w:val="right" w:leader="dot" w:pos="9072"/>
      </w:tabs>
      <w:spacing w:after="60"/>
      <w:ind w:left="992" w:right="425" w:hanging="567"/>
    </w:pPr>
    <w:rPr>
      <w:noProof/>
      <w:szCs w:val="23"/>
    </w:rPr>
  </w:style>
  <w:style w:type="character" w:styleId="Hyperlink">
    <w:name w:val="Hyperlink"/>
    <w:uiPriority w:val="99"/>
    <w:unhideWhenUsed/>
    <w:rsid w:val="00F93B17"/>
    <w:rPr>
      <w:rFonts w:ascii="Arial" w:hAnsi="Arial"/>
      <w:color w:val="0000FF"/>
      <w:sz w:val="20"/>
      <w:u w:val="single"/>
    </w:rPr>
  </w:style>
  <w:style w:type="paragraph" w:customStyle="1" w:styleId="AppendixHeading">
    <w:name w:val="Appendix Heading"/>
    <w:basedOn w:val="Normal"/>
    <w:next w:val="AppendixContents"/>
    <w:uiPriority w:val="8"/>
    <w:rsid w:val="006F6285"/>
    <w:pPr>
      <w:keepNext/>
      <w:spacing w:before="240" w:line="400" w:lineRule="atLeast"/>
    </w:pPr>
    <w:rPr>
      <w:rFonts w:cs="Arial"/>
      <w:b/>
      <w:color w:val="6DB52C"/>
      <w:sz w:val="56"/>
    </w:rPr>
  </w:style>
  <w:style w:type="paragraph" w:customStyle="1" w:styleId="AppendixContents">
    <w:name w:val="Appendix Contents"/>
    <w:basedOn w:val="Normal"/>
    <w:next w:val="BodyText"/>
    <w:uiPriority w:val="8"/>
    <w:rsid w:val="004D5CD6"/>
    <w:pPr>
      <w:keepNext/>
      <w:spacing w:before="240" w:line="280" w:lineRule="atLeast"/>
    </w:pPr>
    <w:rPr>
      <w:rFonts w:cs="Arial"/>
      <w:b/>
      <w:iCs/>
      <w:sz w:val="28"/>
      <w:szCs w:val="28"/>
    </w:rPr>
  </w:style>
  <w:style w:type="character" w:styleId="CommentReference">
    <w:name w:val="annotation reference"/>
    <w:uiPriority w:val="99"/>
    <w:semiHidden/>
    <w:rsid w:val="00DE1A63"/>
    <w:rPr>
      <w:rFonts w:ascii="Arial" w:hAnsi="Arial" w:cs="Arial"/>
      <w:color w:val="auto"/>
      <w:sz w:val="16"/>
      <w:szCs w:val="16"/>
    </w:rPr>
  </w:style>
  <w:style w:type="paragraph" w:styleId="CommentText">
    <w:name w:val="annotation text"/>
    <w:basedOn w:val="Normal"/>
    <w:link w:val="CommentTextChar"/>
    <w:uiPriority w:val="99"/>
    <w:semiHidden/>
    <w:rsid w:val="00DE1A63"/>
    <w:rPr>
      <w:rFonts w:ascii="Times New Roman" w:hAnsi="Times New Roman"/>
      <w:b/>
      <w:color w:val="999999"/>
    </w:rPr>
  </w:style>
  <w:style w:type="character" w:customStyle="1" w:styleId="CommentTextChar">
    <w:name w:val="Comment Text Char"/>
    <w:link w:val="CommentText"/>
    <w:uiPriority w:val="99"/>
    <w:semiHidden/>
    <w:rsid w:val="00DE1A63"/>
    <w:rPr>
      <w:rFonts w:ascii="Times New Roman" w:eastAsia="Times New Roman" w:hAnsi="Times New Roman"/>
      <w:b/>
      <w:color w:val="999999"/>
      <w:lang w:val="en-US"/>
    </w:rPr>
  </w:style>
  <w:style w:type="character" w:customStyle="1" w:styleId="Heading5Char">
    <w:name w:val="Heading 5 Char"/>
    <w:basedOn w:val="DefaultParagraphFont"/>
    <w:link w:val="Heading5"/>
    <w:rsid w:val="004D5CD6"/>
    <w:rPr>
      <w:rFonts w:ascii="Arial" w:eastAsia="Times New Roman" w:hAnsi="Arial"/>
      <w:b/>
      <w:bCs/>
      <w:iCs/>
      <w:szCs w:val="26"/>
      <w:lang w:eastAsia="en-US"/>
    </w:rPr>
  </w:style>
  <w:style w:type="character" w:customStyle="1" w:styleId="Heading6Char">
    <w:name w:val="Heading 6 Char"/>
    <w:basedOn w:val="DefaultParagraphFont"/>
    <w:link w:val="Heading6"/>
    <w:uiPriority w:val="99"/>
    <w:semiHidden/>
    <w:rsid w:val="005923CA"/>
    <w:rPr>
      <w:rFonts w:ascii="Calibri" w:eastAsia="Times New Roman" w:hAnsi="Calibri"/>
      <w:b/>
      <w:bCs/>
      <w:szCs w:val="22"/>
      <w:lang w:eastAsia="en-US"/>
    </w:rPr>
  </w:style>
  <w:style w:type="character" w:customStyle="1" w:styleId="Heading7Char">
    <w:name w:val="Heading 7 Char"/>
    <w:basedOn w:val="DefaultParagraphFont"/>
    <w:link w:val="Heading7"/>
    <w:uiPriority w:val="99"/>
    <w:semiHidden/>
    <w:rsid w:val="005923CA"/>
    <w:rPr>
      <w:rFonts w:ascii="Calibri" w:eastAsia="Times New Roman" w:hAnsi="Calibri"/>
      <w:lang w:eastAsia="en-US"/>
    </w:rPr>
  </w:style>
  <w:style w:type="character" w:customStyle="1" w:styleId="Heading8Char">
    <w:name w:val="Heading 8 Char"/>
    <w:basedOn w:val="DefaultParagraphFont"/>
    <w:link w:val="Heading8"/>
    <w:uiPriority w:val="99"/>
    <w:semiHidden/>
    <w:rsid w:val="005923CA"/>
    <w:rPr>
      <w:rFonts w:ascii="Calibri" w:eastAsia="Times New Roman" w:hAnsi="Calibri"/>
      <w:i/>
      <w:iCs/>
      <w:lang w:eastAsia="en-US"/>
    </w:rPr>
  </w:style>
  <w:style w:type="character" w:customStyle="1" w:styleId="Heading9Char">
    <w:name w:val="Heading 9 Char"/>
    <w:basedOn w:val="DefaultParagraphFont"/>
    <w:link w:val="Heading9"/>
    <w:uiPriority w:val="99"/>
    <w:semiHidden/>
    <w:rsid w:val="005923CA"/>
    <w:rPr>
      <w:rFonts w:ascii="Arial" w:eastAsia="MS Gothic" w:hAnsi="Arial"/>
      <w:szCs w:val="22"/>
      <w:lang w:eastAsia="en-US"/>
    </w:rPr>
  </w:style>
  <w:style w:type="paragraph" w:customStyle="1" w:styleId="TableCaption">
    <w:name w:val="Table Caption"/>
    <w:basedOn w:val="Normal"/>
    <w:next w:val="Normal"/>
    <w:uiPriority w:val="2"/>
    <w:qFormat/>
    <w:rsid w:val="00BE7156"/>
    <w:pPr>
      <w:keepNext/>
      <w:keepLines/>
      <w:numPr>
        <w:numId w:val="2"/>
      </w:numPr>
      <w:spacing w:line="280" w:lineRule="atLeast"/>
    </w:pPr>
    <w:rPr>
      <w:bCs/>
      <w:smallCaps/>
    </w:rPr>
  </w:style>
  <w:style w:type="paragraph" w:customStyle="1" w:styleId="FigureCaption">
    <w:name w:val="Figure Caption"/>
    <w:basedOn w:val="Caption"/>
    <w:next w:val="Normal"/>
    <w:uiPriority w:val="2"/>
    <w:qFormat/>
    <w:rsid w:val="00BE7156"/>
    <w:pPr>
      <w:keepNext w:val="0"/>
      <w:numPr>
        <w:numId w:val="3"/>
      </w:numPr>
      <w:spacing w:after="240"/>
      <w:jc w:val="center"/>
    </w:pPr>
  </w:style>
  <w:style w:type="paragraph" w:customStyle="1" w:styleId="TableText">
    <w:name w:val="Table Text"/>
    <w:basedOn w:val="Normal"/>
    <w:qFormat/>
    <w:rsid w:val="00701AAB"/>
    <w:pPr>
      <w:spacing w:after="40"/>
    </w:pPr>
    <w:rPr>
      <w:bCs/>
      <w:sz w:val="18"/>
    </w:rPr>
  </w:style>
  <w:style w:type="paragraph" w:customStyle="1" w:styleId="TableHeading">
    <w:name w:val="Table Heading"/>
    <w:basedOn w:val="Normal"/>
    <w:next w:val="TableText"/>
    <w:uiPriority w:val="1"/>
    <w:qFormat/>
    <w:rsid w:val="00701AAB"/>
    <w:pPr>
      <w:spacing w:before="40" w:after="20"/>
    </w:pPr>
    <w:rPr>
      <w:bCs/>
      <w:color w:val="FFFFFF" w:themeColor="background1"/>
      <w:sz w:val="18"/>
    </w:rPr>
  </w:style>
  <w:style w:type="paragraph" w:customStyle="1" w:styleId="DocRef">
    <w:name w:val="DocRef"/>
    <w:basedOn w:val="Normal"/>
    <w:next w:val="Normal"/>
    <w:uiPriority w:val="10"/>
    <w:rsid w:val="00293AFD"/>
    <w:pPr>
      <w:jc w:val="center"/>
    </w:pPr>
    <w:rPr>
      <w:rFonts w:cs="Verdana"/>
      <w:color w:val="595959" w:themeColor="text1" w:themeTint="A6"/>
    </w:rPr>
  </w:style>
  <w:style w:type="paragraph" w:styleId="Date">
    <w:name w:val="Date"/>
    <w:basedOn w:val="Normal"/>
    <w:next w:val="Normal"/>
    <w:link w:val="DateChar"/>
    <w:uiPriority w:val="10"/>
    <w:rsid w:val="0027015B"/>
    <w:pPr>
      <w:spacing w:after="0"/>
    </w:pPr>
    <w:rPr>
      <w:rFonts w:cs="Verdana"/>
      <w:color w:val="6E6E6E"/>
      <w:sz w:val="24"/>
    </w:rPr>
  </w:style>
  <w:style w:type="character" w:customStyle="1" w:styleId="DateChar">
    <w:name w:val="Date Char"/>
    <w:basedOn w:val="DefaultParagraphFont"/>
    <w:link w:val="Date"/>
    <w:uiPriority w:val="10"/>
    <w:rsid w:val="0027015B"/>
    <w:rPr>
      <w:rFonts w:ascii="Arial" w:eastAsia="Times New Roman" w:hAnsi="Arial" w:cs="Verdana"/>
      <w:color w:val="6E6E6E"/>
      <w:sz w:val="24"/>
      <w:lang w:eastAsia="en-US"/>
    </w:rPr>
  </w:style>
  <w:style w:type="paragraph" w:styleId="TableofFigures">
    <w:name w:val="table of figures"/>
    <w:basedOn w:val="Normal"/>
    <w:next w:val="Normal"/>
    <w:uiPriority w:val="99"/>
    <w:unhideWhenUsed/>
    <w:rsid w:val="002F07E2"/>
    <w:pPr>
      <w:tabs>
        <w:tab w:val="left" w:pos="1134"/>
        <w:tab w:val="right" w:leader="dot" w:pos="9072"/>
      </w:tabs>
      <w:ind w:left="1134" w:hanging="1134"/>
    </w:pPr>
    <w:rPr>
      <w:rFonts w:eastAsiaTheme="minorEastAsia" w:cs="Arial"/>
      <w:szCs w:val="22"/>
      <w:lang w:eastAsia="ja-JP"/>
    </w:rPr>
  </w:style>
  <w:style w:type="paragraph" w:customStyle="1" w:styleId="TableNotes">
    <w:name w:val="Table Notes"/>
    <w:basedOn w:val="Normal"/>
    <w:rsid w:val="00A76D18"/>
    <w:pPr>
      <w:spacing w:before="80"/>
      <w:contextualSpacing/>
    </w:pPr>
    <w:rPr>
      <w:sz w:val="16"/>
      <w:szCs w:val="18"/>
    </w:rPr>
  </w:style>
  <w:style w:type="paragraph" w:customStyle="1" w:styleId="BulletPoint2">
    <w:name w:val="Bullet Point 2"/>
    <w:basedOn w:val="BodyText"/>
    <w:qFormat/>
    <w:rsid w:val="00237BC9"/>
    <w:pPr>
      <w:numPr>
        <w:ilvl w:val="1"/>
        <w:numId w:val="1"/>
      </w:numPr>
      <w:ind w:left="851"/>
    </w:pPr>
  </w:style>
  <w:style w:type="paragraph" w:customStyle="1" w:styleId="AppendixHeading2">
    <w:name w:val="Appendix Heading 2"/>
    <w:basedOn w:val="Title"/>
    <w:uiPriority w:val="9"/>
    <w:rsid w:val="002E493A"/>
  </w:style>
  <w:style w:type="paragraph" w:styleId="TOC3">
    <w:name w:val="toc 3"/>
    <w:basedOn w:val="TOC1"/>
    <w:next w:val="Normal"/>
    <w:autoRedefine/>
    <w:uiPriority w:val="39"/>
    <w:rsid w:val="005027C7"/>
    <w:pPr>
      <w:keepNext/>
      <w:spacing w:after="60"/>
      <w:ind w:left="567" w:hanging="567"/>
    </w:pPr>
    <w:rPr>
      <w:rFonts w:eastAsiaTheme="minorEastAsia" w:cstheme="minorBidi"/>
      <w:b w:val="0"/>
      <w:color w:val="auto"/>
      <w:sz w:val="20"/>
      <w:szCs w:val="22"/>
    </w:rPr>
  </w:style>
  <w:style w:type="paragraph" w:styleId="TOC4">
    <w:name w:val="toc 4"/>
    <w:basedOn w:val="TOC2"/>
    <w:next w:val="Normal"/>
    <w:autoRedefine/>
    <w:uiPriority w:val="39"/>
    <w:rsid w:val="002F07E2"/>
    <w:rPr>
      <w:rFonts w:eastAsiaTheme="minorEastAsia" w:cstheme="minorBidi"/>
      <w:szCs w:val="22"/>
      <w:lang w:eastAsia="ja-JP"/>
    </w:rPr>
  </w:style>
  <w:style w:type="paragraph" w:styleId="Caption">
    <w:name w:val="caption"/>
    <w:basedOn w:val="TableCaption"/>
    <w:next w:val="Normal"/>
    <w:uiPriority w:val="99"/>
    <w:semiHidden/>
    <w:qFormat/>
    <w:rsid w:val="007F071B"/>
    <w:pPr>
      <w:numPr>
        <w:numId w:val="0"/>
      </w:numPr>
    </w:pPr>
  </w:style>
  <w:style w:type="paragraph" w:customStyle="1" w:styleId="DocTitle">
    <w:name w:val="DocTitle"/>
    <w:basedOn w:val="Normal"/>
    <w:next w:val="Normal"/>
    <w:uiPriority w:val="10"/>
    <w:rsid w:val="0027015B"/>
    <w:rPr>
      <w:color w:val="6E6E6E"/>
      <w:sz w:val="24"/>
    </w:rPr>
  </w:style>
  <w:style w:type="paragraph" w:customStyle="1" w:styleId="Figure">
    <w:name w:val="Figure"/>
    <w:basedOn w:val="Normal"/>
    <w:next w:val="FigureCaption"/>
    <w:uiPriority w:val="2"/>
    <w:qFormat/>
    <w:rsid w:val="00246C67"/>
    <w:pPr>
      <w:keepNext/>
      <w:spacing w:before="240"/>
      <w:jc w:val="center"/>
    </w:pPr>
  </w:style>
  <w:style w:type="paragraph" w:customStyle="1" w:styleId="TableSubheading">
    <w:name w:val="Table Subheading"/>
    <w:basedOn w:val="Normal"/>
    <w:rsid w:val="003E516B"/>
    <w:pPr>
      <w:pBdr>
        <w:top w:val="single" w:sz="36" w:space="0" w:color="CEE3B6"/>
        <w:left w:val="single" w:sz="36" w:space="4" w:color="CEE3B6"/>
        <w:bottom w:val="single" w:sz="36" w:space="0" w:color="CEE3B6"/>
        <w:right w:val="single" w:sz="36" w:space="4" w:color="CEE3B6"/>
      </w:pBdr>
      <w:shd w:val="clear" w:color="auto" w:fill="CEE3B6"/>
    </w:pPr>
    <w:rPr>
      <w:bCs/>
      <w:sz w:val="18"/>
    </w:rPr>
  </w:style>
  <w:style w:type="table" w:customStyle="1" w:styleId="ConNetica">
    <w:name w:val="ConNetica"/>
    <w:basedOn w:val="TableNormal"/>
    <w:uiPriority w:val="99"/>
    <w:qFormat/>
    <w:rsid w:val="00163D9B"/>
    <w:pPr>
      <w:spacing w:line="200" w:lineRule="exact"/>
    </w:pPr>
    <w:rPr>
      <w:rFonts w:ascii="Arial" w:hAnsi="Arial"/>
      <w:sz w:val="18"/>
    </w:rPr>
    <w:tblPr>
      <w:tblStyleRowBandSize w:val="1"/>
      <w:tblBorders>
        <w:top w:val="single" w:sz="4" w:space="0" w:color="86BD45"/>
        <w:bottom w:val="single" w:sz="4" w:space="0" w:color="86BD45"/>
        <w:insideH w:val="single" w:sz="4" w:space="0" w:color="86BD45"/>
        <w:insideV w:val="single" w:sz="8" w:space="0" w:color="FFFFFF" w:themeColor="background1"/>
      </w:tblBorders>
      <w:tblCellMar>
        <w:top w:w="57" w:type="dxa"/>
        <w:left w:w="85" w:type="dxa"/>
        <w:bottom w:w="57" w:type="dxa"/>
        <w:right w:w="85" w:type="dxa"/>
      </w:tblCellMar>
    </w:tblPr>
    <w:tcPr>
      <w:shd w:val="clear" w:color="auto" w:fill="auto"/>
    </w:tcPr>
    <w:tblStylePr w:type="firstRow">
      <w:pPr>
        <w:keepNext/>
        <w:wordWrap/>
        <w:spacing w:line="240" w:lineRule="auto"/>
        <w:jc w:val="center"/>
      </w:pPr>
      <w:rPr>
        <w:rFonts w:ascii="Arial" w:hAnsi="Arial"/>
        <w:b/>
        <w:color w:val="FFFFFF" w:themeColor="background1"/>
        <w:sz w:val="18"/>
      </w:rPr>
      <w:tblPr/>
      <w:tcPr>
        <w:tcBorders>
          <w:insideV w:val="nil"/>
        </w:tcBorders>
        <w:shd w:val="clear" w:color="auto" w:fill="6DB52C"/>
        <w:vAlign w:val="center"/>
      </w:tcPr>
    </w:tblStylePr>
    <w:tblStylePr w:type="firstCol">
      <w:tblPr/>
      <w:tcPr>
        <w:shd w:val="clear" w:color="auto" w:fill="C3DFA5"/>
      </w:tcPr>
    </w:tblStylePr>
  </w:style>
  <w:style w:type="paragraph" w:customStyle="1" w:styleId="Heading">
    <w:name w:val="Heading"/>
    <w:basedOn w:val="Normal"/>
    <w:next w:val="BodyText"/>
    <w:uiPriority w:val="3"/>
    <w:rsid w:val="006F6285"/>
    <w:pPr>
      <w:keepNext/>
      <w:pageBreakBefore/>
      <w:pBdr>
        <w:bottom w:val="single" w:sz="4" w:space="1" w:color="70B313"/>
      </w:pBdr>
      <w:spacing w:before="240" w:after="560" w:line="280" w:lineRule="atLeast"/>
    </w:pPr>
    <w:rPr>
      <w:rFonts w:cs="Arial"/>
      <w:b/>
      <w:iCs/>
      <w:color w:val="6DB52C"/>
      <w:sz w:val="56"/>
      <w:szCs w:val="28"/>
    </w:rPr>
  </w:style>
  <w:style w:type="paragraph" w:customStyle="1" w:styleId="ReportTitle">
    <w:name w:val="ReportTitle"/>
    <w:basedOn w:val="Normal"/>
    <w:next w:val="Normal"/>
    <w:uiPriority w:val="10"/>
    <w:rsid w:val="006364D8"/>
    <w:pPr>
      <w:spacing w:before="0" w:after="0"/>
    </w:pPr>
    <w:rPr>
      <w:rFonts w:cs="Arial"/>
      <w:sz w:val="36"/>
      <w:szCs w:val="48"/>
    </w:rPr>
  </w:style>
  <w:style w:type="paragraph" w:customStyle="1" w:styleId="SubHeading">
    <w:name w:val="SubHeading"/>
    <w:basedOn w:val="Heading"/>
    <w:next w:val="BodyText"/>
    <w:uiPriority w:val="3"/>
    <w:rsid w:val="000101E8"/>
    <w:pPr>
      <w:pageBreakBefore w:val="0"/>
      <w:pBdr>
        <w:bottom w:val="none" w:sz="0" w:space="0" w:color="auto"/>
      </w:pBdr>
      <w:spacing w:after="240"/>
    </w:pPr>
    <w:rPr>
      <w:sz w:val="36"/>
    </w:rPr>
  </w:style>
  <w:style w:type="paragraph" w:customStyle="1" w:styleId="SubHeadingGrey">
    <w:name w:val="SubHeading Grey"/>
    <w:basedOn w:val="SubHeading"/>
    <w:next w:val="BodyText"/>
    <w:uiPriority w:val="3"/>
    <w:rsid w:val="003B4EC8"/>
    <w:rPr>
      <w:rFonts w:ascii="Arial Bold" w:hAnsi="Arial Bold"/>
      <w:color w:val="5F5F5F"/>
    </w:rPr>
  </w:style>
  <w:style w:type="paragraph" w:customStyle="1" w:styleId="Quotes">
    <w:name w:val="Quotes"/>
    <w:basedOn w:val="BodyText"/>
    <w:next w:val="BodyText"/>
    <w:uiPriority w:val="7"/>
    <w:rsid w:val="00C363DC"/>
    <w:pPr>
      <w:spacing w:line="340" w:lineRule="exact"/>
      <w:ind w:left="340"/>
    </w:pPr>
    <w:rPr>
      <w:i/>
      <w:color w:val="F7901E"/>
      <w:sz w:val="22"/>
    </w:rPr>
  </w:style>
  <w:style w:type="paragraph" w:customStyle="1" w:styleId="BodyTextShaded">
    <w:name w:val="Body Text Shaded"/>
    <w:basedOn w:val="BodyText"/>
    <w:next w:val="BodyText"/>
    <w:uiPriority w:val="7"/>
    <w:rsid w:val="00103BCD"/>
    <w:pPr>
      <w:pBdr>
        <w:top w:val="single" w:sz="2" w:space="6" w:color="E9F2DD"/>
        <w:left w:val="single" w:sz="2" w:space="6" w:color="E9F2DD"/>
        <w:bottom w:val="single" w:sz="2" w:space="6" w:color="E9F2DD"/>
        <w:right w:val="single" w:sz="2" w:space="6" w:color="E9F2DD"/>
      </w:pBdr>
      <w:shd w:val="clear" w:color="auto" w:fill="E9F2DD"/>
      <w:ind w:left="142"/>
    </w:pPr>
  </w:style>
  <w:style w:type="paragraph" w:customStyle="1" w:styleId="Subtitle1">
    <w:name w:val="Subtitle1"/>
    <w:basedOn w:val="Normal"/>
    <w:next w:val="BodyText"/>
    <w:uiPriority w:val="10"/>
    <w:rsid w:val="004D5CD6"/>
    <w:pPr>
      <w:keepNext/>
      <w:spacing w:before="240"/>
    </w:pPr>
    <w:rPr>
      <w:b/>
      <w:sz w:val="28"/>
    </w:rPr>
  </w:style>
  <w:style w:type="paragraph" w:customStyle="1" w:styleId="Titleheading">
    <w:name w:val="Title heading"/>
    <w:basedOn w:val="Project"/>
    <w:uiPriority w:val="10"/>
    <w:rsid w:val="00DF3FC2"/>
  </w:style>
  <w:style w:type="paragraph" w:customStyle="1" w:styleId="MainTitle">
    <w:name w:val="Main Title"/>
    <w:basedOn w:val="Title"/>
    <w:uiPriority w:val="10"/>
    <w:rsid w:val="00DF3FC2"/>
  </w:style>
  <w:style w:type="paragraph" w:customStyle="1" w:styleId="TOC">
    <w:name w:val="TOC"/>
    <w:basedOn w:val="Normal"/>
    <w:next w:val="BodyText"/>
    <w:uiPriority w:val="3"/>
    <w:rsid w:val="00DF3FC2"/>
    <w:pPr>
      <w:keepNext/>
      <w:pageBreakBefore/>
      <w:pBdr>
        <w:bottom w:val="single" w:sz="4" w:space="1" w:color="70B313"/>
      </w:pBdr>
      <w:spacing w:before="240" w:after="560" w:line="280" w:lineRule="atLeast"/>
    </w:pPr>
    <w:rPr>
      <w:rFonts w:cs="Arial"/>
      <w:b/>
      <w:iCs/>
      <w:color w:val="6DB52C"/>
      <w:sz w:val="56"/>
      <w:szCs w:val="28"/>
    </w:rPr>
  </w:style>
  <w:style w:type="paragraph" w:customStyle="1" w:styleId="p1">
    <w:name w:val="p1"/>
    <w:basedOn w:val="Normal"/>
    <w:rsid w:val="008C38A4"/>
    <w:pPr>
      <w:spacing w:before="0" w:after="0"/>
    </w:pPr>
    <w:rPr>
      <w:rFonts w:ascii="Calibri" w:eastAsia="MS Mincho" w:hAnsi="Calibri"/>
      <w:sz w:val="17"/>
      <w:szCs w:val="17"/>
      <w:lang w:val="en-US"/>
    </w:rPr>
  </w:style>
  <w:style w:type="character" w:customStyle="1" w:styleId="apple-converted-space">
    <w:name w:val="apple-converted-space"/>
    <w:basedOn w:val="DefaultParagraphFont"/>
    <w:rsid w:val="008C38A4"/>
  </w:style>
  <w:style w:type="paragraph" w:customStyle="1" w:styleId="p2">
    <w:name w:val="p2"/>
    <w:basedOn w:val="Normal"/>
    <w:rsid w:val="00E0525B"/>
    <w:pPr>
      <w:spacing w:before="0" w:after="0"/>
    </w:pPr>
    <w:rPr>
      <w:rFonts w:ascii="Calibri" w:eastAsia="MS Mincho" w:hAnsi="Calibri"/>
      <w:sz w:val="12"/>
      <w:szCs w:val="12"/>
      <w:lang w:val="en-US"/>
    </w:rPr>
  </w:style>
  <w:style w:type="table" w:customStyle="1" w:styleId="TableGridLight1">
    <w:name w:val="Table Grid Light1"/>
    <w:basedOn w:val="TableNormal"/>
    <w:uiPriority w:val="40"/>
    <w:rsid w:val="00DF086D"/>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OC5">
    <w:name w:val="toc 5"/>
    <w:basedOn w:val="Normal"/>
    <w:next w:val="Normal"/>
    <w:autoRedefine/>
    <w:uiPriority w:val="39"/>
    <w:unhideWhenUsed/>
    <w:rsid w:val="00736310"/>
    <w:pPr>
      <w:ind w:left="800"/>
    </w:pPr>
  </w:style>
  <w:style w:type="paragraph" w:styleId="TOC6">
    <w:name w:val="toc 6"/>
    <w:basedOn w:val="Normal"/>
    <w:next w:val="Normal"/>
    <w:autoRedefine/>
    <w:uiPriority w:val="39"/>
    <w:unhideWhenUsed/>
    <w:rsid w:val="00736310"/>
    <w:pPr>
      <w:ind w:left="1000"/>
    </w:pPr>
  </w:style>
  <w:style w:type="paragraph" w:styleId="TOC7">
    <w:name w:val="toc 7"/>
    <w:basedOn w:val="Normal"/>
    <w:next w:val="Normal"/>
    <w:autoRedefine/>
    <w:uiPriority w:val="39"/>
    <w:unhideWhenUsed/>
    <w:rsid w:val="00736310"/>
    <w:pPr>
      <w:ind w:left="1200"/>
    </w:pPr>
  </w:style>
  <w:style w:type="paragraph" w:styleId="TOC8">
    <w:name w:val="toc 8"/>
    <w:basedOn w:val="Normal"/>
    <w:next w:val="Normal"/>
    <w:autoRedefine/>
    <w:uiPriority w:val="39"/>
    <w:unhideWhenUsed/>
    <w:rsid w:val="00736310"/>
    <w:pPr>
      <w:ind w:left="1400"/>
    </w:pPr>
  </w:style>
  <w:style w:type="paragraph" w:styleId="TOC9">
    <w:name w:val="toc 9"/>
    <w:basedOn w:val="Normal"/>
    <w:next w:val="Normal"/>
    <w:autoRedefine/>
    <w:uiPriority w:val="39"/>
    <w:unhideWhenUsed/>
    <w:rsid w:val="00736310"/>
    <w:pPr>
      <w:ind w:left="1600"/>
    </w:pPr>
  </w:style>
  <w:style w:type="character" w:styleId="FollowedHyperlink">
    <w:name w:val="FollowedHyperlink"/>
    <w:basedOn w:val="DefaultParagraphFont"/>
    <w:uiPriority w:val="99"/>
    <w:semiHidden/>
    <w:unhideWhenUsed/>
    <w:rsid w:val="000541B9"/>
    <w:rPr>
      <w:color w:val="800080" w:themeColor="followedHyperlink"/>
      <w:u w:val="single"/>
    </w:rPr>
  </w:style>
  <w:style w:type="character" w:styleId="PageNumber">
    <w:name w:val="page number"/>
    <w:basedOn w:val="DefaultParagraphFont"/>
    <w:uiPriority w:val="99"/>
    <w:semiHidden/>
    <w:unhideWhenUsed/>
    <w:rsid w:val="006440FF"/>
  </w:style>
  <w:style w:type="character" w:styleId="FootnoteReference">
    <w:name w:val="footnote reference"/>
    <w:basedOn w:val="DefaultParagraphFont"/>
    <w:uiPriority w:val="99"/>
    <w:semiHidden/>
    <w:unhideWhenUsed/>
    <w:rsid w:val="00713158"/>
    <w:rPr>
      <w:rFonts w:asciiTheme="minorHAnsi" w:hAnsiTheme="minorHAnsi"/>
      <w:sz w:val="20"/>
      <w:vertAlign w:val="superscript"/>
    </w:rPr>
  </w:style>
  <w:style w:type="paragraph" w:styleId="ListParagraph">
    <w:name w:val="List Paragraph"/>
    <w:basedOn w:val="Normal"/>
    <w:uiPriority w:val="1"/>
    <w:qFormat/>
    <w:rsid w:val="00506EFD"/>
    <w:pPr>
      <w:spacing w:before="0"/>
      <w:ind w:left="1536" w:hanging="357"/>
    </w:pPr>
    <w:rPr>
      <w:rFonts w:asciiTheme="minorHAnsi" w:hAnsiTheme="minorHAnsi"/>
      <w:sz w:val="22"/>
      <w:szCs w:val="24"/>
    </w:rPr>
  </w:style>
  <w:style w:type="paragraph" w:customStyle="1" w:styleId="TableParagraph">
    <w:name w:val="Table Paragraph"/>
    <w:basedOn w:val="Normal"/>
    <w:uiPriority w:val="1"/>
    <w:qFormat/>
    <w:rsid w:val="00647F8A"/>
    <w:pPr>
      <w:spacing w:before="0" w:after="0"/>
    </w:pPr>
    <w:rPr>
      <w:rFonts w:asciiTheme="minorHAnsi" w:hAnsiTheme="minorHAnsi"/>
      <w:sz w:val="21"/>
      <w:szCs w:val="24"/>
    </w:rPr>
  </w:style>
  <w:style w:type="paragraph" w:styleId="NormalWeb">
    <w:name w:val="Normal (Web)"/>
    <w:basedOn w:val="Normal"/>
    <w:uiPriority w:val="99"/>
    <w:unhideWhenUsed/>
    <w:rsid w:val="00D16256"/>
    <w:pPr>
      <w:spacing w:before="100" w:beforeAutospacing="1" w:after="100" w:afterAutospacing="1"/>
    </w:pPr>
    <w:rPr>
      <w:rFonts w:ascii="Times New Roman" w:hAnsi="Times New Roman"/>
      <w:sz w:val="24"/>
      <w:szCs w:val="24"/>
    </w:rPr>
  </w:style>
  <w:style w:type="character" w:customStyle="1" w:styleId="UnresolvedMention">
    <w:name w:val="Unresolved Mention"/>
    <w:basedOn w:val="DefaultParagraphFont"/>
    <w:uiPriority w:val="99"/>
    <w:rsid w:val="003376B3"/>
    <w:rPr>
      <w:color w:val="605E5C"/>
      <w:shd w:val="clear" w:color="auto" w:fill="E1DFDD"/>
    </w:rPr>
  </w:style>
  <w:style w:type="paragraph" w:styleId="Quote">
    <w:name w:val="Quote"/>
    <w:basedOn w:val="Normal"/>
    <w:next w:val="Normal"/>
    <w:link w:val="QuoteChar"/>
    <w:uiPriority w:val="29"/>
    <w:qFormat/>
    <w:rsid w:val="00D55A72"/>
    <w:pPr>
      <w:spacing w:before="160"/>
      <w:ind w:left="680"/>
      <w:jc w:val="center"/>
    </w:pPr>
    <w:rPr>
      <w:i/>
      <w:iCs/>
      <w:color w:val="404040" w:themeColor="text1" w:themeTint="BF"/>
      <w:szCs w:val="24"/>
    </w:rPr>
  </w:style>
  <w:style w:type="character" w:customStyle="1" w:styleId="QuoteChar">
    <w:name w:val="Quote Char"/>
    <w:basedOn w:val="DefaultParagraphFont"/>
    <w:link w:val="Quote"/>
    <w:uiPriority w:val="29"/>
    <w:rsid w:val="00D55A72"/>
    <w:rPr>
      <w:rFonts w:ascii="Arial" w:eastAsia="Times New Roman" w:hAnsi="Arial"/>
      <w:i/>
      <w:iCs/>
      <w:color w:val="404040" w:themeColor="text1" w:themeTint="BF"/>
      <w:szCs w:val="24"/>
      <w:lang w:eastAsia="en-US"/>
    </w:rPr>
  </w:style>
  <w:style w:type="table" w:styleId="GridTable5Dark-Accent5">
    <w:name w:val="Grid Table 5 Dark Accent 5"/>
    <w:basedOn w:val="TableNormal"/>
    <w:uiPriority w:val="50"/>
    <w:rsid w:val="00C03F61"/>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paragraph" w:styleId="Bibliography">
    <w:name w:val="Bibliography"/>
    <w:basedOn w:val="Normal"/>
    <w:next w:val="Normal"/>
    <w:uiPriority w:val="70"/>
    <w:semiHidden/>
    <w:unhideWhenUsed/>
    <w:rsid w:val="00EB7A13"/>
  </w:style>
  <w:style w:type="paragraph" w:customStyle="1" w:styleId="Default">
    <w:name w:val="Default"/>
    <w:rsid w:val="007A7B22"/>
    <w:pPr>
      <w:autoSpaceDE w:val="0"/>
      <w:autoSpaceDN w:val="0"/>
      <w:adjustRightInd w:val="0"/>
    </w:pPr>
    <w:rPr>
      <w:rFonts w:ascii="Arial" w:hAnsi="Arial" w:cs="Arial"/>
      <w:color w:val="000000"/>
      <w:sz w:val="24"/>
      <w:szCs w:val="24"/>
      <w:lang w:val="en-US"/>
    </w:rPr>
  </w:style>
  <w:style w:type="paragraph" w:styleId="CommentSubject">
    <w:name w:val="annotation subject"/>
    <w:basedOn w:val="CommentText"/>
    <w:next w:val="CommentText"/>
    <w:link w:val="CommentSubjectChar"/>
    <w:uiPriority w:val="99"/>
    <w:semiHidden/>
    <w:unhideWhenUsed/>
    <w:rsid w:val="006738F3"/>
    <w:rPr>
      <w:rFonts w:ascii="Arial" w:hAnsi="Arial"/>
      <w:bCs/>
      <w:color w:val="auto"/>
    </w:rPr>
  </w:style>
  <w:style w:type="character" w:customStyle="1" w:styleId="CommentSubjectChar">
    <w:name w:val="Comment Subject Char"/>
    <w:basedOn w:val="CommentTextChar"/>
    <w:link w:val="CommentSubject"/>
    <w:uiPriority w:val="99"/>
    <w:semiHidden/>
    <w:rsid w:val="006738F3"/>
    <w:rPr>
      <w:rFonts w:ascii="Arial" w:eastAsia="Times New Roman" w:hAnsi="Arial"/>
      <w:b/>
      <w:bCs/>
      <w:color w:val="999999"/>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3679041">
      <w:bodyDiv w:val="1"/>
      <w:marLeft w:val="0"/>
      <w:marRight w:val="0"/>
      <w:marTop w:val="0"/>
      <w:marBottom w:val="0"/>
      <w:divBdr>
        <w:top w:val="none" w:sz="0" w:space="0" w:color="auto"/>
        <w:left w:val="none" w:sz="0" w:space="0" w:color="auto"/>
        <w:bottom w:val="none" w:sz="0" w:space="0" w:color="auto"/>
        <w:right w:val="none" w:sz="0" w:space="0" w:color="auto"/>
      </w:divBdr>
    </w:div>
    <w:div w:id="49152698">
      <w:bodyDiv w:val="1"/>
      <w:marLeft w:val="0"/>
      <w:marRight w:val="0"/>
      <w:marTop w:val="0"/>
      <w:marBottom w:val="0"/>
      <w:divBdr>
        <w:top w:val="none" w:sz="0" w:space="0" w:color="auto"/>
        <w:left w:val="none" w:sz="0" w:space="0" w:color="auto"/>
        <w:bottom w:val="none" w:sz="0" w:space="0" w:color="auto"/>
        <w:right w:val="none" w:sz="0" w:space="0" w:color="auto"/>
      </w:divBdr>
      <w:divsChild>
        <w:div w:id="980116213">
          <w:marLeft w:val="0"/>
          <w:marRight w:val="0"/>
          <w:marTop w:val="0"/>
          <w:marBottom w:val="0"/>
          <w:divBdr>
            <w:top w:val="none" w:sz="0" w:space="0" w:color="auto"/>
            <w:left w:val="none" w:sz="0" w:space="0" w:color="auto"/>
            <w:bottom w:val="none" w:sz="0" w:space="0" w:color="auto"/>
            <w:right w:val="none" w:sz="0" w:space="0" w:color="auto"/>
          </w:divBdr>
          <w:divsChild>
            <w:div w:id="1069116165">
              <w:marLeft w:val="0"/>
              <w:marRight w:val="0"/>
              <w:marTop w:val="0"/>
              <w:marBottom w:val="0"/>
              <w:divBdr>
                <w:top w:val="none" w:sz="0" w:space="0" w:color="auto"/>
                <w:left w:val="none" w:sz="0" w:space="0" w:color="auto"/>
                <w:bottom w:val="none" w:sz="0" w:space="0" w:color="auto"/>
                <w:right w:val="none" w:sz="0" w:space="0" w:color="auto"/>
              </w:divBdr>
              <w:divsChild>
                <w:div w:id="1605378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315851">
      <w:bodyDiv w:val="1"/>
      <w:marLeft w:val="0"/>
      <w:marRight w:val="0"/>
      <w:marTop w:val="0"/>
      <w:marBottom w:val="0"/>
      <w:divBdr>
        <w:top w:val="none" w:sz="0" w:space="0" w:color="auto"/>
        <w:left w:val="none" w:sz="0" w:space="0" w:color="auto"/>
        <w:bottom w:val="none" w:sz="0" w:space="0" w:color="auto"/>
        <w:right w:val="none" w:sz="0" w:space="0" w:color="auto"/>
      </w:divBdr>
    </w:div>
    <w:div w:id="64573476">
      <w:bodyDiv w:val="1"/>
      <w:marLeft w:val="0"/>
      <w:marRight w:val="0"/>
      <w:marTop w:val="0"/>
      <w:marBottom w:val="0"/>
      <w:divBdr>
        <w:top w:val="none" w:sz="0" w:space="0" w:color="auto"/>
        <w:left w:val="none" w:sz="0" w:space="0" w:color="auto"/>
        <w:bottom w:val="none" w:sz="0" w:space="0" w:color="auto"/>
        <w:right w:val="none" w:sz="0" w:space="0" w:color="auto"/>
      </w:divBdr>
      <w:divsChild>
        <w:div w:id="216279313">
          <w:marLeft w:val="0"/>
          <w:marRight w:val="0"/>
          <w:marTop w:val="0"/>
          <w:marBottom w:val="0"/>
          <w:divBdr>
            <w:top w:val="none" w:sz="0" w:space="0" w:color="auto"/>
            <w:left w:val="none" w:sz="0" w:space="0" w:color="auto"/>
            <w:bottom w:val="none" w:sz="0" w:space="0" w:color="auto"/>
            <w:right w:val="none" w:sz="0" w:space="0" w:color="auto"/>
          </w:divBdr>
          <w:divsChild>
            <w:div w:id="878393074">
              <w:marLeft w:val="0"/>
              <w:marRight w:val="0"/>
              <w:marTop w:val="0"/>
              <w:marBottom w:val="0"/>
              <w:divBdr>
                <w:top w:val="none" w:sz="0" w:space="0" w:color="auto"/>
                <w:left w:val="none" w:sz="0" w:space="0" w:color="auto"/>
                <w:bottom w:val="none" w:sz="0" w:space="0" w:color="auto"/>
                <w:right w:val="none" w:sz="0" w:space="0" w:color="auto"/>
              </w:divBdr>
              <w:divsChild>
                <w:div w:id="1063793609">
                  <w:marLeft w:val="0"/>
                  <w:marRight w:val="0"/>
                  <w:marTop w:val="0"/>
                  <w:marBottom w:val="0"/>
                  <w:divBdr>
                    <w:top w:val="none" w:sz="0" w:space="0" w:color="auto"/>
                    <w:left w:val="none" w:sz="0" w:space="0" w:color="auto"/>
                    <w:bottom w:val="none" w:sz="0" w:space="0" w:color="auto"/>
                    <w:right w:val="none" w:sz="0" w:space="0" w:color="auto"/>
                  </w:divBdr>
                  <w:divsChild>
                    <w:div w:id="1563757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454001">
      <w:bodyDiv w:val="1"/>
      <w:marLeft w:val="0"/>
      <w:marRight w:val="0"/>
      <w:marTop w:val="0"/>
      <w:marBottom w:val="0"/>
      <w:divBdr>
        <w:top w:val="none" w:sz="0" w:space="0" w:color="auto"/>
        <w:left w:val="none" w:sz="0" w:space="0" w:color="auto"/>
        <w:bottom w:val="none" w:sz="0" w:space="0" w:color="auto"/>
        <w:right w:val="none" w:sz="0" w:space="0" w:color="auto"/>
      </w:divBdr>
    </w:div>
    <w:div w:id="81418089">
      <w:bodyDiv w:val="1"/>
      <w:marLeft w:val="0"/>
      <w:marRight w:val="0"/>
      <w:marTop w:val="0"/>
      <w:marBottom w:val="0"/>
      <w:divBdr>
        <w:top w:val="none" w:sz="0" w:space="0" w:color="auto"/>
        <w:left w:val="none" w:sz="0" w:space="0" w:color="auto"/>
        <w:bottom w:val="none" w:sz="0" w:space="0" w:color="auto"/>
        <w:right w:val="none" w:sz="0" w:space="0" w:color="auto"/>
      </w:divBdr>
    </w:div>
    <w:div w:id="83187759">
      <w:bodyDiv w:val="1"/>
      <w:marLeft w:val="0"/>
      <w:marRight w:val="0"/>
      <w:marTop w:val="0"/>
      <w:marBottom w:val="0"/>
      <w:divBdr>
        <w:top w:val="none" w:sz="0" w:space="0" w:color="auto"/>
        <w:left w:val="none" w:sz="0" w:space="0" w:color="auto"/>
        <w:bottom w:val="none" w:sz="0" w:space="0" w:color="auto"/>
        <w:right w:val="none" w:sz="0" w:space="0" w:color="auto"/>
      </w:divBdr>
    </w:div>
    <w:div w:id="96489797">
      <w:bodyDiv w:val="1"/>
      <w:marLeft w:val="0"/>
      <w:marRight w:val="0"/>
      <w:marTop w:val="0"/>
      <w:marBottom w:val="0"/>
      <w:divBdr>
        <w:top w:val="none" w:sz="0" w:space="0" w:color="auto"/>
        <w:left w:val="none" w:sz="0" w:space="0" w:color="auto"/>
        <w:bottom w:val="none" w:sz="0" w:space="0" w:color="auto"/>
        <w:right w:val="none" w:sz="0" w:space="0" w:color="auto"/>
      </w:divBdr>
    </w:div>
    <w:div w:id="119956397">
      <w:bodyDiv w:val="1"/>
      <w:marLeft w:val="0"/>
      <w:marRight w:val="0"/>
      <w:marTop w:val="0"/>
      <w:marBottom w:val="0"/>
      <w:divBdr>
        <w:top w:val="none" w:sz="0" w:space="0" w:color="auto"/>
        <w:left w:val="none" w:sz="0" w:space="0" w:color="auto"/>
        <w:bottom w:val="none" w:sz="0" w:space="0" w:color="auto"/>
        <w:right w:val="none" w:sz="0" w:space="0" w:color="auto"/>
      </w:divBdr>
      <w:divsChild>
        <w:div w:id="471141490">
          <w:marLeft w:val="0"/>
          <w:marRight w:val="0"/>
          <w:marTop w:val="0"/>
          <w:marBottom w:val="0"/>
          <w:divBdr>
            <w:top w:val="none" w:sz="0" w:space="0" w:color="auto"/>
            <w:left w:val="none" w:sz="0" w:space="0" w:color="auto"/>
            <w:bottom w:val="none" w:sz="0" w:space="0" w:color="auto"/>
            <w:right w:val="none" w:sz="0" w:space="0" w:color="auto"/>
          </w:divBdr>
        </w:div>
      </w:divsChild>
    </w:div>
    <w:div w:id="128480562">
      <w:bodyDiv w:val="1"/>
      <w:marLeft w:val="0"/>
      <w:marRight w:val="0"/>
      <w:marTop w:val="0"/>
      <w:marBottom w:val="0"/>
      <w:divBdr>
        <w:top w:val="none" w:sz="0" w:space="0" w:color="auto"/>
        <w:left w:val="none" w:sz="0" w:space="0" w:color="auto"/>
        <w:bottom w:val="none" w:sz="0" w:space="0" w:color="auto"/>
        <w:right w:val="none" w:sz="0" w:space="0" w:color="auto"/>
      </w:divBdr>
      <w:divsChild>
        <w:div w:id="721516255">
          <w:marLeft w:val="0"/>
          <w:marRight w:val="0"/>
          <w:marTop w:val="0"/>
          <w:marBottom w:val="0"/>
          <w:divBdr>
            <w:top w:val="none" w:sz="0" w:space="0" w:color="auto"/>
            <w:left w:val="none" w:sz="0" w:space="0" w:color="auto"/>
            <w:bottom w:val="none" w:sz="0" w:space="0" w:color="auto"/>
            <w:right w:val="none" w:sz="0" w:space="0" w:color="auto"/>
          </w:divBdr>
          <w:divsChild>
            <w:div w:id="906109218">
              <w:marLeft w:val="0"/>
              <w:marRight w:val="0"/>
              <w:marTop w:val="0"/>
              <w:marBottom w:val="0"/>
              <w:divBdr>
                <w:top w:val="none" w:sz="0" w:space="0" w:color="auto"/>
                <w:left w:val="none" w:sz="0" w:space="0" w:color="auto"/>
                <w:bottom w:val="none" w:sz="0" w:space="0" w:color="auto"/>
                <w:right w:val="none" w:sz="0" w:space="0" w:color="auto"/>
              </w:divBdr>
              <w:divsChild>
                <w:div w:id="1512378657">
                  <w:marLeft w:val="0"/>
                  <w:marRight w:val="0"/>
                  <w:marTop w:val="0"/>
                  <w:marBottom w:val="0"/>
                  <w:divBdr>
                    <w:top w:val="none" w:sz="0" w:space="0" w:color="auto"/>
                    <w:left w:val="none" w:sz="0" w:space="0" w:color="auto"/>
                    <w:bottom w:val="none" w:sz="0" w:space="0" w:color="auto"/>
                    <w:right w:val="none" w:sz="0" w:space="0" w:color="auto"/>
                  </w:divBdr>
                  <w:divsChild>
                    <w:div w:id="1653362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050047">
      <w:bodyDiv w:val="1"/>
      <w:marLeft w:val="0"/>
      <w:marRight w:val="0"/>
      <w:marTop w:val="0"/>
      <w:marBottom w:val="0"/>
      <w:divBdr>
        <w:top w:val="none" w:sz="0" w:space="0" w:color="auto"/>
        <w:left w:val="none" w:sz="0" w:space="0" w:color="auto"/>
        <w:bottom w:val="none" w:sz="0" w:space="0" w:color="auto"/>
        <w:right w:val="none" w:sz="0" w:space="0" w:color="auto"/>
      </w:divBdr>
      <w:divsChild>
        <w:div w:id="225844543">
          <w:marLeft w:val="0"/>
          <w:marRight w:val="0"/>
          <w:marTop w:val="0"/>
          <w:marBottom w:val="0"/>
          <w:divBdr>
            <w:top w:val="none" w:sz="0" w:space="0" w:color="auto"/>
            <w:left w:val="none" w:sz="0" w:space="0" w:color="auto"/>
            <w:bottom w:val="none" w:sz="0" w:space="0" w:color="auto"/>
            <w:right w:val="none" w:sz="0" w:space="0" w:color="auto"/>
          </w:divBdr>
          <w:divsChild>
            <w:div w:id="1981886501">
              <w:marLeft w:val="0"/>
              <w:marRight w:val="0"/>
              <w:marTop w:val="0"/>
              <w:marBottom w:val="0"/>
              <w:divBdr>
                <w:top w:val="none" w:sz="0" w:space="0" w:color="auto"/>
                <w:left w:val="none" w:sz="0" w:space="0" w:color="auto"/>
                <w:bottom w:val="none" w:sz="0" w:space="0" w:color="auto"/>
                <w:right w:val="none" w:sz="0" w:space="0" w:color="auto"/>
              </w:divBdr>
              <w:divsChild>
                <w:div w:id="74937932">
                  <w:marLeft w:val="0"/>
                  <w:marRight w:val="0"/>
                  <w:marTop w:val="0"/>
                  <w:marBottom w:val="0"/>
                  <w:divBdr>
                    <w:top w:val="none" w:sz="0" w:space="0" w:color="auto"/>
                    <w:left w:val="none" w:sz="0" w:space="0" w:color="auto"/>
                    <w:bottom w:val="none" w:sz="0" w:space="0" w:color="auto"/>
                    <w:right w:val="none" w:sz="0" w:space="0" w:color="auto"/>
                  </w:divBdr>
                  <w:divsChild>
                    <w:div w:id="579296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514493">
      <w:bodyDiv w:val="1"/>
      <w:marLeft w:val="0"/>
      <w:marRight w:val="0"/>
      <w:marTop w:val="0"/>
      <w:marBottom w:val="0"/>
      <w:divBdr>
        <w:top w:val="none" w:sz="0" w:space="0" w:color="auto"/>
        <w:left w:val="none" w:sz="0" w:space="0" w:color="auto"/>
        <w:bottom w:val="none" w:sz="0" w:space="0" w:color="auto"/>
        <w:right w:val="none" w:sz="0" w:space="0" w:color="auto"/>
      </w:divBdr>
      <w:divsChild>
        <w:div w:id="1141921968">
          <w:marLeft w:val="0"/>
          <w:marRight w:val="0"/>
          <w:marTop w:val="0"/>
          <w:marBottom w:val="0"/>
          <w:divBdr>
            <w:top w:val="none" w:sz="0" w:space="0" w:color="auto"/>
            <w:left w:val="none" w:sz="0" w:space="0" w:color="auto"/>
            <w:bottom w:val="none" w:sz="0" w:space="0" w:color="auto"/>
            <w:right w:val="none" w:sz="0" w:space="0" w:color="auto"/>
          </w:divBdr>
          <w:divsChild>
            <w:div w:id="2048096336">
              <w:marLeft w:val="0"/>
              <w:marRight w:val="0"/>
              <w:marTop w:val="0"/>
              <w:marBottom w:val="0"/>
              <w:divBdr>
                <w:top w:val="none" w:sz="0" w:space="0" w:color="auto"/>
                <w:left w:val="none" w:sz="0" w:space="0" w:color="auto"/>
                <w:bottom w:val="none" w:sz="0" w:space="0" w:color="auto"/>
                <w:right w:val="none" w:sz="0" w:space="0" w:color="auto"/>
              </w:divBdr>
              <w:divsChild>
                <w:div w:id="1457672738">
                  <w:marLeft w:val="0"/>
                  <w:marRight w:val="0"/>
                  <w:marTop w:val="0"/>
                  <w:marBottom w:val="0"/>
                  <w:divBdr>
                    <w:top w:val="none" w:sz="0" w:space="0" w:color="auto"/>
                    <w:left w:val="none" w:sz="0" w:space="0" w:color="auto"/>
                    <w:bottom w:val="none" w:sz="0" w:space="0" w:color="auto"/>
                    <w:right w:val="none" w:sz="0" w:space="0" w:color="auto"/>
                  </w:divBdr>
                  <w:divsChild>
                    <w:div w:id="1452047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551998">
      <w:bodyDiv w:val="1"/>
      <w:marLeft w:val="0"/>
      <w:marRight w:val="0"/>
      <w:marTop w:val="0"/>
      <w:marBottom w:val="0"/>
      <w:divBdr>
        <w:top w:val="none" w:sz="0" w:space="0" w:color="auto"/>
        <w:left w:val="none" w:sz="0" w:space="0" w:color="auto"/>
        <w:bottom w:val="none" w:sz="0" w:space="0" w:color="auto"/>
        <w:right w:val="none" w:sz="0" w:space="0" w:color="auto"/>
      </w:divBdr>
      <w:divsChild>
        <w:div w:id="1531987039">
          <w:marLeft w:val="0"/>
          <w:marRight w:val="0"/>
          <w:marTop w:val="0"/>
          <w:marBottom w:val="0"/>
          <w:divBdr>
            <w:top w:val="none" w:sz="0" w:space="0" w:color="auto"/>
            <w:left w:val="none" w:sz="0" w:space="0" w:color="auto"/>
            <w:bottom w:val="none" w:sz="0" w:space="0" w:color="auto"/>
            <w:right w:val="none" w:sz="0" w:space="0" w:color="auto"/>
          </w:divBdr>
          <w:divsChild>
            <w:div w:id="1891840966">
              <w:marLeft w:val="0"/>
              <w:marRight w:val="0"/>
              <w:marTop w:val="0"/>
              <w:marBottom w:val="0"/>
              <w:divBdr>
                <w:top w:val="none" w:sz="0" w:space="0" w:color="auto"/>
                <w:left w:val="none" w:sz="0" w:space="0" w:color="auto"/>
                <w:bottom w:val="none" w:sz="0" w:space="0" w:color="auto"/>
                <w:right w:val="none" w:sz="0" w:space="0" w:color="auto"/>
              </w:divBdr>
              <w:divsChild>
                <w:div w:id="1714767917">
                  <w:marLeft w:val="0"/>
                  <w:marRight w:val="0"/>
                  <w:marTop w:val="0"/>
                  <w:marBottom w:val="0"/>
                  <w:divBdr>
                    <w:top w:val="none" w:sz="0" w:space="0" w:color="auto"/>
                    <w:left w:val="none" w:sz="0" w:space="0" w:color="auto"/>
                    <w:bottom w:val="none" w:sz="0" w:space="0" w:color="auto"/>
                    <w:right w:val="none" w:sz="0" w:space="0" w:color="auto"/>
                  </w:divBdr>
                  <w:divsChild>
                    <w:div w:id="304509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511095">
      <w:bodyDiv w:val="1"/>
      <w:marLeft w:val="0"/>
      <w:marRight w:val="0"/>
      <w:marTop w:val="0"/>
      <w:marBottom w:val="0"/>
      <w:divBdr>
        <w:top w:val="none" w:sz="0" w:space="0" w:color="auto"/>
        <w:left w:val="none" w:sz="0" w:space="0" w:color="auto"/>
        <w:bottom w:val="none" w:sz="0" w:space="0" w:color="auto"/>
        <w:right w:val="none" w:sz="0" w:space="0" w:color="auto"/>
      </w:divBdr>
      <w:divsChild>
        <w:div w:id="770275737">
          <w:marLeft w:val="0"/>
          <w:marRight w:val="0"/>
          <w:marTop w:val="0"/>
          <w:marBottom w:val="0"/>
          <w:divBdr>
            <w:top w:val="none" w:sz="0" w:space="0" w:color="auto"/>
            <w:left w:val="none" w:sz="0" w:space="0" w:color="auto"/>
            <w:bottom w:val="none" w:sz="0" w:space="0" w:color="auto"/>
            <w:right w:val="none" w:sz="0" w:space="0" w:color="auto"/>
          </w:divBdr>
          <w:divsChild>
            <w:div w:id="1856113512">
              <w:marLeft w:val="0"/>
              <w:marRight w:val="0"/>
              <w:marTop w:val="0"/>
              <w:marBottom w:val="0"/>
              <w:divBdr>
                <w:top w:val="none" w:sz="0" w:space="0" w:color="auto"/>
                <w:left w:val="none" w:sz="0" w:space="0" w:color="auto"/>
                <w:bottom w:val="none" w:sz="0" w:space="0" w:color="auto"/>
                <w:right w:val="none" w:sz="0" w:space="0" w:color="auto"/>
              </w:divBdr>
              <w:divsChild>
                <w:div w:id="402529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6378206">
      <w:bodyDiv w:val="1"/>
      <w:marLeft w:val="0"/>
      <w:marRight w:val="0"/>
      <w:marTop w:val="0"/>
      <w:marBottom w:val="0"/>
      <w:divBdr>
        <w:top w:val="none" w:sz="0" w:space="0" w:color="auto"/>
        <w:left w:val="none" w:sz="0" w:space="0" w:color="auto"/>
        <w:bottom w:val="none" w:sz="0" w:space="0" w:color="auto"/>
        <w:right w:val="none" w:sz="0" w:space="0" w:color="auto"/>
      </w:divBdr>
      <w:divsChild>
        <w:div w:id="1246576892">
          <w:marLeft w:val="0"/>
          <w:marRight w:val="0"/>
          <w:marTop w:val="0"/>
          <w:marBottom w:val="0"/>
          <w:divBdr>
            <w:top w:val="none" w:sz="0" w:space="0" w:color="auto"/>
            <w:left w:val="none" w:sz="0" w:space="0" w:color="auto"/>
            <w:bottom w:val="none" w:sz="0" w:space="0" w:color="auto"/>
            <w:right w:val="none" w:sz="0" w:space="0" w:color="auto"/>
          </w:divBdr>
          <w:divsChild>
            <w:div w:id="284777851">
              <w:marLeft w:val="0"/>
              <w:marRight w:val="0"/>
              <w:marTop w:val="0"/>
              <w:marBottom w:val="0"/>
              <w:divBdr>
                <w:top w:val="none" w:sz="0" w:space="0" w:color="auto"/>
                <w:left w:val="none" w:sz="0" w:space="0" w:color="auto"/>
                <w:bottom w:val="none" w:sz="0" w:space="0" w:color="auto"/>
                <w:right w:val="none" w:sz="0" w:space="0" w:color="auto"/>
              </w:divBdr>
              <w:divsChild>
                <w:div w:id="86194350">
                  <w:marLeft w:val="0"/>
                  <w:marRight w:val="0"/>
                  <w:marTop w:val="0"/>
                  <w:marBottom w:val="0"/>
                  <w:divBdr>
                    <w:top w:val="none" w:sz="0" w:space="0" w:color="auto"/>
                    <w:left w:val="none" w:sz="0" w:space="0" w:color="auto"/>
                    <w:bottom w:val="none" w:sz="0" w:space="0" w:color="auto"/>
                    <w:right w:val="none" w:sz="0" w:space="0" w:color="auto"/>
                  </w:divBdr>
                  <w:divsChild>
                    <w:div w:id="778572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8618279">
      <w:bodyDiv w:val="1"/>
      <w:marLeft w:val="0"/>
      <w:marRight w:val="0"/>
      <w:marTop w:val="0"/>
      <w:marBottom w:val="0"/>
      <w:divBdr>
        <w:top w:val="none" w:sz="0" w:space="0" w:color="auto"/>
        <w:left w:val="none" w:sz="0" w:space="0" w:color="auto"/>
        <w:bottom w:val="none" w:sz="0" w:space="0" w:color="auto"/>
        <w:right w:val="none" w:sz="0" w:space="0" w:color="auto"/>
      </w:divBdr>
    </w:div>
    <w:div w:id="240066388">
      <w:bodyDiv w:val="1"/>
      <w:marLeft w:val="0"/>
      <w:marRight w:val="0"/>
      <w:marTop w:val="0"/>
      <w:marBottom w:val="0"/>
      <w:divBdr>
        <w:top w:val="none" w:sz="0" w:space="0" w:color="auto"/>
        <w:left w:val="none" w:sz="0" w:space="0" w:color="auto"/>
        <w:bottom w:val="none" w:sz="0" w:space="0" w:color="auto"/>
        <w:right w:val="none" w:sz="0" w:space="0" w:color="auto"/>
      </w:divBdr>
      <w:divsChild>
        <w:div w:id="1305814943">
          <w:marLeft w:val="0"/>
          <w:marRight w:val="0"/>
          <w:marTop w:val="0"/>
          <w:marBottom w:val="0"/>
          <w:divBdr>
            <w:top w:val="none" w:sz="0" w:space="0" w:color="auto"/>
            <w:left w:val="none" w:sz="0" w:space="0" w:color="auto"/>
            <w:bottom w:val="none" w:sz="0" w:space="0" w:color="auto"/>
            <w:right w:val="none" w:sz="0" w:space="0" w:color="auto"/>
          </w:divBdr>
          <w:divsChild>
            <w:div w:id="960112441">
              <w:marLeft w:val="0"/>
              <w:marRight w:val="0"/>
              <w:marTop w:val="0"/>
              <w:marBottom w:val="0"/>
              <w:divBdr>
                <w:top w:val="none" w:sz="0" w:space="0" w:color="auto"/>
                <w:left w:val="none" w:sz="0" w:space="0" w:color="auto"/>
                <w:bottom w:val="none" w:sz="0" w:space="0" w:color="auto"/>
                <w:right w:val="none" w:sz="0" w:space="0" w:color="auto"/>
              </w:divBdr>
              <w:divsChild>
                <w:div w:id="30998593">
                  <w:marLeft w:val="0"/>
                  <w:marRight w:val="0"/>
                  <w:marTop w:val="0"/>
                  <w:marBottom w:val="0"/>
                  <w:divBdr>
                    <w:top w:val="none" w:sz="0" w:space="0" w:color="auto"/>
                    <w:left w:val="none" w:sz="0" w:space="0" w:color="auto"/>
                    <w:bottom w:val="none" w:sz="0" w:space="0" w:color="auto"/>
                    <w:right w:val="none" w:sz="0" w:space="0" w:color="auto"/>
                  </w:divBdr>
                  <w:divsChild>
                    <w:div w:id="1441997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4898506">
      <w:bodyDiv w:val="1"/>
      <w:marLeft w:val="0"/>
      <w:marRight w:val="0"/>
      <w:marTop w:val="0"/>
      <w:marBottom w:val="0"/>
      <w:divBdr>
        <w:top w:val="none" w:sz="0" w:space="0" w:color="auto"/>
        <w:left w:val="none" w:sz="0" w:space="0" w:color="auto"/>
        <w:bottom w:val="none" w:sz="0" w:space="0" w:color="auto"/>
        <w:right w:val="none" w:sz="0" w:space="0" w:color="auto"/>
      </w:divBdr>
      <w:divsChild>
        <w:div w:id="1899366264">
          <w:marLeft w:val="0"/>
          <w:marRight w:val="0"/>
          <w:marTop w:val="0"/>
          <w:marBottom w:val="0"/>
          <w:divBdr>
            <w:top w:val="none" w:sz="0" w:space="0" w:color="auto"/>
            <w:left w:val="none" w:sz="0" w:space="0" w:color="auto"/>
            <w:bottom w:val="none" w:sz="0" w:space="0" w:color="auto"/>
            <w:right w:val="none" w:sz="0" w:space="0" w:color="auto"/>
          </w:divBdr>
          <w:divsChild>
            <w:div w:id="2091459823">
              <w:marLeft w:val="0"/>
              <w:marRight w:val="0"/>
              <w:marTop w:val="0"/>
              <w:marBottom w:val="0"/>
              <w:divBdr>
                <w:top w:val="none" w:sz="0" w:space="0" w:color="auto"/>
                <w:left w:val="none" w:sz="0" w:space="0" w:color="auto"/>
                <w:bottom w:val="none" w:sz="0" w:space="0" w:color="auto"/>
                <w:right w:val="none" w:sz="0" w:space="0" w:color="auto"/>
              </w:divBdr>
              <w:divsChild>
                <w:div w:id="856044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5235683">
      <w:bodyDiv w:val="1"/>
      <w:marLeft w:val="0"/>
      <w:marRight w:val="0"/>
      <w:marTop w:val="0"/>
      <w:marBottom w:val="0"/>
      <w:divBdr>
        <w:top w:val="none" w:sz="0" w:space="0" w:color="auto"/>
        <w:left w:val="none" w:sz="0" w:space="0" w:color="auto"/>
        <w:bottom w:val="none" w:sz="0" w:space="0" w:color="auto"/>
        <w:right w:val="none" w:sz="0" w:space="0" w:color="auto"/>
      </w:divBdr>
      <w:divsChild>
        <w:div w:id="810444324">
          <w:marLeft w:val="0"/>
          <w:marRight w:val="0"/>
          <w:marTop w:val="0"/>
          <w:marBottom w:val="0"/>
          <w:divBdr>
            <w:top w:val="none" w:sz="0" w:space="0" w:color="auto"/>
            <w:left w:val="none" w:sz="0" w:space="0" w:color="auto"/>
            <w:bottom w:val="none" w:sz="0" w:space="0" w:color="auto"/>
            <w:right w:val="none" w:sz="0" w:space="0" w:color="auto"/>
          </w:divBdr>
        </w:div>
      </w:divsChild>
    </w:div>
    <w:div w:id="323436341">
      <w:bodyDiv w:val="1"/>
      <w:marLeft w:val="0"/>
      <w:marRight w:val="0"/>
      <w:marTop w:val="0"/>
      <w:marBottom w:val="0"/>
      <w:divBdr>
        <w:top w:val="none" w:sz="0" w:space="0" w:color="auto"/>
        <w:left w:val="none" w:sz="0" w:space="0" w:color="auto"/>
        <w:bottom w:val="none" w:sz="0" w:space="0" w:color="auto"/>
        <w:right w:val="none" w:sz="0" w:space="0" w:color="auto"/>
      </w:divBdr>
      <w:divsChild>
        <w:div w:id="1516067395">
          <w:marLeft w:val="461"/>
          <w:marRight w:val="0"/>
          <w:marTop w:val="0"/>
          <w:marBottom w:val="240"/>
          <w:divBdr>
            <w:top w:val="none" w:sz="0" w:space="0" w:color="auto"/>
            <w:left w:val="none" w:sz="0" w:space="0" w:color="auto"/>
            <w:bottom w:val="none" w:sz="0" w:space="0" w:color="auto"/>
            <w:right w:val="none" w:sz="0" w:space="0" w:color="auto"/>
          </w:divBdr>
        </w:div>
        <w:div w:id="366033084">
          <w:marLeft w:val="461"/>
          <w:marRight w:val="0"/>
          <w:marTop w:val="0"/>
          <w:marBottom w:val="240"/>
          <w:divBdr>
            <w:top w:val="none" w:sz="0" w:space="0" w:color="auto"/>
            <w:left w:val="none" w:sz="0" w:space="0" w:color="auto"/>
            <w:bottom w:val="none" w:sz="0" w:space="0" w:color="auto"/>
            <w:right w:val="none" w:sz="0" w:space="0" w:color="auto"/>
          </w:divBdr>
        </w:div>
      </w:divsChild>
    </w:div>
    <w:div w:id="324479906">
      <w:bodyDiv w:val="1"/>
      <w:marLeft w:val="0"/>
      <w:marRight w:val="0"/>
      <w:marTop w:val="0"/>
      <w:marBottom w:val="0"/>
      <w:divBdr>
        <w:top w:val="none" w:sz="0" w:space="0" w:color="auto"/>
        <w:left w:val="none" w:sz="0" w:space="0" w:color="auto"/>
        <w:bottom w:val="none" w:sz="0" w:space="0" w:color="auto"/>
        <w:right w:val="none" w:sz="0" w:space="0" w:color="auto"/>
      </w:divBdr>
      <w:divsChild>
        <w:div w:id="1587691655">
          <w:marLeft w:val="0"/>
          <w:marRight w:val="0"/>
          <w:marTop w:val="0"/>
          <w:marBottom w:val="0"/>
          <w:divBdr>
            <w:top w:val="none" w:sz="0" w:space="0" w:color="auto"/>
            <w:left w:val="none" w:sz="0" w:space="0" w:color="auto"/>
            <w:bottom w:val="none" w:sz="0" w:space="0" w:color="auto"/>
            <w:right w:val="none" w:sz="0" w:space="0" w:color="auto"/>
          </w:divBdr>
          <w:divsChild>
            <w:div w:id="402144660">
              <w:marLeft w:val="0"/>
              <w:marRight w:val="0"/>
              <w:marTop w:val="0"/>
              <w:marBottom w:val="0"/>
              <w:divBdr>
                <w:top w:val="none" w:sz="0" w:space="0" w:color="auto"/>
                <w:left w:val="none" w:sz="0" w:space="0" w:color="auto"/>
                <w:bottom w:val="none" w:sz="0" w:space="0" w:color="auto"/>
                <w:right w:val="none" w:sz="0" w:space="0" w:color="auto"/>
              </w:divBdr>
              <w:divsChild>
                <w:div w:id="95296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5015883">
      <w:bodyDiv w:val="1"/>
      <w:marLeft w:val="0"/>
      <w:marRight w:val="0"/>
      <w:marTop w:val="0"/>
      <w:marBottom w:val="0"/>
      <w:divBdr>
        <w:top w:val="none" w:sz="0" w:space="0" w:color="auto"/>
        <w:left w:val="none" w:sz="0" w:space="0" w:color="auto"/>
        <w:bottom w:val="none" w:sz="0" w:space="0" w:color="auto"/>
        <w:right w:val="none" w:sz="0" w:space="0" w:color="auto"/>
      </w:divBdr>
    </w:div>
    <w:div w:id="337923453">
      <w:bodyDiv w:val="1"/>
      <w:marLeft w:val="0"/>
      <w:marRight w:val="0"/>
      <w:marTop w:val="0"/>
      <w:marBottom w:val="0"/>
      <w:divBdr>
        <w:top w:val="none" w:sz="0" w:space="0" w:color="auto"/>
        <w:left w:val="none" w:sz="0" w:space="0" w:color="auto"/>
        <w:bottom w:val="none" w:sz="0" w:space="0" w:color="auto"/>
        <w:right w:val="none" w:sz="0" w:space="0" w:color="auto"/>
      </w:divBdr>
    </w:div>
    <w:div w:id="342708892">
      <w:bodyDiv w:val="1"/>
      <w:marLeft w:val="0"/>
      <w:marRight w:val="0"/>
      <w:marTop w:val="0"/>
      <w:marBottom w:val="0"/>
      <w:divBdr>
        <w:top w:val="none" w:sz="0" w:space="0" w:color="auto"/>
        <w:left w:val="none" w:sz="0" w:space="0" w:color="auto"/>
        <w:bottom w:val="none" w:sz="0" w:space="0" w:color="auto"/>
        <w:right w:val="none" w:sz="0" w:space="0" w:color="auto"/>
      </w:divBdr>
      <w:divsChild>
        <w:div w:id="1140423762">
          <w:marLeft w:val="0"/>
          <w:marRight w:val="0"/>
          <w:marTop w:val="0"/>
          <w:marBottom w:val="0"/>
          <w:divBdr>
            <w:top w:val="none" w:sz="0" w:space="0" w:color="auto"/>
            <w:left w:val="none" w:sz="0" w:space="0" w:color="auto"/>
            <w:bottom w:val="none" w:sz="0" w:space="0" w:color="auto"/>
            <w:right w:val="none" w:sz="0" w:space="0" w:color="auto"/>
          </w:divBdr>
          <w:divsChild>
            <w:div w:id="1542553447">
              <w:marLeft w:val="0"/>
              <w:marRight w:val="0"/>
              <w:marTop w:val="0"/>
              <w:marBottom w:val="0"/>
              <w:divBdr>
                <w:top w:val="none" w:sz="0" w:space="0" w:color="auto"/>
                <w:left w:val="none" w:sz="0" w:space="0" w:color="auto"/>
                <w:bottom w:val="none" w:sz="0" w:space="0" w:color="auto"/>
                <w:right w:val="none" w:sz="0" w:space="0" w:color="auto"/>
              </w:divBdr>
              <w:divsChild>
                <w:div w:id="1115364196">
                  <w:marLeft w:val="0"/>
                  <w:marRight w:val="0"/>
                  <w:marTop w:val="0"/>
                  <w:marBottom w:val="0"/>
                  <w:divBdr>
                    <w:top w:val="none" w:sz="0" w:space="0" w:color="auto"/>
                    <w:left w:val="none" w:sz="0" w:space="0" w:color="auto"/>
                    <w:bottom w:val="none" w:sz="0" w:space="0" w:color="auto"/>
                    <w:right w:val="none" w:sz="0" w:space="0" w:color="auto"/>
                  </w:divBdr>
                  <w:divsChild>
                    <w:div w:id="411002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2417930">
      <w:bodyDiv w:val="1"/>
      <w:marLeft w:val="0"/>
      <w:marRight w:val="0"/>
      <w:marTop w:val="0"/>
      <w:marBottom w:val="0"/>
      <w:divBdr>
        <w:top w:val="none" w:sz="0" w:space="0" w:color="auto"/>
        <w:left w:val="none" w:sz="0" w:space="0" w:color="auto"/>
        <w:bottom w:val="none" w:sz="0" w:space="0" w:color="auto"/>
        <w:right w:val="none" w:sz="0" w:space="0" w:color="auto"/>
      </w:divBdr>
      <w:divsChild>
        <w:div w:id="1659378150">
          <w:marLeft w:val="0"/>
          <w:marRight w:val="0"/>
          <w:marTop w:val="0"/>
          <w:marBottom w:val="0"/>
          <w:divBdr>
            <w:top w:val="none" w:sz="0" w:space="0" w:color="auto"/>
            <w:left w:val="none" w:sz="0" w:space="0" w:color="auto"/>
            <w:bottom w:val="none" w:sz="0" w:space="0" w:color="auto"/>
            <w:right w:val="none" w:sz="0" w:space="0" w:color="auto"/>
          </w:divBdr>
          <w:divsChild>
            <w:div w:id="487331023">
              <w:marLeft w:val="0"/>
              <w:marRight w:val="0"/>
              <w:marTop w:val="0"/>
              <w:marBottom w:val="0"/>
              <w:divBdr>
                <w:top w:val="none" w:sz="0" w:space="0" w:color="auto"/>
                <w:left w:val="none" w:sz="0" w:space="0" w:color="auto"/>
                <w:bottom w:val="none" w:sz="0" w:space="0" w:color="auto"/>
                <w:right w:val="none" w:sz="0" w:space="0" w:color="auto"/>
              </w:divBdr>
              <w:divsChild>
                <w:div w:id="267392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6009665">
      <w:bodyDiv w:val="1"/>
      <w:marLeft w:val="0"/>
      <w:marRight w:val="0"/>
      <w:marTop w:val="0"/>
      <w:marBottom w:val="0"/>
      <w:divBdr>
        <w:top w:val="none" w:sz="0" w:space="0" w:color="auto"/>
        <w:left w:val="none" w:sz="0" w:space="0" w:color="auto"/>
        <w:bottom w:val="none" w:sz="0" w:space="0" w:color="auto"/>
        <w:right w:val="none" w:sz="0" w:space="0" w:color="auto"/>
      </w:divBdr>
      <w:divsChild>
        <w:div w:id="896667549">
          <w:marLeft w:val="0"/>
          <w:marRight w:val="0"/>
          <w:marTop w:val="0"/>
          <w:marBottom w:val="0"/>
          <w:divBdr>
            <w:top w:val="none" w:sz="0" w:space="0" w:color="auto"/>
            <w:left w:val="none" w:sz="0" w:space="0" w:color="auto"/>
            <w:bottom w:val="none" w:sz="0" w:space="0" w:color="auto"/>
            <w:right w:val="none" w:sz="0" w:space="0" w:color="auto"/>
          </w:divBdr>
          <w:divsChild>
            <w:div w:id="2061978540">
              <w:marLeft w:val="0"/>
              <w:marRight w:val="0"/>
              <w:marTop w:val="0"/>
              <w:marBottom w:val="0"/>
              <w:divBdr>
                <w:top w:val="none" w:sz="0" w:space="0" w:color="auto"/>
                <w:left w:val="none" w:sz="0" w:space="0" w:color="auto"/>
                <w:bottom w:val="none" w:sz="0" w:space="0" w:color="auto"/>
                <w:right w:val="none" w:sz="0" w:space="0" w:color="auto"/>
              </w:divBdr>
              <w:divsChild>
                <w:div w:id="605384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6666039">
      <w:bodyDiv w:val="1"/>
      <w:marLeft w:val="0"/>
      <w:marRight w:val="0"/>
      <w:marTop w:val="0"/>
      <w:marBottom w:val="0"/>
      <w:divBdr>
        <w:top w:val="none" w:sz="0" w:space="0" w:color="auto"/>
        <w:left w:val="none" w:sz="0" w:space="0" w:color="auto"/>
        <w:bottom w:val="none" w:sz="0" w:space="0" w:color="auto"/>
        <w:right w:val="none" w:sz="0" w:space="0" w:color="auto"/>
      </w:divBdr>
    </w:div>
    <w:div w:id="371199212">
      <w:bodyDiv w:val="1"/>
      <w:marLeft w:val="0"/>
      <w:marRight w:val="0"/>
      <w:marTop w:val="0"/>
      <w:marBottom w:val="0"/>
      <w:divBdr>
        <w:top w:val="none" w:sz="0" w:space="0" w:color="auto"/>
        <w:left w:val="none" w:sz="0" w:space="0" w:color="auto"/>
        <w:bottom w:val="none" w:sz="0" w:space="0" w:color="auto"/>
        <w:right w:val="none" w:sz="0" w:space="0" w:color="auto"/>
      </w:divBdr>
      <w:divsChild>
        <w:div w:id="1787964409">
          <w:marLeft w:val="0"/>
          <w:marRight w:val="0"/>
          <w:marTop w:val="0"/>
          <w:marBottom w:val="0"/>
          <w:divBdr>
            <w:top w:val="none" w:sz="0" w:space="0" w:color="auto"/>
            <w:left w:val="none" w:sz="0" w:space="0" w:color="auto"/>
            <w:bottom w:val="none" w:sz="0" w:space="0" w:color="auto"/>
            <w:right w:val="none" w:sz="0" w:space="0" w:color="auto"/>
          </w:divBdr>
          <w:divsChild>
            <w:div w:id="310603223">
              <w:marLeft w:val="0"/>
              <w:marRight w:val="0"/>
              <w:marTop w:val="0"/>
              <w:marBottom w:val="0"/>
              <w:divBdr>
                <w:top w:val="none" w:sz="0" w:space="0" w:color="auto"/>
                <w:left w:val="none" w:sz="0" w:space="0" w:color="auto"/>
                <w:bottom w:val="none" w:sz="0" w:space="0" w:color="auto"/>
                <w:right w:val="none" w:sz="0" w:space="0" w:color="auto"/>
              </w:divBdr>
              <w:divsChild>
                <w:div w:id="1731152091">
                  <w:marLeft w:val="0"/>
                  <w:marRight w:val="0"/>
                  <w:marTop w:val="0"/>
                  <w:marBottom w:val="0"/>
                  <w:divBdr>
                    <w:top w:val="none" w:sz="0" w:space="0" w:color="auto"/>
                    <w:left w:val="none" w:sz="0" w:space="0" w:color="auto"/>
                    <w:bottom w:val="none" w:sz="0" w:space="0" w:color="auto"/>
                    <w:right w:val="none" w:sz="0" w:space="0" w:color="auto"/>
                  </w:divBdr>
                  <w:divsChild>
                    <w:div w:id="187761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4330830">
      <w:bodyDiv w:val="1"/>
      <w:marLeft w:val="0"/>
      <w:marRight w:val="0"/>
      <w:marTop w:val="0"/>
      <w:marBottom w:val="0"/>
      <w:divBdr>
        <w:top w:val="none" w:sz="0" w:space="0" w:color="auto"/>
        <w:left w:val="none" w:sz="0" w:space="0" w:color="auto"/>
        <w:bottom w:val="none" w:sz="0" w:space="0" w:color="auto"/>
        <w:right w:val="none" w:sz="0" w:space="0" w:color="auto"/>
      </w:divBdr>
      <w:divsChild>
        <w:div w:id="395393802">
          <w:marLeft w:val="0"/>
          <w:marRight w:val="0"/>
          <w:marTop w:val="0"/>
          <w:marBottom w:val="0"/>
          <w:divBdr>
            <w:top w:val="none" w:sz="0" w:space="0" w:color="auto"/>
            <w:left w:val="none" w:sz="0" w:space="0" w:color="auto"/>
            <w:bottom w:val="none" w:sz="0" w:space="0" w:color="auto"/>
            <w:right w:val="none" w:sz="0" w:space="0" w:color="auto"/>
          </w:divBdr>
          <w:divsChild>
            <w:div w:id="114714395">
              <w:marLeft w:val="0"/>
              <w:marRight w:val="0"/>
              <w:marTop w:val="0"/>
              <w:marBottom w:val="0"/>
              <w:divBdr>
                <w:top w:val="none" w:sz="0" w:space="0" w:color="auto"/>
                <w:left w:val="none" w:sz="0" w:space="0" w:color="auto"/>
                <w:bottom w:val="none" w:sz="0" w:space="0" w:color="auto"/>
                <w:right w:val="none" w:sz="0" w:space="0" w:color="auto"/>
              </w:divBdr>
              <w:divsChild>
                <w:div w:id="217057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6803361">
      <w:bodyDiv w:val="1"/>
      <w:marLeft w:val="0"/>
      <w:marRight w:val="0"/>
      <w:marTop w:val="0"/>
      <w:marBottom w:val="0"/>
      <w:divBdr>
        <w:top w:val="none" w:sz="0" w:space="0" w:color="auto"/>
        <w:left w:val="none" w:sz="0" w:space="0" w:color="auto"/>
        <w:bottom w:val="none" w:sz="0" w:space="0" w:color="auto"/>
        <w:right w:val="none" w:sz="0" w:space="0" w:color="auto"/>
      </w:divBdr>
      <w:divsChild>
        <w:div w:id="646054849">
          <w:marLeft w:val="0"/>
          <w:marRight w:val="0"/>
          <w:marTop w:val="0"/>
          <w:marBottom w:val="0"/>
          <w:divBdr>
            <w:top w:val="none" w:sz="0" w:space="0" w:color="auto"/>
            <w:left w:val="none" w:sz="0" w:space="0" w:color="auto"/>
            <w:bottom w:val="none" w:sz="0" w:space="0" w:color="auto"/>
            <w:right w:val="none" w:sz="0" w:space="0" w:color="auto"/>
          </w:divBdr>
          <w:divsChild>
            <w:div w:id="348530298">
              <w:marLeft w:val="0"/>
              <w:marRight w:val="0"/>
              <w:marTop w:val="0"/>
              <w:marBottom w:val="0"/>
              <w:divBdr>
                <w:top w:val="none" w:sz="0" w:space="0" w:color="auto"/>
                <w:left w:val="none" w:sz="0" w:space="0" w:color="auto"/>
                <w:bottom w:val="none" w:sz="0" w:space="0" w:color="auto"/>
                <w:right w:val="none" w:sz="0" w:space="0" w:color="auto"/>
              </w:divBdr>
              <w:divsChild>
                <w:div w:id="1451780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1529729">
      <w:bodyDiv w:val="1"/>
      <w:marLeft w:val="0"/>
      <w:marRight w:val="0"/>
      <w:marTop w:val="0"/>
      <w:marBottom w:val="0"/>
      <w:divBdr>
        <w:top w:val="none" w:sz="0" w:space="0" w:color="auto"/>
        <w:left w:val="none" w:sz="0" w:space="0" w:color="auto"/>
        <w:bottom w:val="none" w:sz="0" w:space="0" w:color="auto"/>
        <w:right w:val="none" w:sz="0" w:space="0" w:color="auto"/>
      </w:divBdr>
      <w:divsChild>
        <w:div w:id="916868179">
          <w:marLeft w:val="0"/>
          <w:marRight w:val="0"/>
          <w:marTop w:val="0"/>
          <w:marBottom w:val="0"/>
          <w:divBdr>
            <w:top w:val="none" w:sz="0" w:space="0" w:color="auto"/>
            <w:left w:val="none" w:sz="0" w:space="0" w:color="auto"/>
            <w:bottom w:val="none" w:sz="0" w:space="0" w:color="auto"/>
            <w:right w:val="none" w:sz="0" w:space="0" w:color="auto"/>
          </w:divBdr>
          <w:divsChild>
            <w:div w:id="761343841">
              <w:marLeft w:val="0"/>
              <w:marRight w:val="0"/>
              <w:marTop w:val="0"/>
              <w:marBottom w:val="0"/>
              <w:divBdr>
                <w:top w:val="none" w:sz="0" w:space="0" w:color="auto"/>
                <w:left w:val="none" w:sz="0" w:space="0" w:color="auto"/>
                <w:bottom w:val="none" w:sz="0" w:space="0" w:color="auto"/>
                <w:right w:val="none" w:sz="0" w:space="0" w:color="auto"/>
              </w:divBdr>
              <w:divsChild>
                <w:div w:id="1854027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9594372">
      <w:bodyDiv w:val="1"/>
      <w:marLeft w:val="0"/>
      <w:marRight w:val="0"/>
      <w:marTop w:val="0"/>
      <w:marBottom w:val="0"/>
      <w:divBdr>
        <w:top w:val="none" w:sz="0" w:space="0" w:color="auto"/>
        <w:left w:val="none" w:sz="0" w:space="0" w:color="auto"/>
        <w:bottom w:val="none" w:sz="0" w:space="0" w:color="auto"/>
        <w:right w:val="none" w:sz="0" w:space="0" w:color="auto"/>
      </w:divBdr>
    </w:div>
    <w:div w:id="453793304">
      <w:bodyDiv w:val="1"/>
      <w:marLeft w:val="0"/>
      <w:marRight w:val="0"/>
      <w:marTop w:val="0"/>
      <w:marBottom w:val="0"/>
      <w:divBdr>
        <w:top w:val="none" w:sz="0" w:space="0" w:color="auto"/>
        <w:left w:val="none" w:sz="0" w:space="0" w:color="auto"/>
        <w:bottom w:val="none" w:sz="0" w:space="0" w:color="auto"/>
        <w:right w:val="none" w:sz="0" w:space="0" w:color="auto"/>
      </w:divBdr>
      <w:divsChild>
        <w:div w:id="458305336">
          <w:marLeft w:val="0"/>
          <w:marRight w:val="0"/>
          <w:marTop w:val="0"/>
          <w:marBottom w:val="0"/>
          <w:divBdr>
            <w:top w:val="none" w:sz="0" w:space="0" w:color="auto"/>
            <w:left w:val="none" w:sz="0" w:space="0" w:color="auto"/>
            <w:bottom w:val="none" w:sz="0" w:space="0" w:color="auto"/>
            <w:right w:val="none" w:sz="0" w:space="0" w:color="auto"/>
          </w:divBdr>
          <w:divsChild>
            <w:div w:id="850878688">
              <w:marLeft w:val="0"/>
              <w:marRight w:val="0"/>
              <w:marTop w:val="0"/>
              <w:marBottom w:val="0"/>
              <w:divBdr>
                <w:top w:val="none" w:sz="0" w:space="0" w:color="auto"/>
                <w:left w:val="none" w:sz="0" w:space="0" w:color="auto"/>
                <w:bottom w:val="none" w:sz="0" w:space="0" w:color="auto"/>
                <w:right w:val="none" w:sz="0" w:space="0" w:color="auto"/>
              </w:divBdr>
              <w:divsChild>
                <w:div w:id="262960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3475195">
      <w:bodyDiv w:val="1"/>
      <w:marLeft w:val="0"/>
      <w:marRight w:val="0"/>
      <w:marTop w:val="0"/>
      <w:marBottom w:val="0"/>
      <w:divBdr>
        <w:top w:val="none" w:sz="0" w:space="0" w:color="auto"/>
        <w:left w:val="none" w:sz="0" w:space="0" w:color="auto"/>
        <w:bottom w:val="none" w:sz="0" w:space="0" w:color="auto"/>
        <w:right w:val="none" w:sz="0" w:space="0" w:color="auto"/>
      </w:divBdr>
    </w:div>
    <w:div w:id="469708463">
      <w:bodyDiv w:val="1"/>
      <w:marLeft w:val="0"/>
      <w:marRight w:val="0"/>
      <w:marTop w:val="0"/>
      <w:marBottom w:val="0"/>
      <w:divBdr>
        <w:top w:val="none" w:sz="0" w:space="0" w:color="auto"/>
        <w:left w:val="none" w:sz="0" w:space="0" w:color="auto"/>
        <w:bottom w:val="none" w:sz="0" w:space="0" w:color="auto"/>
        <w:right w:val="none" w:sz="0" w:space="0" w:color="auto"/>
      </w:divBdr>
      <w:divsChild>
        <w:div w:id="1957714277">
          <w:marLeft w:val="0"/>
          <w:marRight w:val="0"/>
          <w:marTop w:val="0"/>
          <w:marBottom w:val="0"/>
          <w:divBdr>
            <w:top w:val="none" w:sz="0" w:space="0" w:color="auto"/>
            <w:left w:val="none" w:sz="0" w:space="0" w:color="auto"/>
            <w:bottom w:val="none" w:sz="0" w:space="0" w:color="auto"/>
            <w:right w:val="none" w:sz="0" w:space="0" w:color="auto"/>
          </w:divBdr>
          <w:divsChild>
            <w:div w:id="393283941">
              <w:marLeft w:val="0"/>
              <w:marRight w:val="0"/>
              <w:marTop w:val="0"/>
              <w:marBottom w:val="0"/>
              <w:divBdr>
                <w:top w:val="none" w:sz="0" w:space="0" w:color="auto"/>
                <w:left w:val="none" w:sz="0" w:space="0" w:color="auto"/>
                <w:bottom w:val="none" w:sz="0" w:space="0" w:color="auto"/>
                <w:right w:val="none" w:sz="0" w:space="0" w:color="auto"/>
              </w:divBdr>
              <w:divsChild>
                <w:div w:id="1280334675">
                  <w:marLeft w:val="0"/>
                  <w:marRight w:val="0"/>
                  <w:marTop w:val="0"/>
                  <w:marBottom w:val="0"/>
                  <w:divBdr>
                    <w:top w:val="none" w:sz="0" w:space="0" w:color="auto"/>
                    <w:left w:val="none" w:sz="0" w:space="0" w:color="auto"/>
                    <w:bottom w:val="none" w:sz="0" w:space="0" w:color="auto"/>
                    <w:right w:val="none" w:sz="0" w:space="0" w:color="auto"/>
                  </w:divBdr>
                  <w:divsChild>
                    <w:div w:id="1636373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0483895">
      <w:bodyDiv w:val="1"/>
      <w:marLeft w:val="0"/>
      <w:marRight w:val="0"/>
      <w:marTop w:val="0"/>
      <w:marBottom w:val="0"/>
      <w:divBdr>
        <w:top w:val="none" w:sz="0" w:space="0" w:color="auto"/>
        <w:left w:val="none" w:sz="0" w:space="0" w:color="auto"/>
        <w:bottom w:val="none" w:sz="0" w:space="0" w:color="auto"/>
        <w:right w:val="none" w:sz="0" w:space="0" w:color="auto"/>
      </w:divBdr>
    </w:div>
    <w:div w:id="490871184">
      <w:bodyDiv w:val="1"/>
      <w:marLeft w:val="0"/>
      <w:marRight w:val="0"/>
      <w:marTop w:val="0"/>
      <w:marBottom w:val="0"/>
      <w:divBdr>
        <w:top w:val="none" w:sz="0" w:space="0" w:color="auto"/>
        <w:left w:val="none" w:sz="0" w:space="0" w:color="auto"/>
        <w:bottom w:val="none" w:sz="0" w:space="0" w:color="auto"/>
        <w:right w:val="none" w:sz="0" w:space="0" w:color="auto"/>
      </w:divBdr>
      <w:divsChild>
        <w:div w:id="653686009">
          <w:marLeft w:val="0"/>
          <w:marRight w:val="0"/>
          <w:marTop w:val="0"/>
          <w:marBottom w:val="0"/>
          <w:divBdr>
            <w:top w:val="none" w:sz="0" w:space="0" w:color="auto"/>
            <w:left w:val="none" w:sz="0" w:space="0" w:color="auto"/>
            <w:bottom w:val="none" w:sz="0" w:space="0" w:color="auto"/>
            <w:right w:val="none" w:sz="0" w:space="0" w:color="auto"/>
          </w:divBdr>
          <w:divsChild>
            <w:div w:id="1438405602">
              <w:marLeft w:val="0"/>
              <w:marRight w:val="0"/>
              <w:marTop w:val="0"/>
              <w:marBottom w:val="0"/>
              <w:divBdr>
                <w:top w:val="none" w:sz="0" w:space="0" w:color="auto"/>
                <w:left w:val="none" w:sz="0" w:space="0" w:color="auto"/>
                <w:bottom w:val="none" w:sz="0" w:space="0" w:color="auto"/>
                <w:right w:val="none" w:sz="0" w:space="0" w:color="auto"/>
              </w:divBdr>
              <w:divsChild>
                <w:div w:id="2074237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1406767">
      <w:bodyDiv w:val="1"/>
      <w:marLeft w:val="0"/>
      <w:marRight w:val="0"/>
      <w:marTop w:val="0"/>
      <w:marBottom w:val="0"/>
      <w:divBdr>
        <w:top w:val="none" w:sz="0" w:space="0" w:color="auto"/>
        <w:left w:val="none" w:sz="0" w:space="0" w:color="auto"/>
        <w:bottom w:val="none" w:sz="0" w:space="0" w:color="auto"/>
        <w:right w:val="none" w:sz="0" w:space="0" w:color="auto"/>
      </w:divBdr>
    </w:div>
    <w:div w:id="493954650">
      <w:bodyDiv w:val="1"/>
      <w:marLeft w:val="0"/>
      <w:marRight w:val="0"/>
      <w:marTop w:val="0"/>
      <w:marBottom w:val="0"/>
      <w:divBdr>
        <w:top w:val="none" w:sz="0" w:space="0" w:color="auto"/>
        <w:left w:val="none" w:sz="0" w:space="0" w:color="auto"/>
        <w:bottom w:val="none" w:sz="0" w:space="0" w:color="auto"/>
        <w:right w:val="none" w:sz="0" w:space="0" w:color="auto"/>
      </w:divBdr>
      <w:divsChild>
        <w:div w:id="1483425431">
          <w:marLeft w:val="0"/>
          <w:marRight w:val="0"/>
          <w:marTop w:val="0"/>
          <w:marBottom w:val="0"/>
          <w:divBdr>
            <w:top w:val="none" w:sz="0" w:space="0" w:color="auto"/>
            <w:left w:val="none" w:sz="0" w:space="0" w:color="auto"/>
            <w:bottom w:val="none" w:sz="0" w:space="0" w:color="auto"/>
            <w:right w:val="none" w:sz="0" w:space="0" w:color="auto"/>
          </w:divBdr>
          <w:divsChild>
            <w:div w:id="1527717782">
              <w:marLeft w:val="0"/>
              <w:marRight w:val="0"/>
              <w:marTop w:val="0"/>
              <w:marBottom w:val="0"/>
              <w:divBdr>
                <w:top w:val="none" w:sz="0" w:space="0" w:color="auto"/>
                <w:left w:val="none" w:sz="0" w:space="0" w:color="auto"/>
                <w:bottom w:val="none" w:sz="0" w:space="0" w:color="auto"/>
                <w:right w:val="none" w:sz="0" w:space="0" w:color="auto"/>
              </w:divBdr>
              <w:divsChild>
                <w:div w:id="531771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6962137">
      <w:bodyDiv w:val="1"/>
      <w:marLeft w:val="0"/>
      <w:marRight w:val="0"/>
      <w:marTop w:val="0"/>
      <w:marBottom w:val="0"/>
      <w:divBdr>
        <w:top w:val="none" w:sz="0" w:space="0" w:color="auto"/>
        <w:left w:val="none" w:sz="0" w:space="0" w:color="auto"/>
        <w:bottom w:val="none" w:sz="0" w:space="0" w:color="auto"/>
        <w:right w:val="none" w:sz="0" w:space="0" w:color="auto"/>
      </w:divBdr>
    </w:div>
    <w:div w:id="503588362">
      <w:bodyDiv w:val="1"/>
      <w:marLeft w:val="0"/>
      <w:marRight w:val="0"/>
      <w:marTop w:val="0"/>
      <w:marBottom w:val="0"/>
      <w:divBdr>
        <w:top w:val="none" w:sz="0" w:space="0" w:color="auto"/>
        <w:left w:val="none" w:sz="0" w:space="0" w:color="auto"/>
        <w:bottom w:val="none" w:sz="0" w:space="0" w:color="auto"/>
        <w:right w:val="none" w:sz="0" w:space="0" w:color="auto"/>
      </w:divBdr>
    </w:div>
    <w:div w:id="506945808">
      <w:bodyDiv w:val="1"/>
      <w:marLeft w:val="0"/>
      <w:marRight w:val="0"/>
      <w:marTop w:val="0"/>
      <w:marBottom w:val="0"/>
      <w:divBdr>
        <w:top w:val="none" w:sz="0" w:space="0" w:color="auto"/>
        <w:left w:val="none" w:sz="0" w:space="0" w:color="auto"/>
        <w:bottom w:val="none" w:sz="0" w:space="0" w:color="auto"/>
        <w:right w:val="none" w:sz="0" w:space="0" w:color="auto"/>
      </w:divBdr>
      <w:divsChild>
        <w:div w:id="1702972459">
          <w:marLeft w:val="0"/>
          <w:marRight w:val="0"/>
          <w:marTop w:val="0"/>
          <w:marBottom w:val="0"/>
          <w:divBdr>
            <w:top w:val="none" w:sz="0" w:space="0" w:color="auto"/>
            <w:left w:val="none" w:sz="0" w:space="0" w:color="auto"/>
            <w:bottom w:val="none" w:sz="0" w:space="0" w:color="auto"/>
            <w:right w:val="none" w:sz="0" w:space="0" w:color="auto"/>
          </w:divBdr>
          <w:divsChild>
            <w:div w:id="1338651274">
              <w:marLeft w:val="0"/>
              <w:marRight w:val="0"/>
              <w:marTop w:val="0"/>
              <w:marBottom w:val="0"/>
              <w:divBdr>
                <w:top w:val="none" w:sz="0" w:space="0" w:color="auto"/>
                <w:left w:val="none" w:sz="0" w:space="0" w:color="auto"/>
                <w:bottom w:val="none" w:sz="0" w:space="0" w:color="auto"/>
                <w:right w:val="none" w:sz="0" w:space="0" w:color="auto"/>
              </w:divBdr>
              <w:divsChild>
                <w:div w:id="397441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7371027">
      <w:bodyDiv w:val="1"/>
      <w:marLeft w:val="0"/>
      <w:marRight w:val="0"/>
      <w:marTop w:val="0"/>
      <w:marBottom w:val="0"/>
      <w:divBdr>
        <w:top w:val="none" w:sz="0" w:space="0" w:color="auto"/>
        <w:left w:val="none" w:sz="0" w:space="0" w:color="auto"/>
        <w:bottom w:val="none" w:sz="0" w:space="0" w:color="auto"/>
        <w:right w:val="none" w:sz="0" w:space="0" w:color="auto"/>
      </w:divBdr>
      <w:divsChild>
        <w:div w:id="761026624">
          <w:marLeft w:val="0"/>
          <w:marRight w:val="0"/>
          <w:marTop w:val="0"/>
          <w:marBottom w:val="0"/>
          <w:divBdr>
            <w:top w:val="none" w:sz="0" w:space="0" w:color="auto"/>
            <w:left w:val="none" w:sz="0" w:space="0" w:color="auto"/>
            <w:bottom w:val="none" w:sz="0" w:space="0" w:color="auto"/>
            <w:right w:val="none" w:sz="0" w:space="0" w:color="auto"/>
          </w:divBdr>
          <w:divsChild>
            <w:div w:id="1131561407">
              <w:marLeft w:val="0"/>
              <w:marRight w:val="0"/>
              <w:marTop w:val="0"/>
              <w:marBottom w:val="0"/>
              <w:divBdr>
                <w:top w:val="none" w:sz="0" w:space="0" w:color="auto"/>
                <w:left w:val="none" w:sz="0" w:space="0" w:color="auto"/>
                <w:bottom w:val="none" w:sz="0" w:space="0" w:color="auto"/>
                <w:right w:val="none" w:sz="0" w:space="0" w:color="auto"/>
              </w:divBdr>
              <w:divsChild>
                <w:div w:id="1130323786">
                  <w:marLeft w:val="0"/>
                  <w:marRight w:val="0"/>
                  <w:marTop w:val="0"/>
                  <w:marBottom w:val="0"/>
                  <w:divBdr>
                    <w:top w:val="none" w:sz="0" w:space="0" w:color="auto"/>
                    <w:left w:val="none" w:sz="0" w:space="0" w:color="auto"/>
                    <w:bottom w:val="none" w:sz="0" w:space="0" w:color="auto"/>
                    <w:right w:val="none" w:sz="0" w:space="0" w:color="auto"/>
                  </w:divBdr>
                </w:div>
              </w:divsChild>
            </w:div>
            <w:div w:id="932008141">
              <w:marLeft w:val="0"/>
              <w:marRight w:val="0"/>
              <w:marTop w:val="0"/>
              <w:marBottom w:val="0"/>
              <w:divBdr>
                <w:top w:val="none" w:sz="0" w:space="0" w:color="auto"/>
                <w:left w:val="none" w:sz="0" w:space="0" w:color="auto"/>
                <w:bottom w:val="none" w:sz="0" w:space="0" w:color="auto"/>
                <w:right w:val="none" w:sz="0" w:space="0" w:color="auto"/>
              </w:divBdr>
              <w:divsChild>
                <w:div w:id="187573826">
                  <w:marLeft w:val="0"/>
                  <w:marRight w:val="0"/>
                  <w:marTop w:val="0"/>
                  <w:marBottom w:val="0"/>
                  <w:divBdr>
                    <w:top w:val="none" w:sz="0" w:space="0" w:color="auto"/>
                    <w:left w:val="none" w:sz="0" w:space="0" w:color="auto"/>
                    <w:bottom w:val="none" w:sz="0" w:space="0" w:color="auto"/>
                    <w:right w:val="none" w:sz="0" w:space="0" w:color="auto"/>
                  </w:divBdr>
                </w:div>
              </w:divsChild>
            </w:div>
            <w:div w:id="2071922013">
              <w:marLeft w:val="0"/>
              <w:marRight w:val="0"/>
              <w:marTop w:val="0"/>
              <w:marBottom w:val="0"/>
              <w:divBdr>
                <w:top w:val="none" w:sz="0" w:space="0" w:color="auto"/>
                <w:left w:val="none" w:sz="0" w:space="0" w:color="auto"/>
                <w:bottom w:val="none" w:sz="0" w:space="0" w:color="auto"/>
                <w:right w:val="none" w:sz="0" w:space="0" w:color="auto"/>
              </w:divBdr>
              <w:divsChild>
                <w:div w:id="1500193204">
                  <w:marLeft w:val="0"/>
                  <w:marRight w:val="0"/>
                  <w:marTop w:val="0"/>
                  <w:marBottom w:val="0"/>
                  <w:divBdr>
                    <w:top w:val="none" w:sz="0" w:space="0" w:color="auto"/>
                    <w:left w:val="none" w:sz="0" w:space="0" w:color="auto"/>
                    <w:bottom w:val="none" w:sz="0" w:space="0" w:color="auto"/>
                    <w:right w:val="none" w:sz="0" w:space="0" w:color="auto"/>
                  </w:divBdr>
                </w:div>
              </w:divsChild>
            </w:div>
            <w:div w:id="917710107">
              <w:marLeft w:val="0"/>
              <w:marRight w:val="0"/>
              <w:marTop w:val="0"/>
              <w:marBottom w:val="0"/>
              <w:divBdr>
                <w:top w:val="none" w:sz="0" w:space="0" w:color="auto"/>
                <w:left w:val="none" w:sz="0" w:space="0" w:color="auto"/>
                <w:bottom w:val="none" w:sz="0" w:space="0" w:color="auto"/>
                <w:right w:val="none" w:sz="0" w:space="0" w:color="auto"/>
              </w:divBdr>
              <w:divsChild>
                <w:div w:id="1027289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8102088">
      <w:bodyDiv w:val="1"/>
      <w:marLeft w:val="0"/>
      <w:marRight w:val="0"/>
      <w:marTop w:val="0"/>
      <w:marBottom w:val="0"/>
      <w:divBdr>
        <w:top w:val="none" w:sz="0" w:space="0" w:color="auto"/>
        <w:left w:val="none" w:sz="0" w:space="0" w:color="auto"/>
        <w:bottom w:val="none" w:sz="0" w:space="0" w:color="auto"/>
        <w:right w:val="none" w:sz="0" w:space="0" w:color="auto"/>
      </w:divBdr>
      <w:divsChild>
        <w:div w:id="2116633298">
          <w:marLeft w:val="0"/>
          <w:marRight w:val="0"/>
          <w:marTop w:val="0"/>
          <w:marBottom w:val="0"/>
          <w:divBdr>
            <w:top w:val="none" w:sz="0" w:space="0" w:color="auto"/>
            <w:left w:val="none" w:sz="0" w:space="0" w:color="auto"/>
            <w:bottom w:val="none" w:sz="0" w:space="0" w:color="auto"/>
            <w:right w:val="none" w:sz="0" w:space="0" w:color="auto"/>
          </w:divBdr>
          <w:divsChild>
            <w:div w:id="16196861">
              <w:marLeft w:val="0"/>
              <w:marRight w:val="0"/>
              <w:marTop w:val="0"/>
              <w:marBottom w:val="0"/>
              <w:divBdr>
                <w:top w:val="none" w:sz="0" w:space="0" w:color="auto"/>
                <w:left w:val="none" w:sz="0" w:space="0" w:color="auto"/>
                <w:bottom w:val="none" w:sz="0" w:space="0" w:color="auto"/>
                <w:right w:val="none" w:sz="0" w:space="0" w:color="auto"/>
              </w:divBdr>
              <w:divsChild>
                <w:div w:id="1061101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0965099">
      <w:bodyDiv w:val="1"/>
      <w:marLeft w:val="0"/>
      <w:marRight w:val="0"/>
      <w:marTop w:val="0"/>
      <w:marBottom w:val="0"/>
      <w:divBdr>
        <w:top w:val="none" w:sz="0" w:space="0" w:color="auto"/>
        <w:left w:val="none" w:sz="0" w:space="0" w:color="auto"/>
        <w:bottom w:val="none" w:sz="0" w:space="0" w:color="auto"/>
        <w:right w:val="none" w:sz="0" w:space="0" w:color="auto"/>
      </w:divBdr>
      <w:divsChild>
        <w:div w:id="1755200147">
          <w:marLeft w:val="0"/>
          <w:marRight w:val="0"/>
          <w:marTop w:val="0"/>
          <w:marBottom w:val="0"/>
          <w:divBdr>
            <w:top w:val="none" w:sz="0" w:space="0" w:color="auto"/>
            <w:left w:val="none" w:sz="0" w:space="0" w:color="auto"/>
            <w:bottom w:val="none" w:sz="0" w:space="0" w:color="auto"/>
            <w:right w:val="none" w:sz="0" w:space="0" w:color="auto"/>
          </w:divBdr>
          <w:divsChild>
            <w:div w:id="1726417353">
              <w:marLeft w:val="0"/>
              <w:marRight w:val="0"/>
              <w:marTop w:val="0"/>
              <w:marBottom w:val="0"/>
              <w:divBdr>
                <w:top w:val="none" w:sz="0" w:space="0" w:color="auto"/>
                <w:left w:val="none" w:sz="0" w:space="0" w:color="auto"/>
                <w:bottom w:val="none" w:sz="0" w:space="0" w:color="auto"/>
                <w:right w:val="none" w:sz="0" w:space="0" w:color="auto"/>
              </w:divBdr>
              <w:divsChild>
                <w:div w:id="2102137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041704">
      <w:bodyDiv w:val="1"/>
      <w:marLeft w:val="0"/>
      <w:marRight w:val="0"/>
      <w:marTop w:val="0"/>
      <w:marBottom w:val="0"/>
      <w:divBdr>
        <w:top w:val="none" w:sz="0" w:space="0" w:color="auto"/>
        <w:left w:val="none" w:sz="0" w:space="0" w:color="auto"/>
        <w:bottom w:val="none" w:sz="0" w:space="0" w:color="auto"/>
        <w:right w:val="none" w:sz="0" w:space="0" w:color="auto"/>
      </w:divBdr>
    </w:div>
    <w:div w:id="576983403">
      <w:bodyDiv w:val="1"/>
      <w:marLeft w:val="0"/>
      <w:marRight w:val="0"/>
      <w:marTop w:val="0"/>
      <w:marBottom w:val="0"/>
      <w:divBdr>
        <w:top w:val="none" w:sz="0" w:space="0" w:color="auto"/>
        <w:left w:val="none" w:sz="0" w:space="0" w:color="auto"/>
        <w:bottom w:val="none" w:sz="0" w:space="0" w:color="auto"/>
        <w:right w:val="none" w:sz="0" w:space="0" w:color="auto"/>
      </w:divBdr>
    </w:div>
    <w:div w:id="596909784">
      <w:bodyDiv w:val="1"/>
      <w:marLeft w:val="0"/>
      <w:marRight w:val="0"/>
      <w:marTop w:val="0"/>
      <w:marBottom w:val="0"/>
      <w:divBdr>
        <w:top w:val="none" w:sz="0" w:space="0" w:color="auto"/>
        <w:left w:val="none" w:sz="0" w:space="0" w:color="auto"/>
        <w:bottom w:val="none" w:sz="0" w:space="0" w:color="auto"/>
        <w:right w:val="none" w:sz="0" w:space="0" w:color="auto"/>
      </w:divBdr>
    </w:div>
    <w:div w:id="602996907">
      <w:bodyDiv w:val="1"/>
      <w:marLeft w:val="0"/>
      <w:marRight w:val="0"/>
      <w:marTop w:val="0"/>
      <w:marBottom w:val="0"/>
      <w:divBdr>
        <w:top w:val="none" w:sz="0" w:space="0" w:color="auto"/>
        <w:left w:val="none" w:sz="0" w:space="0" w:color="auto"/>
        <w:bottom w:val="none" w:sz="0" w:space="0" w:color="auto"/>
        <w:right w:val="none" w:sz="0" w:space="0" w:color="auto"/>
      </w:divBdr>
      <w:divsChild>
        <w:div w:id="977149151">
          <w:marLeft w:val="0"/>
          <w:marRight w:val="0"/>
          <w:marTop w:val="0"/>
          <w:marBottom w:val="0"/>
          <w:divBdr>
            <w:top w:val="none" w:sz="0" w:space="0" w:color="auto"/>
            <w:left w:val="none" w:sz="0" w:space="0" w:color="auto"/>
            <w:bottom w:val="none" w:sz="0" w:space="0" w:color="auto"/>
            <w:right w:val="none" w:sz="0" w:space="0" w:color="auto"/>
          </w:divBdr>
          <w:divsChild>
            <w:div w:id="751588703">
              <w:marLeft w:val="0"/>
              <w:marRight w:val="0"/>
              <w:marTop w:val="0"/>
              <w:marBottom w:val="0"/>
              <w:divBdr>
                <w:top w:val="none" w:sz="0" w:space="0" w:color="auto"/>
                <w:left w:val="none" w:sz="0" w:space="0" w:color="auto"/>
                <w:bottom w:val="none" w:sz="0" w:space="0" w:color="auto"/>
                <w:right w:val="none" w:sz="0" w:space="0" w:color="auto"/>
              </w:divBdr>
              <w:divsChild>
                <w:div w:id="922033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1638676">
      <w:bodyDiv w:val="1"/>
      <w:marLeft w:val="0"/>
      <w:marRight w:val="0"/>
      <w:marTop w:val="0"/>
      <w:marBottom w:val="0"/>
      <w:divBdr>
        <w:top w:val="none" w:sz="0" w:space="0" w:color="auto"/>
        <w:left w:val="none" w:sz="0" w:space="0" w:color="auto"/>
        <w:bottom w:val="none" w:sz="0" w:space="0" w:color="auto"/>
        <w:right w:val="none" w:sz="0" w:space="0" w:color="auto"/>
      </w:divBdr>
      <w:divsChild>
        <w:div w:id="1621111395">
          <w:marLeft w:val="0"/>
          <w:marRight w:val="0"/>
          <w:marTop w:val="0"/>
          <w:marBottom w:val="0"/>
          <w:divBdr>
            <w:top w:val="none" w:sz="0" w:space="0" w:color="auto"/>
            <w:left w:val="none" w:sz="0" w:space="0" w:color="auto"/>
            <w:bottom w:val="none" w:sz="0" w:space="0" w:color="auto"/>
            <w:right w:val="none" w:sz="0" w:space="0" w:color="auto"/>
          </w:divBdr>
          <w:divsChild>
            <w:div w:id="1710765339">
              <w:marLeft w:val="0"/>
              <w:marRight w:val="0"/>
              <w:marTop w:val="0"/>
              <w:marBottom w:val="0"/>
              <w:divBdr>
                <w:top w:val="none" w:sz="0" w:space="0" w:color="auto"/>
                <w:left w:val="none" w:sz="0" w:space="0" w:color="auto"/>
                <w:bottom w:val="none" w:sz="0" w:space="0" w:color="auto"/>
                <w:right w:val="none" w:sz="0" w:space="0" w:color="auto"/>
              </w:divBdr>
              <w:divsChild>
                <w:div w:id="1339234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746308">
      <w:bodyDiv w:val="1"/>
      <w:marLeft w:val="0"/>
      <w:marRight w:val="0"/>
      <w:marTop w:val="0"/>
      <w:marBottom w:val="0"/>
      <w:divBdr>
        <w:top w:val="none" w:sz="0" w:space="0" w:color="auto"/>
        <w:left w:val="none" w:sz="0" w:space="0" w:color="auto"/>
        <w:bottom w:val="none" w:sz="0" w:space="0" w:color="auto"/>
        <w:right w:val="none" w:sz="0" w:space="0" w:color="auto"/>
      </w:divBdr>
    </w:div>
    <w:div w:id="648166669">
      <w:bodyDiv w:val="1"/>
      <w:marLeft w:val="0"/>
      <w:marRight w:val="0"/>
      <w:marTop w:val="0"/>
      <w:marBottom w:val="0"/>
      <w:divBdr>
        <w:top w:val="none" w:sz="0" w:space="0" w:color="auto"/>
        <w:left w:val="none" w:sz="0" w:space="0" w:color="auto"/>
        <w:bottom w:val="none" w:sz="0" w:space="0" w:color="auto"/>
        <w:right w:val="none" w:sz="0" w:space="0" w:color="auto"/>
      </w:divBdr>
    </w:div>
    <w:div w:id="655571380">
      <w:bodyDiv w:val="1"/>
      <w:marLeft w:val="0"/>
      <w:marRight w:val="0"/>
      <w:marTop w:val="0"/>
      <w:marBottom w:val="0"/>
      <w:divBdr>
        <w:top w:val="none" w:sz="0" w:space="0" w:color="auto"/>
        <w:left w:val="none" w:sz="0" w:space="0" w:color="auto"/>
        <w:bottom w:val="none" w:sz="0" w:space="0" w:color="auto"/>
        <w:right w:val="none" w:sz="0" w:space="0" w:color="auto"/>
      </w:divBdr>
    </w:div>
    <w:div w:id="664094632">
      <w:bodyDiv w:val="1"/>
      <w:marLeft w:val="0"/>
      <w:marRight w:val="0"/>
      <w:marTop w:val="0"/>
      <w:marBottom w:val="0"/>
      <w:divBdr>
        <w:top w:val="none" w:sz="0" w:space="0" w:color="auto"/>
        <w:left w:val="none" w:sz="0" w:space="0" w:color="auto"/>
        <w:bottom w:val="none" w:sz="0" w:space="0" w:color="auto"/>
        <w:right w:val="none" w:sz="0" w:space="0" w:color="auto"/>
      </w:divBdr>
      <w:divsChild>
        <w:div w:id="1091389209">
          <w:marLeft w:val="0"/>
          <w:marRight w:val="0"/>
          <w:marTop w:val="0"/>
          <w:marBottom w:val="0"/>
          <w:divBdr>
            <w:top w:val="none" w:sz="0" w:space="0" w:color="auto"/>
            <w:left w:val="none" w:sz="0" w:space="0" w:color="auto"/>
            <w:bottom w:val="none" w:sz="0" w:space="0" w:color="auto"/>
            <w:right w:val="none" w:sz="0" w:space="0" w:color="auto"/>
          </w:divBdr>
          <w:divsChild>
            <w:div w:id="1686177364">
              <w:marLeft w:val="0"/>
              <w:marRight w:val="0"/>
              <w:marTop w:val="0"/>
              <w:marBottom w:val="0"/>
              <w:divBdr>
                <w:top w:val="none" w:sz="0" w:space="0" w:color="auto"/>
                <w:left w:val="none" w:sz="0" w:space="0" w:color="auto"/>
                <w:bottom w:val="none" w:sz="0" w:space="0" w:color="auto"/>
                <w:right w:val="none" w:sz="0" w:space="0" w:color="auto"/>
              </w:divBdr>
              <w:divsChild>
                <w:div w:id="183259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613163">
      <w:bodyDiv w:val="1"/>
      <w:marLeft w:val="0"/>
      <w:marRight w:val="0"/>
      <w:marTop w:val="0"/>
      <w:marBottom w:val="0"/>
      <w:divBdr>
        <w:top w:val="none" w:sz="0" w:space="0" w:color="auto"/>
        <w:left w:val="none" w:sz="0" w:space="0" w:color="auto"/>
        <w:bottom w:val="none" w:sz="0" w:space="0" w:color="auto"/>
        <w:right w:val="none" w:sz="0" w:space="0" w:color="auto"/>
      </w:divBdr>
    </w:div>
    <w:div w:id="681471624">
      <w:bodyDiv w:val="1"/>
      <w:marLeft w:val="0"/>
      <w:marRight w:val="0"/>
      <w:marTop w:val="0"/>
      <w:marBottom w:val="0"/>
      <w:divBdr>
        <w:top w:val="none" w:sz="0" w:space="0" w:color="auto"/>
        <w:left w:val="none" w:sz="0" w:space="0" w:color="auto"/>
        <w:bottom w:val="none" w:sz="0" w:space="0" w:color="auto"/>
        <w:right w:val="none" w:sz="0" w:space="0" w:color="auto"/>
      </w:divBdr>
      <w:divsChild>
        <w:div w:id="1090081265">
          <w:marLeft w:val="0"/>
          <w:marRight w:val="0"/>
          <w:marTop w:val="0"/>
          <w:marBottom w:val="0"/>
          <w:divBdr>
            <w:top w:val="none" w:sz="0" w:space="0" w:color="auto"/>
            <w:left w:val="none" w:sz="0" w:space="0" w:color="auto"/>
            <w:bottom w:val="none" w:sz="0" w:space="0" w:color="auto"/>
            <w:right w:val="none" w:sz="0" w:space="0" w:color="auto"/>
          </w:divBdr>
          <w:divsChild>
            <w:div w:id="1867324877">
              <w:marLeft w:val="0"/>
              <w:marRight w:val="0"/>
              <w:marTop w:val="0"/>
              <w:marBottom w:val="0"/>
              <w:divBdr>
                <w:top w:val="none" w:sz="0" w:space="0" w:color="auto"/>
                <w:left w:val="none" w:sz="0" w:space="0" w:color="auto"/>
                <w:bottom w:val="none" w:sz="0" w:space="0" w:color="auto"/>
                <w:right w:val="none" w:sz="0" w:space="0" w:color="auto"/>
              </w:divBdr>
              <w:divsChild>
                <w:div w:id="844902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4332357">
      <w:bodyDiv w:val="1"/>
      <w:marLeft w:val="0"/>
      <w:marRight w:val="0"/>
      <w:marTop w:val="0"/>
      <w:marBottom w:val="0"/>
      <w:divBdr>
        <w:top w:val="none" w:sz="0" w:space="0" w:color="auto"/>
        <w:left w:val="none" w:sz="0" w:space="0" w:color="auto"/>
        <w:bottom w:val="none" w:sz="0" w:space="0" w:color="auto"/>
        <w:right w:val="none" w:sz="0" w:space="0" w:color="auto"/>
      </w:divBdr>
    </w:div>
    <w:div w:id="689726617">
      <w:bodyDiv w:val="1"/>
      <w:marLeft w:val="0"/>
      <w:marRight w:val="0"/>
      <w:marTop w:val="0"/>
      <w:marBottom w:val="0"/>
      <w:divBdr>
        <w:top w:val="none" w:sz="0" w:space="0" w:color="auto"/>
        <w:left w:val="none" w:sz="0" w:space="0" w:color="auto"/>
        <w:bottom w:val="none" w:sz="0" w:space="0" w:color="auto"/>
        <w:right w:val="none" w:sz="0" w:space="0" w:color="auto"/>
      </w:divBdr>
      <w:divsChild>
        <w:div w:id="1994020724">
          <w:marLeft w:val="547"/>
          <w:marRight w:val="0"/>
          <w:marTop w:val="100"/>
          <w:marBottom w:val="0"/>
          <w:divBdr>
            <w:top w:val="none" w:sz="0" w:space="0" w:color="auto"/>
            <w:left w:val="none" w:sz="0" w:space="0" w:color="auto"/>
            <w:bottom w:val="none" w:sz="0" w:space="0" w:color="auto"/>
            <w:right w:val="none" w:sz="0" w:space="0" w:color="auto"/>
          </w:divBdr>
        </w:div>
        <w:div w:id="1652825449">
          <w:marLeft w:val="821"/>
          <w:marRight w:val="0"/>
          <w:marTop w:val="100"/>
          <w:marBottom w:val="0"/>
          <w:divBdr>
            <w:top w:val="none" w:sz="0" w:space="0" w:color="auto"/>
            <w:left w:val="none" w:sz="0" w:space="0" w:color="auto"/>
            <w:bottom w:val="none" w:sz="0" w:space="0" w:color="auto"/>
            <w:right w:val="none" w:sz="0" w:space="0" w:color="auto"/>
          </w:divBdr>
        </w:div>
        <w:div w:id="161165947">
          <w:marLeft w:val="821"/>
          <w:marRight w:val="0"/>
          <w:marTop w:val="100"/>
          <w:marBottom w:val="0"/>
          <w:divBdr>
            <w:top w:val="none" w:sz="0" w:space="0" w:color="auto"/>
            <w:left w:val="none" w:sz="0" w:space="0" w:color="auto"/>
            <w:bottom w:val="none" w:sz="0" w:space="0" w:color="auto"/>
            <w:right w:val="none" w:sz="0" w:space="0" w:color="auto"/>
          </w:divBdr>
        </w:div>
        <w:div w:id="513225456">
          <w:marLeft w:val="821"/>
          <w:marRight w:val="0"/>
          <w:marTop w:val="100"/>
          <w:marBottom w:val="0"/>
          <w:divBdr>
            <w:top w:val="none" w:sz="0" w:space="0" w:color="auto"/>
            <w:left w:val="none" w:sz="0" w:space="0" w:color="auto"/>
            <w:bottom w:val="none" w:sz="0" w:space="0" w:color="auto"/>
            <w:right w:val="none" w:sz="0" w:space="0" w:color="auto"/>
          </w:divBdr>
        </w:div>
        <w:div w:id="26492046">
          <w:marLeft w:val="821"/>
          <w:marRight w:val="0"/>
          <w:marTop w:val="100"/>
          <w:marBottom w:val="0"/>
          <w:divBdr>
            <w:top w:val="none" w:sz="0" w:space="0" w:color="auto"/>
            <w:left w:val="none" w:sz="0" w:space="0" w:color="auto"/>
            <w:bottom w:val="none" w:sz="0" w:space="0" w:color="auto"/>
            <w:right w:val="none" w:sz="0" w:space="0" w:color="auto"/>
          </w:divBdr>
        </w:div>
        <w:div w:id="1051271738">
          <w:marLeft w:val="821"/>
          <w:marRight w:val="0"/>
          <w:marTop w:val="100"/>
          <w:marBottom w:val="0"/>
          <w:divBdr>
            <w:top w:val="none" w:sz="0" w:space="0" w:color="auto"/>
            <w:left w:val="none" w:sz="0" w:space="0" w:color="auto"/>
            <w:bottom w:val="none" w:sz="0" w:space="0" w:color="auto"/>
            <w:right w:val="none" w:sz="0" w:space="0" w:color="auto"/>
          </w:divBdr>
        </w:div>
      </w:divsChild>
    </w:div>
    <w:div w:id="721947244">
      <w:bodyDiv w:val="1"/>
      <w:marLeft w:val="0"/>
      <w:marRight w:val="0"/>
      <w:marTop w:val="0"/>
      <w:marBottom w:val="0"/>
      <w:divBdr>
        <w:top w:val="none" w:sz="0" w:space="0" w:color="auto"/>
        <w:left w:val="none" w:sz="0" w:space="0" w:color="auto"/>
        <w:bottom w:val="none" w:sz="0" w:space="0" w:color="auto"/>
        <w:right w:val="none" w:sz="0" w:space="0" w:color="auto"/>
      </w:divBdr>
    </w:div>
    <w:div w:id="770127273">
      <w:bodyDiv w:val="1"/>
      <w:marLeft w:val="0"/>
      <w:marRight w:val="0"/>
      <w:marTop w:val="0"/>
      <w:marBottom w:val="0"/>
      <w:divBdr>
        <w:top w:val="none" w:sz="0" w:space="0" w:color="auto"/>
        <w:left w:val="none" w:sz="0" w:space="0" w:color="auto"/>
        <w:bottom w:val="none" w:sz="0" w:space="0" w:color="auto"/>
        <w:right w:val="none" w:sz="0" w:space="0" w:color="auto"/>
      </w:divBdr>
      <w:divsChild>
        <w:div w:id="340745590">
          <w:marLeft w:val="0"/>
          <w:marRight w:val="0"/>
          <w:marTop w:val="0"/>
          <w:marBottom w:val="0"/>
          <w:divBdr>
            <w:top w:val="none" w:sz="0" w:space="0" w:color="auto"/>
            <w:left w:val="none" w:sz="0" w:space="0" w:color="auto"/>
            <w:bottom w:val="none" w:sz="0" w:space="0" w:color="auto"/>
            <w:right w:val="none" w:sz="0" w:space="0" w:color="auto"/>
          </w:divBdr>
          <w:divsChild>
            <w:div w:id="1693803074">
              <w:marLeft w:val="0"/>
              <w:marRight w:val="0"/>
              <w:marTop w:val="0"/>
              <w:marBottom w:val="0"/>
              <w:divBdr>
                <w:top w:val="none" w:sz="0" w:space="0" w:color="auto"/>
                <w:left w:val="none" w:sz="0" w:space="0" w:color="auto"/>
                <w:bottom w:val="none" w:sz="0" w:space="0" w:color="auto"/>
                <w:right w:val="none" w:sz="0" w:space="0" w:color="auto"/>
              </w:divBdr>
              <w:divsChild>
                <w:div w:id="97916375">
                  <w:marLeft w:val="0"/>
                  <w:marRight w:val="0"/>
                  <w:marTop w:val="0"/>
                  <w:marBottom w:val="0"/>
                  <w:divBdr>
                    <w:top w:val="none" w:sz="0" w:space="0" w:color="auto"/>
                    <w:left w:val="none" w:sz="0" w:space="0" w:color="auto"/>
                    <w:bottom w:val="none" w:sz="0" w:space="0" w:color="auto"/>
                    <w:right w:val="none" w:sz="0" w:space="0" w:color="auto"/>
                  </w:divBdr>
                  <w:divsChild>
                    <w:div w:id="225454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4320402">
      <w:bodyDiv w:val="1"/>
      <w:marLeft w:val="0"/>
      <w:marRight w:val="0"/>
      <w:marTop w:val="0"/>
      <w:marBottom w:val="0"/>
      <w:divBdr>
        <w:top w:val="none" w:sz="0" w:space="0" w:color="auto"/>
        <w:left w:val="none" w:sz="0" w:space="0" w:color="auto"/>
        <w:bottom w:val="none" w:sz="0" w:space="0" w:color="auto"/>
        <w:right w:val="none" w:sz="0" w:space="0" w:color="auto"/>
      </w:divBdr>
    </w:div>
    <w:div w:id="826045958">
      <w:bodyDiv w:val="1"/>
      <w:marLeft w:val="0"/>
      <w:marRight w:val="0"/>
      <w:marTop w:val="0"/>
      <w:marBottom w:val="0"/>
      <w:divBdr>
        <w:top w:val="none" w:sz="0" w:space="0" w:color="auto"/>
        <w:left w:val="none" w:sz="0" w:space="0" w:color="auto"/>
        <w:bottom w:val="none" w:sz="0" w:space="0" w:color="auto"/>
        <w:right w:val="none" w:sz="0" w:space="0" w:color="auto"/>
      </w:divBdr>
      <w:divsChild>
        <w:div w:id="1610383277">
          <w:marLeft w:val="0"/>
          <w:marRight w:val="0"/>
          <w:marTop w:val="0"/>
          <w:marBottom w:val="0"/>
          <w:divBdr>
            <w:top w:val="none" w:sz="0" w:space="0" w:color="auto"/>
            <w:left w:val="none" w:sz="0" w:space="0" w:color="auto"/>
            <w:bottom w:val="none" w:sz="0" w:space="0" w:color="auto"/>
            <w:right w:val="none" w:sz="0" w:space="0" w:color="auto"/>
          </w:divBdr>
          <w:divsChild>
            <w:div w:id="15009171">
              <w:marLeft w:val="0"/>
              <w:marRight w:val="0"/>
              <w:marTop w:val="0"/>
              <w:marBottom w:val="0"/>
              <w:divBdr>
                <w:top w:val="none" w:sz="0" w:space="0" w:color="auto"/>
                <w:left w:val="none" w:sz="0" w:space="0" w:color="auto"/>
                <w:bottom w:val="none" w:sz="0" w:space="0" w:color="auto"/>
                <w:right w:val="none" w:sz="0" w:space="0" w:color="auto"/>
              </w:divBdr>
              <w:divsChild>
                <w:div w:id="294339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7786759">
      <w:bodyDiv w:val="1"/>
      <w:marLeft w:val="0"/>
      <w:marRight w:val="0"/>
      <w:marTop w:val="0"/>
      <w:marBottom w:val="0"/>
      <w:divBdr>
        <w:top w:val="none" w:sz="0" w:space="0" w:color="auto"/>
        <w:left w:val="none" w:sz="0" w:space="0" w:color="auto"/>
        <w:bottom w:val="none" w:sz="0" w:space="0" w:color="auto"/>
        <w:right w:val="none" w:sz="0" w:space="0" w:color="auto"/>
      </w:divBdr>
      <w:divsChild>
        <w:div w:id="663434188">
          <w:marLeft w:val="0"/>
          <w:marRight w:val="0"/>
          <w:marTop w:val="0"/>
          <w:marBottom w:val="0"/>
          <w:divBdr>
            <w:top w:val="none" w:sz="0" w:space="0" w:color="auto"/>
            <w:left w:val="none" w:sz="0" w:space="0" w:color="auto"/>
            <w:bottom w:val="none" w:sz="0" w:space="0" w:color="auto"/>
            <w:right w:val="none" w:sz="0" w:space="0" w:color="auto"/>
          </w:divBdr>
          <w:divsChild>
            <w:div w:id="824666194">
              <w:marLeft w:val="0"/>
              <w:marRight w:val="0"/>
              <w:marTop w:val="0"/>
              <w:marBottom w:val="0"/>
              <w:divBdr>
                <w:top w:val="none" w:sz="0" w:space="0" w:color="auto"/>
                <w:left w:val="none" w:sz="0" w:space="0" w:color="auto"/>
                <w:bottom w:val="none" w:sz="0" w:space="0" w:color="auto"/>
                <w:right w:val="none" w:sz="0" w:space="0" w:color="auto"/>
              </w:divBdr>
              <w:divsChild>
                <w:div w:id="1624770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068101">
      <w:bodyDiv w:val="1"/>
      <w:marLeft w:val="0"/>
      <w:marRight w:val="0"/>
      <w:marTop w:val="0"/>
      <w:marBottom w:val="0"/>
      <w:divBdr>
        <w:top w:val="none" w:sz="0" w:space="0" w:color="auto"/>
        <w:left w:val="none" w:sz="0" w:space="0" w:color="auto"/>
        <w:bottom w:val="none" w:sz="0" w:space="0" w:color="auto"/>
        <w:right w:val="none" w:sz="0" w:space="0" w:color="auto"/>
      </w:divBdr>
    </w:div>
    <w:div w:id="856500161">
      <w:bodyDiv w:val="1"/>
      <w:marLeft w:val="0"/>
      <w:marRight w:val="0"/>
      <w:marTop w:val="0"/>
      <w:marBottom w:val="0"/>
      <w:divBdr>
        <w:top w:val="none" w:sz="0" w:space="0" w:color="auto"/>
        <w:left w:val="none" w:sz="0" w:space="0" w:color="auto"/>
        <w:bottom w:val="none" w:sz="0" w:space="0" w:color="auto"/>
        <w:right w:val="none" w:sz="0" w:space="0" w:color="auto"/>
      </w:divBdr>
    </w:div>
    <w:div w:id="861826024">
      <w:bodyDiv w:val="1"/>
      <w:marLeft w:val="0"/>
      <w:marRight w:val="0"/>
      <w:marTop w:val="0"/>
      <w:marBottom w:val="0"/>
      <w:divBdr>
        <w:top w:val="none" w:sz="0" w:space="0" w:color="auto"/>
        <w:left w:val="none" w:sz="0" w:space="0" w:color="auto"/>
        <w:bottom w:val="none" w:sz="0" w:space="0" w:color="auto"/>
        <w:right w:val="none" w:sz="0" w:space="0" w:color="auto"/>
      </w:divBdr>
      <w:divsChild>
        <w:div w:id="2105180030">
          <w:marLeft w:val="0"/>
          <w:marRight w:val="0"/>
          <w:marTop w:val="0"/>
          <w:marBottom w:val="0"/>
          <w:divBdr>
            <w:top w:val="none" w:sz="0" w:space="0" w:color="auto"/>
            <w:left w:val="none" w:sz="0" w:space="0" w:color="auto"/>
            <w:bottom w:val="none" w:sz="0" w:space="0" w:color="auto"/>
            <w:right w:val="none" w:sz="0" w:space="0" w:color="auto"/>
          </w:divBdr>
          <w:divsChild>
            <w:div w:id="1954480935">
              <w:marLeft w:val="0"/>
              <w:marRight w:val="0"/>
              <w:marTop w:val="0"/>
              <w:marBottom w:val="0"/>
              <w:divBdr>
                <w:top w:val="none" w:sz="0" w:space="0" w:color="auto"/>
                <w:left w:val="none" w:sz="0" w:space="0" w:color="auto"/>
                <w:bottom w:val="none" w:sz="0" w:space="0" w:color="auto"/>
                <w:right w:val="none" w:sz="0" w:space="0" w:color="auto"/>
              </w:divBdr>
              <w:divsChild>
                <w:div w:id="32506059">
                  <w:marLeft w:val="0"/>
                  <w:marRight w:val="0"/>
                  <w:marTop w:val="0"/>
                  <w:marBottom w:val="0"/>
                  <w:divBdr>
                    <w:top w:val="none" w:sz="0" w:space="0" w:color="auto"/>
                    <w:left w:val="none" w:sz="0" w:space="0" w:color="auto"/>
                    <w:bottom w:val="none" w:sz="0" w:space="0" w:color="auto"/>
                    <w:right w:val="none" w:sz="0" w:space="0" w:color="auto"/>
                  </w:divBdr>
                  <w:divsChild>
                    <w:div w:id="226497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3860963">
      <w:bodyDiv w:val="1"/>
      <w:marLeft w:val="0"/>
      <w:marRight w:val="0"/>
      <w:marTop w:val="0"/>
      <w:marBottom w:val="0"/>
      <w:divBdr>
        <w:top w:val="none" w:sz="0" w:space="0" w:color="auto"/>
        <w:left w:val="none" w:sz="0" w:space="0" w:color="auto"/>
        <w:bottom w:val="none" w:sz="0" w:space="0" w:color="auto"/>
        <w:right w:val="none" w:sz="0" w:space="0" w:color="auto"/>
      </w:divBdr>
      <w:divsChild>
        <w:div w:id="1370184995">
          <w:marLeft w:val="0"/>
          <w:marRight w:val="0"/>
          <w:marTop w:val="0"/>
          <w:marBottom w:val="0"/>
          <w:divBdr>
            <w:top w:val="none" w:sz="0" w:space="0" w:color="auto"/>
            <w:left w:val="none" w:sz="0" w:space="0" w:color="auto"/>
            <w:bottom w:val="none" w:sz="0" w:space="0" w:color="auto"/>
            <w:right w:val="none" w:sz="0" w:space="0" w:color="auto"/>
          </w:divBdr>
          <w:divsChild>
            <w:div w:id="2142069789">
              <w:marLeft w:val="0"/>
              <w:marRight w:val="0"/>
              <w:marTop w:val="0"/>
              <w:marBottom w:val="0"/>
              <w:divBdr>
                <w:top w:val="none" w:sz="0" w:space="0" w:color="auto"/>
                <w:left w:val="none" w:sz="0" w:space="0" w:color="auto"/>
                <w:bottom w:val="none" w:sz="0" w:space="0" w:color="auto"/>
                <w:right w:val="none" w:sz="0" w:space="0" w:color="auto"/>
              </w:divBdr>
              <w:divsChild>
                <w:div w:id="925577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2788502">
      <w:bodyDiv w:val="1"/>
      <w:marLeft w:val="0"/>
      <w:marRight w:val="0"/>
      <w:marTop w:val="0"/>
      <w:marBottom w:val="0"/>
      <w:divBdr>
        <w:top w:val="none" w:sz="0" w:space="0" w:color="auto"/>
        <w:left w:val="none" w:sz="0" w:space="0" w:color="auto"/>
        <w:bottom w:val="none" w:sz="0" w:space="0" w:color="auto"/>
        <w:right w:val="none" w:sz="0" w:space="0" w:color="auto"/>
      </w:divBdr>
      <w:divsChild>
        <w:div w:id="903831283">
          <w:marLeft w:val="0"/>
          <w:marRight w:val="0"/>
          <w:marTop w:val="0"/>
          <w:marBottom w:val="0"/>
          <w:divBdr>
            <w:top w:val="none" w:sz="0" w:space="0" w:color="auto"/>
            <w:left w:val="none" w:sz="0" w:space="0" w:color="auto"/>
            <w:bottom w:val="none" w:sz="0" w:space="0" w:color="auto"/>
            <w:right w:val="none" w:sz="0" w:space="0" w:color="auto"/>
          </w:divBdr>
          <w:divsChild>
            <w:div w:id="1528790606">
              <w:marLeft w:val="0"/>
              <w:marRight w:val="0"/>
              <w:marTop w:val="0"/>
              <w:marBottom w:val="0"/>
              <w:divBdr>
                <w:top w:val="none" w:sz="0" w:space="0" w:color="auto"/>
                <w:left w:val="none" w:sz="0" w:space="0" w:color="auto"/>
                <w:bottom w:val="none" w:sz="0" w:space="0" w:color="auto"/>
                <w:right w:val="none" w:sz="0" w:space="0" w:color="auto"/>
              </w:divBdr>
              <w:divsChild>
                <w:div w:id="2039961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6163419">
      <w:bodyDiv w:val="1"/>
      <w:marLeft w:val="0"/>
      <w:marRight w:val="0"/>
      <w:marTop w:val="0"/>
      <w:marBottom w:val="0"/>
      <w:divBdr>
        <w:top w:val="none" w:sz="0" w:space="0" w:color="auto"/>
        <w:left w:val="none" w:sz="0" w:space="0" w:color="auto"/>
        <w:bottom w:val="none" w:sz="0" w:space="0" w:color="auto"/>
        <w:right w:val="none" w:sz="0" w:space="0" w:color="auto"/>
      </w:divBdr>
      <w:divsChild>
        <w:div w:id="736901222">
          <w:marLeft w:val="0"/>
          <w:marRight w:val="0"/>
          <w:marTop w:val="0"/>
          <w:marBottom w:val="0"/>
          <w:divBdr>
            <w:top w:val="none" w:sz="0" w:space="0" w:color="auto"/>
            <w:left w:val="none" w:sz="0" w:space="0" w:color="auto"/>
            <w:bottom w:val="none" w:sz="0" w:space="0" w:color="auto"/>
            <w:right w:val="none" w:sz="0" w:space="0" w:color="auto"/>
          </w:divBdr>
          <w:divsChild>
            <w:div w:id="1411266672">
              <w:marLeft w:val="0"/>
              <w:marRight w:val="0"/>
              <w:marTop w:val="0"/>
              <w:marBottom w:val="0"/>
              <w:divBdr>
                <w:top w:val="none" w:sz="0" w:space="0" w:color="auto"/>
                <w:left w:val="none" w:sz="0" w:space="0" w:color="auto"/>
                <w:bottom w:val="none" w:sz="0" w:space="0" w:color="auto"/>
                <w:right w:val="none" w:sz="0" w:space="0" w:color="auto"/>
              </w:divBdr>
              <w:divsChild>
                <w:div w:id="2016570151">
                  <w:marLeft w:val="0"/>
                  <w:marRight w:val="0"/>
                  <w:marTop w:val="0"/>
                  <w:marBottom w:val="0"/>
                  <w:divBdr>
                    <w:top w:val="none" w:sz="0" w:space="0" w:color="auto"/>
                    <w:left w:val="none" w:sz="0" w:space="0" w:color="auto"/>
                    <w:bottom w:val="none" w:sz="0" w:space="0" w:color="auto"/>
                    <w:right w:val="none" w:sz="0" w:space="0" w:color="auto"/>
                  </w:divBdr>
                  <w:divsChild>
                    <w:div w:id="614018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0064816">
      <w:bodyDiv w:val="1"/>
      <w:marLeft w:val="0"/>
      <w:marRight w:val="0"/>
      <w:marTop w:val="0"/>
      <w:marBottom w:val="0"/>
      <w:divBdr>
        <w:top w:val="none" w:sz="0" w:space="0" w:color="auto"/>
        <w:left w:val="none" w:sz="0" w:space="0" w:color="auto"/>
        <w:bottom w:val="none" w:sz="0" w:space="0" w:color="auto"/>
        <w:right w:val="none" w:sz="0" w:space="0" w:color="auto"/>
      </w:divBdr>
    </w:div>
    <w:div w:id="921375500">
      <w:bodyDiv w:val="1"/>
      <w:marLeft w:val="0"/>
      <w:marRight w:val="0"/>
      <w:marTop w:val="0"/>
      <w:marBottom w:val="0"/>
      <w:divBdr>
        <w:top w:val="none" w:sz="0" w:space="0" w:color="auto"/>
        <w:left w:val="none" w:sz="0" w:space="0" w:color="auto"/>
        <w:bottom w:val="none" w:sz="0" w:space="0" w:color="auto"/>
        <w:right w:val="none" w:sz="0" w:space="0" w:color="auto"/>
      </w:divBdr>
      <w:divsChild>
        <w:div w:id="1658999388">
          <w:marLeft w:val="0"/>
          <w:marRight w:val="0"/>
          <w:marTop w:val="0"/>
          <w:marBottom w:val="0"/>
          <w:divBdr>
            <w:top w:val="none" w:sz="0" w:space="0" w:color="auto"/>
            <w:left w:val="none" w:sz="0" w:space="0" w:color="auto"/>
            <w:bottom w:val="none" w:sz="0" w:space="0" w:color="auto"/>
            <w:right w:val="none" w:sz="0" w:space="0" w:color="auto"/>
          </w:divBdr>
          <w:divsChild>
            <w:div w:id="1502892257">
              <w:marLeft w:val="0"/>
              <w:marRight w:val="0"/>
              <w:marTop w:val="0"/>
              <w:marBottom w:val="0"/>
              <w:divBdr>
                <w:top w:val="none" w:sz="0" w:space="0" w:color="auto"/>
                <w:left w:val="none" w:sz="0" w:space="0" w:color="auto"/>
                <w:bottom w:val="none" w:sz="0" w:space="0" w:color="auto"/>
                <w:right w:val="none" w:sz="0" w:space="0" w:color="auto"/>
              </w:divBdr>
              <w:divsChild>
                <w:div w:id="1244607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5966419">
      <w:bodyDiv w:val="1"/>
      <w:marLeft w:val="0"/>
      <w:marRight w:val="0"/>
      <w:marTop w:val="0"/>
      <w:marBottom w:val="0"/>
      <w:divBdr>
        <w:top w:val="none" w:sz="0" w:space="0" w:color="auto"/>
        <w:left w:val="none" w:sz="0" w:space="0" w:color="auto"/>
        <w:bottom w:val="none" w:sz="0" w:space="0" w:color="auto"/>
        <w:right w:val="none" w:sz="0" w:space="0" w:color="auto"/>
      </w:divBdr>
      <w:divsChild>
        <w:div w:id="1158573358">
          <w:marLeft w:val="0"/>
          <w:marRight w:val="0"/>
          <w:marTop w:val="0"/>
          <w:marBottom w:val="0"/>
          <w:divBdr>
            <w:top w:val="none" w:sz="0" w:space="0" w:color="auto"/>
            <w:left w:val="none" w:sz="0" w:space="0" w:color="auto"/>
            <w:bottom w:val="none" w:sz="0" w:space="0" w:color="auto"/>
            <w:right w:val="none" w:sz="0" w:space="0" w:color="auto"/>
          </w:divBdr>
          <w:divsChild>
            <w:div w:id="1484353529">
              <w:marLeft w:val="0"/>
              <w:marRight w:val="0"/>
              <w:marTop w:val="0"/>
              <w:marBottom w:val="0"/>
              <w:divBdr>
                <w:top w:val="none" w:sz="0" w:space="0" w:color="auto"/>
                <w:left w:val="none" w:sz="0" w:space="0" w:color="auto"/>
                <w:bottom w:val="none" w:sz="0" w:space="0" w:color="auto"/>
                <w:right w:val="none" w:sz="0" w:space="0" w:color="auto"/>
              </w:divBdr>
              <w:divsChild>
                <w:div w:id="319773087">
                  <w:marLeft w:val="0"/>
                  <w:marRight w:val="0"/>
                  <w:marTop w:val="0"/>
                  <w:marBottom w:val="0"/>
                  <w:divBdr>
                    <w:top w:val="none" w:sz="0" w:space="0" w:color="auto"/>
                    <w:left w:val="none" w:sz="0" w:space="0" w:color="auto"/>
                    <w:bottom w:val="none" w:sz="0" w:space="0" w:color="auto"/>
                    <w:right w:val="none" w:sz="0" w:space="0" w:color="auto"/>
                  </w:divBdr>
                  <w:divsChild>
                    <w:div w:id="124543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0773370">
      <w:bodyDiv w:val="1"/>
      <w:marLeft w:val="0"/>
      <w:marRight w:val="0"/>
      <w:marTop w:val="0"/>
      <w:marBottom w:val="0"/>
      <w:divBdr>
        <w:top w:val="none" w:sz="0" w:space="0" w:color="auto"/>
        <w:left w:val="none" w:sz="0" w:space="0" w:color="auto"/>
        <w:bottom w:val="none" w:sz="0" w:space="0" w:color="auto"/>
        <w:right w:val="none" w:sz="0" w:space="0" w:color="auto"/>
      </w:divBdr>
      <w:divsChild>
        <w:div w:id="392388466">
          <w:marLeft w:val="0"/>
          <w:marRight w:val="0"/>
          <w:marTop w:val="0"/>
          <w:marBottom w:val="0"/>
          <w:divBdr>
            <w:top w:val="none" w:sz="0" w:space="0" w:color="auto"/>
            <w:left w:val="none" w:sz="0" w:space="0" w:color="auto"/>
            <w:bottom w:val="none" w:sz="0" w:space="0" w:color="auto"/>
            <w:right w:val="none" w:sz="0" w:space="0" w:color="auto"/>
          </w:divBdr>
          <w:divsChild>
            <w:div w:id="870070130">
              <w:marLeft w:val="0"/>
              <w:marRight w:val="0"/>
              <w:marTop w:val="0"/>
              <w:marBottom w:val="0"/>
              <w:divBdr>
                <w:top w:val="none" w:sz="0" w:space="0" w:color="auto"/>
                <w:left w:val="none" w:sz="0" w:space="0" w:color="auto"/>
                <w:bottom w:val="none" w:sz="0" w:space="0" w:color="auto"/>
                <w:right w:val="none" w:sz="0" w:space="0" w:color="auto"/>
              </w:divBdr>
              <w:divsChild>
                <w:div w:id="1969431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0381522">
      <w:bodyDiv w:val="1"/>
      <w:marLeft w:val="0"/>
      <w:marRight w:val="0"/>
      <w:marTop w:val="0"/>
      <w:marBottom w:val="0"/>
      <w:divBdr>
        <w:top w:val="none" w:sz="0" w:space="0" w:color="auto"/>
        <w:left w:val="none" w:sz="0" w:space="0" w:color="auto"/>
        <w:bottom w:val="none" w:sz="0" w:space="0" w:color="auto"/>
        <w:right w:val="none" w:sz="0" w:space="0" w:color="auto"/>
      </w:divBdr>
      <w:divsChild>
        <w:div w:id="302320379">
          <w:marLeft w:val="0"/>
          <w:marRight w:val="0"/>
          <w:marTop w:val="0"/>
          <w:marBottom w:val="0"/>
          <w:divBdr>
            <w:top w:val="none" w:sz="0" w:space="0" w:color="auto"/>
            <w:left w:val="none" w:sz="0" w:space="0" w:color="auto"/>
            <w:bottom w:val="none" w:sz="0" w:space="0" w:color="auto"/>
            <w:right w:val="none" w:sz="0" w:space="0" w:color="auto"/>
          </w:divBdr>
          <w:divsChild>
            <w:div w:id="613050879">
              <w:marLeft w:val="0"/>
              <w:marRight w:val="0"/>
              <w:marTop w:val="0"/>
              <w:marBottom w:val="0"/>
              <w:divBdr>
                <w:top w:val="none" w:sz="0" w:space="0" w:color="auto"/>
                <w:left w:val="none" w:sz="0" w:space="0" w:color="auto"/>
                <w:bottom w:val="none" w:sz="0" w:space="0" w:color="auto"/>
                <w:right w:val="none" w:sz="0" w:space="0" w:color="auto"/>
              </w:divBdr>
              <w:divsChild>
                <w:div w:id="230772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8199482">
      <w:bodyDiv w:val="1"/>
      <w:marLeft w:val="0"/>
      <w:marRight w:val="0"/>
      <w:marTop w:val="0"/>
      <w:marBottom w:val="0"/>
      <w:divBdr>
        <w:top w:val="none" w:sz="0" w:space="0" w:color="auto"/>
        <w:left w:val="none" w:sz="0" w:space="0" w:color="auto"/>
        <w:bottom w:val="none" w:sz="0" w:space="0" w:color="auto"/>
        <w:right w:val="none" w:sz="0" w:space="0" w:color="auto"/>
      </w:divBdr>
    </w:div>
    <w:div w:id="954866295">
      <w:bodyDiv w:val="1"/>
      <w:marLeft w:val="0"/>
      <w:marRight w:val="0"/>
      <w:marTop w:val="0"/>
      <w:marBottom w:val="0"/>
      <w:divBdr>
        <w:top w:val="none" w:sz="0" w:space="0" w:color="auto"/>
        <w:left w:val="none" w:sz="0" w:space="0" w:color="auto"/>
        <w:bottom w:val="none" w:sz="0" w:space="0" w:color="auto"/>
        <w:right w:val="none" w:sz="0" w:space="0" w:color="auto"/>
      </w:divBdr>
      <w:divsChild>
        <w:div w:id="818962887">
          <w:marLeft w:val="0"/>
          <w:marRight w:val="0"/>
          <w:marTop w:val="0"/>
          <w:marBottom w:val="0"/>
          <w:divBdr>
            <w:top w:val="none" w:sz="0" w:space="0" w:color="auto"/>
            <w:left w:val="none" w:sz="0" w:space="0" w:color="auto"/>
            <w:bottom w:val="none" w:sz="0" w:space="0" w:color="auto"/>
            <w:right w:val="none" w:sz="0" w:space="0" w:color="auto"/>
          </w:divBdr>
          <w:divsChild>
            <w:div w:id="1936668680">
              <w:marLeft w:val="0"/>
              <w:marRight w:val="0"/>
              <w:marTop w:val="0"/>
              <w:marBottom w:val="0"/>
              <w:divBdr>
                <w:top w:val="none" w:sz="0" w:space="0" w:color="auto"/>
                <w:left w:val="none" w:sz="0" w:space="0" w:color="auto"/>
                <w:bottom w:val="none" w:sz="0" w:space="0" w:color="auto"/>
                <w:right w:val="none" w:sz="0" w:space="0" w:color="auto"/>
              </w:divBdr>
              <w:divsChild>
                <w:div w:id="11148937">
                  <w:marLeft w:val="0"/>
                  <w:marRight w:val="0"/>
                  <w:marTop w:val="0"/>
                  <w:marBottom w:val="0"/>
                  <w:divBdr>
                    <w:top w:val="none" w:sz="0" w:space="0" w:color="auto"/>
                    <w:left w:val="none" w:sz="0" w:space="0" w:color="auto"/>
                    <w:bottom w:val="none" w:sz="0" w:space="0" w:color="auto"/>
                    <w:right w:val="none" w:sz="0" w:space="0" w:color="auto"/>
                  </w:divBdr>
                  <w:divsChild>
                    <w:div w:id="828981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1129173">
      <w:bodyDiv w:val="1"/>
      <w:marLeft w:val="0"/>
      <w:marRight w:val="0"/>
      <w:marTop w:val="0"/>
      <w:marBottom w:val="0"/>
      <w:divBdr>
        <w:top w:val="none" w:sz="0" w:space="0" w:color="auto"/>
        <w:left w:val="none" w:sz="0" w:space="0" w:color="auto"/>
        <w:bottom w:val="none" w:sz="0" w:space="0" w:color="auto"/>
        <w:right w:val="none" w:sz="0" w:space="0" w:color="auto"/>
      </w:divBdr>
      <w:divsChild>
        <w:div w:id="1522277403">
          <w:marLeft w:val="0"/>
          <w:marRight w:val="0"/>
          <w:marTop w:val="0"/>
          <w:marBottom w:val="0"/>
          <w:divBdr>
            <w:top w:val="none" w:sz="0" w:space="0" w:color="auto"/>
            <w:left w:val="none" w:sz="0" w:space="0" w:color="auto"/>
            <w:bottom w:val="none" w:sz="0" w:space="0" w:color="auto"/>
            <w:right w:val="none" w:sz="0" w:space="0" w:color="auto"/>
          </w:divBdr>
          <w:divsChild>
            <w:div w:id="1877934266">
              <w:marLeft w:val="0"/>
              <w:marRight w:val="0"/>
              <w:marTop w:val="0"/>
              <w:marBottom w:val="0"/>
              <w:divBdr>
                <w:top w:val="none" w:sz="0" w:space="0" w:color="auto"/>
                <w:left w:val="none" w:sz="0" w:space="0" w:color="auto"/>
                <w:bottom w:val="none" w:sz="0" w:space="0" w:color="auto"/>
                <w:right w:val="none" w:sz="0" w:space="0" w:color="auto"/>
              </w:divBdr>
              <w:divsChild>
                <w:div w:id="134489460">
                  <w:marLeft w:val="0"/>
                  <w:marRight w:val="0"/>
                  <w:marTop w:val="0"/>
                  <w:marBottom w:val="0"/>
                  <w:divBdr>
                    <w:top w:val="none" w:sz="0" w:space="0" w:color="auto"/>
                    <w:left w:val="none" w:sz="0" w:space="0" w:color="auto"/>
                    <w:bottom w:val="none" w:sz="0" w:space="0" w:color="auto"/>
                    <w:right w:val="none" w:sz="0" w:space="0" w:color="auto"/>
                  </w:divBdr>
                  <w:divsChild>
                    <w:div w:id="22097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7802094">
      <w:bodyDiv w:val="1"/>
      <w:marLeft w:val="0"/>
      <w:marRight w:val="0"/>
      <w:marTop w:val="0"/>
      <w:marBottom w:val="0"/>
      <w:divBdr>
        <w:top w:val="none" w:sz="0" w:space="0" w:color="auto"/>
        <w:left w:val="none" w:sz="0" w:space="0" w:color="auto"/>
        <w:bottom w:val="none" w:sz="0" w:space="0" w:color="auto"/>
        <w:right w:val="none" w:sz="0" w:space="0" w:color="auto"/>
      </w:divBdr>
      <w:divsChild>
        <w:div w:id="2130390171">
          <w:marLeft w:val="0"/>
          <w:marRight w:val="0"/>
          <w:marTop w:val="0"/>
          <w:marBottom w:val="0"/>
          <w:divBdr>
            <w:top w:val="none" w:sz="0" w:space="0" w:color="auto"/>
            <w:left w:val="none" w:sz="0" w:space="0" w:color="auto"/>
            <w:bottom w:val="none" w:sz="0" w:space="0" w:color="auto"/>
            <w:right w:val="none" w:sz="0" w:space="0" w:color="auto"/>
          </w:divBdr>
          <w:divsChild>
            <w:div w:id="55057603">
              <w:marLeft w:val="0"/>
              <w:marRight w:val="0"/>
              <w:marTop w:val="0"/>
              <w:marBottom w:val="0"/>
              <w:divBdr>
                <w:top w:val="none" w:sz="0" w:space="0" w:color="auto"/>
                <w:left w:val="none" w:sz="0" w:space="0" w:color="auto"/>
                <w:bottom w:val="none" w:sz="0" w:space="0" w:color="auto"/>
                <w:right w:val="none" w:sz="0" w:space="0" w:color="auto"/>
              </w:divBdr>
              <w:divsChild>
                <w:div w:id="223182233">
                  <w:marLeft w:val="0"/>
                  <w:marRight w:val="0"/>
                  <w:marTop w:val="0"/>
                  <w:marBottom w:val="0"/>
                  <w:divBdr>
                    <w:top w:val="none" w:sz="0" w:space="0" w:color="auto"/>
                    <w:left w:val="none" w:sz="0" w:space="0" w:color="auto"/>
                    <w:bottom w:val="none" w:sz="0" w:space="0" w:color="auto"/>
                    <w:right w:val="none" w:sz="0" w:space="0" w:color="auto"/>
                  </w:divBdr>
                  <w:divsChild>
                    <w:div w:id="1210459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8261467">
      <w:bodyDiv w:val="1"/>
      <w:marLeft w:val="0"/>
      <w:marRight w:val="0"/>
      <w:marTop w:val="0"/>
      <w:marBottom w:val="0"/>
      <w:divBdr>
        <w:top w:val="none" w:sz="0" w:space="0" w:color="auto"/>
        <w:left w:val="none" w:sz="0" w:space="0" w:color="auto"/>
        <w:bottom w:val="none" w:sz="0" w:space="0" w:color="auto"/>
        <w:right w:val="none" w:sz="0" w:space="0" w:color="auto"/>
      </w:divBdr>
    </w:div>
    <w:div w:id="989678865">
      <w:bodyDiv w:val="1"/>
      <w:marLeft w:val="0"/>
      <w:marRight w:val="0"/>
      <w:marTop w:val="0"/>
      <w:marBottom w:val="0"/>
      <w:divBdr>
        <w:top w:val="none" w:sz="0" w:space="0" w:color="auto"/>
        <w:left w:val="none" w:sz="0" w:space="0" w:color="auto"/>
        <w:bottom w:val="none" w:sz="0" w:space="0" w:color="auto"/>
        <w:right w:val="none" w:sz="0" w:space="0" w:color="auto"/>
      </w:divBdr>
      <w:divsChild>
        <w:div w:id="174343781">
          <w:marLeft w:val="0"/>
          <w:marRight w:val="0"/>
          <w:marTop w:val="0"/>
          <w:marBottom w:val="0"/>
          <w:divBdr>
            <w:top w:val="none" w:sz="0" w:space="0" w:color="auto"/>
            <w:left w:val="none" w:sz="0" w:space="0" w:color="auto"/>
            <w:bottom w:val="none" w:sz="0" w:space="0" w:color="auto"/>
            <w:right w:val="none" w:sz="0" w:space="0" w:color="auto"/>
          </w:divBdr>
          <w:divsChild>
            <w:div w:id="73207360">
              <w:marLeft w:val="0"/>
              <w:marRight w:val="0"/>
              <w:marTop w:val="0"/>
              <w:marBottom w:val="0"/>
              <w:divBdr>
                <w:top w:val="none" w:sz="0" w:space="0" w:color="auto"/>
                <w:left w:val="none" w:sz="0" w:space="0" w:color="auto"/>
                <w:bottom w:val="none" w:sz="0" w:space="0" w:color="auto"/>
                <w:right w:val="none" w:sz="0" w:space="0" w:color="auto"/>
              </w:divBdr>
              <w:divsChild>
                <w:div w:id="1554851893">
                  <w:marLeft w:val="0"/>
                  <w:marRight w:val="0"/>
                  <w:marTop w:val="0"/>
                  <w:marBottom w:val="0"/>
                  <w:divBdr>
                    <w:top w:val="none" w:sz="0" w:space="0" w:color="auto"/>
                    <w:left w:val="none" w:sz="0" w:space="0" w:color="auto"/>
                    <w:bottom w:val="none" w:sz="0" w:space="0" w:color="auto"/>
                    <w:right w:val="none" w:sz="0" w:space="0" w:color="auto"/>
                  </w:divBdr>
                </w:div>
              </w:divsChild>
            </w:div>
            <w:div w:id="874922335">
              <w:marLeft w:val="0"/>
              <w:marRight w:val="0"/>
              <w:marTop w:val="0"/>
              <w:marBottom w:val="0"/>
              <w:divBdr>
                <w:top w:val="none" w:sz="0" w:space="0" w:color="auto"/>
                <w:left w:val="none" w:sz="0" w:space="0" w:color="auto"/>
                <w:bottom w:val="none" w:sz="0" w:space="0" w:color="auto"/>
                <w:right w:val="none" w:sz="0" w:space="0" w:color="auto"/>
              </w:divBdr>
              <w:divsChild>
                <w:div w:id="1023941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9231612">
      <w:bodyDiv w:val="1"/>
      <w:marLeft w:val="0"/>
      <w:marRight w:val="0"/>
      <w:marTop w:val="0"/>
      <w:marBottom w:val="0"/>
      <w:divBdr>
        <w:top w:val="none" w:sz="0" w:space="0" w:color="auto"/>
        <w:left w:val="none" w:sz="0" w:space="0" w:color="auto"/>
        <w:bottom w:val="none" w:sz="0" w:space="0" w:color="auto"/>
        <w:right w:val="none" w:sz="0" w:space="0" w:color="auto"/>
      </w:divBdr>
    </w:div>
    <w:div w:id="1029453385">
      <w:bodyDiv w:val="1"/>
      <w:marLeft w:val="0"/>
      <w:marRight w:val="0"/>
      <w:marTop w:val="0"/>
      <w:marBottom w:val="0"/>
      <w:divBdr>
        <w:top w:val="none" w:sz="0" w:space="0" w:color="auto"/>
        <w:left w:val="none" w:sz="0" w:space="0" w:color="auto"/>
        <w:bottom w:val="none" w:sz="0" w:space="0" w:color="auto"/>
        <w:right w:val="none" w:sz="0" w:space="0" w:color="auto"/>
      </w:divBdr>
      <w:divsChild>
        <w:div w:id="1055616336">
          <w:marLeft w:val="0"/>
          <w:marRight w:val="0"/>
          <w:marTop w:val="0"/>
          <w:marBottom w:val="0"/>
          <w:divBdr>
            <w:top w:val="none" w:sz="0" w:space="0" w:color="auto"/>
            <w:left w:val="none" w:sz="0" w:space="0" w:color="auto"/>
            <w:bottom w:val="none" w:sz="0" w:space="0" w:color="auto"/>
            <w:right w:val="none" w:sz="0" w:space="0" w:color="auto"/>
          </w:divBdr>
          <w:divsChild>
            <w:div w:id="1058363767">
              <w:marLeft w:val="0"/>
              <w:marRight w:val="0"/>
              <w:marTop w:val="0"/>
              <w:marBottom w:val="0"/>
              <w:divBdr>
                <w:top w:val="none" w:sz="0" w:space="0" w:color="auto"/>
                <w:left w:val="none" w:sz="0" w:space="0" w:color="auto"/>
                <w:bottom w:val="none" w:sz="0" w:space="0" w:color="auto"/>
                <w:right w:val="none" w:sz="0" w:space="0" w:color="auto"/>
              </w:divBdr>
              <w:divsChild>
                <w:div w:id="1161963858">
                  <w:marLeft w:val="0"/>
                  <w:marRight w:val="0"/>
                  <w:marTop w:val="0"/>
                  <w:marBottom w:val="0"/>
                  <w:divBdr>
                    <w:top w:val="none" w:sz="0" w:space="0" w:color="auto"/>
                    <w:left w:val="none" w:sz="0" w:space="0" w:color="auto"/>
                    <w:bottom w:val="none" w:sz="0" w:space="0" w:color="auto"/>
                    <w:right w:val="none" w:sz="0" w:space="0" w:color="auto"/>
                  </w:divBdr>
                  <w:divsChild>
                    <w:div w:id="350490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1220773">
      <w:bodyDiv w:val="1"/>
      <w:marLeft w:val="0"/>
      <w:marRight w:val="0"/>
      <w:marTop w:val="0"/>
      <w:marBottom w:val="0"/>
      <w:divBdr>
        <w:top w:val="none" w:sz="0" w:space="0" w:color="auto"/>
        <w:left w:val="none" w:sz="0" w:space="0" w:color="auto"/>
        <w:bottom w:val="none" w:sz="0" w:space="0" w:color="auto"/>
        <w:right w:val="none" w:sz="0" w:space="0" w:color="auto"/>
      </w:divBdr>
    </w:div>
    <w:div w:id="1054308967">
      <w:bodyDiv w:val="1"/>
      <w:marLeft w:val="0"/>
      <w:marRight w:val="0"/>
      <w:marTop w:val="0"/>
      <w:marBottom w:val="0"/>
      <w:divBdr>
        <w:top w:val="none" w:sz="0" w:space="0" w:color="auto"/>
        <w:left w:val="none" w:sz="0" w:space="0" w:color="auto"/>
        <w:bottom w:val="none" w:sz="0" w:space="0" w:color="auto"/>
        <w:right w:val="none" w:sz="0" w:space="0" w:color="auto"/>
      </w:divBdr>
      <w:divsChild>
        <w:div w:id="676033095">
          <w:marLeft w:val="0"/>
          <w:marRight w:val="0"/>
          <w:marTop w:val="0"/>
          <w:marBottom w:val="0"/>
          <w:divBdr>
            <w:top w:val="none" w:sz="0" w:space="0" w:color="auto"/>
            <w:left w:val="none" w:sz="0" w:space="0" w:color="auto"/>
            <w:bottom w:val="none" w:sz="0" w:space="0" w:color="auto"/>
            <w:right w:val="none" w:sz="0" w:space="0" w:color="auto"/>
          </w:divBdr>
          <w:divsChild>
            <w:div w:id="194539889">
              <w:marLeft w:val="0"/>
              <w:marRight w:val="0"/>
              <w:marTop w:val="0"/>
              <w:marBottom w:val="0"/>
              <w:divBdr>
                <w:top w:val="none" w:sz="0" w:space="0" w:color="auto"/>
                <w:left w:val="none" w:sz="0" w:space="0" w:color="auto"/>
                <w:bottom w:val="none" w:sz="0" w:space="0" w:color="auto"/>
                <w:right w:val="none" w:sz="0" w:space="0" w:color="auto"/>
              </w:divBdr>
              <w:divsChild>
                <w:div w:id="1761759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8168107">
      <w:bodyDiv w:val="1"/>
      <w:marLeft w:val="0"/>
      <w:marRight w:val="0"/>
      <w:marTop w:val="0"/>
      <w:marBottom w:val="0"/>
      <w:divBdr>
        <w:top w:val="none" w:sz="0" w:space="0" w:color="auto"/>
        <w:left w:val="none" w:sz="0" w:space="0" w:color="auto"/>
        <w:bottom w:val="none" w:sz="0" w:space="0" w:color="auto"/>
        <w:right w:val="none" w:sz="0" w:space="0" w:color="auto"/>
      </w:divBdr>
      <w:divsChild>
        <w:div w:id="319358010">
          <w:marLeft w:val="0"/>
          <w:marRight w:val="0"/>
          <w:marTop w:val="0"/>
          <w:marBottom w:val="0"/>
          <w:divBdr>
            <w:top w:val="none" w:sz="0" w:space="0" w:color="auto"/>
            <w:left w:val="none" w:sz="0" w:space="0" w:color="auto"/>
            <w:bottom w:val="none" w:sz="0" w:space="0" w:color="auto"/>
            <w:right w:val="none" w:sz="0" w:space="0" w:color="auto"/>
          </w:divBdr>
          <w:divsChild>
            <w:div w:id="1128664035">
              <w:marLeft w:val="0"/>
              <w:marRight w:val="0"/>
              <w:marTop w:val="0"/>
              <w:marBottom w:val="0"/>
              <w:divBdr>
                <w:top w:val="none" w:sz="0" w:space="0" w:color="auto"/>
                <w:left w:val="none" w:sz="0" w:space="0" w:color="auto"/>
                <w:bottom w:val="none" w:sz="0" w:space="0" w:color="auto"/>
                <w:right w:val="none" w:sz="0" w:space="0" w:color="auto"/>
              </w:divBdr>
              <w:divsChild>
                <w:div w:id="946356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2680942">
      <w:bodyDiv w:val="1"/>
      <w:marLeft w:val="0"/>
      <w:marRight w:val="0"/>
      <w:marTop w:val="0"/>
      <w:marBottom w:val="0"/>
      <w:divBdr>
        <w:top w:val="none" w:sz="0" w:space="0" w:color="auto"/>
        <w:left w:val="none" w:sz="0" w:space="0" w:color="auto"/>
        <w:bottom w:val="none" w:sz="0" w:space="0" w:color="auto"/>
        <w:right w:val="none" w:sz="0" w:space="0" w:color="auto"/>
      </w:divBdr>
      <w:divsChild>
        <w:div w:id="1826821063">
          <w:marLeft w:val="0"/>
          <w:marRight w:val="0"/>
          <w:marTop w:val="0"/>
          <w:marBottom w:val="0"/>
          <w:divBdr>
            <w:top w:val="none" w:sz="0" w:space="0" w:color="auto"/>
            <w:left w:val="none" w:sz="0" w:space="0" w:color="auto"/>
            <w:bottom w:val="none" w:sz="0" w:space="0" w:color="auto"/>
            <w:right w:val="none" w:sz="0" w:space="0" w:color="auto"/>
          </w:divBdr>
          <w:divsChild>
            <w:div w:id="1163354298">
              <w:marLeft w:val="0"/>
              <w:marRight w:val="0"/>
              <w:marTop w:val="0"/>
              <w:marBottom w:val="0"/>
              <w:divBdr>
                <w:top w:val="none" w:sz="0" w:space="0" w:color="auto"/>
                <w:left w:val="none" w:sz="0" w:space="0" w:color="auto"/>
                <w:bottom w:val="none" w:sz="0" w:space="0" w:color="auto"/>
                <w:right w:val="none" w:sz="0" w:space="0" w:color="auto"/>
              </w:divBdr>
              <w:divsChild>
                <w:div w:id="1220900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0374566">
      <w:bodyDiv w:val="1"/>
      <w:marLeft w:val="0"/>
      <w:marRight w:val="0"/>
      <w:marTop w:val="0"/>
      <w:marBottom w:val="0"/>
      <w:divBdr>
        <w:top w:val="none" w:sz="0" w:space="0" w:color="auto"/>
        <w:left w:val="none" w:sz="0" w:space="0" w:color="auto"/>
        <w:bottom w:val="none" w:sz="0" w:space="0" w:color="auto"/>
        <w:right w:val="none" w:sz="0" w:space="0" w:color="auto"/>
      </w:divBdr>
      <w:divsChild>
        <w:div w:id="470565017">
          <w:marLeft w:val="0"/>
          <w:marRight w:val="0"/>
          <w:marTop w:val="0"/>
          <w:marBottom w:val="0"/>
          <w:divBdr>
            <w:top w:val="none" w:sz="0" w:space="0" w:color="auto"/>
            <w:left w:val="none" w:sz="0" w:space="0" w:color="auto"/>
            <w:bottom w:val="none" w:sz="0" w:space="0" w:color="auto"/>
            <w:right w:val="none" w:sz="0" w:space="0" w:color="auto"/>
          </w:divBdr>
          <w:divsChild>
            <w:div w:id="1435831771">
              <w:marLeft w:val="0"/>
              <w:marRight w:val="0"/>
              <w:marTop w:val="0"/>
              <w:marBottom w:val="0"/>
              <w:divBdr>
                <w:top w:val="none" w:sz="0" w:space="0" w:color="auto"/>
                <w:left w:val="none" w:sz="0" w:space="0" w:color="auto"/>
                <w:bottom w:val="none" w:sz="0" w:space="0" w:color="auto"/>
                <w:right w:val="none" w:sz="0" w:space="0" w:color="auto"/>
              </w:divBdr>
              <w:divsChild>
                <w:div w:id="49815540">
                  <w:marLeft w:val="0"/>
                  <w:marRight w:val="0"/>
                  <w:marTop w:val="0"/>
                  <w:marBottom w:val="0"/>
                  <w:divBdr>
                    <w:top w:val="none" w:sz="0" w:space="0" w:color="auto"/>
                    <w:left w:val="none" w:sz="0" w:space="0" w:color="auto"/>
                    <w:bottom w:val="none" w:sz="0" w:space="0" w:color="auto"/>
                    <w:right w:val="none" w:sz="0" w:space="0" w:color="auto"/>
                  </w:divBdr>
                  <w:divsChild>
                    <w:div w:id="451943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0468842">
      <w:bodyDiv w:val="1"/>
      <w:marLeft w:val="0"/>
      <w:marRight w:val="0"/>
      <w:marTop w:val="0"/>
      <w:marBottom w:val="0"/>
      <w:divBdr>
        <w:top w:val="none" w:sz="0" w:space="0" w:color="auto"/>
        <w:left w:val="none" w:sz="0" w:space="0" w:color="auto"/>
        <w:bottom w:val="none" w:sz="0" w:space="0" w:color="auto"/>
        <w:right w:val="none" w:sz="0" w:space="0" w:color="auto"/>
      </w:divBdr>
    </w:div>
    <w:div w:id="1118837748">
      <w:bodyDiv w:val="1"/>
      <w:marLeft w:val="0"/>
      <w:marRight w:val="0"/>
      <w:marTop w:val="0"/>
      <w:marBottom w:val="0"/>
      <w:divBdr>
        <w:top w:val="none" w:sz="0" w:space="0" w:color="auto"/>
        <w:left w:val="none" w:sz="0" w:space="0" w:color="auto"/>
        <w:bottom w:val="none" w:sz="0" w:space="0" w:color="auto"/>
        <w:right w:val="none" w:sz="0" w:space="0" w:color="auto"/>
      </w:divBdr>
    </w:div>
    <w:div w:id="1143229632">
      <w:bodyDiv w:val="1"/>
      <w:marLeft w:val="0"/>
      <w:marRight w:val="0"/>
      <w:marTop w:val="0"/>
      <w:marBottom w:val="0"/>
      <w:divBdr>
        <w:top w:val="none" w:sz="0" w:space="0" w:color="auto"/>
        <w:left w:val="none" w:sz="0" w:space="0" w:color="auto"/>
        <w:bottom w:val="none" w:sz="0" w:space="0" w:color="auto"/>
        <w:right w:val="none" w:sz="0" w:space="0" w:color="auto"/>
      </w:divBdr>
      <w:divsChild>
        <w:div w:id="594172088">
          <w:marLeft w:val="274"/>
          <w:marRight w:val="0"/>
          <w:marTop w:val="60"/>
          <w:marBottom w:val="0"/>
          <w:divBdr>
            <w:top w:val="none" w:sz="0" w:space="0" w:color="auto"/>
            <w:left w:val="none" w:sz="0" w:space="0" w:color="auto"/>
            <w:bottom w:val="none" w:sz="0" w:space="0" w:color="auto"/>
            <w:right w:val="none" w:sz="0" w:space="0" w:color="auto"/>
          </w:divBdr>
        </w:div>
        <w:div w:id="479154301">
          <w:marLeft w:val="274"/>
          <w:marRight w:val="0"/>
          <w:marTop w:val="60"/>
          <w:marBottom w:val="0"/>
          <w:divBdr>
            <w:top w:val="none" w:sz="0" w:space="0" w:color="auto"/>
            <w:left w:val="none" w:sz="0" w:space="0" w:color="auto"/>
            <w:bottom w:val="none" w:sz="0" w:space="0" w:color="auto"/>
            <w:right w:val="none" w:sz="0" w:space="0" w:color="auto"/>
          </w:divBdr>
        </w:div>
        <w:div w:id="1694115874">
          <w:marLeft w:val="274"/>
          <w:marRight w:val="0"/>
          <w:marTop w:val="60"/>
          <w:marBottom w:val="0"/>
          <w:divBdr>
            <w:top w:val="none" w:sz="0" w:space="0" w:color="auto"/>
            <w:left w:val="none" w:sz="0" w:space="0" w:color="auto"/>
            <w:bottom w:val="none" w:sz="0" w:space="0" w:color="auto"/>
            <w:right w:val="none" w:sz="0" w:space="0" w:color="auto"/>
          </w:divBdr>
        </w:div>
        <w:div w:id="1149516603">
          <w:marLeft w:val="274"/>
          <w:marRight w:val="0"/>
          <w:marTop w:val="60"/>
          <w:marBottom w:val="0"/>
          <w:divBdr>
            <w:top w:val="none" w:sz="0" w:space="0" w:color="auto"/>
            <w:left w:val="none" w:sz="0" w:space="0" w:color="auto"/>
            <w:bottom w:val="none" w:sz="0" w:space="0" w:color="auto"/>
            <w:right w:val="none" w:sz="0" w:space="0" w:color="auto"/>
          </w:divBdr>
        </w:div>
        <w:div w:id="1766271013">
          <w:marLeft w:val="274"/>
          <w:marRight w:val="0"/>
          <w:marTop w:val="60"/>
          <w:marBottom w:val="0"/>
          <w:divBdr>
            <w:top w:val="none" w:sz="0" w:space="0" w:color="auto"/>
            <w:left w:val="none" w:sz="0" w:space="0" w:color="auto"/>
            <w:bottom w:val="none" w:sz="0" w:space="0" w:color="auto"/>
            <w:right w:val="none" w:sz="0" w:space="0" w:color="auto"/>
          </w:divBdr>
        </w:div>
        <w:div w:id="1854759225">
          <w:marLeft w:val="274"/>
          <w:marRight w:val="0"/>
          <w:marTop w:val="60"/>
          <w:marBottom w:val="0"/>
          <w:divBdr>
            <w:top w:val="none" w:sz="0" w:space="0" w:color="auto"/>
            <w:left w:val="none" w:sz="0" w:space="0" w:color="auto"/>
            <w:bottom w:val="none" w:sz="0" w:space="0" w:color="auto"/>
            <w:right w:val="none" w:sz="0" w:space="0" w:color="auto"/>
          </w:divBdr>
        </w:div>
        <w:div w:id="1040280970">
          <w:marLeft w:val="274"/>
          <w:marRight w:val="0"/>
          <w:marTop w:val="60"/>
          <w:marBottom w:val="0"/>
          <w:divBdr>
            <w:top w:val="none" w:sz="0" w:space="0" w:color="auto"/>
            <w:left w:val="none" w:sz="0" w:space="0" w:color="auto"/>
            <w:bottom w:val="none" w:sz="0" w:space="0" w:color="auto"/>
            <w:right w:val="none" w:sz="0" w:space="0" w:color="auto"/>
          </w:divBdr>
        </w:div>
        <w:div w:id="1114060185">
          <w:marLeft w:val="274"/>
          <w:marRight w:val="0"/>
          <w:marTop w:val="0"/>
          <w:marBottom w:val="0"/>
          <w:divBdr>
            <w:top w:val="none" w:sz="0" w:space="0" w:color="auto"/>
            <w:left w:val="none" w:sz="0" w:space="0" w:color="auto"/>
            <w:bottom w:val="none" w:sz="0" w:space="0" w:color="auto"/>
            <w:right w:val="none" w:sz="0" w:space="0" w:color="auto"/>
          </w:divBdr>
        </w:div>
      </w:divsChild>
    </w:div>
    <w:div w:id="1181889651">
      <w:bodyDiv w:val="1"/>
      <w:marLeft w:val="0"/>
      <w:marRight w:val="0"/>
      <w:marTop w:val="0"/>
      <w:marBottom w:val="0"/>
      <w:divBdr>
        <w:top w:val="none" w:sz="0" w:space="0" w:color="auto"/>
        <w:left w:val="none" w:sz="0" w:space="0" w:color="auto"/>
        <w:bottom w:val="none" w:sz="0" w:space="0" w:color="auto"/>
        <w:right w:val="none" w:sz="0" w:space="0" w:color="auto"/>
      </w:divBdr>
    </w:div>
    <w:div w:id="1236160124">
      <w:bodyDiv w:val="1"/>
      <w:marLeft w:val="0"/>
      <w:marRight w:val="0"/>
      <w:marTop w:val="0"/>
      <w:marBottom w:val="0"/>
      <w:divBdr>
        <w:top w:val="none" w:sz="0" w:space="0" w:color="auto"/>
        <w:left w:val="none" w:sz="0" w:space="0" w:color="auto"/>
        <w:bottom w:val="none" w:sz="0" w:space="0" w:color="auto"/>
        <w:right w:val="none" w:sz="0" w:space="0" w:color="auto"/>
      </w:divBdr>
      <w:divsChild>
        <w:div w:id="1729718625">
          <w:marLeft w:val="0"/>
          <w:marRight w:val="0"/>
          <w:marTop w:val="0"/>
          <w:marBottom w:val="0"/>
          <w:divBdr>
            <w:top w:val="none" w:sz="0" w:space="0" w:color="auto"/>
            <w:left w:val="none" w:sz="0" w:space="0" w:color="auto"/>
            <w:bottom w:val="none" w:sz="0" w:space="0" w:color="auto"/>
            <w:right w:val="none" w:sz="0" w:space="0" w:color="auto"/>
          </w:divBdr>
          <w:divsChild>
            <w:div w:id="1663775186">
              <w:marLeft w:val="0"/>
              <w:marRight w:val="0"/>
              <w:marTop w:val="0"/>
              <w:marBottom w:val="0"/>
              <w:divBdr>
                <w:top w:val="none" w:sz="0" w:space="0" w:color="auto"/>
                <w:left w:val="none" w:sz="0" w:space="0" w:color="auto"/>
                <w:bottom w:val="none" w:sz="0" w:space="0" w:color="auto"/>
                <w:right w:val="none" w:sz="0" w:space="0" w:color="auto"/>
              </w:divBdr>
              <w:divsChild>
                <w:div w:id="978190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4754711">
      <w:bodyDiv w:val="1"/>
      <w:marLeft w:val="0"/>
      <w:marRight w:val="0"/>
      <w:marTop w:val="0"/>
      <w:marBottom w:val="0"/>
      <w:divBdr>
        <w:top w:val="none" w:sz="0" w:space="0" w:color="auto"/>
        <w:left w:val="none" w:sz="0" w:space="0" w:color="auto"/>
        <w:bottom w:val="none" w:sz="0" w:space="0" w:color="auto"/>
        <w:right w:val="none" w:sz="0" w:space="0" w:color="auto"/>
      </w:divBdr>
    </w:div>
    <w:div w:id="1250849284">
      <w:bodyDiv w:val="1"/>
      <w:marLeft w:val="0"/>
      <w:marRight w:val="0"/>
      <w:marTop w:val="0"/>
      <w:marBottom w:val="0"/>
      <w:divBdr>
        <w:top w:val="none" w:sz="0" w:space="0" w:color="auto"/>
        <w:left w:val="none" w:sz="0" w:space="0" w:color="auto"/>
        <w:bottom w:val="none" w:sz="0" w:space="0" w:color="auto"/>
        <w:right w:val="none" w:sz="0" w:space="0" w:color="auto"/>
      </w:divBdr>
      <w:divsChild>
        <w:div w:id="858392431">
          <w:marLeft w:val="0"/>
          <w:marRight w:val="0"/>
          <w:marTop w:val="0"/>
          <w:marBottom w:val="0"/>
          <w:divBdr>
            <w:top w:val="none" w:sz="0" w:space="0" w:color="auto"/>
            <w:left w:val="none" w:sz="0" w:space="0" w:color="auto"/>
            <w:bottom w:val="none" w:sz="0" w:space="0" w:color="auto"/>
            <w:right w:val="none" w:sz="0" w:space="0" w:color="auto"/>
          </w:divBdr>
          <w:divsChild>
            <w:div w:id="1602758553">
              <w:marLeft w:val="0"/>
              <w:marRight w:val="0"/>
              <w:marTop w:val="0"/>
              <w:marBottom w:val="0"/>
              <w:divBdr>
                <w:top w:val="none" w:sz="0" w:space="0" w:color="auto"/>
                <w:left w:val="none" w:sz="0" w:space="0" w:color="auto"/>
                <w:bottom w:val="none" w:sz="0" w:space="0" w:color="auto"/>
                <w:right w:val="none" w:sz="0" w:space="0" w:color="auto"/>
              </w:divBdr>
              <w:divsChild>
                <w:div w:id="642463690">
                  <w:marLeft w:val="0"/>
                  <w:marRight w:val="0"/>
                  <w:marTop w:val="0"/>
                  <w:marBottom w:val="0"/>
                  <w:divBdr>
                    <w:top w:val="none" w:sz="0" w:space="0" w:color="auto"/>
                    <w:left w:val="none" w:sz="0" w:space="0" w:color="auto"/>
                    <w:bottom w:val="none" w:sz="0" w:space="0" w:color="auto"/>
                    <w:right w:val="none" w:sz="0" w:space="0" w:color="auto"/>
                  </w:divBdr>
                  <w:divsChild>
                    <w:div w:id="90519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0165732">
      <w:bodyDiv w:val="1"/>
      <w:marLeft w:val="0"/>
      <w:marRight w:val="0"/>
      <w:marTop w:val="0"/>
      <w:marBottom w:val="0"/>
      <w:divBdr>
        <w:top w:val="none" w:sz="0" w:space="0" w:color="auto"/>
        <w:left w:val="none" w:sz="0" w:space="0" w:color="auto"/>
        <w:bottom w:val="none" w:sz="0" w:space="0" w:color="auto"/>
        <w:right w:val="none" w:sz="0" w:space="0" w:color="auto"/>
      </w:divBdr>
      <w:divsChild>
        <w:div w:id="1283346820">
          <w:marLeft w:val="0"/>
          <w:marRight w:val="0"/>
          <w:marTop w:val="0"/>
          <w:marBottom w:val="0"/>
          <w:divBdr>
            <w:top w:val="none" w:sz="0" w:space="0" w:color="auto"/>
            <w:left w:val="none" w:sz="0" w:space="0" w:color="auto"/>
            <w:bottom w:val="none" w:sz="0" w:space="0" w:color="auto"/>
            <w:right w:val="none" w:sz="0" w:space="0" w:color="auto"/>
          </w:divBdr>
          <w:divsChild>
            <w:div w:id="846335336">
              <w:marLeft w:val="0"/>
              <w:marRight w:val="0"/>
              <w:marTop w:val="0"/>
              <w:marBottom w:val="0"/>
              <w:divBdr>
                <w:top w:val="none" w:sz="0" w:space="0" w:color="auto"/>
                <w:left w:val="none" w:sz="0" w:space="0" w:color="auto"/>
                <w:bottom w:val="none" w:sz="0" w:space="0" w:color="auto"/>
                <w:right w:val="none" w:sz="0" w:space="0" w:color="auto"/>
              </w:divBdr>
              <w:divsChild>
                <w:div w:id="1408108479">
                  <w:marLeft w:val="0"/>
                  <w:marRight w:val="0"/>
                  <w:marTop w:val="0"/>
                  <w:marBottom w:val="0"/>
                  <w:divBdr>
                    <w:top w:val="none" w:sz="0" w:space="0" w:color="auto"/>
                    <w:left w:val="none" w:sz="0" w:space="0" w:color="auto"/>
                    <w:bottom w:val="none" w:sz="0" w:space="0" w:color="auto"/>
                    <w:right w:val="none" w:sz="0" w:space="0" w:color="auto"/>
                  </w:divBdr>
                  <w:divsChild>
                    <w:div w:id="154713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6736102">
      <w:bodyDiv w:val="1"/>
      <w:marLeft w:val="0"/>
      <w:marRight w:val="0"/>
      <w:marTop w:val="0"/>
      <w:marBottom w:val="0"/>
      <w:divBdr>
        <w:top w:val="none" w:sz="0" w:space="0" w:color="auto"/>
        <w:left w:val="none" w:sz="0" w:space="0" w:color="auto"/>
        <w:bottom w:val="none" w:sz="0" w:space="0" w:color="auto"/>
        <w:right w:val="none" w:sz="0" w:space="0" w:color="auto"/>
      </w:divBdr>
      <w:divsChild>
        <w:div w:id="833956178">
          <w:marLeft w:val="0"/>
          <w:marRight w:val="0"/>
          <w:marTop w:val="0"/>
          <w:marBottom w:val="0"/>
          <w:divBdr>
            <w:top w:val="none" w:sz="0" w:space="0" w:color="auto"/>
            <w:left w:val="none" w:sz="0" w:space="0" w:color="auto"/>
            <w:bottom w:val="none" w:sz="0" w:space="0" w:color="auto"/>
            <w:right w:val="none" w:sz="0" w:space="0" w:color="auto"/>
          </w:divBdr>
          <w:divsChild>
            <w:div w:id="460613337">
              <w:marLeft w:val="0"/>
              <w:marRight w:val="0"/>
              <w:marTop w:val="0"/>
              <w:marBottom w:val="0"/>
              <w:divBdr>
                <w:top w:val="none" w:sz="0" w:space="0" w:color="auto"/>
                <w:left w:val="none" w:sz="0" w:space="0" w:color="auto"/>
                <w:bottom w:val="none" w:sz="0" w:space="0" w:color="auto"/>
                <w:right w:val="none" w:sz="0" w:space="0" w:color="auto"/>
              </w:divBdr>
              <w:divsChild>
                <w:div w:id="1379547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8191488">
      <w:bodyDiv w:val="1"/>
      <w:marLeft w:val="0"/>
      <w:marRight w:val="0"/>
      <w:marTop w:val="0"/>
      <w:marBottom w:val="0"/>
      <w:divBdr>
        <w:top w:val="none" w:sz="0" w:space="0" w:color="auto"/>
        <w:left w:val="none" w:sz="0" w:space="0" w:color="auto"/>
        <w:bottom w:val="none" w:sz="0" w:space="0" w:color="auto"/>
        <w:right w:val="none" w:sz="0" w:space="0" w:color="auto"/>
      </w:divBdr>
      <w:divsChild>
        <w:div w:id="1434478134">
          <w:marLeft w:val="0"/>
          <w:marRight w:val="0"/>
          <w:marTop w:val="0"/>
          <w:marBottom w:val="0"/>
          <w:divBdr>
            <w:top w:val="none" w:sz="0" w:space="0" w:color="auto"/>
            <w:left w:val="none" w:sz="0" w:space="0" w:color="auto"/>
            <w:bottom w:val="none" w:sz="0" w:space="0" w:color="auto"/>
            <w:right w:val="none" w:sz="0" w:space="0" w:color="auto"/>
          </w:divBdr>
        </w:div>
      </w:divsChild>
    </w:div>
    <w:div w:id="1336111172">
      <w:bodyDiv w:val="1"/>
      <w:marLeft w:val="0"/>
      <w:marRight w:val="0"/>
      <w:marTop w:val="0"/>
      <w:marBottom w:val="0"/>
      <w:divBdr>
        <w:top w:val="none" w:sz="0" w:space="0" w:color="auto"/>
        <w:left w:val="none" w:sz="0" w:space="0" w:color="auto"/>
        <w:bottom w:val="none" w:sz="0" w:space="0" w:color="auto"/>
        <w:right w:val="none" w:sz="0" w:space="0" w:color="auto"/>
      </w:divBdr>
      <w:divsChild>
        <w:div w:id="1924681489">
          <w:marLeft w:val="0"/>
          <w:marRight w:val="0"/>
          <w:marTop w:val="0"/>
          <w:marBottom w:val="0"/>
          <w:divBdr>
            <w:top w:val="none" w:sz="0" w:space="0" w:color="auto"/>
            <w:left w:val="none" w:sz="0" w:space="0" w:color="auto"/>
            <w:bottom w:val="none" w:sz="0" w:space="0" w:color="auto"/>
            <w:right w:val="none" w:sz="0" w:space="0" w:color="auto"/>
          </w:divBdr>
          <w:divsChild>
            <w:div w:id="1235162146">
              <w:marLeft w:val="0"/>
              <w:marRight w:val="0"/>
              <w:marTop w:val="0"/>
              <w:marBottom w:val="0"/>
              <w:divBdr>
                <w:top w:val="none" w:sz="0" w:space="0" w:color="auto"/>
                <w:left w:val="none" w:sz="0" w:space="0" w:color="auto"/>
                <w:bottom w:val="none" w:sz="0" w:space="0" w:color="auto"/>
                <w:right w:val="none" w:sz="0" w:space="0" w:color="auto"/>
              </w:divBdr>
              <w:divsChild>
                <w:div w:id="11236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5766819">
      <w:bodyDiv w:val="1"/>
      <w:marLeft w:val="0"/>
      <w:marRight w:val="0"/>
      <w:marTop w:val="0"/>
      <w:marBottom w:val="0"/>
      <w:divBdr>
        <w:top w:val="none" w:sz="0" w:space="0" w:color="auto"/>
        <w:left w:val="none" w:sz="0" w:space="0" w:color="auto"/>
        <w:bottom w:val="none" w:sz="0" w:space="0" w:color="auto"/>
        <w:right w:val="none" w:sz="0" w:space="0" w:color="auto"/>
      </w:divBdr>
      <w:divsChild>
        <w:div w:id="1792629542">
          <w:marLeft w:val="0"/>
          <w:marRight w:val="0"/>
          <w:marTop w:val="0"/>
          <w:marBottom w:val="0"/>
          <w:divBdr>
            <w:top w:val="none" w:sz="0" w:space="0" w:color="auto"/>
            <w:left w:val="none" w:sz="0" w:space="0" w:color="auto"/>
            <w:bottom w:val="none" w:sz="0" w:space="0" w:color="auto"/>
            <w:right w:val="none" w:sz="0" w:space="0" w:color="auto"/>
          </w:divBdr>
          <w:divsChild>
            <w:div w:id="2018387793">
              <w:marLeft w:val="0"/>
              <w:marRight w:val="0"/>
              <w:marTop w:val="0"/>
              <w:marBottom w:val="0"/>
              <w:divBdr>
                <w:top w:val="none" w:sz="0" w:space="0" w:color="auto"/>
                <w:left w:val="none" w:sz="0" w:space="0" w:color="auto"/>
                <w:bottom w:val="none" w:sz="0" w:space="0" w:color="auto"/>
                <w:right w:val="none" w:sz="0" w:space="0" w:color="auto"/>
              </w:divBdr>
              <w:divsChild>
                <w:div w:id="140578930">
                  <w:marLeft w:val="0"/>
                  <w:marRight w:val="0"/>
                  <w:marTop w:val="0"/>
                  <w:marBottom w:val="0"/>
                  <w:divBdr>
                    <w:top w:val="none" w:sz="0" w:space="0" w:color="auto"/>
                    <w:left w:val="none" w:sz="0" w:space="0" w:color="auto"/>
                    <w:bottom w:val="none" w:sz="0" w:space="0" w:color="auto"/>
                    <w:right w:val="none" w:sz="0" w:space="0" w:color="auto"/>
                  </w:divBdr>
                  <w:divsChild>
                    <w:div w:id="383605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0102503">
      <w:bodyDiv w:val="1"/>
      <w:marLeft w:val="0"/>
      <w:marRight w:val="0"/>
      <w:marTop w:val="0"/>
      <w:marBottom w:val="0"/>
      <w:divBdr>
        <w:top w:val="none" w:sz="0" w:space="0" w:color="auto"/>
        <w:left w:val="none" w:sz="0" w:space="0" w:color="auto"/>
        <w:bottom w:val="none" w:sz="0" w:space="0" w:color="auto"/>
        <w:right w:val="none" w:sz="0" w:space="0" w:color="auto"/>
      </w:divBdr>
      <w:divsChild>
        <w:div w:id="674234754">
          <w:marLeft w:val="0"/>
          <w:marRight w:val="0"/>
          <w:marTop w:val="0"/>
          <w:marBottom w:val="0"/>
          <w:divBdr>
            <w:top w:val="none" w:sz="0" w:space="0" w:color="auto"/>
            <w:left w:val="none" w:sz="0" w:space="0" w:color="auto"/>
            <w:bottom w:val="none" w:sz="0" w:space="0" w:color="auto"/>
            <w:right w:val="none" w:sz="0" w:space="0" w:color="auto"/>
          </w:divBdr>
        </w:div>
      </w:divsChild>
    </w:div>
    <w:div w:id="1374378373">
      <w:bodyDiv w:val="1"/>
      <w:marLeft w:val="0"/>
      <w:marRight w:val="0"/>
      <w:marTop w:val="0"/>
      <w:marBottom w:val="0"/>
      <w:divBdr>
        <w:top w:val="none" w:sz="0" w:space="0" w:color="auto"/>
        <w:left w:val="none" w:sz="0" w:space="0" w:color="auto"/>
        <w:bottom w:val="none" w:sz="0" w:space="0" w:color="auto"/>
        <w:right w:val="none" w:sz="0" w:space="0" w:color="auto"/>
      </w:divBdr>
      <w:divsChild>
        <w:div w:id="1950696028">
          <w:marLeft w:val="0"/>
          <w:marRight w:val="0"/>
          <w:marTop w:val="0"/>
          <w:marBottom w:val="0"/>
          <w:divBdr>
            <w:top w:val="none" w:sz="0" w:space="0" w:color="auto"/>
            <w:left w:val="none" w:sz="0" w:space="0" w:color="auto"/>
            <w:bottom w:val="none" w:sz="0" w:space="0" w:color="auto"/>
            <w:right w:val="none" w:sz="0" w:space="0" w:color="auto"/>
          </w:divBdr>
          <w:divsChild>
            <w:div w:id="993802594">
              <w:marLeft w:val="0"/>
              <w:marRight w:val="0"/>
              <w:marTop w:val="0"/>
              <w:marBottom w:val="0"/>
              <w:divBdr>
                <w:top w:val="none" w:sz="0" w:space="0" w:color="auto"/>
                <w:left w:val="none" w:sz="0" w:space="0" w:color="auto"/>
                <w:bottom w:val="none" w:sz="0" w:space="0" w:color="auto"/>
                <w:right w:val="none" w:sz="0" w:space="0" w:color="auto"/>
              </w:divBdr>
              <w:divsChild>
                <w:div w:id="1669138397">
                  <w:marLeft w:val="0"/>
                  <w:marRight w:val="0"/>
                  <w:marTop w:val="0"/>
                  <w:marBottom w:val="0"/>
                  <w:divBdr>
                    <w:top w:val="none" w:sz="0" w:space="0" w:color="auto"/>
                    <w:left w:val="none" w:sz="0" w:space="0" w:color="auto"/>
                    <w:bottom w:val="none" w:sz="0" w:space="0" w:color="auto"/>
                    <w:right w:val="none" w:sz="0" w:space="0" w:color="auto"/>
                  </w:divBdr>
                  <w:divsChild>
                    <w:div w:id="1042169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2362088">
      <w:bodyDiv w:val="1"/>
      <w:marLeft w:val="0"/>
      <w:marRight w:val="0"/>
      <w:marTop w:val="0"/>
      <w:marBottom w:val="0"/>
      <w:divBdr>
        <w:top w:val="none" w:sz="0" w:space="0" w:color="auto"/>
        <w:left w:val="none" w:sz="0" w:space="0" w:color="auto"/>
        <w:bottom w:val="none" w:sz="0" w:space="0" w:color="auto"/>
        <w:right w:val="none" w:sz="0" w:space="0" w:color="auto"/>
      </w:divBdr>
    </w:div>
    <w:div w:id="1384593716">
      <w:bodyDiv w:val="1"/>
      <w:marLeft w:val="0"/>
      <w:marRight w:val="0"/>
      <w:marTop w:val="0"/>
      <w:marBottom w:val="0"/>
      <w:divBdr>
        <w:top w:val="none" w:sz="0" w:space="0" w:color="auto"/>
        <w:left w:val="none" w:sz="0" w:space="0" w:color="auto"/>
        <w:bottom w:val="none" w:sz="0" w:space="0" w:color="auto"/>
        <w:right w:val="none" w:sz="0" w:space="0" w:color="auto"/>
      </w:divBdr>
      <w:divsChild>
        <w:div w:id="1538354492">
          <w:marLeft w:val="0"/>
          <w:marRight w:val="0"/>
          <w:marTop w:val="0"/>
          <w:marBottom w:val="0"/>
          <w:divBdr>
            <w:top w:val="none" w:sz="0" w:space="0" w:color="auto"/>
            <w:left w:val="none" w:sz="0" w:space="0" w:color="auto"/>
            <w:bottom w:val="none" w:sz="0" w:space="0" w:color="auto"/>
            <w:right w:val="none" w:sz="0" w:space="0" w:color="auto"/>
          </w:divBdr>
          <w:divsChild>
            <w:div w:id="2009213697">
              <w:marLeft w:val="0"/>
              <w:marRight w:val="0"/>
              <w:marTop w:val="0"/>
              <w:marBottom w:val="0"/>
              <w:divBdr>
                <w:top w:val="none" w:sz="0" w:space="0" w:color="auto"/>
                <w:left w:val="none" w:sz="0" w:space="0" w:color="auto"/>
                <w:bottom w:val="none" w:sz="0" w:space="0" w:color="auto"/>
                <w:right w:val="none" w:sz="0" w:space="0" w:color="auto"/>
              </w:divBdr>
              <w:divsChild>
                <w:div w:id="1706825819">
                  <w:marLeft w:val="0"/>
                  <w:marRight w:val="0"/>
                  <w:marTop w:val="0"/>
                  <w:marBottom w:val="0"/>
                  <w:divBdr>
                    <w:top w:val="none" w:sz="0" w:space="0" w:color="auto"/>
                    <w:left w:val="none" w:sz="0" w:space="0" w:color="auto"/>
                    <w:bottom w:val="none" w:sz="0" w:space="0" w:color="auto"/>
                    <w:right w:val="none" w:sz="0" w:space="0" w:color="auto"/>
                  </w:divBdr>
                  <w:divsChild>
                    <w:div w:id="1165243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1995533">
      <w:bodyDiv w:val="1"/>
      <w:marLeft w:val="0"/>
      <w:marRight w:val="0"/>
      <w:marTop w:val="0"/>
      <w:marBottom w:val="0"/>
      <w:divBdr>
        <w:top w:val="none" w:sz="0" w:space="0" w:color="auto"/>
        <w:left w:val="none" w:sz="0" w:space="0" w:color="auto"/>
        <w:bottom w:val="none" w:sz="0" w:space="0" w:color="auto"/>
        <w:right w:val="none" w:sz="0" w:space="0" w:color="auto"/>
      </w:divBdr>
      <w:divsChild>
        <w:div w:id="388921760">
          <w:marLeft w:val="274"/>
          <w:marRight w:val="0"/>
          <w:marTop w:val="60"/>
          <w:marBottom w:val="0"/>
          <w:divBdr>
            <w:top w:val="none" w:sz="0" w:space="0" w:color="auto"/>
            <w:left w:val="none" w:sz="0" w:space="0" w:color="auto"/>
            <w:bottom w:val="none" w:sz="0" w:space="0" w:color="auto"/>
            <w:right w:val="none" w:sz="0" w:space="0" w:color="auto"/>
          </w:divBdr>
        </w:div>
        <w:div w:id="1715235505">
          <w:marLeft w:val="274"/>
          <w:marRight w:val="0"/>
          <w:marTop w:val="60"/>
          <w:marBottom w:val="0"/>
          <w:divBdr>
            <w:top w:val="none" w:sz="0" w:space="0" w:color="auto"/>
            <w:left w:val="none" w:sz="0" w:space="0" w:color="auto"/>
            <w:bottom w:val="none" w:sz="0" w:space="0" w:color="auto"/>
            <w:right w:val="none" w:sz="0" w:space="0" w:color="auto"/>
          </w:divBdr>
        </w:div>
        <w:div w:id="567377336">
          <w:marLeft w:val="274"/>
          <w:marRight w:val="0"/>
          <w:marTop w:val="60"/>
          <w:marBottom w:val="0"/>
          <w:divBdr>
            <w:top w:val="none" w:sz="0" w:space="0" w:color="auto"/>
            <w:left w:val="none" w:sz="0" w:space="0" w:color="auto"/>
            <w:bottom w:val="none" w:sz="0" w:space="0" w:color="auto"/>
            <w:right w:val="none" w:sz="0" w:space="0" w:color="auto"/>
          </w:divBdr>
        </w:div>
        <w:div w:id="1859201002">
          <w:marLeft w:val="274"/>
          <w:marRight w:val="0"/>
          <w:marTop w:val="60"/>
          <w:marBottom w:val="0"/>
          <w:divBdr>
            <w:top w:val="none" w:sz="0" w:space="0" w:color="auto"/>
            <w:left w:val="none" w:sz="0" w:space="0" w:color="auto"/>
            <w:bottom w:val="none" w:sz="0" w:space="0" w:color="auto"/>
            <w:right w:val="none" w:sz="0" w:space="0" w:color="auto"/>
          </w:divBdr>
        </w:div>
        <w:div w:id="1027868488">
          <w:marLeft w:val="274"/>
          <w:marRight w:val="0"/>
          <w:marTop w:val="60"/>
          <w:marBottom w:val="0"/>
          <w:divBdr>
            <w:top w:val="none" w:sz="0" w:space="0" w:color="auto"/>
            <w:left w:val="none" w:sz="0" w:space="0" w:color="auto"/>
            <w:bottom w:val="none" w:sz="0" w:space="0" w:color="auto"/>
            <w:right w:val="none" w:sz="0" w:space="0" w:color="auto"/>
          </w:divBdr>
        </w:div>
        <w:div w:id="169104519">
          <w:marLeft w:val="274"/>
          <w:marRight w:val="0"/>
          <w:marTop w:val="60"/>
          <w:marBottom w:val="0"/>
          <w:divBdr>
            <w:top w:val="none" w:sz="0" w:space="0" w:color="auto"/>
            <w:left w:val="none" w:sz="0" w:space="0" w:color="auto"/>
            <w:bottom w:val="none" w:sz="0" w:space="0" w:color="auto"/>
            <w:right w:val="none" w:sz="0" w:space="0" w:color="auto"/>
          </w:divBdr>
        </w:div>
      </w:divsChild>
    </w:div>
    <w:div w:id="1393892115">
      <w:bodyDiv w:val="1"/>
      <w:marLeft w:val="0"/>
      <w:marRight w:val="0"/>
      <w:marTop w:val="0"/>
      <w:marBottom w:val="0"/>
      <w:divBdr>
        <w:top w:val="none" w:sz="0" w:space="0" w:color="auto"/>
        <w:left w:val="none" w:sz="0" w:space="0" w:color="auto"/>
        <w:bottom w:val="none" w:sz="0" w:space="0" w:color="auto"/>
        <w:right w:val="none" w:sz="0" w:space="0" w:color="auto"/>
      </w:divBdr>
    </w:div>
    <w:div w:id="1400904618">
      <w:bodyDiv w:val="1"/>
      <w:marLeft w:val="0"/>
      <w:marRight w:val="0"/>
      <w:marTop w:val="0"/>
      <w:marBottom w:val="0"/>
      <w:divBdr>
        <w:top w:val="none" w:sz="0" w:space="0" w:color="auto"/>
        <w:left w:val="none" w:sz="0" w:space="0" w:color="auto"/>
        <w:bottom w:val="none" w:sz="0" w:space="0" w:color="auto"/>
        <w:right w:val="none" w:sz="0" w:space="0" w:color="auto"/>
      </w:divBdr>
      <w:divsChild>
        <w:div w:id="1112171526">
          <w:marLeft w:val="0"/>
          <w:marRight w:val="0"/>
          <w:marTop w:val="0"/>
          <w:marBottom w:val="0"/>
          <w:divBdr>
            <w:top w:val="none" w:sz="0" w:space="0" w:color="auto"/>
            <w:left w:val="none" w:sz="0" w:space="0" w:color="auto"/>
            <w:bottom w:val="none" w:sz="0" w:space="0" w:color="auto"/>
            <w:right w:val="none" w:sz="0" w:space="0" w:color="auto"/>
          </w:divBdr>
          <w:divsChild>
            <w:div w:id="1181358460">
              <w:marLeft w:val="0"/>
              <w:marRight w:val="0"/>
              <w:marTop w:val="0"/>
              <w:marBottom w:val="0"/>
              <w:divBdr>
                <w:top w:val="none" w:sz="0" w:space="0" w:color="auto"/>
                <w:left w:val="none" w:sz="0" w:space="0" w:color="auto"/>
                <w:bottom w:val="none" w:sz="0" w:space="0" w:color="auto"/>
                <w:right w:val="none" w:sz="0" w:space="0" w:color="auto"/>
              </w:divBdr>
              <w:divsChild>
                <w:div w:id="1198933893">
                  <w:marLeft w:val="0"/>
                  <w:marRight w:val="0"/>
                  <w:marTop w:val="0"/>
                  <w:marBottom w:val="0"/>
                  <w:divBdr>
                    <w:top w:val="none" w:sz="0" w:space="0" w:color="auto"/>
                    <w:left w:val="none" w:sz="0" w:space="0" w:color="auto"/>
                    <w:bottom w:val="none" w:sz="0" w:space="0" w:color="auto"/>
                    <w:right w:val="none" w:sz="0" w:space="0" w:color="auto"/>
                  </w:divBdr>
                  <w:divsChild>
                    <w:div w:id="526217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3479402">
      <w:bodyDiv w:val="1"/>
      <w:marLeft w:val="0"/>
      <w:marRight w:val="0"/>
      <w:marTop w:val="0"/>
      <w:marBottom w:val="0"/>
      <w:divBdr>
        <w:top w:val="none" w:sz="0" w:space="0" w:color="auto"/>
        <w:left w:val="none" w:sz="0" w:space="0" w:color="auto"/>
        <w:bottom w:val="none" w:sz="0" w:space="0" w:color="auto"/>
        <w:right w:val="none" w:sz="0" w:space="0" w:color="auto"/>
      </w:divBdr>
      <w:divsChild>
        <w:div w:id="613444981">
          <w:marLeft w:val="0"/>
          <w:marRight w:val="0"/>
          <w:marTop w:val="0"/>
          <w:marBottom w:val="0"/>
          <w:divBdr>
            <w:top w:val="none" w:sz="0" w:space="0" w:color="auto"/>
            <w:left w:val="none" w:sz="0" w:space="0" w:color="auto"/>
            <w:bottom w:val="none" w:sz="0" w:space="0" w:color="auto"/>
            <w:right w:val="none" w:sz="0" w:space="0" w:color="auto"/>
          </w:divBdr>
          <w:divsChild>
            <w:div w:id="1046833297">
              <w:marLeft w:val="0"/>
              <w:marRight w:val="0"/>
              <w:marTop w:val="0"/>
              <w:marBottom w:val="0"/>
              <w:divBdr>
                <w:top w:val="none" w:sz="0" w:space="0" w:color="auto"/>
                <w:left w:val="none" w:sz="0" w:space="0" w:color="auto"/>
                <w:bottom w:val="none" w:sz="0" w:space="0" w:color="auto"/>
                <w:right w:val="none" w:sz="0" w:space="0" w:color="auto"/>
              </w:divBdr>
              <w:divsChild>
                <w:div w:id="1199666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6321709">
      <w:bodyDiv w:val="1"/>
      <w:marLeft w:val="0"/>
      <w:marRight w:val="0"/>
      <w:marTop w:val="0"/>
      <w:marBottom w:val="0"/>
      <w:divBdr>
        <w:top w:val="none" w:sz="0" w:space="0" w:color="auto"/>
        <w:left w:val="none" w:sz="0" w:space="0" w:color="auto"/>
        <w:bottom w:val="none" w:sz="0" w:space="0" w:color="auto"/>
        <w:right w:val="none" w:sz="0" w:space="0" w:color="auto"/>
      </w:divBdr>
    </w:div>
    <w:div w:id="1420756195">
      <w:bodyDiv w:val="1"/>
      <w:marLeft w:val="0"/>
      <w:marRight w:val="0"/>
      <w:marTop w:val="0"/>
      <w:marBottom w:val="0"/>
      <w:divBdr>
        <w:top w:val="none" w:sz="0" w:space="0" w:color="auto"/>
        <w:left w:val="none" w:sz="0" w:space="0" w:color="auto"/>
        <w:bottom w:val="none" w:sz="0" w:space="0" w:color="auto"/>
        <w:right w:val="none" w:sz="0" w:space="0" w:color="auto"/>
      </w:divBdr>
      <w:divsChild>
        <w:div w:id="1062214256">
          <w:marLeft w:val="0"/>
          <w:marRight w:val="0"/>
          <w:marTop w:val="0"/>
          <w:marBottom w:val="0"/>
          <w:divBdr>
            <w:top w:val="none" w:sz="0" w:space="0" w:color="auto"/>
            <w:left w:val="none" w:sz="0" w:space="0" w:color="auto"/>
            <w:bottom w:val="none" w:sz="0" w:space="0" w:color="auto"/>
            <w:right w:val="none" w:sz="0" w:space="0" w:color="auto"/>
          </w:divBdr>
          <w:divsChild>
            <w:div w:id="1057169338">
              <w:marLeft w:val="0"/>
              <w:marRight w:val="0"/>
              <w:marTop w:val="0"/>
              <w:marBottom w:val="0"/>
              <w:divBdr>
                <w:top w:val="none" w:sz="0" w:space="0" w:color="auto"/>
                <w:left w:val="none" w:sz="0" w:space="0" w:color="auto"/>
                <w:bottom w:val="none" w:sz="0" w:space="0" w:color="auto"/>
                <w:right w:val="none" w:sz="0" w:space="0" w:color="auto"/>
              </w:divBdr>
              <w:divsChild>
                <w:div w:id="1533573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804155">
      <w:bodyDiv w:val="1"/>
      <w:marLeft w:val="0"/>
      <w:marRight w:val="0"/>
      <w:marTop w:val="0"/>
      <w:marBottom w:val="0"/>
      <w:divBdr>
        <w:top w:val="none" w:sz="0" w:space="0" w:color="auto"/>
        <w:left w:val="none" w:sz="0" w:space="0" w:color="auto"/>
        <w:bottom w:val="none" w:sz="0" w:space="0" w:color="auto"/>
        <w:right w:val="none" w:sz="0" w:space="0" w:color="auto"/>
      </w:divBdr>
      <w:divsChild>
        <w:div w:id="1697805629">
          <w:marLeft w:val="0"/>
          <w:marRight w:val="0"/>
          <w:marTop w:val="0"/>
          <w:marBottom w:val="0"/>
          <w:divBdr>
            <w:top w:val="none" w:sz="0" w:space="0" w:color="auto"/>
            <w:left w:val="none" w:sz="0" w:space="0" w:color="auto"/>
            <w:bottom w:val="none" w:sz="0" w:space="0" w:color="auto"/>
            <w:right w:val="none" w:sz="0" w:space="0" w:color="auto"/>
          </w:divBdr>
          <w:divsChild>
            <w:div w:id="1913154860">
              <w:marLeft w:val="0"/>
              <w:marRight w:val="0"/>
              <w:marTop w:val="0"/>
              <w:marBottom w:val="0"/>
              <w:divBdr>
                <w:top w:val="none" w:sz="0" w:space="0" w:color="auto"/>
                <w:left w:val="none" w:sz="0" w:space="0" w:color="auto"/>
                <w:bottom w:val="none" w:sz="0" w:space="0" w:color="auto"/>
                <w:right w:val="none" w:sz="0" w:space="0" w:color="auto"/>
              </w:divBdr>
              <w:divsChild>
                <w:div w:id="1673023064">
                  <w:marLeft w:val="0"/>
                  <w:marRight w:val="0"/>
                  <w:marTop w:val="0"/>
                  <w:marBottom w:val="0"/>
                  <w:divBdr>
                    <w:top w:val="none" w:sz="0" w:space="0" w:color="auto"/>
                    <w:left w:val="none" w:sz="0" w:space="0" w:color="auto"/>
                    <w:bottom w:val="none" w:sz="0" w:space="0" w:color="auto"/>
                    <w:right w:val="none" w:sz="0" w:space="0" w:color="auto"/>
                  </w:divBdr>
                  <w:divsChild>
                    <w:div w:id="207375828">
                      <w:marLeft w:val="0"/>
                      <w:marRight w:val="0"/>
                      <w:marTop w:val="0"/>
                      <w:marBottom w:val="0"/>
                      <w:divBdr>
                        <w:top w:val="none" w:sz="0" w:space="0" w:color="auto"/>
                        <w:left w:val="none" w:sz="0" w:space="0" w:color="auto"/>
                        <w:bottom w:val="none" w:sz="0" w:space="0" w:color="auto"/>
                        <w:right w:val="none" w:sz="0" w:space="0" w:color="auto"/>
                      </w:divBdr>
                    </w:div>
                  </w:divsChild>
                </w:div>
                <w:div w:id="1690374985">
                  <w:marLeft w:val="0"/>
                  <w:marRight w:val="0"/>
                  <w:marTop w:val="0"/>
                  <w:marBottom w:val="0"/>
                  <w:divBdr>
                    <w:top w:val="none" w:sz="0" w:space="0" w:color="auto"/>
                    <w:left w:val="none" w:sz="0" w:space="0" w:color="auto"/>
                    <w:bottom w:val="none" w:sz="0" w:space="0" w:color="auto"/>
                    <w:right w:val="none" w:sz="0" w:space="0" w:color="auto"/>
                  </w:divBdr>
                  <w:divsChild>
                    <w:div w:id="688333639">
                      <w:marLeft w:val="0"/>
                      <w:marRight w:val="0"/>
                      <w:marTop w:val="0"/>
                      <w:marBottom w:val="0"/>
                      <w:divBdr>
                        <w:top w:val="none" w:sz="0" w:space="0" w:color="auto"/>
                        <w:left w:val="none" w:sz="0" w:space="0" w:color="auto"/>
                        <w:bottom w:val="none" w:sz="0" w:space="0" w:color="auto"/>
                        <w:right w:val="none" w:sz="0" w:space="0" w:color="auto"/>
                      </w:divBdr>
                    </w:div>
                    <w:div w:id="1527794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7098035">
      <w:bodyDiv w:val="1"/>
      <w:marLeft w:val="0"/>
      <w:marRight w:val="0"/>
      <w:marTop w:val="0"/>
      <w:marBottom w:val="0"/>
      <w:divBdr>
        <w:top w:val="none" w:sz="0" w:space="0" w:color="auto"/>
        <w:left w:val="none" w:sz="0" w:space="0" w:color="auto"/>
        <w:bottom w:val="none" w:sz="0" w:space="0" w:color="auto"/>
        <w:right w:val="none" w:sz="0" w:space="0" w:color="auto"/>
      </w:divBdr>
      <w:divsChild>
        <w:div w:id="831868762">
          <w:marLeft w:val="0"/>
          <w:marRight w:val="0"/>
          <w:marTop w:val="0"/>
          <w:marBottom w:val="0"/>
          <w:divBdr>
            <w:top w:val="none" w:sz="0" w:space="0" w:color="auto"/>
            <w:left w:val="none" w:sz="0" w:space="0" w:color="auto"/>
            <w:bottom w:val="none" w:sz="0" w:space="0" w:color="auto"/>
            <w:right w:val="none" w:sz="0" w:space="0" w:color="auto"/>
          </w:divBdr>
          <w:divsChild>
            <w:div w:id="1643999818">
              <w:marLeft w:val="0"/>
              <w:marRight w:val="0"/>
              <w:marTop w:val="0"/>
              <w:marBottom w:val="0"/>
              <w:divBdr>
                <w:top w:val="none" w:sz="0" w:space="0" w:color="auto"/>
                <w:left w:val="none" w:sz="0" w:space="0" w:color="auto"/>
                <w:bottom w:val="none" w:sz="0" w:space="0" w:color="auto"/>
                <w:right w:val="none" w:sz="0" w:space="0" w:color="auto"/>
              </w:divBdr>
              <w:divsChild>
                <w:div w:id="56630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8617494">
      <w:bodyDiv w:val="1"/>
      <w:marLeft w:val="0"/>
      <w:marRight w:val="0"/>
      <w:marTop w:val="0"/>
      <w:marBottom w:val="0"/>
      <w:divBdr>
        <w:top w:val="none" w:sz="0" w:space="0" w:color="auto"/>
        <w:left w:val="none" w:sz="0" w:space="0" w:color="auto"/>
        <w:bottom w:val="none" w:sz="0" w:space="0" w:color="auto"/>
        <w:right w:val="none" w:sz="0" w:space="0" w:color="auto"/>
      </w:divBdr>
      <w:divsChild>
        <w:div w:id="718630161">
          <w:marLeft w:val="0"/>
          <w:marRight w:val="0"/>
          <w:marTop w:val="0"/>
          <w:marBottom w:val="0"/>
          <w:divBdr>
            <w:top w:val="none" w:sz="0" w:space="0" w:color="auto"/>
            <w:left w:val="none" w:sz="0" w:space="0" w:color="auto"/>
            <w:bottom w:val="none" w:sz="0" w:space="0" w:color="auto"/>
            <w:right w:val="none" w:sz="0" w:space="0" w:color="auto"/>
          </w:divBdr>
        </w:div>
      </w:divsChild>
    </w:div>
    <w:div w:id="1461873903">
      <w:bodyDiv w:val="1"/>
      <w:marLeft w:val="0"/>
      <w:marRight w:val="0"/>
      <w:marTop w:val="0"/>
      <w:marBottom w:val="0"/>
      <w:divBdr>
        <w:top w:val="none" w:sz="0" w:space="0" w:color="auto"/>
        <w:left w:val="none" w:sz="0" w:space="0" w:color="auto"/>
        <w:bottom w:val="none" w:sz="0" w:space="0" w:color="auto"/>
        <w:right w:val="none" w:sz="0" w:space="0" w:color="auto"/>
      </w:divBdr>
      <w:divsChild>
        <w:div w:id="1153063211">
          <w:marLeft w:val="0"/>
          <w:marRight w:val="0"/>
          <w:marTop w:val="0"/>
          <w:marBottom w:val="0"/>
          <w:divBdr>
            <w:top w:val="none" w:sz="0" w:space="0" w:color="auto"/>
            <w:left w:val="none" w:sz="0" w:space="0" w:color="auto"/>
            <w:bottom w:val="none" w:sz="0" w:space="0" w:color="auto"/>
            <w:right w:val="none" w:sz="0" w:space="0" w:color="auto"/>
          </w:divBdr>
          <w:divsChild>
            <w:div w:id="1465467146">
              <w:marLeft w:val="0"/>
              <w:marRight w:val="0"/>
              <w:marTop w:val="0"/>
              <w:marBottom w:val="0"/>
              <w:divBdr>
                <w:top w:val="none" w:sz="0" w:space="0" w:color="auto"/>
                <w:left w:val="none" w:sz="0" w:space="0" w:color="auto"/>
                <w:bottom w:val="none" w:sz="0" w:space="0" w:color="auto"/>
                <w:right w:val="none" w:sz="0" w:space="0" w:color="auto"/>
              </w:divBdr>
              <w:divsChild>
                <w:div w:id="756898478">
                  <w:marLeft w:val="0"/>
                  <w:marRight w:val="0"/>
                  <w:marTop w:val="0"/>
                  <w:marBottom w:val="0"/>
                  <w:divBdr>
                    <w:top w:val="none" w:sz="0" w:space="0" w:color="auto"/>
                    <w:left w:val="none" w:sz="0" w:space="0" w:color="auto"/>
                    <w:bottom w:val="none" w:sz="0" w:space="0" w:color="auto"/>
                    <w:right w:val="none" w:sz="0" w:space="0" w:color="auto"/>
                  </w:divBdr>
                  <w:divsChild>
                    <w:div w:id="1632789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2868793">
      <w:bodyDiv w:val="1"/>
      <w:marLeft w:val="0"/>
      <w:marRight w:val="0"/>
      <w:marTop w:val="0"/>
      <w:marBottom w:val="0"/>
      <w:divBdr>
        <w:top w:val="none" w:sz="0" w:space="0" w:color="auto"/>
        <w:left w:val="none" w:sz="0" w:space="0" w:color="auto"/>
        <w:bottom w:val="none" w:sz="0" w:space="0" w:color="auto"/>
        <w:right w:val="none" w:sz="0" w:space="0" w:color="auto"/>
      </w:divBdr>
    </w:div>
    <w:div w:id="1499925165">
      <w:bodyDiv w:val="1"/>
      <w:marLeft w:val="0"/>
      <w:marRight w:val="0"/>
      <w:marTop w:val="0"/>
      <w:marBottom w:val="0"/>
      <w:divBdr>
        <w:top w:val="none" w:sz="0" w:space="0" w:color="auto"/>
        <w:left w:val="none" w:sz="0" w:space="0" w:color="auto"/>
        <w:bottom w:val="none" w:sz="0" w:space="0" w:color="auto"/>
        <w:right w:val="none" w:sz="0" w:space="0" w:color="auto"/>
      </w:divBdr>
      <w:divsChild>
        <w:div w:id="1271160397">
          <w:marLeft w:val="0"/>
          <w:marRight w:val="0"/>
          <w:marTop w:val="0"/>
          <w:marBottom w:val="0"/>
          <w:divBdr>
            <w:top w:val="none" w:sz="0" w:space="0" w:color="auto"/>
            <w:left w:val="none" w:sz="0" w:space="0" w:color="auto"/>
            <w:bottom w:val="none" w:sz="0" w:space="0" w:color="auto"/>
            <w:right w:val="none" w:sz="0" w:space="0" w:color="auto"/>
          </w:divBdr>
          <w:divsChild>
            <w:div w:id="313031594">
              <w:marLeft w:val="0"/>
              <w:marRight w:val="0"/>
              <w:marTop w:val="0"/>
              <w:marBottom w:val="0"/>
              <w:divBdr>
                <w:top w:val="none" w:sz="0" w:space="0" w:color="auto"/>
                <w:left w:val="none" w:sz="0" w:space="0" w:color="auto"/>
                <w:bottom w:val="none" w:sz="0" w:space="0" w:color="auto"/>
                <w:right w:val="none" w:sz="0" w:space="0" w:color="auto"/>
              </w:divBdr>
              <w:divsChild>
                <w:div w:id="1148977232">
                  <w:marLeft w:val="0"/>
                  <w:marRight w:val="0"/>
                  <w:marTop w:val="0"/>
                  <w:marBottom w:val="0"/>
                  <w:divBdr>
                    <w:top w:val="none" w:sz="0" w:space="0" w:color="auto"/>
                    <w:left w:val="none" w:sz="0" w:space="0" w:color="auto"/>
                    <w:bottom w:val="none" w:sz="0" w:space="0" w:color="auto"/>
                    <w:right w:val="none" w:sz="0" w:space="0" w:color="auto"/>
                  </w:divBdr>
                  <w:divsChild>
                    <w:div w:id="1547764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1776889">
      <w:bodyDiv w:val="1"/>
      <w:marLeft w:val="0"/>
      <w:marRight w:val="0"/>
      <w:marTop w:val="0"/>
      <w:marBottom w:val="0"/>
      <w:divBdr>
        <w:top w:val="none" w:sz="0" w:space="0" w:color="auto"/>
        <w:left w:val="none" w:sz="0" w:space="0" w:color="auto"/>
        <w:bottom w:val="none" w:sz="0" w:space="0" w:color="auto"/>
        <w:right w:val="none" w:sz="0" w:space="0" w:color="auto"/>
      </w:divBdr>
    </w:div>
    <w:div w:id="1512648912">
      <w:bodyDiv w:val="1"/>
      <w:marLeft w:val="0"/>
      <w:marRight w:val="0"/>
      <w:marTop w:val="0"/>
      <w:marBottom w:val="0"/>
      <w:divBdr>
        <w:top w:val="none" w:sz="0" w:space="0" w:color="auto"/>
        <w:left w:val="none" w:sz="0" w:space="0" w:color="auto"/>
        <w:bottom w:val="none" w:sz="0" w:space="0" w:color="auto"/>
        <w:right w:val="none" w:sz="0" w:space="0" w:color="auto"/>
      </w:divBdr>
      <w:divsChild>
        <w:div w:id="1970088078">
          <w:marLeft w:val="0"/>
          <w:marRight w:val="0"/>
          <w:marTop w:val="0"/>
          <w:marBottom w:val="0"/>
          <w:divBdr>
            <w:top w:val="none" w:sz="0" w:space="0" w:color="auto"/>
            <w:left w:val="none" w:sz="0" w:space="0" w:color="auto"/>
            <w:bottom w:val="none" w:sz="0" w:space="0" w:color="auto"/>
            <w:right w:val="none" w:sz="0" w:space="0" w:color="auto"/>
          </w:divBdr>
          <w:divsChild>
            <w:div w:id="1039009906">
              <w:marLeft w:val="0"/>
              <w:marRight w:val="0"/>
              <w:marTop w:val="0"/>
              <w:marBottom w:val="0"/>
              <w:divBdr>
                <w:top w:val="none" w:sz="0" w:space="0" w:color="auto"/>
                <w:left w:val="none" w:sz="0" w:space="0" w:color="auto"/>
                <w:bottom w:val="none" w:sz="0" w:space="0" w:color="auto"/>
                <w:right w:val="none" w:sz="0" w:space="0" w:color="auto"/>
              </w:divBdr>
              <w:divsChild>
                <w:div w:id="233778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9928442">
      <w:bodyDiv w:val="1"/>
      <w:marLeft w:val="0"/>
      <w:marRight w:val="0"/>
      <w:marTop w:val="0"/>
      <w:marBottom w:val="0"/>
      <w:divBdr>
        <w:top w:val="none" w:sz="0" w:space="0" w:color="auto"/>
        <w:left w:val="none" w:sz="0" w:space="0" w:color="auto"/>
        <w:bottom w:val="none" w:sz="0" w:space="0" w:color="auto"/>
        <w:right w:val="none" w:sz="0" w:space="0" w:color="auto"/>
      </w:divBdr>
      <w:divsChild>
        <w:div w:id="1384134729">
          <w:marLeft w:val="0"/>
          <w:marRight w:val="0"/>
          <w:marTop w:val="0"/>
          <w:marBottom w:val="0"/>
          <w:divBdr>
            <w:top w:val="none" w:sz="0" w:space="0" w:color="auto"/>
            <w:left w:val="none" w:sz="0" w:space="0" w:color="auto"/>
            <w:bottom w:val="none" w:sz="0" w:space="0" w:color="auto"/>
            <w:right w:val="none" w:sz="0" w:space="0" w:color="auto"/>
          </w:divBdr>
          <w:divsChild>
            <w:div w:id="844976529">
              <w:marLeft w:val="0"/>
              <w:marRight w:val="0"/>
              <w:marTop w:val="0"/>
              <w:marBottom w:val="0"/>
              <w:divBdr>
                <w:top w:val="none" w:sz="0" w:space="0" w:color="auto"/>
                <w:left w:val="none" w:sz="0" w:space="0" w:color="auto"/>
                <w:bottom w:val="none" w:sz="0" w:space="0" w:color="auto"/>
                <w:right w:val="none" w:sz="0" w:space="0" w:color="auto"/>
              </w:divBdr>
              <w:divsChild>
                <w:div w:id="1528836951">
                  <w:marLeft w:val="0"/>
                  <w:marRight w:val="0"/>
                  <w:marTop w:val="0"/>
                  <w:marBottom w:val="0"/>
                  <w:divBdr>
                    <w:top w:val="none" w:sz="0" w:space="0" w:color="auto"/>
                    <w:left w:val="none" w:sz="0" w:space="0" w:color="auto"/>
                    <w:bottom w:val="none" w:sz="0" w:space="0" w:color="auto"/>
                    <w:right w:val="none" w:sz="0" w:space="0" w:color="auto"/>
                  </w:divBdr>
                  <w:divsChild>
                    <w:div w:id="244069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8635245">
      <w:bodyDiv w:val="1"/>
      <w:marLeft w:val="0"/>
      <w:marRight w:val="0"/>
      <w:marTop w:val="0"/>
      <w:marBottom w:val="0"/>
      <w:divBdr>
        <w:top w:val="none" w:sz="0" w:space="0" w:color="auto"/>
        <w:left w:val="none" w:sz="0" w:space="0" w:color="auto"/>
        <w:bottom w:val="none" w:sz="0" w:space="0" w:color="auto"/>
        <w:right w:val="none" w:sz="0" w:space="0" w:color="auto"/>
      </w:divBdr>
      <w:divsChild>
        <w:div w:id="1200120845">
          <w:marLeft w:val="0"/>
          <w:marRight w:val="0"/>
          <w:marTop w:val="0"/>
          <w:marBottom w:val="0"/>
          <w:divBdr>
            <w:top w:val="none" w:sz="0" w:space="0" w:color="auto"/>
            <w:left w:val="none" w:sz="0" w:space="0" w:color="auto"/>
            <w:bottom w:val="none" w:sz="0" w:space="0" w:color="auto"/>
            <w:right w:val="none" w:sz="0" w:space="0" w:color="auto"/>
          </w:divBdr>
          <w:divsChild>
            <w:div w:id="1227105508">
              <w:marLeft w:val="0"/>
              <w:marRight w:val="0"/>
              <w:marTop w:val="0"/>
              <w:marBottom w:val="0"/>
              <w:divBdr>
                <w:top w:val="none" w:sz="0" w:space="0" w:color="auto"/>
                <w:left w:val="none" w:sz="0" w:space="0" w:color="auto"/>
                <w:bottom w:val="none" w:sz="0" w:space="0" w:color="auto"/>
                <w:right w:val="none" w:sz="0" w:space="0" w:color="auto"/>
              </w:divBdr>
              <w:divsChild>
                <w:div w:id="750587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9830565">
      <w:bodyDiv w:val="1"/>
      <w:marLeft w:val="0"/>
      <w:marRight w:val="0"/>
      <w:marTop w:val="0"/>
      <w:marBottom w:val="0"/>
      <w:divBdr>
        <w:top w:val="none" w:sz="0" w:space="0" w:color="auto"/>
        <w:left w:val="none" w:sz="0" w:space="0" w:color="auto"/>
        <w:bottom w:val="none" w:sz="0" w:space="0" w:color="auto"/>
        <w:right w:val="none" w:sz="0" w:space="0" w:color="auto"/>
      </w:divBdr>
      <w:divsChild>
        <w:div w:id="1777944627">
          <w:marLeft w:val="0"/>
          <w:marRight w:val="0"/>
          <w:marTop w:val="0"/>
          <w:marBottom w:val="0"/>
          <w:divBdr>
            <w:top w:val="none" w:sz="0" w:space="0" w:color="auto"/>
            <w:left w:val="none" w:sz="0" w:space="0" w:color="auto"/>
            <w:bottom w:val="none" w:sz="0" w:space="0" w:color="auto"/>
            <w:right w:val="none" w:sz="0" w:space="0" w:color="auto"/>
          </w:divBdr>
          <w:divsChild>
            <w:div w:id="1101994959">
              <w:marLeft w:val="0"/>
              <w:marRight w:val="0"/>
              <w:marTop w:val="0"/>
              <w:marBottom w:val="0"/>
              <w:divBdr>
                <w:top w:val="none" w:sz="0" w:space="0" w:color="auto"/>
                <w:left w:val="none" w:sz="0" w:space="0" w:color="auto"/>
                <w:bottom w:val="none" w:sz="0" w:space="0" w:color="auto"/>
                <w:right w:val="none" w:sz="0" w:space="0" w:color="auto"/>
              </w:divBdr>
              <w:divsChild>
                <w:div w:id="2143771526">
                  <w:marLeft w:val="0"/>
                  <w:marRight w:val="0"/>
                  <w:marTop w:val="0"/>
                  <w:marBottom w:val="0"/>
                  <w:divBdr>
                    <w:top w:val="none" w:sz="0" w:space="0" w:color="auto"/>
                    <w:left w:val="none" w:sz="0" w:space="0" w:color="auto"/>
                    <w:bottom w:val="none" w:sz="0" w:space="0" w:color="auto"/>
                    <w:right w:val="none" w:sz="0" w:space="0" w:color="auto"/>
                  </w:divBdr>
                  <w:divsChild>
                    <w:div w:id="468715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9006600">
      <w:bodyDiv w:val="1"/>
      <w:marLeft w:val="0"/>
      <w:marRight w:val="0"/>
      <w:marTop w:val="0"/>
      <w:marBottom w:val="0"/>
      <w:divBdr>
        <w:top w:val="none" w:sz="0" w:space="0" w:color="auto"/>
        <w:left w:val="none" w:sz="0" w:space="0" w:color="auto"/>
        <w:bottom w:val="none" w:sz="0" w:space="0" w:color="auto"/>
        <w:right w:val="none" w:sz="0" w:space="0" w:color="auto"/>
      </w:divBdr>
    </w:div>
    <w:div w:id="1541241123">
      <w:bodyDiv w:val="1"/>
      <w:marLeft w:val="0"/>
      <w:marRight w:val="0"/>
      <w:marTop w:val="0"/>
      <w:marBottom w:val="0"/>
      <w:divBdr>
        <w:top w:val="none" w:sz="0" w:space="0" w:color="auto"/>
        <w:left w:val="none" w:sz="0" w:space="0" w:color="auto"/>
        <w:bottom w:val="none" w:sz="0" w:space="0" w:color="auto"/>
        <w:right w:val="none" w:sz="0" w:space="0" w:color="auto"/>
      </w:divBdr>
      <w:divsChild>
        <w:div w:id="1567688817">
          <w:marLeft w:val="0"/>
          <w:marRight w:val="0"/>
          <w:marTop w:val="0"/>
          <w:marBottom w:val="0"/>
          <w:divBdr>
            <w:top w:val="none" w:sz="0" w:space="0" w:color="auto"/>
            <w:left w:val="none" w:sz="0" w:space="0" w:color="auto"/>
            <w:bottom w:val="none" w:sz="0" w:space="0" w:color="auto"/>
            <w:right w:val="none" w:sz="0" w:space="0" w:color="auto"/>
          </w:divBdr>
          <w:divsChild>
            <w:div w:id="809978424">
              <w:marLeft w:val="0"/>
              <w:marRight w:val="0"/>
              <w:marTop w:val="0"/>
              <w:marBottom w:val="0"/>
              <w:divBdr>
                <w:top w:val="none" w:sz="0" w:space="0" w:color="auto"/>
                <w:left w:val="none" w:sz="0" w:space="0" w:color="auto"/>
                <w:bottom w:val="none" w:sz="0" w:space="0" w:color="auto"/>
                <w:right w:val="none" w:sz="0" w:space="0" w:color="auto"/>
              </w:divBdr>
              <w:divsChild>
                <w:div w:id="102653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8342289">
      <w:bodyDiv w:val="1"/>
      <w:marLeft w:val="0"/>
      <w:marRight w:val="0"/>
      <w:marTop w:val="0"/>
      <w:marBottom w:val="0"/>
      <w:divBdr>
        <w:top w:val="none" w:sz="0" w:space="0" w:color="auto"/>
        <w:left w:val="none" w:sz="0" w:space="0" w:color="auto"/>
        <w:bottom w:val="none" w:sz="0" w:space="0" w:color="auto"/>
        <w:right w:val="none" w:sz="0" w:space="0" w:color="auto"/>
      </w:divBdr>
      <w:divsChild>
        <w:div w:id="1356494819">
          <w:marLeft w:val="0"/>
          <w:marRight w:val="0"/>
          <w:marTop w:val="0"/>
          <w:marBottom w:val="0"/>
          <w:divBdr>
            <w:top w:val="none" w:sz="0" w:space="0" w:color="auto"/>
            <w:left w:val="none" w:sz="0" w:space="0" w:color="auto"/>
            <w:bottom w:val="none" w:sz="0" w:space="0" w:color="auto"/>
            <w:right w:val="none" w:sz="0" w:space="0" w:color="auto"/>
          </w:divBdr>
          <w:divsChild>
            <w:div w:id="653526916">
              <w:marLeft w:val="0"/>
              <w:marRight w:val="0"/>
              <w:marTop w:val="0"/>
              <w:marBottom w:val="0"/>
              <w:divBdr>
                <w:top w:val="none" w:sz="0" w:space="0" w:color="auto"/>
                <w:left w:val="none" w:sz="0" w:space="0" w:color="auto"/>
                <w:bottom w:val="none" w:sz="0" w:space="0" w:color="auto"/>
                <w:right w:val="none" w:sz="0" w:space="0" w:color="auto"/>
              </w:divBdr>
              <w:divsChild>
                <w:div w:id="854347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8294471">
      <w:bodyDiv w:val="1"/>
      <w:marLeft w:val="0"/>
      <w:marRight w:val="0"/>
      <w:marTop w:val="0"/>
      <w:marBottom w:val="0"/>
      <w:divBdr>
        <w:top w:val="none" w:sz="0" w:space="0" w:color="auto"/>
        <w:left w:val="none" w:sz="0" w:space="0" w:color="auto"/>
        <w:bottom w:val="none" w:sz="0" w:space="0" w:color="auto"/>
        <w:right w:val="none" w:sz="0" w:space="0" w:color="auto"/>
      </w:divBdr>
      <w:divsChild>
        <w:div w:id="747650345">
          <w:marLeft w:val="0"/>
          <w:marRight w:val="0"/>
          <w:marTop w:val="0"/>
          <w:marBottom w:val="0"/>
          <w:divBdr>
            <w:top w:val="none" w:sz="0" w:space="0" w:color="auto"/>
            <w:left w:val="none" w:sz="0" w:space="0" w:color="auto"/>
            <w:bottom w:val="none" w:sz="0" w:space="0" w:color="auto"/>
            <w:right w:val="none" w:sz="0" w:space="0" w:color="auto"/>
          </w:divBdr>
          <w:divsChild>
            <w:div w:id="2048527122">
              <w:marLeft w:val="0"/>
              <w:marRight w:val="0"/>
              <w:marTop w:val="0"/>
              <w:marBottom w:val="0"/>
              <w:divBdr>
                <w:top w:val="none" w:sz="0" w:space="0" w:color="auto"/>
                <w:left w:val="none" w:sz="0" w:space="0" w:color="auto"/>
                <w:bottom w:val="none" w:sz="0" w:space="0" w:color="auto"/>
                <w:right w:val="none" w:sz="0" w:space="0" w:color="auto"/>
              </w:divBdr>
              <w:divsChild>
                <w:div w:id="1568807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114757">
      <w:bodyDiv w:val="1"/>
      <w:marLeft w:val="0"/>
      <w:marRight w:val="0"/>
      <w:marTop w:val="0"/>
      <w:marBottom w:val="0"/>
      <w:divBdr>
        <w:top w:val="none" w:sz="0" w:space="0" w:color="auto"/>
        <w:left w:val="none" w:sz="0" w:space="0" w:color="auto"/>
        <w:bottom w:val="none" w:sz="0" w:space="0" w:color="auto"/>
        <w:right w:val="none" w:sz="0" w:space="0" w:color="auto"/>
      </w:divBdr>
      <w:divsChild>
        <w:div w:id="1458986607">
          <w:marLeft w:val="0"/>
          <w:marRight w:val="0"/>
          <w:marTop w:val="0"/>
          <w:marBottom w:val="0"/>
          <w:divBdr>
            <w:top w:val="none" w:sz="0" w:space="0" w:color="auto"/>
            <w:left w:val="none" w:sz="0" w:space="0" w:color="auto"/>
            <w:bottom w:val="none" w:sz="0" w:space="0" w:color="auto"/>
            <w:right w:val="none" w:sz="0" w:space="0" w:color="auto"/>
          </w:divBdr>
          <w:divsChild>
            <w:div w:id="888297957">
              <w:marLeft w:val="0"/>
              <w:marRight w:val="0"/>
              <w:marTop w:val="0"/>
              <w:marBottom w:val="0"/>
              <w:divBdr>
                <w:top w:val="none" w:sz="0" w:space="0" w:color="auto"/>
                <w:left w:val="none" w:sz="0" w:space="0" w:color="auto"/>
                <w:bottom w:val="none" w:sz="0" w:space="0" w:color="auto"/>
                <w:right w:val="none" w:sz="0" w:space="0" w:color="auto"/>
              </w:divBdr>
              <w:divsChild>
                <w:div w:id="953907667">
                  <w:marLeft w:val="0"/>
                  <w:marRight w:val="0"/>
                  <w:marTop w:val="0"/>
                  <w:marBottom w:val="0"/>
                  <w:divBdr>
                    <w:top w:val="none" w:sz="0" w:space="0" w:color="auto"/>
                    <w:left w:val="none" w:sz="0" w:space="0" w:color="auto"/>
                    <w:bottom w:val="none" w:sz="0" w:space="0" w:color="auto"/>
                    <w:right w:val="none" w:sz="0" w:space="0" w:color="auto"/>
                  </w:divBdr>
                  <w:divsChild>
                    <w:div w:id="1121414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0863811">
      <w:bodyDiv w:val="1"/>
      <w:marLeft w:val="0"/>
      <w:marRight w:val="0"/>
      <w:marTop w:val="0"/>
      <w:marBottom w:val="0"/>
      <w:divBdr>
        <w:top w:val="none" w:sz="0" w:space="0" w:color="auto"/>
        <w:left w:val="none" w:sz="0" w:space="0" w:color="auto"/>
        <w:bottom w:val="none" w:sz="0" w:space="0" w:color="auto"/>
        <w:right w:val="none" w:sz="0" w:space="0" w:color="auto"/>
      </w:divBdr>
    </w:div>
    <w:div w:id="1634359654">
      <w:bodyDiv w:val="1"/>
      <w:marLeft w:val="0"/>
      <w:marRight w:val="0"/>
      <w:marTop w:val="0"/>
      <w:marBottom w:val="0"/>
      <w:divBdr>
        <w:top w:val="none" w:sz="0" w:space="0" w:color="auto"/>
        <w:left w:val="none" w:sz="0" w:space="0" w:color="auto"/>
        <w:bottom w:val="none" w:sz="0" w:space="0" w:color="auto"/>
        <w:right w:val="none" w:sz="0" w:space="0" w:color="auto"/>
      </w:divBdr>
    </w:div>
    <w:div w:id="1656764383">
      <w:bodyDiv w:val="1"/>
      <w:marLeft w:val="0"/>
      <w:marRight w:val="0"/>
      <w:marTop w:val="0"/>
      <w:marBottom w:val="0"/>
      <w:divBdr>
        <w:top w:val="none" w:sz="0" w:space="0" w:color="auto"/>
        <w:left w:val="none" w:sz="0" w:space="0" w:color="auto"/>
        <w:bottom w:val="none" w:sz="0" w:space="0" w:color="auto"/>
        <w:right w:val="none" w:sz="0" w:space="0" w:color="auto"/>
      </w:divBdr>
    </w:div>
    <w:div w:id="1671251332">
      <w:bodyDiv w:val="1"/>
      <w:marLeft w:val="0"/>
      <w:marRight w:val="0"/>
      <w:marTop w:val="0"/>
      <w:marBottom w:val="0"/>
      <w:divBdr>
        <w:top w:val="none" w:sz="0" w:space="0" w:color="auto"/>
        <w:left w:val="none" w:sz="0" w:space="0" w:color="auto"/>
        <w:bottom w:val="none" w:sz="0" w:space="0" w:color="auto"/>
        <w:right w:val="none" w:sz="0" w:space="0" w:color="auto"/>
      </w:divBdr>
      <w:divsChild>
        <w:div w:id="2129154990">
          <w:marLeft w:val="0"/>
          <w:marRight w:val="0"/>
          <w:marTop w:val="0"/>
          <w:marBottom w:val="0"/>
          <w:divBdr>
            <w:top w:val="none" w:sz="0" w:space="0" w:color="auto"/>
            <w:left w:val="none" w:sz="0" w:space="0" w:color="auto"/>
            <w:bottom w:val="none" w:sz="0" w:space="0" w:color="auto"/>
            <w:right w:val="none" w:sz="0" w:space="0" w:color="auto"/>
          </w:divBdr>
          <w:divsChild>
            <w:div w:id="1379428486">
              <w:marLeft w:val="0"/>
              <w:marRight w:val="0"/>
              <w:marTop w:val="0"/>
              <w:marBottom w:val="0"/>
              <w:divBdr>
                <w:top w:val="none" w:sz="0" w:space="0" w:color="auto"/>
                <w:left w:val="none" w:sz="0" w:space="0" w:color="auto"/>
                <w:bottom w:val="none" w:sz="0" w:space="0" w:color="auto"/>
                <w:right w:val="none" w:sz="0" w:space="0" w:color="auto"/>
              </w:divBdr>
              <w:divsChild>
                <w:div w:id="1889874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1329442">
      <w:bodyDiv w:val="1"/>
      <w:marLeft w:val="0"/>
      <w:marRight w:val="0"/>
      <w:marTop w:val="0"/>
      <w:marBottom w:val="0"/>
      <w:divBdr>
        <w:top w:val="none" w:sz="0" w:space="0" w:color="auto"/>
        <w:left w:val="none" w:sz="0" w:space="0" w:color="auto"/>
        <w:bottom w:val="none" w:sz="0" w:space="0" w:color="auto"/>
        <w:right w:val="none" w:sz="0" w:space="0" w:color="auto"/>
      </w:divBdr>
    </w:div>
    <w:div w:id="1673482910">
      <w:bodyDiv w:val="1"/>
      <w:marLeft w:val="0"/>
      <w:marRight w:val="0"/>
      <w:marTop w:val="0"/>
      <w:marBottom w:val="0"/>
      <w:divBdr>
        <w:top w:val="none" w:sz="0" w:space="0" w:color="auto"/>
        <w:left w:val="none" w:sz="0" w:space="0" w:color="auto"/>
        <w:bottom w:val="none" w:sz="0" w:space="0" w:color="auto"/>
        <w:right w:val="none" w:sz="0" w:space="0" w:color="auto"/>
      </w:divBdr>
    </w:div>
    <w:div w:id="1680739385">
      <w:bodyDiv w:val="1"/>
      <w:marLeft w:val="0"/>
      <w:marRight w:val="0"/>
      <w:marTop w:val="0"/>
      <w:marBottom w:val="0"/>
      <w:divBdr>
        <w:top w:val="none" w:sz="0" w:space="0" w:color="auto"/>
        <w:left w:val="none" w:sz="0" w:space="0" w:color="auto"/>
        <w:bottom w:val="none" w:sz="0" w:space="0" w:color="auto"/>
        <w:right w:val="none" w:sz="0" w:space="0" w:color="auto"/>
      </w:divBdr>
      <w:divsChild>
        <w:div w:id="1548879872">
          <w:marLeft w:val="0"/>
          <w:marRight w:val="0"/>
          <w:marTop w:val="0"/>
          <w:marBottom w:val="0"/>
          <w:divBdr>
            <w:top w:val="none" w:sz="0" w:space="0" w:color="auto"/>
            <w:left w:val="none" w:sz="0" w:space="0" w:color="auto"/>
            <w:bottom w:val="none" w:sz="0" w:space="0" w:color="auto"/>
            <w:right w:val="none" w:sz="0" w:space="0" w:color="auto"/>
          </w:divBdr>
          <w:divsChild>
            <w:div w:id="482158223">
              <w:marLeft w:val="0"/>
              <w:marRight w:val="0"/>
              <w:marTop w:val="0"/>
              <w:marBottom w:val="0"/>
              <w:divBdr>
                <w:top w:val="none" w:sz="0" w:space="0" w:color="auto"/>
                <w:left w:val="none" w:sz="0" w:space="0" w:color="auto"/>
                <w:bottom w:val="none" w:sz="0" w:space="0" w:color="auto"/>
                <w:right w:val="none" w:sz="0" w:space="0" w:color="auto"/>
              </w:divBdr>
              <w:divsChild>
                <w:div w:id="1026178617">
                  <w:marLeft w:val="0"/>
                  <w:marRight w:val="0"/>
                  <w:marTop w:val="0"/>
                  <w:marBottom w:val="0"/>
                  <w:divBdr>
                    <w:top w:val="none" w:sz="0" w:space="0" w:color="auto"/>
                    <w:left w:val="none" w:sz="0" w:space="0" w:color="auto"/>
                    <w:bottom w:val="none" w:sz="0" w:space="0" w:color="auto"/>
                    <w:right w:val="none" w:sz="0" w:space="0" w:color="auto"/>
                  </w:divBdr>
                </w:div>
              </w:divsChild>
            </w:div>
            <w:div w:id="310410955">
              <w:marLeft w:val="0"/>
              <w:marRight w:val="0"/>
              <w:marTop w:val="0"/>
              <w:marBottom w:val="0"/>
              <w:divBdr>
                <w:top w:val="none" w:sz="0" w:space="0" w:color="auto"/>
                <w:left w:val="none" w:sz="0" w:space="0" w:color="auto"/>
                <w:bottom w:val="none" w:sz="0" w:space="0" w:color="auto"/>
                <w:right w:val="none" w:sz="0" w:space="0" w:color="auto"/>
              </w:divBdr>
              <w:divsChild>
                <w:div w:id="1048916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1542867">
      <w:bodyDiv w:val="1"/>
      <w:marLeft w:val="0"/>
      <w:marRight w:val="0"/>
      <w:marTop w:val="0"/>
      <w:marBottom w:val="0"/>
      <w:divBdr>
        <w:top w:val="none" w:sz="0" w:space="0" w:color="auto"/>
        <w:left w:val="none" w:sz="0" w:space="0" w:color="auto"/>
        <w:bottom w:val="none" w:sz="0" w:space="0" w:color="auto"/>
        <w:right w:val="none" w:sz="0" w:space="0" w:color="auto"/>
      </w:divBdr>
      <w:divsChild>
        <w:div w:id="1884631089">
          <w:marLeft w:val="0"/>
          <w:marRight w:val="0"/>
          <w:marTop w:val="0"/>
          <w:marBottom w:val="0"/>
          <w:divBdr>
            <w:top w:val="none" w:sz="0" w:space="0" w:color="auto"/>
            <w:left w:val="none" w:sz="0" w:space="0" w:color="auto"/>
            <w:bottom w:val="none" w:sz="0" w:space="0" w:color="auto"/>
            <w:right w:val="none" w:sz="0" w:space="0" w:color="auto"/>
          </w:divBdr>
          <w:divsChild>
            <w:div w:id="518399278">
              <w:marLeft w:val="0"/>
              <w:marRight w:val="0"/>
              <w:marTop w:val="0"/>
              <w:marBottom w:val="0"/>
              <w:divBdr>
                <w:top w:val="none" w:sz="0" w:space="0" w:color="auto"/>
                <w:left w:val="none" w:sz="0" w:space="0" w:color="auto"/>
                <w:bottom w:val="none" w:sz="0" w:space="0" w:color="auto"/>
                <w:right w:val="none" w:sz="0" w:space="0" w:color="auto"/>
              </w:divBdr>
              <w:divsChild>
                <w:div w:id="1603295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3164585">
      <w:bodyDiv w:val="1"/>
      <w:marLeft w:val="0"/>
      <w:marRight w:val="0"/>
      <w:marTop w:val="0"/>
      <w:marBottom w:val="0"/>
      <w:divBdr>
        <w:top w:val="none" w:sz="0" w:space="0" w:color="auto"/>
        <w:left w:val="none" w:sz="0" w:space="0" w:color="auto"/>
        <w:bottom w:val="none" w:sz="0" w:space="0" w:color="auto"/>
        <w:right w:val="none" w:sz="0" w:space="0" w:color="auto"/>
      </w:divBdr>
    </w:div>
    <w:div w:id="1707946931">
      <w:bodyDiv w:val="1"/>
      <w:marLeft w:val="0"/>
      <w:marRight w:val="0"/>
      <w:marTop w:val="0"/>
      <w:marBottom w:val="0"/>
      <w:divBdr>
        <w:top w:val="none" w:sz="0" w:space="0" w:color="auto"/>
        <w:left w:val="none" w:sz="0" w:space="0" w:color="auto"/>
        <w:bottom w:val="none" w:sz="0" w:space="0" w:color="auto"/>
        <w:right w:val="none" w:sz="0" w:space="0" w:color="auto"/>
      </w:divBdr>
      <w:divsChild>
        <w:div w:id="1737821681">
          <w:marLeft w:val="0"/>
          <w:marRight w:val="0"/>
          <w:marTop w:val="0"/>
          <w:marBottom w:val="0"/>
          <w:divBdr>
            <w:top w:val="none" w:sz="0" w:space="0" w:color="auto"/>
            <w:left w:val="none" w:sz="0" w:space="0" w:color="auto"/>
            <w:bottom w:val="none" w:sz="0" w:space="0" w:color="auto"/>
            <w:right w:val="none" w:sz="0" w:space="0" w:color="auto"/>
          </w:divBdr>
          <w:divsChild>
            <w:div w:id="988290239">
              <w:marLeft w:val="0"/>
              <w:marRight w:val="0"/>
              <w:marTop w:val="0"/>
              <w:marBottom w:val="0"/>
              <w:divBdr>
                <w:top w:val="none" w:sz="0" w:space="0" w:color="auto"/>
                <w:left w:val="none" w:sz="0" w:space="0" w:color="auto"/>
                <w:bottom w:val="none" w:sz="0" w:space="0" w:color="auto"/>
                <w:right w:val="none" w:sz="0" w:space="0" w:color="auto"/>
              </w:divBdr>
              <w:divsChild>
                <w:div w:id="1427993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0758638">
      <w:bodyDiv w:val="1"/>
      <w:marLeft w:val="0"/>
      <w:marRight w:val="0"/>
      <w:marTop w:val="0"/>
      <w:marBottom w:val="0"/>
      <w:divBdr>
        <w:top w:val="none" w:sz="0" w:space="0" w:color="auto"/>
        <w:left w:val="none" w:sz="0" w:space="0" w:color="auto"/>
        <w:bottom w:val="none" w:sz="0" w:space="0" w:color="auto"/>
        <w:right w:val="none" w:sz="0" w:space="0" w:color="auto"/>
      </w:divBdr>
    </w:div>
    <w:div w:id="1730496449">
      <w:bodyDiv w:val="1"/>
      <w:marLeft w:val="0"/>
      <w:marRight w:val="0"/>
      <w:marTop w:val="0"/>
      <w:marBottom w:val="0"/>
      <w:divBdr>
        <w:top w:val="none" w:sz="0" w:space="0" w:color="auto"/>
        <w:left w:val="none" w:sz="0" w:space="0" w:color="auto"/>
        <w:bottom w:val="none" w:sz="0" w:space="0" w:color="auto"/>
        <w:right w:val="none" w:sz="0" w:space="0" w:color="auto"/>
      </w:divBdr>
      <w:divsChild>
        <w:div w:id="459811255">
          <w:marLeft w:val="0"/>
          <w:marRight w:val="0"/>
          <w:marTop w:val="0"/>
          <w:marBottom w:val="0"/>
          <w:divBdr>
            <w:top w:val="none" w:sz="0" w:space="0" w:color="auto"/>
            <w:left w:val="none" w:sz="0" w:space="0" w:color="auto"/>
            <w:bottom w:val="none" w:sz="0" w:space="0" w:color="auto"/>
            <w:right w:val="none" w:sz="0" w:space="0" w:color="auto"/>
          </w:divBdr>
          <w:divsChild>
            <w:div w:id="362479663">
              <w:marLeft w:val="0"/>
              <w:marRight w:val="0"/>
              <w:marTop w:val="0"/>
              <w:marBottom w:val="0"/>
              <w:divBdr>
                <w:top w:val="none" w:sz="0" w:space="0" w:color="auto"/>
                <w:left w:val="none" w:sz="0" w:space="0" w:color="auto"/>
                <w:bottom w:val="none" w:sz="0" w:space="0" w:color="auto"/>
                <w:right w:val="none" w:sz="0" w:space="0" w:color="auto"/>
              </w:divBdr>
              <w:divsChild>
                <w:div w:id="750081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1365569">
      <w:bodyDiv w:val="1"/>
      <w:marLeft w:val="0"/>
      <w:marRight w:val="0"/>
      <w:marTop w:val="0"/>
      <w:marBottom w:val="0"/>
      <w:divBdr>
        <w:top w:val="none" w:sz="0" w:space="0" w:color="auto"/>
        <w:left w:val="none" w:sz="0" w:space="0" w:color="auto"/>
        <w:bottom w:val="none" w:sz="0" w:space="0" w:color="auto"/>
        <w:right w:val="none" w:sz="0" w:space="0" w:color="auto"/>
      </w:divBdr>
    </w:div>
    <w:div w:id="1775898143">
      <w:bodyDiv w:val="1"/>
      <w:marLeft w:val="0"/>
      <w:marRight w:val="0"/>
      <w:marTop w:val="0"/>
      <w:marBottom w:val="0"/>
      <w:divBdr>
        <w:top w:val="none" w:sz="0" w:space="0" w:color="auto"/>
        <w:left w:val="none" w:sz="0" w:space="0" w:color="auto"/>
        <w:bottom w:val="none" w:sz="0" w:space="0" w:color="auto"/>
        <w:right w:val="none" w:sz="0" w:space="0" w:color="auto"/>
      </w:divBdr>
    </w:div>
    <w:div w:id="1790315412">
      <w:bodyDiv w:val="1"/>
      <w:marLeft w:val="0"/>
      <w:marRight w:val="0"/>
      <w:marTop w:val="0"/>
      <w:marBottom w:val="0"/>
      <w:divBdr>
        <w:top w:val="none" w:sz="0" w:space="0" w:color="auto"/>
        <w:left w:val="none" w:sz="0" w:space="0" w:color="auto"/>
        <w:bottom w:val="none" w:sz="0" w:space="0" w:color="auto"/>
        <w:right w:val="none" w:sz="0" w:space="0" w:color="auto"/>
      </w:divBdr>
      <w:divsChild>
        <w:div w:id="1583486994">
          <w:marLeft w:val="0"/>
          <w:marRight w:val="0"/>
          <w:marTop w:val="0"/>
          <w:marBottom w:val="0"/>
          <w:divBdr>
            <w:top w:val="none" w:sz="0" w:space="0" w:color="auto"/>
            <w:left w:val="none" w:sz="0" w:space="0" w:color="auto"/>
            <w:bottom w:val="none" w:sz="0" w:space="0" w:color="auto"/>
            <w:right w:val="none" w:sz="0" w:space="0" w:color="auto"/>
          </w:divBdr>
          <w:divsChild>
            <w:div w:id="849561664">
              <w:marLeft w:val="0"/>
              <w:marRight w:val="0"/>
              <w:marTop w:val="0"/>
              <w:marBottom w:val="0"/>
              <w:divBdr>
                <w:top w:val="none" w:sz="0" w:space="0" w:color="auto"/>
                <w:left w:val="none" w:sz="0" w:space="0" w:color="auto"/>
                <w:bottom w:val="none" w:sz="0" w:space="0" w:color="auto"/>
                <w:right w:val="none" w:sz="0" w:space="0" w:color="auto"/>
              </w:divBdr>
              <w:divsChild>
                <w:div w:id="1090782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3424101">
      <w:bodyDiv w:val="1"/>
      <w:marLeft w:val="0"/>
      <w:marRight w:val="0"/>
      <w:marTop w:val="0"/>
      <w:marBottom w:val="0"/>
      <w:divBdr>
        <w:top w:val="none" w:sz="0" w:space="0" w:color="auto"/>
        <w:left w:val="none" w:sz="0" w:space="0" w:color="auto"/>
        <w:bottom w:val="none" w:sz="0" w:space="0" w:color="auto"/>
        <w:right w:val="none" w:sz="0" w:space="0" w:color="auto"/>
      </w:divBdr>
      <w:divsChild>
        <w:div w:id="1586646831">
          <w:marLeft w:val="0"/>
          <w:marRight w:val="0"/>
          <w:marTop w:val="0"/>
          <w:marBottom w:val="0"/>
          <w:divBdr>
            <w:top w:val="none" w:sz="0" w:space="0" w:color="auto"/>
            <w:left w:val="none" w:sz="0" w:space="0" w:color="auto"/>
            <w:bottom w:val="none" w:sz="0" w:space="0" w:color="auto"/>
            <w:right w:val="none" w:sz="0" w:space="0" w:color="auto"/>
          </w:divBdr>
          <w:divsChild>
            <w:div w:id="1868986045">
              <w:marLeft w:val="0"/>
              <w:marRight w:val="0"/>
              <w:marTop w:val="0"/>
              <w:marBottom w:val="0"/>
              <w:divBdr>
                <w:top w:val="none" w:sz="0" w:space="0" w:color="auto"/>
                <w:left w:val="none" w:sz="0" w:space="0" w:color="auto"/>
                <w:bottom w:val="none" w:sz="0" w:space="0" w:color="auto"/>
                <w:right w:val="none" w:sz="0" w:space="0" w:color="auto"/>
              </w:divBdr>
              <w:divsChild>
                <w:div w:id="1782601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9546472">
      <w:bodyDiv w:val="1"/>
      <w:marLeft w:val="0"/>
      <w:marRight w:val="0"/>
      <w:marTop w:val="0"/>
      <w:marBottom w:val="0"/>
      <w:divBdr>
        <w:top w:val="none" w:sz="0" w:space="0" w:color="auto"/>
        <w:left w:val="none" w:sz="0" w:space="0" w:color="auto"/>
        <w:bottom w:val="none" w:sz="0" w:space="0" w:color="auto"/>
        <w:right w:val="none" w:sz="0" w:space="0" w:color="auto"/>
      </w:divBdr>
    </w:div>
    <w:div w:id="1823308318">
      <w:bodyDiv w:val="1"/>
      <w:marLeft w:val="0"/>
      <w:marRight w:val="0"/>
      <w:marTop w:val="0"/>
      <w:marBottom w:val="0"/>
      <w:divBdr>
        <w:top w:val="none" w:sz="0" w:space="0" w:color="auto"/>
        <w:left w:val="none" w:sz="0" w:space="0" w:color="auto"/>
        <w:bottom w:val="none" w:sz="0" w:space="0" w:color="auto"/>
        <w:right w:val="none" w:sz="0" w:space="0" w:color="auto"/>
      </w:divBdr>
      <w:divsChild>
        <w:div w:id="2142993993">
          <w:marLeft w:val="0"/>
          <w:marRight w:val="0"/>
          <w:marTop w:val="0"/>
          <w:marBottom w:val="0"/>
          <w:divBdr>
            <w:top w:val="none" w:sz="0" w:space="0" w:color="auto"/>
            <w:left w:val="none" w:sz="0" w:space="0" w:color="auto"/>
            <w:bottom w:val="none" w:sz="0" w:space="0" w:color="auto"/>
            <w:right w:val="none" w:sz="0" w:space="0" w:color="auto"/>
          </w:divBdr>
          <w:divsChild>
            <w:div w:id="214855471">
              <w:marLeft w:val="0"/>
              <w:marRight w:val="0"/>
              <w:marTop w:val="0"/>
              <w:marBottom w:val="0"/>
              <w:divBdr>
                <w:top w:val="none" w:sz="0" w:space="0" w:color="auto"/>
                <w:left w:val="none" w:sz="0" w:space="0" w:color="auto"/>
                <w:bottom w:val="none" w:sz="0" w:space="0" w:color="auto"/>
                <w:right w:val="none" w:sz="0" w:space="0" w:color="auto"/>
              </w:divBdr>
              <w:divsChild>
                <w:div w:id="1208949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3009165">
      <w:bodyDiv w:val="1"/>
      <w:marLeft w:val="0"/>
      <w:marRight w:val="0"/>
      <w:marTop w:val="0"/>
      <w:marBottom w:val="0"/>
      <w:divBdr>
        <w:top w:val="none" w:sz="0" w:space="0" w:color="auto"/>
        <w:left w:val="none" w:sz="0" w:space="0" w:color="auto"/>
        <w:bottom w:val="none" w:sz="0" w:space="0" w:color="auto"/>
        <w:right w:val="none" w:sz="0" w:space="0" w:color="auto"/>
      </w:divBdr>
      <w:divsChild>
        <w:div w:id="128669818">
          <w:marLeft w:val="0"/>
          <w:marRight w:val="0"/>
          <w:marTop w:val="0"/>
          <w:marBottom w:val="0"/>
          <w:divBdr>
            <w:top w:val="none" w:sz="0" w:space="0" w:color="auto"/>
            <w:left w:val="none" w:sz="0" w:space="0" w:color="auto"/>
            <w:bottom w:val="none" w:sz="0" w:space="0" w:color="auto"/>
            <w:right w:val="none" w:sz="0" w:space="0" w:color="auto"/>
          </w:divBdr>
          <w:divsChild>
            <w:div w:id="901521944">
              <w:marLeft w:val="0"/>
              <w:marRight w:val="0"/>
              <w:marTop w:val="0"/>
              <w:marBottom w:val="0"/>
              <w:divBdr>
                <w:top w:val="none" w:sz="0" w:space="0" w:color="auto"/>
                <w:left w:val="none" w:sz="0" w:space="0" w:color="auto"/>
                <w:bottom w:val="none" w:sz="0" w:space="0" w:color="auto"/>
                <w:right w:val="none" w:sz="0" w:space="0" w:color="auto"/>
              </w:divBdr>
              <w:divsChild>
                <w:div w:id="2070297255">
                  <w:marLeft w:val="0"/>
                  <w:marRight w:val="0"/>
                  <w:marTop w:val="0"/>
                  <w:marBottom w:val="0"/>
                  <w:divBdr>
                    <w:top w:val="none" w:sz="0" w:space="0" w:color="auto"/>
                    <w:left w:val="none" w:sz="0" w:space="0" w:color="auto"/>
                    <w:bottom w:val="none" w:sz="0" w:space="0" w:color="auto"/>
                    <w:right w:val="none" w:sz="0" w:space="0" w:color="auto"/>
                  </w:divBdr>
                  <w:divsChild>
                    <w:div w:id="208170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9147612">
      <w:bodyDiv w:val="1"/>
      <w:marLeft w:val="0"/>
      <w:marRight w:val="0"/>
      <w:marTop w:val="0"/>
      <w:marBottom w:val="0"/>
      <w:divBdr>
        <w:top w:val="none" w:sz="0" w:space="0" w:color="auto"/>
        <w:left w:val="none" w:sz="0" w:space="0" w:color="auto"/>
        <w:bottom w:val="none" w:sz="0" w:space="0" w:color="auto"/>
        <w:right w:val="none" w:sz="0" w:space="0" w:color="auto"/>
      </w:divBdr>
    </w:div>
    <w:div w:id="1889879421">
      <w:bodyDiv w:val="1"/>
      <w:marLeft w:val="0"/>
      <w:marRight w:val="0"/>
      <w:marTop w:val="0"/>
      <w:marBottom w:val="0"/>
      <w:divBdr>
        <w:top w:val="none" w:sz="0" w:space="0" w:color="auto"/>
        <w:left w:val="none" w:sz="0" w:space="0" w:color="auto"/>
        <w:bottom w:val="none" w:sz="0" w:space="0" w:color="auto"/>
        <w:right w:val="none" w:sz="0" w:space="0" w:color="auto"/>
      </w:divBdr>
      <w:divsChild>
        <w:div w:id="549418235">
          <w:marLeft w:val="0"/>
          <w:marRight w:val="0"/>
          <w:marTop w:val="0"/>
          <w:marBottom w:val="0"/>
          <w:divBdr>
            <w:top w:val="none" w:sz="0" w:space="0" w:color="auto"/>
            <w:left w:val="none" w:sz="0" w:space="0" w:color="auto"/>
            <w:bottom w:val="none" w:sz="0" w:space="0" w:color="auto"/>
            <w:right w:val="none" w:sz="0" w:space="0" w:color="auto"/>
          </w:divBdr>
          <w:divsChild>
            <w:div w:id="1387415431">
              <w:marLeft w:val="0"/>
              <w:marRight w:val="0"/>
              <w:marTop w:val="0"/>
              <w:marBottom w:val="0"/>
              <w:divBdr>
                <w:top w:val="none" w:sz="0" w:space="0" w:color="auto"/>
                <w:left w:val="none" w:sz="0" w:space="0" w:color="auto"/>
                <w:bottom w:val="none" w:sz="0" w:space="0" w:color="auto"/>
                <w:right w:val="none" w:sz="0" w:space="0" w:color="auto"/>
              </w:divBdr>
              <w:divsChild>
                <w:div w:id="1263151516">
                  <w:marLeft w:val="0"/>
                  <w:marRight w:val="0"/>
                  <w:marTop w:val="0"/>
                  <w:marBottom w:val="0"/>
                  <w:divBdr>
                    <w:top w:val="none" w:sz="0" w:space="0" w:color="auto"/>
                    <w:left w:val="none" w:sz="0" w:space="0" w:color="auto"/>
                    <w:bottom w:val="none" w:sz="0" w:space="0" w:color="auto"/>
                    <w:right w:val="none" w:sz="0" w:space="0" w:color="auto"/>
                  </w:divBdr>
                  <w:divsChild>
                    <w:div w:id="2047100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0995064">
      <w:bodyDiv w:val="1"/>
      <w:marLeft w:val="0"/>
      <w:marRight w:val="0"/>
      <w:marTop w:val="0"/>
      <w:marBottom w:val="0"/>
      <w:divBdr>
        <w:top w:val="none" w:sz="0" w:space="0" w:color="auto"/>
        <w:left w:val="none" w:sz="0" w:space="0" w:color="auto"/>
        <w:bottom w:val="none" w:sz="0" w:space="0" w:color="auto"/>
        <w:right w:val="none" w:sz="0" w:space="0" w:color="auto"/>
      </w:divBdr>
    </w:div>
    <w:div w:id="1906380378">
      <w:bodyDiv w:val="1"/>
      <w:marLeft w:val="0"/>
      <w:marRight w:val="0"/>
      <w:marTop w:val="0"/>
      <w:marBottom w:val="0"/>
      <w:divBdr>
        <w:top w:val="none" w:sz="0" w:space="0" w:color="auto"/>
        <w:left w:val="none" w:sz="0" w:space="0" w:color="auto"/>
        <w:bottom w:val="none" w:sz="0" w:space="0" w:color="auto"/>
        <w:right w:val="none" w:sz="0" w:space="0" w:color="auto"/>
      </w:divBdr>
      <w:divsChild>
        <w:div w:id="1070999812">
          <w:marLeft w:val="461"/>
          <w:marRight w:val="0"/>
          <w:marTop w:val="0"/>
          <w:marBottom w:val="192"/>
          <w:divBdr>
            <w:top w:val="none" w:sz="0" w:space="0" w:color="auto"/>
            <w:left w:val="none" w:sz="0" w:space="0" w:color="auto"/>
            <w:bottom w:val="none" w:sz="0" w:space="0" w:color="auto"/>
            <w:right w:val="none" w:sz="0" w:space="0" w:color="auto"/>
          </w:divBdr>
        </w:div>
        <w:div w:id="796292116">
          <w:marLeft w:val="461"/>
          <w:marRight w:val="0"/>
          <w:marTop w:val="0"/>
          <w:marBottom w:val="192"/>
          <w:divBdr>
            <w:top w:val="none" w:sz="0" w:space="0" w:color="auto"/>
            <w:left w:val="none" w:sz="0" w:space="0" w:color="auto"/>
            <w:bottom w:val="none" w:sz="0" w:space="0" w:color="auto"/>
            <w:right w:val="none" w:sz="0" w:space="0" w:color="auto"/>
          </w:divBdr>
        </w:div>
        <w:div w:id="161746726">
          <w:marLeft w:val="461"/>
          <w:marRight w:val="0"/>
          <w:marTop w:val="0"/>
          <w:marBottom w:val="192"/>
          <w:divBdr>
            <w:top w:val="none" w:sz="0" w:space="0" w:color="auto"/>
            <w:left w:val="none" w:sz="0" w:space="0" w:color="auto"/>
            <w:bottom w:val="none" w:sz="0" w:space="0" w:color="auto"/>
            <w:right w:val="none" w:sz="0" w:space="0" w:color="auto"/>
          </w:divBdr>
        </w:div>
        <w:div w:id="711416430">
          <w:marLeft w:val="1210"/>
          <w:marRight w:val="0"/>
          <w:marTop w:val="0"/>
          <w:marBottom w:val="192"/>
          <w:divBdr>
            <w:top w:val="none" w:sz="0" w:space="0" w:color="auto"/>
            <w:left w:val="none" w:sz="0" w:space="0" w:color="auto"/>
            <w:bottom w:val="none" w:sz="0" w:space="0" w:color="auto"/>
            <w:right w:val="none" w:sz="0" w:space="0" w:color="auto"/>
          </w:divBdr>
        </w:div>
        <w:div w:id="1455246105">
          <w:marLeft w:val="461"/>
          <w:marRight w:val="0"/>
          <w:marTop w:val="0"/>
          <w:marBottom w:val="192"/>
          <w:divBdr>
            <w:top w:val="none" w:sz="0" w:space="0" w:color="auto"/>
            <w:left w:val="none" w:sz="0" w:space="0" w:color="auto"/>
            <w:bottom w:val="none" w:sz="0" w:space="0" w:color="auto"/>
            <w:right w:val="none" w:sz="0" w:space="0" w:color="auto"/>
          </w:divBdr>
        </w:div>
        <w:div w:id="1928533057">
          <w:marLeft w:val="461"/>
          <w:marRight w:val="0"/>
          <w:marTop w:val="0"/>
          <w:marBottom w:val="192"/>
          <w:divBdr>
            <w:top w:val="none" w:sz="0" w:space="0" w:color="auto"/>
            <w:left w:val="none" w:sz="0" w:space="0" w:color="auto"/>
            <w:bottom w:val="none" w:sz="0" w:space="0" w:color="auto"/>
            <w:right w:val="none" w:sz="0" w:space="0" w:color="auto"/>
          </w:divBdr>
        </w:div>
        <w:div w:id="214661298">
          <w:marLeft w:val="461"/>
          <w:marRight w:val="0"/>
          <w:marTop w:val="0"/>
          <w:marBottom w:val="192"/>
          <w:divBdr>
            <w:top w:val="none" w:sz="0" w:space="0" w:color="auto"/>
            <w:left w:val="none" w:sz="0" w:space="0" w:color="auto"/>
            <w:bottom w:val="none" w:sz="0" w:space="0" w:color="auto"/>
            <w:right w:val="none" w:sz="0" w:space="0" w:color="auto"/>
          </w:divBdr>
        </w:div>
        <w:div w:id="873225772">
          <w:marLeft w:val="461"/>
          <w:marRight w:val="0"/>
          <w:marTop w:val="0"/>
          <w:marBottom w:val="192"/>
          <w:divBdr>
            <w:top w:val="none" w:sz="0" w:space="0" w:color="auto"/>
            <w:left w:val="none" w:sz="0" w:space="0" w:color="auto"/>
            <w:bottom w:val="none" w:sz="0" w:space="0" w:color="auto"/>
            <w:right w:val="none" w:sz="0" w:space="0" w:color="auto"/>
          </w:divBdr>
        </w:div>
        <w:div w:id="10422536">
          <w:marLeft w:val="461"/>
          <w:marRight w:val="0"/>
          <w:marTop w:val="0"/>
          <w:marBottom w:val="192"/>
          <w:divBdr>
            <w:top w:val="none" w:sz="0" w:space="0" w:color="auto"/>
            <w:left w:val="none" w:sz="0" w:space="0" w:color="auto"/>
            <w:bottom w:val="none" w:sz="0" w:space="0" w:color="auto"/>
            <w:right w:val="none" w:sz="0" w:space="0" w:color="auto"/>
          </w:divBdr>
        </w:div>
        <w:div w:id="1570848268">
          <w:marLeft w:val="461"/>
          <w:marRight w:val="0"/>
          <w:marTop w:val="0"/>
          <w:marBottom w:val="192"/>
          <w:divBdr>
            <w:top w:val="none" w:sz="0" w:space="0" w:color="auto"/>
            <w:left w:val="none" w:sz="0" w:space="0" w:color="auto"/>
            <w:bottom w:val="none" w:sz="0" w:space="0" w:color="auto"/>
            <w:right w:val="none" w:sz="0" w:space="0" w:color="auto"/>
          </w:divBdr>
        </w:div>
      </w:divsChild>
    </w:div>
    <w:div w:id="1910537985">
      <w:bodyDiv w:val="1"/>
      <w:marLeft w:val="0"/>
      <w:marRight w:val="0"/>
      <w:marTop w:val="0"/>
      <w:marBottom w:val="0"/>
      <w:divBdr>
        <w:top w:val="none" w:sz="0" w:space="0" w:color="auto"/>
        <w:left w:val="none" w:sz="0" w:space="0" w:color="auto"/>
        <w:bottom w:val="none" w:sz="0" w:space="0" w:color="auto"/>
        <w:right w:val="none" w:sz="0" w:space="0" w:color="auto"/>
      </w:divBdr>
    </w:div>
    <w:div w:id="1922173402">
      <w:bodyDiv w:val="1"/>
      <w:marLeft w:val="0"/>
      <w:marRight w:val="0"/>
      <w:marTop w:val="0"/>
      <w:marBottom w:val="0"/>
      <w:divBdr>
        <w:top w:val="none" w:sz="0" w:space="0" w:color="auto"/>
        <w:left w:val="none" w:sz="0" w:space="0" w:color="auto"/>
        <w:bottom w:val="none" w:sz="0" w:space="0" w:color="auto"/>
        <w:right w:val="none" w:sz="0" w:space="0" w:color="auto"/>
      </w:divBdr>
    </w:div>
    <w:div w:id="1942956418">
      <w:bodyDiv w:val="1"/>
      <w:marLeft w:val="0"/>
      <w:marRight w:val="0"/>
      <w:marTop w:val="0"/>
      <w:marBottom w:val="0"/>
      <w:divBdr>
        <w:top w:val="none" w:sz="0" w:space="0" w:color="auto"/>
        <w:left w:val="none" w:sz="0" w:space="0" w:color="auto"/>
        <w:bottom w:val="none" w:sz="0" w:space="0" w:color="auto"/>
        <w:right w:val="none" w:sz="0" w:space="0" w:color="auto"/>
      </w:divBdr>
      <w:divsChild>
        <w:div w:id="1714960070">
          <w:marLeft w:val="0"/>
          <w:marRight w:val="0"/>
          <w:marTop w:val="0"/>
          <w:marBottom w:val="0"/>
          <w:divBdr>
            <w:top w:val="none" w:sz="0" w:space="0" w:color="auto"/>
            <w:left w:val="none" w:sz="0" w:space="0" w:color="auto"/>
            <w:bottom w:val="none" w:sz="0" w:space="0" w:color="auto"/>
            <w:right w:val="none" w:sz="0" w:space="0" w:color="auto"/>
          </w:divBdr>
          <w:divsChild>
            <w:div w:id="867912038">
              <w:marLeft w:val="0"/>
              <w:marRight w:val="0"/>
              <w:marTop w:val="0"/>
              <w:marBottom w:val="0"/>
              <w:divBdr>
                <w:top w:val="none" w:sz="0" w:space="0" w:color="auto"/>
                <w:left w:val="none" w:sz="0" w:space="0" w:color="auto"/>
                <w:bottom w:val="none" w:sz="0" w:space="0" w:color="auto"/>
                <w:right w:val="none" w:sz="0" w:space="0" w:color="auto"/>
              </w:divBdr>
              <w:divsChild>
                <w:div w:id="1603955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0158564">
      <w:bodyDiv w:val="1"/>
      <w:marLeft w:val="0"/>
      <w:marRight w:val="0"/>
      <w:marTop w:val="0"/>
      <w:marBottom w:val="0"/>
      <w:divBdr>
        <w:top w:val="none" w:sz="0" w:space="0" w:color="auto"/>
        <w:left w:val="none" w:sz="0" w:space="0" w:color="auto"/>
        <w:bottom w:val="none" w:sz="0" w:space="0" w:color="auto"/>
        <w:right w:val="none" w:sz="0" w:space="0" w:color="auto"/>
      </w:divBdr>
      <w:divsChild>
        <w:div w:id="1056465686">
          <w:marLeft w:val="0"/>
          <w:marRight w:val="0"/>
          <w:marTop w:val="0"/>
          <w:marBottom w:val="0"/>
          <w:divBdr>
            <w:top w:val="none" w:sz="0" w:space="0" w:color="auto"/>
            <w:left w:val="none" w:sz="0" w:space="0" w:color="auto"/>
            <w:bottom w:val="none" w:sz="0" w:space="0" w:color="auto"/>
            <w:right w:val="none" w:sz="0" w:space="0" w:color="auto"/>
          </w:divBdr>
          <w:divsChild>
            <w:div w:id="1160082035">
              <w:marLeft w:val="0"/>
              <w:marRight w:val="0"/>
              <w:marTop w:val="0"/>
              <w:marBottom w:val="0"/>
              <w:divBdr>
                <w:top w:val="none" w:sz="0" w:space="0" w:color="auto"/>
                <w:left w:val="none" w:sz="0" w:space="0" w:color="auto"/>
                <w:bottom w:val="none" w:sz="0" w:space="0" w:color="auto"/>
                <w:right w:val="none" w:sz="0" w:space="0" w:color="auto"/>
              </w:divBdr>
              <w:divsChild>
                <w:div w:id="736322061">
                  <w:marLeft w:val="0"/>
                  <w:marRight w:val="0"/>
                  <w:marTop w:val="0"/>
                  <w:marBottom w:val="0"/>
                  <w:divBdr>
                    <w:top w:val="none" w:sz="0" w:space="0" w:color="auto"/>
                    <w:left w:val="none" w:sz="0" w:space="0" w:color="auto"/>
                    <w:bottom w:val="none" w:sz="0" w:space="0" w:color="auto"/>
                    <w:right w:val="none" w:sz="0" w:space="0" w:color="auto"/>
                  </w:divBdr>
                  <w:divsChild>
                    <w:div w:id="1946379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2879923">
      <w:bodyDiv w:val="1"/>
      <w:marLeft w:val="0"/>
      <w:marRight w:val="0"/>
      <w:marTop w:val="0"/>
      <w:marBottom w:val="0"/>
      <w:divBdr>
        <w:top w:val="none" w:sz="0" w:space="0" w:color="auto"/>
        <w:left w:val="none" w:sz="0" w:space="0" w:color="auto"/>
        <w:bottom w:val="none" w:sz="0" w:space="0" w:color="auto"/>
        <w:right w:val="none" w:sz="0" w:space="0" w:color="auto"/>
      </w:divBdr>
    </w:div>
    <w:div w:id="2002856254">
      <w:bodyDiv w:val="1"/>
      <w:marLeft w:val="0"/>
      <w:marRight w:val="0"/>
      <w:marTop w:val="0"/>
      <w:marBottom w:val="0"/>
      <w:divBdr>
        <w:top w:val="none" w:sz="0" w:space="0" w:color="auto"/>
        <w:left w:val="none" w:sz="0" w:space="0" w:color="auto"/>
        <w:bottom w:val="none" w:sz="0" w:space="0" w:color="auto"/>
        <w:right w:val="none" w:sz="0" w:space="0" w:color="auto"/>
      </w:divBdr>
    </w:div>
    <w:div w:id="2003968693">
      <w:bodyDiv w:val="1"/>
      <w:marLeft w:val="0"/>
      <w:marRight w:val="0"/>
      <w:marTop w:val="0"/>
      <w:marBottom w:val="0"/>
      <w:divBdr>
        <w:top w:val="none" w:sz="0" w:space="0" w:color="auto"/>
        <w:left w:val="none" w:sz="0" w:space="0" w:color="auto"/>
        <w:bottom w:val="none" w:sz="0" w:space="0" w:color="auto"/>
        <w:right w:val="none" w:sz="0" w:space="0" w:color="auto"/>
      </w:divBdr>
      <w:divsChild>
        <w:div w:id="1120412971">
          <w:marLeft w:val="0"/>
          <w:marRight w:val="0"/>
          <w:marTop w:val="0"/>
          <w:marBottom w:val="0"/>
          <w:divBdr>
            <w:top w:val="none" w:sz="0" w:space="0" w:color="auto"/>
            <w:left w:val="none" w:sz="0" w:space="0" w:color="auto"/>
            <w:bottom w:val="none" w:sz="0" w:space="0" w:color="auto"/>
            <w:right w:val="none" w:sz="0" w:space="0" w:color="auto"/>
          </w:divBdr>
          <w:divsChild>
            <w:div w:id="2141531471">
              <w:marLeft w:val="0"/>
              <w:marRight w:val="0"/>
              <w:marTop w:val="0"/>
              <w:marBottom w:val="0"/>
              <w:divBdr>
                <w:top w:val="none" w:sz="0" w:space="0" w:color="auto"/>
                <w:left w:val="none" w:sz="0" w:space="0" w:color="auto"/>
                <w:bottom w:val="none" w:sz="0" w:space="0" w:color="auto"/>
                <w:right w:val="none" w:sz="0" w:space="0" w:color="auto"/>
              </w:divBdr>
              <w:divsChild>
                <w:div w:id="1562518694">
                  <w:marLeft w:val="0"/>
                  <w:marRight w:val="0"/>
                  <w:marTop w:val="0"/>
                  <w:marBottom w:val="0"/>
                  <w:divBdr>
                    <w:top w:val="none" w:sz="0" w:space="0" w:color="auto"/>
                    <w:left w:val="none" w:sz="0" w:space="0" w:color="auto"/>
                    <w:bottom w:val="none" w:sz="0" w:space="0" w:color="auto"/>
                    <w:right w:val="none" w:sz="0" w:space="0" w:color="auto"/>
                  </w:divBdr>
                  <w:divsChild>
                    <w:div w:id="361171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9210945">
      <w:bodyDiv w:val="1"/>
      <w:marLeft w:val="0"/>
      <w:marRight w:val="0"/>
      <w:marTop w:val="0"/>
      <w:marBottom w:val="0"/>
      <w:divBdr>
        <w:top w:val="none" w:sz="0" w:space="0" w:color="auto"/>
        <w:left w:val="none" w:sz="0" w:space="0" w:color="auto"/>
        <w:bottom w:val="none" w:sz="0" w:space="0" w:color="auto"/>
        <w:right w:val="none" w:sz="0" w:space="0" w:color="auto"/>
      </w:divBdr>
      <w:divsChild>
        <w:div w:id="153184760">
          <w:marLeft w:val="0"/>
          <w:marRight w:val="0"/>
          <w:marTop w:val="0"/>
          <w:marBottom w:val="0"/>
          <w:divBdr>
            <w:top w:val="none" w:sz="0" w:space="0" w:color="auto"/>
            <w:left w:val="none" w:sz="0" w:space="0" w:color="auto"/>
            <w:bottom w:val="none" w:sz="0" w:space="0" w:color="auto"/>
            <w:right w:val="none" w:sz="0" w:space="0" w:color="auto"/>
          </w:divBdr>
          <w:divsChild>
            <w:div w:id="1399747132">
              <w:marLeft w:val="0"/>
              <w:marRight w:val="0"/>
              <w:marTop w:val="0"/>
              <w:marBottom w:val="0"/>
              <w:divBdr>
                <w:top w:val="none" w:sz="0" w:space="0" w:color="auto"/>
                <w:left w:val="none" w:sz="0" w:space="0" w:color="auto"/>
                <w:bottom w:val="none" w:sz="0" w:space="0" w:color="auto"/>
                <w:right w:val="none" w:sz="0" w:space="0" w:color="auto"/>
              </w:divBdr>
              <w:divsChild>
                <w:div w:id="187257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1606397">
      <w:bodyDiv w:val="1"/>
      <w:marLeft w:val="0"/>
      <w:marRight w:val="0"/>
      <w:marTop w:val="0"/>
      <w:marBottom w:val="0"/>
      <w:divBdr>
        <w:top w:val="none" w:sz="0" w:space="0" w:color="auto"/>
        <w:left w:val="none" w:sz="0" w:space="0" w:color="auto"/>
        <w:bottom w:val="none" w:sz="0" w:space="0" w:color="auto"/>
        <w:right w:val="none" w:sz="0" w:space="0" w:color="auto"/>
      </w:divBdr>
      <w:divsChild>
        <w:div w:id="1087460675">
          <w:marLeft w:val="0"/>
          <w:marRight w:val="0"/>
          <w:marTop w:val="0"/>
          <w:marBottom w:val="0"/>
          <w:divBdr>
            <w:top w:val="none" w:sz="0" w:space="0" w:color="auto"/>
            <w:left w:val="none" w:sz="0" w:space="0" w:color="auto"/>
            <w:bottom w:val="none" w:sz="0" w:space="0" w:color="auto"/>
            <w:right w:val="none" w:sz="0" w:space="0" w:color="auto"/>
          </w:divBdr>
          <w:divsChild>
            <w:div w:id="309598888">
              <w:marLeft w:val="0"/>
              <w:marRight w:val="0"/>
              <w:marTop w:val="0"/>
              <w:marBottom w:val="0"/>
              <w:divBdr>
                <w:top w:val="none" w:sz="0" w:space="0" w:color="auto"/>
                <w:left w:val="none" w:sz="0" w:space="0" w:color="auto"/>
                <w:bottom w:val="none" w:sz="0" w:space="0" w:color="auto"/>
                <w:right w:val="none" w:sz="0" w:space="0" w:color="auto"/>
              </w:divBdr>
              <w:divsChild>
                <w:div w:id="1220897153">
                  <w:marLeft w:val="0"/>
                  <w:marRight w:val="0"/>
                  <w:marTop w:val="0"/>
                  <w:marBottom w:val="0"/>
                  <w:divBdr>
                    <w:top w:val="none" w:sz="0" w:space="0" w:color="auto"/>
                    <w:left w:val="none" w:sz="0" w:space="0" w:color="auto"/>
                    <w:bottom w:val="none" w:sz="0" w:space="0" w:color="auto"/>
                    <w:right w:val="none" w:sz="0" w:space="0" w:color="auto"/>
                  </w:divBdr>
                  <w:divsChild>
                    <w:div w:id="1388456668">
                      <w:marLeft w:val="0"/>
                      <w:marRight w:val="0"/>
                      <w:marTop w:val="0"/>
                      <w:marBottom w:val="0"/>
                      <w:divBdr>
                        <w:top w:val="none" w:sz="0" w:space="0" w:color="auto"/>
                        <w:left w:val="none" w:sz="0" w:space="0" w:color="auto"/>
                        <w:bottom w:val="none" w:sz="0" w:space="0" w:color="auto"/>
                        <w:right w:val="none" w:sz="0" w:space="0" w:color="auto"/>
                      </w:divBdr>
                    </w:div>
                  </w:divsChild>
                </w:div>
                <w:div w:id="2077241655">
                  <w:marLeft w:val="0"/>
                  <w:marRight w:val="0"/>
                  <w:marTop w:val="0"/>
                  <w:marBottom w:val="0"/>
                  <w:divBdr>
                    <w:top w:val="none" w:sz="0" w:space="0" w:color="auto"/>
                    <w:left w:val="none" w:sz="0" w:space="0" w:color="auto"/>
                    <w:bottom w:val="none" w:sz="0" w:space="0" w:color="auto"/>
                    <w:right w:val="none" w:sz="0" w:space="0" w:color="auto"/>
                  </w:divBdr>
                  <w:divsChild>
                    <w:div w:id="844827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8070112">
      <w:bodyDiv w:val="1"/>
      <w:marLeft w:val="0"/>
      <w:marRight w:val="0"/>
      <w:marTop w:val="0"/>
      <w:marBottom w:val="0"/>
      <w:divBdr>
        <w:top w:val="none" w:sz="0" w:space="0" w:color="auto"/>
        <w:left w:val="none" w:sz="0" w:space="0" w:color="auto"/>
        <w:bottom w:val="none" w:sz="0" w:space="0" w:color="auto"/>
        <w:right w:val="none" w:sz="0" w:space="0" w:color="auto"/>
      </w:divBdr>
    </w:div>
    <w:div w:id="2086291838">
      <w:bodyDiv w:val="1"/>
      <w:marLeft w:val="0"/>
      <w:marRight w:val="0"/>
      <w:marTop w:val="0"/>
      <w:marBottom w:val="0"/>
      <w:divBdr>
        <w:top w:val="none" w:sz="0" w:space="0" w:color="auto"/>
        <w:left w:val="none" w:sz="0" w:space="0" w:color="auto"/>
        <w:bottom w:val="none" w:sz="0" w:space="0" w:color="auto"/>
        <w:right w:val="none" w:sz="0" w:space="0" w:color="auto"/>
      </w:divBdr>
      <w:divsChild>
        <w:div w:id="442042822">
          <w:marLeft w:val="0"/>
          <w:marRight w:val="0"/>
          <w:marTop w:val="0"/>
          <w:marBottom w:val="0"/>
          <w:divBdr>
            <w:top w:val="none" w:sz="0" w:space="0" w:color="auto"/>
            <w:left w:val="none" w:sz="0" w:space="0" w:color="auto"/>
            <w:bottom w:val="none" w:sz="0" w:space="0" w:color="auto"/>
            <w:right w:val="none" w:sz="0" w:space="0" w:color="auto"/>
          </w:divBdr>
        </w:div>
      </w:divsChild>
    </w:div>
    <w:div w:id="2092266745">
      <w:bodyDiv w:val="1"/>
      <w:marLeft w:val="0"/>
      <w:marRight w:val="0"/>
      <w:marTop w:val="0"/>
      <w:marBottom w:val="0"/>
      <w:divBdr>
        <w:top w:val="none" w:sz="0" w:space="0" w:color="auto"/>
        <w:left w:val="none" w:sz="0" w:space="0" w:color="auto"/>
        <w:bottom w:val="none" w:sz="0" w:space="0" w:color="auto"/>
        <w:right w:val="none" w:sz="0" w:space="0" w:color="auto"/>
      </w:divBdr>
    </w:div>
    <w:div w:id="2092695730">
      <w:bodyDiv w:val="1"/>
      <w:marLeft w:val="0"/>
      <w:marRight w:val="0"/>
      <w:marTop w:val="0"/>
      <w:marBottom w:val="0"/>
      <w:divBdr>
        <w:top w:val="none" w:sz="0" w:space="0" w:color="auto"/>
        <w:left w:val="none" w:sz="0" w:space="0" w:color="auto"/>
        <w:bottom w:val="none" w:sz="0" w:space="0" w:color="auto"/>
        <w:right w:val="none" w:sz="0" w:space="0" w:color="auto"/>
      </w:divBdr>
    </w:div>
    <w:div w:id="2108579359">
      <w:bodyDiv w:val="1"/>
      <w:marLeft w:val="0"/>
      <w:marRight w:val="0"/>
      <w:marTop w:val="0"/>
      <w:marBottom w:val="0"/>
      <w:divBdr>
        <w:top w:val="none" w:sz="0" w:space="0" w:color="auto"/>
        <w:left w:val="none" w:sz="0" w:space="0" w:color="auto"/>
        <w:bottom w:val="none" w:sz="0" w:space="0" w:color="auto"/>
        <w:right w:val="none" w:sz="0" w:space="0" w:color="auto"/>
      </w:divBdr>
    </w:div>
    <w:div w:id="2112165793">
      <w:bodyDiv w:val="1"/>
      <w:marLeft w:val="0"/>
      <w:marRight w:val="0"/>
      <w:marTop w:val="0"/>
      <w:marBottom w:val="0"/>
      <w:divBdr>
        <w:top w:val="none" w:sz="0" w:space="0" w:color="auto"/>
        <w:left w:val="none" w:sz="0" w:space="0" w:color="auto"/>
        <w:bottom w:val="none" w:sz="0" w:space="0" w:color="auto"/>
        <w:right w:val="none" w:sz="0" w:space="0" w:color="auto"/>
      </w:divBdr>
      <w:divsChild>
        <w:div w:id="315650936">
          <w:marLeft w:val="0"/>
          <w:marRight w:val="0"/>
          <w:marTop w:val="0"/>
          <w:marBottom w:val="0"/>
          <w:divBdr>
            <w:top w:val="none" w:sz="0" w:space="0" w:color="auto"/>
            <w:left w:val="none" w:sz="0" w:space="0" w:color="auto"/>
            <w:bottom w:val="none" w:sz="0" w:space="0" w:color="auto"/>
            <w:right w:val="none" w:sz="0" w:space="0" w:color="auto"/>
          </w:divBdr>
          <w:divsChild>
            <w:div w:id="1896352943">
              <w:marLeft w:val="0"/>
              <w:marRight w:val="0"/>
              <w:marTop w:val="0"/>
              <w:marBottom w:val="0"/>
              <w:divBdr>
                <w:top w:val="none" w:sz="0" w:space="0" w:color="auto"/>
                <w:left w:val="none" w:sz="0" w:space="0" w:color="auto"/>
                <w:bottom w:val="none" w:sz="0" w:space="0" w:color="auto"/>
                <w:right w:val="none" w:sz="0" w:space="0" w:color="auto"/>
              </w:divBdr>
              <w:divsChild>
                <w:div w:id="1373723380">
                  <w:marLeft w:val="0"/>
                  <w:marRight w:val="0"/>
                  <w:marTop w:val="0"/>
                  <w:marBottom w:val="0"/>
                  <w:divBdr>
                    <w:top w:val="none" w:sz="0" w:space="0" w:color="auto"/>
                    <w:left w:val="none" w:sz="0" w:space="0" w:color="auto"/>
                    <w:bottom w:val="none" w:sz="0" w:space="0" w:color="auto"/>
                    <w:right w:val="none" w:sz="0" w:space="0" w:color="auto"/>
                  </w:divBdr>
                  <w:divsChild>
                    <w:div w:id="874657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0468588">
      <w:bodyDiv w:val="1"/>
      <w:marLeft w:val="0"/>
      <w:marRight w:val="0"/>
      <w:marTop w:val="0"/>
      <w:marBottom w:val="0"/>
      <w:divBdr>
        <w:top w:val="none" w:sz="0" w:space="0" w:color="auto"/>
        <w:left w:val="none" w:sz="0" w:space="0" w:color="auto"/>
        <w:bottom w:val="none" w:sz="0" w:space="0" w:color="auto"/>
        <w:right w:val="none" w:sz="0" w:space="0" w:color="auto"/>
      </w:divBdr>
    </w:div>
    <w:div w:id="2130859664">
      <w:bodyDiv w:val="1"/>
      <w:marLeft w:val="0"/>
      <w:marRight w:val="0"/>
      <w:marTop w:val="0"/>
      <w:marBottom w:val="0"/>
      <w:divBdr>
        <w:top w:val="none" w:sz="0" w:space="0" w:color="auto"/>
        <w:left w:val="none" w:sz="0" w:space="0" w:color="auto"/>
        <w:bottom w:val="none" w:sz="0" w:space="0" w:color="auto"/>
        <w:right w:val="none" w:sz="0" w:space="0" w:color="auto"/>
      </w:divBdr>
      <w:divsChild>
        <w:div w:id="665863560">
          <w:marLeft w:val="0"/>
          <w:marRight w:val="0"/>
          <w:marTop w:val="0"/>
          <w:marBottom w:val="0"/>
          <w:divBdr>
            <w:top w:val="none" w:sz="0" w:space="0" w:color="auto"/>
            <w:left w:val="none" w:sz="0" w:space="0" w:color="auto"/>
            <w:bottom w:val="none" w:sz="0" w:space="0" w:color="auto"/>
            <w:right w:val="none" w:sz="0" w:space="0" w:color="auto"/>
          </w:divBdr>
          <w:divsChild>
            <w:div w:id="1079598398">
              <w:marLeft w:val="0"/>
              <w:marRight w:val="0"/>
              <w:marTop w:val="0"/>
              <w:marBottom w:val="0"/>
              <w:divBdr>
                <w:top w:val="none" w:sz="0" w:space="0" w:color="auto"/>
                <w:left w:val="none" w:sz="0" w:space="0" w:color="auto"/>
                <w:bottom w:val="none" w:sz="0" w:space="0" w:color="auto"/>
                <w:right w:val="none" w:sz="0" w:space="0" w:color="auto"/>
              </w:divBdr>
              <w:divsChild>
                <w:div w:id="376783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349417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footer" Target="footer2.xml"/><Relationship Id="rId26" Type="http://schemas.openxmlformats.org/officeDocument/2006/relationships/image" Target="media/image7.png"/><Relationship Id="rId39" Type="http://schemas.openxmlformats.org/officeDocument/2006/relationships/image" Target="media/image17.tiff"/><Relationship Id="rId21" Type="http://schemas.openxmlformats.org/officeDocument/2006/relationships/image" Target="media/image2.png"/><Relationship Id="rId34" Type="http://schemas.openxmlformats.org/officeDocument/2006/relationships/chart" Target="charts/chart1.xml"/><Relationship Id="rId42" Type="http://schemas.openxmlformats.org/officeDocument/2006/relationships/image" Target="media/image20.tiff"/><Relationship Id="rId47" Type="http://schemas.openxmlformats.org/officeDocument/2006/relationships/image" Target="media/image25.jpeg"/><Relationship Id="rId50" Type="http://schemas.openxmlformats.org/officeDocument/2006/relationships/hyperlink" Target="https://parlinfo.aph.gov.au:443/parlInfo/search/display/display.w3p;adv=yes;orderBy=date-eFirst;page=15;query=Dataset%3Atabledpapers;rec=6;resCount=Default" TargetMode="External"/><Relationship Id="rId55" Type="http://schemas.openxmlformats.org/officeDocument/2006/relationships/hyperlink" Target="http://www.ombudsman.sa.gov.au/wp-content/uploads/Department-for-Correctional-Services-&#8211;-Unlawful-shackling-of-a-mental-health-patient-in-hospital.pdf" TargetMode="External"/><Relationship Id="rId63" Type="http://schemas.openxmlformats.org/officeDocument/2006/relationships/hyperlink" Target="https://ahha.asn.au/sites/default/files/docs/policy-issue/leading_change_in_primary_care.pdf" TargetMode="External"/><Relationship Id="rId68" Type="http://schemas.openxmlformats.org/officeDocument/2006/relationships/hyperlink" Target="https://www.healthaffairs.org/do/10.1377/hblog20190212.965975/full/" TargetMode="External"/><Relationship Id="rId76" Type="http://schemas.openxmlformats.org/officeDocument/2006/relationships/footer" Target="footer4.xml"/><Relationship Id="rId7" Type="http://schemas.openxmlformats.org/officeDocument/2006/relationships/customXml" Target="../customXml/item7.xml"/><Relationship Id="rId71" Type="http://schemas.openxmlformats.org/officeDocument/2006/relationships/hyperlink" Target="http://www.aph.gov.au/Parliamentary_Business/Committees" TargetMode="External"/><Relationship Id="rId2" Type="http://schemas.openxmlformats.org/officeDocument/2006/relationships/customXml" Target="../customXml/item2.xml"/><Relationship Id="rId16" Type="http://schemas.openxmlformats.org/officeDocument/2006/relationships/header" Target="header1.xml"/><Relationship Id="rId29" Type="http://schemas.openxmlformats.org/officeDocument/2006/relationships/image" Target="media/image9.png"/><Relationship Id="rId11" Type="http://schemas.openxmlformats.org/officeDocument/2006/relationships/webSettings" Target="webSettings.xml"/><Relationship Id="rId24" Type="http://schemas.openxmlformats.org/officeDocument/2006/relationships/image" Target="media/image5.png"/><Relationship Id="rId32" Type="http://schemas.openxmlformats.org/officeDocument/2006/relationships/image" Target="media/image12.jpeg"/><Relationship Id="rId37" Type="http://schemas.openxmlformats.org/officeDocument/2006/relationships/chart" Target="charts/chart2.xml"/><Relationship Id="rId40" Type="http://schemas.openxmlformats.org/officeDocument/2006/relationships/image" Target="media/image18.tiff"/><Relationship Id="rId45" Type="http://schemas.openxmlformats.org/officeDocument/2006/relationships/image" Target="media/image23.emf"/><Relationship Id="rId53" Type="http://schemas.openxmlformats.org/officeDocument/2006/relationships/hyperlink" Target="http://www.ombudsman.sa.gov.au/wp-content/uploads/Department-for-Correctional-Services-Unreasonabl-shackling-of-prisoner-in-hospital.pdf" TargetMode="External"/><Relationship Id="rId58" Type="http://schemas.openxmlformats.org/officeDocument/2006/relationships/hyperlink" Target="http://myhealthycommunities.gov.au/national/apc0029" TargetMode="External"/><Relationship Id="rId66" Type="http://schemas.openxmlformats.org/officeDocument/2006/relationships/hyperlink" Target="http://www.ombudsman.vic.gov.au" TargetMode="External"/><Relationship Id="rId74" Type="http://schemas.openxmlformats.org/officeDocument/2006/relationships/hyperlink" Target="https://www.who.int/gho/mental_health/suicide_rates/en/" TargetMode="External"/><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image" Target="media/image4.png"/><Relationship Id="rId28" Type="http://schemas.openxmlformats.org/officeDocument/2006/relationships/image" Target="media/image8.png"/><Relationship Id="rId36" Type="http://schemas.openxmlformats.org/officeDocument/2006/relationships/image" Target="media/image15.png"/><Relationship Id="rId49" Type="http://schemas.openxmlformats.org/officeDocument/2006/relationships/hyperlink" Target="https://parlinfo.aph.gov.au:443/parlInfo/search/display/display.w3p;adv=yes;orderBy=date-eFirst;page=341;query=Dataset%3Atabledpapers;rec=4;resCount=Default" TargetMode="External"/><Relationship Id="rId57" Type="http://schemas.openxmlformats.org/officeDocument/2006/relationships/hyperlink" Target="https://www.mhinnovation.net/sites/default/files/downloads/resource/APEC%20Roadmap%20to%20Promote%20MentalWellness%20in%20a%20Healthy%20Asia%20Pacific%20%282014-2020%29.pdf" TargetMode="External"/><Relationship Id="rId61" Type="http://schemas.openxmlformats.org/officeDocument/2006/relationships/hyperlink" Target="http://www.health.gov.au/internet/main/publishing.nsf/Content/PHN-Mental_Health_Data" TargetMode="External"/><Relationship Id="rId10" Type="http://schemas.openxmlformats.org/officeDocument/2006/relationships/settings" Target="settings.xml"/><Relationship Id="rId19" Type="http://schemas.openxmlformats.org/officeDocument/2006/relationships/footer" Target="footer3.xml"/><Relationship Id="rId31" Type="http://schemas.openxmlformats.org/officeDocument/2006/relationships/image" Target="media/image11.png"/><Relationship Id="rId44" Type="http://schemas.openxmlformats.org/officeDocument/2006/relationships/image" Target="media/image22.emf"/><Relationship Id="rId52" Type="http://schemas.openxmlformats.org/officeDocument/2006/relationships/hyperlink" Target="http://www.ombudsman.sa.gov.au/wp-content/uploads/Correctional-Services-2013.pdf" TargetMode="External"/><Relationship Id="rId60" Type="http://schemas.openxmlformats.org/officeDocument/2006/relationships/hyperlink" Target="http://www3.weforum.org/docs/WEF_Harvard_HE_GlobalEconomicBurdenNonCommunicableDiseases_2011.pdf" TargetMode="External"/><Relationship Id="rId65" Type="http://schemas.openxmlformats.org/officeDocument/2006/relationships/hyperlink" Target="https://www.policyforum.net/australias-suicide-prevention-plan-is-barely-worth-the-name/" TargetMode="External"/><Relationship Id="rId73" Type="http://schemas.openxmlformats.org/officeDocument/2006/relationships/hyperlink" Target="http://www.phidu.torrens.edu.au/social-health-atlases/data" TargetMode="External"/><Relationship Id="rId7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image" Target="media/image1.emf"/><Relationship Id="rId22" Type="http://schemas.openxmlformats.org/officeDocument/2006/relationships/image" Target="media/image3.png"/><Relationship Id="rId27" Type="http://schemas.openxmlformats.org/officeDocument/2006/relationships/image" Target="media/image6.jpg"/><Relationship Id="rId30" Type="http://schemas.openxmlformats.org/officeDocument/2006/relationships/image" Target="media/image10.png"/><Relationship Id="rId35" Type="http://schemas.openxmlformats.org/officeDocument/2006/relationships/image" Target="media/image14.png"/><Relationship Id="rId43" Type="http://schemas.openxmlformats.org/officeDocument/2006/relationships/image" Target="media/image21.emf"/><Relationship Id="rId48" Type="http://schemas.openxmlformats.org/officeDocument/2006/relationships/hyperlink" Target="http://www.suicidecallbackservice.org.au/registration/" TargetMode="External"/><Relationship Id="rId56" Type="http://schemas.openxmlformats.org/officeDocument/2006/relationships/hyperlink" Target="http://www.ombudsman.sa.gov.au/wp-content/uploads/Department-for-Correctional-Services-and-Centrel-Adelaide-Local-Health-Network-South-Australian-Prison-Health-Service.pdf" TargetMode="External"/><Relationship Id="rId64" Type="http://schemas.openxmlformats.org/officeDocument/2006/relationships/hyperlink" Target="https://doi.org/10.1186/s12913-019-4005-5" TargetMode="External"/><Relationship Id="rId69" Type="http://schemas.openxmlformats.org/officeDocument/2006/relationships/hyperlink" Target="https://doi.org/10.3389/fpsyt.2018.00536" TargetMode="External"/><Relationship Id="rId77" Type="http://schemas.openxmlformats.org/officeDocument/2006/relationships/fontTable" Target="fontTable.xml"/><Relationship Id="rId8" Type="http://schemas.openxmlformats.org/officeDocument/2006/relationships/numbering" Target="numbering.xml"/><Relationship Id="rId51" Type="http://schemas.openxmlformats.org/officeDocument/2006/relationships/hyperlink" Target="http://www.ombudsman.sa.gov.au/wp-content/uploads/correctional_services_july_2012.pdf" TargetMode="External"/><Relationship Id="rId72" Type="http://schemas.openxmlformats.org/officeDocument/2006/relationships/hyperlink" Target="https://parlinfo/search/summary" TargetMode="External"/><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header" Target="header2.xml"/><Relationship Id="rId25" Type="http://schemas.openxmlformats.org/officeDocument/2006/relationships/customXml" Target="ink/ink1.xml"/><Relationship Id="rId33" Type="http://schemas.openxmlformats.org/officeDocument/2006/relationships/image" Target="media/image13.jpeg"/><Relationship Id="rId38" Type="http://schemas.openxmlformats.org/officeDocument/2006/relationships/image" Target="media/image16.jpeg"/><Relationship Id="rId46" Type="http://schemas.openxmlformats.org/officeDocument/2006/relationships/image" Target="media/image24.png"/><Relationship Id="rId59" Type="http://schemas.openxmlformats.org/officeDocument/2006/relationships/hyperlink" Target="http://myhealthycommunities.gov.au/national/apc0029" TargetMode="External"/><Relationship Id="rId67" Type="http://schemas.openxmlformats.org/officeDocument/2006/relationships/hyperlink" Target="https://www.health.gov.au/internet/main/publishing.nsf/Content/A69978FAABB1225ECA257CD3001810B7/$File/Review-of-Medicare-Locals-may2014.pdf" TargetMode="External"/><Relationship Id="rId20" Type="http://schemas.openxmlformats.org/officeDocument/2006/relationships/header" Target="header3.xml"/><Relationship Id="rId41" Type="http://schemas.openxmlformats.org/officeDocument/2006/relationships/image" Target="media/image19.tiff"/><Relationship Id="rId54" Type="http://schemas.openxmlformats.org/officeDocument/2006/relationships/hyperlink" Target="http://www.ombudsman.sa.gov.au/wp-content/uploads/Department-for-Correctional-Services-Unreasonabl-shackling-of-prisoner-in-hospital.pdf" TargetMode="External"/><Relationship Id="rId62" Type="http://schemas.openxmlformats.org/officeDocument/2006/relationships/hyperlink" Target="http://www.health.gov.au/internet/main/publishing.nsf/Content/PHN-Mental_Health_Data" TargetMode="External"/><Relationship Id="rId70" Type="http://schemas.openxmlformats.org/officeDocument/2006/relationships/hyperlink" Target="https://doi.org/10.1186/s12916-018-1087-6" TargetMode="External"/><Relationship Id="rId75"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customXml" Target="../customXml/item6.xml"/></Relationships>
</file>

<file path=word/_rels/footnotes.xml.rels><?xml version="1.0" encoding="UTF-8" standalone="yes"?>
<Relationships xmlns="http://schemas.openxmlformats.org/package/2006/relationships"><Relationship Id="rId2" Type="http://schemas.openxmlformats.org/officeDocument/2006/relationships/hyperlink" Target="https://www.policyforum.net/australias-suicide-prevention-plan-is-barely-worth-the-name/" TargetMode="External"/><Relationship Id="rId1" Type="http://schemas.openxmlformats.org/officeDocument/2006/relationships/hyperlink" Target="https://www.smh.com.au/national/the-wellbeing-cost-of-mental-health-hits-200-billion-20160909-grcxxl.html"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Users\Larisa\Dropbox\Connetica%20Team%20Only\Current%20Projects\WentWest%20PHN\MH%20Data\went%20west%20hospilisations%20data.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1" Type="http://schemas.openxmlformats.org/officeDocument/2006/relationships/oleObject" Target="file:///\\Users\Larisa\Dropbox\Connetica%20Team%20Only\Current%20Projects\WentWest%20PHN\MH%20Data\PBS%20calculation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Sheet1!$N$38</c:f>
              <c:strCache>
                <c:ptCount val="1"/>
                <c:pt idx="0">
                  <c:v>2014/15</c:v>
                </c:pt>
              </c:strCache>
            </c:strRef>
          </c:tx>
          <c:spPr>
            <a:solidFill>
              <a:srgbClr val="7FCDBB"/>
            </a:solidFill>
            <a:ln>
              <a:solidFill>
                <a:srgbClr val="7FCDBB"/>
              </a:solidFill>
            </a:ln>
            <a:effectLst/>
          </c:spPr>
          <c:invertIfNegative val="0"/>
          <c:dPt>
            <c:idx val="12"/>
            <c:invertIfNegative val="0"/>
            <c:bubble3D val="0"/>
            <c:spPr>
              <a:solidFill>
                <a:srgbClr val="9D9D9D"/>
              </a:solidFill>
              <a:ln>
                <a:solidFill>
                  <a:srgbClr val="9D9D9D"/>
                </a:solidFill>
              </a:ln>
              <a:effectLst/>
            </c:spPr>
            <c:extLst xmlns:c16r2="http://schemas.microsoft.com/office/drawing/2015/06/chart">
              <c:ext xmlns:c16="http://schemas.microsoft.com/office/drawing/2014/chart" uri="{C3380CC4-5D6E-409C-BE32-E72D297353CC}">
                <c16:uniqueId val="{00000001-4A5F-B24C-AD24-6E0E6198448D}"/>
              </c:ext>
            </c:extLst>
          </c:dPt>
          <c:dPt>
            <c:idx val="13"/>
            <c:invertIfNegative val="0"/>
            <c:bubble3D val="0"/>
            <c:spPr>
              <a:solidFill>
                <a:srgbClr val="003D69"/>
              </a:solidFill>
              <a:ln>
                <a:solidFill>
                  <a:srgbClr val="003D69"/>
                </a:solidFill>
              </a:ln>
              <a:effectLst/>
            </c:spPr>
            <c:extLst xmlns:c16r2="http://schemas.microsoft.com/office/drawing/2015/06/chart">
              <c:ext xmlns:c16="http://schemas.microsoft.com/office/drawing/2014/chart" uri="{C3380CC4-5D6E-409C-BE32-E72D297353CC}">
                <c16:uniqueId val="{00000003-4A5F-B24C-AD24-6E0E6198448D}"/>
              </c:ext>
            </c:extLst>
          </c:dPt>
          <c:cat>
            <c:strRef>
              <c:f>Sheet1!$M$39:$M$52</c:f>
              <c:strCache>
                <c:ptCount val="14"/>
                <c:pt idx="0">
                  <c:v>Ryde - Hunters Hill</c:v>
                </c:pt>
                <c:pt idx="1">
                  <c:v>Rouse Hill - McGraths Hill</c:v>
                </c:pt>
                <c:pt idx="2">
                  <c:v>Pennant Hills - Epping</c:v>
                </c:pt>
                <c:pt idx="3">
                  <c:v>Parramatta</c:v>
                </c:pt>
                <c:pt idx="4">
                  <c:v>Mount Druitt</c:v>
                </c:pt>
                <c:pt idx="5">
                  <c:v>Merrylands - Guildford</c:v>
                </c:pt>
                <c:pt idx="6">
                  <c:v>Dural - Wisemans Ferry</c:v>
                </c:pt>
                <c:pt idx="7">
                  <c:v>Carlingford</c:v>
                </c:pt>
                <c:pt idx="8">
                  <c:v>Blacktown - North</c:v>
                </c:pt>
                <c:pt idx="9">
                  <c:v>Blacktown</c:v>
                </c:pt>
                <c:pt idx="10">
                  <c:v>Baulkham Hills</c:v>
                </c:pt>
                <c:pt idx="11">
                  <c:v>Auburn</c:v>
                </c:pt>
                <c:pt idx="12">
                  <c:v>Australia</c:v>
                </c:pt>
                <c:pt idx="13">
                  <c:v>WentWest</c:v>
                </c:pt>
              </c:strCache>
            </c:strRef>
          </c:cat>
          <c:val>
            <c:numRef>
              <c:f>Sheet1!$N$39:$N$52</c:f>
              <c:numCache>
                <c:formatCode>_-* #,##0_-;\-* #,##0_-;_-* "-"??_-;_-@_-</c:formatCode>
                <c:ptCount val="14"/>
                <c:pt idx="0">
                  <c:v>862</c:v>
                </c:pt>
                <c:pt idx="1">
                  <c:v>816</c:v>
                </c:pt>
                <c:pt idx="2">
                  <c:v>633</c:v>
                </c:pt>
                <c:pt idx="3">
                  <c:v>873</c:v>
                </c:pt>
                <c:pt idx="4">
                  <c:v>839</c:v>
                </c:pt>
                <c:pt idx="5">
                  <c:v>905</c:v>
                </c:pt>
                <c:pt idx="6">
                  <c:v>1007</c:v>
                </c:pt>
                <c:pt idx="7">
                  <c:v>970</c:v>
                </c:pt>
                <c:pt idx="8">
                  <c:v>601</c:v>
                </c:pt>
                <c:pt idx="9">
                  <c:v>884</c:v>
                </c:pt>
                <c:pt idx="10">
                  <c:v>748</c:v>
                </c:pt>
                <c:pt idx="11">
                  <c:v>1072</c:v>
                </c:pt>
                <c:pt idx="12">
                  <c:v>944</c:v>
                </c:pt>
                <c:pt idx="13" formatCode="General">
                  <c:v>837</c:v>
                </c:pt>
              </c:numCache>
            </c:numRef>
          </c:val>
          <c:extLst xmlns:c16r2="http://schemas.microsoft.com/office/drawing/2015/06/chart">
            <c:ext xmlns:c16="http://schemas.microsoft.com/office/drawing/2014/chart" uri="{C3380CC4-5D6E-409C-BE32-E72D297353CC}">
              <c16:uniqueId val="{00000004-4A5F-B24C-AD24-6E0E6198448D}"/>
            </c:ext>
          </c:extLst>
        </c:ser>
        <c:ser>
          <c:idx val="1"/>
          <c:order val="1"/>
          <c:tx>
            <c:strRef>
              <c:f>Sheet1!$O$38</c:f>
              <c:strCache>
                <c:ptCount val="1"/>
                <c:pt idx="0">
                  <c:v>2013/14</c:v>
                </c:pt>
              </c:strCache>
            </c:strRef>
          </c:tx>
          <c:spPr>
            <a:solidFill>
              <a:srgbClr val="C7E9B4"/>
            </a:solidFill>
            <a:ln>
              <a:solidFill>
                <a:srgbClr val="7FCDBB"/>
              </a:solidFill>
            </a:ln>
            <a:effectLst/>
          </c:spPr>
          <c:invertIfNegative val="0"/>
          <c:dPt>
            <c:idx val="12"/>
            <c:invertIfNegative val="0"/>
            <c:bubble3D val="0"/>
            <c:spPr>
              <a:solidFill>
                <a:srgbClr val="D3D3D3"/>
              </a:solidFill>
              <a:ln>
                <a:solidFill>
                  <a:srgbClr val="9D9D9D"/>
                </a:solidFill>
              </a:ln>
              <a:effectLst/>
            </c:spPr>
            <c:extLst xmlns:c16r2="http://schemas.microsoft.com/office/drawing/2015/06/chart">
              <c:ext xmlns:c16="http://schemas.microsoft.com/office/drawing/2014/chart" uri="{C3380CC4-5D6E-409C-BE32-E72D297353CC}">
                <c16:uniqueId val="{00000006-4A5F-B24C-AD24-6E0E6198448D}"/>
              </c:ext>
            </c:extLst>
          </c:dPt>
          <c:dPt>
            <c:idx val="13"/>
            <c:invertIfNegative val="0"/>
            <c:bubble3D val="0"/>
            <c:spPr>
              <a:solidFill>
                <a:srgbClr val="0085DC"/>
              </a:solidFill>
              <a:ln>
                <a:solidFill>
                  <a:srgbClr val="003D69"/>
                </a:solidFill>
              </a:ln>
              <a:effectLst/>
            </c:spPr>
            <c:extLst xmlns:c16r2="http://schemas.microsoft.com/office/drawing/2015/06/chart">
              <c:ext xmlns:c16="http://schemas.microsoft.com/office/drawing/2014/chart" uri="{C3380CC4-5D6E-409C-BE32-E72D297353CC}">
                <c16:uniqueId val="{00000008-4A5F-B24C-AD24-6E0E6198448D}"/>
              </c:ext>
            </c:extLst>
          </c:dPt>
          <c:cat>
            <c:strRef>
              <c:f>Sheet1!$M$39:$M$52</c:f>
              <c:strCache>
                <c:ptCount val="14"/>
                <c:pt idx="0">
                  <c:v>Ryde - Hunters Hill</c:v>
                </c:pt>
                <c:pt idx="1">
                  <c:v>Rouse Hill - McGraths Hill</c:v>
                </c:pt>
                <c:pt idx="2">
                  <c:v>Pennant Hills - Epping</c:v>
                </c:pt>
                <c:pt idx="3">
                  <c:v>Parramatta</c:v>
                </c:pt>
                <c:pt idx="4">
                  <c:v>Mount Druitt</c:v>
                </c:pt>
                <c:pt idx="5">
                  <c:v>Merrylands - Guildford</c:v>
                </c:pt>
                <c:pt idx="6">
                  <c:v>Dural - Wisemans Ferry</c:v>
                </c:pt>
                <c:pt idx="7">
                  <c:v>Carlingford</c:v>
                </c:pt>
                <c:pt idx="8">
                  <c:v>Blacktown - North</c:v>
                </c:pt>
                <c:pt idx="9">
                  <c:v>Blacktown</c:v>
                </c:pt>
                <c:pt idx="10">
                  <c:v>Baulkham Hills</c:v>
                </c:pt>
                <c:pt idx="11">
                  <c:v>Auburn</c:v>
                </c:pt>
                <c:pt idx="12">
                  <c:v>Australia</c:v>
                </c:pt>
                <c:pt idx="13">
                  <c:v>WentWest</c:v>
                </c:pt>
              </c:strCache>
            </c:strRef>
          </c:cat>
          <c:val>
            <c:numRef>
              <c:f>Sheet1!$O$39:$O$52</c:f>
              <c:numCache>
                <c:formatCode>_-* #,##0_-;\-* #,##0_-;_-* "-"??_-;_-@_-</c:formatCode>
                <c:ptCount val="14"/>
                <c:pt idx="0">
                  <c:v>752</c:v>
                </c:pt>
                <c:pt idx="1">
                  <c:v>754</c:v>
                </c:pt>
                <c:pt idx="2">
                  <c:v>658</c:v>
                </c:pt>
                <c:pt idx="3">
                  <c:v>858</c:v>
                </c:pt>
                <c:pt idx="4">
                  <c:v>859</c:v>
                </c:pt>
                <c:pt idx="5">
                  <c:v>933</c:v>
                </c:pt>
                <c:pt idx="6">
                  <c:v>949</c:v>
                </c:pt>
                <c:pt idx="7">
                  <c:v>870</c:v>
                </c:pt>
                <c:pt idx="8">
                  <c:v>547</c:v>
                </c:pt>
                <c:pt idx="9">
                  <c:v>880</c:v>
                </c:pt>
                <c:pt idx="10">
                  <c:v>695</c:v>
                </c:pt>
                <c:pt idx="11">
                  <c:v>1099</c:v>
                </c:pt>
                <c:pt idx="12">
                  <c:v>911</c:v>
                </c:pt>
                <c:pt idx="13">
                  <c:v>828</c:v>
                </c:pt>
              </c:numCache>
            </c:numRef>
          </c:val>
          <c:extLst xmlns:c16r2="http://schemas.microsoft.com/office/drawing/2015/06/chart">
            <c:ext xmlns:c16="http://schemas.microsoft.com/office/drawing/2014/chart" uri="{C3380CC4-5D6E-409C-BE32-E72D297353CC}">
              <c16:uniqueId val="{00000009-4A5F-B24C-AD24-6E0E6198448D}"/>
            </c:ext>
          </c:extLst>
        </c:ser>
        <c:dLbls>
          <c:showLegendKey val="0"/>
          <c:showVal val="0"/>
          <c:showCatName val="0"/>
          <c:showSerName val="0"/>
          <c:showPercent val="0"/>
          <c:showBubbleSize val="0"/>
        </c:dLbls>
        <c:gapWidth val="182"/>
        <c:axId val="569528280"/>
        <c:axId val="569522400"/>
      </c:barChart>
      <c:catAx>
        <c:axId val="5695282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crossAx val="569522400"/>
        <c:crosses val="autoZero"/>
        <c:auto val="1"/>
        <c:lblAlgn val="ctr"/>
        <c:lblOffset val="100"/>
        <c:noMultiLvlLbl val="0"/>
      </c:catAx>
      <c:valAx>
        <c:axId val="5695224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dk1"/>
                    </a:solidFill>
                    <a:latin typeface="+mn-lt"/>
                    <a:ea typeface="+mn-ea"/>
                    <a:cs typeface="+mn-cs"/>
                  </a:defRPr>
                </a:pPr>
                <a:r>
                  <a:rPr lang="en-US"/>
                  <a:t>ASR per 100,000</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dk1"/>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crossAx val="569528280"/>
        <c:crosses val="autoZero"/>
        <c:crossBetween val="between"/>
      </c:valAx>
      <c:spPr>
        <a:noFill/>
        <a:ln>
          <a:noFill/>
        </a:ln>
        <a:effectLst/>
      </c:spPr>
    </c:plotArea>
    <c:legend>
      <c:legendPos val="r"/>
      <c:layout>
        <c:manualLayout>
          <c:xMode val="edge"/>
          <c:yMode val="edge"/>
          <c:x val="0.82916868993467796"/>
          <c:y val="7.3362540208789698E-2"/>
          <c:w val="0.10854765675537"/>
          <c:h val="0.1184055940375870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legend>
    <c:plotVisOnly val="1"/>
    <c:dispBlanksAs val="gap"/>
    <c:showDLblsOverMax val="0"/>
  </c:chart>
  <c:spPr>
    <a:solidFill>
      <a:schemeClr val="lt1"/>
    </a:solidFill>
    <a:ln w="25400" cap="flat" cmpd="sng" algn="ctr">
      <a:solidFill>
        <a:schemeClr val="dk1"/>
      </a:solidFill>
      <a:prstDash val="solid"/>
      <a:round/>
    </a:ln>
    <a:effectLst/>
  </c:spPr>
  <c:txPr>
    <a:bodyPr/>
    <a:lstStyle/>
    <a:p>
      <a:pPr>
        <a:defRPr>
          <a:solidFill>
            <a:schemeClr val="dk1"/>
          </a:solidFill>
          <a:latin typeface="+mn-lt"/>
          <a:ea typeface="+mn-ea"/>
          <a:cs typeface="+mn-cs"/>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586929030907501"/>
          <c:y val="4.7161255214946497E-2"/>
          <c:w val="0.84580209779290805"/>
          <c:h val="0.63966772881849798"/>
        </c:manualLayout>
      </c:layout>
      <c:barChart>
        <c:barDir val="col"/>
        <c:grouping val="clustered"/>
        <c:varyColors val="0"/>
        <c:ser>
          <c:idx val="0"/>
          <c:order val="0"/>
          <c:tx>
            <c:strRef>
              <c:f>Sheet1!$B$33</c:f>
              <c:strCache>
                <c:ptCount val="1"/>
                <c:pt idx="0">
                  <c:v>2014/15</c:v>
                </c:pt>
              </c:strCache>
            </c:strRef>
          </c:tx>
          <c:spPr>
            <a:solidFill>
              <a:srgbClr val="0085DC"/>
            </a:solidFill>
            <a:ln>
              <a:solidFill>
                <a:srgbClr val="003D69"/>
              </a:solidFill>
            </a:ln>
            <a:effectLst/>
          </c:spPr>
          <c:invertIfNegative val="0"/>
          <c:cat>
            <c:strRef>
              <c:f>Sheet1!$A$34:$A$44</c:f>
              <c:strCache>
                <c:ptCount val="11"/>
                <c:pt idx="0">
                  <c:v>Auburn</c:v>
                </c:pt>
                <c:pt idx="1">
                  <c:v>Baulkham Hills</c:v>
                </c:pt>
                <c:pt idx="2">
                  <c:v>Blacktown</c:v>
                </c:pt>
                <c:pt idx="3">
                  <c:v>Blacktown - North</c:v>
                </c:pt>
                <c:pt idx="4">
                  <c:v>Carlingford</c:v>
                </c:pt>
                <c:pt idx="5">
                  <c:v>Dural - Wisemans Ferry</c:v>
                </c:pt>
                <c:pt idx="6">
                  <c:v>Merrylands - Guildford</c:v>
                </c:pt>
                <c:pt idx="7">
                  <c:v>Mount Druitt</c:v>
                </c:pt>
                <c:pt idx="8">
                  <c:v>Parramatta</c:v>
                </c:pt>
                <c:pt idx="9">
                  <c:v>Pennant Hills - Epping</c:v>
                </c:pt>
                <c:pt idx="10">
                  <c:v>Ryde - Hunters Hill</c:v>
                </c:pt>
              </c:strCache>
            </c:strRef>
          </c:cat>
          <c:val>
            <c:numRef>
              <c:f>Sheet1!$B$34:$B$44</c:f>
              <c:numCache>
                <c:formatCode>General</c:formatCode>
                <c:ptCount val="11"/>
                <c:pt idx="0">
                  <c:v>545.87584221004909</c:v>
                </c:pt>
                <c:pt idx="1">
                  <c:v>1040.135745397215</c:v>
                </c:pt>
                <c:pt idx="2">
                  <c:v>806.70131191627001</c:v>
                </c:pt>
                <c:pt idx="3">
                  <c:v>733.0602023219775</c:v>
                </c:pt>
                <c:pt idx="4">
                  <c:v>729.88539352122564</c:v>
                </c:pt>
                <c:pt idx="5">
                  <c:v>1203.869319218835</c:v>
                </c:pt>
                <c:pt idx="6">
                  <c:v>644.83144896576789</c:v>
                </c:pt>
                <c:pt idx="7">
                  <c:v>844.46904404206532</c:v>
                </c:pt>
                <c:pt idx="8">
                  <c:v>892.87554001799481</c:v>
                </c:pt>
                <c:pt idx="9">
                  <c:v>631.87855787476281</c:v>
                </c:pt>
                <c:pt idx="10">
                  <c:v>747.32833985137404</c:v>
                </c:pt>
              </c:numCache>
            </c:numRef>
          </c:val>
          <c:extLst xmlns:c16r2="http://schemas.microsoft.com/office/drawing/2015/06/chart">
            <c:ext xmlns:c16="http://schemas.microsoft.com/office/drawing/2014/chart" uri="{C3380CC4-5D6E-409C-BE32-E72D297353CC}">
              <c16:uniqueId val="{00000000-A5CC-EB46-8B09-135608F33C84}"/>
            </c:ext>
          </c:extLst>
        </c:ser>
        <c:ser>
          <c:idx val="1"/>
          <c:order val="1"/>
          <c:tx>
            <c:strRef>
              <c:f>Sheet1!$C$33</c:f>
              <c:strCache>
                <c:ptCount val="1"/>
                <c:pt idx="0">
                  <c:v>2015/16</c:v>
                </c:pt>
              </c:strCache>
            </c:strRef>
          </c:tx>
          <c:spPr>
            <a:solidFill>
              <a:srgbClr val="003D69"/>
            </a:solidFill>
            <a:ln>
              <a:solidFill>
                <a:srgbClr val="003D69"/>
              </a:solidFill>
            </a:ln>
            <a:effectLst/>
          </c:spPr>
          <c:invertIfNegative val="0"/>
          <c:cat>
            <c:strRef>
              <c:f>Sheet1!$A$34:$A$44</c:f>
              <c:strCache>
                <c:ptCount val="11"/>
                <c:pt idx="0">
                  <c:v>Auburn</c:v>
                </c:pt>
                <c:pt idx="1">
                  <c:v>Baulkham Hills</c:v>
                </c:pt>
                <c:pt idx="2">
                  <c:v>Blacktown</c:v>
                </c:pt>
                <c:pt idx="3">
                  <c:v>Blacktown - North</c:v>
                </c:pt>
                <c:pt idx="4">
                  <c:v>Carlingford</c:v>
                </c:pt>
                <c:pt idx="5">
                  <c:v>Dural - Wisemans Ferry</c:v>
                </c:pt>
                <c:pt idx="6">
                  <c:v>Merrylands - Guildford</c:v>
                </c:pt>
                <c:pt idx="7">
                  <c:v>Mount Druitt</c:v>
                </c:pt>
                <c:pt idx="8">
                  <c:v>Parramatta</c:v>
                </c:pt>
                <c:pt idx="9">
                  <c:v>Pennant Hills - Epping</c:v>
                </c:pt>
                <c:pt idx="10">
                  <c:v>Ryde - Hunters Hill</c:v>
                </c:pt>
              </c:strCache>
            </c:strRef>
          </c:cat>
          <c:val>
            <c:numRef>
              <c:f>Sheet1!$C$34:$C$44</c:f>
              <c:numCache>
                <c:formatCode>General</c:formatCode>
                <c:ptCount val="11"/>
                <c:pt idx="0">
                  <c:v>524.16669396132886</c:v>
                </c:pt>
                <c:pt idx="1">
                  <c:v>1052.1214026538819</c:v>
                </c:pt>
                <c:pt idx="2">
                  <c:v>831.21477524187401</c:v>
                </c:pt>
                <c:pt idx="3">
                  <c:v>749.9186240641767</c:v>
                </c:pt>
                <c:pt idx="4">
                  <c:v>734.55664463186702</c:v>
                </c:pt>
                <c:pt idx="5">
                  <c:v>1205.0900917231629</c:v>
                </c:pt>
                <c:pt idx="6">
                  <c:v>639.03910814507935</c:v>
                </c:pt>
                <c:pt idx="7">
                  <c:v>874.77257637553555</c:v>
                </c:pt>
                <c:pt idx="8">
                  <c:v>878.46772452504285</c:v>
                </c:pt>
                <c:pt idx="9">
                  <c:v>645.68334128680203</c:v>
                </c:pt>
                <c:pt idx="10">
                  <c:v>753.07883997255203</c:v>
                </c:pt>
              </c:numCache>
            </c:numRef>
          </c:val>
          <c:extLst xmlns:c16r2="http://schemas.microsoft.com/office/drawing/2015/06/chart">
            <c:ext xmlns:c16="http://schemas.microsoft.com/office/drawing/2014/chart" uri="{C3380CC4-5D6E-409C-BE32-E72D297353CC}">
              <c16:uniqueId val="{00000001-A5CC-EB46-8B09-135608F33C84}"/>
            </c:ext>
          </c:extLst>
        </c:ser>
        <c:dLbls>
          <c:showLegendKey val="0"/>
          <c:showVal val="0"/>
          <c:showCatName val="0"/>
          <c:showSerName val="0"/>
          <c:showPercent val="0"/>
          <c:showBubbleSize val="0"/>
        </c:dLbls>
        <c:gapWidth val="219"/>
        <c:overlap val="-27"/>
        <c:axId val="569529848"/>
        <c:axId val="569524752"/>
      </c:barChart>
      <c:catAx>
        <c:axId val="569529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charset="0"/>
                <a:ea typeface="Arial" charset="0"/>
                <a:cs typeface="Arial" charset="0"/>
              </a:defRPr>
            </a:pPr>
            <a:endParaRPr lang="en-US"/>
          </a:p>
        </c:txPr>
        <c:crossAx val="569524752"/>
        <c:crosses val="autoZero"/>
        <c:auto val="1"/>
        <c:lblAlgn val="ctr"/>
        <c:lblOffset val="100"/>
        <c:noMultiLvlLbl val="0"/>
      </c:catAx>
      <c:valAx>
        <c:axId val="5695247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charset="0"/>
                    <a:ea typeface="Arial" charset="0"/>
                    <a:cs typeface="Arial" charset="0"/>
                  </a:defRPr>
                </a:pPr>
                <a:r>
                  <a:rPr lang="en-US"/>
                  <a:t>Rate per 10,000</a:t>
                </a:r>
              </a:p>
            </c:rich>
          </c:tx>
          <c:overlay val="0"/>
          <c:spPr>
            <a:noFill/>
            <a:ln>
              <a:noFill/>
            </a:ln>
            <a:effectLst/>
          </c:sp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charset="0"/>
                <a:ea typeface="Arial" charset="0"/>
                <a:cs typeface="Arial" charset="0"/>
              </a:defRPr>
            </a:pPr>
            <a:endParaRPr lang="en-US"/>
          </a:p>
        </c:txPr>
        <c:crossAx val="569529848"/>
        <c:crosses val="autoZero"/>
        <c:crossBetween val="between"/>
      </c:valAx>
      <c:spPr>
        <a:noFill/>
        <a:ln>
          <a:noFill/>
        </a:ln>
        <a:effectLst/>
      </c:spPr>
    </c:plotArea>
    <c:legend>
      <c:legendPos val="b"/>
      <c:layout>
        <c:manualLayout>
          <c:xMode val="edge"/>
          <c:yMode val="edge"/>
          <c:x val="0.12760246601338701"/>
          <c:y val="5.33301971976839E-2"/>
          <c:w val="0.217447061871679"/>
          <c:h val="6.511709616925490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charset="0"/>
              <a:ea typeface="Arial" charset="0"/>
              <a:cs typeface="Arial"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latin typeface="Arial" charset="0"/>
          <a:ea typeface="Arial" charset="0"/>
          <a:cs typeface="Arial" charset="0"/>
        </a:defRPr>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03-30T06:49:17.709"/>
    </inkml:context>
    <inkml:brush xml:id="br0">
      <inkml:brushProperty name="width" value="0.05" units="cm"/>
      <inkml:brushProperty name="height" value="0.05" units="cm"/>
    </inkml:brush>
  </inkml:definitions>
  <inkml:trace contextRef="#ctx0" brushRef="#br0">0 0 24575,'0'0'0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SharedContentType xmlns="Microsoft.SharePoint.Taxonomy.ContentTypeSync" SourceId="70da5c63-8548-4ac8-9616-83b0f373280e" ContentTypeId="0x0101007916246811615643A710C6FEAFF56A871105" PreviousValue="false"/>
</file>

<file path=customXml/item2.xml><?xml version="1.0" encoding="utf-8"?>
<ct:contentTypeSchema xmlns:ct="http://schemas.microsoft.com/office/2006/metadata/contentType" xmlns:ma="http://schemas.microsoft.com/office/2006/metadata/properties/metaAttributes" ct:_="" ma:_="" ma:contentTypeName="Subs" ma:contentTypeID="0x0101007916246811615643A710C6FEAFF56A871105009025211412240E4C9823C37D4A9F3E35" ma:contentTypeVersion="11" ma:contentTypeDescription="" ma:contentTypeScope="" ma:versionID="1371c1e2f994c8a0d2ddcb222a04ae90">
  <xsd:schema xmlns:xsd="http://www.w3.org/2001/XMLSchema" xmlns:xs="http://www.w3.org/2001/XMLSchema" xmlns:p="http://schemas.microsoft.com/office/2006/metadata/properties" xmlns:ns2="3f4bcce7-ac1a-4c9d-aa3e-7e77695652db" targetNamespace="http://schemas.microsoft.com/office/2006/metadata/properties" ma:root="true" ma:fieldsID="ee321a0eac3c34f494efc8390531e923" ns2:_="">
    <xsd:import namespace="3f4bcce7-ac1a-4c9d-aa3e-7e77695652db"/>
    <xsd:element name="properties">
      <xsd:complexType>
        <xsd:sequence>
          <xsd:element name="documentManagement">
            <xsd:complexType>
              <xsd:all>
                <xsd:element ref="ns2:TaxCatchAll" minOccurs="0"/>
                <xsd:element ref="ns2:TaxCatchAllLabel" minOccurs="0"/>
                <xsd:element ref="ns2:p7a0baa8c88445a78b6f55906390ba17" minOccurs="0"/>
                <xsd:element ref="ns2:TaxKeywordTaxHTField" minOccurs="0"/>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f4bcce7-ac1a-4c9d-aa3e-7e77695652db" elementFormDefault="qualified">
    <xsd:import namespace="http://schemas.microsoft.com/office/2006/documentManagement/types"/>
    <xsd:import namespace="http://schemas.microsoft.com/office/infopath/2007/PartnerControls"/>
    <xsd:element name="TaxCatchAll" ma:index="8" nillable="true" ma:displayName="Taxonomy Catch All Column" ma:description="" ma:hidden="true" ma:list="{cc469927-f3de-4bce-906c-cafcd61f2a2b}" ma:internalName="TaxCatchAll" ma:showField="CatchAllData" ma:web="8044c801-d84b-4ee1-a77e-678f8dcdee17">
      <xsd:complexType>
        <xsd:complexContent>
          <xsd:extension base="dms:MultiChoiceLookup">
            <xsd:sequence>
              <xsd:element name="Value" type="dms:Lookup" maxOccurs="unbounded" minOccurs="0" nillable="true"/>
            </xsd:sequence>
          </xsd:extension>
        </xsd:complexContent>
      </xsd:complexType>
    </xsd:element>
    <xsd:element name="TaxCatchAllLabel" ma:index="9" nillable="true" ma:displayName="Taxonomy Catch All Column1" ma:description="" ma:hidden="true" ma:list="{cc469927-f3de-4bce-906c-cafcd61f2a2b}" ma:internalName="TaxCatchAllLabel" ma:readOnly="true" ma:showField="CatchAllDataLabel" ma:web="8044c801-d84b-4ee1-a77e-678f8dcdee17">
      <xsd:complexType>
        <xsd:complexContent>
          <xsd:extension base="dms:MultiChoiceLookup">
            <xsd:sequence>
              <xsd:element name="Value" type="dms:Lookup" maxOccurs="unbounded" minOccurs="0" nillable="true"/>
            </xsd:sequence>
          </xsd:extension>
        </xsd:complexContent>
      </xsd:complexType>
    </xsd:element>
    <xsd:element name="p7a0baa8c88445a78b6f55906390ba17" ma:index="10" ma:taxonomy="true" ma:internalName="p7a0baa8c88445a78b6f55906390ba17" ma:taxonomyFieldName="Record_x0020_Tag" ma:displayName="Record" ma:default="" ma:fieldId="{97a0baa8-c884-45a7-8b6f-55906390ba17}" ma:sspId="70da5c63-8548-4ac8-9616-83b0f373280e" ma:termSetId="e99b77ca-c000-4e3f-a77f-a64077d5e2f2" ma:anchorId="93a7d1ec-6f99-42f7-89f4-9f4f92f5cb1e" ma:open="false" ma:isKeyword="false">
      <xsd:complexType>
        <xsd:sequence>
          <xsd:element ref="pc:Terms" minOccurs="0" maxOccurs="1"/>
        </xsd:sequence>
      </xsd:complexType>
    </xsd:element>
    <xsd:element name="TaxKeywordTaxHTField" ma:index="12" nillable="true" ma:taxonomy="true" ma:internalName="TaxKeywordTaxHTField" ma:taxonomyFieldName="TaxKeyword" ma:displayName="Enterprise Keywords" ma:fieldId="{23f27201-bee3-471e-b2e7-b64fd8b7ca38}" ma:taxonomyMulti="true" ma:sspId="70da5c63-8548-4ac8-9616-83b0f373280e" ma:termSetId="00000000-0000-0000-0000-000000000000" ma:anchorId="00000000-0000-0000-0000-000000000000" ma:open="true" ma:isKeyword="true">
      <xsd:complexType>
        <xsd:sequence>
          <xsd:element ref="pc:Terms" minOccurs="0" maxOccurs="1"/>
        </xsd:sequence>
      </xsd:complexType>
    </xsd:element>
    <xsd:element name="_dlc_DocId" ma:index="14" nillable="true" ma:displayName="Document ID Value" ma:description="The value of the document ID assigned to this item." ma:internalName="_dlc_DocId" ma:readOnly="true">
      <xsd:simpleType>
        <xsd:restriction base="dms:Text"/>
      </xsd:simpleType>
    </xsd:element>
    <xsd:element name="_dlc_DocIdUrl" ma:index="15"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6"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ma:displayName="Keywords"/>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KeywordTaxHTField xmlns="3f4bcce7-ac1a-4c9d-aa3e-7e77695652db">
      <Terms xmlns="http://schemas.microsoft.com/office/infopath/2007/PartnerControls"/>
    </TaxKeywordTaxHTField>
    <p7a0baa8c88445a78b6f55906390ba17 xmlns="3f4bcce7-ac1a-4c9d-aa3e-7e77695652db">
      <Terms xmlns="http://schemas.microsoft.com/office/infopath/2007/PartnerControls">
        <TermInfo xmlns="http://schemas.microsoft.com/office/infopath/2007/PartnerControls">
          <TermName xmlns="http://schemas.microsoft.com/office/infopath/2007/PartnerControls">Submissions</TermName>
          <TermId xmlns="http://schemas.microsoft.com/office/infopath/2007/PartnerControls">c6e0dbf8-5444-433c-844d-d567dd519a05</TermId>
        </TermInfo>
      </Terms>
    </p7a0baa8c88445a78b6f55906390ba17>
    <TaxCatchAll xmlns="3f4bcce7-ac1a-4c9d-aa3e-7e77695652db">
      <Value>139</Value>
      <Value>138</Value>
    </TaxCatchAll>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6.xml><?xml version="1.0" encoding="utf-8"?>
<?mso-contentType ?>
<customXsn xmlns="http://schemas.microsoft.com/office/2006/metadata/customXsn">
  <xsnLocation/>
  <cached>True</cached>
  <openByDefault>False</openByDefault>
  <xsnScope/>
</customXsn>
</file>

<file path=customXml/item7.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005035-762B-435C-9E96-18CF913CF427}">
  <ds:schemaRefs>
    <ds:schemaRef ds:uri="Microsoft.SharePoint.Taxonomy.ContentTypeSync"/>
  </ds:schemaRefs>
</ds:datastoreItem>
</file>

<file path=customXml/itemProps2.xml><?xml version="1.0" encoding="utf-8"?>
<ds:datastoreItem xmlns:ds="http://schemas.openxmlformats.org/officeDocument/2006/customXml" ds:itemID="{B16FE644-DA9B-49BC-9D84-F767F4ABCFE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f4bcce7-ac1a-4c9d-aa3e-7e77695652d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DB26E76-6E69-448B-A6E3-E3F28F4CA1C6}">
  <ds:schemaRefs>
    <ds:schemaRef ds:uri="http://schemas.microsoft.com/office/infopath/2007/PartnerControls"/>
    <ds:schemaRef ds:uri="http://schemas.microsoft.com/office/2006/metadata/properties"/>
    <ds:schemaRef ds:uri="http://schemas.microsoft.com/office/2006/documentManagement/types"/>
    <ds:schemaRef ds:uri="3f4bcce7-ac1a-4c9d-aa3e-7e77695652db"/>
    <ds:schemaRef ds:uri="http://purl.org/dc/elements/1.1/"/>
    <ds:schemaRef ds:uri="http://purl.org/dc/dcmitype/"/>
    <ds:schemaRef ds:uri="http://schemas.openxmlformats.org/package/2006/metadata/core-properties"/>
    <ds:schemaRef ds:uri="http://www.w3.org/XML/1998/namespace"/>
    <ds:schemaRef ds:uri="http://purl.org/dc/terms/"/>
  </ds:schemaRefs>
</ds:datastoreItem>
</file>

<file path=customXml/itemProps4.xml><?xml version="1.0" encoding="utf-8"?>
<ds:datastoreItem xmlns:ds="http://schemas.openxmlformats.org/officeDocument/2006/customXml" ds:itemID="{12A22456-3C3F-44D9-81E5-AAE60D19A02D}">
  <ds:schemaRefs>
    <ds:schemaRef ds:uri="http://schemas.microsoft.com/sharepoint/v3/contenttype/forms"/>
  </ds:schemaRefs>
</ds:datastoreItem>
</file>

<file path=customXml/itemProps5.xml><?xml version="1.0" encoding="utf-8"?>
<ds:datastoreItem xmlns:ds="http://schemas.openxmlformats.org/officeDocument/2006/customXml" ds:itemID="{18333C47-4106-4CCB-9829-09F7D27ADEDB}">
  <ds:schemaRefs>
    <ds:schemaRef ds:uri="http://schemas.microsoft.com/sharepoint/events"/>
  </ds:schemaRefs>
</ds:datastoreItem>
</file>

<file path=customXml/itemProps6.xml><?xml version="1.0" encoding="utf-8"?>
<ds:datastoreItem xmlns:ds="http://schemas.openxmlformats.org/officeDocument/2006/customXml" ds:itemID="{0FEF8F94-FF2F-45E4-AA38-6677CD7786DC}">
  <ds:schemaRefs>
    <ds:schemaRef ds:uri="http://schemas.microsoft.com/office/2006/metadata/customXsn"/>
  </ds:schemaRefs>
</ds:datastoreItem>
</file>

<file path=customXml/itemProps7.xml><?xml version="1.0" encoding="utf-8"?>
<ds:datastoreItem xmlns:ds="http://schemas.openxmlformats.org/officeDocument/2006/customXml" ds:itemID="{6BCAA049-F121-4E65-97BD-F95B693C8B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81</Pages>
  <Words>27440</Words>
  <Characters>156410</Characters>
  <Application>Microsoft Office Word</Application>
  <DocSecurity>0</DocSecurity>
  <Lines>1303</Lines>
  <Paragraphs>366</Paragraphs>
  <ScaleCrop>false</ScaleCrop>
  <HeadingPairs>
    <vt:vector size="2" baseType="variant">
      <vt:variant>
        <vt:lpstr>Title</vt:lpstr>
      </vt:variant>
      <vt:variant>
        <vt:i4>1</vt:i4>
      </vt:variant>
    </vt:vector>
  </HeadingPairs>
  <TitlesOfParts>
    <vt:vector size="1" baseType="lpstr">
      <vt:lpstr>Submission 445 - WentWest - Mental Health - Public inquiry</vt:lpstr>
    </vt:vector>
  </TitlesOfParts>
  <Company>WentWest</Company>
  <LinksUpToDate>false</LinksUpToDate>
  <CharactersWithSpaces>183484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Submission 445 - WentWest - Mental Health - Public inquiry</dc:title>
  <dc:creator>WentWest</dc:creator>
  <cp:keywords/>
  <cp:lastModifiedBy>Productivity Commission</cp:lastModifiedBy>
  <cp:revision>3</cp:revision>
  <cp:lastPrinted>2019-04-15T06:46:00Z</cp:lastPrinted>
  <dcterms:created xsi:type="dcterms:W3CDTF">2019-04-17T03:48:00Z</dcterms:created>
  <dcterms:modified xsi:type="dcterms:W3CDTF">2019-04-22T23:17:00Z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0x0101007916246811615643A710C6FEAFF56A871105009025211412240E4C9823C37D4A9F3E35</vt:lpwstr>
  </property>
  <property fmtid="{D5CDD505-2E9C-101B-9397-08002B2CF9AE}" pid="3" name="c401844703f64372bb0e85d87d761fe6">
    <vt:lpwstr>Reference Only|923c7a19-3b10-4b1a-aa53-490b73d512fc</vt:lpwstr>
  </property>
  <property fmtid="{D5CDD505-2E9C-101B-9397-08002B2CF9AE}" pid="4" name="Record Tag">
    <vt:lpwstr>139;#Submissions|c6e0dbf8-5444-433c-844d-d567dd519a05</vt:lpwstr>
  </property>
  <property fmtid="{D5CDD505-2E9C-101B-9397-08002B2CF9AE}" pid="5" name="TaxKeyword">
    <vt:lpwstr/>
  </property>
  <property fmtid="{D5CDD505-2E9C-101B-9397-08002B2CF9AE}" pid="6" name="Retain">
    <vt:lpwstr>138;#Reference Only|923c7a19-3b10-4b1a-aa53-490b73d512fc</vt:lpwstr>
  </property>
</Properties>
</file>