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package/2006/relationships/metadata/core-properties" Target="docProps/core.xml"/><Relationship Id="rId7" Type="http://schemas.microsoft.com/office/2006/relationships/ui/extensibility" Target="customUI/customUI.xml"/><Relationship Id="rId1" Type="http://schemas.openxmlformats.org/officeDocument/2006/relationships/officeDocument" Target="word/document.xml"/><Relationship Id="rId10" Type="http://schemas.openxmlformats.org/officeDocument/2006/relationships/custom-properties" Target="docProps/custom.xml"/><Relationship Id="rId9"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DA4B9" w14:textId="77777777" w:rsidR="00612942" w:rsidRDefault="00612942" w:rsidP="009642B8">
      <w:pPr>
        <w:pStyle w:val="ListParagraph"/>
        <w:spacing w:line="276" w:lineRule="auto"/>
        <w:rPr>
          <w:color w:val="1C5692"/>
          <w:sz w:val="52"/>
          <w:szCs w:val="52"/>
        </w:rPr>
      </w:pPr>
    </w:p>
    <w:p w14:paraId="065D636B" w14:textId="77777777" w:rsidR="00612942" w:rsidRDefault="00612942" w:rsidP="009642B8">
      <w:pPr>
        <w:pStyle w:val="ListParagraph"/>
        <w:spacing w:line="276" w:lineRule="auto"/>
        <w:rPr>
          <w:color w:val="1C5692"/>
          <w:sz w:val="52"/>
          <w:szCs w:val="52"/>
        </w:rPr>
      </w:pPr>
    </w:p>
    <w:p w14:paraId="5E75339B" w14:textId="77777777" w:rsidR="00D82115" w:rsidRPr="00D82115" w:rsidRDefault="00FF06F1" w:rsidP="00D82115">
      <w:pPr>
        <w:pStyle w:val="Heading1NOTOC"/>
        <w:jc w:val="center"/>
        <w:rPr>
          <w:sz w:val="36"/>
          <w:szCs w:val="32"/>
        </w:rPr>
      </w:pPr>
      <w:r w:rsidRPr="00D82115">
        <w:rPr>
          <w:sz w:val="36"/>
          <w:szCs w:val="32"/>
        </w:rPr>
        <w:t xml:space="preserve">SUPERFRIEND </w:t>
      </w:r>
      <w:r w:rsidR="00D82115" w:rsidRPr="00D82115">
        <w:rPr>
          <w:sz w:val="36"/>
          <w:szCs w:val="32"/>
        </w:rPr>
        <w:t>– Industry Funds’ Mental Health Initiative</w:t>
      </w:r>
    </w:p>
    <w:p w14:paraId="4F969D02" w14:textId="77777777" w:rsidR="00D82115" w:rsidRDefault="00D82115" w:rsidP="00D82115">
      <w:pPr>
        <w:pStyle w:val="Heading1NOTOC"/>
        <w:jc w:val="center"/>
      </w:pPr>
    </w:p>
    <w:p w14:paraId="327D1A03" w14:textId="77777777" w:rsidR="00D82115" w:rsidRDefault="00D82115" w:rsidP="00D82115">
      <w:pPr>
        <w:pStyle w:val="Heading1NOTOC"/>
        <w:spacing w:line="276" w:lineRule="auto"/>
        <w:jc w:val="center"/>
      </w:pPr>
      <w:r w:rsidRPr="00D82115">
        <w:t xml:space="preserve">Response </w:t>
      </w:r>
      <w:r>
        <w:t>t</w:t>
      </w:r>
      <w:r w:rsidRPr="00D82115">
        <w:t xml:space="preserve">o </w:t>
      </w:r>
      <w:r>
        <w:t>t</w:t>
      </w:r>
      <w:r w:rsidRPr="00D82115">
        <w:t xml:space="preserve">he Productivity Commission Inquiry </w:t>
      </w:r>
      <w:r>
        <w:t>i</w:t>
      </w:r>
      <w:r w:rsidRPr="00D82115">
        <w:t xml:space="preserve">nto </w:t>
      </w:r>
    </w:p>
    <w:p w14:paraId="4C17E065" w14:textId="77777777" w:rsidR="00D82115" w:rsidRDefault="00D82115" w:rsidP="00D82115">
      <w:pPr>
        <w:pStyle w:val="Heading1NOTOC"/>
        <w:spacing w:line="276" w:lineRule="auto"/>
        <w:jc w:val="center"/>
      </w:pPr>
      <w:r w:rsidRPr="00D82115">
        <w:t xml:space="preserve">The Social </w:t>
      </w:r>
      <w:r>
        <w:t>a</w:t>
      </w:r>
      <w:r w:rsidRPr="00D82115">
        <w:t xml:space="preserve">nd Economic Benefits </w:t>
      </w:r>
    </w:p>
    <w:p w14:paraId="1B8A96CE" w14:textId="77777777" w:rsidR="00D82115" w:rsidRDefault="00D82115" w:rsidP="00D82115">
      <w:pPr>
        <w:pStyle w:val="Heading1NOTOC"/>
        <w:spacing w:line="276" w:lineRule="auto"/>
        <w:jc w:val="center"/>
      </w:pPr>
      <w:r>
        <w:t>f</w:t>
      </w:r>
      <w:r w:rsidRPr="00D82115">
        <w:t xml:space="preserve">or Improving Mental Health </w:t>
      </w:r>
    </w:p>
    <w:p w14:paraId="36E0C194" w14:textId="584D2DEE" w:rsidR="003C2A05" w:rsidRDefault="00D82115" w:rsidP="00D82115">
      <w:pPr>
        <w:pStyle w:val="Heading1NOTOC"/>
        <w:spacing w:line="276" w:lineRule="auto"/>
        <w:jc w:val="center"/>
      </w:pPr>
      <w:r w:rsidRPr="00D82115">
        <w:t>(Draft Report)</w:t>
      </w:r>
    </w:p>
    <w:p w14:paraId="23E7E88B" w14:textId="77777777" w:rsidR="00EB3ECD" w:rsidRPr="00D82115" w:rsidRDefault="00EB3ECD" w:rsidP="00D82115">
      <w:pPr>
        <w:pStyle w:val="Heading1NOTOC"/>
        <w:spacing w:line="276" w:lineRule="auto"/>
        <w:jc w:val="center"/>
      </w:pPr>
    </w:p>
    <w:p w14:paraId="78B872FB" w14:textId="571FF1A8" w:rsidR="00FF06F1" w:rsidRDefault="00FF06F1" w:rsidP="00D82115">
      <w:pPr>
        <w:spacing w:after="200" w:line="360" w:lineRule="auto"/>
        <w:jc w:val="center"/>
      </w:pPr>
    </w:p>
    <w:p w14:paraId="426E96C7" w14:textId="6888E223" w:rsidR="0037342E" w:rsidRDefault="0037342E" w:rsidP="004D226D">
      <w:pPr>
        <w:pStyle w:val="Heading2"/>
      </w:pPr>
      <w:bookmarkStart w:id="0" w:name="_Toc30689334"/>
      <w:r w:rsidRPr="00485413">
        <w:t>Key contact:</w:t>
      </w:r>
      <w:bookmarkEnd w:id="0"/>
    </w:p>
    <w:p w14:paraId="6658395F" w14:textId="77777777" w:rsidR="004D226D" w:rsidRPr="004D226D" w:rsidRDefault="004D226D" w:rsidP="004D226D"/>
    <w:p w14:paraId="5C8D37EE" w14:textId="77777777" w:rsidR="000A6EBC" w:rsidRDefault="000A6EBC" w:rsidP="000A6EBC">
      <w:pPr>
        <w:spacing w:line="276" w:lineRule="auto"/>
      </w:pPr>
      <w:r w:rsidRPr="00485413">
        <w:t>Margo Lydon</w:t>
      </w:r>
    </w:p>
    <w:p w14:paraId="30A79854" w14:textId="77777777" w:rsidR="000A6EBC" w:rsidRDefault="000A6EBC" w:rsidP="000A6EBC">
      <w:pPr>
        <w:spacing w:line="276" w:lineRule="auto"/>
      </w:pPr>
      <w:r w:rsidRPr="00485413">
        <w:t>C</w:t>
      </w:r>
      <w:r>
        <w:t>hief Executive Officer</w:t>
      </w:r>
    </w:p>
    <w:p w14:paraId="288BAA74" w14:textId="77777777" w:rsidR="000A6EBC" w:rsidRPr="00485413" w:rsidRDefault="000A6EBC" w:rsidP="000A6EBC">
      <w:pPr>
        <w:spacing w:line="276" w:lineRule="auto"/>
      </w:pPr>
      <w:r w:rsidRPr="00485413">
        <w:t>SuperFriend - Industry Funds’ Mental Health Initiative</w:t>
      </w:r>
    </w:p>
    <w:p w14:paraId="519CB418" w14:textId="77777777" w:rsidR="004764B5" w:rsidRDefault="004764B5" w:rsidP="000A6EBC">
      <w:pPr>
        <w:spacing w:line="276" w:lineRule="auto"/>
        <w:ind w:left="284"/>
      </w:pPr>
    </w:p>
    <w:p w14:paraId="658CEC52" w14:textId="77777777" w:rsidR="000A6EBC" w:rsidRPr="00D82115" w:rsidRDefault="000A6EBC" w:rsidP="000A6EBC">
      <w:pPr>
        <w:spacing w:line="276" w:lineRule="auto"/>
        <w:ind w:left="284"/>
      </w:pPr>
      <w:bookmarkStart w:id="1" w:name="_GoBack"/>
      <w:bookmarkEnd w:id="1"/>
      <w:r w:rsidRPr="00D82115">
        <w:t>A: Level 2, 157 Spring Street, Melbourne Victoria 3000</w:t>
      </w:r>
    </w:p>
    <w:p w14:paraId="6A52F6A1" w14:textId="77777777" w:rsidR="000A6EBC" w:rsidRPr="00485413" w:rsidRDefault="000A6EBC" w:rsidP="000A6EBC">
      <w:pPr>
        <w:spacing w:line="276" w:lineRule="auto"/>
        <w:ind w:left="284"/>
      </w:pPr>
      <w:r w:rsidRPr="00D82115">
        <w:t xml:space="preserve">W: </w:t>
      </w:r>
      <w:hyperlink r:id="rId14" w:history="1">
        <w:r w:rsidRPr="00D82115">
          <w:rPr>
            <w:rStyle w:val="Hyperlink"/>
          </w:rPr>
          <w:t>www.superfriend.com.au</w:t>
        </w:r>
      </w:hyperlink>
      <w:r w:rsidRPr="00485413">
        <w:t xml:space="preserve"> </w:t>
      </w:r>
    </w:p>
    <w:p w14:paraId="1578EE6D" w14:textId="661EB774" w:rsidR="000A6EBC" w:rsidRDefault="000A6EBC" w:rsidP="009642B8">
      <w:pPr>
        <w:spacing w:after="200" w:line="276" w:lineRule="auto"/>
      </w:pPr>
    </w:p>
    <w:p w14:paraId="607F6B98" w14:textId="77777777" w:rsidR="00D82115" w:rsidRDefault="00D82115" w:rsidP="00D82115">
      <w:pPr>
        <w:spacing w:after="200" w:line="276" w:lineRule="auto"/>
      </w:pPr>
    </w:p>
    <w:p w14:paraId="2F4F3EE7" w14:textId="56E883FB" w:rsidR="00FF06F1" w:rsidRDefault="00FF06F1" w:rsidP="009642B8">
      <w:pPr>
        <w:spacing w:after="200" w:line="276" w:lineRule="auto"/>
      </w:pPr>
      <w:r w:rsidRPr="00975D74">
        <w:t>This is a public response – it does NOT contain ‘in confidence’ material in the main response or it’s attachments and can be placed on the Productivity Commission’s website</w:t>
      </w:r>
      <w:r w:rsidR="00D82115">
        <w:t>.</w:t>
      </w:r>
    </w:p>
    <w:p w14:paraId="311C0C60" w14:textId="1C1390B3" w:rsidR="00D82115" w:rsidRDefault="00D82115" w:rsidP="009642B8">
      <w:pPr>
        <w:spacing w:after="200" w:line="276" w:lineRule="auto"/>
      </w:pPr>
    </w:p>
    <w:p w14:paraId="45114D42" w14:textId="77777777" w:rsidR="00D82115" w:rsidRDefault="00D82115" w:rsidP="00D82115">
      <w:pPr>
        <w:spacing w:after="200" w:line="276" w:lineRule="auto"/>
      </w:pPr>
      <w:r>
        <w:t>Date Submitted: 23 January 2020</w:t>
      </w:r>
    </w:p>
    <w:p w14:paraId="03258377" w14:textId="77777777" w:rsidR="000A6EBC" w:rsidRDefault="000A6EBC">
      <w:pPr>
        <w:rPr>
          <w:b/>
          <w:bCs/>
          <w:iCs/>
          <w:color w:val="1C5692" w:themeColor="text2"/>
          <w:sz w:val="32"/>
          <w:szCs w:val="28"/>
        </w:rPr>
      </w:pPr>
      <w:r>
        <w:br w:type="page"/>
      </w:r>
    </w:p>
    <w:p w14:paraId="782ADE20" w14:textId="08E2E2DA" w:rsidR="000A6EBC" w:rsidRPr="00975D87" w:rsidRDefault="000A6EBC" w:rsidP="000A6EBC">
      <w:pPr>
        <w:pStyle w:val="Heading1NOTOC"/>
        <w:spacing w:line="276" w:lineRule="auto"/>
      </w:pPr>
      <w:r w:rsidRPr="00975D87">
        <w:lastRenderedPageBreak/>
        <w:t>About SuperFriend</w:t>
      </w:r>
    </w:p>
    <w:p w14:paraId="5B029D1E" w14:textId="77777777" w:rsidR="000A6EBC" w:rsidRPr="004022DC" w:rsidRDefault="000A6EBC" w:rsidP="000A6EBC">
      <w:pPr>
        <w:spacing w:after="200" w:line="276" w:lineRule="auto"/>
      </w:pPr>
      <w:r w:rsidRPr="004022DC">
        <w:t xml:space="preserve">SuperFriend is a national workplace mental health and wellbeing organisation, partnering with the superannuation and life insurance industry to achieve our vision for an Australia where </w:t>
      </w:r>
      <w:r w:rsidRPr="004022DC">
        <w:rPr>
          <w:b/>
          <w:bCs/>
        </w:rPr>
        <w:t>all workplaces are mentally healthy</w:t>
      </w:r>
      <w:r w:rsidRPr="001E2C87">
        <w:t>.</w:t>
      </w:r>
      <w:r w:rsidRPr="004022DC">
        <w:t xml:space="preserve"> </w:t>
      </w:r>
    </w:p>
    <w:p w14:paraId="4DBB0D65" w14:textId="6AB0D0A2" w:rsidR="00CC17E5" w:rsidRDefault="000A6EBC" w:rsidP="00CC17E5">
      <w:pPr>
        <w:spacing w:after="200" w:line="276" w:lineRule="auto"/>
        <w:rPr>
          <w:noProof/>
        </w:rPr>
      </w:pPr>
      <w:r w:rsidRPr="004022DC">
        <w:t>SuperFriend advocates for, equips and empowers industry superannuation funds and insurers to achieve mentally healthy workplaces for their staff and members.</w:t>
      </w:r>
      <w:r w:rsidR="00CC17E5" w:rsidRPr="00CC17E5">
        <w:rPr>
          <w:noProof/>
        </w:rPr>
        <w:t xml:space="preserve"> </w:t>
      </w:r>
    </w:p>
    <w:p w14:paraId="1C40CBD1" w14:textId="77777777" w:rsidR="00A3175C" w:rsidRDefault="00A3175C" w:rsidP="00CC17E5">
      <w:pPr>
        <w:spacing w:after="200" w:line="276" w:lineRule="auto"/>
        <w:rPr>
          <w:noProof/>
        </w:rPr>
      </w:pPr>
    </w:p>
    <w:p w14:paraId="0A1260BB" w14:textId="2E8F624E" w:rsidR="00CC17E5" w:rsidRDefault="00CC17E5" w:rsidP="00CC17E5">
      <w:pPr>
        <w:spacing w:after="200" w:line="276" w:lineRule="auto"/>
        <w:jc w:val="center"/>
      </w:pPr>
      <w:r>
        <w:rPr>
          <w:noProof/>
          <w:lang w:eastAsia="en-AU"/>
        </w:rPr>
        <w:drawing>
          <wp:inline distT="0" distB="0" distL="0" distR="0" wp14:anchorId="6219C6AA" wp14:editId="701B1DCF">
            <wp:extent cx="4497572" cy="2632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9174" cy="2644881"/>
                    </a:xfrm>
                    <a:prstGeom prst="rect">
                      <a:avLst/>
                    </a:prstGeom>
                    <a:noFill/>
                    <a:ln>
                      <a:noFill/>
                    </a:ln>
                  </pic:spPr>
                </pic:pic>
              </a:graphicData>
            </a:graphic>
          </wp:inline>
        </w:drawing>
      </w:r>
    </w:p>
    <w:p w14:paraId="089682AF" w14:textId="5B538E7A" w:rsidR="000A6EBC" w:rsidRDefault="000A6EBC" w:rsidP="000A6EBC">
      <w:pPr>
        <w:pStyle w:val="Heading1NOTOC"/>
        <w:spacing w:line="276" w:lineRule="auto"/>
      </w:pPr>
      <w:r>
        <w:t>SuperFriend’s Submission</w:t>
      </w:r>
    </w:p>
    <w:p w14:paraId="11203451" w14:textId="77777777" w:rsidR="000A6EBC" w:rsidRDefault="000A6EBC" w:rsidP="000A6EBC">
      <w:pPr>
        <w:spacing w:line="276" w:lineRule="auto"/>
      </w:pPr>
      <w:r w:rsidRPr="004022DC">
        <w:t xml:space="preserve">SuperFriend provided </w:t>
      </w:r>
      <w:r w:rsidRPr="00232EEB">
        <w:t>submission 216</w:t>
      </w:r>
      <w:r>
        <w:t xml:space="preserve">: </w:t>
      </w:r>
      <w:r w:rsidRPr="00FD0C60">
        <w:rPr>
          <w:i/>
          <w:iCs/>
        </w:rPr>
        <w:t>Creating Mentally Healthy Workplaces – Taking Action in the Superannuation and Life Insurance Industry</w:t>
      </w:r>
      <w:r w:rsidRPr="004022DC">
        <w:t xml:space="preserve"> to the Productivity Commission’s Mental Health Enquiry in April 2019.  This submission builds on </w:t>
      </w:r>
      <w:r>
        <w:t xml:space="preserve">our previous </w:t>
      </w:r>
      <w:r w:rsidRPr="004022DC">
        <w:t>submi</w:t>
      </w:r>
      <w:r>
        <w:t>ssion</w:t>
      </w:r>
      <w:r w:rsidRPr="004022DC">
        <w:t xml:space="preserve"> and is </w:t>
      </w:r>
      <w:r>
        <w:t>centred around</w:t>
      </w:r>
      <w:r w:rsidRPr="004022DC">
        <w:t xml:space="preserve"> three </w:t>
      </w:r>
      <w:r>
        <w:t xml:space="preserve">key </w:t>
      </w:r>
      <w:r w:rsidRPr="004022DC">
        <w:t xml:space="preserve">themes and </w:t>
      </w:r>
      <w:r>
        <w:t xml:space="preserve">the related </w:t>
      </w:r>
      <w:r w:rsidRPr="004022DC">
        <w:t>reform objectives</w:t>
      </w:r>
      <w:r w:rsidRPr="00FD0C60">
        <w:t xml:space="preserve"> </w:t>
      </w:r>
      <w:r w:rsidRPr="004022DC">
        <w:t>as outlined in the Productivity Commission’s draft report released in October 2019</w:t>
      </w:r>
      <w:r>
        <w:t>. The three themes are:</w:t>
      </w:r>
      <w:r w:rsidRPr="004022DC">
        <w:t xml:space="preserve"> </w:t>
      </w:r>
    </w:p>
    <w:p w14:paraId="1B83B882" w14:textId="77777777" w:rsidR="000A6EBC" w:rsidRDefault="000A6EBC" w:rsidP="007F1FDE">
      <w:pPr>
        <w:pStyle w:val="List"/>
        <w:numPr>
          <w:ilvl w:val="0"/>
          <w:numId w:val="19"/>
        </w:numPr>
        <w:spacing w:line="276" w:lineRule="auto"/>
      </w:pPr>
      <w:r w:rsidRPr="004022DC">
        <w:t xml:space="preserve">early intervention and prevention </w:t>
      </w:r>
    </w:p>
    <w:p w14:paraId="274A05BB" w14:textId="5C033493" w:rsidR="000A6EBC" w:rsidRDefault="001F6D49" w:rsidP="007F1FDE">
      <w:pPr>
        <w:pStyle w:val="List"/>
        <w:numPr>
          <w:ilvl w:val="0"/>
          <w:numId w:val="19"/>
        </w:numPr>
        <w:spacing w:line="276" w:lineRule="auto"/>
      </w:pPr>
      <w:r>
        <w:t xml:space="preserve">workplace </w:t>
      </w:r>
      <w:r w:rsidR="000A6EBC" w:rsidRPr="004022DC">
        <w:t>mental health– d</w:t>
      </w:r>
      <w:r w:rsidR="000A6EBC" w:rsidRPr="004022DC">
        <w:rPr>
          <w:rFonts w:asciiTheme="majorHAnsi" w:hAnsiTheme="majorHAnsi"/>
        </w:rPr>
        <w:t>eveloping and supporting mentally healthy workplaces</w:t>
      </w:r>
      <w:r w:rsidR="000A6EBC" w:rsidRPr="004022DC">
        <w:t xml:space="preserve"> </w:t>
      </w:r>
    </w:p>
    <w:p w14:paraId="5DCA9ABE" w14:textId="77777777" w:rsidR="000A6EBC" w:rsidRDefault="000A6EBC" w:rsidP="007F1FDE">
      <w:pPr>
        <w:pStyle w:val="List"/>
        <w:numPr>
          <w:ilvl w:val="0"/>
          <w:numId w:val="19"/>
        </w:numPr>
        <w:spacing w:line="276" w:lineRule="auto"/>
      </w:pPr>
      <w:r w:rsidRPr="004022DC">
        <w:t xml:space="preserve">social inclusion </w:t>
      </w:r>
    </w:p>
    <w:p w14:paraId="3B57EA7B" w14:textId="0EAFB5AE" w:rsidR="000A6EBC" w:rsidRDefault="000A6EBC" w:rsidP="000A6EBC">
      <w:pPr>
        <w:spacing w:after="200" w:line="276" w:lineRule="auto"/>
      </w:pPr>
      <w:r>
        <w:rPr>
          <w:noProof/>
          <w:lang w:eastAsia="en-AU"/>
        </w:rPr>
        <mc:AlternateContent>
          <mc:Choice Requires="wps">
            <w:drawing>
              <wp:anchor distT="0" distB="0" distL="114300" distR="114300" simplePos="0" relativeHeight="251689984" behindDoc="0" locked="0" layoutInCell="1" allowOverlap="1" wp14:anchorId="49487E2C" wp14:editId="7D1D3041">
                <wp:simplePos x="0" y="0"/>
                <wp:positionH relativeFrom="column">
                  <wp:posOffset>-57150</wp:posOffset>
                </wp:positionH>
                <wp:positionV relativeFrom="paragraph">
                  <wp:posOffset>5258243</wp:posOffset>
                </wp:positionV>
                <wp:extent cx="6505575" cy="6286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50557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DBB87F" id="Rectangle 4" o:spid="_x0000_s1026" style="position:absolute;margin-left:-4.5pt;margin-top:414.05pt;width:512.25pt;height:4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" fillcolor="white [3212]" strokecolor="white [3212]" strokeweight="2pt"/>
            </w:pict>
          </mc:Fallback>
        </mc:AlternateContent>
      </w:r>
      <w:r w:rsidRPr="00426BCB">
        <w:t>This submission</w:t>
      </w:r>
      <w:r>
        <w:t xml:space="preserve"> also</w:t>
      </w:r>
      <w:r w:rsidRPr="00426BCB">
        <w:t xml:space="preserve"> provides an additional </w:t>
      </w:r>
      <w:r w:rsidR="00FD4227">
        <w:t>seven</w:t>
      </w:r>
      <w:r w:rsidR="00FD4227" w:rsidRPr="00426BCB">
        <w:t xml:space="preserve"> </w:t>
      </w:r>
      <w:r w:rsidRPr="00426BCB">
        <w:t>recommendations and provides feedback on the Productivity Commission’s Draft Recommendation</w:t>
      </w:r>
      <w:r>
        <w:t>’s</w:t>
      </w:r>
      <w:r w:rsidRPr="00426BCB">
        <w:t xml:space="preserve"> 19.1-19.5, 20.2, 20.6 and Draft Findings 19.2-19.3.  SuperFriend has also responded to Information Request 19.2.</w:t>
      </w:r>
      <w:r w:rsidR="00391D0F">
        <w:t xml:space="preserve"> </w:t>
      </w:r>
    </w:p>
    <w:p w14:paraId="36CB43DB" w14:textId="77777777" w:rsidR="000A6EBC" w:rsidRDefault="000A6EBC" w:rsidP="000A6EBC">
      <w:pPr>
        <w:spacing w:line="276" w:lineRule="auto"/>
      </w:pPr>
      <w:r>
        <w:t>SuperFriend also reiterates to the Productivity Commission its endorsement of the submissions by:</w:t>
      </w:r>
    </w:p>
    <w:p w14:paraId="2EF6F3DD" w14:textId="77777777" w:rsidR="000A6EBC" w:rsidRDefault="000A6EBC" w:rsidP="007F1FDE">
      <w:pPr>
        <w:pStyle w:val="ListNumber3"/>
        <w:numPr>
          <w:ilvl w:val="5"/>
          <w:numId w:val="20"/>
        </w:numPr>
        <w:spacing w:line="276" w:lineRule="auto"/>
      </w:pPr>
      <w:r>
        <w:t>The life insurance industry</w:t>
      </w:r>
    </w:p>
    <w:p w14:paraId="0BDBEF87" w14:textId="77777777" w:rsidR="000A6EBC" w:rsidRDefault="000A6EBC" w:rsidP="007F1FDE">
      <w:pPr>
        <w:pStyle w:val="ListNumber3"/>
        <w:numPr>
          <w:ilvl w:val="5"/>
          <w:numId w:val="20"/>
        </w:numPr>
        <w:spacing w:line="276" w:lineRule="auto"/>
      </w:pPr>
      <w:r>
        <w:t>The Mentally Healthy Workplace Alliance</w:t>
      </w:r>
    </w:p>
    <w:p w14:paraId="52F62DD1" w14:textId="191232C0" w:rsidR="001F6D49" w:rsidRPr="00FD0C60" w:rsidRDefault="001F6D49" w:rsidP="007F1FDE">
      <w:pPr>
        <w:pStyle w:val="ListNumber3"/>
        <w:numPr>
          <w:ilvl w:val="5"/>
          <w:numId w:val="20"/>
        </w:numPr>
        <w:spacing w:line="276" w:lineRule="auto"/>
        <w:sectPr w:rsidR="001F6D49" w:rsidRPr="00FD0C60" w:rsidSect="00975D74">
          <w:headerReference w:type="default" r:id="rId16"/>
          <w:footerReference w:type="default" r:id="rId17"/>
          <w:headerReference w:type="first" r:id="rId18"/>
          <w:endnotePr>
            <w:numFmt w:val="decimal"/>
          </w:endnotePr>
          <w:pgSz w:w="11906" w:h="16838" w:code="9"/>
          <w:pgMar w:top="1980" w:right="849" w:bottom="1420" w:left="1140" w:header="567" w:footer="454" w:gutter="0"/>
          <w:pgNumType w:start="0"/>
          <w:cols w:space="709"/>
          <w:titlePg/>
          <w:docGrid w:linePitch="360"/>
        </w:sectPr>
      </w:pPr>
      <w:r>
        <w:t>Shared Value Project</w:t>
      </w:r>
    </w:p>
    <w:sdt>
      <w:sdtPr>
        <w:rPr>
          <w:rFonts w:ascii="Century Gothic" w:hAnsi="Century Gothic"/>
          <w:b w:val="0"/>
          <w:bCs w:val="0"/>
          <w:iCs w:val="0"/>
          <w:color w:val="auto"/>
          <w:sz w:val="22"/>
          <w:szCs w:val="22"/>
        </w:rPr>
        <w:id w:val="1037622798"/>
        <w:docPartObj>
          <w:docPartGallery w:val="Table of Contents"/>
          <w:docPartUnique/>
        </w:docPartObj>
      </w:sdtPr>
      <w:sdtEndPr>
        <w:rPr>
          <w:noProof/>
        </w:rPr>
      </w:sdtEndPr>
      <w:sdtContent>
        <w:p w14:paraId="6A47453A" w14:textId="373C49EA" w:rsidR="00FF06F1" w:rsidRDefault="00FF06F1" w:rsidP="009642B8">
          <w:pPr>
            <w:pStyle w:val="TOCHeading"/>
            <w:spacing w:after="200" w:line="276" w:lineRule="auto"/>
          </w:pPr>
          <w:r>
            <w:t>Table of Contents</w:t>
          </w:r>
        </w:p>
        <w:p w14:paraId="33314F80" w14:textId="26A6ED0E" w:rsidR="00333324" w:rsidRPr="00333324" w:rsidRDefault="00FF06F1" w:rsidP="00333324">
          <w:pPr>
            <w:pStyle w:val="TOC2"/>
            <w:spacing w:line="360" w:lineRule="auto"/>
            <w:rPr>
              <w:rFonts w:asciiTheme="minorHAnsi" w:eastAsiaTheme="minorEastAsia" w:hAnsiTheme="minorHAnsi" w:cstheme="minorBidi"/>
              <w:noProof/>
              <w:lang w:eastAsia="en-AU"/>
            </w:rPr>
          </w:pPr>
          <w:r w:rsidRPr="00333324">
            <w:fldChar w:fldCharType="begin"/>
          </w:r>
          <w:r w:rsidRPr="00333324">
            <w:instrText xml:space="preserve"> TOC \o "1-3" \h \z \u </w:instrText>
          </w:r>
          <w:r w:rsidRPr="00333324">
            <w:fldChar w:fldCharType="separate"/>
          </w:r>
        </w:p>
        <w:p w14:paraId="05C3B50D" w14:textId="45A28DE0" w:rsidR="00333324" w:rsidRPr="00333324" w:rsidRDefault="004764B5" w:rsidP="00333324">
          <w:pPr>
            <w:pStyle w:val="TOC1"/>
            <w:spacing w:line="360" w:lineRule="auto"/>
            <w:rPr>
              <w:rFonts w:asciiTheme="minorHAnsi" w:eastAsiaTheme="minorEastAsia" w:hAnsiTheme="minorHAnsi" w:cstheme="minorBidi"/>
              <w:b w:val="0"/>
              <w:noProof/>
              <w:lang w:eastAsia="en-AU"/>
            </w:rPr>
          </w:pPr>
          <w:hyperlink w:anchor="_Toc30689335" w:history="1">
            <w:r w:rsidR="00333324" w:rsidRPr="00333324">
              <w:rPr>
                <w:rStyle w:val="Hyperlink"/>
                <w:noProof/>
              </w:rPr>
              <w:t>Executive Summary</w:t>
            </w:r>
            <w:r w:rsidR="00333324" w:rsidRPr="00333324">
              <w:rPr>
                <w:noProof/>
                <w:webHidden/>
              </w:rPr>
              <w:tab/>
            </w:r>
            <w:r w:rsidR="00333324" w:rsidRPr="00333324">
              <w:rPr>
                <w:noProof/>
                <w:webHidden/>
              </w:rPr>
              <w:fldChar w:fldCharType="begin"/>
            </w:r>
            <w:r w:rsidR="00333324" w:rsidRPr="00333324">
              <w:rPr>
                <w:noProof/>
                <w:webHidden/>
              </w:rPr>
              <w:instrText xml:space="preserve"> PAGEREF _Toc30689335 \h </w:instrText>
            </w:r>
            <w:r w:rsidR="00333324" w:rsidRPr="00333324">
              <w:rPr>
                <w:noProof/>
                <w:webHidden/>
              </w:rPr>
            </w:r>
            <w:r w:rsidR="00333324" w:rsidRPr="00333324">
              <w:rPr>
                <w:noProof/>
                <w:webHidden/>
              </w:rPr>
              <w:fldChar w:fldCharType="separate"/>
            </w:r>
            <w:r w:rsidR="00333324" w:rsidRPr="00333324">
              <w:rPr>
                <w:noProof/>
                <w:webHidden/>
              </w:rPr>
              <w:t>1</w:t>
            </w:r>
            <w:r w:rsidR="00333324" w:rsidRPr="00333324">
              <w:rPr>
                <w:noProof/>
                <w:webHidden/>
              </w:rPr>
              <w:fldChar w:fldCharType="end"/>
            </w:r>
          </w:hyperlink>
        </w:p>
        <w:p w14:paraId="40055524" w14:textId="3BB2EE87" w:rsidR="00333324" w:rsidRPr="00333324" w:rsidRDefault="004764B5" w:rsidP="00333324">
          <w:pPr>
            <w:pStyle w:val="TOC1"/>
            <w:spacing w:line="360" w:lineRule="auto"/>
            <w:rPr>
              <w:rFonts w:asciiTheme="minorHAnsi" w:eastAsiaTheme="minorEastAsia" w:hAnsiTheme="minorHAnsi" w:cstheme="minorBidi"/>
              <w:b w:val="0"/>
              <w:noProof/>
              <w:lang w:eastAsia="en-AU"/>
            </w:rPr>
          </w:pPr>
          <w:hyperlink w:anchor="_Toc30689336" w:history="1">
            <w:r w:rsidR="00333324" w:rsidRPr="00333324">
              <w:rPr>
                <w:rStyle w:val="Hyperlink"/>
                <w:noProof/>
              </w:rPr>
              <w:t>Pulling Together the Reforms</w:t>
            </w:r>
            <w:r w:rsidR="00333324" w:rsidRPr="00333324">
              <w:rPr>
                <w:noProof/>
                <w:webHidden/>
              </w:rPr>
              <w:tab/>
            </w:r>
            <w:r w:rsidR="00333324" w:rsidRPr="00333324">
              <w:rPr>
                <w:noProof/>
                <w:webHidden/>
              </w:rPr>
              <w:fldChar w:fldCharType="begin"/>
            </w:r>
            <w:r w:rsidR="00333324" w:rsidRPr="00333324">
              <w:rPr>
                <w:noProof/>
                <w:webHidden/>
              </w:rPr>
              <w:instrText xml:space="preserve"> PAGEREF _Toc30689336 \h </w:instrText>
            </w:r>
            <w:r w:rsidR="00333324" w:rsidRPr="00333324">
              <w:rPr>
                <w:noProof/>
                <w:webHidden/>
              </w:rPr>
            </w:r>
            <w:r w:rsidR="00333324" w:rsidRPr="00333324">
              <w:rPr>
                <w:noProof/>
                <w:webHidden/>
              </w:rPr>
              <w:fldChar w:fldCharType="separate"/>
            </w:r>
            <w:r w:rsidR="00333324" w:rsidRPr="00333324">
              <w:rPr>
                <w:noProof/>
                <w:webHidden/>
              </w:rPr>
              <w:t>6</w:t>
            </w:r>
            <w:r w:rsidR="00333324" w:rsidRPr="00333324">
              <w:rPr>
                <w:noProof/>
                <w:webHidden/>
              </w:rPr>
              <w:fldChar w:fldCharType="end"/>
            </w:r>
          </w:hyperlink>
        </w:p>
        <w:p w14:paraId="27A0205E" w14:textId="08310BBE"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37" w:history="1">
            <w:r w:rsidR="00333324" w:rsidRPr="00333324">
              <w:rPr>
                <w:rStyle w:val="Hyperlink"/>
                <w:noProof/>
                <w:sz w:val="22"/>
              </w:rPr>
              <w:t>SuperFriend Recommendation 1</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_Toc30689337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6</w:t>
            </w:r>
            <w:r w:rsidR="00333324" w:rsidRPr="00333324">
              <w:rPr>
                <w:noProof/>
                <w:webHidden/>
                <w:sz w:val="22"/>
              </w:rPr>
              <w:fldChar w:fldCharType="end"/>
            </w:r>
          </w:hyperlink>
        </w:p>
        <w:p w14:paraId="45068B44" w14:textId="68ED4854" w:rsidR="00333324" w:rsidRPr="00333324" w:rsidRDefault="004764B5" w:rsidP="00333324">
          <w:pPr>
            <w:pStyle w:val="TOC1"/>
            <w:spacing w:line="360" w:lineRule="auto"/>
            <w:rPr>
              <w:rFonts w:asciiTheme="minorHAnsi" w:eastAsiaTheme="minorEastAsia" w:hAnsiTheme="minorHAnsi" w:cstheme="minorBidi"/>
              <w:b w:val="0"/>
              <w:noProof/>
              <w:lang w:eastAsia="en-AU"/>
            </w:rPr>
          </w:pPr>
          <w:hyperlink w:anchor="_Toc30689338" w:history="1">
            <w:r w:rsidR="00333324" w:rsidRPr="00333324">
              <w:rPr>
                <w:rStyle w:val="Hyperlink"/>
                <w:noProof/>
              </w:rPr>
              <w:t>Early Intervention and Prevention</w:t>
            </w:r>
            <w:r w:rsidR="00333324" w:rsidRPr="00333324">
              <w:rPr>
                <w:noProof/>
                <w:webHidden/>
              </w:rPr>
              <w:tab/>
            </w:r>
            <w:r w:rsidR="00333324" w:rsidRPr="00333324">
              <w:rPr>
                <w:noProof/>
                <w:webHidden/>
              </w:rPr>
              <w:fldChar w:fldCharType="begin"/>
            </w:r>
            <w:r w:rsidR="00333324" w:rsidRPr="00333324">
              <w:rPr>
                <w:noProof/>
                <w:webHidden/>
              </w:rPr>
              <w:instrText xml:space="preserve"> PAGEREF _Toc30689338 \h </w:instrText>
            </w:r>
            <w:r w:rsidR="00333324" w:rsidRPr="00333324">
              <w:rPr>
                <w:noProof/>
                <w:webHidden/>
              </w:rPr>
            </w:r>
            <w:r w:rsidR="00333324" w:rsidRPr="00333324">
              <w:rPr>
                <w:noProof/>
                <w:webHidden/>
              </w:rPr>
              <w:fldChar w:fldCharType="separate"/>
            </w:r>
            <w:r w:rsidR="00333324" w:rsidRPr="00333324">
              <w:rPr>
                <w:noProof/>
                <w:webHidden/>
              </w:rPr>
              <w:t>8</w:t>
            </w:r>
            <w:r w:rsidR="00333324" w:rsidRPr="00333324">
              <w:rPr>
                <w:noProof/>
                <w:webHidden/>
              </w:rPr>
              <w:fldChar w:fldCharType="end"/>
            </w:r>
          </w:hyperlink>
        </w:p>
        <w:p w14:paraId="271996BB" w14:textId="42612493"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39" w:history="1">
            <w:r w:rsidR="00333324" w:rsidRPr="00333324">
              <w:rPr>
                <w:rStyle w:val="Hyperlink"/>
                <w:noProof/>
                <w:sz w:val="22"/>
              </w:rPr>
              <w:t>SuperFriend Recommendation 2</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_Toc30689339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8</w:t>
            </w:r>
            <w:r w:rsidR="00333324" w:rsidRPr="00333324">
              <w:rPr>
                <w:noProof/>
                <w:webHidden/>
                <w:sz w:val="22"/>
              </w:rPr>
              <w:fldChar w:fldCharType="end"/>
            </w:r>
          </w:hyperlink>
        </w:p>
        <w:p w14:paraId="1BB85469" w14:textId="3E7010E7"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0" w:history="1">
            <w:r w:rsidR="00333324" w:rsidRPr="00333324">
              <w:rPr>
                <w:rStyle w:val="Hyperlink"/>
                <w:noProof/>
                <w:sz w:val="22"/>
              </w:rPr>
              <w:t>SuperFriend Recommendation 3</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_Toc30689340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9</w:t>
            </w:r>
            <w:r w:rsidR="00333324" w:rsidRPr="00333324">
              <w:rPr>
                <w:noProof/>
                <w:webHidden/>
                <w:sz w:val="22"/>
              </w:rPr>
              <w:fldChar w:fldCharType="end"/>
            </w:r>
          </w:hyperlink>
        </w:p>
        <w:p w14:paraId="098AF6C5" w14:textId="4CF7A93E"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1" w:history="1">
            <w:r w:rsidR="00333324" w:rsidRPr="00333324">
              <w:rPr>
                <w:rStyle w:val="Hyperlink"/>
                <w:noProof/>
                <w:sz w:val="22"/>
              </w:rPr>
              <w:t>SuperFriend Recommendation 4</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_Toc30689341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12</w:t>
            </w:r>
            <w:r w:rsidR="00333324" w:rsidRPr="00333324">
              <w:rPr>
                <w:noProof/>
                <w:webHidden/>
                <w:sz w:val="22"/>
              </w:rPr>
              <w:fldChar w:fldCharType="end"/>
            </w:r>
          </w:hyperlink>
        </w:p>
        <w:p w14:paraId="3329A701" w14:textId="740BCF68"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2" w:history="1">
            <w:r w:rsidR="00333324" w:rsidRPr="00333324">
              <w:rPr>
                <w:rStyle w:val="Hyperlink"/>
                <w:noProof/>
                <w:sz w:val="22"/>
              </w:rPr>
              <w:t>Draft Recommendations 19.1-19.5: Develop and support mentally healthy workplaces</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_Toc30689342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14</w:t>
            </w:r>
            <w:r w:rsidR="00333324" w:rsidRPr="00333324">
              <w:rPr>
                <w:noProof/>
                <w:webHidden/>
                <w:sz w:val="22"/>
              </w:rPr>
              <w:fldChar w:fldCharType="end"/>
            </w:r>
          </w:hyperlink>
        </w:p>
        <w:p w14:paraId="5FF8971F" w14:textId="391C5904"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3" w:history="1">
            <w:r w:rsidR="00333324" w:rsidRPr="00333324">
              <w:rPr>
                <w:rStyle w:val="Hyperlink"/>
                <w:bCs/>
                <w:noProof/>
                <w:sz w:val="22"/>
              </w:rPr>
              <w:t>Draft Finding 19.2 The role of workers compensation in addressing mental health</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_Toc30689343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15</w:t>
            </w:r>
            <w:r w:rsidR="00333324" w:rsidRPr="00333324">
              <w:rPr>
                <w:noProof/>
                <w:webHidden/>
                <w:sz w:val="22"/>
              </w:rPr>
              <w:fldChar w:fldCharType="end"/>
            </w:r>
          </w:hyperlink>
        </w:p>
        <w:p w14:paraId="5ECA5E38" w14:textId="56282495"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4" w:history="1">
            <w:r w:rsidR="00333324" w:rsidRPr="00333324">
              <w:rPr>
                <w:rStyle w:val="Hyperlink"/>
                <w:bCs/>
                <w:noProof/>
                <w:sz w:val="22"/>
              </w:rPr>
              <w:t>Draft Finding 19.3 Employee Assistance Programs</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_Toc30689344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16</w:t>
            </w:r>
            <w:r w:rsidR="00333324" w:rsidRPr="00333324">
              <w:rPr>
                <w:noProof/>
                <w:webHidden/>
                <w:sz w:val="22"/>
              </w:rPr>
              <w:fldChar w:fldCharType="end"/>
            </w:r>
          </w:hyperlink>
        </w:p>
        <w:p w14:paraId="148D8202" w14:textId="65CFC20D"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5" w:history="1">
            <w:r w:rsidR="00333324" w:rsidRPr="00333324">
              <w:rPr>
                <w:rStyle w:val="Hyperlink"/>
                <w:bCs/>
                <w:noProof/>
                <w:sz w:val="22"/>
              </w:rPr>
              <w:t>Information Request 19.2 – Personal care days for mental health</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_Toc30689345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16</w:t>
            </w:r>
            <w:r w:rsidR="00333324" w:rsidRPr="00333324">
              <w:rPr>
                <w:noProof/>
                <w:webHidden/>
                <w:sz w:val="22"/>
              </w:rPr>
              <w:fldChar w:fldCharType="end"/>
            </w:r>
          </w:hyperlink>
        </w:p>
        <w:p w14:paraId="13C13D47" w14:textId="471968FE"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6" w:history="1">
            <w:r w:rsidR="00333324" w:rsidRPr="00333324">
              <w:rPr>
                <w:rStyle w:val="Hyperlink"/>
                <w:noProof/>
                <w:sz w:val="22"/>
              </w:rPr>
              <w:t>SuperFriend Recommendation 6</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_Toc30689346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17</w:t>
            </w:r>
            <w:r w:rsidR="00333324" w:rsidRPr="00333324">
              <w:rPr>
                <w:noProof/>
                <w:webHidden/>
                <w:sz w:val="22"/>
              </w:rPr>
              <w:fldChar w:fldCharType="end"/>
            </w:r>
          </w:hyperlink>
        </w:p>
        <w:p w14:paraId="77588942" w14:textId="505806A3"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7" w:history="1">
            <w:r w:rsidR="00333324" w:rsidRPr="00333324">
              <w:rPr>
                <w:rStyle w:val="Hyperlink"/>
                <w:noProof/>
                <w:sz w:val="22"/>
              </w:rPr>
              <w:t>SuperFriend Recommendation 7</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_Toc30689347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17</w:t>
            </w:r>
            <w:r w:rsidR="00333324" w:rsidRPr="00333324">
              <w:rPr>
                <w:noProof/>
                <w:webHidden/>
                <w:sz w:val="22"/>
              </w:rPr>
              <w:fldChar w:fldCharType="end"/>
            </w:r>
          </w:hyperlink>
        </w:p>
        <w:p w14:paraId="1A969939" w14:textId="3BF548CA"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8" w:history="1">
            <w:r w:rsidR="00333324" w:rsidRPr="00333324">
              <w:rPr>
                <w:rStyle w:val="Hyperlink"/>
                <w:noProof/>
                <w:sz w:val="22"/>
              </w:rPr>
              <w:t>SuperFriend Recommendation 5</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_Toc30689348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18</w:t>
            </w:r>
            <w:r w:rsidR="00333324" w:rsidRPr="00333324">
              <w:rPr>
                <w:noProof/>
                <w:webHidden/>
                <w:sz w:val="22"/>
              </w:rPr>
              <w:fldChar w:fldCharType="end"/>
            </w:r>
          </w:hyperlink>
        </w:p>
        <w:p w14:paraId="1E80D715" w14:textId="359C9F12"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49" w:history="1">
            <w:r w:rsidR="00333324" w:rsidRPr="00333324">
              <w:rPr>
                <w:rStyle w:val="Hyperlink"/>
                <w:noProof/>
                <w:sz w:val="22"/>
              </w:rPr>
              <w:t>Draft Recommendation 20.2 — Awareness of mental illness in the insurance sector</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_Toc30689349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18</w:t>
            </w:r>
            <w:r w:rsidR="00333324" w:rsidRPr="00333324">
              <w:rPr>
                <w:noProof/>
                <w:webHidden/>
                <w:sz w:val="22"/>
              </w:rPr>
              <w:fldChar w:fldCharType="end"/>
            </w:r>
          </w:hyperlink>
        </w:p>
        <w:p w14:paraId="4FC7FD05" w14:textId="4C6AFEC1" w:rsidR="00333324" w:rsidRPr="00333324" w:rsidRDefault="004764B5" w:rsidP="00333324">
          <w:pPr>
            <w:pStyle w:val="TOC3"/>
            <w:spacing w:line="360" w:lineRule="auto"/>
            <w:rPr>
              <w:rFonts w:asciiTheme="minorHAnsi" w:eastAsiaTheme="minorEastAsia" w:hAnsiTheme="minorHAnsi" w:cstheme="minorBidi"/>
              <w:i w:val="0"/>
              <w:noProof/>
              <w:sz w:val="22"/>
              <w:lang w:eastAsia="en-AU"/>
            </w:rPr>
          </w:pPr>
          <w:hyperlink w:anchor="_Toc30689350" w:history="1">
            <w:r w:rsidR="00333324" w:rsidRPr="00333324">
              <w:rPr>
                <w:rStyle w:val="Hyperlink"/>
                <w:noProof/>
                <w:sz w:val="22"/>
              </w:rPr>
              <w:t>Draft Recommendation 24.6 — Life Insurers &amp; Funding of Mental Healthcare</w:t>
            </w:r>
            <w:r w:rsidR="00333324" w:rsidRPr="00333324">
              <w:rPr>
                <w:noProof/>
                <w:webHidden/>
                <w:sz w:val="22"/>
              </w:rPr>
              <w:tab/>
            </w:r>
            <w:r w:rsidR="00333324" w:rsidRPr="00333324">
              <w:rPr>
                <w:noProof/>
                <w:webHidden/>
                <w:sz w:val="22"/>
              </w:rPr>
              <w:fldChar w:fldCharType="begin"/>
            </w:r>
            <w:r w:rsidR="00333324" w:rsidRPr="00333324">
              <w:rPr>
                <w:noProof/>
                <w:webHidden/>
                <w:sz w:val="22"/>
              </w:rPr>
              <w:instrText xml:space="preserve"> PAGEREF _Toc30689350 \h </w:instrText>
            </w:r>
            <w:r w:rsidR="00333324" w:rsidRPr="00333324">
              <w:rPr>
                <w:noProof/>
                <w:webHidden/>
                <w:sz w:val="22"/>
              </w:rPr>
            </w:r>
            <w:r w:rsidR="00333324" w:rsidRPr="00333324">
              <w:rPr>
                <w:noProof/>
                <w:webHidden/>
                <w:sz w:val="22"/>
              </w:rPr>
              <w:fldChar w:fldCharType="separate"/>
            </w:r>
            <w:r w:rsidR="00333324" w:rsidRPr="00333324">
              <w:rPr>
                <w:noProof/>
                <w:webHidden/>
                <w:sz w:val="22"/>
              </w:rPr>
              <w:t>18</w:t>
            </w:r>
            <w:r w:rsidR="00333324" w:rsidRPr="00333324">
              <w:rPr>
                <w:noProof/>
                <w:webHidden/>
                <w:sz w:val="22"/>
              </w:rPr>
              <w:fldChar w:fldCharType="end"/>
            </w:r>
          </w:hyperlink>
        </w:p>
        <w:p w14:paraId="46429217" w14:textId="6E81AA94" w:rsidR="00333324" w:rsidRPr="00333324" w:rsidRDefault="004764B5" w:rsidP="00333324">
          <w:pPr>
            <w:pStyle w:val="TOC1"/>
            <w:spacing w:line="360" w:lineRule="auto"/>
            <w:rPr>
              <w:rFonts w:asciiTheme="minorHAnsi" w:eastAsiaTheme="minorEastAsia" w:hAnsiTheme="minorHAnsi" w:cstheme="minorBidi"/>
              <w:b w:val="0"/>
              <w:noProof/>
              <w:lang w:eastAsia="en-AU"/>
            </w:rPr>
          </w:pPr>
          <w:hyperlink w:anchor="_Toc30689351" w:history="1">
            <w:r w:rsidR="00333324" w:rsidRPr="00333324">
              <w:rPr>
                <w:rStyle w:val="Hyperlink"/>
                <w:noProof/>
              </w:rPr>
              <w:t>Conclusion</w:t>
            </w:r>
            <w:r w:rsidR="00333324" w:rsidRPr="00333324">
              <w:rPr>
                <w:noProof/>
                <w:webHidden/>
              </w:rPr>
              <w:tab/>
            </w:r>
            <w:r w:rsidR="00333324" w:rsidRPr="00333324">
              <w:rPr>
                <w:noProof/>
                <w:webHidden/>
              </w:rPr>
              <w:fldChar w:fldCharType="begin"/>
            </w:r>
            <w:r w:rsidR="00333324" w:rsidRPr="00333324">
              <w:rPr>
                <w:noProof/>
                <w:webHidden/>
              </w:rPr>
              <w:instrText xml:space="preserve"> PAGEREF _Toc30689351 \h </w:instrText>
            </w:r>
            <w:r w:rsidR="00333324" w:rsidRPr="00333324">
              <w:rPr>
                <w:noProof/>
                <w:webHidden/>
              </w:rPr>
            </w:r>
            <w:r w:rsidR="00333324" w:rsidRPr="00333324">
              <w:rPr>
                <w:noProof/>
                <w:webHidden/>
              </w:rPr>
              <w:fldChar w:fldCharType="separate"/>
            </w:r>
            <w:r w:rsidR="00333324" w:rsidRPr="00333324">
              <w:rPr>
                <w:noProof/>
                <w:webHidden/>
              </w:rPr>
              <w:t>20</w:t>
            </w:r>
            <w:r w:rsidR="00333324" w:rsidRPr="00333324">
              <w:rPr>
                <w:noProof/>
                <w:webHidden/>
              </w:rPr>
              <w:fldChar w:fldCharType="end"/>
            </w:r>
          </w:hyperlink>
        </w:p>
        <w:p w14:paraId="02EB5E11" w14:textId="715DA020" w:rsidR="00333324" w:rsidRPr="00333324" w:rsidRDefault="004764B5" w:rsidP="00333324">
          <w:pPr>
            <w:pStyle w:val="TOC1"/>
            <w:spacing w:line="360" w:lineRule="auto"/>
            <w:rPr>
              <w:rFonts w:asciiTheme="minorHAnsi" w:eastAsiaTheme="minorEastAsia" w:hAnsiTheme="minorHAnsi" w:cstheme="minorBidi"/>
              <w:b w:val="0"/>
              <w:noProof/>
              <w:lang w:eastAsia="en-AU"/>
            </w:rPr>
          </w:pPr>
          <w:hyperlink w:anchor="_Toc30689352" w:history="1">
            <w:r w:rsidR="00333324" w:rsidRPr="00333324">
              <w:rPr>
                <w:rStyle w:val="Hyperlink"/>
                <w:noProof/>
              </w:rPr>
              <w:t>Appendix I: Importance of workplaces in population-wide mental health</w:t>
            </w:r>
            <w:r w:rsidR="00333324" w:rsidRPr="00333324">
              <w:rPr>
                <w:noProof/>
                <w:webHidden/>
              </w:rPr>
              <w:tab/>
            </w:r>
            <w:r w:rsidR="00333324" w:rsidRPr="00333324">
              <w:rPr>
                <w:noProof/>
                <w:webHidden/>
              </w:rPr>
              <w:fldChar w:fldCharType="begin"/>
            </w:r>
            <w:r w:rsidR="00333324" w:rsidRPr="00333324">
              <w:rPr>
                <w:noProof/>
                <w:webHidden/>
              </w:rPr>
              <w:instrText xml:space="preserve"> PAGEREF _Toc30689352 \h </w:instrText>
            </w:r>
            <w:r w:rsidR="00333324" w:rsidRPr="00333324">
              <w:rPr>
                <w:noProof/>
                <w:webHidden/>
              </w:rPr>
            </w:r>
            <w:r w:rsidR="00333324" w:rsidRPr="00333324">
              <w:rPr>
                <w:noProof/>
                <w:webHidden/>
              </w:rPr>
              <w:fldChar w:fldCharType="separate"/>
            </w:r>
            <w:r w:rsidR="00333324" w:rsidRPr="00333324">
              <w:rPr>
                <w:noProof/>
                <w:webHidden/>
              </w:rPr>
              <w:t>21</w:t>
            </w:r>
            <w:r w:rsidR="00333324" w:rsidRPr="00333324">
              <w:rPr>
                <w:noProof/>
                <w:webHidden/>
              </w:rPr>
              <w:fldChar w:fldCharType="end"/>
            </w:r>
          </w:hyperlink>
        </w:p>
        <w:p w14:paraId="1A846042" w14:textId="7730CFF5" w:rsidR="00333324" w:rsidRPr="00333324" w:rsidRDefault="004764B5" w:rsidP="00333324">
          <w:pPr>
            <w:pStyle w:val="TOC1"/>
            <w:spacing w:line="360" w:lineRule="auto"/>
            <w:rPr>
              <w:rFonts w:asciiTheme="minorHAnsi" w:eastAsiaTheme="minorEastAsia" w:hAnsiTheme="minorHAnsi" w:cstheme="minorBidi"/>
              <w:b w:val="0"/>
              <w:noProof/>
              <w:lang w:eastAsia="en-AU"/>
            </w:rPr>
          </w:pPr>
          <w:hyperlink w:anchor="_Toc30689353" w:history="1">
            <w:r w:rsidR="00333324" w:rsidRPr="00333324">
              <w:rPr>
                <w:rStyle w:val="Hyperlink"/>
                <w:noProof/>
              </w:rPr>
              <w:t>References</w:t>
            </w:r>
            <w:r w:rsidR="00333324" w:rsidRPr="00333324">
              <w:rPr>
                <w:noProof/>
                <w:webHidden/>
              </w:rPr>
              <w:tab/>
            </w:r>
            <w:r w:rsidR="00333324" w:rsidRPr="00333324">
              <w:rPr>
                <w:noProof/>
                <w:webHidden/>
              </w:rPr>
              <w:fldChar w:fldCharType="begin"/>
            </w:r>
            <w:r w:rsidR="00333324" w:rsidRPr="00333324">
              <w:rPr>
                <w:noProof/>
                <w:webHidden/>
              </w:rPr>
              <w:instrText xml:space="preserve"> PAGEREF _Toc30689353 \h </w:instrText>
            </w:r>
            <w:r w:rsidR="00333324" w:rsidRPr="00333324">
              <w:rPr>
                <w:noProof/>
                <w:webHidden/>
              </w:rPr>
            </w:r>
            <w:r w:rsidR="00333324" w:rsidRPr="00333324">
              <w:rPr>
                <w:noProof/>
                <w:webHidden/>
              </w:rPr>
              <w:fldChar w:fldCharType="separate"/>
            </w:r>
            <w:r w:rsidR="00333324" w:rsidRPr="00333324">
              <w:rPr>
                <w:noProof/>
                <w:webHidden/>
              </w:rPr>
              <w:t>25</w:t>
            </w:r>
            <w:r w:rsidR="00333324" w:rsidRPr="00333324">
              <w:rPr>
                <w:noProof/>
                <w:webHidden/>
              </w:rPr>
              <w:fldChar w:fldCharType="end"/>
            </w:r>
          </w:hyperlink>
        </w:p>
        <w:p w14:paraId="4B37A2F4" w14:textId="636D92A7" w:rsidR="00FF06F1" w:rsidRPr="00333324" w:rsidRDefault="00FF06F1" w:rsidP="00333324">
          <w:pPr>
            <w:spacing w:after="200" w:line="360" w:lineRule="auto"/>
          </w:pPr>
          <w:r w:rsidRPr="00333324">
            <w:rPr>
              <w:b/>
              <w:bCs/>
              <w:noProof/>
            </w:rPr>
            <w:fldChar w:fldCharType="end"/>
          </w:r>
        </w:p>
      </w:sdtContent>
    </w:sdt>
    <w:p w14:paraId="609352DD" w14:textId="0EDED2E9" w:rsidR="00FF06F1" w:rsidRPr="00333324" w:rsidRDefault="00FF06F1" w:rsidP="00333324">
      <w:pPr>
        <w:spacing w:after="200" w:line="360" w:lineRule="auto"/>
      </w:pPr>
    </w:p>
    <w:p w14:paraId="7AA57AEC" w14:textId="77777777" w:rsidR="00E05A45" w:rsidRDefault="00E05A45" w:rsidP="009642B8">
      <w:pPr>
        <w:spacing w:after="200" w:line="276" w:lineRule="auto"/>
        <w:sectPr w:rsidR="00E05A45" w:rsidSect="00975D74">
          <w:headerReference w:type="default" r:id="rId19"/>
          <w:footerReference w:type="default" r:id="rId20"/>
          <w:headerReference w:type="first" r:id="rId21"/>
          <w:endnotePr>
            <w:numFmt w:val="decimal"/>
          </w:endnotePr>
          <w:pgSz w:w="11906" w:h="16838" w:code="9"/>
          <w:pgMar w:top="1980" w:right="849" w:bottom="1420" w:left="1140" w:header="567" w:footer="454" w:gutter="0"/>
          <w:pgNumType w:start="0"/>
          <w:cols w:space="709"/>
          <w:titlePg/>
          <w:docGrid w:linePitch="360"/>
        </w:sectPr>
      </w:pPr>
    </w:p>
    <w:p w14:paraId="0534BDF6" w14:textId="2FD82D73" w:rsidR="00C121AD" w:rsidRPr="00A346FB" w:rsidRDefault="00CF389D" w:rsidP="009642B8">
      <w:pPr>
        <w:pStyle w:val="Heading1"/>
        <w:spacing w:before="0" w:after="200" w:line="276" w:lineRule="auto"/>
      </w:pPr>
      <w:bookmarkStart w:id="2" w:name="_Toc30689335"/>
      <w:r>
        <w:lastRenderedPageBreak/>
        <w:t>Executive Summary</w:t>
      </w:r>
      <w:bookmarkEnd w:id="2"/>
    </w:p>
    <w:p w14:paraId="4792AFC6" w14:textId="77777777" w:rsidR="00D82115" w:rsidRDefault="00D82115" w:rsidP="00D82115">
      <w:pPr>
        <w:spacing w:after="200" w:line="276" w:lineRule="auto"/>
      </w:pPr>
      <w:r>
        <w:rPr>
          <w:b/>
          <w:bCs/>
        </w:rPr>
        <w:t>Early</w:t>
      </w:r>
      <w:r w:rsidRPr="009642B8">
        <w:rPr>
          <w:b/>
          <w:bCs/>
        </w:rPr>
        <w:t xml:space="preserve"> intervention and prevention approach</w:t>
      </w:r>
      <w:r>
        <w:rPr>
          <w:b/>
          <w:bCs/>
        </w:rPr>
        <w:t>es</w:t>
      </w:r>
      <w:r w:rsidRPr="009642B8">
        <w:rPr>
          <w:b/>
          <w:bCs/>
        </w:rPr>
        <w:t xml:space="preserve"> are </w:t>
      </w:r>
      <w:r>
        <w:rPr>
          <w:b/>
          <w:bCs/>
        </w:rPr>
        <w:t>essential</w:t>
      </w:r>
      <w:r w:rsidRPr="009642B8">
        <w:rPr>
          <w:b/>
          <w:bCs/>
        </w:rPr>
        <w:t xml:space="preserve"> if we are to see the much-needed transformational shift </w:t>
      </w:r>
      <w:r>
        <w:rPr>
          <w:b/>
          <w:bCs/>
        </w:rPr>
        <w:t>in Australia’s</w:t>
      </w:r>
      <w:r w:rsidRPr="005160E9">
        <w:rPr>
          <w:b/>
          <w:bCs/>
        </w:rPr>
        <w:t xml:space="preserve"> mental health and wellbeing</w:t>
      </w:r>
      <w:r>
        <w:rPr>
          <w:b/>
          <w:bCs/>
        </w:rPr>
        <w:t>, as</w:t>
      </w:r>
      <w:r w:rsidRPr="00686005" w:rsidDel="009A0D24">
        <w:rPr>
          <w:b/>
          <w:bCs/>
        </w:rPr>
        <w:t xml:space="preserve"> </w:t>
      </w:r>
      <w:r>
        <w:rPr>
          <w:b/>
          <w:bCs/>
        </w:rPr>
        <w:t>inspired</w:t>
      </w:r>
      <w:r w:rsidRPr="009642B8">
        <w:rPr>
          <w:b/>
          <w:bCs/>
        </w:rPr>
        <w:t xml:space="preserve"> by the</w:t>
      </w:r>
      <w:r>
        <w:rPr>
          <w:b/>
          <w:bCs/>
        </w:rPr>
        <w:t xml:space="preserve"> broader scope of this</w:t>
      </w:r>
      <w:r w:rsidRPr="009642B8">
        <w:rPr>
          <w:b/>
          <w:bCs/>
        </w:rPr>
        <w:t xml:space="preserve"> Productivity Commission’s inquiry.</w:t>
      </w:r>
      <w:r w:rsidRPr="00A346FB">
        <w:t xml:space="preserve">  </w:t>
      </w:r>
    </w:p>
    <w:p w14:paraId="616E13D2" w14:textId="5661869E" w:rsidR="00D82115" w:rsidRDefault="00D82115" w:rsidP="00D82115">
      <w:pPr>
        <w:spacing w:after="200" w:line="276" w:lineRule="auto"/>
      </w:pPr>
      <w:r>
        <w:t>All</w:t>
      </w:r>
      <w:r w:rsidRPr="00FF412C">
        <w:t xml:space="preserve"> future national mental health policies, if they are to be economically and socially sustainable, </w:t>
      </w:r>
      <w:r>
        <w:t>must</w:t>
      </w:r>
      <w:r w:rsidRPr="00FF412C">
        <w:t xml:space="preserve"> be concerned with mental </w:t>
      </w:r>
      <w:r>
        <w:t>ill-health, mental health conditions as well as</w:t>
      </w:r>
      <w:r w:rsidRPr="00FF412C">
        <w:t xml:space="preserve"> broader factors that enable and foster positive mental health and wellbeing</w:t>
      </w:r>
      <w:r>
        <w:t xml:space="preserve">. Furthermore, all mental health policies and practices need to be considered beyond a ‘health system only lens’. They need to reflect a whole of population approach to complex systems change and therefore a whole of Government(s) and community strategy is required. </w:t>
      </w:r>
    </w:p>
    <w:p w14:paraId="4657F0A6" w14:textId="0F94E6EA" w:rsidR="00222C99" w:rsidRDefault="00D82115" w:rsidP="00D82115">
      <w:pPr>
        <w:spacing w:after="200" w:line="276" w:lineRule="auto"/>
      </w:pPr>
      <w:r>
        <w:t xml:space="preserve">Mental health affects all of us, every day. Given the significant population employed (approximately 13 million), it makes sense to consider the levers for change that workplace mental health can provide. SuperFriend believes this will only occur if the relevant recommendations to Government explicitly mention the critical </w:t>
      </w:r>
      <w:r w:rsidR="002C4484">
        <w:t xml:space="preserve">combined </w:t>
      </w:r>
      <w:r>
        <w:t>role of workplaces as contributor</w:t>
      </w:r>
      <w:r w:rsidR="002C4484">
        <w:t>s</w:t>
      </w:r>
      <w:r>
        <w:t>, collaborator</w:t>
      </w:r>
      <w:r w:rsidR="002C4484">
        <w:t>s</w:t>
      </w:r>
      <w:r>
        <w:t>, evaluator</w:t>
      </w:r>
      <w:r w:rsidR="002C4484">
        <w:t>s</w:t>
      </w:r>
      <w:r>
        <w:t xml:space="preserve"> </w:t>
      </w:r>
      <w:r w:rsidR="002C4484">
        <w:t xml:space="preserve">and </w:t>
      </w:r>
      <w:r>
        <w:t>implementer</w:t>
      </w:r>
      <w:r w:rsidR="002C4484">
        <w:t>s</w:t>
      </w:r>
      <w:r>
        <w:t xml:space="preserve"> of the broader mental health policy reforms. Every</w:t>
      </w:r>
      <w:r w:rsidR="002C4484">
        <w:t xml:space="preserve"> </w:t>
      </w:r>
      <w:r>
        <w:t>day</w:t>
      </w:r>
      <w:r w:rsidR="00F404E7">
        <w:t>,</w:t>
      </w:r>
      <w:r>
        <w:t xml:space="preserve"> SuperFriend advocates </w:t>
      </w:r>
      <w:r w:rsidR="00F404E7">
        <w:t>for</w:t>
      </w:r>
      <w:r>
        <w:t>, and helps organisations to include, in an integrated and embedded way, mental health into all policies, processes and procedures in a business. This integrate</w:t>
      </w:r>
      <w:r w:rsidR="00F404E7">
        <w:t>d</w:t>
      </w:r>
      <w:r>
        <w:t xml:space="preserve"> approach is best practice and has the greatest chance for</w:t>
      </w:r>
      <w:r w:rsidR="002C4484">
        <w:t xml:space="preserve"> sustainable</w:t>
      </w:r>
      <w:r>
        <w:t xml:space="preserve"> impact across a whole organisation. It is not effective nor impactful to have mental health siloed or in a stand-alone policy. If we were to apply that thinking, we would</w:t>
      </w:r>
      <w:r w:rsidR="002C4484">
        <w:t xml:space="preserve"> be</w:t>
      </w:r>
      <w:r>
        <w:t xml:space="preserve"> </w:t>
      </w:r>
      <w:r w:rsidR="002C4484">
        <w:t xml:space="preserve">limiting ourselves to </w:t>
      </w:r>
      <w:r>
        <w:t xml:space="preserve">how Australia’s CURRENT mental health system ‘works’ – purely through the lens of health. This inquiry, and its broad terms of reference, provides opportunity to change this, and recommend to Government a truly integrated approach.  </w:t>
      </w:r>
    </w:p>
    <w:p w14:paraId="56FB57C6" w14:textId="4A2A18B6" w:rsidR="00D82115" w:rsidRDefault="00D82115" w:rsidP="00D82115">
      <w:pPr>
        <w:spacing w:after="200" w:line="276" w:lineRule="auto"/>
      </w:pPr>
      <w:r>
        <w:t xml:space="preserve">Therefore, we urge the Productivity Commission to be more explicit in the specific inclusion of the non-health ‘actors’ in the final report and its recommendations.  Otherwise, there </w:t>
      </w:r>
      <w:r w:rsidR="004D226D">
        <w:t>is</w:t>
      </w:r>
      <w:r>
        <w:t xml:space="preserve"> a risk of Governments defaulting to ‘health-only’ thinking and approaches</w:t>
      </w:r>
      <w:r w:rsidR="00222C99">
        <w:t xml:space="preserve">. This is </w:t>
      </w:r>
      <w:r>
        <w:t xml:space="preserve">especially </w:t>
      </w:r>
      <w:r w:rsidR="00222C99">
        <w:t xml:space="preserve">relevant </w:t>
      </w:r>
      <w:r>
        <w:t>when considering the plethora of early intervention and prevention reforms</w:t>
      </w:r>
      <w:r w:rsidR="004D226D">
        <w:t xml:space="preserve"> needed</w:t>
      </w:r>
      <w:r>
        <w:t xml:space="preserve">, and the tremendous opportunities </w:t>
      </w:r>
      <w:r w:rsidR="00222C99">
        <w:t>of engaging non-health actors</w:t>
      </w:r>
      <w:r>
        <w:t xml:space="preserve"> </w:t>
      </w:r>
      <w:r w:rsidR="00222C99">
        <w:t>in</w:t>
      </w:r>
      <w:r>
        <w:t xml:space="preserve"> system-wide reform </w:t>
      </w:r>
      <w:r w:rsidR="00222C99">
        <w:t>for</w:t>
      </w:r>
      <w:r>
        <w:t xml:space="preserve"> social and economic impact.</w:t>
      </w:r>
    </w:p>
    <w:p w14:paraId="5A4E3F0F" w14:textId="54598CF6" w:rsidR="00222C99" w:rsidRDefault="00222C99" w:rsidP="00222C99">
      <w:pPr>
        <w:spacing w:after="200" w:line="276" w:lineRule="auto"/>
      </w:pPr>
      <w:r>
        <w:t>Therefore, while broadly supportive, SuperFriend sees the draft report as under-emphasising the importance of two key actors in intervention and prevention: workplaces and the life insurance industry.</w:t>
      </w:r>
    </w:p>
    <w:p w14:paraId="0A81A6FE" w14:textId="78A257A3" w:rsidR="00222C99" w:rsidRDefault="00222C99" w:rsidP="00222C99">
      <w:pPr>
        <w:pStyle w:val="Heading2NOTOC"/>
      </w:pPr>
      <w:r>
        <w:t>Workplaces</w:t>
      </w:r>
    </w:p>
    <w:p w14:paraId="036323C5" w14:textId="411C05B8" w:rsidR="00D82115" w:rsidRDefault="00D82115" w:rsidP="00D82115">
      <w:pPr>
        <w:pStyle w:val="ListBullet"/>
        <w:numPr>
          <w:ilvl w:val="0"/>
          <w:numId w:val="0"/>
        </w:numPr>
        <w:spacing w:after="200" w:line="276" w:lineRule="auto"/>
      </w:pPr>
      <w:r>
        <w:t xml:space="preserve">In October 2019, SuperFriend released its latest research findings on the state of workplace mental health in Australia. </w:t>
      </w:r>
      <w:r w:rsidRPr="006A5B87">
        <w:rPr>
          <w:i/>
          <w:iCs/>
        </w:rPr>
        <w:t xml:space="preserve">The </w:t>
      </w:r>
      <w:r w:rsidRPr="006A5B87">
        <w:rPr>
          <w:b/>
          <w:bCs/>
          <w:i/>
          <w:iCs/>
        </w:rPr>
        <w:t>Indicators of a Thriving Workplace Survey</w:t>
      </w:r>
      <w:r>
        <w:rPr>
          <w:rStyle w:val="EndnoteReference"/>
        </w:rPr>
        <w:endnoteReference w:id="1"/>
      </w:r>
      <w:r>
        <w:t xml:space="preserve"> shares the</w:t>
      </w:r>
      <w:r w:rsidRPr="00FD3BFD">
        <w:t xml:space="preserve"> results from our f</w:t>
      </w:r>
      <w:r>
        <w:t>ourth</w:t>
      </w:r>
      <w:r w:rsidRPr="00FD3BFD">
        <w:t xml:space="preserve"> annual</w:t>
      </w:r>
      <w:r>
        <w:t xml:space="preserve"> survey of 10,000 workers. </w:t>
      </w:r>
      <w:r w:rsidRPr="00FD3BFD">
        <w:t xml:space="preserve"> </w:t>
      </w:r>
      <w:r>
        <w:t xml:space="preserve">This </w:t>
      </w:r>
      <w:r w:rsidR="00F404E7">
        <w:t xml:space="preserve">statistically credible and valid </w:t>
      </w:r>
      <w:r>
        <w:t xml:space="preserve">survey is Australia’s largest survey of workplace mental health and wellbeing. It provides the most contemporary evidence and insights into workers, managers and business owners </w:t>
      </w:r>
      <w:r w:rsidRPr="00EC70BB">
        <w:rPr>
          <w:u w:val="single"/>
        </w:rPr>
        <w:t>actual</w:t>
      </w:r>
      <w:r>
        <w:t xml:space="preserve"> experiences in their </w:t>
      </w:r>
      <w:r w:rsidRPr="006A5B87">
        <w:rPr>
          <w:u w:val="single"/>
        </w:rPr>
        <w:t>current</w:t>
      </w:r>
      <w:r>
        <w:t xml:space="preserve"> workplace of workplace mental health. ITW uses 40 scientifically </w:t>
      </w:r>
      <w:r>
        <w:lastRenderedPageBreak/>
        <w:t xml:space="preserve">validated indicators. It is a representative sample of the Australian workforce by industry, age, gender and geographical location. </w:t>
      </w:r>
    </w:p>
    <w:p w14:paraId="0D5FF212" w14:textId="25BEB12F" w:rsidR="00D82115" w:rsidRDefault="00D82115" w:rsidP="00D82115">
      <w:pPr>
        <w:pStyle w:val="ListBullet"/>
        <w:numPr>
          <w:ilvl w:val="0"/>
          <w:numId w:val="0"/>
        </w:numPr>
        <w:spacing w:after="200" w:line="276" w:lineRule="auto"/>
      </w:pPr>
      <w:r>
        <w:t>The 2019 results provide compelling endorsement for system</w:t>
      </w:r>
      <w:r w:rsidR="00F404E7">
        <w:t>-</w:t>
      </w:r>
      <w:r>
        <w:t xml:space="preserve">wide reform.  </w:t>
      </w:r>
    </w:p>
    <w:p w14:paraId="34D6442D" w14:textId="56A377A7" w:rsidR="00D82115" w:rsidRDefault="00D82115" w:rsidP="00D82115">
      <w:pPr>
        <w:pStyle w:val="ListBullet"/>
        <w:numPr>
          <w:ilvl w:val="0"/>
          <w:numId w:val="0"/>
        </w:numPr>
        <w:spacing w:after="200" w:line="276" w:lineRule="auto"/>
      </w:pPr>
      <w:r>
        <w:t>The key findings</w:t>
      </w:r>
      <w:r w:rsidR="00222C99">
        <w:t xml:space="preserve"> from 2019 Indicators of a Thriving Workplace</w:t>
      </w:r>
      <w:r>
        <w:t xml:space="preserve"> include:</w:t>
      </w:r>
    </w:p>
    <w:p w14:paraId="1B024F90" w14:textId="72F617C6" w:rsidR="00D82115" w:rsidRDefault="00D82115" w:rsidP="007F1FDE">
      <w:pPr>
        <w:pStyle w:val="ListNumber"/>
        <w:numPr>
          <w:ilvl w:val="3"/>
          <w:numId w:val="21"/>
        </w:numPr>
        <w:spacing w:line="276" w:lineRule="auto"/>
        <w:rPr>
          <w:rFonts w:eastAsiaTheme="minorHAnsi" w:cs="Calibri"/>
          <w:szCs w:val="22"/>
        </w:rPr>
      </w:pPr>
      <w:r w:rsidRPr="0037342E">
        <w:t xml:space="preserve">Australia’s national workplace mental health and wellbeing score of </w:t>
      </w:r>
      <w:r w:rsidRPr="00F9621E">
        <w:rPr>
          <w:u w:val="single"/>
        </w:rPr>
        <w:t>62.7 out of 100</w:t>
      </w:r>
      <w:r>
        <w:t xml:space="preserve">. </w:t>
      </w:r>
      <w:r w:rsidRPr="0037342E">
        <w:t xml:space="preserve"> </w:t>
      </w:r>
      <w:r>
        <w:t xml:space="preserve">This score, which hasn’t budged from 2018, </w:t>
      </w:r>
      <w:r w:rsidR="00F404E7">
        <w:t>indicates</w:t>
      </w:r>
      <w:r>
        <w:t xml:space="preserve"> Australia is not yet</w:t>
      </w:r>
      <w:r w:rsidRPr="0037342E">
        <w:t xml:space="preserve"> two thirds of the way towards optimal workplace mental health and wellbeing.</w:t>
      </w:r>
      <w:r w:rsidRPr="006E53CE">
        <w:rPr>
          <w:rFonts w:eastAsiaTheme="minorHAnsi" w:cs="Calibri"/>
          <w:szCs w:val="22"/>
        </w:rPr>
        <w:t xml:space="preserve"> </w:t>
      </w:r>
    </w:p>
    <w:p w14:paraId="42B2F94A" w14:textId="77777777" w:rsidR="00D82115" w:rsidRDefault="00D82115" w:rsidP="007F1FDE">
      <w:pPr>
        <w:pStyle w:val="ListNumber"/>
        <w:numPr>
          <w:ilvl w:val="3"/>
          <w:numId w:val="21"/>
        </w:numPr>
        <w:spacing w:line="276" w:lineRule="auto"/>
      </w:pPr>
      <w:r>
        <w:rPr>
          <w:rFonts w:eastAsiaTheme="minorHAnsi" w:cs="Calibri"/>
          <w:szCs w:val="22"/>
        </w:rPr>
        <w:t>Only 5% of Australian workplaces are thriving.</w:t>
      </w:r>
      <w:r w:rsidRPr="006A5B87">
        <w:rPr>
          <w:rFonts w:eastAsiaTheme="minorHAnsi" w:cs="Calibri"/>
          <w:szCs w:val="22"/>
        </w:rPr>
        <w:t xml:space="preserve"> </w:t>
      </w:r>
      <w:r>
        <w:rPr>
          <w:rFonts w:eastAsiaTheme="minorHAnsi" w:cs="Calibri"/>
          <w:szCs w:val="22"/>
        </w:rPr>
        <w:t>A thriving workplace scores 80 or above.</w:t>
      </w:r>
    </w:p>
    <w:p w14:paraId="67126BA4" w14:textId="77777777" w:rsidR="00D82115" w:rsidRDefault="00D82115" w:rsidP="007F1FDE">
      <w:pPr>
        <w:pStyle w:val="ListNumber"/>
        <w:numPr>
          <w:ilvl w:val="3"/>
          <w:numId w:val="21"/>
        </w:numPr>
        <w:spacing w:line="276" w:lineRule="auto"/>
        <w:rPr>
          <w:rFonts w:cs="Arial"/>
          <w:iCs/>
        </w:rPr>
      </w:pPr>
      <w:r>
        <w:rPr>
          <w:rFonts w:cs="Arial"/>
          <w:iCs/>
        </w:rPr>
        <w:t>One in two (50.5%)</w:t>
      </w:r>
      <w:r w:rsidRPr="00A226AF">
        <w:rPr>
          <w:rFonts w:cs="Arial"/>
          <w:iCs/>
        </w:rPr>
        <w:t xml:space="preserve"> workers </w:t>
      </w:r>
      <w:r>
        <w:rPr>
          <w:rFonts w:cs="Arial"/>
          <w:iCs/>
        </w:rPr>
        <w:t xml:space="preserve">report they </w:t>
      </w:r>
      <w:r w:rsidRPr="00A226AF">
        <w:rPr>
          <w:rFonts w:cs="Arial"/>
          <w:iCs/>
        </w:rPr>
        <w:t>have experienced a mental health condition and</w:t>
      </w:r>
      <w:r>
        <w:rPr>
          <w:rFonts w:cs="Arial"/>
          <w:iCs/>
        </w:rPr>
        <w:t>, of those with a lived experience,</w:t>
      </w:r>
      <w:r w:rsidRPr="00A226AF">
        <w:rPr>
          <w:rFonts w:cs="Arial"/>
          <w:iCs/>
        </w:rPr>
        <w:t xml:space="preserve"> 43</w:t>
      </w:r>
      <w:r>
        <w:rPr>
          <w:rFonts w:cs="Arial"/>
          <w:iCs/>
        </w:rPr>
        <w:t>%</w:t>
      </w:r>
      <w:r w:rsidRPr="00A226AF">
        <w:rPr>
          <w:rFonts w:cs="Arial"/>
          <w:iCs/>
        </w:rPr>
        <w:t xml:space="preserve"> of people perceive their workplace is </w:t>
      </w:r>
      <w:r w:rsidRPr="00F9621E">
        <w:rPr>
          <w:rFonts w:cs="Arial"/>
          <w:iCs/>
          <w:u w:val="single"/>
        </w:rPr>
        <w:t>contributing to or causing their mental ill-health</w:t>
      </w:r>
      <w:r w:rsidRPr="00A226AF">
        <w:rPr>
          <w:rFonts w:cs="Arial"/>
          <w:iCs/>
        </w:rPr>
        <w:t xml:space="preserve">. </w:t>
      </w:r>
      <w:r>
        <w:rPr>
          <w:rFonts w:cs="Arial"/>
          <w:iCs/>
        </w:rPr>
        <w:t xml:space="preserve">This is a disturbing statistic that endorses the need for urgent reform. </w:t>
      </w:r>
    </w:p>
    <w:p w14:paraId="48B851A9" w14:textId="6B14312B" w:rsidR="00D82115" w:rsidRPr="00F9621E" w:rsidRDefault="00D82115" w:rsidP="007F1FDE">
      <w:pPr>
        <w:pStyle w:val="ListNumber"/>
        <w:numPr>
          <w:ilvl w:val="3"/>
          <w:numId w:val="21"/>
        </w:numPr>
        <w:spacing w:line="276" w:lineRule="auto"/>
        <w:rPr>
          <w:rFonts w:cs="Arial"/>
          <w:iCs/>
        </w:rPr>
      </w:pPr>
      <w:r w:rsidRPr="00F9621E">
        <w:rPr>
          <w:rFonts w:eastAsia="Times New Roman"/>
        </w:rPr>
        <w:t>The majority (63.4%) of people who believe their workplace contributed to their mental health condition work in organisations that haven’t implemented any actions.</w:t>
      </w:r>
      <w:r>
        <w:rPr>
          <w:rFonts w:eastAsia="Times New Roman"/>
        </w:rPr>
        <w:t xml:space="preserve"> T</w:t>
      </w:r>
      <w:r w:rsidRPr="005F6380">
        <w:t>he more actions th</w:t>
      </w:r>
      <w:r>
        <w:t>e</w:t>
      </w:r>
      <w:r w:rsidRPr="005F6380">
        <w:t xml:space="preserve"> workplace implement</w:t>
      </w:r>
      <w:r>
        <w:t>s</w:t>
      </w:r>
      <w:r w:rsidRPr="005F6380">
        <w:t>, the less common it is for their people to attribute their mental ill health to work.</w:t>
      </w:r>
    </w:p>
    <w:p w14:paraId="6221AD7D" w14:textId="77777777" w:rsidR="00D82115" w:rsidRDefault="00D82115" w:rsidP="007F1FDE">
      <w:pPr>
        <w:pStyle w:val="ListNumber"/>
        <w:numPr>
          <w:ilvl w:val="3"/>
          <w:numId w:val="21"/>
        </w:numPr>
        <w:spacing w:line="276" w:lineRule="auto"/>
        <w:rPr>
          <w:rFonts w:cs="Arial"/>
          <w:iCs/>
        </w:rPr>
      </w:pPr>
      <w:r>
        <w:t>M</w:t>
      </w:r>
      <w:r w:rsidRPr="009642B8">
        <w:t xml:space="preserve">ore than half of Australian workers (56.8%) don’t believe their workplace has committed to </w:t>
      </w:r>
      <w:r w:rsidRPr="00F9621E">
        <w:rPr>
          <w:u w:val="single"/>
        </w:rPr>
        <w:t>any actions</w:t>
      </w:r>
      <w:r>
        <w:t>.</w:t>
      </w:r>
    </w:p>
    <w:p w14:paraId="4109803B" w14:textId="77777777" w:rsidR="00D82115" w:rsidRPr="00F9621E" w:rsidRDefault="00D82115" w:rsidP="007F1FDE">
      <w:pPr>
        <w:pStyle w:val="ListNumber"/>
        <w:numPr>
          <w:ilvl w:val="3"/>
          <w:numId w:val="21"/>
        </w:numPr>
        <w:spacing w:line="276" w:lineRule="auto"/>
      </w:pPr>
      <w:r>
        <w:t>T</w:t>
      </w:r>
      <w:r w:rsidRPr="006E53CE">
        <w:t xml:space="preserve">he </w:t>
      </w:r>
      <w:r w:rsidRPr="006E53CE">
        <w:rPr>
          <w:rFonts w:eastAsiaTheme="majorEastAsia" w:cstheme="majorBidi"/>
          <w:iCs/>
        </w:rPr>
        <w:t xml:space="preserve">biggest perceived </w:t>
      </w:r>
      <w:r>
        <w:rPr>
          <w:rFonts w:eastAsiaTheme="majorEastAsia" w:cstheme="majorBidi"/>
          <w:iCs/>
        </w:rPr>
        <w:t>barrier</w:t>
      </w:r>
      <w:r w:rsidRPr="006E53CE">
        <w:rPr>
          <w:rFonts w:eastAsiaTheme="majorEastAsia" w:cstheme="majorBidi"/>
          <w:iCs/>
        </w:rPr>
        <w:t xml:space="preserve"> to achieving a thriving workplace is a lack of appropriate skills among managers.</w:t>
      </w:r>
    </w:p>
    <w:p w14:paraId="24893FE3" w14:textId="00AF29D9" w:rsidR="00D82115" w:rsidRPr="00F9621E" w:rsidRDefault="00D82115" w:rsidP="007F1FDE">
      <w:pPr>
        <w:pStyle w:val="ListNumber"/>
        <w:numPr>
          <w:ilvl w:val="3"/>
          <w:numId w:val="21"/>
        </w:numPr>
        <w:spacing w:line="276" w:lineRule="auto"/>
      </w:pPr>
      <w:r w:rsidRPr="006E53CE">
        <w:rPr>
          <w:rFonts w:cs="Arial"/>
        </w:rPr>
        <w:t>Only</w:t>
      </w:r>
      <w:r>
        <w:rPr>
          <w:rFonts w:cs="Arial"/>
        </w:rPr>
        <w:t xml:space="preserve"> </w:t>
      </w:r>
      <w:r w:rsidRPr="006E53CE">
        <w:rPr>
          <w:rFonts w:cs="Arial"/>
        </w:rPr>
        <w:t>13% of Australian workers say their workplace encourages open discussion on mental health</w:t>
      </w:r>
      <w:r w:rsidR="00F404E7">
        <w:rPr>
          <w:rFonts w:cs="Arial"/>
        </w:rPr>
        <w:t>,</w:t>
      </w:r>
      <w:r>
        <w:rPr>
          <w:rFonts w:cs="Arial"/>
        </w:rPr>
        <w:t xml:space="preserve"> however</w:t>
      </w:r>
      <w:r w:rsidRPr="006E53CE">
        <w:rPr>
          <w:rFonts w:cs="Arial"/>
        </w:rPr>
        <w:t xml:space="preserve"> </w:t>
      </w:r>
      <w:r>
        <w:rPr>
          <w:rFonts w:cs="Arial"/>
        </w:rPr>
        <w:t>this improves</w:t>
      </w:r>
      <w:r w:rsidRPr="006E53CE">
        <w:rPr>
          <w:rFonts w:cs="Arial"/>
        </w:rPr>
        <w:t xml:space="preserve"> to roughly 50% if</w:t>
      </w:r>
      <w:r>
        <w:rPr>
          <w:rFonts w:cs="Arial"/>
        </w:rPr>
        <w:t xml:space="preserve"> mental health and wellbeing</w:t>
      </w:r>
      <w:r w:rsidRPr="006E53CE">
        <w:rPr>
          <w:rFonts w:cs="Arial"/>
        </w:rPr>
        <w:t xml:space="preserve"> training is provided</w:t>
      </w:r>
      <w:r>
        <w:rPr>
          <w:rFonts w:cs="Arial"/>
        </w:rPr>
        <w:t>.</w:t>
      </w:r>
    </w:p>
    <w:p w14:paraId="4064A2E2" w14:textId="77777777" w:rsidR="00D82115" w:rsidRDefault="00D82115" w:rsidP="007F1FDE">
      <w:pPr>
        <w:pStyle w:val="ListNumber"/>
        <w:numPr>
          <w:ilvl w:val="3"/>
          <w:numId w:val="21"/>
        </w:numPr>
        <w:spacing w:line="276" w:lineRule="auto"/>
      </w:pPr>
      <w:r>
        <w:rPr>
          <w:rFonts w:eastAsiaTheme="majorEastAsia" w:cstheme="majorBidi"/>
          <w:iCs/>
        </w:rPr>
        <w:t>Education</w:t>
      </w:r>
      <w:r w:rsidRPr="006E53CE">
        <w:rPr>
          <w:rFonts w:eastAsiaTheme="majorEastAsia" w:cstheme="majorBidi"/>
          <w:iCs/>
        </w:rPr>
        <w:t xml:space="preserve"> and training about mental health and wellbeing helps break down many barriers, particularly those related to skill gaps, recognition of the importance of mentally healthy workplaces</w:t>
      </w:r>
      <w:r>
        <w:rPr>
          <w:rFonts w:eastAsiaTheme="majorEastAsia" w:cstheme="majorBidi"/>
          <w:iCs/>
        </w:rPr>
        <w:t>, stigma</w:t>
      </w:r>
      <w:r w:rsidRPr="006E53CE">
        <w:rPr>
          <w:rFonts w:eastAsiaTheme="majorEastAsia" w:cstheme="majorBidi"/>
          <w:iCs/>
        </w:rPr>
        <w:t xml:space="preserve"> and managerial commitment and action.</w:t>
      </w:r>
      <w:r w:rsidRPr="006E53CE">
        <w:rPr>
          <w:rFonts w:cs="Arial"/>
        </w:rPr>
        <w:t xml:space="preserve"> </w:t>
      </w:r>
    </w:p>
    <w:p w14:paraId="6FC99383" w14:textId="77777777" w:rsidR="00D82115" w:rsidRDefault="00D82115" w:rsidP="00D82115">
      <w:pPr>
        <w:spacing w:line="276" w:lineRule="auto"/>
      </w:pPr>
    </w:p>
    <w:p w14:paraId="0DC48136" w14:textId="77777777" w:rsidR="00222C99" w:rsidRDefault="00222C99" w:rsidP="00222C99">
      <w:pPr>
        <w:spacing w:after="200" w:line="276" w:lineRule="auto"/>
      </w:pPr>
      <w:r>
        <w:t>A ‘carrot and stick’ approach is required to ensure the productivity benefits of workplace interventions are maximised. SuperFriend’s research shows that employers who invest in mentally healthy workplaces see a reduction in sickness absence, along with increased productivity and higher retention, leading to more productive workplaces with lower costs (e.g. recruitment, staff training and leave costs).</w:t>
      </w:r>
      <w:r>
        <w:rPr>
          <w:rStyle w:val="EndnoteReference"/>
        </w:rPr>
        <w:endnoteReference w:id="2"/>
      </w:r>
      <w:r>
        <w:t xml:space="preserve"> </w:t>
      </w:r>
    </w:p>
    <w:p w14:paraId="232CF982" w14:textId="2966AD52" w:rsidR="00D82115" w:rsidRDefault="00D82115" w:rsidP="00D82115">
      <w:pPr>
        <w:spacing w:line="276" w:lineRule="auto"/>
      </w:pPr>
      <w:r>
        <w:t xml:space="preserve">The 2019 insights from the Indicators of a Thriving Workplace survey reiterate the conclusions drawn from many other reports, inquiries and research findings that have been conducted and presented to Government(s) over the last decade. Each of these individually, and collectively, support the need for coordinated and collaborative efforts by many stakeholders - Governments, industry, unions, work health and safety authorities, life and health insurers and other workplace mental health and wellbeing ‘actors’ working together. The unique vehicle already established is the Mentally Healthy Workplace Alliance (Alliance). </w:t>
      </w:r>
      <w:r>
        <w:lastRenderedPageBreak/>
        <w:t xml:space="preserve">Further support and funding by Government of the Alliance and its work, and other collaborative entities underpins our recommendations for reform, as included in this submission. The Government has a clear opportunity to lead, </w:t>
      </w:r>
      <w:r w:rsidR="00222C99">
        <w:t xml:space="preserve">facilitate, </w:t>
      </w:r>
      <w:r>
        <w:t xml:space="preserve">support and endorse more cross-sector collaborations. </w:t>
      </w:r>
    </w:p>
    <w:p w14:paraId="12FA50DF" w14:textId="7B14869E" w:rsidR="00222C99" w:rsidRDefault="00222C99" w:rsidP="00222C99">
      <w:pPr>
        <w:pStyle w:val="Heading2NOTOC"/>
      </w:pPr>
      <w:r>
        <w:t>Life Insur</w:t>
      </w:r>
      <w:r w:rsidR="00316CE9">
        <w:t>ance</w:t>
      </w:r>
    </w:p>
    <w:p w14:paraId="5A09D16F" w14:textId="223AB608" w:rsidR="00D82115" w:rsidRDefault="00222C99" w:rsidP="00D82115">
      <w:pPr>
        <w:spacing w:line="276" w:lineRule="auto"/>
      </w:pPr>
      <w:r>
        <w:t>T</w:t>
      </w:r>
      <w:r w:rsidR="00D82115" w:rsidRPr="008E5D85">
        <w:t xml:space="preserve">he </w:t>
      </w:r>
      <w:r w:rsidR="00D82115">
        <w:t>l</w:t>
      </w:r>
      <w:r w:rsidR="00D82115" w:rsidRPr="008E5D85">
        <w:t xml:space="preserve">ife </w:t>
      </w:r>
      <w:r w:rsidR="00D82115">
        <w:t>i</w:t>
      </w:r>
      <w:r w:rsidR="00D82115" w:rsidRPr="008E5D85">
        <w:t xml:space="preserve">nsurance </w:t>
      </w:r>
      <w:r w:rsidR="00D82115">
        <w:t>i</w:t>
      </w:r>
      <w:r w:rsidR="00D82115" w:rsidRPr="008E5D85">
        <w:t>ndustry</w:t>
      </w:r>
      <w:r w:rsidR="00D82115">
        <w:t xml:space="preserve"> (the Industry) including</w:t>
      </w:r>
      <w:r w:rsidR="00D82115" w:rsidRPr="008E5D85">
        <w:t xml:space="preserve"> SuperFriend</w:t>
      </w:r>
      <w:r w:rsidR="00D82115">
        <w:t>,</w:t>
      </w:r>
      <w:r w:rsidR="00D82115" w:rsidRPr="008E5D85">
        <w:t xml:space="preserve"> has collaborated to develop a </w:t>
      </w:r>
      <w:r w:rsidR="00D82115">
        <w:t xml:space="preserve">separate </w:t>
      </w:r>
      <w:r w:rsidR="00D82115" w:rsidRPr="008E5D85">
        <w:t>submission signifying the Industry’s consensus in response to the Productivity Commission’s Draft Report.</w:t>
      </w:r>
      <w:r w:rsidR="00D82115">
        <w:t xml:space="preserve"> </w:t>
      </w:r>
      <w:r w:rsidR="00D82115" w:rsidRPr="008E5D85">
        <w:t>It includes recommendations for further consideration by the Productivity Commission and demonstrates the industry’s willingness, capacity and capability to be a valuable collaborator and stakeholder in achieving system</w:t>
      </w:r>
      <w:r w:rsidR="00F404E7">
        <w:t>-</w:t>
      </w:r>
      <w:r w:rsidR="00D82115">
        <w:t xml:space="preserve">wide </w:t>
      </w:r>
      <w:r w:rsidR="00D82115" w:rsidRPr="008E5D85">
        <w:t xml:space="preserve">reform for better mental health and wellbeing outcomes for all Australians. </w:t>
      </w:r>
    </w:p>
    <w:p w14:paraId="365C8953" w14:textId="77777777" w:rsidR="00222C99" w:rsidRPr="004022DC" w:rsidRDefault="00222C99" w:rsidP="00D82115">
      <w:pPr>
        <w:spacing w:line="276" w:lineRule="auto"/>
      </w:pPr>
    </w:p>
    <w:p w14:paraId="5C83678A" w14:textId="77777777" w:rsidR="00937CFA" w:rsidRDefault="00D82115" w:rsidP="00222C99">
      <w:pPr>
        <w:spacing w:line="276" w:lineRule="auto"/>
      </w:pPr>
      <w:r>
        <w:t>T</w:t>
      </w:r>
      <w:r w:rsidRPr="004022DC">
        <w:t xml:space="preserve">hrough </w:t>
      </w:r>
      <w:r>
        <w:t>SuperFriend’s</w:t>
      </w:r>
      <w:r w:rsidRPr="004022DC">
        <w:t xml:space="preserve"> partnership with the </w:t>
      </w:r>
      <w:r>
        <w:t>l</w:t>
      </w:r>
      <w:r w:rsidRPr="004022DC">
        <w:t xml:space="preserve">ife </w:t>
      </w:r>
      <w:r>
        <w:t>i</w:t>
      </w:r>
      <w:r w:rsidRPr="004022DC">
        <w:t>nsurance and</w:t>
      </w:r>
      <w:r>
        <w:t xml:space="preserve"> s</w:t>
      </w:r>
      <w:r w:rsidRPr="004022DC">
        <w:t xml:space="preserve">uperannuation industry, </w:t>
      </w:r>
      <w:r>
        <w:t xml:space="preserve">we have </w:t>
      </w:r>
      <w:r w:rsidRPr="004022DC">
        <w:t>witness</w:t>
      </w:r>
      <w:r>
        <w:t>ed</w:t>
      </w:r>
      <w:r w:rsidRPr="004022DC">
        <w:t xml:space="preserve"> a significant rise (approximately 10% increase over </w:t>
      </w:r>
      <w:r>
        <w:t>ten</w:t>
      </w:r>
      <w:r w:rsidRPr="004022DC">
        <w:t xml:space="preserve"> years) of mental health</w:t>
      </w:r>
      <w:r>
        <w:t>-</w:t>
      </w:r>
      <w:r w:rsidRPr="004022DC">
        <w:t>related claims</w:t>
      </w:r>
      <w:r>
        <w:t xml:space="preserve"> (primary cause of claim)</w:t>
      </w:r>
      <w:r w:rsidRPr="004022DC">
        <w:t xml:space="preserve"> as a proportion of overall primary claim causes.</w:t>
      </w:r>
      <w:r>
        <w:t xml:space="preserve"> This is for both income protection and total and permanent disability insurance products.</w:t>
      </w:r>
      <w:r w:rsidRPr="004022DC">
        <w:t xml:space="preserve"> These claims causes are not necessarily work</w:t>
      </w:r>
      <w:r>
        <w:t>-</w:t>
      </w:r>
      <w:r w:rsidRPr="004022DC">
        <w:t xml:space="preserve">related (as with </w:t>
      </w:r>
      <w:r>
        <w:t>work health and safety</w:t>
      </w:r>
      <w:r w:rsidRPr="004022DC">
        <w:t xml:space="preserve">) but represent a broader contextual view of Australian society’s experience with mental health conditions needing financial supports.  </w:t>
      </w:r>
      <w:r w:rsidR="00937CFA">
        <w:t xml:space="preserve">Life insurers are investing heavily in prevention to reverse this trend, which should be supported. </w:t>
      </w:r>
    </w:p>
    <w:p w14:paraId="72196FAD" w14:textId="77777777" w:rsidR="00937CFA" w:rsidRDefault="00937CFA" w:rsidP="00222C99">
      <w:pPr>
        <w:spacing w:line="276" w:lineRule="auto"/>
      </w:pPr>
    </w:p>
    <w:p w14:paraId="0146A945" w14:textId="75E3A275" w:rsidR="00222C99" w:rsidRDefault="00D82115" w:rsidP="00222C99">
      <w:pPr>
        <w:spacing w:line="276" w:lineRule="auto"/>
      </w:pPr>
      <w:r w:rsidRPr="004022DC">
        <w:t>Each year approximately $543m of workers’ compensation is paid, compared to $7</w:t>
      </w:r>
      <w:r>
        <w:t>09</w:t>
      </w:r>
      <w:r w:rsidRPr="004022DC">
        <w:t xml:space="preserve"> million through life insurance, according to recent research.</w:t>
      </w:r>
      <w:r>
        <w:rPr>
          <w:rStyle w:val="EndnoteReference"/>
        </w:rPr>
        <w:endnoteReference w:id="3"/>
      </w:r>
      <w:r w:rsidR="00222C99">
        <w:t xml:space="preserve"> </w:t>
      </w:r>
      <w:r w:rsidR="00503145">
        <w:rPr>
          <w:rFonts w:asciiTheme="majorHAnsi" w:hAnsiTheme="majorHAnsi"/>
        </w:rPr>
        <w:t>A</w:t>
      </w:r>
      <w:r w:rsidR="00503145">
        <w:t>fter Government, the life insurance industry is the largest</w:t>
      </w:r>
      <w:r w:rsidR="00F404E7">
        <w:t xml:space="preserve"> contribution of</w:t>
      </w:r>
      <w:r w:rsidR="00503145">
        <w:t xml:space="preserve"> financial and other supports for people with a mental illness. </w:t>
      </w:r>
      <w:r w:rsidR="00222C99">
        <w:t xml:space="preserve">Governments, as an example, would do well to include </w:t>
      </w:r>
      <w:r w:rsidR="00503145">
        <w:t>life insurers</w:t>
      </w:r>
      <w:r w:rsidR="00222C99">
        <w:t xml:space="preserve"> </w:t>
      </w:r>
      <w:r w:rsidR="00503145">
        <w:t>when</w:t>
      </w:r>
      <w:r w:rsidR="00222C99">
        <w:t xml:space="preserve"> designing, developing and implementing broader mental health reforms, such as those proposed in Part V: Pulling together the reforms, of the draft report.</w:t>
      </w:r>
      <w:r w:rsidR="00503145">
        <w:t xml:space="preserve"> Other recommendations for utilising the insights, knowledge, data and expertise of the life insurance industry</w:t>
      </w:r>
      <w:r w:rsidR="006950A9">
        <w:t xml:space="preserve"> in transforming mental health for all Australians,</w:t>
      </w:r>
      <w:r w:rsidR="00503145">
        <w:t xml:space="preserve"> </w:t>
      </w:r>
      <w:r w:rsidR="006950A9">
        <w:t>is</w:t>
      </w:r>
      <w:r w:rsidR="00503145">
        <w:t xml:space="preserve"> detailed the life insurance industry’s response and are unreservedly endorsed by SuperFriend.</w:t>
      </w:r>
    </w:p>
    <w:p w14:paraId="45B48017" w14:textId="0ED86E46" w:rsidR="00D82115" w:rsidRDefault="00D82115" w:rsidP="00D82115">
      <w:pPr>
        <w:spacing w:line="276" w:lineRule="auto"/>
      </w:pPr>
    </w:p>
    <w:p w14:paraId="448CE805" w14:textId="77777777" w:rsidR="002928D7" w:rsidRDefault="002928D7">
      <w:pPr>
        <w:rPr>
          <w:rFonts w:asciiTheme="majorHAnsi" w:eastAsia="Century Gothic" w:hAnsiTheme="majorHAnsi" w:cstheme="minorBidi"/>
          <w:szCs w:val="20"/>
          <w:highlight w:val="yellow"/>
        </w:rPr>
      </w:pPr>
      <w:r>
        <w:rPr>
          <w:rFonts w:asciiTheme="majorHAnsi" w:hAnsiTheme="majorHAnsi"/>
          <w:highlight w:val="yellow"/>
        </w:rPr>
        <w:br w:type="page"/>
      </w:r>
    </w:p>
    <w:p w14:paraId="639A5404" w14:textId="4CD40421" w:rsidR="002928D7" w:rsidRPr="002928D7" w:rsidRDefault="002928D7" w:rsidP="002928D7">
      <w:pPr>
        <w:pStyle w:val="Heading2NOTOC"/>
      </w:pPr>
      <w:r w:rsidRPr="002928D7">
        <w:lastRenderedPageBreak/>
        <w:t>Summary of SuperFriend’s Recommendations</w:t>
      </w:r>
    </w:p>
    <w:p w14:paraId="327872E7" w14:textId="6CADD391" w:rsidR="00744B84" w:rsidRPr="00744B84" w:rsidRDefault="00744B84" w:rsidP="003D6C10">
      <w:pPr>
        <w:pStyle w:val="ListBullet"/>
        <w:numPr>
          <w:ilvl w:val="0"/>
          <w:numId w:val="0"/>
        </w:numPr>
        <w:spacing w:before="100" w:beforeAutospacing="1" w:afterAutospacing="1" w:line="276" w:lineRule="auto"/>
        <w:contextualSpacing/>
        <w:rPr>
          <w:i/>
          <w:iCs/>
        </w:rPr>
      </w:pPr>
      <w:r w:rsidRPr="002928D7">
        <w:rPr>
          <w:rFonts w:asciiTheme="majorHAnsi" w:hAnsiTheme="majorHAnsi"/>
        </w:rPr>
        <w:t xml:space="preserve">We encourage the Productivity Commission to </w:t>
      </w:r>
      <w:r w:rsidR="00521916" w:rsidRPr="002928D7">
        <w:rPr>
          <w:rFonts w:asciiTheme="majorHAnsi" w:hAnsiTheme="majorHAnsi"/>
        </w:rPr>
        <w:t xml:space="preserve">incorporate </w:t>
      </w:r>
      <w:r w:rsidRPr="002928D7">
        <w:rPr>
          <w:rFonts w:asciiTheme="majorHAnsi" w:hAnsiTheme="majorHAnsi"/>
        </w:rPr>
        <w:t>SuperFriend’s feedback and include the following new</w:t>
      </w:r>
      <w:r w:rsidRPr="002928D7">
        <w:rPr>
          <w:rFonts w:asciiTheme="majorHAnsi" w:hAnsiTheme="majorHAnsi"/>
          <w:b/>
          <w:bCs/>
        </w:rPr>
        <w:t xml:space="preserve"> </w:t>
      </w:r>
      <w:r w:rsidRPr="002928D7">
        <w:rPr>
          <w:rFonts w:asciiTheme="majorHAnsi" w:hAnsiTheme="majorHAnsi"/>
          <w:b/>
          <w:bCs/>
          <w:color w:val="002060"/>
        </w:rPr>
        <w:t>recommendations</w:t>
      </w:r>
      <w:r w:rsidRPr="002928D7">
        <w:rPr>
          <w:rFonts w:asciiTheme="majorHAnsi" w:hAnsiTheme="majorHAnsi"/>
          <w:color w:val="002060"/>
        </w:rPr>
        <w:t xml:space="preserve"> </w:t>
      </w:r>
      <w:r w:rsidRPr="002928D7">
        <w:rPr>
          <w:rFonts w:asciiTheme="majorHAnsi" w:hAnsiTheme="majorHAnsi"/>
        </w:rPr>
        <w:t>and observations in their final report.</w:t>
      </w:r>
    </w:p>
    <w:p w14:paraId="06AE25AB" w14:textId="560BD36F" w:rsidR="00E03582" w:rsidRPr="00322982" w:rsidRDefault="00E03582" w:rsidP="003D6C10">
      <w:pPr>
        <w:pStyle w:val="ListParagraph"/>
        <w:numPr>
          <w:ilvl w:val="0"/>
          <w:numId w:val="16"/>
        </w:numPr>
        <w:spacing w:before="100" w:beforeAutospacing="1" w:after="100" w:afterAutospacing="1" w:line="276" w:lineRule="auto"/>
        <w:ind w:left="357" w:hanging="357"/>
        <w:rPr>
          <w:rFonts w:eastAsia="Times New Roman" w:cs="Arial"/>
          <w:lang w:eastAsia="en-AU"/>
        </w:rPr>
      </w:pPr>
      <w:r>
        <w:t>That the national reforms being proposed (Part V Pulling together the Reforms) are explicit in their inclusion and articulation of the role of employment</w:t>
      </w:r>
      <w:r w:rsidR="00DB01A7">
        <w:t>, employers</w:t>
      </w:r>
      <w:r>
        <w:t xml:space="preserve"> and workplaces as </w:t>
      </w:r>
      <w:r w:rsidR="00857A33">
        <w:t>important</w:t>
      </w:r>
      <w:r>
        <w:t xml:space="preserve"> non-health supports </w:t>
      </w:r>
      <w:r w:rsidR="00857A33">
        <w:t>and</w:t>
      </w:r>
      <w:r>
        <w:t xml:space="preserve"> partners.</w:t>
      </w:r>
    </w:p>
    <w:p w14:paraId="0768372A" w14:textId="77777777" w:rsidR="00322982" w:rsidRDefault="00322982" w:rsidP="003D6C10">
      <w:pPr>
        <w:pStyle w:val="ListParagraph"/>
        <w:spacing w:before="100" w:beforeAutospacing="1" w:after="100" w:afterAutospacing="1" w:line="276" w:lineRule="auto"/>
        <w:ind w:left="357"/>
        <w:rPr>
          <w:rFonts w:eastAsia="Times New Roman" w:cs="Arial"/>
          <w:lang w:eastAsia="en-AU"/>
        </w:rPr>
      </w:pPr>
    </w:p>
    <w:p w14:paraId="4B3E4295" w14:textId="34A4B51E" w:rsidR="00C54F00" w:rsidRDefault="00C54F00" w:rsidP="003D6C10">
      <w:pPr>
        <w:pStyle w:val="ListParagraph"/>
        <w:numPr>
          <w:ilvl w:val="0"/>
          <w:numId w:val="16"/>
        </w:numPr>
        <w:spacing w:before="100" w:beforeAutospacing="1" w:after="100" w:afterAutospacing="1"/>
      </w:pPr>
      <w:r w:rsidRPr="00C54F00">
        <w:rPr>
          <w:lang w:eastAsia="en-AU"/>
        </w:rPr>
        <w:t>Request that ASIC issue</w:t>
      </w:r>
      <w:r w:rsidR="003F6439">
        <w:rPr>
          <w:lang w:eastAsia="en-AU"/>
        </w:rPr>
        <w:t>s</w:t>
      </w:r>
      <w:r w:rsidRPr="00C54F00">
        <w:rPr>
          <w:lang w:eastAsia="en-AU"/>
        </w:rPr>
        <w:t xml:space="preserve"> clarification on Superannuation (Industry) Supervision Act regulation Section 68A to confirm that evidence-based mental health education initiatives provided to members via the employer </w:t>
      </w:r>
      <w:r w:rsidRPr="00C54F00">
        <w:rPr>
          <w:bCs/>
          <w:u w:val="single"/>
          <w:lang w:eastAsia="en-AU"/>
        </w:rPr>
        <w:t>are not</w:t>
      </w:r>
      <w:r w:rsidRPr="00C54F00">
        <w:rPr>
          <w:lang w:eastAsia="en-AU"/>
        </w:rPr>
        <w:t xml:space="preserve"> considered employer inducements under the regulations.</w:t>
      </w:r>
      <w:r w:rsidRPr="00C54F00">
        <w:t xml:space="preserve"> </w:t>
      </w:r>
    </w:p>
    <w:p w14:paraId="764D3226" w14:textId="77777777" w:rsidR="00322982" w:rsidRDefault="00322982" w:rsidP="003D6C10">
      <w:pPr>
        <w:pStyle w:val="ListParagraph"/>
        <w:spacing w:before="100" w:beforeAutospacing="1" w:after="100" w:afterAutospacing="1"/>
      </w:pPr>
    </w:p>
    <w:p w14:paraId="72E4E596" w14:textId="48499DF9" w:rsidR="00C54F00" w:rsidRPr="00C54F00" w:rsidRDefault="00C54F00" w:rsidP="003D6C10">
      <w:pPr>
        <w:pStyle w:val="ListParagraph"/>
        <w:numPr>
          <w:ilvl w:val="0"/>
          <w:numId w:val="16"/>
        </w:numPr>
        <w:spacing w:before="100" w:beforeAutospacing="1" w:after="100" w:afterAutospacing="1"/>
      </w:pPr>
      <w:r w:rsidRPr="00C54F00">
        <w:t>Amend Workplace Health &amp; Safety standards to:</w:t>
      </w:r>
    </w:p>
    <w:p w14:paraId="52489092" w14:textId="77777777" w:rsidR="00C54F00" w:rsidRPr="00C54F00" w:rsidRDefault="00C54F00" w:rsidP="003D6C10">
      <w:pPr>
        <w:pStyle w:val="ListNumber2"/>
        <w:numPr>
          <w:ilvl w:val="4"/>
          <w:numId w:val="25"/>
        </w:numPr>
        <w:spacing w:before="100" w:beforeAutospacing="1" w:after="100" w:afterAutospacing="1" w:line="276" w:lineRule="auto"/>
        <w:contextualSpacing/>
      </w:pPr>
      <w:r w:rsidRPr="00C54F00">
        <w:t xml:space="preserve">Require Work Health and Safety Regulators to develop clear, definitive and evidence-based guidance material for workplace competency training in mental health, with a minimum content requirement of: </w:t>
      </w:r>
    </w:p>
    <w:p w14:paraId="44DF0C3A" w14:textId="77777777" w:rsidR="00C54F00" w:rsidRPr="00C54F00" w:rsidRDefault="00C54F00" w:rsidP="003D6C10">
      <w:pPr>
        <w:pStyle w:val="ListParagraph"/>
        <w:numPr>
          <w:ilvl w:val="5"/>
          <w:numId w:val="24"/>
        </w:numPr>
        <w:spacing w:before="100" w:beforeAutospacing="1" w:after="100" w:afterAutospacing="1" w:line="276" w:lineRule="auto"/>
        <w:rPr>
          <w:rFonts w:eastAsia="Times New Roman" w:cs="Arial"/>
          <w:lang w:eastAsia="en-AU"/>
        </w:rPr>
      </w:pPr>
      <w:r w:rsidRPr="00C54F00">
        <w:rPr>
          <w:rFonts w:eastAsia="Times New Roman" w:cs="Arial"/>
          <w:lang w:eastAsia="en-AU"/>
        </w:rPr>
        <w:t>Symptoms of compromised mental health (mental ill-health and mental health conditions)</w:t>
      </w:r>
    </w:p>
    <w:p w14:paraId="3BE4E915" w14:textId="77777777" w:rsidR="00C54F00" w:rsidRPr="00C54F00" w:rsidRDefault="00C54F00" w:rsidP="003D6C10">
      <w:pPr>
        <w:pStyle w:val="ListParagraph"/>
        <w:numPr>
          <w:ilvl w:val="5"/>
          <w:numId w:val="24"/>
        </w:numPr>
        <w:spacing w:before="100" w:beforeAutospacing="1" w:after="100" w:afterAutospacing="1" w:line="276" w:lineRule="auto"/>
        <w:rPr>
          <w:rFonts w:eastAsia="Times New Roman" w:cs="Arial"/>
          <w:lang w:eastAsia="en-AU"/>
        </w:rPr>
      </w:pPr>
      <w:r w:rsidRPr="00C54F00">
        <w:rPr>
          <w:rFonts w:eastAsia="Times New Roman" w:cs="Arial"/>
          <w:lang w:eastAsia="en-AU"/>
        </w:rPr>
        <w:t>Definition of psychological safety (as it pertains to work and the legislation)</w:t>
      </w:r>
    </w:p>
    <w:p w14:paraId="57CEA691" w14:textId="77777777" w:rsidR="00C54F00" w:rsidRPr="00C54F00" w:rsidRDefault="00C54F00" w:rsidP="003D6C10">
      <w:pPr>
        <w:pStyle w:val="ListParagraph"/>
        <w:numPr>
          <w:ilvl w:val="5"/>
          <w:numId w:val="24"/>
        </w:numPr>
        <w:spacing w:before="100" w:beforeAutospacing="1" w:after="100" w:afterAutospacing="1" w:line="276" w:lineRule="auto"/>
        <w:rPr>
          <w:rFonts w:eastAsia="Times New Roman" w:cs="Arial"/>
          <w:lang w:eastAsia="en-AU"/>
        </w:rPr>
      </w:pPr>
      <w:r w:rsidRPr="00C54F00">
        <w:t>How to identify at risk co-workers, and</w:t>
      </w:r>
    </w:p>
    <w:p w14:paraId="2DD8DDA5" w14:textId="77777777" w:rsidR="00C54F00" w:rsidRPr="00C54F00" w:rsidRDefault="00C54F00" w:rsidP="003D6C10">
      <w:pPr>
        <w:pStyle w:val="ListParagraph"/>
        <w:numPr>
          <w:ilvl w:val="5"/>
          <w:numId w:val="24"/>
        </w:numPr>
        <w:spacing w:before="100" w:beforeAutospacing="1" w:after="100" w:afterAutospacing="1" w:line="276" w:lineRule="auto"/>
        <w:rPr>
          <w:rFonts w:eastAsia="Times New Roman" w:cs="Arial"/>
          <w:lang w:eastAsia="en-AU"/>
        </w:rPr>
      </w:pPr>
      <w:r w:rsidRPr="00C54F00">
        <w:rPr>
          <w:rFonts w:eastAsia="Times New Roman" w:cs="Arial"/>
          <w:lang w:eastAsia="en-AU"/>
        </w:rPr>
        <w:t>How and where to refer or self-refer.</w:t>
      </w:r>
    </w:p>
    <w:p w14:paraId="51F8D945" w14:textId="21067641" w:rsidR="00322982" w:rsidRPr="00C54F00" w:rsidRDefault="00C54F00" w:rsidP="003D6C10">
      <w:pPr>
        <w:pStyle w:val="ListNumber2"/>
        <w:numPr>
          <w:ilvl w:val="4"/>
          <w:numId w:val="26"/>
        </w:numPr>
        <w:spacing w:before="100" w:beforeAutospacing="1" w:after="100" w:afterAutospacing="1" w:line="276" w:lineRule="auto"/>
        <w:contextualSpacing/>
        <w:rPr>
          <w:lang w:eastAsia="en-AU"/>
        </w:rPr>
      </w:pPr>
      <w:r w:rsidRPr="00C54F00">
        <w:t>Require employers, where there has been a psychological injury claim (irrespective of liability), to provide evidence-informed p</w:t>
      </w:r>
      <w:r w:rsidRPr="00C54F00">
        <w:rPr>
          <w:lang w:eastAsia="en-AU"/>
        </w:rPr>
        <w:t>revention initiatives that focus on reducing risk factors for mental ill-health and enhancing protective factors (for promoting positive mental health and wellbeing) through EAPs or other suitably qualified providers, meeting the above minimum content requirement. The work health and safety regulator should ensure employers are meeting this requirement.</w:t>
      </w:r>
    </w:p>
    <w:p w14:paraId="6532A237" w14:textId="5292FCB2" w:rsidR="0006540B" w:rsidRPr="0006540B" w:rsidRDefault="0006540B" w:rsidP="003D6C10">
      <w:pPr>
        <w:pStyle w:val="ListParagraph"/>
        <w:numPr>
          <w:ilvl w:val="0"/>
          <w:numId w:val="16"/>
        </w:numPr>
        <w:spacing w:before="100" w:beforeAutospacing="1" w:after="100" w:afterAutospacing="1"/>
      </w:pPr>
      <w:r w:rsidRPr="0006540B">
        <w:t xml:space="preserve">Provide Government funding for implementation support of the Mentally Healthy Workplace Alliance’s National Workplace Initiative. </w:t>
      </w:r>
    </w:p>
    <w:p w14:paraId="1303F158" w14:textId="77777777" w:rsidR="0006540B" w:rsidRDefault="0006540B" w:rsidP="003D6C10">
      <w:pPr>
        <w:pStyle w:val="ListParagraph"/>
        <w:spacing w:before="100" w:beforeAutospacing="1" w:after="100" w:afterAutospacing="1" w:line="276" w:lineRule="auto"/>
        <w:ind w:left="360"/>
      </w:pPr>
    </w:p>
    <w:p w14:paraId="50838A75" w14:textId="32FFCCDC" w:rsidR="006F0CFF" w:rsidRPr="006F0CFF" w:rsidRDefault="0042701F" w:rsidP="003D6C10">
      <w:pPr>
        <w:pStyle w:val="ListParagraph"/>
        <w:numPr>
          <w:ilvl w:val="0"/>
          <w:numId w:val="16"/>
        </w:numPr>
        <w:spacing w:before="100" w:beforeAutospacing="1" w:after="100" w:afterAutospacing="1"/>
      </w:pPr>
      <w:r>
        <w:t>I</w:t>
      </w:r>
      <w:r w:rsidR="006F0CFF" w:rsidRPr="006F0CFF">
        <w:t>nclude the new and modified recommendations (1 through 8) from the Life Insurance Industry Submission in their final report.</w:t>
      </w:r>
    </w:p>
    <w:p w14:paraId="45CB8AA1" w14:textId="77777777" w:rsidR="005D25E1" w:rsidRDefault="005D25E1" w:rsidP="003D6C10">
      <w:pPr>
        <w:pStyle w:val="ListParagraph"/>
        <w:spacing w:before="100" w:beforeAutospacing="1" w:after="100" w:afterAutospacing="1"/>
        <w:ind w:left="360"/>
      </w:pPr>
    </w:p>
    <w:p w14:paraId="4B47EB6B" w14:textId="1946A242" w:rsidR="00172B68" w:rsidRDefault="00172B68" w:rsidP="003D6C10">
      <w:pPr>
        <w:pStyle w:val="ListParagraph"/>
        <w:numPr>
          <w:ilvl w:val="0"/>
          <w:numId w:val="16"/>
        </w:numPr>
        <w:spacing w:before="100" w:beforeAutospacing="1" w:after="100" w:afterAutospacing="1"/>
      </w:pPr>
      <w:r w:rsidRPr="00172B68">
        <w:t>The National Workplace Initiative should monitor and collect evidence f</w:t>
      </w:r>
      <w:r w:rsidR="005D25E1">
        <w:t>ro</w:t>
      </w:r>
      <w:r w:rsidRPr="00172B68">
        <w:t xml:space="preserve">m employer-initiated interventions to create mentally healthy workplaces and improve and protect the mental health of their employees. The National Workplace Initiative should advise employers of effective interventions that could be appropriate for their workplace (provided Recommendation 4 is also made). </w:t>
      </w:r>
    </w:p>
    <w:p w14:paraId="2A992FBD" w14:textId="77777777" w:rsidR="005D25E1" w:rsidRDefault="005D25E1" w:rsidP="003D6C10">
      <w:pPr>
        <w:pStyle w:val="ListParagraph"/>
        <w:spacing w:before="100" w:beforeAutospacing="1" w:after="100" w:afterAutospacing="1"/>
      </w:pPr>
    </w:p>
    <w:p w14:paraId="5B024C1E" w14:textId="20C19700" w:rsidR="005D25E1" w:rsidRPr="005D25E1" w:rsidRDefault="005D25E1" w:rsidP="003D6C10">
      <w:pPr>
        <w:pStyle w:val="ListParagraph"/>
        <w:numPr>
          <w:ilvl w:val="0"/>
          <w:numId w:val="16"/>
        </w:numPr>
        <w:spacing w:before="100" w:beforeAutospacing="1" w:after="100" w:afterAutospacing="1" w:line="276" w:lineRule="auto"/>
      </w:pPr>
      <w:r w:rsidRPr="005D25E1">
        <w:lastRenderedPageBreak/>
        <w:t>WHS agencies, in collaboration with life insurers, workplace rehabilitation and other health experts</w:t>
      </w:r>
      <w:r>
        <w:t xml:space="preserve">, </w:t>
      </w:r>
      <w:r w:rsidR="00857A33">
        <w:t xml:space="preserve">people with </w:t>
      </w:r>
      <w:r>
        <w:t>live</w:t>
      </w:r>
      <w:r w:rsidR="00857A33">
        <w:t>d</w:t>
      </w:r>
      <w:r>
        <w:t xml:space="preserve"> experience</w:t>
      </w:r>
      <w:r w:rsidR="00857A33">
        <w:t>,</w:t>
      </w:r>
      <w:r w:rsidRPr="005D25E1">
        <w:t xml:space="preserve"> and business should develop, monitor and collect evidence of return to work and stay at work employer-initiated interventions. WHS agencies should advise employers of effective interventions that could be appropriate for their workplace and provide guidance the NWI in the promotion of evidence informed return to work and stay at work interventions.</w:t>
      </w:r>
    </w:p>
    <w:p w14:paraId="6CCE2E16" w14:textId="77777777" w:rsidR="006950A9" w:rsidRDefault="006950A9">
      <w:pPr>
        <w:rPr>
          <w:b/>
          <w:bCs/>
          <w:iCs/>
          <w:color w:val="1C5692" w:themeColor="text2"/>
          <w:sz w:val="32"/>
          <w:szCs w:val="28"/>
        </w:rPr>
      </w:pPr>
      <w:r>
        <w:br w:type="page"/>
      </w:r>
    </w:p>
    <w:p w14:paraId="7E3A9C54" w14:textId="36178DA7" w:rsidR="00D82115" w:rsidRDefault="00D82115" w:rsidP="00D82115">
      <w:pPr>
        <w:pStyle w:val="Heading1"/>
        <w:spacing w:before="0" w:after="200" w:line="276" w:lineRule="auto"/>
      </w:pPr>
      <w:bookmarkStart w:id="3" w:name="_Toc30689336"/>
      <w:r>
        <w:lastRenderedPageBreak/>
        <w:t xml:space="preserve">Pulling </w:t>
      </w:r>
      <w:r w:rsidR="00D50717">
        <w:t>T</w:t>
      </w:r>
      <w:r>
        <w:t>ogether the Reforms</w:t>
      </w:r>
      <w:bookmarkEnd w:id="3"/>
    </w:p>
    <w:p w14:paraId="298C456B" w14:textId="031E0589" w:rsidR="00D82115" w:rsidRDefault="00D82115" w:rsidP="00D82115">
      <w:pPr>
        <w:spacing w:after="200" w:line="276" w:lineRule="auto"/>
      </w:pPr>
      <w:r>
        <w:t>SuperFriend endorses the draft recommendation i</w:t>
      </w:r>
      <w:r w:rsidR="000D582E">
        <w:t>n</w:t>
      </w:r>
      <w:r>
        <w:t xml:space="preserve"> Part V: Pulling together the reforms, and the interjurisdictional statutory authority role being proposed (information request 22.1) for the National Mental Health Commission. SuperFriend urges the Productivity Commission to consider the following modifications to those draft recommendations.</w:t>
      </w:r>
    </w:p>
    <w:p w14:paraId="054FD9F0" w14:textId="3D1D713A" w:rsidR="00D82115" w:rsidRDefault="00D82115" w:rsidP="00D82115">
      <w:pPr>
        <w:spacing w:after="200" w:line="276" w:lineRule="auto"/>
      </w:pPr>
      <w:r>
        <w:t xml:space="preserve">Given mental health </w:t>
      </w:r>
      <w:r w:rsidR="000D582E">
        <w:t>a</w:t>
      </w:r>
      <w:r>
        <w:t xml:space="preserve">ffects ALL Australians, it makes sense to have a whole of government strategy with responsibility and accountability through COAG. It will be system reform that reorients ALL governments to consider and demonstrate the mental health and wellbeing impacts of all decisions, legislative reforms and policies </w:t>
      </w:r>
      <w:r w:rsidR="000D582E">
        <w:t xml:space="preserve">on </w:t>
      </w:r>
      <w:r>
        <w:t xml:space="preserve">the Australian population, alongside economic and other desired impacts. Aspirational as this may seem, we are seeing other countries such as New Zealand (e.g. wellbeing budget) and Canada (e.g. National Standards for Psychological Safety in the Workplace) emphasise and invest in whole of government mental health-oriented policies and initiatives to benefit their countries citizens and their economy. </w:t>
      </w:r>
    </w:p>
    <w:p w14:paraId="49F898B3" w14:textId="2D8D8D1F" w:rsidR="002928D7" w:rsidRDefault="00D82115" w:rsidP="00D82115">
      <w:pPr>
        <w:spacing w:after="200" w:line="276" w:lineRule="auto"/>
      </w:pPr>
      <w:r>
        <w:t xml:space="preserve">One aspect, that is central to SuperFriend’s work, is the role of work and workplaces and how </w:t>
      </w:r>
      <w:r w:rsidRPr="00FF412C">
        <w:t>creat</w:t>
      </w:r>
      <w:r>
        <w:t>ing</w:t>
      </w:r>
      <w:r w:rsidRPr="00FF412C">
        <w:t xml:space="preserve"> flourishing workplaces</w:t>
      </w:r>
      <w:r>
        <w:t xml:space="preserve"> enable people to be their best selves, be safe doing good work and go home with enough energy to spare. This is fundamental for all Australian workers and employers. As proposed in this section of the draft report, it relies on more integrated approaches across Government and led by Governments. </w:t>
      </w:r>
    </w:p>
    <w:p w14:paraId="2A6BA9F1" w14:textId="098D00BC" w:rsidR="000D582E" w:rsidRDefault="000D582E" w:rsidP="00D82115">
      <w:pPr>
        <w:spacing w:after="200" w:line="276" w:lineRule="auto"/>
      </w:pPr>
      <w:r>
        <w:t>To strengthen the existing recommendations in Part V, and to avoid repeating the challenges of the current health-oriented focus to mental health, SuperFriend is proposing the following recommendation.</w:t>
      </w:r>
    </w:p>
    <w:p w14:paraId="624A5155" w14:textId="77777777" w:rsidR="00A3175C" w:rsidRDefault="00B50854" w:rsidP="00D82115">
      <w:pPr>
        <w:spacing w:after="200" w:line="276" w:lineRule="auto"/>
        <w:rPr>
          <w:color w:val="002060"/>
        </w:rPr>
      </w:pPr>
      <w:bookmarkStart w:id="4" w:name="_Toc30689337"/>
      <w:r w:rsidRPr="00A3175C">
        <w:rPr>
          <w:rStyle w:val="Heading3Char"/>
          <w:color w:val="002060"/>
          <w:u w:val="single"/>
        </w:rPr>
        <w:t xml:space="preserve">SuperFriend </w:t>
      </w:r>
      <w:r w:rsidR="002928D7" w:rsidRPr="00A3175C">
        <w:rPr>
          <w:rStyle w:val="Heading3Char"/>
          <w:color w:val="002060"/>
          <w:u w:val="single"/>
        </w:rPr>
        <w:t>Recommendation 1:</w:t>
      </w:r>
      <w:bookmarkEnd w:id="4"/>
      <w:r w:rsidR="002928D7" w:rsidRPr="00A3175C">
        <w:rPr>
          <w:b/>
          <w:bCs/>
          <w:color w:val="002060"/>
        </w:rPr>
        <w:t xml:space="preserve"> </w:t>
      </w:r>
    </w:p>
    <w:p w14:paraId="5E66BB89" w14:textId="08633DE6" w:rsidR="00F414A3" w:rsidRDefault="00F414A3" w:rsidP="00D82115">
      <w:pPr>
        <w:spacing w:after="200" w:line="276" w:lineRule="auto"/>
        <w:rPr>
          <w:color w:val="002060"/>
        </w:rPr>
      </w:pPr>
      <w:r w:rsidRPr="00F414A3">
        <w:rPr>
          <w:color w:val="002060"/>
        </w:rPr>
        <w:t>That the national reforms being proposed (Part V Pulling together the Reforms) are explicit in their inclusion and articulation of the role of employment, employers and workplaces as some of the non-health supports or partners</w:t>
      </w:r>
      <w:r w:rsidR="00D82115" w:rsidRPr="00F414A3">
        <w:rPr>
          <w:color w:val="002060"/>
        </w:rPr>
        <w:t xml:space="preserve">. </w:t>
      </w:r>
    </w:p>
    <w:p w14:paraId="63688B46" w14:textId="39286991" w:rsidR="00D82115" w:rsidRDefault="00D82115" w:rsidP="00D82115">
      <w:pPr>
        <w:spacing w:after="200" w:line="276" w:lineRule="auto"/>
      </w:pPr>
      <w:r>
        <w:t>Consideration for:</w:t>
      </w:r>
    </w:p>
    <w:p w14:paraId="3CB3FA62" w14:textId="1EBB2C88" w:rsidR="00D82115" w:rsidRDefault="00D82115" w:rsidP="006950A9">
      <w:pPr>
        <w:pStyle w:val="ListBullet"/>
        <w:spacing w:line="276" w:lineRule="auto"/>
      </w:pPr>
      <w:r>
        <w:t>Specifically calling out and including mention of workplaces and employ</w:t>
      </w:r>
      <w:r w:rsidR="0076502E">
        <w:t>ers</w:t>
      </w:r>
      <w:r>
        <w:t xml:space="preserve"> as key partners in developing the National Mental Health and Suicide Prevention Agreement</w:t>
      </w:r>
      <w:r w:rsidRPr="0087109B">
        <w:t xml:space="preserve"> </w:t>
      </w:r>
      <w:r>
        <w:t xml:space="preserve">(draft recommendation 22.1). Workplaces can play an instrumental role in assisting Governments to implementing it, and therefore need to be at the table when developing such an agreement. </w:t>
      </w:r>
      <w:r w:rsidR="008A4C4D">
        <w:t>T</w:t>
      </w:r>
      <w:r>
        <w:t>he Mentally Healthy Workplace Alliance could facilitate this role effectively.</w:t>
      </w:r>
    </w:p>
    <w:p w14:paraId="5F996867" w14:textId="77777777" w:rsidR="00D82115" w:rsidRDefault="00D82115" w:rsidP="006950A9">
      <w:pPr>
        <w:pStyle w:val="ListBullet"/>
        <w:spacing w:line="276" w:lineRule="auto"/>
      </w:pPr>
      <w:r>
        <w:t xml:space="preserve">The whole of Government strategy (draft recommendation 22.2) to articulate clearly the role of workplaces (in addition to other non-health factors) in improving mental health for Australians. Therefore, we propose that COAG Health Council’s terms of reference and focus is articulated in the recommendation as being broader than health system reforms, </w:t>
      </w:r>
      <w:r>
        <w:lastRenderedPageBreak/>
        <w:t xml:space="preserve">to include the role of work and workplaces (such as through collaboration with the Mentally Healthy Workplace Alliance) </w:t>
      </w:r>
    </w:p>
    <w:p w14:paraId="1B47195A" w14:textId="77777777" w:rsidR="00D82115" w:rsidRDefault="00D82115" w:rsidP="006950A9">
      <w:pPr>
        <w:pStyle w:val="ListBullet"/>
        <w:spacing w:line="276" w:lineRule="auto"/>
      </w:pPr>
      <w:r>
        <w:t>Targets for outcomes (draft recommendation 22.4) including workplace targets (delivered and measured through work health and safety authority work and the National Workplace Initiative being developed by the Mentally Healthy Workplace Alliance)</w:t>
      </w:r>
    </w:p>
    <w:p w14:paraId="11A454AF" w14:textId="77777777" w:rsidR="00D82115" w:rsidRDefault="00D82115" w:rsidP="006950A9">
      <w:pPr>
        <w:pStyle w:val="ListBullet"/>
        <w:spacing w:line="276" w:lineRule="auto"/>
      </w:pPr>
      <w:r>
        <w:t>Evaluation of impact (draft recommendation 22.5) should explicitly include expectations of impact measurement for the ‘actors’ in workplace mental health. This includes work health and safety authorities, the National Workplace Initiative, and other government funded workplace initiatives (that should consider mental health impacts, irrespective of the intended nature of the initiative).</w:t>
      </w:r>
    </w:p>
    <w:p w14:paraId="593A7C1C" w14:textId="4D42280E" w:rsidR="00D82115" w:rsidRDefault="00D82115">
      <w:pPr>
        <w:rPr>
          <w:b/>
          <w:bCs/>
          <w:iCs/>
          <w:color w:val="1C5692" w:themeColor="text2"/>
          <w:sz w:val="32"/>
          <w:szCs w:val="28"/>
        </w:rPr>
      </w:pPr>
      <w:r>
        <w:br w:type="page"/>
      </w:r>
    </w:p>
    <w:p w14:paraId="53DD838C" w14:textId="3E40DBBB" w:rsidR="003C2A05" w:rsidRDefault="00C121AD" w:rsidP="009642B8">
      <w:pPr>
        <w:pStyle w:val="Heading1"/>
        <w:spacing w:before="0" w:after="200" w:line="276" w:lineRule="auto"/>
      </w:pPr>
      <w:bookmarkStart w:id="5" w:name="_Toc30689338"/>
      <w:r w:rsidRPr="00B97D4C">
        <w:lastRenderedPageBreak/>
        <w:t xml:space="preserve">Early </w:t>
      </w:r>
      <w:r w:rsidRPr="00FF06F1">
        <w:t>Intervention</w:t>
      </w:r>
      <w:r w:rsidRPr="00B97D4C">
        <w:t xml:space="preserve"> and Prevention</w:t>
      </w:r>
      <w:bookmarkEnd w:id="5"/>
    </w:p>
    <w:p w14:paraId="21D60762" w14:textId="77777777" w:rsidR="00711EFF" w:rsidRDefault="0045111F" w:rsidP="009642B8">
      <w:pPr>
        <w:pStyle w:val="ListParagraph"/>
        <w:pBdr>
          <w:top w:val="single" w:sz="8" w:space="1" w:color="1C5692"/>
          <w:left w:val="single" w:sz="8" w:space="4" w:color="1C5692"/>
          <w:bottom w:val="single" w:sz="8" w:space="1" w:color="1C5692"/>
          <w:right w:val="single" w:sz="8" w:space="4" w:color="1C5692"/>
        </w:pBdr>
        <w:spacing w:after="200" w:line="276" w:lineRule="auto"/>
        <w:ind w:left="0"/>
        <w:rPr>
          <w:lang w:eastAsia="en-AU"/>
        </w:rPr>
      </w:pPr>
      <w:r w:rsidRPr="0045111F">
        <w:rPr>
          <w:lang w:eastAsia="en-AU"/>
        </w:rPr>
        <w:t>Mental health conditions are not inevitable and there is now considerable scientific evidence that shows many conditions are preventable.</w:t>
      </w:r>
      <w:r w:rsidRPr="00CA06F6">
        <w:rPr>
          <w:rStyle w:val="EndnoteReference"/>
          <w:rFonts w:eastAsia="Times New Roman" w:cs="Arial"/>
          <w:lang w:eastAsia="en-AU"/>
        </w:rPr>
        <w:endnoteReference w:id="4"/>
      </w:r>
      <w:r w:rsidRPr="00CA06F6">
        <w:rPr>
          <w:lang w:eastAsia="en-AU"/>
        </w:rPr>
        <w:t xml:space="preserve"> </w:t>
      </w:r>
    </w:p>
    <w:p w14:paraId="0BAD595A" w14:textId="4DE8789C" w:rsidR="00A56632" w:rsidRDefault="0045111F" w:rsidP="009642B8">
      <w:pPr>
        <w:pStyle w:val="ListParagraph"/>
        <w:pBdr>
          <w:top w:val="single" w:sz="8" w:space="1" w:color="1C5692"/>
          <w:left w:val="single" w:sz="8" w:space="4" w:color="1C5692"/>
          <w:bottom w:val="single" w:sz="8" w:space="1" w:color="1C5692"/>
          <w:right w:val="single" w:sz="8" w:space="4" w:color="1C5692"/>
        </w:pBdr>
        <w:spacing w:after="200" w:line="276" w:lineRule="auto"/>
        <w:ind w:left="0"/>
        <w:rPr>
          <w:lang w:eastAsia="en-AU"/>
        </w:rPr>
      </w:pPr>
      <w:r w:rsidRPr="0045111F">
        <w:rPr>
          <w:lang w:eastAsia="en-AU"/>
        </w:rPr>
        <w:t>There is also good evidence showing the prevention of mental health conditions is cost effective and can produce savings</w:t>
      </w:r>
      <w:r w:rsidR="00526798">
        <w:rPr>
          <w:lang w:eastAsia="en-AU"/>
        </w:rPr>
        <w:t>.</w:t>
      </w:r>
      <w:r w:rsidRPr="00CA06F6">
        <w:rPr>
          <w:rStyle w:val="EndnoteReference"/>
          <w:rFonts w:eastAsia="Times New Roman" w:cs="Arial"/>
          <w:lang w:eastAsia="en-AU"/>
        </w:rPr>
        <w:endnoteReference w:id="5"/>
      </w:r>
    </w:p>
    <w:p w14:paraId="2E70608E" w14:textId="77777777" w:rsidR="00B50854" w:rsidRPr="00B50854" w:rsidRDefault="00B50854" w:rsidP="00B50854">
      <w:pPr>
        <w:pStyle w:val="Heading3"/>
        <w:spacing w:before="0" w:after="200" w:line="276" w:lineRule="auto"/>
        <w:rPr>
          <w:color w:val="002060"/>
          <w:u w:val="single"/>
        </w:rPr>
      </w:pPr>
      <w:bookmarkStart w:id="6" w:name="_Toc30689339"/>
      <w:r w:rsidRPr="00B50854">
        <w:rPr>
          <w:color w:val="002060"/>
          <w:u w:val="single"/>
        </w:rPr>
        <w:t>SuperFriend Recommendation 2</w:t>
      </w:r>
      <w:bookmarkEnd w:id="6"/>
    </w:p>
    <w:p w14:paraId="2834E135" w14:textId="2F3F90DA" w:rsidR="00B50854" w:rsidRDefault="00B50854" w:rsidP="00B50854">
      <w:pPr>
        <w:rPr>
          <w:color w:val="002060"/>
        </w:rPr>
      </w:pPr>
      <w:r w:rsidRPr="00B50854">
        <w:rPr>
          <w:color w:val="002060"/>
          <w:lang w:eastAsia="en-AU"/>
        </w:rPr>
        <w:t>Request that ASIC issue</w:t>
      </w:r>
      <w:r w:rsidR="003F6439">
        <w:rPr>
          <w:color w:val="002060"/>
          <w:lang w:eastAsia="en-AU"/>
        </w:rPr>
        <w:t>s</w:t>
      </w:r>
      <w:r w:rsidRPr="00B50854">
        <w:rPr>
          <w:color w:val="002060"/>
          <w:lang w:eastAsia="en-AU"/>
        </w:rPr>
        <w:t xml:space="preserve"> clarification on Superannuation (Industry) Supervision Act regulation Section 68A to confirm that evidence-based mental health education initiatives provided to members via the employer </w:t>
      </w:r>
      <w:r w:rsidRPr="00B50854">
        <w:rPr>
          <w:bCs/>
          <w:color w:val="002060"/>
          <w:u w:val="single"/>
          <w:lang w:eastAsia="en-AU"/>
        </w:rPr>
        <w:t>are not</w:t>
      </w:r>
      <w:r w:rsidRPr="00B50854">
        <w:rPr>
          <w:color w:val="002060"/>
          <w:lang w:eastAsia="en-AU"/>
        </w:rPr>
        <w:t xml:space="preserve"> considered employer inducements under the regulations.</w:t>
      </w:r>
      <w:r w:rsidRPr="00B50854">
        <w:rPr>
          <w:color w:val="002060"/>
        </w:rPr>
        <w:t xml:space="preserve"> </w:t>
      </w:r>
    </w:p>
    <w:p w14:paraId="3723F15A" w14:textId="77777777" w:rsidR="00B50854" w:rsidRPr="00B50854" w:rsidRDefault="00B50854" w:rsidP="00B50854">
      <w:pPr>
        <w:rPr>
          <w:color w:val="002060"/>
          <w:lang w:eastAsia="en-AU"/>
        </w:rPr>
      </w:pPr>
    </w:p>
    <w:p w14:paraId="0FB07BE2" w14:textId="78EECBDB" w:rsidR="00B50854" w:rsidRDefault="00B50854" w:rsidP="00B50854">
      <w:pPr>
        <w:spacing w:line="276" w:lineRule="auto"/>
      </w:pPr>
      <w:r>
        <w:t>Section 68A prohibits a trustee or its associates from engaging in particular conduct if it would reasonably be expected to influence an employer to:</w:t>
      </w:r>
    </w:p>
    <w:p w14:paraId="008D477A" w14:textId="77777777" w:rsidR="00B50854" w:rsidRDefault="00B50854" w:rsidP="007F1FDE">
      <w:pPr>
        <w:pStyle w:val="ListBullet3"/>
        <w:numPr>
          <w:ilvl w:val="2"/>
          <w:numId w:val="22"/>
        </w:numPr>
      </w:pPr>
      <w:r>
        <w:t>choose a default fund for employees, or</w:t>
      </w:r>
    </w:p>
    <w:p w14:paraId="46FBB38A" w14:textId="77777777" w:rsidR="00B50854" w:rsidRDefault="00B50854" w:rsidP="007F1FDE">
      <w:pPr>
        <w:pStyle w:val="ListBullet3"/>
        <w:numPr>
          <w:ilvl w:val="2"/>
          <w:numId w:val="22"/>
        </w:numPr>
      </w:pPr>
      <w:r>
        <w:t>encourage employees to choose or retain membership of a fund</w:t>
      </w:r>
    </w:p>
    <w:p w14:paraId="0A3CA2F2" w14:textId="6098BFE3" w:rsidR="00B50854" w:rsidRPr="00297EBC" w:rsidRDefault="00297EBC" w:rsidP="00297EBC">
      <w:pPr>
        <w:pStyle w:val="Heading4"/>
        <w:rPr>
          <w:i/>
          <w:iCs w:val="0"/>
        </w:rPr>
      </w:pPr>
      <w:r w:rsidRPr="00297EBC">
        <w:rPr>
          <w:i/>
          <w:iCs w:val="0"/>
        </w:rPr>
        <w:t>Rationale</w:t>
      </w:r>
    </w:p>
    <w:p w14:paraId="41239305" w14:textId="06EB4181" w:rsidR="00B50854" w:rsidRDefault="00B50854" w:rsidP="00B50854">
      <w:pPr>
        <w:spacing w:after="200" w:line="276" w:lineRule="auto"/>
      </w:pPr>
      <w:r>
        <w:t>In its clarifying memo on the regulations, ASIC specifically mentioned workplace wellbeing seminars as an activity that may breach the regulations. This has led to the unintended consequence that some superannuation fund trustees have interpreted the guidance to prohibit the super fund’s provision of workplace mental health education and training. This limits the super fund’s ability to improve the claims experience through preventative workplace programs, clearly an unintended consequence of the regulations.</w:t>
      </w:r>
    </w:p>
    <w:p w14:paraId="33AF380D" w14:textId="77777777" w:rsidR="00324D3C" w:rsidRDefault="00B50854" w:rsidP="004C3BA4">
      <w:pPr>
        <w:spacing w:after="200" w:line="276" w:lineRule="auto"/>
      </w:pPr>
      <w:r w:rsidRPr="00324D3C">
        <w:t xml:space="preserve">This unintended consequence could have wide-ranging impacts. </w:t>
      </w:r>
    </w:p>
    <w:p w14:paraId="17480FE1" w14:textId="60EEF717" w:rsidR="00B50854" w:rsidRPr="004C3BA4" w:rsidRDefault="00523CAD" w:rsidP="004C3BA4">
      <w:pPr>
        <w:spacing w:after="200" w:line="276" w:lineRule="auto"/>
      </w:pPr>
      <w:r w:rsidRPr="00324D3C">
        <w:t xml:space="preserve">Superannuation funds and life insurers have opportunities to assist their members and support workplaces to be mentally healthy through the provision of education, training and information. </w:t>
      </w:r>
      <w:r w:rsidR="004C3BA4" w:rsidRPr="00324D3C">
        <w:t xml:space="preserve">Regulations that do not provide clear guidance can inadvertently restrict helpful activities that could benefit members and workplaces. </w:t>
      </w:r>
      <w:r w:rsidR="00297EBC" w:rsidRPr="00324D3C">
        <w:t>C</w:t>
      </w:r>
      <w:r w:rsidR="00B50854" w:rsidRPr="00324D3C">
        <w:t xml:space="preserve">larification </w:t>
      </w:r>
      <w:r w:rsidR="00297EBC" w:rsidRPr="00324D3C">
        <w:t>should include</w:t>
      </w:r>
      <w:r w:rsidR="00B50854" w:rsidRPr="00324D3C">
        <w:t xml:space="preserve"> </w:t>
      </w:r>
      <w:r w:rsidRPr="00324D3C">
        <w:t xml:space="preserve">parameters such as ensuring that the education and training being </w:t>
      </w:r>
      <w:r w:rsidR="004C3BA4" w:rsidRPr="00324D3C">
        <w:t xml:space="preserve">provided is </w:t>
      </w:r>
      <w:r w:rsidRPr="00324D3C">
        <w:t xml:space="preserve">evidence </w:t>
      </w:r>
      <w:r w:rsidR="004C3BA4" w:rsidRPr="00324D3C">
        <w:t>informed</w:t>
      </w:r>
      <w:r w:rsidR="00297EBC" w:rsidRPr="00324D3C">
        <w:t>.</w:t>
      </w:r>
      <w:r w:rsidRPr="00324D3C">
        <w:t xml:space="preserve"> </w:t>
      </w:r>
      <w:r w:rsidR="00297EBC" w:rsidRPr="00324D3C">
        <w:t>This</w:t>
      </w:r>
      <w:r w:rsidR="004C3BA4" w:rsidRPr="00324D3C">
        <w:t xml:space="preserve"> </w:t>
      </w:r>
      <w:r w:rsidRPr="00324D3C">
        <w:t>would provide much needed guidance to the industry</w:t>
      </w:r>
      <w:r w:rsidR="00297EBC" w:rsidRPr="00324D3C">
        <w:t>, and would</w:t>
      </w:r>
      <w:r w:rsidR="004C3BA4" w:rsidRPr="00324D3C">
        <w:t xml:space="preserve"> sure-up another cost-effective</w:t>
      </w:r>
      <w:r w:rsidR="00297EBC">
        <w:t xml:space="preserve">, </w:t>
      </w:r>
      <w:r w:rsidR="004C3BA4">
        <w:t>trusted</w:t>
      </w:r>
      <w:r w:rsidR="00297EBC">
        <w:t>, and</w:t>
      </w:r>
      <w:r w:rsidR="004C3BA4">
        <w:t xml:space="preserve"> influential channel for prevention and early intervention promotion of workplace mental health and wellbeing. </w:t>
      </w:r>
    </w:p>
    <w:p w14:paraId="63D8A74C" w14:textId="77777777" w:rsidR="0061297E" w:rsidRDefault="0061297E">
      <w:pPr>
        <w:rPr>
          <w:b/>
          <w:iCs/>
          <w:color w:val="002060"/>
          <w:szCs w:val="26"/>
          <w:u w:val="single"/>
        </w:rPr>
      </w:pPr>
      <w:r>
        <w:rPr>
          <w:color w:val="002060"/>
          <w:u w:val="single"/>
        </w:rPr>
        <w:br w:type="page"/>
      </w:r>
    </w:p>
    <w:p w14:paraId="643D39BB" w14:textId="7589B1C5" w:rsidR="00C41E21" w:rsidRPr="004C3BA4" w:rsidRDefault="00612942" w:rsidP="000369F1">
      <w:pPr>
        <w:pStyle w:val="Heading3"/>
        <w:spacing w:before="0" w:after="200" w:line="280" w:lineRule="exact"/>
        <w:rPr>
          <w:color w:val="002060"/>
          <w:u w:val="single"/>
        </w:rPr>
      </w:pPr>
      <w:bookmarkStart w:id="7" w:name="_Toc30689340"/>
      <w:r w:rsidRPr="004C3BA4">
        <w:rPr>
          <w:color w:val="002060"/>
          <w:u w:val="single"/>
        </w:rPr>
        <w:lastRenderedPageBreak/>
        <w:t xml:space="preserve">SuperFriend </w:t>
      </w:r>
      <w:r w:rsidR="00C41E21" w:rsidRPr="004C3BA4">
        <w:rPr>
          <w:color w:val="002060"/>
          <w:u w:val="single"/>
        </w:rPr>
        <w:t>Recommendation</w:t>
      </w:r>
      <w:r w:rsidR="00A56632" w:rsidRPr="004C3BA4">
        <w:rPr>
          <w:color w:val="002060"/>
          <w:u w:val="single"/>
        </w:rPr>
        <w:t xml:space="preserve"> </w:t>
      </w:r>
      <w:r w:rsidR="0006540B">
        <w:rPr>
          <w:color w:val="002060"/>
          <w:u w:val="single"/>
        </w:rPr>
        <w:t>3</w:t>
      </w:r>
      <w:bookmarkEnd w:id="7"/>
    </w:p>
    <w:p w14:paraId="1072E8D8" w14:textId="77777777" w:rsidR="005140CC" w:rsidRPr="008A493F" w:rsidRDefault="00A548A2" w:rsidP="00A548A2">
      <w:pPr>
        <w:spacing w:after="200" w:line="276" w:lineRule="auto"/>
        <w:rPr>
          <w:color w:val="002060"/>
        </w:rPr>
      </w:pPr>
      <w:r w:rsidRPr="008A493F">
        <w:rPr>
          <w:color w:val="002060"/>
        </w:rPr>
        <w:t>Amend Workplace Health &amp; Safety standards to</w:t>
      </w:r>
      <w:r w:rsidR="005140CC" w:rsidRPr="008A493F">
        <w:rPr>
          <w:color w:val="002060"/>
        </w:rPr>
        <w:t>:</w:t>
      </w:r>
    </w:p>
    <w:p w14:paraId="2326C62D" w14:textId="7BB3C3C5" w:rsidR="008A493F" w:rsidRDefault="008A493F" w:rsidP="007F1FDE">
      <w:pPr>
        <w:pStyle w:val="ListNumber2"/>
        <w:numPr>
          <w:ilvl w:val="4"/>
          <w:numId w:val="23"/>
        </w:numPr>
        <w:spacing w:line="276" w:lineRule="auto"/>
        <w:rPr>
          <w:color w:val="002060"/>
        </w:rPr>
      </w:pPr>
      <w:r w:rsidRPr="008A493F">
        <w:rPr>
          <w:color w:val="002060"/>
        </w:rPr>
        <w:t xml:space="preserve">Require Work Health and Safety Regulators to develop </w:t>
      </w:r>
      <w:r>
        <w:rPr>
          <w:color w:val="002060"/>
        </w:rPr>
        <w:t xml:space="preserve">clear, definitive and evidence-based </w:t>
      </w:r>
      <w:r w:rsidRPr="008A493F">
        <w:rPr>
          <w:color w:val="002060"/>
        </w:rPr>
        <w:t>guidance material for workplace competency training in mental health</w:t>
      </w:r>
      <w:r>
        <w:rPr>
          <w:color w:val="002060"/>
        </w:rPr>
        <w:t>, with a minimum content requirement of:</w:t>
      </w:r>
      <w:r w:rsidRPr="008A493F">
        <w:rPr>
          <w:color w:val="002060"/>
        </w:rPr>
        <w:t xml:space="preserve"> </w:t>
      </w:r>
    </w:p>
    <w:p w14:paraId="1F58AD97" w14:textId="07171492" w:rsidR="008A493F" w:rsidRPr="005140CC" w:rsidRDefault="008A493F" w:rsidP="007F1FDE">
      <w:pPr>
        <w:pStyle w:val="ListParagraph"/>
        <w:numPr>
          <w:ilvl w:val="5"/>
          <w:numId w:val="24"/>
        </w:numPr>
        <w:spacing w:after="200" w:line="276" w:lineRule="auto"/>
        <w:rPr>
          <w:rFonts w:eastAsia="Times New Roman" w:cs="Arial"/>
          <w:color w:val="002060"/>
          <w:lang w:eastAsia="en-AU"/>
        </w:rPr>
      </w:pPr>
      <w:r w:rsidRPr="005140CC">
        <w:rPr>
          <w:rFonts w:eastAsia="Times New Roman" w:cs="Arial"/>
          <w:color w:val="002060"/>
          <w:lang w:eastAsia="en-AU"/>
        </w:rPr>
        <w:t>Symptoms of compromised mental health</w:t>
      </w:r>
      <w:r>
        <w:rPr>
          <w:rFonts w:eastAsia="Times New Roman" w:cs="Arial"/>
          <w:color w:val="002060"/>
          <w:lang w:eastAsia="en-AU"/>
        </w:rPr>
        <w:t xml:space="preserve"> (mental ill-health and mental health conditions)</w:t>
      </w:r>
    </w:p>
    <w:p w14:paraId="2808320E" w14:textId="7AA78E24" w:rsidR="008A493F" w:rsidRPr="005140CC" w:rsidRDefault="008A493F" w:rsidP="007F1FDE">
      <w:pPr>
        <w:pStyle w:val="ListParagraph"/>
        <w:numPr>
          <w:ilvl w:val="5"/>
          <w:numId w:val="24"/>
        </w:numPr>
        <w:spacing w:after="200" w:line="276" w:lineRule="auto"/>
        <w:rPr>
          <w:rFonts w:eastAsia="Times New Roman" w:cs="Arial"/>
          <w:color w:val="002060"/>
          <w:lang w:eastAsia="en-AU"/>
        </w:rPr>
      </w:pPr>
      <w:r w:rsidRPr="005140CC">
        <w:rPr>
          <w:rFonts w:eastAsia="Times New Roman" w:cs="Arial"/>
          <w:color w:val="002060"/>
          <w:lang w:eastAsia="en-AU"/>
        </w:rPr>
        <w:t>Definition of psychological safety (as it pertains to work</w:t>
      </w:r>
      <w:r>
        <w:rPr>
          <w:rFonts w:eastAsia="Times New Roman" w:cs="Arial"/>
          <w:color w:val="002060"/>
          <w:lang w:eastAsia="en-AU"/>
        </w:rPr>
        <w:t xml:space="preserve"> and the legislation</w:t>
      </w:r>
      <w:r w:rsidRPr="005140CC">
        <w:rPr>
          <w:rFonts w:eastAsia="Times New Roman" w:cs="Arial"/>
          <w:color w:val="002060"/>
          <w:lang w:eastAsia="en-AU"/>
        </w:rPr>
        <w:t>)</w:t>
      </w:r>
    </w:p>
    <w:p w14:paraId="5D74FF67" w14:textId="20C99814" w:rsidR="008A493F" w:rsidRPr="005140CC" w:rsidRDefault="008A493F" w:rsidP="007F1FDE">
      <w:pPr>
        <w:pStyle w:val="ListParagraph"/>
        <w:numPr>
          <w:ilvl w:val="5"/>
          <w:numId w:val="24"/>
        </w:numPr>
        <w:spacing w:after="200" w:line="276" w:lineRule="auto"/>
        <w:rPr>
          <w:rFonts w:eastAsia="Times New Roman" w:cs="Arial"/>
          <w:color w:val="002060"/>
          <w:lang w:eastAsia="en-AU"/>
        </w:rPr>
      </w:pPr>
      <w:r w:rsidRPr="005140CC">
        <w:rPr>
          <w:color w:val="002060"/>
        </w:rPr>
        <w:t>How to identify at risk co-workers</w:t>
      </w:r>
      <w:r>
        <w:rPr>
          <w:color w:val="002060"/>
        </w:rPr>
        <w:t>,</w:t>
      </w:r>
      <w:r w:rsidRPr="005140CC">
        <w:rPr>
          <w:color w:val="002060"/>
        </w:rPr>
        <w:t xml:space="preserve"> and</w:t>
      </w:r>
    </w:p>
    <w:p w14:paraId="6C76F4B9" w14:textId="77777777" w:rsidR="008A493F" w:rsidRPr="005140CC" w:rsidRDefault="008A493F" w:rsidP="007F1FDE">
      <w:pPr>
        <w:pStyle w:val="ListParagraph"/>
        <w:numPr>
          <w:ilvl w:val="5"/>
          <w:numId w:val="24"/>
        </w:numPr>
        <w:spacing w:after="200" w:line="276" w:lineRule="auto"/>
        <w:rPr>
          <w:rFonts w:eastAsia="Times New Roman" w:cs="Arial"/>
          <w:color w:val="002060"/>
          <w:lang w:eastAsia="en-AU"/>
        </w:rPr>
      </w:pPr>
      <w:r w:rsidRPr="005140CC">
        <w:rPr>
          <w:rFonts w:eastAsia="Times New Roman" w:cs="Arial"/>
          <w:color w:val="002060"/>
          <w:lang w:eastAsia="en-AU"/>
        </w:rPr>
        <w:t>How and where to refer or self-refer.</w:t>
      </w:r>
    </w:p>
    <w:p w14:paraId="2FDDFC02" w14:textId="34F8BAEB" w:rsidR="00A548A2" w:rsidRPr="008A493F" w:rsidRDefault="008A493F" w:rsidP="007F1FDE">
      <w:pPr>
        <w:pStyle w:val="ListNumber2"/>
        <w:numPr>
          <w:ilvl w:val="4"/>
          <w:numId w:val="23"/>
        </w:numPr>
        <w:spacing w:line="276" w:lineRule="auto"/>
        <w:rPr>
          <w:color w:val="002060"/>
          <w:lang w:eastAsia="en-AU"/>
        </w:rPr>
      </w:pPr>
      <w:r>
        <w:rPr>
          <w:color w:val="002060"/>
        </w:rPr>
        <w:t>R</w:t>
      </w:r>
      <w:r w:rsidR="00A548A2" w:rsidRPr="008A493F">
        <w:rPr>
          <w:color w:val="002060"/>
        </w:rPr>
        <w:t>equire employers</w:t>
      </w:r>
      <w:r>
        <w:rPr>
          <w:color w:val="002060"/>
        </w:rPr>
        <w:t>, where there has been a psychological injury claim (irrespective of liability),</w:t>
      </w:r>
      <w:r w:rsidR="00A548A2" w:rsidRPr="008A493F">
        <w:rPr>
          <w:color w:val="002060"/>
        </w:rPr>
        <w:t xml:space="preserve"> to provide evidence-</w:t>
      </w:r>
      <w:r w:rsidR="005140CC" w:rsidRPr="008A493F">
        <w:rPr>
          <w:color w:val="002060"/>
        </w:rPr>
        <w:t>informed</w:t>
      </w:r>
      <w:r w:rsidR="00A548A2" w:rsidRPr="008A493F">
        <w:rPr>
          <w:color w:val="002060"/>
        </w:rPr>
        <w:t xml:space="preserve"> p</w:t>
      </w:r>
      <w:r w:rsidR="00A548A2" w:rsidRPr="008A493F">
        <w:rPr>
          <w:color w:val="002060"/>
          <w:lang w:eastAsia="en-AU"/>
        </w:rPr>
        <w:t>revention initiatives that focus on reducing risk factors for mental ill-health and enhancing protective factors (for promoting positive mental health and wellbeing) through EAPs or other suitably qualified providers,</w:t>
      </w:r>
      <w:r>
        <w:rPr>
          <w:color w:val="002060"/>
          <w:lang w:eastAsia="en-AU"/>
        </w:rPr>
        <w:t xml:space="preserve"> meeting the above</w:t>
      </w:r>
      <w:r w:rsidR="00A548A2" w:rsidRPr="008A493F">
        <w:rPr>
          <w:color w:val="002060"/>
          <w:lang w:eastAsia="en-AU"/>
        </w:rPr>
        <w:t xml:space="preserve"> minimum content requirement</w:t>
      </w:r>
      <w:r>
        <w:rPr>
          <w:color w:val="002060"/>
          <w:lang w:eastAsia="en-AU"/>
        </w:rPr>
        <w:t>. The work health and safety regulator should ensure employers are meeting this requirement.</w:t>
      </w:r>
    </w:p>
    <w:p w14:paraId="449A0466" w14:textId="66B3EE8C" w:rsidR="00C41E21" w:rsidRPr="005140CC" w:rsidRDefault="0045111F" w:rsidP="005140CC">
      <w:pPr>
        <w:pStyle w:val="Heading4"/>
        <w:rPr>
          <w:i/>
          <w:iCs w:val="0"/>
        </w:rPr>
      </w:pPr>
      <w:r w:rsidRPr="005140CC">
        <w:rPr>
          <w:i/>
          <w:iCs w:val="0"/>
        </w:rPr>
        <w:t>Rationale</w:t>
      </w:r>
    </w:p>
    <w:p w14:paraId="013B97CC" w14:textId="77777777" w:rsidR="005140CC" w:rsidRPr="000A7060" w:rsidRDefault="005140CC" w:rsidP="005140CC">
      <w:pPr>
        <w:spacing w:after="200" w:line="276" w:lineRule="auto"/>
      </w:pPr>
      <w:bookmarkStart w:id="8" w:name="_Hlk27404498"/>
      <w:r>
        <w:t xml:space="preserve">Mentally healthy workplaces are thriving workplaces where people do good work, can be their best selves and go home with enough energy to spare. Positive mental health and wellbeing adds value and uplift to productivity across the overall workplace, and research has shown that promoting wellbeing is positively correlated to work performance.  </w:t>
      </w:r>
      <w:r w:rsidRPr="00A346FB">
        <w:rPr>
          <w:rFonts w:eastAsia="Times New Roman"/>
        </w:rPr>
        <w:t>Alongside the human benefits, the economic benefits are also clear</w:t>
      </w:r>
      <w:r>
        <w:rPr>
          <w:rFonts w:eastAsia="Times New Roman"/>
        </w:rPr>
        <w:t xml:space="preserve">. </w:t>
      </w:r>
      <w:r>
        <w:t>SuperFriend’s research shows that employers who invest in mentally healthy workplaces see a reduction in sickness absence, along with increased productivity and higher retention, leading to more productive workplaces with lower costs (e.g. recruitment, staff training and leave costs).</w:t>
      </w:r>
      <w:r>
        <w:rPr>
          <w:rStyle w:val="EndnoteReference"/>
        </w:rPr>
        <w:endnoteReference w:id="6"/>
      </w:r>
    </w:p>
    <w:p w14:paraId="64B49DAB" w14:textId="77777777" w:rsidR="005140CC" w:rsidRDefault="005140CC" w:rsidP="005140CC">
      <w:pPr>
        <w:spacing w:after="200" w:line="280" w:lineRule="exact"/>
        <w:rPr>
          <w:rFonts w:eastAsiaTheme="majorEastAsia" w:cstheme="majorBidi"/>
          <w:szCs w:val="20"/>
        </w:rPr>
      </w:pPr>
      <w:r w:rsidRPr="00A346FB">
        <w:rPr>
          <w:szCs w:val="20"/>
        </w:rPr>
        <w:t>In 2016, SuperFriend and Beyond Blue commissioned KPMG to conduct over 70 consultations with experts and key stakeholders as part of the development of a discussion paper on workplace mental health</w:t>
      </w:r>
      <w:r>
        <w:rPr>
          <w:szCs w:val="20"/>
        </w:rPr>
        <w:t>.</w:t>
      </w:r>
      <w:r>
        <w:rPr>
          <w:rStyle w:val="EndnoteReference"/>
          <w:szCs w:val="20"/>
        </w:rPr>
        <w:endnoteReference w:id="7"/>
      </w:r>
      <w:r w:rsidRPr="00A346FB">
        <w:rPr>
          <w:rFonts w:eastAsiaTheme="majorEastAsia" w:cstheme="majorBidi"/>
          <w:szCs w:val="20"/>
        </w:rPr>
        <w:t xml:space="preserve">  The study found the following barriers: </w:t>
      </w:r>
    </w:p>
    <w:p w14:paraId="00119087" w14:textId="77777777" w:rsidR="005140CC" w:rsidRDefault="005140CC" w:rsidP="007F1FDE">
      <w:pPr>
        <w:pStyle w:val="List"/>
        <w:numPr>
          <w:ilvl w:val="0"/>
          <w:numId w:val="17"/>
        </w:numPr>
        <w:spacing w:after="200" w:line="280" w:lineRule="exact"/>
      </w:pPr>
      <w:r w:rsidRPr="009642B8">
        <w:t>lack of understanding of what best practice is and how to achieve meaningful change at work (</w:t>
      </w:r>
      <w:r>
        <w:t xml:space="preserve">i.e. </w:t>
      </w:r>
      <w:r w:rsidRPr="009642B8">
        <w:t>what to do)</w:t>
      </w:r>
    </w:p>
    <w:p w14:paraId="3CE23D18" w14:textId="77777777" w:rsidR="005140CC" w:rsidRPr="009642B8" w:rsidRDefault="005140CC" w:rsidP="007F1FDE">
      <w:pPr>
        <w:pStyle w:val="List"/>
        <w:numPr>
          <w:ilvl w:val="0"/>
          <w:numId w:val="17"/>
        </w:numPr>
        <w:spacing w:after="200" w:line="280" w:lineRule="exact"/>
      </w:pPr>
      <w:r w:rsidRPr="009642B8">
        <w:t>lack of guidance focusing on implementation (</w:t>
      </w:r>
      <w:r>
        <w:t xml:space="preserve">i.e. </w:t>
      </w:r>
      <w:r w:rsidRPr="009642B8">
        <w:t xml:space="preserve">how to </w:t>
      </w:r>
      <w:r>
        <w:t>create a mentally healthy workplace</w:t>
      </w:r>
      <w:r w:rsidRPr="009642B8">
        <w:t>)</w:t>
      </w:r>
    </w:p>
    <w:p w14:paraId="4E4EA872" w14:textId="77777777" w:rsidR="005140CC" w:rsidRPr="009642B8" w:rsidRDefault="005140CC" w:rsidP="007F1FDE">
      <w:pPr>
        <w:pStyle w:val="List"/>
        <w:numPr>
          <w:ilvl w:val="0"/>
          <w:numId w:val="17"/>
        </w:numPr>
        <w:spacing w:after="200" w:line="280" w:lineRule="exact"/>
      </w:pPr>
      <w:r>
        <w:t>p</w:t>
      </w:r>
      <w:r w:rsidRPr="009642B8">
        <w:t>erceptions that improving workplace mental health and wellbeing can be costly and is time-consuming or is only relevant to large organisations</w:t>
      </w:r>
      <w:r>
        <w:t xml:space="preserve"> </w:t>
      </w:r>
      <w:r w:rsidRPr="009642B8">
        <w:t xml:space="preserve">and </w:t>
      </w:r>
    </w:p>
    <w:p w14:paraId="3AA10604" w14:textId="77777777" w:rsidR="005140CC" w:rsidRPr="00D6263B" w:rsidRDefault="005140CC" w:rsidP="007F1FDE">
      <w:pPr>
        <w:pStyle w:val="List"/>
        <w:numPr>
          <w:ilvl w:val="0"/>
          <w:numId w:val="17"/>
        </w:numPr>
        <w:spacing w:after="200" w:line="280" w:lineRule="exact"/>
      </w:pPr>
      <w:r w:rsidRPr="009642B8">
        <w:t>perceptions that addressing mental health in the workplace creates additional risks.</w:t>
      </w:r>
      <w:r w:rsidRPr="0014213B">
        <w:rPr>
          <w:rFonts w:cs="Arial"/>
          <w:iCs/>
        </w:rPr>
        <w:t xml:space="preserve"> </w:t>
      </w:r>
    </w:p>
    <w:p w14:paraId="4E7090CF" w14:textId="099709DF" w:rsidR="005140CC" w:rsidRDefault="005140CC" w:rsidP="005140CC">
      <w:pPr>
        <w:spacing w:after="200" w:line="276" w:lineRule="auto"/>
        <w:rPr>
          <w:rFonts w:cs="Arial"/>
        </w:rPr>
      </w:pPr>
      <w:r w:rsidRPr="006E53CE">
        <w:rPr>
          <w:szCs w:val="20"/>
        </w:rPr>
        <w:t xml:space="preserve">SuperFriend’s </w:t>
      </w:r>
      <w:r>
        <w:rPr>
          <w:szCs w:val="20"/>
        </w:rPr>
        <w:t>Indicators of a Thriving Workplace 2019 report</w:t>
      </w:r>
      <w:r w:rsidRPr="006E53CE">
        <w:rPr>
          <w:szCs w:val="20"/>
        </w:rPr>
        <w:t xml:space="preserve"> identified the </w:t>
      </w:r>
      <w:r w:rsidRPr="006E53CE">
        <w:rPr>
          <w:rFonts w:eastAsiaTheme="majorEastAsia" w:cstheme="majorBidi"/>
          <w:iCs/>
          <w:szCs w:val="20"/>
        </w:rPr>
        <w:t xml:space="preserve">biggest perceived hurdle to achieving a thriving workplace is a lack of appropriate skills among managers. </w:t>
      </w:r>
      <w:r>
        <w:rPr>
          <w:rFonts w:eastAsiaTheme="majorEastAsia" w:cstheme="majorBidi"/>
          <w:iCs/>
          <w:szCs w:val="20"/>
        </w:rPr>
        <w:t>Education</w:t>
      </w:r>
      <w:r w:rsidRPr="006E53CE">
        <w:rPr>
          <w:rFonts w:eastAsiaTheme="majorEastAsia" w:cstheme="majorBidi"/>
          <w:iCs/>
          <w:szCs w:val="20"/>
        </w:rPr>
        <w:t xml:space="preserve"> and training about mental health and wellbeing helps break down many of these </w:t>
      </w:r>
      <w:r w:rsidRPr="006E53CE">
        <w:rPr>
          <w:rFonts w:eastAsiaTheme="majorEastAsia" w:cstheme="majorBidi"/>
          <w:iCs/>
          <w:szCs w:val="20"/>
        </w:rPr>
        <w:lastRenderedPageBreak/>
        <w:t>barriers, particularly those related to skill gaps, recognition of the importance of mentally healthy workplaces and managerial commitment and action.</w:t>
      </w:r>
      <w:r w:rsidRPr="006E53CE">
        <w:rPr>
          <w:rFonts w:cs="Arial"/>
        </w:rPr>
        <w:t xml:space="preserve"> </w:t>
      </w:r>
      <w:r>
        <w:rPr>
          <w:rFonts w:cs="Arial"/>
          <w:iCs/>
        </w:rPr>
        <w:t>S</w:t>
      </w:r>
      <w:r w:rsidRPr="004F41DC">
        <w:rPr>
          <w:rFonts w:cs="Arial"/>
          <w:iCs/>
        </w:rPr>
        <w:t xml:space="preserve">tigma of mental illness is </w:t>
      </w:r>
      <w:r>
        <w:rPr>
          <w:rFonts w:cs="Arial"/>
          <w:iCs/>
        </w:rPr>
        <w:t xml:space="preserve">also </w:t>
      </w:r>
      <w:r w:rsidRPr="004F41DC">
        <w:rPr>
          <w:rFonts w:cs="Arial"/>
          <w:iCs/>
        </w:rPr>
        <w:t xml:space="preserve">considered </w:t>
      </w:r>
      <w:r>
        <w:rPr>
          <w:rFonts w:cs="Arial"/>
          <w:iCs/>
        </w:rPr>
        <w:t xml:space="preserve">a </w:t>
      </w:r>
      <w:r w:rsidRPr="004F41DC">
        <w:rPr>
          <w:rFonts w:cs="Arial"/>
          <w:iCs/>
        </w:rPr>
        <w:t>barrier to improving mental health and wellbeing in 17.8% of Australian workplaces.</w:t>
      </w:r>
      <w:r>
        <w:rPr>
          <w:rFonts w:cs="Arial"/>
          <w:iCs/>
        </w:rPr>
        <w:t xml:space="preserve"> </w:t>
      </w:r>
      <w:r w:rsidRPr="006E53CE">
        <w:rPr>
          <w:rFonts w:cs="Arial"/>
        </w:rPr>
        <w:t>Only</w:t>
      </w:r>
      <w:r>
        <w:rPr>
          <w:rFonts w:cs="Arial"/>
        </w:rPr>
        <w:t xml:space="preserve"> </w:t>
      </w:r>
      <w:r w:rsidRPr="006E53CE">
        <w:rPr>
          <w:rFonts w:cs="Arial"/>
        </w:rPr>
        <w:t>13% of Australian workers say their workplace encourages open discussion on mental health</w:t>
      </w:r>
      <w:r>
        <w:rPr>
          <w:rFonts w:cs="Arial"/>
        </w:rPr>
        <w:t xml:space="preserve"> however</w:t>
      </w:r>
      <w:r w:rsidRPr="006E53CE">
        <w:rPr>
          <w:rFonts w:cs="Arial"/>
        </w:rPr>
        <w:t xml:space="preserve"> </w:t>
      </w:r>
      <w:r>
        <w:rPr>
          <w:rFonts w:cs="Arial"/>
        </w:rPr>
        <w:t>this improves</w:t>
      </w:r>
      <w:r w:rsidRPr="006E53CE">
        <w:rPr>
          <w:rFonts w:cs="Arial"/>
        </w:rPr>
        <w:t xml:space="preserve"> to roughly 50% if</w:t>
      </w:r>
      <w:r>
        <w:rPr>
          <w:rFonts w:cs="Arial"/>
        </w:rPr>
        <w:t xml:space="preserve"> mental health and wellbeing</w:t>
      </w:r>
      <w:r w:rsidRPr="006E53CE">
        <w:rPr>
          <w:rFonts w:cs="Arial"/>
        </w:rPr>
        <w:t xml:space="preserve"> training is provided.</w:t>
      </w:r>
    </w:p>
    <w:p w14:paraId="02625BC6" w14:textId="3C637CED" w:rsidR="0061297E" w:rsidRDefault="0061297E" w:rsidP="005140CC">
      <w:pPr>
        <w:spacing w:after="200" w:line="276" w:lineRule="auto"/>
        <w:rPr>
          <w:rFonts w:cs="Arial"/>
        </w:rPr>
      </w:pPr>
      <w:r>
        <w:rPr>
          <w:rFonts w:cs="Arial"/>
        </w:rPr>
        <w:t>Other compelling facts</w:t>
      </w:r>
      <w:r w:rsidRPr="0061297E">
        <w:rPr>
          <w:rFonts w:cs="Arial"/>
        </w:rPr>
        <w:t xml:space="preserve"> </w:t>
      </w:r>
      <w:r>
        <w:rPr>
          <w:rFonts w:cs="Arial"/>
        </w:rPr>
        <w:t>that support this recommendation, resulting from the 2019 Indicators of a Thriving Workplace survey include:</w:t>
      </w:r>
    </w:p>
    <w:p w14:paraId="0F50AF38" w14:textId="40DF0B2E" w:rsidR="0061297E" w:rsidRDefault="0061297E" w:rsidP="007F1FDE">
      <w:pPr>
        <w:pStyle w:val="ListNumber"/>
        <w:numPr>
          <w:ilvl w:val="3"/>
          <w:numId w:val="21"/>
        </w:numPr>
        <w:spacing w:line="276" w:lineRule="auto"/>
        <w:rPr>
          <w:rFonts w:cs="Arial"/>
          <w:iCs/>
        </w:rPr>
      </w:pPr>
      <w:r>
        <w:rPr>
          <w:rFonts w:cs="Arial"/>
          <w:iCs/>
        </w:rPr>
        <w:t>One in two (50.5%)</w:t>
      </w:r>
      <w:r w:rsidRPr="00A226AF">
        <w:rPr>
          <w:rFonts w:cs="Arial"/>
          <w:iCs/>
        </w:rPr>
        <w:t xml:space="preserve"> workers </w:t>
      </w:r>
      <w:r>
        <w:rPr>
          <w:rFonts w:cs="Arial"/>
          <w:iCs/>
        </w:rPr>
        <w:t xml:space="preserve">report they </w:t>
      </w:r>
      <w:r w:rsidRPr="00A226AF">
        <w:rPr>
          <w:rFonts w:cs="Arial"/>
          <w:iCs/>
        </w:rPr>
        <w:t>have experienced a mental health condition and</w:t>
      </w:r>
      <w:r>
        <w:rPr>
          <w:rFonts w:cs="Arial"/>
          <w:iCs/>
        </w:rPr>
        <w:t>, of those with a lived experience,</w:t>
      </w:r>
      <w:r w:rsidRPr="00A226AF">
        <w:rPr>
          <w:rFonts w:cs="Arial"/>
          <w:iCs/>
        </w:rPr>
        <w:t xml:space="preserve"> 43</w:t>
      </w:r>
      <w:r>
        <w:rPr>
          <w:rFonts w:cs="Arial"/>
          <w:iCs/>
        </w:rPr>
        <w:t>%</w:t>
      </w:r>
      <w:r w:rsidRPr="00A226AF">
        <w:rPr>
          <w:rFonts w:cs="Arial"/>
          <w:iCs/>
        </w:rPr>
        <w:t xml:space="preserve"> of people perceive their workplace is </w:t>
      </w:r>
      <w:r w:rsidRPr="00F9621E">
        <w:rPr>
          <w:rFonts w:cs="Arial"/>
          <w:iCs/>
          <w:u w:val="single"/>
        </w:rPr>
        <w:t>contributing to or causing their mental ill-health</w:t>
      </w:r>
      <w:r w:rsidRPr="00A226AF">
        <w:rPr>
          <w:rFonts w:cs="Arial"/>
          <w:iCs/>
        </w:rPr>
        <w:t xml:space="preserve">. </w:t>
      </w:r>
      <w:r>
        <w:rPr>
          <w:rFonts w:cs="Arial"/>
          <w:iCs/>
        </w:rPr>
        <w:t xml:space="preserve">This is a disturbing statistic that endorses the need for recommendation. </w:t>
      </w:r>
    </w:p>
    <w:p w14:paraId="76E115C4" w14:textId="77777777" w:rsidR="00111480" w:rsidRPr="00111480" w:rsidRDefault="00111480" w:rsidP="007F1FDE">
      <w:pPr>
        <w:pStyle w:val="ListNumber"/>
        <w:numPr>
          <w:ilvl w:val="3"/>
          <w:numId w:val="21"/>
        </w:numPr>
        <w:spacing w:line="276" w:lineRule="auto"/>
        <w:rPr>
          <w:rFonts w:cs="Arial"/>
          <w:iCs/>
        </w:rPr>
      </w:pPr>
      <w:r w:rsidRPr="00F9621E">
        <w:rPr>
          <w:rFonts w:eastAsia="Times New Roman"/>
        </w:rPr>
        <w:t>The majority (63.4%) of people who believe their workplace contributed to their mental health condition</w:t>
      </w:r>
      <w:r>
        <w:rPr>
          <w:rFonts w:eastAsia="Times New Roman"/>
        </w:rPr>
        <w:t>,</w:t>
      </w:r>
      <w:r w:rsidRPr="00F9621E">
        <w:rPr>
          <w:rFonts w:eastAsia="Times New Roman"/>
        </w:rPr>
        <w:t xml:space="preserve"> work in organisations that </w:t>
      </w:r>
      <w:r w:rsidRPr="0061297E">
        <w:rPr>
          <w:rFonts w:eastAsia="Times New Roman"/>
          <w:u w:val="single"/>
        </w:rPr>
        <w:t>haven’t implemented any actions.</w:t>
      </w:r>
      <w:r>
        <w:rPr>
          <w:rFonts w:eastAsia="Times New Roman"/>
        </w:rPr>
        <w:t xml:space="preserve"> </w:t>
      </w:r>
    </w:p>
    <w:p w14:paraId="70F7AC6A" w14:textId="340CFB29" w:rsidR="00111480" w:rsidRDefault="00111480" w:rsidP="00111480">
      <w:pPr>
        <w:pStyle w:val="ListNumber"/>
        <w:numPr>
          <w:ilvl w:val="0"/>
          <w:numId w:val="0"/>
        </w:numPr>
        <w:spacing w:line="276" w:lineRule="auto"/>
        <w:ind w:left="284" w:hanging="284"/>
        <w:rPr>
          <w:rFonts w:cs="Arial"/>
          <w:iCs/>
        </w:rPr>
      </w:pPr>
      <w:r>
        <w:rPr>
          <w:noProof/>
          <w:lang w:eastAsia="en-AU"/>
        </w:rPr>
        <w:drawing>
          <wp:anchor distT="0" distB="0" distL="114300" distR="114300" simplePos="0" relativeHeight="251694080" behindDoc="0" locked="0" layoutInCell="1" allowOverlap="1" wp14:anchorId="150AB424" wp14:editId="572C477E">
            <wp:simplePos x="0" y="0"/>
            <wp:positionH relativeFrom="page">
              <wp:posOffset>1280491</wp:posOffset>
            </wp:positionH>
            <wp:positionV relativeFrom="paragraph">
              <wp:posOffset>135172</wp:posOffset>
            </wp:positionV>
            <wp:extent cx="4690745" cy="2219902"/>
            <wp:effectExtent l="0" t="0" r="0" b="9525"/>
            <wp:wrapNone/>
            <wp:docPr id="8"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F6F0C-D37B-40AB-8921-4F81F6752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F6F0C-D37B-40AB-8921-4F81F6752FC6}"/>
                        </a:ext>
                      </a:extLst>
                    </pic:cNvPr>
                    <pic:cNvPicPr>
                      <a:picLocks noChangeAspect="1"/>
                    </pic:cNvPicPr>
                  </pic:nvPicPr>
                  <pic:blipFill rotWithShape="1">
                    <a:blip r:embed="rId22"/>
                    <a:srcRect l="2422" t="17916"/>
                    <a:stretch/>
                  </pic:blipFill>
                  <pic:spPr>
                    <a:xfrm>
                      <a:off x="0" y="0"/>
                      <a:ext cx="4690745" cy="2219902"/>
                    </a:xfrm>
                    <a:prstGeom prst="rect">
                      <a:avLst/>
                    </a:prstGeom>
                  </pic:spPr>
                </pic:pic>
              </a:graphicData>
            </a:graphic>
            <wp14:sizeRelH relativeFrom="margin">
              <wp14:pctWidth>0</wp14:pctWidth>
            </wp14:sizeRelH>
            <wp14:sizeRelV relativeFrom="margin">
              <wp14:pctHeight>0</wp14:pctHeight>
            </wp14:sizeRelV>
          </wp:anchor>
        </w:drawing>
      </w:r>
    </w:p>
    <w:p w14:paraId="19F873AB" w14:textId="6B7A1520" w:rsidR="00111480" w:rsidRDefault="00111480" w:rsidP="00111480">
      <w:pPr>
        <w:pStyle w:val="ListNumber"/>
        <w:numPr>
          <w:ilvl w:val="0"/>
          <w:numId w:val="0"/>
        </w:numPr>
        <w:spacing w:line="276" w:lineRule="auto"/>
        <w:ind w:left="284" w:hanging="284"/>
        <w:rPr>
          <w:rFonts w:cs="Arial"/>
          <w:iCs/>
        </w:rPr>
      </w:pPr>
    </w:p>
    <w:p w14:paraId="45895AB2" w14:textId="4169320F" w:rsidR="00111480" w:rsidRDefault="00111480" w:rsidP="00111480">
      <w:pPr>
        <w:pStyle w:val="ListNumber"/>
        <w:numPr>
          <w:ilvl w:val="0"/>
          <w:numId w:val="0"/>
        </w:numPr>
        <w:spacing w:line="276" w:lineRule="auto"/>
        <w:ind w:left="284" w:hanging="284"/>
        <w:rPr>
          <w:rFonts w:cs="Arial"/>
          <w:iCs/>
        </w:rPr>
      </w:pPr>
    </w:p>
    <w:p w14:paraId="7BB249A7" w14:textId="01C09491" w:rsidR="00111480" w:rsidRDefault="00111480" w:rsidP="00111480">
      <w:pPr>
        <w:pStyle w:val="ListNumber"/>
        <w:numPr>
          <w:ilvl w:val="0"/>
          <w:numId w:val="0"/>
        </w:numPr>
        <w:spacing w:line="276" w:lineRule="auto"/>
        <w:ind w:left="284" w:hanging="284"/>
        <w:rPr>
          <w:rFonts w:cs="Arial"/>
          <w:iCs/>
        </w:rPr>
      </w:pPr>
    </w:p>
    <w:p w14:paraId="54102CC1" w14:textId="0B91DD28" w:rsidR="00111480" w:rsidRDefault="00111480" w:rsidP="00111480">
      <w:pPr>
        <w:pStyle w:val="ListNumber"/>
        <w:numPr>
          <w:ilvl w:val="0"/>
          <w:numId w:val="0"/>
        </w:numPr>
        <w:spacing w:line="276" w:lineRule="auto"/>
        <w:ind w:left="284" w:hanging="284"/>
        <w:rPr>
          <w:rFonts w:cs="Arial"/>
          <w:iCs/>
        </w:rPr>
      </w:pPr>
    </w:p>
    <w:p w14:paraId="75DE075E" w14:textId="6EEFA285" w:rsidR="00111480" w:rsidRDefault="00111480" w:rsidP="00111480">
      <w:pPr>
        <w:pStyle w:val="ListNumber"/>
        <w:numPr>
          <w:ilvl w:val="0"/>
          <w:numId w:val="0"/>
        </w:numPr>
        <w:spacing w:line="276" w:lineRule="auto"/>
        <w:ind w:left="284" w:hanging="284"/>
        <w:rPr>
          <w:rFonts w:cs="Arial"/>
          <w:iCs/>
        </w:rPr>
      </w:pPr>
    </w:p>
    <w:p w14:paraId="7A3AB3D6" w14:textId="39120BC2" w:rsidR="00111480" w:rsidRDefault="00111480" w:rsidP="00111480">
      <w:pPr>
        <w:pStyle w:val="ListNumber"/>
        <w:numPr>
          <w:ilvl w:val="0"/>
          <w:numId w:val="0"/>
        </w:numPr>
        <w:spacing w:line="276" w:lineRule="auto"/>
        <w:ind w:left="284" w:hanging="284"/>
        <w:rPr>
          <w:rFonts w:cs="Arial"/>
          <w:iCs/>
        </w:rPr>
      </w:pPr>
    </w:p>
    <w:p w14:paraId="0459E46D" w14:textId="079CE000" w:rsidR="00111480" w:rsidRDefault="00111480" w:rsidP="00111480">
      <w:pPr>
        <w:pStyle w:val="ListNumber"/>
        <w:numPr>
          <w:ilvl w:val="0"/>
          <w:numId w:val="0"/>
        </w:numPr>
        <w:spacing w:line="276" w:lineRule="auto"/>
        <w:ind w:left="284" w:hanging="284"/>
        <w:rPr>
          <w:rFonts w:cs="Arial"/>
          <w:iCs/>
        </w:rPr>
      </w:pPr>
    </w:p>
    <w:p w14:paraId="284A0E88" w14:textId="3C1C4987" w:rsidR="00111480" w:rsidRDefault="00111480" w:rsidP="00111480">
      <w:pPr>
        <w:pStyle w:val="ListNumber"/>
        <w:numPr>
          <w:ilvl w:val="0"/>
          <w:numId w:val="0"/>
        </w:numPr>
        <w:spacing w:line="276" w:lineRule="auto"/>
        <w:ind w:left="284" w:hanging="284"/>
        <w:rPr>
          <w:rFonts w:cs="Arial"/>
          <w:iCs/>
        </w:rPr>
      </w:pPr>
    </w:p>
    <w:p w14:paraId="243D9CE2" w14:textId="6AB83F99" w:rsidR="00111480" w:rsidRDefault="00111480" w:rsidP="00111480">
      <w:pPr>
        <w:pStyle w:val="ListNumber"/>
        <w:numPr>
          <w:ilvl w:val="0"/>
          <w:numId w:val="0"/>
        </w:numPr>
        <w:spacing w:line="276" w:lineRule="auto"/>
        <w:ind w:left="284" w:hanging="284"/>
        <w:rPr>
          <w:rFonts w:cs="Arial"/>
          <w:iCs/>
        </w:rPr>
      </w:pPr>
    </w:p>
    <w:p w14:paraId="396CC4F2" w14:textId="77777777" w:rsidR="00111480" w:rsidRDefault="00111480" w:rsidP="00111480">
      <w:pPr>
        <w:pStyle w:val="ListNumber"/>
        <w:numPr>
          <w:ilvl w:val="0"/>
          <w:numId w:val="0"/>
        </w:numPr>
        <w:spacing w:line="276" w:lineRule="auto"/>
        <w:ind w:left="284" w:hanging="284"/>
        <w:rPr>
          <w:rFonts w:cs="Arial"/>
          <w:iCs/>
        </w:rPr>
      </w:pPr>
    </w:p>
    <w:p w14:paraId="274F5B7B" w14:textId="77777777" w:rsidR="00111480" w:rsidRDefault="00111480" w:rsidP="00111480">
      <w:pPr>
        <w:pStyle w:val="ListNumber"/>
        <w:numPr>
          <w:ilvl w:val="0"/>
          <w:numId w:val="0"/>
        </w:numPr>
        <w:spacing w:line="276" w:lineRule="auto"/>
        <w:ind w:left="284" w:hanging="284"/>
        <w:rPr>
          <w:rFonts w:cs="Arial"/>
          <w:iCs/>
        </w:rPr>
      </w:pPr>
    </w:p>
    <w:p w14:paraId="3FDFF954" w14:textId="77777777" w:rsidR="00111480" w:rsidRPr="00111480" w:rsidRDefault="00111480" w:rsidP="00111480">
      <w:pPr>
        <w:pStyle w:val="ListNumber"/>
        <w:numPr>
          <w:ilvl w:val="0"/>
          <w:numId w:val="0"/>
        </w:numPr>
        <w:spacing w:line="276" w:lineRule="auto"/>
        <w:ind w:left="852"/>
        <w:rPr>
          <w:rFonts w:cs="Arial"/>
          <w:iCs/>
        </w:rPr>
      </w:pPr>
    </w:p>
    <w:p w14:paraId="36BBA9E3" w14:textId="0EB7C741" w:rsidR="00111480" w:rsidRPr="00111480" w:rsidRDefault="00111480" w:rsidP="00111480">
      <w:pPr>
        <w:spacing w:after="200" w:line="276" w:lineRule="auto"/>
        <w:ind w:left="568"/>
        <w:rPr>
          <w:rFonts w:eastAsia="Times New Roman"/>
          <w:sz w:val="18"/>
          <w:szCs w:val="18"/>
        </w:rPr>
      </w:pPr>
      <w:r w:rsidRPr="00111480">
        <w:rPr>
          <w:rFonts w:eastAsia="Times New Roman"/>
          <w:sz w:val="18"/>
          <w:szCs w:val="18"/>
        </w:rPr>
        <w:t>Figure</w:t>
      </w:r>
      <w:r>
        <w:rPr>
          <w:rFonts w:eastAsia="Times New Roman"/>
          <w:sz w:val="18"/>
          <w:szCs w:val="18"/>
        </w:rPr>
        <w:t xml:space="preserve"> 1</w:t>
      </w:r>
      <w:r w:rsidRPr="00111480">
        <w:rPr>
          <w:rFonts w:eastAsia="Times New Roman"/>
          <w:sz w:val="18"/>
          <w:szCs w:val="18"/>
        </w:rPr>
        <w:t>. Percentage of workers who believe their current workplace caused or worsened their mental health condition compared with the number of actions workplaces have implemented</w:t>
      </w:r>
    </w:p>
    <w:p w14:paraId="07018B5B" w14:textId="77777777" w:rsidR="00111480" w:rsidRPr="00F9621E" w:rsidRDefault="00111480" w:rsidP="007F1FDE">
      <w:pPr>
        <w:pStyle w:val="ListNumber"/>
        <w:numPr>
          <w:ilvl w:val="3"/>
          <w:numId w:val="21"/>
        </w:numPr>
        <w:spacing w:line="276" w:lineRule="auto"/>
        <w:rPr>
          <w:rFonts w:cs="Arial"/>
          <w:iCs/>
        </w:rPr>
      </w:pPr>
      <w:r>
        <w:rPr>
          <w:rFonts w:eastAsia="Times New Roman"/>
        </w:rPr>
        <w:t>T</w:t>
      </w:r>
      <w:r w:rsidRPr="005F6380">
        <w:t>he more actions th</w:t>
      </w:r>
      <w:r>
        <w:t>e</w:t>
      </w:r>
      <w:r w:rsidRPr="005F6380">
        <w:t xml:space="preserve"> workplace implement</w:t>
      </w:r>
      <w:r>
        <w:t>s</w:t>
      </w:r>
      <w:r w:rsidRPr="005F6380">
        <w:t>, the less common it is for their people to attribute their mental ill health to work.</w:t>
      </w:r>
    </w:p>
    <w:p w14:paraId="3B4AB1C8" w14:textId="52DBB76E" w:rsidR="0061297E" w:rsidRDefault="0061297E" w:rsidP="007F1FDE">
      <w:pPr>
        <w:pStyle w:val="ListNumber"/>
        <w:numPr>
          <w:ilvl w:val="3"/>
          <w:numId w:val="21"/>
        </w:numPr>
        <w:spacing w:line="276" w:lineRule="auto"/>
        <w:rPr>
          <w:rFonts w:cs="Arial"/>
          <w:iCs/>
        </w:rPr>
      </w:pPr>
      <w:r>
        <w:t>M</w:t>
      </w:r>
      <w:r w:rsidRPr="009642B8">
        <w:t xml:space="preserve">ore than half of Australian workers (56.8%) don’t believe their workplace has committed to </w:t>
      </w:r>
      <w:r w:rsidRPr="00F9621E">
        <w:rPr>
          <w:u w:val="single"/>
        </w:rPr>
        <w:t>any actions</w:t>
      </w:r>
      <w:r>
        <w:t>.</w:t>
      </w:r>
      <w:r w:rsidR="00D50717">
        <w:t xml:space="preserve"> (Refer Appendix for list of Actions)</w:t>
      </w:r>
    </w:p>
    <w:p w14:paraId="47FB509F" w14:textId="743DED7E" w:rsidR="0061297E" w:rsidRDefault="00111480" w:rsidP="005140CC">
      <w:pPr>
        <w:spacing w:after="200" w:line="276" w:lineRule="auto"/>
        <w:rPr>
          <w:rFonts w:cs="Arial"/>
          <w:b/>
          <w:bCs/>
        </w:rPr>
      </w:pPr>
      <w:r w:rsidRPr="005D1E03">
        <w:rPr>
          <w:noProof/>
          <w:lang w:eastAsia="en-AU"/>
        </w:rPr>
        <w:drawing>
          <wp:anchor distT="0" distB="0" distL="114300" distR="114300" simplePos="0" relativeHeight="251692032" behindDoc="0" locked="0" layoutInCell="1" allowOverlap="1" wp14:anchorId="5A92EA40" wp14:editId="61D3E290">
            <wp:simplePos x="0" y="0"/>
            <wp:positionH relativeFrom="margin">
              <wp:posOffset>332989</wp:posOffset>
            </wp:positionH>
            <wp:positionV relativeFrom="paragraph">
              <wp:posOffset>38100</wp:posOffset>
            </wp:positionV>
            <wp:extent cx="3514477" cy="108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01" t="25143" r="40048" b="60754"/>
                    <a:stretch/>
                  </pic:blipFill>
                  <pic:spPr bwMode="auto">
                    <a:xfrm>
                      <a:off x="0" y="0"/>
                      <a:ext cx="3514477" cy="108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41BDC" w14:textId="06CCEF37" w:rsidR="00111480" w:rsidRDefault="00111480" w:rsidP="005140CC">
      <w:pPr>
        <w:spacing w:after="200" w:line="276" w:lineRule="auto"/>
        <w:rPr>
          <w:rFonts w:cs="Arial"/>
          <w:b/>
          <w:bCs/>
        </w:rPr>
      </w:pPr>
    </w:p>
    <w:p w14:paraId="7F01CEF1" w14:textId="447360A8" w:rsidR="00111480" w:rsidRDefault="00111480" w:rsidP="005140CC">
      <w:pPr>
        <w:spacing w:after="200" w:line="276" w:lineRule="auto"/>
        <w:rPr>
          <w:rFonts w:cs="Arial"/>
          <w:b/>
          <w:bCs/>
        </w:rPr>
      </w:pPr>
    </w:p>
    <w:p w14:paraId="60AB1BCD" w14:textId="77777777" w:rsidR="00111480" w:rsidRDefault="00111480" w:rsidP="00111480">
      <w:pPr>
        <w:spacing w:after="200" w:line="276" w:lineRule="auto"/>
        <w:ind w:left="568"/>
        <w:rPr>
          <w:rFonts w:eastAsia="Times New Roman"/>
          <w:sz w:val="18"/>
          <w:szCs w:val="18"/>
        </w:rPr>
      </w:pPr>
    </w:p>
    <w:p w14:paraId="2220116B" w14:textId="460B1872" w:rsidR="00111480" w:rsidRPr="00111480" w:rsidRDefault="00111480" w:rsidP="00111480">
      <w:pPr>
        <w:spacing w:after="200" w:line="276" w:lineRule="auto"/>
        <w:ind w:left="568"/>
        <w:rPr>
          <w:rFonts w:eastAsia="Times New Roman"/>
          <w:sz w:val="18"/>
          <w:szCs w:val="18"/>
        </w:rPr>
      </w:pPr>
      <w:r w:rsidRPr="00111480">
        <w:rPr>
          <w:rFonts w:eastAsia="Times New Roman"/>
          <w:sz w:val="18"/>
          <w:szCs w:val="18"/>
        </w:rPr>
        <w:t>Figure</w:t>
      </w:r>
      <w:r>
        <w:rPr>
          <w:rFonts w:eastAsia="Times New Roman"/>
          <w:sz w:val="18"/>
          <w:szCs w:val="18"/>
        </w:rPr>
        <w:t xml:space="preserve"> 2</w:t>
      </w:r>
      <w:r w:rsidRPr="00111480">
        <w:rPr>
          <w:rFonts w:eastAsia="Times New Roman"/>
          <w:sz w:val="18"/>
          <w:szCs w:val="18"/>
        </w:rPr>
        <w:t xml:space="preserve">. </w:t>
      </w:r>
      <w:r>
        <w:rPr>
          <w:rFonts w:eastAsia="Times New Roman"/>
          <w:sz w:val="18"/>
          <w:szCs w:val="18"/>
        </w:rPr>
        <w:t>Number of workplaces that are demonstrating action in workplace mental health</w:t>
      </w:r>
    </w:p>
    <w:p w14:paraId="4F70285E" w14:textId="7CC4137E" w:rsidR="005140CC" w:rsidRDefault="005140CC" w:rsidP="005140CC">
      <w:pPr>
        <w:spacing w:after="200" w:line="276" w:lineRule="auto"/>
      </w:pPr>
      <w:r>
        <w:lastRenderedPageBreak/>
        <w:t xml:space="preserve">SuperFriend recognises that many </w:t>
      </w:r>
      <w:r w:rsidR="00C54F00">
        <w:t xml:space="preserve">individuals and </w:t>
      </w:r>
      <w:r>
        <w:t xml:space="preserve">organisations are undertaking </w:t>
      </w:r>
      <w:r w:rsidRPr="00A346FB">
        <w:t>Mental Health First Aid training</w:t>
      </w:r>
      <w:r>
        <w:t xml:space="preserve"> or education sessions provided by EAPs.</w:t>
      </w:r>
      <w:r w:rsidR="00C54F00">
        <w:t xml:space="preserve"> This needs to be commended.</w:t>
      </w:r>
      <w:r>
        <w:t xml:space="preserve"> H</w:t>
      </w:r>
      <w:r w:rsidRPr="00A346FB">
        <w:t xml:space="preserve">owever, </w:t>
      </w:r>
      <w:r>
        <w:t xml:space="preserve">it’s important the Productivity Commission recognises </w:t>
      </w:r>
      <w:r w:rsidR="008906A4">
        <w:t xml:space="preserve">that </w:t>
      </w:r>
      <w:r>
        <w:t xml:space="preserve">a </w:t>
      </w:r>
      <w:r w:rsidR="008906A4">
        <w:t>‘</w:t>
      </w:r>
      <w:r>
        <w:t>one-size</w:t>
      </w:r>
      <w:r w:rsidR="008906A4">
        <w:t>’</w:t>
      </w:r>
      <w:r>
        <w:t xml:space="preserve"> </w:t>
      </w:r>
      <w:r w:rsidRPr="005140CC">
        <w:rPr>
          <w:u w:val="single"/>
        </w:rPr>
        <w:t>does not</w:t>
      </w:r>
      <w:r>
        <w:t xml:space="preserve"> fit all needs.  </w:t>
      </w:r>
      <w:r w:rsidRPr="00A346FB">
        <w:t>The prevalence</w:t>
      </w:r>
      <w:r>
        <w:t xml:space="preserve"> and types</w:t>
      </w:r>
      <w:r w:rsidRPr="00A346FB">
        <w:t xml:space="preserve"> of interactions with customers</w:t>
      </w:r>
      <w:r>
        <w:t>, as well as</w:t>
      </w:r>
      <w:r w:rsidRPr="00A346FB">
        <w:t xml:space="preserve"> staff experiencing</w:t>
      </w:r>
      <w:r>
        <w:t>, or at risk of mental ill-health</w:t>
      </w:r>
      <w:r w:rsidRPr="00A346FB">
        <w:t xml:space="preserve"> should dictate the </w:t>
      </w:r>
      <w:r>
        <w:t xml:space="preserve">appropriate </w:t>
      </w:r>
      <w:r w:rsidRPr="00A346FB">
        <w:t>type of training, frequency etc. Contextual</w:t>
      </w:r>
      <w:r>
        <w:t xml:space="preserve"> relevance</w:t>
      </w:r>
      <w:r w:rsidRPr="00A346FB">
        <w:t xml:space="preserve"> and </w:t>
      </w:r>
      <w:r>
        <w:t>identified desired b</w:t>
      </w:r>
      <w:r w:rsidRPr="00A346FB">
        <w:t xml:space="preserve">ehaviour change </w:t>
      </w:r>
      <w:r>
        <w:t>(</w:t>
      </w:r>
      <w:r w:rsidRPr="00A346FB">
        <w:t xml:space="preserve">through skill </w:t>
      </w:r>
      <w:r>
        <w:t xml:space="preserve">and capability </w:t>
      </w:r>
      <w:r w:rsidRPr="00A346FB">
        <w:t>development</w:t>
      </w:r>
      <w:r>
        <w:t xml:space="preserve">) </w:t>
      </w:r>
      <w:r w:rsidRPr="00A346FB">
        <w:t xml:space="preserve">is critical to impactful </w:t>
      </w:r>
      <w:r w:rsidR="00C54F00">
        <w:t xml:space="preserve">education and </w:t>
      </w:r>
      <w:r w:rsidRPr="00A346FB">
        <w:t xml:space="preserve">training. </w:t>
      </w:r>
      <w:r>
        <w:t xml:space="preserve">Confidence and capability in using new skills is vastly different to </w:t>
      </w:r>
      <w:r w:rsidRPr="00A346FB">
        <w:t>awareness building or education.</w:t>
      </w:r>
      <w:r>
        <w:t xml:space="preserve"> Therefore fit-for-purpose training is essential to achieve the desired outcomes.</w:t>
      </w:r>
      <w:r w:rsidR="00C54F00">
        <w:t xml:space="preserve"> This nuance should be included as guidance for the work health and safety authorities when developing their guidance materials.</w:t>
      </w:r>
    </w:p>
    <w:p w14:paraId="092CB546" w14:textId="695536AB" w:rsidR="00BA1C77" w:rsidRDefault="00BA1C77" w:rsidP="005140CC">
      <w:pPr>
        <w:spacing w:after="200" w:line="276" w:lineRule="auto"/>
      </w:pPr>
      <w:r>
        <w:t>Further information about early intervention and prevention is provided in Appendix 1.</w:t>
      </w:r>
    </w:p>
    <w:p w14:paraId="1BF0D582" w14:textId="7FFD5A4F" w:rsidR="005140CC" w:rsidRDefault="005140CC" w:rsidP="00F346DD">
      <w:pPr>
        <w:pStyle w:val="Heading2"/>
        <w:numPr>
          <w:ilvl w:val="0"/>
          <w:numId w:val="0"/>
        </w:numPr>
        <w:spacing w:before="0" w:after="200" w:line="276" w:lineRule="auto"/>
      </w:pPr>
    </w:p>
    <w:p w14:paraId="1F760420" w14:textId="77777777" w:rsidR="0006540B" w:rsidRDefault="0006540B">
      <w:pPr>
        <w:rPr>
          <w:b/>
          <w:iCs/>
          <w:color w:val="002060"/>
          <w:szCs w:val="26"/>
          <w:u w:val="single"/>
        </w:rPr>
      </w:pPr>
      <w:bookmarkStart w:id="9" w:name="_Hlk30418534"/>
      <w:r>
        <w:rPr>
          <w:color w:val="002060"/>
          <w:u w:val="single"/>
        </w:rPr>
        <w:br w:type="page"/>
      </w:r>
    </w:p>
    <w:p w14:paraId="511AA5E4" w14:textId="1C485F20" w:rsidR="0006540B" w:rsidRPr="0006540B" w:rsidRDefault="0006540B" w:rsidP="0006540B">
      <w:pPr>
        <w:pStyle w:val="Heading3"/>
        <w:spacing w:before="0" w:after="200" w:line="276" w:lineRule="auto"/>
        <w:rPr>
          <w:color w:val="002060"/>
          <w:u w:val="single"/>
        </w:rPr>
      </w:pPr>
      <w:bookmarkStart w:id="10" w:name="_Toc30689341"/>
      <w:r w:rsidRPr="0006540B">
        <w:rPr>
          <w:color w:val="002060"/>
          <w:u w:val="single"/>
        </w:rPr>
        <w:lastRenderedPageBreak/>
        <w:t>SuperFriend Recommendation 4</w:t>
      </w:r>
      <w:bookmarkEnd w:id="10"/>
    </w:p>
    <w:p w14:paraId="065AF526" w14:textId="110B96A1" w:rsidR="0006540B" w:rsidRDefault="0006540B" w:rsidP="00D50717">
      <w:pPr>
        <w:spacing w:line="276" w:lineRule="auto"/>
        <w:rPr>
          <w:color w:val="002060"/>
        </w:rPr>
      </w:pPr>
      <w:r w:rsidRPr="0006540B">
        <w:rPr>
          <w:color w:val="002060"/>
        </w:rPr>
        <w:t xml:space="preserve">Provide </w:t>
      </w:r>
      <w:r>
        <w:rPr>
          <w:color w:val="002060"/>
        </w:rPr>
        <w:t xml:space="preserve">Government </w:t>
      </w:r>
      <w:r w:rsidRPr="0006540B">
        <w:rPr>
          <w:color w:val="002060"/>
        </w:rPr>
        <w:t>funding</w:t>
      </w:r>
      <w:r>
        <w:rPr>
          <w:color w:val="002060"/>
        </w:rPr>
        <w:t xml:space="preserve"> </w:t>
      </w:r>
      <w:r w:rsidRPr="0006540B">
        <w:rPr>
          <w:color w:val="002060"/>
        </w:rPr>
        <w:t xml:space="preserve">for implementation support of the </w:t>
      </w:r>
      <w:r>
        <w:rPr>
          <w:color w:val="002060"/>
        </w:rPr>
        <w:t xml:space="preserve">Mentally Healthy Workplace Alliance’s </w:t>
      </w:r>
      <w:r w:rsidRPr="0006540B">
        <w:rPr>
          <w:color w:val="002060"/>
        </w:rPr>
        <w:t xml:space="preserve">National Workplace Initiative. </w:t>
      </w:r>
    </w:p>
    <w:p w14:paraId="1846C9E7" w14:textId="77777777" w:rsidR="0006540B" w:rsidRPr="00E00D29" w:rsidRDefault="0006540B" w:rsidP="0006540B">
      <w:pPr>
        <w:pStyle w:val="Heading4"/>
      </w:pPr>
      <w:r w:rsidRPr="00E00D29">
        <w:t>Rationale</w:t>
      </w:r>
    </w:p>
    <w:bookmarkEnd w:id="9"/>
    <w:p w14:paraId="4DE3B92F" w14:textId="3DE3E9BE" w:rsidR="0056136E" w:rsidRDefault="0006540B" w:rsidP="0006540B">
      <w:pPr>
        <w:pStyle w:val="ListParagraph"/>
        <w:spacing w:line="276" w:lineRule="auto"/>
        <w:ind w:left="0"/>
      </w:pPr>
      <w:r>
        <w:t>Funding the I</w:t>
      </w:r>
      <w:r w:rsidRPr="00FD0B02">
        <w:t xml:space="preserve">mplementation </w:t>
      </w:r>
      <w:r>
        <w:t>S</w:t>
      </w:r>
      <w:r w:rsidRPr="00FD0B02">
        <w:t>upport</w:t>
      </w:r>
      <w:r>
        <w:t xml:space="preserve"> component</w:t>
      </w:r>
      <w:r w:rsidRPr="00FD0B02">
        <w:t xml:space="preserve"> of the </w:t>
      </w:r>
      <w:r>
        <w:t>National Workplace Initiative (</w:t>
      </w:r>
      <w:r w:rsidRPr="00FD0B02">
        <w:t>NWI</w:t>
      </w:r>
      <w:r>
        <w:t>)</w:t>
      </w:r>
      <w:r w:rsidRPr="00FD0B02">
        <w:t xml:space="preserve"> (even if seed funded</w:t>
      </w:r>
      <w:r>
        <w:t>),</w:t>
      </w:r>
      <w:r w:rsidRPr="00FD0B02">
        <w:t xml:space="preserve"> </w:t>
      </w:r>
      <w:r w:rsidR="0056136E">
        <w:t>would</w:t>
      </w:r>
      <w:r w:rsidRPr="00FD0B02">
        <w:t xml:space="preserve"> </w:t>
      </w:r>
      <w:r w:rsidR="002008CB">
        <w:t>substantially increase the likelihood of</w:t>
      </w:r>
      <w:r w:rsidR="0056136E">
        <w:t>:</w:t>
      </w:r>
    </w:p>
    <w:p w14:paraId="139A36B0" w14:textId="1E234920" w:rsidR="0056136E" w:rsidRDefault="0006540B" w:rsidP="007F1FDE">
      <w:pPr>
        <w:pStyle w:val="ListParagraph"/>
        <w:numPr>
          <w:ilvl w:val="0"/>
          <w:numId w:val="27"/>
        </w:numPr>
        <w:spacing w:line="276" w:lineRule="auto"/>
      </w:pPr>
      <w:r w:rsidRPr="00FD0B02">
        <w:t>greater national consistency</w:t>
      </w:r>
      <w:r w:rsidR="0056136E">
        <w:t xml:space="preserve"> in </w:t>
      </w:r>
      <w:r w:rsidR="002008CB">
        <w:t>implementation, achieving efficiencies from tailoring and scaling implementation approaches</w:t>
      </w:r>
      <w:r w:rsidRPr="00FD0B02">
        <w:t xml:space="preserve"> </w:t>
      </w:r>
    </w:p>
    <w:p w14:paraId="2C6E9FEC" w14:textId="0F447275" w:rsidR="002008CB" w:rsidRDefault="0006540B" w:rsidP="007F1FDE">
      <w:pPr>
        <w:pStyle w:val="ListParagraph"/>
        <w:numPr>
          <w:ilvl w:val="0"/>
          <w:numId w:val="27"/>
        </w:numPr>
        <w:spacing w:line="276" w:lineRule="auto"/>
      </w:pPr>
      <w:r>
        <w:t>a consistent approach to impact evaluation and continuous improvement methodology implementation</w:t>
      </w:r>
    </w:p>
    <w:p w14:paraId="5EF80D52" w14:textId="4FE79BDD" w:rsidR="0056136E" w:rsidRDefault="0056136E" w:rsidP="007F1FDE">
      <w:pPr>
        <w:pStyle w:val="ListParagraph"/>
        <w:numPr>
          <w:ilvl w:val="0"/>
          <w:numId w:val="27"/>
        </w:numPr>
        <w:spacing w:line="276" w:lineRule="auto"/>
      </w:pPr>
      <w:r w:rsidRPr="0006540B">
        <w:t>help to remove the known barrier</w:t>
      </w:r>
      <w:r>
        <w:t>s</w:t>
      </w:r>
      <w:r w:rsidRPr="0006540B">
        <w:t xml:space="preserve"> of employer inaction due to overwhelming information and uncertainty over </w:t>
      </w:r>
      <w:r w:rsidRPr="002008CB">
        <w:rPr>
          <w:i/>
          <w:iCs/>
        </w:rPr>
        <w:t>how</w:t>
      </w:r>
      <w:r w:rsidRPr="0006540B">
        <w:t xml:space="preserve"> to take action.</w:t>
      </w:r>
    </w:p>
    <w:p w14:paraId="4DE8C8B8" w14:textId="77777777" w:rsidR="0006540B" w:rsidRDefault="0006540B" w:rsidP="0006540B">
      <w:pPr>
        <w:pStyle w:val="ListParagraph"/>
        <w:spacing w:line="276" w:lineRule="auto"/>
        <w:ind w:left="0"/>
      </w:pPr>
    </w:p>
    <w:p w14:paraId="766923F7" w14:textId="03535152" w:rsidR="0006540B" w:rsidRDefault="0006540B" w:rsidP="0006540B">
      <w:pPr>
        <w:pStyle w:val="ListParagraph"/>
        <w:spacing w:line="276" w:lineRule="auto"/>
        <w:ind w:left="0"/>
      </w:pPr>
      <w:r w:rsidRPr="00FD0B02">
        <w:t>The benefits of implementation support through the NWI would go a long way to reducing the real costs to workplace mental health and wellbeing</w:t>
      </w:r>
      <w:r>
        <w:t xml:space="preserve"> and enable employers to implement </w:t>
      </w:r>
      <w:r w:rsidRPr="00FD0B02">
        <w:t>actionable and tangible prevention interventions</w:t>
      </w:r>
      <w:r>
        <w:t>.</w:t>
      </w:r>
      <w:r w:rsidRPr="00FD0B02">
        <w:t xml:space="preserve"> The funding should also allow for tracking progress in changes to productivity at an individual business level, as a result of investing in workplace mental health interventions.</w:t>
      </w:r>
    </w:p>
    <w:p w14:paraId="4A43C6A2" w14:textId="705CEB04" w:rsidR="0006540B" w:rsidRDefault="002008CB" w:rsidP="002008CB">
      <w:pPr>
        <w:pStyle w:val="ListBullet"/>
        <w:numPr>
          <w:ilvl w:val="0"/>
          <w:numId w:val="0"/>
        </w:numPr>
        <w:spacing w:after="200" w:line="276" w:lineRule="auto"/>
      </w:pPr>
      <w:r w:rsidRPr="00FD3BFD">
        <w:t>SuperFriend</w:t>
      </w:r>
      <w:r>
        <w:t>’s 2019</w:t>
      </w:r>
      <w:r w:rsidRPr="00FD3BFD">
        <w:t xml:space="preserve"> published results from our f</w:t>
      </w:r>
      <w:r>
        <w:t>ourth</w:t>
      </w:r>
      <w:r w:rsidRPr="00FD3BFD">
        <w:t xml:space="preserve"> annual </w:t>
      </w:r>
      <w:r w:rsidRPr="009642B8">
        <w:rPr>
          <w:i/>
          <w:iCs/>
        </w:rPr>
        <w:t>Indicators of a Thriving Workplace Survey</w:t>
      </w:r>
      <w:r>
        <w:rPr>
          <w:rStyle w:val="EndnoteReference"/>
        </w:rPr>
        <w:endnoteReference w:id="8"/>
      </w:r>
      <w:r>
        <w:t xml:space="preserve"> show that o</w:t>
      </w:r>
      <w:r w:rsidRPr="0037342E">
        <w:t xml:space="preserve">ver 10,000 </w:t>
      </w:r>
      <w:r>
        <w:t>workers</w:t>
      </w:r>
      <w:r w:rsidRPr="0037342E">
        <w:t xml:space="preserve"> were surveyed to determine Australia’s national workplace mental health and wellbeing score of 62.7 out of 100</w:t>
      </w:r>
      <w:r>
        <w:t xml:space="preserve"> (Figure 3)</w:t>
      </w:r>
      <w:r w:rsidRPr="0037342E">
        <w:t xml:space="preserve">. </w:t>
      </w:r>
    </w:p>
    <w:p w14:paraId="649CA9DA" w14:textId="1DB32FD3" w:rsidR="002008CB" w:rsidRDefault="002008CB" w:rsidP="002008CB">
      <w:pPr>
        <w:pStyle w:val="ListBullet"/>
        <w:numPr>
          <w:ilvl w:val="0"/>
          <w:numId w:val="0"/>
        </w:numPr>
        <w:spacing w:after="200" w:line="276" w:lineRule="auto"/>
      </w:pPr>
      <w:r>
        <w:rPr>
          <w:noProof/>
          <w:lang w:eastAsia="en-AU"/>
        </w:rPr>
        <w:drawing>
          <wp:anchor distT="0" distB="0" distL="114300" distR="114300" simplePos="0" relativeHeight="251698176" behindDoc="0" locked="0" layoutInCell="1" allowOverlap="1" wp14:anchorId="115FFA40" wp14:editId="3EA3B899">
            <wp:simplePos x="0" y="0"/>
            <wp:positionH relativeFrom="margin">
              <wp:posOffset>2302127</wp:posOffset>
            </wp:positionH>
            <wp:positionV relativeFrom="line">
              <wp:posOffset>19326</wp:posOffset>
            </wp:positionV>
            <wp:extent cx="3814819" cy="3259455"/>
            <wp:effectExtent l="0" t="0" r="0" b="0"/>
            <wp:wrapNone/>
            <wp:docPr id="7"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CE0C35-93E7-4DC1-8B4E-404379A84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CE0C35-93E7-4DC1-8B4E-404379A84493}"/>
                        </a:ext>
                      </a:extLst>
                    </pic:cNvPr>
                    <pic:cNvPicPr>
                      <a:picLocks noChangeAspect="1"/>
                    </pic:cNvPicPr>
                  </pic:nvPicPr>
                  <pic:blipFill>
                    <a:blip r:embed="rId24"/>
                    <a:stretch>
                      <a:fillRect/>
                    </a:stretch>
                  </pic:blipFill>
                  <pic:spPr>
                    <a:xfrm>
                      <a:off x="0" y="0"/>
                      <a:ext cx="3816687" cy="326105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6128" behindDoc="0" locked="0" layoutInCell="1" allowOverlap="1" wp14:anchorId="693B3712" wp14:editId="3649F2F9">
            <wp:simplePos x="0" y="0"/>
            <wp:positionH relativeFrom="margin">
              <wp:posOffset>-331</wp:posOffset>
            </wp:positionH>
            <wp:positionV relativeFrom="paragraph">
              <wp:posOffset>19325</wp:posOffset>
            </wp:positionV>
            <wp:extent cx="1793868" cy="3260035"/>
            <wp:effectExtent l="0" t="0" r="0" b="0"/>
            <wp:wrapNone/>
            <wp:docPr id="10"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E827BB-310C-46D2-A6FA-B98CBE55B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E827BB-310C-46D2-A6FA-B98CBE55BFC3}"/>
                        </a:ext>
                      </a:extLst>
                    </pic:cNvPr>
                    <pic:cNvPicPr>
                      <a:picLocks noChangeAspect="1"/>
                    </pic:cNvPicPr>
                  </pic:nvPicPr>
                  <pic:blipFill>
                    <a:blip r:embed="rId25"/>
                    <a:stretch>
                      <a:fillRect/>
                    </a:stretch>
                  </pic:blipFill>
                  <pic:spPr>
                    <a:xfrm>
                      <a:off x="0" y="0"/>
                      <a:ext cx="1812415" cy="3293742"/>
                    </a:xfrm>
                    <a:prstGeom prst="rect">
                      <a:avLst/>
                    </a:prstGeom>
                  </pic:spPr>
                </pic:pic>
              </a:graphicData>
            </a:graphic>
            <wp14:sizeRelH relativeFrom="page">
              <wp14:pctWidth>0</wp14:pctWidth>
            </wp14:sizeRelH>
            <wp14:sizeRelV relativeFrom="page">
              <wp14:pctHeight>0</wp14:pctHeight>
            </wp14:sizeRelV>
          </wp:anchor>
        </w:drawing>
      </w:r>
    </w:p>
    <w:p w14:paraId="7D9F0FF8" w14:textId="00EEA5F5" w:rsidR="002008CB" w:rsidRDefault="002008CB" w:rsidP="002008CB">
      <w:pPr>
        <w:pStyle w:val="ListBullet"/>
        <w:numPr>
          <w:ilvl w:val="0"/>
          <w:numId w:val="0"/>
        </w:numPr>
        <w:spacing w:after="200" w:line="276" w:lineRule="auto"/>
      </w:pPr>
    </w:p>
    <w:p w14:paraId="2F160346" w14:textId="3D962CFE" w:rsidR="002008CB" w:rsidRDefault="002008CB" w:rsidP="002008CB">
      <w:pPr>
        <w:pStyle w:val="ListBullet"/>
        <w:numPr>
          <w:ilvl w:val="0"/>
          <w:numId w:val="0"/>
        </w:numPr>
        <w:spacing w:after="200" w:line="276" w:lineRule="auto"/>
      </w:pPr>
    </w:p>
    <w:p w14:paraId="0F2F924D" w14:textId="41A1DC1B" w:rsidR="0006540B" w:rsidRDefault="0006540B" w:rsidP="0006540B"/>
    <w:p w14:paraId="051DD874" w14:textId="104C79D6" w:rsidR="0006540B" w:rsidRDefault="0006540B" w:rsidP="0006540B"/>
    <w:p w14:paraId="210578D9" w14:textId="0165663D" w:rsidR="0006540B" w:rsidRDefault="0006540B" w:rsidP="0006540B"/>
    <w:p w14:paraId="335C8E78" w14:textId="60D9C6F9" w:rsidR="0006540B" w:rsidRDefault="0006540B" w:rsidP="0006540B"/>
    <w:p w14:paraId="247E86D7" w14:textId="20D48FD5" w:rsidR="0006540B" w:rsidRDefault="0006540B" w:rsidP="0006540B"/>
    <w:p w14:paraId="34BA8B55" w14:textId="737FFE26" w:rsidR="0006540B" w:rsidRDefault="0006540B" w:rsidP="0006540B"/>
    <w:p w14:paraId="1045FE31" w14:textId="68355BC4" w:rsidR="0006540B" w:rsidRDefault="0006540B" w:rsidP="0006540B"/>
    <w:p w14:paraId="620E505C" w14:textId="5A2DB150" w:rsidR="0006540B" w:rsidRDefault="0006540B" w:rsidP="0006540B"/>
    <w:p w14:paraId="25F82660" w14:textId="3BE50253" w:rsidR="0006540B" w:rsidRDefault="0006540B" w:rsidP="0006540B"/>
    <w:p w14:paraId="5B96EEA3" w14:textId="484DBDCE" w:rsidR="0006540B" w:rsidRDefault="0006540B" w:rsidP="0006540B"/>
    <w:p w14:paraId="69775276" w14:textId="21A375C6" w:rsidR="0006540B" w:rsidRDefault="0006540B" w:rsidP="0006540B"/>
    <w:p w14:paraId="16E9FEE7" w14:textId="29E4B2D2" w:rsidR="0006540B" w:rsidRDefault="0006540B" w:rsidP="0006540B"/>
    <w:p w14:paraId="54ABFC2F" w14:textId="77777777" w:rsidR="002008CB" w:rsidRDefault="002008CB" w:rsidP="002008CB">
      <w:pPr>
        <w:pStyle w:val="ListBullet"/>
        <w:numPr>
          <w:ilvl w:val="0"/>
          <w:numId w:val="0"/>
        </w:numPr>
        <w:spacing w:after="200" w:line="276" w:lineRule="auto"/>
      </w:pPr>
    </w:p>
    <w:p w14:paraId="509E80ED" w14:textId="3CCE494C" w:rsidR="002008CB" w:rsidRPr="00B879B1" w:rsidRDefault="002008CB" w:rsidP="002008CB">
      <w:pPr>
        <w:pStyle w:val="ListBullet"/>
        <w:numPr>
          <w:ilvl w:val="0"/>
          <w:numId w:val="0"/>
        </w:numPr>
        <w:spacing w:after="0"/>
      </w:pPr>
      <w:bookmarkStart w:id="11" w:name="_Hlk30580800"/>
      <w:r w:rsidRPr="009F468B">
        <w:rPr>
          <w:sz w:val="18"/>
          <w:szCs w:val="18"/>
        </w:rPr>
        <w:t xml:space="preserve">Figure </w:t>
      </w:r>
      <w:r>
        <w:rPr>
          <w:sz w:val="18"/>
          <w:szCs w:val="18"/>
        </w:rPr>
        <w:t>3</w:t>
      </w:r>
      <w:r w:rsidRPr="009F468B">
        <w:rPr>
          <w:sz w:val="18"/>
          <w:szCs w:val="18"/>
        </w:rPr>
        <w:t>. Australia’s national workplace mental health and wellbeing scores</w:t>
      </w:r>
      <w:r>
        <w:rPr>
          <w:sz w:val="18"/>
          <w:szCs w:val="18"/>
        </w:rPr>
        <w:t>, 2019</w:t>
      </w:r>
      <w:r w:rsidR="00D50717">
        <w:rPr>
          <w:sz w:val="18"/>
          <w:szCs w:val="18"/>
        </w:rPr>
        <w:t xml:space="preserve"> and scores broken down by the five domains – Connectedness, Culture, Capability, Leadership and Policy.</w:t>
      </w:r>
    </w:p>
    <w:bookmarkEnd w:id="11"/>
    <w:p w14:paraId="1A3AF8BB" w14:textId="77777777" w:rsidR="002008CB" w:rsidRDefault="002008CB" w:rsidP="002008CB">
      <w:pPr>
        <w:pStyle w:val="ListBullet"/>
        <w:numPr>
          <w:ilvl w:val="0"/>
          <w:numId w:val="0"/>
        </w:numPr>
        <w:spacing w:after="200" w:line="276" w:lineRule="auto"/>
      </w:pPr>
    </w:p>
    <w:p w14:paraId="7AFEABFD" w14:textId="0DA823C4" w:rsidR="002008CB" w:rsidRDefault="002008CB" w:rsidP="007A13CD">
      <w:pPr>
        <w:pStyle w:val="ListBullet"/>
        <w:numPr>
          <w:ilvl w:val="0"/>
          <w:numId w:val="0"/>
        </w:numPr>
        <w:spacing w:after="200" w:line="276" w:lineRule="auto"/>
        <w:rPr>
          <w:rFonts w:eastAsiaTheme="minorHAnsi" w:cs="Calibri"/>
          <w:szCs w:val="22"/>
        </w:rPr>
      </w:pPr>
      <w:r>
        <w:lastRenderedPageBreak/>
        <w:t xml:space="preserve">This score </w:t>
      </w:r>
      <w:r w:rsidR="0076502E">
        <w:t xml:space="preserve">demonstrates that </w:t>
      </w:r>
      <w:r>
        <w:t>Australia is not yet</w:t>
      </w:r>
      <w:r w:rsidRPr="0037342E">
        <w:t xml:space="preserve"> two thirds of the way towards optimal workplace mental health and wellbeing.</w:t>
      </w:r>
      <w:r w:rsidRPr="006E53CE">
        <w:rPr>
          <w:rFonts w:eastAsiaTheme="minorHAnsi" w:cs="Calibri"/>
          <w:szCs w:val="22"/>
        </w:rPr>
        <w:t xml:space="preserve"> </w:t>
      </w:r>
      <w:r>
        <w:rPr>
          <w:rFonts w:eastAsiaTheme="minorHAnsi" w:cs="Calibri"/>
          <w:szCs w:val="22"/>
        </w:rPr>
        <w:t>A thriving workplace would score 80 or above. Only 5% of Australian workplaces are thriving.</w:t>
      </w:r>
    </w:p>
    <w:p w14:paraId="45ACE008" w14:textId="09B0E5F5" w:rsidR="0006540B" w:rsidRDefault="002008CB" w:rsidP="007A13CD">
      <w:pPr>
        <w:spacing w:line="276" w:lineRule="auto"/>
      </w:pPr>
      <w:r>
        <w:t>There is more work to do to help employers take action</w:t>
      </w:r>
      <w:r w:rsidR="00D50717">
        <w:t xml:space="preserve"> across all five domains – Leadership, Capability, Policy, Connectedness and Culture</w:t>
      </w:r>
      <w:r>
        <w:t xml:space="preserve">. Many </w:t>
      </w:r>
      <w:r w:rsidR="00D50717">
        <w:t xml:space="preserve">employers want to know and </w:t>
      </w:r>
      <w:r>
        <w:t>need to know the ROI for their business</w:t>
      </w:r>
      <w:r w:rsidR="00D50717">
        <w:t>,</w:t>
      </w:r>
      <w:r>
        <w:t xml:space="preserve"> if they are to implement any workplace mental health and wellbeing initiatives</w:t>
      </w:r>
      <w:r w:rsidR="007A13CD">
        <w:t>.</w:t>
      </w:r>
      <w:r>
        <w:t xml:space="preserve"> </w:t>
      </w:r>
      <w:r w:rsidR="007A13CD">
        <w:t>Y</w:t>
      </w:r>
      <w:r>
        <w:t xml:space="preserve">et this data is not readily available or consistent. </w:t>
      </w:r>
      <w:r w:rsidR="007A13CD">
        <w:t xml:space="preserve"> Large costs, such as the presenteeism costs to the Australian economy, are not sufficient motivators for change</w:t>
      </w:r>
      <w:r w:rsidR="00D50717">
        <w:t>, especially at the individual employer level</w:t>
      </w:r>
      <w:r w:rsidR="007A13CD">
        <w:t xml:space="preserve">. </w:t>
      </w:r>
      <w:r>
        <w:t xml:space="preserve">A </w:t>
      </w:r>
      <w:r w:rsidR="007A13CD">
        <w:t>known lever for business and Government is understanding the economic benefits of investing in prevention – as it pertains to them. Therefore, funding implementation support for the National Workplace Initiative, will provide the best opportunity to:</w:t>
      </w:r>
    </w:p>
    <w:p w14:paraId="5B553DBC" w14:textId="3FD43400" w:rsidR="007A13CD" w:rsidRDefault="007A13CD" w:rsidP="007F1FDE">
      <w:pPr>
        <w:pStyle w:val="ListBullet3"/>
        <w:numPr>
          <w:ilvl w:val="0"/>
          <w:numId w:val="28"/>
        </w:numPr>
      </w:pPr>
      <w:r>
        <w:t>provide Governments with whole of population data on progress, implementation and outcomes of the NWI</w:t>
      </w:r>
    </w:p>
    <w:p w14:paraId="524542ED" w14:textId="4ADBB3E0" w:rsidR="007A13CD" w:rsidRDefault="007A13CD" w:rsidP="007F1FDE">
      <w:pPr>
        <w:pStyle w:val="ListBullet3"/>
        <w:numPr>
          <w:ilvl w:val="0"/>
          <w:numId w:val="28"/>
        </w:numPr>
      </w:pPr>
      <w:r>
        <w:t>provide Businesses with organisational-level data and information</w:t>
      </w:r>
    </w:p>
    <w:p w14:paraId="5F931C25" w14:textId="77777777" w:rsidR="0072295C" w:rsidRDefault="007A13CD" w:rsidP="007F1FDE">
      <w:pPr>
        <w:pStyle w:val="ListBullet3"/>
        <w:numPr>
          <w:ilvl w:val="0"/>
          <w:numId w:val="28"/>
        </w:numPr>
      </w:pPr>
      <w:r>
        <w:t xml:space="preserve">provide Industry level data, </w:t>
      </w:r>
    </w:p>
    <w:p w14:paraId="699063FA" w14:textId="639E1CF0" w:rsidR="007A13CD" w:rsidRDefault="0072295C" w:rsidP="007F1FDE">
      <w:pPr>
        <w:pStyle w:val="ListBullet3"/>
        <w:numPr>
          <w:ilvl w:val="0"/>
          <w:numId w:val="28"/>
        </w:numPr>
      </w:pPr>
      <w:r>
        <w:t xml:space="preserve">provide regional level data which can help with monitoring the impact of WHS schemes, </w:t>
      </w:r>
      <w:r w:rsidR="007A13CD">
        <w:t>and</w:t>
      </w:r>
    </w:p>
    <w:p w14:paraId="66B9B376" w14:textId="58E32AEA" w:rsidR="007A13CD" w:rsidRDefault="007A13CD" w:rsidP="007F1FDE">
      <w:pPr>
        <w:pStyle w:val="ListBullet3"/>
        <w:numPr>
          <w:ilvl w:val="0"/>
          <w:numId w:val="28"/>
        </w:numPr>
      </w:pPr>
      <w:r>
        <w:t>encourage and incentivise (through natural market forces) service providers to develop stronger impact evaluation and reporting capability</w:t>
      </w:r>
    </w:p>
    <w:p w14:paraId="4F232DC8" w14:textId="13A04114" w:rsidR="0072295C" w:rsidRDefault="0072295C" w:rsidP="009406E6">
      <w:pPr>
        <w:pStyle w:val="ListBullet3"/>
        <w:numPr>
          <w:ilvl w:val="0"/>
          <w:numId w:val="0"/>
        </w:numPr>
        <w:spacing w:line="276" w:lineRule="auto"/>
      </w:pPr>
    </w:p>
    <w:p w14:paraId="05ED5391" w14:textId="78F0C0EC" w:rsidR="0072295C" w:rsidRDefault="0072295C" w:rsidP="009406E6">
      <w:pPr>
        <w:pStyle w:val="ListBullet3"/>
        <w:numPr>
          <w:ilvl w:val="0"/>
          <w:numId w:val="0"/>
        </w:numPr>
        <w:spacing w:line="276" w:lineRule="auto"/>
      </w:pPr>
      <w:r>
        <w:t>This will enhance</w:t>
      </w:r>
      <w:r w:rsidR="008D20DB">
        <w:t xml:space="preserve"> and support</w:t>
      </w:r>
      <w:r>
        <w:t xml:space="preserve"> the broader recommendations contained in </w:t>
      </w:r>
      <w:r w:rsidRPr="008D20DB">
        <w:rPr>
          <w:b/>
          <w:bCs/>
        </w:rPr>
        <w:t>section 25</w:t>
      </w:r>
      <w:r>
        <w:t xml:space="preserve"> of the draft report and provide response to the information request </w:t>
      </w:r>
      <w:r w:rsidR="008D20DB">
        <w:t>for that section, as they pertain to workplace mental health monitoring, reporting and evaluation.</w:t>
      </w:r>
    </w:p>
    <w:p w14:paraId="3A20CFC1" w14:textId="17CEEA32" w:rsidR="002008CB" w:rsidRDefault="002008CB" w:rsidP="009406E6">
      <w:pPr>
        <w:spacing w:line="276" w:lineRule="auto"/>
      </w:pPr>
    </w:p>
    <w:p w14:paraId="77FB33C9" w14:textId="77777777" w:rsidR="002008CB" w:rsidRPr="0006540B" w:rsidRDefault="002008CB" w:rsidP="007A13CD">
      <w:pPr>
        <w:spacing w:line="276" w:lineRule="auto"/>
      </w:pPr>
    </w:p>
    <w:p w14:paraId="272704A4" w14:textId="77777777" w:rsidR="007A13CD" w:rsidRDefault="007A13CD">
      <w:pPr>
        <w:rPr>
          <w:b/>
          <w:bCs/>
          <w:iCs/>
          <w:color w:val="4D4F53" w:themeColor="text1"/>
          <w:sz w:val="24"/>
          <w:szCs w:val="26"/>
        </w:rPr>
      </w:pPr>
      <w:r>
        <w:br w:type="page"/>
      </w:r>
    </w:p>
    <w:p w14:paraId="010F2B9A" w14:textId="72A24C9A" w:rsidR="00776B35" w:rsidRDefault="00776B35" w:rsidP="00776B35">
      <w:pPr>
        <w:pStyle w:val="Heading1NOTOC"/>
      </w:pPr>
      <w:r>
        <w:lastRenderedPageBreak/>
        <w:t xml:space="preserve">SuperFriend response to Draft </w:t>
      </w:r>
      <w:r w:rsidR="006231CF">
        <w:t xml:space="preserve">Report </w:t>
      </w:r>
      <w:r>
        <w:t>Recommendations</w:t>
      </w:r>
    </w:p>
    <w:p w14:paraId="3938CEA1" w14:textId="17F6B28D" w:rsidR="00776B35" w:rsidRDefault="00EA048C" w:rsidP="00776B35">
      <w:pPr>
        <w:pStyle w:val="Heading2NOTOC"/>
      </w:pPr>
      <w:r>
        <w:t>WORKPLACES</w:t>
      </w:r>
    </w:p>
    <w:p w14:paraId="79C08B31" w14:textId="7DEF4A6D" w:rsidR="00776B35" w:rsidRDefault="00EA048C" w:rsidP="00776B35">
      <w:pPr>
        <w:pStyle w:val="Heading3"/>
        <w:numPr>
          <w:ilvl w:val="0"/>
          <w:numId w:val="0"/>
        </w:numPr>
        <w:spacing w:line="276" w:lineRule="auto"/>
      </w:pPr>
      <w:bookmarkStart w:id="12" w:name="_Toc30689342"/>
      <w:r>
        <w:t xml:space="preserve">Draft Recommendations </w:t>
      </w:r>
      <w:r w:rsidR="00776B35">
        <w:t>19.1-19.5</w:t>
      </w:r>
      <w:r>
        <w:t>:</w:t>
      </w:r>
      <w:r w:rsidR="00776B35">
        <w:t xml:space="preserve"> Develop and support mentally healthy workplaces</w:t>
      </w:r>
      <w:bookmarkEnd w:id="12"/>
    </w:p>
    <w:p w14:paraId="697B3CA0" w14:textId="77777777" w:rsidR="00776B35" w:rsidRPr="00776B35" w:rsidRDefault="00776B35" w:rsidP="00776B35"/>
    <w:p w14:paraId="16E725D4" w14:textId="03DFF918" w:rsidR="00A56632" w:rsidRDefault="00A56632" w:rsidP="009642B8">
      <w:pPr>
        <w:pBdr>
          <w:top w:val="single" w:sz="8" w:space="1" w:color="1C5692"/>
          <w:left w:val="single" w:sz="8" w:space="4" w:color="1C5692"/>
          <w:bottom w:val="single" w:sz="8" w:space="1" w:color="1C5692"/>
          <w:right w:val="single" w:sz="8" w:space="4" w:color="1C5692"/>
        </w:pBdr>
        <w:spacing w:after="200" w:line="276" w:lineRule="auto"/>
      </w:pPr>
      <w:r w:rsidRPr="00A346FB">
        <w:t xml:space="preserve">Any future </w:t>
      </w:r>
      <w:r>
        <w:rPr>
          <w:rFonts w:cs="Arial"/>
        </w:rPr>
        <w:t>n</w:t>
      </w:r>
      <w:r w:rsidRPr="00A346FB">
        <w:rPr>
          <w:rFonts w:cs="Arial"/>
        </w:rPr>
        <w:t>ational mental health policies</w:t>
      </w:r>
      <w:r>
        <w:rPr>
          <w:rFonts w:cs="Arial"/>
        </w:rPr>
        <w:t>, if they are to be economically and socially sustainable,</w:t>
      </w:r>
      <w:r w:rsidRPr="00A346FB">
        <w:rPr>
          <w:rFonts w:cs="Arial"/>
        </w:rPr>
        <w:t xml:space="preserve"> </w:t>
      </w:r>
      <w:r w:rsidR="00FE0BE4">
        <w:rPr>
          <w:rFonts w:cs="Arial"/>
        </w:rPr>
        <w:t>must</w:t>
      </w:r>
      <w:r w:rsidRPr="00A346FB">
        <w:rPr>
          <w:rFonts w:cs="Arial"/>
        </w:rPr>
        <w:t xml:space="preserve"> be concerned both with mental </w:t>
      </w:r>
      <w:r w:rsidR="00484F12">
        <w:rPr>
          <w:rFonts w:cs="Arial"/>
        </w:rPr>
        <w:t xml:space="preserve">ill-health, mental health </w:t>
      </w:r>
      <w:r w:rsidR="009642B8">
        <w:rPr>
          <w:rFonts w:cs="Arial"/>
        </w:rPr>
        <w:t>conditions</w:t>
      </w:r>
      <w:r w:rsidR="00484F12" w:rsidRPr="00A346FB">
        <w:rPr>
          <w:rFonts w:cs="Arial"/>
        </w:rPr>
        <w:t xml:space="preserve"> </w:t>
      </w:r>
      <w:r w:rsidRPr="00A346FB">
        <w:rPr>
          <w:rFonts w:cs="Arial"/>
        </w:rPr>
        <w:t>and with broader</w:t>
      </w:r>
      <w:r>
        <w:rPr>
          <w:rFonts w:cs="Arial"/>
        </w:rPr>
        <w:t xml:space="preserve"> factors</w:t>
      </w:r>
      <w:r w:rsidRPr="00A346FB">
        <w:rPr>
          <w:rFonts w:cs="Arial"/>
        </w:rPr>
        <w:t xml:space="preserve"> that </w:t>
      </w:r>
      <w:r>
        <w:rPr>
          <w:rFonts w:cs="Arial"/>
        </w:rPr>
        <w:t>enable and foster positive</w:t>
      </w:r>
      <w:r w:rsidRPr="00A346FB">
        <w:rPr>
          <w:rFonts w:cs="Arial"/>
        </w:rPr>
        <w:t xml:space="preserve"> mental health and wellbeing</w:t>
      </w:r>
      <w:r>
        <w:rPr>
          <w:rFonts w:cs="Arial"/>
        </w:rPr>
        <w:t xml:space="preserve"> to create flourishing workplaces</w:t>
      </w:r>
      <w:r w:rsidRPr="00A346FB">
        <w:t>.</w:t>
      </w:r>
      <w:r w:rsidRPr="00A346FB">
        <w:rPr>
          <w:rStyle w:val="EndnoteReference"/>
        </w:rPr>
        <w:endnoteReference w:id="9"/>
      </w:r>
    </w:p>
    <w:p w14:paraId="04A3DD5C" w14:textId="78787256" w:rsidR="00A346FB" w:rsidRDefault="00A346FB" w:rsidP="009642B8">
      <w:pPr>
        <w:pStyle w:val="ListBullet"/>
        <w:numPr>
          <w:ilvl w:val="0"/>
          <w:numId w:val="0"/>
        </w:numPr>
        <w:spacing w:after="200" w:line="276" w:lineRule="auto"/>
      </w:pPr>
      <w:bookmarkStart w:id="13" w:name="_Hlk30406146"/>
      <w:bookmarkEnd w:id="8"/>
      <w:r>
        <w:t>SuperFriend is</w:t>
      </w:r>
      <w:r w:rsidR="00CD3891">
        <w:t>, in principle,</w:t>
      </w:r>
      <w:r>
        <w:t xml:space="preserve"> supportive of recommendations 19.1 to 19.</w:t>
      </w:r>
      <w:r w:rsidR="00961342">
        <w:t>4. SuperFriend is not fully supportive of recommendation 19.5</w:t>
      </w:r>
      <w:r w:rsidR="004562F6">
        <w:t xml:space="preserve"> and proposes amendments below</w:t>
      </w:r>
      <w:r w:rsidR="00961342">
        <w:t>.</w:t>
      </w:r>
      <w:r w:rsidR="00CD3891">
        <w:t xml:space="preserve"> </w:t>
      </w:r>
      <w:r w:rsidR="004562F6">
        <w:t xml:space="preserve">In summary, SuperFriend feels that the recommendations </w:t>
      </w:r>
      <w:r w:rsidR="000D599E">
        <w:t xml:space="preserve">haven’t gone far enough and </w:t>
      </w:r>
      <w:r w:rsidR="00CD3891">
        <w:t>suggest</w:t>
      </w:r>
      <w:r w:rsidR="00B61971">
        <w:t xml:space="preserve"> </w:t>
      </w:r>
      <w:r w:rsidR="00CD3891">
        <w:t>the P</w:t>
      </w:r>
      <w:r w:rsidR="0037342E">
        <w:t xml:space="preserve">roductivity </w:t>
      </w:r>
      <w:r w:rsidR="00CD3891">
        <w:t>C</w:t>
      </w:r>
      <w:r w:rsidR="0037342E">
        <w:t>ommission</w:t>
      </w:r>
      <w:r w:rsidR="00CD3891">
        <w:t xml:space="preserve"> considers </w:t>
      </w:r>
      <w:r w:rsidR="00B61971">
        <w:t>several</w:t>
      </w:r>
      <w:r w:rsidR="00CD3891">
        <w:t xml:space="preserve"> modifications to these recommendations to strengthen their desired impact</w:t>
      </w:r>
      <w:r w:rsidR="00961342">
        <w:t>, as well as new recommendations as outlined below.</w:t>
      </w:r>
    </w:p>
    <w:bookmarkEnd w:id="13"/>
    <w:p w14:paraId="137F5E06" w14:textId="77777777" w:rsidR="006A7261" w:rsidRDefault="005F6380" w:rsidP="009642B8">
      <w:pPr>
        <w:spacing w:after="200" w:line="276" w:lineRule="auto"/>
      </w:pPr>
      <w:r>
        <w:t>Given th</w:t>
      </w:r>
      <w:r w:rsidR="000369F1">
        <w:t>e</w:t>
      </w:r>
      <w:r>
        <w:t xml:space="preserve"> growing evidence of </w:t>
      </w:r>
      <w:r w:rsidR="00FD0B02">
        <w:t xml:space="preserve">the effectiveness of </w:t>
      </w:r>
      <w:r>
        <w:t xml:space="preserve">positive </w:t>
      </w:r>
      <w:r w:rsidR="00FD0B02">
        <w:t xml:space="preserve">psychology </w:t>
      </w:r>
      <w:r>
        <w:t>intervention</w:t>
      </w:r>
      <w:r w:rsidR="00FD0B02">
        <w:t>s</w:t>
      </w:r>
      <w:r w:rsidR="006A7261">
        <w:t xml:space="preserve"> in workplaces</w:t>
      </w:r>
      <w:r>
        <w:t>, SuperFriend recommends the Productivity Commission reviews the emphasis on W</w:t>
      </w:r>
      <w:r w:rsidR="00775BE1">
        <w:t xml:space="preserve">ork </w:t>
      </w:r>
      <w:r>
        <w:t>H</w:t>
      </w:r>
      <w:r w:rsidR="00775BE1">
        <w:t xml:space="preserve">ealth and </w:t>
      </w:r>
      <w:r>
        <w:t>S</w:t>
      </w:r>
      <w:r w:rsidR="00775BE1">
        <w:t>afety (WHS)</w:t>
      </w:r>
      <w:r>
        <w:t xml:space="preserve"> agencies as the primary distribution channel</w:t>
      </w:r>
      <w:r w:rsidR="00B879B1">
        <w:t xml:space="preserve">, </w:t>
      </w:r>
      <w:r w:rsidR="00317581">
        <w:t xml:space="preserve">evaluator and </w:t>
      </w:r>
      <w:r w:rsidR="00775BE1">
        <w:t>disseminator for information on workplace interventions</w:t>
      </w:r>
      <w:r>
        <w:t xml:space="preserve">. </w:t>
      </w:r>
    </w:p>
    <w:p w14:paraId="7EC30475" w14:textId="10A7BBB5" w:rsidR="00775BE1" w:rsidRDefault="00592828" w:rsidP="009642B8">
      <w:pPr>
        <w:spacing w:after="200" w:line="276" w:lineRule="auto"/>
      </w:pPr>
      <w:r>
        <w:t>Typically</w:t>
      </w:r>
      <w:r w:rsidR="006A7261">
        <w:t>,</w:t>
      </w:r>
      <w:r>
        <w:t xml:space="preserve"> WHS agencies bring a risk mitigation and compliance focus</w:t>
      </w:r>
      <w:r w:rsidR="006A7261">
        <w:t xml:space="preserve"> to worker safety – which is acknowledged as an essential foundation and standard that is required and must be achieved. However, promoting more positive aspects of work, that fall outside ‘meeting compliance’, is not the known expertise of WHS authorities. It also does not fall within their remit for regulation enforcement and therefore may be counterproductive in achieving widespread action by employers.</w:t>
      </w:r>
    </w:p>
    <w:p w14:paraId="73D4E25C" w14:textId="0670DF30" w:rsidR="005F6380" w:rsidRDefault="00317581" w:rsidP="009642B8">
      <w:pPr>
        <w:spacing w:after="200" w:line="276" w:lineRule="auto"/>
      </w:pPr>
      <w:r>
        <w:t>The</w:t>
      </w:r>
      <w:r w:rsidR="005F6380">
        <w:t xml:space="preserve"> Productivity Commission has an opportunity to reorient these recommendations, noting the intended impacts, to recognise there are many other ‘actors’ in the workplace mental health and wellbeing system that are equally</w:t>
      </w:r>
      <w:r w:rsidR="002F635A">
        <w:t xml:space="preserve"> (</w:t>
      </w:r>
      <w:r w:rsidR="005F6380">
        <w:t>if not better</w:t>
      </w:r>
      <w:r w:rsidR="002F635A">
        <w:t>)</w:t>
      </w:r>
      <w:r w:rsidR="005F6380">
        <w:t xml:space="preserve"> placed to promote the complex mix of interventions required, including positive or strengths based approaches. When a complex construct exists – such as workplace mental health and wellbeing - it requires a mix of solutions, delivered by a diverse range of coordinated and suitably skilled providers.</w:t>
      </w:r>
    </w:p>
    <w:p w14:paraId="48FCE5CC" w14:textId="2E563E21" w:rsidR="005F6380" w:rsidRDefault="005F6380" w:rsidP="009642B8">
      <w:pPr>
        <w:spacing w:after="200" w:line="276" w:lineRule="auto"/>
        <w:rPr>
          <w:rFonts w:eastAsiaTheme="majorEastAsia" w:cstheme="majorHAnsi"/>
          <w:szCs w:val="20"/>
        </w:rPr>
      </w:pPr>
      <w:r>
        <w:t>From our experience in working with business, there can be a genuine reluctance by workplaces (and workers) to proactively engage with WHS agencies, due to their ‘regulatory’ role. This is a very real barrier</w:t>
      </w:r>
      <w:r w:rsidR="00776B35">
        <w:t xml:space="preserve">, slowing uptake and change, </w:t>
      </w:r>
      <w:r>
        <w:t>and should be considered when making recommendations to Government for workplace mental health reform. There is certainly a</w:t>
      </w:r>
      <w:r w:rsidR="00776B35">
        <w:t xml:space="preserve"> valuable</w:t>
      </w:r>
      <w:r>
        <w:t xml:space="preserve"> role for WHS agencies in promoting preventative strategies and risk mitigations. However, SuperFriend believes a cross-sector, collaborative and non-regulatory approach is likely to achieve </w:t>
      </w:r>
      <w:r w:rsidR="0036492D">
        <w:t xml:space="preserve">more </w:t>
      </w:r>
      <w:r>
        <w:t>positive outcomes and changes in workplace behaviours, more quickly</w:t>
      </w:r>
      <w:r w:rsidR="006A7261">
        <w:t xml:space="preserve"> and at scale</w:t>
      </w:r>
      <w:r>
        <w:t xml:space="preserve">. The Mentally Healthy Workplace Alliance’s </w:t>
      </w:r>
      <w:r>
        <w:lastRenderedPageBreak/>
        <w:t>(MHW</w:t>
      </w:r>
      <w:r w:rsidR="006A7261">
        <w:t>A</w:t>
      </w:r>
      <w:r>
        <w:t xml:space="preserve">) </w:t>
      </w:r>
      <w:r w:rsidR="004C0ED0">
        <w:t>National Workplace Initiative</w:t>
      </w:r>
      <w:r>
        <w:t xml:space="preserve"> provides such a vehicle.</w:t>
      </w:r>
      <w:r w:rsidR="006A7261">
        <w:t xml:space="preserve"> Concentrated effort and support for this national initiative is essential.</w:t>
      </w:r>
    </w:p>
    <w:p w14:paraId="0CEEAD31" w14:textId="4A1E2883" w:rsidR="00B71AD5" w:rsidRPr="009642B8" w:rsidRDefault="004A79E0" w:rsidP="009642B8">
      <w:pPr>
        <w:pStyle w:val="Heading3"/>
        <w:spacing w:before="0" w:after="200" w:line="276" w:lineRule="auto"/>
        <w:rPr>
          <w:b w:val="0"/>
          <w:bCs/>
          <w:i/>
          <w:iCs w:val="0"/>
          <w:u w:val="single"/>
        </w:rPr>
      </w:pPr>
      <w:bookmarkStart w:id="14" w:name="_Toc30689343"/>
      <w:r w:rsidRPr="009642B8">
        <w:rPr>
          <w:b w:val="0"/>
          <w:bCs/>
          <w:i/>
          <w:iCs w:val="0"/>
          <w:u w:val="single"/>
        </w:rPr>
        <w:t xml:space="preserve">Draft </w:t>
      </w:r>
      <w:r w:rsidR="005F6380" w:rsidRPr="009642B8">
        <w:rPr>
          <w:b w:val="0"/>
          <w:bCs/>
          <w:i/>
          <w:iCs w:val="0"/>
          <w:u w:val="single"/>
        </w:rPr>
        <w:t xml:space="preserve">Finding 19.2 </w:t>
      </w:r>
      <w:r w:rsidR="00B71AD5" w:rsidRPr="009642B8">
        <w:rPr>
          <w:b w:val="0"/>
          <w:bCs/>
          <w:i/>
          <w:iCs w:val="0"/>
          <w:u w:val="single"/>
        </w:rPr>
        <w:t>The role of workers compensation in addressing mental health</w:t>
      </w:r>
      <w:bookmarkEnd w:id="14"/>
      <w:r w:rsidR="007276BB" w:rsidRPr="009642B8">
        <w:rPr>
          <w:b w:val="0"/>
          <w:bCs/>
          <w:i/>
          <w:iCs w:val="0"/>
          <w:u w:val="single"/>
        </w:rPr>
        <w:t xml:space="preserve"> </w:t>
      </w:r>
      <w:r w:rsidR="00B71AD5" w:rsidRPr="009642B8">
        <w:rPr>
          <w:b w:val="0"/>
          <w:bCs/>
          <w:i/>
          <w:iCs w:val="0"/>
          <w:u w:val="single"/>
        </w:rPr>
        <w:t xml:space="preserve"> </w:t>
      </w:r>
    </w:p>
    <w:p w14:paraId="3C05BC89" w14:textId="0B40CAB0" w:rsidR="004022DC" w:rsidRDefault="005D1E03" w:rsidP="009642B8">
      <w:pPr>
        <w:spacing w:after="200" w:line="276" w:lineRule="auto"/>
        <w:rPr>
          <w:rFonts w:eastAsia="Times New Roman"/>
        </w:rPr>
      </w:pPr>
      <w:r w:rsidRPr="00A346FB">
        <w:rPr>
          <w:rFonts w:eastAsia="Times New Roman"/>
        </w:rPr>
        <w:t xml:space="preserve">SuperFriend acknowledges the </w:t>
      </w:r>
      <w:r w:rsidR="0036492D">
        <w:rPr>
          <w:rFonts w:eastAsia="Times New Roman"/>
        </w:rPr>
        <w:t xml:space="preserve">valuable </w:t>
      </w:r>
      <w:r w:rsidRPr="00A346FB">
        <w:rPr>
          <w:rFonts w:eastAsia="Times New Roman"/>
        </w:rPr>
        <w:t>role of workers compensation</w:t>
      </w:r>
      <w:r w:rsidR="0036492D">
        <w:rPr>
          <w:rFonts w:eastAsia="Times New Roman"/>
        </w:rPr>
        <w:t xml:space="preserve"> schemes</w:t>
      </w:r>
      <w:r w:rsidRPr="00A346FB">
        <w:rPr>
          <w:rFonts w:eastAsia="Times New Roman"/>
        </w:rPr>
        <w:t xml:space="preserve"> in addressing mental health</w:t>
      </w:r>
      <w:r w:rsidR="004022DC">
        <w:rPr>
          <w:rFonts w:eastAsia="Times New Roman"/>
        </w:rPr>
        <w:t xml:space="preserve">. We support the draft finding to more effectively deal with mental health claims and improve outcomes for employers and employees by providing early intervention, early treatment and early return to work to avoid isolation, </w:t>
      </w:r>
      <w:r w:rsidR="004022DC" w:rsidRPr="004022DC">
        <w:rPr>
          <w:rFonts w:eastAsia="Times New Roman"/>
        </w:rPr>
        <w:t>feelings of identity loss</w:t>
      </w:r>
      <w:r w:rsidR="004022DC">
        <w:rPr>
          <w:rFonts w:eastAsia="Times New Roman"/>
        </w:rPr>
        <w:t xml:space="preserve"> and an</w:t>
      </w:r>
      <w:r w:rsidR="004022DC" w:rsidRPr="004022DC">
        <w:rPr>
          <w:rFonts w:eastAsia="Times New Roman"/>
        </w:rPr>
        <w:t xml:space="preserve"> inability to contribute economically to their households</w:t>
      </w:r>
      <w:r w:rsidR="004022DC">
        <w:rPr>
          <w:rFonts w:eastAsia="Times New Roman"/>
        </w:rPr>
        <w:t xml:space="preserve">. Moreover, </w:t>
      </w:r>
      <w:r w:rsidR="004022DC" w:rsidRPr="004022DC">
        <w:rPr>
          <w:rFonts w:eastAsia="Times New Roman"/>
        </w:rPr>
        <w:t>feelings of separation from their social networks</w:t>
      </w:r>
      <w:r w:rsidR="004022DC">
        <w:rPr>
          <w:rFonts w:eastAsia="Times New Roman"/>
        </w:rPr>
        <w:t>.</w:t>
      </w:r>
      <w:r w:rsidR="004D054D">
        <w:rPr>
          <w:rStyle w:val="EndnoteReference"/>
          <w:rFonts w:eastAsia="Times New Roman"/>
        </w:rPr>
        <w:endnoteReference w:id="10"/>
      </w:r>
      <w:r w:rsidR="004022DC">
        <w:rPr>
          <w:rFonts w:eastAsia="Times New Roman"/>
        </w:rPr>
        <w:t xml:space="preserve"> All these factors play a role in an individual developing a secondary psychological injury or worsening of compensable condition.</w:t>
      </w:r>
    </w:p>
    <w:p w14:paraId="6330F511" w14:textId="43CE18F8" w:rsidR="004022DC" w:rsidRDefault="004022DC" w:rsidP="009642B8">
      <w:pPr>
        <w:spacing w:after="200" w:line="276" w:lineRule="auto"/>
        <w:rPr>
          <w:rFonts w:eastAsia="Times New Roman"/>
        </w:rPr>
      </w:pPr>
      <w:r>
        <w:rPr>
          <w:rFonts w:eastAsia="Times New Roman"/>
        </w:rPr>
        <w:t>In order to successfully achieve an early return to work, case workers should focus on understanding the psychological injury, from a biopsychosocial perspective to fully comprehend how the injury impacts the individual</w:t>
      </w:r>
      <w:r w:rsidR="00800145">
        <w:rPr>
          <w:rFonts w:eastAsia="Times New Roman"/>
        </w:rPr>
        <w:t>’</w:t>
      </w:r>
      <w:r>
        <w:rPr>
          <w:rFonts w:eastAsia="Times New Roman"/>
        </w:rPr>
        <w:t>s functioning</w:t>
      </w:r>
      <w:r w:rsidR="00B7761A">
        <w:rPr>
          <w:rFonts w:eastAsia="Times New Roman"/>
        </w:rPr>
        <w:t>,</w:t>
      </w:r>
      <w:r>
        <w:rPr>
          <w:rFonts w:eastAsia="Times New Roman"/>
        </w:rPr>
        <w:t xml:space="preserve"> and in collaboration with the employer, individual and their treating health practitioners, design a graduated return to work plan where the individual can successfully return to work earlier, in some capacity. </w:t>
      </w:r>
    </w:p>
    <w:p w14:paraId="5F477C14" w14:textId="01B5D509" w:rsidR="00FD0B02" w:rsidRDefault="004022DC" w:rsidP="009642B8">
      <w:pPr>
        <w:spacing w:after="200" w:line="276" w:lineRule="auto"/>
      </w:pPr>
      <w:r>
        <w:t>SuperFriend</w:t>
      </w:r>
      <w:r w:rsidR="005D1E03">
        <w:t xml:space="preserve"> </w:t>
      </w:r>
      <w:r w:rsidR="00FD0B02">
        <w:t>believe</w:t>
      </w:r>
      <w:r w:rsidR="003031FD">
        <w:t>s</w:t>
      </w:r>
      <w:r w:rsidR="00FD0B02">
        <w:t xml:space="preserve"> the </w:t>
      </w:r>
      <w:r w:rsidR="00FD0B02" w:rsidRPr="004022DC">
        <w:rPr>
          <w:b/>
          <w:bCs/>
        </w:rPr>
        <w:t>finding</w:t>
      </w:r>
      <w:r w:rsidR="003031FD">
        <w:rPr>
          <w:b/>
          <w:bCs/>
        </w:rPr>
        <w:t xml:space="preserve"> 19.2</w:t>
      </w:r>
      <w:r w:rsidR="00FD0B02">
        <w:t xml:space="preserve"> needs to go </w:t>
      </w:r>
      <w:r>
        <w:t xml:space="preserve">beyond just </w:t>
      </w:r>
      <w:r w:rsidR="00FD0B02">
        <w:t>workers compensation arrangements in dealing with mental health claims</w:t>
      </w:r>
      <w:r>
        <w:t xml:space="preserve">.  There is increasing recognition in Australia and internationally that to be effective in addressing mental health in the workplace a </w:t>
      </w:r>
      <w:r w:rsidR="005D1E03">
        <w:t>more holistic approach</w:t>
      </w:r>
      <w:r>
        <w:t xml:space="preserve"> needs to be applied.  Where employers are supported to promote, protect and support the mental health of </w:t>
      </w:r>
      <w:r w:rsidR="00E00D29">
        <w:t>employees</w:t>
      </w:r>
      <w:r>
        <w:t xml:space="preserve"> in their workplace.</w:t>
      </w:r>
    </w:p>
    <w:p w14:paraId="2375927F" w14:textId="24C80AD5" w:rsidR="00FD0B02" w:rsidRDefault="00FD0B02" w:rsidP="00F346DD">
      <w:pPr>
        <w:spacing w:after="200" w:line="276" w:lineRule="auto"/>
        <w:rPr>
          <w:rFonts w:eastAsiaTheme="majorEastAsia" w:cstheme="majorHAnsi"/>
          <w:bCs/>
          <w:szCs w:val="20"/>
        </w:rPr>
      </w:pPr>
      <w:r w:rsidRPr="004022DC">
        <w:t>As per SuperFriend’s recommendation</w:t>
      </w:r>
      <w:r w:rsidR="00AA6FB0">
        <w:t>s</w:t>
      </w:r>
      <w:r w:rsidRPr="004022DC">
        <w:t xml:space="preserve"> </w:t>
      </w:r>
      <w:r w:rsidR="00AA6FB0">
        <w:t>3</w:t>
      </w:r>
      <w:r w:rsidR="00FD4227">
        <w:t>, 5</w:t>
      </w:r>
      <w:r w:rsidR="00AA6FB0">
        <w:t xml:space="preserve"> and </w:t>
      </w:r>
      <w:r w:rsidR="00800145">
        <w:t>7</w:t>
      </w:r>
      <w:r w:rsidRPr="004022DC">
        <w:t xml:space="preserve">, we would like to see WHS agencies </w:t>
      </w:r>
      <w:r w:rsidR="004022DC" w:rsidRPr="004022DC">
        <w:t>work in partnership with other mental health agencies</w:t>
      </w:r>
      <w:r w:rsidR="0058235B">
        <w:t xml:space="preserve"> (as demonstrated in the case study below)</w:t>
      </w:r>
      <w:r w:rsidR="004022DC" w:rsidRPr="004022DC">
        <w:t xml:space="preserve"> to</w:t>
      </w:r>
      <w:r w:rsidR="004022DC">
        <w:t xml:space="preserve"> support employers</w:t>
      </w:r>
      <w:r w:rsidRPr="004022DC">
        <w:t xml:space="preserve"> </w:t>
      </w:r>
      <w:r w:rsidR="00800145">
        <w:t xml:space="preserve">to </w:t>
      </w:r>
      <w:r w:rsidRPr="004022DC">
        <w:t>increase focus on i</w:t>
      </w:r>
      <w:r w:rsidR="005D1E03" w:rsidRPr="004022DC">
        <w:t xml:space="preserve">ntegrated </w:t>
      </w:r>
      <w:r w:rsidRPr="004022DC">
        <w:t>approaches</w:t>
      </w:r>
      <w:r w:rsidR="005D1E03" w:rsidRPr="004022DC">
        <w:t xml:space="preserve"> to workplace mental health </w:t>
      </w:r>
      <w:r w:rsidRPr="004022DC">
        <w:t xml:space="preserve">which </w:t>
      </w:r>
      <w:r w:rsidR="005D1E03" w:rsidRPr="004022DC">
        <w:t>seek to simultaneously prevent work related harm, promote the positive aspects of work and  manage mental illness as it manifests in the workplace.</w:t>
      </w:r>
      <w:r w:rsidR="005D1E03" w:rsidRPr="004022DC">
        <w:rPr>
          <w:rStyle w:val="EndnoteReference"/>
        </w:rPr>
        <w:endnoteReference w:id="11"/>
      </w:r>
    </w:p>
    <w:p w14:paraId="472CA7AB" w14:textId="2667CA90" w:rsidR="004022DC" w:rsidRPr="004022DC" w:rsidRDefault="004022DC" w:rsidP="004022DC">
      <w:pPr>
        <w:pBdr>
          <w:top w:val="single" w:sz="4" w:space="1" w:color="1C5692"/>
          <w:left w:val="single" w:sz="4" w:space="4" w:color="1C5692"/>
          <w:bottom w:val="single" w:sz="4" w:space="1" w:color="1C5692"/>
          <w:right w:val="single" w:sz="4" w:space="4" w:color="1C5692"/>
        </w:pBdr>
        <w:spacing w:after="200" w:line="276" w:lineRule="auto"/>
        <w:rPr>
          <w:rFonts w:eastAsiaTheme="majorEastAsia" w:cstheme="majorHAnsi"/>
          <w:bCs/>
          <w:color w:val="1C5692"/>
          <w:szCs w:val="20"/>
        </w:rPr>
      </w:pPr>
      <w:r w:rsidRPr="004022DC">
        <w:rPr>
          <w:rFonts w:eastAsiaTheme="majorEastAsia" w:cstheme="majorHAnsi"/>
          <w:bCs/>
          <w:color w:val="1C5692"/>
          <w:szCs w:val="20"/>
        </w:rPr>
        <w:t>Case</w:t>
      </w:r>
      <w:r w:rsidR="00E00D29">
        <w:rPr>
          <w:rFonts w:eastAsiaTheme="majorEastAsia" w:cstheme="majorHAnsi"/>
          <w:bCs/>
          <w:color w:val="1C5692"/>
          <w:szCs w:val="20"/>
        </w:rPr>
        <w:t xml:space="preserve"> </w:t>
      </w:r>
      <w:r w:rsidRPr="004022DC">
        <w:rPr>
          <w:rFonts w:eastAsiaTheme="majorEastAsia" w:cstheme="majorHAnsi"/>
          <w:bCs/>
          <w:color w:val="1C5692"/>
          <w:szCs w:val="20"/>
        </w:rPr>
        <w:t>study</w:t>
      </w:r>
      <w:r w:rsidR="00E00D29">
        <w:rPr>
          <w:rFonts w:eastAsiaTheme="majorEastAsia" w:cstheme="majorHAnsi"/>
          <w:bCs/>
          <w:color w:val="1C5692"/>
          <w:szCs w:val="20"/>
        </w:rPr>
        <w:t xml:space="preserve"> – A </w:t>
      </w:r>
      <w:r w:rsidR="004D054D">
        <w:rPr>
          <w:rFonts w:eastAsiaTheme="majorEastAsia" w:cstheme="majorHAnsi"/>
          <w:bCs/>
          <w:color w:val="1C5692"/>
          <w:szCs w:val="20"/>
        </w:rPr>
        <w:t>C</w:t>
      </w:r>
      <w:r w:rsidR="0058235B">
        <w:rPr>
          <w:rFonts w:eastAsiaTheme="majorEastAsia" w:cstheme="majorHAnsi"/>
          <w:bCs/>
          <w:color w:val="1C5692"/>
          <w:szCs w:val="20"/>
        </w:rPr>
        <w:t>ollaborative</w:t>
      </w:r>
      <w:r w:rsidR="00E00D29">
        <w:rPr>
          <w:rFonts w:eastAsiaTheme="majorEastAsia" w:cstheme="majorHAnsi"/>
          <w:bCs/>
          <w:color w:val="1C5692"/>
          <w:szCs w:val="20"/>
        </w:rPr>
        <w:t xml:space="preserve"> </w:t>
      </w:r>
      <w:r w:rsidR="004D054D">
        <w:rPr>
          <w:rFonts w:eastAsiaTheme="majorEastAsia" w:cstheme="majorHAnsi"/>
          <w:bCs/>
          <w:color w:val="1C5692"/>
          <w:szCs w:val="20"/>
        </w:rPr>
        <w:t>A</w:t>
      </w:r>
      <w:r w:rsidR="00E00D29">
        <w:rPr>
          <w:rFonts w:eastAsiaTheme="majorEastAsia" w:cstheme="majorHAnsi"/>
          <w:bCs/>
          <w:color w:val="1C5692"/>
          <w:szCs w:val="20"/>
        </w:rPr>
        <w:t>pproach</w:t>
      </w:r>
    </w:p>
    <w:p w14:paraId="63A36004" w14:textId="77777777" w:rsidR="00A12C0C" w:rsidRDefault="004022DC" w:rsidP="00A12C0C">
      <w:pPr>
        <w:pBdr>
          <w:top w:val="single" w:sz="4" w:space="1" w:color="1C5692"/>
          <w:left w:val="single" w:sz="4" w:space="4" w:color="1C5692"/>
          <w:bottom w:val="single" w:sz="4" w:space="1" w:color="1C5692"/>
          <w:right w:val="single" w:sz="4" w:space="4" w:color="1C5692"/>
        </w:pBdr>
        <w:spacing w:after="200" w:line="276" w:lineRule="auto"/>
        <w:rPr>
          <w:rFonts w:eastAsiaTheme="majorEastAsia" w:cstheme="majorHAnsi"/>
          <w:bCs/>
          <w:szCs w:val="20"/>
        </w:rPr>
      </w:pPr>
      <w:r>
        <w:t xml:space="preserve">An example of where </w:t>
      </w:r>
      <w:r w:rsidRPr="005D1E03">
        <w:t xml:space="preserve">WorkCover authorities have collaborated with other partners with </w:t>
      </w:r>
      <w:r w:rsidRPr="005D1E03">
        <w:rPr>
          <w:rFonts w:eastAsiaTheme="majorEastAsia" w:cstheme="majorHAnsi"/>
          <w:bCs/>
        </w:rPr>
        <w:t>expertise in mental wellbeing and health promotion to provide an integrated approach to worker safety, health and wellbeing</w:t>
      </w:r>
      <w:r>
        <w:rPr>
          <w:rFonts w:eastAsiaTheme="majorEastAsia" w:cstheme="majorHAnsi"/>
          <w:bCs/>
        </w:rPr>
        <w:t xml:space="preserve"> is the </w:t>
      </w:r>
      <w:r w:rsidRPr="00A346FB">
        <w:rPr>
          <w:rFonts w:eastAsiaTheme="majorEastAsia" w:cstheme="majorHAnsi"/>
          <w:bCs/>
          <w:szCs w:val="20"/>
        </w:rPr>
        <w:t>Victorian Workplace Mental Wellbeing Collaboratio</w:t>
      </w:r>
      <w:r>
        <w:rPr>
          <w:rFonts w:eastAsiaTheme="majorEastAsia" w:cstheme="majorHAnsi"/>
          <w:bCs/>
          <w:szCs w:val="20"/>
        </w:rPr>
        <w:t>n</w:t>
      </w:r>
      <w:r>
        <w:rPr>
          <w:rFonts w:eastAsiaTheme="majorEastAsia" w:cstheme="majorHAnsi"/>
          <w:bCs/>
        </w:rPr>
        <w:t xml:space="preserve"> (</w:t>
      </w:r>
      <w:r w:rsidR="005D1E03" w:rsidRPr="00A346FB">
        <w:rPr>
          <w:rFonts w:eastAsiaTheme="majorEastAsia" w:cstheme="majorHAnsi"/>
          <w:bCs/>
          <w:szCs w:val="20"/>
        </w:rPr>
        <w:t>SuperFriend, VicHealth and WorkSafe Victoria</w:t>
      </w:r>
      <w:r>
        <w:rPr>
          <w:rFonts w:eastAsiaTheme="majorEastAsia" w:cstheme="majorHAnsi"/>
          <w:bCs/>
          <w:szCs w:val="20"/>
        </w:rPr>
        <w:t xml:space="preserve">) and the </w:t>
      </w:r>
      <w:r w:rsidRPr="00A346FB">
        <w:rPr>
          <w:rFonts w:eastAsiaTheme="majorEastAsia" w:cstheme="majorHAnsi"/>
          <w:bCs/>
          <w:szCs w:val="20"/>
        </w:rPr>
        <w:t>Leading Well Queensland Collaboration</w:t>
      </w:r>
      <w:r>
        <w:rPr>
          <w:rFonts w:eastAsiaTheme="majorEastAsia" w:cstheme="majorHAnsi"/>
          <w:bCs/>
          <w:szCs w:val="20"/>
        </w:rPr>
        <w:t xml:space="preserve"> (</w:t>
      </w:r>
      <w:r w:rsidRPr="00A346FB">
        <w:rPr>
          <w:rFonts w:eastAsiaTheme="majorEastAsia" w:cstheme="majorHAnsi"/>
          <w:bCs/>
          <w:szCs w:val="20"/>
        </w:rPr>
        <w:t>Office of Industrial Relations Queensland – Workplace Health and Safety</w:t>
      </w:r>
      <w:r>
        <w:rPr>
          <w:rFonts w:eastAsiaTheme="majorEastAsia" w:cstheme="majorHAnsi"/>
          <w:bCs/>
          <w:szCs w:val="20"/>
        </w:rPr>
        <w:t xml:space="preserve">, SuperFriend </w:t>
      </w:r>
      <w:r w:rsidRPr="00A346FB">
        <w:rPr>
          <w:rFonts w:eastAsiaTheme="majorEastAsia" w:cstheme="majorHAnsi"/>
          <w:bCs/>
          <w:szCs w:val="20"/>
        </w:rPr>
        <w:t>and WorkCover Queensland</w:t>
      </w:r>
      <w:r>
        <w:rPr>
          <w:rFonts w:eastAsiaTheme="majorEastAsia" w:cstheme="majorHAnsi"/>
          <w:bCs/>
          <w:szCs w:val="20"/>
        </w:rPr>
        <w:t>).</w:t>
      </w:r>
    </w:p>
    <w:p w14:paraId="3B24F635" w14:textId="55A288B3" w:rsidR="00A12C0C" w:rsidRPr="00A12C0C" w:rsidRDefault="00A12C0C" w:rsidP="004022DC">
      <w:pPr>
        <w:pBdr>
          <w:top w:val="single" w:sz="4" w:space="1" w:color="1C5692"/>
          <w:left w:val="single" w:sz="4" w:space="4" w:color="1C5692"/>
          <w:bottom w:val="single" w:sz="4" w:space="1" w:color="1C5692"/>
          <w:right w:val="single" w:sz="4" w:space="4" w:color="1C5692"/>
        </w:pBdr>
        <w:spacing w:after="200" w:line="276" w:lineRule="auto"/>
        <w:rPr>
          <w:rFonts w:eastAsiaTheme="majorEastAsia" w:cstheme="majorHAnsi"/>
          <w:bCs/>
          <w:szCs w:val="20"/>
        </w:rPr>
      </w:pPr>
      <w:r>
        <w:rPr>
          <w:rFonts w:eastAsiaTheme="majorEastAsia" w:cstheme="majorHAnsi"/>
          <w:bCs/>
          <w:szCs w:val="20"/>
        </w:rPr>
        <w:t>These</w:t>
      </w:r>
      <w:r w:rsidRPr="00A346FB">
        <w:rPr>
          <w:rFonts w:eastAsiaTheme="majorEastAsia" w:cstheme="majorHAnsi"/>
          <w:bCs/>
          <w:szCs w:val="20"/>
        </w:rPr>
        <w:t xml:space="preserve"> </w:t>
      </w:r>
      <w:r>
        <w:rPr>
          <w:rFonts w:eastAsiaTheme="majorEastAsia" w:cstheme="majorHAnsi"/>
          <w:bCs/>
          <w:szCs w:val="20"/>
        </w:rPr>
        <w:t xml:space="preserve">partnerships have been established </w:t>
      </w:r>
      <w:r w:rsidRPr="00A346FB">
        <w:rPr>
          <w:rFonts w:eastAsiaTheme="majorEastAsia" w:cstheme="majorHAnsi"/>
          <w:bCs/>
          <w:szCs w:val="20"/>
        </w:rPr>
        <w:t>to promote positive mental wellbeing in Victorian</w:t>
      </w:r>
      <w:r>
        <w:rPr>
          <w:rFonts w:eastAsiaTheme="majorEastAsia" w:cstheme="majorHAnsi"/>
          <w:bCs/>
          <w:szCs w:val="20"/>
        </w:rPr>
        <w:t xml:space="preserve"> and Queensland</w:t>
      </w:r>
      <w:r w:rsidRPr="00A346FB">
        <w:rPr>
          <w:rFonts w:eastAsiaTheme="majorEastAsia" w:cstheme="majorHAnsi"/>
          <w:bCs/>
          <w:szCs w:val="20"/>
        </w:rPr>
        <w:t xml:space="preserve"> workplaces. </w:t>
      </w:r>
      <w:r w:rsidRPr="005D1E03">
        <w:rPr>
          <w:rFonts w:eastAsiaTheme="majorEastAsia" w:cstheme="majorHAnsi"/>
          <w:bCs/>
        </w:rPr>
        <w:t>This approach allows for a holistic approach to developing</w:t>
      </w:r>
      <w:r>
        <w:rPr>
          <w:rFonts w:eastAsiaTheme="majorEastAsia" w:cstheme="majorHAnsi"/>
          <w:bCs/>
        </w:rPr>
        <w:t>, testing</w:t>
      </w:r>
      <w:r w:rsidRPr="005D1E03">
        <w:rPr>
          <w:rFonts w:eastAsiaTheme="majorEastAsia" w:cstheme="majorHAnsi"/>
          <w:bCs/>
        </w:rPr>
        <w:t xml:space="preserve"> and sharing world-class programs and resources for workplaces.</w:t>
      </w:r>
      <w:r>
        <w:rPr>
          <w:rFonts w:eastAsiaTheme="majorEastAsia" w:cstheme="majorHAnsi"/>
          <w:bCs/>
        </w:rPr>
        <w:t xml:space="preserve">  </w:t>
      </w:r>
      <w:r w:rsidRPr="005D1E03">
        <w:t>Through a collaborative approach</w:t>
      </w:r>
      <w:r>
        <w:t>,</w:t>
      </w:r>
      <w:r w:rsidRPr="005D1E03">
        <w:t xml:space="preserve"> </w:t>
      </w:r>
      <w:r w:rsidRPr="00C5594C">
        <w:t xml:space="preserve">strategic leadership events </w:t>
      </w:r>
      <w:r>
        <w:t xml:space="preserve">have been conducted </w:t>
      </w:r>
      <w:r w:rsidRPr="00C5594C">
        <w:t xml:space="preserve">and </w:t>
      </w:r>
      <w:r w:rsidRPr="005D1E03">
        <w:t xml:space="preserve">thousands of workplaces </w:t>
      </w:r>
      <w:r>
        <w:t xml:space="preserve">have been given </w:t>
      </w:r>
      <w:r w:rsidRPr="00C5594C">
        <w:t>access to practical tools and resources</w:t>
      </w:r>
      <w:r>
        <w:t xml:space="preserve"> to support</w:t>
      </w:r>
      <w:r w:rsidRPr="005D1E03">
        <w:t xml:space="preserve"> positive approaches </w:t>
      </w:r>
      <w:r>
        <w:t>being</w:t>
      </w:r>
      <w:r w:rsidRPr="005D1E03">
        <w:t xml:space="preserve"> embedded in workplace practice. </w:t>
      </w:r>
      <w:r w:rsidRPr="00C5594C">
        <w:t xml:space="preserve"> </w:t>
      </w:r>
    </w:p>
    <w:p w14:paraId="1237CF18" w14:textId="792F5BF2" w:rsidR="005F6380" w:rsidRPr="009642B8" w:rsidRDefault="004A79E0" w:rsidP="009642B8">
      <w:pPr>
        <w:pStyle w:val="Heading3"/>
        <w:spacing w:before="0" w:after="200" w:line="276" w:lineRule="auto"/>
        <w:rPr>
          <w:b w:val="0"/>
          <w:bCs/>
          <w:i/>
          <w:iCs w:val="0"/>
          <w:u w:val="single"/>
        </w:rPr>
      </w:pPr>
      <w:bookmarkStart w:id="15" w:name="_Toc30689344"/>
      <w:r w:rsidRPr="009642B8">
        <w:rPr>
          <w:b w:val="0"/>
          <w:bCs/>
          <w:i/>
          <w:iCs w:val="0"/>
          <w:u w:val="single"/>
        </w:rPr>
        <w:lastRenderedPageBreak/>
        <w:t xml:space="preserve">Draft </w:t>
      </w:r>
      <w:r w:rsidR="005F6380" w:rsidRPr="009642B8">
        <w:rPr>
          <w:b w:val="0"/>
          <w:bCs/>
          <w:i/>
          <w:iCs w:val="0"/>
          <w:u w:val="single"/>
        </w:rPr>
        <w:t>Finding 19.3 Employee Assistance Programs</w:t>
      </w:r>
      <w:bookmarkEnd w:id="15"/>
    </w:p>
    <w:p w14:paraId="3DB918C6" w14:textId="00E560DF" w:rsidR="00B71AD5" w:rsidRDefault="00526798" w:rsidP="009642B8">
      <w:pPr>
        <w:spacing w:after="200" w:line="276" w:lineRule="auto"/>
        <w:rPr>
          <w:rFonts w:eastAsia="Times New Roman"/>
        </w:rPr>
      </w:pPr>
      <w:r>
        <w:rPr>
          <w:rFonts w:eastAsia="Times New Roman"/>
        </w:rPr>
        <w:t>Employee Assistance Programs (</w:t>
      </w:r>
      <w:r w:rsidR="00B71AD5" w:rsidRPr="00A346FB">
        <w:rPr>
          <w:rFonts w:eastAsia="Times New Roman"/>
        </w:rPr>
        <w:t>EAPs</w:t>
      </w:r>
      <w:r>
        <w:rPr>
          <w:rFonts w:eastAsia="Times New Roman"/>
        </w:rPr>
        <w:t>)</w:t>
      </w:r>
      <w:r w:rsidR="00B71AD5" w:rsidRPr="00A346FB">
        <w:rPr>
          <w:rFonts w:eastAsia="Times New Roman"/>
        </w:rPr>
        <w:t xml:space="preserve"> and counselling are common workplace interventions which many organisations</w:t>
      </w:r>
      <w:r w:rsidR="009B7E27">
        <w:rPr>
          <w:rFonts w:eastAsia="Times New Roman"/>
        </w:rPr>
        <w:t>, especially larger ones,</w:t>
      </w:r>
      <w:r w:rsidR="00B71AD5" w:rsidRPr="00A346FB">
        <w:rPr>
          <w:rFonts w:eastAsia="Times New Roman"/>
        </w:rPr>
        <w:t xml:space="preserve"> provide as a support service for staff</w:t>
      </w:r>
      <w:r w:rsidR="00A346FB">
        <w:rPr>
          <w:rFonts w:eastAsia="Times New Roman"/>
        </w:rPr>
        <w:t>.</w:t>
      </w:r>
      <w:r w:rsidR="009B7E27">
        <w:rPr>
          <w:rFonts w:eastAsia="Times New Roman"/>
        </w:rPr>
        <w:t xml:space="preserve"> </w:t>
      </w:r>
      <w:r w:rsidR="000D599E">
        <w:rPr>
          <w:rFonts w:eastAsia="Times New Roman"/>
        </w:rPr>
        <w:t xml:space="preserve">SuperFriend believes there is a need for </w:t>
      </w:r>
      <w:r w:rsidR="009B7E27">
        <w:rPr>
          <w:rFonts w:eastAsia="Times New Roman"/>
        </w:rPr>
        <w:t xml:space="preserve">EAP </w:t>
      </w:r>
      <w:r w:rsidR="000D599E">
        <w:rPr>
          <w:rFonts w:eastAsia="Times New Roman"/>
        </w:rPr>
        <w:t>services to</w:t>
      </w:r>
      <w:r w:rsidR="00B71AD5" w:rsidRPr="00A346FB">
        <w:rPr>
          <w:rFonts w:eastAsia="Times New Roman"/>
        </w:rPr>
        <w:t xml:space="preserve"> use </w:t>
      </w:r>
      <w:r w:rsidR="00A346FB" w:rsidRPr="00A346FB">
        <w:rPr>
          <w:rFonts w:eastAsia="Times New Roman"/>
        </w:rPr>
        <w:t>evidence-based</w:t>
      </w:r>
      <w:r w:rsidR="00B71AD5" w:rsidRPr="00A346FB">
        <w:rPr>
          <w:rFonts w:eastAsia="Times New Roman"/>
        </w:rPr>
        <w:t xml:space="preserve"> approaches and not in isolation when assisting those reporting stress or other problem</w:t>
      </w:r>
      <w:r w:rsidR="004A79E0">
        <w:rPr>
          <w:rFonts w:eastAsia="Times New Roman"/>
        </w:rPr>
        <w:t>s.</w:t>
      </w:r>
      <w:r w:rsidR="00A346FB">
        <w:rPr>
          <w:rStyle w:val="EndnoteReference"/>
          <w:rFonts w:eastAsia="Times New Roman"/>
        </w:rPr>
        <w:endnoteReference w:id="12"/>
      </w:r>
      <w:r w:rsidR="004A79E0">
        <w:rPr>
          <w:rFonts w:eastAsia="Times New Roman"/>
        </w:rPr>
        <w:t xml:space="preserve">  SuperFriend is supportive of investment in the evaluation of the impacts of these services and bench marking of best practice in the wider provision of EAP services. </w:t>
      </w:r>
      <w:r w:rsidR="009B7E27">
        <w:rPr>
          <w:rFonts w:eastAsia="Times New Roman"/>
        </w:rPr>
        <w:t>Encouragingly, we are seeing a slow trend in EAPs repositioning their value proposition to support employees through any life event change or challenge (changing jobs, having children, buying a house</w:t>
      </w:r>
      <w:r w:rsidR="007504EF">
        <w:rPr>
          <w:rFonts w:eastAsia="Times New Roman"/>
        </w:rPr>
        <w:t>, moving interstate)</w:t>
      </w:r>
      <w:r w:rsidR="009B7E27">
        <w:rPr>
          <w:rFonts w:eastAsia="Times New Roman"/>
        </w:rPr>
        <w:t>, not just crisis situations.</w:t>
      </w:r>
    </w:p>
    <w:p w14:paraId="134ADBF2" w14:textId="22D05EDF" w:rsidR="004A79E0" w:rsidRPr="009642B8" w:rsidRDefault="004A79E0" w:rsidP="009642B8">
      <w:pPr>
        <w:pStyle w:val="Heading3"/>
        <w:spacing w:before="0" w:after="200" w:line="276" w:lineRule="auto"/>
        <w:rPr>
          <w:b w:val="0"/>
          <w:bCs/>
          <w:i/>
          <w:iCs w:val="0"/>
          <w:u w:val="single"/>
        </w:rPr>
      </w:pPr>
      <w:bookmarkStart w:id="16" w:name="_Toc30689345"/>
      <w:bookmarkStart w:id="17" w:name="_Hlk27404572"/>
      <w:r w:rsidRPr="009642B8">
        <w:rPr>
          <w:b w:val="0"/>
          <w:bCs/>
          <w:i/>
          <w:iCs w:val="0"/>
          <w:u w:val="single"/>
        </w:rPr>
        <w:t>Information Request 19.2 – Personal care days for mental health</w:t>
      </w:r>
      <w:bookmarkEnd w:id="16"/>
    </w:p>
    <w:p w14:paraId="0FC41974" w14:textId="29545B15" w:rsidR="00C71D8B" w:rsidRDefault="004A79E0" w:rsidP="007D4F80">
      <w:pPr>
        <w:spacing w:after="200" w:line="276" w:lineRule="auto"/>
      </w:pPr>
      <w:r>
        <w:t>Organisations are required to provide a mentally safe place for employees. Most full-time employees are entitled to ten days of paid personal leave each year, which can be used for physical or mental health reasons. The requirement for medical certificates for personal leave often varies depending on the organisation. SuperFriend believe</w:t>
      </w:r>
      <w:r w:rsidR="008906A4">
        <w:t>s</w:t>
      </w:r>
      <w:r>
        <w:t xml:space="preserve"> taking leave for mental health can be just as important for wellbeing as taking it for physical health</w:t>
      </w:r>
      <w:r w:rsidR="00C5282A">
        <w:t>. E</w:t>
      </w:r>
      <w:r>
        <w:t xml:space="preserve">mployees should be given the flexibility to use their personal leave for </w:t>
      </w:r>
      <w:r w:rsidR="00800145">
        <w:t>preventative</w:t>
      </w:r>
      <w:r>
        <w:t xml:space="preserve"> self-care. In many cases, employees may not feel the need to visit a GP when they need a mental health day and requiring a medical certificate may increase present</w:t>
      </w:r>
      <w:r w:rsidR="00C5282A">
        <w:t>ee</w:t>
      </w:r>
      <w:r>
        <w:t xml:space="preserve">ism. </w:t>
      </w:r>
    </w:p>
    <w:p w14:paraId="4A52A83C" w14:textId="4A4DC2A5" w:rsidR="004A79E0" w:rsidRDefault="004A79E0" w:rsidP="009642B8">
      <w:pPr>
        <w:spacing w:after="200" w:line="276" w:lineRule="auto"/>
      </w:pPr>
      <w:r>
        <w:t>Creating a culture of trust, where employees feel empowered to take leave</w:t>
      </w:r>
      <w:r w:rsidR="00C5282A">
        <w:t xml:space="preserve"> for any reason</w:t>
      </w:r>
      <w:r>
        <w:t xml:space="preserve"> when they need it</w:t>
      </w:r>
      <w:r w:rsidR="00C5282A">
        <w:t>,</w:t>
      </w:r>
      <w:r>
        <w:t xml:space="preserve"> can increase wellbeing and productivity. In organisations with open communication around mental health</w:t>
      </w:r>
      <w:r w:rsidR="005B0C3A">
        <w:t>,</w:t>
      </w:r>
      <w:r>
        <w:t xml:space="preserve"> </w:t>
      </w:r>
      <w:r w:rsidR="005B0C3A">
        <w:t xml:space="preserve">creating mental health-specific personal care days could </w:t>
      </w:r>
      <w:r>
        <w:t>be beneficial for employees</w:t>
      </w:r>
      <w:r w:rsidR="00C5282A">
        <w:t xml:space="preserve">. </w:t>
      </w:r>
      <w:r w:rsidR="00B879B1">
        <w:t>However,</w:t>
      </w:r>
      <w:r w:rsidR="00C5282A">
        <w:t xml:space="preserve"> caution is essential before recommending wholes</w:t>
      </w:r>
      <w:r w:rsidR="008906A4">
        <w:t>ale</w:t>
      </w:r>
      <w:r w:rsidR="00C5282A">
        <w:t xml:space="preserve"> change</w:t>
      </w:r>
      <w:r w:rsidR="008906A4">
        <w:t xml:space="preserve"> such</w:t>
      </w:r>
      <w:r w:rsidR="00C5282A">
        <w:t xml:space="preserve"> as</w:t>
      </w:r>
      <w:r>
        <w:t xml:space="preserve"> </w:t>
      </w:r>
      <w:r w:rsidR="005B0C3A">
        <w:t xml:space="preserve">designating leave for </w:t>
      </w:r>
      <w:r w:rsidR="00C5282A">
        <w:t>mental health</w:t>
      </w:r>
      <w:r w:rsidR="008906A4">
        <w:t xml:space="preserve">, as this </w:t>
      </w:r>
      <w:r>
        <w:t xml:space="preserve">could increase or create sigma around mental </w:t>
      </w:r>
      <w:r w:rsidR="00C71D8B">
        <w:t>ill-</w:t>
      </w:r>
      <w:r>
        <w:t xml:space="preserve">health. </w:t>
      </w:r>
      <w:r w:rsidR="00C71D8B">
        <w:t>SuperFriend</w:t>
      </w:r>
      <w:r w:rsidR="00C5282A">
        <w:t xml:space="preserve"> therefore suggest</w:t>
      </w:r>
      <w:r w:rsidR="008906A4">
        <w:t>s</w:t>
      </w:r>
      <w:r w:rsidR="00C5282A">
        <w:t xml:space="preserve"> that </w:t>
      </w:r>
      <w:r w:rsidR="00C71D8B">
        <w:t>personal care days for mental health</w:t>
      </w:r>
      <w:r w:rsidR="00C5282A">
        <w:t xml:space="preserve"> remains at the discretion of the employer, with mechanisms, such as the NWI and their champions, being able to promote these concepts as evolutionary cultural norms over time.</w:t>
      </w:r>
    </w:p>
    <w:p w14:paraId="01AEC371" w14:textId="77777777" w:rsidR="008B5E75" w:rsidRDefault="008B5E75">
      <w:pPr>
        <w:rPr>
          <w:i/>
          <w:iCs/>
          <w:u w:val="single"/>
        </w:rPr>
      </w:pPr>
      <w:r w:rsidRPr="008B5E75">
        <w:rPr>
          <w:i/>
          <w:iCs/>
          <w:u w:val="single"/>
        </w:rPr>
        <w:t>Draft Recommendations 19.5 – Disseminating Information on Workplace Interventions</w:t>
      </w:r>
    </w:p>
    <w:p w14:paraId="2E41D730" w14:textId="77777777" w:rsidR="008B5E75" w:rsidRDefault="008B5E75">
      <w:pPr>
        <w:rPr>
          <w:i/>
          <w:iCs/>
          <w:u w:val="single"/>
        </w:rPr>
      </w:pPr>
    </w:p>
    <w:p w14:paraId="451F4EEB" w14:textId="64641FDC" w:rsidR="008B5E75" w:rsidRDefault="008B5E75" w:rsidP="008B5E75">
      <w:pPr>
        <w:spacing w:line="276" w:lineRule="auto"/>
      </w:pPr>
      <w:r>
        <w:t>SuperFriend does not support this recommendation as it stands.  We do not believe that monitor</w:t>
      </w:r>
      <w:r w:rsidR="00800145">
        <w:t>ing</w:t>
      </w:r>
      <w:r>
        <w:t xml:space="preserve"> and collect</w:t>
      </w:r>
      <w:r w:rsidR="00800145">
        <w:t>ing</w:t>
      </w:r>
      <w:r>
        <w:t xml:space="preserve"> evidence from employer-initiated interventions is the role of WHS agencies. Nor do we believe that WHS agencies are best placed to </w:t>
      </w:r>
      <w:r w:rsidRPr="009932CF">
        <w:rPr>
          <w:i/>
          <w:iCs/>
        </w:rPr>
        <w:t>advise</w:t>
      </w:r>
      <w:r>
        <w:t xml:space="preserve"> workplaces on effective interventions that would be appropriate to their workplace. We see this </w:t>
      </w:r>
      <w:r w:rsidR="00A719BA">
        <w:t xml:space="preserve">as </w:t>
      </w:r>
      <w:r>
        <w:t xml:space="preserve">the role of the National Workplace Initiative and </w:t>
      </w:r>
      <w:r w:rsidRPr="009932CF">
        <w:t>recommend redrafting this recommendation</w:t>
      </w:r>
      <w:r>
        <w:t xml:space="preserve">. WHS agencies should be assisting in disseminating and promoting this information, but not be the collector and </w:t>
      </w:r>
      <w:r w:rsidR="00A719BA">
        <w:t xml:space="preserve">evaluator </w:t>
      </w:r>
      <w:r>
        <w:t xml:space="preserve">of evidence. </w:t>
      </w:r>
    </w:p>
    <w:p w14:paraId="548BA315" w14:textId="0BFC35A6" w:rsidR="009932CF" w:rsidRDefault="009932CF" w:rsidP="008B5E75">
      <w:pPr>
        <w:spacing w:line="276" w:lineRule="auto"/>
      </w:pPr>
    </w:p>
    <w:p w14:paraId="65A2CCB0" w14:textId="41977675" w:rsidR="009932CF" w:rsidRPr="0026351B" w:rsidRDefault="009932CF" w:rsidP="0026351B">
      <w:pPr>
        <w:pStyle w:val="Heading3"/>
        <w:rPr>
          <w:color w:val="002060"/>
          <w:u w:val="single"/>
        </w:rPr>
      </w:pPr>
      <w:bookmarkStart w:id="18" w:name="_Toc30689346"/>
      <w:r w:rsidRPr="0026351B">
        <w:rPr>
          <w:color w:val="002060"/>
          <w:u w:val="single"/>
        </w:rPr>
        <w:lastRenderedPageBreak/>
        <w:t>SuperFriend Recommendation 6</w:t>
      </w:r>
      <w:bookmarkEnd w:id="18"/>
    </w:p>
    <w:p w14:paraId="17CD8684" w14:textId="77777777" w:rsidR="0026351B" w:rsidRDefault="0026351B" w:rsidP="008B5E75">
      <w:pPr>
        <w:spacing w:line="276" w:lineRule="auto"/>
        <w:rPr>
          <w:color w:val="002060"/>
        </w:rPr>
      </w:pPr>
    </w:p>
    <w:p w14:paraId="3C0C9341" w14:textId="0680D73A" w:rsidR="009932CF" w:rsidRPr="009932CF" w:rsidRDefault="009932CF" w:rsidP="008B5E75">
      <w:pPr>
        <w:spacing w:line="276" w:lineRule="auto"/>
        <w:rPr>
          <w:color w:val="002060"/>
        </w:rPr>
      </w:pPr>
      <w:r w:rsidRPr="009932CF">
        <w:rPr>
          <w:color w:val="002060"/>
        </w:rPr>
        <w:t>The National Workplace Initiative should monitor and collect evidence fr</w:t>
      </w:r>
      <w:r w:rsidR="005D25E1">
        <w:rPr>
          <w:color w:val="002060"/>
        </w:rPr>
        <w:t>o</w:t>
      </w:r>
      <w:r w:rsidRPr="009932CF">
        <w:rPr>
          <w:color w:val="002060"/>
        </w:rPr>
        <w:t>m employer</w:t>
      </w:r>
      <w:r>
        <w:rPr>
          <w:color w:val="002060"/>
        </w:rPr>
        <w:t>-</w:t>
      </w:r>
      <w:r w:rsidRPr="009932CF">
        <w:rPr>
          <w:color w:val="002060"/>
        </w:rPr>
        <w:t>initiated interventions to create mentally healthy workplaces and improve and protect the mental health of their employees. The National Workplace Initiative should advise employe</w:t>
      </w:r>
      <w:r>
        <w:rPr>
          <w:color w:val="002060"/>
        </w:rPr>
        <w:t>r</w:t>
      </w:r>
      <w:r w:rsidRPr="009932CF">
        <w:rPr>
          <w:color w:val="002060"/>
        </w:rPr>
        <w:t>s of effective interventions that could be appropriate for their workplace</w:t>
      </w:r>
      <w:r>
        <w:rPr>
          <w:color w:val="002060"/>
        </w:rPr>
        <w:t xml:space="preserve"> (provided </w:t>
      </w:r>
      <w:r w:rsidRPr="009932CF">
        <w:rPr>
          <w:b/>
          <w:bCs/>
          <w:color w:val="002060"/>
        </w:rPr>
        <w:t>Recommendation 4</w:t>
      </w:r>
      <w:r>
        <w:rPr>
          <w:color w:val="002060"/>
        </w:rPr>
        <w:t xml:space="preserve"> is also made</w:t>
      </w:r>
      <w:r w:rsidR="009406E6">
        <w:rPr>
          <w:color w:val="002060"/>
        </w:rPr>
        <w:t xml:space="preserve"> and funded</w:t>
      </w:r>
      <w:r>
        <w:rPr>
          <w:color w:val="002060"/>
        </w:rPr>
        <w:t>).</w:t>
      </w:r>
      <w:r w:rsidRPr="009932CF">
        <w:rPr>
          <w:color w:val="002060"/>
        </w:rPr>
        <w:t xml:space="preserve"> </w:t>
      </w:r>
    </w:p>
    <w:p w14:paraId="2FE047A4" w14:textId="550222AF" w:rsidR="009932CF" w:rsidRPr="00426C48" w:rsidRDefault="00426C48" w:rsidP="00426C48">
      <w:pPr>
        <w:pStyle w:val="Heading4"/>
        <w:rPr>
          <w:i/>
          <w:iCs w:val="0"/>
        </w:rPr>
      </w:pPr>
      <w:r w:rsidRPr="00426C48">
        <w:rPr>
          <w:i/>
          <w:iCs w:val="0"/>
        </w:rPr>
        <w:t>Rationale</w:t>
      </w:r>
    </w:p>
    <w:p w14:paraId="58C372EB" w14:textId="77777777" w:rsidR="009406E6" w:rsidRDefault="00C47921" w:rsidP="008B5E75">
      <w:pPr>
        <w:spacing w:line="276" w:lineRule="auto"/>
      </w:pPr>
      <w:r>
        <w:t>SuperFriend does</w:t>
      </w:r>
      <w:r w:rsidR="008B5E75">
        <w:t xml:space="preserve"> however believe there is a greater role for WHS agencies to collect and evaluate interventions for return to work and stay at work. </w:t>
      </w:r>
      <w:r w:rsidR="00E13435">
        <w:t>WHS agencies could play a bigger role in supporting the evolution of better return to work and recover at work interventions.</w:t>
      </w:r>
      <w:r w:rsidR="009932CF">
        <w:t xml:space="preserve"> This could also assist in the draft finding of 19.1 regarding small business. We would encourage the opportunity for WHS agencies, life insurers, rehabilitation and return to work experts, businesses of all sizes and other health and non-health actors to work together in developing </w:t>
      </w:r>
      <w:r w:rsidR="009406E6">
        <w:t xml:space="preserve">enhanced return to work and stay at work </w:t>
      </w:r>
      <w:r w:rsidR="009932CF">
        <w:t xml:space="preserve">guidance materials for all workplaces. </w:t>
      </w:r>
      <w:r>
        <w:t>Likewise</w:t>
      </w:r>
      <w:r w:rsidR="009406E6">
        <w:t xml:space="preserve">, we would urge the Productivity Commission to recommend </w:t>
      </w:r>
      <w:r>
        <w:t>the opportunity for this information to be fed forward</w:t>
      </w:r>
      <w:r w:rsidR="009406E6">
        <w:t xml:space="preserve">/utilised by </w:t>
      </w:r>
      <w:r>
        <w:t>the NWI</w:t>
      </w:r>
      <w:r w:rsidR="009406E6">
        <w:t>.</w:t>
      </w:r>
    </w:p>
    <w:p w14:paraId="2A928290" w14:textId="77777777" w:rsidR="009406E6" w:rsidRDefault="009406E6" w:rsidP="008B5E75">
      <w:pPr>
        <w:spacing w:line="276" w:lineRule="auto"/>
      </w:pPr>
    </w:p>
    <w:p w14:paraId="5C7D04C8" w14:textId="77777777" w:rsidR="009406E6" w:rsidRPr="0026351B" w:rsidRDefault="009406E6" w:rsidP="0026351B">
      <w:pPr>
        <w:pStyle w:val="Heading3"/>
        <w:rPr>
          <w:color w:val="002060"/>
          <w:u w:val="single"/>
        </w:rPr>
      </w:pPr>
      <w:bookmarkStart w:id="19" w:name="_Toc30689347"/>
      <w:r w:rsidRPr="0026351B">
        <w:rPr>
          <w:color w:val="002060"/>
          <w:u w:val="single"/>
        </w:rPr>
        <w:t>SuperFriend Recommendation 7</w:t>
      </w:r>
      <w:bookmarkEnd w:id="19"/>
    </w:p>
    <w:p w14:paraId="3FAD917E" w14:textId="77777777" w:rsidR="009406E6" w:rsidRDefault="009406E6" w:rsidP="008B5E75">
      <w:pPr>
        <w:spacing w:line="276" w:lineRule="auto"/>
        <w:rPr>
          <w:b/>
          <w:bCs/>
          <w:color w:val="002060"/>
          <w:u w:val="single"/>
        </w:rPr>
      </w:pPr>
    </w:p>
    <w:p w14:paraId="5B18742A" w14:textId="70273222" w:rsidR="005D25E1" w:rsidRPr="009932CF" w:rsidRDefault="009406E6" w:rsidP="005D25E1">
      <w:pPr>
        <w:spacing w:line="276" w:lineRule="auto"/>
        <w:rPr>
          <w:color w:val="002060"/>
        </w:rPr>
      </w:pPr>
      <w:bookmarkStart w:id="20" w:name="_Hlk30680941"/>
      <w:r>
        <w:rPr>
          <w:color w:val="002060"/>
        </w:rPr>
        <w:t>WHS agencies</w:t>
      </w:r>
      <w:r w:rsidR="005D25E1">
        <w:rPr>
          <w:color w:val="002060"/>
        </w:rPr>
        <w:t>, in collaboration with life insurers, workplace rehabilitation and other health experts,</w:t>
      </w:r>
      <w:r w:rsidR="00A719BA">
        <w:rPr>
          <w:color w:val="002060"/>
        </w:rPr>
        <w:t xml:space="preserve"> people with</w:t>
      </w:r>
      <w:r w:rsidR="005D25E1">
        <w:rPr>
          <w:color w:val="002060"/>
        </w:rPr>
        <w:t xml:space="preserve"> lived experience</w:t>
      </w:r>
      <w:r w:rsidR="00A719BA">
        <w:rPr>
          <w:color w:val="002060"/>
        </w:rPr>
        <w:t>,</w:t>
      </w:r>
      <w:r w:rsidR="005D25E1">
        <w:rPr>
          <w:color w:val="002060"/>
        </w:rPr>
        <w:t xml:space="preserve"> and business</w:t>
      </w:r>
      <w:r w:rsidR="005D25E1" w:rsidRPr="005D25E1">
        <w:rPr>
          <w:color w:val="002060"/>
        </w:rPr>
        <w:t xml:space="preserve"> </w:t>
      </w:r>
      <w:r w:rsidR="005D25E1" w:rsidRPr="009932CF">
        <w:rPr>
          <w:color w:val="002060"/>
        </w:rPr>
        <w:t xml:space="preserve">should </w:t>
      </w:r>
      <w:r w:rsidR="005D25E1">
        <w:rPr>
          <w:color w:val="002060"/>
        </w:rPr>
        <w:t xml:space="preserve">develop, </w:t>
      </w:r>
      <w:r w:rsidR="005D25E1" w:rsidRPr="009932CF">
        <w:rPr>
          <w:color w:val="002060"/>
        </w:rPr>
        <w:t xml:space="preserve">monitor and collect evidence </w:t>
      </w:r>
      <w:r w:rsidR="005D25E1">
        <w:rPr>
          <w:color w:val="002060"/>
        </w:rPr>
        <w:t>of</w:t>
      </w:r>
      <w:r w:rsidR="005D25E1" w:rsidRPr="009932CF">
        <w:rPr>
          <w:color w:val="002060"/>
        </w:rPr>
        <w:t xml:space="preserve"> </w:t>
      </w:r>
      <w:r w:rsidR="005D25E1">
        <w:rPr>
          <w:color w:val="002060"/>
        </w:rPr>
        <w:t>return to work and stay at work</w:t>
      </w:r>
      <w:r w:rsidR="005D25E1" w:rsidRPr="009932CF">
        <w:rPr>
          <w:color w:val="002060"/>
        </w:rPr>
        <w:t xml:space="preserve"> employer</w:t>
      </w:r>
      <w:r w:rsidR="005D25E1">
        <w:rPr>
          <w:color w:val="002060"/>
        </w:rPr>
        <w:t>-</w:t>
      </w:r>
      <w:r w:rsidR="005D25E1" w:rsidRPr="009932CF">
        <w:rPr>
          <w:color w:val="002060"/>
        </w:rPr>
        <w:t xml:space="preserve">initiated interventions. </w:t>
      </w:r>
      <w:r w:rsidR="005D25E1">
        <w:rPr>
          <w:color w:val="002060"/>
        </w:rPr>
        <w:t>WHS agencies</w:t>
      </w:r>
      <w:r w:rsidR="005D25E1" w:rsidRPr="009932CF">
        <w:rPr>
          <w:color w:val="002060"/>
        </w:rPr>
        <w:t xml:space="preserve"> should advise employe</w:t>
      </w:r>
      <w:r w:rsidR="005D25E1">
        <w:rPr>
          <w:color w:val="002060"/>
        </w:rPr>
        <w:t>r</w:t>
      </w:r>
      <w:r w:rsidR="005D25E1" w:rsidRPr="009932CF">
        <w:rPr>
          <w:color w:val="002060"/>
        </w:rPr>
        <w:t>s of effective interventions that could be appropriate for their workplace</w:t>
      </w:r>
      <w:r w:rsidR="005D25E1">
        <w:rPr>
          <w:color w:val="002060"/>
        </w:rPr>
        <w:t xml:space="preserve"> and provide guidance the N</w:t>
      </w:r>
      <w:r w:rsidR="00B248F5">
        <w:rPr>
          <w:color w:val="002060"/>
        </w:rPr>
        <w:t xml:space="preserve">ational Workplace Initiative </w:t>
      </w:r>
      <w:r w:rsidR="005D25E1">
        <w:rPr>
          <w:color w:val="002060"/>
        </w:rPr>
        <w:t>in the promotion of evidence</w:t>
      </w:r>
      <w:r w:rsidR="00A719BA">
        <w:rPr>
          <w:color w:val="002060"/>
        </w:rPr>
        <w:t>-</w:t>
      </w:r>
      <w:r w:rsidR="005D25E1">
        <w:rPr>
          <w:color w:val="002060"/>
        </w:rPr>
        <w:t>informed return to work and stay at work interventions.</w:t>
      </w:r>
    </w:p>
    <w:bookmarkEnd w:id="20"/>
    <w:p w14:paraId="71F0F8F8" w14:textId="77777777" w:rsidR="00873279" w:rsidRPr="00426C48" w:rsidRDefault="00873279" w:rsidP="00873279">
      <w:pPr>
        <w:pStyle w:val="Heading4"/>
        <w:rPr>
          <w:i/>
          <w:iCs w:val="0"/>
        </w:rPr>
      </w:pPr>
      <w:r w:rsidRPr="00426C48">
        <w:rPr>
          <w:i/>
          <w:iCs w:val="0"/>
        </w:rPr>
        <w:t>Rationale</w:t>
      </w:r>
    </w:p>
    <w:p w14:paraId="34055D07" w14:textId="77777777" w:rsidR="00BA1C77" w:rsidRDefault="00873279" w:rsidP="00426C48">
      <w:pPr>
        <w:spacing w:line="276" w:lineRule="auto"/>
      </w:pPr>
      <w:r>
        <w:t xml:space="preserve">WHS </w:t>
      </w:r>
      <w:r w:rsidR="00A719BA">
        <w:t xml:space="preserve">agencies </w:t>
      </w:r>
      <w:r>
        <w:t xml:space="preserve">are well placed to develop, collect, evaluate and promote better return to work or stay at work outcomes. </w:t>
      </w:r>
      <w:r w:rsidR="00B248F5">
        <w:t>Employers and workers alike would value guidance and supports</w:t>
      </w:r>
      <w:r w:rsidR="0002570D">
        <w:t xml:space="preserve"> to improve these experiences and outcomes. Not all businesses have experienced</w:t>
      </w:r>
      <w:r w:rsidR="00FD4227">
        <w:t xml:space="preserve"> </w:t>
      </w:r>
      <w:r w:rsidR="0002570D">
        <w:t>support</w:t>
      </w:r>
      <w:r w:rsidR="00A719BA">
        <w:t>ing</w:t>
      </w:r>
      <w:r w:rsidR="0002570D">
        <w:t xml:space="preserve"> a worker either to recover at work or return to work after a psychological illness or injury – these are not common process</w:t>
      </w:r>
      <w:r w:rsidR="00A719BA">
        <w:t>es</w:t>
      </w:r>
      <w:r w:rsidR="0002570D">
        <w:t xml:space="preserve"> or practices for most workplaces. Therefore, it would be ideal for greater evidence and support to be available to improve the experience for all.</w:t>
      </w:r>
    </w:p>
    <w:p w14:paraId="30815065" w14:textId="77777777" w:rsidR="00BA1C77" w:rsidRDefault="00BA1C77" w:rsidP="00426C48">
      <w:pPr>
        <w:spacing w:line="276" w:lineRule="auto"/>
      </w:pPr>
    </w:p>
    <w:p w14:paraId="6BF60389" w14:textId="7BBEB707" w:rsidR="00BA1C77" w:rsidRDefault="00BA1C77" w:rsidP="00BA1C77">
      <w:pPr>
        <w:spacing w:after="200" w:line="276" w:lineRule="auto"/>
      </w:pPr>
      <w:r>
        <w:t>Further information supporting these recommendations is provided in Appendix 1.</w:t>
      </w:r>
    </w:p>
    <w:p w14:paraId="09C57F8D" w14:textId="4CCEB1A1" w:rsidR="00776B35" w:rsidRPr="009406E6" w:rsidRDefault="00776B35" w:rsidP="00426C48">
      <w:pPr>
        <w:spacing w:line="276" w:lineRule="auto"/>
        <w:rPr>
          <w:color w:val="4D4F53" w:themeColor="text1"/>
          <w:sz w:val="24"/>
          <w:szCs w:val="26"/>
        </w:rPr>
      </w:pPr>
      <w:r w:rsidRPr="009406E6">
        <w:br w:type="page"/>
      </w:r>
    </w:p>
    <w:p w14:paraId="54CD794B" w14:textId="6C7C3F16" w:rsidR="002D2913" w:rsidRDefault="00316CE9" w:rsidP="005465EA">
      <w:pPr>
        <w:pStyle w:val="Heading2NOTOC"/>
      </w:pPr>
      <w:r w:rsidRPr="00B71AD5">
        <w:lastRenderedPageBreak/>
        <w:t>SOCIAL INCLUSION</w:t>
      </w:r>
      <w:bookmarkEnd w:id="17"/>
    </w:p>
    <w:p w14:paraId="758D13C5" w14:textId="77777777" w:rsidR="007860D6" w:rsidRDefault="007860D6" w:rsidP="005465EA">
      <w:pPr>
        <w:pStyle w:val="Heading2NOTOC"/>
      </w:pPr>
    </w:p>
    <w:p w14:paraId="158FF1E8" w14:textId="3A8B12DA" w:rsidR="002D2913" w:rsidRDefault="002D2913" w:rsidP="009642B8">
      <w:pPr>
        <w:pBdr>
          <w:top w:val="single" w:sz="8" w:space="1" w:color="1C5692"/>
          <w:left w:val="single" w:sz="8" w:space="0" w:color="1C5692"/>
          <w:bottom w:val="single" w:sz="8" w:space="1" w:color="1C5692"/>
          <w:right w:val="single" w:sz="8" w:space="4" w:color="1C5692"/>
        </w:pBdr>
        <w:spacing w:line="276" w:lineRule="auto"/>
      </w:pPr>
      <w:r>
        <w:rPr>
          <w:rFonts w:asciiTheme="majorHAnsi" w:hAnsiTheme="majorHAnsi"/>
        </w:rPr>
        <w:t>Life Insurance, and the broader financial services industry, has a critically important role to play in enabling improved mental health and wellbeing outcomes for Australians.</w:t>
      </w:r>
    </w:p>
    <w:p w14:paraId="0A294657" w14:textId="77777777" w:rsidR="007860D6" w:rsidRDefault="007860D6" w:rsidP="007860D6">
      <w:pPr>
        <w:spacing w:line="276" w:lineRule="auto"/>
      </w:pPr>
    </w:p>
    <w:p w14:paraId="2B30A5CA" w14:textId="0E16578C" w:rsidR="008A09C4" w:rsidRDefault="008A09C4" w:rsidP="007860D6">
      <w:pPr>
        <w:spacing w:line="276" w:lineRule="auto"/>
      </w:pPr>
      <w:r>
        <w:t>SuperFriend has worked collaboratively with the Life Insurance Industry (the industry) to develop a united response to these recommendations.</w:t>
      </w:r>
      <w:r w:rsidRPr="002D2913">
        <w:t xml:space="preserve"> </w:t>
      </w:r>
      <w:r>
        <w:t xml:space="preserve"> The Industry’s response demonstrates the willingness, capacity and capability to be a valuable collaborator and stakeholder in achieving system reform for better mental health and wellbeing outcomes for all Australians.</w:t>
      </w:r>
    </w:p>
    <w:p w14:paraId="340FA320" w14:textId="77777777" w:rsidR="007860D6" w:rsidRPr="00316CE9" w:rsidRDefault="007860D6" w:rsidP="007860D6">
      <w:pPr>
        <w:pStyle w:val="Heading3"/>
        <w:spacing w:after="200" w:line="276" w:lineRule="auto"/>
        <w:rPr>
          <w:color w:val="002060"/>
          <w:u w:val="single"/>
        </w:rPr>
      </w:pPr>
      <w:bookmarkStart w:id="21" w:name="_Toc30689348"/>
      <w:r w:rsidRPr="00316CE9">
        <w:rPr>
          <w:color w:val="002060"/>
          <w:u w:val="single"/>
        </w:rPr>
        <w:t>SuperFriend Recommendation 5</w:t>
      </w:r>
      <w:bookmarkEnd w:id="21"/>
    </w:p>
    <w:p w14:paraId="56F1D413" w14:textId="77777777" w:rsidR="007860D6" w:rsidRPr="00316CE9" w:rsidRDefault="007860D6" w:rsidP="007860D6">
      <w:pPr>
        <w:rPr>
          <w:b/>
          <w:bCs/>
          <w:color w:val="002060"/>
        </w:rPr>
      </w:pPr>
      <w:bookmarkStart w:id="22" w:name="_Hlk30573545"/>
      <w:r w:rsidRPr="00316CE9">
        <w:rPr>
          <w:color w:val="002060"/>
        </w:rPr>
        <w:t>SuperFriend encourages the Productivity Commission to include the new and modified recommendations (1 through 8) from the Life Insurance Industry Submission in their final report.</w:t>
      </w:r>
    </w:p>
    <w:p w14:paraId="0ED37FD2" w14:textId="1E046F5B" w:rsidR="003C2A05" w:rsidRPr="0026351B" w:rsidRDefault="00C941A0" w:rsidP="0026351B">
      <w:pPr>
        <w:pStyle w:val="Heading3"/>
      </w:pPr>
      <w:bookmarkStart w:id="23" w:name="_Toc30689349"/>
      <w:bookmarkEnd w:id="22"/>
      <w:r w:rsidRPr="0026351B">
        <w:t>D</w:t>
      </w:r>
      <w:r w:rsidR="002D2913" w:rsidRPr="0026351B">
        <w:t xml:space="preserve">raft </w:t>
      </w:r>
      <w:r w:rsidRPr="0026351B">
        <w:t>R</w:t>
      </w:r>
      <w:r w:rsidR="003C2A05" w:rsidRPr="0026351B">
        <w:t xml:space="preserve">ecommendation 20.2 — Awareness of </w:t>
      </w:r>
      <w:r w:rsidRPr="0026351B">
        <w:t>m</w:t>
      </w:r>
      <w:r w:rsidR="003C2A05" w:rsidRPr="0026351B">
        <w:t xml:space="preserve">ental </w:t>
      </w:r>
      <w:r w:rsidRPr="0026351B">
        <w:t>i</w:t>
      </w:r>
      <w:r w:rsidR="003C2A05" w:rsidRPr="0026351B">
        <w:t xml:space="preserve">llness in the </w:t>
      </w:r>
      <w:r w:rsidRPr="0026351B">
        <w:t>i</w:t>
      </w:r>
      <w:r w:rsidR="003C2A05" w:rsidRPr="0026351B">
        <w:t xml:space="preserve">nsurance </w:t>
      </w:r>
      <w:r w:rsidRPr="0026351B">
        <w:t>s</w:t>
      </w:r>
      <w:r w:rsidR="003C2A05" w:rsidRPr="0026351B">
        <w:t>ector</w:t>
      </w:r>
      <w:bookmarkEnd w:id="23"/>
    </w:p>
    <w:p w14:paraId="7063CB7D" w14:textId="0ED1B474" w:rsidR="002D2913" w:rsidRDefault="002D2913" w:rsidP="009642B8">
      <w:pPr>
        <w:spacing w:after="200" w:line="276" w:lineRule="auto"/>
        <w:rPr>
          <w:rFonts w:asciiTheme="majorHAnsi" w:hAnsiTheme="majorHAnsi"/>
        </w:rPr>
      </w:pPr>
      <w:r>
        <w:rPr>
          <w:rFonts w:asciiTheme="majorHAnsi" w:hAnsiTheme="majorHAnsi"/>
        </w:rPr>
        <w:t>SuperFriend in principle supports draft recommendation 20.2 however recommends changes</w:t>
      </w:r>
      <w:r w:rsidR="0026351B">
        <w:rPr>
          <w:rFonts w:asciiTheme="majorHAnsi" w:hAnsiTheme="majorHAnsi"/>
        </w:rPr>
        <w:t xml:space="preserve"> as included in the insurance industry submission.</w:t>
      </w:r>
      <w:r>
        <w:rPr>
          <w:rFonts w:asciiTheme="majorHAnsi" w:hAnsiTheme="majorHAnsi"/>
        </w:rPr>
        <w:t xml:space="preserve"> </w:t>
      </w:r>
    </w:p>
    <w:p w14:paraId="5DD84839" w14:textId="77777777" w:rsidR="00FE0BE4" w:rsidRPr="00426C48" w:rsidRDefault="00FE0BE4" w:rsidP="00316CE9">
      <w:pPr>
        <w:pStyle w:val="Heading4"/>
        <w:rPr>
          <w:i/>
          <w:iCs w:val="0"/>
        </w:rPr>
      </w:pPr>
      <w:r w:rsidRPr="00426C48">
        <w:rPr>
          <w:i/>
          <w:iCs w:val="0"/>
        </w:rPr>
        <w:t>Rationale</w:t>
      </w:r>
    </w:p>
    <w:p w14:paraId="373854AC" w14:textId="0B568A96" w:rsidR="00FE0BE4" w:rsidRDefault="00FE0BE4" w:rsidP="00FE0BE4">
      <w:pPr>
        <w:spacing w:after="200" w:line="276" w:lineRule="auto"/>
        <w:rPr>
          <w:rFonts w:asciiTheme="majorHAnsi" w:hAnsiTheme="majorHAnsi"/>
        </w:rPr>
      </w:pPr>
      <w:r>
        <w:rPr>
          <w:rFonts w:asciiTheme="majorHAnsi" w:hAnsiTheme="majorHAnsi"/>
        </w:rPr>
        <w:t>Life Insurance, and the broader financial services industry, has a critically important role to play, which is different to Government(s) and other support agencies, in enabling improved mental health and wellbeing outcomes for Australians. A</w:t>
      </w:r>
      <w:r>
        <w:t xml:space="preserve">fter Government, the life insurance industry is the largest </w:t>
      </w:r>
      <w:r w:rsidR="00A719BA">
        <w:t xml:space="preserve">contributor of </w:t>
      </w:r>
      <w:r>
        <w:t xml:space="preserve">financial and other supports for people with a mental illness, paying over $700 million in mental illness related claims in 2018. </w:t>
      </w:r>
      <w:r>
        <w:rPr>
          <w:rFonts w:asciiTheme="majorHAnsi" w:hAnsiTheme="majorHAnsi"/>
        </w:rPr>
        <w:t xml:space="preserve"> </w:t>
      </w:r>
    </w:p>
    <w:p w14:paraId="071520F5" w14:textId="77777777" w:rsidR="00FE0BE4" w:rsidRDefault="00FE0BE4" w:rsidP="00FE0BE4">
      <w:pPr>
        <w:spacing w:after="200" w:line="276" w:lineRule="auto"/>
        <w:rPr>
          <w:rFonts w:asciiTheme="majorHAnsi" w:hAnsiTheme="majorHAnsi"/>
        </w:rPr>
      </w:pPr>
      <w:r>
        <w:rPr>
          <w:rFonts w:asciiTheme="majorHAnsi" w:hAnsiTheme="majorHAnsi"/>
        </w:rPr>
        <w:t xml:space="preserve">Furthermore, the industry now collects detailed up-to-date data on mental illness which, when compared or augmented with other large population-based data sources, could be immensely beneficial in identifying trends and addressing system reform for social and economic benefits. Therefore, for Government(s) to fully understand the entirety of the ‘system’ and the opportunity for genuine system reform for sustainable social and economic impact, it will be essential that the Productivity Commission, in its final report and recommendations to Government, considers and articulates the non-government ‘actors’ roles and responsibilities in creating social and economic gains for Australia through reform. </w:t>
      </w:r>
    </w:p>
    <w:p w14:paraId="17B60C2F" w14:textId="63EDCA75" w:rsidR="00D57B33" w:rsidRPr="00B97D4C" w:rsidRDefault="002D2913" w:rsidP="0084473C">
      <w:pPr>
        <w:pStyle w:val="Heading3"/>
        <w:numPr>
          <w:ilvl w:val="0"/>
          <w:numId w:val="0"/>
        </w:numPr>
        <w:spacing w:before="0" w:line="276" w:lineRule="auto"/>
      </w:pPr>
      <w:bookmarkStart w:id="24" w:name="_Toc30689350"/>
      <w:r>
        <w:t xml:space="preserve">Draft </w:t>
      </w:r>
      <w:r w:rsidR="005A2254">
        <w:t>R</w:t>
      </w:r>
      <w:r w:rsidR="00D57B33" w:rsidRPr="00B97D4C">
        <w:t>ecommendation 24.6 — Life Insurers &amp; Funding of Mental Healthcare</w:t>
      </w:r>
      <w:bookmarkEnd w:id="24"/>
    </w:p>
    <w:p w14:paraId="33811B34" w14:textId="641E5FEC" w:rsidR="00A346FB" w:rsidRDefault="00A346FB" w:rsidP="009642B8">
      <w:pPr>
        <w:spacing w:after="200" w:line="276" w:lineRule="auto"/>
      </w:pPr>
      <w:r w:rsidRPr="00A346FB">
        <w:t xml:space="preserve">SuperFriend supports changes to legislation to allow life insurers to fund mental health treatments of income protection insureds as proposed under </w:t>
      </w:r>
      <w:r w:rsidR="0026351B">
        <w:t>draft r</w:t>
      </w:r>
      <w:r w:rsidRPr="00A346FB">
        <w:t xml:space="preserve">ecommendation 24.6. </w:t>
      </w:r>
      <w:r w:rsidR="00FF4988">
        <w:t xml:space="preserve">However, SuperFriend supports this provision being extended to Total and Permanent Disability (TPD) Claims as well. </w:t>
      </w:r>
      <w:r w:rsidRPr="00A346FB">
        <w:t xml:space="preserve">We believe that life insurers should be given the ability, more broadly, to fund treatment regardless of the type of condition or insurance policy for which the member is insured. The impact of forced absenteeism due to injury or illness is well </w:t>
      </w:r>
      <w:r w:rsidRPr="00A346FB">
        <w:lastRenderedPageBreak/>
        <w:t>documented and any effort to return persons on claim to good health and gainful employment in a more effective and efficient way should be explored.  By focusing purely on mental health claims, we overlook secondary psychological ill-health brought about by a period of incapacity.   </w:t>
      </w:r>
      <w:r w:rsidR="00F346DD">
        <w:br/>
      </w:r>
    </w:p>
    <w:p w14:paraId="3484B31D" w14:textId="77777777" w:rsidR="00316CE9" w:rsidRDefault="00316CE9">
      <w:pPr>
        <w:rPr>
          <w:b/>
          <w:bCs/>
          <w:iCs/>
          <w:color w:val="1C5692" w:themeColor="text2"/>
          <w:sz w:val="32"/>
          <w:szCs w:val="28"/>
        </w:rPr>
      </w:pPr>
      <w:r>
        <w:br w:type="page"/>
      </w:r>
    </w:p>
    <w:p w14:paraId="43648A6D" w14:textId="347CD85A" w:rsidR="00975D74" w:rsidRPr="00975D74" w:rsidRDefault="00975D74" w:rsidP="009642B8">
      <w:pPr>
        <w:pStyle w:val="Heading1"/>
        <w:spacing w:before="0" w:after="200" w:line="276" w:lineRule="auto"/>
      </w:pPr>
      <w:bookmarkStart w:id="25" w:name="_Toc30689351"/>
      <w:r w:rsidRPr="00975D74">
        <w:lastRenderedPageBreak/>
        <w:t>Conclusion</w:t>
      </w:r>
      <w:bookmarkEnd w:id="25"/>
      <w:r w:rsidR="00744B84">
        <w:t xml:space="preserve"> </w:t>
      </w:r>
    </w:p>
    <w:p w14:paraId="6C0B7466" w14:textId="77777777" w:rsidR="0023308C" w:rsidRDefault="00184B07" w:rsidP="009642B8">
      <w:pPr>
        <w:pStyle w:val="ListParagraph"/>
        <w:spacing w:line="276" w:lineRule="auto"/>
        <w:ind w:left="0"/>
      </w:pPr>
      <w:r>
        <w:t xml:space="preserve">SuperFriend applauds the Productivity Commission’s </w:t>
      </w:r>
      <w:r w:rsidR="0023308C">
        <w:t xml:space="preserve">emphasis on prevention and intervention and its </w:t>
      </w:r>
      <w:r>
        <w:t xml:space="preserve">recognition of the important role played by workplaces and Australia’s insurers in the mental health system. </w:t>
      </w:r>
    </w:p>
    <w:p w14:paraId="6B34AB45" w14:textId="77777777" w:rsidR="0023308C" w:rsidRDefault="0023308C" w:rsidP="0023308C">
      <w:pPr>
        <w:pStyle w:val="ListParagraph"/>
        <w:spacing w:line="276" w:lineRule="auto"/>
        <w:ind w:left="0"/>
      </w:pPr>
    </w:p>
    <w:p w14:paraId="28B0D720" w14:textId="35402725" w:rsidR="0023308C" w:rsidRDefault="0023308C" w:rsidP="0023308C">
      <w:pPr>
        <w:pStyle w:val="ListParagraph"/>
        <w:spacing w:line="276" w:lineRule="auto"/>
        <w:ind w:left="0"/>
      </w:pPr>
      <w:r>
        <w:t>However, maximising the preventative impact of workplaces and insurers requires the Commission to go further in its recommendations.</w:t>
      </w:r>
    </w:p>
    <w:p w14:paraId="62CF6F67" w14:textId="4AF1B4AF" w:rsidR="00C2695A" w:rsidRDefault="00C2695A" w:rsidP="009642B8">
      <w:pPr>
        <w:pStyle w:val="ListParagraph"/>
        <w:spacing w:line="276" w:lineRule="auto"/>
        <w:ind w:left="0"/>
      </w:pPr>
    </w:p>
    <w:p w14:paraId="35AD777D" w14:textId="1F18858F" w:rsidR="00C2695A" w:rsidRPr="009642B8" w:rsidRDefault="0023308C" w:rsidP="009642B8">
      <w:pPr>
        <w:pStyle w:val="ListParagraph"/>
        <w:spacing w:line="276" w:lineRule="auto"/>
        <w:ind w:left="0"/>
      </w:pPr>
      <w:r w:rsidRPr="00EB3ECD">
        <w:t>Proven, evidence-</w:t>
      </w:r>
      <w:r w:rsidR="00426C48" w:rsidRPr="00EB3ECD">
        <w:t>informed</w:t>
      </w:r>
      <w:r w:rsidRPr="00EB3ECD">
        <w:t xml:space="preserve"> </w:t>
      </w:r>
      <w:r w:rsidR="00426C48" w:rsidRPr="00EB3ECD">
        <w:t>interventions</w:t>
      </w:r>
      <w:r w:rsidRPr="00EB3ECD">
        <w:t xml:space="preserve"> to enable</w:t>
      </w:r>
      <w:r w:rsidR="00C2695A" w:rsidRPr="00EB3ECD">
        <w:t xml:space="preserve"> mentally healthy workplaces must be </w:t>
      </w:r>
      <w:r w:rsidRPr="00EB3ECD">
        <w:t xml:space="preserve">mandated </w:t>
      </w:r>
      <w:r w:rsidR="00426C48" w:rsidRPr="00EB3ECD">
        <w:t xml:space="preserve">in whole of government approaches (recommendation 1) </w:t>
      </w:r>
      <w:r w:rsidRPr="00EB3ECD">
        <w:t>and barriers removed</w:t>
      </w:r>
      <w:r w:rsidR="00C2695A" w:rsidRPr="00EB3ECD">
        <w:t xml:space="preserve"> (recommendations 2</w:t>
      </w:r>
      <w:r w:rsidR="00C2305C" w:rsidRPr="00EB3ECD">
        <w:t>). Likewise, utilising the levers of Government, regulators</w:t>
      </w:r>
      <w:r w:rsidR="00EB3ECD">
        <w:t>, industry</w:t>
      </w:r>
      <w:r w:rsidR="00C2305C" w:rsidRPr="00EB3ECD">
        <w:t xml:space="preserve"> and </w:t>
      </w:r>
      <w:r w:rsidR="00EB3ECD">
        <w:t>economic</w:t>
      </w:r>
      <w:r w:rsidR="00C2305C" w:rsidRPr="00EB3ECD">
        <w:t xml:space="preserve"> market</w:t>
      </w:r>
      <w:r w:rsidR="00EB3ECD">
        <w:t>s</w:t>
      </w:r>
      <w:r w:rsidR="00C2305C" w:rsidRPr="00EB3ECD">
        <w:t xml:space="preserve"> can be powerful mechanisms to help progress and propel reform agendas (recommendation 3, 4, 6</w:t>
      </w:r>
      <w:r w:rsidR="00EB3ECD" w:rsidRPr="00EB3ECD">
        <w:t xml:space="preserve"> and 7</w:t>
      </w:r>
      <w:r w:rsidR="00C2695A" w:rsidRPr="00EB3ECD">
        <w:t>)</w:t>
      </w:r>
      <w:r w:rsidRPr="00EB3ECD">
        <w:t>.</w:t>
      </w:r>
      <w:r w:rsidR="00426C48" w:rsidRPr="00EB3ECD">
        <w:t xml:space="preserve"> </w:t>
      </w:r>
      <w:r w:rsidRPr="00EB3ECD">
        <w:t xml:space="preserve">The essential role of life insurers in the prevention and treatment of mental health conditions must be </w:t>
      </w:r>
      <w:r w:rsidR="00EB3ECD">
        <w:t>articulated</w:t>
      </w:r>
      <w:r w:rsidRPr="00EB3ECD">
        <w:t xml:space="preserve"> (recommendation </w:t>
      </w:r>
      <w:r w:rsidR="00EB3ECD" w:rsidRPr="00EB3ECD">
        <w:t>5</w:t>
      </w:r>
      <w:r w:rsidRPr="00EB3ECD">
        <w:t>)</w:t>
      </w:r>
      <w:r w:rsidR="00EB3ECD">
        <w:t xml:space="preserve"> and supported.</w:t>
      </w:r>
      <w:r w:rsidR="00C2695A">
        <w:t xml:space="preserve"> </w:t>
      </w:r>
    </w:p>
    <w:p w14:paraId="62453EAD" w14:textId="10A7CBC8" w:rsidR="005B0C3A" w:rsidRDefault="005B0C3A" w:rsidP="009642B8">
      <w:pPr>
        <w:pStyle w:val="ListParagraph"/>
        <w:spacing w:line="276" w:lineRule="auto"/>
        <w:ind w:left="0"/>
        <w:rPr>
          <w:rFonts w:asciiTheme="majorHAnsi" w:hAnsiTheme="majorHAnsi" w:cs="Calibri"/>
        </w:rPr>
      </w:pPr>
    </w:p>
    <w:p w14:paraId="10417B8B" w14:textId="0AC883BD" w:rsidR="0023308C" w:rsidRDefault="0023308C" w:rsidP="009642B8">
      <w:pPr>
        <w:pStyle w:val="ListParagraph"/>
        <w:spacing w:line="276" w:lineRule="auto"/>
        <w:ind w:left="0"/>
      </w:pPr>
      <w:r>
        <w:t>Coordination, promotion and – where necessary – legislation to ensure psychological safety is safeguarded and improved through early intervention and prevention will deliver the improvements needs to reduce the human and economic costs of mental illness in Australia.</w:t>
      </w:r>
    </w:p>
    <w:p w14:paraId="49729365" w14:textId="4B8D6A33" w:rsidR="00EB3ECD" w:rsidRDefault="00EB3ECD" w:rsidP="009642B8">
      <w:pPr>
        <w:pStyle w:val="ListParagraph"/>
        <w:spacing w:line="276" w:lineRule="auto"/>
        <w:ind w:left="0"/>
      </w:pPr>
    </w:p>
    <w:p w14:paraId="0B2FFE92" w14:textId="7EBC79CA" w:rsidR="00EB3ECD" w:rsidRPr="009642B8" w:rsidRDefault="00EB3ECD" w:rsidP="009642B8">
      <w:pPr>
        <w:pStyle w:val="ListParagraph"/>
        <w:spacing w:line="276" w:lineRule="auto"/>
        <w:ind w:left="0"/>
      </w:pPr>
      <w:r>
        <w:t>SuperFriend thanks the Productivity Commission for the opportunity to submit th</w:t>
      </w:r>
      <w:r w:rsidR="00D762B9">
        <w:t>ese recommendations for consideration.</w:t>
      </w:r>
    </w:p>
    <w:p w14:paraId="5FE9D78A" w14:textId="77777777" w:rsidR="004022DC" w:rsidRDefault="004022DC" w:rsidP="009642B8">
      <w:pPr>
        <w:pStyle w:val="ListParagraph"/>
        <w:spacing w:line="276" w:lineRule="auto"/>
        <w:ind w:left="0"/>
      </w:pPr>
    </w:p>
    <w:p w14:paraId="3B217775" w14:textId="77777777" w:rsidR="00316CE9" w:rsidRDefault="00316CE9">
      <w:pPr>
        <w:rPr>
          <w:b/>
          <w:bCs/>
          <w:iCs/>
          <w:color w:val="1C5692" w:themeColor="text2"/>
          <w:sz w:val="32"/>
          <w:szCs w:val="28"/>
        </w:rPr>
      </w:pPr>
      <w:r>
        <w:br w:type="page"/>
      </w:r>
    </w:p>
    <w:p w14:paraId="2AF27D27" w14:textId="3C7F7496" w:rsidR="00FE0BE4" w:rsidRPr="00975D74" w:rsidRDefault="00FE0BE4" w:rsidP="00FE0BE4">
      <w:pPr>
        <w:pStyle w:val="Heading1"/>
        <w:spacing w:before="0" w:after="200" w:line="276" w:lineRule="auto"/>
      </w:pPr>
      <w:bookmarkStart w:id="26" w:name="_Toc30689352"/>
      <w:r>
        <w:lastRenderedPageBreak/>
        <w:t>Appendix I: Importance of workplaces in population-wide mental health</w:t>
      </w:r>
      <w:bookmarkEnd w:id="26"/>
      <w:r>
        <w:t xml:space="preserve"> </w:t>
      </w:r>
    </w:p>
    <w:p w14:paraId="558EB277" w14:textId="15FB8D12" w:rsidR="00AA6FB0" w:rsidRDefault="00AA6FB0" w:rsidP="00AA6FB0">
      <w:pPr>
        <w:pStyle w:val="Heading4"/>
      </w:pPr>
      <w:r>
        <w:t>Systems Approach is needed</w:t>
      </w:r>
    </w:p>
    <w:p w14:paraId="30567626" w14:textId="2DE216BA" w:rsidR="00AA6FB0" w:rsidRDefault="00F346DD" w:rsidP="00AA6FB0">
      <w:pPr>
        <w:spacing w:after="200" w:line="276" w:lineRule="auto"/>
      </w:pPr>
      <w:r>
        <w:t xml:space="preserve">The draft report underplays the broader population’s mental health, focusing more on people currently experiencing mental ill-health. This is short-sighted and will not be enough to change the trajectory of health costs, impacts and prevalence. Steps are needed to also promote and protect people’s mental wellbeing by amplifying genuine preventative and early intervention initiatives. A nationally consistent approach to reform is critical. </w:t>
      </w:r>
    </w:p>
    <w:p w14:paraId="7AC09B74" w14:textId="1F121488" w:rsidR="00F346DD" w:rsidRPr="00C77B04" w:rsidRDefault="00F346DD" w:rsidP="00AA6FB0">
      <w:pPr>
        <w:spacing w:after="200" w:line="276" w:lineRule="auto"/>
      </w:pPr>
      <w:r>
        <w:t>SuperFriend’s recommendation</w:t>
      </w:r>
      <w:r w:rsidR="00AA6FB0">
        <w:t>s</w:t>
      </w:r>
      <w:r>
        <w:t xml:space="preserve"> </w:t>
      </w:r>
      <w:r w:rsidRPr="00A346FB">
        <w:t>recognise</w:t>
      </w:r>
      <w:r>
        <w:t>,</w:t>
      </w:r>
      <w:r w:rsidRPr="00A346FB">
        <w:t xml:space="preserve"> </w:t>
      </w:r>
      <w:r>
        <w:t>acknowledge and emphasise</w:t>
      </w:r>
      <w:r w:rsidRPr="00A346FB">
        <w:t xml:space="preserve"> </w:t>
      </w:r>
      <w:r>
        <w:t xml:space="preserve">both </w:t>
      </w:r>
      <w:r w:rsidRPr="00A346FB">
        <w:t>mental health and wellbeing and mental ill-health are influenced by the settings and events of everyday life</w:t>
      </w:r>
      <w:r>
        <w:t>. T</w:t>
      </w:r>
      <w:r w:rsidRPr="00A346FB">
        <w:rPr>
          <w:rFonts w:eastAsia="Times New Roman" w:cs="Arial"/>
          <w:lang w:eastAsia="en-AU"/>
        </w:rPr>
        <w:t>o be effective</w:t>
      </w:r>
      <w:r>
        <w:rPr>
          <w:rFonts w:eastAsia="Times New Roman" w:cs="Arial"/>
          <w:lang w:eastAsia="en-AU"/>
        </w:rPr>
        <w:t xml:space="preserve"> and sustainable,</w:t>
      </w:r>
      <w:r w:rsidRPr="00A346FB">
        <w:rPr>
          <w:rFonts w:eastAsia="Times New Roman" w:cs="Arial"/>
          <w:lang w:eastAsia="en-AU"/>
        </w:rPr>
        <w:t xml:space="preserve"> reforms need</w:t>
      </w:r>
      <w:r>
        <w:rPr>
          <w:rFonts w:eastAsia="Times New Roman" w:cs="Arial"/>
          <w:lang w:eastAsia="en-AU"/>
        </w:rPr>
        <w:t xml:space="preserve"> </w:t>
      </w:r>
      <w:r w:rsidRPr="00A346FB">
        <w:rPr>
          <w:rFonts w:eastAsia="Times New Roman" w:cs="Arial"/>
          <w:lang w:eastAsia="en-AU"/>
        </w:rPr>
        <w:t>to</w:t>
      </w:r>
      <w:r>
        <w:rPr>
          <w:rFonts w:eastAsia="Times New Roman" w:cs="Arial"/>
          <w:lang w:eastAsia="en-AU"/>
        </w:rPr>
        <w:t xml:space="preserve"> </w:t>
      </w:r>
      <w:r w:rsidRPr="00A346FB">
        <w:rPr>
          <w:rFonts w:eastAsia="Times New Roman" w:cs="Arial"/>
          <w:lang w:eastAsia="en-AU"/>
        </w:rPr>
        <w:t>consider three key areas that influence mental health:</w:t>
      </w:r>
    </w:p>
    <w:p w14:paraId="4A189E3C" w14:textId="77777777" w:rsidR="00F346DD" w:rsidRPr="00A346FB" w:rsidRDefault="00F346DD" w:rsidP="00AA6FB0">
      <w:pPr>
        <w:pStyle w:val="NumberedListAutoRestartNoIndent"/>
        <w:spacing w:line="276" w:lineRule="auto"/>
        <w:rPr>
          <w:lang w:eastAsia="en-AU"/>
        </w:rPr>
      </w:pPr>
      <w:r w:rsidRPr="00A346FB">
        <w:rPr>
          <w:lang w:eastAsia="en-AU"/>
        </w:rPr>
        <w:t>Structural</w:t>
      </w:r>
      <w:r>
        <w:rPr>
          <w:lang w:eastAsia="en-AU"/>
        </w:rPr>
        <w:t>-</w:t>
      </w:r>
      <w:r w:rsidRPr="00A346FB">
        <w:rPr>
          <w:lang w:eastAsia="en-AU"/>
        </w:rPr>
        <w:t>level factors including social, economic and cultural factors that are supportive of mental health and wellbeing</w:t>
      </w:r>
    </w:p>
    <w:p w14:paraId="2D7B4F9F" w14:textId="77777777" w:rsidR="00F346DD" w:rsidRPr="00A346FB" w:rsidRDefault="00F346DD" w:rsidP="00AA6FB0">
      <w:pPr>
        <w:pStyle w:val="NumberedListAutoRestartNoIndent"/>
        <w:spacing w:line="276" w:lineRule="auto"/>
        <w:rPr>
          <w:lang w:eastAsia="en-AU"/>
        </w:rPr>
      </w:pPr>
      <w:r w:rsidRPr="00A346FB">
        <w:rPr>
          <w:lang w:eastAsia="en-AU"/>
        </w:rPr>
        <w:t>Community</w:t>
      </w:r>
      <w:r>
        <w:rPr>
          <w:lang w:eastAsia="en-AU"/>
        </w:rPr>
        <w:t>-</w:t>
      </w:r>
      <w:r w:rsidRPr="00A346FB">
        <w:rPr>
          <w:lang w:eastAsia="en-AU"/>
        </w:rPr>
        <w:t>level factors includ</w:t>
      </w:r>
      <w:r>
        <w:rPr>
          <w:lang w:eastAsia="en-AU"/>
        </w:rPr>
        <w:t>ing</w:t>
      </w:r>
      <w:r w:rsidRPr="00A346FB">
        <w:rPr>
          <w:lang w:eastAsia="en-AU"/>
        </w:rPr>
        <w:t xml:space="preserve"> a positive sense of belonging, community connectedness, diversity</w:t>
      </w:r>
      <w:r>
        <w:rPr>
          <w:lang w:eastAsia="en-AU"/>
        </w:rPr>
        <w:t xml:space="preserve"> that is highlighted and embraced, </w:t>
      </w:r>
      <w:r w:rsidRPr="00A346FB">
        <w:rPr>
          <w:lang w:eastAsia="en-AU"/>
        </w:rPr>
        <w:t xml:space="preserve">and </w:t>
      </w:r>
      <w:r>
        <w:rPr>
          <w:lang w:eastAsia="en-AU"/>
        </w:rPr>
        <w:t xml:space="preserve">meaningful </w:t>
      </w:r>
      <w:r w:rsidRPr="00A346FB">
        <w:rPr>
          <w:lang w:eastAsia="en-AU"/>
        </w:rPr>
        <w:t>participation in society</w:t>
      </w:r>
    </w:p>
    <w:p w14:paraId="6EAA48D9" w14:textId="77777777" w:rsidR="00F346DD" w:rsidRDefault="00F346DD" w:rsidP="00AA6FB0">
      <w:pPr>
        <w:pStyle w:val="NumberedListAutoRestartNoIndent"/>
        <w:spacing w:after="200" w:line="276" w:lineRule="auto"/>
        <w:rPr>
          <w:lang w:eastAsia="en-AU"/>
        </w:rPr>
      </w:pPr>
      <w:r w:rsidRPr="00A346FB">
        <w:rPr>
          <w:lang w:eastAsia="en-AU"/>
        </w:rPr>
        <w:t>Individual</w:t>
      </w:r>
      <w:r>
        <w:rPr>
          <w:lang w:eastAsia="en-AU"/>
        </w:rPr>
        <w:t>-</w:t>
      </w:r>
      <w:r w:rsidRPr="00A346FB">
        <w:rPr>
          <w:lang w:eastAsia="en-AU"/>
        </w:rPr>
        <w:t>level factors such as the ability to manage thoughts and cope with stressors; and well-developed communication and social skills to support connection with others.</w:t>
      </w:r>
      <w:r w:rsidRPr="00A346FB">
        <w:rPr>
          <w:rStyle w:val="EndnoteReference"/>
          <w:rFonts w:eastAsia="Times New Roman" w:cs="Arial"/>
          <w:lang w:eastAsia="en-AU"/>
        </w:rPr>
        <w:endnoteReference w:id="13"/>
      </w:r>
    </w:p>
    <w:p w14:paraId="15B98E9E" w14:textId="3A6A8817" w:rsidR="00F346DD" w:rsidRDefault="00F346DD" w:rsidP="00AA6FB0">
      <w:pPr>
        <w:spacing w:after="200" w:line="276" w:lineRule="auto"/>
      </w:pPr>
      <w:r>
        <w:rPr>
          <w:rFonts w:eastAsia="Times New Roman" w:cs="Arial"/>
          <w:lang w:eastAsia="en-AU"/>
        </w:rPr>
        <w:t xml:space="preserve">Figure </w:t>
      </w:r>
      <w:r w:rsidR="00AA6FB0">
        <w:rPr>
          <w:rFonts w:eastAsia="Times New Roman" w:cs="Arial"/>
          <w:lang w:eastAsia="en-AU"/>
        </w:rPr>
        <w:t>4</w:t>
      </w:r>
      <w:r>
        <w:rPr>
          <w:rFonts w:eastAsia="Times New Roman" w:cs="Arial"/>
          <w:lang w:eastAsia="en-AU"/>
        </w:rPr>
        <w:t xml:space="preserve"> shows the dynamic </w:t>
      </w:r>
      <w:r>
        <w:t>model of wellbeing</w:t>
      </w:r>
      <w:r>
        <w:rPr>
          <w:rStyle w:val="EndnoteReference"/>
          <w:rFonts w:eastAsia="Times New Roman" w:cs="Arial"/>
          <w:lang w:eastAsia="en-AU"/>
        </w:rPr>
        <w:endnoteReference w:id="14"/>
      </w:r>
      <w:r>
        <w:rPr>
          <w:rFonts w:eastAsia="Times New Roman" w:cs="Arial"/>
          <w:lang w:eastAsia="en-AU"/>
        </w:rPr>
        <w:t xml:space="preserve">  and </w:t>
      </w:r>
      <w:r>
        <w:t>describes how an individual’s external conditions (bottom left), such as their income, employment status, housing and social context act together with their personal resources (bottom right), such as their health, resilience and optimism, enable them to function well (middle) in their interactions with the world and therefore experience ‘feeling good’ (top). When all elements of the system work, it enables a state of optimal mental health, known as flourishing.</w:t>
      </w:r>
    </w:p>
    <w:p w14:paraId="0AA0F887" w14:textId="602E8795" w:rsidR="00F346DD" w:rsidRDefault="0084473C" w:rsidP="00F346DD">
      <w:pPr>
        <w:spacing w:after="200" w:line="276" w:lineRule="auto"/>
        <w:rPr>
          <w:rFonts w:eastAsia="Times New Roman" w:cs="Arial"/>
          <w:lang w:eastAsia="en-AU"/>
        </w:rPr>
      </w:pPr>
      <w:r w:rsidRPr="004C106E">
        <w:rPr>
          <w:rFonts w:eastAsia="Times New Roman" w:cs="Arial"/>
          <w:noProof/>
          <w:lang w:eastAsia="en-AU"/>
        </w:rPr>
        <w:drawing>
          <wp:anchor distT="0" distB="0" distL="114300" distR="114300" simplePos="0" relativeHeight="251687936" behindDoc="0" locked="0" layoutInCell="1" allowOverlap="1" wp14:anchorId="69363BFD" wp14:editId="2DBEAD1A">
            <wp:simplePos x="0" y="0"/>
            <wp:positionH relativeFrom="margin">
              <wp:posOffset>953826</wp:posOffset>
            </wp:positionH>
            <wp:positionV relativeFrom="paragraph">
              <wp:posOffset>17450</wp:posOffset>
            </wp:positionV>
            <wp:extent cx="3494072" cy="2353586"/>
            <wp:effectExtent l="0" t="0" r="0" b="8890"/>
            <wp:wrapNone/>
            <wp:docPr id="1028" name="Picture 4" descr="Related imag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E49A59-B2DF-4A31-A002-4F87A4E8A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lated imag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E49A59-B2DF-4A31-A002-4F87A4E8A88B}"/>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3267" b="4031"/>
                    <a:stretch/>
                  </pic:blipFill>
                  <pic:spPr bwMode="auto">
                    <a:xfrm>
                      <a:off x="0" y="0"/>
                      <a:ext cx="3514294" cy="2367208"/>
                    </a:xfrm>
                    <a:prstGeom prst="rect">
                      <a:avLst/>
                    </a:prstGeom>
                    <a:noFill/>
                  </pic:spPr>
                </pic:pic>
              </a:graphicData>
            </a:graphic>
            <wp14:sizeRelH relativeFrom="page">
              <wp14:pctWidth>0</wp14:pctWidth>
            </wp14:sizeRelH>
            <wp14:sizeRelV relativeFrom="page">
              <wp14:pctHeight>0</wp14:pctHeight>
            </wp14:sizeRelV>
          </wp:anchor>
        </w:drawing>
      </w:r>
    </w:p>
    <w:p w14:paraId="5C6AFE33" w14:textId="77777777" w:rsidR="00F346DD" w:rsidRDefault="00F346DD" w:rsidP="00F346DD">
      <w:pPr>
        <w:spacing w:after="200" w:line="276" w:lineRule="auto"/>
        <w:rPr>
          <w:rFonts w:eastAsia="Times New Roman" w:cs="Arial"/>
          <w:lang w:eastAsia="en-AU"/>
        </w:rPr>
      </w:pPr>
    </w:p>
    <w:p w14:paraId="0FA6DC59" w14:textId="77777777" w:rsidR="00F346DD" w:rsidRDefault="00F346DD" w:rsidP="00F346DD">
      <w:pPr>
        <w:spacing w:after="200" w:line="276" w:lineRule="auto"/>
        <w:rPr>
          <w:rFonts w:eastAsia="Times New Roman" w:cs="Arial"/>
          <w:lang w:eastAsia="en-AU"/>
        </w:rPr>
      </w:pPr>
    </w:p>
    <w:p w14:paraId="0F5FF270" w14:textId="77777777" w:rsidR="00F346DD" w:rsidRDefault="00F346DD" w:rsidP="00F346DD">
      <w:pPr>
        <w:spacing w:after="200" w:line="276" w:lineRule="auto"/>
        <w:rPr>
          <w:rFonts w:eastAsia="Times New Roman" w:cs="Arial"/>
          <w:lang w:eastAsia="en-AU"/>
        </w:rPr>
      </w:pPr>
    </w:p>
    <w:p w14:paraId="6EE47DB0" w14:textId="77777777" w:rsidR="00F346DD" w:rsidRDefault="00F346DD" w:rsidP="00F346DD">
      <w:pPr>
        <w:spacing w:after="200" w:line="276" w:lineRule="auto"/>
        <w:rPr>
          <w:rFonts w:eastAsia="Times New Roman" w:cs="Arial"/>
          <w:lang w:eastAsia="en-AU"/>
        </w:rPr>
      </w:pPr>
    </w:p>
    <w:p w14:paraId="4EB6C252" w14:textId="77777777" w:rsidR="00F346DD" w:rsidRDefault="00F346DD" w:rsidP="00F346DD">
      <w:pPr>
        <w:spacing w:after="200" w:line="276" w:lineRule="auto"/>
        <w:rPr>
          <w:rFonts w:eastAsia="Times New Roman" w:cs="Arial"/>
          <w:lang w:eastAsia="en-AU"/>
        </w:rPr>
      </w:pPr>
    </w:p>
    <w:p w14:paraId="5449A785" w14:textId="77777777" w:rsidR="00F346DD" w:rsidRDefault="00F346DD" w:rsidP="00F346DD">
      <w:pPr>
        <w:spacing w:after="200" w:line="276" w:lineRule="auto"/>
        <w:rPr>
          <w:rFonts w:eastAsia="Times New Roman" w:cs="Arial"/>
          <w:lang w:eastAsia="en-AU"/>
        </w:rPr>
      </w:pPr>
    </w:p>
    <w:p w14:paraId="2B726E2F" w14:textId="77777777" w:rsidR="00AA6FB0" w:rsidRDefault="00AA6FB0" w:rsidP="00F346DD">
      <w:pPr>
        <w:pStyle w:val="ListBullet"/>
        <w:numPr>
          <w:ilvl w:val="0"/>
          <w:numId w:val="0"/>
        </w:numPr>
        <w:spacing w:after="0"/>
        <w:rPr>
          <w:sz w:val="18"/>
          <w:szCs w:val="18"/>
        </w:rPr>
      </w:pPr>
    </w:p>
    <w:p w14:paraId="4E6D9EB4" w14:textId="07037A2B" w:rsidR="00F346DD" w:rsidRPr="00B879B1" w:rsidRDefault="00F346DD" w:rsidP="00F346DD">
      <w:pPr>
        <w:pStyle w:val="ListBullet"/>
        <w:numPr>
          <w:ilvl w:val="0"/>
          <w:numId w:val="0"/>
        </w:numPr>
        <w:spacing w:after="0"/>
      </w:pPr>
      <w:r w:rsidRPr="009F468B">
        <w:rPr>
          <w:sz w:val="18"/>
          <w:szCs w:val="18"/>
        </w:rPr>
        <w:t xml:space="preserve">Figure </w:t>
      </w:r>
      <w:r w:rsidR="00AA6FB0">
        <w:rPr>
          <w:sz w:val="18"/>
          <w:szCs w:val="18"/>
        </w:rPr>
        <w:t>4</w:t>
      </w:r>
      <w:r w:rsidRPr="009F468B">
        <w:rPr>
          <w:sz w:val="18"/>
          <w:szCs w:val="18"/>
        </w:rPr>
        <w:t xml:space="preserve">. </w:t>
      </w:r>
      <w:r>
        <w:rPr>
          <w:rFonts w:eastAsia="Times New Roman" w:cs="Arial"/>
          <w:sz w:val="18"/>
          <w:szCs w:val="18"/>
          <w:lang w:eastAsia="en-AU"/>
        </w:rPr>
        <w:t>D</w:t>
      </w:r>
      <w:r w:rsidRPr="000A7060">
        <w:rPr>
          <w:rFonts w:eastAsia="Times New Roman" w:cs="Arial"/>
          <w:sz w:val="18"/>
          <w:szCs w:val="18"/>
          <w:lang w:eastAsia="en-AU"/>
        </w:rPr>
        <w:t xml:space="preserve">ynamic </w:t>
      </w:r>
      <w:r w:rsidRPr="000A7060">
        <w:rPr>
          <w:sz w:val="18"/>
          <w:szCs w:val="18"/>
        </w:rPr>
        <w:t>model of wellbeing</w:t>
      </w:r>
    </w:p>
    <w:p w14:paraId="1D2049EC" w14:textId="16DB957D" w:rsidR="00F346DD" w:rsidRPr="00F346DD" w:rsidRDefault="00F346DD" w:rsidP="00F346DD">
      <w:pPr>
        <w:spacing w:after="200" w:line="276" w:lineRule="auto"/>
      </w:pPr>
      <w:r w:rsidRPr="00A346FB">
        <w:rPr>
          <w:rFonts w:eastAsia="Times New Roman" w:cs="Arial"/>
          <w:lang w:eastAsia="en-AU"/>
        </w:rPr>
        <w:lastRenderedPageBreak/>
        <w:t>A population health approach involves implementing prevention initiatives that take place across a range of</w:t>
      </w:r>
      <w:r>
        <w:rPr>
          <w:rFonts w:eastAsia="Times New Roman" w:cs="Arial"/>
          <w:lang w:eastAsia="en-AU"/>
        </w:rPr>
        <w:t xml:space="preserve"> </w:t>
      </w:r>
      <w:r w:rsidRPr="00A346FB">
        <w:rPr>
          <w:rFonts w:eastAsia="Times New Roman" w:cs="Arial"/>
          <w:lang w:eastAsia="en-AU"/>
        </w:rPr>
        <w:t xml:space="preserve">settings and involve contributions from many different sectors and organisations. </w:t>
      </w:r>
      <w:r>
        <w:rPr>
          <w:rFonts w:eastAsia="Times New Roman" w:cs="Arial"/>
          <w:lang w:eastAsia="en-AU"/>
        </w:rPr>
        <w:t xml:space="preserve">It also requires a nationally consistent approach. </w:t>
      </w:r>
      <w:r w:rsidRPr="00A346FB">
        <w:rPr>
          <w:rFonts w:eastAsia="Times New Roman" w:cs="Arial"/>
          <w:lang w:eastAsia="en-AU"/>
        </w:rPr>
        <w:t>Prevention initiatives are relevant to all people, regardless of their mental health status</w:t>
      </w:r>
      <w:r>
        <w:rPr>
          <w:rFonts w:eastAsia="Times New Roman" w:cs="Arial"/>
          <w:lang w:eastAsia="en-AU"/>
        </w:rPr>
        <w:t xml:space="preserve"> or geographic location</w:t>
      </w:r>
      <w:r w:rsidRPr="00A346FB">
        <w:rPr>
          <w:rFonts w:eastAsia="Times New Roman" w:cs="Arial"/>
          <w:lang w:eastAsia="en-AU"/>
        </w:rPr>
        <w:t xml:space="preserve">. Funding and recommendations should focus on a mix of primary, secondary and tertiary prevention strategies. </w:t>
      </w:r>
      <w:r w:rsidRPr="00A346FB">
        <w:t>The Ottawa Charter for Health Promotion</w:t>
      </w:r>
      <w:r w:rsidRPr="00A346FB">
        <w:rPr>
          <w:rStyle w:val="EndnoteReference"/>
        </w:rPr>
        <w:endnoteReference w:id="15"/>
      </w:r>
      <w:r w:rsidRPr="00A346FB">
        <w:t xml:space="preserve"> provides an excellent framework to guide development of activities to pr</w:t>
      </w:r>
      <w:r>
        <w:t>event poor</w:t>
      </w:r>
      <w:r w:rsidRPr="00A346FB">
        <w:t xml:space="preserve"> mental health. This Charter and its fundamental principles for the health of populations provides a template for “prevention rather than cure”.</w:t>
      </w:r>
    </w:p>
    <w:p w14:paraId="65689857" w14:textId="5842FE3D" w:rsidR="00FE0BE4" w:rsidRPr="00AA6FB0" w:rsidRDefault="00FE0BE4" w:rsidP="00AA6FB0">
      <w:pPr>
        <w:pStyle w:val="Heading4"/>
      </w:pPr>
      <w:r w:rsidRPr="00AA6FB0">
        <w:t>Effective workplace strategies for a mentally healthy workplace</w:t>
      </w:r>
    </w:p>
    <w:p w14:paraId="6694619A" w14:textId="75AD25BE" w:rsidR="00FE0BE4" w:rsidRPr="00C2695A" w:rsidRDefault="00FE0BE4" w:rsidP="00FE0BE4">
      <w:pPr>
        <w:spacing w:after="200" w:line="276" w:lineRule="auto"/>
        <w:rPr>
          <w:rFonts w:eastAsia="Times New Roman"/>
          <w:b/>
          <w:bCs/>
        </w:rPr>
      </w:pPr>
      <w:r w:rsidRPr="00A346FB">
        <w:rPr>
          <w:rFonts w:eastAsia="Times New Roman"/>
        </w:rPr>
        <w:t xml:space="preserve">There is increasing evidence that workplaces play an important and active role in </w:t>
      </w:r>
      <w:r>
        <w:rPr>
          <w:rFonts w:eastAsia="Times New Roman"/>
        </w:rPr>
        <w:t xml:space="preserve">influencing, either positively or negatively, </w:t>
      </w:r>
      <w:r w:rsidRPr="00A346FB">
        <w:rPr>
          <w:rFonts w:eastAsia="Times New Roman"/>
        </w:rPr>
        <w:t xml:space="preserve">the mental health and wellbeing of their workers. </w:t>
      </w:r>
      <w:r>
        <w:rPr>
          <w:rFonts w:eastAsia="Times New Roman"/>
        </w:rPr>
        <w:t xml:space="preserve"> </w:t>
      </w:r>
      <w:r w:rsidRPr="00A346FB">
        <w:rPr>
          <w:rFonts w:eastAsia="Times New Roman"/>
        </w:rPr>
        <w:t xml:space="preserve">SuperFriend’s </w:t>
      </w:r>
      <w:r w:rsidR="00AA6FB0">
        <w:rPr>
          <w:rFonts w:eastAsia="Times New Roman"/>
        </w:rPr>
        <w:t>Indictors of a Thriving Workplace survey and</w:t>
      </w:r>
      <w:r>
        <w:rPr>
          <w:rFonts w:eastAsia="Times New Roman"/>
        </w:rPr>
        <w:t xml:space="preserve"> report </w:t>
      </w:r>
      <w:r w:rsidRPr="005F6380">
        <w:rPr>
          <w:rFonts w:eastAsia="Times New Roman"/>
        </w:rPr>
        <w:t xml:space="preserve">identified eleven tangible ways that employers can improve worker wellbeing (Figure </w:t>
      </w:r>
      <w:r w:rsidR="00AA6FB0">
        <w:rPr>
          <w:rFonts w:eastAsia="Times New Roman"/>
        </w:rPr>
        <w:t>5</w:t>
      </w:r>
      <w:r w:rsidRPr="005F6380">
        <w:rPr>
          <w:rFonts w:eastAsia="Times New Roman"/>
        </w:rPr>
        <w:t>).</w:t>
      </w:r>
      <w:r>
        <w:rPr>
          <w:rFonts w:eastAsia="Times New Roman"/>
          <w:b/>
          <w:bCs/>
        </w:rPr>
        <w:t xml:space="preserve"> </w:t>
      </w:r>
    </w:p>
    <w:tbl>
      <w:tblPr>
        <w:tblStyle w:val="TableGrid"/>
        <w:tblW w:w="0" w:type="auto"/>
        <w:tblLook w:val="04A0" w:firstRow="1" w:lastRow="0" w:firstColumn="1" w:lastColumn="0" w:noHBand="0" w:noVBand="1"/>
      </w:tblPr>
      <w:tblGrid>
        <w:gridCol w:w="9897"/>
      </w:tblGrid>
      <w:tr w:rsidR="00FE0BE4" w:rsidRPr="005F6380" w14:paraId="24D4AF97" w14:textId="77777777" w:rsidTr="004D226D">
        <w:tc>
          <w:tcPr>
            <w:tcW w:w="9907" w:type="dxa"/>
            <w:tcBorders>
              <w:top w:val="single" w:sz="8" w:space="0" w:color="1C5692"/>
              <w:left w:val="single" w:sz="8" w:space="0" w:color="1C5692"/>
              <w:bottom w:val="single" w:sz="8" w:space="0" w:color="1C5692"/>
              <w:right w:val="single" w:sz="8" w:space="0" w:color="1C5692"/>
            </w:tcBorders>
          </w:tcPr>
          <w:p w14:paraId="65714E60" w14:textId="77777777" w:rsidR="00FE0BE4" w:rsidRPr="009642B8" w:rsidRDefault="00FE0BE4" w:rsidP="004D226D">
            <w:pPr>
              <w:spacing w:after="200" w:line="276" w:lineRule="auto"/>
              <w:rPr>
                <w:color w:val="1C5692"/>
              </w:rPr>
            </w:pPr>
            <w:r w:rsidRPr="009642B8">
              <w:rPr>
                <w:color w:val="1C5692"/>
              </w:rPr>
              <w:t>11 Ways to Improve Worker Wellbeing</w:t>
            </w:r>
          </w:p>
          <w:p w14:paraId="46D89543" w14:textId="77777777" w:rsidR="00FE0BE4" w:rsidRPr="005F6380" w:rsidRDefault="00FE0BE4" w:rsidP="004D226D">
            <w:pPr>
              <w:pStyle w:val="ListNumber"/>
              <w:tabs>
                <w:tab w:val="clear" w:pos="284"/>
              </w:tabs>
              <w:spacing w:line="276" w:lineRule="auto"/>
              <w:ind w:left="592" w:hanging="567"/>
            </w:pPr>
            <w:r w:rsidRPr="005F6380">
              <w:rPr>
                <w:lang w:val="en-US"/>
              </w:rPr>
              <w:t>Actively provide professional development opportunities</w:t>
            </w:r>
          </w:p>
          <w:p w14:paraId="7DE303C0" w14:textId="77777777" w:rsidR="00FE0BE4" w:rsidRPr="005F6380" w:rsidRDefault="00FE0BE4" w:rsidP="004D226D">
            <w:pPr>
              <w:pStyle w:val="ListNumber"/>
              <w:tabs>
                <w:tab w:val="clear" w:pos="284"/>
              </w:tabs>
              <w:spacing w:line="276" w:lineRule="auto"/>
              <w:ind w:left="592" w:hanging="567"/>
            </w:pPr>
            <w:r w:rsidRPr="005F6380">
              <w:rPr>
                <w:lang w:val="en-US"/>
              </w:rPr>
              <w:t>Recognise people who do good work and reward them appropriately</w:t>
            </w:r>
          </w:p>
          <w:p w14:paraId="0913E9D8" w14:textId="77777777" w:rsidR="00FE0BE4" w:rsidRPr="005F6380" w:rsidRDefault="00FE0BE4" w:rsidP="004D226D">
            <w:pPr>
              <w:pStyle w:val="ListNumber"/>
              <w:tabs>
                <w:tab w:val="clear" w:pos="284"/>
              </w:tabs>
              <w:spacing w:line="276" w:lineRule="auto"/>
              <w:ind w:left="592" w:hanging="567"/>
            </w:pPr>
            <w:r w:rsidRPr="005F6380">
              <w:rPr>
                <w:lang w:val="en-US"/>
              </w:rPr>
              <w:t>Let people see the mental health policy, strategy or action plan in action</w:t>
            </w:r>
          </w:p>
          <w:p w14:paraId="5BFEB824" w14:textId="77777777" w:rsidR="00FE0BE4" w:rsidRPr="005F6380" w:rsidRDefault="00FE0BE4" w:rsidP="004D226D">
            <w:pPr>
              <w:pStyle w:val="ListNumber"/>
              <w:tabs>
                <w:tab w:val="clear" w:pos="284"/>
              </w:tabs>
              <w:spacing w:line="276" w:lineRule="auto"/>
              <w:ind w:left="592" w:hanging="567"/>
            </w:pPr>
            <w:r w:rsidRPr="005F6380">
              <w:rPr>
                <w:lang w:val="en-US"/>
              </w:rPr>
              <w:t>Implement effective policies and practices against workplace bullying and harassment</w:t>
            </w:r>
          </w:p>
          <w:p w14:paraId="55EB3184" w14:textId="77777777" w:rsidR="00FE0BE4" w:rsidRPr="005F6380" w:rsidRDefault="00FE0BE4" w:rsidP="004D226D">
            <w:pPr>
              <w:pStyle w:val="ListNumber"/>
              <w:tabs>
                <w:tab w:val="clear" w:pos="284"/>
              </w:tabs>
              <w:spacing w:line="276" w:lineRule="auto"/>
              <w:ind w:left="592" w:hanging="567"/>
            </w:pPr>
            <w:r w:rsidRPr="005F6380">
              <w:rPr>
                <w:lang w:val="en-US"/>
              </w:rPr>
              <w:t>Make it easy for everyone to access to confidential counselling or support services</w:t>
            </w:r>
          </w:p>
          <w:p w14:paraId="3AD77922" w14:textId="77777777" w:rsidR="00FE0BE4" w:rsidRPr="005F6380" w:rsidRDefault="00FE0BE4" w:rsidP="004D226D">
            <w:pPr>
              <w:pStyle w:val="ListNumber"/>
              <w:tabs>
                <w:tab w:val="clear" w:pos="284"/>
              </w:tabs>
              <w:spacing w:line="276" w:lineRule="auto"/>
              <w:ind w:left="592" w:hanging="567"/>
            </w:pPr>
            <w:r w:rsidRPr="005F6380">
              <w:rPr>
                <w:lang w:val="en-US"/>
              </w:rPr>
              <w:t>Develop good return to work policies and practices for people who have had time off work with mental health conditions</w:t>
            </w:r>
          </w:p>
          <w:p w14:paraId="774EE191" w14:textId="77777777" w:rsidR="00FE0BE4" w:rsidRPr="005F6380" w:rsidRDefault="00FE0BE4" w:rsidP="004D226D">
            <w:pPr>
              <w:pStyle w:val="ListNumber"/>
              <w:tabs>
                <w:tab w:val="clear" w:pos="284"/>
              </w:tabs>
              <w:spacing w:line="276" w:lineRule="auto"/>
              <w:ind w:left="592" w:hanging="567"/>
            </w:pPr>
            <w:r w:rsidRPr="005F6380">
              <w:rPr>
                <w:lang w:val="en-US"/>
              </w:rPr>
              <w:t>Make sure that all leaders regularly participate in mental health and wellbeing training by making it an organisation-wide policy</w:t>
            </w:r>
          </w:p>
          <w:p w14:paraId="28307E2D" w14:textId="77777777" w:rsidR="00FE0BE4" w:rsidRPr="005F6380" w:rsidRDefault="00FE0BE4" w:rsidP="004D226D">
            <w:pPr>
              <w:pStyle w:val="ListNumber"/>
              <w:tabs>
                <w:tab w:val="clear" w:pos="284"/>
              </w:tabs>
              <w:spacing w:line="276" w:lineRule="auto"/>
              <w:ind w:left="592" w:hanging="567"/>
            </w:pPr>
            <w:r w:rsidRPr="005F6380">
              <w:rPr>
                <w:lang w:val="en-US"/>
              </w:rPr>
              <w:t>Put clear structures in place so that decision- making is transparent</w:t>
            </w:r>
          </w:p>
          <w:p w14:paraId="6765399F" w14:textId="77777777" w:rsidR="00FE0BE4" w:rsidRPr="005F6380" w:rsidRDefault="00FE0BE4" w:rsidP="004D226D">
            <w:pPr>
              <w:pStyle w:val="ListNumber"/>
              <w:tabs>
                <w:tab w:val="clear" w:pos="284"/>
              </w:tabs>
              <w:spacing w:line="276" w:lineRule="auto"/>
              <w:ind w:left="592" w:hanging="567"/>
            </w:pPr>
            <w:r w:rsidRPr="005F6380">
              <w:rPr>
                <w:lang w:val="en-US"/>
              </w:rPr>
              <w:t>Develop policies to ensure that changes are managed in clear, supportive and positive ways</w:t>
            </w:r>
          </w:p>
          <w:p w14:paraId="31606839" w14:textId="77777777" w:rsidR="00FE0BE4" w:rsidRPr="005F6380" w:rsidRDefault="00FE0BE4" w:rsidP="004D226D">
            <w:pPr>
              <w:pStyle w:val="ListNumber"/>
              <w:tabs>
                <w:tab w:val="clear" w:pos="284"/>
              </w:tabs>
              <w:spacing w:line="276" w:lineRule="auto"/>
              <w:ind w:left="592" w:hanging="567"/>
            </w:pPr>
            <w:r w:rsidRPr="005F6380">
              <w:rPr>
                <w:lang w:val="en-US"/>
              </w:rPr>
              <w:t>Provide access to mental health and wellbeing education (i.e. information, training)</w:t>
            </w:r>
          </w:p>
          <w:p w14:paraId="5A8B15EB" w14:textId="77777777" w:rsidR="00FE0BE4" w:rsidRPr="005F6380" w:rsidRDefault="00FE0BE4" w:rsidP="004D226D">
            <w:pPr>
              <w:pStyle w:val="ListNumber"/>
              <w:tabs>
                <w:tab w:val="clear" w:pos="284"/>
              </w:tabs>
              <w:spacing w:line="276" w:lineRule="auto"/>
              <w:ind w:left="592" w:hanging="567"/>
            </w:pPr>
            <w:r w:rsidRPr="005F6380">
              <w:rPr>
                <w:lang w:val="en-US"/>
              </w:rPr>
              <w:t>Help people to practice good work/family/life integration</w:t>
            </w:r>
          </w:p>
        </w:tc>
      </w:tr>
    </w:tbl>
    <w:p w14:paraId="0E60F7D2" w14:textId="27E4F479" w:rsidR="00FE0BE4" w:rsidRPr="009F468B" w:rsidRDefault="00FE0BE4" w:rsidP="00FE0BE4">
      <w:pPr>
        <w:spacing w:after="200" w:line="276" w:lineRule="auto"/>
        <w:rPr>
          <w:rFonts w:eastAsia="Times New Roman"/>
          <w:sz w:val="18"/>
          <w:szCs w:val="18"/>
        </w:rPr>
      </w:pPr>
      <w:r w:rsidRPr="009F468B">
        <w:rPr>
          <w:rFonts w:eastAsia="Times New Roman"/>
          <w:sz w:val="18"/>
          <w:szCs w:val="18"/>
        </w:rPr>
        <w:t>Figure</w:t>
      </w:r>
      <w:r>
        <w:rPr>
          <w:rFonts w:eastAsia="Times New Roman"/>
          <w:sz w:val="18"/>
          <w:szCs w:val="18"/>
        </w:rPr>
        <w:t xml:space="preserve"> </w:t>
      </w:r>
      <w:r w:rsidR="00AA6FB0">
        <w:rPr>
          <w:rFonts w:eastAsia="Times New Roman"/>
          <w:sz w:val="18"/>
          <w:szCs w:val="18"/>
        </w:rPr>
        <w:t>5</w:t>
      </w:r>
      <w:r w:rsidRPr="009F468B">
        <w:rPr>
          <w:rFonts w:eastAsia="Times New Roman"/>
          <w:sz w:val="18"/>
          <w:szCs w:val="18"/>
        </w:rPr>
        <w:t>. 11 Ways to improve worker wellbeing</w:t>
      </w:r>
    </w:p>
    <w:p w14:paraId="390FDD1A" w14:textId="09A82BCB" w:rsidR="00FE0BE4" w:rsidRDefault="00FE0BE4" w:rsidP="00316CE9">
      <w:pPr>
        <w:spacing w:after="240" w:line="276" w:lineRule="auto"/>
        <w:rPr>
          <w:rFonts w:eastAsia="Times New Roman"/>
        </w:rPr>
      </w:pPr>
      <w:r w:rsidRPr="00A346FB">
        <w:rPr>
          <w:rFonts w:eastAsia="Times New Roman"/>
        </w:rPr>
        <w:t>These activities</w:t>
      </w:r>
      <w:r>
        <w:rPr>
          <w:rFonts w:eastAsia="Times New Roman"/>
        </w:rPr>
        <w:t>,</w:t>
      </w:r>
      <w:r w:rsidRPr="00A346FB">
        <w:rPr>
          <w:rFonts w:eastAsia="Times New Roman"/>
        </w:rPr>
        <w:t xml:space="preserve"> based on 40 scientifically validated indicators</w:t>
      </w:r>
      <w:r>
        <w:rPr>
          <w:rFonts w:eastAsia="Times New Roman"/>
        </w:rPr>
        <w:t>,</w:t>
      </w:r>
      <w:r w:rsidRPr="00A346FB">
        <w:rPr>
          <w:rFonts w:eastAsia="Times New Roman"/>
        </w:rPr>
        <w:t xml:space="preserve"> </w:t>
      </w:r>
      <w:r>
        <w:rPr>
          <w:rFonts w:eastAsia="Times New Roman"/>
        </w:rPr>
        <w:t xml:space="preserve">are </w:t>
      </w:r>
      <w:r w:rsidRPr="00A346FB">
        <w:rPr>
          <w:rFonts w:eastAsia="Times New Roman"/>
        </w:rPr>
        <w:t xml:space="preserve">shown to improve worker wellbeing. </w:t>
      </w:r>
      <w:r w:rsidRPr="000614DE">
        <w:t xml:space="preserve">One of the most compelling results from the ITW </w:t>
      </w:r>
      <w:r>
        <w:t>report</w:t>
      </w:r>
      <w:r w:rsidRPr="009642B8">
        <w:t xml:space="preserve"> is that more than half of Australian workers (56.8%) don’t believe their workplace has committed to </w:t>
      </w:r>
      <w:r w:rsidRPr="009642B8">
        <w:rPr>
          <w:u w:val="single"/>
        </w:rPr>
        <w:t>any</w:t>
      </w:r>
      <w:r w:rsidRPr="000614DE">
        <w:t xml:space="preserve"> actions</w:t>
      </w:r>
      <w:r>
        <w:t>. Further analysis shows</w:t>
      </w:r>
      <w:r w:rsidRPr="000614DE">
        <w:t xml:space="preserve"> </w:t>
      </w:r>
      <w:r w:rsidRPr="009642B8">
        <w:rPr>
          <w:rFonts w:cs="Arial"/>
          <w:iCs/>
        </w:rPr>
        <w:t xml:space="preserve">26% are doing 1-3, 11% are doing 4-7 and </w:t>
      </w:r>
      <w:r>
        <w:rPr>
          <w:rFonts w:cs="Arial"/>
          <w:iCs/>
        </w:rPr>
        <w:t>o</w:t>
      </w:r>
      <w:r w:rsidRPr="000614DE">
        <w:rPr>
          <w:rFonts w:cs="Arial"/>
          <w:iCs/>
        </w:rPr>
        <w:t xml:space="preserve">nly 6.3% are doing 8 or more actions. </w:t>
      </w:r>
      <w:r w:rsidRPr="009642B8">
        <w:rPr>
          <w:rFonts w:eastAsia="Times New Roman"/>
        </w:rPr>
        <w:t xml:space="preserve">Implementing </w:t>
      </w:r>
      <w:r w:rsidRPr="009642B8">
        <w:rPr>
          <w:rFonts w:eastAsia="Times New Roman"/>
          <w:u w:val="single"/>
        </w:rPr>
        <w:t>even one of these actions can make a huge difference to worker mental health</w:t>
      </w:r>
      <w:r w:rsidR="00316CE9">
        <w:rPr>
          <w:rFonts w:eastAsia="Times New Roman"/>
          <w:u w:val="single"/>
        </w:rPr>
        <w:t>.</w:t>
      </w:r>
    </w:p>
    <w:p w14:paraId="359BA2A9" w14:textId="2F09DF55" w:rsidR="00FE0BE4" w:rsidRPr="005F6380" w:rsidRDefault="00FE0BE4" w:rsidP="00FE0BE4">
      <w:pPr>
        <w:pStyle w:val="ListBullet"/>
        <w:numPr>
          <w:ilvl w:val="0"/>
          <w:numId w:val="0"/>
        </w:numPr>
        <w:spacing w:after="200" w:line="276" w:lineRule="auto"/>
        <w:rPr>
          <w:rFonts w:eastAsia="Times New Roman"/>
        </w:rPr>
      </w:pPr>
      <w:r w:rsidRPr="005F6380">
        <w:t>The more actions th</w:t>
      </w:r>
      <w:r>
        <w:t>e</w:t>
      </w:r>
      <w:r w:rsidRPr="005F6380">
        <w:t xml:space="preserve"> workplace implement</w:t>
      </w:r>
      <w:r>
        <w:t>s</w:t>
      </w:r>
      <w:r w:rsidRPr="005F6380">
        <w:t xml:space="preserve">, the less common it is for their people to attribute their mental ill health to work. </w:t>
      </w:r>
      <w:r w:rsidRPr="005F6380">
        <w:rPr>
          <w:rFonts w:eastAsia="Times New Roman"/>
        </w:rPr>
        <w:t xml:space="preserve">The majority (63.4%) of people who believe their </w:t>
      </w:r>
      <w:r w:rsidRPr="005F6380">
        <w:rPr>
          <w:rFonts w:eastAsia="Times New Roman"/>
        </w:rPr>
        <w:lastRenderedPageBreak/>
        <w:t>workplace contributed to their mental health condition work in organisations that haven’t implemented any actions.</w:t>
      </w:r>
    </w:p>
    <w:p w14:paraId="2EBC03DD" w14:textId="77777777" w:rsidR="00FE0BE4" w:rsidRDefault="00FE0BE4" w:rsidP="00FE0BE4">
      <w:pPr>
        <w:pStyle w:val="ListBullet"/>
        <w:numPr>
          <w:ilvl w:val="0"/>
          <w:numId w:val="0"/>
        </w:numPr>
        <w:spacing w:after="200" w:line="276" w:lineRule="auto"/>
        <w:rPr>
          <w:rFonts w:eastAsia="Times New Roman"/>
        </w:rPr>
      </w:pPr>
      <w:r>
        <w:rPr>
          <w:rFonts w:eastAsia="Times New Roman"/>
        </w:rPr>
        <w:t xml:space="preserve">The evidence base for effective preventative workplace strategies is strong. </w:t>
      </w:r>
      <w:r w:rsidRPr="00A346FB">
        <w:rPr>
          <w:rFonts w:eastAsia="Times New Roman"/>
        </w:rPr>
        <w:t xml:space="preserve"> </w:t>
      </w:r>
      <w:r>
        <w:rPr>
          <w:rFonts w:eastAsia="Times New Roman"/>
        </w:rPr>
        <w:t>A rep</w:t>
      </w:r>
      <w:r w:rsidRPr="00A346FB">
        <w:rPr>
          <w:rFonts w:eastAsia="Times New Roman"/>
        </w:rPr>
        <w:t>ort commissioned by the Mentally Healthy Workplace Alliance</w:t>
      </w:r>
      <w:r>
        <w:rPr>
          <w:rStyle w:val="EndnoteReference"/>
          <w:rFonts w:eastAsia="Times New Roman"/>
        </w:rPr>
        <w:endnoteReference w:id="16"/>
      </w:r>
      <w:r w:rsidRPr="00A346FB">
        <w:rPr>
          <w:rFonts w:eastAsia="Times New Roman"/>
        </w:rPr>
        <w:t xml:space="preserve"> </w:t>
      </w:r>
      <w:r>
        <w:rPr>
          <w:rFonts w:eastAsia="Times New Roman"/>
        </w:rPr>
        <w:t xml:space="preserve">outlined </w:t>
      </w:r>
      <w:r w:rsidRPr="00A346FB">
        <w:rPr>
          <w:rFonts w:eastAsia="Times New Roman"/>
        </w:rPr>
        <w:t>several evidence based</w:t>
      </w:r>
      <w:r>
        <w:rPr>
          <w:rFonts w:eastAsia="Times New Roman"/>
        </w:rPr>
        <w:t>/</w:t>
      </w:r>
      <w:r w:rsidRPr="00A346FB">
        <w:rPr>
          <w:rFonts w:eastAsia="Times New Roman"/>
        </w:rPr>
        <w:t xml:space="preserve">informed strategies </w:t>
      </w:r>
      <w:r>
        <w:rPr>
          <w:rFonts w:eastAsia="Times New Roman"/>
        </w:rPr>
        <w:t>for the workplace</w:t>
      </w:r>
      <w:r w:rsidRPr="00A346FB">
        <w:rPr>
          <w:rFonts w:eastAsia="Times New Roman"/>
        </w:rPr>
        <w:t xml:space="preserve">: </w:t>
      </w:r>
    </w:p>
    <w:p w14:paraId="7DED0049" w14:textId="77777777" w:rsidR="00FE0BE4" w:rsidRDefault="00FE0BE4" w:rsidP="007F1FDE">
      <w:pPr>
        <w:pStyle w:val="List"/>
        <w:numPr>
          <w:ilvl w:val="0"/>
          <w:numId w:val="18"/>
        </w:numPr>
        <w:spacing w:after="200" w:line="280" w:lineRule="exact"/>
      </w:pPr>
      <w:r>
        <w:t>d</w:t>
      </w:r>
      <w:r w:rsidRPr="00A346FB">
        <w:t xml:space="preserve">esigning and managing work to minimise harm (encouraging flexible work and employee participation) </w:t>
      </w:r>
    </w:p>
    <w:p w14:paraId="0830E9E8" w14:textId="77777777" w:rsidR="00FE0BE4" w:rsidRDefault="00FE0BE4" w:rsidP="007F1FDE">
      <w:pPr>
        <w:pStyle w:val="List"/>
        <w:numPr>
          <w:ilvl w:val="0"/>
          <w:numId w:val="18"/>
        </w:numPr>
        <w:spacing w:after="200" w:line="280" w:lineRule="exact"/>
      </w:pPr>
      <w:r w:rsidRPr="00A346FB">
        <w:t>promoting protective factors at an organisational level to maximise resilience (providing manager and leadership training)</w:t>
      </w:r>
    </w:p>
    <w:p w14:paraId="578A26A5" w14:textId="77777777" w:rsidR="00FE0BE4" w:rsidRDefault="00FE0BE4" w:rsidP="007F1FDE">
      <w:pPr>
        <w:pStyle w:val="List"/>
        <w:numPr>
          <w:ilvl w:val="0"/>
          <w:numId w:val="18"/>
        </w:numPr>
        <w:spacing w:after="200" w:line="280" w:lineRule="exact"/>
      </w:pPr>
      <w:r w:rsidRPr="00A346FB">
        <w:t>promoting and facilitating early help seeking (CBT based stress management/resilience training, resilience training for high risk occupations, coaching and mentoring and worksite physical activity programs)</w:t>
      </w:r>
      <w:r>
        <w:t xml:space="preserve"> and</w:t>
      </w:r>
    </w:p>
    <w:p w14:paraId="69F97F13" w14:textId="77777777" w:rsidR="00FE0BE4" w:rsidRDefault="00FE0BE4" w:rsidP="007F1FDE">
      <w:pPr>
        <w:pStyle w:val="List"/>
        <w:numPr>
          <w:ilvl w:val="0"/>
          <w:numId w:val="18"/>
        </w:numPr>
        <w:spacing w:after="200" w:line="280" w:lineRule="exact"/>
      </w:pPr>
      <w:r w:rsidRPr="00A346FB">
        <w:t xml:space="preserve">supporting workers recovery from mental illness and increasing awareness of mental illness and reducing stigma. </w:t>
      </w:r>
    </w:p>
    <w:p w14:paraId="31414B76" w14:textId="77777777" w:rsidR="00C2695A" w:rsidRPr="009642B8" w:rsidRDefault="00C2695A" w:rsidP="00AA6FB0">
      <w:pPr>
        <w:pStyle w:val="Heading4"/>
      </w:pPr>
      <w:r>
        <w:t>W</w:t>
      </w:r>
      <w:r w:rsidRPr="009642B8">
        <w:t>orkplace Stress</w:t>
      </w:r>
    </w:p>
    <w:p w14:paraId="30F8B919" w14:textId="51DFD502" w:rsidR="00C2695A" w:rsidRPr="009642B8" w:rsidRDefault="00C2695A" w:rsidP="00C2695A">
      <w:pPr>
        <w:spacing w:after="200" w:line="276" w:lineRule="auto"/>
        <w:rPr>
          <w:rFonts w:eastAsia="Times New Roman"/>
        </w:rPr>
      </w:pPr>
      <w:r w:rsidRPr="009642B8">
        <w:rPr>
          <w:noProof/>
          <w:highlight w:val="yellow"/>
          <w:lang w:eastAsia="en-AU"/>
        </w:rPr>
        <w:drawing>
          <wp:anchor distT="0" distB="0" distL="114300" distR="114300" simplePos="0" relativeHeight="251685888" behindDoc="0" locked="0" layoutInCell="1" allowOverlap="1" wp14:anchorId="70651F96" wp14:editId="5F1162ED">
            <wp:simplePos x="0" y="0"/>
            <wp:positionH relativeFrom="page">
              <wp:posOffset>770890</wp:posOffset>
            </wp:positionH>
            <wp:positionV relativeFrom="paragraph">
              <wp:posOffset>838835</wp:posOffset>
            </wp:positionV>
            <wp:extent cx="6268085" cy="349821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834" t="19461" r="24925" b="15397"/>
                    <a:stretch/>
                  </pic:blipFill>
                  <pic:spPr bwMode="auto">
                    <a:xfrm>
                      <a:off x="0" y="0"/>
                      <a:ext cx="6268085" cy="349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rPr>
        <w:t xml:space="preserve">SuperFriend’s </w:t>
      </w:r>
      <w:r w:rsidR="00AA6FB0">
        <w:rPr>
          <w:rFonts w:eastAsia="Times New Roman"/>
        </w:rPr>
        <w:t xml:space="preserve">2019 </w:t>
      </w:r>
      <w:r>
        <w:rPr>
          <w:rFonts w:eastAsia="Times New Roman"/>
        </w:rPr>
        <w:t>Indicators of the Thriving Workplace</w:t>
      </w:r>
      <w:r w:rsidRPr="00A346FB">
        <w:rPr>
          <w:rFonts w:eastAsia="Times New Roman"/>
        </w:rPr>
        <w:t xml:space="preserve"> </w:t>
      </w:r>
      <w:r>
        <w:rPr>
          <w:rFonts w:eastAsia="Times New Roman"/>
        </w:rPr>
        <w:t xml:space="preserve">report </w:t>
      </w:r>
      <w:r w:rsidRPr="00A346FB">
        <w:rPr>
          <w:rFonts w:eastAsia="Times New Roman"/>
        </w:rPr>
        <w:t xml:space="preserve">featured a special focus on stress. Workload and deadlines are the two biggest stressors across the nation, affecting </w:t>
      </w:r>
      <w:r>
        <w:rPr>
          <w:rFonts w:eastAsia="Times New Roman"/>
        </w:rPr>
        <w:t>one</w:t>
      </w:r>
      <w:r w:rsidRPr="00A346FB">
        <w:rPr>
          <w:rFonts w:eastAsia="Times New Roman"/>
        </w:rPr>
        <w:t xml:space="preserve"> in </w:t>
      </w:r>
      <w:r>
        <w:rPr>
          <w:rFonts w:eastAsia="Times New Roman"/>
        </w:rPr>
        <w:t>five</w:t>
      </w:r>
      <w:r w:rsidRPr="00A346FB">
        <w:rPr>
          <w:rFonts w:eastAsia="Times New Roman"/>
        </w:rPr>
        <w:t xml:space="preserve"> workers. Workers who are stressed on a regular basis are leaving their jobs.</w:t>
      </w:r>
      <w:r>
        <w:rPr>
          <w:rFonts w:eastAsia="Times New Roman"/>
        </w:rPr>
        <w:t xml:space="preserve"> Figure</w:t>
      </w:r>
      <w:r w:rsidRPr="007D4F80">
        <w:rPr>
          <w:rFonts w:eastAsia="Times New Roman"/>
        </w:rPr>
        <w:t xml:space="preserve"> </w:t>
      </w:r>
      <w:r w:rsidR="00AA6FB0">
        <w:rPr>
          <w:rFonts w:eastAsia="Times New Roman"/>
        </w:rPr>
        <w:t>6</w:t>
      </w:r>
      <w:r w:rsidRPr="007D4F80">
        <w:rPr>
          <w:rFonts w:eastAsia="Times New Roman"/>
        </w:rPr>
        <w:t xml:space="preserve"> outlines stress levels of current jobs and the frequency of stress occurring.</w:t>
      </w:r>
    </w:p>
    <w:p w14:paraId="50E1B5A5" w14:textId="06B682E7" w:rsidR="00C2695A" w:rsidRPr="009F468B" w:rsidRDefault="00C2695A" w:rsidP="00AA6FB0">
      <w:pPr>
        <w:spacing w:line="276" w:lineRule="auto"/>
        <w:ind w:firstLine="284"/>
        <w:rPr>
          <w:rFonts w:eastAsia="Times New Roman"/>
          <w:sz w:val="18"/>
          <w:szCs w:val="18"/>
        </w:rPr>
      </w:pPr>
      <w:r w:rsidRPr="009642B8">
        <w:rPr>
          <w:rFonts w:eastAsia="Times New Roman"/>
          <w:sz w:val="18"/>
          <w:szCs w:val="18"/>
        </w:rPr>
        <w:t xml:space="preserve">Figure </w:t>
      </w:r>
      <w:r w:rsidR="00AA6FB0">
        <w:rPr>
          <w:rFonts w:eastAsia="Times New Roman"/>
          <w:sz w:val="18"/>
          <w:szCs w:val="18"/>
        </w:rPr>
        <w:t>6</w:t>
      </w:r>
      <w:r w:rsidRPr="009642B8">
        <w:rPr>
          <w:rFonts w:eastAsia="Times New Roman"/>
          <w:sz w:val="18"/>
          <w:szCs w:val="18"/>
        </w:rPr>
        <w:t>. Stress Levels</w:t>
      </w:r>
      <w:r w:rsidR="00AA6FB0">
        <w:rPr>
          <w:rFonts w:eastAsia="Times New Roman"/>
          <w:sz w:val="18"/>
          <w:szCs w:val="18"/>
        </w:rPr>
        <w:t xml:space="preserve"> of Australian Workers, 2019.</w:t>
      </w:r>
    </w:p>
    <w:p w14:paraId="51B62981" w14:textId="77777777" w:rsidR="00AA6FB0" w:rsidRDefault="00AA6FB0" w:rsidP="00C2695A">
      <w:pPr>
        <w:pStyle w:val="NormalWeb"/>
        <w:spacing w:before="0" w:beforeAutospacing="0" w:after="200" w:afterAutospacing="0" w:line="276" w:lineRule="auto"/>
        <w:rPr>
          <w:rFonts w:asciiTheme="minorHAnsi" w:eastAsiaTheme="minorEastAsia" w:hAnsi="Calibri" w:cstheme="minorBidi"/>
          <w:kern w:val="24"/>
          <w:sz w:val="22"/>
          <w:szCs w:val="22"/>
        </w:rPr>
      </w:pPr>
    </w:p>
    <w:p w14:paraId="7E02524E" w14:textId="0981C02D" w:rsidR="00C2695A" w:rsidRPr="00A226AF" w:rsidRDefault="00C2695A" w:rsidP="00C2695A">
      <w:pPr>
        <w:pStyle w:val="NormalWeb"/>
        <w:spacing w:before="0" w:beforeAutospacing="0" w:after="200" w:afterAutospacing="0" w:line="276" w:lineRule="auto"/>
        <w:rPr>
          <w:sz w:val="22"/>
          <w:szCs w:val="22"/>
        </w:rPr>
      </w:pPr>
      <w:r w:rsidRPr="00A226AF">
        <w:rPr>
          <w:rFonts w:asciiTheme="minorHAnsi" w:eastAsiaTheme="minorEastAsia" w:hAnsi="Calibri" w:cstheme="minorBidi"/>
          <w:kern w:val="24"/>
          <w:sz w:val="22"/>
          <w:szCs w:val="22"/>
        </w:rPr>
        <w:lastRenderedPageBreak/>
        <w:t xml:space="preserve">Workload and deadlines are the two biggest stressors across the nation, affecting approximately </w:t>
      </w:r>
      <w:r>
        <w:rPr>
          <w:rFonts w:asciiTheme="minorHAnsi" w:eastAsiaTheme="minorEastAsia" w:hAnsi="Calibri" w:cstheme="minorBidi"/>
          <w:kern w:val="24"/>
          <w:sz w:val="22"/>
          <w:szCs w:val="22"/>
        </w:rPr>
        <w:t>one</w:t>
      </w:r>
      <w:r w:rsidRPr="00A226AF">
        <w:rPr>
          <w:rFonts w:asciiTheme="minorHAnsi" w:eastAsiaTheme="minorEastAsia" w:hAnsi="Calibri" w:cstheme="minorBidi"/>
          <w:kern w:val="24"/>
          <w:sz w:val="22"/>
          <w:szCs w:val="22"/>
        </w:rPr>
        <w:t xml:space="preserve"> in </w:t>
      </w:r>
      <w:r>
        <w:rPr>
          <w:rFonts w:asciiTheme="minorHAnsi" w:eastAsiaTheme="minorEastAsia" w:hAnsi="Calibri" w:cstheme="minorBidi"/>
          <w:kern w:val="24"/>
          <w:sz w:val="22"/>
          <w:szCs w:val="22"/>
        </w:rPr>
        <w:t>five</w:t>
      </w:r>
      <w:r w:rsidRPr="00A226AF">
        <w:rPr>
          <w:rFonts w:asciiTheme="minorHAnsi" w:eastAsiaTheme="minorEastAsia" w:hAnsi="Calibri" w:cstheme="minorBidi"/>
          <w:kern w:val="24"/>
          <w:sz w:val="22"/>
          <w:szCs w:val="22"/>
        </w:rPr>
        <w:t xml:space="preserve"> people</w:t>
      </w:r>
      <w:r>
        <w:rPr>
          <w:rFonts w:asciiTheme="minorHAnsi" w:eastAsiaTheme="minorEastAsia" w:hAnsi="Calibri" w:cstheme="minorBidi"/>
          <w:kern w:val="24"/>
          <w:sz w:val="22"/>
          <w:szCs w:val="22"/>
        </w:rPr>
        <w:t>. However, w</w:t>
      </w:r>
      <w:r w:rsidRPr="00A226AF">
        <w:rPr>
          <w:rFonts w:asciiTheme="minorHAnsi" w:eastAsiaTheme="minorEastAsia" w:hAnsi="Calibri" w:cstheme="minorBidi"/>
          <w:kern w:val="24"/>
          <w:sz w:val="22"/>
          <w:szCs w:val="22"/>
        </w:rPr>
        <w:t>orkers in people-facing roles like education, retail, health</w:t>
      </w:r>
      <w:r>
        <w:rPr>
          <w:rFonts w:asciiTheme="minorHAnsi" w:eastAsiaTheme="minorEastAsia" w:hAnsi="Calibri" w:cstheme="minorBidi"/>
          <w:kern w:val="24"/>
          <w:sz w:val="22"/>
          <w:szCs w:val="22"/>
        </w:rPr>
        <w:t>,</w:t>
      </w:r>
      <w:r w:rsidRPr="00A226AF">
        <w:rPr>
          <w:rFonts w:asciiTheme="minorHAnsi" w:eastAsiaTheme="minorEastAsia" w:hAnsi="Calibri" w:cstheme="minorBidi"/>
          <w:kern w:val="24"/>
          <w:sz w:val="22"/>
          <w:szCs w:val="22"/>
        </w:rPr>
        <w:t xml:space="preserve"> and hospitality find customers and clients </w:t>
      </w:r>
      <w:r>
        <w:rPr>
          <w:rFonts w:asciiTheme="minorHAnsi" w:eastAsiaTheme="minorEastAsia" w:hAnsi="Calibri" w:cstheme="minorBidi"/>
          <w:kern w:val="24"/>
          <w:sz w:val="22"/>
          <w:szCs w:val="22"/>
        </w:rPr>
        <w:t>cause more stress,</w:t>
      </w:r>
      <w:r w:rsidRPr="00A226AF">
        <w:rPr>
          <w:rFonts w:asciiTheme="minorHAnsi" w:eastAsiaTheme="minorEastAsia" w:hAnsi="Calibri" w:cstheme="minorBidi"/>
          <w:kern w:val="24"/>
          <w:sz w:val="22"/>
          <w:szCs w:val="22"/>
        </w:rPr>
        <w:t xml:space="preserve"> than deadlines. Public sector workers tend to feel more stressed by management issues than by deadlines.</w:t>
      </w:r>
    </w:p>
    <w:p w14:paraId="001D2FF3" w14:textId="5A33A484" w:rsidR="00AA6FB0" w:rsidRDefault="00AA6FB0" w:rsidP="00AA6FB0">
      <w:pPr>
        <w:pStyle w:val="Heading4"/>
      </w:pPr>
      <w:r>
        <w:t>Retention of workers</w:t>
      </w:r>
    </w:p>
    <w:p w14:paraId="3A1C7299" w14:textId="22C87AD6" w:rsidR="00C2695A" w:rsidRPr="00A346FB" w:rsidRDefault="00C2695A" w:rsidP="00C2695A">
      <w:pPr>
        <w:spacing w:after="200" w:line="276" w:lineRule="auto"/>
        <w:rPr>
          <w:rFonts w:eastAsia="Times New Roman"/>
        </w:rPr>
      </w:pPr>
      <w:r w:rsidRPr="00A346FB">
        <w:rPr>
          <w:rFonts w:eastAsia="Times New Roman"/>
        </w:rPr>
        <w:t xml:space="preserve">This year SuperFriend also observed a </w:t>
      </w:r>
      <w:r>
        <w:rPr>
          <w:rFonts w:eastAsia="Times New Roman"/>
        </w:rPr>
        <w:t>substantial and worrying</w:t>
      </w:r>
      <w:r w:rsidRPr="00A346FB">
        <w:rPr>
          <w:rFonts w:eastAsia="Times New Roman"/>
        </w:rPr>
        <w:t xml:space="preserve"> drop from 75.6% in 2018 to 65.5% in </w:t>
      </w:r>
      <w:r>
        <w:rPr>
          <w:rFonts w:eastAsia="Times New Roman"/>
        </w:rPr>
        <w:t xml:space="preserve">workers’ </w:t>
      </w:r>
      <w:r w:rsidRPr="00A346FB">
        <w:rPr>
          <w:rFonts w:eastAsia="Times New Roman"/>
        </w:rPr>
        <w:t>commitment to staying with their employer. Mentally healthy workplaces help to retain staff</w:t>
      </w:r>
      <w:r>
        <w:rPr>
          <w:rFonts w:eastAsia="Times New Roman"/>
        </w:rPr>
        <w:t>, which can be a substantial cost saving to employers (and the broader economy) including continuity of workforce productivity</w:t>
      </w:r>
      <w:r w:rsidRPr="00A346FB">
        <w:rPr>
          <w:rFonts w:eastAsia="Times New Roman"/>
        </w:rPr>
        <w:t xml:space="preserve">.  In thriving workplaces </w:t>
      </w:r>
      <w:r>
        <w:rPr>
          <w:rFonts w:eastAsia="Times New Roman"/>
        </w:rPr>
        <w:t>one</w:t>
      </w:r>
      <w:r w:rsidRPr="00A346FB">
        <w:rPr>
          <w:rFonts w:eastAsia="Times New Roman"/>
        </w:rPr>
        <w:t xml:space="preserve"> in </w:t>
      </w:r>
      <w:r>
        <w:rPr>
          <w:rFonts w:eastAsia="Times New Roman"/>
        </w:rPr>
        <w:t>five</w:t>
      </w:r>
      <w:r w:rsidRPr="00A346FB">
        <w:rPr>
          <w:rFonts w:eastAsia="Times New Roman"/>
        </w:rPr>
        <w:t xml:space="preserve"> people </w:t>
      </w:r>
      <w:r>
        <w:rPr>
          <w:rFonts w:eastAsia="Times New Roman"/>
        </w:rPr>
        <w:t>experience high levels of</w:t>
      </w:r>
      <w:r w:rsidRPr="00A346FB">
        <w:rPr>
          <w:rFonts w:eastAsia="Times New Roman"/>
        </w:rPr>
        <w:t xml:space="preserve"> stress each week, compared to </w:t>
      </w:r>
      <w:r>
        <w:rPr>
          <w:rFonts w:eastAsia="Times New Roman"/>
        </w:rPr>
        <w:t>one</w:t>
      </w:r>
      <w:r w:rsidRPr="00A346FB">
        <w:rPr>
          <w:rFonts w:eastAsia="Times New Roman"/>
        </w:rPr>
        <w:t xml:space="preserve"> in </w:t>
      </w:r>
      <w:r>
        <w:rPr>
          <w:rFonts w:eastAsia="Times New Roman"/>
        </w:rPr>
        <w:t>three</w:t>
      </w:r>
      <w:r w:rsidRPr="00A346FB">
        <w:rPr>
          <w:rFonts w:eastAsia="Times New Roman"/>
        </w:rPr>
        <w:t xml:space="preserve"> in workplaces </w:t>
      </w:r>
      <w:r>
        <w:rPr>
          <w:rFonts w:eastAsia="Times New Roman"/>
        </w:rPr>
        <w:t>which</w:t>
      </w:r>
      <w:r w:rsidRPr="00A346FB">
        <w:rPr>
          <w:rFonts w:eastAsia="Times New Roman"/>
        </w:rPr>
        <w:t xml:space="preserve"> are not thriving. We know </w:t>
      </w:r>
      <w:r>
        <w:rPr>
          <w:rFonts w:eastAsia="Times New Roman"/>
        </w:rPr>
        <w:t xml:space="preserve">that </w:t>
      </w:r>
      <w:r w:rsidRPr="00A346FB">
        <w:rPr>
          <w:rFonts w:eastAsia="Times New Roman"/>
        </w:rPr>
        <w:t>when people work in mentally healthy environments, they typically feel more valued and willing to contribute to the organisation.</w:t>
      </w:r>
    </w:p>
    <w:p w14:paraId="238CF4C4" w14:textId="77777777" w:rsidR="00FE0BE4" w:rsidRPr="009F468B" w:rsidRDefault="00FE0BE4" w:rsidP="00FE0BE4">
      <w:pPr>
        <w:pStyle w:val="List"/>
        <w:numPr>
          <w:ilvl w:val="0"/>
          <w:numId w:val="0"/>
        </w:numPr>
        <w:ind w:left="284"/>
      </w:pPr>
    </w:p>
    <w:p w14:paraId="598905FC" w14:textId="649D0508" w:rsidR="00981A3B" w:rsidRDefault="00C2695A">
      <w:pPr>
        <w:rPr>
          <w:b/>
          <w:bCs/>
          <w:iCs/>
          <w:color w:val="1C5692" w:themeColor="text2"/>
          <w:sz w:val="32"/>
          <w:szCs w:val="28"/>
        </w:rPr>
      </w:pPr>
      <w:r>
        <w:rPr>
          <w:b/>
          <w:bCs/>
          <w:iCs/>
          <w:color w:val="1C5692" w:themeColor="text2"/>
          <w:sz w:val="32"/>
          <w:szCs w:val="28"/>
        </w:rPr>
        <w:br w:type="page"/>
      </w:r>
    </w:p>
    <w:p w14:paraId="03E7DFE6" w14:textId="742577F3" w:rsidR="00B71AD5" w:rsidRDefault="00B71AD5" w:rsidP="009642B8">
      <w:pPr>
        <w:pStyle w:val="Heading1"/>
        <w:spacing w:before="0" w:after="200" w:line="276" w:lineRule="auto"/>
      </w:pPr>
      <w:bookmarkStart w:id="29" w:name="_Toc30689353"/>
      <w:r>
        <w:lastRenderedPageBreak/>
        <w:t>Reference</w:t>
      </w:r>
      <w:r w:rsidR="009C0D41">
        <w:t>s</w:t>
      </w:r>
      <w:bookmarkEnd w:id="29"/>
    </w:p>
    <w:sectPr w:rsidR="00B71AD5" w:rsidSect="006F6F62">
      <w:endnotePr>
        <w:numFmt w:val="decimal"/>
      </w:endnotePr>
      <w:pgSz w:w="11906" w:h="16838" w:code="9"/>
      <w:pgMar w:top="1980" w:right="849" w:bottom="1420" w:left="1140" w:header="567" w:footer="454" w:gutter="0"/>
      <w:pgNumType w:start="1"/>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3D92C" w14:textId="77777777" w:rsidR="0049402A" w:rsidRDefault="0049402A" w:rsidP="00473290">
      <w:r>
        <w:separator/>
      </w:r>
    </w:p>
  </w:endnote>
  <w:endnote w:type="continuationSeparator" w:id="0">
    <w:p w14:paraId="5A3D0E16" w14:textId="77777777" w:rsidR="0049402A" w:rsidRDefault="0049402A" w:rsidP="00473290">
      <w:r>
        <w:continuationSeparator/>
      </w:r>
    </w:p>
  </w:endnote>
  <w:endnote w:id="1">
    <w:p w14:paraId="5A9FB364" w14:textId="77777777" w:rsidR="00F01694" w:rsidRPr="00AC6E6E" w:rsidRDefault="00F01694" w:rsidP="00D82115">
      <w:pPr>
        <w:pStyle w:val="EndnoteText"/>
        <w:spacing w:before="40" w:after="40"/>
        <w:ind w:left="567" w:hanging="567"/>
      </w:pPr>
      <w:r w:rsidRPr="00AC6E6E">
        <w:rPr>
          <w:rStyle w:val="EndnoteReference"/>
        </w:rPr>
        <w:endnoteRef/>
      </w:r>
      <w:r w:rsidRPr="00AC6E6E">
        <w:t xml:space="preserve"> SuperFriend. Indicators of a Thriving Workplace Survey. Melbourne: SuperFriend; 2019, 3 – 29 </w:t>
      </w:r>
      <w:hyperlink r:id="rId1" w:history="1">
        <w:r w:rsidRPr="00AC6E6E">
          <w:rPr>
            <w:rStyle w:val="Hyperlink"/>
          </w:rPr>
          <w:t>https://www.superfriend.com.au/further-resources/2019-indicators-of-a-thriving-workplace-survey/</w:t>
        </w:r>
      </w:hyperlink>
    </w:p>
  </w:endnote>
  <w:endnote w:id="2">
    <w:p w14:paraId="469DABEA" w14:textId="77777777" w:rsidR="00F01694" w:rsidRPr="00AC6E6E" w:rsidRDefault="00F01694" w:rsidP="00222C99">
      <w:pPr>
        <w:pStyle w:val="EndnoteText"/>
        <w:ind w:left="567" w:hanging="567"/>
      </w:pPr>
      <w:r w:rsidRPr="00AC6E6E">
        <w:rPr>
          <w:rStyle w:val="EndnoteReference"/>
        </w:rPr>
        <w:endnoteRef/>
      </w:r>
      <w:r w:rsidRPr="00AC6E6E">
        <w:t xml:space="preserve">  SuperFriend. Building Thriving Workplaces: Guidelines and Actions: Melbourne: SuperFriend; 2018 </w:t>
      </w:r>
      <w:hyperlink r:id="rId2" w:history="1">
        <w:r w:rsidRPr="00AC6E6E">
          <w:rPr>
            <w:rStyle w:val="Hyperlink"/>
          </w:rPr>
          <w:t>https://www.superfriend.com.au/resources/building-thriving-workplaces/</w:t>
        </w:r>
      </w:hyperlink>
      <w:r w:rsidRPr="00AC6E6E">
        <w:t xml:space="preserve"> </w:t>
      </w:r>
    </w:p>
  </w:endnote>
  <w:endnote w:id="3">
    <w:p w14:paraId="3BB1F778" w14:textId="77777777" w:rsidR="00F01694" w:rsidRPr="00AC6E6E" w:rsidRDefault="00F01694" w:rsidP="00D82115">
      <w:pPr>
        <w:pStyle w:val="EndnoteText"/>
        <w:ind w:left="567" w:hanging="567"/>
      </w:pPr>
      <w:r w:rsidRPr="00AC6E6E">
        <w:rPr>
          <w:rStyle w:val="EndnoteReference"/>
        </w:rPr>
        <w:endnoteRef/>
      </w:r>
      <w:r w:rsidRPr="00AC6E6E">
        <w:t xml:space="preserve"> Financial Services Council. State of the industry, 2019 (internet). Sydney: Financial Services Council; 2019; 60p  (cited 2020 Jan 21) </w:t>
      </w:r>
      <w:hyperlink r:id="rId3" w:history="1">
        <w:r w:rsidRPr="00AC6E6E">
          <w:rPr>
            <w:rStyle w:val="Hyperlink"/>
            <w:color w:val="1C5692"/>
          </w:rPr>
          <w:t>https://www.fsc.org.au/resources/1826-fsc-state-of-the-industry-report-2019</w:t>
        </w:r>
      </w:hyperlink>
      <w:r w:rsidRPr="00AC6E6E">
        <w:rPr>
          <w:color w:val="1C5692"/>
        </w:rPr>
        <w:t xml:space="preserve"> </w:t>
      </w:r>
    </w:p>
  </w:endnote>
  <w:endnote w:id="4">
    <w:p w14:paraId="7B54A205" w14:textId="77777777" w:rsidR="00F01694" w:rsidRPr="00AC6E6E" w:rsidRDefault="00F01694" w:rsidP="00C77B04">
      <w:pPr>
        <w:pStyle w:val="EndnoteText"/>
        <w:spacing w:before="40" w:after="40"/>
        <w:ind w:left="567" w:hanging="567"/>
      </w:pPr>
      <w:r w:rsidRPr="00AC6E6E">
        <w:rPr>
          <w:rStyle w:val="EndnoteReference"/>
        </w:rPr>
        <w:endnoteRef/>
      </w:r>
      <w:r w:rsidRPr="00AC6E6E">
        <w:t xml:space="preserve"> Mendelson TT, Eaton WW. Recent advances in the prevention of mental disorders. Social Psychiatry and Psychiatric Epidemiology; 2018, 53(4), 325-339</w:t>
      </w:r>
    </w:p>
  </w:endnote>
  <w:endnote w:id="5">
    <w:p w14:paraId="78D8A2B5" w14:textId="77777777" w:rsidR="00F01694" w:rsidRPr="00AC6E6E" w:rsidRDefault="00F01694" w:rsidP="00C77B04">
      <w:pPr>
        <w:pStyle w:val="EndnoteText"/>
        <w:spacing w:before="40" w:after="40"/>
        <w:ind w:left="567" w:hanging="567"/>
      </w:pPr>
      <w:r w:rsidRPr="00AC6E6E">
        <w:rPr>
          <w:rStyle w:val="EndnoteReference"/>
        </w:rPr>
        <w:endnoteRef/>
      </w:r>
      <w:r w:rsidRPr="00AC6E6E">
        <w:t xml:space="preserve"> McDaid D, Park A. Investing in mental health and wellbeing: findings from the DataPrev project. Health Promotion International, 26 (Supp_1)i108-i139.doi: 10.1093/heapro/dar059; 2011</w:t>
      </w:r>
    </w:p>
  </w:endnote>
  <w:endnote w:id="6">
    <w:p w14:paraId="663B3018" w14:textId="77777777" w:rsidR="00F01694" w:rsidRPr="00AC6E6E" w:rsidRDefault="00F01694" w:rsidP="005140CC">
      <w:pPr>
        <w:pStyle w:val="EndnoteText"/>
        <w:ind w:left="567" w:hanging="567"/>
      </w:pPr>
      <w:r w:rsidRPr="00AC6E6E">
        <w:rPr>
          <w:rStyle w:val="EndnoteReference"/>
        </w:rPr>
        <w:endnoteRef/>
      </w:r>
      <w:r w:rsidRPr="00AC6E6E">
        <w:t xml:space="preserve">  SuperFriend. Building Thriving Workplaces: Guidelines and Actions: Melbourne: SuperFriend; 2018 </w:t>
      </w:r>
      <w:hyperlink r:id="rId4" w:history="1">
        <w:r w:rsidRPr="00AC6E6E">
          <w:rPr>
            <w:rStyle w:val="Hyperlink"/>
          </w:rPr>
          <w:t>https://www.superfriend.com.au/resources/building-thriving-workplaces/</w:t>
        </w:r>
      </w:hyperlink>
      <w:r w:rsidRPr="00AC6E6E">
        <w:t xml:space="preserve"> </w:t>
      </w:r>
    </w:p>
  </w:endnote>
  <w:endnote w:id="7">
    <w:p w14:paraId="1CC98FD1" w14:textId="77777777" w:rsidR="00F01694" w:rsidRPr="00AC6E6E" w:rsidRDefault="00F01694" w:rsidP="005140CC">
      <w:pPr>
        <w:pStyle w:val="EndnoteText"/>
        <w:spacing w:before="40" w:after="40"/>
        <w:ind w:left="567" w:hanging="567"/>
        <w:rPr>
          <w:rFonts w:cs="Calibri"/>
          <w:iCs/>
        </w:rPr>
      </w:pPr>
      <w:r w:rsidRPr="00AC6E6E">
        <w:rPr>
          <w:rStyle w:val="EndnoteReference"/>
        </w:rPr>
        <w:endnoteRef/>
      </w:r>
      <w:r w:rsidRPr="00AC6E6E">
        <w:t xml:space="preserve"> </w:t>
      </w:r>
      <w:r w:rsidRPr="00AC6E6E">
        <w:rPr>
          <w:rFonts w:eastAsia="Times New Roman" w:cs="Times New Roman"/>
        </w:rPr>
        <w:t xml:space="preserve">KPMG, commissioned by the Mentally Healthy Workplace Alliance and funded by Beyond Blue and SuperFriend. </w:t>
      </w:r>
      <w:r w:rsidRPr="00AC6E6E">
        <w:rPr>
          <w:rFonts w:eastAsia="Times New Roman" w:cs="Times New Roman"/>
          <w:iCs/>
          <w:lang w:val="en-US"/>
        </w:rPr>
        <w:t>National Workplace Mental Health Framework for Australia Discussion Paper; 2016</w:t>
      </w:r>
    </w:p>
  </w:endnote>
  <w:endnote w:id="8">
    <w:p w14:paraId="6C9F5B3F" w14:textId="77777777" w:rsidR="00F01694" w:rsidRPr="00AC6E6E" w:rsidRDefault="00F01694" w:rsidP="002008CB">
      <w:pPr>
        <w:pStyle w:val="EndnoteText"/>
        <w:spacing w:before="40" w:after="40"/>
        <w:ind w:left="567" w:hanging="567"/>
      </w:pPr>
      <w:r w:rsidRPr="00AC6E6E">
        <w:rPr>
          <w:rStyle w:val="EndnoteReference"/>
        </w:rPr>
        <w:endnoteRef/>
      </w:r>
      <w:r w:rsidRPr="00AC6E6E">
        <w:t xml:space="preserve"> SuperFriend. Indicators of a Thriving Workplace Survey. Melbourne: SuperFriend; 2019, 3 – 29 </w:t>
      </w:r>
      <w:hyperlink r:id="rId5" w:history="1">
        <w:r w:rsidRPr="00AC6E6E">
          <w:rPr>
            <w:rStyle w:val="Hyperlink"/>
          </w:rPr>
          <w:t>https://www.superfriend.com.au/further-resources/2019-indicators-of-a-thriving-workplace-survey/</w:t>
        </w:r>
      </w:hyperlink>
    </w:p>
  </w:endnote>
  <w:endnote w:id="9">
    <w:p w14:paraId="159CAFA9" w14:textId="77777777" w:rsidR="00F01694" w:rsidRPr="00AC6E6E" w:rsidRDefault="00F01694" w:rsidP="00C77B04">
      <w:pPr>
        <w:pStyle w:val="EndnoteText"/>
        <w:spacing w:before="40" w:after="40"/>
        <w:ind w:left="567" w:hanging="567"/>
      </w:pPr>
      <w:r w:rsidRPr="00AC6E6E">
        <w:rPr>
          <w:rStyle w:val="EndnoteReference"/>
        </w:rPr>
        <w:endnoteRef/>
      </w:r>
      <w:r w:rsidRPr="00AC6E6E">
        <w:t xml:space="preserve"> World Health Organisation Mental Health: strengthening our response (internet) 2014 (cited 2020 Jan 15). </w:t>
      </w:r>
      <w:hyperlink r:id="rId6" w:history="1">
        <w:r w:rsidRPr="00AC6E6E">
          <w:rPr>
            <w:rStyle w:val="Hyperlink"/>
          </w:rPr>
          <w:t>https://www.who.int/news-room/fact-sheets/detail/mental-health-strengthening-our-response</w:t>
        </w:r>
      </w:hyperlink>
    </w:p>
  </w:endnote>
  <w:endnote w:id="10">
    <w:p w14:paraId="5A45802D" w14:textId="77777777" w:rsidR="00F01694" w:rsidRPr="00AC6E6E" w:rsidRDefault="00F01694" w:rsidP="004D054D">
      <w:pPr>
        <w:pStyle w:val="EndnoteText"/>
        <w:ind w:left="567" w:hanging="567"/>
      </w:pPr>
      <w:r w:rsidRPr="00AC6E6E">
        <w:rPr>
          <w:rStyle w:val="EndnoteReference"/>
        </w:rPr>
        <w:endnoteRef/>
      </w:r>
      <w:r w:rsidRPr="00AC6E6E">
        <w:t xml:space="preserve"> Allianz sees a surge in secondary mental health conditions (internet). 6 March 2018 (Cited 2020 Jan 21) </w:t>
      </w:r>
      <w:r w:rsidRPr="00AC6E6E">
        <w:rPr>
          <w:color w:val="1C5692"/>
        </w:rPr>
        <w:t>https://www.allianz.com.au/media/news/2018/allianz-sees-a-surge-in-secondary-mental-health-conditions</w:t>
      </w:r>
    </w:p>
  </w:endnote>
  <w:endnote w:id="11">
    <w:p w14:paraId="588D3C3F" w14:textId="051119F0" w:rsidR="00F01694" w:rsidRPr="00AC6E6E" w:rsidRDefault="00F01694" w:rsidP="00C77B04">
      <w:pPr>
        <w:pStyle w:val="EndnoteText"/>
        <w:spacing w:before="40" w:after="40"/>
        <w:ind w:left="567" w:hanging="567"/>
        <w:jc w:val="both"/>
      </w:pPr>
      <w:r w:rsidRPr="00AC6E6E">
        <w:rPr>
          <w:rStyle w:val="EndnoteReference"/>
        </w:rPr>
        <w:endnoteRef/>
      </w:r>
      <w:r w:rsidRPr="00AC6E6E">
        <w:t xml:space="preserve"> University of Tasmania, Health and Wellbeing Network. An integrated approach to workplace mental health: Nine priorities for implementation in Australia. University of Tasmania; 2017. </w:t>
      </w:r>
    </w:p>
  </w:endnote>
  <w:endnote w:id="12">
    <w:p w14:paraId="020D5ED5" w14:textId="36B40429" w:rsidR="00F01694" w:rsidRPr="00AC6E6E" w:rsidRDefault="00F01694" w:rsidP="004022DC">
      <w:pPr>
        <w:pStyle w:val="EndnoteText"/>
        <w:spacing w:before="40" w:after="40"/>
        <w:ind w:left="567" w:hanging="567"/>
        <w:jc w:val="both"/>
        <w:rPr>
          <w:color w:val="1C5692"/>
        </w:rPr>
      </w:pPr>
      <w:r w:rsidRPr="00AC6E6E">
        <w:rPr>
          <w:rStyle w:val="EndnoteReference"/>
        </w:rPr>
        <w:endnoteRef/>
      </w:r>
      <w:r w:rsidRPr="00AC6E6E">
        <w:t xml:space="preserve"> Mentally Healthy Workplace Alliance., Developing a mentally healthy workplace:  A review of the literature. Sydney; 2014 (cited 2020 Jan 21) </w:t>
      </w:r>
      <w:hyperlink r:id="rId7" w:history="1">
        <w:r w:rsidRPr="00AC6E6E">
          <w:rPr>
            <w:rFonts w:ascii="Century Gothic" w:hAnsi="Century Gothic" w:cs="Calibri"/>
            <w:color w:val="1C5692"/>
            <w:u w:val="single"/>
          </w:rPr>
          <w:t>https://www.headsup.org.au/docs/default-source/resources/developing-a-mentally-healthy-workplace_final-november-2014.pdf?sfvrsn=8</w:t>
        </w:r>
      </w:hyperlink>
    </w:p>
    <w:p w14:paraId="1AD27101" w14:textId="77777777" w:rsidR="00F01694" w:rsidRPr="00A346FB" w:rsidRDefault="00F01694" w:rsidP="00AC6E6E">
      <w:pPr>
        <w:pStyle w:val="EndnoteText"/>
        <w:spacing w:before="40" w:after="40"/>
        <w:jc w:val="both"/>
        <w:rPr>
          <w:sz w:val="22"/>
          <w:szCs w:val="22"/>
        </w:rPr>
      </w:pPr>
    </w:p>
  </w:endnote>
  <w:endnote w:id="13">
    <w:p w14:paraId="3486A9AF" w14:textId="77777777" w:rsidR="00F01694" w:rsidRPr="00AC6E6E" w:rsidRDefault="00F01694" w:rsidP="00F346DD">
      <w:pPr>
        <w:pStyle w:val="EndnoteText"/>
        <w:spacing w:before="40" w:after="40"/>
        <w:ind w:left="567" w:hanging="567"/>
      </w:pPr>
      <w:r w:rsidRPr="00AC6E6E">
        <w:rPr>
          <w:rStyle w:val="EndnoteReference"/>
        </w:rPr>
        <w:endnoteRef/>
      </w:r>
      <w:r w:rsidRPr="00AC6E6E">
        <w:t xml:space="preserve"> Everymind. Prevention First: A Prevention and Promotion Framework for Mental Health. Version 2. NewCastle, Australia; 2017</w:t>
      </w:r>
    </w:p>
  </w:endnote>
  <w:endnote w:id="14">
    <w:p w14:paraId="2D286C80" w14:textId="77777777" w:rsidR="00F01694" w:rsidRPr="00AC6E6E" w:rsidRDefault="00F01694" w:rsidP="00F346DD">
      <w:pPr>
        <w:spacing w:before="40" w:after="40"/>
        <w:ind w:left="567" w:hanging="567"/>
        <w:rPr>
          <w:rFonts w:asciiTheme="minorHAnsi" w:eastAsia="Times New Roman" w:hAnsiTheme="minorHAnsi" w:cs="Arial"/>
          <w:sz w:val="20"/>
          <w:szCs w:val="20"/>
          <w:lang w:eastAsia="en-AU"/>
        </w:rPr>
      </w:pPr>
      <w:r w:rsidRPr="00AC6E6E">
        <w:rPr>
          <w:rStyle w:val="EndnoteReference"/>
          <w:rFonts w:asciiTheme="minorHAnsi" w:hAnsiTheme="minorHAnsi"/>
          <w:sz w:val="20"/>
          <w:szCs w:val="20"/>
        </w:rPr>
        <w:endnoteRef/>
      </w:r>
      <w:r w:rsidRPr="00AC6E6E">
        <w:rPr>
          <w:rFonts w:asciiTheme="minorHAnsi" w:hAnsiTheme="minorHAnsi"/>
          <w:sz w:val="20"/>
          <w:szCs w:val="20"/>
        </w:rPr>
        <w:t xml:space="preserve"> NEF. Measuring our progress: The power of wellbeing</w:t>
      </w:r>
      <w:bookmarkStart w:id="27" w:name="_Hlk29994236"/>
      <w:r w:rsidRPr="00AC6E6E">
        <w:rPr>
          <w:rFonts w:asciiTheme="minorHAnsi" w:hAnsiTheme="minorHAnsi"/>
          <w:sz w:val="20"/>
          <w:szCs w:val="20"/>
        </w:rPr>
        <w:t xml:space="preserve"> (internet). London, NEF; 2010 (cited 2020 Jan 15) </w:t>
      </w:r>
      <w:bookmarkEnd w:id="27"/>
      <w:r w:rsidRPr="00AC6E6E">
        <w:rPr>
          <w:rFonts w:asciiTheme="minorHAnsi" w:hAnsiTheme="minorHAnsi"/>
          <w:color w:val="1C5692"/>
          <w:sz w:val="20"/>
          <w:szCs w:val="20"/>
        </w:rPr>
        <w:fldChar w:fldCharType="begin"/>
      </w:r>
      <w:r w:rsidRPr="00AC6E6E">
        <w:rPr>
          <w:rFonts w:asciiTheme="minorHAnsi" w:hAnsiTheme="minorHAnsi"/>
          <w:color w:val="1C5692"/>
          <w:sz w:val="20"/>
          <w:szCs w:val="20"/>
        </w:rPr>
        <w:instrText xml:space="preserve"> HYPERLINK "https://neweconomics.org/uploads/files/Measuring_our_Progress.pdf" </w:instrText>
      </w:r>
      <w:r w:rsidRPr="00AC6E6E">
        <w:rPr>
          <w:rFonts w:asciiTheme="minorHAnsi" w:hAnsiTheme="minorHAnsi"/>
          <w:color w:val="1C5692"/>
          <w:sz w:val="20"/>
          <w:szCs w:val="20"/>
        </w:rPr>
        <w:fldChar w:fldCharType="separate"/>
      </w:r>
      <w:r w:rsidRPr="00AC6E6E">
        <w:rPr>
          <w:rFonts w:asciiTheme="minorHAnsi" w:hAnsiTheme="minorHAnsi"/>
          <w:color w:val="1C5692"/>
          <w:sz w:val="20"/>
          <w:szCs w:val="20"/>
          <w:u w:val="single"/>
        </w:rPr>
        <w:t>https://neweconomics.org/uploads/files/Measuring_our_Progress.pdf</w:t>
      </w:r>
      <w:r w:rsidRPr="00AC6E6E">
        <w:rPr>
          <w:rFonts w:asciiTheme="minorHAnsi" w:hAnsiTheme="minorHAnsi"/>
          <w:color w:val="1C5692"/>
          <w:sz w:val="20"/>
          <w:szCs w:val="20"/>
        </w:rPr>
        <w:fldChar w:fldCharType="end"/>
      </w:r>
    </w:p>
  </w:endnote>
  <w:endnote w:id="15">
    <w:p w14:paraId="02D740BF" w14:textId="77777777" w:rsidR="00F01694" w:rsidRPr="00AC6E6E" w:rsidRDefault="00F01694" w:rsidP="00F346DD">
      <w:pPr>
        <w:pStyle w:val="EndnoteText"/>
        <w:spacing w:before="40" w:after="40"/>
        <w:ind w:left="567" w:hanging="567"/>
      </w:pPr>
      <w:r w:rsidRPr="00AC6E6E">
        <w:rPr>
          <w:rStyle w:val="EndnoteReference"/>
        </w:rPr>
        <w:endnoteRef/>
      </w:r>
      <w:r w:rsidRPr="00AC6E6E">
        <w:t xml:space="preserve"> World Health Organisation. The Ottawa Charter for Health Promotion. Geneva, WHO;1986 (cited 2020 Jan 15)  </w:t>
      </w:r>
      <w:hyperlink r:id="rId8" w:history="1">
        <w:r w:rsidRPr="00AC6E6E">
          <w:rPr>
            <w:rFonts w:ascii="Century Gothic" w:hAnsi="Century Gothic" w:cs="Calibri"/>
            <w:color w:val="1C5692"/>
            <w:u w:val="single"/>
          </w:rPr>
          <w:t>https://www.who.int/healthpromotion/conferences/previous/ottawa/en/</w:t>
        </w:r>
      </w:hyperlink>
    </w:p>
  </w:endnote>
  <w:endnote w:id="16">
    <w:p w14:paraId="23769805" w14:textId="77777777" w:rsidR="00F01694" w:rsidRPr="00AC6E6E" w:rsidRDefault="00F01694" w:rsidP="00FE0BE4">
      <w:pPr>
        <w:pStyle w:val="EndnoteText"/>
        <w:spacing w:before="40" w:after="40"/>
        <w:ind w:left="567" w:hanging="567"/>
      </w:pPr>
      <w:r w:rsidRPr="00AC6E6E">
        <w:rPr>
          <w:rStyle w:val="EndnoteReference"/>
        </w:rPr>
        <w:endnoteRef/>
      </w:r>
      <w:r w:rsidRPr="00AC6E6E">
        <w:t xml:space="preserve"> </w:t>
      </w:r>
      <w:bookmarkStart w:id="28" w:name="_Hlk29979918"/>
      <w:r w:rsidRPr="00AC6E6E">
        <w:t>Harvey S, Joyce s, Tan L, Johnson A, Nguyen H, Modini M, Growth M. Developing a Mentally Healthy Workplace Alliance. Developing a mentally healthy workplace:  A review of the literature; A report for the National Mental Health Commission and the Mentally Healthy Workplace Alliance. Sydney; 2014 p7</w:t>
      </w:r>
      <w:bookmarkEnd w:id="28"/>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Arial">
    <w:panose1 w:val="020B0604020202020204"/>
    <w:charset w:val="00"/>
    <w:family w:val="swiss"/>
    <w:pitch w:val="variable"/>
    <w:sig w:usb0="E0002EFF" w:usb1="C0007843" w:usb2="00000009" w:usb3="00000000" w:csb0="000001FF" w:csb1="00000000"/>
  </w:font>
  <w:font w:name="Proxima Nova Alt Rg">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1C5692" w:themeColor="text2"/>
      </w:tblBorders>
      <w:tblCellMar>
        <w:top w:w="113" w:type="dxa"/>
        <w:left w:w="0" w:type="dxa"/>
        <w:right w:w="0" w:type="dxa"/>
      </w:tblCellMar>
      <w:tblLook w:val="04A0" w:firstRow="1" w:lastRow="0" w:firstColumn="1" w:lastColumn="0" w:noHBand="0" w:noVBand="1"/>
    </w:tblPr>
    <w:tblGrid>
      <w:gridCol w:w="7733"/>
      <w:gridCol w:w="2184"/>
    </w:tblGrid>
    <w:tr w:rsidR="00F01694" w14:paraId="61A4C7D4" w14:textId="77777777" w:rsidTr="0068442E">
      <w:tc>
        <w:tcPr>
          <w:tcW w:w="3899" w:type="pct"/>
        </w:tcPr>
        <w:p w14:paraId="08757B0A" w14:textId="77777777" w:rsidR="00F01694" w:rsidRDefault="00F01694" w:rsidP="0068442E">
          <w:pPr>
            <w:pStyle w:val="Footer"/>
          </w:pPr>
          <w:r>
            <w:rPr>
              <w:b/>
              <w:bCs/>
              <w:color w:val="1C5692" w:themeColor="text2"/>
            </w:rPr>
            <w:t xml:space="preserve">SuperFriend - Productivity Commission Inquiry into Mental Health (Draft Report) </w:t>
          </w:r>
        </w:p>
        <w:p w14:paraId="1DFDE58F" w14:textId="77777777" w:rsidR="00F01694" w:rsidRPr="00F37B76" w:rsidRDefault="00F01694" w:rsidP="0068442E">
          <w:pPr>
            <w:pStyle w:val="Footer"/>
          </w:pPr>
          <w:r>
            <w:t xml:space="preserve"> 23 January 2020</w:t>
          </w:r>
        </w:p>
      </w:tc>
      <w:tc>
        <w:tcPr>
          <w:tcW w:w="1101" w:type="pct"/>
          <w:vAlign w:val="bottom"/>
        </w:tcPr>
        <w:p w14:paraId="305C57E5" w14:textId="1121BD10" w:rsidR="00F01694" w:rsidRPr="00DB6F99" w:rsidRDefault="00F01694" w:rsidP="0068442E">
          <w:pPr>
            <w:pStyle w:val="Footer"/>
            <w:jc w:val="right"/>
            <w:rPr>
              <w:i/>
            </w:rPr>
          </w:pPr>
        </w:p>
      </w:tc>
    </w:tr>
  </w:tbl>
  <w:p w14:paraId="0992EF7A" w14:textId="77777777" w:rsidR="00F01694" w:rsidRPr="0040094A" w:rsidRDefault="00F01694" w:rsidP="0040094A">
    <w:pPr>
      <w:pStyle w:val="Footer"/>
    </w:pPr>
    <w:r>
      <w:rPr>
        <w:noProof/>
        <w:lang w:eastAsia="en-AU"/>
      </w:rPr>
      <mc:AlternateContent>
        <mc:Choice Requires="wps">
          <w:drawing>
            <wp:anchor distT="0" distB="0" distL="114300" distR="114300" simplePos="0" relativeHeight="251663360" behindDoc="0" locked="0" layoutInCell="1" allowOverlap="1" wp14:anchorId="0B091A38" wp14:editId="773F9A9A">
              <wp:simplePos x="0" y="0"/>
              <wp:positionH relativeFrom="column">
                <wp:posOffset>-358140</wp:posOffset>
              </wp:positionH>
              <wp:positionV relativeFrom="paragraph">
                <wp:posOffset>360404</wp:posOffset>
              </wp:positionV>
              <wp:extent cx="6933235" cy="856526"/>
              <wp:effectExtent l="0" t="0" r="20320" b="20320"/>
              <wp:wrapThrough wrapText="bothSides">
                <wp:wrapPolygon edited="0">
                  <wp:start x="0" y="0"/>
                  <wp:lineTo x="0" y="21632"/>
                  <wp:lineTo x="21604" y="21632"/>
                  <wp:lineTo x="21604"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933235" cy="8565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0" w:type="pct"/>
                            <w:tblBorders>
                              <w:top w:val="single" w:sz="8" w:space="0" w:color="1C5692" w:themeColor="text2"/>
                            </w:tblBorders>
                            <w:tblCellMar>
                              <w:top w:w="113" w:type="dxa"/>
                              <w:left w:w="0" w:type="dxa"/>
                              <w:right w:w="0" w:type="dxa"/>
                            </w:tblCellMar>
                            <w:tblLook w:val="04A0" w:firstRow="1" w:lastRow="0" w:firstColumn="1" w:lastColumn="0" w:noHBand="0" w:noVBand="1"/>
                          </w:tblPr>
                          <w:tblGrid>
                            <w:gridCol w:w="8258"/>
                            <w:gridCol w:w="2332"/>
                          </w:tblGrid>
                          <w:tr w:rsidR="00F01694" w:rsidRPr="00CA06F6" w14:paraId="03563896" w14:textId="77777777" w:rsidTr="004D226D">
                            <w:tc>
                              <w:tcPr>
                                <w:tcW w:w="3899" w:type="pct"/>
                              </w:tcPr>
                              <w:p w14:paraId="63D11862" w14:textId="77777777" w:rsidR="00F01694" w:rsidRPr="00CA06F6" w:rsidRDefault="00F01694" w:rsidP="00CA06F6">
                                <w:pPr>
                                  <w:rPr>
                                    <w:sz w:val="18"/>
                                  </w:rPr>
                                </w:pPr>
                                <w:r w:rsidRPr="00CA06F6">
                                  <w:rPr>
                                    <w:b/>
                                    <w:bCs/>
                                    <w:color w:val="1C5692" w:themeColor="text2"/>
                                    <w:sz w:val="18"/>
                                  </w:rPr>
                                  <w:t xml:space="preserve">SuperFriend - Productivity Commission Inquiry into Mental Health (Draft Report) </w:t>
                                </w:r>
                              </w:p>
                              <w:p w14:paraId="67A161A8" w14:textId="77777777" w:rsidR="00F01694" w:rsidRPr="00CA06F6" w:rsidRDefault="00F01694" w:rsidP="00CA06F6">
                                <w:pPr>
                                  <w:rPr>
                                    <w:sz w:val="18"/>
                                  </w:rPr>
                                </w:pPr>
                                <w:r w:rsidRPr="00CA06F6">
                                  <w:rPr>
                                    <w:sz w:val="18"/>
                                  </w:rPr>
                                  <w:t xml:space="preserve">Version 3.1 </w:t>
                                </w:r>
                                <w:r w:rsidRPr="00CA06F6">
                                  <w:rPr>
                                    <w:b/>
                                    <w:bCs/>
                                    <w:color w:val="1C5692" w:themeColor="text2"/>
                                    <w:sz w:val="18"/>
                                  </w:rPr>
                                  <w:t>|</w:t>
                                </w:r>
                                <w:r w:rsidRPr="00CA06F6">
                                  <w:rPr>
                                    <w:sz w:val="18"/>
                                  </w:rPr>
                                  <w:t xml:space="preserve"> 21 January 2020</w:t>
                                </w:r>
                              </w:p>
                            </w:tc>
                            <w:tc>
                              <w:tcPr>
                                <w:tcW w:w="1101" w:type="pct"/>
                                <w:vAlign w:val="bottom"/>
                              </w:tcPr>
                              <w:p w14:paraId="352C661D" w14:textId="77777777" w:rsidR="00F01694" w:rsidRPr="00CA06F6" w:rsidRDefault="00F01694" w:rsidP="00CA06F6">
                                <w:pPr>
                                  <w:jc w:val="right"/>
                                  <w:rPr>
                                    <w:i/>
                                    <w:sz w:val="18"/>
                                  </w:rPr>
                                </w:pPr>
                                <w:r w:rsidRPr="00CA06F6">
                                  <w:rPr>
                                    <w:sz w:val="18"/>
                                  </w:rPr>
                                  <w:t xml:space="preserve">Page </w:t>
                                </w:r>
                                <w:r w:rsidRPr="00CA06F6">
                                  <w:rPr>
                                    <w:i/>
                                    <w:sz w:val="18"/>
                                  </w:rPr>
                                  <w:fldChar w:fldCharType="begin"/>
                                </w:r>
                                <w:r w:rsidRPr="00CA06F6">
                                  <w:rPr>
                                    <w:sz w:val="18"/>
                                  </w:rPr>
                                  <w:instrText xml:space="preserve"> PAGE  \* Arabic </w:instrText>
                                </w:r>
                                <w:r w:rsidRPr="00CA06F6">
                                  <w:rPr>
                                    <w:i/>
                                    <w:sz w:val="18"/>
                                  </w:rPr>
                                  <w:fldChar w:fldCharType="separate"/>
                                </w:r>
                                <w:r w:rsidR="004764B5">
                                  <w:rPr>
                                    <w:noProof/>
                                    <w:sz w:val="18"/>
                                  </w:rPr>
                                  <w:t>1</w:t>
                                </w:r>
                                <w:r w:rsidRPr="00CA06F6">
                                  <w:rPr>
                                    <w:i/>
                                    <w:sz w:val="18"/>
                                  </w:rPr>
                                  <w:fldChar w:fldCharType="end"/>
                                </w:r>
                                <w:r w:rsidRPr="00CA06F6">
                                  <w:rPr>
                                    <w:sz w:val="18"/>
                                  </w:rPr>
                                  <w:t xml:space="preserve"> of </w:t>
                                </w:r>
                                <w:r w:rsidRPr="00CA06F6">
                                  <w:rPr>
                                    <w:sz w:val="18"/>
                                  </w:rPr>
                                  <w:fldChar w:fldCharType="begin"/>
                                </w:r>
                                <w:r w:rsidRPr="00CA06F6">
                                  <w:rPr>
                                    <w:sz w:val="18"/>
                                  </w:rPr>
                                  <w:instrText xml:space="preserve"> NUMPAGES  \* Arabic </w:instrText>
                                </w:r>
                                <w:r w:rsidRPr="00CA06F6">
                                  <w:rPr>
                                    <w:sz w:val="18"/>
                                  </w:rPr>
                                  <w:fldChar w:fldCharType="separate"/>
                                </w:r>
                                <w:r w:rsidR="004764B5">
                                  <w:rPr>
                                    <w:noProof/>
                                    <w:sz w:val="18"/>
                                  </w:rPr>
                                  <w:t>28</w:t>
                                </w:r>
                                <w:r w:rsidRPr="00CA06F6">
                                  <w:rPr>
                                    <w:sz w:val="18"/>
                                  </w:rPr>
                                  <w:fldChar w:fldCharType="end"/>
                                </w:r>
                              </w:p>
                            </w:tc>
                          </w:tr>
                        </w:tbl>
                        <w:p w14:paraId="1DC58200" w14:textId="77777777" w:rsidR="00F01694" w:rsidRDefault="00F01694" w:rsidP="00CA06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91A38" id="Rectangle 5" o:spid="_x0000_s1026" style="position:absolute;margin-left:-28.2pt;margin-top:28.4pt;width:545.9pt;height:6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" fillcolor="white [3212]" strokecolor="white [3212]" strokeweight="2pt">
              <v:textbox>
                <w:txbxContent>
                  <w:tbl>
                    <w:tblPr>
                      <w:tblW w:w="5000" w:type="pct"/>
                      <w:tblBorders>
                        <w:top w:val="single" w:sz="8" w:space="0" w:color="1C5692" w:themeColor="text2"/>
                      </w:tblBorders>
                      <w:tblCellMar>
                        <w:top w:w="113" w:type="dxa"/>
                        <w:left w:w="0" w:type="dxa"/>
                        <w:right w:w="0" w:type="dxa"/>
                      </w:tblCellMar>
                      <w:tblLook w:val="04A0" w:firstRow="1" w:lastRow="0" w:firstColumn="1" w:lastColumn="0" w:noHBand="0" w:noVBand="1"/>
                    </w:tblPr>
                    <w:tblGrid>
                      <w:gridCol w:w="8258"/>
                      <w:gridCol w:w="2332"/>
                    </w:tblGrid>
                    <w:tr w:rsidR="00F01694" w:rsidRPr="00CA06F6" w14:paraId="03563896" w14:textId="77777777" w:rsidTr="004D226D">
                      <w:tc>
                        <w:tcPr>
                          <w:tcW w:w="3899" w:type="pct"/>
                        </w:tcPr>
                        <w:p w14:paraId="63D11862" w14:textId="77777777" w:rsidR="00F01694" w:rsidRPr="00CA06F6" w:rsidRDefault="00F01694" w:rsidP="00CA06F6">
                          <w:pPr>
                            <w:rPr>
                              <w:sz w:val="18"/>
                            </w:rPr>
                          </w:pPr>
                          <w:r w:rsidRPr="00CA06F6">
                            <w:rPr>
                              <w:b/>
                              <w:bCs/>
                              <w:color w:val="1C5692" w:themeColor="text2"/>
                              <w:sz w:val="18"/>
                            </w:rPr>
                            <w:t xml:space="preserve">SuperFriend - Productivity Commission Inquiry into Mental Health (Draft Report) </w:t>
                          </w:r>
                        </w:p>
                        <w:p w14:paraId="67A161A8" w14:textId="77777777" w:rsidR="00F01694" w:rsidRPr="00CA06F6" w:rsidRDefault="00F01694" w:rsidP="00CA06F6">
                          <w:pPr>
                            <w:rPr>
                              <w:sz w:val="18"/>
                            </w:rPr>
                          </w:pPr>
                          <w:r w:rsidRPr="00CA06F6">
                            <w:rPr>
                              <w:sz w:val="18"/>
                            </w:rPr>
                            <w:t xml:space="preserve">Version 3.1 </w:t>
                          </w:r>
                          <w:r w:rsidRPr="00CA06F6">
                            <w:rPr>
                              <w:b/>
                              <w:bCs/>
                              <w:color w:val="1C5692" w:themeColor="text2"/>
                              <w:sz w:val="18"/>
                            </w:rPr>
                            <w:t>|</w:t>
                          </w:r>
                          <w:r w:rsidRPr="00CA06F6">
                            <w:rPr>
                              <w:sz w:val="18"/>
                            </w:rPr>
                            <w:t xml:space="preserve"> 21 January 2020</w:t>
                          </w:r>
                        </w:p>
                      </w:tc>
                      <w:tc>
                        <w:tcPr>
                          <w:tcW w:w="1101" w:type="pct"/>
                          <w:vAlign w:val="bottom"/>
                        </w:tcPr>
                        <w:p w14:paraId="352C661D" w14:textId="77777777" w:rsidR="00F01694" w:rsidRPr="00CA06F6" w:rsidRDefault="00F01694" w:rsidP="00CA06F6">
                          <w:pPr>
                            <w:jc w:val="right"/>
                            <w:rPr>
                              <w:i/>
                              <w:sz w:val="18"/>
                            </w:rPr>
                          </w:pPr>
                          <w:r w:rsidRPr="00CA06F6">
                            <w:rPr>
                              <w:sz w:val="18"/>
                            </w:rPr>
                            <w:t xml:space="preserve">Page </w:t>
                          </w:r>
                          <w:r w:rsidRPr="00CA06F6">
                            <w:rPr>
                              <w:i/>
                              <w:sz w:val="18"/>
                            </w:rPr>
                            <w:fldChar w:fldCharType="begin"/>
                          </w:r>
                          <w:r w:rsidRPr="00CA06F6">
                            <w:rPr>
                              <w:sz w:val="18"/>
                            </w:rPr>
                            <w:instrText xml:space="preserve"> PAGE  \* Arabic </w:instrText>
                          </w:r>
                          <w:r w:rsidRPr="00CA06F6">
                            <w:rPr>
                              <w:i/>
                              <w:sz w:val="18"/>
                            </w:rPr>
                            <w:fldChar w:fldCharType="separate"/>
                          </w:r>
                          <w:r w:rsidR="004764B5">
                            <w:rPr>
                              <w:noProof/>
                              <w:sz w:val="18"/>
                            </w:rPr>
                            <w:t>1</w:t>
                          </w:r>
                          <w:r w:rsidRPr="00CA06F6">
                            <w:rPr>
                              <w:i/>
                              <w:sz w:val="18"/>
                            </w:rPr>
                            <w:fldChar w:fldCharType="end"/>
                          </w:r>
                          <w:r w:rsidRPr="00CA06F6">
                            <w:rPr>
                              <w:sz w:val="18"/>
                            </w:rPr>
                            <w:t xml:space="preserve"> of </w:t>
                          </w:r>
                          <w:r w:rsidRPr="00CA06F6">
                            <w:rPr>
                              <w:sz w:val="18"/>
                            </w:rPr>
                            <w:fldChar w:fldCharType="begin"/>
                          </w:r>
                          <w:r w:rsidRPr="00CA06F6">
                            <w:rPr>
                              <w:sz w:val="18"/>
                            </w:rPr>
                            <w:instrText xml:space="preserve"> NUMPAGES  \* Arabic </w:instrText>
                          </w:r>
                          <w:r w:rsidRPr="00CA06F6">
                            <w:rPr>
                              <w:sz w:val="18"/>
                            </w:rPr>
                            <w:fldChar w:fldCharType="separate"/>
                          </w:r>
                          <w:r w:rsidR="004764B5">
                            <w:rPr>
                              <w:noProof/>
                              <w:sz w:val="18"/>
                            </w:rPr>
                            <w:t>28</w:t>
                          </w:r>
                          <w:r w:rsidRPr="00CA06F6">
                            <w:rPr>
                              <w:sz w:val="18"/>
                            </w:rPr>
                            <w:fldChar w:fldCharType="end"/>
                          </w:r>
                        </w:p>
                      </w:tc>
                    </w:tr>
                  </w:tbl>
                  <w:p w14:paraId="1DC58200" w14:textId="77777777" w:rsidR="00F01694" w:rsidRDefault="00F01694" w:rsidP="00CA06F6">
                    <w:pPr>
                      <w:jc w:val="center"/>
                    </w:pPr>
                  </w:p>
                </w:txbxContent>
              </v:textbox>
              <w10:wrap type="through"/>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1C5692" w:themeColor="text2"/>
      </w:tblBorders>
      <w:tblCellMar>
        <w:top w:w="113" w:type="dxa"/>
        <w:left w:w="0" w:type="dxa"/>
        <w:right w:w="0" w:type="dxa"/>
      </w:tblCellMar>
      <w:tblLook w:val="04A0" w:firstRow="1" w:lastRow="0" w:firstColumn="1" w:lastColumn="0" w:noHBand="0" w:noVBand="1"/>
    </w:tblPr>
    <w:tblGrid>
      <w:gridCol w:w="7733"/>
      <w:gridCol w:w="2184"/>
    </w:tblGrid>
    <w:tr w:rsidR="00F01694" w14:paraId="1B841EFB" w14:textId="77777777" w:rsidTr="0068442E">
      <w:tc>
        <w:tcPr>
          <w:tcW w:w="3899" w:type="pct"/>
        </w:tcPr>
        <w:p w14:paraId="6FCAD457" w14:textId="16B6C4F5" w:rsidR="00F01694" w:rsidRDefault="00F01694" w:rsidP="0068442E">
          <w:pPr>
            <w:pStyle w:val="Footer"/>
          </w:pPr>
          <w:r>
            <w:rPr>
              <w:b/>
              <w:bCs/>
              <w:color w:val="1C5692" w:themeColor="text2"/>
            </w:rPr>
            <w:t xml:space="preserve">SuperFriend - Productivity Commission Inquiry into Mental Health (Draft Report) </w:t>
          </w:r>
        </w:p>
        <w:p w14:paraId="534109FC" w14:textId="386FD4BD" w:rsidR="00F01694" w:rsidRPr="00F37B76" w:rsidRDefault="00F01694" w:rsidP="0068442E">
          <w:pPr>
            <w:pStyle w:val="Footer"/>
          </w:pPr>
          <w:r>
            <w:t xml:space="preserve"> 23 January 2020</w:t>
          </w:r>
        </w:p>
      </w:tc>
      <w:tc>
        <w:tcPr>
          <w:tcW w:w="1101" w:type="pct"/>
          <w:vAlign w:val="bottom"/>
        </w:tcPr>
        <w:p w14:paraId="7E0017C6" w14:textId="77777777" w:rsidR="00F01694" w:rsidRDefault="00F01694" w:rsidP="0068442E">
          <w:pPr>
            <w:pStyle w:val="Footer"/>
            <w:jc w:val="right"/>
          </w:pPr>
          <w:r w:rsidRPr="00DB6F99">
            <w:t xml:space="preserve">Page </w:t>
          </w:r>
          <w:r w:rsidRPr="00DB6F99">
            <w:rPr>
              <w:i/>
            </w:rPr>
            <w:fldChar w:fldCharType="begin"/>
          </w:r>
          <w:r w:rsidRPr="00DB6F99">
            <w:instrText xml:space="preserve"> PAGE  \* Arabic </w:instrText>
          </w:r>
          <w:r w:rsidRPr="00DB6F99">
            <w:rPr>
              <w:i/>
            </w:rPr>
            <w:fldChar w:fldCharType="separate"/>
          </w:r>
          <w:r w:rsidR="004764B5">
            <w:rPr>
              <w:noProof/>
            </w:rPr>
            <w:t>15</w:t>
          </w:r>
          <w:r w:rsidRPr="00DB6F99">
            <w:rPr>
              <w:i/>
            </w:rPr>
            <w:fldChar w:fldCharType="end"/>
          </w:r>
          <w:r w:rsidRPr="00DB6F99">
            <w:t xml:space="preserve"> of </w:t>
          </w:r>
          <w:r w:rsidR="003D6C10">
            <w:t>25</w:t>
          </w:r>
        </w:p>
        <w:p w14:paraId="0128F679" w14:textId="0F77B24E" w:rsidR="003D6C10" w:rsidRPr="00DB6F99" w:rsidRDefault="003D6C10" w:rsidP="003D6C10">
          <w:pPr>
            <w:pStyle w:val="Footer"/>
            <w:rPr>
              <w:i/>
            </w:rPr>
          </w:pPr>
        </w:p>
      </w:tc>
    </w:tr>
  </w:tbl>
  <w:p w14:paraId="56058635" w14:textId="6EBCCF35" w:rsidR="00F01694" w:rsidRPr="0040094A" w:rsidRDefault="00F01694" w:rsidP="0040094A">
    <w:pPr>
      <w:pStyle w:val="Footer"/>
    </w:pPr>
    <w:r>
      <w:rPr>
        <w:noProof/>
        <w:lang w:eastAsia="en-AU"/>
      </w:rPr>
      <mc:AlternateContent>
        <mc:Choice Requires="wps">
          <w:drawing>
            <wp:anchor distT="0" distB="0" distL="114300" distR="114300" simplePos="0" relativeHeight="251660288" behindDoc="0" locked="0" layoutInCell="1" allowOverlap="1" wp14:anchorId="5C6621AF" wp14:editId="44C52FD2">
              <wp:simplePos x="0" y="0"/>
              <wp:positionH relativeFrom="column">
                <wp:posOffset>-358140</wp:posOffset>
              </wp:positionH>
              <wp:positionV relativeFrom="paragraph">
                <wp:posOffset>360404</wp:posOffset>
              </wp:positionV>
              <wp:extent cx="6933235" cy="856526"/>
              <wp:effectExtent l="0" t="0" r="20320" b="20320"/>
              <wp:wrapThrough wrapText="bothSides">
                <wp:wrapPolygon edited="0">
                  <wp:start x="0" y="0"/>
                  <wp:lineTo x="0" y="21632"/>
                  <wp:lineTo x="21604" y="21632"/>
                  <wp:lineTo x="21604"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6933235" cy="8565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0" w:type="pct"/>
                            <w:tblBorders>
                              <w:top w:val="single" w:sz="8" w:space="0" w:color="1C5692" w:themeColor="text2"/>
                            </w:tblBorders>
                            <w:tblCellMar>
                              <w:top w:w="113" w:type="dxa"/>
                              <w:left w:w="0" w:type="dxa"/>
                              <w:right w:w="0" w:type="dxa"/>
                            </w:tblCellMar>
                            <w:tblLook w:val="04A0" w:firstRow="1" w:lastRow="0" w:firstColumn="1" w:lastColumn="0" w:noHBand="0" w:noVBand="1"/>
                          </w:tblPr>
                          <w:tblGrid>
                            <w:gridCol w:w="8258"/>
                            <w:gridCol w:w="2332"/>
                          </w:tblGrid>
                          <w:tr w:rsidR="00F01694" w:rsidRPr="00CA06F6" w14:paraId="39EFE68A" w14:textId="77777777" w:rsidTr="004D226D">
                            <w:tc>
                              <w:tcPr>
                                <w:tcW w:w="3899" w:type="pct"/>
                              </w:tcPr>
                              <w:p w14:paraId="36924E7B" w14:textId="77777777" w:rsidR="00F01694" w:rsidRPr="00CA06F6" w:rsidRDefault="00F01694" w:rsidP="00CA06F6">
                                <w:pPr>
                                  <w:rPr>
                                    <w:sz w:val="18"/>
                                  </w:rPr>
                                </w:pPr>
                                <w:r w:rsidRPr="00CA06F6">
                                  <w:rPr>
                                    <w:b/>
                                    <w:bCs/>
                                    <w:color w:val="1C5692" w:themeColor="text2"/>
                                    <w:sz w:val="18"/>
                                  </w:rPr>
                                  <w:t xml:space="preserve">SuperFriend - Productivity Commission Inquiry into Mental Health (Draft Report) </w:t>
                                </w:r>
                              </w:p>
                              <w:p w14:paraId="25D982CD" w14:textId="77777777" w:rsidR="00F01694" w:rsidRPr="00CA06F6" w:rsidRDefault="00F01694" w:rsidP="00CA06F6">
                                <w:pPr>
                                  <w:rPr>
                                    <w:sz w:val="18"/>
                                  </w:rPr>
                                </w:pPr>
                                <w:r w:rsidRPr="00CA06F6">
                                  <w:rPr>
                                    <w:sz w:val="18"/>
                                  </w:rPr>
                                  <w:t xml:space="preserve">Version 3.1 </w:t>
                                </w:r>
                                <w:r w:rsidRPr="00CA06F6">
                                  <w:rPr>
                                    <w:b/>
                                    <w:bCs/>
                                    <w:color w:val="1C5692" w:themeColor="text2"/>
                                    <w:sz w:val="18"/>
                                  </w:rPr>
                                  <w:t>|</w:t>
                                </w:r>
                                <w:r w:rsidRPr="00CA06F6">
                                  <w:rPr>
                                    <w:sz w:val="18"/>
                                  </w:rPr>
                                  <w:t xml:space="preserve"> 21 January 2020</w:t>
                                </w:r>
                              </w:p>
                            </w:tc>
                            <w:tc>
                              <w:tcPr>
                                <w:tcW w:w="1101" w:type="pct"/>
                                <w:vAlign w:val="bottom"/>
                              </w:tcPr>
                              <w:p w14:paraId="247BBC34" w14:textId="77777777" w:rsidR="00F01694" w:rsidRPr="00CA06F6" w:rsidRDefault="00F01694" w:rsidP="00CA06F6">
                                <w:pPr>
                                  <w:jc w:val="right"/>
                                  <w:rPr>
                                    <w:i/>
                                    <w:sz w:val="18"/>
                                  </w:rPr>
                                </w:pPr>
                                <w:r w:rsidRPr="00CA06F6">
                                  <w:rPr>
                                    <w:sz w:val="18"/>
                                  </w:rPr>
                                  <w:t xml:space="preserve">Page </w:t>
                                </w:r>
                                <w:r w:rsidRPr="00CA06F6">
                                  <w:rPr>
                                    <w:i/>
                                    <w:sz w:val="18"/>
                                  </w:rPr>
                                  <w:fldChar w:fldCharType="begin"/>
                                </w:r>
                                <w:r w:rsidRPr="00CA06F6">
                                  <w:rPr>
                                    <w:sz w:val="18"/>
                                  </w:rPr>
                                  <w:instrText xml:space="preserve"> PAGE  \* Arabic </w:instrText>
                                </w:r>
                                <w:r w:rsidRPr="00CA06F6">
                                  <w:rPr>
                                    <w:i/>
                                    <w:sz w:val="18"/>
                                  </w:rPr>
                                  <w:fldChar w:fldCharType="separate"/>
                                </w:r>
                                <w:r w:rsidR="004764B5">
                                  <w:rPr>
                                    <w:noProof/>
                                    <w:sz w:val="18"/>
                                  </w:rPr>
                                  <w:t>15</w:t>
                                </w:r>
                                <w:r w:rsidRPr="00CA06F6">
                                  <w:rPr>
                                    <w:i/>
                                    <w:sz w:val="18"/>
                                  </w:rPr>
                                  <w:fldChar w:fldCharType="end"/>
                                </w:r>
                                <w:r w:rsidRPr="00CA06F6">
                                  <w:rPr>
                                    <w:sz w:val="18"/>
                                  </w:rPr>
                                  <w:t xml:space="preserve"> of </w:t>
                                </w:r>
                                <w:r w:rsidRPr="00CA06F6">
                                  <w:rPr>
                                    <w:sz w:val="18"/>
                                  </w:rPr>
                                  <w:fldChar w:fldCharType="begin"/>
                                </w:r>
                                <w:r w:rsidRPr="00CA06F6">
                                  <w:rPr>
                                    <w:sz w:val="18"/>
                                  </w:rPr>
                                  <w:instrText xml:space="preserve"> NUMPAGES  \* Arabic </w:instrText>
                                </w:r>
                                <w:r w:rsidRPr="00CA06F6">
                                  <w:rPr>
                                    <w:sz w:val="18"/>
                                  </w:rPr>
                                  <w:fldChar w:fldCharType="separate"/>
                                </w:r>
                                <w:r w:rsidR="004764B5">
                                  <w:rPr>
                                    <w:noProof/>
                                    <w:sz w:val="18"/>
                                  </w:rPr>
                                  <w:t>28</w:t>
                                </w:r>
                                <w:r w:rsidRPr="00CA06F6">
                                  <w:rPr>
                                    <w:sz w:val="18"/>
                                  </w:rPr>
                                  <w:fldChar w:fldCharType="end"/>
                                </w:r>
                              </w:p>
                            </w:tc>
                          </w:tr>
                        </w:tbl>
                        <w:p w14:paraId="3EB90F51" w14:textId="69AAA3A6" w:rsidR="00F01694" w:rsidRDefault="00F01694" w:rsidP="00CA06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621AF" id="Rectangle 15" o:spid="_x0000_s1027" style="position:absolute;margin-left:-28.2pt;margin-top:28.4pt;width:545.9pt;height:6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" fillcolor="white [3212]" strokecolor="white [3212]" strokeweight="2pt">
              <v:textbox>
                <w:txbxContent>
                  <w:tbl>
                    <w:tblPr>
                      <w:tblW w:w="5000" w:type="pct"/>
                      <w:tblBorders>
                        <w:top w:val="single" w:sz="8" w:space="0" w:color="1C5692" w:themeColor="text2"/>
                      </w:tblBorders>
                      <w:tblCellMar>
                        <w:top w:w="113" w:type="dxa"/>
                        <w:left w:w="0" w:type="dxa"/>
                        <w:right w:w="0" w:type="dxa"/>
                      </w:tblCellMar>
                      <w:tblLook w:val="04A0" w:firstRow="1" w:lastRow="0" w:firstColumn="1" w:lastColumn="0" w:noHBand="0" w:noVBand="1"/>
                    </w:tblPr>
                    <w:tblGrid>
                      <w:gridCol w:w="8258"/>
                      <w:gridCol w:w="2332"/>
                    </w:tblGrid>
                    <w:tr w:rsidR="00F01694" w:rsidRPr="00CA06F6" w14:paraId="39EFE68A" w14:textId="77777777" w:rsidTr="004D226D">
                      <w:tc>
                        <w:tcPr>
                          <w:tcW w:w="3899" w:type="pct"/>
                        </w:tcPr>
                        <w:p w14:paraId="36924E7B" w14:textId="77777777" w:rsidR="00F01694" w:rsidRPr="00CA06F6" w:rsidRDefault="00F01694" w:rsidP="00CA06F6">
                          <w:pPr>
                            <w:rPr>
                              <w:sz w:val="18"/>
                            </w:rPr>
                          </w:pPr>
                          <w:r w:rsidRPr="00CA06F6">
                            <w:rPr>
                              <w:b/>
                              <w:bCs/>
                              <w:color w:val="1C5692" w:themeColor="text2"/>
                              <w:sz w:val="18"/>
                            </w:rPr>
                            <w:t xml:space="preserve">SuperFriend - Productivity Commission Inquiry into Mental Health (Draft Report) </w:t>
                          </w:r>
                        </w:p>
                        <w:p w14:paraId="25D982CD" w14:textId="77777777" w:rsidR="00F01694" w:rsidRPr="00CA06F6" w:rsidRDefault="00F01694" w:rsidP="00CA06F6">
                          <w:pPr>
                            <w:rPr>
                              <w:sz w:val="18"/>
                            </w:rPr>
                          </w:pPr>
                          <w:r w:rsidRPr="00CA06F6">
                            <w:rPr>
                              <w:sz w:val="18"/>
                            </w:rPr>
                            <w:t xml:space="preserve">Version 3.1 </w:t>
                          </w:r>
                          <w:r w:rsidRPr="00CA06F6">
                            <w:rPr>
                              <w:b/>
                              <w:bCs/>
                              <w:color w:val="1C5692" w:themeColor="text2"/>
                              <w:sz w:val="18"/>
                            </w:rPr>
                            <w:t>|</w:t>
                          </w:r>
                          <w:r w:rsidRPr="00CA06F6">
                            <w:rPr>
                              <w:sz w:val="18"/>
                            </w:rPr>
                            <w:t xml:space="preserve"> 21 January 2020</w:t>
                          </w:r>
                        </w:p>
                      </w:tc>
                      <w:tc>
                        <w:tcPr>
                          <w:tcW w:w="1101" w:type="pct"/>
                          <w:vAlign w:val="bottom"/>
                        </w:tcPr>
                        <w:p w14:paraId="247BBC34" w14:textId="77777777" w:rsidR="00F01694" w:rsidRPr="00CA06F6" w:rsidRDefault="00F01694" w:rsidP="00CA06F6">
                          <w:pPr>
                            <w:jc w:val="right"/>
                            <w:rPr>
                              <w:i/>
                              <w:sz w:val="18"/>
                            </w:rPr>
                          </w:pPr>
                          <w:r w:rsidRPr="00CA06F6">
                            <w:rPr>
                              <w:sz w:val="18"/>
                            </w:rPr>
                            <w:t xml:space="preserve">Page </w:t>
                          </w:r>
                          <w:r w:rsidRPr="00CA06F6">
                            <w:rPr>
                              <w:i/>
                              <w:sz w:val="18"/>
                            </w:rPr>
                            <w:fldChar w:fldCharType="begin"/>
                          </w:r>
                          <w:r w:rsidRPr="00CA06F6">
                            <w:rPr>
                              <w:sz w:val="18"/>
                            </w:rPr>
                            <w:instrText xml:space="preserve"> PAGE  \* Arabic </w:instrText>
                          </w:r>
                          <w:r w:rsidRPr="00CA06F6">
                            <w:rPr>
                              <w:i/>
                              <w:sz w:val="18"/>
                            </w:rPr>
                            <w:fldChar w:fldCharType="separate"/>
                          </w:r>
                          <w:r w:rsidR="004764B5">
                            <w:rPr>
                              <w:noProof/>
                              <w:sz w:val="18"/>
                            </w:rPr>
                            <w:t>15</w:t>
                          </w:r>
                          <w:r w:rsidRPr="00CA06F6">
                            <w:rPr>
                              <w:i/>
                              <w:sz w:val="18"/>
                            </w:rPr>
                            <w:fldChar w:fldCharType="end"/>
                          </w:r>
                          <w:r w:rsidRPr="00CA06F6">
                            <w:rPr>
                              <w:sz w:val="18"/>
                            </w:rPr>
                            <w:t xml:space="preserve"> of </w:t>
                          </w:r>
                          <w:r w:rsidRPr="00CA06F6">
                            <w:rPr>
                              <w:sz w:val="18"/>
                            </w:rPr>
                            <w:fldChar w:fldCharType="begin"/>
                          </w:r>
                          <w:r w:rsidRPr="00CA06F6">
                            <w:rPr>
                              <w:sz w:val="18"/>
                            </w:rPr>
                            <w:instrText xml:space="preserve"> NUMPAGES  \* Arabic </w:instrText>
                          </w:r>
                          <w:r w:rsidRPr="00CA06F6">
                            <w:rPr>
                              <w:sz w:val="18"/>
                            </w:rPr>
                            <w:fldChar w:fldCharType="separate"/>
                          </w:r>
                          <w:r w:rsidR="004764B5">
                            <w:rPr>
                              <w:noProof/>
                              <w:sz w:val="18"/>
                            </w:rPr>
                            <w:t>28</w:t>
                          </w:r>
                          <w:r w:rsidRPr="00CA06F6">
                            <w:rPr>
                              <w:sz w:val="18"/>
                            </w:rPr>
                            <w:fldChar w:fldCharType="end"/>
                          </w:r>
                        </w:p>
                      </w:tc>
                    </w:tr>
                  </w:tbl>
                  <w:p w14:paraId="3EB90F51" w14:textId="69AAA3A6" w:rsidR="00F01694" w:rsidRDefault="00F01694" w:rsidP="00CA06F6">
                    <w:pPr>
                      <w:jc w:val="center"/>
                    </w:pPr>
                  </w:p>
                </w:txbxContent>
              </v:textbox>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04380" w14:textId="77777777" w:rsidR="0049402A" w:rsidRPr="003337B3" w:rsidRDefault="0049402A" w:rsidP="003337B3">
      <w:pPr>
        <w:pStyle w:val="FootnoteText"/>
        <w:rPr>
          <w:color w:val="C9CAC8" w:themeColor="background2"/>
        </w:rPr>
      </w:pPr>
      <w:r w:rsidRPr="003337B3">
        <w:rPr>
          <w:color w:val="C9CAC8" w:themeColor="background2"/>
        </w:rPr>
        <w:separator/>
      </w:r>
    </w:p>
  </w:footnote>
  <w:footnote w:type="continuationSeparator" w:id="0">
    <w:p w14:paraId="153F67A6" w14:textId="77777777" w:rsidR="0049402A" w:rsidRPr="003337B3" w:rsidRDefault="0049402A" w:rsidP="003337B3">
      <w:pPr>
        <w:pStyle w:val="FootnoteText"/>
        <w:rPr>
          <w:color w:val="C9CAC8" w:themeColor="background2"/>
        </w:rPr>
      </w:pPr>
      <w:r w:rsidRPr="003337B3">
        <w:rPr>
          <w:color w:val="C9CAC8" w:themeColor="background2"/>
        </w:rPr>
        <w:continuationSeparator/>
      </w:r>
    </w:p>
  </w:footnote>
  <w:footnote w:type="continuationNotice" w:id="1">
    <w:p w14:paraId="638CE3C8" w14:textId="77777777" w:rsidR="0049402A" w:rsidRDefault="0049402A" w:rsidP="003337B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6926"/>
      <w:gridCol w:w="2991"/>
    </w:tblGrid>
    <w:tr w:rsidR="00F01694" w:rsidRPr="00100070" w14:paraId="0330DF9D" w14:textId="77777777" w:rsidTr="00FD293A">
      <w:trPr>
        <w:trHeight w:val="993"/>
      </w:trPr>
      <w:tc>
        <w:tcPr>
          <w:tcW w:w="3492" w:type="pct"/>
          <w:vAlign w:val="center"/>
        </w:tcPr>
        <w:p w14:paraId="0146E864" w14:textId="77777777" w:rsidR="00F01694" w:rsidRPr="009C1D1D" w:rsidRDefault="00F01694" w:rsidP="00DD3D3E">
          <w:pPr>
            <w:rPr>
              <w:b/>
              <w:bCs/>
            </w:rPr>
          </w:pPr>
        </w:p>
      </w:tc>
      <w:tc>
        <w:tcPr>
          <w:tcW w:w="1508" w:type="pct"/>
        </w:tcPr>
        <w:p w14:paraId="184DFEB3" w14:textId="77777777" w:rsidR="00F01694" w:rsidRPr="00100070" w:rsidRDefault="00F01694" w:rsidP="003C56F9">
          <w:pPr>
            <w:pStyle w:val="Header"/>
            <w:jc w:val="right"/>
          </w:pPr>
          <w:r>
            <w:rPr>
              <w:noProof/>
              <w:lang w:eastAsia="en-AU"/>
            </w:rPr>
            <w:drawing>
              <wp:inline distT="0" distB="0" distL="0" distR="0" wp14:anchorId="2F5B702B" wp14:editId="61EAE2BB">
                <wp:extent cx="1543388" cy="638175"/>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01.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556657" cy="643662"/>
                        </a:xfrm>
                        <a:prstGeom prst="rect">
                          <a:avLst/>
                        </a:prstGeom>
                      </pic:spPr>
                    </pic:pic>
                  </a:graphicData>
                </a:graphic>
              </wp:inline>
            </w:drawing>
          </w:r>
        </w:p>
      </w:tc>
    </w:tr>
  </w:tbl>
  <w:p w14:paraId="04FF4D10" w14:textId="77777777" w:rsidR="00F01694" w:rsidRDefault="00F016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ADE9F" w14:textId="77777777" w:rsidR="00F01694" w:rsidRDefault="00F01694" w:rsidP="0037342E">
    <w:pPr>
      <w:pStyle w:val="Header"/>
      <w:ind w:left="284"/>
    </w:pPr>
    <w:r>
      <w:rPr>
        <w:noProof/>
        <w:lang w:eastAsia="en-AU"/>
      </w:rPr>
      <w:drawing>
        <wp:anchor distT="0" distB="0" distL="114300" distR="114300" simplePos="0" relativeHeight="251662336" behindDoc="0" locked="0" layoutInCell="1" allowOverlap="1" wp14:anchorId="5E1AF1FE" wp14:editId="4AC2746A">
          <wp:simplePos x="0" y="0"/>
          <wp:positionH relativeFrom="margin">
            <wp:align>right</wp:align>
          </wp:positionH>
          <wp:positionV relativeFrom="paragraph">
            <wp:posOffset>-15240</wp:posOffset>
          </wp:positionV>
          <wp:extent cx="1620000" cy="88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 Logo - 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620000"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6926"/>
      <w:gridCol w:w="2991"/>
    </w:tblGrid>
    <w:tr w:rsidR="00F01694" w:rsidRPr="00100070" w14:paraId="68343544" w14:textId="77777777" w:rsidTr="00FD293A">
      <w:trPr>
        <w:trHeight w:val="993"/>
      </w:trPr>
      <w:tc>
        <w:tcPr>
          <w:tcW w:w="3492" w:type="pct"/>
          <w:vAlign w:val="center"/>
        </w:tcPr>
        <w:p w14:paraId="1A521897" w14:textId="4AE16A98" w:rsidR="00F01694" w:rsidRPr="009C1D1D" w:rsidRDefault="00F01694" w:rsidP="00DD3D3E">
          <w:pPr>
            <w:rPr>
              <w:b/>
              <w:bCs/>
            </w:rPr>
          </w:pPr>
        </w:p>
      </w:tc>
      <w:tc>
        <w:tcPr>
          <w:tcW w:w="1508" w:type="pct"/>
        </w:tcPr>
        <w:p w14:paraId="5A862B33" w14:textId="77777777" w:rsidR="00F01694" w:rsidRPr="00100070" w:rsidRDefault="00F01694" w:rsidP="003C56F9">
          <w:pPr>
            <w:pStyle w:val="Header"/>
            <w:jc w:val="right"/>
          </w:pPr>
          <w:r>
            <w:rPr>
              <w:noProof/>
              <w:lang w:eastAsia="en-AU"/>
            </w:rPr>
            <w:drawing>
              <wp:inline distT="0" distB="0" distL="0" distR="0" wp14:anchorId="35EC6791" wp14:editId="494DF4CD">
                <wp:extent cx="1543388" cy="638175"/>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01.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556657" cy="643662"/>
                        </a:xfrm>
                        <a:prstGeom prst="rect">
                          <a:avLst/>
                        </a:prstGeom>
                      </pic:spPr>
                    </pic:pic>
                  </a:graphicData>
                </a:graphic>
              </wp:inline>
            </w:drawing>
          </w:r>
        </w:p>
      </w:tc>
    </w:tr>
  </w:tbl>
  <w:p w14:paraId="351B550A" w14:textId="6187EC04" w:rsidR="00F01694" w:rsidRDefault="00F016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5FEE4" w14:textId="5A70595A" w:rsidR="00F01694" w:rsidRDefault="00F01694" w:rsidP="0037342E">
    <w:pPr>
      <w:pStyle w:val="Header"/>
      <w:ind w:left="284"/>
    </w:pPr>
    <w:r>
      <w:rPr>
        <w:noProof/>
        <w:lang w:eastAsia="en-AU"/>
      </w:rPr>
      <w:drawing>
        <wp:anchor distT="0" distB="0" distL="114300" distR="114300" simplePos="0" relativeHeight="251659264" behindDoc="0" locked="0" layoutInCell="1" allowOverlap="1" wp14:anchorId="2320BA72" wp14:editId="119C26B2">
          <wp:simplePos x="0" y="0"/>
          <wp:positionH relativeFrom="margin">
            <wp:align>right</wp:align>
          </wp:positionH>
          <wp:positionV relativeFrom="paragraph">
            <wp:posOffset>-15240</wp:posOffset>
          </wp:positionV>
          <wp:extent cx="1620000" cy="882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 Logo - 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620000"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49E3"/>
    <w:multiLevelType w:val="multilevel"/>
    <w:tmpl w:val="8A6E19B4"/>
    <w:lvl w:ilvl="0">
      <w:start w:val="1"/>
      <w:numFmt w:val="bullet"/>
      <w:lvlText w:val=""/>
      <w:lvlJc w:val="left"/>
      <w:pPr>
        <w:tabs>
          <w:tab w:val="num" w:pos="568"/>
        </w:tabs>
        <w:ind w:left="568" w:hanging="284"/>
      </w:pPr>
      <w:rPr>
        <w:rFonts w:ascii="Symbol" w:hAnsi="Symbol" w:hint="default"/>
        <w:color w:val="1C5692" w:themeColor="text2"/>
      </w:rPr>
    </w:lvl>
    <w:lvl w:ilvl="1">
      <w:start w:val="1"/>
      <w:numFmt w:val="bullet"/>
      <w:lvlText w:val="○"/>
      <w:lvlJc w:val="left"/>
      <w:pPr>
        <w:tabs>
          <w:tab w:val="num" w:pos="851"/>
        </w:tabs>
        <w:ind w:left="852" w:hanging="284"/>
      </w:pPr>
      <w:rPr>
        <w:rFonts w:ascii="Calibri" w:hAnsi="Calibri" w:hint="default"/>
        <w:color w:val="1C5692" w:themeColor="text2"/>
      </w:rPr>
    </w:lvl>
    <w:lvl w:ilvl="2">
      <w:start w:val="1"/>
      <w:numFmt w:val="bullet"/>
      <w:lvlText w:val=""/>
      <w:lvlJc w:val="left"/>
      <w:pPr>
        <w:tabs>
          <w:tab w:val="num" w:pos="1135"/>
        </w:tabs>
        <w:ind w:left="1136" w:hanging="284"/>
      </w:pPr>
      <w:rPr>
        <w:rFonts w:ascii="Symbol" w:hAnsi="Symbol" w:hint="default"/>
        <w:color w:val="1C5692" w:themeColor="text2"/>
      </w:rPr>
    </w:lvl>
    <w:lvl w:ilvl="3">
      <w:start w:val="1"/>
      <w:numFmt w:val="bullet"/>
      <w:lvlText w:val="−"/>
      <w:lvlJc w:val="left"/>
      <w:pPr>
        <w:tabs>
          <w:tab w:val="num" w:pos="1418"/>
        </w:tabs>
        <w:ind w:left="1420" w:hanging="284"/>
      </w:pPr>
      <w:rPr>
        <w:rFonts w:ascii="Calibri" w:hAnsi="Calibri" w:hint="default"/>
      </w:rPr>
    </w:lvl>
    <w:lvl w:ilvl="4">
      <w:start w:val="1"/>
      <w:numFmt w:val="bullet"/>
      <w:lvlText w:val="−"/>
      <w:lvlJc w:val="left"/>
      <w:pPr>
        <w:tabs>
          <w:tab w:val="num" w:pos="1702"/>
        </w:tabs>
        <w:ind w:left="1704" w:hanging="284"/>
      </w:pPr>
      <w:rPr>
        <w:rFonts w:ascii="Calibri" w:hAnsi="Calibri" w:hint="default"/>
      </w:rPr>
    </w:lvl>
    <w:lvl w:ilvl="5">
      <w:start w:val="1"/>
      <w:numFmt w:val="bullet"/>
      <w:lvlText w:val="−"/>
      <w:lvlJc w:val="left"/>
      <w:pPr>
        <w:tabs>
          <w:tab w:val="num" w:pos="2061"/>
        </w:tabs>
        <w:ind w:left="1988" w:hanging="284"/>
      </w:pPr>
      <w:rPr>
        <w:rFonts w:ascii="Calibri" w:hAnsi="Calibri" w:hint="default"/>
      </w:rPr>
    </w:lvl>
    <w:lvl w:ilvl="6">
      <w:start w:val="1"/>
      <w:numFmt w:val="bullet"/>
      <w:lvlText w:val="−"/>
      <w:lvlJc w:val="left"/>
      <w:pPr>
        <w:tabs>
          <w:tab w:val="num" w:pos="2345"/>
        </w:tabs>
        <w:ind w:left="2272" w:hanging="284"/>
      </w:pPr>
      <w:rPr>
        <w:rFonts w:ascii="Calibri" w:hAnsi="Calibri" w:hint="default"/>
      </w:rPr>
    </w:lvl>
    <w:lvl w:ilvl="7">
      <w:start w:val="1"/>
      <w:numFmt w:val="bullet"/>
      <w:lvlText w:val="−"/>
      <w:lvlJc w:val="left"/>
      <w:pPr>
        <w:tabs>
          <w:tab w:val="num" w:pos="2629"/>
        </w:tabs>
        <w:ind w:left="2556" w:hanging="284"/>
      </w:pPr>
      <w:rPr>
        <w:rFonts w:ascii="Calibri" w:hAnsi="Calibri" w:hint="default"/>
      </w:rPr>
    </w:lvl>
    <w:lvl w:ilvl="8">
      <w:start w:val="1"/>
      <w:numFmt w:val="bullet"/>
      <w:lvlText w:val="−"/>
      <w:lvlJc w:val="left"/>
      <w:pPr>
        <w:tabs>
          <w:tab w:val="num" w:pos="2913"/>
        </w:tabs>
        <w:ind w:left="2840" w:hanging="284"/>
      </w:pPr>
      <w:rPr>
        <w:rFonts w:ascii="Calibri" w:hAnsi="Calibri" w:hint="default"/>
      </w:rPr>
    </w:lvl>
  </w:abstractNum>
  <w:abstractNum w:abstractNumId="1" w15:restartNumberingAfterBreak="0">
    <w:nsid w:val="04474E65"/>
    <w:multiLevelType w:val="multilevel"/>
    <w:tmpl w:val="879A9E98"/>
    <w:styleLink w:val="Headings"/>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pStyle w:val="ListNumber"/>
      <w:lvlText w:val="%4."/>
      <w:lvlJc w:val="left"/>
      <w:pPr>
        <w:tabs>
          <w:tab w:val="num" w:pos="284"/>
        </w:tabs>
        <w:ind w:left="284" w:hanging="284"/>
      </w:pPr>
      <w:rPr>
        <w:rFonts w:hint="default"/>
        <w:b w:val="0"/>
        <w:i w:val="0"/>
        <w:color w:val="1C5692" w:themeColor="text2"/>
      </w:rPr>
    </w:lvl>
    <w:lvl w:ilvl="4">
      <w:start w:val="1"/>
      <w:numFmt w:val="lowerLetter"/>
      <w:pStyle w:val="ListNumber2"/>
      <w:lvlText w:val="%5."/>
      <w:lvlJc w:val="left"/>
      <w:pPr>
        <w:tabs>
          <w:tab w:val="num" w:pos="567"/>
        </w:tabs>
        <w:ind w:left="567" w:hanging="283"/>
      </w:pPr>
      <w:rPr>
        <w:rFonts w:hint="default"/>
        <w:b w:val="0"/>
        <w:i w:val="0"/>
        <w:color w:val="1C5692" w:themeColor="text2"/>
      </w:rPr>
    </w:lvl>
    <w:lvl w:ilvl="5">
      <w:start w:val="1"/>
      <w:numFmt w:val="lowerRoman"/>
      <w:pStyle w:val="ListNumber3"/>
      <w:lvlText w:val="%6."/>
      <w:lvlJc w:val="left"/>
      <w:pPr>
        <w:tabs>
          <w:tab w:val="num" w:pos="851"/>
        </w:tabs>
        <w:ind w:left="851" w:hanging="284"/>
      </w:pPr>
      <w:rPr>
        <w:rFonts w:hint="default"/>
        <w:b w:val="0"/>
        <w:i w:val="0"/>
        <w:color w:val="1C5692" w:themeColor="text2"/>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C7464BB"/>
    <w:multiLevelType w:val="multilevel"/>
    <w:tmpl w:val="D3EEE87C"/>
    <w:name w:val="AutoNum"/>
    <w:lvl w:ilvl="0">
      <w:start w:val="1"/>
      <w:numFmt w:val="decimal"/>
      <w:pStyle w:val="TableAutoNumbering"/>
      <w:lvlText w:val="%1."/>
      <w:lvlJc w:val="left"/>
      <w:pPr>
        <w:ind w:left="360" w:hanging="360"/>
      </w:pPr>
      <w:rPr>
        <w:rFonts w:asciiTheme="majorHAnsi" w:hAnsiTheme="majorHAnsi" w:hint="default"/>
        <w:b/>
        <w:i w:val="0"/>
        <w:color w:val="1C5692"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EB022D8"/>
    <w:multiLevelType w:val="hybridMultilevel"/>
    <w:tmpl w:val="E9A630E6"/>
    <w:lvl w:ilvl="0" w:tplc="D444EF46">
      <w:start w:val="1"/>
      <w:numFmt w:val="bullet"/>
      <w:pStyle w:val="TableBullets"/>
      <w:lvlText w:val=""/>
      <w:lvlJc w:val="left"/>
      <w:pPr>
        <w:ind w:left="360" w:hanging="360"/>
      </w:pPr>
      <w:rPr>
        <w:rFonts w:ascii="Wingdings" w:hAnsi="Wingdings" w:hint="default"/>
        <w:color w:val="1C5692"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C922AF"/>
    <w:multiLevelType w:val="multilevel"/>
    <w:tmpl w:val="81AADD30"/>
    <w:lvl w:ilvl="0">
      <w:start w:val="1"/>
      <w:numFmt w:val="lowerLetter"/>
      <w:lvlText w:val="%1)"/>
      <w:lvlJc w:val="left"/>
      <w:pPr>
        <w:ind w:left="852" w:hanging="284"/>
      </w:pPr>
      <w:rPr>
        <w:rFonts w:hint="default"/>
        <w:b w:val="0"/>
        <w:color w:val="1C5692" w:themeColor="text2"/>
      </w:rPr>
    </w:lvl>
    <w:lvl w:ilvl="1">
      <w:start w:val="1"/>
      <w:numFmt w:val="lowerRoman"/>
      <w:lvlText w:val="%2."/>
      <w:lvlJc w:val="left"/>
      <w:pPr>
        <w:ind w:left="1136" w:hanging="284"/>
      </w:pPr>
      <w:rPr>
        <w:rFonts w:hint="default"/>
        <w:b w:val="0"/>
        <w:color w:val="1C5692" w:themeColor="text2"/>
      </w:rPr>
    </w:lvl>
    <w:lvl w:ilvl="2">
      <w:start w:val="1"/>
      <w:numFmt w:val="decimal"/>
      <w:lvlText w:val="%3."/>
      <w:lvlJc w:val="left"/>
      <w:pPr>
        <w:ind w:left="1420" w:hanging="284"/>
      </w:pPr>
      <w:rPr>
        <w:rFonts w:hint="default"/>
        <w:b w:val="0"/>
        <w:color w:val="1C5692" w:themeColor="text2"/>
      </w:rPr>
    </w:lvl>
    <w:lvl w:ilvl="3">
      <w:start w:val="1"/>
      <w:numFmt w:val="none"/>
      <w:lvlText w:val=""/>
      <w:lvlJc w:val="left"/>
      <w:pPr>
        <w:ind w:left="1704" w:hanging="284"/>
      </w:pPr>
      <w:rPr>
        <w:rFonts w:hint="default"/>
      </w:rPr>
    </w:lvl>
    <w:lvl w:ilvl="4">
      <w:start w:val="1"/>
      <w:numFmt w:val="none"/>
      <w:lvlText w:val=""/>
      <w:lvlJc w:val="left"/>
      <w:pPr>
        <w:ind w:left="1988" w:hanging="284"/>
      </w:pPr>
      <w:rPr>
        <w:rFonts w:hint="default"/>
      </w:rPr>
    </w:lvl>
    <w:lvl w:ilvl="5">
      <w:start w:val="1"/>
      <w:numFmt w:val="none"/>
      <w:lvlText w:val=""/>
      <w:lvlJc w:val="left"/>
      <w:pPr>
        <w:ind w:left="2272" w:hanging="284"/>
      </w:pPr>
      <w:rPr>
        <w:rFonts w:hint="default"/>
      </w:rPr>
    </w:lvl>
    <w:lvl w:ilvl="6">
      <w:start w:val="1"/>
      <w:numFmt w:val="none"/>
      <w:lvlText w:val=""/>
      <w:lvlJc w:val="left"/>
      <w:pPr>
        <w:ind w:left="2556" w:hanging="284"/>
      </w:pPr>
      <w:rPr>
        <w:rFonts w:hint="default"/>
      </w:rPr>
    </w:lvl>
    <w:lvl w:ilvl="7">
      <w:start w:val="1"/>
      <w:numFmt w:val="none"/>
      <w:lvlText w:val=""/>
      <w:lvlJc w:val="left"/>
      <w:pPr>
        <w:ind w:left="2840" w:hanging="284"/>
      </w:pPr>
      <w:rPr>
        <w:rFonts w:hint="default"/>
      </w:rPr>
    </w:lvl>
    <w:lvl w:ilvl="8">
      <w:start w:val="1"/>
      <w:numFmt w:val="none"/>
      <w:lvlText w:val=""/>
      <w:lvlJc w:val="left"/>
      <w:pPr>
        <w:ind w:left="3124" w:hanging="284"/>
      </w:pPr>
      <w:rPr>
        <w:rFonts w:hint="default"/>
      </w:rPr>
    </w:lvl>
  </w:abstractNum>
  <w:abstractNum w:abstractNumId="5" w15:restartNumberingAfterBreak="0">
    <w:nsid w:val="117A17FE"/>
    <w:multiLevelType w:val="multilevel"/>
    <w:tmpl w:val="09685C38"/>
    <w:numStyleLink w:val="MasterHeadings"/>
  </w:abstractNum>
  <w:abstractNum w:abstractNumId="6" w15:restartNumberingAfterBreak="0">
    <w:nsid w:val="11DD04D9"/>
    <w:multiLevelType w:val="multilevel"/>
    <w:tmpl w:val="15D0548A"/>
    <w:lvl w:ilvl="0">
      <w:start w:val="1"/>
      <w:numFmt w:val="bullet"/>
      <w:lvlText w:val=""/>
      <w:lvlJc w:val="left"/>
      <w:pPr>
        <w:tabs>
          <w:tab w:val="num" w:pos="568"/>
        </w:tabs>
        <w:ind w:left="568" w:hanging="284"/>
      </w:pPr>
      <w:rPr>
        <w:rFonts w:ascii="Symbol" w:hAnsi="Symbol" w:hint="default"/>
        <w:color w:val="1C5692" w:themeColor="text2"/>
      </w:rPr>
    </w:lvl>
    <w:lvl w:ilvl="1">
      <w:start w:val="1"/>
      <w:numFmt w:val="bullet"/>
      <w:lvlText w:val="○"/>
      <w:lvlJc w:val="left"/>
      <w:pPr>
        <w:tabs>
          <w:tab w:val="num" w:pos="851"/>
        </w:tabs>
        <w:ind w:left="852" w:hanging="284"/>
      </w:pPr>
      <w:rPr>
        <w:rFonts w:ascii="Calibri" w:hAnsi="Calibri" w:hint="default"/>
        <w:color w:val="1C5692" w:themeColor="text2"/>
      </w:rPr>
    </w:lvl>
    <w:lvl w:ilvl="2">
      <w:start w:val="1"/>
      <w:numFmt w:val="bullet"/>
      <w:lvlText w:val=""/>
      <w:lvlJc w:val="left"/>
      <w:pPr>
        <w:tabs>
          <w:tab w:val="num" w:pos="1135"/>
        </w:tabs>
        <w:ind w:left="1136" w:hanging="284"/>
      </w:pPr>
      <w:rPr>
        <w:rFonts w:ascii="Symbol" w:hAnsi="Symbol" w:hint="default"/>
        <w:color w:val="1C5692" w:themeColor="text2"/>
      </w:rPr>
    </w:lvl>
    <w:lvl w:ilvl="3">
      <w:start w:val="1"/>
      <w:numFmt w:val="bullet"/>
      <w:lvlText w:val="−"/>
      <w:lvlJc w:val="left"/>
      <w:pPr>
        <w:tabs>
          <w:tab w:val="num" w:pos="1418"/>
        </w:tabs>
        <w:ind w:left="1420" w:hanging="284"/>
      </w:pPr>
      <w:rPr>
        <w:rFonts w:ascii="Calibri" w:hAnsi="Calibri" w:hint="default"/>
      </w:rPr>
    </w:lvl>
    <w:lvl w:ilvl="4">
      <w:start w:val="1"/>
      <w:numFmt w:val="bullet"/>
      <w:lvlText w:val="−"/>
      <w:lvlJc w:val="left"/>
      <w:pPr>
        <w:tabs>
          <w:tab w:val="num" w:pos="1702"/>
        </w:tabs>
        <w:ind w:left="1704" w:hanging="284"/>
      </w:pPr>
      <w:rPr>
        <w:rFonts w:ascii="Calibri" w:hAnsi="Calibri" w:hint="default"/>
      </w:rPr>
    </w:lvl>
    <w:lvl w:ilvl="5">
      <w:start w:val="1"/>
      <w:numFmt w:val="bullet"/>
      <w:lvlText w:val="−"/>
      <w:lvlJc w:val="left"/>
      <w:pPr>
        <w:tabs>
          <w:tab w:val="num" w:pos="2061"/>
        </w:tabs>
        <w:ind w:left="1988" w:hanging="284"/>
      </w:pPr>
      <w:rPr>
        <w:rFonts w:ascii="Calibri" w:hAnsi="Calibri" w:hint="default"/>
      </w:rPr>
    </w:lvl>
    <w:lvl w:ilvl="6">
      <w:start w:val="1"/>
      <w:numFmt w:val="bullet"/>
      <w:lvlText w:val="−"/>
      <w:lvlJc w:val="left"/>
      <w:pPr>
        <w:tabs>
          <w:tab w:val="num" w:pos="2345"/>
        </w:tabs>
        <w:ind w:left="2272" w:hanging="284"/>
      </w:pPr>
      <w:rPr>
        <w:rFonts w:ascii="Calibri" w:hAnsi="Calibri" w:hint="default"/>
      </w:rPr>
    </w:lvl>
    <w:lvl w:ilvl="7">
      <w:start w:val="1"/>
      <w:numFmt w:val="bullet"/>
      <w:lvlText w:val="−"/>
      <w:lvlJc w:val="left"/>
      <w:pPr>
        <w:tabs>
          <w:tab w:val="num" w:pos="2629"/>
        </w:tabs>
        <w:ind w:left="2556" w:hanging="284"/>
      </w:pPr>
      <w:rPr>
        <w:rFonts w:ascii="Calibri" w:hAnsi="Calibri" w:hint="default"/>
      </w:rPr>
    </w:lvl>
    <w:lvl w:ilvl="8">
      <w:start w:val="1"/>
      <w:numFmt w:val="bullet"/>
      <w:lvlText w:val="−"/>
      <w:lvlJc w:val="left"/>
      <w:pPr>
        <w:tabs>
          <w:tab w:val="num" w:pos="2913"/>
        </w:tabs>
        <w:ind w:left="2840" w:hanging="284"/>
      </w:pPr>
      <w:rPr>
        <w:rFonts w:ascii="Calibri" w:hAnsi="Calibri" w:hint="default"/>
      </w:rPr>
    </w:lvl>
  </w:abstractNum>
  <w:abstractNum w:abstractNumId="7" w15:restartNumberingAfterBreak="0">
    <w:nsid w:val="167652A5"/>
    <w:multiLevelType w:val="multilevel"/>
    <w:tmpl w:val="B23C5402"/>
    <w:lvl w:ilvl="0">
      <w:start w:val="1"/>
      <w:numFmt w:val="lowerLetter"/>
      <w:lvlText w:val="%1)"/>
      <w:lvlJc w:val="left"/>
      <w:pPr>
        <w:ind w:left="852" w:hanging="284"/>
      </w:pPr>
      <w:rPr>
        <w:rFonts w:hint="default"/>
        <w:b w:val="0"/>
        <w:color w:val="1C5692" w:themeColor="text2"/>
      </w:rPr>
    </w:lvl>
    <w:lvl w:ilvl="1">
      <w:start w:val="1"/>
      <w:numFmt w:val="lowerRoman"/>
      <w:lvlText w:val="%2."/>
      <w:lvlJc w:val="left"/>
      <w:pPr>
        <w:ind w:left="1136" w:hanging="284"/>
      </w:pPr>
      <w:rPr>
        <w:rFonts w:hint="default"/>
        <w:b w:val="0"/>
        <w:color w:val="1C5692" w:themeColor="text2"/>
      </w:rPr>
    </w:lvl>
    <w:lvl w:ilvl="2">
      <w:start w:val="1"/>
      <w:numFmt w:val="decimal"/>
      <w:lvlText w:val="%3."/>
      <w:lvlJc w:val="left"/>
      <w:pPr>
        <w:ind w:left="1420" w:hanging="284"/>
      </w:pPr>
      <w:rPr>
        <w:rFonts w:hint="default"/>
        <w:b w:val="0"/>
        <w:color w:val="1C5692" w:themeColor="text2"/>
      </w:rPr>
    </w:lvl>
    <w:lvl w:ilvl="3">
      <w:start w:val="1"/>
      <w:numFmt w:val="none"/>
      <w:lvlText w:val=""/>
      <w:lvlJc w:val="left"/>
      <w:pPr>
        <w:ind w:left="1704" w:hanging="284"/>
      </w:pPr>
      <w:rPr>
        <w:rFonts w:hint="default"/>
      </w:rPr>
    </w:lvl>
    <w:lvl w:ilvl="4">
      <w:start w:val="1"/>
      <w:numFmt w:val="none"/>
      <w:lvlText w:val=""/>
      <w:lvlJc w:val="left"/>
      <w:pPr>
        <w:ind w:left="1988" w:hanging="284"/>
      </w:pPr>
      <w:rPr>
        <w:rFonts w:hint="default"/>
      </w:rPr>
    </w:lvl>
    <w:lvl w:ilvl="5">
      <w:start w:val="1"/>
      <w:numFmt w:val="none"/>
      <w:lvlText w:val=""/>
      <w:lvlJc w:val="left"/>
      <w:pPr>
        <w:ind w:left="2272" w:hanging="284"/>
      </w:pPr>
      <w:rPr>
        <w:rFonts w:hint="default"/>
      </w:rPr>
    </w:lvl>
    <w:lvl w:ilvl="6">
      <w:start w:val="1"/>
      <w:numFmt w:val="none"/>
      <w:lvlText w:val=""/>
      <w:lvlJc w:val="left"/>
      <w:pPr>
        <w:ind w:left="2556" w:hanging="284"/>
      </w:pPr>
      <w:rPr>
        <w:rFonts w:hint="default"/>
      </w:rPr>
    </w:lvl>
    <w:lvl w:ilvl="7">
      <w:start w:val="1"/>
      <w:numFmt w:val="none"/>
      <w:lvlText w:val=""/>
      <w:lvlJc w:val="left"/>
      <w:pPr>
        <w:ind w:left="2840" w:hanging="284"/>
      </w:pPr>
      <w:rPr>
        <w:rFonts w:hint="default"/>
      </w:rPr>
    </w:lvl>
    <w:lvl w:ilvl="8">
      <w:start w:val="1"/>
      <w:numFmt w:val="none"/>
      <w:lvlText w:val=""/>
      <w:lvlJc w:val="left"/>
      <w:pPr>
        <w:ind w:left="3124" w:hanging="284"/>
      </w:pPr>
      <w:rPr>
        <w:rFonts w:hint="default"/>
      </w:rPr>
    </w:lvl>
  </w:abstractNum>
  <w:abstractNum w:abstractNumId="8" w15:restartNumberingAfterBreak="0">
    <w:nsid w:val="1BC51638"/>
    <w:multiLevelType w:val="multilevel"/>
    <w:tmpl w:val="1E0AEB10"/>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Letter"/>
      <w:lvlText w:val="%3)"/>
      <w:lvlJc w:val="left"/>
      <w:pPr>
        <w:ind w:left="0" w:firstLine="0"/>
      </w:pPr>
      <w:rPr>
        <w:rFonts w:hint="default"/>
      </w:rPr>
    </w:lvl>
    <w:lvl w:ilvl="3">
      <w:start w:val="1"/>
      <w:numFmt w:val="decimal"/>
      <w:lvlText w:val="%4."/>
      <w:lvlJc w:val="left"/>
      <w:pPr>
        <w:tabs>
          <w:tab w:val="num" w:pos="284"/>
        </w:tabs>
        <w:ind w:left="284" w:hanging="284"/>
      </w:pPr>
      <w:rPr>
        <w:rFonts w:hint="default"/>
        <w:b w:val="0"/>
        <w:i w:val="0"/>
        <w:color w:val="1C5692" w:themeColor="text2"/>
      </w:rPr>
    </w:lvl>
    <w:lvl w:ilvl="4">
      <w:start w:val="1"/>
      <w:numFmt w:val="decimal"/>
      <w:lvlText w:val="%5."/>
      <w:lvlJc w:val="left"/>
      <w:pPr>
        <w:tabs>
          <w:tab w:val="num" w:pos="567"/>
        </w:tabs>
        <w:ind w:left="567" w:hanging="283"/>
      </w:pPr>
      <w:rPr>
        <w:rFonts w:hint="default"/>
        <w:b w:val="0"/>
        <w:i w:val="0"/>
        <w:color w:val="1C5692" w:themeColor="text2"/>
      </w:rPr>
    </w:lvl>
    <w:lvl w:ilvl="5">
      <w:start w:val="1"/>
      <w:numFmt w:val="lowerLetter"/>
      <w:lvlText w:val="%6)"/>
      <w:lvlJc w:val="left"/>
      <w:pPr>
        <w:tabs>
          <w:tab w:val="num" w:pos="1702"/>
        </w:tabs>
        <w:ind w:left="1702" w:hanging="284"/>
      </w:pPr>
      <w:rPr>
        <w:rFonts w:hint="default"/>
        <w:b w:val="0"/>
        <w:i w:val="0"/>
        <w:color w:val="1C5692" w:themeColor="text2"/>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C9CAC8"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0" w15:restartNumberingAfterBreak="0">
    <w:nsid w:val="256E21C7"/>
    <w:multiLevelType w:val="hybridMultilevel"/>
    <w:tmpl w:val="F7EEFDBE"/>
    <w:lvl w:ilvl="0" w:tplc="DB7E0DDE">
      <w:start w:val="1"/>
      <w:numFmt w:val="bullet"/>
      <w:pStyle w:val="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2" w15:restartNumberingAfterBreak="0">
    <w:nsid w:val="2C02140E"/>
    <w:multiLevelType w:val="multilevel"/>
    <w:tmpl w:val="15D0548A"/>
    <w:lvl w:ilvl="0">
      <w:start w:val="1"/>
      <w:numFmt w:val="bullet"/>
      <w:lvlText w:val=""/>
      <w:lvlJc w:val="left"/>
      <w:pPr>
        <w:tabs>
          <w:tab w:val="num" w:pos="568"/>
        </w:tabs>
        <w:ind w:left="568" w:hanging="284"/>
      </w:pPr>
      <w:rPr>
        <w:rFonts w:ascii="Symbol" w:hAnsi="Symbol" w:hint="default"/>
        <w:color w:val="1C5692" w:themeColor="text2"/>
      </w:rPr>
    </w:lvl>
    <w:lvl w:ilvl="1">
      <w:start w:val="1"/>
      <w:numFmt w:val="bullet"/>
      <w:lvlText w:val="○"/>
      <w:lvlJc w:val="left"/>
      <w:pPr>
        <w:tabs>
          <w:tab w:val="num" w:pos="851"/>
        </w:tabs>
        <w:ind w:left="852" w:hanging="284"/>
      </w:pPr>
      <w:rPr>
        <w:rFonts w:ascii="Calibri" w:hAnsi="Calibri" w:hint="default"/>
        <w:color w:val="1C5692" w:themeColor="text2"/>
      </w:rPr>
    </w:lvl>
    <w:lvl w:ilvl="2">
      <w:start w:val="1"/>
      <w:numFmt w:val="bullet"/>
      <w:lvlText w:val=""/>
      <w:lvlJc w:val="left"/>
      <w:pPr>
        <w:tabs>
          <w:tab w:val="num" w:pos="1135"/>
        </w:tabs>
        <w:ind w:left="1136" w:hanging="284"/>
      </w:pPr>
      <w:rPr>
        <w:rFonts w:ascii="Symbol" w:hAnsi="Symbol" w:hint="default"/>
        <w:color w:val="1C5692" w:themeColor="text2"/>
      </w:rPr>
    </w:lvl>
    <w:lvl w:ilvl="3">
      <w:start w:val="1"/>
      <w:numFmt w:val="bullet"/>
      <w:lvlText w:val="−"/>
      <w:lvlJc w:val="left"/>
      <w:pPr>
        <w:tabs>
          <w:tab w:val="num" w:pos="1418"/>
        </w:tabs>
        <w:ind w:left="1420" w:hanging="284"/>
      </w:pPr>
      <w:rPr>
        <w:rFonts w:ascii="Calibri" w:hAnsi="Calibri" w:hint="default"/>
      </w:rPr>
    </w:lvl>
    <w:lvl w:ilvl="4">
      <w:start w:val="1"/>
      <w:numFmt w:val="bullet"/>
      <w:lvlText w:val="−"/>
      <w:lvlJc w:val="left"/>
      <w:pPr>
        <w:tabs>
          <w:tab w:val="num" w:pos="1702"/>
        </w:tabs>
        <w:ind w:left="1704" w:hanging="284"/>
      </w:pPr>
      <w:rPr>
        <w:rFonts w:ascii="Calibri" w:hAnsi="Calibri" w:hint="default"/>
      </w:rPr>
    </w:lvl>
    <w:lvl w:ilvl="5">
      <w:start w:val="1"/>
      <w:numFmt w:val="bullet"/>
      <w:lvlText w:val="−"/>
      <w:lvlJc w:val="left"/>
      <w:pPr>
        <w:tabs>
          <w:tab w:val="num" w:pos="2061"/>
        </w:tabs>
        <w:ind w:left="1988" w:hanging="284"/>
      </w:pPr>
      <w:rPr>
        <w:rFonts w:ascii="Calibri" w:hAnsi="Calibri" w:hint="default"/>
      </w:rPr>
    </w:lvl>
    <w:lvl w:ilvl="6">
      <w:start w:val="1"/>
      <w:numFmt w:val="bullet"/>
      <w:lvlText w:val="−"/>
      <w:lvlJc w:val="left"/>
      <w:pPr>
        <w:tabs>
          <w:tab w:val="num" w:pos="2345"/>
        </w:tabs>
        <w:ind w:left="2272" w:hanging="284"/>
      </w:pPr>
      <w:rPr>
        <w:rFonts w:ascii="Calibri" w:hAnsi="Calibri" w:hint="default"/>
      </w:rPr>
    </w:lvl>
    <w:lvl w:ilvl="7">
      <w:start w:val="1"/>
      <w:numFmt w:val="bullet"/>
      <w:lvlText w:val="−"/>
      <w:lvlJc w:val="left"/>
      <w:pPr>
        <w:tabs>
          <w:tab w:val="num" w:pos="2629"/>
        </w:tabs>
        <w:ind w:left="2556" w:hanging="284"/>
      </w:pPr>
      <w:rPr>
        <w:rFonts w:ascii="Calibri" w:hAnsi="Calibri" w:hint="default"/>
      </w:rPr>
    </w:lvl>
    <w:lvl w:ilvl="8">
      <w:start w:val="1"/>
      <w:numFmt w:val="bullet"/>
      <w:lvlText w:val="−"/>
      <w:lvlJc w:val="left"/>
      <w:pPr>
        <w:tabs>
          <w:tab w:val="num" w:pos="2913"/>
        </w:tabs>
        <w:ind w:left="2840" w:hanging="284"/>
      </w:pPr>
      <w:rPr>
        <w:rFonts w:ascii="Calibri" w:hAnsi="Calibri" w:hint="default"/>
      </w:rPr>
    </w:lvl>
  </w:abstractNum>
  <w:abstractNum w:abstractNumId="13" w15:restartNumberingAfterBreak="0">
    <w:nsid w:val="3001553C"/>
    <w:multiLevelType w:val="multilevel"/>
    <w:tmpl w:val="D3B8E568"/>
    <w:numStyleLink w:val="Bullets"/>
  </w:abstractNum>
  <w:abstractNum w:abstractNumId="14" w15:restartNumberingAfterBreak="0">
    <w:nsid w:val="34AE3043"/>
    <w:multiLevelType w:val="multilevel"/>
    <w:tmpl w:val="09685C38"/>
    <w:styleLink w:val="MasterHeadings"/>
    <w:lvl w:ilvl="0">
      <w:start w:val="1"/>
      <w:numFmt w:val="none"/>
      <w:pStyle w:val="PageHeading"/>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pStyle w:val="NumberedListAutoRestart"/>
      <w:lvlText w:val="%5."/>
      <w:lvlJc w:val="left"/>
      <w:pPr>
        <w:tabs>
          <w:tab w:val="num" w:pos="851"/>
        </w:tabs>
        <w:ind w:left="851" w:hanging="284"/>
      </w:pPr>
      <w:rPr>
        <w:rFonts w:hint="default"/>
        <w:color w:val="1C5692" w:themeColor="text2"/>
      </w:rPr>
    </w:lvl>
    <w:lvl w:ilvl="5">
      <w:start w:val="1"/>
      <w:numFmt w:val="lowerLetter"/>
      <w:lvlText w:val="%6."/>
      <w:lvlJc w:val="left"/>
      <w:pPr>
        <w:tabs>
          <w:tab w:val="num" w:pos="1134"/>
        </w:tabs>
        <w:ind w:left="1134" w:hanging="283"/>
      </w:pPr>
      <w:rPr>
        <w:rFonts w:hint="default"/>
        <w:color w:val="1C5692" w:themeColor="text2"/>
      </w:rPr>
    </w:lvl>
    <w:lvl w:ilvl="6">
      <w:start w:val="1"/>
      <w:numFmt w:val="lowerRoman"/>
      <w:lvlText w:val="%7."/>
      <w:lvlJc w:val="left"/>
      <w:pPr>
        <w:tabs>
          <w:tab w:val="num" w:pos="1418"/>
        </w:tabs>
        <w:ind w:left="1418" w:hanging="284"/>
      </w:pPr>
      <w:rPr>
        <w:rFonts w:hint="default"/>
        <w:color w:val="1C5692"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15E0125"/>
    <w:multiLevelType w:val="multilevel"/>
    <w:tmpl w:val="D3B8E568"/>
    <w:styleLink w:val="Bullets"/>
    <w:lvl w:ilvl="0">
      <w:start w:val="1"/>
      <w:numFmt w:val="bullet"/>
      <w:pStyle w:val="ListBullet"/>
      <w:lvlText w:val=""/>
      <w:lvlJc w:val="left"/>
      <w:pPr>
        <w:tabs>
          <w:tab w:val="num" w:pos="284"/>
        </w:tabs>
        <w:ind w:left="284" w:hanging="284"/>
      </w:pPr>
      <w:rPr>
        <w:rFonts w:ascii="Symbol" w:hAnsi="Symbol" w:hint="default"/>
        <w:color w:val="1C5692" w:themeColor="text2"/>
      </w:rPr>
    </w:lvl>
    <w:lvl w:ilvl="1">
      <w:start w:val="1"/>
      <w:numFmt w:val="bullet"/>
      <w:pStyle w:val="ListBullet2"/>
      <w:lvlText w:val="○"/>
      <w:lvlJc w:val="left"/>
      <w:pPr>
        <w:tabs>
          <w:tab w:val="num" w:pos="567"/>
        </w:tabs>
        <w:ind w:left="568" w:hanging="284"/>
      </w:pPr>
      <w:rPr>
        <w:rFonts w:ascii="Calibri" w:hAnsi="Calibri" w:hint="default"/>
        <w:color w:val="1C5692" w:themeColor="text2"/>
      </w:rPr>
    </w:lvl>
    <w:lvl w:ilvl="2">
      <w:start w:val="1"/>
      <w:numFmt w:val="bullet"/>
      <w:pStyle w:val="ListBullet3"/>
      <w:lvlText w:val="▪"/>
      <w:lvlJc w:val="left"/>
      <w:pPr>
        <w:tabs>
          <w:tab w:val="num" w:pos="851"/>
        </w:tabs>
        <w:ind w:left="852" w:hanging="284"/>
      </w:pPr>
      <w:rPr>
        <w:rFonts w:ascii="Calibri" w:hAnsi="Calibri" w:hint="default"/>
        <w:color w:val="1C5692" w:themeColor="text2"/>
      </w:rPr>
    </w:lvl>
    <w:lvl w:ilvl="3">
      <w:start w:val="1"/>
      <w:numFmt w:val="bullet"/>
      <w:lvlText w:val="−"/>
      <w:lvlJc w:val="left"/>
      <w:pPr>
        <w:tabs>
          <w:tab w:val="num" w:pos="1134"/>
        </w:tabs>
        <w:ind w:left="1136" w:hanging="284"/>
      </w:pPr>
      <w:rPr>
        <w:rFonts w:ascii="Calibri" w:hAnsi="Calibri" w:hint="default"/>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16"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1C5692" w:themeColor="text2"/>
      </w:rPr>
    </w:lvl>
    <w:lvl w:ilvl="1">
      <w:start w:val="1"/>
      <w:numFmt w:val="lowerLetter"/>
      <w:lvlText w:val="%2."/>
      <w:lvlJc w:val="left"/>
      <w:pPr>
        <w:ind w:left="714" w:hanging="357"/>
      </w:pPr>
      <w:rPr>
        <w:rFonts w:hint="default"/>
        <w:b w:val="0"/>
        <w:i w:val="0"/>
        <w:color w:val="1C5692" w:themeColor="text2"/>
      </w:rPr>
    </w:lvl>
    <w:lvl w:ilvl="2">
      <w:start w:val="1"/>
      <w:numFmt w:val="lowerRoman"/>
      <w:lvlText w:val="%3."/>
      <w:lvlJc w:val="left"/>
      <w:pPr>
        <w:ind w:left="1071" w:hanging="357"/>
      </w:pPr>
      <w:rPr>
        <w:rFonts w:hint="default"/>
        <w:b w:val="0"/>
        <w:i w:val="0"/>
        <w:color w:val="1C5692"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17" w15:restartNumberingAfterBreak="0">
    <w:nsid w:val="4C343A97"/>
    <w:multiLevelType w:val="multilevel"/>
    <w:tmpl w:val="001C9FB2"/>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tabs>
          <w:tab w:val="num" w:pos="852"/>
        </w:tabs>
        <w:ind w:left="852" w:hanging="284"/>
      </w:pPr>
      <w:rPr>
        <w:rFonts w:hint="default"/>
        <w:b w:val="0"/>
        <w:i w:val="0"/>
        <w:color w:val="1C5692" w:themeColor="text2"/>
      </w:rPr>
    </w:lvl>
    <w:lvl w:ilvl="4">
      <w:start w:val="1"/>
      <w:numFmt w:val="lowerLetter"/>
      <w:lvlText w:val="%5."/>
      <w:lvlJc w:val="left"/>
      <w:pPr>
        <w:tabs>
          <w:tab w:val="num" w:pos="567"/>
        </w:tabs>
        <w:ind w:left="567" w:hanging="283"/>
      </w:pPr>
      <w:rPr>
        <w:rFonts w:hint="default"/>
        <w:b w:val="0"/>
        <w:i w:val="0"/>
        <w:color w:val="1C5692" w:themeColor="text2"/>
      </w:rPr>
    </w:lvl>
    <w:lvl w:ilvl="5">
      <w:start w:val="1"/>
      <w:numFmt w:val="decimal"/>
      <w:lvlText w:val="%6."/>
      <w:lvlJc w:val="left"/>
      <w:pPr>
        <w:tabs>
          <w:tab w:val="num" w:pos="851"/>
        </w:tabs>
        <w:ind w:left="851" w:hanging="284"/>
      </w:pPr>
      <w:rPr>
        <w:rFonts w:hint="default"/>
        <w:b w:val="0"/>
        <w:i w:val="0"/>
        <w:color w:val="1C5692" w:themeColor="text2"/>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27D1F93"/>
    <w:multiLevelType w:val="multilevel"/>
    <w:tmpl w:val="A9FA82B6"/>
    <w:styleLink w:val="AlphaList"/>
    <w:lvl w:ilvl="0">
      <w:start w:val="1"/>
      <w:numFmt w:val="lowerLetter"/>
      <w:pStyle w:val="List"/>
      <w:lvlText w:val="%1."/>
      <w:lvlJc w:val="left"/>
      <w:pPr>
        <w:ind w:left="284" w:hanging="284"/>
      </w:pPr>
      <w:rPr>
        <w:rFonts w:hint="default"/>
        <w:b w:val="0"/>
        <w:color w:val="1C5692" w:themeColor="text2"/>
      </w:rPr>
    </w:lvl>
    <w:lvl w:ilvl="1">
      <w:start w:val="1"/>
      <w:numFmt w:val="lowerRoman"/>
      <w:pStyle w:val="List2"/>
      <w:lvlText w:val="%2."/>
      <w:lvlJc w:val="left"/>
      <w:pPr>
        <w:ind w:left="568" w:hanging="284"/>
      </w:pPr>
      <w:rPr>
        <w:rFonts w:hint="default"/>
        <w:b w:val="0"/>
        <w:color w:val="1C5692" w:themeColor="text2"/>
      </w:rPr>
    </w:lvl>
    <w:lvl w:ilvl="2">
      <w:start w:val="1"/>
      <w:numFmt w:val="decimal"/>
      <w:pStyle w:val="List3"/>
      <w:lvlText w:val="%3."/>
      <w:lvlJc w:val="left"/>
      <w:pPr>
        <w:ind w:left="852" w:hanging="284"/>
      </w:pPr>
      <w:rPr>
        <w:rFonts w:hint="default"/>
        <w:b w:val="0"/>
        <w:color w:val="1C5692" w:themeColor="text2"/>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0" w15:restartNumberingAfterBreak="0">
    <w:nsid w:val="6E42361C"/>
    <w:multiLevelType w:val="multilevel"/>
    <w:tmpl w:val="A9FA82B6"/>
    <w:numStyleLink w:val="AlphaList"/>
  </w:abstractNum>
  <w:abstractNum w:abstractNumId="21" w15:restartNumberingAfterBreak="0">
    <w:nsid w:val="72AE4F78"/>
    <w:multiLevelType w:val="multilevel"/>
    <w:tmpl w:val="DF124EB2"/>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bullet"/>
      <w:lvlText w:val=""/>
      <w:lvlJc w:val="left"/>
      <w:pPr>
        <w:tabs>
          <w:tab w:val="num" w:pos="852"/>
        </w:tabs>
        <w:ind w:left="852" w:hanging="284"/>
      </w:pPr>
      <w:rPr>
        <w:rFonts w:ascii="Symbol" w:hAnsi="Symbol" w:hint="default"/>
        <w:b w:val="0"/>
        <w:i w:val="0"/>
        <w:color w:val="1C5692" w:themeColor="text2"/>
      </w:rPr>
    </w:lvl>
    <w:lvl w:ilvl="4">
      <w:start w:val="1"/>
      <w:numFmt w:val="lowerLetter"/>
      <w:lvlText w:val="%5."/>
      <w:lvlJc w:val="left"/>
      <w:pPr>
        <w:tabs>
          <w:tab w:val="num" w:pos="567"/>
        </w:tabs>
        <w:ind w:left="567" w:hanging="283"/>
      </w:pPr>
      <w:rPr>
        <w:rFonts w:hint="default"/>
        <w:b w:val="0"/>
        <w:i w:val="0"/>
        <w:color w:val="1C5692" w:themeColor="text2"/>
      </w:rPr>
    </w:lvl>
    <w:lvl w:ilvl="5">
      <w:start w:val="1"/>
      <w:numFmt w:val="lowerRoman"/>
      <w:lvlText w:val="%6."/>
      <w:lvlJc w:val="left"/>
      <w:pPr>
        <w:tabs>
          <w:tab w:val="num" w:pos="851"/>
        </w:tabs>
        <w:ind w:left="851" w:hanging="284"/>
      </w:pPr>
      <w:rPr>
        <w:rFonts w:hint="default"/>
        <w:b w:val="0"/>
        <w:i w:val="0"/>
        <w:color w:val="1C5692" w:themeColor="text2"/>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72B72B5F"/>
    <w:multiLevelType w:val="multilevel"/>
    <w:tmpl w:val="346EB84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tabs>
          <w:tab w:val="num" w:pos="284"/>
        </w:tabs>
        <w:ind w:left="284" w:hanging="284"/>
      </w:pPr>
      <w:rPr>
        <w:rFonts w:hint="default"/>
        <w:b w:val="0"/>
        <w:i w:val="0"/>
        <w:color w:val="1C5692" w:themeColor="text2"/>
      </w:rPr>
    </w:lvl>
    <w:lvl w:ilvl="4">
      <w:start w:val="1"/>
      <w:numFmt w:val="decimal"/>
      <w:lvlText w:val="%5)"/>
      <w:lvlJc w:val="left"/>
      <w:pPr>
        <w:tabs>
          <w:tab w:val="num" w:pos="567"/>
        </w:tabs>
        <w:ind w:left="567" w:hanging="283"/>
      </w:pPr>
      <w:rPr>
        <w:rFonts w:hint="default"/>
        <w:b w:val="0"/>
        <w:i w:val="0"/>
        <w:color w:val="1C5692" w:themeColor="text2"/>
      </w:rPr>
    </w:lvl>
    <w:lvl w:ilvl="5">
      <w:start w:val="1"/>
      <w:numFmt w:val="lowerRoman"/>
      <w:lvlText w:val="%6."/>
      <w:lvlJc w:val="left"/>
      <w:pPr>
        <w:tabs>
          <w:tab w:val="num" w:pos="851"/>
        </w:tabs>
        <w:ind w:left="851" w:hanging="284"/>
      </w:pPr>
      <w:rPr>
        <w:rFonts w:hint="default"/>
        <w:b w:val="0"/>
        <w:i w:val="0"/>
        <w:color w:val="1C5692" w:themeColor="text2"/>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7358451A"/>
    <w:multiLevelType w:val="multilevel"/>
    <w:tmpl w:val="E51AD726"/>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tabs>
          <w:tab w:val="num" w:pos="284"/>
        </w:tabs>
        <w:ind w:left="284" w:hanging="284"/>
      </w:pPr>
      <w:rPr>
        <w:rFonts w:hint="default"/>
        <w:b w:val="0"/>
        <w:i w:val="0"/>
        <w:color w:val="1C5692" w:themeColor="text2"/>
      </w:rPr>
    </w:lvl>
    <w:lvl w:ilvl="4">
      <w:start w:val="2"/>
      <w:numFmt w:val="decimal"/>
      <w:lvlText w:val="%5)"/>
      <w:lvlJc w:val="left"/>
      <w:pPr>
        <w:tabs>
          <w:tab w:val="num" w:pos="567"/>
        </w:tabs>
        <w:ind w:left="567" w:hanging="283"/>
      </w:pPr>
      <w:rPr>
        <w:rFonts w:hint="default"/>
        <w:b w:val="0"/>
        <w:i w:val="0"/>
        <w:color w:val="1C5692" w:themeColor="text2"/>
      </w:rPr>
    </w:lvl>
    <w:lvl w:ilvl="5">
      <w:start w:val="1"/>
      <w:numFmt w:val="lowerRoman"/>
      <w:lvlText w:val="%6."/>
      <w:lvlJc w:val="left"/>
      <w:pPr>
        <w:tabs>
          <w:tab w:val="num" w:pos="851"/>
        </w:tabs>
        <w:ind w:left="851" w:hanging="284"/>
      </w:pPr>
      <w:rPr>
        <w:rFonts w:hint="default"/>
        <w:b w:val="0"/>
        <w:i w:val="0"/>
        <w:color w:val="1C5692" w:themeColor="text2"/>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4A663E5"/>
    <w:multiLevelType w:val="hybridMultilevel"/>
    <w:tmpl w:val="B6067CD2"/>
    <w:lvl w:ilvl="0" w:tplc="EA96071A">
      <w:start w:val="1"/>
      <w:numFmt w:val="decimal"/>
      <w:lvlText w:val="%1."/>
      <w:lvlJc w:val="left"/>
      <w:pPr>
        <w:ind w:left="360" w:hanging="360"/>
      </w:pPr>
      <w:rPr>
        <w:color w:val="1C5692" w:themeColor="text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7817011"/>
    <w:multiLevelType w:val="multilevel"/>
    <w:tmpl w:val="FCA263D4"/>
    <w:lvl w:ilvl="0">
      <w:start w:val="1"/>
      <w:numFmt w:val="lowerLetter"/>
      <w:lvlText w:val="%1)"/>
      <w:lvlJc w:val="left"/>
      <w:pPr>
        <w:ind w:left="568" w:hanging="284"/>
      </w:pPr>
      <w:rPr>
        <w:rFonts w:hint="default"/>
        <w:b w:val="0"/>
        <w:color w:val="1C5692" w:themeColor="text2"/>
      </w:rPr>
    </w:lvl>
    <w:lvl w:ilvl="1">
      <w:start w:val="1"/>
      <w:numFmt w:val="lowerRoman"/>
      <w:lvlText w:val="%2."/>
      <w:lvlJc w:val="left"/>
      <w:pPr>
        <w:ind w:left="852" w:hanging="284"/>
      </w:pPr>
      <w:rPr>
        <w:rFonts w:hint="default"/>
        <w:b w:val="0"/>
        <w:color w:val="1C5692" w:themeColor="text2"/>
      </w:rPr>
    </w:lvl>
    <w:lvl w:ilvl="2">
      <w:start w:val="1"/>
      <w:numFmt w:val="decimal"/>
      <w:lvlText w:val="%3."/>
      <w:lvlJc w:val="left"/>
      <w:pPr>
        <w:ind w:left="1136" w:hanging="284"/>
      </w:pPr>
      <w:rPr>
        <w:rFonts w:hint="default"/>
        <w:b w:val="0"/>
        <w:color w:val="1C5692" w:themeColor="text2"/>
      </w:rPr>
    </w:lvl>
    <w:lvl w:ilvl="3">
      <w:start w:val="1"/>
      <w:numFmt w:val="none"/>
      <w:lvlText w:val=""/>
      <w:lvlJc w:val="left"/>
      <w:pPr>
        <w:ind w:left="1420" w:hanging="284"/>
      </w:pPr>
      <w:rPr>
        <w:rFonts w:hint="default"/>
      </w:rPr>
    </w:lvl>
    <w:lvl w:ilvl="4">
      <w:start w:val="1"/>
      <w:numFmt w:val="none"/>
      <w:lvlText w:val=""/>
      <w:lvlJc w:val="left"/>
      <w:pPr>
        <w:ind w:left="1704" w:hanging="284"/>
      </w:pPr>
      <w:rPr>
        <w:rFonts w:hint="default"/>
      </w:rPr>
    </w:lvl>
    <w:lvl w:ilvl="5">
      <w:start w:val="1"/>
      <w:numFmt w:val="none"/>
      <w:lvlText w:val=""/>
      <w:lvlJc w:val="left"/>
      <w:pPr>
        <w:ind w:left="1988" w:hanging="284"/>
      </w:pPr>
      <w:rPr>
        <w:rFonts w:hint="default"/>
      </w:rPr>
    </w:lvl>
    <w:lvl w:ilvl="6">
      <w:start w:val="1"/>
      <w:numFmt w:val="none"/>
      <w:lvlText w:val=""/>
      <w:lvlJc w:val="left"/>
      <w:pPr>
        <w:ind w:left="2272" w:hanging="284"/>
      </w:pPr>
      <w:rPr>
        <w:rFonts w:hint="default"/>
      </w:rPr>
    </w:lvl>
    <w:lvl w:ilvl="7">
      <w:start w:val="1"/>
      <w:numFmt w:val="none"/>
      <w:lvlText w:val=""/>
      <w:lvlJc w:val="left"/>
      <w:pPr>
        <w:ind w:left="2556" w:hanging="284"/>
      </w:pPr>
      <w:rPr>
        <w:rFonts w:hint="default"/>
      </w:rPr>
    </w:lvl>
    <w:lvl w:ilvl="8">
      <w:start w:val="1"/>
      <w:numFmt w:val="none"/>
      <w:lvlText w:val=""/>
      <w:lvlJc w:val="left"/>
      <w:pPr>
        <w:ind w:left="2840" w:hanging="284"/>
      </w:pPr>
      <w:rPr>
        <w:rFonts w:hint="default"/>
      </w:r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FA47A47"/>
    <w:multiLevelType w:val="multilevel"/>
    <w:tmpl w:val="6FFA3AF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tabs>
          <w:tab w:val="num" w:pos="284"/>
        </w:tabs>
        <w:ind w:left="284" w:hanging="284"/>
      </w:pPr>
      <w:rPr>
        <w:rFonts w:hint="default"/>
        <w:b w:val="0"/>
        <w:i w:val="0"/>
        <w:color w:val="1C5692" w:themeColor="text2"/>
      </w:rPr>
    </w:lvl>
    <w:lvl w:ilvl="4">
      <w:start w:val="1"/>
      <w:numFmt w:val="decimal"/>
      <w:lvlText w:val="%5."/>
      <w:lvlJc w:val="left"/>
      <w:pPr>
        <w:tabs>
          <w:tab w:val="num" w:pos="567"/>
        </w:tabs>
        <w:ind w:left="567" w:hanging="283"/>
      </w:pPr>
      <w:rPr>
        <w:rFonts w:hint="default"/>
        <w:b w:val="0"/>
        <w:i w:val="0"/>
        <w:color w:val="1C5692" w:themeColor="text2"/>
      </w:rPr>
    </w:lvl>
    <w:lvl w:ilvl="5">
      <w:start w:val="1"/>
      <w:numFmt w:val="lowerRoman"/>
      <w:lvlText w:val="%6."/>
      <w:lvlJc w:val="left"/>
      <w:pPr>
        <w:tabs>
          <w:tab w:val="num" w:pos="851"/>
        </w:tabs>
        <w:ind w:left="851" w:hanging="284"/>
      </w:pPr>
      <w:rPr>
        <w:rFonts w:hint="default"/>
        <w:b w:val="0"/>
        <w:i w:val="0"/>
        <w:color w:val="1C5692" w:themeColor="text2"/>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9"/>
  </w:num>
  <w:num w:numId="2">
    <w:abstractNumId w:val="15"/>
  </w:num>
  <w:num w:numId="3">
    <w:abstractNumId w:val="16"/>
  </w:num>
  <w:num w:numId="4">
    <w:abstractNumId w:val="18"/>
  </w:num>
  <w:num w:numId="5">
    <w:abstractNumId w:val="11"/>
  </w:num>
  <w:num w:numId="6">
    <w:abstractNumId w:val="1"/>
  </w:num>
  <w:num w:numId="7">
    <w:abstractNumId w:val="2"/>
  </w:num>
  <w:num w:numId="8">
    <w:abstractNumId w:val="14"/>
  </w:num>
  <w:num w:numId="9">
    <w:abstractNumId w:val="9"/>
  </w:num>
  <w:num w:numId="10">
    <w:abstractNumId w:val="20"/>
    <w:lvlOverride w:ilvl="0">
      <w:lvl w:ilvl="0">
        <w:start w:val="1"/>
        <w:numFmt w:val="lowerLetter"/>
        <w:pStyle w:val="List"/>
        <w:lvlText w:val="%1."/>
        <w:lvlJc w:val="left"/>
        <w:pPr>
          <w:ind w:left="284" w:hanging="284"/>
        </w:pPr>
        <w:rPr>
          <w:rFonts w:hint="default"/>
          <w:b w:val="0"/>
          <w:color w:val="1C5692" w:themeColor="text2"/>
        </w:rPr>
      </w:lvl>
    </w:lvlOverride>
  </w:num>
  <w:num w:numId="11">
    <w:abstractNumId w:val="5"/>
  </w:num>
  <w:num w:numId="12">
    <w:abstractNumId w:val="3"/>
  </w:num>
  <w:num w:numId="13">
    <w:abstractNumId w:val="13"/>
  </w:num>
  <w:num w:numId="14">
    <w:abstractNumId w:val="10"/>
  </w:num>
  <w:num w:numId="15">
    <w:abstractNumId w:val="26"/>
  </w:num>
  <w:num w:numId="16">
    <w:abstractNumId w:val="24"/>
  </w:num>
  <w:num w:numId="17">
    <w:abstractNumId w:val="4"/>
  </w:num>
  <w:num w:numId="18">
    <w:abstractNumId w:val="25"/>
  </w:num>
  <w:num w:numId="19">
    <w:abstractNumId w:val="7"/>
  </w:num>
  <w:num w:numId="20">
    <w:abstractNumId w:val="17"/>
  </w:num>
  <w:num w:numId="21">
    <w:abstractNumId w:val="21"/>
  </w:num>
  <w:num w:numId="22">
    <w:abstractNumId w:val="12"/>
  </w:num>
  <w:num w:numId="23">
    <w:abstractNumId w:val="27"/>
  </w:num>
  <w:num w:numId="24">
    <w:abstractNumId w:val="8"/>
  </w:num>
  <w:num w:numId="25">
    <w:abstractNumId w:val="22"/>
  </w:num>
  <w:num w:numId="26">
    <w:abstractNumId w:val="23"/>
  </w:num>
  <w:num w:numId="27">
    <w:abstractNumId w:val="6"/>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4097"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A05"/>
    <w:rsid w:val="000005C3"/>
    <w:rsid w:val="00003D97"/>
    <w:rsid w:val="00007268"/>
    <w:rsid w:val="00010B65"/>
    <w:rsid w:val="0001126F"/>
    <w:rsid w:val="0001486F"/>
    <w:rsid w:val="0002043C"/>
    <w:rsid w:val="00025401"/>
    <w:rsid w:val="0002570D"/>
    <w:rsid w:val="00026B4B"/>
    <w:rsid w:val="000271EC"/>
    <w:rsid w:val="000276FF"/>
    <w:rsid w:val="00030607"/>
    <w:rsid w:val="0003140E"/>
    <w:rsid w:val="000316D8"/>
    <w:rsid w:val="000347A3"/>
    <w:rsid w:val="00036705"/>
    <w:rsid w:val="000369F1"/>
    <w:rsid w:val="000379AA"/>
    <w:rsid w:val="000407BC"/>
    <w:rsid w:val="00043CB5"/>
    <w:rsid w:val="000456A7"/>
    <w:rsid w:val="00046EC3"/>
    <w:rsid w:val="0004770B"/>
    <w:rsid w:val="00047FD8"/>
    <w:rsid w:val="00051B12"/>
    <w:rsid w:val="000522C3"/>
    <w:rsid w:val="000525C0"/>
    <w:rsid w:val="00055A1C"/>
    <w:rsid w:val="000614DE"/>
    <w:rsid w:val="00063F4E"/>
    <w:rsid w:val="0006540B"/>
    <w:rsid w:val="00066FCB"/>
    <w:rsid w:val="0006753B"/>
    <w:rsid w:val="00070F93"/>
    <w:rsid w:val="0007128B"/>
    <w:rsid w:val="000775BA"/>
    <w:rsid w:val="000819EE"/>
    <w:rsid w:val="000839CE"/>
    <w:rsid w:val="00086D1D"/>
    <w:rsid w:val="000877DB"/>
    <w:rsid w:val="00092CE0"/>
    <w:rsid w:val="000943E0"/>
    <w:rsid w:val="000953D7"/>
    <w:rsid w:val="00095658"/>
    <w:rsid w:val="000A30B9"/>
    <w:rsid w:val="000A5984"/>
    <w:rsid w:val="000A6EBC"/>
    <w:rsid w:val="000A7060"/>
    <w:rsid w:val="000A73F8"/>
    <w:rsid w:val="000B0B79"/>
    <w:rsid w:val="000B1DAE"/>
    <w:rsid w:val="000B2095"/>
    <w:rsid w:val="000B21A6"/>
    <w:rsid w:val="000B3066"/>
    <w:rsid w:val="000B36AF"/>
    <w:rsid w:val="000B4B24"/>
    <w:rsid w:val="000B59B5"/>
    <w:rsid w:val="000B5FF9"/>
    <w:rsid w:val="000B7E04"/>
    <w:rsid w:val="000B7F5D"/>
    <w:rsid w:val="000C0EFB"/>
    <w:rsid w:val="000C0FD8"/>
    <w:rsid w:val="000C3369"/>
    <w:rsid w:val="000C39B1"/>
    <w:rsid w:val="000C3B03"/>
    <w:rsid w:val="000C3F76"/>
    <w:rsid w:val="000C448A"/>
    <w:rsid w:val="000C7B7C"/>
    <w:rsid w:val="000D3F89"/>
    <w:rsid w:val="000D582E"/>
    <w:rsid w:val="000D599E"/>
    <w:rsid w:val="000E3939"/>
    <w:rsid w:val="000E7343"/>
    <w:rsid w:val="000F126B"/>
    <w:rsid w:val="000F7286"/>
    <w:rsid w:val="00100070"/>
    <w:rsid w:val="001014F7"/>
    <w:rsid w:val="001034BC"/>
    <w:rsid w:val="00103674"/>
    <w:rsid w:val="0011106A"/>
    <w:rsid w:val="00111480"/>
    <w:rsid w:val="00112B48"/>
    <w:rsid w:val="001157DB"/>
    <w:rsid w:val="00116B55"/>
    <w:rsid w:val="00116DE6"/>
    <w:rsid w:val="00124676"/>
    <w:rsid w:val="0012512B"/>
    <w:rsid w:val="0012682B"/>
    <w:rsid w:val="00126B7E"/>
    <w:rsid w:val="00130E38"/>
    <w:rsid w:val="0014213B"/>
    <w:rsid w:val="00143043"/>
    <w:rsid w:val="00143049"/>
    <w:rsid w:val="00143571"/>
    <w:rsid w:val="00143588"/>
    <w:rsid w:val="001446CB"/>
    <w:rsid w:val="00145BD6"/>
    <w:rsid w:val="00151114"/>
    <w:rsid w:val="00151D22"/>
    <w:rsid w:val="0015269E"/>
    <w:rsid w:val="00157FE8"/>
    <w:rsid w:val="00160F3F"/>
    <w:rsid w:val="00161CB4"/>
    <w:rsid w:val="00167A75"/>
    <w:rsid w:val="001703BA"/>
    <w:rsid w:val="00172B68"/>
    <w:rsid w:val="00172CB1"/>
    <w:rsid w:val="0017318C"/>
    <w:rsid w:val="00176C27"/>
    <w:rsid w:val="00177AD1"/>
    <w:rsid w:val="001809D5"/>
    <w:rsid w:val="0018394F"/>
    <w:rsid w:val="00184B07"/>
    <w:rsid w:val="001860A5"/>
    <w:rsid w:val="0018727F"/>
    <w:rsid w:val="0019043F"/>
    <w:rsid w:val="00190B93"/>
    <w:rsid w:val="00195238"/>
    <w:rsid w:val="00195915"/>
    <w:rsid w:val="001963FE"/>
    <w:rsid w:val="001976B2"/>
    <w:rsid w:val="001A2E76"/>
    <w:rsid w:val="001A5432"/>
    <w:rsid w:val="001A5B5C"/>
    <w:rsid w:val="001A5CF3"/>
    <w:rsid w:val="001A720E"/>
    <w:rsid w:val="001A7DEF"/>
    <w:rsid w:val="001A7F27"/>
    <w:rsid w:val="001B012D"/>
    <w:rsid w:val="001B17D8"/>
    <w:rsid w:val="001B2A99"/>
    <w:rsid w:val="001B31F5"/>
    <w:rsid w:val="001B46FB"/>
    <w:rsid w:val="001C03FA"/>
    <w:rsid w:val="001C27A3"/>
    <w:rsid w:val="001C4075"/>
    <w:rsid w:val="001C475D"/>
    <w:rsid w:val="001C5444"/>
    <w:rsid w:val="001C718A"/>
    <w:rsid w:val="001C7B77"/>
    <w:rsid w:val="001D1A03"/>
    <w:rsid w:val="001D2BFE"/>
    <w:rsid w:val="001D35AB"/>
    <w:rsid w:val="001D52E3"/>
    <w:rsid w:val="001D5F06"/>
    <w:rsid w:val="001E1589"/>
    <w:rsid w:val="001E2C87"/>
    <w:rsid w:val="001E3D27"/>
    <w:rsid w:val="001F341E"/>
    <w:rsid w:val="001F553E"/>
    <w:rsid w:val="001F6558"/>
    <w:rsid w:val="001F6D49"/>
    <w:rsid w:val="001F6DC1"/>
    <w:rsid w:val="00200688"/>
    <w:rsid w:val="002008CB"/>
    <w:rsid w:val="00201A5F"/>
    <w:rsid w:val="0020467E"/>
    <w:rsid w:val="00205EB1"/>
    <w:rsid w:val="00206DBA"/>
    <w:rsid w:val="0021360E"/>
    <w:rsid w:val="0021388D"/>
    <w:rsid w:val="00213C9B"/>
    <w:rsid w:val="00215E6C"/>
    <w:rsid w:val="00217E2C"/>
    <w:rsid w:val="00217E6A"/>
    <w:rsid w:val="00222C99"/>
    <w:rsid w:val="00227E43"/>
    <w:rsid w:val="0023142F"/>
    <w:rsid w:val="00232982"/>
    <w:rsid w:val="0023308C"/>
    <w:rsid w:val="00236A09"/>
    <w:rsid w:val="0023781F"/>
    <w:rsid w:val="00243E44"/>
    <w:rsid w:val="00247C92"/>
    <w:rsid w:val="00251D18"/>
    <w:rsid w:val="00255262"/>
    <w:rsid w:val="00256167"/>
    <w:rsid w:val="00256EAB"/>
    <w:rsid w:val="00257DC5"/>
    <w:rsid w:val="00260F26"/>
    <w:rsid w:val="00261893"/>
    <w:rsid w:val="00262DCF"/>
    <w:rsid w:val="002634E3"/>
    <w:rsid w:val="0026351B"/>
    <w:rsid w:val="00263A5F"/>
    <w:rsid w:val="00266A61"/>
    <w:rsid w:val="00270052"/>
    <w:rsid w:val="00273562"/>
    <w:rsid w:val="00273783"/>
    <w:rsid w:val="0027773B"/>
    <w:rsid w:val="00280298"/>
    <w:rsid w:val="00280608"/>
    <w:rsid w:val="00280904"/>
    <w:rsid w:val="00283614"/>
    <w:rsid w:val="00284EAB"/>
    <w:rsid w:val="00287ABB"/>
    <w:rsid w:val="00291313"/>
    <w:rsid w:val="0029211F"/>
    <w:rsid w:val="002928D7"/>
    <w:rsid w:val="00292E58"/>
    <w:rsid w:val="002936C0"/>
    <w:rsid w:val="0029482E"/>
    <w:rsid w:val="00294C01"/>
    <w:rsid w:val="00294FA5"/>
    <w:rsid w:val="0029582A"/>
    <w:rsid w:val="00297EBC"/>
    <w:rsid w:val="002A1EEF"/>
    <w:rsid w:val="002A40EA"/>
    <w:rsid w:val="002A6E5D"/>
    <w:rsid w:val="002A78E7"/>
    <w:rsid w:val="002A7E31"/>
    <w:rsid w:val="002B202B"/>
    <w:rsid w:val="002B32D9"/>
    <w:rsid w:val="002B5B91"/>
    <w:rsid w:val="002B6D21"/>
    <w:rsid w:val="002C216E"/>
    <w:rsid w:val="002C2175"/>
    <w:rsid w:val="002C411A"/>
    <w:rsid w:val="002C4484"/>
    <w:rsid w:val="002D2913"/>
    <w:rsid w:val="002D2D3F"/>
    <w:rsid w:val="002D383E"/>
    <w:rsid w:val="002D4A31"/>
    <w:rsid w:val="002D69E9"/>
    <w:rsid w:val="002D7F0E"/>
    <w:rsid w:val="002D7F37"/>
    <w:rsid w:val="002E1BD3"/>
    <w:rsid w:val="002F29C7"/>
    <w:rsid w:val="002F493E"/>
    <w:rsid w:val="002F635A"/>
    <w:rsid w:val="002F761D"/>
    <w:rsid w:val="00300F49"/>
    <w:rsid w:val="00301A3A"/>
    <w:rsid w:val="00301B90"/>
    <w:rsid w:val="003029C0"/>
    <w:rsid w:val="003031FD"/>
    <w:rsid w:val="00307BCE"/>
    <w:rsid w:val="00310B3A"/>
    <w:rsid w:val="00311244"/>
    <w:rsid w:val="00312298"/>
    <w:rsid w:val="003163E0"/>
    <w:rsid w:val="00316B1B"/>
    <w:rsid w:val="00316CE9"/>
    <w:rsid w:val="00317581"/>
    <w:rsid w:val="00317C81"/>
    <w:rsid w:val="00320EB3"/>
    <w:rsid w:val="0032164E"/>
    <w:rsid w:val="00322982"/>
    <w:rsid w:val="003247F7"/>
    <w:rsid w:val="00324D3C"/>
    <w:rsid w:val="00325DE4"/>
    <w:rsid w:val="00325FF6"/>
    <w:rsid w:val="00326E18"/>
    <w:rsid w:val="00330009"/>
    <w:rsid w:val="00330607"/>
    <w:rsid w:val="003324EB"/>
    <w:rsid w:val="00333324"/>
    <w:rsid w:val="003333D6"/>
    <w:rsid w:val="003337B3"/>
    <w:rsid w:val="003342D3"/>
    <w:rsid w:val="003352AA"/>
    <w:rsid w:val="003362E2"/>
    <w:rsid w:val="00336D8A"/>
    <w:rsid w:val="00340CAF"/>
    <w:rsid w:val="00344BD0"/>
    <w:rsid w:val="00347F1E"/>
    <w:rsid w:val="00350149"/>
    <w:rsid w:val="003552FE"/>
    <w:rsid w:val="00356AF3"/>
    <w:rsid w:val="00357074"/>
    <w:rsid w:val="00360A3E"/>
    <w:rsid w:val="0036297E"/>
    <w:rsid w:val="00363B7C"/>
    <w:rsid w:val="00363D2B"/>
    <w:rsid w:val="003644A2"/>
    <w:rsid w:val="0036492D"/>
    <w:rsid w:val="003650AD"/>
    <w:rsid w:val="003706F0"/>
    <w:rsid w:val="00370945"/>
    <w:rsid w:val="0037342E"/>
    <w:rsid w:val="00373457"/>
    <w:rsid w:val="0037432C"/>
    <w:rsid w:val="00374E8E"/>
    <w:rsid w:val="00375A52"/>
    <w:rsid w:val="00375D84"/>
    <w:rsid w:val="003811A3"/>
    <w:rsid w:val="003812B1"/>
    <w:rsid w:val="00381BE8"/>
    <w:rsid w:val="00383CAC"/>
    <w:rsid w:val="0038585A"/>
    <w:rsid w:val="00386997"/>
    <w:rsid w:val="00387D08"/>
    <w:rsid w:val="003907C2"/>
    <w:rsid w:val="00390AF7"/>
    <w:rsid w:val="00391D0F"/>
    <w:rsid w:val="0039368E"/>
    <w:rsid w:val="0039471C"/>
    <w:rsid w:val="0039591C"/>
    <w:rsid w:val="003A128B"/>
    <w:rsid w:val="003A2C2C"/>
    <w:rsid w:val="003A363B"/>
    <w:rsid w:val="003A6C02"/>
    <w:rsid w:val="003A73C5"/>
    <w:rsid w:val="003B13CD"/>
    <w:rsid w:val="003B2212"/>
    <w:rsid w:val="003B29F5"/>
    <w:rsid w:val="003B6404"/>
    <w:rsid w:val="003B7345"/>
    <w:rsid w:val="003B784C"/>
    <w:rsid w:val="003C0533"/>
    <w:rsid w:val="003C2A05"/>
    <w:rsid w:val="003C56F9"/>
    <w:rsid w:val="003C57E3"/>
    <w:rsid w:val="003C5982"/>
    <w:rsid w:val="003D12CA"/>
    <w:rsid w:val="003D165A"/>
    <w:rsid w:val="003D3667"/>
    <w:rsid w:val="003D4301"/>
    <w:rsid w:val="003D4343"/>
    <w:rsid w:val="003D4E6E"/>
    <w:rsid w:val="003D4EE8"/>
    <w:rsid w:val="003D6C10"/>
    <w:rsid w:val="003E0066"/>
    <w:rsid w:val="003E1526"/>
    <w:rsid w:val="003E4623"/>
    <w:rsid w:val="003E48AF"/>
    <w:rsid w:val="003E5F74"/>
    <w:rsid w:val="003E748E"/>
    <w:rsid w:val="003F00CA"/>
    <w:rsid w:val="003F079C"/>
    <w:rsid w:val="003F543B"/>
    <w:rsid w:val="003F6439"/>
    <w:rsid w:val="003F710C"/>
    <w:rsid w:val="003F7B6A"/>
    <w:rsid w:val="00400296"/>
    <w:rsid w:val="0040094A"/>
    <w:rsid w:val="004022DC"/>
    <w:rsid w:val="004048FB"/>
    <w:rsid w:val="0040596F"/>
    <w:rsid w:val="00405C64"/>
    <w:rsid w:val="0040704B"/>
    <w:rsid w:val="00407513"/>
    <w:rsid w:val="0041020A"/>
    <w:rsid w:val="00410C73"/>
    <w:rsid w:val="00423A42"/>
    <w:rsid w:val="00425582"/>
    <w:rsid w:val="00426062"/>
    <w:rsid w:val="00426BCB"/>
    <w:rsid w:val="00426C48"/>
    <w:rsid w:val="0042701F"/>
    <w:rsid w:val="0043052B"/>
    <w:rsid w:val="0043054D"/>
    <w:rsid w:val="004343AB"/>
    <w:rsid w:val="00436A81"/>
    <w:rsid w:val="00437FFE"/>
    <w:rsid w:val="004403DE"/>
    <w:rsid w:val="00442BA4"/>
    <w:rsid w:val="004467F1"/>
    <w:rsid w:val="0045111F"/>
    <w:rsid w:val="00451939"/>
    <w:rsid w:val="00451B85"/>
    <w:rsid w:val="00451EDD"/>
    <w:rsid w:val="004544E0"/>
    <w:rsid w:val="004546B0"/>
    <w:rsid w:val="00454EAB"/>
    <w:rsid w:val="004562F6"/>
    <w:rsid w:val="00457359"/>
    <w:rsid w:val="00460717"/>
    <w:rsid w:val="00462F6D"/>
    <w:rsid w:val="00462F9F"/>
    <w:rsid w:val="00462FC3"/>
    <w:rsid w:val="00463DDC"/>
    <w:rsid w:val="00466596"/>
    <w:rsid w:val="0046706D"/>
    <w:rsid w:val="00471429"/>
    <w:rsid w:val="00473290"/>
    <w:rsid w:val="00474510"/>
    <w:rsid w:val="0047642C"/>
    <w:rsid w:val="004764B5"/>
    <w:rsid w:val="00482323"/>
    <w:rsid w:val="004828CE"/>
    <w:rsid w:val="004829A5"/>
    <w:rsid w:val="00483CA4"/>
    <w:rsid w:val="00484F12"/>
    <w:rsid w:val="0049402A"/>
    <w:rsid w:val="004950CB"/>
    <w:rsid w:val="00495845"/>
    <w:rsid w:val="00495E69"/>
    <w:rsid w:val="004974AE"/>
    <w:rsid w:val="004A0077"/>
    <w:rsid w:val="004A06F9"/>
    <w:rsid w:val="004A12D1"/>
    <w:rsid w:val="004A2B6C"/>
    <w:rsid w:val="004A4416"/>
    <w:rsid w:val="004A6A67"/>
    <w:rsid w:val="004A6FC2"/>
    <w:rsid w:val="004A79E0"/>
    <w:rsid w:val="004B1469"/>
    <w:rsid w:val="004B1697"/>
    <w:rsid w:val="004B44EC"/>
    <w:rsid w:val="004B5D52"/>
    <w:rsid w:val="004B6A06"/>
    <w:rsid w:val="004C0ED0"/>
    <w:rsid w:val="004C106E"/>
    <w:rsid w:val="004C1BE6"/>
    <w:rsid w:val="004C1BF7"/>
    <w:rsid w:val="004C3BA4"/>
    <w:rsid w:val="004C3E24"/>
    <w:rsid w:val="004C4291"/>
    <w:rsid w:val="004C48A0"/>
    <w:rsid w:val="004C728A"/>
    <w:rsid w:val="004C74AD"/>
    <w:rsid w:val="004D054D"/>
    <w:rsid w:val="004D1407"/>
    <w:rsid w:val="004D226D"/>
    <w:rsid w:val="004D4E07"/>
    <w:rsid w:val="004E506B"/>
    <w:rsid w:val="004E5633"/>
    <w:rsid w:val="004F0B1D"/>
    <w:rsid w:val="004F2000"/>
    <w:rsid w:val="004F3B27"/>
    <w:rsid w:val="004F41DC"/>
    <w:rsid w:val="004F5991"/>
    <w:rsid w:val="004F5ABC"/>
    <w:rsid w:val="004F63AD"/>
    <w:rsid w:val="005002D0"/>
    <w:rsid w:val="005018F9"/>
    <w:rsid w:val="00501C7D"/>
    <w:rsid w:val="00502ABA"/>
    <w:rsid w:val="00503145"/>
    <w:rsid w:val="00503571"/>
    <w:rsid w:val="00504ACC"/>
    <w:rsid w:val="00507A95"/>
    <w:rsid w:val="00511220"/>
    <w:rsid w:val="00512008"/>
    <w:rsid w:val="00512E53"/>
    <w:rsid w:val="00513D0E"/>
    <w:rsid w:val="005140CC"/>
    <w:rsid w:val="00516DBC"/>
    <w:rsid w:val="00521916"/>
    <w:rsid w:val="00521DAF"/>
    <w:rsid w:val="00523CAD"/>
    <w:rsid w:val="005254E3"/>
    <w:rsid w:val="00526798"/>
    <w:rsid w:val="00526AFB"/>
    <w:rsid w:val="00526F72"/>
    <w:rsid w:val="00527510"/>
    <w:rsid w:val="00527880"/>
    <w:rsid w:val="00527E25"/>
    <w:rsid w:val="0053256D"/>
    <w:rsid w:val="0053455A"/>
    <w:rsid w:val="00536C91"/>
    <w:rsid w:val="00540378"/>
    <w:rsid w:val="00541414"/>
    <w:rsid w:val="00542C98"/>
    <w:rsid w:val="00542D76"/>
    <w:rsid w:val="00543E04"/>
    <w:rsid w:val="00544B5A"/>
    <w:rsid w:val="005465EA"/>
    <w:rsid w:val="0055015D"/>
    <w:rsid w:val="00550708"/>
    <w:rsid w:val="00550B58"/>
    <w:rsid w:val="00550C2F"/>
    <w:rsid w:val="00552868"/>
    <w:rsid w:val="00553030"/>
    <w:rsid w:val="0055494C"/>
    <w:rsid w:val="00554F6D"/>
    <w:rsid w:val="00555719"/>
    <w:rsid w:val="00560BCE"/>
    <w:rsid w:val="0056136E"/>
    <w:rsid w:val="00562E41"/>
    <w:rsid w:val="005637F3"/>
    <w:rsid w:val="00567081"/>
    <w:rsid w:val="00567225"/>
    <w:rsid w:val="00570759"/>
    <w:rsid w:val="00573319"/>
    <w:rsid w:val="00573428"/>
    <w:rsid w:val="00573C15"/>
    <w:rsid w:val="00576CB9"/>
    <w:rsid w:val="00581230"/>
    <w:rsid w:val="005821D2"/>
    <w:rsid w:val="0058235B"/>
    <w:rsid w:val="00582697"/>
    <w:rsid w:val="0058291F"/>
    <w:rsid w:val="005846F0"/>
    <w:rsid w:val="00586EAE"/>
    <w:rsid w:val="0059087B"/>
    <w:rsid w:val="00592828"/>
    <w:rsid w:val="005948CC"/>
    <w:rsid w:val="00595C64"/>
    <w:rsid w:val="005A01F4"/>
    <w:rsid w:val="005A1034"/>
    <w:rsid w:val="005A2254"/>
    <w:rsid w:val="005A2E5F"/>
    <w:rsid w:val="005A5CE6"/>
    <w:rsid w:val="005A7419"/>
    <w:rsid w:val="005B0C3A"/>
    <w:rsid w:val="005B2BE7"/>
    <w:rsid w:val="005B2D73"/>
    <w:rsid w:val="005B5659"/>
    <w:rsid w:val="005C02F5"/>
    <w:rsid w:val="005C2DD2"/>
    <w:rsid w:val="005C48BA"/>
    <w:rsid w:val="005C6B40"/>
    <w:rsid w:val="005C6FF9"/>
    <w:rsid w:val="005C7664"/>
    <w:rsid w:val="005C783F"/>
    <w:rsid w:val="005D0C67"/>
    <w:rsid w:val="005D0EAD"/>
    <w:rsid w:val="005D1945"/>
    <w:rsid w:val="005D1DE3"/>
    <w:rsid w:val="005D1E03"/>
    <w:rsid w:val="005D25E1"/>
    <w:rsid w:val="005D417E"/>
    <w:rsid w:val="005D49EE"/>
    <w:rsid w:val="005D5109"/>
    <w:rsid w:val="005D6984"/>
    <w:rsid w:val="005D6CA4"/>
    <w:rsid w:val="005D758C"/>
    <w:rsid w:val="005E0346"/>
    <w:rsid w:val="005E2EC3"/>
    <w:rsid w:val="005E3A2E"/>
    <w:rsid w:val="005E5CFD"/>
    <w:rsid w:val="005E5DA1"/>
    <w:rsid w:val="005F43C4"/>
    <w:rsid w:val="005F51B3"/>
    <w:rsid w:val="005F6380"/>
    <w:rsid w:val="005F6CC5"/>
    <w:rsid w:val="005F6D3F"/>
    <w:rsid w:val="00603B76"/>
    <w:rsid w:val="006043F3"/>
    <w:rsid w:val="00605EBA"/>
    <w:rsid w:val="00612942"/>
    <w:rsid w:val="0061297E"/>
    <w:rsid w:val="00613BE8"/>
    <w:rsid w:val="006154AD"/>
    <w:rsid w:val="00615742"/>
    <w:rsid w:val="006231CF"/>
    <w:rsid w:val="0062348B"/>
    <w:rsid w:val="006238B6"/>
    <w:rsid w:val="00626BE2"/>
    <w:rsid w:val="00630373"/>
    <w:rsid w:val="006332D3"/>
    <w:rsid w:val="00633DEF"/>
    <w:rsid w:val="00633E65"/>
    <w:rsid w:val="0063577A"/>
    <w:rsid w:val="00635BCD"/>
    <w:rsid w:val="00637BD3"/>
    <w:rsid w:val="006410AF"/>
    <w:rsid w:val="00643149"/>
    <w:rsid w:val="0064655E"/>
    <w:rsid w:val="006478B8"/>
    <w:rsid w:val="00651BA0"/>
    <w:rsid w:val="00655D7B"/>
    <w:rsid w:val="00660494"/>
    <w:rsid w:val="00660FC3"/>
    <w:rsid w:val="006617C5"/>
    <w:rsid w:val="00664734"/>
    <w:rsid w:val="00666103"/>
    <w:rsid w:val="00666ECC"/>
    <w:rsid w:val="00670C7D"/>
    <w:rsid w:val="006728D1"/>
    <w:rsid w:val="00672956"/>
    <w:rsid w:val="00673E87"/>
    <w:rsid w:val="006753FE"/>
    <w:rsid w:val="00675725"/>
    <w:rsid w:val="00676AA5"/>
    <w:rsid w:val="006779AF"/>
    <w:rsid w:val="0068090D"/>
    <w:rsid w:val="006828BE"/>
    <w:rsid w:val="0068442E"/>
    <w:rsid w:val="00686005"/>
    <w:rsid w:val="00686A7A"/>
    <w:rsid w:val="00692385"/>
    <w:rsid w:val="00692E69"/>
    <w:rsid w:val="00693C14"/>
    <w:rsid w:val="00693DE2"/>
    <w:rsid w:val="006950A9"/>
    <w:rsid w:val="006950DA"/>
    <w:rsid w:val="006968C7"/>
    <w:rsid w:val="00696A79"/>
    <w:rsid w:val="006A1082"/>
    <w:rsid w:val="006A2024"/>
    <w:rsid w:val="006A2B92"/>
    <w:rsid w:val="006A2F2D"/>
    <w:rsid w:val="006A3C83"/>
    <w:rsid w:val="006A3EDB"/>
    <w:rsid w:val="006A4A98"/>
    <w:rsid w:val="006A7261"/>
    <w:rsid w:val="006B05BC"/>
    <w:rsid w:val="006B1A15"/>
    <w:rsid w:val="006B3F9E"/>
    <w:rsid w:val="006B5EF7"/>
    <w:rsid w:val="006B7995"/>
    <w:rsid w:val="006C18BB"/>
    <w:rsid w:val="006C2A6B"/>
    <w:rsid w:val="006C34A4"/>
    <w:rsid w:val="006C3B57"/>
    <w:rsid w:val="006C44C3"/>
    <w:rsid w:val="006C5FDB"/>
    <w:rsid w:val="006C6DE6"/>
    <w:rsid w:val="006C7C3D"/>
    <w:rsid w:val="006D03A0"/>
    <w:rsid w:val="006D0CBA"/>
    <w:rsid w:val="006D175E"/>
    <w:rsid w:val="006D7298"/>
    <w:rsid w:val="006D72CE"/>
    <w:rsid w:val="006E3169"/>
    <w:rsid w:val="006E4680"/>
    <w:rsid w:val="006E4807"/>
    <w:rsid w:val="006E4CE9"/>
    <w:rsid w:val="006E53CE"/>
    <w:rsid w:val="006F0CFF"/>
    <w:rsid w:val="006F1A5C"/>
    <w:rsid w:val="006F2CE7"/>
    <w:rsid w:val="006F32ED"/>
    <w:rsid w:val="006F4540"/>
    <w:rsid w:val="006F64A3"/>
    <w:rsid w:val="006F6F62"/>
    <w:rsid w:val="00701996"/>
    <w:rsid w:val="00701BC9"/>
    <w:rsid w:val="00704FBB"/>
    <w:rsid w:val="007052DA"/>
    <w:rsid w:val="00711EFF"/>
    <w:rsid w:val="0071204C"/>
    <w:rsid w:val="007122C8"/>
    <w:rsid w:val="00714649"/>
    <w:rsid w:val="00715C36"/>
    <w:rsid w:val="00716030"/>
    <w:rsid w:val="00716B24"/>
    <w:rsid w:val="0072081C"/>
    <w:rsid w:val="00721082"/>
    <w:rsid w:val="007210CC"/>
    <w:rsid w:val="0072295C"/>
    <w:rsid w:val="007276BB"/>
    <w:rsid w:val="007303E4"/>
    <w:rsid w:val="00733629"/>
    <w:rsid w:val="0073492C"/>
    <w:rsid w:val="0073597D"/>
    <w:rsid w:val="00736195"/>
    <w:rsid w:val="00743C5C"/>
    <w:rsid w:val="00744B84"/>
    <w:rsid w:val="00744DED"/>
    <w:rsid w:val="007504EF"/>
    <w:rsid w:val="0075173A"/>
    <w:rsid w:val="00751F79"/>
    <w:rsid w:val="007535AE"/>
    <w:rsid w:val="00753B1A"/>
    <w:rsid w:val="00753DA8"/>
    <w:rsid w:val="007552CF"/>
    <w:rsid w:val="0075631D"/>
    <w:rsid w:val="00756ECA"/>
    <w:rsid w:val="00761366"/>
    <w:rsid w:val="00763154"/>
    <w:rsid w:val="007633F3"/>
    <w:rsid w:val="0076502E"/>
    <w:rsid w:val="007754AE"/>
    <w:rsid w:val="00775BE1"/>
    <w:rsid w:val="00776B35"/>
    <w:rsid w:val="00780897"/>
    <w:rsid w:val="007821E7"/>
    <w:rsid w:val="007825EA"/>
    <w:rsid w:val="00784050"/>
    <w:rsid w:val="0078432E"/>
    <w:rsid w:val="007860D6"/>
    <w:rsid w:val="0078727E"/>
    <w:rsid w:val="00794C62"/>
    <w:rsid w:val="00794F0F"/>
    <w:rsid w:val="007A0A30"/>
    <w:rsid w:val="007A139A"/>
    <w:rsid w:val="007A13CD"/>
    <w:rsid w:val="007A43B1"/>
    <w:rsid w:val="007B46A4"/>
    <w:rsid w:val="007B4913"/>
    <w:rsid w:val="007C5C5D"/>
    <w:rsid w:val="007C7119"/>
    <w:rsid w:val="007D405A"/>
    <w:rsid w:val="007D4F80"/>
    <w:rsid w:val="007D5814"/>
    <w:rsid w:val="007D5C55"/>
    <w:rsid w:val="007E01F1"/>
    <w:rsid w:val="007E0483"/>
    <w:rsid w:val="007E24D4"/>
    <w:rsid w:val="007E4144"/>
    <w:rsid w:val="007E753E"/>
    <w:rsid w:val="007E7EDE"/>
    <w:rsid w:val="007F1FDE"/>
    <w:rsid w:val="007F2299"/>
    <w:rsid w:val="007F580C"/>
    <w:rsid w:val="007F6556"/>
    <w:rsid w:val="00800145"/>
    <w:rsid w:val="00800D49"/>
    <w:rsid w:val="00801A4F"/>
    <w:rsid w:val="00815E55"/>
    <w:rsid w:val="0081691D"/>
    <w:rsid w:val="00824E15"/>
    <w:rsid w:val="00824F85"/>
    <w:rsid w:val="00826805"/>
    <w:rsid w:val="0082713E"/>
    <w:rsid w:val="00827C04"/>
    <w:rsid w:val="008436AE"/>
    <w:rsid w:val="0084473C"/>
    <w:rsid w:val="00845C2A"/>
    <w:rsid w:val="00846026"/>
    <w:rsid w:val="0084607D"/>
    <w:rsid w:val="008472AF"/>
    <w:rsid w:val="00847E29"/>
    <w:rsid w:val="00850ABE"/>
    <w:rsid w:val="00851F09"/>
    <w:rsid w:val="0085248E"/>
    <w:rsid w:val="00856445"/>
    <w:rsid w:val="00857A33"/>
    <w:rsid w:val="00860043"/>
    <w:rsid w:val="00860B25"/>
    <w:rsid w:val="008654C1"/>
    <w:rsid w:val="00871EF5"/>
    <w:rsid w:val="00873279"/>
    <w:rsid w:val="008746ED"/>
    <w:rsid w:val="008750A5"/>
    <w:rsid w:val="00881D65"/>
    <w:rsid w:val="00883DEA"/>
    <w:rsid w:val="00884532"/>
    <w:rsid w:val="0088469B"/>
    <w:rsid w:val="00885AF8"/>
    <w:rsid w:val="008863A2"/>
    <w:rsid w:val="00887EC4"/>
    <w:rsid w:val="008906A4"/>
    <w:rsid w:val="008971D6"/>
    <w:rsid w:val="008A09C4"/>
    <w:rsid w:val="008A16BF"/>
    <w:rsid w:val="008A1C77"/>
    <w:rsid w:val="008A3D7C"/>
    <w:rsid w:val="008A493F"/>
    <w:rsid w:val="008A4C4D"/>
    <w:rsid w:val="008A735F"/>
    <w:rsid w:val="008A7584"/>
    <w:rsid w:val="008A7C37"/>
    <w:rsid w:val="008B0242"/>
    <w:rsid w:val="008B1E1B"/>
    <w:rsid w:val="008B26F0"/>
    <w:rsid w:val="008B27F9"/>
    <w:rsid w:val="008B3654"/>
    <w:rsid w:val="008B48BD"/>
    <w:rsid w:val="008B5E75"/>
    <w:rsid w:val="008B6AAD"/>
    <w:rsid w:val="008B6CDC"/>
    <w:rsid w:val="008C011F"/>
    <w:rsid w:val="008C237C"/>
    <w:rsid w:val="008C57E1"/>
    <w:rsid w:val="008C6C17"/>
    <w:rsid w:val="008C6E75"/>
    <w:rsid w:val="008D04D8"/>
    <w:rsid w:val="008D20DB"/>
    <w:rsid w:val="008D272C"/>
    <w:rsid w:val="008D28DD"/>
    <w:rsid w:val="008D395E"/>
    <w:rsid w:val="008D3EEC"/>
    <w:rsid w:val="008D63D4"/>
    <w:rsid w:val="008D76A0"/>
    <w:rsid w:val="008E03C0"/>
    <w:rsid w:val="008E337D"/>
    <w:rsid w:val="008E406A"/>
    <w:rsid w:val="008E5863"/>
    <w:rsid w:val="008E5ACC"/>
    <w:rsid w:val="008E60AB"/>
    <w:rsid w:val="008E60AC"/>
    <w:rsid w:val="008E7CD5"/>
    <w:rsid w:val="008E7D2A"/>
    <w:rsid w:val="008F21E0"/>
    <w:rsid w:val="008F22A2"/>
    <w:rsid w:val="008F2E7E"/>
    <w:rsid w:val="008F3946"/>
    <w:rsid w:val="00901808"/>
    <w:rsid w:val="00902596"/>
    <w:rsid w:val="00906886"/>
    <w:rsid w:val="00910BA9"/>
    <w:rsid w:val="0091253B"/>
    <w:rsid w:val="009125C5"/>
    <w:rsid w:val="00912CF9"/>
    <w:rsid w:val="0091567C"/>
    <w:rsid w:val="00915FB4"/>
    <w:rsid w:val="00916199"/>
    <w:rsid w:val="00916F65"/>
    <w:rsid w:val="00917FA0"/>
    <w:rsid w:val="00920AF0"/>
    <w:rsid w:val="00923367"/>
    <w:rsid w:val="00926336"/>
    <w:rsid w:val="009268B1"/>
    <w:rsid w:val="00930E32"/>
    <w:rsid w:val="00934BDB"/>
    <w:rsid w:val="00936470"/>
    <w:rsid w:val="00937CFA"/>
    <w:rsid w:val="009404EF"/>
    <w:rsid w:val="009406E6"/>
    <w:rsid w:val="009410D7"/>
    <w:rsid w:val="0094227B"/>
    <w:rsid w:val="009428E3"/>
    <w:rsid w:val="00943748"/>
    <w:rsid w:val="00944281"/>
    <w:rsid w:val="009442D8"/>
    <w:rsid w:val="00944C55"/>
    <w:rsid w:val="009452D0"/>
    <w:rsid w:val="00945B71"/>
    <w:rsid w:val="0094636A"/>
    <w:rsid w:val="00946ADF"/>
    <w:rsid w:val="00956EAE"/>
    <w:rsid w:val="00960901"/>
    <w:rsid w:val="00961342"/>
    <w:rsid w:val="009642B8"/>
    <w:rsid w:val="00965B72"/>
    <w:rsid w:val="0096692A"/>
    <w:rsid w:val="00967333"/>
    <w:rsid w:val="00970D62"/>
    <w:rsid w:val="00975AD0"/>
    <w:rsid w:val="00975D74"/>
    <w:rsid w:val="00975D87"/>
    <w:rsid w:val="009761FA"/>
    <w:rsid w:val="00976908"/>
    <w:rsid w:val="00976995"/>
    <w:rsid w:val="00977123"/>
    <w:rsid w:val="00981A3B"/>
    <w:rsid w:val="009826B3"/>
    <w:rsid w:val="00983629"/>
    <w:rsid w:val="009860F6"/>
    <w:rsid w:val="0098614A"/>
    <w:rsid w:val="009865EE"/>
    <w:rsid w:val="0098675C"/>
    <w:rsid w:val="00992234"/>
    <w:rsid w:val="00992A0E"/>
    <w:rsid w:val="009932CF"/>
    <w:rsid w:val="009963EF"/>
    <w:rsid w:val="00997EA0"/>
    <w:rsid w:val="009A0D24"/>
    <w:rsid w:val="009A2A64"/>
    <w:rsid w:val="009A35C5"/>
    <w:rsid w:val="009A39B1"/>
    <w:rsid w:val="009A3C30"/>
    <w:rsid w:val="009A44A6"/>
    <w:rsid w:val="009A474C"/>
    <w:rsid w:val="009A4869"/>
    <w:rsid w:val="009A553E"/>
    <w:rsid w:val="009B1428"/>
    <w:rsid w:val="009B7112"/>
    <w:rsid w:val="009B7E27"/>
    <w:rsid w:val="009C036F"/>
    <w:rsid w:val="009C0763"/>
    <w:rsid w:val="009C0D41"/>
    <w:rsid w:val="009C0EBD"/>
    <w:rsid w:val="009C1D1D"/>
    <w:rsid w:val="009C5434"/>
    <w:rsid w:val="009C5BAD"/>
    <w:rsid w:val="009C631F"/>
    <w:rsid w:val="009C6C1A"/>
    <w:rsid w:val="009C7202"/>
    <w:rsid w:val="009D40EE"/>
    <w:rsid w:val="009E09B0"/>
    <w:rsid w:val="009E1EA6"/>
    <w:rsid w:val="009E4161"/>
    <w:rsid w:val="009E4B52"/>
    <w:rsid w:val="009F14AE"/>
    <w:rsid w:val="009F2C3F"/>
    <w:rsid w:val="009F468B"/>
    <w:rsid w:val="009F59DA"/>
    <w:rsid w:val="009F69BF"/>
    <w:rsid w:val="009F7236"/>
    <w:rsid w:val="00A00050"/>
    <w:rsid w:val="00A01F42"/>
    <w:rsid w:val="00A026C0"/>
    <w:rsid w:val="00A05B61"/>
    <w:rsid w:val="00A06A52"/>
    <w:rsid w:val="00A06DC0"/>
    <w:rsid w:val="00A07989"/>
    <w:rsid w:val="00A07D54"/>
    <w:rsid w:val="00A102EF"/>
    <w:rsid w:val="00A109AE"/>
    <w:rsid w:val="00A10A05"/>
    <w:rsid w:val="00A11C4B"/>
    <w:rsid w:val="00A12117"/>
    <w:rsid w:val="00A12C0C"/>
    <w:rsid w:val="00A1331B"/>
    <w:rsid w:val="00A167F6"/>
    <w:rsid w:val="00A20230"/>
    <w:rsid w:val="00A20E2A"/>
    <w:rsid w:val="00A21C62"/>
    <w:rsid w:val="00A22290"/>
    <w:rsid w:val="00A226AF"/>
    <w:rsid w:val="00A228AE"/>
    <w:rsid w:val="00A228CC"/>
    <w:rsid w:val="00A2450E"/>
    <w:rsid w:val="00A25BC3"/>
    <w:rsid w:val="00A25BC9"/>
    <w:rsid w:val="00A25F99"/>
    <w:rsid w:val="00A30483"/>
    <w:rsid w:val="00A30C5F"/>
    <w:rsid w:val="00A3175C"/>
    <w:rsid w:val="00A3209E"/>
    <w:rsid w:val="00A346FB"/>
    <w:rsid w:val="00A36C26"/>
    <w:rsid w:val="00A40172"/>
    <w:rsid w:val="00A401A7"/>
    <w:rsid w:val="00A41303"/>
    <w:rsid w:val="00A4180F"/>
    <w:rsid w:val="00A41BC5"/>
    <w:rsid w:val="00A4235A"/>
    <w:rsid w:val="00A42AB1"/>
    <w:rsid w:val="00A435A8"/>
    <w:rsid w:val="00A43ECB"/>
    <w:rsid w:val="00A45B75"/>
    <w:rsid w:val="00A514DF"/>
    <w:rsid w:val="00A534CF"/>
    <w:rsid w:val="00A5408E"/>
    <w:rsid w:val="00A548A2"/>
    <w:rsid w:val="00A54B69"/>
    <w:rsid w:val="00A55B92"/>
    <w:rsid w:val="00A56632"/>
    <w:rsid w:val="00A60EF7"/>
    <w:rsid w:val="00A612AE"/>
    <w:rsid w:val="00A6246E"/>
    <w:rsid w:val="00A6497F"/>
    <w:rsid w:val="00A6625F"/>
    <w:rsid w:val="00A6655F"/>
    <w:rsid w:val="00A66F3E"/>
    <w:rsid w:val="00A67C11"/>
    <w:rsid w:val="00A719BA"/>
    <w:rsid w:val="00A71A84"/>
    <w:rsid w:val="00A74037"/>
    <w:rsid w:val="00A74245"/>
    <w:rsid w:val="00A7644E"/>
    <w:rsid w:val="00A77A96"/>
    <w:rsid w:val="00A835DB"/>
    <w:rsid w:val="00A843C2"/>
    <w:rsid w:val="00A85C8A"/>
    <w:rsid w:val="00A871BE"/>
    <w:rsid w:val="00A91B99"/>
    <w:rsid w:val="00A921EC"/>
    <w:rsid w:val="00A92710"/>
    <w:rsid w:val="00A92E80"/>
    <w:rsid w:val="00A96353"/>
    <w:rsid w:val="00A9700F"/>
    <w:rsid w:val="00AA07B0"/>
    <w:rsid w:val="00AA2F7C"/>
    <w:rsid w:val="00AA368A"/>
    <w:rsid w:val="00AA3E5E"/>
    <w:rsid w:val="00AA462E"/>
    <w:rsid w:val="00AA5DB3"/>
    <w:rsid w:val="00AA6FB0"/>
    <w:rsid w:val="00AB3929"/>
    <w:rsid w:val="00AB4C35"/>
    <w:rsid w:val="00AB6039"/>
    <w:rsid w:val="00AB70B0"/>
    <w:rsid w:val="00AC1665"/>
    <w:rsid w:val="00AC235A"/>
    <w:rsid w:val="00AC53DB"/>
    <w:rsid w:val="00AC5AF2"/>
    <w:rsid w:val="00AC66EE"/>
    <w:rsid w:val="00AC6E6E"/>
    <w:rsid w:val="00AD0189"/>
    <w:rsid w:val="00AD3101"/>
    <w:rsid w:val="00AD34D7"/>
    <w:rsid w:val="00AD4D41"/>
    <w:rsid w:val="00AD590C"/>
    <w:rsid w:val="00AD6E6C"/>
    <w:rsid w:val="00AE1862"/>
    <w:rsid w:val="00AE31D9"/>
    <w:rsid w:val="00AE499E"/>
    <w:rsid w:val="00AE5C48"/>
    <w:rsid w:val="00AE6EB4"/>
    <w:rsid w:val="00AE7C67"/>
    <w:rsid w:val="00AF0065"/>
    <w:rsid w:val="00AF02C0"/>
    <w:rsid w:val="00AF421E"/>
    <w:rsid w:val="00AF7402"/>
    <w:rsid w:val="00B01DAB"/>
    <w:rsid w:val="00B05896"/>
    <w:rsid w:val="00B05D93"/>
    <w:rsid w:val="00B07C73"/>
    <w:rsid w:val="00B105D3"/>
    <w:rsid w:val="00B1646F"/>
    <w:rsid w:val="00B16764"/>
    <w:rsid w:val="00B22031"/>
    <w:rsid w:val="00B2390E"/>
    <w:rsid w:val="00B23A56"/>
    <w:rsid w:val="00B248F5"/>
    <w:rsid w:val="00B27CF5"/>
    <w:rsid w:val="00B30E8C"/>
    <w:rsid w:val="00B31A9D"/>
    <w:rsid w:val="00B34F2F"/>
    <w:rsid w:val="00B357FB"/>
    <w:rsid w:val="00B4077D"/>
    <w:rsid w:val="00B4128F"/>
    <w:rsid w:val="00B422BA"/>
    <w:rsid w:val="00B42871"/>
    <w:rsid w:val="00B42D2B"/>
    <w:rsid w:val="00B43489"/>
    <w:rsid w:val="00B4715C"/>
    <w:rsid w:val="00B47FDB"/>
    <w:rsid w:val="00B50854"/>
    <w:rsid w:val="00B514E6"/>
    <w:rsid w:val="00B56C9E"/>
    <w:rsid w:val="00B614C8"/>
    <w:rsid w:val="00B61971"/>
    <w:rsid w:val="00B64920"/>
    <w:rsid w:val="00B664EA"/>
    <w:rsid w:val="00B71AD5"/>
    <w:rsid w:val="00B747D6"/>
    <w:rsid w:val="00B74C30"/>
    <w:rsid w:val="00B74FFC"/>
    <w:rsid w:val="00B75615"/>
    <w:rsid w:val="00B7761A"/>
    <w:rsid w:val="00B80002"/>
    <w:rsid w:val="00B81D30"/>
    <w:rsid w:val="00B84525"/>
    <w:rsid w:val="00B868D4"/>
    <w:rsid w:val="00B879B1"/>
    <w:rsid w:val="00B90BE5"/>
    <w:rsid w:val="00B925F1"/>
    <w:rsid w:val="00B934D0"/>
    <w:rsid w:val="00B95134"/>
    <w:rsid w:val="00B95B2A"/>
    <w:rsid w:val="00B97D4C"/>
    <w:rsid w:val="00BA0F3E"/>
    <w:rsid w:val="00BA1C77"/>
    <w:rsid w:val="00BA40BB"/>
    <w:rsid w:val="00BA57CE"/>
    <w:rsid w:val="00BA6746"/>
    <w:rsid w:val="00BB05BF"/>
    <w:rsid w:val="00BB2070"/>
    <w:rsid w:val="00BB3DC5"/>
    <w:rsid w:val="00BB483E"/>
    <w:rsid w:val="00BB6E74"/>
    <w:rsid w:val="00BC29AA"/>
    <w:rsid w:val="00BC3BE3"/>
    <w:rsid w:val="00BC3DFD"/>
    <w:rsid w:val="00BC6D6D"/>
    <w:rsid w:val="00BD0B79"/>
    <w:rsid w:val="00BD2725"/>
    <w:rsid w:val="00BD2CEF"/>
    <w:rsid w:val="00BD2E72"/>
    <w:rsid w:val="00BD329E"/>
    <w:rsid w:val="00BD3866"/>
    <w:rsid w:val="00BD543E"/>
    <w:rsid w:val="00BE5CF4"/>
    <w:rsid w:val="00BE6820"/>
    <w:rsid w:val="00BF0A42"/>
    <w:rsid w:val="00BF1CBC"/>
    <w:rsid w:val="00BF581B"/>
    <w:rsid w:val="00BF7800"/>
    <w:rsid w:val="00C02906"/>
    <w:rsid w:val="00C029A8"/>
    <w:rsid w:val="00C030D9"/>
    <w:rsid w:val="00C06AF1"/>
    <w:rsid w:val="00C07A11"/>
    <w:rsid w:val="00C10A73"/>
    <w:rsid w:val="00C11CE8"/>
    <w:rsid w:val="00C121AD"/>
    <w:rsid w:val="00C126D8"/>
    <w:rsid w:val="00C1693A"/>
    <w:rsid w:val="00C17588"/>
    <w:rsid w:val="00C20C6E"/>
    <w:rsid w:val="00C2305C"/>
    <w:rsid w:val="00C24855"/>
    <w:rsid w:val="00C2695A"/>
    <w:rsid w:val="00C337D6"/>
    <w:rsid w:val="00C3398F"/>
    <w:rsid w:val="00C34054"/>
    <w:rsid w:val="00C3633A"/>
    <w:rsid w:val="00C36B42"/>
    <w:rsid w:val="00C374A9"/>
    <w:rsid w:val="00C41E21"/>
    <w:rsid w:val="00C4274E"/>
    <w:rsid w:val="00C43989"/>
    <w:rsid w:val="00C4542C"/>
    <w:rsid w:val="00C47921"/>
    <w:rsid w:val="00C47A6E"/>
    <w:rsid w:val="00C47CF9"/>
    <w:rsid w:val="00C5251C"/>
    <w:rsid w:val="00C5282A"/>
    <w:rsid w:val="00C54A8D"/>
    <w:rsid w:val="00C54B40"/>
    <w:rsid w:val="00C54F00"/>
    <w:rsid w:val="00C57A99"/>
    <w:rsid w:val="00C60B8F"/>
    <w:rsid w:val="00C61A60"/>
    <w:rsid w:val="00C657C0"/>
    <w:rsid w:val="00C6657E"/>
    <w:rsid w:val="00C675B4"/>
    <w:rsid w:val="00C71ADD"/>
    <w:rsid w:val="00C71D8B"/>
    <w:rsid w:val="00C722E6"/>
    <w:rsid w:val="00C768CC"/>
    <w:rsid w:val="00C76AAB"/>
    <w:rsid w:val="00C77B04"/>
    <w:rsid w:val="00C8094B"/>
    <w:rsid w:val="00C83428"/>
    <w:rsid w:val="00C83983"/>
    <w:rsid w:val="00C83F9D"/>
    <w:rsid w:val="00C873C6"/>
    <w:rsid w:val="00C93573"/>
    <w:rsid w:val="00C93816"/>
    <w:rsid w:val="00C941A0"/>
    <w:rsid w:val="00C95962"/>
    <w:rsid w:val="00C96590"/>
    <w:rsid w:val="00C965DF"/>
    <w:rsid w:val="00C97464"/>
    <w:rsid w:val="00CA06F6"/>
    <w:rsid w:val="00CA27FE"/>
    <w:rsid w:val="00CA4DCD"/>
    <w:rsid w:val="00CB3116"/>
    <w:rsid w:val="00CB36F4"/>
    <w:rsid w:val="00CB55CC"/>
    <w:rsid w:val="00CB593D"/>
    <w:rsid w:val="00CB78B4"/>
    <w:rsid w:val="00CC101B"/>
    <w:rsid w:val="00CC17E5"/>
    <w:rsid w:val="00CC1805"/>
    <w:rsid w:val="00CC2C2A"/>
    <w:rsid w:val="00CC4126"/>
    <w:rsid w:val="00CC5615"/>
    <w:rsid w:val="00CC575A"/>
    <w:rsid w:val="00CD103A"/>
    <w:rsid w:val="00CD233A"/>
    <w:rsid w:val="00CD2D2A"/>
    <w:rsid w:val="00CD3891"/>
    <w:rsid w:val="00CD3AD4"/>
    <w:rsid w:val="00CD4442"/>
    <w:rsid w:val="00CD48F0"/>
    <w:rsid w:val="00CD4B64"/>
    <w:rsid w:val="00CD6B23"/>
    <w:rsid w:val="00CD7477"/>
    <w:rsid w:val="00CE5852"/>
    <w:rsid w:val="00CE5C62"/>
    <w:rsid w:val="00CF1A3A"/>
    <w:rsid w:val="00CF389D"/>
    <w:rsid w:val="00D00B11"/>
    <w:rsid w:val="00D01E55"/>
    <w:rsid w:val="00D045D6"/>
    <w:rsid w:val="00D045F6"/>
    <w:rsid w:val="00D04699"/>
    <w:rsid w:val="00D04E52"/>
    <w:rsid w:val="00D058F3"/>
    <w:rsid w:val="00D06146"/>
    <w:rsid w:val="00D126B6"/>
    <w:rsid w:val="00D149CB"/>
    <w:rsid w:val="00D156FA"/>
    <w:rsid w:val="00D17C3E"/>
    <w:rsid w:val="00D22067"/>
    <w:rsid w:val="00D23AB7"/>
    <w:rsid w:val="00D2574E"/>
    <w:rsid w:val="00D25ED5"/>
    <w:rsid w:val="00D26AAF"/>
    <w:rsid w:val="00D30D95"/>
    <w:rsid w:val="00D33FCF"/>
    <w:rsid w:val="00D35FEA"/>
    <w:rsid w:val="00D36D5B"/>
    <w:rsid w:val="00D37DB9"/>
    <w:rsid w:val="00D44F71"/>
    <w:rsid w:val="00D46EA1"/>
    <w:rsid w:val="00D50717"/>
    <w:rsid w:val="00D50ADA"/>
    <w:rsid w:val="00D51247"/>
    <w:rsid w:val="00D51DAA"/>
    <w:rsid w:val="00D55FFA"/>
    <w:rsid w:val="00D56EAC"/>
    <w:rsid w:val="00D57811"/>
    <w:rsid w:val="00D57B33"/>
    <w:rsid w:val="00D61683"/>
    <w:rsid w:val="00D6263B"/>
    <w:rsid w:val="00D64955"/>
    <w:rsid w:val="00D654C8"/>
    <w:rsid w:val="00D65D27"/>
    <w:rsid w:val="00D663D2"/>
    <w:rsid w:val="00D67337"/>
    <w:rsid w:val="00D67E13"/>
    <w:rsid w:val="00D7073A"/>
    <w:rsid w:val="00D725D8"/>
    <w:rsid w:val="00D74F95"/>
    <w:rsid w:val="00D762B9"/>
    <w:rsid w:val="00D82115"/>
    <w:rsid w:val="00D8610B"/>
    <w:rsid w:val="00D8742C"/>
    <w:rsid w:val="00D87C90"/>
    <w:rsid w:val="00D87CD0"/>
    <w:rsid w:val="00D93D45"/>
    <w:rsid w:val="00D944D5"/>
    <w:rsid w:val="00DA6916"/>
    <w:rsid w:val="00DB01A7"/>
    <w:rsid w:val="00DB1961"/>
    <w:rsid w:val="00DB1D6C"/>
    <w:rsid w:val="00DB2E15"/>
    <w:rsid w:val="00DB3B2D"/>
    <w:rsid w:val="00DB4233"/>
    <w:rsid w:val="00DB5A28"/>
    <w:rsid w:val="00DB6093"/>
    <w:rsid w:val="00DB6962"/>
    <w:rsid w:val="00DB6F99"/>
    <w:rsid w:val="00DB76CE"/>
    <w:rsid w:val="00DC4734"/>
    <w:rsid w:val="00DC4ECA"/>
    <w:rsid w:val="00DC68E4"/>
    <w:rsid w:val="00DD18C7"/>
    <w:rsid w:val="00DD3D3E"/>
    <w:rsid w:val="00DD3D99"/>
    <w:rsid w:val="00DD4DAC"/>
    <w:rsid w:val="00DD5E68"/>
    <w:rsid w:val="00DD644F"/>
    <w:rsid w:val="00DE03C0"/>
    <w:rsid w:val="00DE13D0"/>
    <w:rsid w:val="00DE1C20"/>
    <w:rsid w:val="00DE2AF6"/>
    <w:rsid w:val="00DE6074"/>
    <w:rsid w:val="00DF0D92"/>
    <w:rsid w:val="00DF1BE2"/>
    <w:rsid w:val="00DF4C7F"/>
    <w:rsid w:val="00DF5A79"/>
    <w:rsid w:val="00E00897"/>
    <w:rsid w:val="00E00CD9"/>
    <w:rsid w:val="00E00D29"/>
    <w:rsid w:val="00E01F19"/>
    <w:rsid w:val="00E03582"/>
    <w:rsid w:val="00E03668"/>
    <w:rsid w:val="00E03C96"/>
    <w:rsid w:val="00E05684"/>
    <w:rsid w:val="00E05A45"/>
    <w:rsid w:val="00E05AAA"/>
    <w:rsid w:val="00E13435"/>
    <w:rsid w:val="00E15257"/>
    <w:rsid w:val="00E16F8F"/>
    <w:rsid w:val="00E17AAE"/>
    <w:rsid w:val="00E21EED"/>
    <w:rsid w:val="00E24435"/>
    <w:rsid w:val="00E247C7"/>
    <w:rsid w:val="00E253A0"/>
    <w:rsid w:val="00E306FB"/>
    <w:rsid w:val="00E3250E"/>
    <w:rsid w:val="00E331F5"/>
    <w:rsid w:val="00E3322E"/>
    <w:rsid w:val="00E4514E"/>
    <w:rsid w:val="00E45CB9"/>
    <w:rsid w:val="00E466CD"/>
    <w:rsid w:val="00E5049A"/>
    <w:rsid w:val="00E5388D"/>
    <w:rsid w:val="00E565F6"/>
    <w:rsid w:val="00E5792E"/>
    <w:rsid w:val="00E62E88"/>
    <w:rsid w:val="00E646FD"/>
    <w:rsid w:val="00E6488D"/>
    <w:rsid w:val="00E64EB3"/>
    <w:rsid w:val="00E71A98"/>
    <w:rsid w:val="00E82ED0"/>
    <w:rsid w:val="00E83D10"/>
    <w:rsid w:val="00E86F81"/>
    <w:rsid w:val="00E909CD"/>
    <w:rsid w:val="00E90B63"/>
    <w:rsid w:val="00E9154C"/>
    <w:rsid w:val="00E95642"/>
    <w:rsid w:val="00E9589E"/>
    <w:rsid w:val="00EA048C"/>
    <w:rsid w:val="00EA14AE"/>
    <w:rsid w:val="00EA19D6"/>
    <w:rsid w:val="00EA32B4"/>
    <w:rsid w:val="00EA3BEF"/>
    <w:rsid w:val="00EA3D39"/>
    <w:rsid w:val="00EA6802"/>
    <w:rsid w:val="00EA7765"/>
    <w:rsid w:val="00EB09BD"/>
    <w:rsid w:val="00EB0B85"/>
    <w:rsid w:val="00EB2693"/>
    <w:rsid w:val="00EB3080"/>
    <w:rsid w:val="00EB39A7"/>
    <w:rsid w:val="00EB3ECD"/>
    <w:rsid w:val="00EB3F8B"/>
    <w:rsid w:val="00EB574B"/>
    <w:rsid w:val="00EB7301"/>
    <w:rsid w:val="00EC0229"/>
    <w:rsid w:val="00EC023F"/>
    <w:rsid w:val="00EC372E"/>
    <w:rsid w:val="00EC5573"/>
    <w:rsid w:val="00EC70BB"/>
    <w:rsid w:val="00ED1DC3"/>
    <w:rsid w:val="00ED1E6D"/>
    <w:rsid w:val="00ED5067"/>
    <w:rsid w:val="00ED5940"/>
    <w:rsid w:val="00EE0D39"/>
    <w:rsid w:val="00EE11D1"/>
    <w:rsid w:val="00EE2368"/>
    <w:rsid w:val="00EE410B"/>
    <w:rsid w:val="00EF1079"/>
    <w:rsid w:val="00EF16E9"/>
    <w:rsid w:val="00EF253F"/>
    <w:rsid w:val="00F0023C"/>
    <w:rsid w:val="00F01694"/>
    <w:rsid w:val="00F01781"/>
    <w:rsid w:val="00F01F7E"/>
    <w:rsid w:val="00F02400"/>
    <w:rsid w:val="00F02C43"/>
    <w:rsid w:val="00F0317D"/>
    <w:rsid w:val="00F059D7"/>
    <w:rsid w:val="00F0691C"/>
    <w:rsid w:val="00F10943"/>
    <w:rsid w:val="00F10FCC"/>
    <w:rsid w:val="00F144FE"/>
    <w:rsid w:val="00F206F7"/>
    <w:rsid w:val="00F2411F"/>
    <w:rsid w:val="00F25949"/>
    <w:rsid w:val="00F25FE6"/>
    <w:rsid w:val="00F30772"/>
    <w:rsid w:val="00F30C86"/>
    <w:rsid w:val="00F318C5"/>
    <w:rsid w:val="00F335FF"/>
    <w:rsid w:val="00F346DD"/>
    <w:rsid w:val="00F35F0E"/>
    <w:rsid w:val="00F37B76"/>
    <w:rsid w:val="00F404E7"/>
    <w:rsid w:val="00F40F0D"/>
    <w:rsid w:val="00F4122A"/>
    <w:rsid w:val="00F414A3"/>
    <w:rsid w:val="00F451E7"/>
    <w:rsid w:val="00F46E23"/>
    <w:rsid w:val="00F549F9"/>
    <w:rsid w:val="00F54E07"/>
    <w:rsid w:val="00F554D8"/>
    <w:rsid w:val="00F556A4"/>
    <w:rsid w:val="00F575AE"/>
    <w:rsid w:val="00F61E45"/>
    <w:rsid w:val="00F62C29"/>
    <w:rsid w:val="00F62D62"/>
    <w:rsid w:val="00F6598B"/>
    <w:rsid w:val="00F6671F"/>
    <w:rsid w:val="00F6682D"/>
    <w:rsid w:val="00F76FFD"/>
    <w:rsid w:val="00F812CA"/>
    <w:rsid w:val="00F84BF5"/>
    <w:rsid w:val="00F87000"/>
    <w:rsid w:val="00F87FD2"/>
    <w:rsid w:val="00F91DAF"/>
    <w:rsid w:val="00F9439B"/>
    <w:rsid w:val="00F95883"/>
    <w:rsid w:val="00F958EC"/>
    <w:rsid w:val="00F961F0"/>
    <w:rsid w:val="00FA12C8"/>
    <w:rsid w:val="00FA24D7"/>
    <w:rsid w:val="00FA2C22"/>
    <w:rsid w:val="00FA2DBB"/>
    <w:rsid w:val="00FA730C"/>
    <w:rsid w:val="00FA77C2"/>
    <w:rsid w:val="00FA7D67"/>
    <w:rsid w:val="00FB27C5"/>
    <w:rsid w:val="00FB50B0"/>
    <w:rsid w:val="00FB79A9"/>
    <w:rsid w:val="00FC27E7"/>
    <w:rsid w:val="00FC3890"/>
    <w:rsid w:val="00FC7AAF"/>
    <w:rsid w:val="00FD0B02"/>
    <w:rsid w:val="00FD0F83"/>
    <w:rsid w:val="00FD0FE6"/>
    <w:rsid w:val="00FD293A"/>
    <w:rsid w:val="00FD2953"/>
    <w:rsid w:val="00FD2B5C"/>
    <w:rsid w:val="00FD3434"/>
    <w:rsid w:val="00FD3BFD"/>
    <w:rsid w:val="00FD4227"/>
    <w:rsid w:val="00FE06AB"/>
    <w:rsid w:val="00FE0BE4"/>
    <w:rsid w:val="00FE384F"/>
    <w:rsid w:val="00FE440F"/>
    <w:rsid w:val="00FE4E25"/>
    <w:rsid w:val="00FE53FA"/>
    <w:rsid w:val="00FE5443"/>
    <w:rsid w:val="00FE5EA2"/>
    <w:rsid w:val="00FE69B4"/>
    <w:rsid w:val="00FE707F"/>
    <w:rsid w:val="00FF06F1"/>
    <w:rsid w:val="00FF277A"/>
    <w:rsid w:val="00FF3FD7"/>
    <w:rsid w:val="00FF412C"/>
    <w:rsid w:val="00FF4988"/>
    <w:rsid w:val="00FF55F2"/>
    <w:rsid w:val="00FF5771"/>
    <w:rsid w:val="00FF7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v-text-anchor:middle" fillcolor="none [3215]" strokecolor="none [2415]">
      <v:fill color="none [3215]"/>
      <v:stroke color="none [2415]" weight="5pt"/>
      <v:textbox inset=",2.5mm,,2.5mm"/>
    </o:shapedefaults>
    <o:shapelayout v:ext="edit">
      <o:idmap v:ext="edit" data="1"/>
    </o:shapelayout>
  </w:shapeDefaults>
  <w:decimalSymbol w:val="."/>
  <w:listSeparator w:val=","/>
  <w14:docId w14:val="333BF7D1"/>
  <w14:defaultImageDpi w14:val="32767"/>
  <w15:docId w15:val="{BF4CA7BE-25C4-41B1-9F2D-CF86F5F3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1">
    <w:lsdException w:name="Normal" w:uiPriority="2" w:qFormat="1"/>
    <w:lsdException w:name="heading 1" w:uiPriority="1" w:qFormat="1"/>
    <w:lsdException w:name="heading 2" w:uiPriority="1" w:qFormat="1"/>
    <w:lsdException w:name="heading 3" w:uiPriority="1" w:qFormat="1"/>
    <w:lsdException w:name="heading 4" w:uiPriority="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9"/>
    <w:lsdException w:name="footnote text" w:semiHidden="1" w:uiPriority="99" w:unhideWhenUsed="1"/>
    <w:lsdException w:name="annotation text" w:semiHidden="1" w:uiPriority="99"/>
    <w:lsdException w:name="header" w:semiHidden="1" w:uiPriority="29" w:unhideWhenUsed="1"/>
    <w:lsdException w:name="footer" w:semiHidden="1" w:uiPriority="99"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lsdException w:name="annotation reference" w:semiHidden="1" w:uiPriority="99"/>
    <w:lsdException w:name="line number" w:semiHidden="1" w:uiPriority="29"/>
    <w:lsdException w:name="page number" w:semiHidden="1" w:uiPriority="49"/>
    <w:lsdException w:name="endnote reference" w:semiHidden="1" w:uiPriority="99"/>
    <w:lsdException w:name="endnote text" w:semiHidden="1" w:uiPriority="99"/>
    <w:lsdException w:name="table of authorities" w:semiHidden="1" w:unhideWhenUsed="1"/>
    <w:lsdException w:name="macro" w:semiHidden="1" w:uiPriority="29"/>
    <w:lsdException w:name="toa heading" w:semiHidden="1" w:uiPriority="20" w:unhideWhenUsed="1"/>
    <w:lsdException w:name="List" w:semiHidden="1" w:uiPriority="3" w:unhideWhenUsed="1" w:qFormat="1"/>
    <w:lsdException w:name="List Bullet" w:semiHidden="1" w:uiPriority="3" w:unhideWhenUsed="1" w:qFormat="1"/>
    <w:lsdException w:name="List Number" w:uiPriority="3" w:qFormat="1"/>
    <w:lsdException w:name="List 2" w:semiHidden="1" w:uiPriority="3" w:unhideWhenUsed="1"/>
    <w:lsdException w:name="List 3" w:semiHidden="1" w:uiPriority="3"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0" w:qFormat="1"/>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49"/>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unhideWhenUsed="1"/>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atentStyles>
  <w:style w:type="paragraph" w:default="1" w:styleId="Normal">
    <w:name w:val="Normal"/>
    <w:uiPriority w:val="2"/>
    <w:qFormat/>
    <w:rsid w:val="006F0CFF"/>
    <w:rPr>
      <w:rFonts w:ascii="Century Gothic" w:eastAsiaTheme="minorHAnsi" w:hAnsi="Century Gothic" w:cs="Calibri"/>
      <w:sz w:val="22"/>
      <w:szCs w:val="22"/>
      <w:lang w:eastAsia="en-US"/>
    </w:rPr>
  </w:style>
  <w:style w:type="paragraph" w:styleId="Heading1">
    <w:name w:val="heading 1"/>
    <w:basedOn w:val="Normal"/>
    <w:next w:val="Normal"/>
    <w:link w:val="Heading1Char"/>
    <w:uiPriority w:val="1"/>
    <w:qFormat/>
    <w:rsid w:val="00205EB1"/>
    <w:pPr>
      <w:numPr>
        <w:numId w:val="6"/>
      </w:numPr>
      <w:spacing w:before="240"/>
      <w:outlineLvl w:val="0"/>
    </w:pPr>
    <w:rPr>
      <w:b/>
      <w:bCs/>
      <w:iCs/>
      <w:color w:val="1C5692" w:themeColor="text2"/>
      <w:sz w:val="32"/>
      <w:szCs w:val="28"/>
    </w:rPr>
  </w:style>
  <w:style w:type="paragraph" w:styleId="Heading2">
    <w:name w:val="heading 2"/>
    <w:basedOn w:val="Heading1"/>
    <w:next w:val="Normal"/>
    <w:link w:val="Heading2Char"/>
    <w:uiPriority w:val="1"/>
    <w:qFormat/>
    <w:rsid w:val="00205EB1"/>
    <w:pPr>
      <w:numPr>
        <w:ilvl w:val="1"/>
      </w:numPr>
      <w:outlineLvl w:val="1"/>
    </w:pPr>
    <w:rPr>
      <w:color w:val="4D4F53" w:themeColor="text1"/>
      <w:sz w:val="24"/>
      <w:szCs w:val="26"/>
    </w:rPr>
  </w:style>
  <w:style w:type="paragraph" w:styleId="Heading3">
    <w:name w:val="heading 3"/>
    <w:basedOn w:val="Heading1"/>
    <w:next w:val="Normal"/>
    <w:link w:val="Heading3Char"/>
    <w:uiPriority w:val="1"/>
    <w:qFormat/>
    <w:rsid w:val="00205EB1"/>
    <w:pPr>
      <w:keepNext/>
      <w:numPr>
        <w:ilvl w:val="2"/>
      </w:numPr>
      <w:outlineLvl w:val="2"/>
    </w:pPr>
    <w:rPr>
      <w:bCs w:val="0"/>
      <w:color w:val="000000"/>
      <w:sz w:val="22"/>
      <w:szCs w:val="26"/>
    </w:rPr>
  </w:style>
  <w:style w:type="paragraph" w:styleId="Heading4">
    <w:name w:val="heading 4"/>
    <w:basedOn w:val="Heading3"/>
    <w:next w:val="Normal"/>
    <w:link w:val="Heading4Char"/>
    <w:uiPriority w:val="1"/>
    <w:qFormat/>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outlineLvl w:val="4"/>
    </w:pPr>
    <w:rPr>
      <w:rFonts w:asciiTheme="majorHAnsi" w:hAnsiTheme="majorHAnsi" w:cstheme="majorBidi"/>
      <w:color w:val="1C5692" w:themeColor="text2"/>
    </w:rPr>
  </w:style>
  <w:style w:type="paragraph" w:styleId="Heading6">
    <w:name w:val="heading 6"/>
    <w:basedOn w:val="Normal"/>
    <w:next w:val="Normal"/>
    <w:link w:val="Heading6Char"/>
    <w:uiPriority w:val="1"/>
    <w:semiHidden/>
    <w:qFormat/>
    <w:rsid w:val="00100070"/>
    <w:pPr>
      <w:keepNext/>
      <w:keepLines/>
      <w:spacing w:before="40"/>
      <w:outlineLvl w:val="5"/>
    </w:pPr>
    <w:rPr>
      <w:rFonts w:asciiTheme="majorHAnsi" w:hAnsiTheme="majorHAnsi" w:cstheme="majorBidi"/>
      <w:color w:val="C9CAC8" w:themeColor="background2"/>
    </w:rPr>
  </w:style>
  <w:style w:type="paragraph" w:styleId="Heading7">
    <w:name w:val="heading 7"/>
    <w:basedOn w:val="Normal"/>
    <w:next w:val="Normal"/>
    <w:link w:val="Heading7Char"/>
    <w:uiPriority w:val="1"/>
    <w:semiHidden/>
    <w:qFormat/>
    <w:rsid w:val="00100070"/>
    <w:pPr>
      <w:keepNext/>
      <w:keepLines/>
      <w:spacing w:before="40"/>
      <w:outlineLvl w:val="6"/>
    </w:pPr>
    <w:rPr>
      <w:rFonts w:asciiTheme="majorHAnsi" w:hAnsiTheme="majorHAnsi" w:cstheme="majorBidi"/>
      <w:i/>
      <w:iCs/>
      <w:color w:val="1C5692"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C9CAC8"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847E29"/>
    <w:rPr>
      <w:sz w:val="18"/>
    </w:rPr>
  </w:style>
  <w:style w:type="character" w:customStyle="1" w:styleId="FooterChar">
    <w:name w:val="Footer Char"/>
    <w:basedOn w:val="DefaultParagraphFont"/>
    <w:link w:val="Footer"/>
    <w:uiPriority w:val="99"/>
    <w:rsid w:val="00847E29"/>
    <w:rPr>
      <w:rFonts w:asciiTheme="minorHAnsi" w:eastAsiaTheme="majorEastAsia" w:hAnsiTheme="minorHAnsi" w:cs="Calibri"/>
      <w:color w:val="4D4F53" w:themeColor="text1"/>
      <w:sz w:val="18"/>
      <w:szCs w:val="24"/>
    </w:rPr>
  </w:style>
  <w:style w:type="paragraph" w:styleId="BalloonText">
    <w:name w:val="Balloon Text"/>
    <w:basedOn w:val="Normal"/>
    <w:link w:val="BalloonTextChar"/>
    <w:uiPriority w:val="29"/>
    <w:semiHidden/>
    <w:rsid w:val="006753FE"/>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205EB1"/>
    <w:pPr>
      <w:numPr>
        <w:ilvl w:val="3"/>
        <w:numId w:val="6"/>
      </w:numPr>
    </w:pPr>
    <w:rPr>
      <w:rFonts w:eastAsia="Century Gothic" w:cstheme="minorBidi"/>
      <w:szCs w:val="20"/>
    </w:rPr>
  </w:style>
  <w:style w:type="paragraph" w:styleId="ListBullet">
    <w:name w:val="List Bullet"/>
    <w:basedOn w:val="Normal"/>
    <w:uiPriority w:val="3"/>
    <w:qFormat/>
    <w:rsid w:val="00847E29"/>
    <w:pPr>
      <w:numPr>
        <w:numId w:val="13"/>
      </w:numPr>
      <w:spacing w:after="100"/>
    </w:pPr>
    <w:rPr>
      <w:rFonts w:eastAsia="Century Gothic" w:cstheme="minorBidi"/>
      <w:szCs w:val="20"/>
    </w:rPr>
  </w:style>
  <w:style w:type="paragraph" w:styleId="Date">
    <w:name w:val="Date"/>
    <w:basedOn w:val="Normal"/>
    <w:next w:val="Normal"/>
    <w:link w:val="DateChar"/>
    <w:uiPriority w:val="49"/>
    <w:semiHidden/>
    <w:rsid w:val="00F958EC"/>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310B3A"/>
    <w:rPr>
      <w:vanish/>
      <w:color w:val="C9CAC8" w:themeColor="background2"/>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1C5692" w:themeColor="text2"/>
      <w:szCs w:val="24"/>
    </w:rPr>
  </w:style>
  <w:style w:type="paragraph" w:customStyle="1" w:styleId="TableHeading">
    <w:name w:val="Table Heading"/>
    <w:basedOn w:val="Normal"/>
    <w:link w:val="TableHeadingChar"/>
    <w:uiPriority w:val="9"/>
    <w:qFormat/>
    <w:rsid w:val="00885AF8"/>
    <w:pPr>
      <w:numPr>
        <w:numId w:val="9"/>
      </w:numPr>
      <w:spacing w:before="20" w:after="20"/>
    </w:pPr>
    <w:rPr>
      <w:rFonts w:eastAsia="Century Gothic"/>
      <w:b/>
      <w:bCs/>
      <w:color w:val="FFFFFF"/>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1C5692"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1C5692"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00B0CA" w:themeColor="accent1"/>
        <w:left w:val="single" w:sz="4" w:space="0" w:color="00B0CA" w:themeColor="accent1"/>
        <w:bottom w:val="single" w:sz="4" w:space="0" w:color="00B0CA" w:themeColor="accent1"/>
        <w:right w:val="single" w:sz="4" w:space="0" w:color="00B0CA" w:themeColor="accent1"/>
      </w:tblBorders>
      <w:tblCellMar>
        <w:top w:w="57" w:type="dxa"/>
        <w:left w:w="57" w:type="dxa"/>
        <w:bottom w:w="57" w:type="dxa"/>
        <w:right w:w="57" w:type="dxa"/>
      </w:tblCellMar>
    </w:tblPr>
    <w:tblStylePr w:type="firstRow">
      <w:rPr>
        <w:b/>
        <w:bCs/>
        <w:color w:val="FFFFFF" w:themeColor="background1"/>
      </w:rPr>
      <w:tblPr/>
      <w:tcPr>
        <w:shd w:val="clear" w:color="auto" w:fill="00B0CA" w:themeFill="accent1"/>
      </w:tcPr>
    </w:tblStylePr>
    <w:tblStylePr w:type="lastRow">
      <w:rPr>
        <w:b/>
        <w:bCs/>
      </w:rPr>
      <w:tblPr/>
      <w:tcPr>
        <w:tcBorders>
          <w:top w:val="double" w:sz="4" w:space="0" w:color="00B0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CA" w:themeColor="accent1"/>
          <w:right w:val="single" w:sz="4" w:space="0" w:color="00B0CA" w:themeColor="accent1"/>
        </w:tcBorders>
      </w:tcPr>
    </w:tblStylePr>
    <w:tblStylePr w:type="band1Horz">
      <w:tblPr/>
      <w:tcPr>
        <w:tcBorders>
          <w:top w:val="single" w:sz="4" w:space="0" w:color="00B0CA" w:themeColor="accent1"/>
          <w:bottom w:val="single" w:sz="4" w:space="0" w:color="00B0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CA" w:themeColor="accent1"/>
          <w:left w:val="nil"/>
        </w:tcBorders>
      </w:tcPr>
    </w:tblStylePr>
    <w:tblStylePr w:type="swCell">
      <w:tblPr/>
      <w:tcPr>
        <w:tcBorders>
          <w:top w:val="double" w:sz="4" w:space="0" w:color="00B0CA"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numPr>
        <w:numId w:val="10"/>
      </w:numPr>
    </w:pPr>
    <w:rPr>
      <w:rFonts w:eastAsia="Century Gothic" w:cstheme="minorBidi"/>
      <w:szCs w:val="20"/>
    </w:rPr>
  </w:style>
  <w:style w:type="paragraph" w:styleId="List2">
    <w:name w:val="List 2"/>
    <w:basedOn w:val="Normal"/>
    <w:uiPriority w:val="3"/>
    <w:unhideWhenUsed/>
    <w:rsid w:val="00581230"/>
    <w:pPr>
      <w:numPr>
        <w:ilvl w:val="1"/>
        <w:numId w:val="10"/>
      </w:numPr>
    </w:pPr>
    <w:rPr>
      <w:rFonts w:eastAsia="Century Gothic" w:cstheme="minorBidi"/>
      <w:szCs w:val="20"/>
    </w:rPr>
  </w:style>
  <w:style w:type="paragraph" w:styleId="List3">
    <w:name w:val="List 3"/>
    <w:basedOn w:val="Normal"/>
    <w:uiPriority w:val="3"/>
    <w:unhideWhenUsed/>
    <w:rsid w:val="00581230"/>
    <w:pPr>
      <w:numPr>
        <w:ilvl w:val="2"/>
        <w:numId w:val="10"/>
      </w:numPr>
      <w:spacing w:after="233"/>
    </w:pPr>
    <w:rPr>
      <w:rFonts w:eastAsia="Century Gothic" w:cstheme="minorBidi"/>
      <w:szCs w:val="20"/>
    </w:rPr>
  </w:style>
  <w:style w:type="paragraph" w:styleId="ListNumber2">
    <w:name w:val="List Number 2"/>
    <w:basedOn w:val="Normal"/>
    <w:uiPriority w:val="3"/>
    <w:rsid w:val="00205EB1"/>
    <w:pPr>
      <w:numPr>
        <w:ilvl w:val="4"/>
        <w:numId w:val="6"/>
      </w:numPr>
    </w:pPr>
    <w:rPr>
      <w:rFonts w:eastAsia="Century Gothic" w:cstheme="minorBidi"/>
      <w:szCs w:val="20"/>
    </w:rPr>
  </w:style>
  <w:style w:type="paragraph" w:styleId="ListNumber3">
    <w:name w:val="List Number 3"/>
    <w:basedOn w:val="Normal"/>
    <w:uiPriority w:val="3"/>
    <w:rsid w:val="00205EB1"/>
    <w:pPr>
      <w:numPr>
        <w:ilvl w:val="5"/>
        <w:numId w:val="6"/>
      </w:numPr>
    </w:pPr>
    <w:rPr>
      <w:rFonts w:eastAsia="Century Gothic" w:cstheme="minorBidi"/>
      <w:szCs w:val="20"/>
    </w:rPr>
  </w:style>
  <w:style w:type="paragraph" w:styleId="ListNumber4">
    <w:name w:val="List Number 4"/>
    <w:basedOn w:val="Normal"/>
    <w:uiPriority w:val="50"/>
    <w:semiHidden/>
    <w:rsid w:val="0091567C"/>
    <w:pPr>
      <w:spacing w:after="100"/>
      <w:contextualSpacing/>
    </w:pPr>
    <w:rPr>
      <w:rFonts w:eastAsia="Century Gothic" w:cstheme="minorBidi"/>
      <w:szCs w:val="20"/>
    </w:rPr>
  </w:style>
  <w:style w:type="paragraph" w:styleId="ListNumber5">
    <w:name w:val="List Number 5"/>
    <w:basedOn w:val="Normal"/>
    <w:uiPriority w:val="50"/>
    <w:semiHidden/>
    <w:rsid w:val="0091567C"/>
    <w:pPr>
      <w:spacing w:after="100"/>
      <w:contextualSpacing/>
    </w:pPr>
    <w:rPr>
      <w:rFonts w:eastAsia="Century Gothic" w:cstheme="minorBidi"/>
      <w:szCs w:val="20"/>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6B8BB" w:themeColor="text1" w:themeTint="66"/>
        <w:left w:val="single" w:sz="4" w:space="0" w:color="B6B8BB" w:themeColor="text1" w:themeTint="66"/>
        <w:bottom w:val="single" w:sz="4" w:space="0" w:color="B6B8BB" w:themeColor="text1" w:themeTint="66"/>
        <w:right w:val="single" w:sz="4" w:space="0" w:color="B6B8BB" w:themeColor="text1" w:themeTint="66"/>
        <w:insideH w:val="single" w:sz="4" w:space="0" w:color="B6B8BB" w:themeColor="text1" w:themeTint="66"/>
        <w:insideV w:val="single" w:sz="4" w:space="0" w:color="B6B8BB" w:themeColor="text1" w:themeTint="66"/>
      </w:tblBorders>
      <w:tblCellMar>
        <w:top w:w="57" w:type="dxa"/>
        <w:left w:w="57" w:type="dxa"/>
        <w:bottom w:w="57" w:type="dxa"/>
        <w:right w:w="57" w:type="dxa"/>
      </w:tblCellMar>
    </w:tblPr>
    <w:tblStylePr w:type="firstRow">
      <w:rPr>
        <w:b/>
        <w:bCs/>
      </w:rPr>
      <w:tblPr/>
      <w:tcPr>
        <w:tcBorders>
          <w:bottom w:val="single" w:sz="12" w:space="0" w:color="92949A" w:themeColor="text1" w:themeTint="99"/>
        </w:tcBorders>
      </w:tcPr>
    </w:tblStylePr>
    <w:tblStylePr w:type="lastRow">
      <w:rPr>
        <w:b/>
        <w:bCs/>
      </w:rPr>
      <w:tblPr/>
      <w:tcPr>
        <w:tcBorders>
          <w:top w:val="double" w:sz="2" w:space="0" w:color="92949A"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83EFFF" w:themeColor="accent1" w:themeTint="66"/>
        <w:left w:val="single" w:sz="4" w:space="0" w:color="83EFFF" w:themeColor="accent1" w:themeTint="66"/>
        <w:bottom w:val="single" w:sz="4" w:space="0" w:color="83EFFF" w:themeColor="accent1" w:themeTint="66"/>
        <w:right w:val="single" w:sz="4" w:space="0" w:color="83EFFF" w:themeColor="accent1" w:themeTint="66"/>
        <w:insideH w:val="single" w:sz="4" w:space="0" w:color="83EFFF" w:themeColor="accent1" w:themeTint="66"/>
        <w:insideV w:val="single" w:sz="4" w:space="0" w:color="83EFFF" w:themeColor="accent1" w:themeTint="66"/>
      </w:tblBorders>
      <w:tblCellMar>
        <w:top w:w="57" w:type="dxa"/>
        <w:left w:w="57" w:type="dxa"/>
        <w:bottom w:w="57" w:type="dxa"/>
        <w:right w:w="57" w:type="dxa"/>
      </w:tblCellMar>
    </w:tblPr>
    <w:tblStylePr w:type="firstRow">
      <w:rPr>
        <w:b/>
        <w:bCs/>
      </w:rPr>
      <w:tblPr/>
      <w:tcPr>
        <w:tcBorders>
          <w:bottom w:val="single" w:sz="12" w:space="0" w:color="46E7FF" w:themeColor="accent1" w:themeTint="99"/>
        </w:tcBorders>
      </w:tcPr>
    </w:tblStylePr>
    <w:tblStylePr w:type="lastRow">
      <w:rPr>
        <w:b/>
        <w:bCs/>
      </w:rPr>
      <w:tblPr/>
      <w:tcPr>
        <w:tcBorders>
          <w:top w:val="double" w:sz="2" w:space="0" w:color="46E7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CD5A8" w:themeColor="accent2" w:themeTint="66"/>
        <w:left w:val="single" w:sz="4" w:space="0" w:color="FCD5A8" w:themeColor="accent2" w:themeTint="66"/>
        <w:bottom w:val="single" w:sz="4" w:space="0" w:color="FCD5A8" w:themeColor="accent2" w:themeTint="66"/>
        <w:right w:val="single" w:sz="4" w:space="0" w:color="FCD5A8" w:themeColor="accent2" w:themeTint="66"/>
        <w:insideH w:val="single" w:sz="4" w:space="0" w:color="FCD5A8" w:themeColor="accent2" w:themeTint="66"/>
        <w:insideV w:val="single" w:sz="4" w:space="0" w:color="FCD5A8" w:themeColor="accent2" w:themeTint="66"/>
      </w:tblBorders>
      <w:tblCellMar>
        <w:top w:w="57" w:type="dxa"/>
        <w:left w:w="57" w:type="dxa"/>
        <w:bottom w:w="57" w:type="dxa"/>
        <w:right w:w="57" w:type="dxa"/>
      </w:tblCellMar>
    </w:tblPr>
    <w:tblStylePr w:type="firstRow">
      <w:rPr>
        <w:b/>
        <w:bCs/>
      </w:rPr>
      <w:tblPr/>
      <w:tcPr>
        <w:tcBorders>
          <w:bottom w:val="single" w:sz="12" w:space="0" w:color="FAC07D" w:themeColor="accent2" w:themeTint="99"/>
        </w:tcBorders>
      </w:tcPr>
    </w:tblStylePr>
    <w:tblStylePr w:type="lastRow">
      <w:rPr>
        <w:b/>
        <w:bCs/>
      </w:rPr>
      <w:tblPr/>
      <w:tcPr>
        <w:tcBorders>
          <w:top w:val="double" w:sz="2" w:space="0" w:color="FAC0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2FF7C" w:themeColor="accent3" w:themeTint="66"/>
        <w:left w:val="single" w:sz="4" w:space="0" w:color="D2FF7C" w:themeColor="accent3" w:themeTint="66"/>
        <w:bottom w:val="single" w:sz="4" w:space="0" w:color="D2FF7C" w:themeColor="accent3" w:themeTint="66"/>
        <w:right w:val="single" w:sz="4" w:space="0" w:color="D2FF7C" w:themeColor="accent3" w:themeTint="66"/>
        <w:insideH w:val="single" w:sz="4" w:space="0" w:color="D2FF7C" w:themeColor="accent3" w:themeTint="66"/>
        <w:insideV w:val="single" w:sz="4" w:space="0" w:color="D2FF7C" w:themeColor="accent3" w:themeTint="66"/>
      </w:tblBorders>
      <w:tblCellMar>
        <w:top w:w="57" w:type="dxa"/>
        <w:left w:w="57" w:type="dxa"/>
        <w:bottom w:w="57" w:type="dxa"/>
        <w:right w:w="57" w:type="dxa"/>
      </w:tblCellMar>
    </w:tblPr>
    <w:tblStylePr w:type="firstRow">
      <w:rPr>
        <w:b/>
        <w:bCs/>
      </w:rPr>
      <w:tblPr/>
      <w:tcPr>
        <w:tcBorders>
          <w:bottom w:val="single" w:sz="12" w:space="0" w:color="BDFF3B" w:themeColor="accent3" w:themeTint="99"/>
        </w:tcBorders>
      </w:tcPr>
    </w:tblStylePr>
    <w:tblStylePr w:type="lastRow">
      <w:rPr>
        <w:b/>
        <w:bCs/>
      </w:rPr>
      <w:tblPr/>
      <w:tcPr>
        <w:tcBorders>
          <w:top w:val="double" w:sz="2" w:space="0" w:color="BDFF3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19CB7" w:themeColor="accent4" w:themeTint="66"/>
        <w:left w:val="single" w:sz="4" w:space="0" w:color="F19CB7" w:themeColor="accent4" w:themeTint="66"/>
        <w:bottom w:val="single" w:sz="4" w:space="0" w:color="F19CB7" w:themeColor="accent4" w:themeTint="66"/>
        <w:right w:val="single" w:sz="4" w:space="0" w:color="F19CB7" w:themeColor="accent4" w:themeTint="66"/>
        <w:insideH w:val="single" w:sz="4" w:space="0" w:color="F19CB7" w:themeColor="accent4" w:themeTint="66"/>
        <w:insideV w:val="single" w:sz="4" w:space="0" w:color="F19CB7" w:themeColor="accent4" w:themeTint="66"/>
      </w:tblBorders>
      <w:tblCellMar>
        <w:top w:w="57" w:type="dxa"/>
        <w:left w:w="57" w:type="dxa"/>
        <w:bottom w:w="57" w:type="dxa"/>
        <w:right w:w="57" w:type="dxa"/>
      </w:tblCellMar>
    </w:tblPr>
    <w:tblStylePr w:type="firstRow">
      <w:rPr>
        <w:b/>
        <w:bCs/>
      </w:rPr>
      <w:tblPr/>
      <w:tcPr>
        <w:tcBorders>
          <w:bottom w:val="single" w:sz="12" w:space="0" w:color="EB6A94" w:themeColor="accent4" w:themeTint="99"/>
        </w:tcBorders>
      </w:tcPr>
    </w:tblStylePr>
    <w:tblStylePr w:type="lastRow">
      <w:rPr>
        <w:b/>
        <w:bCs/>
      </w:rPr>
      <w:tblPr/>
      <w:tcPr>
        <w:tcBorders>
          <w:top w:val="double" w:sz="2" w:space="0" w:color="EB6A9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D8CDF" w:themeColor="accent5" w:themeTint="66"/>
        <w:left w:val="single" w:sz="4" w:space="0" w:color="ED8CDF" w:themeColor="accent5" w:themeTint="66"/>
        <w:bottom w:val="single" w:sz="4" w:space="0" w:color="ED8CDF" w:themeColor="accent5" w:themeTint="66"/>
        <w:right w:val="single" w:sz="4" w:space="0" w:color="ED8CDF" w:themeColor="accent5" w:themeTint="66"/>
        <w:insideH w:val="single" w:sz="4" w:space="0" w:color="ED8CDF" w:themeColor="accent5" w:themeTint="66"/>
        <w:insideV w:val="single" w:sz="4" w:space="0" w:color="ED8CDF" w:themeColor="accent5" w:themeTint="66"/>
      </w:tblBorders>
      <w:tblCellMar>
        <w:top w:w="57" w:type="dxa"/>
        <w:left w:w="57" w:type="dxa"/>
        <w:bottom w:w="57" w:type="dxa"/>
        <w:right w:w="57" w:type="dxa"/>
      </w:tblCellMar>
    </w:tblPr>
    <w:tblStylePr w:type="firstRow">
      <w:rPr>
        <w:b/>
        <w:bCs/>
      </w:rPr>
      <w:tblPr/>
      <w:tcPr>
        <w:tcBorders>
          <w:bottom w:val="single" w:sz="12" w:space="0" w:color="E453CF" w:themeColor="accent5" w:themeTint="99"/>
        </w:tcBorders>
      </w:tcPr>
    </w:tblStylePr>
    <w:tblStylePr w:type="lastRow">
      <w:rPr>
        <w:b/>
        <w:bCs/>
      </w:rPr>
      <w:tblPr/>
      <w:tcPr>
        <w:tcBorders>
          <w:top w:val="double" w:sz="2" w:space="0" w:color="E453C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8" w:themeColor="accent6" w:themeTint="66"/>
        <w:left w:val="single" w:sz="4" w:space="0" w:color="E9E9E8" w:themeColor="accent6" w:themeTint="66"/>
        <w:bottom w:val="single" w:sz="4" w:space="0" w:color="E9E9E8" w:themeColor="accent6" w:themeTint="66"/>
        <w:right w:val="single" w:sz="4" w:space="0" w:color="E9E9E8" w:themeColor="accent6" w:themeTint="66"/>
        <w:insideH w:val="single" w:sz="4" w:space="0" w:color="E9E9E8" w:themeColor="accent6" w:themeTint="66"/>
        <w:insideV w:val="single" w:sz="4" w:space="0" w:color="E9E9E8" w:themeColor="accent6" w:themeTint="66"/>
      </w:tblBorders>
      <w:tblCellMar>
        <w:top w:w="57" w:type="dxa"/>
        <w:left w:w="57" w:type="dxa"/>
        <w:bottom w:w="57" w:type="dxa"/>
        <w:right w:w="57" w:type="dxa"/>
      </w:tblCellMar>
    </w:tblPr>
    <w:tblStylePr w:type="firstRow">
      <w:rPr>
        <w:b/>
        <w:bCs/>
      </w:rPr>
      <w:tblPr/>
      <w:tcPr>
        <w:tcBorders>
          <w:bottom w:val="single" w:sz="12" w:space="0" w:color="DEDFDD" w:themeColor="accent6" w:themeTint="99"/>
        </w:tcBorders>
      </w:tcPr>
    </w:tblStylePr>
    <w:tblStylePr w:type="lastRow">
      <w:rPr>
        <w:b/>
        <w:bCs/>
      </w:rPr>
      <w:tblPr/>
      <w:tcPr>
        <w:tcBorders>
          <w:top w:val="double" w:sz="2" w:space="0" w:color="DEDFD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92949A" w:themeColor="text1" w:themeTint="99"/>
        <w:bottom w:val="single" w:sz="2" w:space="0" w:color="92949A" w:themeColor="text1" w:themeTint="99"/>
        <w:insideH w:val="single" w:sz="2" w:space="0" w:color="92949A" w:themeColor="text1" w:themeTint="99"/>
        <w:insideV w:val="single" w:sz="2" w:space="0" w:color="92949A" w:themeColor="text1" w:themeTint="99"/>
      </w:tblBorders>
      <w:tblCellMar>
        <w:top w:w="57" w:type="dxa"/>
        <w:left w:w="57" w:type="dxa"/>
        <w:bottom w:w="57" w:type="dxa"/>
        <w:right w:w="57" w:type="dxa"/>
      </w:tblCellMar>
    </w:tblPr>
    <w:tblStylePr w:type="firstRow">
      <w:rPr>
        <w:b/>
        <w:bCs/>
      </w:rPr>
      <w:tblPr/>
      <w:tcPr>
        <w:tcBorders>
          <w:top w:val="nil"/>
          <w:bottom w:val="single" w:sz="12" w:space="0" w:color="92949A" w:themeColor="text1" w:themeTint="99"/>
          <w:insideH w:val="nil"/>
          <w:insideV w:val="nil"/>
        </w:tcBorders>
        <w:shd w:val="clear" w:color="auto" w:fill="FFFFFF" w:themeFill="background1"/>
      </w:tcPr>
    </w:tblStylePr>
    <w:tblStylePr w:type="lastRow">
      <w:rPr>
        <w:b/>
        <w:bCs/>
      </w:rPr>
      <w:tblPr/>
      <w:tcPr>
        <w:tcBorders>
          <w:top w:val="double" w:sz="2" w:space="0" w:color="92949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BDD" w:themeFill="text1" w:themeFillTint="33"/>
      </w:tcPr>
    </w:tblStylePr>
    <w:tblStylePr w:type="band1Horz">
      <w:tblPr/>
      <w:tcPr>
        <w:shd w:val="clear" w:color="auto" w:fill="DADBDD"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46E7FF" w:themeColor="accent1" w:themeTint="99"/>
        <w:bottom w:val="single" w:sz="2" w:space="0" w:color="46E7FF" w:themeColor="accent1" w:themeTint="99"/>
        <w:insideH w:val="single" w:sz="2" w:space="0" w:color="46E7FF" w:themeColor="accent1" w:themeTint="99"/>
        <w:insideV w:val="single" w:sz="2" w:space="0" w:color="46E7FF" w:themeColor="accent1" w:themeTint="99"/>
      </w:tblBorders>
      <w:tblCellMar>
        <w:top w:w="57" w:type="dxa"/>
        <w:left w:w="57" w:type="dxa"/>
        <w:bottom w:w="57" w:type="dxa"/>
        <w:right w:w="57" w:type="dxa"/>
      </w:tblCellMar>
    </w:tblPr>
    <w:tblStylePr w:type="firstRow">
      <w:rPr>
        <w:b/>
        <w:bCs/>
      </w:rPr>
      <w:tblPr/>
      <w:tcPr>
        <w:tcBorders>
          <w:top w:val="nil"/>
          <w:bottom w:val="single" w:sz="12" w:space="0" w:color="46E7FF" w:themeColor="accent1" w:themeTint="99"/>
          <w:insideH w:val="nil"/>
          <w:insideV w:val="nil"/>
        </w:tcBorders>
        <w:shd w:val="clear" w:color="auto" w:fill="FFFFFF" w:themeFill="background1"/>
      </w:tcPr>
    </w:tblStylePr>
    <w:tblStylePr w:type="lastRow">
      <w:rPr>
        <w:b/>
        <w:bCs/>
      </w:rPr>
      <w:tblPr/>
      <w:tcPr>
        <w:tcBorders>
          <w:top w:val="double" w:sz="2" w:space="0" w:color="46E7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7FF" w:themeFill="accent1" w:themeFillTint="33"/>
      </w:tcPr>
    </w:tblStylePr>
    <w:tblStylePr w:type="band1Horz">
      <w:tblPr/>
      <w:tcPr>
        <w:shd w:val="clear" w:color="auto" w:fill="C1F7FF"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FAC07D" w:themeColor="accent2" w:themeTint="99"/>
        <w:bottom w:val="single" w:sz="2" w:space="0" w:color="FAC07D" w:themeColor="accent2" w:themeTint="99"/>
        <w:insideH w:val="single" w:sz="2" w:space="0" w:color="FAC07D" w:themeColor="accent2" w:themeTint="99"/>
        <w:insideV w:val="single" w:sz="2" w:space="0" w:color="FAC07D" w:themeColor="accent2" w:themeTint="99"/>
      </w:tblBorders>
      <w:tblCellMar>
        <w:top w:w="57" w:type="dxa"/>
        <w:left w:w="57" w:type="dxa"/>
        <w:bottom w:w="57" w:type="dxa"/>
        <w:right w:w="57" w:type="dxa"/>
      </w:tblCellMar>
    </w:tblPr>
    <w:tblStylePr w:type="firstRow">
      <w:rPr>
        <w:b/>
        <w:bCs/>
      </w:rPr>
      <w:tblPr/>
      <w:tcPr>
        <w:tcBorders>
          <w:top w:val="nil"/>
          <w:bottom w:val="single" w:sz="12" w:space="0" w:color="FAC07D" w:themeColor="accent2" w:themeTint="99"/>
          <w:insideH w:val="nil"/>
          <w:insideV w:val="nil"/>
        </w:tcBorders>
        <w:shd w:val="clear" w:color="auto" w:fill="FFFFFF" w:themeFill="background1"/>
      </w:tcPr>
    </w:tblStylePr>
    <w:tblStylePr w:type="lastRow">
      <w:rPr>
        <w:b/>
        <w:bCs/>
      </w:rPr>
      <w:tblPr/>
      <w:tcPr>
        <w:tcBorders>
          <w:top w:val="double" w:sz="2" w:space="0" w:color="FAC0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2" w:themeFillTint="33"/>
      </w:tcPr>
    </w:tblStylePr>
    <w:tblStylePr w:type="band1Horz">
      <w:tblPr/>
      <w:tcPr>
        <w:shd w:val="clear" w:color="auto" w:fill="FDEAD3"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BDFF3B" w:themeColor="accent3" w:themeTint="99"/>
        <w:bottom w:val="single" w:sz="2" w:space="0" w:color="BDFF3B" w:themeColor="accent3" w:themeTint="99"/>
        <w:insideH w:val="single" w:sz="2" w:space="0" w:color="BDFF3B" w:themeColor="accent3" w:themeTint="99"/>
        <w:insideV w:val="single" w:sz="2" w:space="0" w:color="BDFF3B" w:themeColor="accent3" w:themeTint="99"/>
      </w:tblBorders>
      <w:tblCellMar>
        <w:top w:w="57" w:type="dxa"/>
        <w:left w:w="57" w:type="dxa"/>
        <w:bottom w:w="57" w:type="dxa"/>
        <w:right w:w="57" w:type="dxa"/>
      </w:tblCellMar>
    </w:tblPr>
    <w:tblStylePr w:type="firstRow">
      <w:rPr>
        <w:b/>
        <w:bCs/>
      </w:rPr>
      <w:tblPr/>
      <w:tcPr>
        <w:tcBorders>
          <w:top w:val="nil"/>
          <w:bottom w:val="single" w:sz="12" w:space="0" w:color="BDFF3B" w:themeColor="accent3" w:themeTint="99"/>
          <w:insideH w:val="nil"/>
          <w:insideV w:val="nil"/>
        </w:tcBorders>
        <w:shd w:val="clear" w:color="auto" w:fill="FFFFFF" w:themeFill="background1"/>
      </w:tcPr>
    </w:tblStylePr>
    <w:tblStylePr w:type="lastRow">
      <w:rPr>
        <w:b/>
        <w:bCs/>
      </w:rPr>
      <w:tblPr/>
      <w:tcPr>
        <w:tcBorders>
          <w:top w:val="double" w:sz="2" w:space="0" w:color="BDFF3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FBD" w:themeFill="accent3" w:themeFillTint="33"/>
      </w:tcPr>
    </w:tblStylePr>
    <w:tblStylePr w:type="band1Horz">
      <w:tblPr/>
      <w:tcPr>
        <w:shd w:val="clear" w:color="auto" w:fill="E8FFBD"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EB6A94" w:themeColor="accent4" w:themeTint="99"/>
        <w:bottom w:val="single" w:sz="2" w:space="0" w:color="EB6A94" w:themeColor="accent4" w:themeTint="99"/>
        <w:insideH w:val="single" w:sz="2" w:space="0" w:color="EB6A94" w:themeColor="accent4" w:themeTint="99"/>
        <w:insideV w:val="single" w:sz="2" w:space="0" w:color="EB6A94" w:themeColor="accent4" w:themeTint="99"/>
      </w:tblBorders>
      <w:tblCellMar>
        <w:top w:w="57" w:type="dxa"/>
        <w:left w:w="57" w:type="dxa"/>
        <w:bottom w:w="57" w:type="dxa"/>
        <w:right w:w="57" w:type="dxa"/>
      </w:tblCellMar>
    </w:tblPr>
    <w:tblStylePr w:type="firstRow">
      <w:rPr>
        <w:b/>
        <w:bCs/>
      </w:rPr>
      <w:tblPr/>
      <w:tcPr>
        <w:tcBorders>
          <w:top w:val="nil"/>
          <w:bottom w:val="single" w:sz="12" w:space="0" w:color="EB6A94" w:themeColor="accent4" w:themeTint="99"/>
          <w:insideH w:val="nil"/>
          <w:insideV w:val="nil"/>
        </w:tcBorders>
        <w:shd w:val="clear" w:color="auto" w:fill="FFFFFF" w:themeFill="background1"/>
      </w:tcPr>
    </w:tblStylePr>
    <w:tblStylePr w:type="lastRow">
      <w:rPr>
        <w:b/>
        <w:bCs/>
      </w:rPr>
      <w:tblPr/>
      <w:tcPr>
        <w:tcBorders>
          <w:top w:val="double" w:sz="2" w:space="0" w:color="EB6A9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CDDB" w:themeFill="accent4" w:themeFillTint="33"/>
      </w:tcPr>
    </w:tblStylePr>
    <w:tblStylePr w:type="band1Horz">
      <w:tblPr/>
      <w:tcPr>
        <w:shd w:val="clear" w:color="auto" w:fill="F8CDDB"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E453CF" w:themeColor="accent5" w:themeTint="99"/>
        <w:bottom w:val="single" w:sz="2" w:space="0" w:color="E453CF" w:themeColor="accent5" w:themeTint="99"/>
        <w:insideH w:val="single" w:sz="2" w:space="0" w:color="E453CF" w:themeColor="accent5" w:themeTint="99"/>
        <w:insideV w:val="single" w:sz="2" w:space="0" w:color="E453CF" w:themeColor="accent5" w:themeTint="99"/>
      </w:tblBorders>
      <w:tblCellMar>
        <w:top w:w="57" w:type="dxa"/>
        <w:left w:w="57" w:type="dxa"/>
        <w:bottom w:w="57" w:type="dxa"/>
        <w:right w:w="57" w:type="dxa"/>
      </w:tblCellMar>
    </w:tblPr>
    <w:tblStylePr w:type="firstRow">
      <w:rPr>
        <w:b/>
        <w:bCs/>
      </w:rPr>
      <w:tblPr/>
      <w:tcPr>
        <w:tcBorders>
          <w:top w:val="nil"/>
          <w:bottom w:val="single" w:sz="12" w:space="0" w:color="E453CF" w:themeColor="accent5" w:themeTint="99"/>
          <w:insideH w:val="nil"/>
          <w:insideV w:val="nil"/>
        </w:tcBorders>
        <w:shd w:val="clear" w:color="auto" w:fill="FFFFFF" w:themeFill="background1"/>
      </w:tcPr>
    </w:tblStylePr>
    <w:tblStylePr w:type="lastRow">
      <w:rPr>
        <w:b/>
        <w:bCs/>
      </w:rPr>
      <w:tblPr/>
      <w:tcPr>
        <w:tcBorders>
          <w:top w:val="double" w:sz="2" w:space="0" w:color="E453C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5EF" w:themeFill="accent5" w:themeFillTint="33"/>
      </w:tcPr>
    </w:tblStylePr>
    <w:tblStylePr w:type="band1Horz">
      <w:tblPr/>
      <w:tcPr>
        <w:shd w:val="clear" w:color="auto" w:fill="F6C5EF"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FDD" w:themeColor="accent6" w:themeTint="99"/>
        <w:bottom w:val="single" w:sz="2" w:space="0" w:color="DEDFDD" w:themeColor="accent6" w:themeTint="99"/>
        <w:insideH w:val="single" w:sz="2" w:space="0" w:color="DEDFDD" w:themeColor="accent6" w:themeTint="99"/>
        <w:insideV w:val="single" w:sz="2" w:space="0" w:color="DEDFDD" w:themeColor="accent6" w:themeTint="99"/>
      </w:tblBorders>
      <w:tblCellMar>
        <w:top w:w="57" w:type="dxa"/>
        <w:left w:w="57" w:type="dxa"/>
        <w:bottom w:w="57" w:type="dxa"/>
        <w:right w:w="57" w:type="dxa"/>
      </w:tblCellMar>
    </w:tblPr>
    <w:tblStylePr w:type="firstRow">
      <w:rPr>
        <w:b/>
        <w:bCs/>
      </w:rPr>
      <w:tblPr/>
      <w:tcPr>
        <w:tcBorders>
          <w:top w:val="nil"/>
          <w:bottom w:val="single" w:sz="12" w:space="0" w:color="DEDFDD" w:themeColor="accent6" w:themeTint="99"/>
          <w:insideH w:val="nil"/>
          <w:insideV w:val="nil"/>
        </w:tcBorders>
        <w:shd w:val="clear" w:color="auto" w:fill="FFFFFF" w:themeFill="background1"/>
      </w:tcPr>
    </w:tblStylePr>
    <w:tblStylePr w:type="lastRow">
      <w:rPr>
        <w:b/>
        <w:bCs/>
      </w:rPr>
      <w:tblPr/>
      <w:tcPr>
        <w:tcBorders>
          <w:top w:val="double" w:sz="2" w:space="0" w:color="DEDFD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3" w:themeFill="accent6" w:themeFillTint="33"/>
      </w:tcPr>
    </w:tblStylePr>
    <w:tblStylePr w:type="band1Horz">
      <w:tblPr/>
      <w:tcPr>
        <w:shd w:val="clear" w:color="auto" w:fill="F4F4F3"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2949A" w:themeColor="text1" w:themeTint="99"/>
        <w:left w:val="single" w:sz="4" w:space="0" w:color="92949A" w:themeColor="text1" w:themeTint="99"/>
        <w:bottom w:val="single" w:sz="4" w:space="0" w:color="92949A" w:themeColor="text1" w:themeTint="99"/>
        <w:right w:val="single" w:sz="4" w:space="0" w:color="92949A" w:themeColor="text1" w:themeTint="99"/>
        <w:insideH w:val="single" w:sz="4" w:space="0" w:color="92949A" w:themeColor="text1" w:themeTint="99"/>
        <w:insideV w:val="single" w:sz="4" w:space="0" w:color="92949A"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BDD" w:themeFill="text1" w:themeFillTint="33"/>
      </w:tcPr>
    </w:tblStylePr>
    <w:tblStylePr w:type="band1Horz">
      <w:tblPr/>
      <w:tcPr>
        <w:shd w:val="clear" w:color="auto" w:fill="DADBDD" w:themeFill="text1" w:themeFillTint="33"/>
      </w:tcPr>
    </w:tblStylePr>
    <w:tblStylePr w:type="neCell">
      <w:tblPr/>
      <w:tcPr>
        <w:tcBorders>
          <w:bottom w:val="single" w:sz="4" w:space="0" w:color="92949A" w:themeColor="text1" w:themeTint="99"/>
        </w:tcBorders>
      </w:tcPr>
    </w:tblStylePr>
    <w:tblStylePr w:type="nwCell">
      <w:tblPr/>
      <w:tcPr>
        <w:tcBorders>
          <w:bottom w:val="single" w:sz="4" w:space="0" w:color="92949A" w:themeColor="text1" w:themeTint="99"/>
        </w:tcBorders>
      </w:tcPr>
    </w:tblStylePr>
    <w:tblStylePr w:type="seCell">
      <w:tblPr/>
      <w:tcPr>
        <w:tcBorders>
          <w:top w:val="single" w:sz="4" w:space="0" w:color="92949A" w:themeColor="text1" w:themeTint="99"/>
        </w:tcBorders>
      </w:tcPr>
    </w:tblStylePr>
    <w:tblStylePr w:type="swCell">
      <w:tblPr/>
      <w:tcPr>
        <w:tcBorders>
          <w:top w:val="single" w:sz="4" w:space="0" w:color="92949A"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46E7FF" w:themeColor="accent1" w:themeTint="99"/>
        <w:left w:val="single" w:sz="4" w:space="0" w:color="46E7FF" w:themeColor="accent1" w:themeTint="99"/>
        <w:bottom w:val="single" w:sz="4" w:space="0" w:color="46E7FF" w:themeColor="accent1" w:themeTint="99"/>
        <w:right w:val="single" w:sz="4" w:space="0" w:color="46E7FF" w:themeColor="accent1" w:themeTint="99"/>
        <w:insideH w:val="single" w:sz="4" w:space="0" w:color="46E7FF" w:themeColor="accent1" w:themeTint="99"/>
        <w:insideV w:val="single" w:sz="4" w:space="0" w:color="46E7FF"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7FF" w:themeFill="accent1" w:themeFillTint="33"/>
      </w:tcPr>
    </w:tblStylePr>
    <w:tblStylePr w:type="band1Horz">
      <w:tblPr/>
      <w:tcPr>
        <w:shd w:val="clear" w:color="auto" w:fill="C1F7FF" w:themeFill="accent1" w:themeFillTint="33"/>
      </w:tcPr>
    </w:tblStylePr>
    <w:tblStylePr w:type="neCell">
      <w:tblPr/>
      <w:tcPr>
        <w:tcBorders>
          <w:bottom w:val="single" w:sz="4" w:space="0" w:color="46E7FF" w:themeColor="accent1" w:themeTint="99"/>
        </w:tcBorders>
      </w:tcPr>
    </w:tblStylePr>
    <w:tblStylePr w:type="nwCell">
      <w:tblPr/>
      <w:tcPr>
        <w:tcBorders>
          <w:bottom w:val="single" w:sz="4" w:space="0" w:color="46E7FF" w:themeColor="accent1" w:themeTint="99"/>
        </w:tcBorders>
      </w:tcPr>
    </w:tblStylePr>
    <w:tblStylePr w:type="seCell">
      <w:tblPr/>
      <w:tcPr>
        <w:tcBorders>
          <w:top w:val="single" w:sz="4" w:space="0" w:color="46E7FF" w:themeColor="accent1" w:themeTint="99"/>
        </w:tcBorders>
      </w:tcPr>
    </w:tblStylePr>
    <w:tblStylePr w:type="swCell">
      <w:tblPr/>
      <w:tcPr>
        <w:tcBorders>
          <w:top w:val="single" w:sz="4" w:space="0" w:color="46E7FF"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AC07D" w:themeColor="accent2" w:themeTint="99"/>
        <w:left w:val="single" w:sz="4" w:space="0" w:color="FAC07D" w:themeColor="accent2" w:themeTint="99"/>
        <w:bottom w:val="single" w:sz="4" w:space="0" w:color="FAC07D" w:themeColor="accent2" w:themeTint="99"/>
        <w:right w:val="single" w:sz="4" w:space="0" w:color="FAC07D" w:themeColor="accent2" w:themeTint="99"/>
        <w:insideH w:val="single" w:sz="4" w:space="0" w:color="FAC07D" w:themeColor="accent2" w:themeTint="99"/>
        <w:insideV w:val="single" w:sz="4" w:space="0" w:color="FAC07D"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2" w:themeFillTint="33"/>
      </w:tcPr>
    </w:tblStylePr>
    <w:tblStylePr w:type="band1Horz">
      <w:tblPr/>
      <w:tcPr>
        <w:shd w:val="clear" w:color="auto" w:fill="FDEAD3" w:themeFill="accent2" w:themeFillTint="33"/>
      </w:tcPr>
    </w:tblStylePr>
    <w:tblStylePr w:type="neCell">
      <w:tblPr/>
      <w:tcPr>
        <w:tcBorders>
          <w:bottom w:val="single" w:sz="4" w:space="0" w:color="FAC07D" w:themeColor="accent2" w:themeTint="99"/>
        </w:tcBorders>
      </w:tcPr>
    </w:tblStylePr>
    <w:tblStylePr w:type="nwCell">
      <w:tblPr/>
      <w:tcPr>
        <w:tcBorders>
          <w:bottom w:val="single" w:sz="4" w:space="0" w:color="FAC07D" w:themeColor="accent2" w:themeTint="99"/>
        </w:tcBorders>
      </w:tcPr>
    </w:tblStylePr>
    <w:tblStylePr w:type="seCell">
      <w:tblPr/>
      <w:tcPr>
        <w:tcBorders>
          <w:top w:val="single" w:sz="4" w:space="0" w:color="FAC07D" w:themeColor="accent2" w:themeTint="99"/>
        </w:tcBorders>
      </w:tcPr>
    </w:tblStylePr>
    <w:tblStylePr w:type="swCell">
      <w:tblPr/>
      <w:tcPr>
        <w:tcBorders>
          <w:top w:val="single" w:sz="4" w:space="0" w:color="FAC07D"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DFF3B" w:themeColor="accent3" w:themeTint="99"/>
        <w:left w:val="single" w:sz="4" w:space="0" w:color="BDFF3B" w:themeColor="accent3" w:themeTint="99"/>
        <w:bottom w:val="single" w:sz="4" w:space="0" w:color="BDFF3B" w:themeColor="accent3" w:themeTint="99"/>
        <w:right w:val="single" w:sz="4" w:space="0" w:color="BDFF3B" w:themeColor="accent3" w:themeTint="99"/>
        <w:insideH w:val="single" w:sz="4" w:space="0" w:color="BDFF3B" w:themeColor="accent3" w:themeTint="99"/>
        <w:insideV w:val="single" w:sz="4" w:space="0" w:color="BDFF3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FBD" w:themeFill="accent3" w:themeFillTint="33"/>
      </w:tcPr>
    </w:tblStylePr>
    <w:tblStylePr w:type="band1Horz">
      <w:tblPr/>
      <w:tcPr>
        <w:shd w:val="clear" w:color="auto" w:fill="E8FFBD" w:themeFill="accent3" w:themeFillTint="33"/>
      </w:tcPr>
    </w:tblStylePr>
    <w:tblStylePr w:type="neCell">
      <w:tblPr/>
      <w:tcPr>
        <w:tcBorders>
          <w:bottom w:val="single" w:sz="4" w:space="0" w:color="BDFF3B" w:themeColor="accent3" w:themeTint="99"/>
        </w:tcBorders>
      </w:tcPr>
    </w:tblStylePr>
    <w:tblStylePr w:type="nwCell">
      <w:tblPr/>
      <w:tcPr>
        <w:tcBorders>
          <w:bottom w:val="single" w:sz="4" w:space="0" w:color="BDFF3B" w:themeColor="accent3" w:themeTint="99"/>
        </w:tcBorders>
      </w:tcPr>
    </w:tblStylePr>
    <w:tblStylePr w:type="seCell">
      <w:tblPr/>
      <w:tcPr>
        <w:tcBorders>
          <w:top w:val="single" w:sz="4" w:space="0" w:color="BDFF3B" w:themeColor="accent3" w:themeTint="99"/>
        </w:tcBorders>
      </w:tcPr>
    </w:tblStylePr>
    <w:tblStylePr w:type="swCell">
      <w:tblPr/>
      <w:tcPr>
        <w:tcBorders>
          <w:top w:val="single" w:sz="4" w:space="0" w:color="BDFF3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B6A94" w:themeColor="accent4" w:themeTint="99"/>
        <w:left w:val="single" w:sz="4" w:space="0" w:color="EB6A94" w:themeColor="accent4" w:themeTint="99"/>
        <w:bottom w:val="single" w:sz="4" w:space="0" w:color="EB6A94" w:themeColor="accent4" w:themeTint="99"/>
        <w:right w:val="single" w:sz="4" w:space="0" w:color="EB6A94" w:themeColor="accent4" w:themeTint="99"/>
        <w:insideH w:val="single" w:sz="4" w:space="0" w:color="EB6A94" w:themeColor="accent4" w:themeTint="99"/>
        <w:insideV w:val="single" w:sz="4" w:space="0" w:color="EB6A94"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DDB" w:themeFill="accent4" w:themeFillTint="33"/>
      </w:tcPr>
    </w:tblStylePr>
    <w:tblStylePr w:type="band1Horz">
      <w:tblPr/>
      <w:tcPr>
        <w:shd w:val="clear" w:color="auto" w:fill="F8CDDB" w:themeFill="accent4" w:themeFillTint="33"/>
      </w:tcPr>
    </w:tblStylePr>
    <w:tblStylePr w:type="neCell">
      <w:tblPr/>
      <w:tcPr>
        <w:tcBorders>
          <w:bottom w:val="single" w:sz="4" w:space="0" w:color="EB6A94" w:themeColor="accent4" w:themeTint="99"/>
        </w:tcBorders>
      </w:tcPr>
    </w:tblStylePr>
    <w:tblStylePr w:type="nwCell">
      <w:tblPr/>
      <w:tcPr>
        <w:tcBorders>
          <w:bottom w:val="single" w:sz="4" w:space="0" w:color="EB6A94" w:themeColor="accent4" w:themeTint="99"/>
        </w:tcBorders>
      </w:tcPr>
    </w:tblStylePr>
    <w:tblStylePr w:type="seCell">
      <w:tblPr/>
      <w:tcPr>
        <w:tcBorders>
          <w:top w:val="single" w:sz="4" w:space="0" w:color="EB6A94" w:themeColor="accent4" w:themeTint="99"/>
        </w:tcBorders>
      </w:tcPr>
    </w:tblStylePr>
    <w:tblStylePr w:type="swCell">
      <w:tblPr/>
      <w:tcPr>
        <w:tcBorders>
          <w:top w:val="single" w:sz="4" w:space="0" w:color="EB6A94"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453CF" w:themeColor="accent5" w:themeTint="99"/>
        <w:left w:val="single" w:sz="4" w:space="0" w:color="E453CF" w:themeColor="accent5" w:themeTint="99"/>
        <w:bottom w:val="single" w:sz="4" w:space="0" w:color="E453CF" w:themeColor="accent5" w:themeTint="99"/>
        <w:right w:val="single" w:sz="4" w:space="0" w:color="E453CF" w:themeColor="accent5" w:themeTint="99"/>
        <w:insideH w:val="single" w:sz="4" w:space="0" w:color="E453CF" w:themeColor="accent5" w:themeTint="99"/>
        <w:insideV w:val="single" w:sz="4" w:space="0" w:color="E453CF"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5EF" w:themeFill="accent5" w:themeFillTint="33"/>
      </w:tcPr>
    </w:tblStylePr>
    <w:tblStylePr w:type="band1Horz">
      <w:tblPr/>
      <w:tcPr>
        <w:shd w:val="clear" w:color="auto" w:fill="F6C5EF" w:themeFill="accent5" w:themeFillTint="33"/>
      </w:tcPr>
    </w:tblStylePr>
    <w:tblStylePr w:type="neCell">
      <w:tblPr/>
      <w:tcPr>
        <w:tcBorders>
          <w:bottom w:val="single" w:sz="4" w:space="0" w:color="E453CF" w:themeColor="accent5" w:themeTint="99"/>
        </w:tcBorders>
      </w:tcPr>
    </w:tblStylePr>
    <w:tblStylePr w:type="nwCell">
      <w:tblPr/>
      <w:tcPr>
        <w:tcBorders>
          <w:bottom w:val="single" w:sz="4" w:space="0" w:color="E453CF" w:themeColor="accent5" w:themeTint="99"/>
        </w:tcBorders>
      </w:tcPr>
    </w:tblStylePr>
    <w:tblStylePr w:type="seCell">
      <w:tblPr/>
      <w:tcPr>
        <w:tcBorders>
          <w:top w:val="single" w:sz="4" w:space="0" w:color="E453CF" w:themeColor="accent5" w:themeTint="99"/>
        </w:tcBorders>
      </w:tcPr>
    </w:tblStylePr>
    <w:tblStylePr w:type="swCell">
      <w:tblPr/>
      <w:tcPr>
        <w:tcBorders>
          <w:top w:val="single" w:sz="4" w:space="0" w:color="E453CF"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FDD" w:themeColor="accent6" w:themeTint="99"/>
        <w:left w:val="single" w:sz="4" w:space="0" w:color="DEDFDD" w:themeColor="accent6" w:themeTint="99"/>
        <w:bottom w:val="single" w:sz="4" w:space="0" w:color="DEDFDD" w:themeColor="accent6" w:themeTint="99"/>
        <w:right w:val="single" w:sz="4" w:space="0" w:color="DEDFDD" w:themeColor="accent6" w:themeTint="99"/>
        <w:insideH w:val="single" w:sz="4" w:space="0" w:color="DEDFDD" w:themeColor="accent6" w:themeTint="99"/>
        <w:insideV w:val="single" w:sz="4" w:space="0" w:color="DEDFDD"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3" w:themeFill="accent6" w:themeFillTint="33"/>
      </w:tcPr>
    </w:tblStylePr>
    <w:tblStylePr w:type="band1Horz">
      <w:tblPr/>
      <w:tcPr>
        <w:shd w:val="clear" w:color="auto" w:fill="F4F4F3" w:themeFill="accent6" w:themeFillTint="33"/>
      </w:tcPr>
    </w:tblStylePr>
    <w:tblStylePr w:type="neCell">
      <w:tblPr/>
      <w:tcPr>
        <w:tcBorders>
          <w:bottom w:val="single" w:sz="4" w:space="0" w:color="DEDFDD" w:themeColor="accent6" w:themeTint="99"/>
        </w:tcBorders>
      </w:tcPr>
    </w:tblStylePr>
    <w:tblStylePr w:type="nwCell">
      <w:tblPr/>
      <w:tcPr>
        <w:tcBorders>
          <w:bottom w:val="single" w:sz="4" w:space="0" w:color="DEDFDD" w:themeColor="accent6" w:themeTint="99"/>
        </w:tcBorders>
      </w:tcPr>
    </w:tblStylePr>
    <w:tblStylePr w:type="seCell">
      <w:tblPr/>
      <w:tcPr>
        <w:tcBorders>
          <w:top w:val="single" w:sz="4" w:space="0" w:color="DEDFDD" w:themeColor="accent6" w:themeTint="99"/>
        </w:tcBorders>
      </w:tcPr>
    </w:tblStylePr>
    <w:tblStylePr w:type="swCell">
      <w:tblPr/>
      <w:tcPr>
        <w:tcBorders>
          <w:top w:val="single" w:sz="4" w:space="0" w:color="DEDFDD"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2949A" w:themeColor="text1" w:themeTint="99"/>
        <w:left w:val="single" w:sz="4" w:space="0" w:color="92949A" w:themeColor="text1" w:themeTint="99"/>
        <w:bottom w:val="single" w:sz="4" w:space="0" w:color="92949A" w:themeColor="text1" w:themeTint="99"/>
        <w:right w:val="single" w:sz="4" w:space="0" w:color="92949A" w:themeColor="text1" w:themeTint="99"/>
        <w:insideH w:val="single" w:sz="4" w:space="0" w:color="92949A" w:themeColor="text1" w:themeTint="99"/>
        <w:insideV w:val="single" w:sz="4" w:space="0" w:color="92949A"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4D4F53" w:themeColor="text1"/>
          <w:left w:val="single" w:sz="4" w:space="0" w:color="4D4F53" w:themeColor="text1"/>
          <w:bottom w:val="single" w:sz="4" w:space="0" w:color="4D4F53" w:themeColor="text1"/>
          <w:right w:val="single" w:sz="4" w:space="0" w:color="4D4F53" w:themeColor="text1"/>
          <w:insideH w:val="nil"/>
          <w:insideV w:val="nil"/>
        </w:tcBorders>
        <w:shd w:val="clear" w:color="auto" w:fill="4D4F53" w:themeFill="text1"/>
      </w:tcPr>
    </w:tblStylePr>
    <w:tblStylePr w:type="lastRow">
      <w:rPr>
        <w:b/>
        <w:bCs/>
      </w:rPr>
      <w:tblPr/>
      <w:tcPr>
        <w:tcBorders>
          <w:top w:val="double" w:sz="4" w:space="0" w:color="4D4F53" w:themeColor="text1"/>
        </w:tcBorders>
      </w:tcPr>
    </w:tblStylePr>
    <w:tblStylePr w:type="firstCol">
      <w:rPr>
        <w:b/>
        <w:bCs/>
      </w:rPr>
    </w:tblStylePr>
    <w:tblStylePr w:type="lastCol">
      <w:rPr>
        <w:b/>
        <w:bCs/>
      </w:rPr>
    </w:tblStylePr>
    <w:tblStylePr w:type="band1Vert">
      <w:tblPr/>
      <w:tcPr>
        <w:shd w:val="clear" w:color="auto" w:fill="DADBDD" w:themeFill="text1" w:themeFillTint="33"/>
      </w:tcPr>
    </w:tblStylePr>
    <w:tblStylePr w:type="band1Horz">
      <w:tblPr/>
      <w:tcPr>
        <w:shd w:val="clear" w:color="auto" w:fill="DADBDD"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46E7FF" w:themeColor="accent1" w:themeTint="99"/>
        <w:left w:val="single" w:sz="4" w:space="0" w:color="46E7FF" w:themeColor="accent1" w:themeTint="99"/>
        <w:bottom w:val="single" w:sz="4" w:space="0" w:color="46E7FF" w:themeColor="accent1" w:themeTint="99"/>
        <w:right w:val="single" w:sz="4" w:space="0" w:color="46E7FF" w:themeColor="accent1" w:themeTint="99"/>
        <w:insideH w:val="single" w:sz="4" w:space="0" w:color="46E7FF" w:themeColor="accent1" w:themeTint="99"/>
        <w:insideV w:val="single" w:sz="4" w:space="0" w:color="46E7FF"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B0CA" w:themeColor="accent1"/>
          <w:left w:val="single" w:sz="4" w:space="0" w:color="00B0CA" w:themeColor="accent1"/>
          <w:bottom w:val="single" w:sz="4" w:space="0" w:color="00B0CA" w:themeColor="accent1"/>
          <w:right w:val="single" w:sz="4" w:space="0" w:color="00B0CA" w:themeColor="accent1"/>
          <w:insideH w:val="nil"/>
          <w:insideV w:val="nil"/>
        </w:tcBorders>
        <w:shd w:val="clear" w:color="auto" w:fill="00B0CA" w:themeFill="accent1"/>
      </w:tcPr>
    </w:tblStylePr>
    <w:tblStylePr w:type="lastRow">
      <w:rPr>
        <w:b/>
        <w:bCs/>
      </w:rPr>
      <w:tblPr/>
      <w:tcPr>
        <w:tcBorders>
          <w:top w:val="double" w:sz="4" w:space="0" w:color="00B0CA" w:themeColor="accent1"/>
        </w:tcBorders>
      </w:tcPr>
    </w:tblStylePr>
    <w:tblStylePr w:type="firstCol">
      <w:rPr>
        <w:b/>
        <w:bCs/>
      </w:rPr>
    </w:tblStylePr>
    <w:tblStylePr w:type="lastCol">
      <w:rPr>
        <w:b/>
        <w:bCs/>
      </w:rPr>
    </w:tblStylePr>
    <w:tblStylePr w:type="band1Vert">
      <w:tblPr/>
      <w:tcPr>
        <w:shd w:val="clear" w:color="auto" w:fill="C1F7FF" w:themeFill="accent1" w:themeFillTint="33"/>
      </w:tcPr>
    </w:tblStylePr>
    <w:tblStylePr w:type="band1Horz">
      <w:tblPr/>
      <w:tcPr>
        <w:shd w:val="clear" w:color="auto" w:fill="C1F7FF"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AC07D" w:themeColor="accent2" w:themeTint="99"/>
        <w:left w:val="single" w:sz="4" w:space="0" w:color="FAC07D" w:themeColor="accent2" w:themeTint="99"/>
        <w:bottom w:val="single" w:sz="4" w:space="0" w:color="FAC07D" w:themeColor="accent2" w:themeTint="99"/>
        <w:right w:val="single" w:sz="4" w:space="0" w:color="FAC07D" w:themeColor="accent2" w:themeTint="99"/>
        <w:insideH w:val="single" w:sz="4" w:space="0" w:color="FAC07D" w:themeColor="accent2" w:themeTint="99"/>
        <w:insideV w:val="single" w:sz="4" w:space="0" w:color="FAC07D"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F89828" w:themeColor="accent2"/>
          <w:left w:val="single" w:sz="4" w:space="0" w:color="F89828" w:themeColor="accent2"/>
          <w:bottom w:val="single" w:sz="4" w:space="0" w:color="F89828" w:themeColor="accent2"/>
          <w:right w:val="single" w:sz="4" w:space="0" w:color="F89828" w:themeColor="accent2"/>
          <w:insideH w:val="nil"/>
          <w:insideV w:val="nil"/>
        </w:tcBorders>
        <w:shd w:val="clear" w:color="auto" w:fill="F89828" w:themeFill="accent2"/>
      </w:tcPr>
    </w:tblStylePr>
    <w:tblStylePr w:type="lastRow">
      <w:rPr>
        <w:b/>
        <w:bCs/>
      </w:rPr>
      <w:tblPr/>
      <w:tcPr>
        <w:tcBorders>
          <w:top w:val="double" w:sz="4" w:space="0" w:color="F89828" w:themeColor="accent2"/>
        </w:tcBorders>
      </w:tcPr>
    </w:tblStylePr>
    <w:tblStylePr w:type="firstCol">
      <w:rPr>
        <w:b/>
        <w:bCs/>
      </w:rPr>
    </w:tblStylePr>
    <w:tblStylePr w:type="lastCol">
      <w:rPr>
        <w:b/>
        <w:bCs/>
      </w:rPr>
    </w:tblStylePr>
    <w:tblStylePr w:type="band1Vert">
      <w:tblPr/>
      <w:tcPr>
        <w:shd w:val="clear" w:color="auto" w:fill="FDEAD3" w:themeFill="accent2" w:themeFillTint="33"/>
      </w:tcPr>
    </w:tblStylePr>
    <w:tblStylePr w:type="band1Horz">
      <w:tblPr/>
      <w:tcPr>
        <w:shd w:val="clear" w:color="auto" w:fill="FDEAD3"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DFF3B" w:themeColor="accent3" w:themeTint="99"/>
        <w:left w:val="single" w:sz="4" w:space="0" w:color="BDFF3B" w:themeColor="accent3" w:themeTint="99"/>
        <w:bottom w:val="single" w:sz="4" w:space="0" w:color="BDFF3B" w:themeColor="accent3" w:themeTint="99"/>
        <w:right w:val="single" w:sz="4" w:space="0" w:color="BDFF3B" w:themeColor="accent3" w:themeTint="99"/>
        <w:insideH w:val="single" w:sz="4" w:space="0" w:color="BDFF3B" w:themeColor="accent3" w:themeTint="99"/>
        <w:insideV w:val="single" w:sz="4" w:space="0" w:color="BDFF3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7AB800" w:themeColor="accent3"/>
          <w:left w:val="single" w:sz="4" w:space="0" w:color="7AB800" w:themeColor="accent3"/>
          <w:bottom w:val="single" w:sz="4" w:space="0" w:color="7AB800" w:themeColor="accent3"/>
          <w:right w:val="single" w:sz="4" w:space="0" w:color="7AB800" w:themeColor="accent3"/>
          <w:insideH w:val="nil"/>
          <w:insideV w:val="nil"/>
        </w:tcBorders>
        <w:shd w:val="clear" w:color="auto" w:fill="7AB800" w:themeFill="accent3"/>
      </w:tcPr>
    </w:tblStylePr>
    <w:tblStylePr w:type="lastRow">
      <w:rPr>
        <w:b/>
        <w:bCs/>
      </w:rPr>
      <w:tblPr/>
      <w:tcPr>
        <w:tcBorders>
          <w:top w:val="double" w:sz="4" w:space="0" w:color="7AB800" w:themeColor="accent3"/>
        </w:tcBorders>
      </w:tcPr>
    </w:tblStylePr>
    <w:tblStylePr w:type="firstCol">
      <w:rPr>
        <w:b/>
        <w:bCs/>
      </w:rPr>
    </w:tblStylePr>
    <w:tblStylePr w:type="lastCol">
      <w:rPr>
        <w:b/>
        <w:bCs/>
      </w:rPr>
    </w:tblStylePr>
    <w:tblStylePr w:type="band1Vert">
      <w:tblPr/>
      <w:tcPr>
        <w:shd w:val="clear" w:color="auto" w:fill="E8FFBD" w:themeFill="accent3" w:themeFillTint="33"/>
      </w:tcPr>
    </w:tblStylePr>
    <w:tblStylePr w:type="band1Horz">
      <w:tblPr/>
      <w:tcPr>
        <w:shd w:val="clear" w:color="auto" w:fill="E8FFBD"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B6A94" w:themeColor="accent4" w:themeTint="99"/>
        <w:left w:val="single" w:sz="4" w:space="0" w:color="EB6A94" w:themeColor="accent4" w:themeTint="99"/>
        <w:bottom w:val="single" w:sz="4" w:space="0" w:color="EB6A94" w:themeColor="accent4" w:themeTint="99"/>
        <w:right w:val="single" w:sz="4" w:space="0" w:color="EB6A94" w:themeColor="accent4" w:themeTint="99"/>
        <w:insideH w:val="single" w:sz="4" w:space="0" w:color="EB6A94" w:themeColor="accent4" w:themeTint="99"/>
        <w:insideV w:val="single" w:sz="4" w:space="0" w:color="EB6A94"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B1B54" w:themeColor="accent4"/>
          <w:left w:val="single" w:sz="4" w:space="0" w:color="CB1B54" w:themeColor="accent4"/>
          <w:bottom w:val="single" w:sz="4" w:space="0" w:color="CB1B54" w:themeColor="accent4"/>
          <w:right w:val="single" w:sz="4" w:space="0" w:color="CB1B54" w:themeColor="accent4"/>
          <w:insideH w:val="nil"/>
          <w:insideV w:val="nil"/>
        </w:tcBorders>
        <w:shd w:val="clear" w:color="auto" w:fill="CB1B54" w:themeFill="accent4"/>
      </w:tcPr>
    </w:tblStylePr>
    <w:tblStylePr w:type="lastRow">
      <w:rPr>
        <w:b/>
        <w:bCs/>
      </w:rPr>
      <w:tblPr/>
      <w:tcPr>
        <w:tcBorders>
          <w:top w:val="double" w:sz="4" w:space="0" w:color="CB1B54" w:themeColor="accent4"/>
        </w:tcBorders>
      </w:tcPr>
    </w:tblStylePr>
    <w:tblStylePr w:type="firstCol">
      <w:rPr>
        <w:b/>
        <w:bCs/>
      </w:rPr>
    </w:tblStylePr>
    <w:tblStylePr w:type="lastCol">
      <w:rPr>
        <w:b/>
        <w:bCs/>
      </w:rPr>
    </w:tblStylePr>
    <w:tblStylePr w:type="band1Vert">
      <w:tblPr/>
      <w:tcPr>
        <w:shd w:val="clear" w:color="auto" w:fill="F8CDDB" w:themeFill="accent4" w:themeFillTint="33"/>
      </w:tcPr>
    </w:tblStylePr>
    <w:tblStylePr w:type="band1Horz">
      <w:tblPr/>
      <w:tcPr>
        <w:shd w:val="clear" w:color="auto" w:fill="F8CDDB"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453CF" w:themeColor="accent5" w:themeTint="99"/>
        <w:left w:val="single" w:sz="4" w:space="0" w:color="E453CF" w:themeColor="accent5" w:themeTint="99"/>
        <w:bottom w:val="single" w:sz="4" w:space="0" w:color="E453CF" w:themeColor="accent5" w:themeTint="99"/>
        <w:right w:val="single" w:sz="4" w:space="0" w:color="E453CF" w:themeColor="accent5" w:themeTint="99"/>
        <w:insideH w:val="single" w:sz="4" w:space="0" w:color="E453CF" w:themeColor="accent5" w:themeTint="99"/>
        <w:insideV w:val="single" w:sz="4" w:space="0" w:color="E453CF"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B1889" w:themeColor="accent5"/>
          <w:left w:val="single" w:sz="4" w:space="0" w:color="9B1889" w:themeColor="accent5"/>
          <w:bottom w:val="single" w:sz="4" w:space="0" w:color="9B1889" w:themeColor="accent5"/>
          <w:right w:val="single" w:sz="4" w:space="0" w:color="9B1889" w:themeColor="accent5"/>
          <w:insideH w:val="nil"/>
          <w:insideV w:val="nil"/>
        </w:tcBorders>
        <w:shd w:val="clear" w:color="auto" w:fill="9B1889" w:themeFill="accent5"/>
      </w:tcPr>
    </w:tblStylePr>
    <w:tblStylePr w:type="lastRow">
      <w:rPr>
        <w:b/>
        <w:bCs/>
      </w:rPr>
      <w:tblPr/>
      <w:tcPr>
        <w:tcBorders>
          <w:top w:val="double" w:sz="4" w:space="0" w:color="9B1889" w:themeColor="accent5"/>
        </w:tcBorders>
      </w:tcPr>
    </w:tblStylePr>
    <w:tblStylePr w:type="firstCol">
      <w:rPr>
        <w:b/>
        <w:bCs/>
      </w:rPr>
    </w:tblStylePr>
    <w:tblStylePr w:type="lastCol">
      <w:rPr>
        <w:b/>
        <w:bCs/>
      </w:rPr>
    </w:tblStylePr>
    <w:tblStylePr w:type="band1Vert">
      <w:tblPr/>
      <w:tcPr>
        <w:shd w:val="clear" w:color="auto" w:fill="F6C5EF" w:themeFill="accent5" w:themeFillTint="33"/>
      </w:tcPr>
    </w:tblStylePr>
    <w:tblStylePr w:type="band1Horz">
      <w:tblPr/>
      <w:tcPr>
        <w:shd w:val="clear" w:color="auto" w:fill="F6C5EF"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FDD" w:themeColor="accent6" w:themeTint="99"/>
        <w:left w:val="single" w:sz="4" w:space="0" w:color="DEDFDD" w:themeColor="accent6" w:themeTint="99"/>
        <w:bottom w:val="single" w:sz="4" w:space="0" w:color="DEDFDD" w:themeColor="accent6" w:themeTint="99"/>
        <w:right w:val="single" w:sz="4" w:space="0" w:color="DEDFDD" w:themeColor="accent6" w:themeTint="99"/>
        <w:insideH w:val="single" w:sz="4" w:space="0" w:color="DEDFDD" w:themeColor="accent6" w:themeTint="99"/>
        <w:insideV w:val="single" w:sz="4" w:space="0" w:color="DEDFDD"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AC8" w:themeColor="accent6"/>
          <w:left w:val="single" w:sz="4" w:space="0" w:color="C9CAC8" w:themeColor="accent6"/>
          <w:bottom w:val="single" w:sz="4" w:space="0" w:color="C9CAC8" w:themeColor="accent6"/>
          <w:right w:val="single" w:sz="4" w:space="0" w:color="C9CAC8" w:themeColor="accent6"/>
          <w:insideH w:val="nil"/>
          <w:insideV w:val="nil"/>
        </w:tcBorders>
        <w:shd w:val="clear" w:color="auto" w:fill="C9CAC8" w:themeFill="accent6"/>
      </w:tcPr>
    </w:tblStylePr>
    <w:tblStylePr w:type="lastRow">
      <w:rPr>
        <w:b/>
        <w:bCs/>
      </w:rPr>
      <w:tblPr/>
      <w:tcPr>
        <w:tcBorders>
          <w:top w:val="double" w:sz="4" w:space="0" w:color="C9CAC8" w:themeColor="accent6"/>
        </w:tcBorders>
      </w:tcPr>
    </w:tblStylePr>
    <w:tblStylePr w:type="firstCol">
      <w:rPr>
        <w:b/>
        <w:bCs/>
      </w:rPr>
    </w:tblStylePr>
    <w:tblStylePr w:type="lastCol">
      <w:rPr>
        <w:b/>
        <w:bCs/>
      </w:rPr>
    </w:tblStylePr>
    <w:tblStylePr w:type="band1Vert">
      <w:tblPr/>
      <w:tcPr>
        <w:shd w:val="clear" w:color="auto" w:fill="F4F4F3" w:themeFill="accent6" w:themeFillTint="33"/>
      </w:tcPr>
    </w:tblStylePr>
    <w:tblStylePr w:type="band1Horz">
      <w:tblPr/>
      <w:tcPr>
        <w:shd w:val="clear" w:color="auto" w:fill="F4F4F3"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ADB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F5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F5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F5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F53" w:themeFill="text1"/>
      </w:tcPr>
    </w:tblStylePr>
    <w:tblStylePr w:type="band1Vert">
      <w:tblPr/>
      <w:tcPr>
        <w:shd w:val="clear" w:color="auto" w:fill="B6B8BB" w:themeFill="text1" w:themeFillTint="66"/>
      </w:tcPr>
    </w:tblStylePr>
    <w:tblStylePr w:type="band1Horz">
      <w:tblPr/>
      <w:tcPr>
        <w:shd w:val="clear" w:color="auto" w:fill="B6B8BB"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1F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CA" w:themeFill="accent1"/>
      </w:tcPr>
    </w:tblStylePr>
    <w:tblStylePr w:type="band1Vert">
      <w:tblPr/>
      <w:tcPr>
        <w:shd w:val="clear" w:color="auto" w:fill="83EFFF" w:themeFill="accent1" w:themeFillTint="66"/>
      </w:tcPr>
    </w:tblStylePr>
    <w:tblStylePr w:type="band1Horz">
      <w:tblPr/>
      <w:tcPr>
        <w:shd w:val="clear" w:color="auto" w:fill="83EFFF" w:themeFill="accent1" w:themeFillTint="66"/>
      </w:tcPr>
    </w:tblStylePr>
  </w:style>
  <w:style w:type="table" w:styleId="GridTable5Dark-Accent2">
    <w:name w:val="Grid Table 5 Dark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DEA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82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82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82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828" w:themeFill="accent2"/>
      </w:tcPr>
    </w:tblStylePr>
    <w:tblStylePr w:type="band1Vert">
      <w:tblPr/>
      <w:tcPr>
        <w:shd w:val="clear" w:color="auto" w:fill="FCD5A8" w:themeFill="accent2" w:themeFillTint="66"/>
      </w:tcPr>
    </w:tblStylePr>
    <w:tblStylePr w:type="band1Horz">
      <w:tblPr/>
      <w:tcPr>
        <w:shd w:val="clear" w:color="auto" w:fill="FCD5A8"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8FFB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B8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B8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B8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B800" w:themeFill="accent3"/>
      </w:tcPr>
    </w:tblStylePr>
    <w:tblStylePr w:type="band1Vert">
      <w:tblPr/>
      <w:tcPr>
        <w:shd w:val="clear" w:color="auto" w:fill="D2FF7C" w:themeFill="accent3" w:themeFillTint="66"/>
      </w:tcPr>
    </w:tblStylePr>
    <w:tblStylePr w:type="band1Horz">
      <w:tblPr/>
      <w:tcPr>
        <w:shd w:val="clear" w:color="auto" w:fill="D2FF7C"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8CD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1B5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1B5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1B5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1B54" w:themeFill="accent4"/>
      </w:tcPr>
    </w:tblStylePr>
    <w:tblStylePr w:type="band1Vert">
      <w:tblPr/>
      <w:tcPr>
        <w:shd w:val="clear" w:color="auto" w:fill="F19CB7" w:themeFill="accent4" w:themeFillTint="66"/>
      </w:tcPr>
    </w:tblStylePr>
    <w:tblStylePr w:type="band1Horz">
      <w:tblPr/>
      <w:tcPr>
        <w:shd w:val="clear" w:color="auto" w:fill="F19CB7"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6C5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188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188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188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1889" w:themeFill="accent5"/>
      </w:tcPr>
    </w:tblStylePr>
    <w:tblStylePr w:type="band1Vert">
      <w:tblPr/>
      <w:tcPr>
        <w:shd w:val="clear" w:color="auto" w:fill="ED8CDF" w:themeFill="accent5" w:themeFillTint="66"/>
      </w:tcPr>
    </w:tblStylePr>
    <w:tblStylePr w:type="band1Horz">
      <w:tblPr/>
      <w:tcPr>
        <w:shd w:val="clear" w:color="auto" w:fill="ED8CDF"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A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A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A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AC8" w:themeFill="accent6"/>
      </w:tcPr>
    </w:tblStylePr>
    <w:tblStylePr w:type="band1Vert">
      <w:tblPr/>
      <w:tcPr>
        <w:shd w:val="clear" w:color="auto" w:fill="E9E9E8" w:themeFill="accent6" w:themeFillTint="66"/>
      </w:tcPr>
    </w:tblStylePr>
    <w:tblStylePr w:type="band1Horz">
      <w:tblPr/>
      <w:tcPr>
        <w:shd w:val="clear" w:color="auto" w:fill="E9E9E8"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4D4F53" w:themeColor="text1"/>
      <w:lang w:eastAsia="en-US"/>
    </w:rPr>
    <w:tblPr>
      <w:tblStyleRowBandSize w:val="1"/>
      <w:tblStyleColBandSize w:val="1"/>
      <w:tblBorders>
        <w:top w:val="single" w:sz="4" w:space="0" w:color="92949A" w:themeColor="text1" w:themeTint="99"/>
        <w:left w:val="single" w:sz="4" w:space="0" w:color="92949A" w:themeColor="text1" w:themeTint="99"/>
        <w:bottom w:val="single" w:sz="4" w:space="0" w:color="92949A" w:themeColor="text1" w:themeTint="99"/>
        <w:right w:val="single" w:sz="4" w:space="0" w:color="92949A" w:themeColor="text1" w:themeTint="99"/>
        <w:insideH w:val="single" w:sz="4" w:space="0" w:color="92949A" w:themeColor="text1" w:themeTint="99"/>
        <w:insideV w:val="single" w:sz="4" w:space="0" w:color="92949A" w:themeColor="text1" w:themeTint="99"/>
      </w:tblBorders>
      <w:tblCellMar>
        <w:top w:w="57" w:type="dxa"/>
        <w:left w:w="57" w:type="dxa"/>
        <w:bottom w:w="57" w:type="dxa"/>
        <w:right w:w="57" w:type="dxa"/>
      </w:tblCellMar>
    </w:tblPr>
    <w:tblStylePr w:type="firstRow">
      <w:rPr>
        <w:b/>
        <w:bCs/>
      </w:rPr>
      <w:tblPr/>
      <w:tcPr>
        <w:tcBorders>
          <w:bottom w:val="single" w:sz="12" w:space="0" w:color="92949A" w:themeColor="text1" w:themeTint="99"/>
        </w:tcBorders>
      </w:tcPr>
    </w:tblStylePr>
    <w:tblStylePr w:type="lastRow">
      <w:rPr>
        <w:b/>
        <w:bCs/>
      </w:rPr>
      <w:tblPr/>
      <w:tcPr>
        <w:tcBorders>
          <w:top w:val="double" w:sz="4" w:space="0" w:color="92949A" w:themeColor="text1" w:themeTint="99"/>
        </w:tcBorders>
      </w:tcPr>
    </w:tblStylePr>
    <w:tblStylePr w:type="firstCol">
      <w:rPr>
        <w:b/>
        <w:bCs/>
      </w:rPr>
    </w:tblStylePr>
    <w:tblStylePr w:type="lastCol">
      <w:rPr>
        <w:b/>
        <w:bCs/>
      </w:rPr>
    </w:tblStylePr>
    <w:tblStylePr w:type="band1Vert">
      <w:tblPr/>
      <w:tcPr>
        <w:shd w:val="clear" w:color="auto" w:fill="DADBDD" w:themeFill="text1" w:themeFillTint="33"/>
      </w:tcPr>
    </w:tblStylePr>
    <w:tblStylePr w:type="band1Horz">
      <w:tblPr/>
      <w:tcPr>
        <w:shd w:val="clear" w:color="auto" w:fill="DADBDD"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008397" w:themeColor="accent1" w:themeShade="BF"/>
      <w:lang w:eastAsia="en-US"/>
    </w:rPr>
    <w:tblPr>
      <w:tblStyleRowBandSize w:val="1"/>
      <w:tblStyleColBandSize w:val="1"/>
      <w:tblBorders>
        <w:top w:val="single" w:sz="4" w:space="0" w:color="46E7FF" w:themeColor="accent1" w:themeTint="99"/>
        <w:left w:val="single" w:sz="4" w:space="0" w:color="46E7FF" w:themeColor="accent1" w:themeTint="99"/>
        <w:bottom w:val="single" w:sz="4" w:space="0" w:color="46E7FF" w:themeColor="accent1" w:themeTint="99"/>
        <w:right w:val="single" w:sz="4" w:space="0" w:color="46E7FF" w:themeColor="accent1" w:themeTint="99"/>
        <w:insideH w:val="single" w:sz="4" w:space="0" w:color="46E7FF" w:themeColor="accent1" w:themeTint="99"/>
        <w:insideV w:val="single" w:sz="4" w:space="0" w:color="46E7FF" w:themeColor="accent1" w:themeTint="99"/>
      </w:tblBorders>
      <w:tblCellMar>
        <w:top w:w="57" w:type="dxa"/>
        <w:left w:w="57" w:type="dxa"/>
        <w:bottom w:w="57" w:type="dxa"/>
        <w:right w:w="57" w:type="dxa"/>
      </w:tblCellMar>
    </w:tblPr>
    <w:tblStylePr w:type="firstRow">
      <w:rPr>
        <w:b/>
        <w:bCs/>
      </w:rPr>
      <w:tblPr/>
      <w:tcPr>
        <w:tcBorders>
          <w:bottom w:val="single" w:sz="12" w:space="0" w:color="46E7FF" w:themeColor="accent1" w:themeTint="99"/>
        </w:tcBorders>
      </w:tcPr>
    </w:tblStylePr>
    <w:tblStylePr w:type="lastRow">
      <w:rPr>
        <w:b/>
        <w:bCs/>
      </w:rPr>
      <w:tblPr/>
      <w:tcPr>
        <w:tcBorders>
          <w:top w:val="double" w:sz="4" w:space="0" w:color="46E7FF" w:themeColor="accent1" w:themeTint="99"/>
        </w:tcBorders>
      </w:tcPr>
    </w:tblStylePr>
    <w:tblStylePr w:type="firstCol">
      <w:rPr>
        <w:b/>
        <w:bCs/>
      </w:rPr>
    </w:tblStylePr>
    <w:tblStylePr w:type="lastCol">
      <w:rPr>
        <w:b/>
        <w:bCs/>
      </w:rPr>
    </w:tblStylePr>
    <w:tblStylePr w:type="band1Vert">
      <w:tblPr/>
      <w:tcPr>
        <w:shd w:val="clear" w:color="auto" w:fill="C1F7FF" w:themeFill="accent1" w:themeFillTint="33"/>
      </w:tcPr>
    </w:tblStylePr>
    <w:tblStylePr w:type="band1Horz">
      <w:tblPr/>
      <w:tcPr>
        <w:shd w:val="clear" w:color="auto" w:fill="C1F7FF"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D07307" w:themeColor="accent2" w:themeShade="BF"/>
      <w:lang w:eastAsia="en-US"/>
    </w:rPr>
    <w:tblPr>
      <w:tblStyleRowBandSize w:val="1"/>
      <w:tblStyleColBandSize w:val="1"/>
      <w:tblBorders>
        <w:top w:val="single" w:sz="4" w:space="0" w:color="FAC07D" w:themeColor="accent2" w:themeTint="99"/>
        <w:left w:val="single" w:sz="4" w:space="0" w:color="FAC07D" w:themeColor="accent2" w:themeTint="99"/>
        <w:bottom w:val="single" w:sz="4" w:space="0" w:color="FAC07D" w:themeColor="accent2" w:themeTint="99"/>
        <w:right w:val="single" w:sz="4" w:space="0" w:color="FAC07D" w:themeColor="accent2" w:themeTint="99"/>
        <w:insideH w:val="single" w:sz="4" w:space="0" w:color="FAC07D" w:themeColor="accent2" w:themeTint="99"/>
        <w:insideV w:val="single" w:sz="4" w:space="0" w:color="FAC07D" w:themeColor="accent2" w:themeTint="99"/>
      </w:tblBorders>
      <w:tblCellMar>
        <w:top w:w="57" w:type="dxa"/>
        <w:left w:w="57" w:type="dxa"/>
        <w:bottom w:w="57" w:type="dxa"/>
        <w:right w:w="57" w:type="dxa"/>
      </w:tblCellMar>
    </w:tblPr>
    <w:tblStylePr w:type="firstRow">
      <w:rPr>
        <w:b/>
        <w:bCs/>
      </w:rPr>
      <w:tblPr/>
      <w:tcPr>
        <w:tcBorders>
          <w:bottom w:val="single" w:sz="12" w:space="0" w:color="FAC07D" w:themeColor="accent2" w:themeTint="99"/>
        </w:tcBorders>
      </w:tcPr>
    </w:tblStylePr>
    <w:tblStylePr w:type="lastRow">
      <w:rPr>
        <w:b/>
        <w:bCs/>
      </w:rPr>
      <w:tblPr/>
      <w:tcPr>
        <w:tcBorders>
          <w:top w:val="double" w:sz="4" w:space="0" w:color="FAC07D" w:themeColor="accent2" w:themeTint="99"/>
        </w:tcBorders>
      </w:tcPr>
    </w:tblStylePr>
    <w:tblStylePr w:type="firstCol">
      <w:rPr>
        <w:b/>
        <w:bCs/>
      </w:rPr>
    </w:tblStylePr>
    <w:tblStylePr w:type="lastCol">
      <w:rPr>
        <w:b/>
        <w:bCs/>
      </w:rPr>
    </w:tblStylePr>
    <w:tblStylePr w:type="band1Vert">
      <w:tblPr/>
      <w:tcPr>
        <w:shd w:val="clear" w:color="auto" w:fill="FDEAD3" w:themeFill="accent2" w:themeFillTint="33"/>
      </w:tcPr>
    </w:tblStylePr>
    <w:tblStylePr w:type="band1Horz">
      <w:tblPr/>
      <w:tcPr>
        <w:shd w:val="clear" w:color="auto" w:fill="FDEAD3"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5B8900" w:themeColor="accent3" w:themeShade="BF"/>
      <w:lang w:eastAsia="en-US"/>
    </w:rPr>
    <w:tblPr>
      <w:tblStyleRowBandSize w:val="1"/>
      <w:tblStyleColBandSize w:val="1"/>
      <w:tblBorders>
        <w:top w:val="single" w:sz="4" w:space="0" w:color="BDFF3B" w:themeColor="accent3" w:themeTint="99"/>
        <w:left w:val="single" w:sz="4" w:space="0" w:color="BDFF3B" w:themeColor="accent3" w:themeTint="99"/>
        <w:bottom w:val="single" w:sz="4" w:space="0" w:color="BDFF3B" w:themeColor="accent3" w:themeTint="99"/>
        <w:right w:val="single" w:sz="4" w:space="0" w:color="BDFF3B" w:themeColor="accent3" w:themeTint="99"/>
        <w:insideH w:val="single" w:sz="4" w:space="0" w:color="BDFF3B" w:themeColor="accent3" w:themeTint="99"/>
        <w:insideV w:val="single" w:sz="4" w:space="0" w:color="BDFF3B" w:themeColor="accent3" w:themeTint="99"/>
      </w:tblBorders>
      <w:tblCellMar>
        <w:top w:w="57" w:type="dxa"/>
        <w:left w:w="57" w:type="dxa"/>
        <w:bottom w:w="57" w:type="dxa"/>
        <w:right w:w="57" w:type="dxa"/>
      </w:tblCellMar>
    </w:tblPr>
    <w:tblStylePr w:type="firstRow">
      <w:rPr>
        <w:b/>
        <w:bCs/>
      </w:rPr>
      <w:tblPr/>
      <w:tcPr>
        <w:tcBorders>
          <w:bottom w:val="single" w:sz="12" w:space="0" w:color="BDFF3B" w:themeColor="accent3" w:themeTint="99"/>
        </w:tcBorders>
      </w:tcPr>
    </w:tblStylePr>
    <w:tblStylePr w:type="lastRow">
      <w:rPr>
        <w:b/>
        <w:bCs/>
      </w:rPr>
      <w:tblPr/>
      <w:tcPr>
        <w:tcBorders>
          <w:top w:val="double" w:sz="4" w:space="0" w:color="BDFF3B" w:themeColor="accent3" w:themeTint="99"/>
        </w:tcBorders>
      </w:tcPr>
    </w:tblStylePr>
    <w:tblStylePr w:type="firstCol">
      <w:rPr>
        <w:b/>
        <w:bCs/>
      </w:rPr>
    </w:tblStylePr>
    <w:tblStylePr w:type="lastCol">
      <w:rPr>
        <w:b/>
        <w:bCs/>
      </w:rPr>
    </w:tblStylePr>
    <w:tblStylePr w:type="band1Vert">
      <w:tblPr/>
      <w:tcPr>
        <w:shd w:val="clear" w:color="auto" w:fill="E8FFBD" w:themeFill="accent3" w:themeFillTint="33"/>
      </w:tcPr>
    </w:tblStylePr>
    <w:tblStylePr w:type="band1Horz">
      <w:tblPr/>
      <w:tcPr>
        <w:shd w:val="clear" w:color="auto" w:fill="E8FFBD"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97143E" w:themeColor="accent4" w:themeShade="BF"/>
      <w:lang w:eastAsia="en-US"/>
    </w:rPr>
    <w:tblPr>
      <w:tblStyleRowBandSize w:val="1"/>
      <w:tblStyleColBandSize w:val="1"/>
      <w:tblBorders>
        <w:top w:val="single" w:sz="4" w:space="0" w:color="EB6A94" w:themeColor="accent4" w:themeTint="99"/>
        <w:left w:val="single" w:sz="4" w:space="0" w:color="EB6A94" w:themeColor="accent4" w:themeTint="99"/>
        <w:bottom w:val="single" w:sz="4" w:space="0" w:color="EB6A94" w:themeColor="accent4" w:themeTint="99"/>
        <w:right w:val="single" w:sz="4" w:space="0" w:color="EB6A94" w:themeColor="accent4" w:themeTint="99"/>
        <w:insideH w:val="single" w:sz="4" w:space="0" w:color="EB6A94" w:themeColor="accent4" w:themeTint="99"/>
        <w:insideV w:val="single" w:sz="4" w:space="0" w:color="EB6A94" w:themeColor="accent4" w:themeTint="99"/>
      </w:tblBorders>
      <w:tblCellMar>
        <w:top w:w="57" w:type="dxa"/>
        <w:left w:w="57" w:type="dxa"/>
        <w:bottom w:w="57" w:type="dxa"/>
        <w:right w:w="57" w:type="dxa"/>
      </w:tblCellMar>
    </w:tblPr>
    <w:tblStylePr w:type="firstRow">
      <w:rPr>
        <w:b/>
        <w:bCs/>
      </w:rPr>
      <w:tblPr/>
      <w:tcPr>
        <w:tcBorders>
          <w:bottom w:val="single" w:sz="12" w:space="0" w:color="EB6A94" w:themeColor="accent4" w:themeTint="99"/>
        </w:tcBorders>
      </w:tcPr>
    </w:tblStylePr>
    <w:tblStylePr w:type="lastRow">
      <w:rPr>
        <w:b/>
        <w:bCs/>
      </w:rPr>
      <w:tblPr/>
      <w:tcPr>
        <w:tcBorders>
          <w:top w:val="double" w:sz="4" w:space="0" w:color="EB6A94" w:themeColor="accent4" w:themeTint="99"/>
        </w:tcBorders>
      </w:tcPr>
    </w:tblStylePr>
    <w:tblStylePr w:type="firstCol">
      <w:rPr>
        <w:b/>
        <w:bCs/>
      </w:rPr>
    </w:tblStylePr>
    <w:tblStylePr w:type="lastCol">
      <w:rPr>
        <w:b/>
        <w:bCs/>
      </w:rPr>
    </w:tblStylePr>
    <w:tblStylePr w:type="band1Vert">
      <w:tblPr/>
      <w:tcPr>
        <w:shd w:val="clear" w:color="auto" w:fill="F8CDDB" w:themeFill="accent4" w:themeFillTint="33"/>
      </w:tcPr>
    </w:tblStylePr>
    <w:tblStylePr w:type="band1Horz">
      <w:tblPr/>
      <w:tcPr>
        <w:shd w:val="clear" w:color="auto" w:fill="F8CDDB"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741266" w:themeColor="accent5" w:themeShade="BF"/>
      <w:lang w:eastAsia="en-US"/>
    </w:rPr>
    <w:tblPr>
      <w:tblStyleRowBandSize w:val="1"/>
      <w:tblStyleColBandSize w:val="1"/>
      <w:tblBorders>
        <w:top w:val="single" w:sz="4" w:space="0" w:color="E453CF" w:themeColor="accent5" w:themeTint="99"/>
        <w:left w:val="single" w:sz="4" w:space="0" w:color="E453CF" w:themeColor="accent5" w:themeTint="99"/>
        <w:bottom w:val="single" w:sz="4" w:space="0" w:color="E453CF" w:themeColor="accent5" w:themeTint="99"/>
        <w:right w:val="single" w:sz="4" w:space="0" w:color="E453CF" w:themeColor="accent5" w:themeTint="99"/>
        <w:insideH w:val="single" w:sz="4" w:space="0" w:color="E453CF" w:themeColor="accent5" w:themeTint="99"/>
        <w:insideV w:val="single" w:sz="4" w:space="0" w:color="E453CF" w:themeColor="accent5" w:themeTint="99"/>
      </w:tblBorders>
      <w:tblCellMar>
        <w:top w:w="57" w:type="dxa"/>
        <w:left w:w="57" w:type="dxa"/>
        <w:bottom w:w="57" w:type="dxa"/>
        <w:right w:w="57" w:type="dxa"/>
      </w:tblCellMar>
    </w:tblPr>
    <w:tblStylePr w:type="firstRow">
      <w:rPr>
        <w:b/>
        <w:bCs/>
      </w:rPr>
      <w:tblPr/>
      <w:tcPr>
        <w:tcBorders>
          <w:bottom w:val="single" w:sz="12" w:space="0" w:color="E453CF" w:themeColor="accent5" w:themeTint="99"/>
        </w:tcBorders>
      </w:tcPr>
    </w:tblStylePr>
    <w:tblStylePr w:type="lastRow">
      <w:rPr>
        <w:b/>
        <w:bCs/>
      </w:rPr>
      <w:tblPr/>
      <w:tcPr>
        <w:tcBorders>
          <w:top w:val="double" w:sz="4" w:space="0" w:color="E453CF" w:themeColor="accent5" w:themeTint="99"/>
        </w:tcBorders>
      </w:tcPr>
    </w:tblStylePr>
    <w:tblStylePr w:type="firstCol">
      <w:rPr>
        <w:b/>
        <w:bCs/>
      </w:rPr>
    </w:tblStylePr>
    <w:tblStylePr w:type="lastCol">
      <w:rPr>
        <w:b/>
        <w:bCs/>
      </w:rPr>
    </w:tblStylePr>
    <w:tblStylePr w:type="band1Vert">
      <w:tblPr/>
      <w:tcPr>
        <w:shd w:val="clear" w:color="auto" w:fill="F6C5EF" w:themeFill="accent5" w:themeFillTint="33"/>
      </w:tcPr>
    </w:tblStylePr>
    <w:tblStylePr w:type="band1Horz">
      <w:tblPr/>
      <w:tcPr>
        <w:shd w:val="clear" w:color="auto" w:fill="F6C5EF"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969894" w:themeColor="accent6" w:themeShade="BF"/>
      <w:lang w:eastAsia="en-US"/>
    </w:rPr>
    <w:tblPr>
      <w:tblStyleRowBandSize w:val="1"/>
      <w:tblStyleColBandSize w:val="1"/>
      <w:tblBorders>
        <w:top w:val="single" w:sz="4" w:space="0" w:color="DEDFDD" w:themeColor="accent6" w:themeTint="99"/>
        <w:left w:val="single" w:sz="4" w:space="0" w:color="DEDFDD" w:themeColor="accent6" w:themeTint="99"/>
        <w:bottom w:val="single" w:sz="4" w:space="0" w:color="DEDFDD" w:themeColor="accent6" w:themeTint="99"/>
        <w:right w:val="single" w:sz="4" w:space="0" w:color="DEDFDD" w:themeColor="accent6" w:themeTint="99"/>
        <w:insideH w:val="single" w:sz="4" w:space="0" w:color="DEDFDD" w:themeColor="accent6" w:themeTint="99"/>
        <w:insideV w:val="single" w:sz="4" w:space="0" w:color="DEDFDD" w:themeColor="accent6" w:themeTint="99"/>
      </w:tblBorders>
      <w:tblCellMar>
        <w:top w:w="57" w:type="dxa"/>
        <w:left w:w="57" w:type="dxa"/>
        <w:bottom w:w="57" w:type="dxa"/>
        <w:right w:w="57" w:type="dxa"/>
      </w:tblCellMar>
    </w:tblPr>
    <w:tblStylePr w:type="firstRow">
      <w:rPr>
        <w:b/>
        <w:bCs/>
      </w:rPr>
      <w:tblPr/>
      <w:tcPr>
        <w:tcBorders>
          <w:bottom w:val="single" w:sz="12" w:space="0" w:color="DEDFDD" w:themeColor="accent6" w:themeTint="99"/>
        </w:tcBorders>
      </w:tcPr>
    </w:tblStylePr>
    <w:tblStylePr w:type="lastRow">
      <w:rPr>
        <w:b/>
        <w:bCs/>
      </w:rPr>
      <w:tblPr/>
      <w:tcPr>
        <w:tcBorders>
          <w:top w:val="double" w:sz="4" w:space="0" w:color="DEDFDD" w:themeColor="accent6" w:themeTint="99"/>
        </w:tcBorders>
      </w:tcPr>
    </w:tblStylePr>
    <w:tblStylePr w:type="firstCol">
      <w:rPr>
        <w:b/>
        <w:bCs/>
      </w:rPr>
    </w:tblStylePr>
    <w:tblStylePr w:type="lastCol">
      <w:rPr>
        <w:b/>
        <w:bCs/>
      </w:rPr>
    </w:tblStylePr>
    <w:tblStylePr w:type="band1Vert">
      <w:tblPr/>
      <w:tcPr>
        <w:shd w:val="clear" w:color="auto" w:fill="F4F4F3" w:themeFill="accent6" w:themeFillTint="33"/>
      </w:tcPr>
    </w:tblStylePr>
    <w:tblStylePr w:type="band1Horz">
      <w:tblPr/>
      <w:tcPr>
        <w:shd w:val="clear" w:color="auto" w:fill="F4F4F3"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4D4F53" w:themeColor="text1"/>
      <w:lang w:eastAsia="en-US"/>
    </w:rPr>
    <w:tblPr>
      <w:tblStyleRowBandSize w:val="1"/>
      <w:tblStyleColBandSize w:val="1"/>
      <w:tblBorders>
        <w:top w:val="single" w:sz="4" w:space="0" w:color="92949A" w:themeColor="text1" w:themeTint="99"/>
        <w:left w:val="single" w:sz="4" w:space="0" w:color="92949A" w:themeColor="text1" w:themeTint="99"/>
        <w:bottom w:val="single" w:sz="4" w:space="0" w:color="92949A" w:themeColor="text1" w:themeTint="99"/>
        <w:right w:val="single" w:sz="4" w:space="0" w:color="92949A" w:themeColor="text1" w:themeTint="99"/>
        <w:insideH w:val="single" w:sz="4" w:space="0" w:color="92949A" w:themeColor="text1" w:themeTint="99"/>
        <w:insideV w:val="single" w:sz="4" w:space="0" w:color="92949A"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BDD" w:themeFill="text1" w:themeFillTint="33"/>
      </w:tcPr>
    </w:tblStylePr>
    <w:tblStylePr w:type="band1Horz">
      <w:tblPr/>
      <w:tcPr>
        <w:shd w:val="clear" w:color="auto" w:fill="DADBDD" w:themeFill="text1" w:themeFillTint="33"/>
      </w:tcPr>
    </w:tblStylePr>
    <w:tblStylePr w:type="neCell">
      <w:tblPr/>
      <w:tcPr>
        <w:tcBorders>
          <w:bottom w:val="single" w:sz="4" w:space="0" w:color="92949A" w:themeColor="text1" w:themeTint="99"/>
        </w:tcBorders>
      </w:tcPr>
    </w:tblStylePr>
    <w:tblStylePr w:type="nwCell">
      <w:tblPr/>
      <w:tcPr>
        <w:tcBorders>
          <w:bottom w:val="single" w:sz="4" w:space="0" w:color="92949A" w:themeColor="text1" w:themeTint="99"/>
        </w:tcBorders>
      </w:tcPr>
    </w:tblStylePr>
    <w:tblStylePr w:type="seCell">
      <w:tblPr/>
      <w:tcPr>
        <w:tcBorders>
          <w:top w:val="single" w:sz="4" w:space="0" w:color="92949A" w:themeColor="text1" w:themeTint="99"/>
        </w:tcBorders>
      </w:tcPr>
    </w:tblStylePr>
    <w:tblStylePr w:type="swCell">
      <w:tblPr/>
      <w:tcPr>
        <w:tcBorders>
          <w:top w:val="single" w:sz="4" w:space="0" w:color="92949A"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008397" w:themeColor="accent1" w:themeShade="BF"/>
      <w:lang w:eastAsia="en-US"/>
    </w:rPr>
    <w:tblPr>
      <w:tblStyleRowBandSize w:val="1"/>
      <w:tblStyleColBandSize w:val="1"/>
      <w:tblBorders>
        <w:top w:val="single" w:sz="4" w:space="0" w:color="46E7FF" w:themeColor="accent1" w:themeTint="99"/>
        <w:left w:val="single" w:sz="4" w:space="0" w:color="46E7FF" w:themeColor="accent1" w:themeTint="99"/>
        <w:bottom w:val="single" w:sz="4" w:space="0" w:color="46E7FF" w:themeColor="accent1" w:themeTint="99"/>
        <w:right w:val="single" w:sz="4" w:space="0" w:color="46E7FF" w:themeColor="accent1" w:themeTint="99"/>
        <w:insideH w:val="single" w:sz="4" w:space="0" w:color="46E7FF" w:themeColor="accent1" w:themeTint="99"/>
        <w:insideV w:val="single" w:sz="4" w:space="0" w:color="46E7FF"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7FF" w:themeFill="accent1" w:themeFillTint="33"/>
      </w:tcPr>
    </w:tblStylePr>
    <w:tblStylePr w:type="band1Horz">
      <w:tblPr/>
      <w:tcPr>
        <w:shd w:val="clear" w:color="auto" w:fill="C1F7FF" w:themeFill="accent1" w:themeFillTint="33"/>
      </w:tcPr>
    </w:tblStylePr>
    <w:tblStylePr w:type="neCell">
      <w:tblPr/>
      <w:tcPr>
        <w:tcBorders>
          <w:bottom w:val="single" w:sz="4" w:space="0" w:color="46E7FF" w:themeColor="accent1" w:themeTint="99"/>
        </w:tcBorders>
      </w:tcPr>
    </w:tblStylePr>
    <w:tblStylePr w:type="nwCell">
      <w:tblPr/>
      <w:tcPr>
        <w:tcBorders>
          <w:bottom w:val="single" w:sz="4" w:space="0" w:color="46E7FF" w:themeColor="accent1" w:themeTint="99"/>
        </w:tcBorders>
      </w:tcPr>
    </w:tblStylePr>
    <w:tblStylePr w:type="seCell">
      <w:tblPr/>
      <w:tcPr>
        <w:tcBorders>
          <w:top w:val="single" w:sz="4" w:space="0" w:color="46E7FF" w:themeColor="accent1" w:themeTint="99"/>
        </w:tcBorders>
      </w:tcPr>
    </w:tblStylePr>
    <w:tblStylePr w:type="swCell">
      <w:tblPr/>
      <w:tcPr>
        <w:tcBorders>
          <w:top w:val="single" w:sz="4" w:space="0" w:color="46E7FF"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D07307" w:themeColor="accent2" w:themeShade="BF"/>
      <w:lang w:eastAsia="en-US"/>
    </w:rPr>
    <w:tblPr>
      <w:tblStyleRowBandSize w:val="1"/>
      <w:tblStyleColBandSize w:val="1"/>
      <w:tblBorders>
        <w:top w:val="single" w:sz="4" w:space="0" w:color="FAC07D" w:themeColor="accent2" w:themeTint="99"/>
        <w:left w:val="single" w:sz="4" w:space="0" w:color="FAC07D" w:themeColor="accent2" w:themeTint="99"/>
        <w:bottom w:val="single" w:sz="4" w:space="0" w:color="FAC07D" w:themeColor="accent2" w:themeTint="99"/>
        <w:right w:val="single" w:sz="4" w:space="0" w:color="FAC07D" w:themeColor="accent2" w:themeTint="99"/>
        <w:insideH w:val="single" w:sz="4" w:space="0" w:color="FAC07D" w:themeColor="accent2" w:themeTint="99"/>
        <w:insideV w:val="single" w:sz="4" w:space="0" w:color="FAC07D"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2" w:themeFillTint="33"/>
      </w:tcPr>
    </w:tblStylePr>
    <w:tblStylePr w:type="band1Horz">
      <w:tblPr/>
      <w:tcPr>
        <w:shd w:val="clear" w:color="auto" w:fill="FDEAD3" w:themeFill="accent2" w:themeFillTint="33"/>
      </w:tcPr>
    </w:tblStylePr>
    <w:tblStylePr w:type="neCell">
      <w:tblPr/>
      <w:tcPr>
        <w:tcBorders>
          <w:bottom w:val="single" w:sz="4" w:space="0" w:color="FAC07D" w:themeColor="accent2" w:themeTint="99"/>
        </w:tcBorders>
      </w:tcPr>
    </w:tblStylePr>
    <w:tblStylePr w:type="nwCell">
      <w:tblPr/>
      <w:tcPr>
        <w:tcBorders>
          <w:bottom w:val="single" w:sz="4" w:space="0" w:color="FAC07D" w:themeColor="accent2" w:themeTint="99"/>
        </w:tcBorders>
      </w:tcPr>
    </w:tblStylePr>
    <w:tblStylePr w:type="seCell">
      <w:tblPr/>
      <w:tcPr>
        <w:tcBorders>
          <w:top w:val="single" w:sz="4" w:space="0" w:color="FAC07D" w:themeColor="accent2" w:themeTint="99"/>
        </w:tcBorders>
      </w:tcPr>
    </w:tblStylePr>
    <w:tblStylePr w:type="swCell">
      <w:tblPr/>
      <w:tcPr>
        <w:tcBorders>
          <w:top w:val="single" w:sz="4" w:space="0" w:color="FAC07D"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5B8900" w:themeColor="accent3" w:themeShade="BF"/>
      <w:lang w:eastAsia="en-US"/>
    </w:rPr>
    <w:tblPr>
      <w:tblStyleRowBandSize w:val="1"/>
      <w:tblStyleColBandSize w:val="1"/>
      <w:tblBorders>
        <w:top w:val="single" w:sz="4" w:space="0" w:color="BDFF3B" w:themeColor="accent3" w:themeTint="99"/>
        <w:left w:val="single" w:sz="4" w:space="0" w:color="BDFF3B" w:themeColor="accent3" w:themeTint="99"/>
        <w:bottom w:val="single" w:sz="4" w:space="0" w:color="BDFF3B" w:themeColor="accent3" w:themeTint="99"/>
        <w:right w:val="single" w:sz="4" w:space="0" w:color="BDFF3B" w:themeColor="accent3" w:themeTint="99"/>
        <w:insideH w:val="single" w:sz="4" w:space="0" w:color="BDFF3B" w:themeColor="accent3" w:themeTint="99"/>
        <w:insideV w:val="single" w:sz="4" w:space="0" w:color="BDFF3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FBD" w:themeFill="accent3" w:themeFillTint="33"/>
      </w:tcPr>
    </w:tblStylePr>
    <w:tblStylePr w:type="band1Horz">
      <w:tblPr/>
      <w:tcPr>
        <w:shd w:val="clear" w:color="auto" w:fill="E8FFBD" w:themeFill="accent3" w:themeFillTint="33"/>
      </w:tcPr>
    </w:tblStylePr>
    <w:tblStylePr w:type="neCell">
      <w:tblPr/>
      <w:tcPr>
        <w:tcBorders>
          <w:bottom w:val="single" w:sz="4" w:space="0" w:color="BDFF3B" w:themeColor="accent3" w:themeTint="99"/>
        </w:tcBorders>
      </w:tcPr>
    </w:tblStylePr>
    <w:tblStylePr w:type="nwCell">
      <w:tblPr/>
      <w:tcPr>
        <w:tcBorders>
          <w:bottom w:val="single" w:sz="4" w:space="0" w:color="BDFF3B" w:themeColor="accent3" w:themeTint="99"/>
        </w:tcBorders>
      </w:tcPr>
    </w:tblStylePr>
    <w:tblStylePr w:type="seCell">
      <w:tblPr/>
      <w:tcPr>
        <w:tcBorders>
          <w:top w:val="single" w:sz="4" w:space="0" w:color="BDFF3B" w:themeColor="accent3" w:themeTint="99"/>
        </w:tcBorders>
      </w:tcPr>
    </w:tblStylePr>
    <w:tblStylePr w:type="swCell">
      <w:tblPr/>
      <w:tcPr>
        <w:tcBorders>
          <w:top w:val="single" w:sz="4" w:space="0" w:color="BDFF3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97143E" w:themeColor="accent4" w:themeShade="BF"/>
      <w:lang w:eastAsia="en-US"/>
    </w:rPr>
    <w:tblPr>
      <w:tblStyleRowBandSize w:val="1"/>
      <w:tblStyleColBandSize w:val="1"/>
      <w:tblBorders>
        <w:top w:val="single" w:sz="4" w:space="0" w:color="EB6A94" w:themeColor="accent4" w:themeTint="99"/>
        <w:left w:val="single" w:sz="4" w:space="0" w:color="EB6A94" w:themeColor="accent4" w:themeTint="99"/>
        <w:bottom w:val="single" w:sz="4" w:space="0" w:color="EB6A94" w:themeColor="accent4" w:themeTint="99"/>
        <w:right w:val="single" w:sz="4" w:space="0" w:color="EB6A94" w:themeColor="accent4" w:themeTint="99"/>
        <w:insideH w:val="single" w:sz="4" w:space="0" w:color="EB6A94" w:themeColor="accent4" w:themeTint="99"/>
        <w:insideV w:val="single" w:sz="4" w:space="0" w:color="EB6A94"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DDB" w:themeFill="accent4" w:themeFillTint="33"/>
      </w:tcPr>
    </w:tblStylePr>
    <w:tblStylePr w:type="band1Horz">
      <w:tblPr/>
      <w:tcPr>
        <w:shd w:val="clear" w:color="auto" w:fill="F8CDDB" w:themeFill="accent4" w:themeFillTint="33"/>
      </w:tcPr>
    </w:tblStylePr>
    <w:tblStylePr w:type="neCell">
      <w:tblPr/>
      <w:tcPr>
        <w:tcBorders>
          <w:bottom w:val="single" w:sz="4" w:space="0" w:color="EB6A94" w:themeColor="accent4" w:themeTint="99"/>
        </w:tcBorders>
      </w:tcPr>
    </w:tblStylePr>
    <w:tblStylePr w:type="nwCell">
      <w:tblPr/>
      <w:tcPr>
        <w:tcBorders>
          <w:bottom w:val="single" w:sz="4" w:space="0" w:color="EB6A94" w:themeColor="accent4" w:themeTint="99"/>
        </w:tcBorders>
      </w:tcPr>
    </w:tblStylePr>
    <w:tblStylePr w:type="seCell">
      <w:tblPr/>
      <w:tcPr>
        <w:tcBorders>
          <w:top w:val="single" w:sz="4" w:space="0" w:color="EB6A94" w:themeColor="accent4" w:themeTint="99"/>
        </w:tcBorders>
      </w:tcPr>
    </w:tblStylePr>
    <w:tblStylePr w:type="swCell">
      <w:tblPr/>
      <w:tcPr>
        <w:tcBorders>
          <w:top w:val="single" w:sz="4" w:space="0" w:color="EB6A94"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741266" w:themeColor="accent5" w:themeShade="BF"/>
      <w:lang w:eastAsia="en-US"/>
    </w:rPr>
    <w:tblPr>
      <w:tblStyleRowBandSize w:val="1"/>
      <w:tblStyleColBandSize w:val="1"/>
      <w:tblBorders>
        <w:top w:val="single" w:sz="4" w:space="0" w:color="E453CF" w:themeColor="accent5" w:themeTint="99"/>
        <w:left w:val="single" w:sz="4" w:space="0" w:color="E453CF" w:themeColor="accent5" w:themeTint="99"/>
        <w:bottom w:val="single" w:sz="4" w:space="0" w:color="E453CF" w:themeColor="accent5" w:themeTint="99"/>
        <w:right w:val="single" w:sz="4" w:space="0" w:color="E453CF" w:themeColor="accent5" w:themeTint="99"/>
        <w:insideH w:val="single" w:sz="4" w:space="0" w:color="E453CF" w:themeColor="accent5" w:themeTint="99"/>
        <w:insideV w:val="single" w:sz="4" w:space="0" w:color="E453CF"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5EF" w:themeFill="accent5" w:themeFillTint="33"/>
      </w:tcPr>
    </w:tblStylePr>
    <w:tblStylePr w:type="band1Horz">
      <w:tblPr/>
      <w:tcPr>
        <w:shd w:val="clear" w:color="auto" w:fill="F6C5EF" w:themeFill="accent5" w:themeFillTint="33"/>
      </w:tcPr>
    </w:tblStylePr>
    <w:tblStylePr w:type="neCell">
      <w:tblPr/>
      <w:tcPr>
        <w:tcBorders>
          <w:bottom w:val="single" w:sz="4" w:space="0" w:color="E453CF" w:themeColor="accent5" w:themeTint="99"/>
        </w:tcBorders>
      </w:tcPr>
    </w:tblStylePr>
    <w:tblStylePr w:type="nwCell">
      <w:tblPr/>
      <w:tcPr>
        <w:tcBorders>
          <w:bottom w:val="single" w:sz="4" w:space="0" w:color="E453CF" w:themeColor="accent5" w:themeTint="99"/>
        </w:tcBorders>
      </w:tcPr>
    </w:tblStylePr>
    <w:tblStylePr w:type="seCell">
      <w:tblPr/>
      <w:tcPr>
        <w:tcBorders>
          <w:top w:val="single" w:sz="4" w:space="0" w:color="E453CF" w:themeColor="accent5" w:themeTint="99"/>
        </w:tcBorders>
      </w:tcPr>
    </w:tblStylePr>
    <w:tblStylePr w:type="swCell">
      <w:tblPr/>
      <w:tcPr>
        <w:tcBorders>
          <w:top w:val="single" w:sz="4" w:space="0" w:color="E453CF"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969894" w:themeColor="accent6" w:themeShade="BF"/>
      <w:lang w:eastAsia="en-US"/>
    </w:rPr>
    <w:tblPr>
      <w:tblStyleRowBandSize w:val="1"/>
      <w:tblStyleColBandSize w:val="1"/>
      <w:tblBorders>
        <w:top w:val="single" w:sz="4" w:space="0" w:color="DEDFDD" w:themeColor="accent6" w:themeTint="99"/>
        <w:left w:val="single" w:sz="4" w:space="0" w:color="DEDFDD" w:themeColor="accent6" w:themeTint="99"/>
        <w:bottom w:val="single" w:sz="4" w:space="0" w:color="DEDFDD" w:themeColor="accent6" w:themeTint="99"/>
        <w:right w:val="single" w:sz="4" w:space="0" w:color="DEDFDD" w:themeColor="accent6" w:themeTint="99"/>
        <w:insideH w:val="single" w:sz="4" w:space="0" w:color="DEDFDD" w:themeColor="accent6" w:themeTint="99"/>
        <w:insideV w:val="single" w:sz="4" w:space="0" w:color="DEDFDD"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3" w:themeFill="accent6" w:themeFillTint="33"/>
      </w:tcPr>
    </w:tblStylePr>
    <w:tblStylePr w:type="band1Horz">
      <w:tblPr/>
      <w:tcPr>
        <w:shd w:val="clear" w:color="auto" w:fill="F4F4F3" w:themeFill="accent6" w:themeFillTint="33"/>
      </w:tcPr>
    </w:tblStylePr>
    <w:tblStylePr w:type="neCell">
      <w:tblPr/>
      <w:tcPr>
        <w:tcBorders>
          <w:bottom w:val="single" w:sz="4" w:space="0" w:color="DEDFDD" w:themeColor="accent6" w:themeTint="99"/>
        </w:tcBorders>
      </w:tcPr>
    </w:tblStylePr>
    <w:tblStylePr w:type="nwCell">
      <w:tblPr/>
      <w:tcPr>
        <w:tcBorders>
          <w:bottom w:val="single" w:sz="4" w:space="0" w:color="DEDFDD" w:themeColor="accent6" w:themeTint="99"/>
        </w:tcBorders>
      </w:tcPr>
    </w:tblStylePr>
    <w:tblStylePr w:type="seCell">
      <w:tblPr/>
      <w:tcPr>
        <w:tcBorders>
          <w:top w:val="single" w:sz="4" w:space="0" w:color="DEDFDD" w:themeColor="accent6" w:themeTint="99"/>
        </w:tcBorders>
      </w:tcPr>
    </w:tblStylePr>
    <w:tblStylePr w:type="swCell">
      <w:tblPr/>
      <w:tcPr>
        <w:tcBorders>
          <w:top w:val="single" w:sz="4" w:space="0" w:color="DEDFDD"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92949A" w:themeColor="text1" w:themeTint="99"/>
        </w:tcBorders>
      </w:tcPr>
    </w:tblStylePr>
    <w:tblStylePr w:type="lastRow">
      <w:rPr>
        <w:b/>
        <w:bCs/>
      </w:rPr>
      <w:tblPr/>
      <w:tcPr>
        <w:tcBorders>
          <w:top w:val="single" w:sz="4" w:space="0" w:color="92949A" w:themeColor="text1" w:themeTint="99"/>
        </w:tcBorders>
      </w:tcPr>
    </w:tblStylePr>
    <w:tblStylePr w:type="firstCol">
      <w:rPr>
        <w:b/>
        <w:bCs/>
      </w:rPr>
    </w:tblStylePr>
    <w:tblStylePr w:type="lastCol">
      <w:rPr>
        <w:b/>
        <w:bCs/>
      </w:rPr>
    </w:tblStylePr>
    <w:tblStylePr w:type="band1Vert">
      <w:tblPr/>
      <w:tcPr>
        <w:shd w:val="clear" w:color="auto" w:fill="DADBDD" w:themeFill="text1" w:themeFillTint="33"/>
      </w:tcPr>
    </w:tblStylePr>
    <w:tblStylePr w:type="band1Horz">
      <w:tblPr/>
      <w:tcPr>
        <w:shd w:val="clear" w:color="auto" w:fill="DADBDD"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46E7FF" w:themeColor="accent1" w:themeTint="99"/>
        </w:tcBorders>
      </w:tcPr>
    </w:tblStylePr>
    <w:tblStylePr w:type="lastRow">
      <w:rPr>
        <w:b/>
        <w:bCs/>
      </w:rPr>
      <w:tblPr/>
      <w:tcPr>
        <w:tcBorders>
          <w:top w:val="single" w:sz="4" w:space="0" w:color="46E7FF" w:themeColor="accent1" w:themeTint="99"/>
        </w:tcBorders>
      </w:tcPr>
    </w:tblStylePr>
    <w:tblStylePr w:type="firstCol">
      <w:rPr>
        <w:b/>
        <w:bCs/>
      </w:rPr>
    </w:tblStylePr>
    <w:tblStylePr w:type="lastCol">
      <w:rPr>
        <w:b/>
        <w:bCs/>
      </w:rPr>
    </w:tblStylePr>
    <w:tblStylePr w:type="band1Vert">
      <w:tblPr/>
      <w:tcPr>
        <w:shd w:val="clear" w:color="auto" w:fill="C1F7FF" w:themeFill="accent1" w:themeFillTint="33"/>
      </w:tcPr>
    </w:tblStylePr>
    <w:tblStylePr w:type="band1Horz">
      <w:tblPr/>
      <w:tcPr>
        <w:shd w:val="clear" w:color="auto" w:fill="C1F7FF"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FAC07D" w:themeColor="accent2" w:themeTint="99"/>
        </w:tcBorders>
      </w:tcPr>
    </w:tblStylePr>
    <w:tblStylePr w:type="lastRow">
      <w:rPr>
        <w:b/>
        <w:bCs/>
      </w:rPr>
      <w:tblPr/>
      <w:tcPr>
        <w:tcBorders>
          <w:top w:val="single" w:sz="4" w:space="0" w:color="FAC07D" w:themeColor="accent2" w:themeTint="99"/>
        </w:tcBorders>
      </w:tcPr>
    </w:tblStylePr>
    <w:tblStylePr w:type="firstCol">
      <w:rPr>
        <w:b/>
        <w:bCs/>
      </w:rPr>
    </w:tblStylePr>
    <w:tblStylePr w:type="lastCol">
      <w:rPr>
        <w:b/>
        <w:bCs/>
      </w:rPr>
    </w:tblStylePr>
    <w:tblStylePr w:type="band1Vert">
      <w:tblPr/>
      <w:tcPr>
        <w:shd w:val="clear" w:color="auto" w:fill="FDEAD3" w:themeFill="accent2" w:themeFillTint="33"/>
      </w:tcPr>
    </w:tblStylePr>
    <w:tblStylePr w:type="band1Horz">
      <w:tblPr/>
      <w:tcPr>
        <w:shd w:val="clear" w:color="auto" w:fill="FDEAD3"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BDFF3B" w:themeColor="accent3" w:themeTint="99"/>
        </w:tcBorders>
      </w:tcPr>
    </w:tblStylePr>
    <w:tblStylePr w:type="lastRow">
      <w:rPr>
        <w:b/>
        <w:bCs/>
      </w:rPr>
      <w:tblPr/>
      <w:tcPr>
        <w:tcBorders>
          <w:top w:val="single" w:sz="4" w:space="0" w:color="BDFF3B" w:themeColor="accent3" w:themeTint="99"/>
        </w:tcBorders>
      </w:tcPr>
    </w:tblStylePr>
    <w:tblStylePr w:type="firstCol">
      <w:rPr>
        <w:b/>
        <w:bCs/>
      </w:rPr>
    </w:tblStylePr>
    <w:tblStylePr w:type="lastCol">
      <w:rPr>
        <w:b/>
        <w:bCs/>
      </w:rPr>
    </w:tblStylePr>
    <w:tblStylePr w:type="band1Vert">
      <w:tblPr/>
      <w:tcPr>
        <w:shd w:val="clear" w:color="auto" w:fill="E8FFBD" w:themeFill="accent3" w:themeFillTint="33"/>
      </w:tcPr>
    </w:tblStylePr>
    <w:tblStylePr w:type="band1Horz">
      <w:tblPr/>
      <w:tcPr>
        <w:shd w:val="clear" w:color="auto" w:fill="E8FFBD"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EB6A94" w:themeColor="accent4" w:themeTint="99"/>
        </w:tcBorders>
      </w:tcPr>
    </w:tblStylePr>
    <w:tblStylePr w:type="lastRow">
      <w:rPr>
        <w:b/>
        <w:bCs/>
      </w:rPr>
      <w:tblPr/>
      <w:tcPr>
        <w:tcBorders>
          <w:top w:val="single" w:sz="4" w:space="0" w:color="EB6A94" w:themeColor="accent4" w:themeTint="99"/>
        </w:tcBorders>
      </w:tcPr>
    </w:tblStylePr>
    <w:tblStylePr w:type="firstCol">
      <w:rPr>
        <w:b/>
        <w:bCs/>
      </w:rPr>
    </w:tblStylePr>
    <w:tblStylePr w:type="lastCol">
      <w:rPr>
        <w:b/>
        <w:bCs/>
      </w:rPr>
    </w:tblStylePr>
    <w:tblStylePr w:type="band1Vert">
      <w:tblPr/>
      <w:tcPr>
        <w:shd w:val="clear" w:color="auto" w:fill="F8CDDB" w:themeFill="accent4" w:themeFillTint="33"/>
      </w:tcPr>
    </w:tblStylePr>
    <w:tblStylePr w:type="band1Horz">
      <w:tblPr/>
      <w:tcPr>
        <w:shd w:val="clear" w:color="auto" w:fill="F8CDDB"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E453CF" w:themeColor="accent5" w:themeTint="99"/>
        </w:tcBorders>
      </w:tcPr>
    </w:tblStylePr>
    <w:tblStylePr w:type="lastRow">
      <w:rPr>
        <w:b/>
        <w:bCs/>
      </w:rPr>
      <w:tblPr/>
      <w:tcPr>
        <w:tcBorders>
          <w:top w:val="single" w:sz="4" w:space="0" w:color="E453CF" w:themeColor="accent5" w:themeTint="99"/>
        </w:tcBorders>
      </w:tcPr>
    </w:tblStylePr>
    <w:tblStylePr w:type="firstCol">
      <w:rPr>
        <w:b/>
        <w:bCs/>
      </w:rPr>
    </w:tblStylePr>
    <w:tblStylePr w:type="lastCol">
      <w:rPr>
        <w:b/>
        <w:bCs/>
      </w:rPr>
    </w:tblStylePr>
    <w:tblStylePr w:type="band1Vert">
      <w:tblPr/>
      <w:tcPr>
        <w:shd w:val="clear" w:color="auto" w:fill="F6C5EF" w:themeFill="accent5" w:themeFillTint="33"/>
      </w:tcPr>
    </w:tblStylePr>
    <w:tblStylePr w:type="band1Horz">
      <w:tblPr/>
      <w:tcPr>
        <w:shd w:val="clear" w:color="auto" w:fill="F6C5EF"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FDD" w:themeColor="accent6" w:themeTint="99"/>
        </w:tcBorders>
      </w:tcPr>
    </w:tblStylePr>
    <w:tblStylePr w:type="lastRow">
      <w:rPr>
        <w:b/>
        <w:bCs/>
      </w:rPr>
      <w:tblPr/>
      <w:tcPr>
        <w:tcBorders>
          <w:top w:val="single" w:sz="4" w:space="0" w:color="DEDFDD" w:themeColor="accent6" w:themeTint="99"/>
        </w:tcBorders>
      </w:tcPr>
    </w:tblStylePr>
    <w:tblStylePr w:type="firstCol">
      <w:rPr>
        <w:b/>
        <w:bCs/>
      </w:rPr>
    </w:tblStylePr>
    <w:tblStylePr w:type="lastCol">
      <w:rPr>
        <w:b/>
        <w:bCs/>
      </w:rPr>
    </w:tblStylePr>
    <w:tblStylePr w:type="band1Vert">
      <w:tblPr/>
      <w:tcPr>
        <w:shd w:val="clear" w:color="auto" w:fill="F4F4F3" w:themeFill="accent6" w:themeFillTint="33"/>
      </w:tcPr>
    </w:tblStylePr>
    <w:tblStylePr w:type="band1Horz">
      <w:tblPr/>
      <w:tcPr>
        <w:shd w:val="clear" w:color="auto" w:fill="F4F4F3"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2949A" w:themeColor="text1" w:themeTint="99"/>
        <w:bottom w:val="single" w:sz="4" w:space="0" w:color="92949A" w:themeColor="text1" w:themeTint="99"/>
        <w:insideH w:val="single" w:sz="4" w:space="0" w:color="92949A"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BDD" w:themeFill="text1" w:themeFillTint="33"/>
      </w:tcPr>
    </w:tblStylePr>
    <w:tblStylePr w:type="band1Horz">
      <w:tblPr/>
      <w:tcPr>
        <w:shd w:val="clear" w:color="auto" w:fill="DADBDD"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46E7FF" w:themeColor="accent1" w:themeTint="99"/>
        <w:bottom w:val="single" w:sz="4" w:space="0" w:color="46E7FF" w:themeColor="accent1" w:themeTint="99"/>
        <w:insideH w:val="single" w:sz="4" w:space="0" w:color="46E7FF"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7FF" w:themeFill="accent1" w:themeFillTint="33"/>
      </w:tcPr>
    </w:tblStylePr>
    <w:tblStylePr w:type="band1Horz">
      <w:tblPr/>
      <w:tcPr>
        <w:shd w:val="clear" w:color="auto" w:fill="C1F7FF"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AC07D" w:themeColor="accent2" w:themeTint="99"/>
        <w:bottom w:val="single" w:sz="4" w:space="0" w:color="FAC07D" w:themeColor="accent2" w:themeTint="99"/>
        <w:insideH w:val="single" w:sz="4" w:space="0" w:color="FAC07D"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2" w:themeFillTint="33"/>
      </w:tcPr>
    </w:tblStylePr>
    <w:tblStylePr w:type="band1Horz">
      <w:tblPr/>
      <w:tcPr>
        <w:shd w:val="clear" w:color="auto" w:fill="FDEAD3"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DFF3B" w:themeColor="accent3" w:themeTint="99"/>
        <w:bottom w:val="single" w:sz="4" w:space="0" w:color="BDFF3B" w:themeColor="accent3" w:themeTint="99"/>
        <w:insideH w:val="single" w:sz="4" w:space="0" w:color="BDFF3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FBD" w:themeFill="accent3" w:themeFillTint="33"/>
      </w:tcPr>
    </w:tblStylePr>
    <w:tblStylePr w:type="band1Horz">
      <w:tblPr/>
      <w:tcPr>
        <w:shd w:val="clear" w:color="auto" w:fill="E8FFBD"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B6A94" w:themeColor="accent4" w:themeTint="99"/>
        <w:bottom w:val="single" w:sz="4" w:space="0" w:color="EB6A94" w:themeColor="accent4" w:themeTint="99"/>
        <w:insideH w:val="single" w:sz="4" w:space="0" w:color="EB6A94"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CDDB" w:themeFill="accent4" w:themeFillTint="33"/>
      </w:tcPr>
    </w:tblStylePr>
    <w:tblStylePr w:type="band1Horz">
      <w:tblPr/>
      <w:tcPr>
        <w:shd w:val="clear" w:color="auto" w:fill="F8CDDB"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453CF" w:themeColor="accent5" w:themeTint="99"/>
        <w:bottom w:val="single" w:sz="4" w:space="0" w:color="E453CF" w:themeColor="accent5" w:themeTint="99"/>
        <w:insideH w:val="single" w:sz="4" w:space="0" w:color="E453CF"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5EF" w:themeFill="accent5" w:themeFillTint="33"/>
      </w:tcPr>
    </w:tblStylePr>
    <w:tblStylePr w:type="band1Horz">
      <w:tblPr/>
      <w:tcPr>
        <w:shd w:val="clear" w:color="auto" w:fill="F6C5EF"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FDD" w:themeColor="accent6" w:themeTint="99"/>
        <w:bottom w:val="single" w:sz="4" w:space="0" w:color="DEDFDD" w:themeColor="accent6" w:themeTint="99"/>
        <w:insideH w:val="single" w:sz="4" w:space="0" w:color="DEDFDD"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3" w:themeFill="accent6" w:themeFillTint="33"/>
      </w:tcPr>
    </w:tblStylePr>
    <w:tblStylePr w:type="band1Horz">
      <w:tblPr/>
      <w:tcPr>
        <w:shd w:val="clear" w:color="auto" w:fill="F4F4F3"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4D4F53" w:themeColor="text1"/>
        <w:left w:val="single" w:sz="4" w:space="0" w:color="4D4F53" w:themeColor="text1"/>
        <w:bottom w:val="single" w:sz="4" w:space="0" w:color="4D4F53" w:themeColor="text1"/>
        <w:right w:val="single" w:sz="4" w:space="0" w:color="4D4F53" w:themeColor="text1"/>
      </w:tblBorders>
      <w:tblCellMar>
        <w:top w:w="57" w:type="dxa"/>
        <w:left w:w="57" w:type="dxa"/>
        <w:bottom w:w="57" w:type="dxa"/>
        <w:right w:w="57" w:type="dxa"/>
      </w:tblCellMar>
    </w:tblPr>
    <w:tblStylePr w:type="firstRow">
      <w:rPr>
        <w:b/>
        <w:bCs/>
        <w:color w:val="FFFFFF" w:themeColor="background1"/>
      </w:rPr>
      <w:tblPr/>
      <w:tcPr>
        <w:shd w:val="clear" w:color="auto" w:fill="4D4F53" w:themeFill="text1"/>
      </w:tcPr>
    </w:tblStylePr>
    <w:tblStylePr w:type="lastRow">
      <w:rPr>
        <w:b/>
        <w:bCs/>
      </w:rPr>
      <w:tblPr/>
      <w:tcPr>
        <w:tcBorders>
          <w:top w:val="double" w:sz="4" w:space="0" w:color="4D4F5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F53" w:themeColor="text1"/>
          <w:right w:val="single" w:sz="4" w:space="0" w:color="4D4F53" w:themeColor="text1"/>
        </w:tcBorders>
      </w:tcPr>
    </w:tblStylePr>
    <w:tblStylePr w:type="band1Horz">
      <w:tblPr/>
      <w:tcPr>
        <w:tcBorders>
          <w:top w:val="single" w:sz="4" w:space="0" w:color="4D4F53" w:themeColor="text1"/>
          <w:bottom w:val="single" w:sz="4" w:space="0" w:color="4D4F5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F53" w:themeColor="text1"/>
          <w:left w:val="nil"/>
        </w:tcBorders>
      </w:tcPr>
    </w:tblStylePr>
    <w:tblStylePr w:type="swCell">
      <w:tblPr/>
      <w:tcPr>
        <w:tcBorders>
          <w:top w:val="double" w:sz="4" w:space="0" w:color="4D4F53"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89828" w:themeColor="accent2"/>
        <w:left w:val="single" w:sz="4" w:space="0" w:color="F89828" w:themeColor="accent2"/>
        <w:bottom w:val="single" w:sz="4" w:space="0" w:color="F89828" w:themeColor="accent2"/>
        <w:right w:val="single" w:sz="4" w:space="0" w:color="F89828" w:themeColor="accent2"/>
      </w:tblBorders>
      <w:tblCellMar>
        <w:top w:w="57" w:type="dxa"/>
        <w:left w:w="57" w:type="dxa"/>
        <w:bottom w:w="57" w:type="dxa"/>
        <w:right w:w="57" w:type="dxa"/>
      </w:tblCellMar>
    </w:tblPr>
    <w:tblStylePr w:type="firstRow">
      <w:rPr>
        <w:b/>
        <w:bCs/>
        <w:color w:val="FFFFFF" w:themeColor="background1"/>
      </w:rPr>
      <w:tblPr/>
      <w:tcPr>
        <w:shd w:val="clear" w:color="auto" w:fill="F89828" w:themeFill="accent2"/>
      </w:tcPr>
    </w:tblStylePr>
    <w:tblStylePr w:type="lastRow">
      <w:rPr>
        <w:b/>
        <w:bCs/>
      </w:rPr>
      <w:tblPr/>
      <w:tcPr>
        <w:tcBorders>
          <w:top w:val="double" w:sz="4" w:space="0" w:color="F8982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828" w:themeColor="accent2"/>
          <w:right w:val="single" w:sz="4" w:space="0" w:color="F89828" w:themeColor="accent2"/>
        </w:tcBorders>
      </w:tcPr>
    </w:tblStylePr>
    <w:tblStylePr w:type="band1Horz">
      <w:tblPr/>
      <w:tcPr>
        <w:tcBorders>
          <w:top w:val="single" w:sz="4" w:space="0" w:color="F89828" w:themeColor="accent2"/>
          <w:bottom w:val="single" w:sz="4" w:space="0" w:color="F898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828" w:themeColor="accent2"/>
          <w:left w:val="nil"/>
        </w:tcBorders>
      </w:tcPr>
    </w:tblStylePr>
    <w:tblStylePr w:type="swCell">
      <w:tblPr/>
      <w:tcPr>
        <w:tcBorders>
          <w:top w:val="double" w:sz="4" w:space="0" w:color="F89828"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AB800" w:themeColor="accent3"/>
        <w:left w:val="single" w:sz="4" w:space="0" w:color="7AB800" w:themeColor="accent3"/>
        <w:bottom w:val="single" w:sz="4" w:space="0" w:color="7AB800" w:themeColor="accent3"/>
        <w:right w:val="single" w:sz="4" w:space="0" w:color="7AB800" w:themeColor="accent3"/>
      </w:tblBorders>
      <w:tblCellMar>
        <w:top w:w="57" w:type="dxa"/>
        <w:left w:w="57" w:type="dxa"/>
        <w:bottom w:w="57" w:type="dxa"/>
        <w:right w:w="57" w:type="dxa"/>
      </w:tblCellMar>
    </w:tblPr>
    <w:tblStylePr w:type="firstRow">
      <w:rPr>
        <w:b/>
        <w:bCs/>
        <w:color w:val="FFFFFF" w:themeColor="background1"/>
      </w:rPr>
      <w:tblPr/>
      <w:tcPr>
        <w:shd w:val="clear" w:color="auto" w:fill="7AB800" w:themeFill="accent3"/>
      </w:tcPr>
    </w:tblStylePr>
    <w:tblStylePr w:type="lastRow">
      <w:rPr>
        <w:b/>
        <w:bCs/>
      </w:rPr>
      <w:tblPr/>
      <w:tcPr>
        <w:tcBorders>
          <w:top w:val="double" w:sz="4" w:space="0" w:color="7AB8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3"/>
          <w:right w:val="single" w:sz="4" w:space="0" w:color="7AB800" w:themeColor="accent3"/>
        </w:tcBorders>
      </w:tcPr>
    </w:tblStylePr>
    <w:tblStylePr w:type="band1Horz">
      <w:tblPr/>
      <w:tcPr>
        <w:tcBorders>
          <w:top w:val="single" w:sz="4" w:space="0" w:color="7AB800" w:themeColor="accent3"/>
          <w:bottom w:val="single" w:sz="4" w:space="0" w:color="7AB8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3"/>
          <w:left w:val="nil"/>
        </w:tcBorders>
      </w:tcPr>
    </w:tblStylePr>
    <w:tblStylePr w:type="swCell">
      <w:tblPr/>
      <w:tcPr>
        <w:tcBorders>
          <w:top w:val="double" w:sz="4" w:space="0" w:color="7AB800"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B1B54" w:themeColor="accent4"/>
        <w:left w:val="single" w:sz="4" w:space="0" w:color="CB1B54" w:themeColor="accent4"/>
        <w:bottom w:val="single" w:sz="4" w:space="0" w:color="CB1B54" w:themeColor="accent4"/>
        <w:right w:val="single" w:sz="4" w:space="0" w:color="CB1B54" w:themeColor="accent4"/>
      </w:tblBorders>
      <w:tblCellMar>
        <w:top w:w="57" w:type="dxa"/>
        <w:left w:w="57" w:type="dxa"/>
        <w:bottom w:w="57" w:type="dxa"/>
        <w:right w:w="57" w:type="dxa"/>
      </w:tblCellMar>
    </w:tblPr>
    <w:tblStylePr w:type="firstRow">
      <w:rPr>
        <w:b/>
        <w:bCs/>
        <w:color w:val="FFFFFF" w:themeColor="background1"/>
      </w:rPr>
      <w:tblPr/>
      <w:tcPr>
        <w:shd w:val="clear" w:color="auto" w:fill="CB1B54" w:themeFill="accent4"/>
      </w:tcPr>
    </w:tblStylePr>
    <w:tblStylePr w:type="lastRow">
      <w:rPr>
        <w:b/>
        <w:bCs/>
      </w:rPr>
      <w:tblPr/>
      <w:tcPr>
        <w:tcBorders>
          <w:top w:val="double" w:sz="4" w:space="0" w:color="CB1B5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1B54" w:themeColor="accent4"/>
          <w:right w:val="single" w:sz="4" w:space="0" w:color="CB1B54" w:themeColor="accent4"/>
        </w:tcBorders>
      </w:tcPr>
    </w:tblStylePr>
    <w:tblStylePr w:type="band1Horz">
      <w:tblPr/>
      <w:tcPr>
        <w:tcBorders>
          <w:top w:val="single" w:sz="4" w:space="0" w:color="CB1B54" w:themeColor="accent4"/>
          <w:bottom w:val="single" w:sz="4" w:space="0" w:color="CB1B5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1B54" w:themeColor="accent4"/>
          <w:left w:val="nil"/>
        </w:tcBorders>
      </w:tcPr>
    </w:tblStylePr>
    <w:tblStylePr w:type="swCell">
      <w:tblPr/>
      <w:tcPr>
        <w:tcBorders>
          <w:top w:val="double" w:sz="4" w:space="0" w:color="CB1B54"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B1889" w:themeColor="accent5"/>
        <w:left w:val="single" w:sz="4" w:space="0" w:color="9B1889" w:themeColor="accent5"/>
        <w:bottom w:val="single" w:sz="4" w:space="0" w:color="9B1889" w:themeColor="accent5"/>
        <w:right w:val="single" w:sz="4" w:space="0" w:color="9B1889" w:themeColor="accent5"/>
      </w:tblBorders>
      <w:tblCellMar>
        <w:top w:w="57" w:type="dxa"/>
        <w:left w:w="57" w:type="dxa"/>
        <w:bottom w:w="57" w:type="dxa"/>
        <w:right w:w="57" w:type="dxa"/>
      </w:tblCellMar>
    </w:tblPr>
    <w:tblStylePr w:type="firstRow">
      <w:rPr>
        <w:b/>
        <w:bCs/>
        <w:color w:val="FFFFFF" w:themeColor="background1"/>
      </w:rPr>
      <w:tblPr/>
      <w:tcPr>
        <w:shd w:val="clear" w:color="auto" w:fill="9B1889" w:themeFill="accent5"/>
      </w:tcPr>
    </w:tblStylePr>
    <w:tblStylePr w:type="lastRow">
      <w:rPr>
        <w:b/>
        <w:bCs/>
      </w:rPr>
      <w:tblPr/>
      <w:tcPr>
        <w:tcBorders>
          <w:top w:val="double" w:sz="4" w:space="0" w:color="9B188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1889" w:themeColor="accent5"/>
          <w:right w:val="single" w:sz="4" w:space="0" w:color="9B1889" w:themeColor="accent5"/>
        </w:tcBorders>
      </w:tcPr>
    </w:tblStylePr>
    <w:tblStylePr w:type="band1Horz">
      <w:tblPr/>
      <w:tcPr>
        <w:tcBorders>
          <w:top w:val="single" w:sz="4" w:space="0" w:color="9B1889" w:themeColor="accent5"/>
          <w:bottom w:val="single" w:sz="4" w:space="0" w:color="9B188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1889" w:themeColor="accent5"/>
          <w:left w:val="nil"/>
        </w:tcBorders>
      </w:tcPr>
    </w:tblStylePr>
    <w:tblStylePr w:type="swCell">
      <w:tblPr/>
      <w:tcPr>
        <w:tcBorders>
          <w:top w:val="double" w:sz="4" w:space="0" w:color="9B1889"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AC8" w:themeColor="accent6"/>
        <w:left w:val="single" w:sz="4" w:space="0" w:color="C9CAC8" w:themeColor="accent6"/>
        <w:bottom w:val="single" w:sz="4" w:space="0" w:color="C9CAC8" w:themeColor="accent6"/>
        <w:right w:val="single" w:sz="4" w:space="0" w:color="C9CAC8" w:themeColor="accent6"/>
      </w:tblBorders>
      <w:tblCellMar>
        <w:top w:w="57" w:type="dxa"/>
        <w:left w:w="57" w:type="dxa"/>
        <w:bottom w:w="57" w:type="dxa"/>
        <w:right w:w="57" w:type="dxa"/>
      </w:tblCellMar>
    </w:tblPr>
    <w:tblStylePr w:type="firstRow">
      <w:rPr>
        <w:b/>
        <w:bCs/>
        <w:color w:val="FFFFFF" w:themeColor="background1"/>
      </w:rPr>
      <w:tblPr/>
      <w:tcPr>
        <w:shd w:val="clear" w:color="auto" w:fill="C9CAC8" w:themeFill="accent6"/>
      </w:tcPr>
    </w:tblStylePr>
    <w:tblStylePr w:type="lastRow">
      <w:rPr>
        <w:b/>
        <w:bCs/>
      </w:rPr>
      <w:tblPr/>
      <w:tcPr>
        <w:tcBorders>
          <w:top w:val="double" w:sz="4" w:space="0" w:color="C9CA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AC8" w:themeColor="accent6"/>
          <w:right w:val="single" w:sz="4" w:space="0" w:color="C9CAC8" w:themeColor="accent6"/>
        </w:tcBorders>
      </w:tcPr>
    </w:tblStylePr>
    <w:tblStylePr w:type="band1Horz">
      <w:tblPr/>
      <w:tcPr>
        <w:tcBorders>
          <w:top w:val="single" w:sz="4" w:space="0" w:color="C9CAC8" w:themeColor="accent6"/>
          <w:bottom w:val="single" w:sz="4" w:space="0" w:color="C9CA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AC8" w:themeColor="accent6"/>
          <w:left w:val="nil"/>
        </w:tcBorders>
      </w:tcPr>
    </w:tblStylePr>
    <w:tblStylePr w:type="swCell">
      <w:tblPr/>
      <w:tcPr>
        <w:tcBorders>
          <w:top w:val="double" w:sz="4" w:space="0" w:color="C9CAC8"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2949A" w:themeColor="text1" w:themeTint="99"/>
        <w:left w:val="single" w:sz="4" w:space="0" w:color="92949A" w:themeColor="text1" w:themeTint="99"/>
        <w:bottom w:val="single" w:sz="4" w:space="0" w:color="92949A" w:themeColor="text1" w:themeTint="99"/>
        <w:right w:val="single" w:sz="4" w:space="0" w:color="92949A" w:themeColor="text1" w:themeTint="99"/>
        <w:insideH w:val="single" w:sz="4" w:space="0" w:color="92949A"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4D4F53" w:themeColor="text1"/>
          <w:left w:val="single" w:sz="4" w:space="0" w:color="4D4F53" w:themeColor="text1"/>
          <w:bottom w:val="single" w:sz="4" w:space="0" w:color="4D4F53" w:themeColor="text1"/>
          <w:right w:val="single" w:sz="4" w:space="0" w:color="4D4F53" w:themeColor="text1"/>
          <w:insideH w:val="nil"/>
        </w:tcBorders>
        <w:shd w:val="clear" w:color="auto" w:fill="4D4F53" w:themeFill="text1"/>
      </w:tcPr>
    </w:tblStylePr>
    <w:tblStylePr w:type="lastRow">
      <w:rPr>
        <w:b/>
        <w:bCs/>
      </w:rPr>
      <w:tblPr/>
      <w:tcPr>
        <w:tcBorders>
          <w:top w:val="double" w:sz="4" w:space="0" w:color="92949A" w:themeColor="text1" w:themeTint="99"/>
        </w:tcBorders>
      </w:tcPr>
    </w:tblStylePr>
    <w:tblStylePr w:type="firstCol">
      <w:rPr>
        <w:b/>
        <w:bCs/>
      </w:rPr>
    </w:tblStylePr>
    <w:tblStylePr w:type="lastCol">
      <w:rPr>
        <w:b/>
        <w:bCs/>
      </w:rPr>
    </w:tblStylePr>
    <w:tblStylePr w:type="band1Vert">
      <w:tblPr/>
      <w:tcPr>
        <w:shd w:val="clear" w:color="auto" w:fill="DADBDD" w:themeFill="text1" w:themeFillTint="33"/>
      </w:tcPr>
    </w:tblStylePr>
    <w:tblStylePr w:type="band1Horz">
      <w:tblPr/>
      <w:tcPr>
        <w:shd w:val="clear" w:color="auto" w:fill="DADBDD"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46E7FF" w:themeColor="accent1" w:themeTint="99"/>
        <w:left w:val="single" w:sz="4" w:space="0" w:color="46E7FF" w:themeColor="accent1" w:themeTint="99"/>
        <w:bottom w:val="single" w:sz="4" w:space="0" w:color="46E7FF" w:themeColor="accent1" w:themeTint="99"/>
        <w:right w:val="single" w:sz="4" w:space="0" w:color="46E7FF" w:themeColor="accent1" w:themeTint="99"/>
        <w:insideH w:val="single" w:sz="4" w:space="0" w:color="46E7FF"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B0CA" w:themeColor="accent1"/>
          <w:left w:val="single" w:sz="4" w:space="0" w:color="00B0CA" w:themeColor="accent1"/>
          <w:bottom w:val="single" w:sz="4" w:space="0" w:color="00B0CA" w:themeColor="accent1"/>
          <w:right w:val="single" w:sz="4" w:space="0" w:color="00B0CA" w:themeColor="accent1"/>
          <w:insideH w:val="nil"/>
        </w:tcBorders>
        <w:shd w:val="clear" w:color="auto" w:fill="00B0CA" w:themeFill="accent1"/>
      </w:tcPr>
    </w:tblStylePr>
    <w:tblStylePr w:type="lastRow">
      <w:rPr>
        <w:b/>
        <w:bCs/>
      </w:rPr>
      <w:tblPr/>
      <w:tcPr>
        <w:tcBorders>
          <w:top w:val="double" w:sz="4" w:space="0" w:color="46E7FF" w:themeColor="accent1" w:themeTint="99"/>
        </w:tcBorders>
      </w:tcPr>
    </w:tblStylePr>
    <w:tblStylePr w:type="firstCol">
      <w:rPr>
        <w:b/>
        <w:bCs/>
      </w:rPr>
    </w:tblStylePr>
    <w:tblStylePr w:type="lastCol">
      <w:rPr>
        <w:b/>
        <w:bCs/>
      </w:rPr>
    </w:tblStylePr>
    <w:tblStylePr w:type="band1Vert">
      <w:tblPr/>
      <w:tcPr>
        <w:shd w:val="clear" w:color="auto" w:fill="C1F7FF" w:themeFill="accent1" w:themeFillTint="33"/>
      </w:tcPr>
    </w:tblStylePr>
    <w:tblStylePr w:type="band1Horz">
      <w:tblPr/>
      <w:tcPr>
        <w:shd w:val="clear" w:color="auto" w:fill="C1F7FF"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AC07D" w:themeColor="accent2" w:themeTint="99"/>
        <w:left w:val="single" w:sz="4" w:space="0" w:color="FAC07D" w:themeColor="accent2" w:themeTint="99"/>
        <w:bottom w:val="single" w:sz="4" w:space="0" w:color="FAC07D" w:themeColor="accent2" w:themeTint="99"/>
        <w:right w:val="single" w:sz="4" w:space="0" w:color="FAC07D" w:themeColor="accent2" w:themeTint="99"/>
        <w:insideH w:val="single" w:sz="4" w:space="0" w:color="FAC07D"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F89828" w:themeColor="accent2"/>
          <w:left w:val="single" w:sz="4" w:space="0" w:color="F89828" w:themeColor="accent2"/>
          <w:bottom w:val="single" w:sz="4" w:space="0" w:color="F89828" w:themeColor="accent2"/>
          <w:right w:val="single" w:sz="4" w:space="0" w:color="F89828" w:themeColor="accent2"/>
          <w:insideH w:val="nil"/>
        </w:tcBorders>
        <w:shd w:val="clear" w:color="auto" w:fill="F89828" w:themeFill="accent2"/>
      </w:tcPr>
    </w:tblStylePr>
    <w:tblStylePr w:type="lastRow">
      <w:rPr>
        <w:b/>
        <w:bCs/>
      </w:rPr>
      <w:tblPr/>
      <w:tcPr>
        <w:tcBorders>
          <w:top w:val="double" w:sz="4" w:space="0" w:color="FAC07D" w:themeColor="accent2" w:themeTint="99"/>
        </w:tcBorders>
      </w:tcPr>
    </w:tblStylePr>
    <w:tblStylePr w:type="firstCol">
      <w:rPr>
        <w:b/>
        <w:bCs/>
      </w:rPr>
    </w:tblStylePr>
    <w:tblStylePr w:type="lastCol">
      <w:rPr>
        <w:b/>
        <w:bCs/>
      </w:rPr>
    </w:tblStylePr>
    <w:tblStylePr w:type="band1Vert">
      <w:tblPr/>
      <w:tcPr>
        <w:shd w:val="clear" w:color="auto" w:fill="FDEAD3" w:themeFill="accent2" w:themeFillTint="33"/>
      </w:tcPr>
    </w:tblStylePr>
    <w:tblStylePr w:type="band1Horz">
      <w:tblPr/>
      <w:tcPr>
        <w:shd w:val="clear" w:color="auto" w:fill="FDEAD3"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DFF3B" w:themeColor="accent3" w:themeTint="99"/>
        <w:left w:val="single" w:sz="4" w:space="0" w:color="BDFF3B" w:themeColor="accent3" w:themeTint="99"/>
        <w:bottom w:val="single" w:sz="4" w:space="0" w:color="BDFF3B" w:themeColor="accent3" w:themeTint="99"/>
        <w:right w:val="single" w:sz="4" w:space="0" w:color="BDFF3B" w:themeColor="accent3" w:themeTint="99"/>
        <w:insideH w:val="single" w:sz="4" w:space="0" w:color="BDFF3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7AB800" w:themeColor="accent3"/>
          <w:left w:val="single" w:sz="4" w:space="0" w:color="7AB800" w:themeColor="accent3"/>
          <w:bottom w:val="single" w:sz="4" w:space="0" w:color="7AB800" w:themeColor="accent3"/>
          <w:right w:val="single" w:sz="4" w:space="0" w:color="7AB800" w:themeColor="accent3"/>
          <w:insideH w:val="nil"/>
        </w:tcBorders>
        <w:shd w:val="clear" w:color="auto" w:fill="7AB800" w:themeFill="accent3"/>
      </w:tcPr>
    </w:tblStylePr>
    <w:tblStylePr w:type="lastRow">
      <w:rPr>
        <w:b/>
        <w:bCs/>
      </w:rPr>
      <w:tblPr/>
      <w:tcPr>
        <w:tcBorders>
          <w:top w:val="double" w:sz="4" w:space="0" w:color="BDFF3B" w:themeColor="accent3" w:themeTint="99"/>
        </w:tcBorders>
      </w:tcPr>
    </w:tblStylePr>
    <w:tblStylePr w:type="firstCol">
      <w:rPr>
        <w:b/>
        <w:bCs/>
      </w:rPr>
    </w:tblStylePr>
    <w:tblStylePr w:type="lastCol">
      <w:rPr>
        <w:b/>
        <w:bCs/>
      </w:rPr>
    </w:tblStylePr>
    <w:tblStylePr w:type="band1Vert">
      <w:tblPr/>
      <w:tcPr>
        <w:shd w:val="clear" w:color="auto" w:fill="E8FFBD" w:themeFill="accent3" w:themeFillTint="33"/>
      </w:tcPr>
    </w:tblStylePr>
    <w:tblStylePr w:type="band1Horz">
      <w:tblPr/>
      <w:tcPr>
        <w:shd w:val="clear" w:color="auto" w:fill="E8FFBD"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B6A94" w:themeColor="accent4" w:themeTint="99"/>
        <w:left w:val="single" w:sz="4" w:space="0" w:color="EB6A94" w:themeColor="accent4" w:themeTint="99"/>
        <w:bottom w:val="single" w:sz="4" w:space="0" w:color="EB6A94" w:themeColor="accent4" w:themeTint="99"/>
        <w:right w:val="single" w:sz="4" w:space="0" w:color="EB6A94" w:themeColor="accent4" w:themeTint="99"/>
        <w:insideH w:val="single" w:sz="4" w:space="0" w:color="EB6A94"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B1B54" w:themeColor="accent4"/>
          <w:left w:val="single" w:sz="4" w:space="0" w:color="CB1B54" w:themeColor="accent4"/>
          <w:bottom w:val="single" w:sz="4" w:space="0" w:color="CB1B54" w:themeColor="accent4"/>
          <w:right w:val="single" w:sz="4" w:space="0" w:color="CB1B54" w:themeColor="accent4"/>
          <w:insideH w:val="nil"/>
        </w:tcBorders>
        <w:shd w:val="clear" w:color="auto" w:fill="CB1B54" w:themeFill="accent4"/>
      </w:tcPr>
    </w:tblStylePr>
    <w:tblStylePr w:type="lastRow">
      <w:rPr>
        <w:b/>
        <w:bCs/>
      </w:rPr>
      <w:tblPr/>
      <w:tcPr>
        <w:tcBorders>
          <w:top w:val="double" w:sz="4" w:space="0" w:color="EB6A94" w:themeColor="accent4" w:themeTint="99"/>
        </w:tcBorders>
      </w:tcPr>
    </w:tblStylePr>
    <w:tblStylePr w:type="firstCol">
      <w:rPr>
        <w:b/>
        <w:bCs/>
      </w:rPr>
    </w:tblStylePr>
    <w:tblStylePr w:type="lastCol">
      <w:rPr>
        <w:b/>
        <w:bCs/>
      </w:rPr>
    </w:tblStylePr>
    <w:tblStylePr w:type="band1Vert">
      <w:tblPr/>
      <w:tcPr>
        <w:shd w:val="clear" w:color="auto" w:fill="F8CDDB" w:themeFill="accent4" w:themeFillTint="33"/>
      </w:tcPr>
    </w:tblStylePr>
    <w:tblStylePr w:type="band1Horz">
      <w:tblPr/>
      <w:tcPr>
        <w:shd w:val="clear" w:color="auto" w:fill="F8CDDB"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453CF" w:themeColor="accent5" w:themeTint="99"/>
        <w:left w:val="single" w:sz="4" w:space="0" w:color="E453CF" w:themeColor="accent5" w:themeTint="99"/>
        <w:bottom w:val="single" w:sz="4" w:space="0" w:color="E453CF" w:themeColor="accent5" w:themeTint="99"/>
        <w:right w:val="single" w:sz="4" w:space="0" w:color="E453CF" w:themeColor="accent5" w:themeTint="99"/>
        <w:insideH w:val="single" w:sz="4" w:space="0" w:color="E453CF"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B1889" w:themeColor="accent5"/>
          <w:left w:val="single" w:sz="4" w:space="0" w:color="9B1889" w:themeColor="accent5"/>
          <w:bottom w:val="single" w:sz="4" w:space="0" w:color="9B1889" w:themeColor="accent5"/>
          <w:right w:val="single" w:sz="4" w:space="0" w:color="9B1889" w:themeColor="accent5"/>
          <w:insideH w:val="nil"/>
        </w:tcBorders>
        <w:shd w:val="clear" w:color="auto" w:fill="9B1889" w:themeFill="accent5"/>
      </w:tcPr>
    </w:tblStylePr>
    <w:tblStylePr w:type="lastRow">
      <w:rPr>
        <w:b/>
        <w:bCs/>
      </w:rPr>
      <w:tblPr/>
      <w:tcPr>
        <w:tcBorders>
          <w:top w:val="double" w:sz="4" w:space="0" w:color="E453CF" w:themeColor="accent5" w:themeTint="99"/>
        </w:tcBorders>
      </w:tcPr>
    </w:tblStylePr>
    <w:tblStylePr w:type="firstCol">
      <w:rPr>
        <w:b/>
        <w:bCs/>
      </w:rPr>
    </w:tblStylePr>
    <w:tblStylePr w:type="lastCol">
      <w:rPr>
        <w:b/>
        <w:bCs/>
      </w:rPr>
    </w:tblStylePr>
    <w:tblStylePr w:type="band1Vert">
      <w:tblPr/>
      <w:tcPr>
        <w:shd w:val="clear" w:color="auto" w:fill="F6C5EF" w:themeFill="accent5" w:themeFillTint="33"/>
      </w:tcPr>
    </w:tblStylePr>
    <w:tblStylePr w:type="band1Horz">
      <w:tblPr/>
      <w:tcPr>
        <w:shd w:val="clear" w:color="auto" w:fill="F6C5EF"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FDD" w:themeColor="accent6" w:themeTint="99"/>
        <w:left w:val="single" w:sz="4" w:space="0" w:color="DEDFDD" w:themeColor="accent6" w:themeTint="99"/>
        <w:bottom w:val="single" w:sz="4" w:space="0" w:color="DEDFDD" w:themeColor="accent6" w:themeTint="99"/>
        <w:right w:val="single" w:sz="4" w:space="0" w:color="DEDFDD" w:themeColor="accent6" w:themeTint="99"/>
        <w:insideH w:val="single" w:sz="4" w:space="0" w:color="DEDFDD"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AC8" w:themeColor="accent6"/>
          <w:left w:val="single" w:sz="4" w:space="0" w:color="C9CAC8" w:themeColor="accent6"/>
          <w:bottom w:val="single" w:sz="4" w:space="0" w:color="C9CAC8" w:themeColor="accent6"/>
          <w:right w:val="single" w:sz="4" w:space="0" w:color="C9CAC8" w:themeColor="accent6"/>
          <w:insideH w:val="nil"/>
        </w:tcBorders>
        <w:shd w:val="clear" w:color="auto" w:fill="C9CAC8" w:themeFill="accent6"/>
      </w:tcPr>
    </w:tblStylePr>
    <w:tblStylePr w:type="lastRow">
      <w:rPr>
        <w:b/>
        <w:bCs/>
      </w:rPr>
      <w:tblPr/>
      <w:tcPr>
        <w:tcBorders>
          <w:top w:val="double" w:sz="4" w:space="0" w:color="DEDFDD" w:themeColor="accent6" w:themeTint="99"/>
        </w:tcBorders>
      </w:tcPr>
    </w:tblStylePr>
    <w:tblStylePr w:type="firstCol">
      <w:rPr>
        <w:b/>
        <w:bCs/>
      </w:rPr>
    </w:tblStylePr>
    <w:tblStylePr w:type="lastCol">
      <w:rPr>
        <w:b/>
        <w:bCs/>
      </w:rPr>
    </w:tblStylePr>
    <w:tblStylePr w:type="band1Vert">
      <w:tblPr/>
      <w:tcPr>
        <w:shd w:val="clear" w:color="auto" w:fill="F4F4F3" w:themeFill="accent6" w:themeFillTint="33"/>
      </w:tcPr>
    </w:tblStylePr>
    <w:tblStylePr w:type="band1Horz">
      <w:tblPr/>
      <w:tcPr>
        <w:shd w:val="clear" w:color="auto" w:fill="F4F4F3"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4D4F53" w:themeColor="text1"/>
        <w:left w:val="single" w:sz="24" w:space="0" w:color="4D4F53" w:themeColor="text1"/>
        <w:bottom w:val="single" w:sz="24" w:space="0" w:color="4D4F53" w:themeColor="text1"/>
        <w:right w:val="single" w:sz="24" w:space="0" w:color="4D4F53" w:themeColor="text1"/>
      </w:tblBorders>
      <w:tblCellMar>
        <w:top w:w="85" w:type="dxa"/>
        <w:left w:w="85" w:type="dxa"/>
        <w:bottom w:w="85" w:type="dxa"/>
        <w:right w:w="85" w:type="dxa"/>
      </w:tblCellMar>
    </w:tblPr>
    <w:tcPr>
      <w:shd w:val="clear" w:color="auto" w:fill="4D4F5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B0CA" w:themeColor="accent1"/>
        <w:left w:val="single" w:sz="24" w:space="0" w:color="00B0CA" w:themeColor="accent1"/>
        <w:bottom w:val="single" w:sz="24" w:space="0" w:color="00B0CA" w:themeColor="accent1"/>
        <w:right w:val="single" w:sz="24" w:space="0" w:color="00B0CA" w:themeColor="accent1"/>
      </w:tblBorders>
      <w:tblCellMar>
        <w:top w:w="85" w:type="dxa"/>
        <w:left w:w="85" w:type="dxa"/>
        <w:bottom w:w="85" w:type="dxa"/>
        <w:right w:w="85" w:type="dxa"/>
      </w:tblCellMar>
    </w:tblPr>
    <w:tcPr>
      <w:shd w:val="clear" w:color="auto" w:fill="00B0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F89828" w:themeColor="accent2"/>
        <w:left w:val="single" w:sz="24" w:space="0" w:color="F89828" w:themeColor="accent2"/>
        <w:bottom w:val="single" w:sz="24" w:space="0" w:color="F89828" w:themeColor="accent2"/>
        <w:right w:val="single" w:sz="24" w:space="0" w:color="F89828" w:themeColor="accent2"/>
      </w:tblBorders>
      <w:tblCellMar>
        <w:top w:w="85" w:type="dxa"/>
        <w:left w:w="85" w:type="dxa"/>
        <w:bottom w:w="85" w:type="dxa"/>
        <w:right w:w="85" w:type="dxa"/>
      </w:tblCellMar>
    </w:tblPr>
    <w:tcPr>
      <w:shd w:val="clear" w:color="auto" w:fill="F8982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7AB800" w:themeColor="accent3"/>
        <w:left w:val="single" w:sz="24" w:space="0" w:color="7AB800" w:themeColor="accent3"/>
        <w:bottom w:val="single" w:sz="24" w:space="0" w:color="7AB800" w:themeColor="accent3"/>
        <w:right w:val="single" w:sz="24" w:space="0" w:color="7AB800" w:themeColor="accent3"/>
      </w:tblBorders>
      <w:tblCellMar>
        <w:top w:w="85" w:type="dxa"/>
        <w:left w:w="85" w:type="dxa"/>
        <w:bottom w:w="85" w:type="dxa"/>
        <w:right w:w="85" w:type="dxa"/>
      </w:tblCellMar>
    </w:tblPr>
    <w:tcPr>
      <w:shd w:val="clear" w:color="auto" w:fill="7AB8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B1B54" w:themeColor="accent4"/>
        <w:left w:val="single" w:sz="24" w:space="0" w:color="CB1B54" w:themeColor="accent4"/>
        <w:bottom w:val="single" w:sz="24" w:space="0" w:color="CB1B54" w:themeColor="accent4"/>
        <w:right w:val="single" w:sz="24" w:space="0" w:color="CB1B54" w:themeColor="accent4"/>
      </w:tblBorders>
      <w:tblCellMar>
        <w:top w:w="85" w:type="dxa"/>
        <w:left w:w="85" w:type="dxa"/>
        <w:bottom w:w="85" w:type="dxa"/>
        <w:right w:w="85" w:type="dxa"/>
      </w:tblCellMar>
    </w:tblPr>
    <w:tcPr>
      <w:shd w:val="clear" w:color="auto" w:fill="CB1B5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9B1889" w:themeColor="accent5"/>
        <w:left w:val="single" w:sz="24" w:space="0" w:color="9B1889" w:themeColor="accent5"/>
        <w:bottom w:val="single" w:sz="24" w:space="0" w:color="9B1889" w:themeColor="accent5"/>
        <w:right w:val="single" w:sz="24" w:space="0" w:color="9B1889" w:themeColor="accent5"/>
      </w:tblBorders>
      <w:tblCellMar>
        <w:top w:w="85" w:type="dxa"/>
        <w:left w:w="85" w:type="dxa"/>
        <w:bottom w:w="85" w:type="dxa"/>
        <w:right w:w="85" w:type="dxa"/>
      </w:tblCellMar>
    </w:tblPr>
    <w:tcPr>
      <w:shd w:val="clear" w:color="auto" w:fill="9B188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AC8" w:themeColor="accent6"/>
        <w:left w:val="single" w:sz="24" w:space="0" w:color="C9CAC8" w:themeColor="accent6"/>
        <w:bottom w:val="single" w:sz="24" w:space="0" w:color="C9CAC8" w:themeColor="accent6"/>
        <w:right w:val="single" w:sz="24" w:space="0" w:color="C9CAC8" w:themeColor="accent6"/>
      </w:tblBorders>
      <w:tblCellMar>
        <w:top w:w="85" w:type="dxa"/>
        <w:left w:w="85" w:type="dxa"/>
        <w:bottom w:w="85" w:type="dxa"/>
        <w:right w:w="85" w:type="dxa"/>
      </w:tblCellMar>
    </w:tblPr>
    <w:tcPr>
      <w:shd w:val="clear" w:color="auto" w:fill="C9CA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4D4F53" w:themeColor="text1"/>
      <w:lang w:eastAsia="en-US"/>
    </w:rPr>
    <w:tblPr>
      <w:tblStyleRowBandSize w:val="1"/>
      <w:tblStyleColBandSize w:val="1"/>
      <w:tblBorders>
        <w:top w:val="single" w:sz="4" w:space="0" w:color="4D4F53" w:themeColor="text1"/>
        <w:bottom w:val="single" w:sz="4" w:space="0" w:color="4D4F53" w:themeColor="text1"/>
      </w:tblBorders>
      <w:tblCellMar>
        <w:top w:w="57" w:type="dxa"/>
        <w:left w:w="57" w:type="dxa"/>
        <w:bottom w:w="57" w:type="dxa"/>
        <w:right w:w="57" w:type="dxa"/>
      </w:tblCellMar>
    </w:tblPr>
    <w:tblStylePr w:type="firstRow">
      <w:rPr>
        <w:b/>
        <w:bCs/>
      </w:rPr>
      <w:tblPr/>
      <w:tcPr>
        <w:tcBorders>
          <w:bottom w:val="single" w:sz="4" w:space="0" w:color="4D4F53" w:themeColor="text1"/>
        </w:tcBorders>
      </w:tcPr>
    </w:tblStylePr>
    <w:tblStylePr w:type="lastRow">
      <w:rPr>
        <w:b/>
        <w:bCs/>
      </w:rPr>
      <w:tblPr/>
      <w:tcPr>
        <w:tcBorders>
          <w:top w:val="double" w:sz="4" w:space="0" w:color="4D4F53" w:themeColor="text1"/>
        </w:tcBorders>
      </w:tcPr>
    </w:tblStylePr>
    <w:tblStylePr w:type="firstCol">
      <w:rPr>
        <w:b/>
        <w:bCs/>
      </w:rPr>
    </w:tblStylePr>
    <w:tblStylePr w:type="lastCol">
      <w:rPr>
        <w:b/>
        <w:bCs/>
      </w:rPr>
    </w:tblStylePr>
    <w:tblStylePr w:type="band1Vert">
      <w:tblPr/>
      <w:tcPr>
        <w:shd w:val="clear" w:color="auto" w:fill="DADBDD" w:themeFill="text1" w:themeFillTint="33"/>
      </w:tcPr>
    </w:tblStylePr>
    <w:tblStylePr w:type="band1Horz">
      <w:tblPr/>
      <w:tcPr>
        <w:shd w:val="clear" w:color="auto" w:fill="DADBDD"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008397" w:themeColor="accent1" w:themeShade="BF"/>
      <w:lang w:eastAsia="en-US"/>
    </w:rPr>
    <w:tblPr>
      <w:tblStyleRowBandSize w:val="1"/>
      <w:tblStyleColBandSize w:val="1"/>
      <w:tblBorders>
        <w:top w:val="single" w:sz="4" w:space="0" w:color="00B0CA" w:themeColor="accent1"/>
        <w:bottom w:val="single" w:sz="4" w:space="0" w:color="00B0CA" w:themeColor="accent1"/>
      </w:tblBorders>
      <w:tblCellMar>
        <w:top w:w="57" w:type="dxa"/>
        <w:left w:w="57" w:type="dxa"/>
        <w:bottom w:w="57" w:type="dxa"/>
        <w:right w:w="57" w:type="dxa"/>
      </w:tblCellMar>
    </w:tblPr>
    <w:tblStylePr w:type="firstRow">
      <w:rPr>
        <w:b/>
        <w:bCs/>
      </w:rPr>
      <w:tblPr/>
      <w:tcPr>
        <w:tcBorders>
          <w:bottom w:val="single" w:sz="4" w:space="0" w:color="00B0CA" w:themeColor="accent1"/>
        </w:tcBorders>
      </w:tcPr>
    </w:tblStylePr>
    <w:tblStylePr w:type="lastRow">
      <w:rPr>
        <w:b/>
        <w:bCs/>
      </w:rPr>
      <w:tblPr/>
      <w:tcPr>
        <w:tcBorders>
          <w:top w:val="double" w:sz="4" w:space="0" w:color="00B0CA" w:themeColor="accent1"/>
        </w:tcBorders>
      </w:tcPr>
    </w:tblStylePr>
    <w:tblStylePr w:type="firstCol">
      <w:rPr>
        <w:b/>
        <w:bCs/>
      </w:rPr>
    </w:tblStylePr>
    <w:tblStylePr w:type="lastCol">
      <w:rPr>
        <w:b/>
        <w:bCs/>
      </w:rPr>
    </w:tblStylePr>
    <w:tblStylePr w:type="band1Vert">
      <w:tblPr/>
      <w:tcPr>
        <w:shd w:val="clear" w:color="auto" w:fill="C1F7FF" w:themeFill="accent1" w:themeFillTint="33"/>
      </w:tcPr>
    </w:tblStylePr>
    <w:tblStylePr w:type="band1Horz">
      <w:tblPr/>
      <w:tcPr>
        <w:shd w:val="clear" w:color="auto" w:fill="C1F7FF"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D07307" w:themeColor="accent2" w:themeShade="BF"/>
      <w:lang w:eastAsia="en-US"/>
    </w:rPr>
    <w:tblPr>
      <w:tblStyleRowBandSize w:val="1"/>
      <w:tblStyleColBandSize w:val="1"/>
      <w:tblBorders>
        <w:top w:val="single" w:sz="4" w:space="0" w:color="F89828" w:themeColor="accent2"/>
        <w:bottom w:val="single" w:sz="4" w:space="0" w:color="F89828" w:themeColor="accent2"/>
      </w:tblBorders>
      <w:tblCellMar>
        <w:top w:w="57" w:type="dxa"/>
        <w:left w:w="57" w:type="dxa"/>
        <w:bottom w:w="57" w:type="dxa"/>
        <w:right w:w="57" w:type="dxa"/>
      </w:tblCellMar>
    </w:tblPr>
    <w:tblStylePr w:type="firstRow">
      <w:rPr>
        <w:b/>
        <w:bCs/>
      </w:rPr>
      <w:tblPr/>
      <w:tcPr>
        <w:tcBorders>
          <w:bottom w:val="single" w:sz="4" w:space="0" w:color="F89828" w:themeColor="accent2"/>
        </w:tcBorders>
      </w:tcPr>
    </w:tblStylePr>
    <w:tblStylePr w:type="lastRow">
      <w:rPr>
        <w:b/>
        <w:bCs/>
      </w:rPr>
      <w:tblPr/>
      <w:tcPr>
        <w:tcBorders>
          <w:top w:val="double" w:sz="4" w:space="0" w:color="F89828" w:themeColor="accent2"/>
        </w:tcBorders>
      </w:tcPr>
    </w:tblStylePr>
    <w:tblStylePr w:type="firstCol">
      <w:rPr>
        <w:b/>
        <w:bCs/>
      </w:rPr>
    </w:tblStylePr>
    <w:tblStylePr w:type="lastCol">
      <w:rPr>
        <w:b/>
        <w:bCs/>
      </w:rPr>
    </w:tblStylePr>
    <w:tblStylePr w:type="band1Vert">
      <w:tblPr/>
      <w:tcPr>
        <w:shd w:val="clear" w:color="auto" w:fill="FDEAD3" w:themeFill="accent2" w:themeFillTint="33"/>
      </w:tcPr>
    </w:tblStylePr>
    <w:tblStylePr w:type="band1Horz">
      <w:tblPr/>
      <w:tcPr>
        <w:shd w:val="clear" w:color="auto" w:fill="FDEAD3"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5B8900" w:themeColor="accent3" w:themeShade="BF"/>
      <w:lang w:eastAsia="en-US"/>
    </w:rPr>
    <w:tblPr>
      <w:tblStyleRowBandSize w:val="1"/>
      <w:tblStyleColBandSize w:val="1"/>
      <w:tblBorders>
        <w:top w:val="single" w:sz="4" w:space="0" w:color="7AB800" w:themeColor="accent3"/>
        <w:bottom w:val="single" w:sz="4" w:space="0" w:color="7AB800" w:themeColor="accent3"/>
      </w:tblBorders>
      <w:tblCellMar>
        <w:top w:w="57" w:type="dxa"/>
        <w:left w:w="57" w:type="dxa"/>
        <w:bottom w:w="57" w:type="dxa"/>
        <w:right w:w="57" w:type="dxa"/>
      </w:tblCellMar>
    </w:tblPr>
    <w:tblStylePr w:type="firstRow">
      <w:rPr>
        <w:b/>
        <w:bCs/>
      </w:rPr>
      <w:tblPr/>
      <w:tcPr>
        <w:tcBorders>
          <w:bottom w:val="single" w:sz="4" w:space="0" w:color="7AB800" w:themeColor="accent3"/>
        </w:tcBorders>
      </w:tcPr>
    </w:tblStylePr>
    <w:tblStylePr w:type="lastRow">
      <w:rPr>
        <w:b/>
        <w:bCs/>
      </w:rPr>
      <w:tblPr/>
      <w:tcPr>
        <w:tcBorders>
          <w:top w:val="double" w:sz="4" w:space="0" w:color="7AB800" w:themeColor="accent3"/>
        </w:tcBorders>
      </w:tcPr>
    </w:tblStylePr>
    <w:tblStylePr w:type="firstCol">
      <w:rPr>
        <w:b/>
        <w:bCs/>
      </w:rPr>
    </w:tblStylePr>
    <w:tblStylePr w:type="lastCol">
      <w:rPr>
        <w:b/>
        <w:bCs/>
      </w:rPr>
    </w:tblStylePr>
    <w:tblStylePr w:type="band1Vert">
      <w:tblPr/>
      <w:tcPr>
        <w:shd w:val="clear" w:color="auto" w:fill="E8FFBD" w:themeFill="accent3" w:themeFillTint="33"/>
      </w:tcPr>
    </w:tblStylePr>
    <w:tblStylePr w:type="band1Horz">
      <w:tblPr/>
      <w:tcPr>
        <w:shd w:val="clear" w:color="auto" w:fill="E8FFBD"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97143E" w:themeColor="accent4" w:themeShade="BF"/>
      <w:lang w:eastAsia="en-US"/>
    </w:rPr>
    <w:tblPr>
      <w:tblStyleRowBandSize w:val="1"/>
      <w:tblStyleColBandSize w:val="1"/>
      <w:tblBorders>
        <w:top w:val="single" w:sz="4" w:space="0" w:color="CB1B54" w:themeColor="accent4"/>
        <w:bottom w:val="single" w:sz="4" w:space="0" w:color="CB1B54" w:themeColor="accent4"/>
      </w:tblBorders>
      <w:tblCellMar>
        <w:top w:w="57" w:type="dxa"/>
        <w:left w:w="57" w:type="dxa"/>
        <w:bottom w:w="57" w:type="dxa"/>
        <w:right w:w="57" w:type="dxa"/>
      </w:tblCellMar>
    </w:tblPr>
    <w:tblStylePr w:type="firstRow">
      <w:rPr>
        <w:b/>
        <w:bCs/>
      </w:rPr>
      <w:tblPr/>
      <w:tcPr>
        <w:tcBorders>
          <w:bottom w:val="single" w:sz="4" w:space="0" w:color="CB1B54" w:themeColor="accent4"/>
        </w:tcBorders>
      </w:tcPr>
    </w:tblStylePr>
    <w:tblStylePr w:type="lastRow">
      <w:rPr>
        <w:b/>
        <w:bCs/>
      </w:rPr>
      <w:tblPr/>
      <w:tcPr>
        <w:tcBorders>
          <w:top w:val="double" w:sz="4" w:space="0" w:color="CB1B54" w:themeColor="accent4"/>
        </w:tcBorders>
      </w:tcPr>
    </w:tblStylePr>
    <w:tblStylePr w:type="firstCol">
      <w:rPr>
        <w:b/>
        <w:bCs/>
      </w:rPr>
    </w:tblStylePr>
    <w:tblStylePr w:type="lastCol">
      <w:rPr>
        <w:b/>
        <w:bCs/>
      </w:rPr>
    </w:tblStylePr>
    <w:tblStylePr w:type="band1Vert">
      <w:tblPr/>
      <w:tcPr>
        <w:shd w:val="clear" w:color="auto" w:fill="F8CDDB" w:themeFill="accent4" w:themeFillTint="33"/>
      </w:tcPr>
    </w:tblStylePr>
    <w:tblStylePr w:type="band1Horz">
      <w:tblPr/>
      <w:tcPr>
        <w:shd w:val="clear" w:color="auto" w:fill="F8CDDB"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741266" w:themeColor="accent5" w:themeShade="BF"/>
      <w:lang w:eastAsia="en-US"/>
    </w:rPr>
    <w:tblPr>
      <w:tblStyleRowBandSize w:val="1"/>
      <w:tblStyleColBandSize w:val="1"/>
      <w:tblBorders>
        <w:top w:val="single" w:sz="4" w:space="0" w:color="9B1889" w:themeColor="accent5"/>
        <w:bottom w:val="single" w:sz="4" w:space="0" w:color="9B1889" w:themeColor="accent5"/>
      </w:tblBorders>
      <w:tblCellMar>
        <w:top w:w="57" w:type="dxa"/>
        <w:left w:w="57" w:type="dxa"/>
        <w:bottom w:w="57" w:type="dxa"/>
        <w:right w:w="57" w:type="dxa"/>
      </w:tblCellMar>
    </w:tblPr>
    <w:tblStylePr w:type="firstRow">
      <w:rPr>
        <w:b/>
        <w:bCs/>
      </w:rPr>
      <w:tblPr/>
      <w:tcPr>
        <w:tcBorders>
          <w:bottom w:val="single" w:sz="4" w:space="0" w:color="9B1889" w:themeColor="accent5"/>
        </w:tcBorders>
      </w:tcPr>
    </w:tblStylePr>
    <w:tblStylePr w:type="lastRow">
      <w:rPr>
        <w:b/>
        <w:bCs/>
      </w:rPr>
      <w:tblPr/>
      <w:tcPr>
        <w:tcBorders>
          <w:top w:val="double" w:sz="4" w:space="0" w:color="9B1889" w:themeColor="accent5"/>
        </w:tcBorders>
      </w:tcPr>
    </w:tblStylePr>
    <w:tblStylePr w:type="firstCol">
      <w:rPr>
        <w:b/>
        <w:bCs/>
      </w:rPr>
    </w:tblStylePr>
    <w:tblStylePr w:type="lastCol">
      <w:rPr>
        <w:b/>
        <w:bCs/>
      </w:rPr>
    </w:tblStylePr>
    <w:tblStylePr w:type="band1Vert">
      <w:tblPr/>
      <w:tcPr>
        <w:shd w:val="clear" w:color="auto" w:fill="F6C5EF" w:themeFill="accent5" w:themeFillTint="33"/>
      </w:tcPr>
    </w:tblStylePr>
    <w:tblStylePr w:type="band1Horz">
      <w:tblPr/>
      <w:tcPr>
        <w:shd w:val="clear" w:color="auto" w:fill="F6C5EF"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969894" w:themeColor="accent6" w:themeShade="BF"/>
      <w:lang w:eastAsia="en-US"/>
    </w:rPr>
    <w:tblPr>
      <w:tblStyleRowBandSize w:val="1"/>
      <w:tblStyleColBandSize w:val="1"/>
      <w:tblBorders>
        <w:top w:val="single" w:sz="4" w:space="0" w:color="C9CAC8" w:themeColor="accent6"/>
        <w:bottom w:val="single" w:sz="4" w:space="0" w:color="C9CAC8" w:themeColor="accent6"/>
      </w:tblBorders>
      <w:tblCellMar>
        <w:top w:w="57" w:type="dxa"/>
        <w:left w:w="57" w:type="dxa"/>
        <w:bottom w:w="57" w:type="dxa"/>
        <w:right w:w="57" w:type="dxa"/>
      </w:tblCellMar>
    </w:tblPr>
    <w:tblStylePr w:type="firstRow">
      <w:rPr>
        <w:b/>
        <w:bCs/>
      </w:rPr>
      <w:tblPr/>
      <w:tcPr>
        <w:tcBorders>
          <w:bottom w:val="single" w:sz="4" w:space="0" w:color="C9CAC8" w:themeColor="accent6"/>
        </w:tcBorders>
      </w:tcPr>
    </w:tblStylePr>
    <w:tblStylePr w:type="lastRow">
      <w:rPr>
        <w:b/>
        <w:bCs/>
      </w:rPr>
      <w:tblPr/>
      <w:tcPr>
        <w:tcBorders>
          <w:top w:val="double" w:sz="4" w:space="0" w:color="C9CAC8" w:themeColor="accent6"/>
        </w:tcBorders>
      </w:tcPr>
    </w:tblStylePr>
    <w:tblStylePr w:type="firstCol">
      <w:rPr>
        <w:b/>
        <w:bCs/>
      </w:rPr>
    </w:tblStylePr>
    <w:tblStylePr w:type="lastCol">
      <w:rPr>
        <w:b/>
        <w:bCs/>
      </w:rPr>
    </w:tblStylePr>
    <w:tblStylePr w:type="band1Vert">
      <w:tblPr/>
      <w:tcPr>
        <w:shd w:val="clear" w:color="auto" w:fill="F4F4F3" w:themeFill="accent6" w:themeFillTint="33"/>
      </w:tcPr>
    </w:tblStylePr>
    <w:tblStylePr w:type="band1Horz">
      <w:tblPr/>
      <w:tcPr>
        <w:shd w:val="clear" w:color="auto" w:fill="F4F4F3"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4D4F53"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4D4F5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F5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F5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F53" w:themeColor="text1"/>
        </w:tcBorders>
        <w:shd w:val="clear" w:color="auto" w:fill="FFFFFF" w:themeFill="background1"/>
      </w:tcPr>
    </w:tblStylePr>
    <w:tblStylePr w:type="band1Vert">
      <w:tblPr/>
      <w:tcPr>
        <w:shd w:val="clear" w:color="auto" w:fill="DADBDD" w:themeFill="text1" w:themeFillTint="33"/>
      </w:tcPr>
    </w:tblStylePr>
    <w:tblStylePr w:type="band1Horz">
      <w:tblPr/>
      <w:tcPr>
        <w:shd w:val="clear" w:color="auto" w:fill="DADBD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00839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B0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CA" w:themeColor="accent1"/>
        </w:tcBorders>
        <w:shd w:val="clear" w:color="auto" w:fill="FFFFFF" w:themeFill="background1"/>
      </w:tcPr>
    </w:tblStylePr>
    <w:tblStylePr w:type="band1Vert">
      <w:tblPr/>
      <w:tcPr>
        <w:shd w:val="clear" w:color="auto" w:fill="C1F7FF" w:themeFill="accent1" w:themeFillTint="33"/>
      </w:tcPr>
    </w:tblStylePr>
    <w:tblStylePr w:type="band1Horz">
      <w:tblPr/>
      <w:tcPr>
        <w:shd w:val="clear" w:color="auto" w:fill="C1F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D0730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F8982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82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82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828" w:themeColor="accent2"/>
        </w:tcBorders>
        <w:shd w:val="clear" w:color="auto" w:fill="FFFFFF" w:themeFill="background1"/>
      </w:tcPr>
    </w:tblStylePr>
    <w:tblStylePr w:type="band1Vert">
      <w:tblPr/>
      <w:tcPr>
        <w:shd w:val="clear" w:color="auto" w:fill="FDEAD3" w:themeFill="accent2" w:themeFillTint="33"/>
      </w:tcPr>
    </w:tblStylePr>
    <w:tblStylePr w:type="band1Horz">
      <w:tblPr/>
      <w:tcPr>
        <w:shd w:val="clear" w:color="auto" w:fill="FDEA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5B8900"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7AB8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B8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B8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B800" w:themeColor="accent3"/>
        </w:tcBorders>
        <w:shd w:val="clear" w:color="auto" w:fill="FFFFFF" w:themeFill="background1"/>
      </w:tcPr>
    </w:tblStylePr>
    <w:tblStylePr w:type="band1Vert">
      <w:tblPr/>
      <w:tcPr>
        <w:shd w:val="clear" w:color="auto" w:fill="E8FFBD" w:themeFill="accent3" w:themeFillTint="33"/>
      </w:tcPr>
    </w:tblStylePr>
    <w:tblStylePr w:type="band1Horz">
      <w:tblPr/>
      <w:tcPr>
        <w:shd w:val="clear" w:color="auto" w:fill="E8FFB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97143E"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B1B5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1B5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1B5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1B54" w:themeColor="accent4"/>
        </w:tcBorders>
        <w:shd w:val="clear" w:color="auto" w:fill="FFFFFF" w:themeFill="background1"/>
      </w:tcPr>
    </w:tblStylePr>
    <w:tblStylePr w:type="band1Vert">
      <w:tblPr/>
      <w:tcPr>
        <w:shd w:val="clear" w:color="auto" w:fill="F8CDDB" w:themeFill="accent4" w:themeFillTint="33"/>
      </w:tcPr>
    </w:tblStylePr>
    <w:tblStylePr w:type="band1Horz">
      <w:tblPr/>
      <w:tcPr>
        <w:shd w:val="clear" w:color="auto" w:fill="F8CD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741266"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9B188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188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188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1889" w:themeColor="accent5"/>
        </w:tcBorders>
        <w:shd w:val="clear" w:color="auto" w:fill="FFFFFF" w:themeFill="background1"/>
      </w:tcPr>
    </w:tblStylePr>
    <w:tblStylePr w:type="band1Vert">
      <w:tblPr/>
      <w:tcPr>
        <w:shd w:val="clear" w:color="auto" w:fill="F6C5EF" w:themeFill="accent5" w:themeFillTint="33"/>
      </w:tcPr>
    </w:tblStylePr>
    <w:tblStylePr w:type="band1Horz">
      <w:tblPr/>
      <w:tcPr>
        <w:shd w:val="clear" w:color="auto" w:fill="F6C5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3A5AA" w:themeColor="text1" w:themeTint="80"/>
        <w:bottom w:val="single" w:sz="4" w:space="0" w:color="A3A5AA" w:themeColor="text1" w:themeTint="80"/>
      </w:tblBorders>
      <w:tblCellMar>
        <w:top w:w="57" w:type="dxa"/>
        <w:left w:w="57" w:type="dxa"/>
        <w:bottom w:w="57" w:type="dxa"/>
        <w:right w:w="57" w:type="dxa"/>
      </w:tblCellMar>
    </w:tblPr>
    <w:tblStylePr w:type="firstRow">
      <w:rPr>
        <w:b/>
        <w:bCs/>
      </w:rPr>
      <w:tblPr/>
      <w:tcPr>
        <w:tcBorders>
          <w:bottom w:val="single" w:sz="4" w:space="0" w:color="A3A5AA" w:themeColor="text1" w:themeTint="80"/>
        </w:tcBorders>
      </w:tcPr>
    </w:tblStylePr>
    <w:tblStylePr w:type="lastRow">
      <w:rPr>
        <w:b/>
        <w:bCs/>
      </w:rPr>
      <w:tblPr/>
      <w:tcPr>
        <w:tcBorders>
          <w:top w:val="single" w:sz="4" w:space="0" w:color="A3A5AA" w:themeColor="text1" w:themeTint="80"/>
        </w:tcBorders>
      </w:tcPr>
    </w:tblStylePr>
    <w:tblStylePr w:type="firstCol">
      <w:rPr>
        <w:b/>
        <w:bCs/>
      </w:rPr>
    </w:tblStylePr>
    <w:tblStylePr w:type="lastCol">
      <w:rPr>
        <w:b/>
        <w:bCs/>
      </w:rPr>
    </w:tblStylePr>
    <w:tblStylePr w:type="band1Vert">
      <w:tblPr/>
      <w:tcPr>
        <w:tcBorders>
          <w:left w:val="single" w:sz="4" w:space="0" w:color="A3A5AA" w:themeColor="text1" w:themeTint="80"/>
          <w:right w:val="single" w:sz="4" w:space="0" w:color="A3A5AA" w:themeColor="text1" w:themeTint="80"/>
        </w:tcBorders>
      </w:tcPr>
    </w:tblStylePr>
    <w:tblStylePr w:type="band2Vert">
      <w:tblPr/>
      <w:tcPr>
        <w:tcBorders>
          <w:left w:val="single" w:sz="4" w:space="0" w:color="A3A5AA" w:themeColor="text1" w:themeTint="80"/>
          <w:right w:val="single" w:sz="4" w:space="0" w:color="A3A5AA" w:themeColor="text1" w:themeTint="80"/>
        </w:tcBorders>
      </w:tcPr>
    </w:tblStylePr>
    <w:tblStylePr w:type="band1Horz">
      <w:tblPr/>
      <w:tcPr>
        <w:tcBorders>
          <w:top w:val="single" w:sz="4" w:space="0" w:color="A3A5AA" w:themeColor="text1" w:themeTint="80"/>
          <w:bottom w:val="single" w:sz="4" w:space="0" w:color="A3A5AA"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A3A5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5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A3A5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5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5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5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847E29"/>
    <w:pPr>
      <w:numPr>
        <w:ilvl w:val="1"/>
        <w:numId w:val="13"/>
      </w:numPr>
      <w:spacing w:after="100"/>
    </w:pPr>
    <w:rPr>
      <w:rFonts w:eastAsia="Century Gothic" w:cstheme="minorBidi"/>
      <w:szCs w:val="20"/>
    </w:rPr>
  </w:style>
  <w:style w:type="paragraph" w:styleId="ListBullet3">
    <w:name w:val="List Bullet 3"/>
    <w:basedOn w:val="Normal"/>
    <w:uiPriority w:val="3"/>
    <w:rsid w:val="00847E29"/>
    <w:pPr>
      <w:numPr>
        <w:ilvl w:val="2"/>
        <w:numId w:val="13"/>
      </w:numPr>
      <w:spacing w:after="100"/>
    </w:pPr>
    <w:rPr>
      <w:rFonts w:eastAsia="Century Gothic" w:cstheme="minorBidi"/>
      <w:szCs w:val="20"/>
    </w:rPr>
  </w:style>
  <w:style w:type="paragraph" w:styleId="ListBullet4">
    <w:name w:val="List Bullet 4"/>
    <w:basedOn w:val="Normal"/>
    <w:uiPriority w:val="3"/>
    <w:semiHidden/>
    <w:unhideWhenUsed/>
    <w:rsid w:val="00B664EA"/>
    <w:pPr>
      <w:numPr>
        <w:ilvl w:val="3"/>
        <w:numId w:val="4"/>
      </w:numPr>
      <w:spacing w:after="100"/>
      <w:contextualSpacing/>
    </w:pPr>
    <w:rPr>
      <w:rFonts w:eastAsia="Century Gothic" w:cstheme="minorBidi"/>
      <w:szCs w:val="20"/>
    </w:rPr>
  </w:style>
  <w:style w:type="paragraph" w:styleId="ListBullet5">
    <w:name w:val="List Bullet 5"/>
    <w:basedOn w:val="Normal"/>
    <w:uiPriority w:val="3"/>
    <w:semiHidden/>
    <w:unhideWhenUsed/>
    <w:rsid w:val="00B664EA"/>
    <w:pPr>
      <w:numPr>
        <w:ilvl w:val="4"/>
        <w:numId w:val="5"/>
      </w:numPr>
      <w:spacing w:after="100"/>
      <w:contextualSpacing/>
    </w:pPr>
    <w:rPr>
      <w:rFonts w:eastAsia="Century Gothic" w:cstheme="minorBidi"/>
      <w:szCs w:val="20"/>
    </w:rPr>
  </w:style>
  <w:style w:type="character" w:customStyle="1" w:styleId="Heading1Char">
    <w:name w:val="Heading 1 Char"/>
    <w:basedOn w:val="DefaultParagraphFont"/>
    <w:link w:val="Heading1"/>
    <w:uiPriority w:val="1"/>
    <w:rsid w:val="00643149"/>
    <w:rPr>
      <w:rFonts w:ascii="Century Gothic" w:eastAsiaTheme="minorHAnsi" w:hAnsi="Century Gothic" w:cs="Calibri"/>
      <w:b/>
      <w:bCs/>
      <w:iCs/>
      <w:color w:val="1C5692" w:themeColor="text2"/>
      <w:sz w:val="32"/>
      <w:szCs w:val="28"/>
      <w:lang w:eastAsia="en-US"/>
    </w:rPr>
  </w:style>
  <w:style w:type="paragraph" w:customStyle="1" w:styleId="TableText">
    <w:name w:val="Table Text"/>
    <w:basedOn w:val="Normal"/>
    <w:uiPriority w:val="9"/>
    <w:qFormat/>
    <w:rsid w:val="00847E29"/>
    <w:pPr>
      <w:spacing w:line="240" w:lineRule="atLeast"/>
    </w:pPr>
    <w:rPr>
      <w:rFonts w:eastAsia="Century Gothic"/>
    </w:rPr>
  </w:style>
  <w:style w:type="character" w:styleId="Hyperlink">
    <w:name w:val="Hyperlink"/>
    <w:basedOn w:val="DefaultParagraphFont"/>
    <w:uiPriority w:val="99"/>
    <w:unhideWhenUsed/>
    <w:rsid w:val="009442D8"/>
    <w:rPr>
      <w:color w:val="1C5692" w:themeColor="text2"/>
      <w:u w:val="single"/>
    </w:rPr>
  </w:style>
  <w:style w:type="character" w:customStyle="1"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7F2299"/>
    <w:pPr>
      <w:spacing w:before="20" w:after="20"/>
      <w:ind w:left="0" w:firstLine="0"/>
    </w:pPr>
    <w:rPr>
      <w:b w:val="0"/>
    </w:rPr>
  </w:style>
  <w:style w:type="paragraph" w:styleId="TOC1">
    <w:name w:val="toc 1"/>
    <w:basedOn w:val="Normal"/>
    <w:next w:val="Normal"/>
    <w:uiPriority w:val="39"/>
    <w:rsid w:val="006779AF"/>
    <w:pPr>
      <w:tabs>
        <w:tab w:val="left" w:pos="567"/>
        <w:tab w:val="right" w:leader="dot" w:pos="9638"/>
      </w:tabs>
      <w:spacing w:before="200"/>
      <w:ind w:left="567" w:hanging="567"/>
    </w:pPr>
    <w:rPr>
      <w:b/>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205EB1"/>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C9CAC8"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1C5692" w:themeColor="text2"/>
      <w:szCs w:val="24"/>
    </w:rPr>
  </w:style>
  <w:style w:type="paragraph" w:styleId="TOC3">
    <w:name w:val="toc 3"/>
    <w:basedOn w:val="Normal"/>
    <w:next w:val="Normal"/>
    <w:uiPriority w:val="39"/>
    <w:rsid w:val="007F2299"/>
    <w:pPr>
      <w:tabs>
        <w:tab w:val="left" w:pos="454"/>
        <w:tab w:val="right" w:leader="dot" w:pos="9638"/>
      </w:tabs>
      <w:spacing w:after="100" w:line="240" w:lineRule="atLeast"/>
      <w:contextualSpacing/>
    </w:pPr>
    <w:rPr>
      <w:i/>
      <w:sz w:val="16"/>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4D4F53" w:themeColor="text1"/>
      <w:szCs w:val="24"/>
    </w:rPr>
  </w:style>
  <w:style w:type="character" w:customStyle="1" w:styleId="Heading4Char">
    <w:name w:val="Heading 4 Char"/>
    <w:basedOn w:val="DefaultParagraphFont"/>
    <w:link w:val="Heading4"/>
    <w:uiPriority w:val="1"/>
    <w:rsid w:val="00CE5C62"/>
    <w:rPr>
      <w:rFonts w:ascii="Century Gothic" w:eastAsia="Century Gothic" w:hAnsi="Century Gothic" w:cs="Calibri"/>
      <w:b/>
      <w:iCs/>
      <w:color w:val="000000"/>
      <w:szCs w:val="26"/>
      <w:lang w:eastAsia="en-US"/>
    </w:rPr>
  </w:style>
  <w:style w:type="paragraph" w:styleId="TOC4">
    <w:name w:val="toc 4"/>
    <w:basedOn w:val="Normal"/>
    <w:next w:val="Normal"/>
    <w:uiPriority w:val="39"/>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semiHidden/>
    <w:rsid w:val="00AB6039"/>
    <w:pPr>
      <w:numPr>
        <w:ilvl w:val="1"/>
      </w:numPr>
      <w:spacing w:after="640"/>
    </w:pPr>
    <w:rPr>
      <w:rFonts w:eastAsiaTheme="minorEastAsia" w:cstheme="minorBidi"/>
      <w:b/>
      <w:color w:val="C9CAC8" w:themeColor="background2"/>
      <w:sz w:val="3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C9CAC8" w:themeColor="background2"/>
      <w:sz w:val="32"/>
      <w:szCs w:val="22"/>
    </w:rPr>
  </w:style>
  <w:style w:type="table" w:customStyle="1" w:styleId="DefaultTable">
    <w:name w:val="_Default Table"/>
    <w:basedOn w:val="TableNormal"/>
    <w:uiPriority w:val="99"/>
    <w:rsid w:val="001860A5"/>
    <w:rPr>
      <w:rFonts w:asciiTheme="minorHAnsi" w:hAnsiTheme="minorHAnsi"/>
      <w:color w:val="4D4F53" w:themeColor="text1"/>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113" w:type="dxa"/>
        <w:bottom w:w="113" w:type="dxa"/>
        <w:right w:w="113" w:type="dxa"/>
      </w:tblCellMar>
    </w:tblPr>
    <w:tcPr>
      <w:shd w:val="clear" w:color="auto" w:fill="FFFFFF" w:themeFill="background1"/>
    </w:tcPr>
    <w:tblStylePr w:type="firstRow">
      <w:rPr>
        <w:b w:val="0"/>
        <w:color w:val="C9CAC8" w:themeColor="background2"/>
      </w:rPr>
      <w:tblPr/>
      <w:tcPr>
        <w:tcBorders>
          <w:top w:val="single" w:sz="4" w:space="0" w:color="1C5692" w:themeColor="text2"/>
          <w:left w:val="single" w:sz="4" w:space="0" w:color="1C5692" w:themeColor="text2"/>
          <w:bottom w:val="single" w:sz="4" w:space="0" w:color="1C5692" w:themeColor="text2"/>
          <w:right w:val="single" w:sz="4" w:space="0" w:color="1C5692" w:themeColor="text2"/>
          <w:insideH w:val="single" w:sz="4" w:space="0" w:color="1C5692" w:themeColor="text2"/>
          <w:insideV w:val="single" w:sz="4" w:space="0" w:color="B6B8BB" w:themeColor="text1" w:themeTint="66"/>
        </w:tcBorders>
        <w:shd w:val="clear" w:color="auto" w:fill="1C5692" w:themeFill="text2"/>
      </w:tcPr>
    </w:tblStylePr>
    <w:tblStylePr w:type="lastRow">
      <w:tblPr/>
      <w:tcPr>
        <w:tcBorders>
          <w:top w:val="single" w:sz="12" w:space="0" w:color="1C5692" w:themeColor="text2"/>
          <w:left w:val="nil"/>
          <w:bottom w:val="single" w:sz="12" w:space="0" w:color="1C5692" w:themeColor="text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1C5692" w:themeFill="text2"/>
      </w:tcPr>
    </w:tblStylePr>
    <w:tblStylePr w:type="lastCol">
      <w:rPr>
        <w:color w:val="FFFFFF" w:themeColor="background1"/>
      </w:rPr>
      <w:tblPr/>
      <w:tcPr>
        <w:shd w:val="clear" w:color="auto" w:fill="1C5692" w:themeFill="text2"/>
      </w:tcPr>
    </w:tblStylePr>
    <w:tblStylePr w:type="band1Horz">
      <w:tblPr/>
      <w:tcPr>
        <w:shd w:val="clear" w:color="auto" w:fill="FFFFFF" w:themeFill="background1"/>
      </w:tcPr>
    </w:tblStylePr>
    <w:tblStylePr w:type="band2Horz">
      <w:tblPr/>
      <w:tcPr>
        <w:shd w:val="clear" w:color="auto" w:fill="F3F4F4"/>
      </w:tcPr>
    </w:tblStylePr>
  </w:style>
  <w:style w:type="table" w:customStyle="1" w:styleId="PlainGridColoured">
    <w:name w:val="_Plain Grid Coloured"/>
    <w:basedOn w:val="TableNormal"/>
    <w:uiPriority w:val="99"/>
    <w:rsid w:val="001C03FA"/>
    <w:rPr>
      <w:rFonts w:asciiTheme="minorHAnsi" w:hAnsiTheme="minorHAnsi"/>
    </w:rPr>
    <w:tblPr>
      <w:tblBorders>
        <w:top w:val="single" w:sz="4" w:space="0" w:color="1C5692" w:themeColor="text2"/>
        <w:left w:val="single" w:sz="4" w:space="0" w:color="1C5692" w:themeColor="text2"/>
        <w:bottom w:val="single" w:sz="4" w:space="0" w:color="1C5692" w:themeColor="text2"/>
        <w:right w:val="single" w:sz="4" w:space="0" w:color="1C5692" w:themeColor="text2"/>
        <w:insideH w:val="single" w:sz="4" w:space="0" w:color="1C5692" w:themeColor="text2"/>
        <w:insideV w:val="single" w:sz="4" w:space="0" w:color="1C5692" w:themeColor="text2"/>
      </w:tblBorders>
      <w:tblCellMar>
        <w:top w:w="57" w:type="dxa"/>
        <w:left w:w="57" w:type="dxa"/>
        <w:bottom w:w="57" w:type="dxa"/>
        <w:right w:w="57" w:type="dxa"/>
      </w:tblCellMar>
    </w:tblPr>
  </w:style>
  <w:style w:type="table" w:customStyle="1" w:styleId="PlainGridBlack">
    <w:name w:val="_Plain Grid Black"/>
    <w:basedOn w:val="TableNormal"/>
    <w:uiPriority w:val="99"/>
    <w:rsid w:val="001F6DC1"/>
    <w:rPr>
      <w:rFonts w:asciiTheme="minorHAnsi" w:hAnsiTheme="minorHAnsi"/>
      <w:color w:val="00B0CA"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4D4F53" w:themeColor="text1"/>
    </w:rPr>
    <w:tblPr>
      <w:tblStyleRowBandSize w:val="1"/>
      <w:tblStyleColBandSize w:val="1"/>
      <w:tblBorders>
        <w:insideH w:val="single" w:sz="4" w:space="0" w:color="FFFFFF" w:themeColor="background1"/>
      </w:tblBorders>
    </w:tblPr>
    <w:tcPr>
      <w:shd w:val="clear" w:color="auto" w:fill="DADBDD" w:themeFill="text1" w:themeFillTint="33"/>
    </w:tcPr>
    <w:tblStylePr w:type="firstRow">
      <w:rPr>
        <w:b/>
        <w:bCs/>
      </w:rPr>
      <w:tblPr/>
      <w:tcPr>
        <w:shd w:val="clear" w:color="auto" w:fill="B6B8BB" w:themeFill="text1" w:themeFillTint="66"/>
      </w:tcPr>
    </w:tblStylePr>
    <w:tblStylePr w:type="lastRow">
      <w:rPr>
        <w:b/>
        <w:bCs/>
        <w:color w:val="4D4F53" w:themeColor="text1"/>
      </w:rPr>
      <w:tblPr/>
      <w:tcPr>
        <w:shd w:val="clear" w:color="auto" w:fill="B6B8BB" w:themeFill="text1" w:themeFillTint="66"/>
      </w:tcPr>
    </w:tblStylePr>
    <w:tblStylePr w:type="firstCol">
      <w:rPr>
        <w:color w:val="FFFFFF" w:themeColor="background1"/>
      </w:rPr>
      <w:tblPr/>
      <w:tcPr>
        <w:shd w:val="clear" w:color="auto" w:fill="393B3E" w:themeFill="text1" w:themeFillShade="BF"/>
      </w:tcPr>
    </w:tblStylePr>
    <w:tblStylePr w:type="lastCol">
      <w:rPr>
        <w:color w:val="FFFFFF" w:themeColor="background1"/>
      </w:rPr>
      <w:tblPr/>
      <w:tcPr>
        <w:shd w:val="clear" w:color="auto" w:fill="393B3E" w:themeFill="text1" w:themeFillShade="BF"/>
      </w:tcPr>
    </w:tblStylePr>
    <w:tblStylePr w:type="band1Vert">
      <w:tblPr/>
      <w:tcPr>
        <w:shd w:val="clear" w:color="auto" w:fill="A4A6AB" w:themeFill="text1" w:themeFillTint="7F"/>
      </w:tcPr>
    </w:tblStylePr>
    <w:tblStylePr w:type="band1Horz">
      <w:tblPr/>
      <w:tcPr>
        <w:shd w:val="clear" w:color="auto" w:fill="A4A6AB" w:themeFill="text1" w:themeFillTint="7F"/>
      </w:tcPr>
    </w:tblStylePr>
  </w:style>
  <w:style w:type="table" w:styleId="ColorfulGrid-Accent1">
    <w:name w:val="Colorful Grid Accent 1"/>
    <w:basedOn w:val="TableNormal"/>
    <w:uiPriority w:val="98"/>
    <w:semiHidden/>
    <w:unhideWhenUsed/>
    <w:rsid w:val="001F6DC1"/>
    <w:rPr>
      <w:color w:val="4D4F53" w:themeColor="text1"/>
    </w:rPr>
    <w:tblPr>
      <w:tblStyleRowBandSize w:val="1"/>
      <w:tblStyleColBandSize w:val="1"/>
      <w:tblBorders>
        <w:insideH w:val="single" w:sz="4" w:space="0" w:color="FFFFFF" w:themeColor="background1"/>
      </w:tblBorders>
    </w:tblPr>
    <w:tcPr>
      <w:shd w:val="clear" w:color="auto" w:fill="C1F7FF" w:themeFill="accent1" w:themeFillTint="33"/>
    </w:tcPr>
    <w:tblStylePr w:type="firstRow">
      <w:rPr>
        <w:b/>
        <w:bCs/>
      </w:rPr>
      <w:tblPr/>
      <w:tcPr>
        <w:shd w:val="clear" w:color="auto" w:fill="83EFFF" w:themeFill="accent1" w:themeFillTint="66"/>
      </w:tcPr>
    </w:tblStylePr>
    <w:tblStylePr w:type="lastRow">
      <w:rPr>
        <w:b/>
        <w:bCs/>
        <w:color w:val="4D4F53" w:themeColor="text1"/>
      </w:rPr>
      <w:tblPr/>
      <w:tcPr>
        <w:shd w:val="clear" w:color="auto" w:fill="83EFFF" w:themeFill="accent1" w:themeFillTint="66"/>
      </w:tcPr>
    </w:tblStylePr>
    <w:tblStylePr w:type="firstCol">
      <w:rPr>
        <w:color w:val="FFFFFF" w:themeColor="background1"/>
      </w:rPr>
      <w:tblPr/>
      <w:tcPr>
        <w:shd w:val="clear" w:color="auto" w:fill="008397" w:themeFill="accent1" w:themeFillShade="BF"/>
      </w:tcPr>
    </w:tblStylePr>
    <w:tblStylePr w:type="lastCol">
      <w:rPr>
        <w:color w:val="FFFFFF" w:themeColor="background1"/>
      </w:rPr>
      <w:tblPr/>
      <w:tcPr>
        <w:shd w:val="clear" w:color="auto" w:fill="008397" w:themeFill="accent1" w:themeFillShade="BF"/>
      </w:tc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ColorfulGrid-Accent2">
    <w:name w:val="Colorful Grid Accent 2"/>
    <w:basedOn w:val="TableNormal"/>
    <w:uiPriority w:val="98"/>
    <w:semiHidden/>
    <w:unhideWhenUsed/>
    <w:rsid w:val="001F6DC1"/>
    <w:rPr>
      <w:color w:val="4D4F53" w:themeColor="text1"/>
    </w:rPr>
    <w:tblPr>
      <w:tblStyleRowBandSize w:val="1"/>
      <w:tblStyleColBandSize w:val="1"/>
      <w:tblBorders>
        <w:insideH w:val="single" w:sz="4" w:space="0" w:color="FFFFFF" w:themeColor="background1"/>
      </w:tblBorders>
    </w:tblPr>
    <w:tcPr>
      <w:shd w:val="clear" w:color="auto" w:fill="FDEAD3" w:themeFill="accent2" w:themeFillTint="33"/>
    </w:tcPr>
    <w:tblStylePr w:type="firstRow">
      <w:rPr>
        <w:b/>
        <w:bCs/>
      </w:rPr>
      <w:tblPr/>
      <w:tcPr>
        <w:shd w:val="clear" w:color="auto" w:fill="FCD5A8" w:themeFill="accent2" w:themeFillTint="66"/>
      </w:tcPr>
    </w:tblStylePr>
    <w:tblStylePr w:type="lastRow">
      <w:rPr>
        <w:b/>
        <w:bCs/>
        <w:color w:val="4D4F53" w:themeColor="text1"/>
      </w:rPr>
      <w:tblPr/>
      <w:tcPr>
        <w:shd w:val="clear" w:color="auto" w:fill="FCD5A8" w:themeFill="accent2" w:themeFillTint="66"/>
      </w:tcPr>
    </w:tblStylePr>
    <w:tblStylePr w:type="firstCol">
      <w:rPr>
        <w:color w:val="FFFFFF" w:themeColor="background1"/>
      </w:rPr>
      <w:tblPr/>
      <w:tcPr>
        <w:shd w:val="clear" w:color="auto" w:fill="D07307" w:themeFill="accent2" w:themeFillShade="BF"/>
      </w:tcPr>
    </w:tblStylePr>
    <w:tblStylePr w:type="lastCol">
      <w:rPr>
        <w:color w:val="FFFFFF" w:themeColor="background1"/>
      </w:rPr>
      <w:tblPr/>
      <w:tcPr>
        <w:shd w:val="clear" w:color="auto" w:fill="D07307" w:themeFill="accent2" w:themeFillShade="BF"/>
      </w:tcPr>
    </w:tblStylePr>
    <w:tblStylePr w:type="band1Vert">
      <w:tblPr/>
      <w:tcPr>
        <w:shd w:val="clear" w:color="auto" w:fill="FBCB93" w:themeFill="accent2" w:themeFillTint="7F"/>
      </w:tcPr>
    </w:tblStylePr>
    <w:tblStylePr w:type="band1Horz">
      <w:tblPr/>
      <w:tcPr>
        <w:shd w:val="clear" w:color="auto" w:fill="FBCB93" w:themeFill="accent2" w:themeFillTint="7F"/>
      </w:tcPr>
    </w:tblStylePr>
  </w:style>
  <w:style w:type="table" w:styleId="ColorfulGrid-Accent3">
    <w:name w:val="Colorful Grid Accent 3"/>
    <w:basedOn w:val="TableNormal"/>
    <w:uiPriority w:val="98"/>
    <w:semiHidden/>
    <w:unhideWhenUsed/>
    <w:rsid w:val="001F6DC1"/>
    <w:rPr>
      <w:color w:val="4D4F53" w:themeColor="text1"/>
    </w:rPr>
    <w:tblPr>
      <w:tblStyleRowBandSize w:val="1"/>
      <w:tblStyleColBandSize w:val="1"/>
      <w:tblBorders>
        <w:insideH w:val="single" w:sz="4" w:space="0" w:color="FFFFFF" w:themeColor="background1"/>
      </w:tblBorders>
    </w:tblPr>
    <w:tcPr>
      <w:shd w:val="clear" w:color="auto" w:fill="E8FFBD" w:themeFill="accent3" w:themeFillTint="33"/>
    </w:tcPr>
    <w:tblStylePr w:type="firstRow">
      <w:rPr>
        <w:b/>
        <w:bCs/>
      </w:rPr>
      <w:tblPr/>
      <w:tcPr>
        <w:shd w:val="clear" w:color="auto" w:fill="D2FF7C" w:themeFill="accent3" w:themeFillTint="66"/>
      </w:tcPr>
    </w:tblStylePr>
    <w:tblStylePr w:type="lastRow">
      <w:rPr>
        <w:b/>
        <w:bCs/>
        <w:color w:val="4D4F53" w:themeColor="text1"/>
      </w:rPr>
      <w:tblPr/>
      <w:tcPr>
        <w:shd w:val="clear" w:color="auto" w:fill="D2FF7C" w:themeFill="accent3" w:themeFillTint="66"/>
      </w:tcPr>
    </w:tblStylePr>
    <w:tblStylePr w:type="firstCol">
      <w:rPr>
        <w:color w:val="FFFFFF" w:themeColor="background1"/>
      </w:rPr>
      <w:tblPr/>
      <w:tcPr>
        <w:shd w:val="clear" w:color="auto" w:fill="5B8900" w:themeFill="accent3" w:themeFillShade="BF"/>
      </w:tcPr>
    </w:tblStylePr>
    <w:tblStylePr w:type="lastCol">
      <w:rPr>
        <w:color w:val="FFFFFF" w:themeColor="background1"/>
      </w:rPr>
      <w:tblPr/>
      <w:tcPr>
        <w:shd w:val="clear" w:color="auto" w:fill="5B8900" w:themeFill="accent3" w:themeFillShade="BF"/>
      </w:tcPr>
    </w:tblStylePr>
    <w:tblStylePr w:type="band1Vert">
      <w:tblPr/>
      <w:tcPr>
        <w:shd w:val="clear" w:color="auto" w:fill="C8FF5C" w:themeFill="accent3" w:themeFillTint="7F"/>
      </w:tcPr>
    </w:tblStylePr>
    <w:tblStylePr w:type="band1Horz">
      <w:tblPr/>
      <w:tcPr>
        <w:shd w:val="clear" w:color="auto" w:fill="C8FF5C" w:themeFill="accent3" w:themeFillTint="7F"/>
      </w:tcPr>
    </w:tblStylePr>
  </w:style>
  <w:style w:type="table" w:styleId="ColorfulGrid-Accent4">
    <w:name w:val="Colorful Grid Accent 4"/>
    <w:basedOn w:val="TableNormal"/>
    <w:uiPriority w:val="98"/>
    <w:semiHidden/>
    <w:unhideWhenUsed/>
    <w:rsid w:val="001F6DC1"/>
    <w:rPr>
      <w:color w:val="4D4F53" w:themeColor="text1"/>
    </w:rPr>
    <w:tblPr>
      <w:tblStyleRowBandSize w:val="1"/>
      <w:tblStyleColBandSize w:val="1"/>
      <w:tblBorders>
        <w:insideH w:val="single" w:sz="4" w:space="0" w:color="FFFFFF" w:themeColor="background1"/>
      </w:tblBorders>
    </w:tblPr>
    <w:tcPr>
      <w:shd w:val="clear" w:color="auto" w:fill="F8CDDB" w:themeFill="accent4" w:themeFillTint="33"/>
    </w:tcPr>
    <w:tblStylePr w:type="firstRow">
      <w:rPr>
        <w:b/>
        <w:bCs/>
      </w:rPr>
      <w:tblPr/>
      <w:tcPr>
        <w:shd w:val="clear" w:color="auto" w:fill="F19CB7" w:themeFill="accent4" w:themeFillTint="66"/>
      </w:tcPr>
    </w:tblStylePr>
    <w:tblStylePr w:type="lastRow">
      <w:rPr>
        <w:b/>
        <w:bCs/>
        <w:color w:val="4D4F53" w:themeColor="text1"/>
      </w:rPr>
      <w:tblPr/>
      <w:tcPr>
        <w:shd w:val="clear" w:color="auto" w:fill="F19CB7" w:themeFill="accent4" w:themeFillTint="66"/>
      </w:tcPr>
    </w:tblStylePr>
    <w:tblStylePr w:type="firstCol">
      <w:rPr>
        <w:color w:val="FFFFFF" w:themeColor="background1"/>
      </w:rPr>
      <w:tblPr/>
      <w:tcPr>
        <w:shd w:val="clear" w:color="auto" w:fill="97143E" w:themeFill="accent4" w:themeFillShade="BF"/>
      </w:tcPr>
    </w:tblStylePr>
    <w:tblStylePr w:type="lastCol">
      <w:rPr>
        <w:color w:val="FFFFFF" w:themeColor="background1"/>
      </w:rPr>
      <w:tblPr/>
      <w:tcPr>
        <w:shd w:val="clear" w:color="auto" w:fill="97143E" w:themeFill="accent4" w:themeFillShade="BF"/>
      </w:tcPr>
    </w:tblStylePr>
    <w:tblStylePr w:type="band1Vert">
      <w:tblPr/>
      <w:tcPr>
        <w:shd w:val="clear" w:color="auto" w:fill="EE83A6" w:themeFill="accent4" w:themeFillTint="7F"/>
      </w:tcPr>
    </w:tblStylePr>
    <w:tblStylePr w:type="band1Horz">
      <w:tblPr/>
      <w:tcPr>
        <w:shd w:val="clear" w:color="auto" w:fill="EE83A6" w:themeFill="accent4" w:themeFillTint="7F"/>
      </w:tcPr>
    </w:tblStylePr>
  </w:style>
  <w:style w:type="table" w:styleId="ColorfulGrid-Accent5">
    <w:name w:val="Colorful Grid Accent 5"/>
    <w:basedOn w:val="TableNormal"/>
    <w:uiPriority w:val="98"/>
    <w:semiHidden/>
    <w:unhideWhenUsed/>
    <w:rsid w:val="001F6DC1"/>
    <w:rPr>
      <w:color w:val="4D4F53" w:themeColor="text1"/>
    </w:rPr>
    <w:tblPr>
      <w:tblStyleRowBandSize w:val="1"/>
      <w:tblStyleColBandSize w:val="1"/>
      <w:tblBorders>
        <w:insideH w:val="single" w:sz="4" w:space="0" w:color="FFFFFF" w:themeColor="background1"/>
      </w:tblBorders>
    </w:tblPr>
    <w:tcPr>
      <w:shd w:val="clear" w:color="auto" w:fill="F6C5EF" w:themeFill="accent5" w:themeFillTint="33"/>
    </w:tcPr>
    <w:tblStylePr w:type="firstRow">
      <w:rPr>
        <w:b/>
        <w:bCs/>
      </w:rPr>
      <w:tblPr/>
      <w:tcPr>
        <w:shd w:val="clear" w:color="auto" w:fill="ED8CDF" w:themeFill="accent5" w:themeFillTint="66"/>
      </w:tcPr>
    </w:tblStylePr>
    <w:tblStylePr w:type="lastRow">
      <w:rPr>
        <w:b/>
        <w:bCs/>
        <w:color w:val="4D4F53" w:themeColor="text1"/>
      </w:rPr>
      <w:tblPr/>
      <w:tcPr>
        <w:shd w:val="clear" w:color="auto" w:fill="ED8CDF" w:themeFill="accent5" w:themeFillTint="66"/>
      </w:tcPr>
    </w:tblStylePr>
    <w:tblStylePr w:type="firstCol">
      <w:rPr>
        <w:color w:val="FFFFFF" w:themeColor="background1"/>
      </w:rPr>
      <w:tblPr/>
      <w:tcPr>
        <w:shd w:val="clear" w:color="auto" w:fill="741266" w:themeFill="accent5" w:themeFillShade="BF"/>
      </w:tcPr>
    </w:tblStylePr>
    <w:tblStylePr w:type="lastCol">
      <w:rPr>
        <w:color w:val="FFFFFF" w:themeColor="background1"/>
      </w:rPr>
      <w:tblPr/>
      <w:tcPr>
        <w:shd w:val="clear" w:color="auto" w:fill="741266" w:themeFill="accent5" w:themeFillShade="BF"/>
      </w:tcPr>
    </w:tblStylePr>
    <w:tblStylePr w:type="band1Vert">
      <w:tblPr/>
      <w:tcPr>
        <w:shd w:val="clear" w:color="auto" w:fill="E970D7" w:themeFill="accent5" w:themeFillTint="7F"/>
      </w:tcPr>
    </w:tblStylePr>
    <w:tblStylePr w:type="band1Horz">
      <w:tblPr/>
      <w:tcPr>
        <w:shd w:val="clear" w:color="auto" w:fill="E970D7" w:themeFill="accent5" w:themeFillTint="7F"/>
      </w:tcPr>
    </w:tblStylePr>
  </w:style>
  <w:style w:type="table" w:styleId="ColorfulGrid-Accent6">
    <w:name w:val="Colorful Grid Accent 6"/>
    <w:basedOn w:val="TableNormal"/>
    <w:uiPriority w:val="98"/>
    <w:semiHidden/>
    <w:unhideWhenUsed/>
    <w:rsid w:val="001F6DC1"/>
    <w:rPr>
      <w:color w:val="4D4F53" w:themeColor="text1"/>
    </w:rPr>
    <w:tblPr>
      <w:tblStyleRowBandSize w:val="1"/>
      <w:tblStyleColBandSize w:val="1"/>
      <w:tblBorders>
        <w:insideH w:val="single" w:sz="4" w:space="0" w:color="FFFFFF" w:themeColor="background1"/>
      </w:tblBorders>
    </w:tblPr>
    <w:tcPr>
      <w:shd w:val="clear" w:color="auto" w:fill="F4F4F3" w:themeFill="accent6" w:themeFillTint="33"/>
    </w:tcPr>
    <w:tblStylePr w:type="firstRow">
      <w:rPr>
        <w:b/>
        <w:bCs/>
      </w:rPr>
      <w:tblPr/>
      <w:tcPr>
        <w:shd w:val="clear" w:color="auto" w:fill="E9E9E8" w:themeFill="accent6" w:themeFillTint="66"/>
      </w:tcPr>
    </w:tblStylePr>
    <w:tblStylePr w:type="lastRow">
      <w:rPr>
        <w:b/>
        <w:bCs/>
        <w:color w:val="4D4F53" w:themeColor="text1"/>
      </w:rPr>
      <w:tblPr/>
      <w:tcPr>
        <w:shd w:val="clear" w:color="auto" w:fill="E9E9E8" w:themeFill="accent6" w:themeFillTint="66"/>
      </w:tcPr>
    </w:tblStylePr>
    <w:tblStylePr w:type="firstCol">
      <w:rPr>
        <w:color w:val="FFFFFF" w:themeColor="background1"/>
      </w:rPr>
      <w:tblPr/>
      <w:tcPr>
        <w:shd w:val="clear" w:color="auto" w:fill="969894" w:themeFill="accent6" w:themeFillShade="BF"/>
      </w:tcPr>
    </w:tblStylePr>
    <w:tblStylePr w:type="lastCol">
      <w:rPr>
        <w:color w:val="FFFFFF" w:themeColor="background1"/>
      </w:rPr>
      <w:tblPr/>
      <w:tcPr>
        <w:shd w:val="clear" w:color="auto" w:fill="969894" w:themeFill="accent6" w:themeFillShade="BF"/>
      </w:tcPr>
    </w:tblStylePr>
    <w:tblStylePr w:type="band1Vert">
      <w:tblPr/>
      <w:tcPr>
        <w:shd w:val="clear" w:color="auto" w:fill="E3E4E3" w:themeFill="accent6" w:themeFillTint="7F"/>
      </w:tcPr>
    </w:tblStylePr>
    <w:tblStylePr w:type="band1Horz">
      <w:tblPr/>
      <w:tcPr>
        <w:shd w:val="clear" w:color="auto" w:fill="E3E4E3" w:themeFill="accent6" w:themeFillTint="7F"/>
      </w:tcPr>
    </w:tblStylePr>
  </w:style>
  <w:style w:type="table" w:styleId="ColorfulList">
    <w:name w:val="Colorful List"/>
    <w:basedOn w:val="TableNormal"/>
    <w:uiPriority w:val="98"/>
    <w:semiHidden/>
    <w:unhideWhenUsed/>
    <w:rsid w:val="001F6DC1"/>
    <w:rPr>
      <w:color w:val="4D4F53" w:themeColor="text1"/>
    </w:rPr>
    <w:tblPr>
      <w:tblStyleRowBandSize w:val="1"/>
      <w:tblStyleColBandSize w:val="1"/>
    </w:tblPr>
    <w:tcPr>
      <w:shd w:val="clear" w:color="auto" w:fill="EDEDEE" w:themeFill="text1" w:themeFillTint="19"/>
    </w:tcPr>
    <w:tblStylePr w:type="firstRow">
      <w:rPr>
        <w:b/>
        <w:bCs/>
        <w:color w:val="FFFFFF" w:themeColor="background1"/>
      </w:rPr>
      <w:tblPr/>
      <w:tcPr>
        <w:tcBorders>
          <w:bottom w:val="single" w:sz="12" w:space="0" w:color="FFFFFF" w:themeColor="background1"/>
        </w:tcBorders>
        <w:shd w:val="clear" w:color="auto" w:fill="DF7B07" w:themeFill="accent2" w:themeFillShade="CC"/>
      </w:tcPr>
    </w:tblStylePr>
    <w:tblStylePr w:type="lastRow">
      <w:rPr>
        <w:b/>
        <w:bCs/>
        <w:color w:val="DF7B07" w:themeColor="accent2" w:themeShade="CC"/>
      </w:rPr>
      <w:tblPr/>
      <w:tcPr>
        <w:tcBorders>
          <w:top w:val="single" w:sz="12" w:space="0" w:color="4D4F5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3D5" w:themeFill="text1" w:themeFillTint="3F"/>
      </w:tcPr>
    </w:tblStylePr>
    <w:tblStylePr w:type="band1Horz">
      <w:tblPr/>
      <w:tcPr>
        <w:shd w:val="clear" w:color="auto" w:fill="DADBDD" w:themeFill="text1" w:themeFillTint="33"/>
      </w:tcPr>
    </w:tblStylePr>
  </w:style>
  <w:style w:type="table" w:styleId="ColorfulList-Accent1">
    <w:name w:val="Colorful List Accent 1"/>
    <w:basedOn w:val="TableNormal"/>
    <w:uiPriority w:val="98"/>
    <w:semiHidden/>
    <w:unhideWhenUsed/>
    <w:rsid w:val="001F6DC1"/>
    <w:rPr>
      <w:color w:val="4D4F53" w:themeColor="text1"/>
    </w:rPr>
    <w:tblPr>
      <w:tblStyleRowBandSize w:val="1"/>
      <w:tblStyleColBandSize w:val="1"/>
    </w:tblPr>
    <w:tcPr>
      <w:shd w:val="clear" w:color="auto" w:fill="E0FBFF" w:themeFill="accent1" w:themeFillTint="19"/>
    </w:tcPr>
    <w:tblStylePr w:type="firstRow">
      <w:rPr>
        <w:b/>
        <w:bCs/>
        <w:color w:val="FFFFFF" w:themeColor="background1"/>
      </w:rPr>
      <w:tblPr/>
      <w:tcPr>
        <w:tcBorders>
          <w:bottom w:val="single" w:sz="12" w:space="0" w:color="FFFFFF" w:themeColor="background1"/>
        </w:tcBorders>
        <w:shd w:val="clear" w:color="auto" w:fill="DF7B07" w:themeFill="accent2" w:themeFillShade="CC"/>
      </w:tcPr>
    </w:tblStylePr>
    <w:tblStylePr w:type="lastRow">
      <w:rPr>
        <w:b/>
        <w:bCs/>
        <w:color w:val="DF7B07" w:themeColor="accent2" w:themeShade="CC"/>
      </w:rPr>
      <w:tblPr/>
      <w:tcPr>
        <w:tcBorders>
          <w:top w:val="single" w:sz="12" w:space="0" w:color="4D4F5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5FF" w:themeFill="accent1" w:themeFillTint="3F"/>
      </w:tcPr>
    </w:tblStylePr>
    <w:tblStylePr w:type="band1Horz">
      <w:tblPr/>
      <w:tcPr>
        <w:shd w:val="clear" w:color="auto" w:fill="C1F7FF" w:themeFill="accent1" w:themeFillTint="33"/>
      </w:tcPr>
    </w:tblStylePr>
  </w:style>
  <w:style w:type="table" w:styleId="ColorfulList-Accent2">
    <w:name w:val="Colorful List Accent 2"/>
    <w:basedOn w:val="TableNormal"/>
    <w:uiPriority w:val="98"/>
    <w:semiHidden/>
    <w:unhideWhenUsed/>
    <w:rsid w:val="001F6DC1"/>
    <w:rPr>
      <w:color w:val="4D4F53" w:themeColor="text1"/>
    </w:rPr>
    <w:tblPr>
      <w:tblStyleRowBandSize w:val="1"/>
      <w:tblStyleColBandSize w:val="1"/>
    </w:tblPr>
    <w:tcPr>
      <w:shd w:val="clear" w:color="auto" w:fill="FEF4E9" w:themeFill="accent2" w:themeFillTint="19"/>
    </w:tcPr>
    <w:tblStylePr w:type="firstRow">
      <w:rPr>
        <w:b/>
        <w:bCs/>
        <w:color w:val="FFFFFF" w:themeColor="background1"/>
      </w:rPr>
      <w:tblPr/>
      <w:tcPr>
        <w:tcBorders>
          <w:bottom w:val="single" w:sz="12" w:space="0" w:color="FFFFFF" w:themeColor="background1"/>
        </w:tcBorders>
        <w:shd w:val="clear" w:color="auto" w:fill="DF7B07" w:themeFill="accent2" w:themeFillShade="CC"/>
      </w:tcPr>
    </w:tblStylePr>
    <w:tblStylePr w:type="lastRow">
      <w:rPr>
        <w:b/>
        <w:bCs/>
        <w:color w:val="DF7B07" w:themeColor="accent2" w:themeShade="CC"/>
      </w:rPr>
      <w:tblPr/>
      <w:tcPr>
        <w:tcBorders>
          <w:top w:val="single" w:sz="12" w:space="0" w:color="4D4F5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2" w:themeFillTint="3F"/>
      </w:tcPr>
    </w:tblStylePr>
    <w:tblStylePr w:type="band1Horz">
      <w:tblPr/>
      <w:tcPr>
        <w:shd w:val="clear" w:color="auto" w:fill="FDEAD3" w:themeFill="accent2" w:themeFillTint="33"/>
      </w:tcPr>
    </w:tblStylePr>
  </w:style>
  <w:style w:type="table" w:styleId="ColorfulList-Accent3">
    <w:name w:val="Colorful List Accent 3"/>
    <w:basedOn w:val="TableNormal"/>
    <w:uiPriority w:val="98"/>
    <w:semiHidden/>
    <w:unhideWhenUsed/>
    <w:rsid w:val="001F6DC1"/>
    <w:rPr>
      <w:color w:val="4D4F53" w:themeColor="text1"/>
    </w:rPr>
    <w:tblPr>
      <w:tblStyleRowBandSize w:val="1"/>
      <w:tblStyleColBandSize w:val="1"/>
    </w:tblPr>
    <w:tcPr>
      <w:shd w:val="clear" w:color="auto" w:fill="F4FFDF" w:themeFill="accent3" w:themeFillTint="19"/>
    </w:tcPr>
    <w:tblStylePr w:type="firstRow">
      <w:rPr>
        <w:b/>
        <w:bCs/>
        <w:color w:val="FFFFFF" w:themeColor="background1"/>
      </w:rPr>
      <w:tblPr/>
      <w:tcPr>
        <w:tcBorders>
          <w:bottom w:val="single" w:sz="12" w:space="0" w:color="FFFFFF" w:themeColor="background1"/>
        </w:tcBorders>
        <w:shd w:val="clear" w:color="auto" w:fill="A21542" w:themeFill="accent4" w:themeFillShade="CC"/>
      </w:tcPr>
    </w:tblStylePr>
    <w:tblStylePr w:type="lastRow">
      <w:rPr>
        <w:b/>
        <w:bCs/>
        <w:color w:val="A21542" w:themeColor="accent4" w:themeShade="CC"/>
      </w:rPr>
      <w:tblPr/>
      <w:tcPr>
        <w:tcBorders>
          <w:top w:val="single" w:sz="12" w:space="0" w:color="4D4F5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3" w:themeFillTint="3F"/>
      </w:tcPr>
    </w:tblStylePr>
    <w:tblStylePr w:type="band1Horz">
      <w:tblPr/>
      <w:tcPr>
        <w:shd w:val="clear" w:color="auto" w:fill="E8FFBD" w:themeFill="accent3" w:themeFillTint="33"/>
      </w:tcPr>
    </w:tblStylePr>
  </w:style>
  <w:style w:type="table" w:styleId="ColorfulList-Accent4">
    <w:name w:val="Colorful List Accent 4"/>
    <w:basedOn w:val="TableNormal"/>
    <w:uiPriority w:val="98"/>
    <w:semiHidden/>
    <w:unhideWhenUsed/>
    <w:rsid w:val="001F6DC1"/>
    <w:rPr>
      <w:color w:val="4D4F53" w:themeColor="text1"/>
    </w:rPr>
    <w:tblPr>
      <w:tblStyleRowBandSize w:val="1"/>
      <w:tblStyleColBandSize w:val="1"/>
    </w:tblPr>
    <w:tcPr>
      <w:shd w:val="clear" w:color="auto" w:fill="FBE6ED" w:themeFill="accent4" w:themeFillTint="19"/>
    </w:tcPr>
    <w:tblStylePr w:type="firstRow">
      <w:rPr>
        <w:b/>
        <w:bCs/>
        <w:color w:val="FFFFFF" w:themeColor="background1"/>
      </w:rPr>
      <w:tblPr/>
      <w:tcPr>
        <w:tcBorders>
          <w:bottom w:val="single" w:sz="12" w:space="0" w:color="FFFFFF" w:themeColor="background1"/>
        </w:tcBorders>
        <w:shd w:val="clear" w:color="auto" w:fill="619300" w:themeFill="accent3" w:themeFillShade="CC"/>
      </w:tcPr>
    </w:tblStylePr>
    <w:tblStylePr w:type="lastRow">
      <w:rPr>
        <w:b/>
        <w:bCs/>
        <w:color w:val="619300" w:themeColor="accent3" w:themeShade="CC"/>
      </w:rPr>
      <w:tblPr/>
      <w:tcPr>
        <w:tcBorders>
          <w:top w:val="single" w:sz="12" w:space="0" w:color="4D4F5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1D2" w:themeFill="accent4" w:themeFillTint="3F"/>
      </w:tcPr>
    </w:tblStylePr>
    <w:tblStylePr w:type="band1Horz">
      <w:tblPr/>
      <w:tcPr>
        <w:shd w:val="clear" w:color="auto" w:fill="F8CDDB" w:themeFill="accent4" w:themeFillTint="33"/>
      </w:tcPr>
    </w:tblStylePr>
  </w:style>
  <w:style w:type="table" w:styleId="ColorfulList-Accent5">
    <w:name w:val="Colorful List Accent 5"/>
    <w:basedOn w:val="TableNormal"/>
    <w:uiPriority w:val="98"/>
    <w:semiHidden/>
    <w:unhideWhenUsed/>
    <w:rsid w:val="001F6DC1"/>
    <w:rPr>
      <w:color w:val="4D4F53" w:themeColor="text1"/>
    </w:rPr>
    <w:tblPr>
      <w:tblStyleRowBandSize w:val="1"/>
      <w:tblStyleColBandSize w:val="1"/>
    </w:tblPr>
    <w:tcPr>
      <w:shd w:val="clear" w:color="auto" w:fill="FAE2F7" w:themeFill="accent5" w:themeFillTint="19"/>
    </w:tcPr>
    <w:tblStylePr w:type="firstRow">
      <w:rPr>
        <w:b/>
        <w:bCs/>
        <w:color w:val="FFFFFF" w:themeColor="background1"/>
      </w:rPr>
      <w:tblPr/>
      <w:tcPr>
        <w:tcBorders>
          <w:bottom w:val="single" w:sz="12" w:space="0" w:color="FFFFFF" w:themeColor="background1"/>
        </w:tcBorders>
        <w:shd w:val="clear" w:color="auto" w:fill="A0A29E" w:themeFill="accent6" w:themeFillShade="CC"/>
      </w:tcPr>
    </w:tblStylePr>
    <w:tblStylePr w:type="lastRow">
      <w:rPr>
        <w:b/>
        <w:bCs/>
        <w:color w:val="A0A29E" w:themeColor="accent6" w:themeShade="CC"/>
      </w:rPr>
      <w:tblPr/>
      <w:tcPr>
        <w:tcBorders>
          <w:top w:val="single" w:sz="12" w:space="0" w:color="4D4F5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8EB" w:themeFill="accent5" w:themeFillTint="3F"/>
      </w:tcPr>
    </w:tblStylePr>
    <w:tblStylePr w:type="band1Horz">
      <w:tblPr/>
      <w:tcPr>
        <w:shd w:val="clear" w:color="auto" w:fill="F6C5EF" w:themeFill="accent5" w:themeFillTint="33"/>
      </w:tcPr>
    </w:tblStylePr>
  </w:style>
  <w:style w:type="table" w:styleId="ColorfulList-Accent6">
    <w:name w:val="Colorful List Accent 6"/>
    <w:basedOn w:val="TableNormal"/>
    <w:uiPriority w:val="98"/>
    <w:semiHidden/>
    <w:unhideWhenUsed/>
    <w:rsid w:val="001F6DC1"/>
    <w:rPr>
      <w:color w:val="4D4F53"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B136C" w:themeFill="accent5" w:themeFillShade="CC"/>
      </w:tcPr>
    </w:tblStylePr>
    <w:tblStylePr w:type="lastRow">
      <w:rPr>
        <w:b/>
        <w:bCs/>
        <w:color w:val="7B136C" w:themeColor="accent5" w:themeShade="CC"/>
      </w:rPr>
      <w:tblPr/>
      <w:tcPr>
        <w:tcBorders>
          <w:top w:val="single" w:sz="12" w:space="0" w:color="4D4F5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3" w:themeFill="accent6" w:themeFillTint="33"/>
      </w:tcPr>
    </w:tblStylePr>
  </w:style>
  <w:style w:type="table" w:styleId="ColorfulShading">
    <w:name w:val="Colorful Shading"/>
    <w:basedOn w:val="TableNormal"/>
    <w:uiPriority w:val="98"/>
    <w:semiHidden/>
    <w:unhideWhenUsed/>
    <w:rsid w:val="001F6DC1"/>
    <w:rPr>
      <w:color w:val="4D4F53" w:themeColor="text1"/>
    </w:rPr>
    <w:tblPr>
      <w:tblStyleRowBandSize w:val="1"/>
      <w:tblStyleColBandSize w:val="1"/>
      <w:tblBorders>
        <w:top w:val="single" w:sz="24" w:space="0" w:color="F89828" w:themeColor="accent2"/>
        <w:left w:val="single" w:sz="4" w:space="0" w:color="4D4F53" w:themeColor="text1"/>
        <w:bottom w:val="single" w:sz="4" w:space="0" w:color="4D4F53" w:themeColor="text1"/>
        <w:right w:val="single" w:sz="4" w:space="0" w:color="4D4F53" w:themeColor="text1"/>
        <w:insideH w:val="single" w:sz="4" w:space="0" w:color="FFFFFF" w:themeColor="background1"/>
        <w:insideV w:val="single" w:sz="4" w:space="0" w:color="FFFFFF" w:themeColor="background1"/>
      </w:tblBorders>
    </w:tblPr>
    <w:tcPr>
      <w:shd w:val="clear" w:color="auto" w:fill="EDEDEE" w:themeFill="text1" w:themeFillTint="19"/>
    </w:tcPr>
    <w:tblStylePr w:type="firstRow">
      <w:rPr>
        <w:b/>
        <w:bCs/>
      </w:rPr>
      <w:tblPr/>
      <w:tcPr>
        <w:tcBorders>
          <w:top w:val="nil"/>
          <w:left w:val="nil"/>
          <w:bottom w:val="single" w:sz="24" w:space="0" w:color="F898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F31" w:themeFill="text1" w:themeFillShade="99"/>
      </w:tcPr>
    </w:tblStylePr>
    <w:tblStylePr w:type="firstCol">
      <w:rPr>
        <w:color w:val="FFFFFF" w:themeColor="background1"/>
      </w:rPr>
      <w:tblPr/>
      <w:tcPr>
        <w:tcBorders>
          <w:top w:val="nil"/>
          <w:left w:val="nil"/>
          <w:bottom w:val="nil"/>
          <w:right w:val="nil"/>
          <w:insideH w:val="single" w:sz="4" w:space="0" w:color="2E2F31" w:themeColor="text1" w:themeShade="99"/>
          <w:insideV w:val="nil"/>
        </w:tcBorders>
        <w:shd w:val="clear" w:color="auto" w:fill="2E2F3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93B3E" w:themeFill="text1" w:themeFillShade="BF"/>
      </w:tcPr>
    </w:tblStylePr>
    <w:tblStylePr w:type="band1Vert">
      <w:tblPr/>
      <w:tcPr>
        <w:shd w:val="clear" w:color="auto" w:fill="B6B8BB" w:themeFill="text1" w:themeFillTint="66"/>
      </w:tcPr>
    </w:tblStylePr>
    <w:tblStylePr w:type="band1Horz">
      <w:tblPr/>
      <w:tcPr>
        <w:shd w:val="clear" w:color="auto" w:fill="A4A6AB" w:themeFill="text1" w:themeFillTint="7F"/>
      </w:tcPr>
    </w:tblStylePr>
    <w:tblStylePr w:type="neCell">
      <w:rPr>
        <w:color w:val="4D4F53" w:themeColor="text1"/>
      </w:rPr>
    </w:tblStylePr>
    <w:tblStylePr w:type="nwCell">
      <w:rPr>
        <w:color w:val="4D4F53" w:themeColor="text1"/>
      </w:rPr>
    </w:tblStylePr>
  </w:style>
  <w:style w:type="table" w:styleId="ColorfulShading-Accent1">
    <w:name w:val="Colorful Shading Accent 1"/>
    <w:basedOn w:val="TableNormal"/>
    <w:uiPriority w:val="98"/>
    <w:semiHidden/>
    <w:unhideWhenUsed/>
    <w:rsid w:val="001F6DC1"/>
    <w:rPr>
      <w:color w:val="4D4F53" w:themeColor="text1"/>
    </w:rPr>
    <w:tblPr>
      <w:tblStyleRowBandSize w:val="1"/>
      <w:tblStyleColBandSize w:val="1"/>
      <w:tblBorders>
        <w:top w:val="single" w:sz="24" w:space="0" w:color="F89828" w:themeColor="accent2"/>
        <w:left w:val="single" w:sz="4" w:space="0" w:color="00B0CA" w:themeColor="accent1"/>
        <w:bottom w:val="single" w:sz="4" w:space="0" w:color="00B0CA" w:themeColor="accent1"/>
        <w:right w:val="single" w:sz="4" w:space="0" w:color="00B0CA" w:themeColor="accent1"/>
        <w:insideH w:val="single" w:sz="4" w:space="0" w:color="FFFFFF" w:themeColor="background1"/>
        <w:insideV w:val="single" w:sz="4" w:space="0" w:color="FFFFFF" w:themeColor="background1"/>
      </w:tblBorders>
    </w:tblPr>
    <w:tcPr>
      <w:shd w:val="clear" w:color="auto" w:fill="E0FBFF" w:themeFill="accent1" w:themeFillTint="19"/>
    </w:tcPr>
    <w:tblStylePr w:type="firstRow">
      <w:rPr>
        <w:b/>
        <w:bCs/>
      </w:rPr>
      <w:tblPr/>
      <w:tcPr>
        <w:tcBorders>
          <w:top w:val="nil"/>
          <w:left w:val="nil"/>
          <w:bottom w:val="single" w:sz="24" w:space="0" w:color="F898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79" w:themeFill="accent1" w:themeFillShade="99"/>
      </w:tcPr>
    </w:tblStylePr>
    <w:tblStylePr w:type="firstCol">
      <w:rPr>
        <w:color w:val="FFFFFF" w:themeColor="background1"/>
      </w:rPr>
      <w:tblPr/>
      <w:tcPr>
        <w:tcBorders>
          <w:top w:val="nil"/>
          <w:left w:val="nil"/>
          <w:bottom w:val="nil"/>
          <w:right w:val="nil"/>
          <w:insideH w:val="single" w:sz="4" w:space="0" w:color="006979" w:themeColor="accent1" w:themeShade="99"/>
          <w:insideV w:val="nil"/>
        </w:tcBorders>
        <w:shd w:val="clear" w:color="auto" w:fill="00697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979" w:themeFill="accent1" w:themeFillShade="99"/>
      </w:tcPr>
    </w:tblStylePr>
    <w:tblStylePr w:type="band1Vert">
      <w:tblPr/>
      <w:tcPr>
        <w:shd w:val="clear" w:color="auto" w:fill="83EFFF" w:themeFill="accent1" w:themeFillTint="66"/>
      </w:tcPr>
    </w:tblStylePr>
    <w:tblStylePr w:type="band1Horz">
      <w:tblPr/>
      <w:tcPr>
        <w:shd w:val="clear" w:color="auto" w:fill="65EBFF" w:themeFill="accent1" w:themeFillTint="7F"/>
      </w:tcPr>
    </w:tblStylePr>
    <w:tblStylePr w:type="neCell">
      <w:rPr>
        <w:color w:val="4D4F53" w:themeColor="text1"/>
      </w:rPr>
    </w:tblStylePr>
    <w:tblStylePr w:type="nwCell">
      <w:rPr>
        <w:color w:val="4D4F53" w:themeColor="text1"/>
      </w:rPr>
    </w:tblStylePr>
  </w:style>
  <w:style w:type="table" w:styleId="ColorfulShading-Accent2">
    <w:name w:val="Colorful Shading Accent 2"/>
    <w:basedOn w:val="TableNormal"/>
    <w:uiPriority w:val="98"/>
    <w:semiHidden/>
    <w:unhideWhenUsed/>
    <w:rsid w:val="001F6DC1"/>
    <w:rPr>
      <w:color w:val="4D4F53" w:themeColor="text1"/>
    </w:rPr>
    <w:tblPr>
      <w:tblStyleRowBandSize w:val="1"/>
      <w:tblStyleColBandSize w:val="1"/>
      <w:tblBorders>
        <w:top w:val="single" w:sz="24" w:space="0" w:color="F89828" w:themeColor="accent2"/>
        <w:left w:val="single" w:sz="4" w:space="0" w:color="F89828" w:themeColor="accent2"/>
        <w:bottom w:val="single" w:sz="4" w:space="0" w:color="F89828" w:themeColor="accent2"/>
        <w:right w:val="single" w:sz="4" w:space="0" w:color="F89828" w:themeColor="accent2"/>
        <w:insideH w:val="single" w:sz="4" w:space="0" w:color="FFFFFF" w:themeColor="background1"/>
        <w:insideV w:val="single" w:sz="4" w:space="0" w:color="FFFFFF" w:themeColor="background1"/>
      </w:tblBorders>
    </w:tblPr>
    <w:tcPr>
      <w:shd w:val="clear" w:color="auto" w:fill="FEF4E9" w:themeFill="accent2" w:themeFillTint="19"/>
    </w:tcPr>
    <w:tblStylePr w:type="firstRow">
      <w:rPr>
        <w:b/>
        <w:bCs/>
      </w:rPr>
      <w:tblPr/>
      <w:tcPr>
        <w:tcBorders>
          <w:top w:val="nil"/>
          <w:left w:val="nil"/>
          <w:bottom w:val="single" w:sz="24" w:space="0" w:color="F898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C05" w:themeFill="accent2" w:themeFillShade="99"/>
      </w:tcPr>
    </w:tblStylePr>
    <w:tblStylePr w:type="firstCol">
      <w:rPr>
        <w:color w:val="FFFFFF" w:themeColor="background1"/>
      </w:rPr>
      <w:tblPr/>
      <w:tcPr>
        <w:tcBorders>
          <w:top w:val="nil"/>
          <w:left w:val="nil"/>
          <w:bottom w:val="nil"/>
          <w:right w:val="nil"/>
          <w:insideH w:val="single" w:sz="4" w:space="0" w:color="A75C05" w:themeColor="accent2" w:themeShade="99"/>
          <w:insideV w:val="nil"/>
        </w:tcBorders>
        <w:shd w:val="clear" w:color="auto" w:fill="A75C0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75C05" w:themeFill="accent2" w:themeFillShade="99"/>
      </w:tcPr>
    </w:tblStylePr>
    <w:tblStylePr w:type="band1Vert">
      <w:tblPr/>
      <w:tcPr>
        <w:shd w:val="clear" w:color="auto" w:fill="FCD5A8" w:themeFill="accent2" w:themeFillTint="66"/>
      </w:tcPr>
    </w:tblStylePr>
    <w:tblStylePr w:type="band1Horz">
      <w:tblPr/>
      <w:tcPr>
        <w:shd w:val="clear" w:color="auto" w:fill="FBCB93" w:themeFill="accent2" w:themeFillTint="7F"/>
      </w:tcPr>
    </w:tblStylePr>
    <w:tblStylePr w:type="neCell">
      <w:rPr>
        <w:color w:val="4D4F53" w:themeColor="text1"/>
      </w:rPr>
    </w:tblStylePr>
    <w:tblStylePr w:type="nwCell">
      <w:rPr>
        <w:color w:val="4D4F53" w:themeColor="text1"/>
      </w:rPr>
    </w:tblStylePr>
  </w:style>
  <w:style w:type="table" w:styleId="ColorfulShading-Accent3">
    <w:name w:val="Colorful Shading Accent 3"/>
    <w:basedOn w:val="TableNormal"/>
    <w:uiPriority w:val="98"/>
    <w:semiHidden/>
    <w:unhideWhenUsed/>
    <w:rsid w:val="001F6DC1"/>
    <w:rPr>
      <w:color w:val="4D4F53" w:themeColor="text1"/>
    </w:rPr>
    <w:tblPr>
      <w:tblStyleRowBandSize w:val="1"/>
      <w:tblStyleColBandSize w:val="1"/>
      <w:tblBorders>
        <w:top w:val="single" w:sz="24" w:space="0" w:color="CB1B54" w:themeColor="accent4"/>
        <w:left w:val="single" w:sz="4" w:space="0" w:color="7AB800" w:themeColor="accent3"/>
        <w:bottom w:val="single" w:sz="4" w:space="0" w:color="7AB800" w:themeColor="accent3"/>
        <w:right w:val="single" w:sz="4" w:space="0" w:color="7AB800" w:themeColor="accent3"/>
        <w:insideH w:val="single" w:sz="4" w:space="0" w:color="FFFFFF" w:themeColor="background1"/>
        <w:insideV w:val="single" w:sz="4" w:space="0" w:color="FFFFFF" w:themeColor="background1"/>
      </w:tblBorders>
    </w:tblPr>
    <w:tcPr>
      <w:shd w:val="clear" w:color="auto" w:fill="F4FFDF" w:themeFill="accent3" w:themeFillTint="19"/>
    </w:tcPr>
    <w:tblStylePr w:type="firstRow">
      <w:rPr>
        <w:b/>
        <w:bCs/>
      </w:rPr>
      <w:tblPr/>
      <w:tcPr>
        <w:tcBorders>
          <w:top w:val="nil"/>
          <w:left w:val="nil"/>
          <w:bottom w:val="single" w:sz="24" w:space="0" w:color="CB1B5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6E00" w:themeFill="accent3" w:themeFillShade="99"/>
      </w:tcPr>
    </w:tblStylePr>
    <w:tblStylePr w:type="firstCol">
      <w:rPr>
        <w:color w:val="FFFFFF" w:themeColor="background1"/>
      </w:rPr>
      <w:tblPr/>
      <w:tcPr>
        <w:tcBorders>
          <w:top w:val="nil"/>
          <w:left w:val="nil"/>
          <w:bottom w:val="nil"/>
          <w:right w:val="nil"/>
          <w:insideH w:val="single" w:sz="4" w:space="0" w:color="496E00" w:themeColor="accent3" w:themeShade="99"/>
          <w:insideV w:val="nil"/>
        </w:tcBorders>
        <w:shd w:val="clear" w:color="auto" w:fill="496E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6E00" w:themeFill="accent3" w:themeFillShade="99"/>
      </w:tcPr>
    </w:tblStylePr>
    <w:tblStylePr w:type="band1Vert">
      <w:tblPr/>
      <w:tcPr>
        <w:shd w:val="clear" w:color="auto" w:fill="D2FF7C" w:themeFill="accent3" w:themeFillTint="66"/>
      </w:tcPr>
    </w:tblStylePr>
    <w:tblStylePr w:type="band1Horz">
      <w:tblPr/>
      <w:tcPr>
        <w:shd w:val="clear" w:color="auto" w:fill="C8FF5C" w:themeFill="accent3" w:themeFillTint="7F"/>
      </w:tcPr>
    </w:tblStylePr>
  </w:style>
  <w:style w:type="table" w:styleId="ColorfulShading-Accent4">
    <w:name w:val="Colorful Shading Accent 4"/>
    <w:basedOn w:val="TableNormal"/>
    <w:uiPriority w:val="98"/>
    <w:semiHidden/>
    <w:unhideWhenUsed/>
    <w:rsid w:val="001F6DC1"/>
    <w:rPr>
      <w:color w:val="4D4F53" w:themeColor="text1"/>
    </w:rPr>
    <w:tblPr>
      <w:tblStyleRowBandSize w:val="1"/>
      <w:tblStyleColBandSize w:val="1"/>
      <w:tblBorders>
        <w:top w:val="single" w:sz="24" w:space="0" w:color="7AB800" w:themeColor="accent3"/>
        <w:left w:val="single" w:sz="4" w:space="0" w:color="CB1B54" w:themeColor="accent4"/>
        <w:bottom w:val="single" w:sz="4" w:space="0" w:color="CB1B54" w:themeColor="accent4"/>
        <w:right w:val="single" w:sz="4" w:space="0" w:color="CB1B54" w:themeColor="accent4"/>
        <w:insideH w:val="single" w:sz="4" w:space="0" w:color="FFFFFF" w:themeColor="background1"/>
        <w:insideV w:val="single" w:sz="4" w:space="0" w:color="FFFFFF" w:themeColor="background1"/>
      </w:tblBorders>
    </w:tblPr>
    <w:tcPr>
      <w:shd w:val="clear" w:color="auto" w:fill="FBE6ED" w:themeFill="accent4" w:themeFillTint="19"/>
    </w:tcPr>
    <w:tblStylePr w:type="firstRow">
      <w:rPr>
        <w:b/>
        <w:bCs/>
      </w:rPr>
      <w:tblPr/>
      <w:tcPr>
        <w:tcBorders>
          <w:top w:val="nil"/>
          <w:left w:val="nil"/>
          <w:bottom w:val="single" w:sz="24" w:space="0" w:color="7AB8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1032" w:themeFill="accent4" w:themeFillShade="99"/>
      </w:tcPr>
    </w:tblStylePr>
    <w:tblStylePr w:type="firstCol">
      <w:rPr>
        <w:color w:val="FFFFFF" w:themeColor="background1"/>
      </w:rPr>
      <w:tblPr/>
      <w:tcPr>
        <w:tcBorders>
          <w:top w:val="nil"/>
          <w:left w:val="nil"/>
          <w:bottom w:val="nil"/>
          <w:right w:val="nil"/>
          <w:insideH w:val="single" w:sz="4" w:space="0" w:color="791032" w:themeColor="accent4" w:themeShade="99"/>
          <w:insideV w:val="nil"/>
        </w:tcBorders>
        <w:shd w:val="clear" w:color="auto" w:fill="7910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91032" w:themeFill="accent4" w:themeFillShade="99"/>
      </w:tcPr>
    </w:tblStylePr>
    <w:tblStylePr w:type="band1Vert">
      <w:tblPr/>
      <w:tcPr>
        <w:shd w:val="clear" w:color="auto" w:fill="F19CB7" w:themeFill="accent4" w:themeFillTint="66"/>
      </w:tcPr>
    </w:tblStylePr>
    <w:tblStylePr w:type="band1Horz">
      <w:tblPr/>
      <w:tcPr>
        <w:shd w:val="clear" w:color="auto" w:fill="EE83A6" w:themeFill="accent4" w:themeFillTint="7F"/>
      </w:tcPr>
    </w:tblStylePr>
    <w:tblStylePr w:type="neCell">
      <w:rPr>
        <w:color w:val="4D4F53" w:themeColor="text1"/>
      </w:rPr>
    </w:tblStylePr>
    <w:tblStylePr w:type="nwCell">
      <w:rPr>
        <w:color w:val="4D4F53" w:themeColor="text1"/>
      </w:rPr>
    </w:tblStylePr>
  </w:style>
  <w:style w:type="table" w:styleId="ColorfulShading-Accent5">
    <w:name w:val="Colorful Shading Accent 5"/>
    <w:basedOn w:val="TableNormal"/>
    <w:uiPriority w:val="98"/>
    <w:semiHidden/>
    <w:unhideWhenUsed/>
    <w:rsid w:val="001F6DC1"/>
    <w:rPr>
      <w:color w:val="4D4F53" w:themeColor="text1"/>
    </w:rPr>
    <w:tblPr>
      <w:tblStyleRowBandSize w:val="1"/>
      <w:tblStyleColBandSize w:val="1"/>
      <w:tblBorders>
        <w:top w:val="single" w:sz="24" w:space="0" w:color="C9CAC8" w:themeColor="accent6"/>
        <w:left w:val="single" w:sz="4" w:space="0" w:color="9B1889" w:themeColor="accent5"/>
        <w:bottom w:val="single" w:sz="4" w:space="0" w:color="9B1889" w:themeColor="accent5"/>
        <w:right w:val="single" w:sz="4" w:space="0" w:color="9B1889" w:themeColor="accent5"/>
        <w:insideH w:val="single" w:sz="4" w:space="0" w:color="FFFFFF" w:themeColor="background1"/>
        <w:insideV w:val="single" w:sz="4" w:space="0" w:color="FFFFFF" w:themeColor="background1"/>
      </w:tblBorders>
    </w:tblPr>
    <w:tcPr>
      <w:shd w:val="clear" w:color="auto" w:fill="FAE2F7" w:themeFill="accent5" w:themeFillTint="19"/>
    </w:tcPr>
    <w:tblStylePr w:type="firstRow">
      <w:rPr>
        <w:b/>
        <w:bCs/>
      </w:rPr>
      <w:tblPr/>
      <w:tcPr>
        <w:tcBorders>
          <w:top w:val="nil"/>
          <w:left w:val="nil"/>
          <w:bottom w:val="single" w:sz="24" w:space="0" w:color="C9CA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0E51" w:themeFill="accent5" w:themeFillShade="99"/>
      </w:tcPr>
    </w:tblStylePr>
    <w:tblStylePr w:type="firstCol">
      <w:rPr>
        <w:color w:val="FFFFFF" w:themeColor="background1"/>
      </w:rPr>
      <w:tblPr/>
      <w:tcPr>
        <w:tcBorders>
          <w:top w:val="nil"/>
          <w:left w:val="nil"/>
          <w:bottom w:val="nil"/>
          <w:right w:val="nil"/>
          <w:insideH w:val="single" w:sz="4" w:space="0" w:color="5C0E51" w:themeColor="accent5" w:themeShade="99"/>
          <w:insideV w:val="nil"/>
        </w:tcBorders>
        <w:shd w:val="clear" w:color="auto" w:fill="5C0E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C0E51" w:themeFill="accent5" w:themeFillShade="99"/>
      </w:tcPr>
    </w:tblStylePr>
    <w:tblStylePr w:type="band1Vert">
      <w:tblPr/>
      <w:tcPr>
        <w:shd w:val="clear" w:color="auto" w:fill="ED8CDF" w:themeFill="accent5" w:themeFillTint="66"/>
      </w:tcPr>
    </w:tblStylePr>
    <w:tblStylePr w:type="band1Horz">
      <w:tblPr/>
      <w:tcPr>
        <w:shd w:val="clear" w:color="auto" w:fill="E970D7" w:themeFill="accent5" w:themeFillTint="7F"/>
      </w:tcPr>
    </w:tblStylePr>
    <w:tblStylePr w:type="neCell">
      <w:rPr>
        <w:color w:val="4D4F53" w:themeColor="text1"/>
      </w:rPr>
    </w:tblStylePr>
    <w:tblStylePr w:type="nwCell">
      <w:rPr>
        <w:color w:val="4D4F53" w:themeColor="text1"/>
      </w:rPr>
    </w:tblStylePr>
  </w:style>
  <w:style w:type="table" w:styleId="ColorfulShading-Accent6">
    <w:name w:val="Colorful Shading Accent 6"/>
    <w:basedOn w:val="TableNormal"/>
    <w:uiPriority w:val="98"/>
    <w:semiHidden/>
    <w:unhideWhenUsed/>
    <w:rsid w:val="001F6DC1"/>
    <w:rPr>
      <w:color w:val="4D4F53" w:themeColor="text1"/>
    </w:rPr>
    <w:tblPr>
      <w:tblStyleRowBandSize w:val="1"/>
      <w:tblStyleColBandSize w:val="1"/>
      <w:tblBorders>
        <w:top w:val="single" w:sz="24" w:space="0" w:color="9B1889" w:themeColor="accent5"/>
        <w:left w:val="single" w:sz="4" w:space="0" w:color="C9CAC8" w:themeColor="accent6"/>
        <w:bottom w:val="single" w:sz="4" w:space="0" w:color="C9CAC8" w:themeColor="accent6"/>
        <w:right w:val="single" w:sz="4" w:space="0" w:color="C9CA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B188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A76" w:themeFill="accent6" w:themeFillShade="99"/>
      </w:tcPr>
    </w:tblStylePr>
    <w:tblStylePr w:type="firstCol">
      <w:rPr>
        <w:color w:val="FFFFFF" w:themeColor="background1"/>
      </w:rPr>
      <w:tblPr/>
      <w:tcPr>
        <w:tcBorders>
          <w:top w:val="nil"/>
          <w:left w:val="nil"/>
          <w:bottom w:val="nil"/>
          <w:right w:val="nil"/>
          <w:insideH w:val="single" w:sz="4" w:space="0" w:color="787A76" w:themeColor="accent6" w:themeShade="99"/>
          <w:insideV w:val="nil"/>
        </w:tcBorders>
        <w:shd w:val="clear" w:color="auto" w:fill="787A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A76" w:themeFill="accent6" w:themeFillShade="99"/>
      </w:tcPr>
    </w:tblStylePr>
    <w:tblStylePr w:type="band1Vert">
      <w:tblPr/>
      <w:tcPr>
        <w:shd w:val="clear" w:color="auto" w:fill="E9E9E8" w:themeFill="accent6" w:themeFillTint="66"/>
      </w:tcPr>
    </w:tblStylePr>
    <w:tblStylePr w:type="band1Horz">
      <w:tblPr/>
      <w:tcPr>
        <w:shd w:val="clear" w:color="auto" w:fill="E3E4E3" w:themeFill="accent6" w:themeFillTint="7F"/>
      </w:tcPr>
    </w:tblStylePr>
    <w:tblStylePr w:type="neCell">
      <w:rPr>
        <w:color w:val="4D4F53" w:themeColor="text1"/>
      </w:rPr>
    </w:tblStylePr>
    <w:tblStylePr w:type="nwCell">
      <w:rPr>
        <w:color w:val="4D4F53"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4D4F53" w:themeFill="text1"/>
    </w:tcPr>
    <w:tblStylePr w:type="firstRow">
      <w:rPr>
        <w:b/>
        <w:bCs/>
      </w:rPr>
      <w:tblPr/>
      <w:tcPr>
        <w:tcBorders>
          <w:top w:val="nil"/>
          <w:left w:val="nil"/>
          <w:bottom w:val="single" w:sz="18" w:space="0" w:color="FFFFFF" w:themeColor="background1"/>
          <w:right w:val="nil"/>
          <w:insideH w:val="nil"/>
          <w:insideV w:val="nil"/>
        </w:tcBorders>
        <w:shd w:val="clear" w:color="auto" w:fill="4D4F53" w:themeFill="text1"/>
      </w:tcPr>
    </w:tblStylePr>
    <w:tblStylePr w:type="lastRow">
      <w:tblPr/>
      <w:tcPr>
        <w:tcBorders>
          <w:top w:val="single" w:sz="18" w:space="0" w:color="FFFFFF" w:themeColor="background1"/>
          <w:left w:val="nil"/>
          <w:bottom w:val="nil"/>
          <w:right w:val="nil"/>
          <w:insideH w:val="nil"/>
          <w:insideV w:val="nil"/>
        </w:tcBorders>
        <w:shd w:val="clear" w:color="auto" w:fill="26272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93B3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93B3E" w:themeFill="text1" w:themeFillShade="BF"/>
      </w:tcPr>
    </w:tblStylePr>
    <w:tblStylePr w:type="band1Vert">
      <w:tblPr/>
      <w:tcPr>
        <w:tcBorders>
          <w:top w:val="nil"/>
          <w:left w:val="nil"/>
          <w:bottom w:val="nil"/>
          <w:right w:val="nil"/>
          <w:insideH w:val="nil"/>
          <w:insideV w:val="nil"/>
        </w:tcBorders>
        <w:shd w:val="clear" w:color="auto" w:fill="393B3E" w:themeFill="text1" w:themeFillShade="BF"/>
      </w:tcPr>
    </w:tblStylePr>
    <w:tblStylePr w:type="band1Horz">
      <w:tblPr/>
      <w:tcPr>
        <w:tcBorders>
          <w:top w:val="nil"/>
          <w:left w:val="nil"/>
          <w:bottom w:val="nil"/>
          <w:right w:val="nil"/>
          <w:insideH w:val="nil"/>
          <w:insideV w:val="nil"/>
        </w:tcBorders>
        <w:shd w:val="clear" w:color="auto" w:fill="393B3E"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00B0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D4F53" w:themeFill="text1"/>
      </w:tcPr>
    </w:tblStylePr>
    <w:tblStylePr w:type="lastRow">
      <w:tblPr/>
      <w:tcPr>
        <w:tcBorders>
          <w:top w:val="single" w:sz="18" w:space="0" w:color="FFFFFF" w:themeColor="background1"/>
          <w:left w:val="nil"/>
          <w:bottom w:val="nil"/>
          <w:right w:val="nil"/>
          <w:insideH w:val="nil"/>
          <w:insideV w:val="nil"/>
        </w:tcBorders>
        <w:shd w:val="clear" w:color="auto" w:fill="00576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9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97" w:themeFill="accent1" w:themeFillShade="BF"/>
      </w:tcPr>
    </w:tblStylePr>
    <w:tblStylePr w:type="band1Vert">
      <w:tblPr/>
      <w:tcPr>
        <w:tcBorders>
          <w:top w:val="nil"/>
          <w:left w:val="nil"/>
          <w:bottom w:val="nil"/>
          <w:right w:val="nil"/>
          <w:insideH w:val="nil"/>
          <w:insideV w:val="nil"/>
        </w:tcBorders>
        <w:shd w:val="clear" w:color="auto" w:fill="008397" w:themeFill="accent1" w:themeFillShade="BF"/>
      </w:tcPr>
    </w:tblStylePr>
    <w:tblStylePr w:type="band1Horz">
      <w:tblPr/>
      <w:tcPr>
        <w:tcBorders>
          <w:top w:val="nil"/>
          <w:left w:val="nil"/>
          <w:bottom w:val="nil"/>
          <w:right w:val="nil"/>
          <w:insideH w:val="nil"/>
          <w:insideV w:val="nil"/>
        </w:tcBorders>
        <w:shd w:val="clear" w:color="auto" w:fill="00839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F8982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D4F53" w:themeFill="text1"/>
      </w:tcPr>
    </w:tblStylePr>
    <w:tblStylePr w:type="lastRow">
      <w:tblPr/>
      <w:tcPr>
        <w:tcBorders>
          <w:top w:val="single" w:sz="18" w:space="0" w:color="FFFFFF" w:themeColor="background1"/>
          <w:left w:val="nil"/>
          <w:bottom w:val="nil"/>
          <w:right w:val="nil"/>
          <w:insideH w:val="nil"/>
          <w:insideV w:val="nil"/>
        </w:tcBorders>
        <w:shd w:val="clear" w:color="auto" w:fill="8A4C0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0730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07307" w:themeFill="accent2" w:themeFillShade="BF"/>
      </w:tcPr>
    </w:tblStylePr>
    <w:tblStylePr w:type="band1Vert">
      <w:tblPr/>
      <w:tcPr>
        <w:tcBorders>
          <w:top w:val="nil"/>
          <w:left w:val="nil"/>
          <w:bottom w:val="nil"/>
          <w:right w:val="nil"/>
          <w:insideH w:val="nil"/>
          <w:insideV w:val="nil"/>
        </w:tcBorders>
        <w:shd w:val="clear" w:color="auto" w:fill="D07307" w:themeFill="accent2" w:themeFillShade="BF"/>
      </w:tcPr>
    </w:tblStylePr>
    <w:tblStylePr w:type="band1Horz">
      <w:tblPr/>
      <w:tcPr>
        <w:tcBorders>
          <w:top w:val="nil"/>
          <w:left w:val="nil"/>
          <w:bottom w:val="nil"/>
          <w:right w:val="nil"/>
          <w:insideH w:val="nil"/>
          <w:insideV w:val="nil"/>
        </w:tcBorders>
        <w:shd w:val="clear" w:color="auto" w:fill="D0730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7AB8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D4F53" w:themeFill="text1"/>
      </w:tcPr>
    </w:tblStylePr>
    <w:tblStylePr w:type="lastRow">
      <w:tblPr/>
      <w:tcPr>
        <w:tcBorders>
          <w:top w:val="single" w:sz="18" w:space="0" w:color="FFFFFF" w:themeColor="background1"/>
          <w:left w:val="nil"/>
          <w:bottom w:val="nil"/>
          <w:right w:val="nil"/>
          <w:insideH w:val="nil"/>
          <w:insideV w:val="nil"/>
        </w:tcBorders>
        <w:shd w:val="clear" w:color="auto" w:fill="3C5B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89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8900" w:themeFill="accent3" w:themeFillShade="BF"/>
      </w:tcPr>
    </w:tblStylePr>
    <w:tblStylePr w:type="band1Vert">
      <w:tblPr/>
      <w:tcPr>
        <w:tcBorders>
          <w:top w:val="nil"/>
          <w:left w:val="nil"/>
          <w:bottom w:val="nil"/>
          <w:right w:val="nil"/>
          <w:insideH w:val="nil"/>
          <w:insideV w:val="nil"/>
        </w:tcBorders>
        <w:shd w:val="clear" w:color="auto" w:fill="5B8900" w:themeFill="accent3" w:themeFillShade="BF"/>
      </w:tcPr>
    </w:tblStylePr>
    <w:tblStylePr w:type="band1Horz">
      <w:tblPr/>
      <w:tcPr>
        <w:tcBorders>
          <w:top w:val="nil"/>
          <w:left w:val="nil"/>
          <w:bottom w:val="nil"/>
          <w:right w:val="nil"/>
          <w:insideH w:val="nil"/>
          <w:insideV w:val="nil"/>
        </w:tcBorders>
        <w:shd w:val="clear" w:color="auto" w:fill="5B8900"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CB1B5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D4F53" w:themeFill="text1"/>
      </w:tcPr>
    </w:tblStylePr>
    <w:tblStylePr w:type="lastRow">
      <w:tblPr/>
      <w:tcPr>
        <w:tcBorders>
          <w:top w:val="single" w:sz="18" w:space="0" w:color="FFFFFF" w:themeColor="background1"/>
          <w:left w:val="nil"/>
          <w:bottom w:val="nil"/>
          <w:right w:val="nil"/>
          <w:insideH w:val="nil"/>
          <w:insideV w:val="nil"/>
        </w:tcBorders>
        <w:shd w:val="clear" w:color="auto" w:fill="640D2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7143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7143E" w:themeFill="accent4" w:themeFillShade="BF"/>
      </w:tcPr>
    </w:tblStylePr>
    <w:tblStylePr w:type="band1Vert">
      <w:tblPr/>
      <w:tcPr>
        <w:tcBorders>
          <w:top w:val="nil"/>
          <w:left w:val="nil"/>
          <w:bottom w:val="nil"/>
          <w:right w:val="nil"/>
          <w:insideH w:val="nil"/>
          <w:insideV w:val="nil"/>
        </w:tcBorders>
        <w:shd w:val="clear" w:color="auto" w:fill="97143E" w:themeFill="accent4" w:themeFillShade="BF"/>
      </w:tcPr>
    </w:tblStylePr>
    <w:tblStylePr w:type="band1Horz">
      <w:tblPr/>
      <w:tcPr>
        <w:tcBorders>
          <w:top w:val="nil"/>
          <w:left w:val="nil"/>
          <w:bottom w:val="nil"/>
          <w:right w:val="nil"/>
          <w:insideH w:val="nil"/>
          <w:insideV w:val="nil"/>
        </w:tcBorders>
        <w:shd w:val="clear" w:color="auto" w:fill="97143E"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9B188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D4F53" w:themeFill="text1"/>
      </w:tcPr>
    </w:tblStylePr>
    <w:tblStylePr w:type="lastRow">
      <w:tblPr/>
      <w:tcPr>
        <w:tcBorders>
          <w:top w:val="single" w:sz="18" w:space="0" w:color="FFFFFF" w:themeColor="background1"/>
          <w:left w:val="nil"/>
          <w:bottom w:val="nil"/>
          <w:right w:val="nil"/>
          <w:insideH w:val="nil"/>
          <w:insideV w:val="nil"/>
        </w:tcBorders>
        <w:shd w:val="clear" w:color="auto" w:fill="4D0C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126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1266" w:themeFill="accent5" w:themeFillShade="BF"/>
      </w:tcPr>
    </w:tblStylePr>
    <w:tblStylePr w:type="band1Vert">
      <w:tblPr/>
      <w:tcPr>
        <w:tcBorders>
          <w:top w:val="nil"/>
          <w:left w:val="nil"/>
          <w:bottom w:val="nil"/>
          <w:right w:val="nil"/>
          <w:insideH w:val="nil"/>
          <w:insideV w:val="nil"/>
        </w:tcBorders>
        <w:shd w:val="clear" w:color="auto" w:fill="741266" w:themeFill="accent5" w:themeFillShade="BF"/>
      </w:tcPr>
    </w:tblStylePr>
    <w:tblStylePr w:type="band1Horz">
      <w:tblPr/>
      <w:tcPr>
        <w:tcBorders>
          <w:top w:val="nil"/>
          <w:left w:val="nil"/>
          <w:bottom w:val="nil"/>
          <w:right w:val="nil"/>
          <w:insideH w:val="nil"/>
          <w:insideV w:val="nil"/>
        </w:tcBorders>
        <w:shd w:val="clear" w:color="auto" w:fill="741266"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C9CA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D4F53" w:themeFill="text1"/>
      </w:tcPr>
    </w:tblStylePr>
    <w:tblStylePr w:type="lastRow">
      <w:tblPr/>
      <w:tcPr>
        <w:tcBorders>
          <w:top w:val="single" w:sz="18" w:space="0" w:color="FFFFFF" w:themeColor="background1"/>
          <w:left w:val="nil"/>
          <w:bottom w:val="nil"/>
          <w:right w:val="nil"/>
          <w:insideH w:val="nil"/>
          <w:insideV w:val="nil"/>
        </w:tcBorders>
        <w:shd w:val="clear" w:color="auto" w:fill="6365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8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894" w:themeFill="accent6" w:themeFillShade="BF"/>
      </w:tcPr>
    </w:tblStylePr>
    <w:tblStylePr w:type="band1Vert">
      <w:tblPr/>
      <w:tcPr>
        <w:tcBorders>
          <w:top w:val="nil"/>
          <w:left w:val="nil"/>
          <w:bottom w:val="nil"/>
          <w:right w:val="nil"/>
          <w:insideH w:val="nil"/>
          <w:insideV w:val="nil"/>
        </w:tcBorders>
        <w:shd w:val="clear" w:color="auto" w:fill="969894" w:themeFill="accent6" w:themeFillShade="BF"/>
      </w:tcPr>
    </w:tblStylePr>
    <w:tblStylePr w:type="band1Horz">
      <w:tblPr/>
      <w:tcPr>
        <w:tcBorders>
          <w:top w:val="nil"/>
          <w:left w:val="nil"/>
          <w:bottom w:val="nil"/>
          <w:right w:val="nil"/>
          <w:insideH w:val="nil"/>
          <w:insideV w:val="nil"/>
        </w:tcBorders>
        <w:shd w:val="clear" w:color="auto" w:fill="969894"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4D4F53" w:themeColor="text1"/>
        <w:left w:val="single" w:sz="8" w:space="0" w:color="4D4F53" w:themeColor="text1"/>
        <w:bottom w:val="single" w:sz="8" w:space="0" w:color="4D4F53" w:themeColor="text1"/>
        <w:right w:val="single" w:sz="8" w:space="0" w:color="4D4F53" w:themeColor="text1"/>
        <w:insideH w:val="single" w:sz="8" w:space="0" w:color="4D4F53" w:themeColor="text1"/>
        <w:insideV w:val="single" w:sz="8" w:space="0" w:color="4D4F5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F53" w:themeColor="text1"/>
          <w:left w:val="single" w:sz="8" w:space="0" w:color="4D4F53" w:themeColor="text1"/>
          <w:bottom w:val="single" w:sz="18" w:space="0" w:color="4D4F53" w:themeColor="text1"/>
          <w:right w:val="single" w:sz="8" w:space="0" w:color="4D4F53" w:themeColor="text1"/>
          <w:insideH w:val="nil"/>
          <w:insideV w:val="single" w:sz="8" w:space="0" w:color="4D4F5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F53" w:themeColor="text1"/>
          <w:left w:val="single" w:sz="8" w:space="0" w:color="4D4F53" w:themeColor="text1"/>
          <w:bottom w:val="single" w:sz="8" w:space="0" w:color="4D4F53" w:themeColor="text1"/>
          <w:right w:val="single" w:sz="8" w:space="0" w:color="4D4F53" w:themeColor="text1"/>
          <w:insideH w:val="nil"/>
          <w:insideV w:val="single" w:sz="8" w:space="0" w:color="4D4F5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F53" w:themeColor="text1"/>
          <w:left w:val="single" w:sz="8" w:space="0" w:color="4D4F53" w:themeColor="text1"/>
          <w:bottom w:val="single" w:sz="8" w:space="0" w:color="4D4F53" w:themeColor="text1"/>
          <w:right w:val="single" w:sz="8" w:space="0" w:color="4D4F53" w:themeColor="text1"/>
        </w:tcBorders>
      </w:tcPr>
    </w:tblStylePr>
    <w:tblStylePr w:type="band1Vert">
      <w:tblPr/>
      <w:tcPr>
        <w:tcBorders>
          <w:top w:val="single" w:sz="8" w:space="0" w:color="4D4F53" w:themeColor="text1"/>
          <w:left w:val="single" w:sz="8" w:space="0" w:color="4D4F53" w:themeColor="text1"/>
          <w:bottom w:val="single" w:sz="8" w:space="0" w:color="4D4F53" w:themeColor="text1"/>
          <w:right w:val="single" w:sz="8" w:space="0" w:color="4D4F53" w:themeColor="text1"/>
        </w:tcBorders>
        <w:shd w:val="clear" w:color="auto" w:fill="D2D3D5" w:themeFill="text1" w:themeFillTint="3F"/>
      </w:tcPr>
    </w:tblStylePr>
    <w:tblStylePr w:type="band1Horz">
      <w:tblPr/>
      <w:tcPr>
        <w:tcBorders>
          <w:top w:val="single" w:sz="8" w:space="0" w:color="4D4F53" w:themeColor="text1"/>
          <w:left w:val="single" w:sz="8" w:space="0" w:color="4D4F53" w:themeColor="text1"/>
          <w:bottom w:val="single" w:sz="8" w:space="0" w:color="4D4F53" w:themeColor="text1"/>
          <w:right w:val="single" w:sz="8" w:space="0" w:color="4D4F53" w:themeColor="text1"/>
          <w:insideV w:val="single" w:sz="8" w:space="0" w:color="4D4F53" w:themeColor="text1"/>
        </w:tcBorders>
        <w:shd w:val="clear" w:color="auto" w:fill="D2D3D5" w:themeFill="text1" w:themeFillTint="3F"/>
      </w:tcPr>
    </w:tblStylePr>
    <w:tblStylePr w:type="band2Horz">
      <w:tblPr/>
      <w:tcPr>
        <w:tcBorders>
          <w:top w:val="single" w:sz="8" w:space="0" w:color="4D4F53" w:themeColor="text1"/>
          <w:left w:val="single" w:sz="8" w:space="0" w:color="4D4F53" w:themeColor="text1"/>
          <w:bottom w:val="single" w:sz="8" w:space="0" w:color="4D4F53" w:themeColor="text1"/>
          <w:right w:val="single" w:sz="8" w:space="0" w:color="4D4F53" w:themeColor="text1"/>
          <w:insideV w:val="single" w:sz="8" w:space="0" w:color="4D4F53"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18" w:space="0" w:color="00B0CA" w:themeColor="accent1"/>
          <w:right w:val="single" w:sz="8" w:space="0" w:color="00B0CA" w:themeColor="accent1"/>
          <w:insideH w:val="nil"/>
          <w:insideV w:val="single" w:sz="8" w:space="0" w:color="00B0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insideH w:val="nil"/>
          <w:insideV w:val="single" w:sz="8" w:space="0" w:color="00B0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shd w:val="clear" w:color="auto" w:fill="B2F5FF" w:themeFill="accent1" w:themeFillTint="3F"/>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shd w:val="clear" w:color="auto" w:fill="B2F5FF" w:themeFill="accent1" w:themeFillTint="3F"/>
      </w:tcPr>
    </w:tblStylePr>
    <w:tblStylePr w:type="band2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F89828" w:themeColor="accent2"/>
        <w:left w:val="single" w:sz="8" w:space="0" w:color="F89828" w:themeColor="accent2"/>
        <w:bottom w:val="single" w:sz="8" w:space="0" w:color="F89828" w:themeColor="accent2"/>
        <w:right w:val="single" w:sz="8" w:space="0" w:color="F89828" w:themeColor="accent2"/>
        <w:insideH w:val="single" w:sz="8" w:space="0" w:color="F89828" w:themeColor="accent2"/>
        <w:insideV w:val="single" w:sz="8" w:space="0" w:color="F8982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828" w:themeColor="accent2"/>
          <w:left w:val="single" w:sz="8" w:space="0" w:color="F89828" w:themeColor="accent2"/>
          <w:bottom w:val="single" w:sz="18" w:space="0" w:color="F89828" w:themeColor="accent2"/>
          <w:right w:val="single" w:sz="8" w:space="0" w:color="F89828" w:themeColor="accent2"/>
          <w:insideH w:val="nil"/>
          <w:insideV w:val="single" w:sz="8" w:space="0" w:color="F8982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828" w:themeColor="accent2"/>
          <w:left w:val="single" w:sz="8" w:space="0" w:color="F89828" w:themeColor="accent2"/>
          <w:bottom w:val="single" w:sz="8" w:space="0" w:color="F89828" w:themeColor="accent2"/>
          <w:right w:val="single" w:sz="8" w:space="0" w:color="F89828" w:themeColor="accent2"/>
          <w:insideH w:val="nil"/>
          <w:insideV w:val="single" w:sz="8" w:space="0" w:color="F8982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828" w:themeColor="accent2"/>
          <w:left w:val="single" w:sz="8" w:space="0" w:color="F89828" w:themeColor="accent2"/>
          <w:bottom w:val="single" w:sz="8" w:space="0" w:color="F89828" w:themeColor="accent2"/>
          <w:right w:val="single" w:sz="8" w:space="0" w:color="F89828" w:themeColor="accent2"/>
        </w:tcBorders>
      </w:tcPr>
    </w:tblStylePr>
    <w:tblStylePr w:type="band1Vert">
      <w:tblPr/>
      <w:tcPr>
        <w:tcBorders>
          <w:top w:val="single" w:sz="8" w:space="0" w:color="F89828" w:themeColor="accent2"/>
          <w:left w:val="single" w:sz="8" w:space="0" w:color="F89828" w:themeColor="accent2"/>
          <w:bottom w:val="single" w:sz="8" w:space="0" w:color="F89828" w:themeColor="accent2"/>
          <w:right w:val="single" w:sz="8" w:space="0" w:color="F89828" w:themeColor="accent2"/>
        </w:tcBorders>
        <w:shd w:val="clear" w:color="auto" w:fill="FDE5C9" w:themeFill="accent2" w:themeFillTint="3F"/>
      </w:tcPr>
    </w:tblStylePr>
    <w:tblStylePr w:type="band1Horz">
      <w:tblPr/>
      <w:tcPr>
        <w:tcBorders>
          <w:top w:val="single" w:sz="8" w:space="0" w:color="F89828" w:themeColor="accent2"/>
          <w:left w:val="single" w:sz="8" w:space="0" w:color="F89828" w:themeColor="accent2"/>
          <w:bottom w:val="single" w:sz="8" w:space="0" w:color="F89828" w:themeColor="accent2"/>
          <w:right w:val="single" w:sz="8" w:space="0" w:color="F89828" w:themeColor="accent2"/>
          <w:insideV w:val="single" w:sz="8" w:space="0" w:color="F89828" w:themeColor="accent2"/>
        </w:tcBorders>
        <w:shd w:val="clear" w:color="auto" w:fill="FDE5C9" w:themeFill="accent2" w:themeFillTint="3F"/>
      </w:tcPr>
    </w:tblStylePr>
    <w:tblStylePr w:type="band2Horz">
      <w:tblPr/>
      <w:tcPr>
        <w:tcBorders>
          <w:top w:val="single" w:sz="8" w:space="0" w:color="F89828" w:themeColor="accent2"/>
          <w:left w:val="single" w:sz="8" w:space="0" w:color="F89828" w:themeColor="accent2"/>
          <w:bottom w:val="single" w:sz="8" w:space="0" w:color="F89828" w:themeColor="accent2"/>
          <w:right w:val="single" w:sz="8" w:space="0" w:color="F89828" w:themeColor="accent2"/>
          <w:insideV w:val="single" w:sz="8" w:space="0" w:color="F89828"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insideH w:val="single" w:sz="8" w:space="0" w:color="7AB800" w:themeColor="accent3"/>
        <w:insideV w:val="single" w:sz="8" w:space="0" w:color="7AB8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B800" w:themeColor="accent3"/>
          <w:left w:val="single" w:sz="8" w:space="0" w:color="7AB800" w:themeColor="accent3"/>
          <w:bottom w:val="single" w:sz="18" w:space="0" w:color="7AB800" w:themeColor="accent3"/>
          <w:right w:val="single" w:sz="8" w:space="0" w:color="7AB800" w:themeColor="accent3"/>
          <w:insideH w:val="nil"/>
          <w:insideV w:val="single" w:sz="8" w:space="0" w:color="7AB8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B800" w:themeColor="accent3"/>
          <w:left w:val="single" w:sz="8" w:space="0" w:color="7AB800" w:themeColor="accent3"/>
          <w:bottom w:val="single" w:sz="8" w:space="0" w:color="7AB800" w:themeColor="accent3"/>
          <w:right w:val="single" w:sz="8" w:space="0" w:color="7AB800" w:themeColor="accent3"/>
          <w:insideH w:val="nil"/>
          <w:insideV w:val="single" w:sz="8" w:space="0" w:color="7AB8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tcPr>
    </w:tblStylePr>
    <w:tblStylePr w:type="band1Vert">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shd w:val="clear" w:color="auto" w:fill="E3FFAE" w:themeFill="accent3" w:themeFillTint="3F"/>
      </w:tcPr>
    </w:tblStylePr>
    <w:tblStylePr w:type="band1Horz">
      <w:tblPr/>
      <w:tcPr>
        <w:tcBorders>
          <w:top w:val="single" w:sz="8" w:space="0" w:color="7AB800" w:themeColor="accent3"/>
          <w:left w:val="single" w:sz="8" w:space="0" w:color="7AB800" w:themeColor="accent3"/>
          <w:bottom w:val="single" w:sz="8" w:space="0" w:color="7AB800" w:themeColor="accent3"/>
          <w:right w:val="single" w:sz="8" w:space="0" w:color="7AB800" w:themeColor="accent3"/>
          <w:insideV w:val="single" w:sz="8" w:space="0" w:color="7AB800" w:themeColor="accent3"/>
        </w:tcBorders>
        <w:shd w:val="clear" w:color="auto" w:fill="E3FFAE" w:themeFill="accent3" w:themeFillTint="3F"/>
      </w:tcPr>
    </w:tblStylePr>
    <w:tblStylePr w:type="band2Horz">
      <w:tblPr/>
      <w:tcPr>
        <w:tcBorders>
          <w:top w:val="single" w:sz="8" w:space="0" w:color="7AB800" w:themeColor="accent3"/>
          <w:left w:val="single" w:sz="8" w:space="0" w:color="7AB800" w:themeColor="accent3"/>
          <w:bottom w:val="single" w:sz="8" w:space="0" w:color="7AB800" w:themeColor="accent3"/>
          <w:right w:val="single" w:sz="8" w:space="0" w:color="7AB800" w:themeColor="accent3"/>
          <w:insideV w:val="single" w:sz="8" w:space="0" w:color="7AB800"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CB1B54" w:themeColor="accent4"/>
        <w:left w:val="single" w:sz="8" w:space="0" w:color="CB1B54" w:themeColor="accent4"/>
        <w:bottom w:val="single" w:sz="8" w:space="0" w:color="CB1B54" w:themeColor="accent4"/>
        <w:right w:val="single" w:sz="8" w:space="0" w:color="CB1B54" w:themeColor="accent4"/>
        <w:insideH w:val="single" w:sz="8" w:space="0" w:color="CB1B54" w:themeColor="accent4"/>
        <w:insideV w:val="single" w:sz="8" w:space="0" w:color="CB1B5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1B54" w:themeColor="accent4"/>
          <w:left w:val="single" w:sz="8" w:space="0" w:color="CB1B54" w:themeColor="accent4"/>
          <w:bottom w:val="single" w:sz="18" w:space="0" w:color="CB1B54" w:themeColor="accent4"/>
          <w:right w:val="single" w:sz="8" w:space="0" w:color="CB1B54" w:themeColor="accent4"/>
          <w:insideH w:val="nil"/>
          <w:insideV w:val="single" w:sz="8" w:space="0" w:color="CB1B5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1B54" w:themeColor="accent4"/>
          <w:left w:val="single" w:sz="8" w:space="0" w:color="CB1B54" w:themeColor="accent4"/>
          <w:bottom w:val="single" w:sz="8" w:space="0" w:color="CB1B54" w:themeColor="accent4"/>
          <w:right w:val="single" w:sz="8" w:space="0" w:color="CB1B54" w:themeColor="accent4"/>
          <w:insideH w:val="nil"/>
          <w:insideV w:val="single" w:sz="8" w:space="0" w:color="CB1B5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1B54" w:themeColor="accent4"/>
          <w:left w:val="single" w:sz="8" w:space="0" w:color="CB1B54" w:themeColor="accent4"/>
          <w:bottom w:val="single" w:sz="8" w:space="0" w:color="CB1B54" w:themeColor="accent4"/>
          <w:right w:val="single" w:sz="8" w:space="0" w:color="CB1B54" w:themeColor="accent4"/>
        </w:tcBorders>
      </w:tcPr>
    </w:tblStylePr>
    <w:tblStylePr w:type="band1Vert">
      <w:tblPr/>
      <w:tcPr>
        <w:tcBorders>
          <w:top w:val="single" w:sz="8" w:space="0" w:color="CB1B54" w:themeColor="accent4"/>
          <w:left w:val="single" w:sz="8" w:space="0" w:color="CB1B54" w:themeColor="accent4"/>
          <w:bottom w:val="single" w:sz="8" w:space="0" w:color="CB1B54" w:themeColor="accent4"/>
          <w:right w:val="single" w:sz="8" w:space="0" w:color="CB1B54" w:themeColor="accent4"/>
        </w:tcBorders>
        <w:shd w:val="clear" w:color="auto" w:fill="F7C1D2" w:themeFill="accent4" w:themeFillTint="3F"/>
      </w:tcPr>
    </w:tblStylePr>
    <w:tblStylePr w:type="band1Horz">
      <w:tblPr/>
      <w:tcPr>
        <w:tcBorders>
          <w:top w:val="single" w:sz="8" w:space="0" w:color="CB1B54" w:themeColor="accent4"/>
          <w:left w:val="single" w:sz="8" w:space="0" w:color="CB1B54" w:themeColor="accent4"/>
          <w:bottom w:val="single" w:sz="8" w:space="0" w:color="CB1B54" w:themeColor="accent4"/>
          <w:right w:val="single" w:sz="8" w:space="0" w:color="CB1B54" w:themeColor="accent4"/>
          <w:insideV w:val="single" w:sz="8" w:space="0" w:color="CB1B54" w:themeColor="accent4"/>
        </w:tcBorders>
        <w:shd w:val="clear" w:color="auto" w:fill="F7C1D2" w:themeFill="accent4" w:themeFillTint="3F"/>
      </w:tcPr>
    </w:tblStylePr>
    <w:tblStylePr w:type="band2Horz">
      <w:tblPr/>
      <w:tcPr>
        <w:tcBorders>
          <w:top w:val="single" w:sz="8" w:space="0" w:color="CB1B54" w:themeColor="accent4"/>
          <w:left w:val="single" w:sz="8" w:space="0" w:color="CB1B54" w:themeColor="accent4"/>
          <w:bottom w:val="single" w:sz="8" w:space="0" w:color="CB1B54" w:themeColor="accent4"/>
          <w:right w:val="single" w:sz="8" w:space="0" w:color="CB1B54" w:themeColor="accent4"/>
          <w:insideV w:val="single" w:sz="8" w:space="0" w:color="CB1B54"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9B1889" w:themeColor="accent5"/>
        <w:left w:val="single" w:sz="8" w:space="0" w:color="9B1889" w:themeColor="accent5"/>
        <w:bottom w:val="single" w:sz="8" w:space="0" w:color="9B1889" w:themeColor="accent5"/>
        <w:right w:val="single" w:sz="8" w:space="0" w:color="9B1889" w:themeColor="accent5"/>
        <w:insideH w:val="single" w:sz="8" w:space="0" w:color="9B1889" w:themeColor="accent5"/>
        <w:insideV w:val="single" w:sz="8" w:space="0" w:color="9B188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1889" w:themeColor="accent5"/>
          <w:left w:val="single" w:sz="8" w:space="0" w:color="9B1889" w:themeColor="accent5"/>
          <w:bottom w:val="single" w:sz="18" w:space="0" w:color="9B1889" w:themeColor="accent5"/>
          <w:right w:val="single" w:sz="8" w:space="0" w:color="9B1889" w:themeColor="accent5"/>
          <w:insideH w:val="nil"/>
          <w:insideV w:val="single" w:sz="8" w:space="0" w:color="9B188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1889" w:themeColor="accent5"/>
          <w:left w:val="single" w:sz="8" w:space="0" w:color="9B1889" w:themeColor="accent5"/>
          <w:bottom w:val="single" w:sz="8" w:space="0" w:color="9B1889" w:themeColor="accent5"/>
          <w:right w:val="single" w:sz="8" w:space="0" w:color="9B1889" w:themeColor="accent5"/>
          <w:insideH w:val="nil"/>
          <w:insideV w:val="single" w:sz="8" w:space="0" w:color="9B188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1889" w:themeColor="accent5"/>
          <w:left w:val="single" w:sz="8" w:space="0" w:color="9B1889" w:themeColor="accent5"/>
          <w:bottom w:val="single" w:sz="8" w:space="0" w:color="9B1889" w:themeColor="accent5"/>
          <w:right w:val="single" w:sz="8" w:space="0" w:color="9B1889" w:themeColor="accent5"/>
        </w:tcBorders>
      </w:tcPr>
    </w:tblStylePr>
    <w:tblStylePr w:type="band1Vert">
      <w:tblPr/>
      <w:tcPr>
        <w:tcBorders>
          <w:top w:val="single" w:sz="8" w:space="0" w:color="9B1889" w:themeColor="accent5"/>
          <w:left w:val="single" w:sz="8" w:space="0" w:color="9B1889" w:themeColor="accent5"/>
          <w:bottom w:val="single" w:sz="8" w:space="0" w:color="9B1889" w:themeColor="accent5"/>
          <w:right w:val="single" w:sz="8" w:space="0" w:color="9B1889" w:themeColor="accent5"/>
        </w:tcBorders>
        <w:shd w:val="clear" w:color="auto" w:fill="F4B8EB" w:themeFill="accent5" w:themeFillTint="3F"/>
      </w:tcPr>
    </w:tblStylePr>
    <w:tblStylePr w:type="band1Horz">
      <w:tblPr/>
      <w:tcPr>
        <w:tcBorders>
          <w:top w:val="single" w:sz="8" w:space="0" w:color="9B1889" w:themeColor="accent5"/>
          <w:left w:val="single" w:sz="8" w:space="0" w:color="9B1889" w:themeColor="accent5"/>
          <w:bottom w:val="single" w:sz="8" w:space="0" w:color="9B1889" w:themeColor="accent5"/>
          <w:right w:val="single" w:sz="8" w:space="0" w:color="9B1889" w:themeColor="accent5"/>
          <w:insideV w:val="single" w:sz="8" w:space="0" w:color="9B1889" w:themeColor="accent5"/>
        </w:tcBorders>
        <w:shd w:val="clear" w:color="auto" w:fill="F4B8EB" w:themeFill="accent5" w:themeFillTint="3F"/>
      </w:tcPr>
    </w:tblStylePr>
    <w:tblStylePr w:type="band2Horz">
      <w:tblPr/>
      <w:tcPr>
        <w:tcBorders>
          <w:top w:val="single" w:sz="8" w:space="0" w:color="9B1889" w:themeColor="accent5"/>
          <w:left w:val="single" w:sz="8" w:space="0" w:color="9B1889" w:themeColor="accent5"/>
          <w:bottom w:val="single" w:sz="8" w:space="0" w:color="9B1889" w:themeColor="accent5"/>
          <w:right w:val="single" w:sz="8" w:space="0" w:color="9B1889" w:themeColor="accent5"/>
          <w:insideV w:val="single" w:sz="8" w:space="0" w:color="9B1889"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C9CAC8" w:themeColor="accent6"/>
        <w:left w:val="single" w:sz="8" w:space="0" w:color="C9CAC8" w:themeColor="accent6"/>
        <w:bottom w:val="single" w:sz="8" w:space="0" w:color="C9CAC8" w:themeColor="accent6"/>
        <w:right w:val="single" w:sz="8" w:space="0" w:color="C9CAC8" w:themeColor="accent6"/>
        <w:insideH w:val="single" w:sz="8" w:space="0" w:color="C9CAC8" w:themeColor="accent6"/>
        <w:insideV w:val="single" w:sz="8" w:space="0" w:color="C9CA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AC8" w:themeColor="accent6"/>
          <w:left w:val="single" w:sz="8" w:space="0" w:color="C9CAC8" w:themeColor="accent6"/>
          <w:bottom w:val="single" w:sz="18" w:space="0" w:color="C9CAC8" w:themeColor="accent6"/>
          <w:right w:val="single" w:sz="8" w:space="0" w:color="C9CAC8" w:themeColor="accent6"/>
          <w:insideH w:val="nil"/>
          <w:insideV w:val="single" w:sz="8" w:space="0" w:color="C9CA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AC8" w:themeColor="accent6"/>
          <w:left w:val="single" w:sz="8" w:space="0" w:color="C9CAC8" w:themeColor="accent6"/>
          <w:bottom w:val="single" w:sz="8" w:space="0" w:color="C9CAC8" w:themeColor="accent6"/>
          <w:right w:val="single" w:sz="8" w:space="0" w:color="C9CAC8" w:themeColor="accent6"/>
          <w:insideH w:val="nil"/>
          <w:insideV w:val="single" w:sz="8" w:space="0" w:color="C9CA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AC8" w:themeColor="accent6"/>
          <w:left w:val="single" w:sz="8" w:space="0" w:color="C9CAC8" w:themeColor="accent6"/>
          <w:bottom w:val="single" w:sz="8" w:space="0" w:color="C9CAC8" w:themeColor="accent6"/>
          <w:right w:val="single" w:sz="8" w:space="0" w:color="C9CAC8" w:themeColor="accent6"/>
        </w:tcBorders>
      </w:tcPr>
    </w:tblStylePr>
    <w:tblStylePr w:type="band1Vert">
      <w:tblPr/>
      <w:tcPr>
        <w:tcBorders>
          <w:top w:val="single" w:sz="8" w:space="0" w:color="C9CAC8" w:themeColor="accent6"/>
          <w:left w:val="single" w:sz="8" w:space="0" w:color="C9CAC8" w:themeColor="accent6"/>
          <w:bottom w:val="single" w:sz="8" w:space="0" w:color="C9CAC8" w:themeColor="accent6"/>
          <w:right w:val="single" w:sz="8" w:space="0" w:color="C9CAC8" w:themeColor="accent6"/>
        </w:tcBorders>
        <w:shd w:val="clear" w:color="auto" w:fill="F1F1F1" w:themeFill="accent6" w:themeFillTint="3F"/>
      </w:tcPr>
    </w:tblStylePr>
    <w:tblStylePr w:type="band1Horz">
      <w:tblPr/>
      <w:tcPr>
        <w:tcBorders>
          <w:top w:val="single" w:sz="8" w:space="0" w:color="C9CAC8" w:themeColor="accent6"/>
          <w:left w:val="single" w:sz="8" w:space="0" w:color="C9CAC8" w:themeColor="accent6"/>
          <w:bottom w:val="single" w:sz="8" w:space="0" w:color="C9CAC8" w:themeColor="accent6"/>
          <w:right w:val="single" w:sz="8" w:space="0" w:color="C9CAC8" w:themeColor="accent6"/>
          <w:insideV w:val="single" w:sz="8" w:space="0" w:color="C9CAC8" w:themeColor="accent6"/>
        </w:tcBorders>
        <w:shd w:val="clear" w:color="auto" w:fill="F1F1F1" w:themeFill="accent6" w:themeFillTint="3F"/>
      </w:tcPr>
    </w:tblStylePr>
    <w:tblStylePr w:type="band2Horz">
      <w:tblPr/>
      <w:tcPr>
        <w:tcBorders>
          <w:top w:val="single" w:sz="8" w:space="0" w:color="C9CAC8" w:themeColor="accent6"/>
          <w:left w:val="single" w:sz="8" w:space="0" w:color="C9CAC8" w:themeColor="accent6"/>
          <w:bottom w:val="single" w:sz="8" w:space="0" w:color="C9CAC8" w:themeColor="accent6"/>
          <w:right w:val="single" w:sz="8" w:space="0" w:color="C9CAC8" w:themeColor="accent6"/>
          <w:insideV w:val="single" w:sz="8" w:space="0" w:color="C9CAC8"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4D4F53" w:themeColor="text1"/>
        <w:left w:val="single" w:sz="8" w:space="0" w:color="4D4F53" w:themeColor="text1"/>
        <w:bottom w:val="single" w:sz="8" w:space="0" w:color="4D4F53" w:themeColor="text1"/>
        <w:right w:val="single" w:sz="8" w:space="0" w:color="4D4F53" w:themeColor="text1"/>
      </w:tblBorders>
    </w:tblPr>
    <w:tblStylePr w:type="firstRow">
      <w:pPr>
        <w:spacing w:before="0" w:after="0" w:line="240" w:lineRule="auto"/>
      </w:pPr>
      <w:rPr>
        <w:b/>
        <w:bCs/>
        <w:color w:val="FFFFFF" w:themeColor="background1"/>
      </w:rPr>
      <w:tblPr/>
      <w:tcPr>
        <w:shd w:val="clear" w:color="auto" w:fill="4D4F53" w:themeFill="text1"/>
      </w:tcPr>
    </w:tblStylePr>
    <w:tblStylePr w:type="lastRow">
      <w:pPr>
        <w:spacing w:before="0" w:after="0" w:line="240" w:lineRule="auto"/>
      </w:pPr>
      <w:rPr>
        <w:b/>
        <w:bCs/>
      </w:rPr>
      <w:tblPr/>
      <w:tcPr>
        <w:tcBorders>
          <w:top w:val="double" w:sz="6" w:space="0" w:color="4D4F53" w:themeColor="text1"/>
          <w:left w:val="single" w:sz="8" w:space="0" w:color="4D4F53" w:themeColor="text1"/>
          <w:bottom w:val="single" w:sz="8" w:space="0" w:color="4D4F53" w:themeColor="text1"/>
          <w:right w:val="single" w:sz="8" w:space="0" w:color="4D4F53" w:themeColor="text1"/>
        </w:tcBorders>
      </w:tcPr>
    </w:tblStylePr>
    <w:tblStylePr w:type="firstCol">
      <w:rPr>
        <w:b/>
        <w:bCs/>
      </w:rPr>
    </w:tblStylePr>
    <w:tblStylePr w:type="lastCol">
      <w:rPr>
        <w:b/>
        <w:bCs/>
      </w:rPr>
    </w:tblStylePr>
    <w:tblStylePr w:type="band1Vert">
      <w:tblPr/>
      <w:tcPr>
        <w:tcBorders>
          <w:top w:val="single" w:sz="8" w:space="0" w:color="4D4F53" w:themeColor="text1"/>
          <w:left w:val="single" w:sz="8" w:space="0" w:color="4D4F53" w:themeColor="text1"/>
          <w:bottom w:val="single" w:sz="8" w:space="0" w:color="4D4F53" w:themeColor="text1"/>
          <w:right w:val="single" w:sz="8" w:space="0" w:color="4D4F53" w:themeColor="text1"/>
        </w:tcBorders>
      </w:tcPr>
    </w:tblStylePr>
    <w:tblStylePr w:type="band1Horz">
      <w:tblPr/>
      <w:tcPr>
        <w:tcBorders>
          <w:top w:val="single" w:sz="8" w:space="0" w:color="4D4F53" w:themeColor="text1"/>
          <w:left w:val="single" w:sz="8" w:space="0" w:color="4D4F53" w:themeColor="text1"/>
          <w:bottom w:val="single" w:sz="8" w:space="0" w:color="4D4F53" w:themeColor="text1"/>
          <w:right w:val="single" w:sz="8" w:space="0" w:color="4D4F53"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pPr>
        <w:spacing w:before="0" w:after="0" w:line="240" w:lineRule="auto"/>
      </w:pPr>
      <w:rPr>
        <w:b/>
        <w:bCs/>
        <w:color w:val="FFFFFF" w:themeColor="background1"/>
      </w:rPr>
      <w:tblPr/>
      <w:tcPr>
        <w:shd w:val="clear" w:color="auto" w:fill="00B0CA" w:themeFill="accent1"/>
      </w:tcPr>
    </w:tblStylePr>
    <w:tblStylePr w:type="lastRow">
      <w:pPr>
        <w:spacing w:before="0" w:after="0" w:line="240" w:lineRule="auto"/>
      </w:pPr>
      <w:rPr>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tcBorders>
      </w:tcPr>
    </w:tblStylePr>
    <w:tblStylePr w:type="firstCol">
      <w:rPr>
        <w:b/>
        <w:bCs/>
      </w:rPr>
    </w:tblStylePr>
    <w:tblStylePr w:type="lastCol">
      <w:rPr>
        <w:b/>
        <w:bCs/>
      </w:r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F89828" w:themeColor="accent2"/>
        <w:left w:val="single" w:sz="8" w:space="0" w:color="F89828" w:themeColor="accent2"/>
        <w:bottom w:val="single" w:sz="8" w:space="0" w:color="F89828" w:themeColor="accent2"/>
        <w:right w:val="single" w:sz="8" w:space="0" w:color="F89828" w:themeColor="accent2"/>
      </w:tblBorders>
    </w:tblPr>
    <w:tblStylePr w:type="firstRow">
      <w:pPr>
        <w:spacing w:before="0" w:after="0" w:line="240" w:lineRule="auto"/>
      </w:pPr>
      <w:rPr>
        <w:b/>
        <w:bCs/>
        <w:color w:val="FFFFFF" w:themeColor="background1"/>
      </w:rPr>
      <w:tblPr/>
      <w:tcPr>
        <w:shd w:val="clear" w:color="auto" w:fill="F89828" w:themeFill="accent2"/>
      </w:tcPr>
    </w:tblStylePr>
    <w:tblStylePr w:type="lastRow">
      <w:pPr>
        <w:spacing w:before="0" w:after="0" w:line="240" w:lineRule="auto"/>
      </w:pPr>
      <w:rPr>
        <w:b/>
        <w:bCs/>
      </w:rPr>
      <w:tblPr/>
      <w:tcPr>
        <w:tcBorders>
          <w:top w:val="double" w:sz="6" w:space="0" w:color="F89828" w:themeColor="accent2"/>
          <w:left w:val="single" w:sz="8" w:space="0" w:color="F89828" w:themeColor="accent2"/>
          <w:bottom w:val="single" w:sz="8" w:space="0" w:color="F89828" w:themeColor="accent2"/>
          <w:right w:val="single" w:sz="8" w:space="0" w:color="F89828" w:themeColor="accent2"/>
        </w:tcBorders>
      </w:tcPr>
    </w:tblStylePr>
    <w:tblStylePr w:type="firstCol">
      <w:rPr>
        <w:b/>
        <w:bCs/>
      </w:rPr>
    </w:tblStylePr>
    <w:tblStylePr w:type="lastCol">
      <w:rPr>
        <w:b/>
        <w:bCs/>
      </w:rPr>
    </w:tblStylePr>
    <w:tblStylePr w:type="band1Vert">
      <w:tblPr/>
      <w:tcPr>
        <w:tcBorders>
          <w:top w:val="single" w:sz="8" w:space="0" w:color="F89828" w:themeColor="accent2"/>
          <w:left w:val="single" w:sz="8" w:space="0" w:color="F89828" w:themeColor="accent2"/>
          <w:bottom w:val="single" w:sz="8" w:space="0" w:color="F89828" w:themeColor="accent2"/>
          <w:right w:val="single" w:sz="8" w:space="0" w:color="F89828" w:themeColor="accent2"/>
        </w:tcBorders>
      </w:tcPr>
    </w:tblStylePr>
    <w:tblStylePr w:type="band1Horz">
      <w:tblPr/>
      <w:tcPr>
        <w:tcBorders>
          <w:top w:val="single" w:sz="8" w:space="0" w:color="F89828" w:themeColor="accent2"/>
          <w:left w:val="single" w:sz="8" w:space="0" w:color="F89828" w:themeColor="accent2"/>
          <w:bottom w:val="single" w:sz="8" w:space="0" w:color="F89828" w:themeColor="accent2"/>
          <w:right w:val="single" w:sz="8" w:space="0" w:color="F89828"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tblBorders>
    </w:tblPr>
    <w:tblStylePr w:type="firstRow">
      <w:pPr>
        <w:spacing w:before="0" w:after="0" w:line="240" w:lineRule="auto"/>
      </w:pPr>
      <w:rPr>
        <w:b/>
        <w:bCs/>
        <w:color w:val="FFFFFF" w:themeColor="background1"/>
      </w:rPr>
      <w:tblPr/>
      <w:tcPr>
        <w:shd w:val="clear" w:color="auto" w:fill="7AB800" w:themeFill="accent3"/>
      </w:tcPr>
    </w:tblStylePr>
    <w:tblStylePr w:type="lastRow">
      <w:pPr>
        <w:spacing w:before="0" w:after="0" w:line="240" w:lineRule="auto"/>
      </w:pPr>
      <w:rPr>
        <w:b/>
        <w:bCs/>
      </w:rPr>
      <w:tblPr/>
      <w:tcPr>
        <w:tcBorders>
          <w:top w:val="double" w:sz="6" w:space="0" w:color="7AB800" w:themeColor="accent3"/>
          <w:left w:val="single" w:sz="8" w:space="0" w:color="7AB800" w:themeColor="accent3"/>
          <w:bottom w:val="single" w:sz="8" w:space="0" w:color="7AB800" w:themeColor="accent3"/>
          <w:right w:val="single" w:sz="8" w:space="0" w:color="7AB800" w:themeColor="accent3"/>
        </w:tcBorders>
      </w:tcPr>
    </w:tblStylePr>
    <w:tblStylePr w:type="firstCol">
      <w:rPr>
        <w:b/>
        <w:bCs/>
      </w:rPr>
    </w:tblStylePr>
    <w:tblStylePr w:type="lastCol">
      <w:rPr>
        <w:b/>
        <w:bCs/>
      </w:rPr>
    </w:tblStylePr>
    <w:tblStylePr w:type="band1Vert">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tcPr>
    </w:tblStylePr>
    <w:tblStylePr w:type="band1Horz">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CB1B54" w:themeColor="accent4"/>
        <w:left w:val="single" w:sz="8" w:space="0" w:color="CB1B54" w:themeColor="accent4"/>
        <w:bottom w:val="single" w:sz="8" w:space="0" w:color="CB1B54" w:themeColor="accent4"/>
        <w:right w:val="single" w:sz="8" w:space="0" w:color="CB1B54" w:themeColor="accent4"/>
      </w:tblBorders>
    </w:tblPr>
    <w:tblStylePr w:type="firstRow">
      <w:pPr>
        <w:spacing w:before="0" w:after="0" w:line="240" w:lineRule="auto"/>
      </w:pPr>
      <w:rPr>
        <w:b/>
        <w:bCs/>
        <w:color w:val="FFFFFF" w:themeColor="background1"/>
      </w:rPr>
      <w:tblPr/>
      <w:tcPr>
        <w:shd w:val="clear" w:color="auto" w:fill="CB1B54" w:themeFill="accent4"/>
      </w:tcPr>
    </w:tblStylePr>
    <w:tblStylePr w:type="lastRow">
      <w:pPr>
        <w:spacing w:before="0" w:after="0" w:line="240" w:lineRule="auto"/>
      </w:pPr>
      <w:rPr>
        <w:b/>
        <w:bCs/>
      </w:rPr>
      <w:tblPr/>
      <w:tcPr>
        <w:tcBorders>
          <w:top w:val="double" w:sz="6" w:space="0" w:color="CB1B54" w:themeColor="accent4"/>
          <w:left w:val="single" w:sz="8" w:space="0" w:color="CB1B54" w:themeColor="accent4"/>
          <w:bottom w:val="single" w:sz="8" w:space="0" w:color="CB1B54" w:themeColor="accent4"/>
          <w:right w:val="single" w:sz="8" w:space="0" w:color="CB1B54" w:themeColor="accent4"/>
        </w:tcBorders>
      </w:tcPr>
    </w:tblStylePr>
    <w:tblStylePr w:type="firstCol">
      <w:rPr>
        <w:b/>
        <w:bCs/>
      </w:rPr>
    </w:tblStylePr>
    <w:tblStylePr w:type="lastCol">
      <w:rPr>
        <w:b/>
        <w:bCs/>
      </w:rPr>
    </w:tblStylePr>
    <w:tblStylePr w:type="band1Vert">
      <w:tblPr/>
      <w:tcPr>
        <w:tcBorders>
          <w:top w:val="single" w:sz="8" w:space="0" w:color="CB1B54" w:themeColor="accent4"/>
          <w:left w:val="single" w:sz="8" w:space="0" w:color="CB1B54" w:themeColor="accent4"/>
          <w:bottom w:val="single" w:sz="8" w:space="0" w:color="CB1B54" w:themeColor="accent4"/>
          <w:right w:val="single" w:sz="8" w:space="0" w:color="CB1B54" w:themeColor="accent4"/>
        </w:tcBorders>
      </w:tcPr>
    </w:tblStylePr>
    <w:tblStylePr w:type="band1Horz">
      <w:tblPr/>
      <w:tcPr>
        <w:tcBorders>
          <w:top w:val="single" w:sz="8" w:space="0" w:color="CB1B54" w:themeColor="accent4"/>
          <w:left w:val="single" w:sz="8" w:space="0" w:color="CB1B54" w:themeColor="accent4"/>
          <w:bottom w:val="single" w:sz="8" w:space="0" w:color="CB1B54" w:themeColor="accent4"/>
          <w:right w:val="single" w:sz="8" w:space="0" w:color="CB1B54"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9B1889" w:themeColor="accent5"/>
        <w:left w:val="single" w:sz="8" w:space="0" w:color="9B1889" w:themeColor="accent5"/>
        <w:bottom w:val="single" w:sz="8" w:space="0" w:color="9B1889" w:themeColor="accent5"/>
        <w:right w:val="single" w:sz="8" w:space="0" w:color="9B1889" w:themeColor="accent5"/>
      </w:tblBorders>
    </w:tblPr>
    <w:tblStylePr w:type="firstRow">
      <w:pPr>
        <w:spacing w:before="0" w:after="0" w:line="240" w:lineRule="auto"/>
      </w:pPr>
      <w:rPr>
        <w:b/>
        <w:bCs/>
        <w:color w:val="FFFFFF" w:themeColor="background1"/>
      </w:rPr>
      <w:tblPr/>
      <w:tcPr>
        <w:shd w:val="clear" w:color="auto" w:fill="9B1889" w:themeFill="accent5"/>
      </w:tcPr>
    </w:tblStylePr>
    <w:tblStylePr w:type="lastRow">
      <w:pPr>
        <w:spacing w:before="0" w:after="0" w:line="240" w:lineRule="auto"/>
      </w:pPr>
      <w:rPr>
        <w:b/>
        <w:bCs/>
      </w:rPr>
      <w:tblPr/>
      <w:tcPr>
        <w:tcBorders>
          <w:top w:val="double" w:sz="6" w:space="0" w:color="9B1889" w:themeColor="accent5"/>
          <w:left w:val="single" w:sz="8" w:space="0" w:color="9B1889" w:themeColor="accent5"/>
          <w:bottom w:val="single" w:sz="8" w:space="0" w:color="9B1889" w:themeColor="accent5"/>
          <w:right w:val="single" w:sz="8" w:space="0" w:color="9B1889" w:themeColor="accent5"/>
        </w:tcBorders>
      </w:tcPr>
    </w:tblStylePr>
    <w:tblStylePr w:type="firstCol">
      <w:rPr>
        <w:b/>
        <w:bCs/>
      </w:rPr>
    </w:tblStylePr>
    <w:tblStylePr w:type="lastCol">
      <w:rPr>
        <w:b/>
        <w:bCs/>
      </w:rPr>
    </w:tblStylePr>
    <w:tblStylePr w:type="band1Vert">
      <w:tblPr/>
      <w:tcPr>
        <w:tcBorders>
          <w:top w:val="single" w:sz="8" w:space="0" w:color="9B1889" w:themeColor="accent5"/>
          <w:left w:val="single" w:sz="8" w:space="0" w:color="9B1889" w:themeColor="accent5"/>
          <w:bottom w:val="single" w:sz="8" w:space="0" w:color="9B1889" w:themeColor="accent5"/>
          <w:right w:val="single" w:sz="8" w:space="0" w:color="9B1889" w:themeColor="accent5"/>
        </w:tcBorders>
      </w:tcPr>
    </w:tblStylePr>
    <w:tblStylePr w:type="band1Horz">
      <w:tblPr/>
      <w:tcPr>
        <w:tcBorders>
          <w:top w:val="single" w:sz="8" w:space="0" w:color="9B1889" w:themeColor="accent5"/>
          <w:left w:val="single" w:sz="8" w:space="0" w:color="9B1889" w:themeColor="accent5"/>
          <w:bottom w:val="single" w:sz="8" w:space="0" w:color="9B1889" w:themeColor="accent5"/>
          <w:right w:val="single" w:sz="8" w:space="0" w:color="9B1889"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C9CAC8" w:themeColor="accent6"/>
        <w:left w:val="single" w:sz="8" w:space="0" w:color="C9CAC8" w:themeColor="accent6"/>
        <w:bottom w:val="single" w:sz="8" w:space="0" w:color="C9CAC8" w:themeColor="accent6"/>
        <w:right w:val="single" w:sz="8" w:space="0" w:color="C9CAC8" w:themeColor="accent6"/>
      </w:tblBorders>
    </w:tblPr>
    <w:tblStylePr w:type="firstRow">
      <w:pPr>
        <w:spacing w:before="0" w:after="0" w:line="240" w:lineRule="auto"/>
      </w:pPr>
      <w:rPr>
        <w:b/>
        <w:bCs/>
        <w:color w:val="FFFFFF" w:themeColor="background1"/>
      </w:rPr>
      <w:tblPr/>
      <w:tcPr>
        <w:shd w:val="clear" w:color="auto" w:fill="C9CAC8" w:themeFill="accent6"/>
      </w:tcPr>
    </w:tblStylePr>
    <w:tblStylePr w:type="lastRow">
      <w:pPr>
        <w:spacing w:before="0" w:after="0" w:line="240" w:lineRule="auto"/>
      </w:pPr>
      <w:rPr>
        <w:b/>
        <w:bCs/>
      </w:rPr>
      <w:tblPr/>
      <w:tcPr>
        <w:tcBorders>
          <w:top w:val="double" w:sz="6" w:space="0" w:color="C9CAC8" w:themeColor="accent6"/>
          <w:left w:val="single" w:sz="8" w:space="0" w:color="C9CAC8" w:themeColor="accent6"/>
          <w:bottom w:val="single" w:sz="8" w:space="0" w:color="C9CAC8" w:themeColor="accent6"/>
          <w:right w:val="single" w:sz="8" w:space="0" w:color="C9CAC8" w:themeColor="accent6"/>
        </w:tcBorders>
      </w:tcPr>
    </w:tblStylePr>
    <w:tblStylePr w:type="firstCol">
      <w:rPr>
        <w:b/>
        <w:bCs/>
      </w:rPr>
    </w:tblStylePr>
    <w:tblStylePr w:type="lastCol">
      <w:rPr>
        <w:b/>
        <w:bCs/>
      </w:rPr>
    </w:tblStylePr>
    <w:tblStylePr w:type="band1Vert">
      <w:tblPr/>
      <w:tcPr>
        <w:tcBorders>
          <w:top w:val="single" w:sz="8" w:space="0" w:color="C9CAC8" w:themeColor="accent6"/>
          <w:left w:val="single" w:sz="8" w:space="0" w:color="C9CAC8" w:themeColor="accent6"/>
          <w:bottom w:val="single" w:sz="8" w:space="0" w:color="C9CAC8" w:themeColor="accent6"/>
          <w:right w:val="single" w:sz="8" w:space="0" w:color="C9CAC8" w:themeColor="accent6"/>
        </w:tcBorders>
      </w:tcPr>
    </w:tblStylePr>
    <w:tblStylePr w:type="band1Horz">
      <w:tblPr/>
      <w:tcPr>
        <w:tcBorders>
          <w:top w:val="single" w:sz="8" w:space="0" w:color="C9CAC8" w:themeColor="accent6"/>
          <w:left w:val="single" w:sz="8" w:space="0" w:color="C9CAC8" w:themeColor="accent6"/>
          <w:bottom w:val="single" w:sz="8" w:space="0" w:color="C9CAC8" w:themeColor="accent6"/>
          <w:right w:val="single" w:sz="8" w:space="0" w:color="C9CAC8" w:themeColor="accent6"/>
        </w:tcBorders>
      </w:tcPr>
    </w:tblStylePr>
  </w:style>
  <w:style w:type="table" w:styleId="LightShading">
    <w:name w:val="Light Shading"/>
    <w:basedOn w:val="TableNormal"/>
    <w:uiPriority w:val="98"/>
    <w:semiHidden/>
    <w:unhideWhenUsed/>
    <w:rsid w:val="001F6DC1"/>
    <w:rPr>
      <w:color w:val="393B3E" w:themeColor="text1" w:themeShade="BF"/>
    </w:rPr>
    <w:tblPr>
      <w:tblStyleRowBandSize w:val="1"/>
      <w:tblStyleColBandSize w:val="1"/>
      <w:tblBorders>
        <w:top w:val="single" w:sz="8" w:space="0" w:color="4D4F53" w:themeColor="text1"/>
        <w:bottom w:val="single" w:sz="8" w:space="0" w:color="4D4F53" w:themeColor="text1"/>
      </w:tblBorders>
    </w:tblPr>
    <w:tblStylePr w:type="firstRow">
      <w:pPr>
        <w:spacing w:before="0" w:after="0" w:line="240" w:lineRule="auto"/>
      </w:pPr>
      <w:rPr>
        <w:b/>
        <w:bCs/>
      </w:rPr>
      <w:tblPr/>
      <w:tcPr>
        <w:tcBorders>
          <w:top w:val="single" w:sz="8" w:space="0" w:color="4D4F53" w:themeColor="text1"/>
          <w:left w:val="nil"/>
          <w:bottom w:val="single" w:sz="8" w:space="0" w:color="4D4F53" w:themeColor="text1"/>
          <w:right w:val="nil"/>
          <w:insideH w:val="nil"/>
          <w:insideV w:val="nil"/>
        </w:tcBorders>
      </w:tcPr>
    </w:tblStylePr>
    <w:tblStylePr w:type="lastRow">
      <w:pPr>
        <w:spacing w:before="0" w:after="0" w:line="240" w:lineRule="auto"/>
      </w:pPr>
      <w:rPr>
        <w:b/>
        <w:bCs/>
      </w:rPr>
      <w:tblPr/>
      <w:tcPr>
        <w:tcBorders>
          <w:top w:val="single" w:sz="8" w:space="0" w:color="4D4F53" w:themeColor="text1"/>
          <w:left w:val="nil"/>
          <w:bottom w:val="single" w:sz="8" w:space="0" w:color="4D4F5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hemeFill="text1" w:themeFillTint="3F"/>
      </w:tcPr>
    </w:tblStylePr>
    <w:tblStylePr w:type="band1Horz">
      <w:tblPr/>
      <w:tcPr>
        <w:tcBorders>
          <w:left w:val="nil"/>
          <w:right w:val="nil"/>
          <w:insideH w:val="nil"/>
          <w:insideV w:val="nil"/>
        </w:tcBorders>
        <w:shd w:val="clear" w:color="auto" w:fill="D2D3D5" w:themeFill="text1" w:themeFillTint="3F"/>
      </w:tcPr>
    </w:tblStylePr>
  </w:style>
  <w:style w:type="table" w:styleId="LightShading-Accent1">
    <w:name w:val="Light Shading Accent 1"/>
    <w:basedOn w:val="TableNormal"/>
    <w:uiPriority w:val="98"/>
    <w:semiHidden/>
    <w:unhideWhenUsed/>
    <w:rsid w:val="001F6DC1"/>
    <w:rPr>
      <w:color w:val="008397" w:themeColor="accent1" w:themeShade="BF"/>
    </w:rPr>
    <w:tblPr>
      <w:tblStyleRowBandSize w:val="1"/>
      <w:tblStyleColBandSize w:val="1"/>
      <w:tblBorders>
        <w:top w:val="single" w:sz="8" w:space="0" w:color="00B0CA" w:themeColor="accent1"/>
        <w:bottom w:val="single" w:sz="8" w:space="0" w:color="00B0CA" w:themeColor="accent1"/>
      </w:tblBorders>
    </w:tblPr>
    <w:tblStylePr w:type="fir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la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left w:val="nil"/>
          <w:right w:val="nil"/>
          <w:insideH w:val="nil"/>
          <w:insideV w:val="nil"/>
        </w:tcBorders>
        <w:shd w:val="clear" w:color="auto" w:fill="B2F5FF" w:themeFill="accent1" w:themeFillTint="3F"/>
      </w:tcPr>
    </w:tblStylePr>
  </w:style>
  <w:style w:type="table" w:styleId="LightShading-Accent2">
    <w:name w:val="Light Shading Accent 2"/>
    <w:basedOn w:val="TableNormal"/>
    <w:uiPriority w:val="98"/>
    <w:semiHidden/>
    <w:unhideWhenUsed/>
    <w:rsid w:val="001F6DC1"/>
    <w:rPr>
      <w:color w:val="D07307" w:themeColor="accent2" w:themeShade="BF"/>
    </w:rPr>
    <w:tblPr>
      <w:tblStyleRowBandSize w:val="1"/>
      <w:tblStyleColBandSize w:val="1"/>
      <w:tblBorders>
        <w:top w:val="single" w:sz="8" w:space="0" w:color="F89828" w:themeColor="accent2"/>
        <w:bottom w:val="single" w:sz="8" w:space="0" w:color="F89828" w:themeColor="accent2"/>
      </w:tblBorders>
    </w:tblPr>
    <w:tblStylePr w:type="firstRow">
      <w:pPr>
        <w:spacing w:before="0" w:after="0" w:line="240" w:lineRule="auto"/>
      </w:pPr>
      <w:rPr>
        <w:b/>
        <w:bCs/>
      </w:rPr>
      <w:tblPr/>
      <w:tcPr>
        <w:tcBorders>
          <w:top w:val="single" w:sz="8" w:space="0" w:color="F89828" w:themeColor="accent2"/>
          <w:left w:val="nil"/>
          <w:bottom w:val="single" w:sz="8" w:space="0" w:color="F89828" w:themeColor="accent2"/>
          <w:right w:val="nil"/>
          <w:insideH w:val="nil"/>
          <w:insideV w:val="nil"/>
        </w:tcBorders>
      </w:tcPr>
    </w:tblStylePr>
    <w:tblStylePr w:type="lastRow">
      <w:pPr>
        <w:spacing w:before="0" w:after="0" w:line="240" w:lineRule="auto"/>
      </w:pPr>
      <w:rPr>
        <w:b/>
        <w:bCs/>
      </w:rPr>
      <w:tblPr/>
      <w:tcPr>
        <w:tcBorders>
          <w:top w:val="single" w:sz="8" w:space="0" w:color="F89828" w:themeColor="accent2"/>
          <w:left w:val="nil"/>
          <w:bottom w:val="single" w:sz="8" w:space="0" w:color="F898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2" w:themeFillTint="3F"/>
      </w:tcPr>
    </w:tblStylePr>
    <w:tblStylePr w:type="band1Horz">
      <w:tblPr/>
      <w:tcPr>
        <w:tcBorders>
          <w:left w:val="nil"/>
          <w:right w:val="nil"/>
          <w:insideH w:val="nil"/>
          <w:insideV w:val="nil"/>
        </w:tcBorders>
        <w:shd w:val="clear" w:color="auto" w:fill="FDE5C9" w:themeFill="accent2" w:themeFillTint="3F"/>
      </w:tcPr>
    </w:tblStylePr>
  </w:style>
  <w:style w:type="table" w:styleId="LightShading-Accent3">
    <w:name w:val="Light Shading Accent 3"/>
    <w:basedOn w:val="TableNormal"/>
    <w:uiPriority w:val="98"/>
    <w:semiHidden/>
    <w:unhideWhenUsed/>
    <w:rsid w:val="001F6DC1"/>
    <w:rPr>
      <w:color w:val="5B8900" w:themeColor="accent3" w:themeShade="BF"/>
    </w:rPr>
    <w:tblPr>
      <w:tblStyleRowBandSize w:val="1"/>
      <w:tblStyleColBandSize w:val="1"/>
      <w:tblBorders>
        <w:top w:val="single" w:sz="8" w:space="0" w:color="7AB800" w:themeColor="accent3"/>
        <w:bottom w:val="single" w:sz="8" w:space="0" w:color="7AB800" w:themeColor="accent3"/>
      </w:tblBorders>
    </w:tblPr>
    <w:tblStylePr w:type="firstRow">
      <w:pPr>
        <w:spacing w:before="0" w:after="0" w:line="240" w:lineRule="auto"/>
      </w:pPr>
      <w:rPr>
        <w:b/>
        <w:bCs/>
      </w:rPr>
      <w:tblPr/>
      <w:tcPr>
        <w:tcBorders>
          <w:top w:val="single" w:sz="8" w:space="0" w:color="7AB800" w:themeColor="accent3"/>
          <w:left w:val="nil"/>
          <w:bottom w:val="single" w:sz="8" w:space="0" w:color="7AB800" w:themeColor="accent3"/>
          <w:right w:val="nil"/>
          <w:insideH w:val="nil"/>
          <w:insideV w:val="nil"/>
        </w:tcBorders>
      </w:tcPr>
    </w:tblStylePr>
    <w:tblStylePr w:type="lastRow">
      <w:pPr>
        <w:spacing w:before="0" w:after="0" w:line="240" w:lineRule="auto"/>
      </w:pPr>
      <w:rPr>
        <w:b/>
        <w:bCs/>
      </w:rPr>
      <w:tblPr/>
      <w:tcPr>
        <w:tcBorders>
          <w:top w:val="single" w:sz="8" w:space="0" w:color="7AB800" w:themeColor="accent3"/>
          <w:left w:val="nil"/>
          <w:bottom w:val="single" w:sz="8" w:space="0" w:color="7AB8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AE" w:themeFill="accent3" w:themeFillTint="3F"/>
      </w:tcPr>
    </w:tblStylePr>
    <w:tblStylePr w:type="band1Horz">
      <w:tblPr/>
      <w:tcPr>
        <w:tcBorders>
          <w:left w:val="nil"/>
          <w:right w:val="nil"/>
          <w:insideH w:val="nil"/>
          <w:insideV w:val="nil"/>
        </w:tcBorders>
        <w:shd w:val="clear" w:color="auto" w:fill="E3FFAE" w:themeFill="accent3" w:themeFillTint="3F"/>
      </w:tcPr>
    </w:tblStylePr>
  </w:style>
  <w:style w:type="table" w:styleId="LightShading-Accent4">
    <w:name w:val="Light Shading Accent 4"/>
    <w:basedOn w:val="TableNormal"/>
    <w:uiPriority w:val="98"/>
    <w:semiHidden/>
    <w:unhideWhenUsed/>
    <w:rsid w:val="001F6DC1"/>
    <w:rPr>
      <w:color w:val="97143E" w:themeColor="accent4" w:themeShade="BF"/>
    </w:rPr>
    <w:tblPr>
      <w:tblStyleRowBandSize w:val="1"/>
      <w:tblStyleColBandSize w:val="1"/>
      <w:tblBorders>
        <w:top w:val="single" w:sz="8" w:space="0" w:color="CB1B54" w:themeColor="accent4"/>
        <w:bottom w:val="single" w:sz="8" w:space="0" w:color="CB1B54" w:themeColor="accent4"/>
      </w:tblBorders>
    </w:tblPr>
    <w:tblStylePr w:type="firstRow">
      <w:pPr>
        <w:spacing w:before="0" w:after="0" w:line="240" w:lineRule="auto"/>
      </w:pPr>
      <w:rPr>
        <w:b/>
        <w:bCs/>
      </w:rPr>
      <w:tblPr/>
      <w:tcPr>
        <w:tcBorders>
          <w:top w:val="single" w:sz="8" w:space="0" w:color="CB1B54" w:themeColor="accent4"/>
          <w:left w:val="nil"/>
          <w:bottom w:val="single" w:sz="8" w:space="0" w:color="CB1B54" w:themeColor="accent4"/>
          <w:right w:val="nil"/>
          <w:insideH w:val="nil"/>
          <w:insideV w:val="nil"/>
        </w:tcBorders>
      </w:tcPr>
    </w:tblStylePr>
    <w:tblStylePr w:type="lastRow">
      <w:pPr>
        <w:spacing w:before="0" w:after="0" w:line="240" w:lineRule="auto"/>
      </w:pPr>
      <w:rPr>
        <w:b/>
        <w:bCs/>
      </w:rPr>
      <w:tblPr/>
      <w:tcPr>
        <w:tcBorders>
          <w:top w:val="single" w:sz="8" w:space="0" w:color="CB1B54" w:themeColor="accent4"/>
          <w:left w:val="nil"/>
          <w:bottom w:val="single" w:sz="8" w:space="0" w:color="CB1B5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1D2" w:themeFill="accent4" w:themeFillTint="3F"/>
      </w:tcPr>
    </w:tblStylePr>
    <w:tblStylePr w:type="band1Horz">
      <w:tblPr/>
      <w:tcPr>
        <w:tcBorders>
          <w:left w:val="nil"/>
          <w:right w:val="nil"/>
          <w:insideH w:val="nil"/>
          <w:insideV w:val="nil"/>
        </w:tcBorders>
        <w:shd w:val="clear" w:color="auto" w:fill="F7C1D2" w:themeFill="accent4" w:themeFillTint="3F"/>
      </w:tcPr>
    </w:tblStylePr>
  </w:style>
  <w:style w:type="table" w:styleId="LightShading-Accent5">
    <w:name w:val="Light Shading Accent 5"/>
    <w:basedOn w:val="TableNormal"/>
    <w:uiPriority w:val="98"/>
    <w:semiHidden/>
    <w:unhideWhenUsed/>
    <w:rsid w:val="001F6DC1"/>
    <w:rPr>
      <w:color w:val="741266" w:themeColor="accent5" w:themeShade="BF"/>
    </w:rPr>
    <w:tblPr>
      <w:tblStyleRowBandSize w:val="1"/>
      <w:tblStyleColBandSize w:val="1"/>
      <w:tblBorders>
        <w:top w:val="single" w:sz="8" w:space="0" w:color="9B1889" w:themeColor="accent5"/>
        <w:bottom w:val="single" w:sz="8" w:space="0" w:color="9B1889" w:themeColor="accent5"/>
      </w:tblBorders>
    </w:tblPr>
    <w:tblStylePr w:type="firstRow">
      <w:pPr>
        <w:spacing w:before="0" w:after="0" w:line="240" w:lineRule="auto"/>
      </w:pPr>
      <w:rPr>
        <w:b/>
        <w:bCs/>
      </w:rPr>
      <w:tblPr/>
      <w:tcPr>
        <w:tcBorders>
          <w:top w:val="single" w:sz="8" w:space="0" w:color="9B1889" w:themeColor="accent5"/>
          <w:left w:val="nil"/>
          <w:bottom w:val="single" w:sz="8" w:space="0" w:color="9B1889" w:themeColor="accent5"/>
          <w:right w:val="nil"/>
          <w:insideH w:val="nil"/>
          <w:insideV w:val="nil"/>
        </w:tcBorders>
      </w:tcPr>
    </w:tblStylePr>
    <w:tblStylePr w:type="lastRow">
      <w:pPr>
        <w:spacing w:before="0" w:after="0" w:line="240" w:lineRule="auto"/>
      </w:pPr>
      <w:rPr>
        <w:b/>
        <w:bCs/>
      </w:rPr>
      <w:tblPr/>
      <w:tcPr>
        <w:tcBorders>
          <w:top w:val="single" w:sz="8" w:space="0" w:color="9B1889" w:themeColor="accent5"/>
          <w:left w:val="nil"/>
          <w:bottom w:val="single" w:sz="8" w:space="0" w:color="9B188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8EB" w:themeFill="accent5" w:themeFillTint="3F"/>
      </w:tcPr>
    </w:tblStylePr>
    <w:tblStylePr w:type="band1Horz">
      <w:tblPr/>
      <w:tcPr>
        <w:tcBorders>
          <w:left w:val="nil"/>
          <w:right w:val="nil"/>
          <w:insideH w:val="nil"/>
          <w:insideV w:val="nil"/>
        </w:tcBorders>
        <w:shd w:val="clear" w:color="auto" w:fill="F4B8EB" w:themeFill="accent5" w:themeFillTint="3F"/>
      </w:tcPr>
    </w:tblStylePr>
  </w:style>
  <w:style w:type="table" w:styleId="LightShading-Accent6">
    <w:name w:val="Light Shading Accent 6"/>
    <w:basedOn w:val="TableNormal"/>
    <w:uiPriority w:val="98"/>
    <w:semiHidden/>
    <w:unhideWhenUsed/>
    <w:rsid w:val="001F6DC1"/>
    <w:rPr>
      <w:color w:val="969894" w:themeColor="accent6" w:themeShade="BF"/>
    </w:rPr>
    <w:tblPr>
      <w:tblStyleRowBandSize w:val="1"/>
      <w:tblStyleColBandSize w:val="1"/>
      <w:tblBorders>
        <w:top w:val="single" w:sz="8" w:space="0" w:color="C9CAC8" w:themeColor="accent6"/>
        <w:bottom w:val="single" w:sz="8" w:space="0" w:color="C9CAC8" w:themeColor="accent6"/>
      </w:tblBorders>
    </w:tblPr>
    <w:tblStylePr w:type="firstRow">
      <w:pPr>
        <w:spacing w:before="0" w:after="0" w:line="240" w:lineRule="auto"/>
      </w:pPr>
      <w:rPr>
        <w:b/>
        <w:bCs/>
      </w:rPr>
      <w:tblPr/>
      <w:tcPr>
        <w:tcBorders>
          <w:top w:val="single" w:sz="8" w:space="0" w:color="C9CAC8" w:themeColor="accent6"/>
          <w:left w:val="nil"/>
          <w:bottom w:val="single" w:sz="8" w:space="0" w:color="C9CAC8" w:themeColor="accent6"/>
          <w:right w:val="nil"/>
          <w:insideH w:val="nil"/>
          <w:insideV w:val="nil"/>
        </w:tcBorders>
      </w:tcPr>
    </w:tblStylePr>
    <w:tblStylePr w:type="lastRow">
      <w:pPr>
        <w:spacing w:before="0" w:after="0" w:line="240" w:lineRule="auto"/>
      </w:pPr>
      <w:rPr>
        <w:b/>
        <w:bCs/>
      </w:rPr>
      <w:tblPr/>
      <w:tcPr>
        <w:tcBorders>
          <w:top w:val="single" w:sz="8" w:space="0" w:color="C9CAC8" w:themeColor="accent6"/>
          <w:left w:val="nil"/>
          <w:bottom w:val="single" w:sz="8" w:space="0" w:color="C9CA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table" w:styleId="ListTable7Colorful-Accent6">
    <w:name w:val="List Table 7 Colorful Accent 6"/>
    <w:basedOn w:val="TableNormal"/>
    <w:uiPriority w:val="98"/>
    <w:semiHidden/>
    <w:rsid w:val="001F6DC1"/>
    <w:rPr>
      <w:color w:val="9698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CA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A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A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AC8" w:themeColor="accent6"/>
        </w:tcBorders>
        <w:shd w:val="clear" w:color="auto" w:fill="FFFFFF" w:themeFill="background1"/>
      </w:tcPr>
    </w:tblStylePr>
    <w:tblStylePr w:type="band1Vert">
      <w:tblPr/>
      <w:tcPr>
        <w:shd w:val="clear" w:color="auto" w:fill="F4F4F3" w:themeFill="accent6" w:themeFillTint="33"/>
      </w:tcPr>
    </w:tblStylePr>
    <w:tblStylePr w:type="band1Horz">
      <w:tblPr/>
      <w:tcPr>
        <w:shd w:val="clear" w:color="auto" w:fill="F4F4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777A80" w:themeColor="text1" w:themeTint="BF"/>
        <w:left w:val="single" w:sz="8" w:space="0" w:color="777A80" w:themeColor="text1" w:themeTint="BF"/>
        <w:bottom w:val="single" w:sz="8" w:space="0" w:color="777A80" w:themeColor="text1" w:themeTint="BF"/>
        <w:right w:val="single" w:sz="8" w:space="0" w:color="777A80" w:themeColor="text1" w:themeTint="BF"/>
        <w:insideH w:val="single" w:sz="8" w:space="0" w:color="777A80" w:themeColor="text1" w:themeTint="BF"/>
        <w:insideV w:val="single" w:sz="8" w:space="0" w:color="777A80" w:themeColor="text1" w:themeTint="BF"/>
      </w:tblBorders>
    </w:tblPr>
    <w:tcPr>
      <w:shd w:val="clear" w:color="auto" w:fill="D2D3D5" w:themeFill="text1" w:themeFillTint="3F"/>
    </w:tcPr>
    <w:tblStylePr w:type="firstRow">
      <w:rPr>
        <w:b/>
        <w:bCs/>
      </w:rPr>
    </w:tblStylePr>
    <w:tblStylePr w:type="lastRow">
      <w:rPr>
        <w:b/>
        <w:bCs/>
      </w:rPr>
      <w:tblPr/>
      <w:tcPr>
        <w:tcBorders>
          <w:top w:val="single" w:sz="18" w:space="0" w:color="777A80" w:themeColor="text1" w:themeTint="BF"/>
        </w:tcBorders>
      </w:tcPr>
    </w:tblStylePr>
    <w:tblStylePr w:type="firstCol">
      <w:rPr>
        <w:b/>
        <w:bCs/>
      </w:rPr>
    </w:tblStylePr>
    <w:tblStylePr w:type="lastCol">
      <w:rPr>
        <w:b/>
        <w:bCs/>
      </w:rPr>
    </w:tblStylePr>
    <w:tblStylePr w:type="band1Vert">
      <w:tblPr/>
      <w:tcPr>
        <w:shd w:val="clear" w:color="auto" w:fill="A4A6AB" w:themeFill="text1" w:themeFillTint="7F"/>
      </w:tcPr>
    </w:tblStylePr>
    <w:tblStylePr w:type="band1Horz">
      <w:tblPr/>
      <w:tcPr>
        <w:shd w:val="clear" w:color="auto" w:fill="A4A6AB"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insideV w:val="single" w:sz="8" w:space="0" w:color="18E1FF" w:themeColor="accent1" w:themeTint="BF"/>
      </w:tblBorders>
    </w:tblPr>
    <w:tcPr>
      <w:shd w:val="clear" w:color="auto" w:fill="B2F5FF" w:themeFill="accent1" w:themeFillTint="3F"/>
    </w:tcPr>
    <w:tblStylePr w:type="firstRow">
      <w:rPr>
        <w:b/>
        <w:bCs/>
      </w:rPr>
    </w:tblStylePr>
    <w:tblStylePr w:type="lastRow">
      <w:rPr>
        <w:b/>
        <w:bCs/>
      </w:rPr>
      <w:tblPr/>
      <w:tcPr>
        <w:tcBorders>
          <w:top w:val="single" w:sz="18" w:space="0" w:color="18E1FF" w:themeColor="accent1" w:themeTint="BF"/>
        </w:tcBorders>
      </w:tcPr>
    </w:tblStylePr>
    <w:tblStylePr w:type="firstCol">
      <w:rPr>
        <w:b/>
        <w:bCs/>
      </w:rPr>
    </w:tblStylePr>
    <w:tblStylePr w:type="lastCol">
      <w:rPr>
        <w:b/>
        <w:bCs/>
      </w:r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F9B15D" w:themeColor="accent2" w:themeTint="BF"/>
        <w:left w:val="single" w:sz="8" w:space="0" w:color="F9B15D" w:themeColor="accent2" w:themeTint="BF"/>
        <w:bottom w:val="single" w:sz="8" w:space="0" w:color="F9B15D" w:themeColor="accent2" w:themeTint="BF"/>
        <w:right w:val="single" w:sz="8" w:space="0" w:color="F9B15D" w:themeColor="accent2" w:themeTint="BF"/>
        <w:insideH w:val="single" w:sz="8" w:space="0" w:color="F9B15D" w:themeColor="accent2" w:themeTint="BF"/>
        <w:insideV w:val="single" w:sz="8" w:space="0" w:color="F9B15D" w:themeColor="accent2" w:themeTint="BF"/>
      </w:tblBorders>
    </w:tblPr>
    <w:tcPr>
      <w:shd w:val="clear" w:color="auto" w:fill="FDE5C9" w:themeFill="accent2" w:themeFillTint="3F"/>
    </w:tcPr>
    <w:tblStylePr w:type="firstRow">
      <w:rPr>
        <w:b/>
        <w:bCs/>
      </w:rPr>
    </w:tblStylePr>
    <w:tblStylePr w:type="lastRow">
      <w:rPr>
        <w:b/>
        <w:bCs/>
      </w:rPr>
      <w:tblPr/>
      <w:tcPr>
        <w:tcBorders>
          <w:top w:val="single" w:sz="18" w:space="0" w:color="F9B15D" w:themeColor="accent2" w:themeTint="BF"/>
        </w:tcBorders>
      </w:tcPr>
    </w:tblStylePr>
    <w:tblStylePr w:type="firstCol">
      <w:rPr>
        <w:b/>
        <w:bCs/>
      </w:rPr>
    </w:tblStylePr>
    <w:tblStylePr w:type="lastCol">
      <w:rPr>
        <w:b/>
        <w:bCs/>
      </w:rPr>
    </w:tblStylePr>
    <w:tblStylePr w:type="band1Vert">
      <w:tblPr/>
      <w:tcPr>
        <w:shd w:val="clear" w:color="auto" w:fill="FBCB93" w:themeFill="accent2" w:themeFillTint="7F"/>
      </w:tcPr>
    </w:tblStylePr>
    <w:tblStylePr w:type="band1Horz">
      <w:tblPr/>
      <w:tcPr>
        <w:shd w:val="clear" w:color="auto" w:fill="FBCB93"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single" w:sz="8" w:space="0" w:color="ACFF0A" w:themeColor="accent3" w:themeTint="BF"/>
        <w:insideV w:val="single" w:sz="8" w:space="0" w:color="ACFF0A" w:themeColor="accent3" w:themeTint="BF"/>
      </w:tblBorders>
    </w:tblPr>
    <w:tcPr>
      <w:shd w:val="clear" w:color="auto" w:fill="E3FFAE" w:themeFill="accent3" w:themeFillTint="3F"/>
    </w:tcPr>
    <w:tblStylePr w:type="firstRow">
      <w:rPr>
        <w:b/>
        <w:bCs/>
      </w:rPr>
    </w:tblStylePr>
    <w:tblStylePr w:type="lastRow">
      <w:rPr>
        <w:b/>
        <w:bCs/>
      </w:rPr>
      <w:tblPr/>
      <w:tcPr>
        <w:tcBorders>
          <w:top w:val="single" w:sz="18" w:space="0" w:color="ACFF0A" w:themeColor="accent3" w:themeTint="BF"/>
        </w:tcBorders>
      </w:tcPr>
    </w:tblStylePr>
    <w:tblStylePr w:type="firstCol">
      <w:rPr>
        <w:b/>
        <w:bCs/>
      </w:rPr>
    </w:tblStylePr>
    <w:tblStylePr w:type="lastCol">
      <w:rPr>
        <w:b/>
        <w:bCs/>
      </w:rPr>
    </w:tblStylePr>
    <w:tblStylePr w:type="band1Vert">
      <w:tblPr/>
      <w:tcPr>
        <w:shd w:val="clear" w:color="auto" w:fill="C8FF5C" w:themeFill="accent3" w:themeFillTint="7F"/>
      </w:tcPr>
    </w:tblStylePr>
    <w:tblStylePr w:type="band1Horz">
      <w:tblPr/>
      <w:tcPr>
        <w:shd w:val="clear" w:color="auto" w:fill="C8FF5C"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E64579" w:themeColor="accent4" w:themeTint="BF"/>
        <w:left w:val="single" w:sz="8" w:space="0" w:color="E64579" w:themeColor="accent4" w:themeTint="BF"/>
        <w:bottom w:val="single" w:sz="8" w:space="0" w:color="E64579" w:themeColor="accent4" w:themeTint="BF"/>
        <w:right w:val="single" w:sz="8" w:space="0" w:color="E64579" w:themeColor="accent4" w:themeTint="BF"/>
        <w:insideH w:val="single" w:sz="8" w:space="0" w:color="E64579" w:themeColor="accent4" w:themeTint="BF"/>
        <w:insideV w:val="single" w:sz="8" w:space="0" w:color="E64579" w:themeColor="accent4" w:themeTint="BF"/>
      </w:tblBorders>
    </w:tblPr>
    <w:tcPr>
      <w:shd w:val="clear" w:color="auto" w:fill="F7C1D2" w:themeFill="accent4" w:themeFillTint="3F"/>
    </w:tcPr>
    <w:tblStylePr w:type="firstRow">
      <w:rPr>
        <w:b/>
        <w:bCs/>
      </w:rPr>
    </w:tblStylePr>
    <w:tblStylePr w:type="lastRow">
      <w:rPr>
        <w:b/>
        <w:bCs/>
      </w:rPr>
      <w:tblPr/>
      <w:tcPr>
        <w:tcBorders>
          <w:top w:val="single" w:sz="18" w:space="0" w:color="E64579" w:themeColor="accent4" w:themeTint="BF"/>
        </w:tcBorders>
      </w:tcPr>
    </w:tblStylePr>
    <w:tblStylePr w:type="firstCol">
      <w:rPr>
        <w:b/>
        <w:bCs/>
      </w:rPr>
    </w:tblStylePr>
    <w:tblStylePr w:type="lastCol">
      <w:rPr>
        <w:b/>
        <w:bCs/>
      </w:rPr>
    </w:tblStylePr>
    <w:tblStylePr w:type="band1Vert">
      <w:tblPr/>
      <w:tcPr>
        <w:shd w:val="clear" w:color="auto" w:fill="EE83A6" w:themeFill="accent4" w:themeFillTint="7F"/>
      </w:tcPr>
    </w:tblStylePr>
    <w:tblStylePr w:type="band1Horz">
      <w:tblPr/>
      <w:tcPr>
        <w:shd w:val="clear" w:color="auto" w:fill="EE83A6"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DD28C4" w:themeColor="accent5" w:themeTint="BF"/>
        <w:left w:val="single" w:sz="8" w:space="0" w:color="DD28C4" w:themeColor="accent5" w:themeTint="BF"/>
        <w:bottom w:val="single" w:sz="8" w:space="0" w:color="DD28C4" w:themeColor="accent5" w:themeTint="BF"/>
        <w:right w:val="single" w:sz="8" w:space="0" w:color="DD28C4" w:themeColor="accent5" w:themeTint="BF"/>
        <w:insideH w:val="single" w:sz="8" w:space="0" w:color="DD28C4" w:themeColor="accent5" w:themeTint="BF"/>
        <w:insideV w:val="single" w:sz="8" w:space="0" w:color="DD28C4" w:themeColor="accent5" w:themeTint="BF"/>
      </w:tblBorders>
    </w:tblPr>
    <w:tcPr>
      <w:shd w:val="clear" w:color="auto" w:fill="F4B8EB" w:themeFill="accent5" w:themeFillTint="3F"/>
    </w:tcPr>
    <w:tblStylePr w:type="firstRow">
      <w:rPr>
        <w:b/>
        <w:bCs/>
      </w:rPr>
    </w:tblStylePr>
    <w:tblStylePr w:type="lastRow">
      <w:rPr>
        <w:b/>
        <w:bCs/>
      </w:rPr>
      <w:tblPr/>
      <w:tcPr>
        <w:tcBorders>
          <w:top w:val="single" w:sz="18" w:space="0" w:color="DD28C4" w:themeColor="accent5" w:themeTint="BF"/>
        </w:tcBorders>
      </w:tcPr>
    </w:tblStylePr>
    <w:tblStylePr w:type="firstCol">
      <w:rPr>
        <w:b/>
        <w:bCs/>
      </w:rPr>
    </w:tblStylePr>
    <w:tblStylePr w:type="lastCol">
      <w:rPr>
        <w:b/>
        <w:bCs/>
      </w:rPr>
    </w:tblStylePr>
    <w:tblStylePr w:type="band1Vert">
      <w:tblPr/>
      <w:tcPr>
        <w:shd w:val="clear" w:color="auto" w:fill="E970D7" w:themeFill="accent5" w:themeFillTint="7F"/>
      </w:tcPr>
    </w:tblStylePr>
    <w:tblStylePr w:type="band1Horz">
      <w:tblPr/>
      <w:tcPr>
        <w:shd w:val="clear" w:color="auto" w:fill="E970D7"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D6D7D5" w:themeColor="accent6" w:themeTint="BF"/>
        <w:left w:val="single" w:sz="8" w:space="0" w:color="D6D7D5" w:themeColor="accent6" w:themeTint="BF"/>
        <w:bottom w:val="single" w:sz="8" w:space="0" w:color="D6D7D5" w:themeColor="accent6" w:themeTint="BF"/>
        <w:right w:val="single" w:sz="8" w:space="0" w:color="D6D7D5" w:themeColor="accent6" w:themeTint="BF"/>
        <w:insideH w:val="single" w:sz="8" w:space="0" w:color="D6D7D5" w:themeColor="accent6" w:themeTint="BF"/>
        <w:insideV w:val="single" w:sz="8" w:space="0" w:color="D6D7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6D7D5" w:themeColor="accent6" w:themeTint="BF"/>
        </w:tcBorders>
      </w:tcPr>
    </w:tblStylePr>
    <w:tblStylePr w:type="firstCol">
      <w:rPr>
        <w:b/>
        <w:bCs/>
      </w:rPr>
    </w:tblStylePr>
    <w:tblStylePr w:type="lastCol">
      <w:rPr>
        <w:b/>
        <w:bCs/>
      </w:rPr>
    </w:tblStylePr>
    <w:tblStylePr w:type="band1Vert">
      <w:tblPr/>
      <w:tcPr>
        <w:shd w:val="clear" w:color="auto" w:fill="E3E4E3" w:themeFill="accent6" w:themeFillTint="7F"/>
      </w:tcPr>
    </w:tblStylePr>
    <w:tblStylePr w:type="band1Horz">
      <w:tblPr/>
      <w:tcPr>
        <w:shd w:val="clear" w:color="auto" w:fill="E3E4E3"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4D4F53" w:themeColor="text1"/>
        <w:left w:val="single" w:sz="8" w:space="0" w:color="4D4F53" w:themeColor="text1"/>
        <w:bottom w:val="single" w:sz="8" w:space="0" w:color="4D4F53" w:themeColor="text1"/>
        <w:right w:val="single" w:sz="8" w:space="0" w:color="4D4F53" w:themeColor="text1"/>
        <w:insideH w:val="single" w:sz="8" w:space="0" w:color="4D4F53" w:themeColor="text1"/>
        <w:insideV w:val="single" w:sz="8" w:space="0" w:color="4D4F53" w:themeColor="text1"/>
      </w:tblBorders>
    </w:tblPr>
    <w:tcPr>
      <w:shd w:val="clear" w:color="auto" w:fill="D2D3D5" w:themeFill="text1" w:themeFillTint="3F"/>
    </w:tcPr>
    <w:tblStylePr w:type="firstRow">
      <w:rPr>
        <w:b/>
        <w:bCs/>
        <w:color w:val="4D4F53" w:themeColor="text1"/>
      </w:rPr>
      <w:tblPr/>
      <w:tcPr>
        <w:shd w:val="clear" w:color="auto" w:fill="EDEDEE" w:themeFill="text1" w:themeFillTint="19"/>
      </w:tcPr>
    </w:tblStylePr>
    <w:tblStylePr w:type="lastRow">
      <w:rPr>
        <w:b/>
        <w:bCs/>
        <w:color w:val="4D4F53" w:themeColor="text1"/>
      </w:rPr>
      <w:tblPr/>
      <w:tcPr>
        <w:tcBorders>
          <w:top w:val="single" w:sz="12" w:space="0" w:color="4D4F53" w:themeColor="text1"/>
          <w:left w:val="nil"/>
          <w:bottom w:val="nil"/>
          <w:right w:val="nil"/>
          <w:insideH w:val="nil"/>
          <w:insideV w:val="nil"/>
        </w:tcBorders>
        <w:shd w:val="clear" w:color="auto" w:fill="FFFFFF" w:themeFill="background1"/>
      </w:tcPr>
    </w:tblStylePr>
    <w:tblStylePr w:type="firstCol">
      <w:rPr>
        <w:b/>
        <w:bCs/>
        <w:color w:val="4D4F5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F53" w:themeColor="text1"/>
      </w:rPr>
      <w:tblPr/>
      <w:tcPr>
        <w:tcBorders>
          <w:top w:val="nil"/>
          <w:left w:val="nil"/>
          <w:bottom w:val="nil"/>
          <w:right w:val="nil"/>
          <w:insideH w:val="nil"/>
          <w:insideV w:val="nil"/>
        </w:tcBorders>
        <w:shd w:val="clear" w:color="auto" w:fill="DADBDD" w:themeFill="text1" w:themeFillTint="33"/>
      </w:tcPr>
    </w:tblStylePr>
    <w:tblStylePr w:type="band1Vert">
      <w:tblPr/>
      <w:tcPr>
        <w:shd w:val="clear" w:color="auto" w:fill="A4A6AB" w:themeFill="text1" w:themeFillTint="7F"/>
      </w:tcPr>
    </w:tblStylePr>
    <w:tblStylePr w:type="band1Horz">
      <w:tblPr/>
      <w:tcPr>
        <w:tcBorders>
          <w:insideH w:val="single" w:sz="6" w:space="0" w:color="4D4F53" w:themeColor="text1"/>
          <w:insideV w:val="single" w:sz="6" w:space="0" w:color="4D4F53" w:themeColor="text1"/>
        </w:tcBorders>
        <w:shd w:val="clear" w:color="auto" w:fill="A4A6A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cPr>
      <w:shd w:val="clear" w:color="auto" w:fill="B2F5FF" w:themeFill="accent1" w:themeFillTint="3F"/>
    </w:tcPr>
    <w:tblStylePr w:type="firstRow">
      <w:rPr>
        <w:b/>
        <w:bCs/>
        <w:color w:val="4D4F53" w:themeColor="text1"/>
      </w:rPr>
      <w:tblPr/>
      <w:tcPr>
        <w:shd w:val="clear" w:color="auto" w:fill="E0FBFF" w:themeFill="accent1" w:themeFillTint="19"/>
      </w:tcPr>
    </w:tblStylePr>
    <w:tblStylePr w:type="lastRow">
      <w:rPr>
        <w:b/>
        <w:bCs/>
        <w:color w:val="4D4F53" w:themeColor="text1"/>
      </w:rPr>
      <w:tblPr/>
      <w:tcPr>
        <w:tcBorders>
          <w:top w:val="single" w:sz="12" w:space="0" w:color="4D4F53" w:themeColor="text1"/>
          <w:left w:val="nil"/>
          <w:bottom w:val="nil"/>
          <w:right w:val="nil"/>
          <w:insideH w:val="nil"/>
          <w:insideV w:val="nil"/>
        </w:tcBorders>
        <w:shd w:val="clear" w:color="auto" w:fill="FFFFFF" w:themeFill="background1"/>
      </w:tcPr>
    </w:tblStylePr>
    <w:tblStylePr w:type="firstCol">
      <w:rPr>
        <w:b/>
        <w:bCs/>
        <w:color w:val="4D4F5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F53" w:themeColor="text1"/>
      </w:rPr>
      <w:tblPr/>
      <w:tcPr>
        <w:tcBorders>
          <w:top w:val="nil"/>
          <w:left w:val="nil"/>
          <w:bottom w:val="nil"/>
          <w:right w:val="nil"/>
          <w:insideH w:val="nil"/>
          <w:insideV w:val="nil"/>
        </w:tcBorders>
        <w:shd w:val="clear" w:color="auto" w:fill="C1F7FF" w:themeFill="accent1" w:themeFillTint="33"/>
      </w:tcPr>
    </w:tblStylePr>
    <w:tblStylePr w:type="band1Vert">
      <w:tblPr/>
      <w:tcPr>
        <w:shd w:val="clear" w:color="auto" w:fill="65EBFF" w:themeFill="accent1" w:themeFillTint="7F"/>
      </w:tcPr>
    </w:tblStylePr>
    <w:tblStylePr w:type="band1Horz">
      <w:tblPr/>
      <w:tcPr>
        <w:tcBorders>
          <w:insideH w:val="single" w:sz="6" w:space="0" w:color="00B0CA" w:themeColor="accent1"/>
          <w:insideV w:val="single" w:sz="6" w:space="0" w:color="00B0CA" w:themeColor="accent1"/>
        </w:tcBorders>
        <w:shd w:val="clear" w:color="auto" w:fill="65E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F89828" w:themeColor="accent2"/>
        <w:left w:val="single" w:sz="8" w:space="0" w:color="F89828" w:themeColor="accent2"/>
        <w:bottom w:val="single" w:sz="8" w:space="0" w:color="F89828" w:themeColor="accent2"/>
        <w:right w:val="single" w:sz="8" w:space="0" w:color="F89828" w:themeColor="accent2"/>
        <w:insideH w:val="single" w:sz="8" w:space="0" w:color="F89828" w:themeColor="accent2"/>
        <w:insideV w:val="single" w:sz="8" w:space="0" w:color="F89828" w:themeColor="accent2"/>
      </w:tblBorders>
    </w:tblPr>
    <w:tcPr>
      <w:shd w:val="clear" w:color="auto" w:fill="FDE5C9" w:themeFill="accent2" w:themeFillTint="3F"/>
    </w:tcPr>
    <w:tblStylePr w:type="firstRow">
      <w:rPr>
        <w:b/>
        <w:bCs/>
        <w:color w:val="4D4F53" w:themeColor="text1"/>
      </w:rPr>
      <w:tblPr/>
      <w:tcPr>
        <w:shd w:val="clear" w:color="auto" w:fill="FEF4E9" w:themeFill="accent2" w:themeFillTint="19"/>
      </w:tcPr>
    </w:tblStylePr>
    <w:tblStylePr w:type="lastRow">
      <w:rPr>
        <w:b/>
        <w:bCs/>
        <w:color w:val="4D4F53" w:themeColor="text1"/>
      </w:rPr>
      <w:tblPr/>
      <w:tcPr>
        <w:tcBorders>
          <w:top w:val="single" w:sz="12" w:space="0" w:color="4D4F53" w:themeColor="text1"/>
          <w:left w:val="nil"/>
          <w:bottom w:val="nil"/>
          <w:right w:val="nil"/>
          <w:insideH w:val="nil"/>
          <w:insideV w:val="nil"/>
        </w:tcBorders>
        <w:shd w:val="clear" w:color="auto" w:fill="FFFFFF" w:themeFill="background1"/>
      </w:tcPr>
    </w:tblStylePr>
    <w:tblStylePr w:type="firstCol">
      <w:rPr>
        <w:b/>
        <w:bCs/>
        <w:color w:val="4D4F5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F53" w:themeColor="text1"/>
      </w:rPr>
      <w:tblPr/>
      <w:tcPr>
        <w:tcBorders>
          <w:top w:val="nil"/>
          <w:left w:val="nil"/>
          <w:bottom w:val="nil"/>
          <w:right w:val="nil"/>
          <w:insideH w:val="nil"/>
          <w:insideV w:val="nil"/>
        </w:tcBorders>
        <w:shd w:val="clear" w:color="auto" w:fill="FDEAD3" w:themeFill="accent2" w:themeFillTint="33"/>
      </w:tcPr>
    </w:tblStylePr>
    <w:tblStylePr w:type="band1Vert">
      <w:tblPr/>
      <w:tcPr>
        <w:shd w:val="clear" w:color="auto" w:fill="FBCB93" w:themeFill="accent2" w:themeFillTint="7F"/>
      </w:tcPr>
    </w:tblStylePr>
    <w:tblStylePr w:type="band1Horz">
      <w:tblPr/>
      <w:tcPr>
        <w:tcBorders>
          <w:insideH w:val="single" w:sz="6" w:space="0" w:color="F89828" w:themeColor="accent2"/>
          <w:insideV w:val="single" w:sz="6" w:space="0" w:color="F89828" w:themeColor="accent2"/>
        </w:tcBorders>
        <w:shd w:val="clear" w:color="auto" w:fill="FBCB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insideH w:val="single" w:sz="8" w:space="0" w:color="7AB800" w:themeColor="accent3"/>
        <w:insideV w:val="single" w:sz="8" w:space="0" w:color="7AB800" w:themeColor="accent3"/>
      </w:tblBorders>
    </w:tblPr>
    <w:tcPr>
      <w:shd w:val="clear" w:color="auto" w:fill="E3FFAE" w:themeFill="accent3" w:themeFillTint="3F"/>
    </w:tcPr>
    <w:tblStylePr w:type="firstRow">
      <w:rPr>
        <w:b/>
        <w:bCs/>
        <w:color w:val="4D4F53" w:themeColor="text1"/>
      </w:rPr>
      <w:tblPr/>
      <w:tcPr>
        <w:shd w:val="clear" w:color="auto" w:fill="F4FFDF" w:themeFill="accent3" w:themeFillTint="19"/>
      </w:tcPr>
    </w:tblStylePr>
    <w:tblStylePr w:type="lastRow">
      <w:rPr>
        <w:b/>
        <w:bCs/>
        <w:color w:val="4D4F53" w:themeColor="text1"/>
      </w:rPr>
      <w:tblPr/>
      <w:tcPr>
        <w:tcBorders>
          <w:top w:val="single" w:sz="12" w:space="0" w:color="4D4F53" w:themeColor="text1"/>
          <w:left w:val="nil"/>
          <w:bottom w:val="nil"/>
          <w:right w:val="nil"/>
          <w:insideH w:val="nil"/>
          <w:insideV w:val="nil"/>
        </w:tcBorders>
        <w:shd w:val="clear" w:color="auto" w:fill="FFFFFF" w:themeFill="background1"/>
      </w:tcPr>
    </w:tblStylePr>
    <w:tblStylePr w:type="firstCol">
      <w:rPr>
        <w:b/>
        <w:bCs/>
        <w:color w:val="4D4F5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F53" w:themeColor="text1"/>
      </w:rPr>
      <w:tblPr/>
      <w:tcPr>
        <w:tcBorders>
          <w:top w:val="nil"/>
          <w:left w:val="nil"/>
          <w:bottom w:val="nil"/>
          <w:right w:val="nil"/>
          <w:insideH w:val="nil"/>
          <w:insideV w:val="nil"/>
        </w:tcBorders>
        <w:shd w:val="clear" w:color="auto" w:fill="E8FFBD" w:themeFill="accent3" w:themeFillTint="33"/>
      </w:tcPr>
    </w:tblStylePr>
    <w:tblStylePr w:type="band1Vert">
      <w:tblPr/>
      <w:tcPr>
        <w:shd w:val="clear" w:color="auto" w:fill="C8FF5C" w:themeFill="accent3" w:themeFillTint="7F"/>
      </w:tcPr>
    </w:tblStylePr>
    <w:tblStylePr w:type="band1Horz">
      <w:tblPr/>
      <w:tcPr>
        <w:tcBorders>
          <w:insideH w:val="single" w:sz="6" w:space="0" w:color="7AB800" w:themeColor="accent3"/>
          <w:insideV w:val="single" w:sz="6" w:space="0" w:color="7AB800" w:themeColor="accent3"/>
        </w:tcBorders>
        <w:shd w:val="clear" w:color="auto" w:fill="C8FF5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CB1B54" w:themeColor="accent4"/>
        <w:left w:val="single" w:sz="8" w:space="0" w:color="CB1B54" w:themeColor="accent4"/>
        <w:bottom w:val="single" w:sz="8" w:space="0" w:color="CB1B54" w:themeColor="accent4"/>
        <w:right w:val="single" w:sz="8" w:space="0" w:color="CB1B54" w:themeColor="accent4"/>
        <w:insideH w:val="single" w:sz="8" w:space="0" w:color="CB1B54" w:themeColor="accent4"/>
        <w:insideV w:val="single" w:sz="8" w:space="0" w:color="CB1B54" w:themeColor="accent4"/>
      </w:tblBorders>
    </w:tblPr>
    <w:tcPr>
      <w:shd w:val="clear" w:color="auto" w:fill="F7C1D2" w:themeFill="accent4" w:themeFillTint="3F"/>
    </w:tcPr>
    <w:tblStylePr w:type="firstRow">
      <w:rPr>
        <w:b/>
        <w:bCs/>
        <w:color w:val="4D4F53" w:themeColor="text1"/>
      </w:rPr>
      <w:tblPr/>
      <w:tcPr>
        <w:shd w:val="clear" w:color="auto" w:fill="FBE6ED" w:themeFill="accent4" w:themeFillTint="19"/>
      </w:tcPr>
    </w:tblStylePr>
    <w:tblStylePr w:type="lastRow">
      <w:rPr>
        <w:b/>
        <w:bCs/>
        <w:color w:val="4D4F53" w:themeColor="text1"/>
      </w:rPr>
      <w:tblPr/>
      <w:tcPr>
        <w:tcBorders>
          <w:top w:val="single" w:sz="12" w:space="0" w:color="4D4F53" w:themeColor="text1"/>
          <w:left w:val="nil"/>
          <w:bottom w:val="nil"/>
          <w:right w:val="nil"/>
          <w:insideH w:val="nil"/>
          <w:insideV w:val="nil"/>
        </w:tcBorders>
        <w:shd w:val="clear" w:color="auto" w:fill="FFFFFF" w:themeFill="background1"/>
      </w:tcPr>
    </w:tblStylePr>
    <w:tblStylePr w:type="firstCol">
      <w:rPr>
        <w:b/>
        <w:bCs/>
        <w:color w:val="4D4F5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F53" w:themeColor="text1"/>
      </w:rPr>
      <w:tblPr/>
      <w:tcPr>
        <w:tcBorders>
          <w:top w:val="nil"/>
          <w:left w:val="nil"/>
          <w:bottom w:val="nil"/>
          <w:right w:val="nil"/>
          <w:insideH w:val="nil"/>
          <w:insideV w:val="nil"/>
        </w:tcBorders>
        <w:shd w:val="clear" w:color="auto" w:fill="F8CDDB" w:themeFill="accent4" w:themeFillTint="33"/>
      </w:tcPr>
    </w:tblStylePr>
    <w:tblStylePr w:type="band1Vert">
      <w:tblPr/>
      <w:tcPr>
        <w:shd w:val="clear" w:color="auto" w:fill="EE83A6" w:themeFill="accent4" w:themeFillTint="7F"/>
      </w:tcPr>
    </w:tblStylePr>
    <w:tblStylePr w:type="band1Horz">
      <w:tblPr/>
      <w:tcPr>
        <w:tcBorders>
          <w:insideH w:val="single" w:sz="6" w:space="0" w:color="CB1B54" w:themeColor="accent4"/>
          <w:insideV w:val="single" w:sz="6" w:space="0" w:color="CB1B54" w:themeColor="accent4"/>
        </w:tcBorders>
        <w:shd w:val="clear" w:color="auto" w:fill="EE83A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9B1889" w:themeColor="accent5"/>
        <w:left w:val="single" w:sz="8" w:space="0" w:color="9B1889" w:themeColor="accent5"/>
        <w:bottom w:val="single" w:sz="8" w:space="0" w:color="9B1889" w:themeColor="accent5"/>
        <w:right w:val="single" w:sz="8" w:space="0" w:color="9B1889" w:themeColor="accent5"/>
        <w:insideH w:val="single" w:sz="8" w:space="0" w:color="9B1889" w:themeColor="accent5"/>
        <w:insideV w:val="single" w:sz="8" w:space="0" w:color="9B1889" w:themeColor="accent5"/>
      </w:tblBorders>
    </w:tblPr>
    <w:tcPr>
      <w:shd w:val="clear" w:color="auto" w:fill="F4B8EB" w:themeFill="accent5" w:themeFillTint="3F"/>
    </w:tcPr>
    <w:tblStylePr w:type="firstRow">
      <w:rPr>
        <w:b/>
        <w:bCs/>
        <w:color w:val="4D4F53" w:themeColor="text1"/>
      </w:rPr>
      <w:tblPr/>
      <w:tcPr>
        <w:shd w:val="clear" w:color="auto" w:fill="FAE2F7" w:themeFill="accent5" w:themeFillTint="19"/>
      </w:tcPr>
    </w:tblStylePr>
    <w:tblStylePr w:type="lastRow">
      <w:rPr>
        <w:b/>
        <w:bCs/>
        <w:color w:val="4D4F53" w:themeColor="text1"/>
      </w:rPr>
      <w:tblPr/>
      <w:tcPr>
        <w:tcBorders>
          <w:top w:val="single" w:sz="12" w:space="0" w:color="4D4F53" w:themeColor="text1"/>
          <w:left w:val="nil"/>
          <w:bottom w:val="nil"/>
          <w:right w:val="nil"/>
          <w:insideH w:val="nil"/>
          <w:insideV w:val="nil"/>
        </w:tcBorders>
        <w:shd w:val="clear" w:color="auto" w:fill="FFFFFF" w:themeFill="background1"/>
      </w:tcPr>
    </w:tblStylePr>
    <w:tblStylePr w:type="firstCol">
      <w:rPr>
        <w:b/>
        <w:bCs/>
        <w:color w:val="4D4F5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F53" w:themeColor="text1"/>
      </w:rPr>
      <w:tblPr/>
      <w:tcPr>
        <w:tcBorders>
          <w:top w:val="nil"/>
          <w:left w:val="nil"/>
          <w:bottom w:val="nil"/>
          <w:right w:val="nil"/>
          <w:insideH w:val="nil"/>
          <w:insideV w:val="nil"/>
        </w:tcBorders>
        <w:shd w:val="clear" w:color="auto" w:fill="F6C5EF" w:themeFill="accent5" w:themeFillTint="33"/>
      </w:tcPr>
    </w:tblStylePr>
    <w:tblStylePr w:type="band1Vert">
      <w:tblPr/>
      <w:tcPr>
        <w:shd w:val="clear" w:color="auto" w:fill="E970D7" w:themeFill="accent5" w:themeFillTint="7F"/>
      </w:tcPr>
    </w:tblStylePr>
    <w:tblStylePr w:type="band1Horz">
      <w:tblPr/>
      <w:tcPr>
        <w:tcBorders>
          <w:insideH w:val="single" w:sz="6" w:space="0" w:color="9B1889" w:themeColor="accent5"/>
          <w:insideV w:val="single" w:sz="6" w:space="0" w:color="9B1889" w:themeColor="accent5"/>
        </w:tcBorders>
        <w:shd w:val="clear" w:color="auto" w:fill="E970D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C9CAC8" w:themeColor="accent6"/>
        <w:left w:val="single" w:sz="8" w:space="0" w:color="C9CAC8" w:themeColor="accent6"/>
        <w:bottom w:val="single" w:sz="8" w:space="0" w:color="C9CAC8" w:themeColor="accent6"/>
        <w:right w:val="single" w:sz="8" w:space="0" w:color="C9CAC8" w:themeColor="accent6"/>
        <w:insideH w:val="single" w:sz="8" w:space="0" w:color="C9CAC8" w:themeColor="accent6"/>
        <w:insideV w:val="single" w:sz="8" w:space="0" w:color="C9CAC8" w:themeColor="accent6"/>
      </w:tblBorders>
    </w:tblPr>
    <w:tcPr>
      <w:shd w:val="clear" w:color="auto" w:fill="F1F1F1" w:themeFill="accent6" w:themeFillTint="3F"/>
    </w:tcPr>
    <w:tblStylePr w:type="firstRow">
      <w:rPr>
        <w:b/>
        <w:bCs/>
        <w:color w:val="4D4F53" w:themeColor="text1"/>
      </w:rPr>
      <w:tblPr/>
      <w:tcPr>
        <w:shd w:val="clear" w:color="auto" w:fill="F9F9F9" w:themeFill="accent6" w:themeFillTint="19"/>
      </w:tcPr>
    </w:tblStylePr>
    <w:tblStylePr w:type="lastRow">
      <w:rPr>
        <w:b/>
        <w:bCs/>
        <w:color w:val="4D4F53" w:themeColor="text1"/>
      </w:rPr>
      <w:tblPr/>
      <w:tcPr>
        <w:tcBorders>
          <w:top w:val="single" w:sz="12" w:space="0" w:color="4D4F53" w:themeColor="text1"/>
          <w:left w:val="nil"/>
          <w:bottom w:val="nil"/>
          <w:right w:val="nil"/>
          <w:insideH w:val="nil"/>
          <w:insideV w:val="nil"/>
        </w:tcBorders>
        <w:shd w:val="clear" w:color="auto" w:fill="FFFFFF" w:themeFill="background1"/>
      </w:tcPr>
    </w:tblStylePr>
    <w:tblStylePr w:type="firstCol">
      <w:rPr>
        <w:b/>
        <w:bCs/>
        <w:color w:val="4D4F5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F53" w:themeColor="text1"/>
      </w:rPr>
      <w:tblPr/>
      <w:tcPr>
        <w:tcBorders>
          <w:top w:val="nil"/>
          <w:left w:val="nil"/>
          <w:bottom w:val="nil"/>
          <w:right w:val="nil"/>
          <w:insideH w:val="nil"/>
          <w:insideV w:val="nil"/>
        </w:tcBorders>
        <w:shd w:val="clear" w:color="auto" w:fill="F4F4F3" w:themeFill="accent6" w:themeFillTint="33"/>
      </w:tcPr>
    </w:tblStylePr>
    <w:tblStylePr w:type="band1Vert">
      <w:tblPr/>
      <w:tcPr>
        <w:shd w:val="clear" w:color="auto" w:fill="E3E4E3" w:themeFill="accent6" w:themeFillTint="7F"/>
      </w:tcPr>
    </w:tblStylePr>
    <w:tblStylePr w:type="band1Horz">
      <w:tblPr/>
      <w:tcPr>
        <w:tcBorders>
          <w:insideH w:val="single" w:sz="6" w:space="0" w:color="C9CAC8" w:themeColor="accent6"/>
          <w:insideV w:val="single" w:sz="6" w:space="0" w:color="C9CAC8" w:themeColor="accent6"/>
        </w:tcBorders>
        <w:shd w:val="clear" w:color="auto" w:fill="E3E4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3D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F5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F5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F5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F5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A6A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A6AB"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E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EBF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82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82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82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82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B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B93"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FA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B8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B8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B8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B8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5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5C"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1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1B5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1B5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1B5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1B5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83A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83A6"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8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188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188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188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188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70D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70D7"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A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A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A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A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4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4E3" w:themeFill="accent6" w:themeFillTint="7F"/>
      </w:tcPr>
    </w:tblStylePr>
  </w:style>
  <w:style w:type="table" w:styleId="MediumList1">
    <w:name w:val="Medium List 1"/>
    <w:basedOn w:val="TableNormal"/>
    <w:uiPriority w:val="98"/>
    <w:semiHidden/>
    <w:unhideWhenUsed/>
    <w:rsid w:val="001F6DC1"/>
    <w:rPr>
      <w:color w:val="4D4F53" w:themeColor="text1"/>
    </w:rPr>
    <w:tblPr>
      <w:tblStyleRowBandSize w:val="1"/>
      <w:tblStyleColBandSize w:val="1"/>
      <w:tblBorders>
        <w:top w:val="single" w:sz="8" w:space="0" w:color="4D4F53" w:themeColor="text1"/>
        <w:bottom w:val="single" w:sz="8" w:space="0" w:color="4D4F53" w:themeColor="text1"/>
      </w:tblBorders>
    </w:tblPr>
    <w:tblStylePr w:type="firstRow">
      <w:rPr>
        <w:rFonts w:asciiTheme="majorHAnsi" w:eastAsiaTheme="majorEastAsia" w:hAnsiTheme="majorHAnsi" w:cstheme="majorBidi"/>
      </w:rPr>
      <w:tblPr/>
      <w:tcPr>
        <w:tcBorders>
          <w:top w:val="nil"/>
          <w:bottom w:val="single" w:sz="8" w:space="0" w:color="4D4F53" w:themeColor="text1"/>
        </w:tcBorders>
      </w:tcPr>
    </w:tblStylePr>
    <w:tblStylePr w:type="lastRow">
      <w:rPr>
        <w:b/>
        <w:bCs/>
        <w:color w:val="1C5692" w:themeColor="text2"/>
      </w:rPr>
      <w:tblPr/>
      <w:tcPr>
        <w:tcBorders>
          <w:top w:val="single" w:sz="8" w:space="0" w:color="4D4F53" w:themeColor="text1"/>
          <w:bottom w:val="single" w:sz="8" w:space="0" w:color="4D4F53" w:themeColor="text1"/>
        </w:tcBorders>
      </w:tcPr>
    </w:tblStylePr>
    <w:tblStylePr w:type="firstCol">
      <w:rPr>
        <w:b/>
        <w:bCs/>
      </w:rPr>
    </w:tblStylePr>
    <w:tblStylePr w:type="lastCol">
      <w:rPr>
        <w:b/>
        <w:bCs/>
      </w:rPr>
      <w:tblPr/>
      <w:tcPr>
        <w:tcBorders>
          <w:top w:val="single" w:sz="8" w:space="0" w:color="4D4F53" w:themeColor="text1"/>
          <w:bottom w:val="single" w:sz="8" w:space="0" w:color="4D4F53" w:themeColor="text1"/>
        </w:tcBorders>
      </w:tcPr>
    </w:tblStylePr>
    <w:tblStylePr w:type="band1Vert">
      <w:tblPr/>
      <w:tcPr>
        <w:shd w:val="clear" w:color="auto" w:fill="D2D3D5" w:themeFill="text1" w:themeFillTint="3F"/>
      </w:tcPr>
    </w:tblStylePr>
    <w:tblStylePr w:type="band1Horz">
      <w:tblPr/>
      <w:tcPr>
        <w:shd w:val="clear" w:color="auto" w:fill="D2D3D5" w:themeFill="text1" w:themeFillTint="3F"/>
      </w:tcPr>
    </w:tblStylePr>
  </w:style>
  <w:style w:type="table" w:styleId="MediumList1-Accent1">
    <w:name w:val="Medium List 1 Accent 1"/>
    <w:basedOn w:val="TableNormal"/>
    <w:uiPriority w:val="98"/>
    <w:semiHidden/>
    <w:unhideWhenUsed/>
    <w:rsid w:val="001F6DC1"/>
    <w:rPr>
      <w:color w:val="4D4F53" w:themeColor="text1"/>
    </w:rPr>
    <w:tblPr>
      <w:tblStyleRowBandSize w:val="1"/>
      <w:tblStyleColBandSize w:val="1"/>
      <w:tblBorders>
        <w:top w:val="single" w:sz="8" w:space="0" w:color="00B0CA" w:themeColor="accent1"/>
        <w:bottom w:val="single" w:sz="8" w:space="0" w:color="00B0CA" w:themeColor="accent1"/>
      </w:tblBorders>
    </w:tblPr>
    <w:tblStylePr w:type="firstRow">
      <w:rPr>
        <w:rFonts w:asciiTheme="majorHAnsi" w:eastAsiaTheme="majorEastAsia" w:hAnsiTheme="majorHAnsi" w:cstheme="majorBidi"/>
      </w:rPr>
      <w:tblPr/>
      <w:tcPr>
        <w:tcBorders>
          <w:top w:val="nil"/>
          <w:bottom w:val="single" w:sz="8" w:space="0" w:color="00B0CA" w:themeColor="accent1"/>
        </w:tcBorders>
      </w:tcPr>
    </w:tblStylePr>
    <w:tblStylePr w:type="lastRow">
      <w:rPr>
        <w:b/>
        <w:bCs/>
        <w:color w:val="1C5692" w:themeColor="text2"/>
      </w:rPr>
      <w:tblPr/>
      <w:tcPr>
        <w:tcBorders>
          <w:top w:val="single" w:sz="8" w:space="0" w:color="00B0CA" w:themeColor="accent1"/>
          <w:bottom w:val="single" w:sz="8" w:space="0" w:color="00B0CA" w:themeColor="accent1"/>
        </w:tcBorders>
      </w:tcPr>
    </w:tblStylePr>
    <w:tblStylePr w:type="firstCol">
      <w:rPr>
        <w:b/>
        <w:bCs/>
      </w:rPr>
    </w:tblStylePr>
    <w:tblStylePr w:type="lastCol">
      <w:rPr>
        <w:b/>
        <w:bCs/>
      </w:rPr>
      <w:tblPr/>
      <w:tcPr>
        <w:tcBorders>
          <w:top w:val="single" w:sz="8" w:space="0" w:color="00B0CA" w:themeColor="accent1"/>
          <w:bottom w:val="single" w:sz="8" w:space="0" w:color="00B0CA" w:themeColor="accent1"/>
        </w:tcBorders>
      </w:tcPr>
    </w:tblStylePr>
    <w:tblStylePr w:type="band1Vert">
      <w:tblPr/>
      <w:tcPr>
        <w:shd w:val="clear" w:color="auto" w:fill="B2F5FF" w:themeFill="accent1" w:themeFillTint="3F"/>
      </w:tcPr>
    </w:tblStylePr>
    <w:tblStylePr w:type="band1Horz">
      <w:tblPr/>
      <w:tcPr>
        <w:shd w:val="clear" w:color="auto" w:fill="B2F5FF" w:themeFill="accent1" w:themeFillTint="3F"/>
      </w:tcPr>
    </w:tblStylePr>
  </w:style>
  <w:style w:type="table" w:styleId="MediumList1-Accent2">
    <w:name w:val="Medium List 1 Accent 2"/>
    <w:basedOn w:val="TableNormal"/>
    <w:uiPriority w:val="98"/>
    <w:semiHidden/>
    <w:unhideWhenUsed/>
    <w:rsid w:val="001F6DC1"/>
    <w:rPr>
      <w:color w:val="4D4F53" w:themeColor="text1"/>
    </w:rPr>
    <w:tblPr>
      <w:tblStyleRowBandSize w:val="1"/>
      <w:tblStyleColBandSize w:val="1"/>
      <w:tblBorders>
        <w:top w:val="single" w:sz="8" w:space="0" w:color="F89828" w:themeColor="accent2"/>
        <w:bottom w:val="single" w:sz="8" w:space="0" w:color="F89828" w:themeColor="accent2"/>
      </w:tblBorders>
    </w:tblPr>
    <w:tblStylePr w:type="firstRow">
      <w:rPr>
        <w:rFonts w:asciiTheme="majorHAnsi" w:eastAsiaTheme="majorEastAsia" w:hAnsiTheme="majorHAnsi" w:cstheme="majorBidi"/>
      </w:rPr>
      <w:tblPr/>
      <w:tcPr>
        <w:tcBorders>
          <w:top w:val="nil"/>
          <w:bottom w:val="single" w:sz="8" w:space="0" w:color="F89828" w:themeColor="accent2"/>
        </w:tcBorders>
      </w:tcPr>
    </w:tblStylePr>
    <w:tblStylePr w:type="lastRow">
      <w:rPr>
        <w:b/>
        <w:bCs/>
        <w:color w:val="1C5692" w:themeColor="text2"/>
      </w:rPr>
      <w:tblPr/>
      <w:tcPr>
        <w:tcBorders>
          <w:top w:val="single" w:sz="8" w:space="0" w:color="F89828" w:themeColor="accent2"/>
          <w:bottom w:val="single" w:sz="8" w:space="0" w:color="F89828" w:themeColor="accent2"/>
        </w:tcBorders>
      </w:tcPr>
    </w:tblStylePr>
    <w:tblStylePr w:type="firstCol">
      <w:rPr>
        <w:b/>
        <w:bCs/>
      </w:rPr>
    </w:tblStylePr>
    <w:tblStylePr w:type="lastCol">
      <w:rPr>
        <w:b/>
        <w:bCs/>
      </w:rPr>
      <w:tblPr/>
      <w:tcPr>
        <w:tcBorders>
          <w:top w:val="single" w:sz="8" w:space="0" w:color="F89828" w:themeColor="accent2"/>
          <w:bottom w:val="single" w:sz="8" w:space="0" w:color="F89828" w:themeColor="accent2"/>
        </w:tcBorders>
      </w:tcPr>
    </w:tblStylePr>
    <w:tblStylePr w:type="band1Vert">
      <w:tblPr/>
      <w:tcPr>
        <w:shd w:val="clear" w:color="auto" w:fill="FDE5C9" w:themeFill="accent2" w:themeFillTint="3F"/>
      </w:tcPr>
    </w:tblStylePr>
    <w:tblStylePr w:type="band1Horz">
      <w:tblPr/>
      <w:tcPr>
        <w:shd w:val="clear" w:color="auto" w:fill="FDE5C9" w:themeFill="accent2" w:themeFillTint="3F"/>
      </w:tcPr>
    </w:tblStylePr>
  </w:style>
  <w:style w:type="table" w:styleId="MediumList1-Accent3">
    <w:name w:val="Medium List 1 Accent 3"/>
    <w:basedOn w:val="TableNormal"/>
    <w:uiPriority w:val="98"/>
    <w:semiHidden/>
    <w:unhideWhenUsed/>
    <w:rsid w:val="001F6DC1"/>
    <w:rPr>
      <w:color w:val="4D4F53" w:themeColor="text1"/>
    </w:rPr>
    <w:tblPr>
      <w:tblStyleRowBandSize w:val="1"/>
      <w:tblStyleColBandSize w:val="1"/>
      <w:tblBorders>
        <w:top w:val="single" w:sz="8" w:space="0" w:color="7AB800" w:themeColor="accent3"/>
        <w:bottom w:val="single" w:sz="8" w:space="0" w:color="7AB800" w:themeColor="accent3"/>
      </w:tblBorders>
    </w:tblPr>
    <w:tblStylePr w:type="firstRow">
      <w:rPr>
        <w:rFonts w:asciiTheme="majorHAnsi" w:eastAsiaTheme="majorEastAsia" w:hAnsiTheme="majorHAnsi" w:cstheme="majorBidi"/>
      </w:rPr>
      <w:tblPr/>
      <w:tcPr>
        <w:tcBorders>
          <w:top w:val="nil"/>
          <w:bottom w:val="single" w:sz="8" w:space="0" w:color="7AB800" w:themeColor="accent3"/>
        </w:tcBorders>
      </w:tcPr>
    </w:tblStylePr>
    <w:tblStylePr w:type="lastRow">
      <w:rPr>
        <w:b/>
        <w:bCs/>
        <w:color w:val="1C5692" w:themeColor="text2"/>
      </w:rPr>
      <w:tblPr/>
      <w:tcPr>
        <w:tcBorders>
          <w:top w:val="single" w:sz="8" w:space="0" w:color="7AB800" w:themeColor="accent3"/>
          <w:bottom w:val="single" w:sz="8" w:space="0" w:color="7AB800" w:themeColor="accent3"/>
        </w:tcBorders>
      </w:tcPr>
    </w:tblStylePr>
    <w:tblStylePr w:type="firstCol">
      <w:rPr>
        <w:b/>
        <w:bCs/>
      </w:rPr>
    </w:tblStylePr>
    <w:tblStylePr w:type="lastCol">
      <w:rPr>
        <w:b/>
        <w:bCs/>
      </w:rPr>
      <w:tblPr/>
      <w:tcPr>
        <w:tcBorders>
          <w:top w:val="single" w:sz="8" w:space="0" w:color="7AB800" w:themeColor="accent3"/>
          <w:bottom w:val="single" w:sz="8" w:space="0" w:color="7AB800" w:themeColor="accent3"/>
        </w:tcBorders>
      </w:tcPr>
    </w:tblStylePr>
    <w:tblStylePr w:type="band1Vert">
      <w:tblPr/>
      <w:tcPr>
        <w:shd w:val="clear" w:color="auto" w:fill="E3FFAE" w:themeFill="accent3" w:themeFillTint="3F"/>
      </w:tcPr>
    </w:tblStylePr>
    <w:tblStylePr w:type="band1Horz">
      <w:tblPr/>
      <w:tcPr>
        <w:shd w:val="clear" w:color="auto" w:fill="E3FFAE" w:themeFill="accent3" w:themeFillTint="3F"/>
      </w:tcPr>
    </w:tblStylePr>
  </w:style>
  <w:style w:type="table" w:styleId="MediumList1-Accent4">
    <w:name w:val="Medium List 1 Accent 4"/>
    <w:basedOn w:val="TableNormal"/>
    <w:uiPriority w:val="98"/>
    <w:semiHidden/>
    <w:unhideWhenUsed/>
    <w:rsid w:val="001F6DC1"/>
    <w:rPr>
      <w:color w:val="4D4F53" w:themeColor="text1"/>
    </w:rPr>
    <w:tblPr>
      <w:tblStyleRowBandSize w:val="1"/>
      <w:tblStyleColBandSize w:val="1"/>
      <w:tblBorders>
        <w:top w:val="single" w:sz="8" w:space="0" w:color="CB1B54" w:themeColor="accent4"/>
        <w:bottom w:val="single" w:sz="8" w:space="0" w:color="CB1B54" w:themeColor="accent4"/>
      </w:tblBorders>
    </w:tblPr>
    <w:tblStylePr w:type="firstRow">
      <w:rPr>
        <w:rFonts w:asciiTheme="majorHAnsi" w:eastAsiaTheme="majorEastAsia" w:hAnsiTheme="majorHAnsi" w:cstheme="majorBidi"/>
      </w:rPr>
      <w:tblPr/>
      <w:tcPr>
        <w:tcBorders>
          <w:top w:val="nil"/>
          <w:bottom w:val="single" w:sz="8" w:space="0" w:color="CB1B54" w:themeColor="accent4"/>
        </w:tcBorders>
      </w:tcPr>
    </w:tblStylePr>
    <w:tblStylePr w:type="lastRow">
      <w:rPr>
        <w:b/>
        <w:bCs/>
        <w:color w:val="1C5692" w:themeColor="text2"/>
      </w:rPr>
      <w:tblPr/>
      <w:tcPr>
        <w:tcBorders>
          <w:top w:val="single" w:sz="8" w:space="0" w:color="CB1B54" w:themeColor="accent4"/>
          <w:bottom w:val="single" w:sz="8" w:space="0" w:color="CB1B54" w:themeColor="accent4"/>
        </w:tcBorders>
      </w:tcPr>
    </w:tblStylePr>
    <w:tblStylePr w:type="firstCol">
      <w:rPr>
        <w:b/>
        <w:bCs/>
      </w:rPr>
    </w:tblStylePr>
    <w:tblStylePr w:type="lastCol">
      <w:rPr>
        <w:b/>
        <w:bCs/>
      </w:rPr>
      <w:tblPr/>
      <w:tcPr>
        <w:tcBorders>
          <w:top w:val="single" w:sz="8" w:space="0" w:color="CB1B54" w:themeColor="accent4"/>
          <w:bottom w:val="single" w:sz="8" w:space="0" w:color="CB1B54" w:themeColor="accent4"/>
        </w:tcBorders>
      </w:tcPr>
    </w:tblStylePr>
    <w:tblStylePr w:type="band1Vert">
      <w:tblPr/>
      <w:tcPr>
        <w:shd w:val="clear" w:color="auto" w:fill="F7C1D2" w:themeFill="accent4" w:themeFillTint="3F"/>
      </w:tcPr>
    </w:tblStylePr>
    <w:tblStylePr w:type="band1Horz">
      <w:tblPr/>
      <w:tcPr>
        <w:shd w:val="clear" w:color="auto" w:fill="F7C1D2" w:themeFill="accent4" w:themeFillTint="3F"/>
      </w:tcPr>
    </w:tblStylePr>
  </w:style>
  <w:style w:type="table" w:styleId="MediumList1-Accent5">
    <w:name w:val="Medium List 1 Accent 5"/>
    <w:basedOn w:val="TableNormal"/>
    <w:uiPriority w:val="98"/>
    <w:semiHidden/>
    <w:unhideWhenUsed/>
    <w:rsid w:val="001F6DC1"/>
    <w:rPr>
      <w:color w:val="4D4F53" w:themeColor="text1"/>
    </w:rPr>
    <w:tblPr>
      <w:tblStyleRowBandSize w:val="1"/>
      <w:tblStyleColBandSize w:val="1"/>
      <w:tblBorders>
        <w:top w:val="single" w:sz="8" w:space="0" w:color="9B1889" w:themeColor="accent5"/>
        <w:bottom w:val="single" w:sz="8" w:space="0" w:color="9B1889" w:themeColor="accent5"/>
      </w:tblBorders>
    </w:tblPr>
    <w:tblStylePr w:type="firstRow">
      <w:rPr>
        <w:rFonts w:asciiTheme="majorHAnsi" w:eastAsiaTheme="majorEastAsia" w:hAnsiTheme="majorHAnsi" w:cstheme="majorBidi"/>
      </w:rPr>
      <w:tblPr/>
      <w:tcPr>
        <w:tcBorders>
          <w:top w:val="nil"/>
          <w:bottom w:val="single" w:sz="8" w:space="0" w:color="9B1889" w:themeColor="accent5"/>
        </w:tcBorders>
      </w:tcPr>
    </w:tblStylePr>
    <w:tblStylePr w:type="lastRow">
      <w:rPr>
        <w:b/>
        <w:bCs/>
        <w:color w:val="1C5692" w:themeColor="text2"/>
      </w:rPr>
      <w:tblPr/>
      <w:tcPr>
        <w:tcBorders>
          <w:top w:val="single" w:sz="8" w:space="0" w:color="9B1889" w:themeColor="accent5"/>
          <w:bottom w:val="single" w:sz="8" w:space="0" w:color="9B1889" w:themeColor="accent5"/>
        </w:tcBorders>
      </w:tcPr>
    </w:tblStylePr>
    <w:tblStylePr w:type="firstCol">
      <w:rPr>
        <w:b/>
        <w:bCs/>
      </w:rPr>
    </w:tblStylePr>
    <w:tblStylePr w:type="lastCol">
      <w:rPr>
        <w:b/>
        <w:bCs/>
      </w:rPr>
      <w:tblPr/>
      <w:tcPr>
        <w:tcBorders>
          <w:top w:val="single" w:sz="8" w:space="0" w:color="9B1889" w:themeColor="accent5"/>
          <w:bottom w:val="single" w:sz="8" w:space="0" w:color="9B1889" w:themeColor="accent5"/>
        </w:tcBorders>
      </w:tcPr>
    </w:tblStylePr>
    <w:tblStylePr w:type="band1Vert">
      <w:tblPr/>
      <w:tcPr>
        <w:shd w:val="clear" w:color="auto" w:fill="F4B8EB" w:themeFill="accent5" w:themeFillTint="3F"/>
      </w:tcPr>
    </w:tblStylePr>
    <w:tblStylePr w:type="band1Horz">
      <w:tblPr/>
      <w:tcPr>
        <w:shd w:val="clear" w:color="auto" w:fill="F4B8EB" w:themeFill="accent5" w:themeFillTint="3F"/>
      </w:tcPr>
    </w:tblStylePr>
  </w:style>
  <w:style w:type="table" w:styleId="MediumList1-Accent6">
    <w:name w:val="Medium List 1 Accent 6"/>
    <w:basedOn w:val="TableNormal"/>
    <w:uiPriority w:val="98"/>
    <w:semiHidden/>
    <w:unhideWhenUsed/>
    <w:rsid w:val="001F6DC1"/>
    <w:rPr>
      <w:color w:val="4D4F53" w:themeColor="text1"/>
    </w:rPr>
    <w:tblPr>
      <w:tblStyleRowBandSize w:val="1"/>
      <w:tblStyleColBandSize w:val="1"/>
      <w:tblBorders>
        <w:top w:val="single" w:sz="8" w:space="0" w:color="C9CAC8" w:themeColor="accent6"/>
        <w:bottom w:val="single" w:sz="8" w:space="0" w:color="C9CAC8" w:themeColor="accent6"/>
      </w:tblBorders>
    </w:tblPr>
    <w:tblStylePr w:type="firstRow">
      <w:rPr>
        <w:rFonts w:asciiTheme="majorHAnsi" w:eastAsiaTheme="majorEastAsia" w:hAnsiTheme="majorHAnsi" w:cstheme="majorBidi"/>
      </w:rPr>
      <w:tblPr/>
      <w:tcPr>
        <w:tcBorders>
          <w:top w:val="nil"/>
          <w:bottom w:val="single" w:sz="8" w:space="0" w:color="C9CAC8" w:themeColor="accent6"/>
        </w:tcBorders>
      </w:tcPr>
    </w:tblStylePr>
    <w:tblStylePr w:type="lastRow">
      <w:rPr>
        <w:b/>
        <w:bCs/>
        <w:color w:val="1C5692" w:themeColor="text2"/>
      </w:rPr>
      <w:tblPr/>
      <w:tcPr>
        <w:tcBorders>
          <w:top w:val="single" w:sz="8" w:space="0" w:color="C9CAC8" w:themeColor="accent6"/>
          <w:bottom w:val="single" w:sz="8" w:space="0" w:color="C9CAC8" w:themeColor="accent6"/>
        </w:tcBorders>
      </w:tcPr>
    </w:tblStylePr>
    <w:tblStylePr w:type="firstCol">
      <w:rPr>
        <w:b/>
        <w:bCs/>
      </w:rPr>
    </w:tblStylePr>
    <w:tblStylePr w:type="lastCol">
      <w:rPr>
        <w:b/>
        <w:bCs/>
      </w:rPr>
      <w:tblPr/>
      <w:tcPr>
        <w:tcBorders>
          <w:top w:val="single" w:sz="8" w:space="0" w:color="C9CAC8" w:themeColor="accent6"/>
          <w:bottom w:val="single" w:sz="8" w:space="0" w:color="C9CA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4D4F53" w:themeColor="text1"/>
        <w:left w:val="single" w:sz="8" w:space="0" w:color="4D4F53" w:themeColor="text1"/>
        <w:bottom w:val="single" w:sz="8" w:space="0" w:color="4D4F53" w:themeColor="text1"/>
        <w:right w:val="single" w:sz="8" w:space="0" w:color="4D4F53" w:themeColor="text1"/>
      </w:tblBorders>
    </w:tblPr>
    <w:tblStylePr w:type="firstRow">
      <w:rPr>
        <w:sz w:val="24"/>
        <w:szCs w:val="24"/>
      </w:rPr>
      <w:tblPr/>
      <w:tcPr>
        <w:tcBorders>
          <w:top w:val="nil"/>
          <w:left w:val="nil"/>
          <w:bottom w:val="single" w:sz="24" w:space="0" w:color="4D4F53"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F53" w:themeColor="text1"/>
          <w:insideH w:val="nil"/>
          <w:insideV w:val="nil"/>
        </w:tcBorders>
        <w:shd w:val="clear" w:color="auto" w:fill="FFFFFF" w:themeFill="background1"/>
      </w:tcPr>
    </w:tblStylePr>
    <w:tblStylePr w:type="lastCol">
      <w:tblPr/>
      <w:tcPr>
        <w:tcBorders>
          <w:top w:val="nil"/>
          <w:left w:val="single" w:sz="8" w:space="0" w:color="4D4F5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3D5" w:themeFill="text1" w:themeFillTint="3F"/>
      </w:tcPr>
    </w:tblStylePr>
    <w:tblStylePr w:type="band1Horz">
      <w:tblPr/>
      <w:tcPr>
        <w:tcBorders>
          <w:top w:val="nil"/>
          <w:bottom w:val="nil"/>
          <w:insideH w:val="nil"/>
          <w:insideV w:val="nil"/>
        </w:tcBorders>
        <w:shd w:val="clear" w:color="auto" w:fill="D2D3D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rPr>
        <w:sz w:val="24"/>
        <w:szCs w:val="24"/>
      </w:rPr>
      <w:tblPr/>
      <w:tcPr>
        <w:tcBorders>
          <w:top w:val="nil"/>
          <w:left w:val="nil"/>
          <w:bottom w:val="single" w:sz="24" w:space="0" w:color="00B0C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CA" w:themeColor="accent1"/>
          <w:insideH w:val="nil"/>
          <w:insideV w:val="nil"/>
        </w:tcBorders>
        <w:shd w:val="clear" w:color="auto" w:fill="FFFFFF" w:themeFill="background1"/>
      </w:tcPr>
    </w:tblStylePr>
    <w:tblStylePr w:type="lastCol">
      <w:tblPr/>
      <w:tcPr>
        <w:tcBorders>
          <w:top w:val="nil"/>
          <w:left w:val="single" w:sz="8" w:space="0" w:color="00B0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top w:val="nil"/>
          <w:bottom w:val="nil"/>
          <w:insideH w:val="nil"/>
          <w:insideV w:val="nil"/>
        </w:tcBorders>
        <w:shd w:val="clear" w:color="auto" w:fill="B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F89828" w:themeColor="accent2"/>
        <w:left w:val="single" w:sz="8" w:space="0" w:color="F89828" w:themeColor="accent2"/>
        <w:bottom w:val="single" w:sz="8" w:space="0" w:color="F89828" w:themeColor="accent2"/>
        <w:right w:val="single" w:sz="8" w:space="0" w:color="F89828" w:themeColor="accent2"/>
      </w:tblBorders>
    </w:tblPr>
    <w:tblStylePr w:type="firstRow">
      <w:rPr>
        <w:sz w:val="24"/>
        <w:szCs w:val="24"/>
      </w:rPr>
      <w:tblPr/>
      <w:tcPr>
        <w:tcBorders>
          <w:top w:val="nil"/>
          <w:left w:val="nil"/>
          <w:bottom w:val="single" w:sz="24" w:space="0" w:color="F8982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828" w:themeColor="accent2"/>
          <w:insideH w:val="nil"/>
          <w:insideV w:val="nil"/>
        </w:tcBorders>
        <w:shd w:val="clear" w:color="auto" w:fill="FFFFFF" w:themeFill="background1"/>
      </w:tcPr>
    </w:tblStylePr>
    <w:tblStylePr w:type="lastCol">
      <w:tblPr/>
      <w:tcPr>
        <w:tcBorders>
          <w:top w:val="nil"/>
          <w:left w:val="single" w:sz="8" w:space="0" w:color="F8982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2" w:themeFillTint="3F"/>
      </w:tcPr>
    </w:tblStylePr>
    <w:tblStylePr w:type="band1Horz">
      <w:tblPr/>
      <w:tcPr>
        <w:tcBorders>
          <w:top w:val="nil"/>
          <w:bottom w:val="nil"/>
          <w:insideH w:val="nil"/>
          <w:insideV w:val="nil"/>
        </w:tcBorders>
        <w:shd w:val="clear" w:color="auto" w:fill="FDE5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tblBorders>
    </w:tblPr>
    <w:tblStylePr w:type="firstRow">
      <w:rPr>
        <w:sz w:val="24"/>
        <w:szCs w:val="24"/>
      </w:rPr>
      <w:tblPr/>
      <w:tcPr>
        <w:tcBorders>
          <w:top w:val="nil"/>
          <w:left w:val="nil"/>
          <w:bottom w:val="single" w:sz="24" w:space="0" w:color="7AB8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B800" w:themeColor="accent3"/>
          <w:insideH w:val="nil"/>
          <w:insideV w:val="nil"/>
        </w:tcBorders>
        <w:shd w:val="clear" w:color="auto" w:fill="FFFFFF" w:themeFill="background1"/>
      </w:tcPr>
    </w:tblStylePr>
    <w:tblStylePr w:type="lastCol">
      <w:tblPr/>
      <w:tcPr>
        <w:tcBorders>
          <w:top w:val="nil"/>
          <w:left w:val="single" w:sz="8" w:space="0" w:color="7AB8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AE" w:themeFill="accent3" w:themeFillTint="3F"/>
      </w:tcPr>
    </w:tblStylePr>
    <w:tblStylePr w:type="band1Horz">
      <w:tblPr/>
      <w:tcPr>
        <w:tcBorders>
          <w:top w:val="nil"/>
          <w:bottom w:val="nil"/>
          <w:insideH w:val="nil"/>
          <w:insideV w:val="nil"/>
        </w:tcBorders>
        <w:shd w:val="clear" w:color="auto" w:fill="E3FFA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CB1B54" w:themeColor="accent4"/>
        <w:left w:val="single" w:sz="8" w:space="0" w:color="CB1B54" w:themeColor="accent4"/>
        <w:bottom w:val="single" w:sz="8" w:space="0" w:color="CB1B54" w:themeColor="accent4"/>
        <w:right w:val="single" w:sz="8" w:space="0" w:color="CB1B54" w:themeColor="accent4"/>
      </w:tblBorders>
    </w:tblPr>
    <w:tblStylePr w:type="firstRow">
      <w:rPr>
        <w:sz w:val="24"/>
        <w:szCs w:val="24"/>
      </w:rPr>
      <w:tblPr/>
      <w:tcPr>
        <w:tcBorders>
          <w:top w:val="nil"/>
          <w:left w:val="nil"/>
          <w:bottom w:val="single" w:sz="24" w:space="0" w:color="CB1B5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1B54" w:themeColor="accent4"/>
          <w:insideH w:val="nil"/>
          <w:insideV w:val="nil"/>
        </w:tcBorders>
        <w:shd w:val="clear" w:color="auto" w:fill="FFFFFF" w:themeFill="background1"/>
      </w:tcPr>
    </w:tblStylePr>
    <w:tblStylePr w:type="lastCol">
      <w:tblPr/>
      <w:tcPr>
        <w:tcBorders>
          <w:top w:val="nil"/>
          <w:left w:val="single" w:sz="8" w:space="0" w:color="CB1B5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1D2" w:themeFill="accent4" w:themeFillTint="3F"/>
      </w:tcPr>
    </w:tblStylePr>
    <w:tblStylePr w:type="band1Horz">
      <w:tblPr/>
      <w:tcPr>
        <w:tcBorders>
          <w:top w:val="nil"/>
          <w:bottom w:val="nil"/>
          <w:insideH w:val="nil"/>
          <w:insideV w:val="nil"/>
        </w:tcBorders>
        <w:shd w:val="clear" w:color="auto" w:fill="F7C1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9B1889" w:themeColor="accent5"/>
        <w:left w:val="single" w:sz="8" w:space="0" w:color="9B1889" w:themeColor="accent5"/>
        <w:bottom w:val="single" w:sz="8" w:space="0" w:color="9B1889" w:themeColor="accent5"/>
        <w:right w:val="single" w:sz="8" w:space="0" w:color="9B1889" w:themeColor="accent5"/>
      </w:tblBorders>
    </w:tblPr>
    <w:tblStylePr w:type="firstRow">
      <w:rPr>
        <w:sz w:val="24"/>
        <w:szCs w:val="24"/>
      </w:rPr>
      <w:tblPr/>
      <w:tcPr>
        <w:tcBorders>
          <w:top w:val="nil"/>
          <w:left w:val="nil"/>
          <w:bottom w:val="single" w:sz="24" w:space="0" w:color="9B1889"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1889" w:themeColor="accent5"/>
          <w:insideH w:val="nil"/>
          <w:insideV w:val="nil"/>
        </w:tcBorders>
        <w:shd w:val="clear" w:color="auto" w:fill="FFFFFF" w:themeFill="background1"/>
      </w:tcPr>
    </w:tblStylePr>
    <w:tblStylePr w:type="lastCol">
      <w:tblPr/>
      <w:tcPr>
        <w:tcBorders>
          <w:top w:val="nil"/>
          <w:left w:val="single" w:sz="8" w:space="0" w:color="9B188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8EB" w:themeFill="accent5" w:themeFillTint="3F"/>
      </w:tcPr>
    </w:tblStylePr>
    <w:tblStylePr w:type="band1Horz">
      <w:tblPr/>
      <w:tcPr>
        <w:tcBorders>
          <w:top w:val="nil"/>
          <w:bottom w:val="nil"/>
          <w:insideH w:val="nil"/>
          <w:insideV w:val="nil"/>
        </w:tcBorders>
        <w:shd w:val="clear" w:color="auto" w:fill="F4B8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4D4F53" w:themeColor="text1"/>
    </w:rPr>
    <w:tblPr>
      <w:tblStyleRowBandSize w:val="1"/>
      <w:tblStyleColBandSize w:val="1"/>
      <w:tblBorders>
        <w:top w:val="single" w:sz="8" w:space="0" w:color="C9CAC8" w:themeColor="accent6"/>
        <w:left w:val="single" w:sz="8" w:space="0" w:color="C9CAC8" w:themeColor="accent6"/>
        <w:bottom w:val="single" w:sz="8" w:space="0" w:color="C9CAC8" w:themeColor="accent6"/>
        <w:right w:val="single" w:sz="8" w:space="0" w:color="C9CAC8" w:themeColor="accent6"/>
      </w:tblBorders>
    </w:tblPr>
    <w:tblStylePr w:type="firstRow">
      <w:rPr>
        <w:sz w:val="24"/>
        <w:szCs w:val="24"/>
      </w:rPr>
      <w:tblPr/>
      <w:tcPr>
        <w:tcBorders>
          <w:top w:val="nil"/>
          <w:left w:val="nil"/>
          <w:bottom w:val="single" w:sz="24" w:space="0" w:color="C9CA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AC8" w:themeColor="accent6"/>
          <w:insideH w:val="nil"/>
          <w:insideV w:val="nil"/>
        </w:tcBorders>
        <w:shd w:val="clear" w:color="auto" w:fill="FFFFFF" w:themeFill="background1"/>
      </w:tcPr>
    </w:tblStylePr>
    <w:tblStylePr w:type="lastCol">
      <w:tblPr/>
      <w:tcPr>
        <w:tcBorders>
          <w:top w:val="nil"/>
          <w:left w:val="single" w:sz="8" w:space="0" w:color="C9CA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777A80" w:themeColor="text1" w:themeTint="BF"/>
        <w:left w:val="single" w:sz="8" w:space="0" w:color="777A80" w:themeColor="text1" w:themeTint="BF"/>
        <w:bottom w:val="single" w:sz="8" w:space="0" w:color="777A80" w:themeColor="text1" w:themeTint="BF"/>
        <w:right w:val="single" w:sz="8" w:space="0" w:color="777A80" w:themeColor="text1" w:themeTint="BF"/>
        <w:insideH w:val="single" w:sz="8" w:space="0" w:color="777A80" w:themeColor="text1" w:themeTint="BF"/>
      </w:tblBorders>
    </w:tblPr>
    <w:tblStylePr w:type="firstRow">
      <w:pPr>
        <w:spacing w:before="0" w:after="0" w:line="240" w:lineRule="auto"/>
      </w:pPr>
      <w:rPr>
        <w:b/>
        <w:bCs/>
        <w:color w:val="FFFFFF" w:themeColor="background1"/>
      </w:rPr>
      <w:tblPr/>
      <w:tcPr>
        <w:tcBorders>
          <w:top w:val="single" w:sz="8" w:space="0" w:color="777A80" w:themeColor="text1" w:themeTint="BF"/>
          <w:left w:val="single" w:sz="8" w:space="0" w:color="777A80" w:themeColor="text1" w:themeTint="BF"/>
          <w:bottom w:val="single" w:sz="8" w:space="0" w:color="777A80" w:themeColor="text1" w:themeTint="BF"/>
          <w:right w:val="single" w:sz="8" w:space="0" w:color="777A80" w:themeColor="text1" w:themeTint="BF"/>
          <w:insideH w:val="nil"/>
          <w:insideV w:val="nil"/>
        </w:tcBorders>
        <w:shd w:val="clear" w:color="auto" w:fill="4D4F53" w:themeFill="text1"/>
      </w:tcPr>
    </w:tblStylePr>
    <w:tblStylePr w:type="lastRow">
      <w:pPr>
        <w:spacing w:before="0" w:after="0" w:line="240" w:lineRule="auto"/>
      </w:pPr>
      <w:rPr>
        <w:b/>
        <w:bCs/>
      </w:rPr>
      <w:tblPr/>
      <w:tcPr>
        <w:tcBorders>
          <w:top w:val="double" w:sz="6" w:space="0" w:color="777A80" w:themeColor="text1" w:themeTint="BF"/>
          <w:left w:val="single" w:sz="8" w:space="0" w:color="777A80" w:themeColor="text1" w:themeTint="BF"/>
          <w:bottom w:val="single" w:sz="8" w:space="0" w:color="777A80" w:themeColor="text1" w:themeTint="BF"/>
          <w:right w:val="single" w:sz="8" w:space="0" w:color="777A80" w:themeColor="text1" w:themeTint="BF"/>
          <w:insideH w:val="nil"/>
          <w:insideV w:val="nil"/>
        </w:tcBorders>
      </w:tcPr>
    </w:tblStylePr>
    <w:tblStylePr w:type="firstCol">
      <w:rPr>
        <w:b/>
        <w:bCs/>
      </w:rPr>
    </w:tblStylePr>
    <w:tblStylePr w:type="lastCol">
      <w:rPr>
        <w:b/>
        <w:bCs/>
      </w:rPr>
    </w:tblStylePr>
    <w:tblStylePr w:type="band1Vert">
      <w:tblPr/>
      <w:tcPr>
        <w:shd w:val="clear" w:color="auto" w:fill="D2D3D5" w:themeFill="text1" w:themeFillTint="3F"/>
      </w:tcPr>
    </w:tblStylePr>
    <w:tblStylePr w:type="band1Horz">
      <w:tblPr/>
      <w:tcPr>
        <w:tcBorders>
          <w:insideH w:val="nil"/>
          <w:insideV w:val="nil"/>
        </w:tcBorders>
        <w:shd w:val="clear" w:color="auto" w:fill="D2D3D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tblBorders>
    </w:tblPr>
    <w:tblStylePr w:type="firstRow">
      <w:pPr>
        <w:spacing w:before="0" w:after="0" w:line="240" w:lineRule="auto"/>
      </w:pPr>
      <w:rPr>
        <w:b/>
        <w:bCs/>
        <w:color w:val="FFFFFF" w:themeColor="background1"/>
      </w:rPr>
      <w:tblPr/>
      <w:tcPr>
        <w:tc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shd w:val="clear" w:color="auto" w:fill="00B0CA" w:themeFill="accent1"/>
      </w:tcPr>
    </w:tblStylePr>
    <w:tblStylePr w:type="lastRow">
      <w:pPr>
        <w:spacing w:before="0" w:after="0" w:line="240" w:lineRule="auto"/>
      </w:pPr>
      <w:rPr>
        <w:b/>
        <w:bCs/>
      </w:rPr>
      <w:tblPr/>
      <w:tcPr>
        <w:tcBorders>
          <w:top w:val="double" w:sz="6"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F5FF" w:themeFill="accent1" w:themeFillTint="3F"/>
      </w:tcPr>
    </w:tblStylePr>
    <w:tblStylePr w:type="band1Horz">
      <w:tblPr/>
      <w:tcPr>
        <w:tcBorders>
          <w:insideH w:val="nil"/>
          <w:insideV w:val="nil"/>
        </w:tcBorders>
        <w:shd w:val="clear" w:color="auto" w:fill="B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F9B15D" w:themeColor="accent2" w:themeTint="BF"/>
        <w:left w:val="single" w:sz="8" w:space="0" w:color="F9B15D" w:themeColor="accent2" w:themeTint="BF"/>
        <w:bottom w:val="single" w:sz="8" w:space="0" w:color="F9B15D" w:themeColor="accent2" w:themeTint="BF"/>
        <w:right w:val="single" w:sz="8" w:space="0" w:color="F9B15D" w:themeColor="accent2" w:themeTint="BF"/>
        <w:insideH w:val="single" w:sz="8" w:space="0" w:color="F9B15D" w:themeColor="accent2" w:themeTint="BF"/>
      </w:tblBorders>
    </w:tblPr>
    <w:tblStylePr w:type="firstRow">
      <w:pPr>
        <w:spacing w:before="0" w:after="0" w:line="240" w:lineRule="auto"/>
      </w:pPr>
      <w:rPr>
        <w:b/>
        <w:bCs/>
        <w:color w:val="FFFFFF" w:themeColor="background1"/>
      </w:rPr>
      <w:tblPr/>
      <w:tcPr>
        <w:tcBorders>
          <w:top w:val="single" w:sz="8" w:space="0" w:color="F9B15D" w:themeColor="accent2" w:themeTint="BF"/>
          <w:left w:val="single" w:sz="8" w:space="0" w:color="F9B15D" w:themeColor="accent2" w:themeTint="BF"/>
          <w:bottom w:val="single" w:sz="8" w:space="0" w:color="F9B15D" w:themeColor="accent2" w:themeTint="BF"/>
          <w:right w:val="single" w:sz="8" w:space="0" w:color="F9B15D" w:themeColor="accent2" w:themeTint="BF"/>
          <w:insideH w:val="nil"/>
          <w:insideV w:val="nil"/>
        </w:tcBorders>
        <w:shd w:val="clear" w:color="auto" w:fill="F89828" w:themeFill="accent2"/>
      </w:tcPr>
    </w:tblStylePr>
    <w:tblStylePr w:type="lastRow">
      <w:pPr>
        <w:spacing w:before="0" w:after="0" w:line="240" w:lineRule="auto"/>
      </w:pPr>
      <w:rPr>
        <w:b/>
        <w:bCs/>
      </w:rPr>
      <w:tblPr/>
      <w:tcPr>
        <w:tcBorders>
          <w:top w:val="double" w:sz="6" w:space="0" w:color="F9B15D" w:themeColor="accent2" w:themeTint="BF"/>
          <w:left w:val="single" w:sz="8" w:space="0" w:color="F9B15D" w:themeColor="accent2" w:themeTint="BF"/>
          <w:bottom w:val="single" w:sz="8" w:space="0" w:color="F9B15D" w:themeColor="accent2" w:themeTint="BF"/>
          <w:right w:val="single" w:sz="8" w:space="0" w:color="F9B1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2" w:themeFillTint="3F"/>
      </w:tcPr>
    </w:tblStylePr>
    <w:tblStylePr w:type="band1Horz">
      <w:tblPr/>
      <w:tcPr>
        <w:tcBorders>
          <w:insideH w:val="nil"/>
          <w:insideV w:val="nil"/>
        </w:tcBorders>
        <w:shd w:val="clear" w:color="auto" w:fill="FDE5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single" w:sz="8" w:space="0" w:color="ACFF0A" w:themeColor="accent3" w:themeTint="BF"/>
      </w:tblBorders>
    </w:tblPr>
    <w:tblStylePr w:type="firstRow">
      <w:pPr>
        <w:spacing w:before="0" w:after="0" w:line="240" w:lineRule="auto"/>
      </w:pPr>
      <w:rPr>
        <w:b/>
        <w:bCs/>
        <w:color w:val="FFFFFF" w:themeColor="background1"/>
      </w:rPr>
      <w:tblPr/>
      <w:tcPr>
        <w:tcBorders>
          <w:top w:val="single" w:sz="8"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nil"/>
          <w:insideV w:val="nil"/>
        </w:tcBorders>
        <w:shd w:val="clear" w:color="auto" w:fill="7AB800" w:themeFill="accent3"/>
      </w:tcPr>
    </w:tblStylePr>
    <w:tblStylePr w:type="lastRow">
      <w:pPr>
        <w:spacing w:before="0" w:after="0" w:line="240" w:lineRule="auto"/>
      </w:pPr>
      <w:rPr>
        <w:b/>
        <w:bCs/>
      </w:rPr>
      <w:tblPr/>
      <w:tcPr>
        <w:tcBorders>
          <w:top w:val="double" w:sz="6"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FFAE" w:themeFill="accent3" w:themeFillTint="3F"/>
      </w:tcPr>
    </w:tblStylePr>
    <w:tblStylePr w:type="band1Horz">
      <w:tblPr/>
      <w:tcPr>
        <w:tcBorders>
          <w:insideH w:val="nil"/>
          <w:insideV w:val="nil"/>
        </w:tcBorders>
        <w:shd w:val="clear" w:color="auto" w:fill="E3FFA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E64579" w:themeColor="accent4" w:themeTint="BF"/>
        <w:left w:val="single" w:sz="8" w:space="0" w:color="E64579" w:themeColor="accent4" w:themeTint="BF"/>
        <w:bottom w:val="single" w:sz="8" w:space="0" w:color="E64579" w:themeColor="accent4" w:themeTint="BF"/>
        <w:right w:val="single" w:sz="8" w:space="0" w:color="E64579" w:themeColor="accent4" w:themeTint="BF"/>
        <w:insideH w:val="single" w:sz="8" w:space="0" w:color="E64579" w:themeColor="accent4" w:themeTint="BF"/>
      </w:tblBorders>
    </w:tblPr>
    <w:tblStylePr w:type="firstRow">
      <w:pPr>
        <w:spacing w:before="0" w:after="0" w:line="240" w:lineRule="auto"/>
      </w:pPr>
      <w:rPr>
        <w:b/>
        <w:bCs/>
        <w:color w:val="FFFFFF" w:themeColor="background1"/>
      </w:rPr>
      <w:tblPr/>
      <w:tcPr>
        <w:tcBorders>
          <w:top w:val="single" w:sz="8" w:space="0" w:color="E64579" w:themeColor="accent4" w:themeTint="BF"/>
          <w:left w:val="single" w:sz="8" w:space="0" w:color="E64579" w:themeColor="accent4" w:themeTint="BF"/>
          <w:bottom w:val="single" w:sz="8" w:space="0" w:color="E64579" w:themeColor="accent4" w:themeTint="BF"/>
          <w:right w:val="single" w:sz="8" w:space="0" w:color="E64579" w:themeColor="accent4" w:themeTint="BF"/>
          <w:insideH w:val="nil"/>
          <w:insideV w:val="nil"/>
        </w:tcBorders>
        <w:shd w:val="clear" w:color="auto" w:fill="CB1B54" w:themeFill="accent4"/>
      </w:tcPr>
    </w:tblStylePr>
    <w:tblStylePr w:type="lastRow">
      <w:pPr>
        <w:spacing w:before="0" w:after="0" w:line="240" w:lineRule="auto"/>
      </w:pPr>
      <w:rPr>
        <w:b/>
        <w:bCs/>
      </w:rPr>
      <w:tblPr/>
      <w:tcPr>
        <w:tcBorders>
          <w:top w:val="double" w:sz="6" w:space="0" w:color="E64579" w:themeColor="accent4" w:themeTint="BF"/>
          <w:left w:val="single" w:sz="8" w:space="0" w:color="E64579" w:themeColor="accent4" w:themeTint="BF"/>
          <w:bottom w:val="single" w:sz="8" w:space="0" w:color="E64579" w:themeColor="accent4" w:themeTint="BF"/>
          <w:right w:val="single" w:sz="8" w:space="0" w:color="E6457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C1D2" w:themeFill="accent4" w:themeFillTint="3F"/>
      </w:tcPr>
    </w:tblStylePr>
    <w:tblStylePr w:type="band1Horz">
      <w:tblPr/>
      <w:tcPr>
        <w:tcBorders>
          <w:insideH w:val="nil"/>
          <w:insideV w:val="nil"/>
        </w:tcBorders>
        <w:shd w:val="clear" w:color="auto" w:fill="F7C1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DD28C4" w:themeColor="accent5" w:themeTint="BF"/>
        <w:left w:val="single" w:sz="8" w:space="0" w:color="DD28C4" w:themeColor="accent5" w:themeTint="BF"/>
        <w:bottom w:val="single" w:sz="8" w:space="0" w:color="DD28C4" w:themeColor="accent5" w:themeTint="BF"/>
        <w:right w:val="single" w:sz="8" w:space="0" w:color="DD28C4" w:themeColor="accent5" w:themeTint="BF"/>
        <w:insideH w:val="single" w:sz="8" w:space="0" w:color="DD28C4" w:themeColor="accent5" w:themeTint="BF"/>
      </w:tblBorders>
    </w:tblPr>
    <w:tblStylePr w:type="firstRow">
      <w:pPr>
        <w:spacing w:before="0" w:after="0" w:line="240" w:lineRule="auto"/>
      </w:pPr>
      <w:rPr>
        <w:b/>
        <w:bCs/>
        <w:color w:val="FFFFFF" w:themeColor="background1"/>
      </w:rPr>
      <w:tblPr/>
      <w:tcPr>
        <w:tcBorders>
          <w:top w:val="single" w:sz="8" w:space="0" w:color="DD28C4" w:themeColor="accent5" w:themeTint="BF"/>
          <w:left w:val="single" w:sz="8" w:space="0" w:color="DD28C4" w:themeColor="accent5" w:themeTint="BF"/>
          <w:bottom w:val="single" w:sz="8" w:space="0" w:color="DD28C4" w:themeColor="accent5" w:themeTint="BF"/>
          <w:right w:val="single" w:sz="8" w:space="0" w:color="DD28C4" w:themeColor="accent5" w:themeTint="BF"/>
          <w:insideH w:val="nil"/>
          <w:insideV w:val="nil"/>
        </w:tcBorders>
        <w:shd w:val="clear" w:color="auto" w:fill="9B1889" w:themeFill="accent5"/>
      </w:tcPr>
    </w:tblStylePr>
    <w:tblStylePr w:type="lastRow">
      <w:pPr>
        <w:spacing w:before="0" w:after="0" w:line="240" w:lineRule="auto"/>
      </w:pPr>
      <w:rPr>
        <w:b/>
        <w:bCs/>
      </w:rPr>
      <w:tblPr/>
      <w:tcPr>
        <w:tcBorders>
          <w:top w:val="double" w:sz="6" w:space="0" w:color="DD28C4" w:themeColor="accent5" w:themeTint="BF"/>
          <w:left w:val="single" w:sz="8" w:space="0" w:color="DD28C4" w:themeColor="accent5" w:themeTint="BF"/>
          <w:bottom w:val="single" w:sz="8" w:space="0" w:color="DD28C4" w:themeColor="accent5" w:themeTint="BF"/>
          <w:right w:val="single" w:sz="8" w:space="0" w:color="DD28C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B8EB" w:themeFill="accent5" w:themeFillTint="3F"/>
      </w:tcPr>
    </w:tblStylePr>
    <w:tblStylePr w:type="band1Horz">
      <w:tblPr/>
      <w:tcPr>
        <w:tcBorders>
          <w:insideH w:val="nil"/>
          <w:insideV w:val="nil"/>
        </w:tcBorders>
        <w:shd w:val="clear" w:color="auto" w:fill="F4B8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D6D7D5" w:themeColor="accent6" w:themeTint="BF"/>
        <w:left w:val="single" w:sz="8" w:space="0" w:color="D6D7D5" w:themeColor="accent6" w:themeTint="BF"/>
        <w:bottom w:val="single" w:sz="8" w:space="0" w:color="D6D7D5" w:themeColor="accent6" w:themeTint="BF"/>
        <w:right w:val="single" w:sz="8" w:space="0" w:color="D6D7D5" w:themeColor="accent6" w:themeTint="BF"/>
        <w:insideH w:val="single" w:sz="8" w:space="0" w:color="D6D7D5" w:themeColor="accent6" w:themeTint="BF"/>
      </w:tblBorders>
    </w:tblPr>
    <w:tblStylePr w:type="firstRow">
      <w:pPr>
        <w:spacing w:before="0" w:after="0" w:line="240" w:lineRule="auto"/>
      </w:pPr>
      <w:rPr>
        <w:b/>
        <w:bCs/>
        <w:color w:val="FFFFFF" w:themeColor="background1"/>
      </w:rPr>
      <w:tblPr/>
      <w:tcPr>
        <w:tcBorders>
          <w:top w:val="single" w:sz="8" w:space="0" w:color="D6D7D5" w:themeColor="accent6" w:themeTint="BF"/>
          <w:left w:val="single" w:sz="8" w:space="0" w:color="D6D7D5" w:themeColor="accent6" w:themeTint="BF"/>
          <w:bottom w:val="single" w:sz="8" w:space="0" w:color="D6D7D5" w:themeColor="accent6" w:themeTint="BF"/>
          <w:right w:val="single" w:sz="8" w:space="0" w:color="D6D7D5" w:themeColor="accent6" w:themeTint="BF"/>
          <w:insideH w:val="nil"/>
          <w:insideV w:val="nil"/>
        </w:tcBorders>
        <w:shd w:val="clear" w:color="auto" w:fill="C9CAC8" w:themeFill="accent6"/>
      </w:tcPr>
    </w:tblStylePr>
    <w:tblStylePr w:type="lastRow">
      <w:pPr>
        <w:spacing w:before="0" w:after="0" w:line="240" w:lineRule="auto"/>
      </w:pPr>
      <w:rPr>
        <w:b/>
        <w:bCs/>
      </w:rPr>
      <w:tblPr/>
      <w:tcPr>
        <w:tcBorders>
          <w:top w:val="double" w:sz="6" w:space="0" w:color="D6D7D5" w:themeColor="accent6" w:themeTint="BF"/>
          <w:left w:val="single" w:sz="8" w:space="0" w:color="D6D7D5" w:themeColor="accent6" w:themeTint="BF"/>
          <w:bottom w:val="single" w:sz="8" w:space="0" w:color="D6D7D5" w:themeColor="accent6" w:themeTint="BF"/>
          <w:right w:val="single" w:sz="8" w:space="0" w:color="D6D7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F5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F53" w:themeFill="text1"/>
      </w:tcPr>
    </w:tblStylePr>
    <w:tblStylePr w:type="lastCol">
      <w:rPr>
        <w:b/>
        <w:bCs/>
        <w:color w:val="FFFFFF" w:themeColor="background1"/>
      </w:rPr>
      <w:tblPr/>
      <w:tcPr>
        <w:tcBorders>
          <w:left w:val="nil"/>
          <w:right w:val="nil"/>
          <w:insideH w:val="nil"/>
          <w:insideV w:val="nil"/>
        </w:tcBorders>
        <w:shd w:val="clear" w:color="auto" w:fill="4D4F5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CA" w:themeFill="accent1"/>
      </w:tcPr>
    </w:tblStylePr>
    <w:tblStylePr w:type="lastCol">
      <w:rPr>
        <w:b/>
        <w:bCs/>
        <w:color w:val="FFFFFF" w:themeColor="background1"/>
      </w:rPr>
      <w:tblPr/>
      <w:tcPr>
        <w:tcBorders>
          <w:left w:val="nil"/>
          <w:right w:val="nil"/>
          <w:insideH w:val="nil"/>
          <w:insideV w:val="nil"/>
        </w:tcBorders>
        <w:shd w:val="clear" w:color="auto" w:fill="00B0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82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89828" w:themeFill="accent2"/>
      </w:tcPr>
    </w:tblStylePr>
    <w:tblStylePr w:type="lastCol">
      <w:rPr>
        <w:b/>
        <w:bCs/>
        <w:color w:val="FFFFFF" w:themeColor="background1"/>
      </w:rPr>
      <w:tblPr/>
      <w:tcPr>
        <w:tcBorders>
          <w:left w:val="nil"/>
          <w:right w:val="nil"/>
          <w:insideH w:val="nil"/>
          <w:insideV w:val="nil"/>
        </w:tcBorders>
        <w:shd w:val="clear" w:color="auto" w:fill="F8982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B8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B800" w:themeFill="accent3"/>
      </w:tcPr>
    </w:tblStylePr>
    <w:tblStylePr w:type="lastCol">
      <w:rPr>
        <w:b/>
        <w:bCs/>
        <w:color w:val="FFFFFF" w:themeColor="background1"/>
      </w:rPr>
      <w:tblPr/>
      <w:tcPr>
        <w:tcBorders>
          <w:left w:val="nil"/>
          <w:right w:val="nil"/>
          <w:insideH w:val="nil"/>
          <w:insideV w:val="nil"/>
        </w:tcBorders>
        <w:shd w:val="clear" w:color="auto" w:fill="7AB8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1B5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1B54" w:themeFill="accent4"/>
      </w:tcPr>
    </w:tblStylePr>
    <w:tblStylePr w:type="lastCol">
      <w:rPr>
        <w:b/>
        <w:bCs/>
        <w:color w:val="FFFFFF" w:themeColor="background1"/>
      </w:rPr>
      <w:tblPr/>
      <w:tcPr>
        <w:tcBorders>
          <w:left w:val="nil"/>
          <w:right w:val="nil"/>
          <w:insideH w:val="nil"/>
          <w:insideV w:val="nil"/>
        </w:tcBorders>
        <w:shd w:val="clear" w:color="auto" w:fill="CB1B5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188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1889" w:themeFill="accent5"/>
      </w:tcPr>
    </w:tblStylePr>
    <w:tblStylePr w:type="lastCol">
      <w:rPr>
        <w:b/>
        <w:bCs/>
        <w:color w:val="FFFFFF" w:themeColor="background1"/>
      </w:rPr>
      <w:tblPr/>
      <w:tcPr>
        <w:tcBorders>
          <w:left w:val="nil"/>
          <w:right w:val="nil"/>
          <w:insideH w:val="nil"/>
          <w:insideV w:val="nil"/>
        </w:tcBorders>
        <w:shd w:val="clear" w:color="auto" w:fill="9B188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A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AC8" w:themeFill="accent6"/>
      </w:tcPr>
    </w:tblStylePr>
    <w:tblStylePr w:type="lastCol">
      <w:rPr>
        <w:b/>
        <w:bCs/>
        <w:color w:val="FFFFFF" w:themeColor="background1"/>
      </w:rPr>
      <w:tblPr/>
      <w:tcPr>
        <w:tcBorders>
          <w:left w:val="nil"/>
          <w:right w:val="nil"/>
          <w:insideH w:val="nil"/>
          <w:insideV w:val="nil"/>
        </w:tcBorders>
        <w:shd w:val="clear" w:color="auto" w:fill="C9CA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qFormat/>
    <w:rsid w:val="009C6C1A"/>
    <w:pPr>
      <w:framePr w:w="0" w:wrap="auto" w:vAnchor="margin" w:yAlign="inline"/>
      <w:spacing w:before="0" w:after="600"/>
      <w:outlineLvl w:val="9"/>
    </w:pPr>
    <w:rPr>
      <w:sz w:val="36"/>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C9CAC8"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1C5692" w:themeColor="text2"/>
      <w:sz w:val="40"/>
    </w:rPr>
  </w:style>
  <w:style w:type="paragraph" w:customStyle="1" w:styleId="IntroCopy">
    <w:name w:val="Intro Copy"/>
    <w:basedOn w:val="Normal"/>
    <w:uiPriority w:val="2"/>
    <w:qFormat/>
    <w:rsid w:val="00474510"/>
    <w:pPr>
      <w:spacing w:before="240" w:after="240" w:line="340" w:lineRule="atLeast"/>
    </w:pPr>
    <w:rPr>
      <w:color w:val="1C5692" w:themeColor="text2"/>
      <w:sz w:val="24"/>
    </w:rPr>
  </w:style>
  <w:style w:type="paragraph" w:customStyle="1" w:styleId="SourceNotes">
    <w:name w:val="Source Notes"/>
    <w:basedOn w:val="Normal"/>
    <w:uiPriority w:val="12"/>
    <w:qFormat/>
    <w:rsid w:val="003337B3"/>
    <w:pPr>
      <w:spacing w:before="40" w:line="240" w:lineRule="atLeast"/>
    </w:pPr>
    <w:rPr>
      <w:i/>
      <w:sz w:val="16"/>
    </w:rPr>
  </w:style>
  <w:style w:type="paragraph" w:styleId="FootnoteText">
    <w:name w:val="footnote text"/>
    <w:basedOn w:val="Normal"/>
    <w:link w:val="FootnoteTextChar"/>
    <w:uiPriority w:val="99"/>
    <w:rsid w:val="00847E29"/>
    <w:pPr>
      <w:spacing w:after="20" w:line="160" w:lineRule="atLeast"/>
    </w:pPr>
    <w:rPr>
      <w:sz w:val="14"/>
      <w:szCs w:val="20"/>
    </w:rPr>
  </w:style>
  <w:style w:type="paragraph" w:customStyle="1" w:styleId="TableAutoNumbering">
    <w:name w:val="Table AutoNumbering"/>
    <w:basedOn w:val="TableText"/>
    <w:uiPriority w:val="11"/>
    <w:qFormat/>
    <w:rsid w:val="00205EB1"/>
    <w:pPr>
      <w:numPr>
        <w:numId w:val="7"/>
      </w:numPr>
      <w:ind w:left="284" w:hanging="284"/>
    </w:pPr>
    <w:rPr>
      <w:b/>
      <w:color w:val="1C5692" w:themeColor="text2"/>
    </w:rPr>
  </w:style>
  <w:style w:type="paragraph" w:customStyle="1" w:styleId="DocumentTitleFieldLink">
    <w:name w:val="Document Title FieldLink"/>
    <w:basedOn w:val="Heading1"/>
    <w:next w:val="Normal"/>
    <w:uiPriority w:val="20"/>
    <w:qFormat/>
    <w:rsid w:val="00581230"/>
    <w:pPr>
      <w:numPr>
        <w:numId w:val="0"/>
      </w:numPr>
      <w:spacing w:after="360" w:line="240" w:lineRule="atLeast"/>
      <w:outlineLvl w:val="9"/>
    </w:pPr>
    <w:rPr>
      <w:rFonts w:asciiTheme="majorHAnsi" w:hAnsiTheme="majorHAnsi"/>
      <w:sz w:val="40"/>
    </w:rPr>
  </w:style>
  <w:style w:type="paragraph" w:customStyle="1" w:styleId="NumberedHeading1">
    <w:name w:val="Numbered Heading 1"/>
    <w:basedOn w:val="Heading1"/>
    <w:next w:val="Normal"/>
    <w:link w:val="NumberedHeading1Char"/>
    <w:uiPriority w:val="1"/>
    <w:qFormat/>
    <w:rsid w:val="008A735F"/>
    <w:pPr>
      <w:numPr>
        <w:ilvl w:val="1"/>
        <w:numId w:val="11"/>
      </w:numPr>
    </w:pPr>
  </w:style>
  <w:style w:type="paragraph" w:customStyle="1" w:styleId="NumberedHeading2">
    <w:name w:val="Numbered Heading 2"/>
    <w:basedOn w:val="Heading2"/>
    <w:link w:val="NumberedHeading2Char"/>
    <w:uiPriority w:val="1"/>
    <w:qFormat/>
    <w:rsid w:val="008A735F"/>
    <w:pPr>
      <w:numPr>
        <w:ilvl w:val="2"/>
        <w:numId w:val="11"/>
      </w:numPr>
    </w:pPr>
  </w:style>
  <w:style w:type="character" w:customStyle="1" w:styleId="NumberedHeading1Char">
    <w:name w:val="Numbered Heading 1 Char"/>
    <w:basedOn w:val="Heading1Char"/>
    <w:link w:val="NumberedHeading1"/>
    <w:uiPriority w:val="1"/>
    <w:rsid w:val="008D395E"/>
    <w:rPr>
      <w:rFonts w:ascii="Century Gothic" w:eastAsiaTheme="minorHAnsi" w:hAnsi="Century Gothic" w:cs="Calibri"/>
      <w:b/>
      <w:bCs/>
      <w:iCs/>
      <w:color w:val="1C5692" w:themeColor="text2"/>
      <w:sz w:val="32"/>
      <w:szCs w:val="28"/>
      <w:lang w:eastAsia="en-US"/>
    </w:rPr>
  </w:style>
  <w:style w:type="paragraph" w:customStyle="1" w:styleId="NumberedHeading3">
    <w:name w:val="Numbered Heading 3"/>
    <w:basedOn w:val="Heading3"/>
    <w:next w:val="NormalIndented3"/>
    <w:link w:val="NumberedHeading3Char"/>
    <w:uiPriority w:val="1"/>
    <w:qFormat/>
    <w:rsid w:val="008A735F"/>
    <w:pPr>
      <w:numPr>
        <w:ilvl w:val="3"/>
        <w:numId w:val="11"/>
      </w:numPr>
    </w:pPr>
  </w:style>
  <w:style w:type="numbering" w:customStyle="1" w:styleId="MasterHeadings">
    <w:name w:val="_MasterHeadings"/>
    <w:uiPriority w:val="99"/>
    <w:rsid w:val="008A735F"/>
    <w:pPr>
      <w:numPr>
        <w:numId w:val="8"/>
      </w:numPr>
    </w:pPr>
  </w:style>
  <w:style w:type="character" w:customStyle="1" w:styleId="Heading3Char">
    <w:name w:val="Heading 3 Char"/>
    <w:basedOn w:val="Heading1Char"/>
    <w:link w:val="Heading3"/>
    <w:uiPriority w:val="1"/>
    <w:rsid w:val="005D1DE3"/>
    <w:rPr>
      <w:rFonts w:ascii="Century Gothic" w:eastAsiaTheme="minorHAnsi" w:hAnsi="Century Gothic" w:cs="Calibri"/>
      <w:b/>
      <w:bCs w:val="0"/>
      <w:iCs/>
      <w:color w:val="000000"/>
      <w:sz w:val="22"/>
      <w:szCs w:val="26"/>
      <w:lang w:eastAsia="en-US"/>
    </w:rPr>
  </w:style>
  <w:style w:type="character" w:customStyle="1" w:styleId="NumberedHeading3Char">
    <w:name w:val="Numbered Heading 3 Char"/>
    <w:basedOn w:val="Heading3Char"/>
    <w:link w:val="NumberedHeading3"/>
    <w:uiPriority w:val="1"/>
    <w:rsid w:val="00CE5852"/>
    <w:rPr>
      <w:rFonts w:ascii="Century Gothic" w:eastAsiaTheme="minorHAnsi" w:hAnsi="Century Gothic" w:cs="Calibri"/>
      <w:b/>
      <w:bCs w:val="0"/>
      <w:iCs/>
      <w:color w:val="000000"/>
      <w:sz w:val="22"/>
      <w:szCs w:val="26"/>
      <w:lang w:eastAsia="en-US"/>
    </w:rPr>
  </w:style>
  <w:style w:type="character" w:customStyle="1" w:styleId="Heading2Char">
    <w:name w:val="Heading 2 Char"/>
    <w:basedOn w:val="Heading1Char"/>
    <w:link w:val="Heading2"/>
    <w:uiPriority w:val="1"/>
    <w:rsid w:val="00643149"/>
    <w:rPr>
      <w:rFonts w:ascii="Century Gothic" w:eastAsiaTheme="minorHAnsi" w:hAnsi="Century Gothic" w:cs="Calibri"/>
      <w:b/>
      <w:bCs/>
      <w:iCs/>
      <w:color w:val="4D4F53" w:themeColor="text1"/>
      <w:sz w:val="24"/>
      <w:szCs w:val="26"/>
      <w:lang w:eastAsia="en-US"/>
    </w:rPr>
  </w:style>
  <w:style w:type="character" w:customStyle="1" w:styleId="NumberedHeading2Char">
    <w:name w:val="Numbered Heading 2 Char"/>
    <w:basedOn w:val="Heading2Char"/>
    <w:link w:val="NumberedHeading2"/>
    <w:uiPriority w:val="1"/>
    <w:rsid w:val="009761FA"/>
    <w:rPr>
      <w:rFonts w:ascii="Century Gothic" w:eastAsiaTheme="minorHAnsi" w:hAnsi="Century Gothic" w:cs="Calibri"/>
      <w:b/>
      <w:bCs/>
      <w:iCs/>
      <w:color w:val="4D4F53" w:themeColor="text1"/>
      <w:sz w:val="24"/>
      <w:szCs w:val="26"/>
      <w:lang w:eastAsia="en-US"/>
    </w:rPr>
  </w:style>
  <w:style w:type="paragraph" w:customStyle="1" w:styleId="NumberedListAutoRestart">
    <w:name w:val="Numbered List (Auto Restart)"/>
    <w:basedOn w:val="ListNumber"/>
    <w:link w:val="NumberedListAutoRestartChar"/>
    <w:uiPriority w:val="1"/>
    <w:qFormat/>
    <w:rsid w:val="001A7F27"/>
    <w:pPr>
      <w:numPr>
        <w:ilvl w:val="4"/>
        <w:numId w:val="11"/>
      </w:numPr>
      <w:spacing w:after="100"/>
    </w:pPr>
  </w:style>
  <w:style w:type="paragraph" w:customStyle="1" w:styleId="NormalIndented1">
    <w:name w:val="Normal Indented 1"/>
    <w:basedOn w:val="Normal"/>
    <w:uiPriority w:val="2"/>
    <w:qFormat/>
    <w:rsid w:val="00DD18C7"/>
    <w:pPr>
      <w:ind w:left="284"/>
    </w:pPr>
  </w:style>
  <w:style w:type="paragraph" w:customStyle="1" w:styleId="NormalIndented2">
    <w:name w:val="Normal Indented 2"/>
    <w:basedOn w:val="NormalIndented1"/>
    <w:uiPriority w:val="2"/>
    <w:qFormat/>
    <w:rsid w:val="00301A3A"/>
    <w:pPr>
      <w:ind w:left="567"/>
    </w:pPr>
  </w:style>
  <w:style w:type="paragraph" w:customStyle="1" w:styleId="NormalIndented3">
    <w:name w:val="Normal Indented 3"/>
    <w:basedOn w:val="Normal"/>
    <w:uiPriority w:val="2"/>
    <w:qFormat/>
    <w:rsid w:val="00301A3A"/>
    <w:pPr>
      <w:ind w:left="851"/>
    </w:pPr>
  </w:style>
  <w:style w:type="paragraph" w:customStyle="1" w:styleId="Date-FooterLink">
    <w:name w:val="Date - Footer Link"/>
    <w:basedOn w:val="Normal"/>
    <w:semiHidden/>
    <w:qFormat/>
    <w:rsid w:val="00217E6A"/>
    <w:rPr>
      <w:rFonts w:asciiTheme="majorHAnsi" w:hAnsiTheme="majorHAnsi"/>
      <w:b/>
      <w:color w:val="1C5692" w:themeColor="text2"/>
      <w:sz w:val="24"/>
    </w:rPr>
  </w:style>
  <w:style w:type="paragraph" w:customStyle="1" w:styleId="TableHeadingBlue">
    <w:name w:val="Table Heading Blue"/>
    <w:basedOn w:val="TableHeading"/>
    <w:next w:val="TableText"/>
    <w:link w:val="TableHeadingBlueChar"/>
    <w:uiPriority w:val="9"/>
    <w:qFormat/>
    <w:rsid w:val="00885AF8"/>
    <w:rPr>
      <w:color w:val="1C5692" w:themeColor="text2"/>
    </w:rPr>
  </w:style>
  <w:style w:type="character" w:customStyle="1" w:styleId="TableHeadingChar">
    <w:name w:val="Table Heading Char"/>
    <w:basedOn w:val="DefaultParagraphFont"/>
    <w:link w:val="TableHeading"/>
    <w:uiPriority w:val="9"/>
    <w:rsid w:val="00885AF8"/>
    <w:rPr>
      <w:rFonts w:ascii="Century Gothic" w:eastAsia="Century Gothic" w:hAnsi="Century Gothic" w:cs="Calibri"/>
      <w:b/>
      <w:bCs/>
      <w:color w:val="FFFFFF"/>
      <w:sz w:val="22"/>
      <w:szCs w:val="22"/>
      <w:lang w:eastAsia="en-US"/>
    </w:rPr>
  </w:style>
  <w:style w:type="character" w:customStyle="1" w:styleId="TableHeadingBlueChar">
    <w:name w:val="Table Heading Blue Char"/>
    <w:basedOn w:val="TableHeadingChar"/>
    <w:link w:val="TableHeadingBlue"/>
    <w:uiPriority w:val="9"/>
    <w:rsid w:val="00885AF8"/>
    <w:rPr>
      <w:rFonts w:ascii="Century Gothic" w:eastAsia="Century Gothic" w:hAnsi="Century Gothic" w:cs="Calibri"/>
      <w:b/>
      <w:bCs/>
      <w:color w:val="1C5692" w:themeColor="text2"/>
      <w:sz w:val="22"/>
      <w:szCs w:val="22"/>
      <w:lang w:eastAsia="en-US"/>
    </w:rPr>
  </w:style>
  <w:style w:type="paragraph" w:customStyle="1" w:styleId="Heading1NOTOC">
    <w:name w:val="Heading 1 NO TOC"/>
    <w:basedOn w:val="Heading1"/>
    <w:uiPriority w:val="1"/>
    <w:qFormat/>
    <w:rsid w:val="0004770B"/>
    <w:pPr>
      <w:outlineLvl w:val="9"/>
    </w:pPr>
  </w:style>
  <w:style w:type="paragraph" w:customStyle="1" w:styleId="AttachmentHeading">
    <w:name w:val="Attachment Heading"/>
    <w:basedOn w:val="Heading1"/>
    <w:next w:val="Normal"/>
    <w:uiPriority w:val="12"/>
    <w:qFormat/>
    <w:rsid w:val="00763154"/>
    <w:pPr>
      <w:outlineLvl w:val="9"/>
    </w:p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geHeading">
    <w:name w:val="Page Heading"/>
    <w:basedOn w:val="Heading1"/>
    <w:next w:val="Normal"/>
    <w:qFormat/>
    <w:rsid w:val="00603B76"/>
    <w:pPr>
      <w:pageBreakBefore/>
      <w:numPr>
        <w:numId w:val="11"/>
      </w:numPr>
      <w:spacing w:after="480"/>
    </w:pPr>
    <w:rPr>
      <w:sz w:val="40"/>
    </w:rPr>
  </w:style>
  <w:style w:type="paragraph" w:styleId="TOC5">
    <w:name w:val="toc 5"/>
    <w:basedOn w:val="Normal"/>
    <w:next w:val="Normal"/>
    <w:uiPriority w:val="39"/>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rsid w:val="003337B3"/>
    <w:rPr>
      <w:b/>
      <w:i/>
      <w:iCs/>
      <w:color w:val="1C5692" w:themeColor="text2"/>
      <w:sz w:val="18"/>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4D4F53" w:themeColor="text1"/>
      <w:sz w:val="14"/>
    </w:rPr>
  </w:style>
  <w:style w:type="character" w:styleId="FootnoteReference">
    <w:name w:val="footnote reference"/>
    <w:basedOn w:val="DefaultParagraphFont"/>
    <w:uiPriority w:val="99"/>
    <w:rsid w:val="003337B3"/>
    <w:rPr>
      <w:vertAlign w:val="superscript"/>
    </w:rPr>
  </w:style>
  <w:style w:type="paragraph" w:customStyle="1" w:styleId="NumberedListAutoRestartNoIndent">
    <w:name w:val="Numbered List (Auto Restart) No Indent"/>
    <w:basedOn w:val="NumberedListAutoRestart"/>
    <w:link w:val="NumberedListAutoRestartNoIndentChar"/>
    <w:uiPriority w:val="1"/>
    <w:qFormat/>
    <w:rsid w:val="001A7F27"/>
    <w:pPr>
      <w:ind w:left="284"/>
    </w:pPr>
  </w:style>
  <w:style w:type="table" w:customStyle="1" w:styleId="DefaultTableTight">
    <w:name w:val="_Default Table Tight"/>
    <w:basedOn w:val="TableNormal"/>
    <w:uiPriority w:val="99"/>
    <w:rsid w:val="00B4077D"/>
    <w:rPr>
      <w:rFonts w:asciiTheme="minorHAnsi" w:hAnsiTheme="minorHAnsi"/>
      <w:color w:val="4D4F53" w:themeColor="text1"/>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cPr>
      <w:shd w:val="clear" w:color="auto" w:fill="FFFFFF" w:themeFill="background1"/>
    </w:tcPr>
    <w:tblStylePr w:type="firstRow">
      <w:rPr>
        <w:b w:val="0"/>
        <w:color w:val="C9CAC8" w:themeColor="background2"/>
      </w:rPr>
      <w:tblPr/>
      <w:tcPr>
        <w:tcBorders>
          <w:top w:val="single" w:sz="4" w:space="0" w:color="1C5692" w:themeColor="text2"/>
          <w:left w:val="single" w:sz="4" w:space="0" w:color="1C5692" w:themeColor="text2"/>
          <w:bottom w:val="single" w:sz="4" w:space="0" w:color="1C5692" w:themeColor="text2"/>
          <w:right w:val="single" w:sz="4" w:space="0" w:color="1C5692" w:themeColor="text2"/>
          <w:insideH w:val="single" w:sz="4" w:space="0" w:color="1C5692" w:themeColor="text2"/>
          <w:insideV w:val="single" w:sz="4" w:space="0" w:color="B6B8BB" w:themeColor="text1" w:themeTint="66"/>
        </w:tcBorders>
        <w:shd w:val="clear" w:color="auto" w:fill="1C5692" w:themeFill="text2"/>
      </w:tcPr>
    </w:tblStylePr>
    <w:tblStylePr w:type="lastRow">
      <w:tblPr/>
      <w:tcPr>
        <w:tcBorders>
          <w:top w:val="single" w:sz="12" w:space="0" w:color="1C5692" w:themeColor="text2"/>
          <w:left w:val="nil"/>
          <w:bottom w:val="single" w:sz="12" w:space="0" w:color="1C5692" w:themeColor="text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1C5692" w:themeFill="text2"/>
      </w:tcPr>
    </w:tblStylePr>
    <w:tblStylePr w:type="lastCol">
      <w:rPr>
        <w:color w:val="FFFFFF" w:themeColor="background1"/>
      </w:rPr>
      <w:tblPr/>
      <w:tcPr>
        <w:shd w:val="clear" w:color="auto" w:fill="1C5692" w:themeFill="text2"/>
      </w:tcPr>
    </w:tblStylePr>
    <w:tblStylePr w:type="band1Horz">
      <w:tblPr/>
      <w:tcPr>
        <w:shd w:val="clear" w:color="auto" w:fill="FFFFFF" w:themeFill="background1"/>
      </w:tcPr>
    </w:tblStylePr>
    <w:tblStylePr w:type="band2Horz">
      <w:tblPr/>
      <w:tcPr>
        <w:shd w:val="clear" w:color="auto" w:fill="F3F4F4"/>
      </w:tcPr>
    </w:tblStylePr>
  </w:style>
  <w:style w:type="character" w:customStyle="1" w:styleId="ListNumberChar">
    <w:name w:val="List Number Char"/>
    <w:basedOn w:val="DefaultParagraphFont"/>
    <w:link w:val="ListNumber"/>
    <w:uiPriority w:val="3"/>
    <w:rsid w:val="001A7F27"/>
    <w:rPr>
      <w:rFonts w:ascii="Century Gothic" w:eastAsia="Century Gothic" w:hAnsi="Century Gothic" w:cstheme="minorBidi"/>
      <w:sz w:val="22"/>
      <w:lang w:eastAsia="en-US"/>
    </w:rPr>
  </w:style>
  <w:style w:type="character" w:customStyle="1" w:styleId="NumberedListAutoRestartChar">
    <w:name w:val="Numbered List (Auto Restart) Char"/>
    <w:basedOn w:val="ListNumberChar"/>
    <w:link w:val="NumberedListAutoRestart"/>
    <w:uiPriority w:val="1"/>
    <w:rsid w:val="001A7F27"/>
    <w:rPr>
      <w:rFonts w:ascii="Century Gothic" w:eastAsia="Century Gothic" w:hAnsi="Century Gothic" w:cstheme="minorBidi"/>
      <w:sz w:val="22"/>
      <w:lang w:eastAsia="en-US"/>
    </w:rPr>
  </w:style>
  <w:style w:type="character" w:customStyle="1" w:styleId="NumberedListAutoRestartNoIndentChar">
    <w:name w:val="Numbered List (Auto Restart) No Indent Char"/>
    <w:basedOn w:val="NumberedListAutoRestartChar"/>
    <w:link w:val="NumberedListAutoRestartNoIndent"/>
    <w:uiPriority w:val="1"/>
    <w:rsid w:val="001A7F27"/>
    <w:rPr>
      <w:rFonts w:ascii="Century Gothic" w:eastAsia="Century Gothic" w:hAnsi="Century Gothic" w:cstheme="minorBidi"/>
      <w:sz w:val="22"/>
      <w:lang w:eastAsia="en-US"/>
    </w:rPr>
  </w:style>
  <w:style w:type="paragraph" w:customStyle="1" w:styleId="TableBullets">
    <w:name w:val="Table Bullets"/>
    <w:basedOn w:val="TableText"/>
    <w:uiPriority w:val="10"/>
    <w:qFormat/>
    <w:rsid w:val="00B4077D"/>
    <w:pPr>
      <w:numPr>
        <w:numId w:val="12"/>
      </w:numPr>
      <w:spacing w:after="5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style>
  <w:style w:type="paragraph" w:styleId="ListParagraph">
    <w:name w:val="List Paragraph"/>
    <w:aliases w:val="normal,Normal1"/>
    <w:basedOn w:val="Normal"/>
    <w:link w:val="ListParagraphChar"/>
    <w:uiPriority w:val="34"/>
    <w:qFormat/>
    <w:rsid w:val="00B75615"/>
    <w:pPr>
      <w:spacing w:after="160" w:line="254" w:lineRule="auto"/>
      <w:ind w:left="720"/>
      <w:contextualSpacing/>
    </w:pPr>
    <w:rPr>
      <w:rFonts w:cstheme="minorBidi"/>
    </w:rPr>
  </w:style>
  <w:style w:type="character" w:customStyle="1" w:styleId="ListParagraphChar">
    <w:name w:val="List Paragraph Char"/>
    <w:aliases w:val="normal Char,Normal1 Char"/>
    <w:basedOn w:val="DefaultParagraphFont"/>
    <w:link w:val="ListParagraph"/>
    <w:uiPriority w:val="34"/>
    <w:locked/>
    <w:rsid w:val="003C2A05"/>
    <w:rPr>
      <w:rFonts w:asciiTheme="minorHAnsi" w:eastAsiaTheme="minorHAnsi" w:hAnsiTheme="minorHAnsi" w:cstheme="minorBidi"/>
      <w:sz w:val="22"/>
      <w:szCs w:val="22"/>
      <w:lang w:eastAsia="en-US"/>
    </w:rPr>
  </w:style>
  <w:style w:type="paragraph" w:customStyle="1" w:styleId="SFSubheading1">
    <w:name w:val="SF Subheading 1"/>
    <w:basedOn w:val="Normal"/>
    <w:rsid w:val="003C2A05"/>
    <w:pPr>
      <w:spacing w:after="120" w:line="276" w:lineRule="auto"/>
      <w:jc w:val="both"/>
    </w:pPr>
    <w:rPr>
      <w:b/>
      <w:bCs/>
      <w:color w:val="17365D"/>
      <w:sz w:val="20"/>
      <w:szCs w:val="20"/>
    </w:rPr>
  </w:style>
  <w:style w:type="paragraph" w:customStyle="1" w:styleId="SFDocumentDate">
    <w:name w:val="SF Document Date"/>
    <w:basedOn w:val="Normal"/>
    <w:rsid w:val="003C2A05"/>
    <w:pPr>
      <w:spacing w:before="120" w:after="120" w:line="276" w:lineRule="auto"/>
    </w:pPr>
    <w:rPr>
      <w:b/>
      <w:bCs/>
      <w:color w:val="17365D"/>
      <w:sz w:val="24"/>
      <w:szCs w:val="24"/>
    </w:rPr>
  </w:style>
  <w:style w:type="character" w:customStyle="1" w:styleId="bulletpointsChar">
    <w:name w:val="bullet points Char"/>
    <w:basedOn w:val="DefaultParagraphFont"/>
    <w:link w:val="bulletpoints"/>
    <w:locked/>
    <w:rsid w:val="003C2A05"/>
    <w:rPr>
      <w:rFonts w:ascii="Century Gothic" w:eastAsiaTheme="minorHAnsi" w:hAnsi="Century Gothic" w:cs="Calibri"/>
      <w:sz w:val="22"/>
      <w:szCs w:val="22"/>
      <w:lang w:eastAsia="en-US"/>
    </w:rPr>
  </w:style>
  <w:style w:type="paragraph" w:customStyle="1" w:styleId="bulletpoints">
    <w:name w:val="bullet points"/>
    <w:basedOn w:val="Normal"/>
    <w:link w:val="bulletpointsChar"/>
    <w:rsid w:val="003C2A05"/>
    <w:pPr>
      <w:numPr>
        <w:numId w:val="14"/>
      </w:numPr>
      <w:spacing w:before="120" w:after="120" w:line="276" w:lineRule="auto"/>
      <w:jc w:val="both"/>
    </w:pPr>
  </w:style>
  <w:style w:type="paragraph" w:customStyle="1" w:styleId="Default">
    <w:name w:val="Default"/>
    <w:basedOn w:val="Normal"/>
    <w:rsid w:val="003C2A05"/>
    <w:pPr>
      <w:autoSpaceDE w:val="0"/>
      <w:autoSpaceDN w:val="0"/>
    </w:pPr>
    <w:rPr>
      <w:rFonts w:ascii="Arial" w:hAnsi="Arial" w:cs="Arial"/>
      <w:color w:val="000000"/>
      <w:sz w:val="24"/>
      <w:szCs w:val="24"/>
    </w:rPr>
  </w:style>
  <w:style w:type="paragraph" w:styleId="EndnoteText">
    <w:name w:val="endnote text"/>
    <w:basedOn w:val="Normal"/>
    <w:link w:val="EndnoteTextChar"/>
    <w:uiPriority w:val="99"/>
    <w:unhideWhenUsed/>
    <w:rsid w:val="00C121AD"/>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C121A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C121AD"/>
    <w:rPr>
      <w:vertAlign w:val="superscript"/>
    </w:rPr>
  </w:style>
  <w:style w:type="paragraph" w:styleId="BodyText">
    <w:name w:val="Body Text"/>
    <w:link w:val="BodyTextChar"/>
    <w:qFormat/>
    <w:rsid w:val="00C121AD"/>
    <w:pPr>
      <w:spacing w:before="240" w:line="300" w:lineRule="atLeast"/>
      <w:jc w:val="both"/>
    </w:pPr>
    <w:rPr>
      <w:sz w:val="24"/>
    </w:rPr>
  </w:style>
  <w:style w:type="character" w:customStyle="1" w:styleId="BodyTextChar">
    <w:name w:val="Body Text Char"/>
    <w:basedOn w:val="DefaultParagraphFont"/>
    <w:link w:val="BodyText"/>
    <w:rsid w:val="00C121AD"/>
    <w:rPr>
      <w:sz w:val="24"/>
    </w:rPr>
  </w:style>
  <w:style w:type="paragraph" w:customStyle="1" w:styleId="Finding">
    <w:name w:val="Finding"/>
    <w:basedOn w:val="BodyText"/>
    <w:rsid w:val="00C121AD"/>
    <w:pPr>
      <w:keepLines/>
      <w:spacing w:before="120" w:line="280" w:lineRule="atLeast"/>
    </w:pPr>
    <w:rPr>
      <w:rFonts w:ascii="Arial" w:hAnsi="Arial"/>
      <w:sz w:val="22"/>
    </w:rPr>
  </w:style>
  <w:style w:type="paragraph" w:customStyle="1" w:styleId="FindingBullet">
    <w:name w:val="Finding Bullet"/>
    <w:basedOn w:val="Finding"/>
    <w:rsid w:val="00C121AD"/>
    <w:pPr>
      <w:numPr>
        <w:numId w:val="15"/>
      </w:numPr>
      <w:spacing w:before="80"/>
    </w:pPr>
  </w:style>
  <w:style w:type="paragraph" w:customStyle="1" w:styleId="Rec">
    <w:name w:val="Rec"/>
    <w:basedOn w:val="BodyText"/>
    <w:qFormat/>
    <w:rsid w:val="00C121AD"/>
    <w:pPr>
      <w:keepLines/>
      <w:spacing w:before="120" w:line="280" w:lineRule="atLeast"/>
    </w:pPr>
    <w:rPr>
      <w:rFonts w:ascii="Arial" w:hAnsi="Arial"/>
      <w:sz w:val="22"/>
    </w:rPr>
  </w:style>
  <w:style w:type="character" w:styleId="CommentReference">
    <w:name w:val="annotation reference"/>
    <w:basedOn w:val="DefaultParagraphFont"/>
    <w:uiPriority w:val="99"/>
    <w:semiHidden/>
    <w:unhideWhenUsed/>
    <w:rsid w:val="005D758C"/>
    <w:rPr>
      <w:sz w:val="16"/>
      <w:szCs w:val="16"/>
    </w:rPr>
  </w:style>
  <w:style w:type="paragraph" w:styleId="CommentText">
    <w:name w:val="annotation text"/>
    <w:basedOn w:val="Normal"/>
    <w:link w:val="CommentTextChar"/>
    <w:uiPriority w:val="99"/>
    <w:unhideWhenUsed/>
    <w:rsid w:val="005D758C"/>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5D758C"/>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29"/>
    <w:semiHidden/>
    <w:rsid w:val="00FD3BFD"/>
    <w:pPr>
      <w:spacing w:after="0"/>
    </w:pPr>
    <w:rPr>
      <w:rFonts w:ascii="Century Gothic" w:hAnsi="Century Gothic" w:cs="Calibri"/>
      <w:b/>
      <w:bCs/>
    </w:rPr>
  </w:style>
  <w:style w:type="character" w:customStyle="1" w:styleId="CommentSubjectChar">
    <w:name w:val="Comment Subject Char"/>
    <w:basedOn w:val="CommentTextChar"/>
    <w:link w:val="CommentSubject"/>
    <w:uiPriority w:val="29"/>
    <w:semiHidden/>
    <w:rsid w:val="00FD3BFD"/>
    <w:rPr>
      <w:rFonts w:ascii="Century Gothic" w:eastAsiaTheme="minorHAnsi" w:hAnsi="Century Gothic" w:cs="Calibri"/>
      <w:b/>
      <w:bCs/>
      <w:lang w:eastAsia="en-US"/>
    </w:rPr>
  </w:style>
  <w:style w:type="paragraph" w:customStyle="1" w:styleId="intro">
    <w:name w:val="intro"/>
    <w:basedOn w:val="Normal"/>
    <w:rsid w:val="00FD3BF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9">
    <w:name w:val="Pa9"/>
    <w:basedOn w:val="Default"/>
    <w:next w:val="Default"/>
    <w:uiPriority w:val="99"/>
    <w:rsid w:val="00FD3BFD"/>
    <w:pPr>
      <w:adjustRightInd w:val="0"/>
      <w:spacing w:line="201" w:lineRule="atLeast"/>
    </w:pPr>
    <w:rPr>
      <w:rFonts w:ascii="Proxima Nova Alt Rg" w:hAnsi="Proxima Nova Alt Rg" w:cstheme="minorBidi"/>
      <w:color w:val="auto"/>
    </w:rPr>
  </w:style>
  <w:style w:type="paragraph" w:styleId="NormalWeb">
    <w:name w:val="Normal (Web)"/>
    <w:basedOn w:val="Normal"/>
    <w:uiPriority w:val="99"/>
    <w:semiHidden/>
    <w:unhideWhenUsed/>
    <w:rsid w:val="006E53CE"/>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50"/>
    <w:semiHidden/>
    <w:rsid w:val="00A226AF"/>
    <w:rPr>
      <w:color w:val="58595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30296">
      <w:bodyDiv w:val="1"/>
      <w:marLeft w:val="0"/>
      <w:marRight w:val="0"/>
      <w:marTop w:val="0"/>
      <w:marBottom w:val="0"/>
      <w:divBdr>
        <w:top w:val="none" w:sz="0" w:space="0" w:color="auto"/>
        <w:left w:val="none" w:sz="0" w:space="0" w:color="auto"/>
        <w:bottom w:val="none" w:sz="0" w:space="0" w:color="auto"/>
        <w:right w:val="none" w:sz="0" w:space="0" w:color="auto"/>
      </w:divBdr>
      <w:divsChild>
        <w:div w:id="908224484">
          <w:marLeft w:val="0"/>
          <w:marRight w:val="0"/>
          <w:marTop w:val="0"/>
          <w:marBottom w:val="0"/>
          <w:divBdr>
            <w:top w:val="none" w:sz="0" w:space="0" w:color="auto"/>
            <w:left w:val="none" w:sz="0" w:space="0" w:color="auto"/>
            <w:bottom w:val="none" w:sz="0" w:space="0" w:color="auto"/>
            <w:right w:val="none" w:sz="0" w:space="0" w:color="auto"/>
          </w:divBdr>
        </w:div>
        <w:div w:id="1020353366">
          <w:marLeft w:val="0"/>
          <w:marRight w:val="0"/>
          <w:marTop w:val="0"/>
          <w:marBottom w:val="0"/>
          <w:divBdr>
            <w:top w:val="none" w:sz="0" w:space="0" w:color="auto"/>
            <w:left w:val="none" w:sz="0" w:space="0" w:color="auto"/>
            <w:bottom w:val="none" w:sz="0" w:space="0" w:color="auto"/>
            <w:right w:val="none" w:sz="0" w:space="0" w:color="auto"/>
          </w:divBdr>
        </w:div>
      </w:divsChild>
    </w:div>
    <w:div w:id="175272221">
      <w:bodyDiv w:val="1"/>
      <w:marLeft w:val="0"/>
      <w:marRight w:val="0"/>
      <w:marTop w:val="0"/>
      <w:marBottom w:val="0"/>
      <w:divBdr>
        <w:top w:val="none" w:sz="0" w:space="0" w:color="auto"/>
        <w:left w:val="none" w:sz="0" w:space="0" w:color="auto"/>
        <w:bottom w:val="none" w:sz="0" w:space="0" w:color="auto"/>
        <w:right w:val="none" w:sz="0" w:space="0" w:color="auto"/>
      </w:divBdr>
    </w:div>
    <w:div w:id="228225077">
      <w:bodyDiv w:val="1"/>
      <w:marLeft w:val="0"/>
      <w:marRight w:val="0"/>
      <w:marTop w:val="0"/>
      <w:marBottom w:val="0"/>
      <w:divBdr>
        <w:top w:val="none" w:sz="0" w:space="0" w:color="auto"/>
        <w:left w:val="none" w:sz="0" w:space="0" w:color="auto"/>
        <w:bottom w:val="none" w:sz="0" w:space="0" w:color="auto"/>
        <w:right w:val="none" w:sz="0" w:space="0" w:color="auto"/>
      </w:divBdr>
      <w:divsChild>
        <w:div w:id="132144468">
          <w:marLeft w:val="0"/>
          <w:marRight w:val="0"/>
          <w:marTop w:val="0"/>
          <w:marBottom w:val="0"/>
          <w:divBdr>
            <w:top w:val="none" w:sz="0" w:space="0" w:color="auto"/>
            <w:left w:val="none" w:sz="0" w:space="0" w:color="auto"/>
            <w:bottom w:val="none" w:sz="0" w:space="0" w:color="auto"/>
            <w:right w:val="none" w:sz="0" w:space="0" w:color="auto"/>
          </w:divBdr>
        </w:div>
        <w:div w:id="10840175">
          <w:marLeft w:val="0"/>
          <w:marRight w:val="0"/>
          <w:marTop w:val="0"/>
          <w:marBottom w:val="0"/>
          <w:divBdr>
            <w:top w:val="none" w:sz="0" w:space="0" w:color="auto"/>
            <w:left w:val="none" w:sz="0" w:space="0" w:color="auto"/>
            <w:bottom w:val="none" w:sz="0" w:space="0" w:color="auto"/>
            <w:right w:val="none" w:sz="0" w:space="0" w:color="auto"/>
          </w:divBdr>
        </w:div>
      </w:divsChild>
    </w:div>
    <w:div w:id="340278655">
      <w:bodyDiv w:val="1"/>
      <w:marLeft w:val="0"/>
      <w:marRight w:val="0"/>
      <w:marTop w:val="0"/>
      <w:marBottom w:val="0"/>
      <w:divBdr>
        <w:top w:val="none" w:sz="0" w:space="0" w:color="auto"/>
        <w:left w:val="none" w:sz="0" w:space="0" w:color="auto"/>
        <w:bottom w:val="none" w:sz="0" w:space="0" w:color="auto"/>
        <w:right w:val="none" w:sz="0" w:space="0" w:color="auto"/>
      </w:divBdr>
    </w:div>
    <w:div w:id="384111953">
      <w:bodyDiv w:val="1"/>
      <w:marLeft w:val="0"/>
      <w:marRight w:val="0"/>
      <w:marTop w:val="0"/>
      <w:marBottom w:val="0"/>
      <w:divBdr>
        <w:top w:val="none" w:sz="0" w:space="0" w:color="auto"/>
        <w:left w:val="none" w:sz="0" w:space="0" w:color="auto"/>
        <w:bottom w:val="none" w:sz="0" w:space="0" w:color="auto"/>
        <w:right w:val="none" w:sz="0" w:space="0" w:color="auto"/>
      </w:divBdr>
      <w:divsChild>
        <w:div w:id="1934893412">
          <w:marLeft w:val="274"/>
          <w:marRight w:val="0"/>
          <w:marTop w:val="0"/>
          <w:marBottom w:val="0"/>
          <w:divBdr>
            <w:top w:val="none" w:sz="0" w:space="0" w:color="auto"/>
            <w:left w:val="none" w:sz="0" w:space="0" w:color="auto"/>
            <w:bottom w:val="none" w:sz="0" w:space="0" w:color="auto"/>
            <w:right w:val="none" w:sz="0" w:space="0" w:color="auto"/>
          </w:divBdr>
        </w:div>
      </w:divsChild>
    </w:div>
    <w:div w:id="430978691">
      <w:bodyDiv w:val="1"/>
      <w:marLeft w:val="0"/>
      <w:marRight w:val="0"/>
      <w:marTop w:val="0"/>
      <w:marBottom w:val="0"/>
      <w:divBdr>
        <w:top w:val="none" w:sz="0" w:space="0" w:color="auto"/>
        <w:left w:val="none" w:sz="0" w:space="0" w:color="auto"/>
        <w:bottom w:val="none" w:sz="0" w:space="0" w:color="auto"/>
        <w:right w:val="none" w:sz="0" w:space="0" w:color="auto"/>
      </w:divBdr>
      <w:divsChild>
        <w:div w:id="2059745464">
          <w:marLeft w:val="0"/>
          <w:marRight w:val="0"/>
          <w:marTop w:val="0"/>
          <w:marBottom w:val="0"/>
          <w:divBdr>
            <w:top w:val="none" w:sz="0" w:space="0" w:color="auto"/>
            <w:left w:val="none" w:sz="0" w:space="0" w:color="auto"/>
            <w:bottom w:val="none" w:sz="0" w:space="0" w:color="auto"/>
            <w:right w:val="none" w:sz="0" w:space="0" w:color="auto"/>
          </w:divBdr>
        </w:div>
        <w:div w:id="1941643343">
          <w:marLeft w:val="0"/>
          <w:marRight w:val="0"/>
          <w:marTop w:val="0"/>
          <w:marBottom w:val="0"/>
          <w:divBdr>
            <w:top w:val="none" w:sz="0" w:space="0" w:color="auto"/>
            <w:left w:val="none" w:sz="0" w:space="0" w:color="auto"/>
            <w:bottom w:val="none" w:sz="0" w:space="0" w:color="auto"/>
            <w:right w:val="none" w:sz="0" w:space="0" w:color="auto"/>
          </w:divBdr>
        </w:div>
      </w:divsChild>
    </w:div>
    <w:div w:id="554242044">
      <w:bodyDiv w:val="1"/>
      <w:marLeft w:val="0"/>
      <w:marRight w:val="0"/>
      <w:marTop w:val="0"/>
      <w:marBottom w:val="0"/>
      <w:divBdr>
        <w:top w:val="none" w:sz="0" w:space="0" w:color="auto"/>
        <w:left w:val="none" w:sz="0" w:space="0" w:color="auto"/>
        <w:bottom w:val="none" w:sz="0" w:space="0" w:color="auto"/>
        <w:right w:val="none" w:sz="0" w:space="0" w:color="auto"/>
      </w:divBdr>
    </w:div>
    <w:div w:id="937257806">
      <w:bodyDiv w:val="1"/>
      <w:marLeft w:val="0"/>
      <w:marRight w:val="0"/>
      <w:marTop w:val="0"/>
      <w:marBottom w:val="0"/>
      <w:divBdr>
        <w:top w:val="none" w:sz="0" w:space="0" w:color="auto"/>
        <w:left w:val="none" w:sz="0" w:space="0" w:color="auto"/>
        <w:bottom w:val="none" w:sz="0" w:space="0" w:color="auto"/>
        <w:right w:val="none" w:sz="0" w:space="0" w:color="auto"/>
      </w:divBdr>
    </w:div>
    <w:div w:id="1011950138">
      <w:bodyDiv w:val="1"/>
      <w:marLeft w:val="0"/>
      <w:marRight w:val="0"/>
      <w:marTop w:val="0"/>
      <w:marBottom w:val="0"/>
      <w:divBdr>
        <w:top w:val="none" w:sz="0" w:space="0" w:color="auto"/>
        <w:left w:val="none" w:sz="0" w:space="0" w:color="auto"/>
        <w:bottom w:val="none" w:sz="0" w:space="0" w:color="auto"/>
        <w:right w:val="none" w:sz="0" w:space="0" w:color="auto"/>
      </w:divBdr>
    </w:div>
    <w:div w:id="1164392133">
      <w:bodyDiv w:val="1"/>
      <w:marLeft w:val="0"/>
      <w:marRight w:val="0"/>
      <w:marTop w:val="0"/>
      <w:marBottom w:val="0"/>
      <w:divBdr>
        <w:top w:val="none" w:sz="0" w:space="0" w:color="auto"/>
        <w:left w:val="none" w:sz="0" w:space="0" w:color="auto"/>
        <w:bottom w:val="none" w:sz="0" w:space="0" w:color="auto"/>
        <w:right w:val="none" w:sz="0" w:space="0" w:color="auto"/>
      </w:divBdr>
    </w:div>
    <w:div w:id="1199899424">
      <w:bodyDiv w:val="1"/>
      <w:marLeft w:val="0"/>
      <w:marRight w:val="0"/>
      <w:marTop w:val="0"/>
      <w:marBottom w:val="0"/>
      <w:divBdr>
        <w:top w:val="none" w:sz="0" w:space="0" w:color="auto"/>
        <w:left w:val="none" w:sz="0" w:space="0" w:color="auto"/>
        <w:bottom w:val="none" w:sz="0" w:space="0" w:color="auto"/>
        <w:right w:val="none" w:sz="0" w:space="0" w:color="auto"/>
      </w:divBdr>
    </w:div>
    <w:div w:id="1588731612">
      <w:bodyDiv w:val="1"/>
      <w:marLeft w:val="0"/>
      <w:marRight w:val="0"/>
      <w:marTop w:val="0"/>
      <w:marBottom w:val="0"/>
      <w:divBdr>
        <w:top w:val="none" w:sz="0" w:space="0" w:color="auto"/>
        <w:left w:val="none" w:sz="0" w:space="0" w:color="auto"/>
        <w:bottom w:val="none" w:sz="0" w:space="0" w:color="auto"/>
        <w:right w:val="none" w:sz="0" w:space="0" w:color="auto"/>
      </w:divBdr>
    </w:div>
    <w:div w:id="1623459131">
      <w:bodyDiv w:val="1"/>
      <w:marLeft w:val="0"/>
      <w:marRight w:val="0"/>
      <w:marTop w:val="0"/>
      <w:marBottom w:val="0"/>
      <w:divBdr>
        <w:top w:val="none" w:sz="0" w:space="0" w:color="auto"/>
        <w:left w:val="none" w:sz="0" w:space="0" w:color="auto"/>
        <w:bottom w:val="none" w:sz="0" w:space="0" w:color="auto"/>
        <w:right w:val="none" w:sz="0" w:space="0" w:color="auto"/>
      </w:divBdr>
    </w:div>
    <w:div w:id="1726028376">
      <w:bodyDiv w:val="1"/>
      <w:marLeft w:val="0"/>
      <w:marRight w:val="0"/>
      <w:marTop w:val="0"/>
      <w:marBottom w:val="0"/>
      <w:divBdr>
        <w:top w:val="none" w:sz="0" w:space="0" w:color="auto"/>
        <w:left w:val="none" w:sz="0" w:space="0" w:color="auto"/>
        <w:bottom w:val="none" w:sz="0" w:space="0" w:color="auto"/>
        <w:right w:val="none" w:sz="0" w:space="0" w:color="auto"/>
      </w:divBdr>
      <w:divsChild>
        <w:div w:id="542376348">
          <w:marLeft w:val="274"/>
          <w:marRight w:val="0"/>
          <w:marTop w:val="0"/>
          <w:marBottom w:val="0"/>
          <w:divBdr>
            <w:top w:val="none" w:sz="0" w:space="0" w:color="auto"/>
            <w:left w:val="none" w:sz="0" w:space="0" w:color="auto"/>
            <w:bottom w:val="none" w:sz="0" w:space="0" w:color="auto"/>
            <w:right w:val="none" w:sz="0" w:space="0" w:color="auto"/>
          </w:divBdr>
        </w:div>
        <w:div w:id="1733120926">
          <w:marLeft w:val="274"/>
          <w:marRight w:val="0"/>
          <w:marTop w:val="0"/>
          <w:marBottom w:val="0"/>
          <w:divBdr>
            <w:top w:val="none" w:sz="0" w:space="0" w:color="auto"/>
            <w:left w:val="none" w:sz="0" w:space="0" w:color="auto"/>
            <w:bottom w:val="none" w:sz="0" w:space="0" w:color="auto"/>
            <w:right w:val="none" w:sz="0" w:space="0" w:color="auto"/>
          </w:divBdr>
        </w:div>
      </w:divsChild>
    </w:div>
    <w:div w:id="192499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superfriend.com.au" TargetMode="External"/><Relationship Id="rId22" Type="http://schemas.openxmlformats.org/officeDocument/2006/relationships/image" Target="media/image4.png"/><Relationship Id="rId27" Type="http://schemas.openxmlformats.org/officeDocument/2006/relationships/image" Target="media/image9.png"/></Relationships>
</file>

<file path=word/_rels/endnotes.xml.rels><?xml version="1.0" encoding="UTF-8" standalone="yes"?>
<Relationships xmlns="http://schemas.openxmlformats.org/package/2006/relationships"><Relationship Id="rId8" Type="http://schemas.openxmlformats.org/officeDocument/2006/relationships/hyperlink" Target="https://www.who.int/healthpromotion/conferences/previous/ottawa/en/" TargetMode="External"/><Relationship Id="rId3" Type="http://schemas.openxmlformats.org/officeDocument/2006/relationships/hyperlink" Target="https://www.fsc.org.au/resources/1826-fsc-state-of-the-industry-report-2019" TargetMode="External"/><Relationship Id="rId7" Type="http://schemas.openxmlformats.org/officeDocument/2006/relationships/hyperlink" Target="https://www.headsup.org.au/docs/default-source/resources/developing-a-mentally-healthy-workplace_final-november-2014.pdf?sfvrsn=8" TargetMode="External"/><Relationship Id="rId2" Type="http://schemas.openxmlformats.org/officeDocument/2006/relationships/hyperlink" Target="https://www.superfriend.com.au/resources/building-thriving-workplaces/" TargetMode="External"/><Relationship Id="rId1" Type="http://schemas.openxmlformats.org/officeDocument/2006/relationships/hyperlink" Target="https://www.superfriend.com.au/further-resources/2019-indicators-of-a-thriving-workplace-survey/" TargetMode="External"/><Relationship Id="rId6" Type="http://schemas.openxmlformats.org/officeDocument/2006/relationships/hyperlink" Target="https://www.who.int/news-room/fact-sheets/detail/mental-health-strengthening-our-response" TargetMode="External"/><Relationship Id="rId5" Type="http://schemas.openxmlformats.org/officeDocument/2006/relationships/hyperlink" Target="https://www.superfriend.com.au/further-resources/2019-indicators-of-a-thriving-workplace-survey/" TargetMode="External"/><Relationship Id="rId4" Type="http://schemas.openxmlformats.org/officeDocument/2006/relationships/hyperlink" Target="https://www.superfriend.com.au/resources/building-thriving-workplac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4">
      <a:dk1>
        <a:srgbClr val="4D4F53"/>
      </a:dk1>
      <a:lt1>
        <a:sysClr val="window" lastClr="FFFFFF"/>
      </a:lt1>
      <a:dk2>
        <a:srgbClr val="1C5692"/>
      </a:dk2>
      <a:lt2>
        <a:srgbClr val="C9CAC8"/>
      </a:lt2>
      <a:accent1>
        <a:srgbClr val="00B0CA"/>
      </a:accent1>
      <a:accent2>
        <a:srgbClr val="F89828"/>
      </a:accent2>
      <a:accent3>
        <a:srgbClr val="7AB800"/>
      </a:accent3>
      <a:accent4>
        <a:srgbClr val="CB1B54"/>
      </a:accent4>
      <a:accent5>
        <a:srgbClr val="9B1889"/>
      </a:accent5>
      <a:accent6>
        <a:srgbClr val="C9CAC8"/>
      </a:accent6>
      <a:hlink>
        <a:srgbClr val="4D4F53"/>
      </a:hlink>
      <a:folHlink>
        <a:srgbClr val="58595B"/>
      </a:folHlink>
    </a:clrScheme>
    <a:fontScheme name="Custom 38">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oyal Blue">
      <a:srgbClr val="1C5692"/>
    </a:custClr>
    <a:custClr name="65 Black">
      <a:srgbClr val="595959"/>
    </a:custClr>
    <a:custClr name="Complementary Charcoal TOPICS">
      <a:srgbClr val="4D4F53"/>
    </a:custClr>
    <a:custClr name="Complementary Cool Grey">
      <a:srgbClr val="C9CAC8"/>
    </a:custClr>
    <a:custClr name="Accent LIME">
      <a:srgbClr val="D7DF5A"/>
    </a:custClr>
    <a:custClr name="Secondary Blue SOLUTIONS">
      <a:srgbClr val="007AC9"/>
    </a:custClr>
    <a:custClr name="Secondary Blue ADVOCACY">
      <a:srgbClr val="00AE65"/>
    </a:custClr>
    <a:custClr name="Secondary B Orange INSIGHTS">
      <a:srgbClr val="DC5034"/>
    </a:custClr>
    <a:custClr name="Domain Teal LEADERSHIP">
      <a:srgbClr val="00B0CA"/>
    </a:custClr>
    <a:custClr name="Domain Tangerine CONNECTEDNESS">
      <a:srgbClr val="F89828"/>
    </a:custClr>
    <a:custClr name="Domain Apple POLICY">
      <a:srgbClr val="7AB800"/>
    </a:custClr>
    <a:custClr name="Domain Crimson CAPABILITY">
      <a:srgbClr val="CB1B54"/>
    </a:custClr>
    <a:custClr name="Domain Fuschia CULTURE">
      <a:srgbClr val="9B1889"/>
    </a:custClr>
  </a:custClrLst>
</a:theme>
</file>

<file path=customUI/customUI.xml><?xml version="1.0" encoding="utf-8"?>
<customUI xmlns="http://schemas.microsoft.com/office/2006/01/customui">
  <ribbon startFromScratch="false">
    <tabs>
      <!--
Developer: shayla@thewordguru.com.au
Created 2019
-->
      <tab id="customTab" label="superFriend" insertBeforeMso="TabHome">
        <group id="Group1" label="Formatting">
          <toggleButton idMso="ParagraphKeepWithNext" visible="true" size="normal" label="Para Keep Next" imageMso="LineSpacingGallery" description="Force the selected paragraph to stick together with next paragraph if the page overflows." supertip="Force the selected paragraph to stick together with next paragraph if the page overflows."/>
          <labelControl id="CBO" label="Current Style:"/>
          <comboBox idMso="StyleGalleryClassic" enabled="false"/>
          <separator id="BodySeparator022"/>
          <box id="box1">
            <control idMso="Bold"/>
            <control idMso="Italic"/>
            <control idMso="UnderlineGallery"/>
          </box>
          <box id="box2">
            <control idMso="Subscript"/>
            <control idMso="Superscript"/>
            <control idMso="TextHighlightColorPicker" label=" "/>
          </box>
          <button idMso="PageBreakInsertWord" visible="true" size="normal"/>
        </group>
        <group id="Group2" label="Body Styles">
          <button idMso="StylesPane" label="View Styles" imageMso="ChangeStylesMenu" size="large"/>
          <splitButton id="NormalMenu" size="large">
            <button idMso="StyleNormal" label="Normal" imageMso="FormControlLabel"/>
            <menu id="NormalMenuDropdown" label="Normal" itemSize="large">
              <button idMso="StyleNormal" label="Normal" imageMso="FormControlLabel"/>
              <button id="iDNormal2" label="Normal Indented 1" imageMso="AlignLeft" onAction="RibbonXOnAction" tag="Apply_Normal_Indented_1"/>
              <button id="iDNormal3" label="Normal Indented 2" imageMso="AlignLeft" onAction="RibbonXOnAction" tag="Apply_Normal_Indented_2"/>
              <button id="iDNormal33" label="Normal Indented 3" imageMso="AlignLeft" onAction="RibbonXOnAction" tag="Apply_Normal_Indented_3"/>
            </menu>
          </splitButton>
          <separator id="BodySeparator"/>
          <splitButton id="BulletMenu" size="large">
            <button idMso="ListBulletApply" label="Bullets" imageMso="Bullets"/>
            <menu id="BulletMenu1" label="Normal" itemSize="large">
              <button idMso="ListBulletApply" label="Bullets" imageMso="Bullets"/>
              <button id="idBullet2" label="Bullets 2" imageMso="Bullets" onAction="RibbonXOnAction" tag="Apply_List_Bullet_2"/>
              <button id="idBullet3" label="Bullets 3" imageMso="Bullets" onAction="RibbonXOnAction" tag="Apply_List_Bullet_3"/>
            </menu>
          </splitButton>
          <splitButton id="NumberListBody" size="large">
            <button id="idNum1" label="List" imageMso="Numbering" onAction="RibbonXOnAction" tag="Apply_List_Bullet_2"/>
            <menu id="BulletMenu1e342" label="Normal" itemSize="large">
              <button id="idNum132" label="a. List" onAction="RibbonXOnAction" tag="Apply_List"/>
              <button id="idNum123" label="    i. List" onAction="RibbonXOnAction" tag="Apply_List_2"/>
              <button id="idNum1134" label="        1. List" onAction="RibbonXOnAction" tag="Apply_List_3"/>
              <menuSeparator id="Otherlist" title="Second List"/>
              <button id="idNum112" label="1. List" onAction="RibbonXOnAction" tag="Apply_List_Number"/>
              <button id="idNum113" label="    a. List 2" onAction="RibbonXOnAction" tag="Apply_List_Number_2"/>
              <button id="idNum114" label="        i. List 3" onAction="RibbonXOnAction" tag="Apply_List_Number_3"/>
            </menu>
          </splitButton>
        </group>
        <group id="Group3" label="Headings">
          <button id="NumberedHeading122" label="Page Heading" imageMso="QuickStylesGallery" onAction="RibbonXOnAction" tag="Apply_Page_Heading"/>
          <menu id="NormalHeadings" label="Headings" itemSize="large" size="normal" imageMso="ChangeStylesMenu">
            <button id="IntroCopy" label="Intro Copy" onAction="RibbonXOnAction" tag="Apply_Intro_Copy"/>
            <menuSeparator id="HeadingsIDD" title="Headings"/>
            <button idMso="Heading1Apply" label="Heading 1" imageMso="QuickStylesGallery" description="Apply the Heading 1 style" supertip="Apply the Heading 1 style"/>
            <button idMso="Heading2Apply" label="Heading 2" imageMso="QuickStylesGallery" description="Apply the Heading 2 style" supertip="Apply the Heading 2 style"/>
            <button idMso="Heading3Apply" label="Heading 3" imageMso="QuickStylesGallery" description="Apply the Heading 3 style" supertip="Apply the Heading 3 style"/>
            <menuSeparator id="MSNonTocHedings" title="These headings will not appear in the table of contents"/>
            <button id="Heading1NoToc" label="Heading 1 NO TOC" onAction="RibbonXOnAction" imageMso="QuickStylesGallery" tag="ApplyStyle_Heading_1_NO_TOC"/>
            <button id="Heading2NoToc" label="Heading 2 NO TOC" onAction="RibbonXOnAction" imageMso="QuickStylesGallery" tag="ApplyStyle_Heading_2_NO_TOC"/>
            <menuSeparator id="MSNonTocHedingsAttach" title="This style links to Attachment TOC"/>
            <button id="AttachmentHeading" label="Attachment Heading" onAction="RibbonXOnAction" imageMso="QuickStylesGallery" tag="ApplyStyle_Attachment_Heading"/>
            <menuSeparator id="MSDOcTitle" title="Links to field code"/>
            <button id="DocumentTitle" label="Document Title" onAction="RibbonXOnAction" imageMso="QuickStylesGallery" description="This style will update the footer text going forward when applied" tag="ApplyStyle_Document_Title_FieldLink"/>
          </menu>
          <gallery idMso="ListLevelGallery" label="Change Level" imageMso="ListLevelGallery" size="normal"/>
        </group>
        <group id="groupNumbered" label="Numbered Headings">
          <button id="NumberedHeading1" label="1. Heading 1" size="normal" onAction="RibbonXOnAction" tag="Apply_Numbered_Heading_1"/>
          <button id="NumberedHeading2" label="1.1 Heading 2" size="normal" onAction="RibbonXOnAction" tag="Apply_Numbered_Heading_2"/>
          <button id="NumberedHeading3" label="1.1.1 Heading 3" size="normal" onAction="RibbonXOnAction" tag="Apply_Numbered_Heading_3"/>
        </group>
        <group id="groupList" label="Auto-restarting">
          <menu id="MenuStyles" label="Body Styles" itemSize="large" size="large" imageMso="MultilevelListGallery">
            <button id="NumberedList1" label="1. List" onAction="Apply_AR_NumberedList" tag="Apply_AR_NumberedList"/>
            <button id="NumberedList2" label="1. List Indented" onAction="Apply_AR_NumberedListNoIndent" tag="Apply_AR_NumberedList"/>
          </menu>
        </group>
        <group id="Group6" label="Tools    Last update v01 29.7.19">
          <gallery idMso="CustomGallery4" label="Insert Icon" size="large"/>
          <splitButton id="CaptionMenu" size="large">
            <button id="InsertCaption" label="Insert Caption" imageMso="FileCheckIn" onAction="RibbonXOnAction" tag="Run_InsertCaption"/>
            <menu id="CaptionMenu1" label="Normal" itemSize="large">
              <button id="ApplyCaption" label="Caption Style" imageMso="ChangeStylesMenu" onAction="RibbonXOnAction" tag="Apply_Caption"/>
              <button id="ApplySource" label="Source Notes Style" imageMso="ChangeStylesMenu" onAction="RibbonXOnAction" tag="Apply_Source_Notes"/>
            </menu>
          </splitButton>
          <splitButton id="TableMenu" size="large">
            <button id="InsertTable" label="InsertTable" imageMso="TableInsert" onAction="RibbonXOnAction" tag="Run_InsertTable"/>
            <menu id="MenuTableMenu" label="Normal" itemSize="large">
              <gallery idMso="TableInsertGallery" label="Insert Table"/>
              <gallery idMso="CustomTablesGallery" label="Pre-formatted Table"/>
              <menuSeparator id="MSDOcTitdle" title="Headings"/>
              <button id="TableHeading" label="Table Heading" imageMso="ChangeStylesMenu" onAction="RibbonXOnAction" tag="Apply_Table_Heading"/>
              <button id="TableSubHeading" label="Table SubHeading" imageMso="ChangeStylesMenu" onAction="RibbonXOnAction" tag="Apply_Table_Heading_Blue"/>
              <button id="TableHeadingAutoNum" label="Table AutoNumbering" imageMso="ChangeStylesMenu" onAction="RibbonXOnAction" tag="Apply_Table_AutoNumbering"/>
              <menuSeparator id="MSDOcTitdle2" title="Body"/>
              <button id="TableText" label="Table Text" imageMso="ChangeStylesMenu" onAction="RibbonXOnAction" tag="Apply_Table_Text"/>
              <button id="TableTextitalic" label="Table Text Italic" imageMso="ChangeStylesMenu" onAction="RibbonXOnAction" tag="Apply_Table_Text_Italic"/>
              <button id="TableBullets" label="Table Bullets" imageMso="ChangeStylesMenu" onAction="RibbonXOnAction" tag="Apply_Table_Bullets"/>
            </menu>
          </splitButton>
          <button id="UpdateDetails" label="Update Details" imageMso="FileStartWorkflow" size="large" onAction="Run_UpdateDetails" tag="Run_UpdateDetails"/>
          <separator id="BodySSDSDFdfeparator"/>
          <button id="UpdateFields" label="Update Fields" imageMso="FieldsUpdate" size="large" onAction="Run_UpdateFields" tag="Run_UpdateFields"/>
          <separator id="BodySSDFSSFFdfeparator"/>
          <menu id="PageOptions" label="Page Layout Tools" itemSize="large" imageMso="ViewPrintLayoutView" size="large">
            <menuSeparator id="MS_NewSEc" title="Insert a new section after the current page"/>
            <button id="NewSection_P" label="New Portrait Section" imageMso="CompareAndCombine" onAction="Run_InsertPortraitSection" description="Insert a new potrait section"/>
            <button id="NewSection_L" label="New Landscape Section" imageMso="CompareAndCombine" onAction="Run_InsertLandscapeSection" description="Insert a new Landscape section"/>
            <menuSeparator id="MS_NewSEc2" title="Change or fix current Section"/>
            <button id="ChangeSection_P" label="Change to Portrait" imageMso="BodyTextHide" onAction="Run_ChangePortraitSection" description="Change current section to portrait"/>
            <button id="ChangeSection_L" label="Change to Landscape" imageMso="BodyTextHide" onAction="Run_ChangeToLandscape" description="Change current section to landscape"/>
          </menu>
          <separator id="BodySdfeparator"/>
          <button idMso="SpellingAndGrammar" visible="true" size="normal" label="Spellcheck"/>
          <button idMso="ZoomCurrent100" visible="true" size="normal" label="View 100%"/>
          <separator id="Sep2"/>
          <menu id="PasteTools" label="Paste Tools" imageMso="Paste" size="large" itemSize="large">
            <button idMso="PasteTextOnly" description="(Recommended) Paste selection as text only. This will remove all formatting and section breaks and minimise formatting inconsistancies"/>
            <button idMso="PasteDestinationStyle" description="Paste selection and adapt to the documents styles."/>
            <button idMso="PastePng" description="Paste selection as an uneditable PNG graphic"/>
          </menu>
          <toggleButton idMso="TableShowGridlines" visible="true" size="large" label="Toggle Gridlines" description="View table gridlines" supertip="View table gridlines"/>
          <toggleButton idMso="ParagraphMarks" visible="true" size="large" label="Toggle Formatting" description="View paragraph formatting" supertip="View paragraph formatting"/>
        </group>
      </tab>
      <tab id="customTab2" label="Quick Styles" insertBeforeMso="TabHome">
        <group id="Group10" label="Formatting">
          <!--BASIC FORMATTING -->
          <control idMso="StylesPane" label="View All Styles" imageMso="ChangeStylesMenu" size="large"/>
          <separator id="Styles010"/>
          <box id="box10">
            <control idMso="Bold"/>
            <control idMso="Italic"/>
            <control idMso="UnderlineGallery"/>
          </box>
          <box id="box20">
            <control idMso="Subscript"/>
            <control idMso="Superscript"/>
            <control idMso="TextHighlightColorPicker" label=" "/>
          </box>
          <menu id="PictureTools" label="Picture Tools" itemSize="large" imageMso="FileCheckIn" size="normal">
            <toggleButton idMso="PictureCrop" label="Crop Image"/>
            <button idMso="PicturesCompress"/>
            <menuSeparator id="Cap03" title="Fix or Float selected graphic"/>
            <toggleButton idMso="TextWrappingInLineWithText" label="Make FIXED 'In-Line' with text"/>
            <toggleButton idMso="TextWrappingSquare" label="Make FLOAT 'Square' Text wrap around image"/>
            <menuSeparator id="Cap044" title="Other Tools"/>
          </menu>
        </group>
        <!--QUICK STYLES GROUP -->
        <group idMso="GroupStyle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PCDOC-1378080517-1138</_dlc_DocId>
    <_dlc_DocIdUrl xmlns="3f4bcce7-ac1a-4c9d-aa3e-7e77695652db">
      <Url>http://inet.pc.gov.au/pmo/inq/mentalhealth/_layouts/15/DocIdRedir.aspx?ID=PCDOC-1378080517-1138</Url>
      <Description>PCDOC-1378080517-1138</Description>
    </_dlc_DocIdUrl>
  </documentManagement>
</p:properties>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532503E-15B6-4B4F-A2E2-20FD208A7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BE15F-F344-4973-9B7A-2DBD5ABF2B9E}">
  <ds:schemaRefs>
    <ds:schemaRef ds:uri="http://schemas.microsoft.com/sharepoint/v3/contenttype/forms"/>
  </ds:schemaRefs>
</ds:datastoreItem>
</file>

<file path=customXml/itemProps3.xml><?xml version="1.0" encoding="utf-8"?>
<ds:datastoreItem xmlns:ds="http://schemas.openxmlformats.org/officeDocument/2006/customXml" ds:itemID="{CA2E0145-A9A3-4786-BABF-B238B7CE0D62}">
  <ds:schemaRefs>
    <ds:schemaRef ds:uri="http://schemas.microsoft.com/sharepoint/events"/>
  </ds:schemaRefs>
</ds:datastoreItem>
</file>

<file path=customXml/itemProps4.xml><?xml version="1.0" encoding="utf-8"?>
<ds:datastoreItem xmlns:ds="http://schemas.openxmlformats.org/officeDocument/2006/customXml" ds:itemID="{869F0CBD-38A3-42FE-B652-F761583BF176}">
  <ds:schemaRefs>
    <ds:schemaRef ds:uri="Microsoft.SharePoint.Taxonomy.ContentTypeSync"/>
  </ds:schemaRefs>
</ds:datastoreItem>
</file>

<file path=customXml/itemProps5.xml><?xml version="1.0" encoding="utf-8"?>
<ds:datastoreItem xmlns:ds="http://schemas.openxmlformats.org/officeDocument/2006/customXml" ds:itemID="{98A7056D-3DA5-476C-ADB6-A470E34F1629}">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f4bcce7-ac1a-4c9d-aa3e-7e77695652db"/>
    <ds:schemaRef ds:uri="http://www.w3.org/XML/1998/namespace"/>
    <ds:schemaRef ds:uri="http://purl.org/dc/dcmitype/"/>
  </ds:schemaRefs>
</ds:datastoreItem>
</file>

<file path=customXml/itemProps6.xml><?xml version="1.0" encoding="utf-8"?>
<ds:datastoreItem xmlns:ds="http://schemas.openxmlformats.org/officeDocument/2006/customXml" ds:itemID="{E3C940DF-0C26-4611-84D2-5F0F00B713C6}">
  <ds:schemaRefs>
    <ds:schemaRef ds:uri="http://schemas.microsoft.com/office/2006/metadata/customXsn"/>
  </ds:schemaRefs>
</ds:datastoreItem>
</file>

<file path=customXml/itemProps7.xml><?xml version="1.0" encoding="utf-8"?>
<ds:datastoreItem xmlns:ds="http://schemas.openxmlformats.org/officeDocument/2006/customXml" ds:itemID="{066568CC-E303-49BA-916A-983FE7AE6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84F6CA66.dotm</Template>
  <TotalTime>13</TotalTime>
  <Pages>28</Pages>
  <Words>7267</Words>
  <Characters>44861</Characters>
  <Application>Microsoft Office Word</Application>
  <DocSecurity>0</DocSecurity>
  <Lines>373</Lines>
  <Paragraphs>104</Paragraphs>
  <ScaleCrop>false</ScaleCrop>
  <HeadingPairs>
    <vt:vector size="2" baseType="variant">
      <vt:variant>
        <vt:lpstr>Title</vt:lpstr>
      </vt:variant>
      <vt:variant>
        <vt:i4>1</vt:i4>
      </vt:variant>
    </vt:vector>
  </HeadingPairs>
  <TitlesOfParts>
    <vt:vector size="1" baseType="lpstr">
      <vt:lpstr>Submission 873 - SuperFriend - Mental Health - Public inquiry</vt:lpstr>
    </vt:vector>
  </TitlesOfParts>
  <Company>SuperFriend</Company>
  <LinksUpToDate>false</LinksUpToDate>
  <CharactersWithSpaces>52024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873 - SuperFriend - Mental Health - Public inquiry</dc:title>
  <dc:subject/>
  <dc:creator>SuperFriend</dc:creator>
  <cp:keywords/>
  <dc:description/>
  <cp:lastModifiedBy>Productivity Commission</cp:lastModifiedBy>
  <cp:revision>4</cp:revision>
  <cp:lastPrinted>2020-01-23T02:00:00Z</cp:lastPrinted>
  <dcterms:created xsi:type="dcterms:W3CDTF">2020-01-23T05:30:00Z</dcterms:created>
  <dcterms:modified xsi:type="dcterms:W3CDTF">2020-02-06T00:20:00Z</dcterms:modified>
  <cp:category>Pre-reading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Title">
    <vt:lpwstr>HeaderTitle</vt:lpwstr>
  </property>
  <property fmtid="{D5CDD505-2E9C-101B-9397-08002B2CF9AE}" pid="3" name="FirstRun">
    <vt:lpwstr>False</vt:lpwstr>
  </property>
  <property fmtid="{D5CDD505-2E9C-101B-9397-08002B2CF9AE}" pid="4" name="cdpStatus">
    <vt:lpwstr>DRAFT</vt:lpwstr>
  </property>
  <property fmtid="{D5CDD505-2E9C-101B-9397-08002B2CF9AE}" pid="5" name="cdpDateDivider">
    <vt:lpwstr>|</vt:lpwstr>
  </property>
  <property fmtid="{D5CDD505-2E9C-101B-9397-08002B2CF9AE}" pid="6" name="ContentTypeId">
    <vt:lpwstr>0x0101007916246811615643A710C6FEAFF56A871105009025211412240E4C9823C37D4A9F3E35</vt:lpwstr>
  </property>
  <property fmtid="{D5CDD505-2E9C-101B-9397-08002B2CF9AE}" pid="7" name="TaxKeyword">
    <vt:lpwstr/>
  </property>
  <property fmtid="{D5CDD505-2E9C-101B-9397-08002B2CF9AE}" pid="8" name="c401844703f64372bb0e85d87d761fe6">
    <vt:lpwstr>Reference Only|923c7a19-3b10-4b1a-aa53-490b73d512fc</vt:lpwstr>
  </property>
  <property fmtid="{D5CDD505-2E9C-101B-9397-08002B2CF9AE}" pid="9" name="_dlc_DocIdItemGuid">
    <vt:lpwstr>e5e045c2-b2e6-4ca6-9a1f-318f532d8441</vt:lpwstr>
  </property>
  <property fmtid="{D5CDD505-2E9C-101B-9397-08002B2CF9AE}" pid="10" name="Record Tag">
    <vt:lpwstr>139;#Submissions|c6e0dbf8-5444-433c-844d-d567dd519a05</vt:lpwstr>
  </property>
  <property fmtid="{D5CDD505-2E9C-101B-9397-08002B2CF9AE}" pid="11" name="Retain">
    <vt:lpwstr>138;#Reference Only|923c7a19-3b10-4b1a-aa53-490b73d512fc</vt:lpwstr>
  </property>
</Properties>
</file>