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559" w:rsidRDefault="00760D08" w:rsidP="00760D08">
      <w:r>
        <w:t xml:space="preserve">I’m responding with some </w:t>
      </w:r>
      <w:r w:rsidR="00E42560">
        <w:t>apprehension</w:t>
      </w:r>
      <w:r>
        <w:t xml:space="preserve"> to the Productivity Commission’s call for submissions in response to its Draft Indigenous Evaluation Strategy because I fear that </w:t>
      </w:r>
      <w:r w:rsidR="00AB53C3">
        <w:t>two</w:t>
      </w:r>
      <w:r>
        <w:t xml:space="preserve"> fundamental question</w:t>
      </w:r>
      <w:r w:rsidR="00AB53C3">
        <w:t>s have not been asked</w:t>
      </w:r>
      <w:r>
        <w:t xml:space="preserve"> during the process of producing the Issues paper or the present draft strategy: </w:t>
      </w:r>
      <w:r w:rsidR="00AB53C3" w:rsidRPr="008E7251">
        <w:rPr>
          <w:b/>
        </w:rPr>
        <w:t xml:space="preserve">who are Australia’s indigenous? And </w:t>
      </w:r>
      <w:r w:rsidRPr="008E7251">
        <w:rPr>
          <w:b/>
        </w:rPr>
        <w:t>for</w:t>
      </w:r>
      <w:r w:rsidR="00C5165A" w:rsidRPr="008E7251">
        <w:rPr>
          <w:b/>
        </w:rPr>
        <w:t xml:space="preserve"> whom are </w:t>
      </w:r>
      <w:r w:rsidRPr="008E7251">
        <w:rPr>
          <w:b/>
        </w:rPr>
        <w:t>I</w:t>
      </w:r>
      <w:r w:rsidR="00C5165A" w:rsidRPr="008E7251">
        <w:rPr>
          <w:b/>
        </w:rPr>
        <w:t>ndigenous policies intended?</w:t>
      </w:r>
      <w:r w:rsidR="00C5165A">
        <w:t xml:space="preserve">  </w:t>
      </w:r>
    </w:p>
    <w:p w:rsidR="00D15EB9" w:rsidRDefault="00703540" w:rsidP="00760D08">
      <w:pPr>
        <w:rPr>
          <w:rFonts w:cstheme="minorHAnsi"/>
          <w:color w:val="000000"/>
        </w:rPr>
      </w:pPr>
      <w:r>
        <w:rPr>
          <w:rFonts w:cstheme="minorHAnsi"/>
          <w:color w:val="000000"/>
        </w:rPr>
        <w:t xml:space="preserve">It is </w:t>
      </w:r>
      <w:r w:rsidR="00D86A76">
        <w:rPr>
          <w:rFonts w:cstheme="minorHAnsi"/>
          <w:color w:val="000000"/>
        </w:rPr>
        <w:t>often said</w:t>
      </w:r>
      <w:r>
        <w:rPr>
          <w:rFonts w:cstheme="minorHAnsi"/>
          <w:color w:val="000000"/>
        </w:rPr>
        <w:t xml:space="preserve"> that there ar</w:t>
      </w:r>
      <w:r w:rsidR="00623CE8">
        <w:rPr>
          <w:rFonts w:cstheme="minorHAnsi"/>
          <w:color w:val="000000"/>
        </w:rPr>
        <w:t xml:space="preserve">e about 800,000 </w:t>
      </w:r>
      <w:r w:rsidR="00E20A22">
        <w:rPr>
          <w:rFonts w:cstheme="minorHAnsi"/>
          <w:color w:val="000000"/>
        </w:rPr>
        <w:t>‘</w:t>
      </w:r>
      <w:r>
        <w:rPr>
          <w:rFonts w:cstheme="minorHAnsi"/>
          <w:color w:val="000000"/>
        </w:rPr>
        <w:t>indigenous</w:t>
      </w:r>
      <w:r w:rsidR="00E20A22">
        <w:rPr>
          <w:rFonts w:cstheme="minorHAnsi"/>
          <w:color w:val="000000"/>
        </w:rPr>
        <w:t>’</w:t>
      </w:r>
      <w:r>
        <w:rPr>
          <w:rFonts w:cstheme="minorHAnsi"/>
          <w:color w:val="000000"/>
        </w:rPr>
        <w:t xml:space="preserve"> Australia</w:t>
      </w:r>
      <w:r w:rsidR="00E20A22">
        <w:rPr>
          <w:rFonts w:cstheme="minorHAnsi"/>
          <w:color w:val="000000"/>
        </w:rPr>
        <w:t>ns</w:t>
      </w:r>
      <w:r w:rsidR="00D15EB9">
        <w:rPr>
          <w:rFonts w:cstheme="minorHAnsi"/>
          <w:color w:val="000000"/>
        </w:rPr>
        <w:t>,</w:t>
      </w:r>
      <w:r w:rsidR="00760D08">
        <w:rPr>
          <w:rFonts w:cstheme="minorHAnsi"/>
          <w:color w:val="000000"/>
        </w:rPr>
        <w:t xml:space="preserve"> and the </w:t>
      </w:r>
      <w:r w:rsidR="008E7251">
        <w:rPr>
          <w:rFonts w:cstheme="minorHAnsi"/>
          <w:color w:val="000000"/>
        </w:rPr>
        <w:t xml:space="preserve">numbers reported by </w:t>
      </w:r>
      <w:r w:rsidR="00760D08">
        <w:rPr>
          <w:rFonts w:cstheme="minorHAnsi"/>
          <w:color w:val="000000"/>
        </w:rPr>
        <w:t xml:space="preserve">Productivity Commission in </w:t>
      </w:r>
      <w:r w:rsidR="00D15EB9">
        <w:rPr>
          <w:rFonts w:cstheme="minorHAnsi"/>
          <w:color w:val="000000"/>
        </w:rPr>
        <w:t xml:space="preserve">its </w:t>
      </w:r>
      <w:r w:rsidR="00760D08">
        <w:rPr>
          <w:rFonts w:cstheme="minorHAnsi"/>
          <w:color w:val="000000"/>
        </w:rPr>
        <w:t>descri</w:t>
      </w:r>
      <w:r w:rsidR="00D15EB9">
        <w:rPr>
          <w:rFonts w:cstheme="minorHAnsi"/>
          <w:color w:val="000000"/>
        </w:rPr>
        <w:t>ption of ‘indigenous’</w:t>
      </w:r>
      <w:r w:rsidR="00760D08">
        <w:rPr>
          <w:rFonts w:cstheme="minorHAnsi"/>
          <w:color w:val="000000"/>
        </w:rPr>
        <w:t xml:space="preserve"> population characteristics </w:t>
      </w:r>
      <w:r w:rsidR="00D15EB9">
        <w:rPr>
          <w:rFonts w:cstheme="minorHAnsi"/>
          <w:color w:val="000000"/>
        </w:rPr>
        <w:t xml:space="preserve">in </w:t>
      </w:r>
      <w:r w:rsidR="00760D08">
        <w:rPr>
          <w:rFonts w:cstheme="minorHAnsi"/>
          <w:color w:val="000000"/>
        </w:rPr>
        <w:t>its Issues paper</w:t>
      </w:r>
      <w:r w:rsidR="008E7251">
        <w:rPr>
          <w:rFonts w:cstheme="minorHAnsi"/>
          <w:color w:val="000000"/>
        </w:rPr>
        <w:t xml:space="preserve"> are co</w:t>
      </w:r>
      <w:bookmarkStart w:id="0" w:name="_GoBack"/>
      <w:bookmarkEnd w:id="0"/>
      <w:r w:rsidR="008E7251">
        <w:rPr>
          <w:rFonts w:cstheme="minorHAnsi"/>
          <w:color w:val="000000"/>
        </w:rPr>
        <w:t>nsistent with this</w:t>
      </w:r>
      <w:r w:rsidR="00D15EB9">
        <w:rPr>
          <w:rStyle w:val="EndnoteReference"/>
          <w:rFonts w:cstheme="minorHAnsi"/>
          <w:color w:val="000000"/>
        </w:rPr>
        <w:endnoteReference w:id="1"/>
      </w:r>
      <w:r w:rsidR="000E22A0">
        <w:rPr>
          <w:rFonts w:cstheme="minorHAnsi"/>
          <w:color w:val="000000"/>
        </w:rPr>
        <w:t xml:space="preserve">. </w:t>
      </w:r>
      <w:r w:rsidR="00D15EB9">
        <w:rPr>
          <w:rFonts w:cstheme="minorHAnsi"/>
          <w:color w:val="000000"/>
        </w:rPr>
        <w:t>But, who are these indigenous people</w:t>
      </w:r>
      <w:r w:rsidR="00AB53C3">
        <w:rPr>
          <w:rFonts w:cstheme="minorHAnsi"/>
          <w:color w:val="000000"/>
        </w:rPr>
        <w:t>; does their enumeration</w:t>
      </w:r>
      <w:r w:rsidR="00D15EB9">
        <w:rPr>
          <w:rFonts w:cstheme="minorHAnsi"/>
          <w:color w:val="000000"/>
        </w:rPr>
        <w:t xml:space="preserve"> derive from a rigorous or indeed a legal definition?</w:t>
      </w:r>
    </w:p>
    <w:p w:rsidR="00E518FE" w:rsidRDefault="000E22A0" w:rsidP="00760D08">
      <w:r>
        <w:rPr>
          <w:rFonts w:cstheme="minorHAnsi"/>
          <w:color w:val="000000"/>
        </w:rPr>
        <w:t>Th</w:t>
      </w:r>
      <w:r w:rsidR="00D15EB9">
        <w:rPr>
          <w:rFonts w:cstheme="minorHAnsi"/>
          <w:color w:val="000000"/>
        </w:rPr>
        <w:t>e</w:t>
      </w:r>
      <w:r>
        <w:rPr>
          <w:rFonts w:cstheme="minorHAnsi"/>
          <w:color w:val="000000"/>
        </w:rPr>
        <w:t xml:space="preserve"> </w:t>
      </w:r>
      <w:r w:rsidR="00D15EB9">
        <w:rPr>
          <w:rFonts w:cstheme="minorHAnsi"/>
          <w:color w:val="000000"/>
        </w:rPr>
        <w:t xml:space="preserve">800,000 </w:t>
      </w:r>
      <w:r w:rsidR="00987944">
        <w:rPr>
          <w:rFonts w:cstheme="minorHAnsi"/>
          <w:color w:val="000000"/>
        </w:rPr>
        <w:t>derives from</w:t>
      </w:r>
      <w:r w:rsidR="00703540">
        <w:rPr>
          <w:rFonts w:cstheme="minorHAnsi"/>
          <w:color w:val="000000"/>
        </w:rPr>
        <w:t xml:space="preserve"> </w:t>
      </w:r>
      <w:r w:rsidR="000444E2">
        <w:rPr>
          <w:rFonts w:cstheme="minorHAnsi"/>
          <w:color w:val="000000"/>
        </w:rPr>
        <w:t xml:space="preserve">an </w:t>
      </w:r>
      <w:r w:rsidR="00703540">
        <w:rPr>
          <w:rFonts w:cstheme="minorHAnsi"/>
          <w:color w:val="000000"/>
        </w:rPr>
        <w:t>estimate by the</w:t>
      </w:r>
      <w:r w:rsidR="00703540">
        <w:t xml:space="preserve"> Australian Bureau of Statistics (ABS)</w:t>
      </w:r>
      <w:r>
        <w:t xml:space="preserve"> that at</w:t>
      </w:r>
      <w:r w:rsidR="00703540">
        <w:t xml:space="preserve"> best</w:t>
      </w:r>
      <w:r>
        <w:t xml:space="preserve"> </w:t>
      </w:r>
      <w:r w:rsidR="00703540">
        <w:t xml:space="preserve">is </w:t>
      </w:r>
      <w:r w:rsidR="00987944">
        <w:t>of</w:t>
      </w:r>
      <w:r w:rsidR="00703540">
        <w:t xml:space="preserve"> the number of </w:t>
      </w:r>
      <w:r w:rsidR="007B2568">
        <w:t xml:space="preserve">people in </w:t>
      </w:r>
      <w:r w:rsidR="00703540">
        <w:t xml:space="preserve">Australia who, regardless of any other ancestry, have Aboriginal </w:t>
      </w:r>
      <w:r w:rsidR="000444E2">
        <w:t xml:space="preserve">or Torres Strait Islander </w:t>
      </w:r>
      <w:r w:rsidR="00703540">
        <w:t>ancestors</w:t>
      </w:r>
      <w:r w:rsidR="00002FCA">
        <w:rPr>
          <w:rStyle w:val="EndnoteReference"/>
        </w:rPr>
        <w:endnoteReference w:id="2"/>
      </w:r>
      <w:r w:rsidR="00703540">
        <w:t xml:space="preserve">. It is not an estimate of the number of Aboriginal </w:t>
      </w:r>
      <w:r w:rsidR="00CF47E1">
        <w:t>Australians</w:t>
      </w:r>
      <w:r w:rsidR="00703540">
        <w:t xml:space="preserve"> </w:t>
      </w:r>
      <w:r w:rsidR="000444E2">
        <w:t>under</w:t>
      </w:r>
      <w:r w:rsidR="00E20A22">
        <w:t xml:space="preserve"> </w:t>
      </w:r>
      <w:r w:rsidR="00E42C2C">
        <w:t>the</w:t>
      </w:r>
      <w:r w:rsidR="00E20A22">
        <w:t xml:space="preserve"> </w:t>
      </w:r>
      <w:r w:rsidR="00D35475">
        <w:t xml:space="preserve">tripartite </w:t>
      </w:r>
      <w:r w:rsidR="00E20A22">
        <w:t xml:space="preserve">test </w:t>
      </w:r>
      <w:r w:rsidR="00E42C2C">
        <w:t>established</w:t>
      </w:r>
      <w:r w:rsidR="00E20A22">
        <w:t xml:space="preserve"> by</w:t>
      </w:r>
      <w:r w:rsidR="00703540">
        <w:t xml:space="preserve"> </w:t>
      </w:r>
      <w:r w:rsidR="00E20A22">
        <w:t xml:space="preserve">Australia’s </w:t>
      </w:r>
      <w:r w:rsidR="00703540">
        <w:t>High Court</w:t>
      </w:r>
      <w:r w:rsidR="00E20A22">
        <w:t xml:space="preserve"> in 1992 (</w:t>
      </w:r>
      <w:r w:rsidR="00E42C2C" w:rsidRPr="009C0E56">
        <w:rPr>
          <w:rFonts w:cstheme="minorHAnsi"/>
          <w:i/>
        </w:rPr>
        <w:t>Mabo v Queensland</w:t>
      </w:r>
      <w:r w:rsidR="00E42C2C" w:rsidRPr="009C0E56">
        <w:rPr>
          <w:rFonts w:cstheme="minorHAnsi"/>
        </w:rPr>
        <w:t>)</w:t>
      </w:r>
      <w:r w:rsidR="007B2568">
        <w:t>.</w:t>
      </w:r>
      <w:r w:rsidR="00E518FE">
        <w:t xml:space="preserve"> </w:t>
      </w:r>
    </w:p>
    <w:p w:rsidR="00703540" w:rsidRDefault="00E518FE">
      <w:pPr>
        <w:rPr>
          <w:rFonts w:cstheme="minorHAnsi"/>
          <w:color w:val="000000"/>
        </w:rPr>
      </w:pPr>
      <w:r>
        <w:t>That number may be substantially less.</w:t>
      </w:r>
    </w:p>
    <w:p w:rsidR="00E20A22" w:rsidRDefault="00E20A22" w:rsidP="00E20A22">
      <w:pPr>
        <w:rPr>
          <w:rFonts w:cstheme="minorHAnsi"/>
          <w:color w:val="000000"/>
        </w:rPr>
      </w:pPr>
      <w:r w:rsidRPr="009C0E56">
        <w:rPr>
          <w:rFonts w:cstheme="minorHAnsi"/>
        </w:rPr>
        <w:t>In February 2020 the High Court (</w:t>
      </w:r>
      <w:r w:rsidRPr="009C0E56">
        <w:rPr>
          <w:rFonts w:cstheme="minorHAnsi"/>
          <w:i/>
        </w:rPr>
        <w:t xml:space="preserve">Love and </w:t>
      </w:r>
      <w:proofErr w:type="spellStart"/>
      <w:r w:rsidRPr="009C0E56">
        <w:rPr>
          <w:rFonts w:cstheme="minorHAnsi"/>
          <w:i/>
        </w:rPr>
        <w:t>Thoms</w:t>
      </w:r>
      <w:proofErr w:type="spellEnd"/>
      <w:r w:rsidRPr="009C0E56">
        <w:rPr>
          <w:rFonts w:cstheme="minorHAnsi"/>
          <w:i/>
        </w:rPr>
        <w:t xml:space="preserve"> v Commonwealth of Australia</w:t>
      </w:r>
      <w:r w:rsidRPr="009C0E56">
        <w:rPr>
          <w:rFonts w:cstheme="minorHAnsi"/>
        </w:rPr>
        <w:t>) re-affirmed</w:t>
      </w:r>
      <w:r w:rsidR="00E42C2C">
        <w:rPr>
          <w:rFonts w:cstheme="minorHAnsi"/>
        </w:rPr>
        <w:t xml:space="preserve"> th</w:t>
      </w:r>
      <w:r w:rsidR="000E22A0">
        <w:rPr>
          <w:rFonts w:cstheme="minorHAnsi"/>
        </w:rPr>
        <w:t>e High Court’s</w:t>
      </w:r>
      <w:r w:rsidR="00E42C2C">
        <w:rPr>
          <w:rFonts w:cstheme="minorHAnsi"/>
        </w:rPr>
        <w:t xml:space="preserve"> test,</w:t>
      </w:r>
      <w:r w:rsidRPr="009C0E56">
        <w:rPr>
          <w:rFonts w:cstheme="minorHAnsi"/>
        </w:rPr>
        <w:t xml:space="preserve"> that t</w:t>
      </w:r>
      <w:r w:rsidRPr="009C0E56">
        <w:rPr>
          <w:rFonts w:cstheme="minorHAnsi"/>
          <w:color w:val="000000"/>
        </w:rPr>
        <w:t xml:space="preserve">o be regarded as an </w:t>
      </w:r>
      <w:r w:rsidRPr="000444E2">
        <w:rPr>
          <w:rFonts w:cstheme="minorHAnsi"/>
          <w:color w:val="000000"/>
        </w:rPr>
        <w:t xml:space="preserve">Aboriginal </w:t>
      </w:r>
      <w:r w:rsidRPr="009C0E56">
        <w:rPr>
          <w:rFonts w:cstheme="minorHAnsi"/>
          <w:color w:val="000000"/>
        </w:rPr>
        <w:t>a person must</w:t>
      </w:r>
      <w:r>
        <w:rPr>
          <w:rFonts w:cstheme="minorHAnsi"/>
          <w:color w:val="000000"/>
        </w:rPr>
        <w:t>:</w:t>
      </w:r>
      <w:r w:rsidRPr="009C0E56">
        <w:rPr>
          <w:rFonts w:cstheme="minorHAnsi"/>
          <w:color w:val="000000"/>
        </w:rPr>
        <w:t xml:space="preserve"> be biologically descended from Aboriginal people</w:t>
      </w:r>
      <w:r>
        <w:rPr>
          <w:rFonts w:cstheme="minorHAnsi"/>
          <w:color w:val="000000"/>
        </w:rPr>
        <w:t>;</w:t>
      </w:r>
      <w:r w:rsidRPr="009C0E56">
        <w:rPr>
          <w:rFonts w:cstheme="minorHAnsi"/>
          <w:color w:val="000000"/>
        </w:rPr>
        <w:t xml:space="preserve"> self-identify as an Aboriginal person</w:t>
      </w:r>
      <w:r>
        <w:rPr>
          <w:rFonts w:cstheme="minorHAnsi"/>
          <w:color w:val="000000"/>
        </w:rPr>
        <w:t>;</w:t>
      </w:r>
      <w:r w:rsidRPr="009C0E56">
        <w:rPr>
          <w:rFonts w:cstheme="minorHAnsi"/>
          <w:color w:val="000000"/>
        </w:rPr>
        <w:t xml:space="preserve"> and be recognised as a member of an Aboriginal group by its elders or those with traditional authority to determine its membership.</w:t>
      </w:r>
      <w:r>
        <w:rPr>
          <w:rFonts w:cstheme="minorHAnsi"/>
          <w:color w:val="000000"/>
        </w:rPr>
        <w:t xml:space="preserve"> </w:t>
      </w:r>
    </w:p>
    <w:p w:rsidR="00703540" w:rsidRDefault="00703540">
      <w:pPr>
        <w:rPr>
          <w:rFonts w:cstheme="minorHAnsi"/>
          <w:color w:val="000000"/>
        </w:rPr>
      </w:pPr>
      <w:r>
        <w:rPr>
          <w:rFonts w:cstheme="minorHAnsi"/>
          <w:color w:val="000000"/>
        </w:rPr>
        <w:t xml:space="preserve">So, </w:t>
      </w:r>
      <w:r w:rsidR="0078203F">
        <w:rPr>
          <w:rFonts w:cstheme="minorHAnsi"/>
          <w:color w:val="000000"/>
        </w:rPr>
        <w:t xml:space="preserve">how many </w:t>
      </w:r>
      <w:r w:rsidR="002A51EE">
        <w:rPr>
          <w:rFonts w:cstheme="minorHAnsi"/>
          <w:color w:val="000000"/>
        </w:rPr>
        <w:t>Aboriginal Au</w:t>
      </w:r>
      <w:r w:rsidR="0078203F">
        <w:rPr>
          <w:rFonts w:cstheme="minorHAnsi"/>
          <w:color w:val="000000"/>
        </w:rPr>
        <w:t>stralian</w:t>
      </w:r>
      <w:r w:rsidR="00E546DF">
        <w:rPr>
          <w:rFonts w:cstheme="minorHAnsi"/>
          <w:color w:val="000000"/>
        </w:rPr>
        <w:t>s</w:t>
      </w:r>
      <w:r w:rsidR="002A51EE">
        <w:rPr>
          <w:rFonts w:cstheme="minorHAnsi"/>
          <w:color w:val="000000"/>
        </w:rPr>
        <w:t xml:space="preserve"> are there</w:t>
      </w:r>
      <w:r w:rsidR="00E20A22">
        <w:rPr>
          <w:rFonts w:cstheme="minorHAnsi"/>
          <w:color w:val="000000"/>
        </w:rPr>
        <w:t xml:space="preserve"> under th</w:t>
      </w:r>
      <w:r w:rsidR="00E42C2C">
        <w:rPr>
          <w:rFonts w:cstheme="minorHAnsi"/>
          <w:color w:val="000000"/>
        </w:rPr>
        <w:t>is</w:t>
      </w:r>
      <w:r w:rsidR="00E20A22">
        <w:rPr>
          <w:rFonts w:cstheme="minorHAnsi"/>
          <w:color w:val="000000"/>
        </w:rPr>
        <w:t xml:space="preserve"> tripartite test</w:t>
      </w:r>
      <w:r w:rsidR="002A51EE">
        <w:rPr>
          <w:rFonts w:cstheme="minorHAnsi"/>
          <w:color w:val="000000"/>
        </w:rPr>
        <w:t>?</w:t>
      </w:r>
      <w:r w:rsidR="00E546DF">
        <w:rPr>
          <w:rFonts w:cstheme="minorHAnsi"/>
          <w:color w:val="000000"/>
        </w:rPr>
        <w:t xml:space="preserve"> </w:t>
      </w:r>
    </w:p>
    <w:p w:rsidR="0043418F" w:rsidRDefault="00703540" w:rsidP="0043418F">
      <w:r>
        <w:rPr>
          <w:rFonts w:cstheme="minorHAnsi"/>
          <w:color w:val="000000"/>
        </w:rPr>
        <w:t>First</w:t>
      </w:r>
      <w:r w:rsidR="007B2568">
        <w:rPr>
          <w:rFonts w:cstheme="minorHAnsi"/>
          <w:color w:val="000000"/>
        </w:rPr>
        <w:t xml:space="preserve">ly, on </w:t>
      </w:r>
      <w:r w:rsidR="007B2568" w:rsidRPr="00562568">
        <w:rPr>
          <w:rFonts w:cstheme="minorHAnsi"/>
          <w:b/>
          <w:color w:val="000000"/>
        </w:rPr>
        <w:t>the number of</w:t>
      </w:r>
      <w:r w:rsidR="009C0E56" w:rsidRPr="00562568">
        <w:rPr>
          <w:rFonts w:cstheme="minorHAnsi"/>
          <w:b/>
          <w:color w:val="000000"/>
        </w:rPr>
        <w:t xml:space="preserve"> </w:t>
      </w:r>
      <w:r w:rsidR="002A51EE" w:rsidRPr="00562568">
        <w:rPr>
          <w:rFonts w:cstheme="minorHAnsi"/>
          <w:b/>
          <w:color w:val="000000"/>
        </w:rPr>
        <w:t>Australians</w:t>
      </w:r>
      <w:r w:rsidRPr="00562568">
        <w:rPr>
          <w:rFonts w:cstheme="minorHAnsi"/>
          <w:b/>
          <w:color w:val="000000"/>
        </w:rPr>
        <w:t xml:space="preserve"> </w:t>
      </w:r>
      <w:r w:rsidR="007B2568" w:rsidRPr="00562568">
        <w:rPr>
          <w:rFonts w:cstheme="minorHAnsi"/>
          <w:b/>
          <w:color w:val="000000"/>
        </w:rPr>
        <w:t>who</w:t>
      </w:r>
      <w:r w:rsidRPr="00562568">
        <w:rPr>
          <w:rFonts w:cstheme="minorHAnsi"/>
          <w:b/>
          <w:color w:val="000000"/>
        </w:rPr>
        <w:t xml:space="preserve"> have Aboriginal descent</w:t>
      </w:r>
      <w:r w:rsidR="007B2568" w:rsidRPr="00562568">
        <w:rPr>
          <w:rFonts w:cstheme="minorHAnsi"/>
          <w:b/>
          <w:color w:val="000000"/>
        </w:rPr>
        <w:t>,</w:t>
      </w:r>
      <w:r w:rsidR="007B2568">
        <w:rPr>
          <w:rFonts w:cstheme="minorHAnsi"/>
          <w:color w:val="000000"/>
        </w:rPr>
        <w:t xml:space="preserve"> </w:t>
      </w:r>
      <w:r w:rsidR="0005047C">
        <w:rPr>
          <w:rFonts w:cstheme="minorHAnsi"/>
          <w:color w:val="000000"/>
        </w:rPr>
        <w:t>t</w:t>
      </w:r>
      <w:r w:rsidR="00310546">
        <w:t xml:space="preserve">he </w:t>
      </w:r>
      <w:r w:rsidR="00E20A22">
        <w:t>ABS</w:t>
      </w:r>
      <w:r w:rsidR="00310546">
        <w:t xml:space="preserve"> </w:t>
      </w:r>
      <w:r w:rsidR="006C0CA9">
        <w:t xml:space="preserve">applies an awkward binary ‘classification’ of </w:t>
      </w:r>
      <w:r w:rsidR="00606AD7">
        <w:t xml:space="preserve">Australians into </w:t>
      </w:r>
      <w:r w:rsidR="004664D8">
        <w:t xml:space="preserve">‘indigenous’ </w:t>
      </w:r>
      <w:r w:rsidR="00606AD7">
        <w:t>and</w:t>
      </w:r>
      <w:r w:rsidR="004664D8">
        <w:t xml:space="preserve"> ‘non-indigenous’ on the basis </w:t>
      </w:r>
      <w:r w:rsidR="0043418F">
        <w:t xml:space="preserve">of responses </w:t>
      </w:r>
      <w:r w:rsidR="00606AD7">
        <w:t>to Census questions asking about</w:t>
      </w:r>
      <w:r w:rsidR="000E22A0">
        <w:t xml:space="preserve"> </w:t>
      </w:r>
      <w:r w:rsidR="00562568">
        <w:t>Aboriginal or Torres Strait</w:t>
      </w:r>
      <w:r w:rsidR="008E7251">
        <w:t xml:space="preserve"> Islander</w:t>
      </w:r>
      <w:r w:rsidR="00562568">
        <w:t xml:space="preserve"> </w:t>
      </w:r>
      <w:r w:rsidR="008E7251">
        <w:t>‘</w:t>
      </w:r>
      <w:r w:rsidR="00562568">
        <w:t>origin’</w:t>
      </w:r>
      <w:r w:rsidR="00606AD7">
        <w:t xml:space="preserve">. </w:t>
      </w:r>
      <w:r w:rsidR="00562568">
        <w:t>It enumerated 649,171 Australians as</w:t>
      </w:r>
      <w:r w:rsidR="000E22A0">
        <w:t xml:space="preserve"> being</w:t>
      </w:r>
      <w:r w:rsidR="00562568">
        <w:t xml:space="preserve"> ‘</w:t>
      </w:r>
      <w:r w:rsidR="000E22A0">
        <w:t>of indigenous origin’</w:t>
      </w:r>
      <w:r w:rsidR="00562568">
        <w:t xml:space="preserve"> in </w:t>
      </w:r>
      <w:r w:rsidR="000E22A0">
        <w:t xml:space="preserve">its </w:t>
      </w:r>
      <w:r w:rsidR="00562568">
        <w:t>2016</w:t>
      </w:r>
      <w:r w:rsidR="000E22A0">
        <w:t xml:space="preserve"> Census</w:t>
      </w:r>
      <w:r w:rsidR="007A7831">
        <w:rPr>
          <w:rStyle w:val="EndnoteReference"/>
        </w:rPr>
        <w:endnoteReference w:id="3"/>
      </w:r>
      <w:r w:rsidR="00E518FE">
        <w:t>, much higher than in previous Censu</w:t>
      </w:r>
      <w:r w:rsidR="009106C9">
        <w:t>s</w:t>
      </w:r>
      <w:r w:rsidR="00E518FE">
        <w:t>es though considered by the ABS to be a</w:t>
      </w:r>
      <w:r w:rsidR="009106C9">
        <w:t xml:space="preserve"> significant</w:t>
      </w:r>
      <w:r w:rsidR="00E518FE">
        <w:t xml:space="preserve"> under-enu</w:t>
      </w:r>
      <w:r w:rsidR="009106C9">
        <w:t>m</w:t>
      </w:r>
      <w:r w:rsidR="00E518FE">
        <w:t>eration</w:t>
      </w:r>
      <w:r w:rsidR="007A7831">
        <w:rPr>
          <w:rStyle w:val="EndnoteReference"/>
        </w:rPr>
        <w:endnoteReference w:id="4"/>
      </w:r>
      <w:r w:rsidR="000E22A0">
        <w:t>.</w:t>
      </w:r>
    </w:p>
    <w:p w:rsidR="0043418F" w:rsidRDefault="00B75969" w:rsidP="0043418F">
      <w:r>
        <w:t xml:space="preserve">The word </w:t>
      </w:r>
      <w:r w:rsidRPr="004C038A">
        <w:rPr>
          <w:i/>
        </w:rPr>
        <w:t>origin</w:t>
      </w:r>
      <w:r>
        <w:t xml:space="preserve"> is capable</w:t>
      </w:r>
      <w:r>
        <w:rPr>
          <w:rFonts w:cstheme="minorHAnsi"/>
          <w:shd w:val="clear" w:color="auto" w:fill="FFFFFF"/>
        </w:rPr>
        <w:t xml:space="preserve"> of </w:t>
      </w:r>
      <w:r w:rsidR="00E42560">
        <w:rPr>
          <w:rFonts w:cstheme="minorHAnsi"/>
          <w:shd w:val="clear" w:color="auto" w:fill="FFFFFF"/>
        </w:rPr>
        <w:t>many</w:t>
      </w:r>
      <w:r>
        <w:rPr>
          <w:rFonts w:cstheme="minorHAnsi"/>
          <w:shd w:val="clear" w:color="auto" w:fill="FFFFFF"/>
        </w:rPr>
        <w:t xml:space="preserve"> interpretations</w:t>
      </w:r>
      <w:r>
        <w:t xml:space="preserve"> but, although m</w:t>
      </w:r>
      <w:r w:rsidR="005131F5">
        <w:t>ost</w:t>
      </w:r>
      <w:r w:rsidR="004664D8">
        <w:t xml:space="preserve"> Australians ‘of indigenous origin’ are likely to be of mixed racial and cultural origins</w:t>
      </w:r>
      <w:r w:rsidR="0043418F">
        <w:t xml:space="preserve"> after more than two centuries of intermingling</w:t>
      </w:r>
      <w:r w:rsidR="00C40F9D">
        <w:t xml:space="preserve"> (</w:t>
      </w:r>
      <w:r w:rsidR="00607843">
        <w:t>f</w:t>
      </w:r>
      <w:r w:rsidR="00960124">
        <w:t xml:space="preserve">ewer than </w:t>
      </w:r>
      <w:r w:rsidR="00DB1D4B">
        <w:t xml:space="preserve">a quarter </w:t>
      </w:r>
      <w:r w:rsidR="00960124">
        <w:t xml:space="preserve">of </w:t>
      </w:r>
      <w:r>
        <w:rPr>
          <w:rFonts w:cstheme="minorHAnsi"/>
          <w:shd w:val="clear" w:color="auto" w:fill="FFFFFF"/>
        </w:rPr>
        <w:t xml:space="preserve">‘indigenous’ </w:t>
      </w:r>
      <w:r w:rsidR="00960124">
        <w:rPr>
          <w:rFonts w:cstheme="minorHAnsi"/>
          <w:shd w:val="clear" w:color="auto" w:fill="FFFFFF"/>
        </w:rPr>
        <w:t xml:space="preserve">children </w:t>
      </w:r>
      <w:r w:rsidR="00607843">
        <w:rPr>
          <w:rFonts w:cstheme="minorHAnsi"/>
          <w:shd w:val="clear" w:color="auto" w:fill="FFFFFF"/>
        </w:rPr>
        <w:t>have</w:t>
      </w:r>
      <w:r w:rsidR="00960124">
        <w:rPr>
          <w:rFonts w:cstheme="minorHAnsi"/>
          <w:shd w:val="clear" w:color="auto" w:fill="FFFFFF"/>
        </w:rPr>
        <w:t xml:space="preserve"> </w:t>
      </w:r>
      <w:r w:rsidR="00DB1D4B">
        <w:rPr>
          <w:rFonts w:cstheme="minorHAnsi"/>
          <w:shd w:val="clear" w:color="auto" w:fill="FFFFFF"/>
        </w:rPr>
        <w:t>both</w:t>
      </w:r>
      <w:r w:rsidR="00960124">
        <w:rPr>
          <w:rFonts w:cstheme="minorHAnsi"/>
          <w:shd w:val="clear" w:color="auto" w:fill="FFFFFF"/>
        </w:rPr>
        <w:t xml:space="preserve"> par</w:t>
      </w:r>
      <w:r w:rsidR="00DB1D4B">
        <w:rPr>
          <w:rFonts w:cstheme="minorHAnsi"/>
          <w:shd w:val="clear" w:color="auto" w:fill="FFFFFF"/>
        </w:rPr>
        <w:t>ents</w:t>
      </w:r>
      <w:r w:rsidR="00960124">
        <w:rPr>
          <w:rFonts w:cstheme="minorHAnsi"/>
          <w:shd w:val="clear" w:color="auto" w:fill="FFFFFF"/>
        </w:rPr>
        <w:t xml:space="preserve"> of indigenous origin</w:t>
      </w:r>
      <w:r w:rsidR="00607843">
        <w:rPr>
          <w:rStyle w:val="EndnoteReference"/>
          <w:rFonts w:cstheme="minorHAnsi"/>
          <w:shd w:val="clear" w:color="auto" w:fill="FFFFFF"/>
        </w:rPr>
        <w:endnoteReference w:id="5"/>
      </w:r>
      <w:r w:rsidR="00C40F9D">
        <w:rPr>
          <w:rFonts w:cstheme="minorHAnsi"/>
          <w:shd w:val="clear" w:color="auto" w:fill="FFFFFF"/>
        </w:rPr>
        <w:t>)</w:t>
      </w:r>
      <w:r w:rsidR="001354FD">
        <w:rPr>
          <w:rFonts w:cstheme="minorHAnsi"/>
          <w:shd w:val="clear" w:color="auto" w:fill="FFFFFF"/>
        </w:rPr>
        <w:t>, if</w:t>
      </w:r>
      <w:r w:rsidR="001354FD" w:rsidRPr="001354FD">
        <w:t xml:space="preserve"> </w:t>
      </w:r>
      <w:r>
        <w:t xml:space="preserve">the word </w:t>
      </w:r>
      <w:r w:rsidR="001354FD">
        <w:t xml:space="preserve">is taken to be synonymous with </w:t>
      </w:r>
      <w:r w:rsidR="001354FD">
        <w:rPr>
          <w:i/>
        </w:rPr>
        <w:t>descent</w:t>
      </w:r>
      <w:r w:rsidR="000E22A0">
        <w:rPr>
          <w:rFonts w:cstheme="minorHAnsi"/>
          <w:shd w:val="clear" w:color="auto" w:fill="FFFFFF"/>
        </w:rPr>
        <w:t xml:space="preserve"> </w:t>
      </w:r>
      <w:r w:rsidR="0005047C">
        <w:rPr>
          <w:rFonts w:cstheme="minorHAnsi"/>
          <w:color w:val="000000"/>
        </w:rPr>
        <w:t xml:space="preserve">the </w:t>
      </w:r>
      <w:r w:rsidR="00E20A22">
        <w:rPr>
          <w:rFonts w:cstheme="minorHAnsi"/>
          <w:color w:val="000000"/>
        </w:rPr>
        <w:t>ABS</w:t>
      </w:r>
      <w:r w:rsidR="0005047C">
        <w:rPr>
          <w:rFonts w:cstheme="minorHAnsi"/>
          <w:color w:val="000000"/>
        </w:rPr>
        <w:t xml:space="preserve">’s </w:t>
      </w:r>
      <w:r w:rsidR="000E22A0">
        <w:rPr>
          <w:rFonts w:cstheme="minorHAnsi"/>
          <w:color w:val="000000"/>
        </w:rPr>
        <w:t xml:space="preserve">enumeration </w:t>
      </w:r>
      <w:r w:rsidR="006958BA">
        <w:rPr>
          <w:rFonts w:cstheme="minorHAnsi"/>
          <w:color w:val="000000"/>
        </w:rPr>
        <w:t>may</w:t>
      </w:r>
      <w:r w:rsidR="0005047C">
        <w:rPr>
          <w:rFonts w:cstheme="minorHAnsi"/>
          <w:color w:val="000000"/>
        </w:rPr>
        <w:t xml:space="preserve"> </w:t>
      </w:r>
      <w:r w:rsidR="00EE1C51">
        <w:t xml:space="preserve">meet the first part of the </w:t>
      </w:r>
      <w:r w:rsidR="007B2568">
        <w:t xml:space="preserve">High Court’s </w:t>
      </w:r>
      <w:r w:rsidR="00EE1C51">
        <w:t>test</w:t>
      </w:r>
      <w:r w:rsidR="001354FD">
        <w:rPr>
          <w:i/>
        </w:rPr>
        <w:t>.</w:t>
      </w:r>
      <w:r w:rsidR="0043418F">
        <w:t xml:space="preserve"> </w:t>
      </w:r>
    </w:p>
    <w:p w:rsidR="0078203F" w:rsidRDefault="004168DC" w:rsidP="0078203F">
      <w:pPr>
        <w:rPr>
          <w:rFonts w:cstheme="minorHAnsi"/>
        </w:rPr>
      </w:pPr>
      <w:r>
        <w:t>Secondly, o</w:t>
      </w:r>
      <w:r w:rsidR="0001006D">
        <w:t>n the question of</w:t>
      </w:r>
      <w:r w:rsidR="00CF47E1">
        <w:t xml:space="preserve"> </w:t>
      </w:r>
      <w:r w:rsidR="00703540" w:rsidRPr="005131F5">
        <w:rPr>
          <w:b/>
        </w:rPr>
        <w:t>h</w:t>
      </w:r>
      <w:r w:rsidR="00564170" w:rsidRPr="005131F5">
        <w:rPr>
          <w:b/>
        </w:rPr>
        <w:t xml:space="preserve">ow many </w:t>
      </w:r>
      <w:r w:rsidR="00CF47E1" w:rsidRPr="005131F5">
        <w:rPr>
          <w:b/>
        </w:rPr>
        <w:t xml:space="preserve">people </w:t>
      </w:r>
      <w:r w:rsidR="00564170" w:rsidRPr="005131F5">
        <w:rPr>
          <w:b/>
        </w:rPr>
        <w:t>identify as Aborigina</w:t>
      </w:r>
      <w:r w:rsidR="0001006D" w:rsidRPr="005131F5">
        <w:rPr>
          <w:b/>
        </w:rPr>
        <w:t>l</w:t>
      </w:r>
      <w:r w:rsidR="00DF4884">
        <w:t>,</w:t>
      </w:r>
      <w:r w:rsidR="0001006D">
        <w:t xml:space="preserve"> </w:t>
      </w:r>
      <w:r w:rsidR="0066167F">
        <w:t>people do not necessarily identify with any</w:t>
      </w:r>
      <w:r w:rsidR="00D112C1">
        <w:t>,</w:t>
      </w:r>
      <w:r w:rsidR="0066167F">
        <w:t xml:space="preserve"> </w:t>
      </w:r>
      <w:r w:rsidR="00D112C1">
        <w:t xml:space="preserve">or just one, </w:t>
      </w:r>
      <w:r w:rsidR="0066167F">
        <w:t xml:space="preserve">ethnic </w:t>
      </w:r>
      <w:r w:rsidR="00DB1D4B">
        <w:t>group</w:t>
      </w:r>
      <w:r w:rsidR="0066167F">
        <w:t xml:space="preserve">. </w:t>
      </w:r>
      <w:r w:rsidR="003134DA">
        <w:t>The</w:t>
      </w:r>
      <w:r w:rsidR="0066167F">
        <w:t xml:space="preserve"> ABS</w:t>
      </w:r>
      <w:r w:rsidR="0078203F">
        <w:t xml:space="preserve"> does not collect</w:t>
      </w:r>
      <w:r w:rsidR="00846656">
        <w:t xml:space="preserve"> </w:t>
      </w:r>
      <w:r w:rsidR="003134DA">
        <w:t xml:space="preserve">explicit </w:t>
      </w:r>
      <w:r w:rsidR="0078203F">
        <w:t xml:space="preserve">data </w:t>
      </w:r>
      <w:r w:rsidR="003134DA">
        <w:t xml:space="preserve">on </w:t>
      </w:r>
      <w:r w:rsidR="0078203F">
        <w:t xml:space="preserve">cultural </w:t>
      </w:r>
      <w:r w:rsidR="003134DA">
        <w:t xml:space="preserve">or racial </w:t>
      </w:r>
      <w:r w:rsidR="0078203F">
        <w:t>identit</w:t>
      </w:r>
      <w:r w:rsidR="003134DA">
        <w:t>ies</w:t>
      </w:r>
      <w:r w:rsidR="009A0F88">
        <w:rPr>
          <w:i/>
        </w:rPr>
        <w:t xml:space="preserve">, </w:t>
      </w:r>
      <w:r w:rsidR="0078203F">
        <w:t>but it does ask</w:t>
      </w:r>
      <w:r w:rsidR="00623CE8">
        <w:t xml:space="preserve"> </w:t>
      </w:r>
      <w:r w:rsidR="0078203F">
        <w:t>questions in Censuses about languages spoken</w:t>
      </w:r>
      <w:r w:rsidR="009A0F88">
        <w:t xml:space="preserve">, </w:t>
      </w:r>
      <w:r w:rsidR="0078203F">
        <w:t>ancestries</w:t>
      </w:r>
      <w:r w:rsidR="009A0F88">
        <w:t xml:space="preserve"> and birthplaces</w:t>
      </w:r>
      <w:r w:rsidR="0078203F">
        <w:t>.</w:t>
      </w:r>
      <w:r w:rsidR="00E42C2C">
        <w:t xml:space="preserve"> </w:t>
      </w:r>
      <w:r w:rsidR="0078203F">
        <w:t xml:space="preserve">On languages, </w:t>
      </w:r>
      <w:r w:rsidR="0078203F">
        <w:rPr>
          <w:rFonts w:cstheme="minorHAnsi"/>
        </w:rPr>
        <w:t>63,754 people (fewer than ten per cent of people of indigenous origin) reported speaking indigenous languages at home</w:t>
      </w:r>
      <w:r w:rsidR="0078203F">
        <w:t xml:space="preserve"> in 2016</w:t>
      </w:r>
      <w:r w:rsidR="002A51EE">
        <w:t>.</w:t>
      </w:r>
    </w:p>
    <w:p w:rsidR="00694FDB" w:rsidRDefault="00CF47E1" w:rsidP="00694FDB">
      <w:pPr>
        <w:rPr>
          <w:rFonts w:cstheme="minorHAnsi"/>
        </w:rPr>
      </w:pPr>
      <w:r>
        <w:t xml:space="preserve">In response to the 2016 Census, </w:t>
      </w:r>
      <w:r w:rsidR="00AA41D0">
        <w:t xml:space="preserve">when asked to nominate up to two ancestries only </w:t>
      </w:r>
      <w:r w:rsidR="00AA41D0">
        <w:rPr>
          <w:rFonts w:cstheme="minorHAnsi"/>
        </w:rPr>
        <w:t xml:space="preserve">159,416 </w:t>
      </w:r>
      <w:r w:rsidR="004168DC">
        <w:rPr>
          <w:rFonts w:cstheme="minorHAnsi"/>
        </w:rPr>
        <w:t>Australians</w:t>
      </w:r>
      <w:r w:rsidR="00CF37E0">
        <w:rPr>
          <w:rStyle w:val="EndnoteReference"/>
          <w:rFonts w:cstheme="minorHAnsi"/>
        </w:rPr>
        <w:endnoteReference w:id="6"/>
      </w:r>
      <w:r w:rsidR="004168DC">
        <w:rPr>
          <w:rFonts w:cstheme="minorHAnsi"/>
        </w:rPr>
        <w:t xml:space="preserve"> </w:t>
      </w:r>
      <w:r w:rsidR="00AA41D0">
        <w:rPr>
          <w:rFonts w:cstheme="minorHAnsi"/>
        </w:rPr>
        <w:t>(</w:t>
      </w:r>
      <w:r w:rsidR="004168DC">
        <w:rPr>
          <w:rFonts w:cstheme="minorHAnsi"/>
        </w:rPr>
        <w:t>fewer</w:t>
      </w:r>
      <w:r w:rsidR="00E42C2C">
        <w:rPr>
          <w:rFonts w:cstheme="minorHAnsi"/>
        </w:rPr>
        <w:t xml:space="preserve"> </w:t>
      </w:r>
      <w:r w:rsidR="00AA41D0">
        <w:rPr>
          <w:rFonts w:cstheme="minorHAnsi"/>
        </w:rPr>
        <w:t xml:space="preserve">than a quarter of </w:t>
      </w:r>
      <w:r w:rsidR="004168DC">
        <w:rPr>
          <w:rFonts w:cstheme="minorHAnsi"/>
        </w:rPr>
        <w:t>Australians</w:t>
      </w:r>
      <w:r w:rsidR="00AA41D0">
        <w:rPr>
          <w:rFonts w:cstheme="minorHAnsi"/>
        </w:rPr>
        <w:t xml:space="preserve"> of indigenous origin) reported </w:t>
      </w:r>
      <w:r w:rsidR="003B6290">
        <w:rPr>
          <w:rFonts w:cstheme="minorHAnsi"/>
        </w:rPr>
        <w:t xml:space="preserve">having </w:t>
      </w:r>
      <w:r w:rsidR="00AA41D0">
        <w:rPr>
          <w:rFonts w:cstheme="minorHAnsi"/>
        </w:rPr>
        <w:t>an Aboriginal or Torres Strait Islander</w:t>
      </w:r>
      <w:r w:rsidR="00AA41D0" w:rsidRPr="00265E8F">
        <w:rPr>
          <w:rFonts w:cstheme="minorHAnsi"/>
        </w:rPr>
        <w:t xml:space="preserve"> ancestry</w:t>
      </w:r>
      <w:r w:rsidR="00AA41D0">
        <w:rPr>
          <w:rFonts w:cstheme="minorHAnsi"/>
        </w:rPr>
        <w:t xml:space="preserve">. </w:t>
      </w:r>
      <w:r w:rsidR="003134DA">
        <w:rPr>
          <w:rFonts w:cstheme="minorHAnsi"/>
        </w:rPr>
        <w:t xml:space="preserve">Although </w:t>
      </w:r>
      <w:r w:rsidR="00EC6A3E">
        <w:rPr>
          <w:rFonts w:cstheme="minorHAnsi"/>
        </w:rPr>
        <w:t xml:space="preserve">respondents may have differing understandings of </w:t>
      </w:r>
      <w:r w:rsidR="00D06680">
        <w:rPr>
          <w:rFonts w:cstheme="minorHAnsi"/>
          <w:i/>
        </w:rPr>
        <w:t xml:space="preserve">ancestry </w:t>
      </w:r>
      <w:r w:rsidR="003134DA">
        <w:rPr>
          <w:rFonts w:cstheme="minorHAnsi"/>
        </w:rPr>
        <w:t>th</w:t>
      </w:r>
      <w:r w:rsidR="00FC0701">
        <w:rPr>
          <w:rFonts w:cstheme="minorHAnsi"/>
        </w:rPr>
        <w:t>e numbers are</w:t>
      </w:r>
      <w:r w:rsidR="001354FD">
        <w:rPr>
          <w:rFonts w:cstheme="minorHAnsi"/>
        </w:rPr>
        <w:t xml:space="preserve"> similar to</w:t>
      </w:r>
      <w:r w:rsidR="003134DA">
        <w:rPr>
          <w:rFonts w:cstheme="minorHAnsi"/>
        </w:rPr>
        <w:t xml:space="preserve"> </w:t>
      </w:r>
      <w:r w:rsidR="001354FD">
        <w:rPr>
          <w:rFonts w:cstheme="minorHAnsi"/>
        </w:rPr>
        <w:t>earlier censuses,</w:t>
      </w:r>
      <w:r w:rsidR="00694FDB">
        <w:rPr>
          <w:rFonts w:cstheme="minorHAnsi"/>
        </w:rPr>
        <w:t xml:space="preserve"> suggest</w:t>
      </w:r>
      <w:r w:rsidR="003134DA">
        <w:rPr>
          <w:rFonts w:cstheme="minorHAnsi"/>
        </w:rPr>
        <w:t>ing</w:t>
      </w:r>
      <w:r w:rsidR="00694FDB">
        <w:rPr>
          <w:rFonts w:cstheme="minorHAnsi"/>
        </w:rPr>
        <w:t xml:space="preserve"> that </w:t>
      </w:r>
      <w:r w:rsidR="005116AA">
        <w:rPr>
          <w:rFonts w:cstheme="minorHAnsi"/>
        </w:rPr>
        <w:t xml:space="preserve">many Australians </w:t>
      </w:r>
      <w:r w:rsidR="0066167F">
        <w:rPr>
          <w:rFonts w:cstheme="minorHAnsi"/>
        </w:rPr>
        <w:t xml:space="preserve">enumerated as </w:t>
      </w:r>
      <w:r w:rsidR="005116AA">
        <w:rPr>
          <w:rFonts w:cstheme="minorHAnsi"/>
        </w:rPr>
        <w:t>of indigenous origin do not identify strongly with an</w:t>
      </w:r>
      <w:r w:rsidR="0066167F">
        <w:rPr>
          <w:rFonts w:cstheme="minorHAnsi"/>
        </w:rPr>
        <w:t>y</w:t>
      </w:r>
      <w:r w:rsidR="00694FDB">
        <w:rPr>
          <w:rFonts w:cstheme="minorHAnsi"/>
        </w:rPr>
        <w:t xml:space="preserve"> Aboriginal or Torres Strait Islander </w:t>
      </w:r>
      <w:r w:rsidR="005116AA">
        <w:rPr>
          <w:rFonts w:cstheme="minorHAnsi"/>
        </w:rPr>
        <w:t>ancestry.</w:t>
      </w:r>
      <w:r w:rsidR="00694FDB">
        <w:rPr>
          <w:rFonts w:cstheme="minorHAnsi"/>
        </w:rPr>
        <w:t xml:space="preserve"> </w:t>
      </w:r>
    </w:p>
    <w:p w:rsidR="00AA41D0" w:rsidRDefault="00CF47E1" w:rsidP="0078203F">
      <w:pPr>
        <w:rPr>
          <w:rFonts w:cstheme="minorHAnsi"/>
        </w:rPr>
      </w:pPr>
      <w:r>
        <w:rPr>
          <w:rFonts w:cstheme="minorHAnsi"/>
        </w:rPr>
        <w:t>It is possible</w:t>
      </w:r>
      <w:r w:rsidR="00694FDB">
        <w:rPr>
          <w:rFonts w:cstheme="minorHAnsi"/>
        </w:rPr>
        <w:t xml:space="preserve"> </w:t>
      </w:r>
      <w:r>
        <w:rPr>
          <w:rFonts w:cstheme="minorHAnsi"/>
        </w:rPr>
        <w:t xml:space="preserve">that </w:t>
      </w:r>
      <w:r w:rsidR="00694FDB">
        <w:rPr>
          <w:rFonts w:cstheme="minorHAnsi"/>
        </w:rPr>
        <w:t xml:space="preserve">people of indigenous origin </w:t>
      </w:r>
      <w:r w:rsidR="005C2F77">
        <w:rPr>
          <w:rFonts w:cstheme="minorHAnsi"/>
        </w:rPr>
        <w:t xml:space="preserve">may have </w:t>
      </w:r>
      <w:r w:rsidR="00694FDB">
        <w:rPr>
          <w:rFonts w:cstheme="minorHAnsi"/>
        </w:rPr>
        <w:t xml:space="preserve">claimed an ancestry in </w:t>
      </w:r>
      <w:r w:rsidR="001354FD">
        <w:rPr>
          <w:rFonts w:cstheme="minorHAnsi"/>
        </w:rPr>
        <w:t xml:space="preserve">some of Australia’s many </w:t>
      </w:r>
      <w:r w:rsidR="005C2F77">
        <w:rPr>
          <w:rFonts w:cstheme="minorHAnsi"/>
        </w:rPr>
        <w:t>cultural</w:t>
      </w:r>
      <w:r w:rsidR="000E22A0">
        <w:rPr>
          <w:rFonts w:cstheme="minorHAnsi"/>
        </w:rPr>
        <w:t>/linguistic</w:t>
      </w:r>
      <w:r w:rsidR="005C2F77">
        <w:rPr>
          <w:rFonts w:cstheme="minorHAnsi"/>
        </w:rPr>
        <w:t xml:space="preserve"> groups</w:t>
      </w:r>
      <w:r w:rsidR="00694FDB">
        <w:rPr>
          <w:rFonts w:cstheme="minorHAnsi"/>
        </w:rPr>
        <w:t xml:space="preserve"> rather than </w:t>
      </w:r>
      <w:r w:rsidR="005C2F77">
        <w:rPr>
          <w:rFonts w:cstheme="minorHAnsi"/>
        </w:rPr>
        <w:t xml:space="preserve">as </w:t>
      </w:r>
      <w:r w:rsidR="00694FDB">
        <w:rPr>
          <w:rFonts w:cstheme="minorHAnsi"/>
        </w:rPr>
        <w:t>Aboriginal or Torres Strait Islander</w:t>
      </w:r>
      <w:r w:rsidR="00154FD0">
        <w:rPr>
          <w:rFonts w:cstheme="minorHAnsi"/>
        </w:rPr>
        <w:t>,</w:t>
      </w:r>
      <w:r w:rsidR="00694FDB">
        <w:rPr>
          <w:rFonts w:cstheme="minorHAnsi"/>
        </w:rPr>
        <w:t xml:space="preserve"> but that cannot be known</w:t>
      </w:r>
      <w:r w:rsidR="00E42560">
        <w:rPr>
          <w:rStyle w:val="EndnoteReference"/>
          <w:rFonts w:cstheme="minorHAnsi"/>
        </w:rPr>
        <w:endnoteReference w:id="7"/>
      </w:r>
      <w:r w:rsidR="00694FDB">
        <w:rPr>
          <w:rFonts w:cstheme="minorHAnsi"/>
        </w:rPr>
        <w:t xml:space="preserve">. It is possible also that they claimed </w:t>
      </w:r>
      <w:r w:rsidR="00AA41D0">
        <w:rPr>
          <w:rFonts w:cstheme="minorHAnsi"/>
        </w:rPr>
        <w:t>‘Australian’ ancestry</w:t>
      </w:r>
      <w:r w:rsidR="005131F5">
        <w:rPr>
          <w:rFonts w:cstheme="minorHAnsi"/>
        </w:rPr>
        <w:t xml:space="preserve"> </w:t>
      </w:r>
      <w:r w:rsidR="001354FD">
        <w:rPr>
          <w:rFonts w:cstheme="minorHAnsi"/>
        </w:rPr>
        <w:t xml:space="preserve">but that </w:t>
      </w:r>
      <w:r w:rsidR="005131F5">
        <w:rPr>
          <w:rFonts w:cstheme="minorHAnsi"/>
        </w:rPr>
        <w:t>is</w:t>
      </w:r>
      <w:r w:rsidR="005C2F77">
        <w:rPr>
          <w:rFonts w:cstheme="minorHAnsi"/>
        </w:rPr>
        <w:t xml:space="preserve"> what</w:t>
      </w:r>
      <w:r w:rsidR="00AA41D0">
        <w:rPr>
          <w:rFonts w:cstheme="minorHAnsi"/>
        </w:rPr>
        <w:t xml:space="preserve"> m</w:t>
      </w:r>
      <w:r w:rsidR="00AA41D0" w:rsidRPr="00265E8F">
        <w:rPr>
          <w:rFonts w:cstheme="minorHAnsi"/>
        </w:rPr>
        <w:t xml:space="preserve">ore </w:t>
      </w:r>
      <w:r w:rsidR="00AA41D0">
        <w:rPr>
          <w:rFonts w:cstheme="minorHAnsi"/>
        </w:rPr>
        <w:t xml:space="preserve">than thirty </w:t>
      </w:r>
      <w:r w:rsidR="00AA41D0">
        <w:rPr>
          <w:rFonts w:cstheme="minorHAnsi"/>
        </w:rPr>
        <w:lastRenderedPageBreak/>
        <w:t xml:space="preserve">percent of all </w:t>
      </w:r>
      <w:r w:rsidR="002A51EE">
        <w:rPr>
          <w:rFonts w:cstheme="minorHAnsi"/>
        </w:rPr>
        <w:t>Australians</w:t>
      </w:r>
      <w:r w:rsidR="00AA41D0">
        <w:rPr>
          <w:rFonts w:cstheme="minorHAnsi"/>
        </w:rPr>
        <w:t xml:space="preserve"> enumerated</w:t>
      </w:r>
      <w:r w:rsidR="00694FDB">
        <w:rPr>
          <w:rFonts w:cstheme="minorHAnsi"/>
        </w:rPr>
        <w:t xml:space="preserve"> (</w:t>
      </w:r>
      <w:r w:rsidR="005116AA">
        <w:rPr>
          <w:rFonts w:cstheme="minorHAnsi"/>
        </w:rPr>
        <w:t xml:space="preserve">both </w:t>
      </w:r>
      <w:r w:rsidR="00694FDB">
        <w:rPr>
          <w:rFonts w:cstheme="minorHAnsi"/>
        </w:rPr>
        <w:t>indi</w:t>
      </w:r>
      <w:r w:rsidR="00AA41D0">
        <w:rPr>
          <w:rFonts w:cstheme="minorHAnsi"/>
        </w:rPr>
        <w:t>genous</w:t>
      </w:r>
      <w:r w:rsidR="002A51EE">
        <w:rPr>
          <w:rFonts w:cstheme="minorHAnsi"/>
        </w:rPr>
        <w:t xml:space="preserve"> a</w:t>
      </w:r>
      <w:r w:rsidR="00694FDB">
        <w:rPr>
          <w:rFonts w:cstheme="minorHAnsi"/>
        </w:rPr>
        <w:t>nd non-</w:t>
      </w:r>
      <w:r w:rsidR="00AA41D0">
        <w:rPr>
          <w:rFonts w:cstheme="minorHAnsi"/>
        </w:rPr>
        <w:t>indigenous)</w:t>
      </w:r>
      <w:r w:rsidR="005C2F77">
        <w:rPr>
          <w:rFonts w:cstheme="minorHAnsi"/>
        </w:rPr>
        <w:t xml:space="preserve"> did</w:t>
      </w:r>
      <w:r w:rsidR="001354FD">
        <w:rPr>
          <w:rFonts w:cstheme="minorHAnsi"/>
        </w:rPr>
        <w:t>, which doesn’t explain very much</w:t>
      </w:r>
      <w:r w:rsidR="00A1064D">
        <w:rPr>
          <w:rFonts w:cstheme="minorHAnsi"/>
        </w:rPr>
        <w:t>!</w:t>
      </w:r>
    </w:p>
    <w:p w:rsidR="00C86987" w:rsidRDefault="00703540" w:rsidP="0078203F">
      <w:r>
        <w:rPr>
          <w:rFonts w:cstheme="minorHAnsi"/>
        </w:rPr>
        <w:t>T</w:t>
      </w:r>
      <w:r w:rsidR="0078203F">
        <w:rPr>
          <w:rFonts w:cstheme="minorHAnsi"/>
        </w:rPr>
        <w:t xml:space="preserve">hirdly, on </w:t>
      </w:r>
      <w:r w:rsidRPr="005131F5">
        <w:rPr>
          <w:rFonts w:cstheme="minorHAnsi"/>
          <w:b/>
        </w:rPr>
        <w:t xml:space="preserve">how many </w:t>
      </w:r>
      <w:r w:rsidR="0078203F" w:rsidRPr="005131F5">
        <w:rPr>
          <w:rFonts w:cstheme="minorHAnsi"/>
          <w:b/>
        </w:rPr>
        <w:t xml:space="preserve">people </w:t>
      </w:r>
      <w:r w:rsidRPr="005131F5">
        <w:rPr>
          <w:rFonts w:cstheme="minorHAnsi"/>
          <w:b/>
        </w:rPr>
        <w:t>are reco</w:t>
      </w:r>
      <w:r w:rsidR="0078203F" w:rsidRPr="005131F5">
        <w:rPr>
          <w:rFonts w:cstheme="minorHAnsi"/>
          <w:b/>
        </w:rPr>
        <w:t>gnised</w:t>
      </w:r>
      <w:r w:rsidRPr="005131F5">
        <w:rPr>
          <w:rFonts w:cstheme="minorHAnsi"/>
          <w:b/>
        </w:rPr>
        <w:t xml:space="preserve"> as Aboriginal</w:t>
      </w:r>
      <w:r w:rsidR="0078203F">
        <w:rPr>
          <w:rFonts w:cstheme="minorHAnsi"/>
        </w:rPr>
        <w:t xml:space="preserve">, </w:t>
      </w:r>
      <w:r w:rsidR="00696966">
        <w:rPr>
          <w:rFonts w:cstheme="minorHAnsi"/>
        </w:rPr>
        <w:t xml:space="preserve">Aboriginal Land Council </w:t>
      </w:r>
      <w:r w:rsidR="002A51EE">
        <w:rPr>
          <w:rFonts w:cstheme="minorHAnsi"/>
        </w:rPr>
        <w:t xml:space="preserve">membership </w:t>
      </w:r>
      <w:r w:rsidR="003B6290">
        <w:rPr>
          <w:rFonts w:cstheme="minorHAnsi"/>
        </w:rPr>
        <w:t>could</w:t>
      </w:r>
      <w:r w:rsidR="002A51EE">
        <w:rPr>
          <w:rFonts w:cstheme="minorHAnsi"/>
        </w:rPr>
        <w:t xml:space="preserve"> be a guide</w:t>
      </w:r>
      <w:r>
        <w:rPr>
          <w:rFonts w:cstheme="minorHAnsi"/>
        </w:rPr>
        <w:t xml:space="preserve"> </w:t>
      </w:r>
      <w:r w:rsidR="002A51EE">
        <w:rPr>
          <w:rFonts w:cstheme="minorHAnsi"/>
        </w:rPr>
        <w:t>but</w:t>
      </w:r>
      <w:r w:rsidR="00634332">
        <w:rPr>
          <w:rFonts w:cstheme="minorHAnsi"/>
        </w:rPr>
        <w:t xml:space="preserve"> </w:t>
      </w:r>
      <w:r w:rsidR="0078203F">
        <w:rPr>
          <w:rFonts w:cstheme="minorHAnsi"/>
        </w:rPr>
        <w:t xml:space="preserve">comprehensive data </w:t>
      </w:r>
      <w:r w:rsidR="00634332">
        <w:rPr>
          <w:rFonts w:cstheme="minorHAnsi"/>
        </w:rPr>
        <w:t>are hard to come by.</w:t>
      </w:r>
      <w:r w:rsidR="00AC1126">
        <w:rPr>
          <w:rFonts w:cstheme="minorHAnsi"/>
        </w:rPr>
        <w:t xml:space="preserve"> </w:t>
      </w:r>
      <w:r w:rsidR="00C86987">
        <w:t xml:space="preserve">In New South Wales, the State with the largest number of </w:t>
      </w:r>
      <w:r w:rsidR="00E42C2C">
        <w:t>Australians</w:t>
      </w:r>
      <w:r w:rsidR="00C86987">
        <w:t xml:space="preserve"> of indigenous origin</w:t>
      </w:r>
      <w:r w:rsidR="00B4319F">
        <w:t xml:space="preserve"> enumerated in 2016</w:t>
      </w:r>
      <w:r w:rsidR="00C86987">
        <w:t xml:space="preserve">, </w:t>
      </w:r>
      <w:r w:rsidR="00E546DF">
        <w:t>15</w:t>
      </w:r>
      <w:r w:rsidR="002A51EE">
        <w:t>,</w:t>
      </w:r>
      <w:r w:rsidR="00E546DF">
        <w:t xml:space="preserve">426 people </w:t>
      </w:r>
      <w:r w:rsidR="00E42C2C">
        <w:t xml:space="preserve">(barely ten per cent of people of indigenous origin </w:t>
      </w:r>
      <w:r w:rsidR="000E22A0">
        <w:t xml:space="preserve">aged </w:t>
      </w:r>
      <w:r w:rsidR="00E42C2C">
        <w:t xml:space="preserve">15 and over) </w:t>
      </w:r>
      <w:r w:rsidR="00E546DF">
        <w:t xml:space="preserve">were enrolled to vote for </w:t>
      </w:r>
      <w:r w:rsidR="00C86987">
        <w:t xml:space="preserve">Aboriginal Land Councils </w:t>
      </w:r>
      <w:r w:rsidR="00E546DF">
        <w:t>in 2019</w:t>
      </w:r>
      <w:r w:rsidR="004B7220">
        <w:rPr>
          <w:rStyle w:val="EndnoteReference"/>
        </w:rPr>
        <w:endnoteReference w:id="8"/>
      </w:r>
      <w:r w:rsidR="00E42C2C">
        <w:t>.</w:t>
      </w:r>
      <w:r w:rsidR="00E546DF">
        <w:t xml:space="preserve"> </w:t>
      </w:r>
    </w:p>
    <w:p w:rsidR="00634332" w:rsidRDefault="00E546DF" w:rsidP="00E546DF">
      <w:pPr>
        <w:rPr>
          <w:rFonts w:cstheme="minorHAnsi"/>
        </w:rPr>
      </w:pPr>
      <w:r>
        <w:t xml:space="preserve">In Tasmania, the State with the fewest </w:t>
      </w:r>
      <w:r w:rsidR="00E42C2C">
        <w:t>number of Australians</w:t>
      </w:r>
      <w:r>
        <w:t xml:space="preserve"> of indigenous origin, fewer than 200 were enrolled to vote for the Aboriginal Land Council of Tasmania in 2017/8</w:t>
      </w:r>
      <w:r w:rsidR="008F2BF1">
        <w:rPr>
          <w:rStyle w:val="EndnoteReference"/>
        </w:rPr>
        <w:endnoteReference w:id="9"/>
      </w:r>
      <w:r w:rsidR="00E42C2C">
        <w:t>. Th</w:t>
      </w:r>
      <w:r>
        <w:t>e Tasmanian experience in 2002</w:t>
      </w:r>
      <w:r w:rsidR="00E42C2C">
        <w:t xml:space="preserve">, </w:t>
      </w:r>
      <w:r>
        <w:t xml:space="preserve">when 1298 applied for inclusion on the Tasmanian indigenous roll for ATSIC elections but only 750 were </w:t>
      </w:r>
      <w:r w:rsidR="00D35475">
        <w:t xml:space="preserve">eventually </w:t>
      </w:r>
      <w:r>
        <w:t>judged entitled to vote</w:t>
      </w:r>
      <w:r w:rsidR="00E42C2C">
        <w:t>,</w:t>
      </w:r>
      <w:r>
        <w:t xml:space="preserve"> illustrates just how difficult it can be to win recognition</w:t>
      </w:r>
      <w:r w:rsidR="008F2BF1">
        <w:rPr>
          <w:rStyle w:val="EndnoteReference"/>
        </w:rPr>
        <w:endnoteReference w:id="10"/>
      </w:r>
      <w:r>
        <w:t>.</w:t>
      </w:r>
      <w:r w:rsidR="00C86987">
        <w:t xml:space="preserve"> </w:t>
      </w:r>
    </w:p>
    <w:p w:rsidR="00EC6A3E" w:rsidRDefault="00B4319F" w:rsidP="00634332">
      <w:r>
        <w:t>Census and other</w:t>
      </w:r>
      <w:r w:rsidR="000E22A0">
        <w:t xml:space="preserve"> data </w:t>
      </w:r>
      <w:r>
        <w:t>do not</w:t>
      </w:r>
      <w:r w:rsidR="001354FD">
        <w:t xml:space="preserve"> </w:t>
      </w:r>
      <w:r w:rsidR="00607843">
        <w:t xml:space="preserve">seem to </w:t>
      </w:r>
      <w:r w:rsidR="000E22A0">
        <w:t xml:space="preserve">support the </w:t>
      </w:r>
      <w:r w:rsidR="00221191">
        <w:t>idea</w:t>
      </w:r>
      <w:r w:rsidR="0025251F">
        <w:t xml:space="preserve"> th</w:t>
      </w:r>
      <w:r w:rsidR="00221191">
        <w:t>at</w:t>
      </w:r>
      <w:r w:rsidR="0025251F">
        <w:t xml:space="preserve"> </w:t>
      </w:r>
      <w:r w:rsidR="00221191">
        <w:t xml:space="preserve">there may be </w:t>
      </w:r>
      <w:r w:rsidR="0025251F">
        <w:t xml:space="preserve">800,000 </w:t>
      </w:r>
      <w:r w:rsidR="00221191">
        <w:t xml:space="preserve">Aboriginal </w:t>
      </w:r>
      <w:r w:rsidR="0025251F">
        <w:t>Australians</w:t>
      </w:r>
      <w:r w:rsidR="00221191">
        <w:t xml:space="preserve">. </w:t>
      </w:r>
      <w:r w:rsidR="0025251F">
        <w:t>I</w:t>
      </w:r>
      <w:r w:rsidR="007C369D">
        <w:t xml:space="preserve">f </w:t>
      </w:r>
      <w:r w:rsidR="0025251F">
        <w:t xml:space="preserve">the </w:t>
      </w:r>
      <w:r w:rsidR="009F0E67">
        <w:t xml:space="preserve">number </w:t>
      </w:r>
      <w:r w:rsidR="007C369D">
        <w:t xml:space="preserve">of Australians who meet the High Court’s tripartite test </w:t>
      </w:r>
      <w:r w:rsidR="00154FD0">
        <w:t xml:space="preserve">for Aboriginality </w:t>
      </w:r>
      <w:r w:rsidR="005131F5">
        <w:t>is</w:t>
      </w:r>
      <w:r w:rsidR="009F0E67">
        <w:t xml:space="preserve"> </w:t>
      </w:r>
      <w:r w:rsidR="00E904B1">
        <w:t xml:space="preserve">significantly </w:t>
      </w:r>
      <w:r w:rsidR="009F0E67">
        <w:t xml:space="preserve">smaller </w:t>
      </w:r>
      <w:r w:rsidR="00221191">
        <w:t xml:space="preserve">than this, </w:t>
      </w:r>
      <w:r w:rsidR="00623CE8">
        <w:t>th</w:t>
      </w:r>
      <w:r w:rsidR="00EC6A3E">
        <w:t>is is highly relevant to the Productivity Commission’s Inquiry.</w:t>
      </w:r>
    </w:p>
    <w:p w:rsidR="00281745" w:rsidRDefault="00EC6A3E" w:rsidP="00634332">
      <w:r>
        <w:t>If</w:t>
      </w:r>
      <w:r w:rsidR="00470FC3">
        <w:t xml:space="preserve"> </w:t>
      </w:r>
      <w:r w:rsidR="00A27253">
        <w:t>ABS c</w:t>
      </w:r>
      <w:r w:rsidR="006C0CA9">
        <w:t>ensus</w:t>
      </w:r>
      <w:r w:rsidR="00A27253">
        <w:t xml:space="preserve"> reporting</w:t>
      </w:r>
      <w:r w:rsidR="00FD3373">
        <w:t xml:space="preserve"> </w:t>
      </w:r>
      <w:r w:rsidR="00813EB2">
        <w:t>exaggerate</w:t>
      </w:r>
      <w:r w:rsidR="00A27253">
        <w:t>s</w:t>
      </w:r>
      <w:r w:rsidR="00813EB2">
        <w:t xml:space="preserve"> the numbers of</w:t>
      </w:r>
      <w:r>
        <w:t xml:space="preserve"> Australians </w:t>
      </w:r>
      <w:r w:rsidR="00FD3373">
        <w:t>who act</w:t>
      </w:r>
      <w:r w:rsidR="004A5767">
        <w:t>ually</w:t>
      </w:r>
      <w:r w:rsidR="00FD3373">
        <w:t xml:space="preserve"> identify as Aboriginal Australians</w:t>
      </w:r>
      <w:r w:rsidR="0025251F">
        <w:t>,</w:t>
      </w:r>
      <w:r w:rsidR="00470FC3">
        <w:t xml:space="preserve"> </w:t>
      </w:r>
      <w:r w:rsidR="002740C6">
        <w:t xml:space="preserve">indigenous disadvantage may be </w:t>
      </w:r>
      <w:r w:rsidR="006D3F5F">
        <w:t xml:space="preserve">more </w:t>
      </w:r>
      <w:r w:rsidR="00FD3373">
        <w:t>profound</w:t>
      </w:r>
      <w:r w:rsidR="002740C6">
        <w:t xml:space="preserve"> than</w:t>
      </w:r>
      <w:r w:rsidR="00470FC3">
        <w:t xml:space="preserve"> </w:t>
      </w:r>
      <w:r w:rsidR="007C5DAB">
        <w:t xml:space="preserve">is </w:t>
      </w:r>
      <w:r w:rsidR="003E4E9A">
        <w:t xml:space="preserve">generally </w:t>
      </w:r>
      <w:r w:rsidR="00D35475">
        <w:t>understood</w:t>
      </w:r>
      <w:r w:rsidR="00FD3373">
        <w:t xml:space="preserve"> from </w:t>
      </w:r>
      <w:r w:rsidR="00FD3373" w:rsidRPr="00F67C72">
        <w:rPr>
          <w:i/>
        </w:rPr>
        <w:t>Closing the Gap</w:t>
      </w:r>
      <w:r w:rsidR="00FD3373">
        <w:t xml:space="preserve"> reports</w:t>
      </w:r>
      <w:r w:rsidR="00002FCA">
        <w:rPr>
          <w:rStyle w:val="EndnoteReference"/>
        </w:rPr>
        <w:endnoteReference w:id="11"/>
      </w:r>
      <w:r w:rsidR="00281745">
        <w:t xml:space="preserve"> because, as</w:t>
      </w:r>
      <w:r w:rsidR="00F01E39">
        <w:t xml:space="preserve"> </w:t>
      </w:r>
      <w:r>
        <w:t xml:space="preserve">the Commission has noted </w:t>
      </w:r>
      <w:r>
        <w:rPr>
          <w:rStyle w:val="EndnoteReference"/>
        </w:rPr>
        <w:endnoteReference w:id="12"/>
      </w:r>
      <w:r w:rsidR="00281745">
        <w:t>, th</w:t>
      </w:r>
      <w:r w:rsidR="004A5767">
        <w:t>o</w:t>
      </w:r>
      <w:r w:rsidR="00281745">
        <w:t xml:space="preserve">se </w:t>
      </w:r>
      <w:r w:rsidR="00F01E39">
        <w:t xml:space="preserve">reports </w:t>
      </w:r>
      <w:r w:rsidR="00FD3373">
        <w:t xml:space="preserve">rely extensively on </w:t>
      </w:r>
      <w:r w:rsidR="005950FE">
        <w:t xml:space="preserve">data </w:t>
      </w:r>
      <w:r w:rsidR="00B4319F">
        <w:t xml:space="preserve">from </w:t>
      </w:r>
      <w:r w:rsidR="003E4E9A">
        <w:t xml:space="preserve">Australians </w:t>
      </w:r>
      <w:r w:rsidR="00281745">
        <w:t>who have act</w:t>
      </w:r>
      <w:r w:rsidR="004A5767">
        <w:t>ively</w:t>
      </w:r>
      <w:r w:rsidR="00281745">
        <w:t xml:space="preserve"> identified</w:t>
      </w:r>
      <w:r w:rsidR="00E328FB">
        <w:t xml:space="preserve"> </w:t>
      </w:r>
      <w:r w:rsidR="00B4319F">
        <w:t>as Aboriginal or Torres Strait Islander</w:t>
      </w:r>
      <w:r w:rsidR="00F01E39">
        <w:t xml:space="preserve">. </w:t>
      </w:r>
    </w:p>
    <w:p w:rsidR="00F01E39" w:rsidRDefault="00281745" w:rsidP="00634332">
      <w:r>
        <w:t xml:space="preserve">Self-identified data cannot be matched against </w:t>
      </w:r>
      <w:r w:rsidR="00F01E39">
        <w:t xml:space="preserve">Census </w:t>
      </w:r>
      <w:r>
        <w:t xml:space="preserve">numbers which have been generated by the ABS </w:t>
      </w:r>
      <w:r w:rsidR="00D86A76">
        <w:t>deciding ethnic identities of Australians as ‘indigenous’ (or ‘non-indigenous’) on the basis of responses to a poorly framed question about ‘origins’.</w:t>
      </w:r>
      <w:r>
        <w:t xml:space="preserve"> </w:t>
      </w:r>
    </w:p>
    <w:p w:rsidR="00AB3D97" w:rsidRDefault="00FD3373" w:rsidP="00634332">
      <w:r w:rsidRPr="00FD3373">
        <w:t>However, while</w:t>
      </w:r>
      <w:r w:rsidR="00081B69">
        <w:t xml:space="preserve"> ABS data may not be </w:t>
      </w:r>
      <w:r w:rsidR="00081B69" w:rsidRPr="00081B69">
        <w:t>strictly compar</w:t>
      </w:r>
      <w:r w:rsidR="00081B69">
        <w:t>able with numbers in</w:t>
      </w:r>
      <w:r>
        <w:rPr>
          <w:i/>
        </w:rPr>
        <w:t xml:space="preserve"> Closing the </w:t>
      </w:r>
      <w:r w:rsidR="00081B69">
        <w:rPr>
          <w:i/>
        </w:rPr>
        <w:t>G</w:t>
      </w:r>
      <w:r>
        <w:rPr>
          <w:i/>
        </w:rPr>
        <w:t xml:space="preserve">ap </w:t>
      </w:r>
      <w:r w:rsidR="00081B69">
        <w:t xml:space="preserve">reports, its Censuses </w:t>
      </w:r>
      <w:r w:rsidR="00CA5E22">
        <w:t xml:space="preserve">do </w:t>
      </w:r>
      <w:r w:rsidR="00081B69">
        <w:t xml:space="preserve">consistently show </w:t>
      </w:r>
      <w:r w:rsidR="0025251F">
        <w:t>a worrying</w:t>
      </w:r>
      <w:r w:rsidR="001859D0">
        <w:t xml:space="preserve"> extent of</w:t>
      </w:r>
      <w:r w:rsidR="005A75C7">
        <w:t xml:space="preserve"> </w:t>
      </w:r>
      <w:r w:rsidR="00081B69">
        <w:t>indigenous disadvantage in matters such as incomes, employment, education and housing</w:t>
      </w:r>
      <w:r w:rsidR="007D4B83">
        <w:t xml:space="preserve">. </w:t>
      </w:r>
      <w:r w:rsidR="00281745">
        <w:t>I am not questioning that there is g</w:t>
      </w:r>
      <w:r w:rsidR="00AB3D97">
        <w:t>rave</w:t>
      </w:r>
      <w:r w:rsidR="00281745">
        <w:t xml:space="preserve"> disadva</w:t>
      </w:r>
      <w:r w:rsidR="00AB3D97">
        <w:t xml:space="preserve">ntage </w:t>
      </w:r>
      <w:r w:rsidR="00A27253">
        <w:t xml:space="preserve">among </w:t>
      </w:r>
      <w:r w:rsidR="00AB3D97">
        <w:t xml:space="preserve">indigenous Australians </w:t>
      </w:r>
      <w:r w:rsidR="00FC0701">
        <w:t>however</w:t>
      </w:r>
      <w:r w:rsidR="00AB3D97">
        <w:t xml:space="preserve"> defined by the ABS.</w:t>
      </w:r>
    </w:p>
    <w:p w:rsidR="00B377A3" w:rsidRDefault="00B377A3" w:rsidP="00B377A3">
      <w:r>
        <w:t>Census small-area data show also that this disadvantage is distributed in a manner that is often both unequal between people and geographically uneven between small areas</w:t>
      </w:r>
      <w:r>
        <w:rPr>
          <w:rStyle w:val="EndnoteReference"/>
        </w:rPr>
        <w:endnoteReference w:id="13"/>
      </w:r>
      <w:r>
        <w:t xml:space="preserve">, </w:t>
      </w:r>
      <w:r w:rsidR="001A6B6A">
        <w:t>which begs the question ‘</w:t>
      </w:r>
      <w:r>
        <w:t>who is benefitting from programs intended</w:t>
      </w:r>
      <w:r w:rsidR="00FC0B9D">
        <w:t>, presumably,</w:t>
      </w:r>
      <w:r>
        <w:t xml:space="preserve"> to deliver to </w:t>
      </w:r>
      <w:r w:rsidR="00FC0701">
        <w:t xml:space="preserve">all </w:t>
      </w:r>
      <w:r w:rsidR="00FC0B9D">
        <w:t>Australian Aboriginal people and their dependants</w:t>
      </w:r>
      <w:r>
        <w:t xml:space="preserve"> access to the levels of public services taken for granted by most Australians</w:t>
      </w:r>
      <w:r w:rsidR="001A6B6A">
        <w:t>?’</w:t>
      </w:r>
      <w:r>
        <w:t xml:space="preserve"> </w:t>
      </w:r>
    </w:p>
    <w:p w:rsidR="00B377A3" w:rsidRDefault="00B377A3" w:rsidP="00B377A3">
      <w:r>
        <w:t>I acknowledge that the ABS cannot generate data that matches precisely the High Court’s definition of Australian Aboriginality. However multi-response Census questions on ‘ethnicity’ and ‘descent’ (rather than questions with uncertain meanings about ‘ancestry’ and ‘origins’), such as used in New Zealand’s 2018 Census, would give more precise data than is currently available</w:t>
      </w:r>
      <w:r>
        <w:rPr>
          <w:rStyle w:val="EndnoteReference"/>
        </w:rPr>
        <w:endnoteReference w:id="14"/>
      </w:r>
      <w:r>
        <w:t xml:space="preserve"> .</w:t>
      </w:r>
    </w:p>
    <w:p w:rsidR="00B377A3" w:rsidRDefault="00237388" w:rsidP="00B377A3">
      <w:r>
        <w:t xml:space="preserve">As to the discrepancies between census enumerations and ABS estimates </w:t>
      </w:r>
      <w:r w:rsidR="00B377A3">
        <w:t>I am surprised</w:t>
      </w:r>
      <w:r w:rsidR="00FC0B9D">
        <w:t>,</w:t>
      </w:r>
      <w:r w:rsidR="00B377A3">
        <w:t xml:space="preserve"> in comparing estimated populations of ‘indigenous’ at 30 June 2016</w:t>
      </w:r>
      <w:r w:rsidR="00B377A3">
        <w:rPr>
          <w:rStyle w:val="EndnoteReference"/>
        </w:rPr>
        <w:endnoteReference w:id="15"/>
      </w:r>
      <w:r w:rsidR="00B377A3">
        <w:t xml:space="preserve"> with indigenous populations enumerated in the 2016 Census</w:t>
      </w:r>
      <w:r w:rsidR="00B377A3">
        <w:rPr>
          <w:rStyle w:val="EndnoteReference"/>
        </w:rPr>
        <w:endnoteReference w:id="16"/>
      </w:r>
      <w:r w:rsidR="00FC0B9D">
        <w:t xml:space="preserve">, </w:t>
      </w:r>
      <w:r w:rsidR="00B377A3">
        <w:t xml:space="preserve">that there should be </w:t>
      </w:r>
      <w:r>
        <w:t>very</w:t>
      </w:r>
      <w:r w:rsidR="00B377A3">
        <w:t xml:space="preserve"> large discrepancies </w:t>
      </w:r>
      <w:r w:rsidR="006F7334">
        <w:t xml:space="preserve">not just in areas categorised by the ABS as ‘remote’ and ‘very remote’ but </w:t>
      </w:r>
      <w:r w:rsidR="00FC0B9D">
        <w:t xml:space="preserve">even </w:t>
      </w:r>
      <w:r w:rsidR="00B377A3">
        <w:t>in areas categorised by the ABS as ‘major cities’</w:t>
      </w:r>
      <w:r w:rsidR="00FC0B9D">
        <w:t>.</w:t>
      </w:r>
      <w:r w:rsidR="00B377A3">
        <w:t xml:space="preserve"> </w:t>
      </w:r>
    </w:p>
    <w:p w:rsidR="00B377A3" w:rsidRDefault="00237388" w:rsidP="00B377A3">
      <w:r>
        <w:t>Some under-enumeration is inevitable in Censuses, especially of people living in small, remote, segregated communities</w:t>
      </w:r>
      <w:r w:rsidR="00E44341">
        <w:t>,</w:t>
      </w:r>
      <w:r>
        <w:t xml:space="preserve"> but d</w:t>
      </w:r>
      <w:r w:rsidR="00B377A3">
        <w:t xml:space="preserve">iscrepancies of this magnitude undermine confidence in both </w:t>
      </w:r>
      <w:r w:rsidR="00B377A3">
        <w:lastRenderedPageBreak/>
        <w:t>censuses and estimates. If the ABS has administrative data which supports its much higher estimates it should apply these to getting more precise enumerations in censuses</w:t>
      </w:r>
      <w:r>
        <w:t>.</w:t>
      </w:r>
    </w:p>
    <w:p w:rsidR="00523D47" w:rsidRPr="00501C8C" w:rsidRDefault="00C916B2" w:rsidP="000A389A">
      <w:pPr>
        <w:rPr>
          <w:b/>
        </w:rPr>
      </w:pPr>
      <w:r w:rsidRPr="00501C8C">
        <w:rPr>
          <w:b/>
        </w:rPr>
        <w:t>I submit that the first step in any strategy for evaluating indigenous policy must be to get better data</w:t>
      </w:r>
      <w:r w:rsidR="00501C8C" w:rsidRPr="00501C8C">
        <w:rPr>
          <w:b/>
        </w:rPr>
        <w:t xml:space="preserve"> on Aboriginal Australian numbers</w:t>
      </w:r>
      <w:r w:rsidRPr="00501C8C">
        <w:rPr>
          <w:b/>
        </w:rPr>
        <w:t>.</w:t>
      </w:r>
      <w:r w:rsidR="00EC4904" w:rsidRPr="00501C8C">
        <w:rPr>
          <w:b/>
        </w:rPr>
        <w:t xml:space="preserve"> Good policy demands good numbers.</w:t>
      </w:r>
    </w:p>
    <w:sectPr w:rsidR="00523D47" w:rsidRPr="00501C8C">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8C0" w:rsidRDefault="00D578C0" w:rsidP="007A7831">
      <w:pPr>
        <w:spacing w:after="0" w:line="240" w:lineRule="auto"/>
      </w:pPr>
      <w:r>
        <w:separator/>
      </w:r>
    </w:p>
  </w:endnote>
  <w:endnote w:type="continuationSeparator" w:id="0">
    <w:p w:rsidR="00D578C0" w:rsidRDefault="00D578C0" w:rsidP="007A7831">
      <w:pPr>
        <w:spacing w:after="0" w:line="240" w:lineRule="auto"/>
      </w:pPr>
      <w:r>
        <w:continuationSeparator/>
      </w:r>
    </w:p>
  </w:endnote>
  <w:endnote w:id="1">
    <w:p w:rsidR="00D15EB9" w:rsidRPr="00F42120" w:rsidRDefault="00D15EB9">
      <w:pPr>
        <w:pStyle w:val="EndnoteText"/>
        <w:rPr>
          <w:sz w:val="18"/>
          <w:szCs w:val="18"/>
        </w:rPr>
      </w:pPr>
      <w:r w:rsidRPr="00F42120">
        <w:rPr>
          <w:rStyle w:val="EndnoteReference"/>
          <w:sz w:val="18"/>
          <w:szCs w:val="18"/>
        </w:rPr>
        <w:endnoteRef/>
      </w:r>
      <w:r w:rsidRPr="00F42120">
        <w:rPr>
          <w:sz w:val="18"/>
          <w:szCs w:val="18"/>
        </w:rPr>
        <w:t xml:space="preserve"> Productivity Commission, </w:t>
      </w:r>
      <w:r w:rsidRPr="00F42120">
        <w:rPr>
          <w:i/>
          <w:sz w:val="18"/>
          <w:szCs w:val="18"/>
        </w:rPr>
        <w:t xml:space="preserve">Indigenous Evaluation Strategy – Issues Paper, </w:t>
      </w:r>
      <w:r w:rsidRPr="00F42120">
        <w:rPr>
          <w:sz w:val="18"/>
          <w:szCs w:val="18"/>
        </w:rPr>
        <w:t>2019, pp 12-13.</w:t>
      </w:r>
      <w:r w:rsidRPr="00F42120">
        <w:rPr>
          <w:i/>
          <w:sz w:val="18"/>
          <w:szCs w:val="18"/>
        </w:rPr>
        <w:t xml:space="preserve"> </w:t>
      </w:r>
      <w:hyperlink r:id="rId1" w:history="1">
        <w:r w:rsidRPr="00F42120">
          <w:rPr>
            <w:rStyle w:val="Hyperlink"/>
            <w:sz w:val="18"/>
            <w:szCs w:val="18"/>
          </w:rPr>
          <w:t>https://www.pc.gov.au/inquiries/current/indigenous-evaluation/issues</w:t>
        </w:r>
      </w:hyperlink>
    </w:p>
  </w:endnote>
  <w:endnote w:id="2">
    <w:p w:rsidR="00002FCA" w:rsidRPr="00F42120" w:rsidRDefault="00002FCA">
      <w:pPr>
        <w:pStyle w:val="EndnoteText"/>
        <w:rPr>
          <w:sz w:val="18"/>
          <w:szCs w:val="18"/>
        </w:rPr>
      </w:pPr>
      <w:r w:rsidRPr="00F42120">
        <w:rPr>
          <w:rStyle w:val="EndnoteReference"/>
          <w:sz w:val="18"/>
          <w:szCs w:val="18"/>
        </w:rPr>
        <w:endnoteRef/>
      </w:r>
      <w:r w:rsidRPr="00F42120">
        <w:rPr>
          <w:sz w:val="18"/>
          <w:szCs w:val="18"/>
        </w:rPr>
        <w:t xml:space="preserve"> </w:t>
      </w:r>
      <w:r w:rsidR="008F2BF1" w:rsidRPr="00F42120">
        <w:rPr>
          <w:sz w:val="18"/>
          <w:szCs w:val="18"/>
        </w:rPr>
        <w:t xml:space="preserve">ABS, 2018, </w:t>
      </w:r>
      <w:r w:rsidR="008F2BF1" w:rsidRPr="00F42120">
        <w:rPr>
          <w:rFonts w:cstheme="minorHAnsi"/>
          <w:bCs/>
          <w:i/>
          <w:color w:val="000000"/>
          <w:sz w:val="18"/>
          <w:szCs w:val="18"/>
          <w:shd w:val="clear" w:color="auto" w:fill="FFFFFF"/>
        </w:rPr>
        <w:t>Estimates of Aboriginal and Torres Strait Islander Australians, June 2016</w:t>
      </w:r>
      <w:r w:rsidR="008F2BF1" w:rsidRPr="00F42120">
        <w:rPr>
          <w:sz w:val="18"/>
          <w:szCs w:val="18"/>
        </w:rPr>
        <w:t xml:space="preserve"> </w:t>
      </w:r>
      <w:hyperlink r:id="rId2" w:history="1">
        <w:r w:rsidR="008F2BF1" w:rsidRPr="00F42120">
          <w:rPr>
            <w:rStyle w:val="Hyperlink"/>
            <w:sz w:val="18"/>
            <w:szCs w:val="18"/>
          </w:rPr>
          <w:t>https://www.abs.gov.au/ausstats/abs@.nsf/mf/3238.0.55.001</w:t>
        </w:r>
      </w:hyperlink>
    </w:p>
  </w:endnote>
  <w:endnote w:id="3">
    <w:p w:rsidR="007A7831" w:rsidRPr="00F42120" w:rsidRDefault="007A7831">
      <w:pPr>
        <w:pStyle w:val="EndnoteText"/>
        <w:rPr>
          <w:i/>
          <w:sz w:val="18"/>
          <w:szCs w:val="18"/>
        </w:rPr>
      </w:pPr>
      <w:r w:rsidRPr="00F42120">
        <w:rPr>
          <w:rStyle w:val="EndnoteReference"/>
          <w:sz w:val="18"/>
          <w:szCs w:val="18"/>
        </w:rPr>
        <w:endnoteRef/>
      </w:r>
      <w:r w:rsidR="002D7B3D" w:rsidRPr="00F42120">
        <w:rPr>
          <w:sz w:val="18"/>
          <w:szCs w:val="18"/>
        </w:rPr>
        <w:t xml:space="preserve"> </w:t>
      </w:r>
      <w:r w:rsidRPr="00F42120">
        <w:rPr>
          <w:sz w:val="18"/>
          <w:szCs w:val="18"/>
        </w:rPr>
        <w:t>2016 Census data reported here are taken from the A</w:t>
      </w:r>
      <w:r w:rsidR="008F2BF1" w:rsidRPr="00F42120">
        <w:rPr>
          <w:sz w:val="18"/>
          <w:szCs w:val="18"/>
        </w:rPr>
        <w:t>BS,</w:t>
      </w:r>
      <w:r w:rsidRPr="00F42120">
        <w:rPr>
          <w:sz w:val="18"/>
          <w:szCs w:val="18"/>
        </w:rPr>
        <w:t xml:space="preserve"> </w:t>
      </w:r>
      <w:r w:rsidRPr="00F42120">
        <w:rPr>
          <w:i/>
          <w:sz w:val="18"/>
          <w:szCs w:val="18"/>
        </w:rPr>
        <w:t xml:space="preserve">General Community </w:t>
      </w:r>
      <w:r w:rsidR="002D7B3D" w:rsidRPr="00F42120">
        <w:rPr>
          <w:i/>
          <w:sz w:val="18"/>
          <w:szCs w:val="18"/>
        </w:rPr>
        <w:t xml:space="preserve">and Aboriginal and Torres Strait Islander </w:t>
      </w:r>
      <w:r w:rsidRPr="00F42120">
        <w:rPr>
          <w:i/>
          <w:sz w:val="18"/>
          <w:szCs w:val="18"/>
        </w:rPr>
        <w:t>Profiles</w:t>
      </w:r>
      <w:r w:rsidR="002D7B3D" w:rsidRPr="00F42120">
        <w:rPr>
          <w:i/>
          <w:sz w:val="18"/>
          <w:szCs w:val="18"/>
        </w:rPr>
        <w:t>,</w:t>
      </w:r>
      <w:r w:rsidRPr="00F42120">
        <w:rPr>
          <w:i/>
          <w:sz w:val="18"/>
          <w:szCs w:val="18"/>
        </w:rPr>
        <w:t xml:space="preserve"> </w:t>
      </w:r>
      <w:r w:rsidRPr="00F42120">
        <w:rPr>
          <w:sz w:val="18"/>
          <w:szCs w:val="18"/>
        </w:rPr>
        <w:t>except where indicated otherwise</w:t>
      </w:r>
      <w:r w:rsidRPr="00F42120">
        <w:rPr>
          <w:i/>
          <w:sz w:val="18"/>
          <w:szCs w:val="18"/>
        </w:rPr>
        <w:t xml:space="preserve"> </w:t>
      </w:r>
    </w:p>
  </w:endnote>
  <w:endnote w:id="4">
    <w:p w:rsidR="007A7831" w:rsidRPr="00F42120" w:rsidRDefault="007A7831" w:rsidP="008F2BF1">
      <w:pPr>
        <w:pStyle w:val="EndnoteText"/>
        <w:rPr>
          <w:rFonts w:cstheme="minorHAnsi"/>
          <w:i/>
          <w:sz w:val="18"/>
          <w:szCs w:val="18"/>
        </w:rPr>
      </w:pPr>
      <w:r w:rsidRPr="00F42120">
        <w:rPr>
          <w:rStyle w:val="EndnoteReference"/>
          <w:sz w:val="18"/>
          <w:szCs w:val="18"/>
        </w:rPr>
        <w:endnoteRef/>
      </w:r>
      <w:r w:rsidRPr="00F42120">
        <w:rPr>
          <w:sz w:val="18"/>
          <w:szCs w:val="18"/>
        </w:rPr>
        <w:t xml:space="preserve"> A</w:t>
      </w:r>
      <w:r w:rsidR="008F2BF1" w:rsidRPr="00F42120">
        <w:rPr>
          <w:sz w:val="18"/>
          <w:szCs w:val="18"/>
        </w:rPr>
        <w:t>BS, 2018</w:t>
      </w:r>
      <w:r w:rsidR="002354C9" w:rsidRPr="00F42120">
        <w:rPr>
          <w:rFonts w:cstheme="minorHAnsi"/>
          <w:bCs/>
          <w:color w:val="000000"/>
          <w:sz w:val="18"/>
          <w:szCs w:val="18"/>
          <w:shd w:val="clear" w:color="auto" w:fill="FFFFFF"/>
        </w:rPr>
        <w:t xml:space="preserve">, </w:t>
      </w:r>
      <w:r w:rsidRPr="00F42120">
        <w:rPr>
          <w:rFonts w:cstheme="minorHAnsi"/>
          <w:bCs/>
          <w:i/>
          <w:color w:val="000000"/>
          <w:sz w:val="18"/>
          <w:szCs w:val="18"/>
          <w:shd w:val="clear" w:color="auto" w:fill="FFFFFF"/>
        </w:rPr>
        <w:t>Estimates of Aboriginal and Torres Strait Islander Australians, June 2016</w:t>
      </w:r>
      <w:r w:rsidR="002B6184" w:rsidRPr="00F42120">
        <w:rPr>
          <w:rFonts w:cstheme="minorHAnsi"/>
          <w:bCs/>
          <w:i/>
          <w:color w:val="000000"/>
          <w:sz w:val="18"/>
          <w:szCs w:val="18"/>
          <w:shd w:val="clear" w:color="auto" w:fill="FFFFFF"/>
        </w:rPr>
        <w:t xml:space="preserve">, Technical Note  </w:t>
      </w:r>
      <w:hyperlink r:id="rId3" w:history="1">
        <w:r w:rsidR="008F2BF1" w:rsidRPr="00F42120">
          <w:rPr>
            <w:rStyle w:val="Hyperlink"/>
            <w:sz w:val="18"/>
            <w:szCs w:val="18"/>
          </w:rPr>
          <w:t>https://www.abs.gov.au/ausstats/abs@.nsf/7d12b0f6763c78caca257061001cc588/88b47d60dbd6c988ca2574a900132f99!OpenDocument</w:t>
        </w:r>
      </w:hyperlink>
    </w:p>
  </w:endnote>
  <w:endnote w:id="5">
    <w:p w:rsidR="00607843" w:rsidRPr="00F42120" w:rsidRDefault="00607843">
      <w:pPr>
        <w:pStyle w:val="EndnoteText"/>
        <w:rPr>
          <w:sz w:val="18"/>
          <w:szCs w:val="18"/>
        </w:rPr>
      </w:pPr>
      <w:r w:rsidRPr="00F42120">
        <w:rPr>
          <w:rStyle w:val="EndnoteReference"/>
          <w:sz w:val="18"/>
          <w:szCs w:val="18"/>
        </w:rPr>
        <w:endnoteRef/>
      </w:r>
      <w:r w:rsidRPr="00F42120">
        <w:rPr>
          <w:sz w:val="18"/>
          <w:szCs w:val="18"/>
        </w:rPr>
        <w:t xml:space="preserve"> ABS, </w:t>
      </w:r>
      <w:r w:rsidRPr="00F42120">
        <w:rPr>
          <w:rFonts w:cstheme="minorHAnsi"/>
          <w:bCs/>
          <w:i/>
          <w:color w:val="000000"/>
          <w:sz w:val="18"/>
          <w:szCs w:val="18"/>
          <w:shd w:val="clear" w:color="auto" w:fill="FFFFFF"/>
        </w:rPr>
        <w:t xml:space="preserve">Census of Population and Housing: Understanding the Increase in Aboriginal and Torres Strait Islander Counts, 2016, </w:t>
      </w:r>
      <w:hyperlink r:id="rId4" w:history="1">
        <w:r w:rsidRPr="00F42120">
          <w:rPr>
            <w:rStyle w:val="Hyperlink"/>
            <w:sz w:val="18"/>
            <w:szCs w:val="18"/>
          </w:rPr>
          <w:t>https://www.abs.gov.au/ausstats/abs@.nsf/Lookup/by%20Subject/2077.0~2016~Main%20Features~Changing%20Propensity%20to%20Identify~125</w:t>
        </w:r>
      </w:hyperlink>
    </w:p>
  </w:endnote>
  <w:endnote w:id="6">
    <w:p w:rsidR="00CF37E0" w:rsidRPr="00F42120" w:rsidRDefault="00CF37E0">
      <w:pPr>
        <w:pStyle w:val="EndnoteText"/>
        <w:rPr>
          <w:sz w:val="18"/>
          <w:szCs w:val="18"/>
        </w:rPr>
      </w:pPr>
      <w:r w:rsidRPr="00F42120">
        <w:rPr>
          <w:rStyle w:val="EndnoteReference"/>
          <w:sz w:val="18"/>
          <w:szCs w:val="18"/>
        </w:rPr>
        <w:endnoteRef/>
      </w:r>
      <w:r w:rsidRPr="00F42120">
        <w:rPr>
          <w:sz w:val="18"/>
          <w:szCs w:val="18"/>
        </w:rPr>
        <w:t xml:space="preserve"> Reported [</w:t>
      </w:r>
      <w:r w:rsidR="00412426" w:rsidRPr="00F42120">
        <w:rPr>
          <w:sz w:val="18"/>
          <w:szCs w:val="18"/>
        </w:rPr>
        <w:t>with some</w:t>
      </w:r>
      <w:r w:rsidRPr="00F42120">
        <w:rPr>
          <w:sz w:val="18"/>
          <w:szCs w:val="18"/>
        </w:rPr>
        <w:t xml:space="preserve"> double counting] by ID.Com</w:t>
      </w:r>
      <w:r w:rsidR="00412426" w:rsidRPr="00F42120">
        <w:rPr>
          <w:sz w:val="18"/>
          <w:szCs w:val="18"/>
        </w:rPr>
        <w:t xml:space="preserve"> at </w:t>
      </w:r>
      <w:r w:rsidRPr="00F42120">
        <w:rPr>
          <w:color w:val="0070C0"/>
          <w:sz w:val="18"/>
          <w:szCs w:val="18"/>
          <w:u w:val="single"/>
        </w:rPr>
        <w:t>https://profile.id.com.au/australia/ancestry?submissionGuid=5bd86694-10e9-4f52-b27e-475c1e44ea7a</w:t>
      </w:r>
      <w:r w:rsidRPr="00F42120">
        <w:rPr>
          <w:color w:val="0070C0"/>
          <w:sz w:val="18"/>
          <w:szCs w:val="18"/>
        </w:rPr>
        <w:t xml:space="preserve"> </w:t>
      </w:r>
    </w:p>
  </w:endnote>
  <w:endnote w:id="7">
    <w:p w:rsidR="00E42560" w:rsidRDefault="00E42560">
      <w:pPr>
        <w:pStyle w:val="EndnoteText"/>
      </w:pPr>
      <w:r>
        <w:rPr>
          <w:rStyle w:val="EndnoteReference"/>
        </w:rPr>
        <w:endnoteRef/>
      </w:r>
      <w:r>
        <w:t xml:space="preserve"> This compounds the problem of not knowing how many language/cultural groups there are in Australia or how many people identify with them. See, </w:t>
      </w:r>
      <w:proofErr w:type="spellStart"/>
      <w:r>
        <w:t>eg</w:t>
      </w:r>
      <w:proofErr w:type="spellEnd"/>
      <w:r>
        <w:t xml:space="preserve"> </w:t>
      </w:r>
      <w:r w:rsidRPr="002771F2">
        <w:rPr>
          <w:sz w:val="18"/>
          <w:szCs w:val="18"/>
        </w:rPr>
        <w:t xml:space="preserve">Jane </w:t>
      </w:r>
      <w:r w:rsidRPr="002771F2">
        <w:rPr>
          <w:rFonts w:cstheme="minorHAnsi"/>
          <w:sz w:val="18"/>
          <w:szCs w:val="18"/>
        </w:rPr>
        <w:t>Simpson, ’</w:t>
      </w:r>
      <w:r w:rsidRPr="002771F2">
        <w:rPr>
          <w:rStyle w:val="Strong"/>
          <w:rFonts w:cstheme="minorHAnsi"/>
          <w:b w:val="0"/>
          <w:sz w:val="18"/>
          <w:szCs w:val="18"/>
          <w:bdr w:val="none" w:sz="0" w:space="0" w:color="auto" w:frame="1"/>
        </w:rPr>
        <w:t>The state of Australia’s Indigenous languages – and how we can help people speak them more often’</w:t>
      </w:r>
      <w:r w:rsidRPr="002771F2">
        <w:rPr>
          <w:rStyle w:val="Strong"/>
          <w:rFonts w:cstheme="minorHAnsi"/>
          <w:b w:val="0"/>
          <w:color w:val="383838"/>
          <w:sz w:val="18"/>
          <w:szCs w:val="18"/>
          <w:bdr w:val="none" w:sz="0" w:space="0" w:color="auto" w:frame="1"/>
        </w:rPr>
        <w:t xml:space="preserve">, </w:t>
      </w:r>
      <w:r w:rsidRPr="002771F2">
        <w:rPr>
          <w:rStyle w:val="Strong"/>
          <w:rFonts w:cstheme="minorHAnsi"/>
          <w:b w:val="0"/>
          <w:i/>
          <w:color w:val="383838"/>
          <w:sz w:val="18"/>
          <w:szCs w:val="18"/>
          <w:bdr w:val="none" w:sz="0" w:space="0" w:color="auto" w:frame="1"/>
        </w:rPr>
        <w:t>The Conversation</w:t>
      </w:r>
      <w:r w:rsidRPr="002771F2">
        <w:rPr>
          <w:rStyle w:val="Strong"/>
          <w:rFonts w:cstheme="minorHAnsi"/>
          <w:b w:val="0"/>
          <w:color w:val="383838"/>
          <w:sz w:val="18"/>
          <w:szCs w:val="18"/>
          <w:bdr w:val="none" w:sz="0" w:space="0" w:color="auto" w:frame="1"/>
        </w:rPr>
        <w:t>, 21 January, 2019,</w:t>
      </w:r>
      <w:r w:rsidRPr="002771F2">
        <w:rPr>
          <w:rStyle w:val="Strong"/>
          <w:rFonts w:cstheme="minorHAnsi"/>
          <w:color w:val="383838"/>
          <w:sz w:val="18"/>
          <w:szCs w:val="18"/>
          <w:bdr w:val="none" w:sz="0" w:space="0" w:color="auto" w:frame="1"/>
        </w:rPr>
        <w:t xml:space="preserve"> </w:t>
      </w:r>
      <w:r w:rsidRPr="002771F2">
        <w:rPr>
          <w:sz w:val="18"/>
          <w:szCs w:val="18"/>
        </w:rPr>
        <w:t xml:space="preserve"> </w:t>
      </w:r>
      <w:hyperlink r:id="rId5" w:history="1">
        <w:r w:rsidRPr="002771F2">
          <w:rPr>
            <w:rStyle w:val="Hyperlink"/>
            <w:sz w:val="18"/>
            <w:szCs w:val="18"/>
          </w:rPr>
          <w:t>https://theconversation.com/the-state-of-australias-indigenous-languages-and-how-we-can-help-people-speak-them-more-often-109662</w:t>
        </w:r>
      </w:hyperlink>
    </w:p>
  </w:endnote>
  <w:endnote w:id="8">
    <w:p w:rsidR="004B7220" w:rsidRPr="00F42120" w:rsidRDefault="004B7220">
      <w:pPr>
        <w:pStyle w:val="EndnoteText"/>
        <w:rPr>
          <w:sz w:val="18"/>
          <w:szCs w:val="18"/>
        </w:rPr>
      </w:pPr>
      <w:r w:rsidRPr="00F42120">
        <w:rPr>
          <w:rStyle w:val="EndnoteReference"/>
          <w:sz w:val="18"/>
          <w:szCs w:val="18"/>
        </w:rPr>
        <w:endnoteRef/>
      </w:r>
      <w:r w:rsidRPr="00F42120">
        <w:rPr>
          <w:sz w:val="18"/>
          <w:szCs w:val="18"/>
        </w:rPr>
        <w:t xml:space="preserve"> </w:t>
      </w:r>
      <w:hyperlink r:id="rId6" w:history="1">
        <w:r w:rsidRPr="00F42120">
          <w:rPr>
            <w:rStyle w:val="Hyperlink"/>
            <w:rFonts w:cstheme="minorHAnsi"/>
            <w:sz w:val="18"/>
            <w:szCs w:val="18"/>
          </w:rPr>
          <w:t>https://www.elections.nsw.gov.au/Elections/Other-elections/Aboriginal-Land-Council-Election-2019</w:t>
        </w:r>
      </w:hyperlink>
    </w:p>
  </w:endnote>
  <w:endnote w:id="9">
    <w:p w:rsidR="008F2BF1" w:rsidRPr="00F42120" w:rsidRDefault="008F2BF1">
      <w:pPr>
        <w:pStyle w:val="EndnoteText"/>
        <w:rPr>
          <w:sz w:val="18"/>
          <w:szCs w:val="18"/>
        </w:rPr>
      </w:pPr>
      <w:r w:rsidRPr="00F42120">
        <w:rPr>
          <w:rStyle w:val="EndnoteReference"/>
          <w:sz w:val="18"/>
          <w:szCs w:val="18"/>
        </w:rPr>
        <w:endnoteRef/>
      </w:r>
      <w:r w:rsidRPr="00F42120">
        <w:rPr>
          <w:sz w:val="18"/>
          <w:szCs w:val="18"/>
        </w:rPr>
        <w:t xml:space="preserve"> Tasmania Electoral Commission, Aboriginal Land Council election 2017/8, </w:t>
      </w:r>
      <w:r w:rsidRPr="00F42120">
        <w:rPr>
          <w:color w:val="0070C0"/>
          <w:sz w:val="18"/>
          <w:szCs w:val="18"/>
          <w:u w:val="single"/>
        </w:rPr>
        <w:t>https://tec.tas.gov.au/OtherElections/ALCT/index.html</w:t>
      </w:r>
    </w:p>
  </w:endnote>
  <w:endnote w:id="10">
    <w:p w:rsidR="008F2BF1" w:rsidRPr="00F42120" w:rsidRDefault="008F2BF1">
      <w:pPr>
        <w:pStyle w:val="EndnoteText"/>
        <w:rPr>
          <w:sz w:val="18"/>
          <w:szCs w:val="18"/>
        </w:rPr>
      </w:pPr>
      <w:r w:rsidRPr="00F42120">
        <w:rPr>
          <w:rStyle w:val="EndnoteReference"/>
          <w:sz w:val="18"/>
          <w:szCs w:val="18"/>
        </w:rPr>
        <w:endnoteRef/>
      </w:r>
      <w:r w:rsidRPr="00F42120">
        <w:rPr>
          <w:sz w:val="18"/>
          <w:szCs w:val="18"/>
        </w:rPr>
        <w:t xml:space="preserve"> </w:t>
      </w:r>
      <w:r w:rsidR="00CF37E0" w:rsidRPr="00F42120">
        <w:rPr>
          <w:sz w:val="18"/>
          <w:szCs w:val="18"/>
        </w:rPr>
        <w:t>John Gardiner-Garden</w:t>
      </w:r>
      <w:r w:rsidR="00CF37E0" w:rsidRPr="00F42120">
        <w:rPr>
          <w:rFonts w:cstheme="minorHAnsi"/>
          <w:i/>
          <w:sz w:val="18"/>
          <w:szCs w:val="18"/>
        </w:rPr>
        <w:t xml:space="preserve">,2002,  </w:t>
      </w:r>
      <w:r w:rsidR="00CF37E0" w:rsidRPr="00F42120">
        <w:rPr>
          <w:rFonts w:cstheme="minorHAnsi"/>
          <w:bCs/>
          <w:i/>
          <w:color w:val="222222"/>
          <w:sz w:val="18"/>
          <w:szCs w:val="18"/>
          <w:shd w:val="clear" w:color="auto" w:fill="FFFFFF"/>
        </w:rPr>
        <w:t>Defining Aboriginality in Australia</w:t>
      </w:r>
      <w:r w:rsidR="00CF37E0" w:rsidRPr="00F42120">
        <w:rPr>
          <w:rFonts w:cstheme="minorHAnsi"/>
          <w:b/>
          <w:bCs/>
          <w:i/>
          <w:color w:val="222222"/>
          <w:sz w:val="18"/>
          <w:szCs w:val="18"/>
          <w:shd w:val="clear" w:color="auto" w:fill="FFFFFF"/>
        </w:rPr>
        <w:t xml:space="preserve">, </w:t>
      </w:r>
      <w:r w:rsidR="00CF37E0" w:rsidRPr="00F42120">
        <w:rPr>
          <w:rFonts w:cstheme="minorHAnsi"/>
          <w:bCs/>
          <w:color w:val="222222"/>
          <w:sz w:val="18"/>
          <w:szCs w:val="18"/>
          <w:shd w:val="clear" w:color="auto" w:fill="FFFFFF"/>
        </w:rPr>
        <w:t>Australian Parliamentary Library</w:t>
      </w:r>
      <w:r w:rsidR="00AD4B72" w:rsidRPr="00F42120">
        <w:rPr>
          <w:rFonts w:cstheme="minorHAnsi"/>
          <w:bCs/>
          <w:color w:val="222222"/>
          <w:sz w:val="18"/>
          <w:szCs w:val="18"/>
          <w:shd w:val="clear" w:color="auto" w:fill="FFFFFF"/>
        </w:rPr>
        <w:t>,</w:t>
      </w:r>
      <w:r w:rsidR="00CF37E0" w:rsidRPr="00F42120">
        <w:rPr>
          <w:rFonts w:cstheme="minorHAnsi"/>
          <w:bCs/>
          <w:color w:val="222222"/>
          <w:sz w:val="18"/>
          <w:szCs w:val="18"/>
          <w:shd w:val="clear" w:color="auto" w:fill="FFFFFF"/>
        </w:rPr>
        <w:t xml:space="preserve"> Current Issues Brief no. 10 2002-03</w:t>
      </w:r>
      <w:r w:rsidR="00CF37E0" w:rsidRPr="00F42120">
        <w:rPr>
          <w:rFonts w:ascii="Helvetica" w:hAnsi="Helvetica" w:cs="Helvetica"/>
          <w:bCs/>
          <w:color w:val="222222"/>
          <w:sz w:val="18"/>
          <w:szCs w:val="18"/>
          <w:shd w:val="clear" w:color="auto" w:fill="FFFFFF"/>
        </w:rPr>
        <w:t xml:space="preserve"> </w:t>
      </w:r>
      <w:hyperlink r:id="rId7" w:history="1">
        <w:r w:rsidR="00CF37E0" w:rsidRPr="00F42120">
          <w:rPr>
            <w:rStyle w:val="Hyperlink"/>
            <w:sz w:val="18"/>
            <w:szCs w:val="18"/>
          </w:rPr>
          <w:t>https://www.aph.gov.au/About_Parliament/Parliamentary_Departments/Parliamentary_Library/Publications_Archive/CIB/cib0203/03Cib10</w:t>
        </w:r>
      </w:hyperlink>
      <w:r w:rsidR="00CF37E0" w:rsidRPr="00F42120">
        <w:rPr>
          <w:sz w:val="18"/>
          <w:szCs w:val="18"/>
        </w:rPr>
        <w:t xml:space="preserve"> </w:t>
      </w:r>
    </w:p>
  </w:endnote>
  <w:endnote w:id="11">
    <w:p w:rsidR="00002FCA" w:rsidRPr="00F42120" w:rsidRDefault="00002FCA">
      <w:pPr>
        <w:pStyle w:val="EndnoteText"/>
        <w:rPr>
          <w:sz w:val="18"/>
          <w:szCs w:val="18"/>
        </w:rPr>
      </w:pPr>
      <w:r w:rsidRPr="00F42120">
        <w:rPr>
          <w:rStyle w:val="EndnoteReference"/>
          <w:sz w:val="18"/>
          <w:szCs w:val="18"/>
        </w:rPr>
        <w:endnoteRef/>
      </w:r>
      <w:r w:rsidR="00A1304F" w:rsidRPr="00F42120">
        <w:rPr>
          <w:sz w:val="18"/>
          <w:szCs w:val="18"/>
        </w:rPr>
        <w:t xml:space="preserve"> </w:t>
      </w:r>
      <w:proofErr w:type="spellStart"/>
      <w:r w:rsidR="00A1304F" w:rsidRPr="00F42120">
        <w:rPr>
          <w:sz w:val="18"/>
          <w:szCs w:val="18"/>
        </w:rPr>
        <w:t>e</w:t>
      </w:r>
      <w:r w:rsidRPr="00F42120">
        <w:rPr>
          <w:sz w:val="18"/>
          <w:szCs w:val="18"/>
        </w:rPr>
        <w:t>g</w:t>
      </w:r>
      <w:proofErr w:type="spellEnd"/>
      <w:r w:rsidRPr="00F42120">
        <w:rPr>
          <w:sz w:val="18"/>
          <w:szCs w:val="18"/>
        </w:rPr>
        <w:t xml:space="preserve"> National Indigenous Australians Agency, </w:t>
      </w:r>
      <w:r w:rsidRPr="00F42120">
        <w:rPr>
          <w:i/>
          <w:sz w:val="18"/>
          <w:szCs w:val="18"/>
        </w:rPr>
        <w:t>Closing the Gap 2020</w:t>
      </w:r>
      <w:r w:rsidRPr="00F42120">
        <w:rPr>
          <w:sz w:val="18"/>
          <w:szCs w:val="18"/>
        </w:rPr>
        <w:t xml:space="preserve">.  </w:t>
      </w:r>
      <w:hyperlink r:id="rId8" w:history="1">
        <w:r w:rsidRPr="00F42120">
          <w:rPr>
            <w:rStyle w:val="Hyperlink"/>
            <w:sz w:val="18"/>
            <w:szCs w:val="18"/>
          </w:rPr>
          <w:t>https://ctgreport.niaa.gov.au/sites/default/files/pdf/closing-the-gap-report-2020.pdf</w:t>
        </w:r>
      </w:hyperlink>
    </w:p>
  </w:endnote>
  <w:endnote w:id="12">
    <w:p w:rsidR="00EC6A3E" w:rsidRPr="00F42120" w:rsidRDefault="00EC6A3E">
      <w:pPr>
        <w:pStyle w:val="EndnoteText"/>
        <w:rPr>
          <w:sz w:val="18"/>
          <w:szCs w:val="18"/>
        </w:rPr>
      </w:pPr>
      <w:r w:rsidRPr="00F42120">
        <w:rPr>
          <w:rStyle w:val="EndnoteReference"/>
          <w:sz w:val="18"/>
          <w:szCs w:val="18"/>
        </w:rPr>
        <w:endnoteRef/>
      </w:r>
      <w:r w:rsidRPr="00F42120">
        <w:rPr>
          <w:sz w:val="18"/>
          <w:szCs w:val="18"/>
        </w:rPr>
        <w:t xml:space="preserve"> </w:t>
      </w:r>
      <w:r w:rsidR="00F42120" w:rsidRPr="00F42120">
        <w:rPr>
          <w:sz w:val="18"/>
          <w:szCs w:val="18"/>
        </w:rPr>
        <w:t xml:space="preserve">Productivity Commission, 2019, </w:t>
      </w:r>
      <w:r w:rsidR="00F42120" w:rsidRPr="00F42120">
        <w:rPr>
          <w:i/>
          <w:sz w:val="18"/>
          <w:szCs w:val="18"/>
        </w:rPr>
        <w:t xml:space="preserve">indigenous evaluation strategy, </w:t>
      </w:r>
      <w:r w:rsidRPr="00F42120">
        <w:rPr>
          <w:i/>
          <w:sz w:val="18"/>
          <w:szCs w:val="18"/>
        </w:rPr>
        <w:t>Is</w:t>
      </w:r>
      <w:r w:rsidR="00F42120" w:rsidRPr="00F42120">
        <w:rPr>
          <w:i/>
          <w:sz w:val="18"/>
          <w:szCs w:val="18"/>
        </w:rPr>
        <w:t>s</w:t>
      </w:r>
      <w:r w:rsidRPr="00F42120">
        <w:rPr>
          <w:i/>
          <w:sz w:val="18"/>
          <w:szCs w:val="18"/>
        </w:rPr>
        <w:t>ues Paper</w:t>
      </w:r>
      <w:r w:rsidRPr="00F42120">
        <w:rPr>
          <w:sz w:val="18"/>
          <w:szCs w:val="18"/>
        </w:rPr>
        <w:t xml:space="preserve">, </w:t>
      </w:r>
      <w:r w:rsidR="00F01E39" w:rsidRPr="00F42120">
        <w:rPr>
          <w:sz w:val="18"/>
          <w:szCs w:val="18"/>
        </w:rPr>
        <w:t>Box 12, p 40</w:t>
      </w:r>
    </w:p>
  </w:endnote>
  <w:endnote w:id="13">
    <w:p w:rsidR="00B377A3" w:rsidRPr="00F42120" w:rsidRDefault="00B377A3" w:rsidP="00B377A3">
      <w:pPr>
        <w:pStyle w:val="EndnoteText"/>
        <w:rPr>
          <w:sz w:val="18"/>
          <w:szCs w:val="18"/>
        </w:rPr>
      </w:pPr>
      <w:r w:rsidRPr="00F42120">
        <w:rPr>
          <w:rStyle w:val="EndnoteReference"/>
          <w:sz w:val="18"/>
          <w:szCs w:val="18"/>
        </w:rPr>
        <w:endnoteRef/>
      </w:r>
      <w:r w:rsidRPr="00F42120">
        <w:rPr>
          <w:sz w:val="18"/>
          <w:szCs w:val="18"/>
        </w:rPr>
        <w:t xml:space="preserve"> ABS, </w:t>
      </w:r>
      <w:r w:rsidRPr="00F42120">
        <w:rPr>
          <w:rFonts w:eastAsia="Times New Roman" w:cstheme="minorHAnsi"/>
          <w:bCs/>
          <w:i/>
          <w:sz w:val="18"/>
          <w:szCs w:val="18"/>
          <w:lang w:eastAsia="en-AU"/>
        </w:rPr>
        <w:t xml:space="preserve">Census of Population and Housing: Reflecting Australia - Stories from the Census, 2016 - Aboriginal and Torres Strait Islander Population, </w:t>
      </w:r>
      <w:hyperlink r:id="rId9" w:history="1">
        <w:r w:rsidRPr="00F42120">
          <w:rPr>
            <w:rStyle w:val="Hyperlink"/>
            <w:sz w:val="18"/>
            <w:szCs w:val="18"/>
          </w:rPr>
          <w:t>https://www.abs.gov.au/AUSSTATS/abs@.nsf/DetailsPage/2071.02016?OpenDocument</w:t>
        </w:r>
      </w:hyperlink>
    </w:p>
  </w:endnote>
  <w:endnote w:id="14">
    <w:p w:rsidR="00B377A3" w:rsidRPr="00F42120" w:rsidRDefault="00B377A3" w:rsidP="00B377A3">
      <w:pPr>
        <w:pStyle w:val="NoSpacing"/>
        <w:rPr>
          <w:sz w:val="18"/>
          <w:szCs w:val="18"/>
        </w:rPr>
      </w:pPr>
      <w:r w:rsidRPr="00F42120">
        <w:rPr>
          <w:rStyle w:val="EndnoteReference"/>
          <w:sz w:val="18"/>
          <w:szCs w:val="18"/>
        </w:rPr>
        <w:endnoteRef/>
      </w:r>
      <w:r w:rsidRPr="00F42120">
        <w:rPr>
          <w:sz w:val="18"/>
          <w:szCs w:val="18"/>
        </w:rPr>
        <w:t xml:space="preserve"> Statistics New Zealand, 2018 Census: Design of forms</w:t>
      </w:r>
      <w:r w:rsidRPr="00F42120">
        <w:rPr>
          <w:color w:val="0070C0"/>
          <w:sz w:val="18"/>
          <w:szCs w:val="18"/>
          <w:u w:val="single"/>
        </w:rPr>
        <w:t xml:space="preserve">, </w:t>
      </w:r>
      <w:hyperlink r:id="rId10" w:history="1">
        <w:r w:rsidRPr="00F42120">
          <w:rPr>
            <w:rStyle w:val="Hyperlink"/>
            <w:color w:val="0070C0"/>
            <w:sz w:val="18"/>
            <w:szCs w:val="18"/>
          </w:rPr>
          <w:t>https://www.stats.govt.nz/methods/2018-census-design-of-forms</w:t>
        </w:r>
      </w:hyperlink>
      <w:r w:rsidRPr="00F42120">
        <w:rPr>
          <w:sz w:val="18"/>
          <w:szCs w:val="18"/>
        </w:rPr>
        <w:t>. As a</w:t>
      </w:r>
      <w:r w:rsidRPr="00F42120">
        <w:rPr>
          <w:i/>
          <w:sz w:val="18"/>
          <w:szCs w:val="18"/>
        </w:rPr>
        <w:t xml:space="preserve"> </w:t>
      </w:r>
      <w:r w:rsidR="00A27253">
        <w:rPr>
          <w:i/>
          <w:sz w:val="18"/>
          <w:szCs w:val="18"/>
        </w:rPr>
        <w:t>pakeha</w:t>
      </w:r>
      <w:r w:rsidRPr="00F42120">
        <w:rPr>
          <w:sz w:val="18"/>
          <w:szCs w:val="18"/>
        </w:rPr>
        <w:t xml:space="preserve">-Australian, I observe that the New Zealand standard would also ensure a more accurate enumeration in Australia of people of New Zealand origin (by distinguishing New Zealand European from other European ancestries, and by distinguishing also New Zealand </w:t>
      </w:r>
      <w:r w:rsidRPr="00F42120">
        <w:rPr>
          <w:rFonts w:cstheme="minorHAnsi"/>
          <w:sz w:val="18"/>
          <w:szCs w:val="18"/>
          <w:shd w:val="clear" w:color="auto" w:fill="FFFFFF"/>
        </w:rPr>
        <w:t xml:space="preserve">Māori from </w:t>
      </w:r>
      <w:r w:rsidR="00F97690">
        <w:rPr>
          <w:rFonts w:cstheme="minorHAnsi"/>
          <w:sz w:val="18"/>
          <w:szCs w:val="18"/>
          <w:shd w:val="clear" w:color="auto" w:fill="FFFFFF"/>
        </w:rPr>
        <w:t>Cook Is</w:t>
      </w:r>
      <w:r w:rsidR="00E4350B">
        <w:rPr>
          <w:rFonts w:cstheme="minorHAnsi"/>
          <w:sz w:val="18"/>
          <w:szCs w:val="18"/>
          <w:shd w:val="clear" w:color="auto" w:fill="FFFFFF"/>
        </w:rPr>
        <w:t>l</w:t>
      </w:r>
      <w:r w:rsidR="00F97690">
        <w:rPr>
          <w:rFonts w:cstheme="minorHAnsi"/>
          <w:sz w:val="18"/>
          <w:szCs w:val="18"/>
          <w:shd w:val="clear" w:color="auto" w:fill="FFFFFF"/>
        </w:rPr>
        <w:t xml:space="preserve">ands and </w:t>
      </w:r>
      <w:r w:rsidR="00E4350B">
        <w:rPr>
          <w:rFonts w:cstheme="minorHAnsi"/>
          <w:sz w:val="18"/>
          <w:szCs w:val="18"/>
          <w:shd w:val="clear" w:color="auto" w:fill="FFFFFF"/>
        </w:rPr>
        <w:t>Niuean</w:t>
      </w:r>
      <w:r w:rsidRPr="00F42120">
        <w:rPr>
          <w:rFonts w:cstheme="minorHAnsi"/>
          <w:sz w:val="18"/>
          <w:szCs w:val="18"/>
          <w:shd w:val="clear" w:color="auto" w:fill="FFFFFF"/>
        </w:rPr>
        <w:t xml:space="preserve"> Māori.</w:t>
      </w:r>
      <w:r w:rsidRPr="00F42120">
        <w:rPr>
          <w:sz w:val="18"/>
          <w:szCs w:val="18"/>
        </w:rPr>
        <w:t xml:space="preserve"> </w:t>
      </w:r>
    </w:p>
  </w:endnote>
  <w:endnote w:id="15">
    <w:p w:rsidR="00B377A3" w:rsidRPr="00F42120" w:rsidRDefault="00B377A3" w:rsidP="00B377A3">
      <w:pPr>
        <w:pStyle w:val="EndnoteText"/>
        <w:rPr>
          <w:rStyle w:val="Hyperlink"/>
          <w:sz w:val="18"/>
          <w:szCs w:val="18"/>
        </w:rPr>
      </w:pPr>
      <w:r w:rsidRPr="00F42120">
        <w:rPr>
          <w:rStyle w:val="EndnoteReference"/>
          <w:sz w:val="18"/>
          <w:szCs w:val="18"/>
        </w:rPr>
        <w:endnoteRef/>
      </w:r>
      <w:r w:rsidRPr="00F42120">
        <w:rPr>
          <w:sz w:val="18"/>
          <w:szCs w:val="18"/>
        </w:rPr>
        <w:t xml:space="preserve"> ABS, </w:t>
      </w:r>
      <w:r w:rsidRPr="00F42120">
        <w:rPr>
          <w:rFonts w:cstheme="minorHAnsi"/>
          <w:bCs/>
          <w:i/>
          <w:color w:val="000000"/>
          <w:sz w:val="18"/>
          <w:szCs w:val="18"/>
          <w:shd w:val="clear" w:color="auto" w:fill="FFFFFF"/>
        </w:rPr>
        <w:t xml:space="preserve">Estimates of Aboriginal and Torres Strait Islander Australians, June 2016 </w:t>
      </w:r>
      <w:hyperlink r:id="rId11" w:history="1">
        <w:r w:rsidRPr="00F42120">
          <w:rPr>
            <w:rStyle w:val="Hyperlink"/>
            <w:sz w:val="18"/>
            <w:szCs w:val="18"/>
          </w:rPr>
          <w:t>https://www.abs.gov.au/ausstats/abs@.nsf/ProductsbyTopic/9E334CF07B4EEC17CA2570A5000BFE00?OpenDocument</w:t>
        </w:r>
      </w:hyperlink>
    </w:p>
    <w:p w:rsidR="00B377A3" w:rsidRPr="00F42120" w:rsidRDefault="006F7334" w:rsidP="00B377A3">
      <w:pPr>
        <w:pStyle w:val="EndnoteText"/>
        <w:rPr>
          <w:sz w:val="18"/>
          <w:szCs w:val="18"/>
        </w:rPr>
      </w:pPr>
      <w:r>
        <w:rPr>
          <w:sz w:val="18"/>
          <w:szCs w:val="18"/>
        </w:rPr>
        <w:t>a</w:t>
      </w:r>
      <w:r w:rsidR="00B377A3">
        <w:rPr>
          <w:sz w:val="18"/>
          <w:szCs w:val="18"/>
        </w:rPr>
        <w:t xml:space="preserve">nd </w:t>
      </w:r>
      <w:r w:rsidR="00B377A3" w:rsidRPr="00F42120">
        <w:rPr>
          <w:sz w:val="18"/>
          <w:szCs w:val="18"/>
        </w:rPr>
        <w:t xml:space="preserve">ABS, </w:t>
      </w:r>
      <w:r w:rsidR="00B377A3" w:rsidRPr="00F42120">
        <w:rPr>
          <w:rFonts w:cstheme="minorHAnsi"/>
          <w:bCs/>
          <w:i/>
          <w:color w:val="000000"/>
          <w:sz w:val="18"/>
          <w:szCs w:val="18"/>
          <w:shd w:val="clear" w:color="auto" w:fill="FFFFFF"/>
        </w:rPr>
        <w:t xml:space="preserve">Census of Population and Housing: Characteristics of </w:t>
      </w:r>
      <w:r w:rsidR="00B377A3" w:rsidRPr="00F42120">
        <w:rPr>
          <w:i/>
          <w:sz w:val="18"/>
          <w:szCs w:val="18"/>
        </w:rPr>
        <w:t>Aboriginal and Torres Strait Islander Australians,</w:t>
      </w:r>
      <w:r w:rsidR="00B377A3" w:rsidRPr="00F42120">
        <w:rPr>
          <w:sz w:val="18"/>
          <w:szCs w:val="18"/>
        </w:rPr>
        <w:t xml:space="preserve"> 2016,  </w:t>
      </w:r>
      <w:hyperlink r:id="rId12" w:history="1">
        <w:r w:rsidR="00B377A3" w:rsidRPr="00FC0701">
          <w:rPr>
            <w:color w:val="0070C0"/>
            <w:sz w:val="18"/>
            <w:szCs w:val="18"/>
            <w:u w:val="single"/>
          </w:rPr>
          <w:t>https://www.abs.gov.au/ausstats/abs@.nsf/7d12b0f6763c78caca257061001cc588/42c869c663abfea3ca2583bb000e221f!OpenDocument</w:t>
        </w:r>
      </w:hyperlink>
    </w:p>
  </w:endnote>
  <w:endnote w:id="16">
    <w:p w:rsidR="00B377A3" w:rsidRPr="00FC0701" w:rsidRDefault="00B377A3" w:rsidP="00B377A3">
      <w:pPr>
        <w:pStyle w:val="NoSpacing"/>
        <w:rPr>
          <w:color w:val="0070C0"/>
          <w:u w:val="single"/>
        </w:rPr>
      </w:pPr>
      <w:r w:rsidRPr="00F42120">
        <w:rPr>
          <w:rStyle w:val="EndnoteReference"/>
          <w:sz w:val="18"/>
          <w:szCs w:val="18"/>
        </w:rPr>
        <w:endnoteRef/>
      </w:r>
      <w:r w:rsidRPr="00F42120">
        <w:rPr>
          <w:sz w:val="18"/>
          <w:szCs w:val="18"/>
        </w:rPr>
        <w:t xml:space="preserve"> ABS, </w:t>
      </w:r>
      <w:r w:rsidRPr="00F42120">
        <w:rPr>
          <w:rFonts w:cstheme="minorHAnsi"/>
          <w:bCs/>
          <w:i/>
          <w:color w:val="000000"/>
          <w:sz w:val="18"/>
          <w:szCs w:val="18"/>
          <w:shd w:val="clear" w:color="auto" w:fill="FFFFFF"/>
        </w:rPr>
        <w:t xml:space="preserve">Census of Population and Housing: Characteristics of </w:t>
      </w:r>
      <w:r w:rsidRPr="00F42120">
        <w:rPr>
          <w:i/>
          <w:sz w:val="18"/>
          <w:szCs w:val="18"/>
        </w:rPr>
        <w:t>Aboriginal and Torres Strait Islander Australians,</w:t>
      </w:r>
      <w:r w:rsidRPr="00F42120">
        <w:rPr>
          <w:sz w:val="18"/>
          <w:szCs w:val="18"/>
        </w:rPr>
        <w:t xml:space="preserve"> 2016,  </w:t>
      </w:r>
      <w:hyperlink r:id="rId13" w:history="1">
        <w:r w:rsidRPr="00FC0701">
          <w:rPr>
            <w:color w:val="0070C0"/>
            <w:sz w:val="18"/>
            <w:szCs w:val="18"/>
            <w:u w:val="single"/>
          </w:rPr>
          <w:t>https://www.abs.gov.au/ausstats/abs@.nsf/7d12b0f6763c78caca257061001cc588/42c869c663abfea3ca2583bb000e221f!OpenDocument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8C0" w:rsidRDefault="00D578C0" w:rsidP="007A7831">
      <w:pPr>
        <w:spacing w:after="0" w:line="240" w:lineRule="auto"/>
      </w:pPr>
      <w:r>
        <w:separator/>
      </w:r>
    </w:p>
  </w:footnote>
  <w:footnote w:type="continuationSeparator" w:id="0">
    <w:p w:rsidR="00D578C0" w:rsidRDefault="00D578C0" w:rsidP="007A78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1435E"/>
    <w:multiLevelType w:val="hybridMultilevel"/>
    <w:tmpl w:val="8D38FDEA"/>
    <w:lvl w:ilvl="0" w:tplc="771008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A2"/>
    <w:rsid w:val="00002FCA"/>
    <w:rsid w:val="00005E36"/>
    <w:rsid w:val="0001006D"/>
    <w:rsid w:val="00015B41"/>
    <w:rsid w:val="000214A1"/>
    <w:rsid w:val="00022CA4"/>
    <w:rsid w:val="000444E2"/>
    <w:rsid w:val="000464B6"/>
    <w:rsid w:val="0005047C"/>
    <w:rsid w:val="00055DEE"/>
    <w:rsid w:val="000576FC"/>
    <w:rsid w:val="00061CE5"/>
    <w:rsid w:val="00077DE8"/>
    <w:rsid w:val="00081B69"/>
    <w:rsid w:val="00094A81"/>
    <w:rsid w:val="00094C18"/>
    <w:rsid w:val="000A389A"/>
    <w:rsid w:val="000B5BAE"/>
    <w:rsid w:val="000E22A0"/>
    <w:rsid w:val="000F35EC"/>
    <w:rsid w:val="00111BFF"/>
    <w:rsid w:val="0013316A"/>
    <w:rsid w:val="0013378D"/>
    <w:rsid w:val="001338D4"/>
    <w:rsid w:val="001354FD"/>
    <w:rsid w:val="00137257"/>
    <w:rsid w:val="00140504"/>
    <w:rsid w:val="00142783"/>
    <w:rsid w:val="00154FD0"/>
    <w:rsid w:val="00157996"/>
    <w:rsid w:val="00162C2E"/>
    <w:rsid w:val="00164A41"/>
    <w:rsid w:val="001859D0"/>
    <w:rsid w:val="0018645F"/>
    <w:rsid w:val="00186975"/>
    <w:rsid w:val="00192A8C"/>
    <w:rsid w:val="001A41BF"/>
    <w:rsid w:val="001A6B6A"/>
    <w:rsid w:val="001A727F"/>
    <w:rsid w:val="001B07DE"/>
    <w:rsid w:val="001B1DFF"/>
    <w:rsid w:val="001D235E"/>
    <w:rsid w:val="001D46E1"/>
    <w:rsid w:val="001D47C2"/>
    <w:rsid w:val="00212076"/>
    <w:rsid w:val="002160F9"/>
    <w:rsid w:val="00217ED0"/>
    <w:rsid w:val="00221191"/>
    <w:rsid w:val="002354C9"/>
    <w:rsid w:val="00237388"/>
    <w:rsid w:val="0025251F"/>
    <w:rsid w:val="0025607F"/>
    <w:rsid w:val="002651A2"/>
    <w:rsid w:val="002710FD"/>
    <w:rsid w:val="002740C6"/>
    <w:rsid w:val="002771F2"/>
    <w:rsid w:val="00281745"/>
    <w:rsid w:val="00282BB6"/>
    <w:rsid w:val="002A0902"/>
    <w:rsid w:val="002A296D"/>
    <w:rsid w:val="002A51EE"/>
    <w:rsid w:val="002A5821"/>
    <w:rsid w:val="002A6991"/>
    <w:rsid w:val="002A737F"/>
    <w:rsid w:val="002B035C"/>
    <w:rsid w:val="002B54CE"/>
    <w:rsid w:val="002B6184"/>
    <w:rsid w:val="002D0284"/>
    <w:rsid w:val="002D11E1"/>
    <w:rsid w:val="002D7B3D"/>
    <w:rsid w:val="002E06DE"/>
    <w:rsid w:val="002E18EC"/>
    <w:rsid w:val="002E343C"/>
    <w:rsid w:val="002E493F"/>
    <w:rsid w:val="003029CC"/>
    <w:rsid w:val="00310546"/>
    <w:rsid w:val="003134DA"/>
    <w:rsid w:val="00316199"/>
    <w:rsid w:val="003332C5"/>
    <w:rsid w:val="0033590C"/>
    <w:rsid w:val="003665B1"/>
    <w:rsid w:val="003904C0"/>
    <w:rsid w:val="003A51C4"/>
    <w:rsid w:val="003A7C7C"/>
    <w:rsid w:val="003A7CB2"/>
    <w:rsid w:val="003B6290"/>
    <w:rsid w:val="003D4E21"/>
    <w:rsid w:val="003E4CA7"/>
    <w:rsid w:val="003E4E9A"/>
    <w:rsid w:val="003E739D"/>
    <w:rsid w:val="00401457"/>
    <w:rsid w:val="00404C51"/>
    <w:rsid w:val="00407881"/>
    <w:rsid w:val="00412426"/>
    <w:rsid w:val="00415ABA"/>
    <w:rsid w:val="004168DC"/>
    <w:rsid w:val="0043418F"/>
    <w:rsid w:val="0044119A"/>
    <w:rsid w:val="004414A9"/>
    <w:rsid w:val="00447913"/>
    <w:rsid w:val="004550E0"/>
    <w:rsid w:val="004664D8"/>
    <w:rsid w:val="004709E5"/>
    <w:rsid w:val="00470D24"/>
    <w:rsid w:val="00470FC3"/>
    <w:rsid w:val="00484E69"/>
    <w:rsid w:val="004A5767"/>
    <w:rsid w:val="004A5CBB"/>
    <w:rsid w:val="004B6FA9"/>
    <w:rsid w:val="004B7220"/>
    <w:rsid w:val="004C038A"/>
    <w:rsid w:val="004C14ED"/>
    <w:rsid w:val="004D0B7E"/>
    <w:rsid w:val="00501C8C"/>
    <w:rsid w:val="005048B9"/>
    <w:rsid w:val="005116AA"/>
    <w:rsid w:val="005131F5"/>
    <w:rsid w:val="00522F5A"/>
    <w:rsid w:val="00523D47"/>
    <w:rsid w:val="0052491B"/>
    <w:rsid w:val="00524BC8"/>
    <w:rsid w:val="00527A7E"/>
    <w:rsid w:val="005345B8"/>
    <w:rsid w:val="00535924"/>
    <w:rsid w:val="00543736"/>
    <w:rsid w:val="005446A4"/>
    <w:rsid w:val="005460DA"/>
    <w:rsid w:val="00546402"/>
    <w:rsid w:val="00550DA1"/>
    <w:rsid w:val="00551A69"/>
    <w:rsid w:val="00554A91"/>
    <w:rsid w:val="00562568"/>
    <w:rsid w:val="00563379"/>
    <w:rsid w:val="00564170"/>
    <w:rsid w:val="0057629D"/>
    <w:rsid w:val="005772F7"/>
    <w:rsid w:val="00583157"/>
    <w:rsid w:val="00592350"/>
    <w:rsid w:val="00593CF4"/>
    <w:rsid w:val="005950FE"/>
    <w:rsid w:val="005A1028"/>
    <w:rsid w:val="005A75C7"/>
    <w:rsid w:val="005B003B"/>
    <w:rsid w:val="005B6F50"/>
    <w:rsid w:val="005C2F77"/>
    <w:rsid w:val="005C3134"/>
    <w:rsid w:val="005C3E03"/>
    <w:rsid w:val="005C4DB8"/>
    <w:rsid w:val="005D100C"/>
    <w:rsid w:val="005E2603"/>
    <w:rsid w:val="005E2AF7"/>
    <w:rsid w:val="005F0409"/>
    <w:rsid w:val="005F4725"/>
    <w:rsid w:val="005F5902"/>
    <w:rsid w:val="0060116E"/>
    <w:rsid w:val="00606AD7"/>
    <w:rsid w:val="00607843"/>
    <w:rsid w:val="00623CE8"/>
    <w:rsid w:val="00634332"/>
    <w:rsid w:val="0064043C"/>
    <w:rsid w:val="0065368B"/>
    <w:rsid w:val="0065427E"/>
    <w:rsid w:val="0066167F"/>
    <w:rsid w:val="006634E2"/>
    <w:rsid w:val="00664DD9"/>
    <w:rsid w:val="00664EEA"/>
    <w:rsid w:val="00675604"/>
    <w:rsid w:val="00680749"/>
    <w:rsid w:val="00687000"/>
    <w:rsid w:val="00694FDB"/>
    <w:rsid w:val="006958BA"/>
    <w:rsid w:val="00696966"/>
    <w:rsid w:val="00697977"/>
    <w:rsid w:val="006A0141"/>
    <w:rsid w:val="006A29A7"/>
    <w:rsid w:val="006A29FE"/>
    <w:rsid w:val="006A400B"/>
    <w:rsid w:val="006C0CA9"/>
    <w:rsid w:val="006C3166"/>
    <w:rsid w:val="006D3F5F"/>
    <w:rsid w:val="006D6AEC"/>
    <w:rsid w:val="006E54AF"/>
    <w:rsid w:val="006F70C3"/>
    <w:rsid w:val="006F7334"/>
    <w:rsid w:val="00701EC8"/>
    <w:rsid w:val="00703540"/>
    <w:rsid w:val="00712348"/>
    <w:rsid w:val="007162DE"/>
    <w:rsid w:val="00730A37"/>
    <w:rsid w:val="007369CE"/>
    <w:rsid w:val="007445B1"/>
    <w:rsid w:val="00747D46"/>
    <w:rsid w:val="0075305D"/>
    <w:rsid w:val="00760D08"/>
    <w:rsid w:val="00763E3E"/>
    <w:rsid w:val="00764CF9"/>
    <w:rsid w:val="00780622"/>
    <w:rsid w:val="0078203F"/>
    <w:rsid w:val="00797BBA"/>
    <w:rsid w:val="007A5542"/>
    <w:rsid w:val="007A7831"/>
    <w:rsid w:val="007B2568"/>
    <w:rsid w:val="007B4493"/>
    <w:rsid w:val="007B5C8D"/>
    <w:rsid w:val="007C369D"/>
    <w:rsid w:val="007C5DAB"/>
    <w:rsid w:val="007D4B83"/>
    <w:rsid w:val="007D7B93"/>
    <w:rsid w:val="007E3895"/>
    <w:rsid w:val="0081143A"/>
    <w:rsid w:val="00813EB2"/>
    <w:rsid w:val="00815892"/>
    <w:rsid w:val="00823EA8"/>
    <w:rsid w:val="008245AF"/>
    <w:rsid w:val="0083356C"/>
    <w:rsid w:val="0083543C"/>
    <w:rsid w:val="008444F2"/>
    <w:rsid w:val="00846656"/>
    <w:rsid w:val="008474FD"/>
    <w:rsid w:val="008526DB"/>
    <w:rsid w:val="00881940"/>
    <w:rsid w:val="00882342"/>
    <w:rsid w:val="00883E52"/>
    <w:rsid w:val="00885AB0"/>
    <w:rsid w:val="008908EA"/>
    <w:rsid w:val="008923CE"/>
    <w:rsid w:val="00893162"/>
    <w:rsid w:val="008A0E95"/>
    <w:rsid w:val="008B4F2A"/>
    <w:rsid w:val="008B6895"/>
    <w:rsid w:val="008B6FFE"/>
    <w:rsid w:val="008C436B"/>
    <w:rsid w:val="008E7251"/>
    <w:rsid w:val="008F1AA9"/>
    <w:rsid w:val="008F2BF1"/>
    <w:rsid w:val="008F30EE"/>
    <w:rsid w:val="008F4C41"/>
    <w:rsid w:val="008F5568"/>
    <w:rsid w:val="00900C04"/>
    <w:rsid w:val="00905271"/>
    <w:rsid w:val="00907B02"/>
    <w:rsid w:val="009106C9"/>
    <w:rsid w:val="0092084C"/>
    <w:rsid w:val="00926790"/>
    <w:rsid w:val="00942253"/>
    <w:rsid w:val="00942DB5"/>
    <w:rsid w:val="00946DDB"/>
    <w:rsid w:val="0095127F"/>
    <w:rsid w:val="00951DB9"/>
    <w:rsid w:val="0095498B"/>
    <w:rsid w:val="0095739C"/>
    <w:rsid w:val="00960124"/>
    <w:rsid w:val="00960608"/>
    <w:rsid w:val="00972EEC"/>
    <w:rsid w:val="0097361A"/>
    <w:rsid w:val="009844F6"/>
    <w:rsid w:val="00987944"/>
    <w:rsid w:val="009A0F88"/>
    <w:rsid w:val="009C0277"/>
    <w:rsid w:val="009C0E56"/>
    <w:rsid w:val="009D47C8"/>
    <w:rsid w:val="009D7790"/>
    <w:rsid w:val="009D7FC4"/>
    <w:rsid w:val="009E4D5C"/>
    <w:rsid w:val="009F0E67"/>
    <w:rsid w:val="009F1F8A"/>
    <w:rsid w:val="00A1064D"/>
    <w:rsid w:val="00A1304F"/>
    <w:rsid w:val="00A134E5"/>
    <w:rsid w:val="00A167C6"/>
    <w:rsid w:val="00A17CB5"/>
    <w:rsid w:val="00A20B69"/>
    <w:rsid w:val="00A27253"/>
    <w:rsid w:val="00A30D79"/>
    <w:rsid w:val="00A31148"/>
    <w:rsid w:val="00A344C3"/>
    <w:rsid w:val="00A3773D"/>
    <w:rsid w:val="00A43536"/>
    <w:rsid w:val="00A44FA8"/>
    <w:rsid w:val="00A4525F"/>
    <w:rsid w:val="00A5071E"/>
    <w:rsid w:val="00A51E4D"/>
    <w:rsid w:val="00A52745"/>
    <w:rsid w:val="00A53B49"/>
    <w:rsid w:val="00A65A27"/>
    <w:rsid w:val="00A81136"/>
    <w:rsid w:val="00A82447"/>
    <w:rsid w:val="00A86AA2"/>
    <w:rsid w:val="00A8708F"/>
    <w:rsid w:val="00A913D8"/>
    <w:rsid w:val="00A9592B"/>
    <w:rsid w:val="00AA41D0"/>
    <w:rsid w:val="00AA6304"/>
    <w:rsid w:val="00AB0F48"/>
    <w:rsid w:val="00AB3D97"/>
    <w:rsid w:val="00AB51D3"/>
    <w:rsid w:val="00AB53C3"/>
    <w:rsid w:val="00AC1126"/>
    <w:rsid w:val="00AC33B3"/>
    <w:rsid w:val="00AC7D77"/>
    <w:rsid w:val="00AD2012"/>
    <w:rsid w:val="00AD4B72"/>
    <w:rsid w:val="00B01D7E"/>
    <w:rsid w:val="00B04AD6"/>
    <w:rsid w:val="00B1526F"/>
    <w:rsid w:val="00B21E9F"/>
    <w:rsid w:val="00B343FD"/>
    <w:rsid w:val="00B377A3"/>
    <w:rsid w:val="00B4319F"/>
    <w:rsid w:val="00B55B0A"/>
    <w:rsid w:val="00B56F2E"/>
    <w:rsid w:val="00B67BCA"/>
    <w:rsid w:val="00B726A9"/>
    <w:rsid w:val="00B75969"/>
    <w:rsid w:val="00B82A35"/>
    <w:rsid w:val="00B82B78"/>
    <w:rsid w:val="00B862FF"/>
    <w:rsid w:val="00BB220F"/>
    <w:rsid w:val="00BB4610"/>
    <w:rsid w:val="00BB7287"/>
    <w:rsid w:val="00BE4123"/>
    <w:rsid w:val="00BE68BA"/>
    <w:rsid w:val="00C00ABA"/>
    <w:rsid w:val="00C10586"/>
    <w:rsid w:val="00C200B9"/>
    <w:rsid w:val="00C339CE"/>
    <w:rsid w:val="00C40F9D"/>
    <w:rsid w:val="00C41289"/>
    <w:rsid w:val="00C44F5A"/>
    <w:rsid w:val="00C5165A"/>
    <w:rsid w:val="00C54DE8"/>
    <w:rsid w:val="00C5551C"/>
    <w:rsid w:val="00C60ED5"/>
    <w:rsid w:val="00C64A22"/>
    <w:rsid w:val="00C71510"/>
    <w:rsid w:val="00C73505"/>
    <w:rsid w:val="00C84ECC"/>
    <w:rsid w:val="00C86987"/>
    <w:rsid w:val="00C916B2"/>
    <w:rsid w:val="00C91E25"/>
    <w:rsid w:val="00CA5E22"/>
    <w:rsid w:val="00CA7D91"/>
    <w:rsid w:val="00CB6F4A"/>
    <w:rsid w:val="00CB7095"/>
    <w:rsid w:val="00CB70AA"/>
    <w:rsid w:val="00CC32F3"/>
    <w:rsid w:val="00CC354E"/>
    <w:rsid w:val="00CD03E5"/>
    <w:rsid w:val="00CD41FB"/>
    <w:rsid w:val="00CF0989"/>
    <w:rsid w:val="00CF295B"/>
    <w:rsid w:val="00CF37E0"/>
    <w:rsid w:val="00CF37FD"/>
    <w:rsid w:val="00CF47E1"/>
    <w:rsid w:val="00CF4ACF"/>
    <w:rsid w:val="00D06680"/>
    <w:rsid w:val="00D112C1"/>
    <w:rsid w:val="00D15EB9"/>
    <w:rsid w:val="00D2009D"/>
    <w:rsid w:val="00D27C7E"/>
    <w:rsid w:val="00D35475"/>
    <w:rsid w:val="00D46DE0"/>
    <w:rsid w:val="00D54529"/>
    <w:rsid w:val="00D57877"/>
    <w:rsid w:val="00D578C0"/>
    <w:rsid w:val="00D7068D"/>
    <w:rsid w:val="00D75B93"/>
    <w:rsid w:val="00D86A76"/>
    <w:rsid w:val="00D931C9"/>
    <w:rsid w:val="00D93DC7"/>
    <w:rsid w:val="00DA222A"/>
    <w:rsid w:val="00DB1D4B"/>
    <w:rsid w:val="00DB5EE3"/>
    <w:rsid w:val="00DC6B08"/>
    <w:rsid w:val="00DD3298"/>
    <w:rsid w:val="00DE337D"/>
    <w:rsid w:val="00DF4884"/>
    <w:rsid w:val="00DF5DA2"/>
    <w:rsid w:val="00DF65C4"/>
    <w:rsid w:val="00E05B85"/>
    <w:rsid w:val="00E06ACC"/>
    <w:rsid w:val="00E06FE1"/>
    <w:rsid w:val="00E20A22"/>
    <w:rsid w:val="00E328FB"/>
    <w:rsid w:val="00E42560"/>
    <w:rsid w:val="00E42C2C"/>
    <w:rsid w:val="00E4350B"/>
    <w:rsid w:val="00E43964"/>
    <w:rsid w:val="00E44341"/>
    <w:rsid w:val="00E45B80"/>
    <w:rsid w:val="00E518FE"/>
    <w:rsid w:val="00E546DF"/>
    <w:rsid w:val="00E6597A"/>
    <w:rsid w:val="00E67669"/>
    <w:rsid w:val="00E701FC"/>
    <w:rsid w:val="00E748DF"/>
    <w:rsid w:val="00E801D6"/>
    <w:rsid w:val="00E904B1"/>
    <w:rsid w:val="00EA000D"/>
    <w:rsid w:val="00EA2780"/>
    <w:rsid w:val="00EB60BA"/>
    <w:rsid w:val="00EC14F4"/>
    <w:rsid w:val="00EC1D12"/>
    <w:rsid w:val="00EC4904"/>
    <w:rsid w:val="00EC6A3E"/>
    <w:rsid w:val="00ED16EF"/>
    <w:rsid w:val="00ED4559"/>
    <w:rsid w:val="00ED4CC0"/>
    <w:rsid w:val="00EE1C51"/>
    <w:rsid w:val="00EE2FB2"/>
    <w:rsid w:val="00EF2BDA"/>
    <w:rsid w:val="00F01E39"/>
    <w:rsid w:val="00F237E7"/>
    <w:rsid w:val="00F35174"/>
    <w:rsid w:val="00F37688"/>
    <w:rsid w:val="00F42120"/>
    <w:rsid w:val="00F549F2"/>
    <w:rsid w:val="00F57A6E"/>
    <w:rsid w:val="00F60284"/>
    <w:rsid w:val="00F62402"/>
    <w:rsid w:val="00F67C72"/>
    <w:rsid w:val="00F70D5E"/>
    <w:rsid w:val="00F71754"/>
    <w:rsid w:val="00F742E4"/>
    <w:rsid w:val="00F97690"/>
    <w:rsid w:val="00FA6F2E"/>
    <w:rsid w:val="00FB22C6"/>
    <w:rsid w:val="00FB46A7"/>
    <w:rsid w:val="00FC0701"/>
    <w:rsid w:val="00FC0B9D"/>
    <w:rsid w:val="00FD3373"/>
    <w:rsid w:val="00FD5336"/>
    <w:rsid w:val="00FD5E24"/>
    <w:rsid w:val="00FF1795"/>
    <w:rsid w:val="00FF36E2"/>
    <w:rsid w:val="00FF41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657CC-9557-437A-A7B6-EE01F7A8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64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2771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DDB"/>
    <w:rPr>
      <w:color w:val="0563C1" w:themeColor="hyperlink"/>
      <w:u w:val="single"/>
    </w:rPr>
  </w:style>
  <w:style w:type="paragraph" w:styleId="ListParagraph">
    <w:name w:val="List Paragraph"/>
    <w:basedOn w:val="Normal"/>
    <w:uiPriority w:val="34"/>
    <w:qFormat/>
    <w:rsid w:val="003E739D"/>
    <w:pPr>
      <w:ind w:left="720"/>
      <w:contextualSpacing/>
    </w:pPr>
  </w:style>
  <w:style w:type="paragraph" w:styleId="EndnoteText">
    <w:name w:val="endnote text"/>
    <w:basedOn w:val="Normal"/>
    <w:link w:val="EndnoteTextChar"/>
    <w:uiPriority w:val="99"/>
    <w:unhideWhenUsed/>
    <w:rsid w:val="007A7831"/>
    <w:pPr>
      <w:spacing w:after="0" w:line="240" w:lineRule="auto"/>
    </w:pPr>
    <w:rPr>
      <w:sz w:val="20"/>
      <w:szCs w:val="20"/>
    </w:rPr>
  </w:style>
  <w:style w:type="character" w:customStyle="1" w:styleId="EndnoteTextChar">
    <w:name w:val="Endnote Text Char"/>
    <w:basedOn w:val="DefaultParagraphFont"/>
    <w:link w:val="EndnoteText"/>
    <w:uiPriority w:val="99"/>
    <w:rsid w:val="007A7831"/>
    <w:rPr>
      <w:sz w:val="20"/>
      <w:szCs w:val="20"/>
    </w:rPr>
  </w:style>
  <w:style w:type="character" w:styleId="EndnoteReference">
    <w:name w:val="endnote reference"/>
    <w:basedOn w:val="DefaultParagraphFont"/>
    <w:uiPriority w:val="99"/>
    <w:semiHidden/>
    <w:unhideWhenUsed/>
    <w:rsid w:val="007A7831"/>
    <w:rPr>
      <w:vertAlign w:val="superscript"/>
    </w:rPr>
  </w:style>
  <w:style w:type="paragraph" w:styleId="FootnoteText">
    <w:name w:val="footnote text"/>
    <w:basedOn w:val="Normal"/>
    <w:link w:val="FootnoteTextChar"/>
    <w:uiPriority w:val="99"/>
    <w:semiHidden/>
    <w:unhideWhenUsed/>
    <w:rsid w:val="004B72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7220"/>
    <w:rPr>
      <w:sz w:val="20"/>
      <w:szCs w:val="20"/>
    </w:rPr>
  </w:style>
  <w:style w:type="character" w:styleId="FootnoteReference">
    <w:name w:val="footnote reference"/>
    <w:basedOn w:val="DefaultParagraphFont"/>
    <w:uiPriority w:val="99"/>
    <w:semiHidden/>
    <w:unhideWhenUsed/>
    <w:rsid w:val="004B7220"/>
    <w:rPr>
      <w:vertAlign w:val="superscript"/>
    </w:rPr>
  </w:style>
  <w:style w:type="character" w:styleId="FollowedHyperlink">
    <w:name w:val="FollowedHyperlink"/>
    <w:basedOn w:val="DefaultParagraphFont"/>
    <w:uiPriority w:val="99"/>
    <w:semiHidden/>
    <w:unhideWhenUsed/>
    <w:rsid w:val="002B6184"/>
    <w:rPr>
      <w:color w:val="954F72" w:themeColor="followedHyperlink"/>
      <w:u w:val="single"/>
    </w:rPr>
  </w:style>
  <w:style w:type="paragraph" w:styleId="NoSpacing">
    <w:name w:val="No Spacing"/>
    <w:uiPriority w:val="1"/>
    <w:qFormat/>
    <w:rsid w:val="007445B1"/>
    <w:pPr>
      <w:spacing w:after="0" w:line="240" w:lineRule="auto"/>
    </w:pPr>
  </w:style>
  <w:style w:type="character" w:customStyle="1" w:styleId="Heading1Char">
    <w:name w:val="Heading 1 Char"/>
    <w:basedOn w:val="DefaultParagraphFont"/>
    <w:link w:val="Heading1"/>
    <w:uiPriority w:val="9"/>
    <w:rsid w:val="00546402"/>
    <w:rPr>
      <w:rFonts w:ascii="Times New Roman" w:eastAsia="Times New Roman" w:hAnsi="Times New Roman" w:cs="Times New Roman"/>
      <w:b/>
      <w:bCs/>
      <w:kern w:val="36"/>
      <w:sz w:val="48"/>
      <w:szCs w:val="48"/>
      <w:lang w:eastAsia="en-AU"/>
    </w:rPr>
  </w:style>
  <w:style w:type="character" w:styleId="Strong">
    <w:name w:val="Strong"/>
    <w:basedOn w:val="DefaultParagraphFont"/>
    <w:uiPriority w:val="22"/>
    <w:qFormat/>
    <w:rsid w:val="002771F2"/>
    <w:rPr>
      <w:b/>
      <w:bCs/>
    </w:rPr>
  </w:style>
  <w:style w:type="character" w:customStyle="1" w:styleId="Heading2Char">
    <w:name w:val="Heading 2 Char"/>
    <w:basedOn w:val="DefaultParagraphFont"/>
    <w:link w:val="Heading2"/>
    <w:uiPriority w:val="9"/>
    <w:semiHidden/>
    <w:rsid w:val="002771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84166">
      <w:bodyDiv w:val="1"/>
      <w:marLeft w:val="0"/>
      <w:marRight w:val="0"/>
      <w:marTop w:val="0"/>
      <w:marBottom w:val="0"/>
      <w:divBdr>
        <w:top w:val="none" w:sz="0" w:space="0" w:color="auto"/>
        <w:left w:val="none" w:sz="0" w:space="0" w:color="auto"/>
        <w:bottom w:val="none" w:sz="0" w:space="0" w:color="auto"/>
        <w:right w:val="none" w:sz="0" w:space="0" w:color="auto"/>
      </w:divBdr>
    </w:div>
    <w:div w:id="1073619582">
      <w:bodyDiv w:val="1"/>
      <w:marLeft w:val="0"/>
      <w:marRight w:val="0"/>
      <w:marTop w:val="0"/>
      <w:marBottom w:val="0"/>
      <w:divBdr>
        <w:top w:val="none" w:sz="0" w:space="0" w:color="auto"/>
        <w:left w:val="none" w:sz="0" w:space="0" w:color="auto"/>
        <w:bottom w:val="none" w:sz="0" w:space="0" w:color="auto"/>
        <w:right w:val="none" w:sz="0" w:space="0" w:color="auto"/>
      </w:divBdr>
    </w:div>
    <w:div w:id="1144855283">
      <w:bodyDiv w:val="1"/>
      <w:marLeft w:val="0"/>
      <w:marRight w:val="0"/>
      <w:marTop w:val="0"/>
      <w:marBottom w:val="0"/>
      <w:divBdr>
        <w:top w:val="none" w:sz="0" w:space="0" w:color="auto"/>
        <w:left w:val="none" w:sz="0" w:space="0" w:color="auto"/>
        <w:bottom w:val="none" w:sz="0" w:space="0" w:color="auto"/>
        <w:right w:val="none" w:sz="0" w:space="0" w:color="auto"/>
      </w:divBdr>
    </w:div>
    <w:div w:id="1470708215">
      <w:bodyDiv w:val="1"/>
      <w:marLeft w:val="0"/>
      <w:marRight w:val="0"/>
      <w:marTop w:val="0"/>
      <w:marBottom w:val="0"/>
      <w:divBdr>
        <w:top w:val="none" w:sz="0" w:space="0" w:color="auto"/>
        <w:left w:val="none" w:sz="0" w:space="0" w:color="auto"/>
        <w:bottom w:val="none" w:sz="0" w:space="0" w:color="auto"/>
        <w:right w:val="none" w:sz="0" w:space="0" w:color="auto"/>
      </w:divBdr>
    </w:div>
    <w:div w:id="2101558174">
      <w:bodyDiv w:val="1"/>
      <w:marLeft w:val="0"/>
      <w:marRight w:val="0"/>
      <w:marTop w:val="0"/>
      <w:marBottom w:val="0"/>
      <w:divBdr>
        <w:top w:val="none" w:sz="0" w:space="0" w:color="auto"/>
        <w:left w:val="none" w:sz="0" w:space="0" w:color="auto"/>
        <w:bottom w:val="none" w:sz="0" w:space="0" w:color="auto"/>
        <w:right w:val="none" w:sz="0" w:space="0" w:color="auto"/>
      </w:divBdr>
      <w:divsChild>
        <w:div w:id="1272543210">
          <w:marLeft w:val="0"/>
          <w:marRight w:val="0"/>
          <w:marTop w:val="150"/>
          <w:marBottom w:val="0"/>
          <w:divBdr>
            <w:top w:val="none" w:sz="0" w:space="0" w:color="auto"/>
            <w:left w:val="none" w:sz="0" w:space="0" w:color="auto"/>
            <w:bottom w:val="none" w:sz="0" w:space="0" w:color="auto"/>
            <w:right w:val="none" w:sz="0" w:space="0" w:color="auto"/>
          </w:divBdr>
        </w:div>
        <w:div w:id="1081441008">
          <w:marLeft w:val="0"/>
          <w:marRight w:val="0"/>
          <w:marTop w:val="100"/>
          <w:marBottom w:val="100"/>
          <w:divBdr>
            <w:top w:val="none" w:sz="0" w:space="0" w:color="auto"/>
            <w:left w:val="none" w:sz="0" w:space="0" w:color="auto"/>
            <w:bottom w:val="none" w:sz="0" w:space="0" w:color="auto"/>
            <w:right w:val="none" w:sz="0" w:space="0" w:color="auto"/>
          </w:divBdr>
          <w:divsChild>
            <w:div w:id="2139254693">
              <w:marLeft w:val="0"/>
              <w:marRight w:val="0"/>
              <w:marTop w:val="0"/>
              <w:marBottom w:val="0"/>
              <w:divBdr>
                <w:top w:val="none" w:sz="0" w:space="0" w:color="auto"/>
                <w:left w:val="none" w:sz="0" w:space="0" w:color="auto"/>
                <w:bottom w:val="none" w:sz="0" w:space="0" w:color="auto"/>
                <w:right w:val="none" w:sz="0" w:space="0" w:color="auto"/>
              </w:divBdr>
              <w:divsChild>
                <w:div w:id="113865202">
                  <w:marLeft w:val="300"/>
                  <w:marRight w:val="75"/>
                  <w:marTop w:val="15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ctgreport.niaa.gov.au/sites/default/files/pdf/closing-the-gap-report-2020.pdf" TargetMode="External"/><Relationship Id="rId13" Type="http://schemas.openxmlformats.org/officeDocument/2006/relationships/hyperlink" Target="https://www.abs.gov.au/ausstats/abs@.nsf/7d12b0f6763c78caca257061001cc588/42c869c663abfea3ca2583bb000e221f!OpenDocument" TargetMode="External"/><Relationship Id="rId3" Type="http://schemas.openxmlformats.org/officeDocument/2006/relationships/hyperlink" Target="https://www.abs.gov.au/ausstats/abs@.nsf/7d12b0f6763c78caca257061001cc588/88b47d60dbd6c988ca2574a900132f99!OpenDocument" TargetMode="External"/><Relationship Id="rId7" Type="http://schemas.openxmlformats.org/officeDocument/2006/relationships/hyperlink" Target="https://www.aph.gov.au/About_Parliament/Parliamentary_Departments/Parliamentary_Library/Publications_Archive/CIB/cib0203/03Cib10" TargetMode="External"/><Relationship Id="rId12" Type="http://schemas.openxmlformats.org/officeDocument/2006/relationships/hyperlink" Target="https://www.abs.gov.au/ausstats/abs@.nsf/7d12b0f6763c78caca257061001cc588/42c869c663abfea3ca2583bb000e221f!OpenDocument" TargetMode="External"/><Relationship Id="rId2" Type="http://schemas.openxmlformats.org/officeDocument/2006/relationships/hyperlink" Target="https://www.abs.gov.au/ausstats/abs@.nsf/mf/3238.0.55.001" TargetMode="External"/><Relationship Id="rId1" Type="http://schemas.openxmlformats.org/officeDocument/2006/relationships/hyperlink" Target="https://www.pc.gov.au/inquiries/current/indigenous-evaluation/issues" TargetMode="External"/><Relationship Id="rId6" Type="http://schemas.openxmlformats.org/officeDocument/2006/relationships/hyperlink" Target="https://www.elections.nsw.gov.au/Elections/Other-elections/Aboriginal-Land-Council-Election-2019" TargetMode="External"/><Relationship Id="rId11" Type="http://schemas.openxmlformats.org/officeDocument/2006/relationships/hyperlink" Target="https://www.abs.gov.au/ausstats/abs@.nsf/ProductsbyTopic/9E334CF07B4EEC17CA2570A5000BFE00?OpenDocument" TargetMode="External"/><Relationship Id="rId5" Type="http://schemas.openxmlformats.org/officeDocument/2006/relationships/hyperlink" Target="https://theconversation.com/the-state-of-australias-indigenous-languages-and-how-we-can-help-people-speak-them-more-often-109662" TargetMode="External"/><Relationship Id="rId10" Type="http://schemas.openxmlformats.org/officeDocument/2006/relationships/hyperlink" Target="https://www.stats.govt.nz/methods/2018-census-design-of-forms" TargetMode="External"/><Relationship Id="rId4" Type="http://schemas.openxmlformats.org/officeDocument/2006/relationships/hyperlink" Target="https://www.abs.gov.au/ausstats/abs@.nsf/Lookup/by%20Subject/2077.0~2016~Main%20Features~Changing%20Propensity%20to%20Identify~125" TargetMode="External"/><Relationship Id="rId9" Type="http://schemas.openxmlformats.org/officeDocument/2006/relationships/hyperlink" Target="https://www.abs.gov.au/AUSSTATS/abs@.nsf/DetailsPage/2071.02016?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266C8-F5C3-4443-B279-95B646EA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BA49B081.dotm</Template>
  <TotalTime>385</TotalTime>
  <Pages>3</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Submission DR113 - Ian Bowie - Indigenous Evaluation Strategy</vt:lpstr>
    </vt:vector>
  </TitlesOfParts>
  <Company>Ian Bowie</Company>
  <LinksUpToDate>false</LinksUpToDate>
  <CharactersWithSpaces>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DR113 - Ian Bowie - Indigenous Evaluation Strategy</dc:title>
  <dc:subject/>
  <dc:creator>Ian Bowie</dc:creator>
  <cp:keywords/>
  <dc:description/>
  <cp:lastModifiedBy>Productivity Commission</cp:lastModifiedBy>
  <cp:revision>23</cp:revision>
  <dcterms:created xsi:type="dcterms:W3CDTF">2020-06-09T06:47:00Z</dcterms:created>
  <dcterms:modified xsi:type="dcterms:W3CDTF">2020-06-16T00:17:00Z</dcterms:modified>
</cp:coreProperties>
</file>