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CA9352" w14:textId="77777777" w:rsidR="00890989" w:rsidRPr="00176E91" w:rsidRDefault="00890989" w:rsidP="009020D8">
      <w:pPr>
        <w:tabs>
          <w:tab w:val="left" w:pos="7513"/>
          <w:tab w:val="left" w:pos="7938"/>
        </w:tabs>
        <w:jc w:val="center"/>
        <w:rPr>
          <w:b/>
          <w:i/>
          <w:sz w:val="96"/>
        </w:rPr>
      </w:pPr>
      <w:bookmarkStart w:id="0" w:name="_GoBack"/>
      <w:bookmarkEnd w:id="0"/>
      <w:r w:rsidRPr="00176E91">
        <w:rPr>
          <w:b/>
          <w:i/>
          <w:noProof/>
          <w:sz w:val="96"/>
          <w:lang w:eastAsia="en-AU"/>
        </w:rPr>
        <w:drawing>
          <wp:anchor distT="0" distB="0" distL="114300" distR="114300" simplePos="0" relativeHeight="251658240" behindDoc="1" locked="0" layoutInCell="1" allowOverlap="1" wp14:anchorId="6E9EB530" wp14:editId="5999D1BF">
            <wp:simplePos x="0" y="0"/>
            <wp:positionH relativeFrom="page">
              <wp:posOffset>3810</wp:posOffset>
            </wp:positionH>
            <wp:positionV relativeFrom="paragraph">
              <wp:posOffset>-930275</wp:posOffset>
            </wp:positionV>
            <wp:extent cx="7553325" cy="106934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3325" cy="10693400"/>
                    </a:xfrm>
                    <a:prstGeom prst="rect">
                      <a:avLst/>
                    </a:prstGeom>
                    <a:noFill/>
                  </pic:spPr>
                </pic:pic>
              </a:graphicData>
            </a:graphic>
            <wp14:sizeRelH relativeFrom="page">
              <wp14:pctWidth>0</wp14:pctWidth>
            </wp14:sizeRelH>
            <wp14:sizeRelV relativeFrom="page">
              <wp14:pctHeight>0</wp14:pctHeight>
            </wp14:sizeRelV>
          </wp:anchor>
        </w:drawing>
      </w:r>
    </w:p>
    <w:p w14:paraId="4882B2AD" w14:textId="77777777" w:rsidR="00890989" w:rsidRPr="00176E91" w:rsidRDefault="006168BB" w:rsidP="006168BB">
      <w:pPr>
        <w:tabs>
          <w:tab w:val="left" w:pos="7740"/>
        </w:tabs>
        <w:rPr>
          <w:b/>
          <w:i/>
          <w:sz w:val="96"/>
        </w:rPr>
      </w:pPr>
      <w:r>
        <w:rPr>
          <w:b/>
          <w:i/>
          <w:sz w:val="96"/>
        </w:rPr>
        <w:tab/>
      </w:r>
    </w:p>
    <w:p w14:paraId="590D7F12" w14:textId="3A8675C2" w:rsidR="00890989" w:rsidRPr="00B17602" w:rsidRDefault="001607E1" w:rsidP="00890989">
      <w:pPr>
        <w:jc w:val="center"/>
        <w:rPr>
          <w:b/>
          <w:sz w:val="72"/>
        </w:rPr>
      </w:pPr>
      <w:r>
        <w:rPr>
          <w:b/>
          <w:i/>
          <w:sz w:val="72"/>
        </w:rPr>
        <w:t>Indigenous Evaluation Strategy - Draft</w:t>
      </w:r>
    </w:p>
    <w:p w14:paraId="75D0C8C7" w14:textId="77777777" w:rsidR="00B17602" w:rsidRDefault="00B17602" w:rsidP="00890989">
      <w:pPr>
        <w:jc w:val="center"/>
        <w:rPr>
          <w:b/>
          <w:sz w:val="72"/>
        </w:rPr>
      </w:pPr>
    </w:p>
    <w:p w14:paraId="65B36211" w14:textId="77777777" w:rsidR="00B17602" w:rsidRDefault="00890989" w:rsidP="00567C50">
      <w:pPr>
        <w:jc w:val="center"/>
        <w:rPr>
          <w:b/>
          <w:sz w:val="56"/>
        </w:rPr>
      </w:pPr>
      <w:r w:rsidRPr="00B17602">
        <w:rPr>
          <w:b/>
          <w:sz w:val="56"/>
        </w:rPr>
        <w:t>Danila Dilba Health Service</w:t>
      </w:r>
    </w:p>
    <w:p w14:paraId="2DC6160C" w14:textId="77777777" w:rsidR="00B17602" w:rsidRPr="00B17602" w:rsidRDefault="00B17602" w:rsidP="00890989">
      <w:pPr>
        <w:jc w:val="center"/>
        <w:rPr>
          <w:b/>
          <w:sz w:val="56"/>
        </w:rPr>
      </w:pPr>
      <w:r>
        <w:rPr>
          <w:b/>
          <w:sz w:val="56"/>
        </w:rPr>
        <w:t>Submission</w:t>
      </w:r>
    </w:p>
    <w:p w14:paraId="2348851B" w14:textId="77777777" w:rsidR="00890989" w:rsidRDefault="00890989" w:rsidP="00890989">
      <w:pPr>
        <w:jc w:val="center"/>
        <w:rPr>
          <w:b/>
          <w:sz w:val="72"/>
        </w:rPr>
      </w:pPr>
    </w:p>
    <w:p w14:paraId="30271FDF" w14:textId="77777777" w:rsidR="00B17602" w:rsidRPr="00176E91" w:rsidRDefault="00B17602" w:rsidP="00890989">
      <w:pPr>
        <w:jc w:val="center"/>
        <w:rPr>
          <w:b/>
          <w:sz w:val="72"/>
        </w:rPr>
      </w:pPr>
    </w:p>
    <w:p w14:paraId="67FE774A" w14:textId="3153F89A" w:rsidR="00890989" w:rsidRPr="00176E91" w:rsidRDefault="00C5640E" w:rsidP="00890989">
      <w:pPr>
        <w:jc w:val="center"/>
        <w:rPr>
          <w:b/>
          <w:sz w:val="52"/>
        </w:rPr>
      </w:pPr>
      <w:r>
        <w:rPr>
          <w:b/>
          <w:sz w:val="52"/>
        </w:rPr>
        <w:t>Date</w:t>
      </w:r>
      <w:r w:rsidR="001607E1">
        <w:rPr>
          <w:b/>
          <w:sz w:val="52"/>
        </w:rPr>
        <w:t>: 1</w:t>
      </w:r>
      <w:r w:rsidR="002F2B4C">
        <w:rPr>
          <w:b/>
          <w:sz w:val="52"/>
        </w:rPr>
        <w:t>7</w:t>
      </w:r>
      <w:r w:rsidR="001607E1">
        <w:rPr>
          <w:b/>
          <w:sz w:val="52"/>
        </w:rPr>
        <w:t xml:space="preserve"> August 2020</w:t>
      </w:r>
    </w:p>
    <w:p w14:paraId="28334473" w14:textId="77777777" w:rsidR="00890989" w:rsidRDefault="00890989">
      <w:pPr>
        <w:spacing w:after="160" w:line="259" w:lineRule="auto"/>
      </w:pPr>
      <w:r>
        <w:br w:type="page"/>
      </w:r>
    </w:p>
    <w:sdt>
      <w:sdtPr>
        <w:rPr>
          <w:rFonts w:ascii="Arial" w:eastAsiaTheme="minorHAnsi" w:hAnsi="Arial" w:cs="Times New Roman"/>
          <w:color w:val="auto"/>
          <w:sz w:val="22"/>
          <w:szCs w:val="22"/>
          <w:lang w:val="en-AU"/>
        </w:rPr>
        <w:id w:val="2079557217"/>
        <w:docPartObj>
          <w:docPartGallery w:val="Table of Contents"/>
          <w:docPartUnique/>
        </w:docPartObj>
      </w:sdtPr>
      <w:sdtEndPr>
        <w:rPr>
          <w:rFonts w:asciiTheme="minorHAnsi" w:hAnsiTheme="minorHAnsi" w:cstheme="minorHAnsi"/>
          <w:b/>
          <w:bCs/>
          <w:noProof/>
        </w:rPr>
      </w:sdtEndPr>
      <w:sdtContent>
        <w:p w14:paraId="51D5BF33" w14:textId="77777777" w:rsidR="00D24C6E" w:rsidRPr="00D24C6E" w:rsidRDefault="00D24C6E">
          <w:pPr>
            <w:pStyle w:val="TOCHeading"/>
            <w:rPr>
              <w:b/>
            </w:rPr>
          </w:pPr>
          <w:r w:rsidRPr="00D24C6E">
            <w:rPr>
              <w:b/>
            </w:rPr>
            <w:t>Contents</w:t>
          </w:r>
        </w:p>
        <w:p w14:paraId="68E3D11B" w14:textId="6E50A571" w:rsidR="004469D8" w:rsidRDefault="00D24C6E">
          <w:pPr>
            <w:pStyle w:val="TOC1"/>
            <w:tabs>
              <w:tab w:val="right" w:leader="dot" w:pos="9016"/>
            </w:tabs>
            <w:rPr>
              <w:rFonts w:asciiTheme="minorHAnsi" w:eastAsiaTheme="minorEastAsia" w:hAnsiTheme="minorHAnsi" w:cstheme="minorBidi"/>
              <w:noProof/>
              <w:lang w:eastAsia="en-AU"/>
            </w:rPr>
          </w:pPr>
          <w:r w:rsidRPr="00BE49AA">
            <w:rPr>
              <w:rFonts w:asciiTheme="minorHAnsi" w:hAnsiTheme="minorHAnsi" w:cstheme="minorHAnsi"/>
              <w:b/>
              <w:bCs/>
              <w:noProof/>
            </w:rPr>
            <w:fldChar w:fldCharType="begin"/>
          </w:r>
          <w:r w:rsidRPr="00BE49AA">
            <w:rPr>
              <w:rFonts w:asciiTheme="minorHAnsi" w:hAnsiTheme="minorHAnsi" w:cstheme="minorHAnsi"/>
              <w:b/>
              <w:bCs/>
              <w:noProof/>
            </w:rPr>
            <w:instrText xml:space="preserve"> TOC \o "1-3" \h \z \u </w:instrText>
          </w:r>
          <w:r w:rsidRPr="00BE49AA">
            <w:rPr>
              <w:rFonts w:asciiTheme="minorHAnsi" w:hAnsiTheme="minorHAnsi" w:cstheme="minorHAnsi"/>
              <w:b/>
              <w:bCs/>
              <w:noProof/>
            </w:rPr>
            <w:fldChar w:fldCharType="separate"/>
          </w:r>
          <w:hyperlink w:anchor="_Toc48554762" w:history="1">
            <w:r w:rsidR="004469D8" w:rsidRPr="00E111CC">
              <w:rPr>
                <w:rStyle w:val="Hyperlink"/>
                <w:noProof/>
              </w:rPr>
              <w:t>Introduction</w:t>
            </w:r>
            <w:r w:rsidR="004469D8">
              <w:rPr>
                <w:noProof/>
                <w:webHidden/>
              </w:rPr>
              <w:tab/>
            </w:r>
            <w:r w:rsidR="004469D8">
              <w:rPr>
                <w:noProof/>
                <w:webHidden/>
              </w:rPr>
              <w:fldChar w:fldCharType="begin"/>
            </w:r>
            <w:r w:rsidR="004469D8">
              <w:rPr>
                <w:noProof/>
                <w:webHidden/>
              </w:rPr>
              <w:instrText xml:space="preserve"> PAGEREF _Toc48554762 \h </w:instrText>
            </w:r>
            <w:r w:rsidR="004469D8">
              <w:rPr>
                <w:noProof/>
                <w:webHidden/>
              </w:rPr>
            </w:r>
            <w:r w:rsidR="004469D8">
              <w:rPr>
                <w:noProof/>
                <w:webHidden/>
              </w:rPr>
              <w:fldChar w:fldCharType="separate"/>
            </w:r>
            <w:r w:rsidR="004469D8">
              <w:rPr>
                <w:noProof/>
                <w:webHidden/>
              </w:rPr>
              <w:t>3</w:t>
            </w:r>
            <w:r w:rsidR="004469D8">
              <w:rPr>
                <w:noProof/>
                <w:webHidden/>
              </w:rPr>
              <w:fldChar w:fldCharType="end"/>
            </w:r>
          </w:hyperlink>
        </w:p>
        <w:p w14:paraId="06D9DFD7" w14:textId="267D33B7" w:rsidR="004469D8" w:rsidRDefault="00213ABF">
          <w:pPr>
            <w:pStyle w:val="TOC1"/>
            <w:tabs>
              <w:tab w:val="right" w:leader="dot" w:pos="9016"/>
            </w:tabs>
            <w:rPr>
              <w:rFonts w:asciiTheme="minorHAnsi" w:eastAsiaTheme="minorEastAsia" w:hAnsiTheme="minorHAnsi" w:cstheme="minorBidi"/>
              <w:noProof/>
              <w:lang w:eastAsia="en-AU"/>
            </w:rPr>
          </w:pPr>
          <w:hyperlink w:anchor="_Toc48554763" w:history="1">
            <w:r w:rsidR="004469D8" w:rsidRPr="00E111CC">
              <w:rPr>
                <w:rStyle w:val="Hyperlink"/>
                <w:noProof/>
              </w:rPr>
              <w:t>Background</w:t>
            </w:r>
            <w:r w:rsidR="004469D8">
              <w:rPr>
                <w:noProof/>
                <w:webHidden/>
              </w:rPr>
              <w:tab/>
            </w:r>
            <w:r w:rsidR="004469D8">
              <w:rPr>
                <w:noProof/>
                <w:webHidden/>
              </w:rPr>
              <w:fldChar w:fldCharType="begin"/>
            </w:r>
            <w:r w:rsidR="004469D8">
              <w:rPr>
                <w:noProof/>
                <w:webHidden/>
              </w:rPr>
              <w:instrText xml:space="preserve"> PAGEREF _Toc48554763 \h </w:instrText>
            </w:r>
            <w:r w:rsidR="004469D8">
              <w:rPr>
                <w:noProof/>
                <w:webHidden/>
              </w:rPr>
            </w:r>
            <w:r w:rsidR="004469D8">
              <w:rPr>
                <w:noProof/>
                <w:webHidden/>
              </w:rPr>
              <w:fldChar w:fldCharType="separate"/>
            </w:r>
            <w:r w:rsidR="004469D8">
              <w:rPr>
                <w:noProof/>
                <w:webHidden/>
              </w:rPr>
              <w:t>3</w:t>
            </w:r>
            <w:r w:rsidR="004469D8">
              <w:rPr>
                <w:noProof/>
                <w:webHidden/>
              </w:rPr>
              <w:fldChar w:fldCharType="end"/>
            </w:r>
          </w:hyperlink>
        </w:p>
        <w:p w14:paraId="6F6CE536" w14:textId="0C206A09" w:rsidR="004469D8" w:rsidRDefault="00213ABF">
          <w:pPr>
            <w:pStyle w:val="TOC2"/>
            <w:tabs>
              <w:tab w:val="right" w:leader="dot" w:pos="9016"/>
            </w:tabs>
            <w:rPr>
              <w:rFonts w:asciiTheme="minorHAnsi" w:eastAsiaTheme="minorEastAsia" w:hAnsiTheme="minorHAnsi" w:cstheme="minorBidi"/>
              <w:noProof/>
              <w:lang w:eastAsia="en-AU"/>
            </w:rPr>
          </w:pPr>
          <w:hyperlink w:anchor="_Toc48554764" w:history="1">
            <w:r w:rsidR="004469D8" w:rsidRPr="00E111CC">
              <w:rPr>
                <w:rStyle w:val="Hyperlink"/>
                <w:noProof/>
              </w:rPr>
              <w:t>About Danila Dilba</w:t>
            </w:r>
            <w:r w:rsidR="004469D8">
              <w:rPr>
                <w:noProof/>
                <w:webHidden/>
              </w:rPr>
              <w:tab/>
            </w:r>
            <w:r w:rsidR="004469D8">
              <w:rPr>
                <w:noProof/>
                <w:webHidden/>
              </w:rPr>
              <w:fldChar w:fldCharType="begin"/>
            </w:r>
            <w:r w:rsidR="004469D8">
              <w:rPr>
                <w:noProof/>
                <w:webHidden/>
              </w:rPr>
              <w:instrText xml:space="preserve"> PAGEREF _Toc48554764 \h </w:instrText>
            </w:r>
            <w:r w:rsidR="004469D8">
              <w:rPr>
                <w:noProof/>
                <w:webHidden/>
              </w:rPr>
            </w:r>
            <w:r w:rsidR="004469D8">
              <w:rPr>
                <w:noProof/>
                <w:webHidden/>
              </w:rPr>
              <w:fldChar w:fldCharType="separate"/>
            </w:r>
            <w:r w:rsidR="004469D8">
              <w:rPr>
                <w:noProof/>
                <w:webHidden/>
              </w:rPr>
              <w:t>3</w:t>
            </w:r>
            <w:r w:rsidR="004469D8">
              <w:rPr>
                <w:noProof/>
                <w:webHidden/>
              </w:rPr>
              <w:fldChar w:fldCharType="end"/>
            </w:r>
          </w:hyperlink>
        </w:p>
        <w:p w14:paraId="3FA24BF8" w14:textId="0D400F6F" w:rsidR="004469D8" w:rsidRDefault="00213ABF">
          <w:pPr>
            <w:pStyle w:val="TOC1"/>
            <w:tabs>
              <w:tab w:val="right" w:leader="dot" w:pos="9016"/>
            </w:tabs>
            <w:rPr>
              <w:rFonts w:asciiTheme="minorHAnsi" w:eastAsiaTheme="minorEastAsia" w:hAnsiTheme="minorHAnsi" w:cstheme="minorBidi"/>
              <w:noProof/>
              <w:lang w:eastAsia="en-AU"/>
            </w:rPr>
          </w:pPr>
          <w:hyperlink w:anchor="_Toc48554765" w:history="1">
            <w:r w:rsidR="004469D8" w:rsidRPr="00E111CC">
              <w:rPr>
                <w:rStyle w:val="Hyperlink"/>
                <w:noProof/>
              </w:rPr>
              <w:t>Overarching Comments</w:t>
            </w:r>
            <w:r w:rsidR="004469D8">
              <w:rPr>
                <w:noProof/>
                <w:webHidden/>
              </w:rPr>
              <w:tab/>
            </w:r>
            <w:r w:rsidR="004469D8">
              <w:rPr>
                <w:noProof/>
                <w:webHidden/>
              </w:rPr>
              <w:fldChar w:fldCharType="begin"/>
            </w:r>
            <w:r w:rsidR="004469D8">
              <w:rPr>
                <w:noProof/>
                <w:webHidden/>
              </w:rPr>
              <w:instrText xml:space="preserve"> PAGEREF _Toc48554765 \h </w:instrText>
            </w:r>
            <w:r w:rsidR="004469D8">
              <w:rPr>
                <w:noProof/>
                <w:webHidden/>
              </w:rPr>
            </w:r>
            <w:r w:rsidR="004469D8">
              <w:rPr>
                <w:noProof/>
                <w:webHidden/>
              </w:rPr>
              <w:fldChar w:fldCharType="separate"/>
            </w:r>
            <w:r w:rsidR="004469D8">
              <w:rPr>
                <w:noProof/>
                <w:webHidden/>
              </w:rPr>
              <w:t>3</w:t>
            </w:r>
            <w:r w:rsidR="004469D8">
              <w:rPr>
                <w:noProof/>
                <w:webHidden/>
              </w:rPr>
              <w:fldChar w:fldCharType="end"/>
            </w:r>
          </w:hyperlink>
        </w:p>
        <w:p w14:paraId="50492C9A" w14:textId="251DA097" w:rsidR="004469D8" w:rsidRDefault="00213ABF">
          <w:pPr>
            <w:pStyle w:val="TOC1"/>
            <w:tabs>
              <w:tab w:val="right" w:leader="dot" w:pos="9016"/>
            </w:tabs>
            <w:rPr>
              <w:rFonts w:asciiTheme="minorHAnsi" w:eastAsiaTheme="minorEastAsia" w:hAnsiTheme="minorHAnsi" w:cstheme="minorBidi"/>
              <w:noProof/>
              <w:lang w:eastAsia="en-AU"/>
            </w:rPr>
          </w:pPr>
          <w:hyperlink w:anchor="_Toc48554766" w:history="1">
            <w:r w:rsidR="004469D8" w:rsidRPr="00E111CC">
              <w:rPr>
                <w:rStyle w:val="Hyperlink"/>
                <w:noProof/>
              </w:rPr>
              <w:t>Specific Issues and Comments</w:t>
            </w:r>
            <w:r w:rsidR="004469D8">
              <w:rPr>
                <w:noProof/>
                <w:webHidden/>
              </w:rPr>
              <w:tab/>
            </w:r>
            <w:r w:rsidR="004469D8">
              <w:rPr>
                <w:noProof/>
                <w:webHidden/>
              </w:rPr>
              <w:fldChar w:fldCharType="begin"/>
            </w:r>
            <w:r w:rsidR="004469D8">
              <w:rPr>
                <w:noProof/>
                <w:webHidden/>
              </w:rPr>
              <w:instrText xml:space="preserve"> PAGEREF _Toc48554766 \h </w:instrText>
            </w:r>
            <w:r w:rsidR="004469D8">
              <w:rPr>
                <w:noProof/>
                <w:webHidden/>
              </w:rPr>
            </w:r>
            <w:r w:rsidR="004469D8">
              <w:rPr>
                <w:noProof/>
                <w:webHidden/>
              </w:rPr>
              <w:fldChar w:fldCharType="separate"/>
            </w:r>
            <w:r w:rsidR="004469D8">
              <w:rPr>
                <w:noProof/>
                <w:webHidden/>
              </w:rPr>
              <w:t>4</w:t>
            </w:r>
            <w:r w:rsidR="004469D8">
              <w:rPr>
                <w:noProof/>
                <w:webHidden/>
              </w:rPr>
              <w:fldChar w:fldCharType="end"/>
            </w:r>
          </w:hyperlink>
        </w:p>
        <w:p w14:paraId="2241030A" w14:textId="70B78C6F" w:rsidR="004469D8" w:rsidRDefault="00213ABF">
          <w:pPr>
            <w:pStyle w:val="TOC2"/>
            <w:tabs>
              <w:tab w:val="right" w:leader="dot" w:pos="9016"/>
            </w:tabs>
            <w:rPr>
              <w:rFonts w:asciiTheme="minorHAnsi" w:eastAsiaTheme="minorEastAsia" w:hAnsiTheme="minorHAnsi" w:cstheme="minorBidi"/>
              <w:noProof/>
              <w:lang w:eastAsia="en-AU"/>
            </w:rPr>
          </w:pPr>
          <w:hyperlink w:anchor="_Toc48554767" w:history="1">
            <w:r w:rsidR="004469D8" w:rsidRPr="00E111CC">
              <w:rPr>
                <w:rStyle w:val="Hyperlink"/>
                <w:noProof/>
              </w:rPr>
              <w:t>A Rights Based Approach</w:t>
            </w:r>
            <w:r w:rsidR="004469D8">
              <w:rPr>
                <w:noProof/>
                <w:webHidden/>
              </w:rPr>
              <w:tab/>
            </w:r>
            <w:r w:rsidR="004469D8">
              <w:rPr>
                <w:noProof/>
                <w:webHidden/>
              </w:rPr>
              <w:fldChar w:fldCharType="begin"/>
            </w:r>
            <w:r w:rsidR="004469D8">
              <w:rPr>
                <w:noProof/>
                <w:webHidden/>
              </w:rPr>
              <w:instrText xml:space="preserve"> PAGEREF _Toc48554767 \h </w:instrText>
            </w:r>
            <w:r w:rsidR="004469D8">
              <w:rPr>
                <w:noProof/>
                <w:webHidden/>
              </w:rPr>
            </w:r>
            <w:r w:rsidR="004469D8">
              <w:rPr>
                <w:noProof/>
                <w:webHidden/>
              </w:rPr>
              <w:fldChar w:fldCharType="separate"/>
            </w:r>
            <w:r w:rsidR="004469D8">
              <w:rPr>
                <w:noProof/>
                <w:webHidden/>
              </w:rPr>
              <w:t>4</w:t>
            </w:r>
            <w:r w:rsidR="004469D8">
              <w:rPr>
                <w:noProof/>
                <w:webHidden/>
              </w:rPr>
              <w:fldChar w:fldCharType="end"/>
            </w:r>
          </w:hyperlink>
        </w:p>
        <w:p w14:paraId="331E4A1C" w14:textId="7CEE8E30" w:rsidR="004469D8" w:rsidRDefault="00213ABF">
          <w:pPr>
            <w:pStyle w:val="TOC2"/>
            <w:tabs>
              <w:tab w:val="right" w:leader="dot" w:pos="9016"/>
            </w:tabs>
            <w:rPr>
              <w:rFonts w:asciiTheme="minorHAnsi" w:eastAsiaTheme="minorEastAsia" w:hAnsiTheme="minorHAnsi" w:cstheme="minorBidi"/>
              <w:noProof/>
              <w:lang w:eastAsia="en-AU"/>
            </w:rPr>
          </w:pPr>
          <w:hyperlink w:anchor="_Toc48554768" w:history="1">
            <w:r w:rsidR="004469D8" w:rsidRPr="00E111CC">
              <w:rPr>
                <w:rStyle w:val="Hyperlink"/>
                <w:noProof/>
              </w:rPr>
              <w:t>Centring Aboriginal and Torres Strait Islander people, perspectives, priorities and knowledges</w:t>
            </w:r>
            <w:r w:rsidR="004469D8">
              <w:rPr>
                <w:noProof/>
                <w:webHidden/>
              </w:rPr>
              <w:tab/>
            </w:r>
            <w:r w:rsidR="004469D8">
              <w:rPr>
                <w:noProof/>
                <w:webHidden/>
              </w:rPr>
              <w:fldChar w:fldCharType="begin"/>
            </w:r>
            <w:r w:rsidR="004469D8">
              <w:rPr>
                <w:noProof/>
                <w:webHidden/>
              </w:rPr>
              <w:instrText xml:space="preserve"> PAGEREF _Toc48554768 \h </w:instrText>
            </w:r>
            <w:r w:rsidR="004469D8">
              <w:rPr>
                <w:noProof/>
                <w:webHidden/>
              </w:rPr>
            </w:r>
            <w:r w:rsidR="004469D8">
              <w:rPr>
                <w:noProof/>
                <w:webHidden/>
              </w:rPr>
              <w:fldChar w:fldCharType="separate"/>
            </w:r>
            <w:r w:rsidR="004469D8">
              <w:rPr>
                <w:noProof/>
                <w:webHidden/>
              </w:rPr>
              <w:t>4</w:t>
            </w:r>
            <w:r w:rsidR="004469D8">
              <w:rPr>
                <w:noProof/>
                <w:webHidden/>
              </w:rPr>
              <w:fldChar w:fldCharType="end"/>
            </w:r>
          </w:hyperlink>
        </w:p>
        <w:p w14:paraId="2C0DE5D8" w14:textId="2A1610F2" w:rsidR="004469D8" w:rsidRDefault="00213ABF">
          <w:pPr>
            <w:pStyle w:val="TOC1"/>
            <w:tabs>
              <w:tab w:val="right" w:leader="dot" w:pos="9016"/>
            </w:tabs>
            <w:rPr>
              <w:rFonts w:asciiTheme="minorHAnsi" w:eastAsiaTheme="minorEastAsia" w:hAnsiTheme="minorHAnsi" w:cstheme="minorBidi"/>
              <w:noProof/>
              <w:lang w:eastAsia="en-AU"/>
            </w:rPr>
          </w:pPr>
          <w:hyperlink w:anchor="_Toc48554769" w:history="1">
            <w:r w:rsidR="004469D8" w:rsidRPr="00E111CC">
              <w:rPr>
                <w:rStyle w:val="Hyperlink"/>
                <w:noProof/>
              </w:rPr>
              <w:t>Conclusion</w:t>
            </w:r>
            <w:r w:rsidR="004469D8">
              <w:rPr>
                <w:noProof/>
                <w:webHidden/>
              </w:rPr>
              <w:tab/>
            </w:r>
            <w:r w:rsidR="004469D8">
              <w:rPr>
                <w:noProof/>
                <w:webHidden/>
              </w:rPr>
              <w:fldChar w:fldCharType="begin"/>
            </w:r>
            <w:r w:rsidR="004469D8">
              <w:rPr>
                <w:noProof/>
                <w:webHidden/>
              </w:rPr>
              <w:instrText xml:space="preserve"> PAGEREF _Toc48554769 \h </w:instrText>
            </w:r>
            <w:r w:rsidR="004469D8">
              <w:rPr>
                <w:noProof/>
                <w:webHidden/>
              </w:rPr>
            </w:r>
            <w:r w:rsidR="004469D8">
              <w:rPr>
                <w:noProof/>
                <w:webHidden/>
              </w:rPr>
              <w:fldChar w:fldCharType="separate"/>
            </w:r>
            <w:r w:rsidR="004469D8">
              <w:rPr>
                <w:noProof/>
                <w:webHidden/>
              </w:rPr>
              <w:t>6</w:t>
            </w:r>
            <w:r w:rsidR="004469D8">
              <w:rPr>
                <w:noProof/>
                <w:webHidden/>
              </w:rPr>
              <w:fldChar w:fldCharType="end"/>
            </w:r>
          </w:hyperlink>
        </w:p>
        <w:p w14:paraId="05B66487" w14:textId="2C3768DC" w:rsidR="00D24C6E" w:rsidRPr="00DA25B7" w:rsidRDefault="00D24C6E">
          <w:pPr>
            <w:rPr>
              <w:rFonts w:cstheme="minorHAnsi"/>
            </w:rPr>
          </w:pPr>
          <w:r w:rsidRPr="00BE49AA">
            <w:rPr>
              <w:rFonts w:cstheme="minorHAnsi"/>
              <w:b/>
              <w:bCs/>
              <w:noProof/>
            </w:rPr>
            <w:fldChar w:fldCharType="end"/>
          </w:r>
        </w:p>
      </w:sdtContent>
    </w:sdt>
    <w:p w14:paraId="413B4331" w14:textId="77777777" w:rsidR="00B17602" w:rsidRPr="00BE49AA" w:rsidRDefault="00B17602" w:rsidP="00BE49AA">
      <w:pPr>
        <w:pStyle w:val="Heading4"/>
        <w:rPr>
          <w:rFonts w:asciiTheme="minorHAnsi" w:hAnsiTheme="minorHAnsi" w:cstheme="minorHAnsi"/>
          <w:noProof/>
        </w:rPr>
      </w:pPr>
      <w:r w:rsidRPr="00DA25B7">
        <w:rPr>
          <w:noProof/>
        </w:rPr>
        <w:br w:type="page"/>
      </w:r>
    </w:p>
    <w:p w14:paraId="198D98D4" w14:textId="77777777" w:rsidR="00D24C6E" w:rsidRDefault="00362C94" w:rsidP="00BE49AA">
      <w:pPr>
        <w:pStyle w:val="Heading1"/>
      </w:pPr>
      <w:bookmarkStart w:id="1" w:name="_Toc48554762"/>
      <w:r>
        <w:lastRenderedPageBreak/>
        <w:t>Introduction</w:t>
      </w:r>
      <w:bookmarkEnd w:id="1"/>
    </w:p>
    <w:p w14:paraId="682CB150" w14:textId="3E433E85" w:rsidR="00C5640E" w:rsidRDefault="001607E1" w:rsidP="00C5640E">
      <w:r>
        <w:t xml:space="preserve">Danila Dilba Health Service </w:t>
      </w:r>
      <w:r w:rsidR="002A2C0A" w:rsidRPr="002A2C0A">
        <w:t>welcomes the opportunity to comment on the final draft Indigenous Evaluation Strategy and the associated Guide to Evaluation Under the Indigenous Evaluation Strategy</w:t>
      </w:r>
      <w:r w:rsidR="002A2C0A">
        <w:t xml:space="preserve">. </w:t>
      </w:r>
    </w:p>
    <w:p w14:paraId="34C24E02" w14:textId="2A6DC8C5" w:rsidR="00F94F53" w:rsidRDefault="00F94F53" w:rsidP="00F94F53">
      <w:pPr>
        <w:pStyle w:val="Heading1"/>
      </w:pPr>
      <w:bookmarkStart w:id="2" w:name="_Toc48554763"/>
      <w:r>
        <w:t>Background</w:t>
      </w:r>
      <w:bookmarkEnd w:id="2"/>
    </w:p>
    <w:p w14:paraId="7DD1F0AC" w14:textId="3431E984" w:rsidR="002B74CF" w:rsidRDefault="002B74CF" w:rsidP="002B74CF">
      <w:pPr>
        <w:pStyle w:val="Heading2"/>
      </w:pPr>
      <w:bookmarkStart w:id="3" w:name="_Toc48554764"/>
      <w:r>
        <w:t>About Danila Dilba</w:t>
      </w:r>
      <w:bookmarkEnd w:id="3"/>
    </w:p>
    <w:p w14:paraId="16CD00B7" w14:textId="019445BF" w:rsidR="00674542" w:rsidRPr="00C8475B" w:rsidRDefault="00674542" w:rsidP="00674542">
      <w:pPr>
        <w:spacing w:after="160" w:line="259" w:lineRule="auto"/>
        <w:rPr>
          <w:rFonts w:ascii="Calibri" w:eastAsia="Calibri" w:hAnsi="Calibri"/>
        </w:rPr>
      </w:pPr>
      <w:r w:rsidRPr="00C8475B">
        <w:rPr>
          <w:rFonts w:ascii="Calibri" w:eastAsia="Calibri" w:hAnsi="Calibri"/>
        </w:rPr>
        <w:t xml:space="preserve">Danila Dilba is Darwin’s only Aboriginal Community Controlled Health Service and provides services to most of the Indigenous population in the region – 70% of the population visits a clinic in any one year.  Danila Dilba is a membership based organisation and is governed by an Aboriginal board </w:t>
      </w:r>
      <w:r w:rsidR="002F2B4C">
        <w:rPr>
          <w:rFonts w:ascii="Calibri" w:eastAsia="Calibri" w:hAnsi="Calibri"/>
        </w:rPr>
        <w:t>elected</w:t>
      </w:r>
      <w:r w:rsidRPr="00C8475B">
        <w:rPr>
          <w:rFonts w:ascii="Calibri" w:eastAsia="Calibri" w:hAnsi="Calibri"/>
        </w:rPr>
        <w:t xml:space="preserve"> by our members.</w:t>
      </w:r>
    </w:p>
    <w:p w14:paraId="51A133BD" w14:textId="77777777" w:rsidR="00674542" w:rsidRPr="00C8475B" w:rsidRDefault="00674542" w:rsidP="00674542">
      <w:pPr>
        <w:spacing w:after="160" w:line="259" w:lineRule="auto"/>
        <w:rPr>
          <w:rFonts w:ascii="Calibri" w:eastAsia="Calibri" w:hAnsi="Calibri"/>
        </w:rPr>
      </w:pPr>
      <w:r w:rsidRPr="00C8475B">
        <w:rPr>
          <w:rFonts w:ascii="Calibri" w:eastAsia="Calibri" w:hAnsi="Calibri"/>
        </w:rPr>
        <w:t>Danila Dilba provides both comprehensive Primary Health Care and community services. Danila Dilba currently employs approximately 180 staff and has eight general practice clinics across the greater Darwin region. Comprehensive primary health care encompasses the range of health care offered by general practice but extends beyond that to provide:</w:t>
      </w:r>
    </w:p>
    <w:p w14:paraId="304AA989" w14:textId="77777777" w:rsidR="00674542" w:rsidRPr="00C8475B" w:rsidRDefault="00674542" w:rsidP="00674542">
      <w:pPr>
        <w:numPr>
          <w:ilvl w:val="0"/>
          <w:numId w:val="25"/>
        </w:numPr>
        <w:spacing w:after="160" w:line="259" w:lineRule="auto"/>
        <w:contextualSpacing/>
        <w:rPr>
          <w:rFonts w:ascii="Calibri" w:eastAsia="Calibri" w:hAnsi="Calibri"/>
        </w:rPr>
      </w:pPr>
      <w:r w:rsidRPr="00C8475B">
        <w:rPr>
          <w:rFonts w:ascii="Calibri" w:eastAsia="Calibri" w:hAnsi="Calibri"/>
        </w:rPr>
        <w:t>Primary health care services for people of all ages</w:t>
      </w:r>
    </w:p>
    <w:p w14:paraId="3B56B85F" w14:textId="77777777" w:rsidR="00674542" w:rsidRPr="00C8475B" w:rsidRDefault="00674542" w:rsidP="00674542">
      <w:pPr>
        <w:numPr>
          <w:ilvl w:val="0"/>
          <w:numId w:val="25"/>
        </w:numPr>
        <w:spacing w:after="160" w:line="259" w:lineRule="auto"/>
        <w:contextualSpacing/>
        <w:rPr>
          <w:rFonts w:ascii="Calibri" w:eastAsia="Calibri" w:hAnsi="Calibri"/>
        </w:rPr>
      </w:pPr>
      <w:r w:rsidRPr="00C8475B">
        <w:rPr>
          <w:rFonts w:ascii="Calibri" w:eastAsia="Calibri" w:hAnsi="Calibri"/>
        </w:rPr>
        <w:t>Access to specialist and allied health professionals, through collaborative service models</w:t>
      </w:r>
    </w:p>
    <w:p w14:paraId="08EBF8EB" w14:textId="77777777" w:rsidR="00674542" w:rsidRPr="00C8475B" w:rsidRDefault="00674542" w:rsidP="00674542">
      <w:pPr>
        <w:numPr>
          <w:ilvl w:val="0"/>
          <w:numId w:val="25"/>
        </w:numPr>
        <w:spacing w:after="160" w:line="259" w:lineRule="auto"/>
        <w:contextualSpacing/>
        <w:rPr>
          <w:rFonts w:ascii="Calibri" w:eastAsia="Calibri" w:hAnsi="Calibri"/>
        </w:rPr>
      </w:pPr>
      <w:r w:rsidRPr="00C8475B">
        <w:rPr>
          <w:rFonts w:ascii="Calibri" w:eastAsia="Calibri" w:hAnsi="Calibri"/>
        </w:rPr>
        <w:t>Primary prevention through health promotion to help people get more control over their health</w:t>
      </w:r>
    </w:p>
    <w:p w14:paraId="5FB91221" w14:textId="1E10A4BF" w:rsidR="00674542" w:rsidRPr="00C8475B" w:rsidRDefault="00674542" w:rsidP="00674542">
      <w:pPr>
        <w:numPr>
          <w:ilvl w:val="0"/>
          <w:numId w:val="25"/>
        </w:numPr>
        <w:spacing w:after="160" w:line="259" w:lineRule="auto"/>
        <w:contextualSpacing/>
        <w:rPr>
          <w:rFonts w:ascii="Calibri" w:eastAsia="Calibri" w:hAnsi="Calibri"/>
        </w:rPr>
      </w:pPr>
      <w:r w:rsidRPr="00C8475B">
        <w:rPr>
          <w:rFonts w:ascii="Calibri" w:eastAsia="Calibri" w:hAnsi="Calibri"/>
        </w:rPr>
        <w:t>Care coordination for clients with complex</w:t>
      </w:r>
      <w:r w:rsidR="002F2B4C">
        <w:rPr>
          <w:rFonts w:ascii="Calibri" w:eastAsia="Calibri" w:hAnsi="Calibri"/>
        </w:rPr>
        <w:t xml:space="preserve"> and chronic</w:t>
      </w:r>
      <w:r w:rsidRPr="00C8475B">
        <w:rPr>
          <w:rFonts w:ascii="Calibri" w:eastAsia="Calibri" w:hAnsi="Calibri"/>
        </w:rPr>
        <w:t xml:space="preserve"> health needs</w:t>
      </w:r>
    </w:p>
    <w:p w14:paraId="59F9761F" w14:textId="77777777" w:rsidR="00674542" w:rsidRPr="00C8475B" w:rsidRDefault="00674542" w:rsidP="00674542">
      <w:pPr>
        <w:numPr>
          <w:ilvl w:val="0"/>
          <w:numId w:val="25"/>
        </w:numPr>
        <w:spacing w:after="160" w:line="259" w:lineRule="auto"/>
        <w:contextualSpacing/>
        <w:rPr>
          <w:rFonts w:ascii="Calibri" w:eastAsia="Calibri" w:hAnsi="Calibri"/>
        </w:rPr>
      </w:pPr>
      <w:r w:rsidRPr="00C8475B">
        <w:rPr>
          <w:rFonts w:ascii="Calibri" w:eastAsia="Calibri" w:hAnsi="Calibri"/>
        </w:rPr>
        <w:t>Support for self management and secondary prevention for people living with chronic conditions</w:t>
      </w:r>
    </w:p>
    <w:p w14:paraId="52355FF2" w14:textId="77777777" w:rsidR="00674542" w:rsidRPr="00C8475B" w:rsidRDefault="00674542" w:rsidP="00674542">
      <w:pPr>
        <w:numPr>
          <w:ilvl w:val="0"/>
          <w:numId w:val="25"/>
        </w:numPr>
        <w:spacing w:after="160" w:line="259" w:lineRule="auto"/>
        <w:contextualSpacing/>
        <w:rPr>
          <w:rFonts w:ascii="Calibri" w:eastAsia="Calibri" w:hAnsi="Calibri"/>
        </w:rPr>
      </w:pPr>
      <w:r w:rsidRPr="00C8475B">
        <w:rPr>
          <w:rFonts w:ascii="Calibri" w:eastAsia="Calibri" w:hAnsi="Calibri"/>
        </w:rPr>
        <w:t>Social and emotional wellbeing services</w:t>
      </w:r>
    </w:p>
    <w:p w14:paraId="64AEBB33" w14:textId="77777777" w:rsidR="00674542" w:rsidRPr="00C8475B" w:rsidRDefault="00674542" w:rsidP="00674542">
      <w:pPr>
        <w:numPr>
          <w:ilvl w:val="0"/>
          <w:numId w:val="25"/>
        </w:numPr>
        <w:spacing w:after="160" w:line="259" w:lineRule="auto"/>
        <w:contextualSpacing/>
        <w:rPr>
          <w:rFonts w:ascii="Calibri" w:eastAsia="Calibri" w:hAnsi="Calibri"/>
        </w:rPr>
      </w:pPr>
      <w:r w:rsidRPr="00C8475B">
        <w:rPr>
          <w:rFonts w:ascii="Calibri" w:eastAsia="Calibri" w:hAnsi="Calibri"/>
        </w:rPr>
        <w:t>Drug, alcohol and tobacco services</w:t>
      </w:r>
    </w:p>
    <w:p w14:paraId="1E509023" w14:textId="77777777" w:rsidR="00674542" w:rsidRPr="00C8475B" w:rsidRDefault="00674542" w:rsidP="00674542">
      <w:pPr>
        <w:numPr>
          <w:ilvl w:val="0"/>
          <w:numId w:val="25"/>
        </w:numPr>
        <w:spacing w:after="160" w:line="259" w:lineRule="auto"/>
        <w:contextualSpacing/>
        <w:rPr>
          <w:rFonts w:ascii="Calibri" w:eastAsia="Calibri" w:hAnsi="Calibri"/>
        </w:rPr>
      </w:pPr>
      <w:r w:rsidRPr="00C8475B">
        <w:rPr>
          <w:rFonts w:ascii="Calibri" w:eastAsia="Calibri" w:hAnsi="Calibri"/>
        </w:rPr>
        <w:t>Outreach services to clients</w:t>
      </w:r>
    </w:p>
    <w:p w14:paraId="13B644D1" w14:textId="7F8CE669" w:rsidR="00674542" w:rsidRPr="002F2B4C" w:rsidRDefault="00674542" w:rsidP="00674542">
      <w:pPr>
        <w:numPr>
          <w:ilvl w:val="0"/>
          <w:numId w:val="25"/>
        </w:numPr>
        <w:spacing w:after="160" w:line="259" w:lineRule="auto"/>
        <w:contextualSpacing/>
        <w:rPr>
          <w:rFonts w:ascii="Calibri" w:eastAsia="Calibri" w:hAnsi="Calibri"/>
        </w:rPr>
      </w:pPr>
      <w:r w:rsidRPr="002F2B4C">
        <w:rPr>
          <w:rFonts w:ascii="Calibri" w:eastAsia="Calibri" w:hAnsi="Calibri"/>
        </w:rPr>
        <w:t>Support services for young people including young people in juvenile detention.</w:t>
      </w:r>
    </w:p>
    <w:p w14:paraId="527ABEF2" w14:textId="77777777" w:rsidR="00674542" w:rsidRPr="00C8475B" w:rsidRDefault="00674542" w:rsidP="00674542">
      <w:pPr>
        <w:numPr>
          <w:ilvl w:val="0"/>
          <w:numId w:val="25"/>
        </w:numPr>
        <w:spacing w:after="160" w:line="259" w:lineRule="auto"/>
        <w:contextualSpacing/>
        <w:rPr>
          <w:rFonts w:ascii="Calibri" w:eastAsia="Calibri" w:hAnsi="Calibri"/>
        </w:rPr>
      </w:pPr>
      <w:r w:rsidRPr="00C8475B">
        <w:rPr>
          <w:rFonts w:ascii="Calibri" w:eastAsia="Calibri" w:hAnsi="Calibri"/>
        </w:rPr>
        <w:t>Family support and antenatal care through the Australian Nurse Family Partnership Program and Midwife collaborative model of care.</w:t>
      </w:r>
    </w:p>
    <w:p w14:paraId="79D840A5" w14:textId="77777777" w:rsidR="002B74CF" w:rsidRPr="002B74CF" w:rsidRDefault="002B74CF" w:rsidP="002B74CF"/>
    <w:p w14:paraId="159B4207" w14:textId="51D094B6" w:rsidR="00B17602" w:rsidRDefault="00674542" w:rsidP="00BE49AA">
      <w:pPr>
        <w:pStyle w:val="Heading1"/>
      </w:pPr>
      <w:bookmarkStart w:id="4" w:name="_Toc48554765"/>
      <w:r>
        <w:t>Overarching Comments</w:t>
      </w:r>
      <w:bookmarkEnd w:id="4"/>
    </w:p>
    <w:p w14:paraId="3A0FE3B3" w14:textId="1FD8315C" w:rsidR="00BE0831" w:rsidRDefault="00BE0831" w:rsidP="00475420">
      <w:r>
        <w:t xml:space="preserve">DDHS notes and supports several key aspects </w:t>
      </w:r>
      <w:r w:rsidR="003122E2">
        <w:t xml:space="preserve">and intentions </w:t>
      </w:r>
      <w:r>
        <w:t>of the draft IES</w:t>
      </w:r>
      <w:r w:rsidR="00D00726">
        <w:t>, specifically:</w:t>
      </w:r>
    </w:p>
    <w:p w14:paraId="247414B1" w14:textId="4D9AA80F" w:rsidR="00026E2B" w:rsidRPr="00026E2B" w:rsidRDefault="00D00726" w:rsidP="004C1338">
      <w:pPr>
        <w:pStyle w:val="ListParagraph"/>
        <w:numPr>
          <w:ilvl w:val="0"/>
          <w:numId w:val="28"/>
        </w:numPr>
        <w:spacing w:after="0"/>
      </w:pPr>
      <w:r>
        <w:t>The central principle of “</w:t>
      </w:r>
      <w:bookmarkStart w:id="5" w:name="_Hlk48038396"/>
      <w:r w:rsidRPr="004C1338">
        <w:rPr>
          <w:i/>
          <w:iCs/>
        </w:rPr>
        <w:t>Centring Aboriginal and Torres Strait Islander people, perspectives, priorities and knowledges</w:t>
      </w:r>
      <w:bookmarkEnd w:id="5"/>
      <w:r w:rsidRPr="004C1338">
        <w:rPr>
          <w:i/>
          <w:iCs/>
        </w:rPr>
        <w:t>”</w:t>
      </w:r>
    </w:p>
    <w:p w14:paraId="7DD84303" w14:textId="78A784B2" w:rsidR="00026E2B" w:rsidRDefault="00026E2B" w:rsidP="004C1338">
      <w:pPr>
        <w:pStyle w:val="ListParagraph"/>
        <w:numPr>
          <w:ilvl w:val="0"/>
          <w:numId w:val="28"/>
        </w:numPr>
        <w:spacing w:after="0"/>
      </w:pPr>
      <w:r>
        <w:t>The incorporation of evaluation across the policy and program cycle</w:t>
      </w:r>
    </w:p>
    <w:p w14:paraId="2A8918C6" w14:textId="4D0C20B7" w:rsidR="00552238" w:rsidRDefault="00026E2B" w:rsidP="004C1338">
      <w:pPr>
        <w:pStyle w:val="ListParagraph"/>
        <w:numPr>
          <w:ilvl w:val="0"/>
          <w:numId w:val="28"/>
        </w:numPr>
        <w:spacing w:after="0" w:line="259" w:lineRule="auto"/>
        <w:contextualSpacing/>
      </w:pPr>
      <w:r>
        <w:t>The inclusion of mainstream programs/policies under the IES</w:t>
      </w:r>
    </w:p>
    <w:p w14:paraId="62AC9870" w14:textId="58263A2C" w:rsidR="00026E2B" w:rsidRDefault="00552238" w:rsidP="004C1338">
      <w:pPr>
        <w:pStyle w:val="ListParagraph"/>
        <w:numPr>
          <w:ilvl w:val="0"/>
          <w:numId w:val="28"/>
        </w:numPr>
        <w:spacing w:after="0" w:line="259" w:lineRule="auto"/>
        <w:contextualSpacing/>
      </w:pPr>
      <w:r>
        <w:t xml:space="preserve">The </w:t>
      </w:r>
      <w:r w:rsidR="00197CA1">
        <w:t>principles – credible, useful, ethical and transparent</w:t>
      </w:r>
    </w:p>
    <w:p w14:paraId="1260ECD0" w14:textId="671F7F70" w:rsidR="00026E2B" w:rsidRDefault="009800A3" w:rsidP="004C1338">
      <w:pPr>
        <w:pStyle w:val="ListParagraph"/>
        <w:numPr>
          <w:ilvl w:val="0"/>
          <w:numId w:val="28"/>
        </w:numPr>
        <w:spacing w:after="0" w:line="259" w:lineRule="auto"/>
        <w:contextualSpacing/>
      </w:pPr>
      <w:r>
        <w:t>The provision of g</w:t>
      </w:r>
      <w:r w:rsidR="00026E2B">
        <w:t>uidance on types of evaluation, when and for what they are suitable</w:t>
      </w:r>
    </w:p>
    <w:p w14:paraId="1AF2B852" w14:textId="2D3042E5" w:rsidR="00026E2B" w:rsidRDefault="009800A3" w:rsidP="009800A3">
      <w:pPr>
        <w:pStyle w:val="ListParagraph"/>
        <w:numPr>
          <w:ilvl w:val="0"/>
          <w:numId w:val="26"/>
        </w:numPr>
        <w:spacing w:after="160" w:line="259" w:lineRule="auto"/>
        <w:contextualSpacing/>
      </w:pPr>
      <w:r>
        <w:t>The commitment to and focus on b</w:t>
      </w:r>
      <w:r w:rsidR="00026E2B">
        <w:t>uilding capability and culture of evaluation.</w:t>
      </w:r>
    </w:p>
    <w:p w14:paraId="0B4C6085" w14:textId="77777777" w:rsidR="00BE0831" w:rsidRDefault="00BE0831" w:rsidP="00475420"/>
    <w:p w14:paraId="5DC07B66" w14:textId="066655CE" w:rsidR="00D31940" w:rsidRDefault="009800A3" w:rsidP="00475420">
      <w:r>
        <w:lastRenderedPageBreak/>
        <w:t>However</w:t>
      </w:r>
      <w:r w:rsidR="003F2D24">
        <w:t>, Danila Dilba finds the draft IES</w:t>
      </w:r>
      <w:r w:rsidR="000F3B3B">
        <w:t xml:space="preserve"> lacks a genuine reflection of Aboriginal and Torres Strait Islander leadership and participation in the whole of the evaluation process.</w:t>
      </w:r>
      <w:r w:rsidR="00AA2A53">
        <w:t xml:space="preserve">  This lack is also reflected in the Guide which provides little </w:t>
      </w:r>
      <w:r w:rsidR="00DC2199">
        <w:t>to compel</w:t>
      </w:r>
      <w:r w:rsidR="00AA2A53" w:rsidRPr="00962EC2">
        <w:t xml:space="preserve"> </w:t>
      </w:r>
      <w:r w:rsidR="00DF2911" w:rsidRPr="00962EC2">
        <w:t>agencies</w:t>
      </w:r>
      <w:r w:rsidR="00DF2911">
        <w:t xml:space="preserve"> to engage meaningfully in the stages of the evaluation process. </w:t>
      </w:r>
      <w:r w:rsidR="000B6F9D">
        <w:t xml:space="preserve"> </w:t>
      </w:r>
      <w:r w:rsidR="00C97837">
        <w:t xml:space="preserve"> Despite an overarching principle stated as: </w:t>
      </w:r>
      <w:r w:rsidR="00475420" w:rsidRPr="00475420">
        <w:rPr>
          <w:i/>
          <w:iCs/>
        </w:rPr>
        <w:t>centring Aboriginal and Torres Strait Islander people, perspectives,</w:t>
      </w:r>
      <w:r w:rsidR="00475420">
        <w:rPr>
          <w:i/>
          <w:iCs/>
        </w:rPr>
        <w:t xml:space="preserve"> </w:t>
      </w:r>
      <w:r w:rsidR="00475420" w:rsidRPr="00475420">
        <w:rPr>
          <w:i/>
          <w:iCs/>
        </w:rPr>
        <w:t>priorities and knowledges</w:t>
      </w:r>
      <w:r w:rsidR="00475420">
        <w:t xml:space="preserve"> </w:t>
      </w:r>
      <w:r w:rsidR="00DE1AA0">
        <w:t xml:space="preserve">the draft Strategy does not reflect such centring </w:t>
      </w:r>
      <w:r w:rsidR="00CE6201">
        <w:t xml:space="preserve">in its detail or in the </w:t>
      </w:r>
      <w:r w:rsidR="00D31940">
        <w:t>G</w:t>
      </w:r>
      <w:r w:rsidR="00CE6201">
        <w:t>uide</w:t>
      </w:r>
      <w:r w:rsidR="00475420">
        <w:t xml:space="preserve">. </w:t>
      </w:r>
      <w:r w:rsidR="000C429F">
        <w:t xml:space="preserve"> </w:t>
      </w:r>
      <w:r w:rsidR="00667F73">
        <w:t xml:space="preserve">While the draft Strategy describes this principle as being </w:t>
      </w:r>
      <w:r w:rsidR="000C429F">
        <w:t>about recognising the strengths of Aboriginal and Torres Strait Islander people, communities, knowledges and cultures</w:t>
      </w:r>
      <w:r w:rsidR="00667F73">
        <w:t xml:space="preserve"> and </w:t>
      </w:r>
      <w:r w:rsidR="000C429F">
        <w:t xml:space="preserve">building genuine partnerships </w:t>
      </w:r>
      <w:r w:rsidR="00D50E1D">
        <w:t xml:space="preserve">to </w:t>
      </w:r>
      <w:r w:rsidR="000C429F">
        <w:t>define policy and program outcomes, decide on evaluation questions, evaluation</w:t>
      </w:r>
      <w:r w:rsidR="00D50E1D">
        <w:t xml:space="preserve"> </w:t>
      </w:r>
      <w:r w:rsidR="00D31940">
        <w:t>methods</w:t>
      </w:r>
      <w:r w:rsidR="00D50E1D">
        <w:t xml:space="preserve"> and interpretation, the detailed content of the Strategy and Guide do </w:t>
      </w:r>
      <w:r w:rsidR="00D31940">
        <w:t xml:space="preserve">not take this description forward. </w:t>
      </w:r>
      <w:r w:rsidR="00E621A0">
        <w:t xml:space="preserve"> </w:t>
      </w:r>
    </w:p>
    <w:p w14:paraId="7EA6A912" w14:textId="22EC89D2" w:rsidR="0067666D" w:rsidRDefault="0067666D" w:rsidP="0067666D">
      <w:pPr>
        <w:pStyle w:val="Heading1"/>
      </w:pPr>
      <w:bookmarkStart w:id="6" w:name="_Toc48554766"/>
      <w:r>
        <w:t>Specific Issues and Comments</w:t>
      </w:r>
      <w:bookmarkEnd w:id="6"/>
    </w:p>
    <w:p w14:paraId="623B9D46" w14:textId="77777777" w:rsidR="00131DA3" w:rsidRPr="00131DA3" w:rsidRDefault="00131DA3" w:rsidP="00131DA3">
      <w:pPr>
        <w:pStyle w:val="Heading2"/>
      </w:pPr>
      <w:bookmarkStart w:id="7" w:name="_Toc48554767"/>
      <w:r w:rsidRPr="00131DA3">
        <w:t>A Rights Based Approach</w:t>
      </w:r>
      <w:bookmarkEnd w:id="7"/>
    </w:p>
    <w:p w14:paraId="240D77F3" w14:textId="177E03D9" w:rsidR="00131DA3" w:rsidRPr="00131DA3" w:rsidRDefault="00131DA3" w:rsidP="00131DA3">
      <w:r w:rsidRPr="00131DA3">
        <w:t xml:space="preserve">The most fundamental point is that the strategy should be grounded in a human rights based approach, particularly reflecting Article 3 of the UN Declaration on Rights of Indigenous Peoples.  Self determination must be at the very foundations of policies and programs relevant to Aboriginal and Torres Strait Islander people. Embedding the principle of self-determination in the strategy and guide for evaluation is, while only a starting point, a very important step in achieving </w:t>
      </w:r>
      <w:r w:rsidRPr="004469D8">
        <w:t>self determination</w:t>
      </w:r>
      <w:r w:rsidRPr="00131DA3">
        <w:t>.  The draft strategy does not reflect a recognition of and commitment to a rights based approach or an aim of self determination.  In reviewing the draft</w:t>
      </w:r>
      <w:r>
        <w:t xml:space="preserve"> as suggested below</w:t>
      </w:r>
      <w:r w:rsidRPr="00131DA3">
        <w:t xml:space="preserve">, rights must be the starting point. </w:t>
      </w:r>
    </w:p>
    <w:p w14:paraId="732FD9FF" w14:textId="77777777" w:rsidR="00131DA3" w:rsidRDefault="00131DA3" w:rsidP="00C14503">
      <w:pPr>
        <w:pStyle w:val="Heading2"/>
      </w:pPr>
    </w:p>
    <w:p w14:paraId="177258FD" w14:textId="70366E3C" w:rsidR="00C14503" w:rsidRDefault="00C14503" w:rsidP="00C14503">
      <w:pPr>
        <w:pStyle w:val="Heading2"/>
      </w:pPr>
      <w:bookmarkStart w:id="8" w:name="_Toc48554768"/>
      <w:r w:rsidRPr="00C14503">
        <w:t>Centring Aboriginal and Torres Strait Islander people, perspectives, priorities and knowledges</w:t>
      </w:r>
      <w:bookmarkEnd w:id="8"/>
    </w:p>
    <w:p w14:paraId="326AEB99" w14:textId="77777777" w:rsidR="005B52F3" w:rsidRDefault="003500B8" w:rsidP="003500B8">
      <w:r>
        <w:t xml:space="preserve">In our view, the Strategy does not successfully translate this principle into action and the entire strategy should be reviewed to truly implement </w:t>
      </w:r>
      <w:r w:rsidR="005B52F3">
        <w:t xml:space="preserve">this important principle.  This submission will not provide detailed comment on the content of the draft Strategy but will simply highlight some examples to illustrate our concerns.  </w:t>
      </w:r>
    </w:p>
    <w:p w14:paraId="745D598B" w14:textId="77777777" w:rsidR="00C0105C" w:rsidRDefault="00742304" w:rsidP="003500B8">
      <w:r>
        <w:t xml:space="preserve">More important than a discussion of the detail of the Strategy and the Guide is the underlying </w:t>
      </w:r>
      <w:r w:rsidR="0083248D">
        <w:t>philosophies and principles that should guide the Strategy and should be fu</w:t>
      </w:r>
      <w:r w:rsidR="009321CF">
        <w:t xml:space="preserve">ndamental to the review we are proposing. </w:t>
      </w:r>
    </w:p>
    <w:p w14:paraId="1D633996" w14:textId="5DA506C0" w:rsidR="005B52F3" w:rsidRDefault="00C0105C" w:rsidP="003500B8">
      <w:r>
        <w:t>Despite the extensive consultations undertaken in the development of the draft strategy</w:t>
      </w:r>
      <w:r w:rsidR="00C93CB0">
        <w:t xml:space="preserve"> and the detailed background paper, the strategy does not effectively capture the strong desire of the Aboriginal organisations and individuals who engaged with the Commission to be </w:t>
      </w:r>
      <w:r w:rsidR="00117AEB">
        <w:t>equal partners in the important work of evaluation</w:t>
      </w:r>
      <w:r w:rsidR="00D6230E">
        <w:t xml:space="preserve">.  It is the essence of self-determination and human rights to </w:t>
      </w:r>
      <w:r w:rsidR="00F00F74">
        <w:t xml:space="preserve">be heard as equal partners in the design, implementation and review of </w:t>
      </w:r>
      <w:r w:rsidR="00C7578D">
        <w:t xml:space="preserve">the policies and programs that impact both positively and negatively </w:t>
      </w:r>
      <w:r w:rsidR="00431D20">
        <w:t xml:space="preserve">on the daily lives of Aboriginal and Torres Strait islander peoples. </w:t>
      </w:r>
      <w:r w:rsidR="009321CF">
        <w:t xml:space="preserve"> </w:t>
      </w:r>
      <w:r w:rsidR="001707C5">
        <w:t xml:space="preserve">The Coalition of Peaks has undertaken extensive work over a long period with government to develop the detail of </w:t>
      </w:r>
      <w:r w:rsidR="006C5D1D">
        <w:t xml:space="preserve">ways of working in partnership.  DDHS suggests that the Productivity Commission engage with the Coalition to review the </w:t>
      </w:r>
      <w:r w:rsidR="00166501">
        <w:t xml:space="preserve">draft Strategy and Guide learning from the work already done and reflected in the National Agreement on Closing the Gap.  </w:t>
      </w:r>
    </w:p>
    <w:p w14:paraId="1F00E1E6" w14:textId="03C8690A" w:rsidR="00143E74" w:rsidRDefault="00131DA3" w:rsidP="003500B8">
      <w:r>
        <w:t xml:space="preserve">In addition to a rights based approach, </w:t>
      </w:r>
      <w:r w:rsidR="00143E74">
        <w:t xml:space="preserve">DDHS suggests </w:t>
      </w:r>
      <w:r>
        <w:t xml:space="preserve">two </w:t>
      </w:r>
      <w:r w:rsidR="00143E74">
        <w:t xml:space="preserve">key </w:t>
      </w:r>
      <w:r w:rsidR="004B6D59">
        <w:t xml:space="preserve">areas of consideration for this review and its conduct. </w:t>
      </w:r>
    </w:p>
    <w:p w14:paraId="7DE69B6F" w14:textId="2518C143" w:rsidR="00F3327A" w:rsidRPr="009F4E93" w:rsidRDefault="009F4E93" w:rsidP="003500B8">
      <w:pPr>
        <w:rPr>
          <w:b/>
          <w:bCs/>
          <w:i/>
          <w:iCs/>
        </w:rPr>
      </w:pPr>
      <w:r>
        <w:rPr>
          <w:b/>
          <w:bCs/>
          <w:i/>
          <w:iCs/>
        </w:rPr>
        <w:lastRenderedPageBreak/>
        <w:t>The National Agreement on Closing the Gap</w:t>
      </w:r>
    </w:p>
    <w:p w14:paraId="6FE1C98F" w14:textId="2E8D9FAC" w:rsidR="00CE5210" w:rsidRDefault="00DA157A" w:rsidP="00CE5210">
      <w:r>
        <w:t>The recent</w:t>
      </w:r>
      <w:r w:rsidR="00CE5210">
        <w:t>ly finalised National Agreement on Closing the Gap</w:t>
      </w:r>
      <w:r w:rsidR="007A78DC">
        <w:t xml:space="preserve"> </w:t>
      </w:r>
      <w:r w:rsidR="008229D1">
        <w:rPr>
          <w:rStyle w:val="FootnoteReference"/>
        </w:rPr>
        <w:footnoteReference w:id="2"/>
      </w:r>
      <w:r w:rsidR="00CE5210">
        <w:t xml:space="preserve">, </w:t>
      </w:r>
      <w:r w:rsidR="00121322">
        <w:t xml:space="preserve">particularly </w:t>
      </w:r>
      <w:r w:rsidR="00CE5210">
        <w:t xml:space="preserve">Priority Reform One – Formal Partnerships And Shared Decision-Making </w:t>
      </w:r>
      <w:r w:rsidR="00121322">
        <w:t xml:space="preserve">provides practical </w:t>
      </w:r>
      <w:r w:rsidR="009F4E93">
        <w:t xml:space="preserve">and principles based </w:t>
      </w:r>
      <w:r w:rsidR="00121322">
        <w:t xml:space="preserve">direction that would guide this review of the draft strategy.  </w:t>
      </w:r>
      <w:r w:rsidR="00166501">
        <w:t xml:space="preserve">The strategy, and importantly the Guide must </w:t>
      </w:r>
      <w:r w:rsidR="00B569BE">
        <w:t xml:space="preserve">now reflect the principles and commitments of this overarching commitment to genuine partnership. </w:t>
      </w:r>
    </w:p>
    <w:p w14:paraId="0A3366D9" w14:textId="1CAE99EC" w:rsidR="00B569BE" w:rsidRDefault="00B569BE" w:rsidP="00CE5210">
      <w:r>
        <w:t xml:space="preserve">The National Agreement </w:t>
      </w:r>
      <w:r w:rsidR="00077653">
        <w:t xml:space="preserve">is </w:t>
      </w:r>
      <w:r>
        <w:t xml:space="preserve">relevant to all aspects of the </w:t>
      </w:r>
      <w:r w:rsidR="00DB4692">
        <w:t xml:space="preserve">strategy and guide and is particularly pertinent to the proposed </w:t>
      </w:r>
      <w:r w:rsidR="002B14E8">
        <w:t xml:space="preserve">Office of Indigenous Policy Evaluation and Indigenous Governance Council.  </w:t>
      </w:r>
      <w:r w:rsidR="00734227">
        <w:t xml:space="preserve">The National Agreement should provide the basis for formation, role and operation of </w:t>
      </w:r>
      <w:r w:rsidR="0065212B">
        <w:t xml:space="preserve">the OIPE and especially for the formation of the Indigenous Governance Council.  In this context, the Coalition of Peaks, in its own words, was formed as an act of self </w:t>
      </w:r>
      <w:r w:rsidR="00FA5976">
        <w:t>determination</w:t>
      </w:r>
      <w:r w:rsidR="00CF241D">
        <w:t xml:space="preserve">, </w:t>
      </w:r>
      <w:r w:rsidR="00CF241D" w:rsidRPr="00CF241D">
        <w:t>accountable to communities</w:t>
      </w:r>
      <w:r w:rsidR="009E15D1">
        <w:t xml:space="preserve"> and is </w:t>
      </w:r>
      <w:r w:rsidR="00CF241D" w:rsidRPr="00CF241D">
        <w:t xml:space="preserve">working to </w:t>
      </w:r>
      <w:r w:rsidR="00131DA3" w:rsidRPr="00131DA3">
        <w:t xml:space="preserve">maximise participation and decision-making by </w:t>
      </w:r>
      <w:r w:rsidR="00CF241D" w:rsidRPr="00CF241D">
        <w:t>Aboriginal and Torres Strait Islander peoples in shared decision-making with Australian governments</w:t>
      </w:r>
      <w:r w:rsidR="004B6D59">
        <w:t xml:space="preserve"> </w:t>
      </w:r>
      <w:r w:rsidR="004B6D59">
        <w:rPr>
          <w:rStyle w:val="FootnoteReference"/>
        </w:rPr>
        <w:footnoteReference w:id="3"/>
      </w:r>
      <w:r w:rsidR="009E15D1">
        <w:t xml:space="preserve">.  The mechanism to engage and </w:t>
      </w:r>
      <w:r w:rsidR="00143E74">
        <w:t xml:space="preserve">ensure accountability at the national level in the context of the evaluation strategy already exists and the Commission should immediately engage with the Coalition in responding to issues raised by Aboriginal and Torres Strait Islander stakeholders regarding this strategy and the need for it to be further reviewed. </w:t>
      </w:r>
    </w:p>
    <w:p w14:paraId="5072C2B9" w14:textId="538FEA33" w:rsidR="00143E74" w:rsidRDefault="00F30B4B" w:rsidP="00CE5210">
      <w:pPr>
        <w:rPr>
          <w:b/>
          <w:bCs/>
          <w:i/>
          <w:iCs/>
        </w:rPr>
      </w:pPr>
      <w:r>
        <w:rPr>
          <w:b/>
          <w:bCs/>
          <w:i/>
          <w:iCs/>
        </w:rPr>
        <w:t>A capacity development approach</w:t>
      </w:r>
    </w:p>
    <w:p w14:paraId="5FFC134F" w14:textId="77777777" w:rsidR="00036F26" w:rsidRDefault="00F30B4B" w:rsidP="00036F26">
      <w:r>
        <w:t xml:space="preserve">There is an enormous body of work both nationally and internationally that </w:t>
      </w:r>
      <w:r w:rsidR="000F1B43">
        <w:t xml:space="preserve">articulates and demonstrates the importance of a community development </w:t>
      </w:r>
      <w:r w:rsidR="00BD4C28">
        <w:t xml:space="preserve">or capacity development </w:t>
      </w:r>
      <w:r w:rsidR="000F1B43">
        <w:t xml:space="preserve">approach in all aspects of program and policy development and implementation that impacts on the lives of Indigenous peoples.  </w:t>
      </w:r>
      <w:r w:rsidR="0030714A">
        <w:t>The current draft strategy reads as very government centric and the guidance given to agencies in the guide</w:t>
      </w:r>
      <w:r w:rsidR="00214D05">
        <w:t xml:space="preserve"> neglects the opportunities of working with Aboriginal and Torres Strait </w:t>
      </w:r>
      <w:r w:rsidR="00E87DA1">
        <w:t>Islander</w:t>
      </w:r>
      <w:r w:rsidR="00214D05">
        <w:t xml:space="preserve"> </w:t>
      </w:r>
      <w:r w:rsidR="00E87DA1">
        <w:t>people</w:t>
      </w:r>
      <w:r w:rsidR="00214D05">
        <w:t xml:space="preserve"> and communities </w:t>
      </w:r>
      <w:r w:rsidR="00E87DA1">
        <w:t xml:space="preserve">in line with the well developed approaches of community development and the Australian evidence of what works in programs and policies designed to </w:t>
      </w:r>
      <w:r w:rsidR="00CE3E83">
        <w:t xml:space="preserve">deliver for Aboriginal and Torres Strait Islander people. </w:t>
      </w:r>
    </w:p>
    <w:p w14:paraId="2145FD53" w14:textId="77777777" w:rsidR="006C4FE3" w:rsidRPr="00132A47" w:rsidRDefault="00B47EFA" w:rsidP="00132A47">
      <w:pPr>
        <w:spacing w:after="0"/>
        <w:rPr>
          <w:rFonts w:cstheme="minorHAnsi"/>
        </w:rPr>
      </w:pPr>
      <w:r>
        <w:t>DDHS recommends as a starting point in reviewing the strategy, the United Nations Development Program (UNDP</w:t>
      </w:r>
      <w:r w:rsidRPr="006A3339">
        <w:rPr>
          <w:rFonts w:cstheme="minorHAnsi"/>
        </w:rPr>
        <w:t>)</w:t>
      </w:r>
      <w:r w:rsidR="006A3339" w:rsidRPr="006A3339">
        <w:rPr>
          <w:rFonts w:cstheme="minorHAnsi"/>
        </w:rPr>
        <w:t xml:space="preserve"> </w:t>
      </w:r>
      <w:r w:rsidR="00036F26" w:rsidRPr="006A3339">
        <w:rPr>
          <w:rFonts w:cstheme="minorHAnsi"/>
        </w:rPr>
        <w:t>10 Default Positions</w:t>
      </w:r>
      <w:r w:rsidR="006A3339">
        <w:rPr>
          <w:rFonts w:cstheme="minorHAnsi"/>
        </w:rPr>
        <w:t xml:space="preserve"> </w:t>
      </w:r>
      <w:r w:rsidR="00036F26" w:rsidRPr="006A3339">
        <w:rPr>
          <w:rFonts w:cstheme="minorHAnsi"/>
        </w:rPr>
        <w:t>for Capacity Development</w:t>
      </w:r>
      <w:r w:rsidR="00785F66">
        <w:rPr>
          <w:rFonts w:cstheme="minorHAnsi"/>
        </w:rPr>
        <w:t xml:space="preserve"> which, while designed to guide international development activities, have equal relevance to capacity development and the centring of Aboriginal voices and knowledge within a colonised country and system.  The </w:t>
      </w:r>
      <w:r w:rsidR="006C4FE3">
        <w:rPr>
          <w:rFonts w:cstheme="minorHAnsi"/>
        </w:rPr>
        <w:t>default positions proposed by the UNDP are:</w:t>
      </w:r>
    </w:p>
    <w:p w14:paraId="48278A4B" w14:textId="77777777" w:rsidR="006C4FE3" w:rsidRPr="00132A47" w:rsidRDefault="00036F26" w:rsidP="00132A47">
      <w:pPr>
        <w:pStyle w:val="ListParagraph"/>
        <w:numPr>
          <w:ilvl w:val="0"/>
          <w:numId w:val="29"/>
        </w:numPr>
        <w:spacing w:after="0"/>
        <w:rPr>
          <w:rFonts w:cstheme="minorHAnsi"/>
        </w:rPr>
      </w:pPr>
      <w:r w:rsidRPr="00132A47">
        <w:rPr>
          <w:rFonts w:cstheme="minorHAnsi"/>
          <w:bCs/>
        </w:rPr>
        <w:t>Don’t rush.</w:t>
      </w:r>
    </w:p>
    <w:p w14:paraId="4B008309" w14:textId="77777777" w:rsidR="006C4FE3" w:rsidRPr="00132A47" w:rsidRDefault="00036F26" w:rsidP="00132A47">
      <w:pPr>
        <w:pStyle w:val="ListParagraph"/>
        <w:numPr>
          <w:ilvl w:val="0"/>
          <w:numId w:val="29"/>
        </w:numPr>
        <w:spacing w:after="0"/>
        <w:rPr>
          <w:rFonts w:cstheme="minorHAnsi"/>
        </w:rPr>
      </w:pPr>
      <w:r w:rsidRPr="00132A47">
        <w:rPr>
          <w:rFonts w:cstheme="minorHAnsi"/>
          <w:bCs/>
        </w:rPr>
        <w:t xml:space="preserve">Respect the value system and foster self-esteem. </w:t>
      </w:r>
    </w:p>
    <w:p w14:paraId="520C014F" w14:textId="77777777" w:rsidR="006C4FE3" w:rsidRPr="00132A47" w:rsidRDefault="00036F26" w:rsidP="00132A47">
      <w:pPr>
        <w:pStyle w:val="ListParagraph"/>
        <w:numPr>
          <w:ilvl w:val="0"/>
          <w:numId w:val="29"/>
        </w:numPr>
        <w:spacing w:after="0"/>
        <w:rPr>
          <w:rFonts w:cstheme="minorHAnsi"/>
        </w:rPr>
      </w:pPr>
      <w:r w:rsidRPr="00132A47">
        <w:rPr>
          <w:rFonts w:cstheme="minorHAnsi"/>
          <w:bCs/>
        </w:rPr>
        <w:t xml:space="preserve">Scan locally and globally; reinvent locally. </w:t>
      </w:r>
    </w:p>
    <w:p w14:paraId="6B335871" w14:textId="77777777" w:rsidR="006C4FE3" w:rsidRPr="00132A47" w:rsidRDefault="00036F26" w:rsidP="00132A47">
      <w:pPr>
        <w:pStyle w:val="ListParagraph"/>
        <w:numPr>
          <w:ilvl w:val="0"/>
          <w:numId w:val="29"/>
        </w:numPr>
        <w:spacing w:after="0"/>
        <w:rPr>
          <w:rFonts w:cstheme="minorHAnsi"/>
        </w:rPr>
      </w:pPr>
      <w:r w:rsidRPr="00132A47">
        <w:rPr>
          <w:rFonts w:cstheme="minorHAnsi"/>
          <w:bCs/>
        </w:rPr>
        <w:t xml:space="preserve">Challenge mindsets and power differentials. </w:t>
      </w:r>
    </w:p>
    <w:p w14:paraId="5455E94B" w14:textId="77777777" w:rsidR="006C4FE3" w:rsidRPr="00132A47" w:rsidRDefault="00036F26" w:rsidP="00132A47">
      <w:pPr>
        <w:pStyle w:val="ListParagraph"/>
        <w:numPr>
          <w:ilvl w:val="0"/>
          <w:numId w:val="29"/>
        </w:numPr>
        <w:spacing w:after="0"/>
        <w:rPr>
          <w:rFonts w:cstheme="minorHAnsi"/>
        </w:rPr>
      </w:pPr>
      <w:r w:rsidRPr="00132A47">
        <w:rPr>
          <w:rFonts w:cstheme="minorHAnsi"/>
          <w:bCs/>
        </w:rPr>
        <w:t xml:space="preserve">Think and act in terms of sustainable capacity outcomes. </w:t>
      </w:r>
    </w:p>
    <w:p w14:paraId="320007A4" w14:textId="77777777" w:rsidR="006C4FE3" w:rsidRPr="00132A47" w:rsidRDefault="00036F26" w:rsidP="00132A47">
      <w:pPr>
        <w:pStyle w:val="ListParagraph"/>
        <w:numPr>
          <w:ilvl w:val="0"/>
          <w:numId w:val="29"/>
        </w:numPr>
        <w:spacing w:after="0"/>
        <w:rPr>
          <w:rFonts w:cstheme="minorHAnsi"/>
        </w:rPr>
      </w:pPr>
      <w:r w:rsidRPr="00132A47">
        <w:rPr>
          <w:rFonts w:cstheme="minorHAnsi"/>
          <w:bCs/>
        </w:rPr>
        <w:t xml:space="preserve">Establish positive incentives. </w:t>
      </w:r>
    </w:p>
    <w:p w14:paraId="54B6E4CF" w14:textId="77777777" w:rsidR="006C4FE3" w:rsidRPr="00132A47" w:rsidRDefault="00036F26" w:rsidP="00132A47">
      <w:pPr>
        <w:pStyle w:val="ListParagraph"/>
        <w:numPr>
          <w:ilvl w:val="0"/>
          <w:numId w:val="29"/>
        </w:numPr>
        <w:spacing w:after="0"/>
        <w:rPr>
          <w:rFonts w:cstheme="minorHAnsi"/>
        </w:rPr>
      </w:pPr>
      <w:r w:rsidRPr="00132A47">
        <w:rPr>
          <w:rFonts w:cstheme="minorHAnsi"/>
          <w:bCs/>
        </w:rPr>
        <w:t>Integrate external inputs into national priorities, processes and systems.</w:t>
      </w:r>
    </w:p>
    <w:p w14:paraId="0A8D4B9F" w14:textId="77777777" w:rsidR="006C4FE3" w:rsidRPr="00132A47" w:rsidRDefault="00036F26" w:rsidP="00132A47">
      <w:pPr>
        <w:pStyle w:val="ListParagraph"/>
        <w:numPr>
          <w:ilvl w:val="0"/>
          <w:numId w:val="29"/>
        </w:numPr>
        <w:spacing w:after="0"/>
        <w:rPr>
          <w:rFonts w:cstheme="minorHAnsi"/>
        </w:rPr>
      </w:pPr>
      <w:r w:rsidRPr="00132A47">
        <w:rPr>
          <w:rFonts w:cstheme="minorHAnsi"/>
          <w:bCs/>
        </w:rPr>
        <w:t>Build on existing capacities rather than creating</w:t>
      </w:r>
      <w:r w:rsidRPr="00132A47">
        <w:rPr>
          <w:rFonts w:cstheme="minorHAnsi"/>
          <w:bCs/>
        </w:rPr>
        <w:br/>
        <w:t xml:space="preserve">new ones. </w:t>
      </w:r>
    </w:p>
    <w:p w14:paraId="52FE5B44" w14:textId="77777777" w:rsidR="006C4FE3" w:rsidRPr="00132A47" w:rsidRDefault="00036F26" w:rsidP="00132A47">
      <w:pPr>
        <w:pStyle w:val="ListParagraph"/>
        <w:numPr>
          <w:ilvl w:val="0"/>
          <w:numId w:val="29"/>
        </w:numPr>
        <w:spacing w:after="0"/>
        <w:rPr>
          <w:rFonts w:cstheme="minorHAnsi"/>
        </w:rPr>
      </w:pPr>
      <w:r w:rsidRPr="00132A47">
        <w:rPr>
          <w:rFonts w:cstheme="minorHAnsi"/>
          <w:bCs/>
        </w:rPr>
        <w:lastRenderedPageBreak/>
        <w:t xml:space="preserve">Stay engaged under difficult circumstances. </w:t>
      </w:r>
    </w:p>
    <w:p w14:paraId="0537326F" w14:textId="1DF12C1E" w:rsidR="00036F26" w:rsidRPr="00132A47" w:rsidRDefault="00036F26" w:rsidP="00132A47">
      <w:pPr>
        <w:pStyle w:val="ListParagraph"/>
        <w:numPr>
          <w:ilvl w:val="0"/>
          <w:numId w:val="29"/>
        </w:numPr>
        <w:spacing w:after="0"/>
        <w:rPr>
          <w:rFonts w:cstheme="minorHAnsi"/>
        </w:rPr>
      </w:pPr>
      <w:r w:rsidRPr="00132A47">
        <w:rPr>
          <w:rFonts w:cstheme="minorHAnsi"/>
          <w:bCs/>
        </w:rPr>
        <w:t xml:space="preserve">Remain accountable to ultimate beneficiaries. </w:t>
      </w:r>
      <w:r w:rsidR="00132A47" w:rsidRPr="00132A47">
        <w:rPr>
          <w:rStyle w:val="FootnoteReference"/>
          <w:rFonts w:cstheme="minorHAnsi"/>
          <w:bCs/>
        </w:rPr>
        <w:footnoteReference w:id="4"/>
      </w:r>
    </w:p>
    <w:p w14:paraId="255D53E9" w14:textId="77777777" w:rsidR="00747804" w:rsidRDefault="00747804" w:rsidP="003500B8"/>
    <w:p w14:paraId="608284E6" w14:textId="461FB50E" w:rsidR="009321CF" w:rsidRDefault="00E167C1" w:rsidP="003500B8">
      <w:r>
        <w:t xml:space="preserve">The UNDP notes particularly the constant risk of </w:t>
      </w:r>
      <w:r w:rsidRPr="00747804">
        <w:rPr>
          <w:rFonts w:cstheme="minorHAnsi"/>
        </w:rPr>
        <w:t>agencies dominating development efforts and undermining local initiatives</w:t>
      </w:r>
      <w:r w:rsidR="00642F34" w:rsidRPr="00747804">
        <w:rPr>
          <w:rFonts w:cstheme="minorHAnsi"/>
        </w:rPr>
        <w:t xml:space="preserve">. </w:t>
      </w:r>
      <w:r w:rsidR="00EA1E20">
        <w:rPr>
          <w:rFonts w:cstheme="minorHAnsi"/>
        </w:rPr>
        <w:t xml:space="preserve"> </w:t>
      </w:r>
      <w:r w:rsidR="00FF12C7">
        <w:t>Adopting these default positions to underpin the strategy and guide the proposed review could support a more development focussed and less government centred strategy.</w:t>
      </w:r>
    </w:p>
    <w:p w14:paraId="755C1903" w14:textId="658F182F" w:rsidR="007D4F1C" w:rsidRDefault="008250DD" w:rsidP="008214ED">
      <w:r>
        <w:t>These principles are supported by the evidence review conducted by the AIHW in 2013 and synthesised in the issues paper :</w:t>
      </w:r>
      <w:r>
        <w:rPr>
          <w:i/>
          <w:iCs/>
        </w:rPr>
        <w:t>What Works?</w:t>
      </w:r>
      <w:r w:rsidR="008214ED" w:rsidRPr="008214ED">
        <w:t xml:space="preserve"> </w:t>
      </w:r>
      <w:r w:rsidR="008214ED" w:rsidRPr="008214ED">
        <w:rPr>
          <w:i/>
          <w:iCs/>
        </w:rPr>
        <w:t>A review of actions addressing</w:t>
      </w:r>
      <w:r w:rsidR="008214ED">
        <w:rPr>
          <w:i/>
          <w:iCs/>
        </w:rPr>
        <w:t xml:space="preserve"> </w:t>
      </w:r>
      <w:r w:rsidR="008214ED" w:rsidRPr="008214ED">
        <w:rPr>
          <w:i/>
          <w:iCs/>
        </w:rPr>
        <w:t>the social and economic determinants of</w:t>
      </w:r>
      <w:r w:rsidR="008214ED">
        <w:rPr>
          <w:i/>
          <w:iCs/>
        </w:rPr>
        <w:t xml:space="preserve"> </w:t>
      </w:r>
      <w:r w:rsidR="008214ED" w:rsidRPr="008214ED">
        <w:rPr>
          <w:i/>
          <w:iCs/>
        </w:rPr>
        <w:t>Indigenous health</w:t>
      </w:r>
      <w:r w:rsidR="000E7E3C">
        <w:rPr>
          <w:i/>
          <w:iCs/>
        </w:rPr>
        <w:t xml:space="preserve"> </w:t>
      </w:r>
      <w:r w:rsidR="000E7E3C">
        <w:rPr>
          <w:rStyle w:val="FootnoteReference"/>
          <w:i/>
          <w:iCs/>
        </w:rPr>
        <w:footnoteReference w:id="5"/>
      </w:r>
      <w:r w:rsidR="008214ED">
        <w:rPr>
          <w:i/>
          <w:iCs/>
        </w:rPr>
        <w:t>.</w:t>
      </w:r>
      <w:r w:rsidR="008214ED">
        <w:t xml:space="preserve">  Consistent with </w:t>
      </w:r>
      <w:r w:rsidR="007D4F1C">
        <w:t>the UNDP default positions, the “</w:t>
      </w:r>
      <w:r w:rsidR="007D4F1C">
        <w:rPr>
          <w:i/>
          <w:iCs/>
        </w:rPr>
        <w:t>What works”</w:t>
      </w:r>
      <w:r w:rsidR="007D4F1C">
        <w:t xml:space="preserve"> paper found, among others, the following features of approaches that are effective:</w:t>
      </w:r>
    </w:p>
    <w:p w14:paraId="433A4F2A" w14:textId="77777777" w:rsidR="00693BF8" w:rsidRDefault="006C26FE" w:rsidP="00693BF8">
      <w:pPr>
        <w:pStyle w:val="ListParagraph"/>
        <w:numPr>
          <w:ilvl w:val="0"/>
          <w:numId w:val="26"/>
        </w:numPr>
      </w:pPr>
      <w:r>
        <w:t xml:space="preserve">active involvement of Indigenous communities in every stage of program development and delivery, in order to build genuine, collaborative and sustainable partnerships with </w:t>
      </w:r>
      <w:r w:rsidR="00693BF8">
        <w:t xml:space="preserve"> </w:t>
      </w:r>
      <w:r>
        <w:t>Indigenous peoples, and build capacity within Indigenous communities</w:t>
      </w:r>
    </w:p>
    <w:p w14:paraId="0A34F184" w14:textId="77777777" w:rsidR="00693BF8" w:rsidRDefault="006C26FE" w:rsidP="00693BF8">
      <w:pPr>
        <w:pStyle w:val="ListParagraph"/>
        <w:numPr>
          <w:ilvl w:val="0"/>
          <w:numId w:val="26"/>
        </w:numPr>
      </w:pPr>
      <w:r>
        <w:t>valuing Indigenous knowledge and cultural beliefs and practices which are important for promoting positive cultural identity and social and emotional wellbeing for Indigenous Australians</w:t>
      </w:r>
    </w:p>
    <w:p w14:paraId="5B5A49EF" w14:textId="77777777" w:rsidR="00693BF8" w:rsidRDefault="006C26FE" w:rsidP="00693BF8">
      <w:pPr>
        <w:pStyle w:val="ListParagraph"/>
        <w:numPr>
          <w:ilvl w:val="0"/>
          <w:numId w:val="26"/>
        </w:numPr>
      </w:pPr>
      <w:r>
        <w:t>clear leadership and governance for programs, initiatives and interventions</w:t>
      </w:r>
    </w:p>
    <w:p w14:paraId="0F977B6E" w14:textId="69E93C21" w:rsidR="000C755E" w:rsidRPr="00F47E82" w:rsidRDefault="00F47E82" w:rsidP="003500B8">
      <w:r>
        <w:t xml:space="preserve">The </w:t>
      </w:r>
      <w:r>
        <w:rPr>
          <w:i/>
          <w:iCs/>
        </w:rPr>
        <w:t>What Works</w:t>
      </w:r>
      <w:r>
        <w:t xml:space="preserve"> paper distils also the things that don’t work and notes </w:t>
      </w:r>
      <w:r w:rsidR="000E7E3C">
        <w:t xml:space="preserve">the dangers of top down approaches and the failure to fully engage with Indigenous people and organisations. </w:t>
      </w:r>
    </w:p>
    <w:p w14:paraId="08FD0B14" w14:textId="3BAE0739" w:rsidR="00D24C6E" w:rsidRDefault="00132B94" w:rsidP="00132B94">
      <w:pPr>
        <w:pStyle w:val="Heading1"/>
      </w:pPr>
      <w:bookmarkStart w:id="9" w:name="_Toc48554769"/>
      <w:r>
        <w:t>Conclusion</w:t>
      </w:r>
      <w:bookmarkEnd w:id="9"/>
    </w:p>
    <w:p w14:paraId="5701ADEA" w14:textId="2B3590A3" w:rsidR="00132B94" w:rsidRPr="00132B94" w:rsidRDefault="009502E0" w:rsidP="00132B94">
      <w:r>
        <w:t xml:space="preserve">There is a real opportunity to build on the good work already undertaken and the enormous efforts already put in by many stakeholders into the design of the draft strategy and guide.  However, it is necessary to </w:t>
      </w:r>
      <w:r w:rsidR="00131DA3">
        <w:t xml:space="preserve">embed a rights based approach to the strategy and to </w:t>
      </w:r>
      <w:r>
        <w:t>review</w:t>
      </w:r>
      <w:r w:rsidR="00C13FCD">
        <w:t xml:space="preserve"> with Aboriginal and Torres Strait Islander partners through the Coalition of Peaks the </w:t>
      </w:r>
      <w:r w:rsidR="00181C15">
        <w:t xml:space="preserve">efforts to carry forward the worthy principles in the strategy and ensure that they </w:t>
      </w:r>
      <w:r w:rsidR="009919F4">
        <w:t xml:space="preserve">are fully translated into ongoing genuine partnerships for policy and program development and evaluation. </w:t>
      </w:r>
    </w:p>
    <w:sectPr w:rsidR="00132B94" w:rsidRPr="00132B94">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11DD4E" w14:textId="77777777" w:rsidR="00C90995" w:rsidRDefault="00C90995" w:rsidP="0074638C">
      <w:r>
        <w:separator/>
      </w:r>
    </w:p>
  </w:endnote>
  <w:endnote w:type="continuationSeparator" w:id="0">
    <w:p w14:paraId="1C85B397" w14:textId="77777777" w:rsidR="00C90995" w:rsidRDefault="00C90995" w:rsidP="0074638C">
      <w:r>
        <w:continuationSeparator/>
      </w:r>
    </w:p>
  </w:endnote>
  <w:endnote w:type="continuationNotice" w:id="1">
    <w:p w14:paraId="5D147736" w14:textId="77777777" w:rsidR="00C90995" w:rsidRDefault="00C909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7415957"/>
      <w:docPartObj>
        <w:docPartGallery w:val="Page Numbers (Bottom of Page)"/>
        <w:docPartUnique/>
      </w:docPartObj>
    </w:sdtPr>
    <w:sdtEndPr>
      <w:rPr>
        <w:noProof/>
      </w:rPr>
    </w:sdtEndPr>
    <w:sdtContent>
      <w:p w14:paraId="030B4D45" w14:textId="77777777" w:rsidR="00227A71" w:rsidRDefault="00227A71">
        <w:pPr>
          <w:pStyle w:val="Footer"/>
          <w:jc w:val="right"/>
        </w:pPr>
        <w:r>
          <w:fldChar w:fldCharType="begin"/>
        </w:r>
        <w:r>
          <w:instrText xml:space="preserve"> PAGE   \* MERGEFORMAT </w:instrText>
        </w:r>
        <w:r>
          <w:fldChar w:fldCharType="separate"/>
        </w:r>
        <w:r w:rsidR="00213ABF">
          <w:rPr>
            <w:noProof/>
          </w:rPr>
          <w:t>1</w:t>
        </w:r>
        <w:r>
          <w:rPr>
            <w:noProof/>
          </w:rPr>
          <w:fldChar w:fldCharType="end"/>
        </w:r>
      </w:p>
    </w:sdtContent>
  </w:sdt>
  <w:p w14:paraId="639FF468" w14:textId="77777777" w:rsidR="00227A71" w:rsidRDefault="00227A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48BA46" w14:textId="77777777" w:rsidR="00C90995" w:rsidRDefault="00C90995" w:rsidP="0074638C">
      <w:r>
        <w:separator/>
      </w:r>
    </w:p>
  </w:footnote>
  <w:footnote w:type="continuationSeparator" w:id="0">
    <w:p w14:paraId="491E6B48" w14:textId="77777777" w:rsidR="00C90995" w:rsidRDefault="00C90995" w:rsidP="0074638C">
      <w:r>
        <w:continuationSeparator/>
      </w:r>
    </w:p>
  </w:footnote>
  <w:footnote w:type="continuationNotice" w:id="1">
    <w:p w14:paraId="279185AC" w14:textId="77777777" w:rsidR="00C90995" w:rsidRDefault="00C90995">
      <w:pPr>
        <w:spacing w:after="0"/>
      </w:pPr>
    </w:p>
  </w:footnote>
  <w:footnote w:id="2">
    <w:p w14:paraId="322F3376" w14:textId="54B00C05" w:rsidR="008229D1" w:rsidRDefault="008229D1">
      <w:pPr>
        <w:pStyle w:val="FootnoteText"/>
      </w:pPr>
      <w:r>
        <w:rPr>
          <w:rStyle w:val="FootnoteReference"/>
        </w:rPr>
        <w:footnoteRef/>
      </w:r>
      <w:r>
        <w:t xml:space="preserve"> </w:t>
      </w:r>
      <w:hyperlink r:id="rId1" w:history="1">
        <w:r w:rsidRPr="008229D1">
          <w:rPr>
            <w:rFonts w:asciiTheme="minorHAnsi" w:hAnsiTheme="minorHAnsi"/>
            <w:color w:val="0000FF"/>
            <w:sz w:val="22"/>
            <w:szCs w:val="22"/>
            <w:u w:val="single"/>
          </w:rPr>
          <w:t>https://coalitionofpeaks.org.au/wp-content/uploads/2020/07/FINAL-National-Agreement-on-Closing-the-Gap-1.pdf</w:t>
        </w:r>
      </w:hyperlink>
    </w:p>
  </w:footnote>
  <w:footnote w:id="3">
    <w:p w14:paraId="63C0E0E3" w14:textId="3955720C" w:rsidR="004B6D59" w:rsidRDefault="004B6D59">
      <w:pPr>
        <w:pStyle w:val="FootnoteText"/>
      </w:pPr>
      <w:r>
        <w:rPr>
          <w:rStyle w:val="FootnoteReference"/>
        </w:rPr>
        <w:footnoteRef/>
      </w:r>
      <w:r>
        <w:t xml:space="preserve"> </w:t>
      </w:r>
      <w:hyperlink r:id="rId2" w:history="1">
        <w:r w:rsidR="00505E55" w:rsidRPr="00505E55">
          <w:rPr>
            <w:rFonts w:asciiTheme="minorHAnsi" w:hAnsiTheme="minorHAnsi"/>
            <w:color w:val="0000FF"/>
            <w:sz w:val="22"/>
            <w:szCs w:val="22"/>
            <w:u w:val="single"/>
          </w:rPr>
          <w:t>https://coalitionofpeaks.org.au/our-story/</w:t>
        </w:r>
      </w:hyperlink>
    </w:p>
  </w:footnote>
  <w:footnote w:id="4">
    <w:p w14:paraId="4836375E" w14:textId="207EB693" w:rsidR="00132A47" w:rsidRDefault="00132A47">
      <w:pPr>
        <w:pStyle w:val="FootnoteText"/>
      </w:pPr>
      <w:r>
        <w:rPr>
          <w:rStyle w:val="FootnoteReference"/>
        </w:rPr>
        <w:footnoteRef/>
      </w:r>
      <w:r>
        <w:t xml:space="preserve"> </w:t>
      </w:r>
      <w:hyperlink r:id="rId3" w:history="1">
        <w:r w:rsidRPr="00132A47">
          <w:rPr>
            <w:rFonts w:asciiTheme="minorHAnsi" w:hAnsiTheme="minorHAnsi"/>
            <w:color w:val="0000FF"/>
            <w:sz w:val="22"/>
            <w:szCs w:val="22"/>
            <w:u w:val="single"/>
          </w:rPr>
          <w:t>https://www.undp.org/content/undp/en/home/librarypage/capacity-building/taking-default-positions-for-capacity-development.html</w:t>
        </w:r>
      </w:hyperlink>
    </w:p>
  </w:footnote>
  <w:footnote w:id="5">
    <w:p w14:paraId="3D9FBACF" w14:textId="30ACC848" w:rsidR="000E7E3C" w:rsidRDefault="000E7E3C">
      <w:pPr>
        <w:pStyle w:val="FootnoteText"/>
      </w:pPr>
      <w:r>
        <w:rPr>
          <w:rStyle w:val="FootnoteReference"/>
        </w:rPr>
        <w:footnoteRef/>
      </w:r>
      <w:r>
        <w:t xml:space="preserve"> </w:t>
      </w:r>
      <w:hyperlink r:id="rId4" w:history="1">
        <w:r w:rsidR="00132B94" w:rsidRPr="003F63C6">
          <w:rPr>
            <w:rStyle w:val="Hyperlink"/>
          </w:rPr>
          <w:t>https://www.aihw.gov.au/getmedia/8eab67d7-1752-45e7-aa82-ffaf33ce7e13/ctgc-ip07.pdf.aspx?inline=true</w:t>
        </w:r>
      </w:hyperlink>
      <w:r w:rsidR="00132B94">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E0125"/>
    <w:multiLevelType w:val="hybridMultilevel"/>
    <w:tmpl w:val="B7FE2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0C275B"/>
    <w:multiLevelType w:val="hybridMultilevel"/>
    <w:tmpl w:val="1624B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133D85"/>
    <w:multiLevelType w:val="hybridMultilevel"/>
    <w:tmpl w:val="A16E74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B30EED"/>
    <w:multiLevelType w:val="hybridMultilevel"/>
    <w:tmpl w:val="ABCAFFC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1A7402D6"/>
    <w:multiLevelType w:val="hybridMultilevel"/>
    <w:tmpl w:val="BA0AA9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6C14C3"/>
    <w:multiLevelType w:val="hybridMultilevel"/>
    <w:tmpl w:val="77740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5823D1"/>
    <w:multiLevelType w:val="hybridMultilevel"/>
    <w:tmpl w:val="6EA08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DB4EE5"/>
    <w:multiLevelType w:val="hybridMultilevel"/>
    <w:tmpl w:val="B8727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BD24EA"/>
    <w:multiLevelType w:val="hybridMultilevel"/>
    <w:tmpl w:val="CC1AA8C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2E470A9B"/>
    <w:multiLevelType w:val="hybridMultilevel"/>
    <w:tmpl w:val="68109140"/>
    <w:lvl w:ilvl="0" w:tplc="95E274D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252E2A"/>
    <w:multiLevelType w:val="hybridMultilevel"/>
    <w:tmpl w:val="99608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540306"/>
    <w:multiLevelType w:val="hybridMultilevel"/>
    <w:tmpl w:val="53EE56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CFF302B"/>
    <w:multiLevelType w:val="multilevel"/>
    <w:tmpl w:val="EBA6FF0A"/>
    <w:lvl w:ilvl="0">
      <w:start w:val="1"/>
      <w:numFmt w:val="decimal"/>
      <w:lvlText w:val="%1."/>
      <w:lvlJc w:val="left"/>
      <w:pPr>
        <w:ind w:left="720" w:hanging="360"/>
      </w:pPr>
    </w:lvl>
    <w:lvl w:ilvl="1">
      <w:start w:val="7"/>
      <w:numFmt w:val="decimal"/>
      <w:isLgl/>
      <w:lvlText w:val="%1.%2"/>
      <w:lvlJc w:val="left"/>
      <w:pPr>
        <w:ind w:left="1215" w:hanging="675"/>
      </w:pPr>
      <w:rPr>
        <w:rFonts w:hint="default"/>
        <w:b/>
      </w:rPr>
    </w:lvl>
    <w:lvl w:ilvl="2">
      <w:start w:val="14"/>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abstractNum w:abstractNumId="13" w15:restartNumberingAfterBreak="0">
    <w:nsid w:val="3FCA6809"/>
    <w:multiLevelType w:val="hybridMultilevel"/>
    <w:tmpl w:val="E79A84E0"/>
    <w:lvl w:ilvl="0" w:tplc="F920EA56">
      <w:start w:val="1"/>
      <w:numFmt w:val="bullet"/>
      <w:pStyle w:val="bullets"/>
      <w:lvlText w:val=""/>
      <w:lvlJc w:val="left"/>
      <w:pPr>
        <w:ind w:left="360" w:hanging="360"/>
      </w:pPr>
      <w:rPr>
        <w:rFonts w:ascii="Symbol" w:hAnsi="Symbol" w:hint="default"/>
      </w:rPr>
    </w:lvl>
    <w:lvl w:ilvl="1" w:tplc="0C090003">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4" w15:restartNumberingAfterBreak="0">
    <w:nsid w:val="42B1305B"/>
    <w:multiLevelType w:val="hybridMultilevel"/>
    <w:tmpl w:val="BB540A52"/>
    <w:lvl w:ilvl="0" w:tplc="0C090001">
      <w:start w:val="1"/>
      <w:numFmt w:val="bullet"/>
      <w:lvlText w:val=""/>
      <w:lvlJc w:val="left"/>
      <w:pPr>
        <w:ind w:left="720" w:hanging="360"/>
      </w:pPr>
      <w:rPr>
        <w:rFonts w:ascii="Symbol" w:hAnsi="Symbol" w:hint="default"/>
      </w:rPr>
    </w:lvl>
    <w:lvl w:ilvl="1" w:tplc="48149CCE">
      <w:numFmt w:val="bullet"/>
      <w:lvlText w:val="•"/>
      <w:lvlJc w:val="left"/>
      <w:pPr>
        <w:ind w:left="72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6C074D5"/>
    <w:multiLevelType w:val="hybridMultilevel"/>
    <w:tmpl w:val="9EE8B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39C48C1"/>
    <w:multiLevelType w:val="multilevel"/>
    <w:tmpl w:val="2586F784"/>
    <w:lvl w:ilvl="0">
      <w:start w:val="3"/>
      <w:numFmt w:val="decimal"/>
      <w:lvlText w:val="%1"/>
      <w:lvlJc w:val="left"/>
      <w:pPr>
        <w:ind w:left="600" w:hanging="600"/>
      </w:pPr>
      <w:rPr>
        <w:rFonts w:hint="default"/>
      </w:rPr>
    </w:lvl>
    <w:lvl w:ilvl="1">
      <w:start w:val="7"/>
      <w:numFmt w:val="decimal"/>
      <w:lvlText w:val="%1.%2"/>
      <w:lvlJc w:val="left"/>
      <w:pPr>
        <w:ind w:left="1320" w:hanging="600"/>
      </w:pPr>
      <w:rPr>
        <w:rFonts w:hint="default"/>
      </w:rPr>
    </w:lvl>
    <w:lvl w:ilvl="2">
      <w:start w:val="13"/>
      <w:numFmt w:val="decimal"/>
      <w:lvlText w:val="%1.%2.%3"/>
      <w:lvlJc w:val="left"/>
      <w:pPr>
        <w:ind w:left="1713"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7F46FAC"/>
    <w:multiLevelType w:val="hybridMultilevel"/>
    <w:tmpl w:val="F31C3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007668"/>
    <w:multiLevelType w:val="hybridMultilevel"/>
    <w:tmpl w:val="805A6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861B63"/>
    <w:multiLevelType w:val="hybridMultilevel"/>
    <w:tmpl w:val="A510E32A"/>
    <w:lvl w:ilvl="0" w:tplc="95E274D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08C37C8"/>
    <w:multiLevelType w:val="hybridMultilevel"/>
    <w:tmpl w:val="5074E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3B6EB2"/>
    <w:multiLevelType w:val="hybridMultilevel"/>
    <w:tmpl w:val="DCAC5DEC"/>
    <w:lvl w:ilvl="0" w:tplc="95E274D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57C03D7"/>
    <w:multiLevelType w:val="hybridMultilevel"/>
    <w:tmpl w:val="B43A8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6AE6C26"/>
    <w:multiLevelType w:val="hybridMultilevel"/>
    <w:tmpl w:val="762E1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BE4651"/>
    <w:multiLevelType w:val="hybridMultilevel"/>
    <w:tmpl w:val="A23A37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B1E211D"/>
    <w:multiLevelType w:val="hybridMultilevel"/>
    <w:tmpl w:val="BA0AA9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23B1F20"/>
    <w:multiLevelType w:val="hybridMultilevel"/>
    <w:tmpl w:val="FB2ED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709658C"/>
    <w:multiLevelType w:val="hybridMultilevel"/>
    <w:tmpl w:val="21DC60D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C104D01"/>
    <w:multiLevelType w:val="hybridMultilevel"/>
    <w:tmpl w:val="2C005ED0"/>
    <w:lvl w:ilvl="0" w:tplc="E25472C8">
      <w:start w:val="1"/>
      <w:numFmt w:val="decimal"/>
      <w:pStyle w:val="Affidavitnumbering"/>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num w:numId="1">
    <w:abstractNumId w:val="28"/>
  </w:num>
  <w:num w:numId="2">
    <w:abstractNumId w:val="13"/>
  </w:num>
  <w:num w:numId="3">
    <w:abstractNumId w:val="14"/>
  </w:num>
  <w:num w:numId="4">
    <w:abstractNumId w:val="26"/>
  </w:num>
  <w:num w:numId="5">
    <w:abstractNumId w:val="25"/>
  </w:num>
  <w:num w:numId="6">
    <w:abstractNumId w:val="8"/>
  </w:num>
  <w:num w:numId="7">
    <w:abstractNumId w:val="5"/>
  </w:num>
  <w:num w:numId="8">
    <w:abstractNumId w:val="12"/>
  </w:num>
  <w:num w:numId="9">
    <w:abstractNumId w:val="11"/>
  </w:num>
  <w:num w:numId="10">
    <w:abstractNumId w:val="15"/>
  </w:num>
  <w:num w:numId="11">
    <w:abstractNumId w:val="20"/>
  </w:num>
  <w:num w:numId="12">
    <w:abstractNumId w:val="17"/>
  </w:num>
  <w:num w:numId="13">
    <w:abstractNumId w:val="16"/>
  </w:num>
  <w:num w:numId="14">
    <w:abstractNumId w:val="9"/>
  </w:num>
  <w:num w:numId="15">
    <w:abstractNumId w:val="21"/>
  </w:num>
  <w:num w:numId="16">
    <w:abstractNumId w:val="24"/>
  </w:num>
  <w:num w:numId="17">
    <w:abstractNumId w:val="6"/>
  </w:num>
  <w:num w:numId="18">
    <w:abstractNumId w:val="19"/>
  </w:num>
  <w:num w:numId="19">
    <w:abstractNumId w:val="18"/>
  </w:num>
  <w:num w:numId="20">
    <w:abstractNumId w:val="27"/>
  </w:num>
  <w:num w:numId="21">
    <w:abstractNumId w:val="3"/>
  </w:num>
  <w:num w:numId="22">
    <w:abstractNumId w:val="10"/>
  </w:num>
  <w:num w:numId="23">
    <w:abstractNumId w:val="0"/>
  </w:num>
  <w:num w:numId="24">
    <w:abstractNumId w:val="4"/>
  </w:num>
  <w:num w:numId="25">
    <w:abstractNumId w:val="1"/>
  </w:num>
  <w:num w:numId="26">
    <w:abstractNumId w:val="22"/>
  </w:num>
  <w:num w:numId="27">
    <w:abstractNumId w:val="7"/>
  </w:num>
  <w:num w:numId="28">
    <w:abstractNumId w:val="23"/>
  </w:num>
  <w:num w:numId="2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7E1"/>
    <w:rsid w:val="0000163D"/>
    <w:rsid w:val="00001BD7"/>
    <w:rsid w:val="00002D8D"/>
    <w:rsid w:val="00007969"/>
    <w:rsid w:val="00011896"/>
    <w:rsid w:val="00014007"/>
    <w:rsid w:val="00015C59"/>
    <w:rsid w:val="0001665E"/>
    <w:rsid w:val="00025CA5"/>
    <w:rsid w:val="00026E2B"/>
    <w:rsid w:val="000303ED"/>
    <w:rsid w:val="00030D64"/>
    <w:rsid w:val="00031F96"/>
    <w:rsid w:val="000336F5"/>
    <w:rsid w:val="000361B8"/>
    <w:rsid w:val="00036F26"/>
    <w:rsid w:val="000379E0"/>
    <w:rsid w:val="00041250"/>
    <w:rsid w:val="000457F8"/>
    <w:rsid w:val="00050BBB"/>
    <w:rsid w:val="0005266E"/>
    <w:rsid w:val="00052C03"/>
    <w:rsid w:val="00055FCA"/>
    <w:rsid w:val="00057076"/>
    <w:rsid w:val="00063145"/>
    <w:rsid w:val="0007241A"/>
    <w:rsid w:val="0007496B"/>
    <w:rsid w:val="00074C9C"/>
    <w:rsid w:val="00075A88"/>
    <w:rsid w:val="00076B9A"/>
    <w:rsid w:val="00077653"/>
    <w:rsid w:val="00077E80"/>
    <w:rsid w:val="00081798"/>
    <w:rsid w:val="00083478"/>
    <w:rsid w:val="000841B3"/>
    <w:rsid w:val="00084D95"/>
    <w:rsid w:val="00085C7B"/>
    <w:rsid w:val="00085EEE"/>
    <w:rsid w:val="000904B0"/>
    <w:rsid w:val="00090B36"/>
    <w:rsid w:val="00092A93"/>
    <w:rsid w:val="00095050"/>
    <w:rsid w:val="000952EF"/>
    <w:rsid w:val="00096041"/>
    <w:rsid w:val="0009662D"/>
    <w:rsid w:val="00096687"/>
    <w:rsid w:val="00097CA9"/>
    <w:rsid w:val="000A6AF0"/>
    <w:rsid w:val="000B2976"/>
    <w:rsid w:val="000B3851"/>
    <w:rsid w:val="000B42BC"/>
    <w:rsid w:val="000B6F9D"/>
    <w:rsid w:val="000B72D5"/>
    <w:rsid w:val="000B75EE"/>
    <w:rsid w:val="000C2887"/>
    <w:rsid w:val="000C3DBA"/>
    <w:rsid w:val="000C429F"/>
    <w:rsid w:val="000C44F9"/>
    <w:rsid w:val="000C64D2"/>
    <w:rsid w:val="000C755E"/>
    <w:rsid w:val="000D2426"/>
    <w:rsid w:val="000D282C"/>
    <w:rsid w:val="000D73FF"/>
    <w:rsid w:val="000D7E44"/>
    <w:rsid w:val="000E7E3C"/>
    <w:rsid w:val="000F1675"/>
    <w:rsid w:val="000F1B43"/>
    <w:rsid w:val="000F3B3B"/>
    <w:rsid w:val="000F6C74"/>
    <w:rsid w:val="00103F21"/>
    <w:rsid w:val="00105320"/>
    <w:rsid w:val="001064C1"/>
    <w:rsid w:val="00111C57"/>
    <w:rsid w:val="00113435"/>
    <w:rsid w:val="00117AEB"/>
    <w:rsid w:val="00121322"/>
    <w:rsid w:val="00121CA8"/>
    <w:rsid w:val="001228C2"/>
    <w:rsid w:val="00122A47"/>
    <w:rsid w:val="001238A3"/>
    <w:rsid w:val="0012607B"/>
    <w:rsid w:val="00130611"/>
    <w:rsid w:val="00130C62"/>
    <w:rsid w:val="00131DA3"/>
    <w:rsid w:val="00132A47"/>
    <w:rsid w:val="00132B94"/>
    <w:rsid w:val="00133CB3"/>
    <w:rsid w:val="001413A0"/>
    <w:rsid w:val="0014313D"/>
    <w:rsid w:val="00143E74"/>
    <w:rsid w:val="001478B4"/>
    <w:rsid w:val="00150429"/>
    <w:rsid w:val="00150E10"/>
    <w:rsid w:val="00150EDE"/>
    <w:rsid w:val="00157A1C"/>
    <w:rsid w:val="001607E1"/>
    <w:rsid w:val="001641FF"/>
    <w:rsid w:val="00165E29"/>
    <w:rsid w:val="00166501"/>
    <w:rsid w:val="00167C5B"/>
    <w:rsid w:val="001707C5"/>
    <w:rsid w:val="00172D2B"/>
    <w:rsid w:val="00174FC0"/>
    <w:rsid w:val="001760FB"/>
    <w:rsid w:val="001764B4"/>
    <w:rsid w:val="00181C15"/>
    <w:rsid w:val="00181D98"/>
    <w:rsid w:val="001822E1"/>
    <w:rsid w:val="00186144"/>
    <w:rsid w:val="001907CE"/>
    <w:rsid w:val="00190842"/>
    <w:rsid w:val="00190F4F"/>
    <w:rsid w:val="001930E0"/>
    <w:rsid w:val="00193487"/>
    <w:rsid w:val="00193792"/>
    <w:rsid w:val="0019471D"/>
    <w:rsid w:val="00197CA1"/>
    <w:rsid w:val="001A3E27"/>
    <w:rsid w:val="001A52CA"/>
    <w:rsid w:val="001B07B4"/>
    <w:rsid w:val="001B08E9"/>
    <w:rsid w:val="001C2C70"/>
    <w:rsid w:val="001C46BD"/>
    <w:rsid w:val="001D05D3"/>
    <w:rsid w:val="001D68A2"/>
    <w:rsid w:val="001D6A5B"/>
    <w:rsid w:val="001E456B"/>
    <w:rsid w:val="001E54C4"/>
    <w:rsid w:val="001F06F8"/>
    <w:rsid w:val="001F08AF"/>
    <w:rsid w:val="001F4959"/>
    <w:rsid w:val="001F75BC"/>
    <w:rsid w:val="00200DED"/>
    <w:rsid w:val="00200E4F"/>
    <w:rsid w:val="0020559F"/>
    <w:rsid w:val="00205F53"/>
    <w:rsid w:val="00211A45"/>
    <w:rsid w:val="00213ABF"/>
    <w:rsid w:val="00214D05"/>
    <w:rsid w:val="0022231D"/>
    <w:rsid w:val="00225AF7"/>
    <w:rsid w:val="00227A71"/>
    <w:rsid w:val="0023697F"/>
    <w:rsid w:val="002401B7"/>
    <w:rsid w:val="00242F48"/>
    <w:rsid w:val="002431AC"/>
    <w:rsid w:val="002454D7"/>
    <w:rsid w:val="00245D2C"/>
    <w:rsid w:val="00247E67"/>
    <w:rsid w:val="00253110"/>
    <w:rsid w:val="002566D8"/>
    <w:rsid w:val="002646B0"/>
    <w:rsid w:val="0026773F"/>
    <w:rsid w:val="0027063E"/>
    <w:rsid w:val="00273BC2"/>
    <w:rsid w:val="00277619"/>
    <w:rsid w:val="00280569"/>
    <w:rsid w:val="00283386"/>
    <w:rsid w:val="0028471F"/>
    <w:rsid w:val="00284A29"/>
    <w:rsid w:val="00286B55"/>
    <w:rsid w:val="00287462"/>
    <w:rsid w:val="00292488"/>
    <w:rsid w:val="00295572"/>
    <w:rsid w:val="00296771"/>
    <w:rsid w:val="00296DE8"/>
    <w:rsid w:val="00297CA1"/>
    <w:rsid w:val="002A2C0A"/>
    <w:rsid w:val="002B14E8"/>
    <w:rsid w:val="002B18D5"/>
    <w:rsid w:val="002B2044"/>
    <w:rsid w:val="002B5DD4"/>
    <w:rsid w:val="002B74CF"/>
    <w:rsid w:val="002C04AA"/>
    <w:rsid w:val="002C2533"/>
    <w:rsid w:val="002C47E9"/>
    <w:rsid w:val="002C49EC"/>
    <w:rsid w:val="002D341B"/>
    <w:rsid w:val="002D5927"/>
    <w:rsid w:val="002D79E9"/>
    <w:rsid w:val="002E4E0F"/>
    <w:rsid w:val="002E6DA2"/>
    <w:rsid w:val="002E6E5B"/>
    <w:rsid w:val="002F0341"/>
    <w:rsid w:val="002F136D"/>
    <w:rsid w:val="002F2B4C"/>
    <w:rsid w:val="002F4E16"/>
    <w:rsid w:val="002F5991"/>
    <w:rsid w:val="00300B4C"/>
    <w:rsid w:val="00301947"/>
    <w:rsid w:val="00302F71"/>
    <w:rsid w:val="003043CA"/>
    <w:rsid w:val="00304E90"/>
    <w:rsid w:val="0030578A"/>
    <w:rsid w:val="00305E40"/>
    <w:rsid w:val="0030612C"/>
    <w:rsid w:val="00306956"/>
    <w:rsid w:val="0030714A"/>
    <w:rsid w:val="003122E2"/>
    <w:rsid w:val="003157C0"/>
    <w:rsid w:val="00315F4B"/>
    <w:rsid w:val="0032586C"/>
    <w:rsid w:val="00325D70"/>
    <w:rsid w:val="003312FB"/>
    <w:rsid w:val="00332F02"/>
    <w:rsid w:val="0033380A"/>
    <w:rsid w:val="003372C8"/>
    <w:rsid w:val="00344FB8"/>
    <w:rsid w:val="00346938"/>
    <w:rsid w:val="0034781D"/>
    <w:rsid w:val="003500B8"/>
    <w:rsid w:val="00350665"/>
    <w:rsid w:val="0035244B"/>
    <w:rsid w:val="003575C0"/>
    <w:rsid w:val="003614E6"/>
    <w:rsid w:val="00361833"/>
    <w:rsid w:val="00362C94"/>
    <w:rsid w:val="00364B16"/>
    <w:rsid w:val="00366044"/>
    <w:rsid w:val="00366CD2"/>
    <w:rsid w:val="0037095B"/>
    <w:rsid w:val="00371285"/>
    <w:rsid w:val="00371C86"/>
    <w:rsid w:val="00383C50"/>
    <w:rsid w:val="00395529"/>
    <w:rsid w:val="00396BB8"/>
    <w:rsid w:val="003A084B"/>
    <w:rsid w:val="003A2C56"/>
    <w:rsid w:val="003B240E"/>
    <w:rsid w:val="003B71B1"/>
    <w:rsid w:val="003C02B0"/>
    <w:rsid w:val="003C1303"/>
    <w:rsid w:val="003C1BB8"/>
    <w:rsid w:val="003C4662"/>
    <w:rsid w:val="003C7593"/>
    <w:rsid w:val="003D2DFD"/>
    <w:rsid w:val="003D3B6B"/>
    <w:rsid w:val="003D5CE0"/>
    <w:rsid w:val="003E0E67"/>
    <w:rsid w:val="003E4B6A"/>
    <w:rsid w:val="003F2D24"/>
    <w:rsid w:val="003F37AB"/>
    <w:rsid w:val="003F4102"/>
    <w:rsid w:val="003F539E"/>
    <w:rsid w:val="003F56D9"/>
    <w:rsid w:val="004004E0"/>
    <w:rsid w:val="00404CC2"/>
    <w:rsid w:val="00407906"/>
    <w:rsid w:val="004132DB"/>
    <w:rsid w:val="00415223"/>
    <w:rsid w:val="00416E94"/>
    <w:rsid w:val="004211C2"/>
    <w:rsid w:val="0042229B"/>
    <w:rsid w:val="00431D20"/>
    <w:rsid w:val="00432C95"/>
    <w:rsid w:val="00441549"/>
    <w:rsid w:val="00443BEF"/>
    <w:rsid w:val="004469D8"/>
    <w:rsid w:val="004520A0"/>
    <w:rsid w:val="004524F3"/>
    <w:rsid w:val="004618E7"/>
    <w:rsid w:val="00463E13"/>
    <w:rsid w:val="004652A1"/>
    <w:rsid w:val="004659B4"/>
    <w:rsid w:val="004679F6"/>
    <w:rsid w:val="00475420"/>
    <w:rsid w:val="00477917"/>
    <w:rsid w:val="00485F41"/>
    <w:rsid w:val="00487CF9"/>
    <w:rsid w:val="00490FB9"/>
    <w:rsid w:val="00491F34"/>
    <w:rsid w:val="004A142D"/>
    <w:rsid w:val="004A1D42"/>
    <w:rsid w:val="004A2244"/>
    <w:rsid w:val="004A3618"/>
    <w:rsid w:val="004A5BAD"/>
    <w:rsid w:val="004B556B"/>
    <w:rsid w:val="004B6D59"/>
    <w:rsid w:val="004C02ED"/>
    <w:rsid w:val="004C1338"/>
    <w:rsid w:val="004C4B95"/>
    <w:rsid w:val="004D20FF"/>
    <w:rsid w:val="004D312B"/>
    <w:rsid w:val="004D3B00"/>
    <w:rsid w:val="004D3E33"/>
    <w:rsid w:val="004D4197"/>
    <w:rsid w:val="004D71E4"/>
    <w:rsid w:val="004E2BCB"/>
    <w:rsid w:val="004F1AB5"/>
    <w:rsid w:val="004F527D"/>
    <w:rsid w:val="0050138D"/>
    <w:rsid w:val="00505E55"/>
    <w:rsid w:val="00506C5C"/>
    <w:rsid w:val="005071DB"/>
    <w:rsid w:val="00507A88"/>
    <w:rsid w:val="005107BB"/>
    <w:rsid w:val="00511F7D"/>
    <w:rsid w:val="00520F5E"/>
    <w:rsid w:val="0052344B"/>
    <w:rsid w:val="00525E1E"/>
    <w:rsid w:val="00526F75"/>
    <w:rsid w:val="005344DF"/>
    <w:rsid w:val="00534996"/>
    <w:rsid w:val="005360B2"/>
    <w:rsid w:val="00543096"/>
    <w:rsid w:val="00547C1A"/>
    <w:rsid w:val="00550439"/>
    <w:rsid w:val="00552238"/>
    <w:rsid w:val="005525EC"/>
    <w:rsid w:val="00554CE4"/>
    <w:rsid w:val="005557D8"/>
    <w:rsid w:val="00557C00"/>
    <w:rsid w:val="00564D73"/>
    <w:rsid w:val="0056530A"/>
    <w:rsid w:val="00567025"/>
    <w:rsid w:val="005676EB"/>
    <w:rsid w:val="00567C50"/>
    <w:rsid w:val="00572955"/>
    <w:rsid w:val="00573BEC"/>
    <w:rsid w:val="00583F0A"/>
    <w:rsid w:val="005854FA"/>
    <w:rsid w:val="00585BE2"/>
    <w:rsid w:val="00586986"/>
    <w:rsid w:val="0058734D"/>
    <w:rsid w:val="005A1CB4"/>
    <w:rsid w:val="005A7ADB"/>
    <w:rsid w:val="005B0CDB"/>
    <w:rsid w:val="005B52F3"/>
    <w:rsid w:val="005B667E"/>
    <w:rsid w:val="005B745C"/>
    <w:rsid w:val="005C1F8E"/>
    <w:rsid w:val="005C37E7"/>
    <w:rsid w:val="005C3F12"/>
    <w:rsid w:val="005C4086"/>
    <w:rsid w:val="005C6D3B"/>
    <w:rsid w:val="005D0F82"/>
    <w:rsid w:val="005D419D"/>
    <w:rsid w:val="005D6228"/>
    <w:rsid w:val="005D63E6"/>
    <w:rsid w:val="005E5774"/>
    <w:rsid w:val="005F37B8"/>
    <w:rsid w:val="005F3C28"/>
    <w:rsid w:val="005F4635"/>
    <w:rsid w:val="005F474F"/>
    <w:rsid w:val="005F5CDA"/>
    <w:rsid w:val="005F7ED6"/>
    <w:rsid w:val="00603060"/>
    <w:rsid w:val="00611957"/>
    <w:rsid w:val="006127D1"/>
    <w:rsid w:val="00613859"/>
    <w:rsid w:val="006166F5"/>
    <w:rsid w:val="006168BB"/>
    <w:rsid w:val="00617856"/>
    <w:rsid w:val="00623F79"/>
    <w:rsid w:val="006361ED"/>
    <w:rsid w:val="00636EB4"/>
    <w:rsid w:val="00640107"/>
    <w:rsid w:val="00641E1D"/>
    <w:rsid w:val="00642F34"/>
    <w:rsid w:val="0064316F"/>
    <w:rsid w:val="0065212B"/>
    <w:rsid w:val="00652149"/>
    <w:rsid w:val="006626EE"/>
    <w:rsid w:val="00665991"/>
    <w:rsid w:val="00667F73"/>
    <w:rsid w:val="00670254"/>
    <w:rsid w:val="006735E7"/>
    <w:rsid w:val="006743B9"/>
    <w:rsid w:val="00674542"/>
    <w:rsid w:val="00675DFB"/>
    <w:rsid w:val="006761DD"/>
    <w:rsid w:val="0067666D"/>
    <w:rsid w:val="00680C4A"/>
    <w:rsid w:val="00683862"/>
    <w:rsid w:val="00690332"/>
    <w:rsid w:val="0069065F"/>
    <w:rsid w:val="006921FE"/>
    <w:rsid w:val="00693BF8"/>
    <w:rsid w:val="00696755"/>
    <w:rsid w:val="006A3339"/>
    <w:rsid w:val="006A4F11"/>
    <w:rsid w:val="006A5047"/>
    <w:rsid w:val="006A5F17"/>
    <w:rsid w:val="006B103A"/>
    <w:rsid w:val="006B6EAD"/>
    <w:rsid w:val="006C26FE"/>
    <w:rsid w:val="006C4FE3"/>
    <w:rsid w:val="006C5AF3"/>
    <w:rsid w:val="006C5D1D"/>
    <w:rsid w:val="006D1A2D"/>
    <w:rsid w:val="006D6FFD"/>
    <w:rsid w:val="006E60A7"/>
    <w:rsid w:val="006F3CAB"/>
    <w:rsid w:val="006F4F46"/>
    <w:rsid w:val="006F7AB7"/>
    <w:rsid w:val="00701582"/>
    <w:rsid w:val="0070292E"/>
    <w:rsid w:val="00704996"/>
    <w:rsid w:val="00714F71"/>
    <w:rsid w:val="007160D3"/>
    <w:rsid w:val="007175D1"/>
    <w:rsid w:val="00722320"/>
    <w:rsid w:val="0072751F"/>
    <w:rsid w:val="00734227"/>
    <w:rsid w:val="00734CCA"/>
    <w:rsid w:val="00742304"/>
    <w:rsid w:val="007455FE"/>
    <w:rsid w:val="0074638C"/>
    <w:rsid w:val="00747804"/>
    <w:rsid w:val="007530A2"/>
    <w:rsid w:val="00754037"/>
    <w:rsid w:val="00756332"/>
    <w:rsid w:val="0075635E"/>
    <w:rsid w:val="0075677F"/>
    <w:rsid w:val="00760FC6"/>
    <w:rsid w:val="00762643"/>
    <w:rsid w:val="007653DD"/>
    <w:rsid w:val="00765BC2"/>
    <w:rsid w:val="007661CC"/>
    <w:rsid w:val="007715B7"/>
    <w:rsid w:val="00772117"/>
    <w:rsid w:val="00774880"/>
    <w:rsid w:val="00775F60"/>
    <w:rsid w:val="00777596"/>
    <w:rsid w:val="00783274"/>
    <w:rsid w:val="00785F66"/>
    <w:rsid w:val="00790797"/>
    <w:rsid w:val="007A31BE"/>
    <w:rsid w:val="007A38AD"/>
    <w:rsid w:val="007A78DC"/>
    <w:rsid w:val="007B1B93"/>
    <w:rsid w:val="007B610D"/>
    <w:rsid w:val="007C76B0"/>
    <w:rsid w:val="007D1552"/>
    <w:rsid w:val="007D2025"/>
    <w:rsid w:val="007D480C"/>
    <w:rsid w:val="007D4F1C"/>
    <w:rsid w:val="007D4F45"/>
    <w:rsid w:val="007E1163"/>
    <w:rsid w:val="007E1858"/>
    <w:rsid w:val="007E1D80"/>
    <w:rsid w:val="007E4808"/>
    <w:rsid w:val="007F2035"/>
    <w:rsid w:val="007F224F"/>
    <w:rsid w:val="007F3162"/>
    <w:rsid w:val="008002B9"/>
    <w:rsid w:val="008049FC"/>
    <w:rsid w:val="00810B02"/>
    <w:rsid w:val="00810EA7"/>
    <w:rsid w:val="008122B4"/>
    <w:rsid w:val="0081373D"/>
    <w:rsid w:val="00813F24"/>
    <w:rsid w:val="008214ED"/>
    <w:rsid w:val="008229D1"/>
    <w:rsid w:val="008250DD"/>
    <w:rsid w:val="008255A0"/>
    <w:rsid w:val="00825C85"/>
    <w:rsid w:val="008263AF"/>
    <w:rsid w:val="00832223"/>
    <w:rsid w:val="0083248D"/>
    <w:rsid w:val="00833491"/>
    <w:rsid w:val="0083531C"/>
    <w:rsid w:val="0084126B"/>
    <w:rsid w:val="0084210A"/>
    <w:rsid w:val="008457DA"/>
    <w:rsid w:val="0085019A"/>
    <w:rsid w:val="00854912"/>
    <w:rsid w:val="00855046"/>
    <w:rsid w:val="00865D2A"/>
    <w:rsid w:val="00867146"/>
    <w:rsid w:val="00872D69"/>
    <w:rsid w:val="00873A6B"/>
    <w:rsid w:val="00882530"/>
    <w:rsid w:val="00882939"/>
    <w:rsid w:val="00882D48"/>
    <w:rsid w:val="00890989"/>
    <w:rsid w:val="00892BD5"/>
    <w:rsid w:val="0089768F"/>
    <w:rsid w:val="008A4D8A"/>
    <w:rsid w:val="008A7A5C"/>
    <w:rsid w:val="008B2588"/>
    <w:rsid w:val="008B36FA"/>
    <w:rsid w:val="008B7B76"/>
    <w:rsid w:val="008C0B50"/>
    <w:rsid w:val="008C43FA"/>
    <w:rsid w:val="008C7A81"/>
    <w:rsid w:val="008E148F"/>
    <w:rsid w:val="008E1BC4"/>
    <w:rsid w:val="008E2923"/>
    <w:rsid w:val="008E6D2F"/>
    <w:rsid w:val="008F4AB1"/>
    <w:rsid w:val="008F513B"/>
    <w:rsid w:val="008F5362"/>
    <w:rsid w:val="008F5B7D"/>
    <w:rsid w:val="008F677B"/>
    <w:rsid w:val="00901128"/>
    <w:rsid w:val="009020D8"/>
    <w:rsid w:val="00902793"/>
    <w:rsid w:val="00904C72"/>
    <w:rsid w:val="00912420"/>
    <w:rsid w:val="009158ED"/>
    <w:rsid w:val="00920793"/>
    <w:rsid w:val="0092132D"/>
    <w:rsid w:val="009239B6"/>
    <w:rsid w:val="009242C6"/>
    <w:rsid w:val="00924AA9"/>
    <w:rsid w:val="00926C7A"/>
    <w:rsid w:val="00931A3D"/>
    <w:rsid w:val="009321CF"/>
    <w:rsid w:val="00940945"/>
    <w:rsid w:val="009416A1"/>
    <w:rsid w:val="009427DB"/>
    <w:rsid w:val="00943009"/>
    <w:rsid w:val="009502E0"/>
    <w:rsid w:val="00950F0C"/>
    <w:rsid w:val="00962006"/>
    <w:rsid w:val="00962EC2"/>
    <w:rsid w:val="00967851"/>
    <w:rsid w:val="00967ED7"/>
    <w:rsid w:val="0097044F"/>
    <w:rsid w:val="00973248"/>
    <w:rsid w:val="009747AA"/>
    <w:rsid w:val="00974803"/>
    <w:rsid w:val="00974E22"/>
    <w:rsid w:val="009800A3"/>
    <w:rsid w:val="0098036A"/>
    <w:rsid w:val="009811BB"/>
    <w:rsid w:val="0098185C"/>
    <w:rsid w:val="00981BEF"/>
    <w:rsid w:val="00982F9A"/>
    <w:rsid w:val="00983BA9"/>
    <w:rsid w:val="00985375"/>
    <w:rsid w:val="00990F35"/>
    <w:rsid w:val="00991906"/>
    <w:rsid w:val="009919F4"/>
    <w:rsid w:val="009969AC"/>
    <w:rsid w:val="009A592D"/>
    <w:rsid w:val="009B23E3"/>
    <w:rsid w:val="009B5CCF"/>
    <w:rsid w:val="009B627A"/>
    <w:rsid w:val="009B7C35"/>
    <w:rsid w:val="009B7C84"/>
    <w:rsid w:val="009C5A2B"/>
    <w:rsid w:val="009C6E25"/>
    <w:rsid w:val="009D23FF"/>
    <w:rsid w:val="009D2996"/>
    <w:rsid w:val="009D37EB"/>
    <w:rsid w:val="009D4198"/>
    <w:rsid w:val="009D4AA1"/>
    <w:rsid w:val="009E0674"/>
    <w:rsid w:val="009E15D1"/>
    <w:rsid w:val="009E2CB2"/>
    <w:rsid w:val="009E4228"/>
    <w:rsid w:val="009E4B99"/>
    <w:rsid w:val="009F4E93"/>
    <w:rsid w:val="009F51A9"/>
    <w:rsid w:val="009F534A"/>
    <w:rsid w:val="00A0106E"/>
    <w:rsid w:val="00A02D5C"/>
    <w:rsid w:val="00A0410E"/>
    <w:rsid w:val="00A05483"/>
    <w:rsid w:val="00A10A8D"/>
    <w:rsid w:val="00A11581"/>
    <w:rsid w:val="00A1174C"/>
    <w:rsid w:val="00A11ABB"/>
    <w:rsid w:val="00A11B98"/>
    <w:rsid w:val="00A13242"/>
    <w:rsid w:val="00A1329A"/>
    <w:rsid w:val="00A15564"/>
    <w:rsid w:val="00A24EEB"/>
    <w:rsid w:val="00A27277"/>
    <w:rsid w:val="00A41019"/>
    <w:rsid w:val="00A45083"/>
    <w:rsid w:val="00A5184C"/>
    <w:rsid w:val="00A518DC"/>
    <w:rsid w:val="00A53254"/>
    <w:rsid w:val="00A533F3"/>
    <w:rsid w:val="00A5759F"/>
    <w:rsid w:val="00A5781D"/>
    <w:rsid w:val="00A61F9F"/>
    <w:rsid w:val="00A667E6"/>
    <w:rsid w:val="00A73A31"/>
    <w:rsid w:val="00A76B8D"/>
    <w:rsid w:val="00A77B00"/>
    <w:rsid w:val="00A81385"/>
    <w:rsid w:val="00A845E2"/>
    <w:rsid w:val="00A85924"/>
    <w:rsid w:val="00A8770E"/>
    <w:rsid w:val="00A87AC8"/>
    <w:rsid w:val="00A87B9D"/>
    <w:rsid w:val="00A906CC"/>
    <w:rsid w:val="00A91E6A"/>
    <w:rsid w:val="00A94160"/>
    <w:rsid w:val="00A962CF"/>
    <w:rsid w:val="00A96D14"/>
    <w:rsid w:val="00AA08ED"/>
    <w:rsid w:val="00AA0C61"/>
    <w:rsid w:val="00AA2A53"/>
    <w:rsid w:val="00AA2B09"/>
    <w:rsid w:val="00AB198E"/>
    <w:rsid w:val="00AB2646"/>
    <w:rsid w:val="00AB7BC3"/>
    <w:rsid w:val="00AC65E7"/>
    <w:rsid w:val="00AC7967"/>
    <w:rsid w:val="00AD1504"/>
    <w:rsid w:val="00AD6572"/>
    <w:rsid w:val="00AE40E7"/>
    <w:rsid w:val="00AE5B14"/>
    <w:rsid w:val="00AF24FF"/>
    <w:rsid w:val="00AF32FB"/>
    <w:rsid w:val="00AF7E11"/>
    <w:rsid w:val="00B073E2"/>
    <w:rsid w:val="00B0741E"/>
    <w:rsid w:val="00B079C9"/>
    <w:rsid w:val="00B10C42"/>
    <w:rsid w:val="00B110FF"/>
    <w:rsid w:val="00B133C7"/>
    <w:rsid w:val="00B135B1"/>
    <w:rsid w:val="00B17602"/>
    <w:rsid w:val="00B20BA6"/>
    <w:rsid w:val="00B211F4"/>
    <w:rsid w:val="00B23CA2"/>
    <w:rsid w:val="00B24497"/>
    <w:rsid w:val="00B30A4A"/>
    <w:rsid w:val="00B33160"/>
    <w:rsid w:val="00B3369C"/>
    <w:rsid w:val="00B34BDF"/>
    <w:rsid w:val="00B356A7"/>
    <w:rsid w:val="00B3640B"/>
    <w:rsid w:val="00B41B52"/>
    <w:rsid w:val="00B42488"/>
    <w:rsid w:val="00B43A29"/>
    <w:rsid w:val="00B448EC"/>
    <w:rsid w:val="00B47EFA"/>
    <w:rsid w:val="00B5478D"/>
    <w:rsid w:val="00B569BE"/>
    <w:rsid w:val="00B606A9"/>
    <w:rsid w:val="00B646B5"/>
    <w:rsid w:val="00B64C5F"/>
    <w:rsid w:val="00B674BA"/>
    <w:rsid w:val="00B676D5"/>
    <w:rsid w:val="00B73053"/>
    <w:rsid w:val="00B7465F"/>
    <w:rsid w:val="00B807D7"/>
    <w:rsid w:val="00B9447B"/>
    <w:rsid w:val="00B95087"/>
    <w:rsid w:val="00B95F11"/>
    <w:rsid w:val="00BA11BA"/>
    <w:rsid w:val="00BA2E60"/>
    <w:rsid w:val="00BA4EEC"/>
    <w:rsid w:val="00BB1A7B"/>
    <w:rsid w:val="00BB2039"/>
    <w:rsid w:val="00BB47E9"/>
    <w:rsid w:val="00BB64EF"/>
    <w:rsid w:val="00BB7C01"/>
    <w:rsid w:val="00BC1B3B"/>
    <w:rsid w:val="00BC2C48"/>
    <w:rsid w:val="00BC3165"/>
    <w:rsid w:val="00BC5320"/>
    <w:rsid w:val="00BC5947"/>
    <w:rsid w:val="00BC7509"/>
    <w:rsid w:val="00BD18FB"/>
    <w:rsid w:val="00BD4C28"/>
    <w:rsid w:val="00BD52EE"/>
    <w:rsid w:val="00BE0831"/>
    <w:rsid w:val="00BE44DD"/>
    <w:rsid w:val="00BE476F"/>
    <w:rsid w:val="00BE49AA"/>
    <w:rsid w:val="00BE6B1B"/>
    <w:rsid w:val="00BE7CE7"/>
    <w:rsid w:val="00BF20F1"/>
    <w:rsid w:val="00BF49A4"/>
    <w:rsid w:val="00C0053D"/>
    <w:rsid w:val="00C0105C"/>
    <w:rsid w:val="00C13F55"/>
    <w:rsid w:val="00C13FCD"/>
    <w:rsid w:val="00C14503"/>
    <w:rsid w:val="00C1631B"/>
    <w:rsid w:val="00C17EE6"/>
    <w:rsid w:val="00C207FB"/>
    <w:rsid w:val="00C21CB5"/>
    <w:rsid w:val="00C21F74"/>
    <w:rsid w:val="00C32431"/>
    <w:rsid w:val="00C37C5B"/>
    <w:rsid w:val="00C410A6"/>
    <w:rsid w:val="00C445D4"/>
    <w:rsid w:val="00C456AA"/>
    <w:rsid w:val="00C51CC7"/>
    <w:rsid w:val="00C5640E"/>
    <w:rsid w:val="00C61AD0"/>
    <w:rsid w:val="00C6524F"/>
    <w:rsid w:val="00C703AD"/>
    <w:rsid w:val="00C70958"/>
    <w:rsid w:val="00C714AD"/>
    <w:rsid w:val="00C74EC9"/>
    <w:rsid w:val="00C7578D"/>
    <w:rsid w:val="00C75E54"/>
    <w:rsid w:val="00C80E1A"/>
    <w:rsid w:val="00C90995"/>
    <w:rsid w:val="00C92415"/>
    <w:rsid w:val="00C92C7A"/>
    <w:rsid w:val="00C93CB0"/>
    <w:rsid w:val="00C93D85"/>
    <w:rsid w:val="00C9755B"/>
    <w:rsid w:val="00C97837"/>
    <w:rsid w:val="00CA1E99"/>
    <w:rsid w:val="00CA22B6"/>
    <w:rsid w:val="00CA28CA"/>
    <w:rsid w:val="00CA38E6"/>
    <w:rsid w:val="00CA3BDB"/>
    <w:rsid w:val="00CA4A9D"/>
    <w:rsid w:val="00CA5CA7"/>
    <w:rsid w:val="00CB5C9B"/>
    <w:rsid w:val="00CB6012"/>
    <w:rsid w:val="00CC0F88"/>
    <w:rsid w:val="00CC583C"/>
    <w:rsid w:val="00CC58C5"/>
    <w:rsid w:val="00CD19ED"/>
    <w:rsid w:val="00CD4B78"/>
    <w:rsid w:val="00CD62D2"/>
    <w:rsid w:val="00CE1AC5"/>
    <w:rsid w:val="00CE2109"/>
    <w:rsid w:val="00CE3E83"/>
    <w:rsid w:val="00CE5210"/>
    <w:rsid w:val="00CE6201"/>
    <w:rsid w:val="00CE6824"/>
    <w:rsid w:val="00CE6B8A"/>
    <w:rsid w:val="00CF15E4"/>
    <w:rsid w:val="00CF241D"/>
    <w:rsid w:val="00CF29B3"/>
    <w:rsid w:val="00CF356B"/>
    <w:rsid w:val="00CF38E0"/>
    <w:rsid w:val="00CF4322"/>
    <w:rsid w:val="00CF46FC"/>
    <w:rsid w:val="00D00726"/>
    <w:rsid w:val="00D01354"/>
    <w:rsid w:val="00D03A46"/>
    <w:rsid w:val="00D04B23"/>
    <w:rsid w:val="00D04E0C"/>
    <w:rsid w:val="00D0614F"/>
    <w:rsid w:val="00D07DC2"/>
    <w:rsid w:val="00D117C1"/>
    <w:rsid w:val="00D17052"/>
    <w:rsid w:val="00D17F93"/>
    <w:rsid w:val="00D20C9C"/>
    <w:rsid w:val="00D21A2F"/>
    <w:rsid w:val="00D21E5C"/>
    <w:rsid w:val="00D22C68"/>
    <w:rsid w:val="00D24016"/>
    <w:rsid w:val="00D24C6E"/>
    <w:rsid w:val="00D251D8"/>
    <w:rsid w:val="00D31940"/>
    <w:rsid w:val="00D32DBB"/>
    <w:rsid w:val="00D33503"/>
    <w:rsid w:val="00D3435B"/>
    <w:rsid w:val="00D36987"/>
    <w:rsid w:val="00D37D17"/>
    <w:rsid w:val="00D40D83"/>
    <w:rsid w:val="00D43366"/>
    <w:rsid w:val="00D438DF"/>
    <w:rsid w:val="00D46C23"/>
    <w:rsid w:val="00D50E1D"/>
    <w:rsid w:val="00D517E7"/>
    <w:rsid w:val="00D5263D"/>
    <w:rsid w:val="00D557C4"/>
    <w:rsid w:val="00D5662C"/>
    <w:rsid w:val="00D56DD2"/>
    <w:rsid w:val="00D571E5"/>
    <w:rsid w:val="00D605D7"/>
    <w:rsid w:val="00D6230E"/>
    <w:rsid w:val="00D6616E"/>
    <w:rsid w:val="00D70FBA"/>
    <w:rsid w:val="00D73F27"/>
    <w:rsid w:val="00D75819"/>
    <w:rsid w:val="00D81682"/>
    <w:rsid w:val="00D826E4"/>
    <w:rsid w:val="00D85167"/>
    <w:rsid w:val="00D87089"/>
    <w:rsid w:val="00D91355"/>
    <w:rsid w:val="00D97611"/>
    <w:rsid w:val="00D97B4C"/>
    <w:rsid w:val="00DA157A"/>
    <w:rsid w:val="00DA25B7"/>
    <w:rsid w:val="00DA270F"/>
    <w:rsid w:val="00DA3742"/>
    <w:rsid w:val="00DA3F47"/>
    <w:rsid w:val="00DA4B01"/>
    <w:rsid w:val="00DA6EA1"/>
    <w:rsid w:val="00DA78FF"/>
    <w:rsid w:val="00DB1FB7"/>
    <w:rsid w:val="00DB2DDC"/>
    <w:rsid w:val="00DB325A"/>
    <w:rsid w:val="00DB4692"/>
    <w:rsid w:val="00DC2199"/>
    <w:rsid w:val="00DC2B6F"/>
    <w:rsid w:val="00DC3CD3"/>
    <w:rsid w:val="00DC4309"/>
    <w:rsid w:val="00DC6A12"/>
    <w:rsid w:val="00DC7659"/>
    <w:rsid w:val="00DD1D8C"/>
    <w:rsid w:val="00DD2744"/>
    <w:rsid w:val="00DD6633"/>
    <w:rsid w:val="00DE10FE"/>
    <w:rsid w:val="00DE1AA0"/>
    <w:rsid w:val="00DF0AB3"/>
    <w:rsid w:val="00DF1D3B"/>
    <w:rsid w:val="00DF2911"/>
    <w:rsid w:val="00DF2DB8"/>
    <w:rsid w:val="00DF4204"/>
    <w:rsid w:val="00E034D3"/>
    <w:rsid w:val="00E0695C"/>
    <w:rsid w:val="00E06A5A"/>
    <w:rsid w:val="00E07C59"/>
    <w:rsid w:val="00E1033A"/>
    <w:rsid w:val="00E1142C"/>
    <w:rsid w:val="00E167C1"/>
    <w:rsid w:val="00E241EC"/>
    <w:rsid w:val="00E27880"/>
    <w:rsid w:val="00E3062A"/>
    <w:rsid w:val="00E30D15"/>
    <w:rsid w:val="00E34967"/>
    <w:rsid w:val="00E354D3"/>
    <w:rsid w:val="00E376EF"/>
    <w:rsid w:val="00E41942"/>
    <w:rsid w:val="00E41BAB"/>
    <w:rsid w:val="00E426F9"/>
    <w:rsid w:val="00E4271F"/>
    <w:rsid w:val="00E43328"/>
    <w:rsid w:val="00E44B93"/>
    <w:rsid w:val="00E517D3"/>
    <w:rsid w:val="00E52C9B"/>
    <w:rsid w:val="00E53BFB"/>
    <w:rsid w:val="00E570B7"/>
    <w:rsid w:val="00E609D2"/>
    <w:rsid w:val="00E621A0"/>
    <w:rsid w:val="00E62B95"/>
    <w:rsid w:val="00E727CC"/>
    <w:rsid w:val="00E80264"/>
    <w:rsid w:val="00E81D85"/>
    <w:rsid w:val="00E82D45"/>
    <w:rsid w:val="00E83DDB"/>
    <w:rsid w:val="00E84AE4"/>
    <w:rsid w:val="00E87DA1"/>
    <w:rsid w:val="00E90411"/>
    <w:rsid w:val="00E921BF"/>
    <w:rsid w:val="00EA0A92"/>
    <w:rsid w:val="00EA1E20"/>
    <w:rsid w:val="00EB1594"/>
    <w:rsid w:val="00EB2C03"/>
    <w:rsid w:val="00EC0F7F"/>
    <w:rsid w:val="00EC1778"/>
    <w:rsid w:val="00EC3272"/>
    <w:rsid w:val="00EC665C"/>
    <w:rsid w:val="00EC755E"/>
    <w:rsid w:val="00ED7963"/>
    <w:rsid w:val="00EE3FF3"/>
    <w:rsid w:val="00EE485C"/>
    <w:rsid w:val="00EE77AE"/>
    <w:rsid w:val="00EE7F52"/>
    <w:rsid w:val="00EF238D"/>
    <w:rsid w:val="00EF283D"/>
    <w:rsid w:val="00EF3ACA"/>
    <w:rsid w:val="00EF765A"/>
    <w:rsid w:val="00F00F74"/>
    <w:rsid w:val="00F01665"/>
    <w:rsid w:val="00F027C4"/>
    <w:rsid w:val="00F101B4"/>
    <w:rsid w:val="00F123CE"/>
    <w:rsid w:val="00F15825"/>
    <w:rsid w:val="00F1683F"/>
    <w:rsid w:val="00F17BAD"/>
    <w:rsid w:val="00F20BF6"/>
    <w:rsid w:val="00F243BF"/>
    <w:rsid w:val="00F255FA"/>
    <w:rsid w:val="00F26421"/>
    <w:rsid w:val="00F30B4B"/>
    <w:rsid w:val="00F322A0"/>
    <w:rsid w:val="00F32365"/>
    <w:rsid w:val="00F3327A"/>
    <w:rsid w:val="00F36134"/>
    <w:rsid w:val="00F42352"/>
    <w:rsid w:val="00F42717"/>
    <w:rsid w:val="00F46C36"/>
    <w:rsid w:val="00F4711A"/>
    <w:rsid w:val="00F47E82"/>
    <w:rsid w:val="00F50498"/>
    <w:rsid w:val="00F5129F"/>
    <w:rsid w:val="00F5136D"/>
    <w:rsid w:val="00F51589"/>
    <w:rsid w:val="00F5213E"/>
    <w:rsid w:val="00F5246F"/>
    <w:rsid w:val="00F55F1E"/>
    <w:rsid w:val="00F60043"/>
    <w:rsid w:val="00F624CA"/>
    <w:rsid w:val="00F633C7"/>
    <w:rsid w:val="00F72010"/>
    <w:rsid w:val="00F72749"/>
    <w:rsid w:val="00F73043"/>
    <w:rsid w:val="00F73D21"/>
    <w:rsid w:val="00F74135"/>
    <w:rsid w:val="00F75829"/>
    <w:rsid w:val="00F84A2D"/>
    <w:rsid w:val="00F93807"/>
    <w:rsid w:val="00F94F53"/>
    <w:rsid w:val="00F97B93"/>
    <w:rsid w:val="00FA28C7"/>
    <w:rsid w:val="00FA2CEC"/>
    <w:rsid w:val="00FA5976"/>
    <w:rsid w:val="00FB0E4A"/>
    <w:rsid w:val="00FB218D"/>
    <w:rsid w:val="00FB58B1"/>
    <w:rsid w:val="00FB7ACD"/>
    <w:rsid w:val="00FC1465"/>
    <w:rsid w:val="00FC4EEA"/>
    <w:rsid w:val="00FC63AE"/>
    <w:rsid w:val="00FC77DD"/>
    <w:rsid w:val="00FC7B42"/>
    <w:rsid w:val="00FD0C25"/>
    <w:rsid w:val="00FD1588"/>
    <w:rsid w:val="00FD6CC4"/>
    <w:rsid w:val="00FE2062"/>
    <w:rsid w:val="00FE21A3"/>
    <w:rsid w:val="00FE3566"/>
    <w:rsid w:val="00FE4627"/>
    <w:rsid w:val="00FF12C7"/>
    <w:rsid w:val="00FF4AF1"/>
    <w:rsid w:val="0F94A679"/>
    <w:rsid w:val="1A8DDBBC"/>
    <w:rsid w:val="1C175881"/>
    <w:rsid w:val="2F522BBE"/>
    <w:rsid w:val="35B3DF73"/>
    <w:rsid w:val="36013B50"/>
    <w:rsid w:val="4B87533D"/>
    <w:rsid w:val="74404C81"/>
    <w:rsid w:val="777FDA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B2C14"/>
  <w15:docId w15:val="{2F29A33F-C91A-43FD-B3D3-46475BEF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5B7"/>
    <w:pPr>
      <w:spacing w:after="200" w:line="240" w:lineRule="auto"/>
    </w:pPr>
    <w:rPr>
      <w:rFonts w:cs="Times New Roman"/>
    </w:rPr>
  </w:style>
  <w:style w:type="paragraph" w:styleId="Heading1">
    <w:name w:val="heading 1"/>
    <w:basedOn w:val="Normal"/>
    <w:next w:val="Normal"/>
    <w:link w:val="Heading1Char"/>
    <w:uiPriority w:val="9"/>
    <w:qFormat/>
    <w:rsid w:val="00BE49AA"/>
    <w:pPr>
      <w:keepNext/>
      <w:keepLines/>
      <w:spacing w:before="240"/>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BE49AA"/>
    <w:pPr>
      <w:keepNext/>
      <w:keepLines/>
      <w:spacing w:before="40" w:after="140"/>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BE49AA"/>
    <w:pPr>
      <w:keepNext/>
      <w:keepLines/>
      <w:spacing w:before="40"/>
      <w:outlineLvl w:val="2"/>
    </w:pPr>
    <w:rPr>
      <w:rFonts w:asciiTheme="majorHAnsi" w:eastAsiaTheme="majorEastAsia" w:hAnsiTheme="majorHAnsi" w:cstheme="majorBidi"/>
      <w:b/>
      <w:i/>
      <w:sz w:val="26"/>
      <w:szCs w:val="24"/>
    </w:rPr>
  </w:style>
  <w:style w:type="paragraph" w:styleId="Heading4">
    <w:name w:val="heading 4"/>
    <w:basedOn w:val="Normal"/>
    <w:next w:val="Normal"/>
    <w:link w:val="Heading4Char"/>
    <w:uiPriority w:val="9"/>
    <w:unhideWhenUsed/>
    <w:qFormat/>
    <w:rsid w:val="00BE49AA"/>
    <w:pPr>
      <w:keepNext/>
      <w:keepLines/>
      <w:spacing w:before="40"/>
      <w:outlineLvl w:val="3"/>
    </w:pPr>
    <w:rPr>
      <w:rFonts w:asciiTheme="majorHAnsi" w:eastAsiaTheme="majorEastAsia" w:hAnsiTheme="majorHAnsi" w:cstheme="majorBidi"/>
      <w:b/>
      <w:iCs/>
      <w:sz w:val="24"/>
      <w:u w:val="single"/>
    </w:rPr>
  </w:style>
  <w:style w:type="paragraph" w:styleId="Heading5">
    <w:name w:val="heading 5"/>
    <w:basedOn w:val="Normal"/>
    <w:next w:val="Normal"/>
    <w:link w:val="Heading5Char"/>
    <w:uiPriority w:val="9"/>
    <w:unhideWhenUsed/>
    <w:qFormat/>
    <w:rsid w:val="00CA22B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9AA"/>
    <w:pPr>
      <w:ind w:left="720"/>
    </w:pPr>
  </w:style>
  <w:style w:type="paragraph" w:styleId="FootnoteText">
    <w:name w:val="footnote text"/>
    <w:aliases w:val="5_G,Footnote Text Char Char Char Char Char,Footnote Text Char Char Char Char,Footnote reference,FA Fu,Footnote Text Char Char Char,Footnote Text Cha,FA Fußnotentext,FA Fu?notentext,Texto nota pie Car,Footnote Text Char Char,FA Fuﬂnotentext"/>
    <w:basedOn w:val="Normal"/>
    <w:link w:val="FootnoteTextChar"/>
    <w:uiPriority w:val="99"/>
    <w:unhideWhenUsed/>
    <w:qFormat/>
    <w:rsid w:val="0074638C"/>
    <w:rPr>
      <w:rFonts w:asciiTheme="majorHAnsi" w:hAnsiTheme="majorHAnsi"/>
      <w:sz w:val="20"/>
      <w:szCs w:val="20"/>
    </w:rPr>
  </w:style>
  <w:style w:type="character" w:customStyle="1" w:styleId="FootnoteTextChar">
    <w:name w:val="Footnote Text Char"/>
    <w:aliases w:val="5_G Char,Footnote Text Char Char Char Char Char Char,Footnote Text Char Char Char Char Char1,Footnote reference Char,FA Fu Char,Footnote Text Char Char Char Char1,Footnote Text Cha Char,FA Fußnotentext Char,FA Fu?notentext Char"/>
    <w:basedOn w:val="DefaultParagraphFont"/>
    <w:link w:val="FootnoteText"/>
    <w:uiPriority w:val="99"/>
    <w:rsid w:val="0074638C"/>
    <w:rPr>
      <w:rFonts w:ascii="Calibri" w:hAnsi="Calibri" w:cs="Times New Roman"/>
      <w:sz w:val="20"/>
      <w:szCs w:val="20"/>
    </w:rPr>
  </w:style>
  <w:style w:type="character" w:styleId="FootnoteReference">
    <w:name w:val="footnote reference"/>
    <w:aliases w:val="4_G,Footnotes refss,Texto de nota al pie,Appel note de bas de page,Footnote number,referencia nota al pie,BVI fnr,f,16 Point,Superscript 6 Point,Texto nota al pie,Footnote Reference Char3,Footnote Reference Char1 Char,Ref. de nota al"/>
    <w:basedOn w:val="DefaultParagraphFont"/>
    <w:uiPriority w:val="99"/>
    <w:unhideWhenUsed/>
    <w:qFormat/>
    <w:rsid w:val="0074638C"/>
    <w:rPr>
      <w:vertAlign w:val="superscript"/>
    </w:rPr>
  </w:style>
  <w:style w:type="table" w:styleId="TableGrid">
    <w:name w:val="Table Grid"/>
    <w:basedOn w:val="TableNormal"/>
    <w:uiPriority w:val="39"/>
    <w:rsid w:val="00813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0E1A"/>
    <w:pPr>
      <w:tabs>
        <w:tab w:val="center" w:pos="4513"/>
        <w:tab w:val="right" w:pos="9026"/>
      </w:tabs>
    </w:pPr>
    <w:rPr>
      <w:rFonts w:asciiTheme="majorHAnsi" w:hAnsiTheme="majorHAnsi"/>
    </w:rPr>
  </w:style>
  <w:style w:type="character" w:customStyle="1" w:styleId="HeaderChar">
    <w:name w:val="Header Char"/>
    <w:basedOn w:val="DefaultParagraphFont"/>
    <w:link w:val="Header"/>
    <w:uiPriority w:val="99"/>
    <w:rsid w:val="00C80E1A"/>
    <w:rPr>
      <w:rFonts w:ascii="Calibri" w:hAnsi="Calibri" w:cs="Times New Roman"/>
    </w:rPr>
  </w:style>
  <w:style w:type="paragraph" w:styleId="Footer">
    <w:name w:val="footer"/>
    <w:basedOn w:val="Normal"/>
    <w:link w:val="FooterChar"/>
    <w:uiPriority w:val="99"/>
    <w:unhideWhenUsed/>
    <w:rsid w:val="00C80E1A"/>
    <w:pPr>
      <w:tabs>
        <w:tab w:val="center" w:pos="4513"/>
        <w:tab w:val="right" w:pos="9026"/>
      </w:tabs>
    </w:pPr>
    <w:rPr>
      <w:rFonts w:asciiTheme="majorHAnsi" w:hAnsiTheme="majorHAnsi"/>
    </w:rPr>
  </w:style>
  <w:style w:type="character" w:customStyle="1" w:styleId="FooterChar">
    <w:name w:val="Footer Char"/>
    <w:basedOn w:val="DefaultParagraphFont"/>
    <w:link w:val="Footer"/>
    <w:uiPriority w:val="99"/>
    <w:rsid w:val="00C80E1A"/>
    <w:rPr>
      <w:rFonts w:ascii="Calibri" w:hAnsi="Calibri" w:cs="Times New Roman"/>
    </w:rPr>
  </w:style>
  <w:style w:type="paragraph" w:styleId="NoSpacing">
    <w:name w:val="No Spacing"/>
    <w:uiPriority w:val="1"/>
    <w:qFormat/>
    <w:rsid w:val="004A1D42"/>
    <w:pPr>
      <w:spacing w:after="0" w:line="240" w:lineRule="auto"/>
    </w:pPr>
    <w:rPr>
      <w:rFonts w:ascii="Calibri" w:hAnsi="Calibri" w:cs="Times New Roman"/>
    </w:rPr>
  </w:style>
  <w:style w:type="character" w:styleId="Hyperlink">
    <w:name w:val="Hyperlink"/>
    <w:basedOn w:val="DefaultParagraphFont"/>
    <w:uiPriority w:val="99"/>
    <w:unhideWhenUsed/>
    <w:rsid w:val="00485F41"/>
    <w:rPr>
      <w:color w:val="0563C1" w:themeColor="hyperlink"/>
      <w:u w:val="single"/>
    </w:rPr>
  </w:style>
  <w:style w:type="character" w:styleId="CommentReference">
    <w:name w:val="annotation reference"/>
    <w:basedOn w:val="DefaultParagraphFont"/>
    <w:uiPriority w:val="99"/>
    <w:semiHidden/>
    <w:unhideWhenUsed/>
    <w:rsid w:val="00901128"/>
    <w:rPr>
      <w:sz w:val="16"/>
      <w:szCs w:val="16"/>
    </w:rPr>
  </w:style>
  <w:style w:type="paragraph" w:styleId="CommentText">
    <w:name w:val="annotation text"/>
    <w:basedOn w:val="Normal"/>
    <w:link w:val="CommentTextChar"/>
    <w:uiPriority w:val="99"/>
    <w:unhideWhenUsed/>
    <w:rsid w:val="00901128"/>
    <w:rPr>
      <w:rFonts w:asciiTheme="majorHAnsi" w:hAnsiTheme="majorHAnsi"/>
      <w:sz w:val="20"/>
      <w:szCs w:val="20"/>
    </w:rPr>
  </w:style>
  <w:style w:type="character" w:customStyle="1" w:styleId="CommentTextChar">
    <w:name w:val="Comment Text Char"/>
    <w:basedOn w:val="DefaultParagraphFont"/>
    <w:link w:val="CommentText"/>
    <w:uiPriority w:val="99"/>
    <w:rsid w:val="0090112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01128"/>
    <w:rPr>
      <w:b/>
      <w:bCs/>
    </w:rPr>
  </w:style>
  <w:style w:type="character" w:customStyle="1" w:styleId="CommentSubjectChar">
    <w:name w:val="Comment Subject Char"/>
    <w:basedOn w:val="CommentTextChar"/>
    <w:link w:val="CommentSubject"/>
    <w:uiPriority w:val="99"/>
    <w:semiHidden/>
    <w:rsid w:val="00901128"/>
    <w:rPr>
      <w:rFonts w:ascii="Calibri" w:hAnsi="Calibri" w:cs="Times New Roman"/>
      <w:b/>
      <w:bCs/>
      <w:sz w:val="20"/>
      <w:szCs w:val="20"/>
    </w:rPr>
  </w:style>
  <w:style w:type="paragraph" w:styleId="BalloonText">
    <w:name w:val="Balloon Text"/>
    <w:basedOn w:val="Normal"/>
    <w:link w:val="BalloonTextChar"/>
    <w:uiPriority w:val="99"/>
    <w:semiHidden/>
    <w:unhideWhenUsed/>
    <w:rsid w:val="009011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128"/>
    <w:rPr>
      <w:rFonts w:ascii="Segoe UI" w:hAnsi="Segoe UI" w:cs="Segoe UI"/>
      <w:sz w:val="18"/>
      <w:szCs w:val="18"/>
    </w:rPr>
  </w:style>
  <w:style w:type="character" w:customStyle="1" w:styleId="Heading3Char">
    <w:name w:val="Heading 3 Char"/>
    <w:basedOn w:val="DefaultParagraphFont"/>
    <w:link w:val="Heading3"/>
    <w:uiPriority w:val="9"/>
    <w:rsid w:val="00BE49AA"/>
    <w:rPr>
      <w:rFonts w:asciiTheme="majorHAnsi" w:eastAsiaTheme="majorEastAsia" w:hAnsiTheme="majorHAnsi" w:cstheme="majorBidi"/>
      <w:b/>
      <w:i/>
      <w:sz w:val="26"/>
      <w:szCs w:val="24"/>
    </w:rPr>
  </w:style>
  <w:style w:type="character" w:customStyle="1" w:styleId="Heading2Char">
    <w:name w:val="Heading 2 Char"/>
    <w:basedOn w:val="DefaultParagraphFont"/>
    <w:link w:val="Heading2"/>
    <w:uiPriority w:val="9"/>
    <w:rsid w:val="00BE49AA"/>
    <w:rPr>
      <w:rFonts w:asciiTheme="majorHAnsi" w:eastAsiaTheme="majorEastAsia" w:hAnsiTheme="majorHAnsi" w:cstheme="majorBidi"/>
      <w:b/>
      <w:color w:val="000000" w:themeColor="text1"/>
      <w:sz w:val="28"/>
      <w:szCs w:val="26"/>
    </w:rPr>
  </w:style>
  <w:style w:type="character" w:customStyle="1" w:styleId="Heading1Char">
    <w:name w:val="Heading 1 Char"/>
    <w:basedOn w:val="DefaultParagraphFont"/>
    <w:link w:val="Heading1"/>
    <w:uiPriority w:val="9"/>
    <w:rsid w:val="00BE49AA"/>
    <w:rPr>
      <w:rFonts w:asciiTheme="majorHAnsi" w:eastAsiaTheme="majorEastAsia" w:hAnsiTheme="majorHAnsi" w:cstheme="majorBidi"/>
      <w:b/>
      <w:color w:val="2E74B5" w:themeColor="accent1" w:themeShade="BF"/>
      <w:sz w:val="32"/>
      <w:szCs w:val="32"/>
    </w:rPr>
  </w:style>
  <w:style w:type="character" w:customStyle="1" w:styleId="Heading4Char">
    <w:name w:val="Heading 4 Char"/>
    <w:basedOn w:val="DefaultParagraphFont"/>
    <w:link w:val="Heading4"/>
    <w:uiPriority w:val="9"/>
    <w:rsid w:val="00BE49AA"/>
    <w:rPr>
      <w:rFonts w:asciiTheme="majorHAnsi" w:eastAsiaTheme="majorEastAsia" w:hAnsiTheme="majorHAnsi" w:cstheme="majorBidi"/>
      <w:b/>
      <w:iCs/>
      <w:sz w:val="24"/>
      <w:u w:val="single"/>
    </w:rPr>
  </w:style>
  <w:style w:type="paragraph" w:styleId="NormalWeb">
    <w:name w:val="Normal (Web)"/>
    <w:basedOn w:val="Normal"/>
    <w:uiPriority w:val="99"/>
    <w:semiHidden/>
    <w:unhideWhenUsed/>
    <w:rsid w:val="00A518DC"/>
    <w:pPr>
      <w:spacing w:before="100" w:beforeAutospacing="1" w:after="100" w:afterAutospacing="1"/>
    </w:pPr>
    <w:rPr>
      <w:rFonts w:ascii="Times New Roman" w:eastAsiaTheme="minorEastAsia" w:hAnsi="Times New Roman"/>
      <w:sz w:val="24"/>
      <w:szCs w:val="24"/>
      <w:lang w:eastAsia="en-AU"/>
    </w:rPr>
  </w:style>
  <w:style w:type="character" w:styleId="FollowedHyperlink">
    <w:name w:val="FollowedHyperlink"/>
    <w:basedOn w:val="DefaultParagraphFont"/>
    <w:uiPriority w:val="99"/>
    <w:semiHidden/>
    <w:unhideWhenUsed/>
    <w:rsid w:val="00FC63AE"/>
    <w:rPr>
      <w:color w:val="954F72" w:themeColor="followedHyperlink"/>
      <w:u w:val="single"/>
    </w:rPr>
  </w:style>
  <w:style w:type="character" w:customStyle="1" w:styleId="UnresolvedMention1">
    <w:name w:val="Unresolved Mention1"/>
    <w:basedOn w:val="DefaultParagraphFont"/>
    <w:uiPriority w:val="99"/>
    <w:semiHidden/>
    <w:unhideWhenUsed/>
    <w:rsid w:val="002B5DD4"/>
    <w:rPr>
      <w:color w:val="605E5C"/>
      <w:shd w:val="clear" w:color="auto" w:fill="E1DFDD"/>
    </w:rPr>
  </w:style>
  <w:style w:type="paragraph" w:styleId="TOCHeading">
    <w:name w:val="TOC Heading"/>
    <w:basedOn w:val="Heading1"/>
    <w:next w:val="Normal"/>
    <w:uiPriority w:val="39"/>
    <w:unhideWhenUsed/>
    <w:qFormat/>
    <w:rsid w:val="00890989"/>
    <w:pPr>
      <w:spacing w:line="259" w:lineRule="auto"/>
      <w:outlineLvl w:val="9"/>
    </w:pPr>
    <w:rPr>
      <w:b w:val="0"/>
      <w:lang w:val="en-US"/>
    </w:rPr>
  </w:style>
  <w:style w:type="paragraph" w:styleId="TOC2">
    <w:name w:val="toc 2"/>
    <w:basedOn w:val="Normal"/>
    <w:next w:val="Normal"/>
    <w:autoRedefine/>
    <w:uiPriority w:val="39"/>
    <w:unhideWhenUsed/>
    <w:rsid w:val="00890989"/>
    <w:pPr>
      <w:spacing w:after="100"/>
      <w:ind w:left="220"/>
    </w:pPr>
    <w:rPr>
      <w:rFonts w:asciiTheme="majorHAnsi" w:hAnsiTheme="majorHAnsi"/>
    </w:rPr>
  </w:style>
  <w:style w:type="paragraph" w:styleId="TOC1">
    <w:name w:val="toc 1"/>
    <w:basedOn w:val="Normal"/>
    <w:next w:val="Normal"/>
    <w:autoRedefine/>
    <w:uiPriority w:val="39"/>
    <w:unhideWhenUsed/>
    <w:rsid w:val="00890989"/>
    <w:pPr>
      <w:spacing w:after="100"/>
    </w:pPr>
    <w:rPr>
      <w:rFonts w:asciiTheme="majorHAnsi" w:hAnsiTheme="majorHAnsi"/>
    </w:rPr>
  </w:style>
  <w:style w:type="paragraph" w:styleId="TOC3">
    <w:name w:val="toc 3"/>
    <w:basedOn w:val="Normal"/>
    <w:next w:val="Normal"/>
    <w:autoRedefine/>
    <w:uiPriority w:val="39"/>
    <w:unhideWhenUsed/>
    <w:rsid w:val="00890989"/>
    <w:pPr>
      <w:spacing w:after="100"/>
      <w:ind w:left="440"/>
    </w:pPr>
    <w:rPr>
      <w:rFonts w:asciiTheme="majorHAnsi" w:hAnsiTheme="majorHAnsi"/>
    </w:rPr>
  </w:style>
  <w:style w:type="paragraph" w:customStyle="1" w:styleId="Affidavitnumbering">
    <w:name w:val="Affidavit numbering"/>
    <w:basedOn w:val="Normal"/>
    <w:qFormat/>
    <w:rsid w:val="00D24C6E"/>
    <w:pPr>
      <w:numPr>
        <w:numId w:val="1"/>
      </w:numPr>
      <w:spacing w:before="160" w:line="259" w:lineRule="auto"/>
      <w:ind w:left="510" w:hanging="510"/>
    </w:pPr>
    <w:rPr>
      <w:rFonts w:cstheme="minorBidi"/>
      <w:lang w:val="en-US"/>
    </w:rPr>
  </w:style>
  <w:style w:type="paragraph" w:customStyle="1" w:styleId="bullets">
    <w:name w:val="bullets"/>
    <w:basedOn w:val="Normal"/>
    <w:qFormat/>
    <w:rsid w:val="00BE49AA"/>
    <w:pPr>
      <w:numPr>
        <w:numId w:val="2"/>
      </w:numPr>
      <w:spacing w:before="80" w:after="160" w:line="259" w:lineRule="auto"/>
      <w:ind w:left="924" w:hanging="357"/>
    </w:pPr>
    <w:rPr>
      <w:rFonts w:cstheme="minorBidi"/>
    </w:rPr>
  </w:style>
  <w:style w:type="character" w:customStyle="1" w:styleId="Heading5Char">
    <w:name w:val="Heading 5 Char"/>
    <w:basedOn w:val="DefaultParagraphFont"/>
    <w:link w:val="Heading5"/>
    <w:uiPriority w:val="9"/>
    <w:rsid w:val="00CA22B6"/>
    <w:rPr>
      <w:rFonts w:asciiTheme="majorHAnsi" w:eastAsiaTheme="majorEastAsia" w:hAnsiTheme="majorHAnsi" w:cstheme="majorBidi"/>
      <w:color w:val="2E74B5" w:themeColor="accent1" w:themeShade="BF"/>
    </w:rPr>
  </w:style>
  <w:style w:type="paragraph" w:styleId="BodyText">
    <w:name w:val="Body Text"/>
    <w:aliases w:val="bt"/>
    <w:basedOn w:val="Normal"/>
    <w:link w:val="BodyTextChar"/>
    <w:rsid w:val="00036F26"/>
    <w:pPr>
      <w:spacing w:after="120"/>
    </w:pPr>
    <w:rPr>
      <w:rFonts w:ascii="Times New Roman" w:eastAsia="Times New Roman" w:hAnsi="Times New Roman"/>
      <w:sz w:val="20"/>
      <w:szCs w:val="20"/>
      <w:lang w:val="en-GB"/>
    </w:rPr>
  </w:style>
  <w:style w:type="character" w:customStyle="1" w:styleId="BodyTextChar">
    <w:name w:val="Body Text Char"/>
    <w:aliases w:val="bt Char"/>
    <w:basedOn w:val="DefaultParagraphFont"/>
    <w:link w:val="BodyText"/>
    <w:rsid w:val="00036F26"/>
    <w:rPr>
      <w:rFonts w:ascii="Times New Roman" w:eastAsia="Times New Roman" w:hAnsi="Times New Roman" w:cs="Times New Roman"/>
      <w:sz w:val="20"/>
      <w:szCs w:val="20"/>
      <w:lang w:val="en-GB"/>
    </w:rPr>
  </w:style>
  <w:style w:type="character" w:customStyle="1" w:styleId="UnresolvedMention">
    <w:name w:val="Unresolved Mention"/>
    <w:basedOn w:val="DefaultParagraphFont"/>
    <w:uiPriority w:val="99"/>
    <w:semiHidden/>
    <w:unhideWhenUsed/>
    <w:rsid w:val="00132B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51533">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224725022">
      <w:bodyDiv w:val="1"/>
      <w:marLeft w:val="0"/>
      <w:marRight w:val="0"/>
      <w:marTop w:val="0"/>
      <w:marBottom w:val="0"/>
      <w:divBdr>
        <w:top w:val="none" w:sz="0" w:space="0" w:color="auto"/>
        <w:left w:val="none" w:sz="0" w:space="0" w:color="auto"/>
        <w:bottom w:val="none" w:sz="0" w:space="0" w:color="auto"/>
        <w:right w:val="none" w:sz="0" w:space="0" w:color="auto"/>
      </w:divBdr>
    </w:div>
    <w:div w:id="539362440">
      <w:bodyDiv w:val="1"/>
      <w:marLeft w:val="0"/>
      <w:marRight w:val="0"/>
      <w:marTop w:val="0"/>
      <w:marBottom w:val="0"/>
      <w:divBdr>
        <w:top w:val="none" w:sz="0" w:space="0" w:color="auto"/>
        <w:left w:val="none" w:sz="0" w:space="0" w:color="auto"/>
        <w:bottom w:val="none" w:sz="0" w:space="0" w:color="auto"/>
        <w:right w:val="none" w:sz="0" w:space="0" w:color="auto"/>
      </w:divBdr>
      <w:divsChild>
        <w:div w:id="1582055906">
          <w:marLeft w:val="0"/>
          <w:marRight w:val="0"/>
          <w:marTop w:val="0"/>
          <w:marBottom w:val="0"/>
          <w:divBdr>
            <w:top w:val="none" w:sz="0" w:space="0" w:color="auto"/>
            <w:left w:val="none" w:sz="0" w:space="0" w:color="auto"/>
            <w:bottom w:val="none" w:sz="0" w:space="0" w:color="auto"/>
            <w:right w:val="none" w:sz="0" w:space="0" w:color="auto"/>
          </w:divBdr>
          <w:divsChild>
            <w:div w:id="1935747411">
              <w:marLeft w:val="0"/>
              <w:marRight w:val="0"/>
              <w:marTop w:val="0"/>
              <w:marBottom w:val="0"/>
              <w:divBdr>
                <w:top w:val="none" w:sz="0" w:space="0" w:color="auto"/>
                <w:left w:val="none" w:sz="0" w:space="0" w:color="auto"/>
                <w:bottom w:val="none" w:sz="0" w:space="0" w:color="auto"/>
                <w:right w:val="none" w:sz="0" w:space="0" w:color="auto"/>
              </w:divBdr>
              <w:divsChild>
                <w:div w:id="109841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168835">
      <w:bodyDiv w:val="1"/>
      <w:marLeft w:val="0"/>
      <w:marRight w:val="0"/>
      <w:marTop w:val="0"/>
      <w:marBottom w:val="0"/>
      <w:divBdr>
        <w:top w:val="none" w:sz="0" w:space="0" w:color="auto"/>
        <w:left w:val="none" w:sz="0" w:space="0" w:color="auto"/>
        <w:bottom w:val="none" w:sz="0" w:space="0" w:color="auto"/>
        <w:right w:val="none" w:sz="0" w:space="0" w:color="auto"/>
      </w:divBdr>
    </w:div>
    <w:div w:id="1583955743">
      <w:bodyDiv w:val="1"/>
      <w:marLeft w:val="0"/>
      <w:marRight w:val="0"/>
      <w:marTop w:val="0"/>
      <w:marBottom w:val="0"/>
      <w:divBdr>
        <w:top w:val="none" w:sz="0" w:space="0" w:color="auto"/>
        <w:left w:val="none" w:sz="0" w:space="0" w:color="auto"/>
        <w:bottom w:val="none" w:sz="0" w:space="0" w:color="auto"/>
        <w:right w:val="none" w:sz="0" w:space="0" w:color="auto"/>
      </w:divBdr>
    </w:div>
    <w:div w:id="177459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undp.org/content/undp/en/home/librarypage/capacity-building/taking-default-positions-for-capacity-development.html" TargetMode="External"/><Relationship Id="rId2" Type="http://schemas.openxmlformats.org/officeDocument/2006/relationships/hyperlink" Target="https://coalitionofpeaks.org.au/our-story/" TargetMode="External"/><Relationship Id="rId1" Type="http://schemas.openxmlformats.org/officeDocument/2006/relationships/hyperlink" Target="https://coalitionofpeaks.org.au/wp-content/uploads/2020/07/FINAL-National-Agreement-on-Closing-the-Gap-1.pdf" TargetMode="External"/><Relationship Id="rId4" Type="http://schemas.openxmlformats.org/officeDocument/2006/relationships/hyperlink" Target="https://www.aihw.gov.au/getmedia/8eab67d7-1752-45e7-aa82-ffaf33ce7e13/ctgc-ip07.pdf.aspx?inline=tru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claughlin.DDHS\Danila%20Dilba%20Health%20Service\Policy,%20Strategy%20and%20Research%20-%20Documents\Administration\Templates\DDHS%20Submission%20Template%20-%20Not%20Approv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19C1286BA1FA47A611D377938004BC" ma:contentTypeVersion="11" ma:contentTypeDescription="Create a new document." ma:contentTypeScope="" ma:versionID="f23eff036305b5604e7079e25d495728">
  <xsd:schema xmlns:xsd="http://www.w3.org/2001/XMLSchema" xmlns:xs="http://www.w3.org/2001/XMLSchema" xmlns:p="http://schemas.microsoft.com/office/2006/metadata/properties" xmlns:ns2="15da2611-64d7-425f-98ef-559241a97283" xmlns:ns3="763dd0a4-52ad-407d-b36e-a777f8253dc6" targetNamespace="http://schemas.microsoft.com/office/2006/metadata/properties" ma:root="true" ma:fieldsID="e76ae8ef0422595c17518d15e5a72df6" ns2:_="" ns3:_="">
    <xsd:import namespace="15da2611-64d7-425f-98ef-559241a97283"/>
    <xsd:import namespace="763dd0a4-52ad-407d-b36e-a777f8253d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a2611-64d7-425f-98ef-559241a972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3dd0a4-52ad-407d-b36e-a777f8253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63dd0a4-52ad-407d-b36e-a777f8253dc6">
      <UserInfo>
        <DisplayName>Olga Havnen</DisplayName>
        <AccountId>57</AccountId>
        <AccountType/>
      </UserInfo>
      <UserInfo>
        <DisplayName>Andrew Webster</DisplayName>
        <AccountId>58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BE98E-67A4-4395-B421-ED70F5F12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a2611-64d7-425f-98ef-559241a97283"/>
    <ds:schemaRef ds:uri="763dd0a4-52ad-407d-b36e-a777f8253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41C230-7349-4FFB-A84F-100CF424C82C}">
  <ds:schemaRefs>
    <ds:schemaRef ds:uri="http://schemas.microsoft.com/sharepoint/v3/contenttype/forms"/>
  </ds:schemaRefs>
</ds:datastoreItem>
</file>

<file path=customXml/itemProps3.xml><?xml version="1.0" encoding="utf-8"?>
<ds:datastoreItem xmlns:ds="http://schemas.openxmlformats.org/officeDocument/2006/customXml" ds:itemID="{407AD2F4-B514-4CBF-AE77-8288EDECE6F7}">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763dd0a4-52ad-407d-b36e-a777f8253dc6"/>
    <ds:schemaRef ds:uri="15da2611-64d7-425f-98ef-559241a97283"/>
    <ds:schemaRef ds:uri="http://www.w3.org/XML/1998/namespace"/>
  </ds:schemaRefs>
</ds:datastoreItem>
</file>

<file path=customXml/itemProps4.xml><?xml version="1.0" encoding="utf-8"?>
<ds:datastoreItem xmlns:ds="http://schemas.openxmlformats.org/officeDocument/2006/customXml" ds:itemID="{03CF0DC1-03D6-4724-BEA6-62A8FCDE3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DDHS Submission Template - Not Approved.dotx</Template>
  <TotalTime>10</TotalTime>
  <Pages>6</Pages>
  <Words>1715</Words>
  <Characters>9777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Submission DR165 - Danila Dilba Health Service - Indigenous Evaluation Strategy - Project</vt:lpstr>
    </vt:vector>
  </TitlesOfParts>
  <Company>Danila Dilba Health Service</Company>
  <LinksUpToDate>false</LinksUpToDate>
  <CharactersWithSpaces>11470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DR165 - Danila Dilba Health Service - Indigenous Evaluation Strategy - Project</dc:title>
  <dc:creator>Danila Dilba Health Service</dc:creator>
  <cp:lastModifiedBy>Productivity Commission</cp:lastModifiedBy>
  <cp:revision>5</cp:revision>
  <cp:lastPrinted>2019-12-10T00:45:00Z</cp:lastPrinted>
  <dcterms:created xsi:type="dcterms:W3CDTF">2020-08-17T01:23:00Z</dcterms:created>
  <dcterms:modified xsi:type="dcterms:W3CDTF">2020-08-17T06:19:00Z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0x0101001719C1286BA1FA47A611D377938004BC</vt:lpwstr>
  </property>
  <property fmtid="{D5CDD505-2E9C-101B-9397-08002B2CF9AE}" pid="3" name="Order">
    <vt:r8>2800</vt:r8>
  </property>
</Properties>
</file>