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80" w:rsidRDefault="00AC67D9" w:rsidP="00AA6280">
      <w:pPr>
        <w:spacing w:after="120"/>
      </w:pPr>
      <w:bookmarkStart w:id="0" w:name="_GoBack"/>
      <w:bookmarkEnd w:id="0"/>
      <w:r>
        <w:t>13</w:t>
      </w:r>
      <w:r w:rsidR="000E6A2D">
        <w:t xml:space="preserve"> August 2020</w:t>
      </w:r>
    </w:p>
    <w:p w:rsidR="00AA6280" w:rsidRDefault="00AA6280" w:rsidP="00AA6280">
      <w:pPr>
        <w:spacing w:after="120"/>
      </w:pPr>
    </w:p>
    <w:p w:rsidR="000E6A2D" w:rsidRDefault="00AD6D32" w:rsidP="00AA6280">
      <w:pPr>
        <w:spacing w:after="120"/>
      </w:pPr>
      <w:hyperlink r:id="rId7" w:history="1">
        <w:r w:rsidR="00BF5760" w:rsidRPr="007B5D1E">
          <w:rPr>
            <w:rStyle w:val="Hyperlink"/>
          </w:rPr>
          <w:t>water.reform.2020@pc.gov.au</w:t>
        </w:r>
      </w:hyperlink>
    </w:p>
    <w:p w:rsidR="00BF5760" w:rsidRDefault="00BF5760" w:rsidP="00AA6280">
      <w:pPr>
        <w:spacing w:after="120"/>
      </w:pPr>
    </w:p>
    <w:p w:rsidR="000E6A2D" w:rsidRPr="00BF5760" w:rsidRDefault="00BF5760" w:rsidP="00AA6280">
      <w:pPr>
        <w:spacing w:after="120"/>
        <w:rPr>
          <w:b/>
          <w:bCs/>
        </w:rPr>
      </w:pPr>
      <w:r w:rsidRPr="00BF5760">
        <w:rPr>
          <w:b/>
          <w:bCs/>
        </w:rPr>
        <w:t>Submission Upon Productivity Commission Issues Paper (May 2020)</w:t>
      </w:r>
    </w:p>
    <w:p w:rsidR="00AA6280" w:rsidRDefault="00AA6280" w:rsidP="00AA6280">
      <w:pPr>
        <w:spacing w:after="120"/>
      </w:pPr>
      <w:r>
        <w:t xml:space="preserve">This is a private submission and is not intended to </w:t>
      </w:r>
      <w:r w:rsidR="00BF5760">
        <w:t>represent</w:t>
      </w:r>
      <w:r>
        <w:t xml:space="preserve"> </w:t>
      </w:r>
      <w:r w:rsidR="00AC67D9">
        <w:t xml:space="preserve">the </w:t>
      </w:r>
      <w:r>
        <w:t xml:space="preserve">views of any organisation that I </w:t>
      </w:r>
      <w:r w:rsidR="00BF5760">
        <w:t xml:space="preserve">currently have involvement </w:t>
      </w:r>
      <w:r>
        <w:t xml:space="preserve">nor previously have had involvement.  I have worked in the water sector for 15 years with a focus upon regional water supply.  The purpose of this submission is twofold, in the context of the Commission’s review of the </w:t>
      </w:r>
      <w:r w:rsidRPr="00AA6280">
        <w:t>National W</w:t>
      </w:r>
      <w:r w:rsidR="00AC67D9">
        <w:t>ater Initiative (NWI)</w:t>
      </w:r>
      <w:r>
        <w:t>:</w:t>
      </w:r>
    </w:p>
    <w:p w:rsidR="00AA6280" w:rsidRDefault="00AA6280" w:rsidP="00AA6280">
      <w:pPr>
        <w:spacing w:after="120"/>
      </w:pPr>
    </w:p>
    <w:p w:rsidR="00AA6280" w:rsidRDefault="00AA6280" w:rsidP="00AA6280">
      <w:pPr>
        <w:pStyle w:val="ListParagraph"/>
        <w:numPr>
          <w:ilvl w:val="0"/>
          <w:numId w:val="3"/>
        </w:numPr>
        <w:spacing w:after="120"/>
      </w:pPr>
      <w:r>
        <w:t xml:space="preserve">To seek recognition and support for the concept of regional water grids and provide guidance </w:t>
      </w:r>
      <w:r w:rsidR="00AC67D9">
        <w:t>up</w:t>
      </w:r>
      <w:r>
        <w:t>on their optimal configuration; and</w:t>
      </w:r>
    </w:p>
    <w:p w:rsidR="00AA6280" w:rsidRDefault="00AA6280" w:rsidP="00AA6280">
      <w:pPr>
        <w:pStyle w:val="ListParagraph"/>
        <w:numPr>
          <w:ilvl w:val="0"/>
          <w:numId w:val="3"/>
        </w:numPr>
        <w:spacing w:after="120"/>
      </w:pPr>
      <w:r>
        <w:t xml:space="preserve">To seek clarification upon the intended meaning of certain provisions </w:t>
      </w:r>
      <w:r w:rsidR="00AC67D9">
        <w:t>of the NWI that impact the formation of R</w:t>
      </w:r>
      <w:r>
        <w:t>eg</w:t>
      </w:r>
      <w:r w:rsidR="00AC67D9">
        <w:t>ional Water G</w:t>
      </w:r>
      <w:r>
        <w:t>rids.</w:t>
      </w:r>
    </w:p>
    <w:p w:rsidR="00AA6280" w:rsidRPr="00AA6280" w:rsidRDefault="00AA6280" w:rsidP="00AA6280">
      <w:pPr>
        <w:spacing w:after="120"/>
        <w:rPr>
          <w:b/>
          <w:bCs/>
        </w:rPr>
      </w:pPr>
    </w:p>
    <w:p w:rsidR="006207AD" w:rsidRPr="0054123B" w:rsidRDefault="00DD20D0" w:rsidP="0054123B">
      <w:pPr>
        <w:pStyle w:val="ListParagraph"/>
        <w:numPr>
          <w:ilvl w:val="0"/>
          <w:numId w:val="2"/>
        </w:numPr>
        <w:spacing w:after="120"/>
        <w:ind w:left="714" w:hanging="357"/>
        <w:rPr>
          <w:b/>
          <w:bCs/>
        </w:rPr>
      </w:pPr>
      <w:r>
        <w:rPr>
          <w:b/>
          <w:bCs/>
        </w:rPr>
        <w:t xml:space="preserve">Regional </w:t>
      </w:r>
      <w:r w:rsidR="00552C61">
        <w:rPr>
          <w:b/>
          <w:bCs/>
        </w:rPr>
        <w:t>Water Grid</w:t>
      </w:r>
      <w:r>
        <w:rPr>
          <w:b/>
          <w:bCs/>
        </w:rPr>
        <w:t>s</w:t>
      </w:r>
    </w:p>
    <w:p w:rsidR="00187ED2" w:rsidRDefault="00187ED2" w:rsidP="00187ED2">
      <w:r>
        <w:t>Water Grids are widely recognised as</w:t>
      </w:r>
      <w:r w:rsidR="00CD5792">
        <w:t xml:space="preserve"> an </w:t>
      </w:r>
      <w:r>
        <w:t>efficient means</w:t>
      </w:r>
      <w:r w:rsidR="00CD5792">
        <w:t xml:space="preserve"> to</w:t>
      </w:r>
      <w:r>
        <w:t xml:space="preserve"> improve water security</w:t>
      </w:r>
      <w:r w:rsidR="00552C61">
        <w:t>, where there is sufficient economic capacity for their development</w:t>
      </w:r>
      <w:r>
        <w:t xml:space="preserve">.  At a conceptual level, </w:t>
      </w:r>
      <w:r w:rsidR="00171368">
        <w:t>a grid</w:t>
      </w:r>
      <w:r w:rsidR="001564B2">
        <w:t xml:space="preserve"> requires the capability</w:t>
      </w:r>
      <w:r w:rsidRPr="00187ED2">
        <w:t xml:space="preserve"> to move water a</w:t>
      </w:r>
      <w:r w:rsidR="001564B2">
        <w:t>cross</w:t>
      </w:r>
      <w:r w:rsidRPr="00187ED2">
        <w:t xml:space="preserve"> multiple catchments by a pipeline network</w:t>
      </w:r>
      <w:r w:rsidR="001564B2">
        <w:t xml:space="preserve"> where these catchments are not otherwise naturally connected (for example by river)</w:t>
      </w:r>
      <w:r w:rsidRPr="00187ED2">
        <w:t>.</w:t>
      </w:r>
      <w:r w:rsidR="001564B2">
        <w:t xml:space="preserve"> </w:t>
      </w:r>
      <w:r w:rsidR="00CD5792">
        <w:t xml:space="preserve"> Essentially, s</w:t>
      </w:r>
      <w:r w:rsidRPr="00187ED2">
        <w:t>ecurity</w:t>
      </w:r>
      <w:r w:rsidR="001564B2">
        <w:t xml:space="preserve"> of supply to users</w:t>
      </w:r>
      <w:r w:rsidRPr="00187ED2">
        <w:t xml:space="preserve"> is i</w:t>
      </w:r>
      <w:r w:rsidR="00CD5792">
        <w:t>mproved</w:t>
      </w:r>
      <w:r w:rsidRPr="00187ED2">
        <w:t xml:space="preserve"> </w:t>
      </w:r>
      <w:r w:rsidR="00CD5792">
        <w:t>via access to</w:t>
      </w:r>
      <w:r w:rsidRPr="00187ED2">
        <w:t xml:space="preserve"> </w:t>
      </w:r>
      <w:r w:rsidR="00AA6280">
        <w:t>an</w:t>
      </w:r>
      <w:r w:rsidRPr="00187ED2">
        <w:t xml:space="preserve"> aggregated catchment area.</w:t>
      </w:r>
    </w:p>
    <w:p w:rsidR="00BF5760" w:rsidRDefault="00BF5760" w:rsidP="00187ED2"/>
    <w:p w:rsidR="00BF5760" w:rsidRPr="00BF5760" w:rsidRDefault="00BF5760" w:rsidP="00BF5760">
      <w:pPr>
        <w:rPr>
          <w:lang w:val="en-AU"/>
        </w:rPr>
      </w:pPr>
      <w:r w:rsidRPr="00BF5760">
        <w:rPr>
          <w:lang w:val="en-AU"/>
        </w:rPr>
        <w:t xml:space="preserve">It is recommended that </w:t>
      </w:r>
      <w:r>
        <w:rPr>
          <w:lang w:val="en-AU"/>
        </w:rPr>
        <w:t>the Commission consider recognition of the potential benefits associated with Regional</w:t>
      </w:r>
      <w:r w:rsidRPr="00BF5760">
        <w:rPr>
          <w:lang w:val="en-AU"/>
        </w:rPr>
        <w:t xml:space="preserve"> Water Grids.</w:t>
      </w:r>
    </w:p>
    <w:p w:rsidR="00552C61" w:rsidRDefault="00552C61" w:rsidP="006207AD">
      <w:pPr>
        <w:rPr>
          <w:b/>
          <w:bCs/>
          <w:lang w:val="en-AU"/>
        </w:rPr>
      </w:pPr>
    </w:p>
    <w:p w:rsidR="00552C61" w:rsidRPr="00565C4A" w:rsidRDefault="00552C61" w:rsidP="00552C61">
      <w:pPr>
        <w:pStyle w:val="ListParagraph"/>
        <w:numPr>
          <w:ilvl w:val="0"/>
          <w:numId w:val="2"/>
        </w:numPr>
        <w:spacing w:after="120"/>
        <w:ind w:left="714" w:hanging="357"/>
        <w:rPr>
          <w:b/>
          <w:bCs/>
          <w:lang w:val="en-AU"/>
        </w:rPr>
      </w:pPr>
      <w:r>
        <w:rPr>
          <w:b/>
          <w:bCs/>
          <w:lang w:val="en-AU"/>
        </w:rPr>
        <w:t>Statutory Water Entitlements</w:t>
      </w:r>
    </w:p>
    <w:p w:rsidR="00552C61" w:rsidRPr="00552C61" w:rsidRDefault="00552C61" w:rsidP="00552C61">
      <w:pPr>
        <w:rPr>
          <w:lang w:val="en-AU"/>
        </w:rPr>
      </w:pPr>
      <w:r w:rsidRPr="00552C61">
        <w:rPr>
          <w:lang w:val="en-AU"/>
        </w:rPr>
        <w:t xml:space="preserve">Currently, the NWI is silent upon the extent to which water allocation rights are required to be held by end users.  I have experience of the NWI being interpreted as requiring end users to hold water allocation rights.  I see value in a more explicit position on this issue. </w:t>
      </w:r>
    </w:p>
    <w:p w:rsidR="00552C61" w:rsidRDefault="00552C61" w:rsidP="006207AD">
      <w:pPr>
        <w:rPr>
          <w:lang w:val="en-AU"/>
        </w:rPr>
      </w:pPr>
    </w:p>
    <w:p w:rsidR="00C64BFC" w:rsidRDefault="006207AD" w:rsidP="006207AD">
      <w:pPr>
        <w:rPr>
          <w:lang w:val="en-AU"/>
        </w:rPr>
      </w:pPr>
      <w:r w:rsidRPr="006207AD">
        <w:rPr>
          <w:lang w:val="en-AU"/>
        </w:rPr>
        <w:t xml:space="preserve">The NWI does not provide any particular guidance on the distribution arrangements that should be applied to water entitlements. </w:t>
      </w:r>
      <w:r w:rsidR="00C64BFC">
        <w:rPr>
          <w:lang w:val="en-AU"/>
        </w:rPr>
        <w:t xml:space="preserve">Paragraph </w:t>
      </w:r>
      <w:r w:rsidRPr="006207AD">
        <w:rPr>
          <w:lang w:val="en-AU"/>
        </w:rPr>
        <w:t>28 and 31</w:t>
      </w:r>
      <w:r w:rsidR="00B734E7">
        <w:rPr>
          <w:lang w:val="en-AU"/>
        </w:rPr>
        <w:t xml:space="preserve"> </w:t>
      </w:r>
      <w:r w:rsidR="00C64BFC">
        <w:rPr>
          <w:lang w:val="en-AU"/>
        </w:rPr>
        <w:t xml:space="preserve">of the NWI come closest to the present issue. </w:t>
      </w:r>
    </w:p>
    <w:p w:rsidR="00C64BFC" w:rsidRDefault="00C64BFC" w:rsidP="006207AD">
      <w:pPr>
        <w:rPr>
          <w:lang w:val="en-AU"/>
        </w:rPr>
      </w:pPr>
    </w:p>
    <w:p w:rsidR="006207AD" w:rsidRPr="006207AD" w:rsidRDefault="006207AD" w:rsidP="006207AD">
      <w:pPr>
        <w:rPr>
          <w:lang w:val="en-AU"/>
        </w:rPr>
      </w:pPr>
      <w:r w:rsidRPr="006207AD">
        <w:rPr>
          <w:lang w:val="en-AU"/>
        </w:rPr>
        <w:t xml:space="preserve">Paragraph 28 states that: </w:t>
      </w:r>
    </w:p>
    <w:p w:rsidR="006207AD" w:rsidRPr="006207AD" w:rsidRDefault="006207AD" w:rsidP="00C64BFC">
      <w:pPr>
        <w:ind w:left="284"/>
        <w:rPr>
          <w:i/>
          <w:iCs/>
          <w:lang w:val="en-AU"/>
        </w:rPr>
      </w:pPr>
      <w:r w:rsidRPr="006207AD">
        <w:rPr>
          <w:i/>
          <w:iCs/>
          <w:lang w:val="en-AU"/>
        </w:rPr>
        <w:t xml:space="preserve">The consumptive use of water will require a water access entitlement, separate from land, to be described as a perpetual or open-ended share of the consumptive pool of a specified water </w:t>
      </w:r>
    </w:p>
    <w:p w:rsidR="006207AD" w:rsidRPr="006207AD" w:rsidRDefault="006207AD" w:rsidP="006207AD">
      <w:pPr>
        <w:rPr>
          <w:lang w:val="en-AU"/>
        </w:rPr>
      </w:pPr>
    </w:p>
    <w:p w:rsidR="006207AD" w:rsidRPr="006207AD" w:rsidRDefault="006207AD" w:rsidP="006207AD">
      <w:pPr>
        <w:rPr>
          <w:lang w:val="en-AU"/>
        </w:rPr>
      </w:pPr>
      <w:r w:rsidRPr="006207AD">
        <w:rPr>
          <w:lang w:val="en-AU"/>
        </w:rPr>
        <w:t xml:space="preserve">Paragraph 31 specifies the characteristics of water access entitlements, including being exclusive, able to be traded, subdivided and mortgaged and be recorded in public registers. </w:t>
      </w:r>
    </w:p>
    <w:p w:rsidR="00C64BFC" w:rsidRDefault="00C64BFC" w:rsidP="006207AD">
      <w:pPr>
        <w:rPr>
          <w:lang w:val="en-AU"/>
        </w:rPr>
      </w:pPr>
    </w:p>
    <w:p w:rsidR="00C64BFC" w:rsidRDefault="0054123B" w:rsidP="006207AD">
      <w:pPr>
        <w:rPr>
          <w:lang w:val="en-AU"/>
        </w:rPr>
      </w:pPr>
      <w:r>
        <w:rPr>
          <w:lang w:val="en-AU"/>
        </w:rPr>
        <w:t>In my view the better</w:t>
      </w:r>
      <w:r w:rsidR="00C64BFC">
        <w:rPr>
          <w:lang w:val="en-AU"/>
        </w:rPr>
        <w:t xml:space="preserve"> interpretation of these provisions is that the supply of water must be supported by </w:t>
      </w:r>
      <w:r w:rsidR="00AA6280">
        <w:rPr>
          <w:lang w:val="en-AU"/>
        </w:rPr>
        <w:t xml:space="preserve">statutory </w:t>
      </w:r>
      <w:r w:rsidR="00C64BFC">
        <w:rPr>
          <w:lang w:val="en-AU"/>
        </w:rPr>
        <w:t>water entitlement</w:t>
      </w:r>
      <w:r w:rsidR="00AA6280">
        <w:rPr>
          <w:lang w:val="en-AU"/>
        </w:rPr>
        <w:t>s</w:t>
      </w:r>
      <w:r w:rsidR="00C64BFC">
        <w:rPr>
          <w:lang w:val="en-AU"/>
        </w:rPr>
        <w:t>, but not</w:t>
      </w:r>
      <w:r w:rsidR="00014114">
        <w:rPr>
          <w:lang w:val="en-AU"/>
        </w:rPr>
        <w:t xml:space="preserve"> </w:t>
      </w:r>
      <w:r w:rsidR="00AA6280">
        <w:rPr>
          <w:lang w:val="en-AU"/>
        </w:rPr>
        <w:t>to</w:t>
      </w:r>
      <w:r w:rsidR="00C64BFC">
        <w:rPr>
          <w:lang w:val="en-AU"/>
        </w:rPr>
        <w:t xml:space="preserve"> mandate that such rights </w:t>
      </w:r>
      <w:r w:rsidR="00AA6280">
        <w:rPr>
          <w:lang w:val="en-AU"/>
        </w:rPr>
        <w:t>must be</w:t>
      </w:r>
      <w:r w:rsidR="00C64BFC">
        <w:rPr>
          <w:lang w:val="en-AU"/>
        </w:rPr>
        <w:t xml:space="preserve"> held by the end user.</w:t>
      </w:r>
    </w:p>
    <w:p w:rsidR="00682992" w:rsidRDefault="00682992" w:rsidP="006207AD">
      <w:pPr>
        <w:rPr>
          <w:lang w:val="en-AU"/>
        </w:rPr>
      </w:pPr>
    </w:p>
    <w:p w:rsidR="00682992" w:rsidRPr="00682992" w:rsidRDefault="00682992" w:rsidP="00682992">
      <w:pPr>
        <w:rPr>
          <w:lang w:val="en-AU"/>
        </w:rPr>
      </w:pPr>
      <w:r w:rsidRPr="00682992">
        <w:rPr>
          <w:lang w:val="en-AU"/>
        </w:rPr>
        <w:t xml:space="preserve">The </w:t>
      </w:r>
      <w:r w:rsidR="00BF5760">
        <w:rPr>
          <w:lang w:val="en-AU"/>
        </w:rPr>
        <w:t>overarching</w:t>
      </w:r>
      <w:r w:rsidR="00014114">
        <w:rPr>
          <w:lang w:val="en-AU"/>
        </w:rPr>
        <w:t xml:space="preserve"> policy </w:t>
      </w:r>
      <w:r w:rsidRPr="00682992">
        <w:rPr>
          <w:lang w:val="en-AU"/>
        </w:rPr>
        <w:t xml:space="preserve">requirement </w:t>
      </w:r>
      <w:r>
        <w:rPr>
          <w:lang w:val="en-AU"/>
        </w:rPr>
        <w:t xml:space="preserve">is </w:t>
      </w:r>
      <w:r w:rsidRPr="00682992">
        <w:rPr>
          <w:lang w:val="en-AU"/>
        </w:rPr>
        <w:t>that water is not over-allocated</w:t>
      </w:r>
      <w:r w:rsidR="000E6A2D">
        <w:rPr>
          <w:lang w:val="en-AU"/>
        </w:rPr>
        <w:t xml:space="preserve"> from its source</w:t>
      </w:r>
      <w:r w:rsidR="00AC67D9">
        <w:rPr>
          <w:lang w:val="en-AU"/>
        </w:rPr>
        <w:t xml:space="preserve"> </w:t>
      </w:r>
      <w:r w:rsidR="00B734E7">
        <w:rPr>
          <w:lang w:val="en-AU"/>
        </w:rPr>
        <w:t>that is</w:t>
      </w:r>
      <w:r w:rsidR="00AC67D9">
        <w:rPr>
          <w:lang w:val="en-AU"/>
        </w:rPr>
        <w:t>, for</w:t>
      </w:r>
      <w:r w:rsidR="00B734E7">
        <w:rPr>
          <w:lang w:val="en-AU"/>
        </w:rPr>
        <w:t xml:space="preserve"> </w:t>
      </w:r>
      <w:r w:rsidR="00AC67D9">
        <w:rPr>
          <w:lang w:val="en-AU"/>
        </w:rPr>
        <w:t>all water use to be</w:t>
      </w:r>
      <w:r w:rsidRPr="00682992">
        <w:rPr>
          <w:lang w:val="en-AU"/>
        </w:rPr>
        <w:t xml:space="preserve"> backed by a</w:t>
      </w:r>
      <w:r>
        <w:rPr>
          <w:lang w:val="en-AU"/>
        </w:rPr>
        <w:t xml:space="preserve"> statutory</w:t>
      </w:r>
      <w:r w:rsidRPr="00682992">
        <w:rPr>
          <w:lang w:val="en-AU"/>
        </w:rPr>
        <w:t xml:space="preserve"> </w:t>
      </w:r>
      <w:r w:rsidR="00B734E7">
        <w:rPr>
          <w:lang w:val="en-AU"/>
        </w:rPr>
        <w:t xml:space="preserve">water </w:t>
      </w:r>
      <w:r w:rsidRPr="00682992">
        <w:rPr>
          <w:lang w:val="en-AU"/>
        </w:rPr>
        <w:t xml:space="preserve">entitlement. </w:t>
      </w:r>
      <w:r>
        <w:rPr>
          <w:lang w:val="en-AU"/>
        </w:rPr>
        <w:t xml:space="preserve"> </w:t>
      </w:r>
      <w:r w:rsidRPr="00682992">
        <w:rPr>
          <w:lang w:val="en-AU"/>
        </w:rPr>
        <w:t>Regardless of whether the right is held by the users themselves</w:t>
      </w:r>
      <w:r w:rsidR="00B734E7">
        <w:rPr>
          <w:lang w:val="en-AU"/>
        </w:rPr>
        <w:t xml:space="preserve"> </w:t>
      </w:r>
      <w:r w:rsidRPr="00682992">
        <w:rPr>
          <w:lang w:val="en-AU"/>
        </w:rPr>
        <w:t xml:space="preserve">or by </w:t>
      </w:r>
      <w:r w:rsidR="002F7510">
        <w:rPr>
          <w:lang w:val="en-AU"/>
        </w:rPr>
        <w:t>intermediaries such as a</w:t>
      </w:r>
      <w:r w:rsidR="00BF5760">
        <w:rPr>
          <w:lang w:val="en-AU"/>
        </w:rPr>
        <w:t xml:space="preserve"> Regional</w:t>
      </w:r>
      <w:r w:rsidR="002F7510">
        <w:rPr>
          <w:lang w:val="en-AU"/>
        </w:rPr>
        <w:t xml:space="preserve"> Grid Manager</w:t>
      </w:r>
      <w:r w:rsidR="00BF5760">
        <w:rPr>
          <w:lang w:val="en-AU"/>
        </w:rPr>
        <w:t>s,</w:t>
      </w:r>
      <w:r w:rsidRPr="00682992">
        <w:rPr>
          <w:lang w:val="en-AU"/>
        </w:rPr>
        <w:t xml:space="preserve"> water supply </w:t>
      </w:r>
      <w:r w:rsidR="0054123B">
        <w:rPr>
          <w:lang w:val="en-AU"/>
        </w:rPr>
        <w:t>could</w:t>
      </w:r>
      <w:r w:rsidR="002F7510">
        <w:rPr>
          <w:lang w:val="en-AU"/>
        </w:rPr>
        <w:t xml:space="preserve"> be </w:t>
      </w:r>
      <w:r w:rsidRPr="00682992">
        <w:rPr>
          <w:lang w:val="en-AU"/>
        </w:rPr>
        <w:t xml:space="preserve">supported by an </w:t>
      </w:r>
      <w:r w:rsidR="00BF5760">
        <w:rPr>
          <w:lang w:val="en-AU"/>
        </w:rPr>
        <w:t>statutory water entitlement</w:t>
      </w:r>
      <w:r w:rsidRPr="00682992">
        <w:rPr>
          <w:lang w:val="en-AU"/>
        </w:rPr>
        <w:t xml:space="preserve"> that specifies the portion of water able to be captured and held at a storage facility. </w:t>
      </w:r>
    </w:p>
    <w:p w:rsidR="00C64BFC" w:rsidRDefault="00C64BFC" w:rsidP="006207AD">
      <w:pPr>
        <w:rPr>
          <w:lang w:val="en-AU"/>
        </w:rPr>
      </w:pPr>
    </w:p>
    <w:p w:rsidR="00C64BFC" w:rsidRDefault="00C64BFC" w:rsidP="006207AD">
      <w:pPr>
        <w:rPr>
          <w:lang w:val="en-AU"/>
        </w:rPr>
      </w:pPr>
      <w:r>
        <w:rPr>
          <w:lang w:val="en-AU"/>
        </w:rPr>
        <w:t xml:space="preserve">It is recommended that change to the current wording </w:t>
      </w:r>
      <w:r w:rsidR="00B734E7">
        <w:rPr>
          <w:lang w:val="en-AU"/>
        </w:rPr>
        <w:t xml:space="preserve">of the NWI </w:t>
      </w:r>
      <w:r>
        <w:rPr>
          <w:lang w:val="en-AU"/>
        </w:rPr>
        <w:t xml:space="preserve">be </w:t>
      </w:r>
      <w:r w:rsidR="0054123B">
        <w:rPr>
          <w:lang w:val="en-AU"/>
        </w:rPr>
        <w:t xml:space="preserve">made explicit on the issue </w:t>
      </w:r>
      <w:r>
        <w:rPr>
          <w:lang w:val="en-AU"/>
        </w:rPr>
        <w:t xml:space="preserve">to </w:t>
      </w:r>
      <w:r w:rsidR="00B734E7">
        <w:rPr>
          <w:lang w:val="en-AU"/>
        </w:rPr>
        <w:t>promote certainty</w:t>
      </w:r>
      <w:r w:rsidR="00A93A10">
        <w:rPr>
          <w:lang w:val="en-AU"/>
        </w:rPr>
        <w:t xml:space="preserve"> around the </w:t>
      </w:r>
      <w:r w:rsidR="00DD20D0">
        <w:rPr>
          <w:lang w:val="en-AU"/>
        </w:rPr>
        <w:t xml:space="preserve">potential creation of </w:t>
      </w:r>
      <w:r w:rsidR="00CD2E07">
        <w:rPr>
          <w:lang w:val="en-AU"/>
        </w:rPr>
        <w:t xml:space="preserve">Regional </w:t>
      </w:r>
      <w:r w:rsidR="00DD20D0">
        <w:rPr>
          <w:lang w:val="en-AU"/>
        </w:rPr>
        <w:t>Water Grids</w:t>
      </w:r>
      <w:r>
        <w:rPr>
          <w:lang w:val="en-AU"/>
        </w:rPr>
        <w:t>.</w:t>
      </w:r>
    </w:p>
    <w:p w:rsidR="00C64BFC" w:rsidRDefault="00C64BFC" w:rsidP="006207AD">
      <w:pPr>
        <w:rPr>
          <w:lang w:val="en-AU"/>
        </w:rPr>
      </w:pPr>
    </w:p>
    <w:p w:rsidR="006207AD" w:rsidRPr="0054123B" w:rsidRDefault="00C64BFC" w:rsidP="0054123B">
      <w:pPr>
        <w:pStyle w:val="ListParagraph"/>
        <w:numPr>
          <w:ilvl w:val="0"/>
          <w:numId w:val="2"/>
        </w:numPr>
        <w:spacing w:after="120"/>
        <w:ind w:left="714" w:hanging="357"/>
        <w:rPr>
          <w:b/>
          <w:bCs/>
          <w:lang w:val="en-AU"/>
        </w:rPr>
      </w:pPr>
      <w:r w:rsidRPr="0054123B">
        <w:rPr>
          <w:b/>
          <w:bCs/>
          <w:lang w:val="en-AU"/>
        </w:rPr>
        <w:t>Institutional Model</w:t>
      </w:r>
    </w:p>
    <w:p w:rsidR="00022632" w:rsidRDefault="00A93A10" w:rsidP="00187ED2">
      <w:pPr>
        <w:rPr>
          <w:lang w:val="en-AU"/>
        </w:rPr>
      </w:pPr>
      <w:r>
        <w:rPr>
          <w:lang w:val="en-AU"/>
        </w:rPr>
        <w:t>On the basis that</w:t>
      </w:r>
      <w:r w:rsidR="00187ED2" w:rsidRPr="00187ED2">
        <w:rPr>
          <w:lang w:val="en-AU"/>
        </w:rPr>
        <w:t xml:space="preserve"> </w:t>
      </w:r>
      <w:r>
        <w:rPr>
          <w:lang w:val="en-AU"/>
        </w:rPr>
        <w:t xml:space="preserve">statutory </w:t>
      </w:r>
      <w:r w:rsidR="00187ED2" w:rsidRPr="00187ED2">
        <w:rPr>
          <w:lang w:val="en-AU"/>
        </w:rPr>
        <w:t xml:space="preserve">water entitlements </w:t>
      </w:r>
      <w:r>
        <w:rPr>
          <w:lang w:val="en-AU"/>
        </w:rPr>
        <w:t>are</w:t>
      </w:r>
      <w:r w:rsidR="00187ED2" w:rsidRPr="00187ED2">
        <w:rPr>
          <w:lang w:val="en-AU"/>
        </w:rPr>
        <w:t xml:space="preserve"> </w:t>
      </w:r>
      <w:r w:rsidR="00022632">
        <w:rPr>
          <w:lang w:val="en-AU"/>
        </w:rPr>
        <w:t xml:space="preserve">capable of </w:t>
      </w:r>
      <w:r w:rsidR="00187ED2" w:rsidRPr="00187ED2">
        <w:rPr>
          <w:lang w:val="en-AU"/>
        </w:rPr>
        <w:t>aggregat</w:t>
      </w:r>
      <w:r w:rsidR="00022632">
        <w:rPr>
          <w:lang w:val="en-AU"/>
        </w:rPr>
        <w:t>ion</w:t>
      </w:r>
      <w:r w:rsidR="00187ED2" w:rsidRPr="00187ED2">
        <w:rPr>
          <w:lang w:val="en-AU"/>
        </w:rPr>
        <w:t xml:space="preserve"> </w:t>
      </w:r>
      <w:r>
        <w:rPr>
          <w:lang w:val="en-AU"/>
        </w:rPr>
        <w:t>in</w:t>
      </w:r>
      <w:r w:rsidR="00187ED2" w:rsidRPr="00187ED2">
        <w:rPr>
          <w:lang w:val="en-AU"/>
        </w:rPr>
        <w:t xml:space="preserve">to a statutory entity </w:t>
      </w:r>
      <w:r w:rsidR="00022632">
        <w:rPr>
          <w:lang w:val="en-AU"/>
        </w:rPr>
        <w:t xml:space="preserve">(as an example) such an entity could operate to </w:t>
      </w:r>
      <w:r w:rsidR="00187ED2" w:rsidRPr="00187ED2">
        <w:rPr>
          <w:lang w:val="en-AU"/>
        </w:rPr>
        <w:t xml:space="preserve">supply </w:t>
      </w:r>
      <w:r w:rsidR="00913927">
        <w:rPr>
          <w:lang w:val="en-AU"/>
        </w:rPr>
        <w:t>users with</w:t>
      </w:r>
      <w:r w:rsidR="00187ED2" w:rsidRPr="00187ED2">
        <w:rPr>
          <w:lang w:val="en-AU"/>
        </w:rPr>
        <w:t xml:space="preserve"> water </w:t>
      </w:r>
      <w:r w:rsidR="00022632">
        <w:rPr>
          <w:lang w:val="en-AU"/>
        </w:rPr>
        <w:t>through</w:t>
      </w:r>
      <w:r w:rsidR="00187ED2" w:rsidRPr="00187ED2">
        <w:rPr>
          <w:lang w:val="en-AU"/>
        </w:rPr>
        <w:t xml:space="preserve"> contracts with specified levels of service. </w:t>
      </w:r>
      <w:r w:rsidR="00022632">
        <w:rPr>
          <w:lang w:val="en-AU"/>
        </w:rPr>
        <w:t xml:space="preserve"> The expertise of such entities could be focussed</w:t>
      </w:r>
      <w:r w:rsidR="00B734E7">
        <w:rPr>
          <w:lang w:val="en-AU"/>
        </w:rPr>
        <w:t xml:space="preserve"> upon</w:t>
      </w:r>
      <w:r w:rsidR="00022632">
        <w:rPr>
          <w:lang w:val="en-AU"/>
        </w:rPr>
        <w:t xml:space="preserve"> the greatest utilisation of the grid to </w:t>
      </w:r>
      <w:r w:rsidR="00B734E7">
        <w:rPr>
          <w:lang w:val="en-AU"/>
        </w:rPr>
        <w:t>meet</w:t>
      </w:r>
      <w:r w:rsidR="00022632">
        <w:rPr>
          <w:lang w:val="en-AU"/>
        </w:rPr>
        <w:t xml:space="preserve"> the specific level of service requirements of its customers.  </w:t>
      </w:r>
      <w:r w:rsidR="00913927">
        <w:rPr>
          <w:lang w:val="en-AU"/>
        </w:rPr>
        <w:t>Such a model would</w:t>
      </w:r>
      <w:r w:rsidR="00022632">
        <w:rPr>
          <w:lang w:val="en-AU"/>
        </w:rPr>
        <w:t xml:space="preserve"> pro</w:t>
      </w:r>
      <w:r w:rsidR="00913927">
        <w:rPr>
          <w:lang w:val="en-AU"/>
        </w:rPr>
        <w:t>mote</w:t>
      </w:r>
      <w:r w:rsidR="00022632">
        <w:rPr>
          <w:lang w:val="en-AU"/>
        </w:rPr>
        <w:t xml:space="preserve"> scale to support greater integration of technology and science by such bulk water service providers.  </w:t>
      </w:r>
    </w:p>
    <w:p w:rsidR="00022632" w:rsidRDefault="00022632" w:rsidP="00187ED2">
      <w:pPr>
        <w:rPr>
          <w:lang w:val="en-AU"/>
        </w:rPr>
      </w:pPr>
    </w:p>
    <w:p w:rsidR="00022632" w:rsidRDefault="00913927" w:rsidP="00187ED2">
      <w:pPr>
        <w:rPr>
          <w:lang w:val="en-AU"/>
        </w:rPr>
      </w:pPr>
      <w:r>
        <w:rPr>
          <w:lang w:val="en-AU"/>
        </w:rPr>
        <w:t>These institutional arrangements</w:t>
      </w:r>
      <w:r w:rsidR="00022632">
        <w:rPr>
          <w:lang w:val="en-AU"/>
        </w:rPr>
        <w:t xml:space="preserve"> </w:t>
      </w:r>
      <w:r>
        <w:rPr>
          <w:lang w:val="en-AU"/>
        </w:rPr>
        <w:t>are</w:t>
      </w:r>
      <w:r w:rsidR="00022632">
        <w:rPr>
          <w:lang w:val="en-AU"/>
        </w:rPr>
        <w:t xml:space="preserve"> consistent with the model that has evolved in the urban water sector but not broadly in the regions</w:t>
      </w:r>
      <w:r>
        <w:rPr>
          <w:lang w:val="en-AU"/>
        </w:rPr>
        <w:t>.  This inconsistency</w:t>
      </w:r>
      <w:r w:rsidR="00022632">
        <w:rPr>
          <w:lang w:val="en-AU"/>
        </w:rPr>
        <w:t xml:space="preserve"> ultimately </w:t>
      </w:r>
      <w:r>
        <w:rPr>
          <w:lang w:val="en-AU"/>
        </w:rPr>
        <w:t xml:space="preserve">can be seen to </w:t>
      </w:r>
      <w:r w:rsidR="00022632">
        <w:rPr>
          <w:lang w:val="en-AU"/>
        </w:rPr>
        <w:t>disadvantag</w:t>
      </w:r>
      <w:r>
        <w:rPr>
          <w:lang w:val="en-AU"/>
        </w:rPr>
        <w:t>e</w:t>
      </w:r>
      <w:r w:rsidR="00022632">
        <w:rPr>
          <w:lang w:val="en-AU"/>
        </w:rPr>
        <w:t xml:space="preserve"> regionally based population and the ag</w:t>
      </w:r>
      <w:r w:rsidR="00B4608E">
        <w:rPr>
          <w:lang w:val="en-AU"/>
        </w:rPr>
        <w:t>ricultural (and industrial) sectors</w:t>
      </w:r>
      <w:r w:rsidR="00AC67D9">
        <w:rPr>
          <w:lang w:val="en-AU"/>
        </w:rPr>
        <w:t xml:space="preserve"> by limiting access to improved security of supply</w:t>
      </w:r>
      <w:r w:rsidR="00B4608E">
        <w:rPr>
          <w:lang w:val="en-AU"/>
        </w:rPr>
        <w:t>.</w:t>
      </w:r>
      <w:r w:rsidR="00022632">
        <w:rPr>
          <w:lang w:val="en-AU"/>
        </w:rPr>
        <w:t xml:space="preserve"> </w:t>
      </w:r>
    </w:p>
    <w:p w:rsidR="00022632" w:rsidRDefault="00022632" w:rsidP="00187ED2">
      <w:pPr>
        <w:rPr>
          <w:lang w:val="en-AU"/>
        </w:rPr>
      </w:pPr>
    </w:p>
    <w:p w:rsidR="00022632" w:rsidRDefault="00682992" w:rsidP="00187ED2">
      <w:pPr>
        <w:rPr>
          <w:lang w:val="en-AU"/>
        </w:rPr>
      </w:pPr>
      <w:r w:rsidRPr="00682992">
        <w:rPr>
          <w:lang w:val="en-AU"/>
        </w:rPr>
        <w:t xml:space="preserve">Under the </w:t>
      </w:r>
      <w:r>
        <w:rPr>
          <w:lang w:val="en-AU"/>
        </w:rPr>
        <w:t>proposed model, statutory</w:t>
      </w:r>
      <w:r w:rsidRPr="00682992">
        <w:rPr>
          <w:lang w:val="en-AU"/>
        </w:rPr>
        <w:t xml:space="preserve"> water entitlements are disassociated with the ownership of land and can be traded from one form of consumptive water use to another – in keeping with the requirements of the NWI.</w:t>
      </w:r>
      <w:r>
        <w:rPr>
          <w:lang w:val="en-AU"/>
        </w:rPr>
        <w:t xml:space="preserve"> </w:t>
      </w:r>
      <w:r w:rsidRPr="00682992">
        <w:rPr>
          <w:lang w:val="en-AU"/>
        </w:rPr>
        <w:t xml:space="preserve"> </w:t>
      </w:r>
      <w:r w:rsidR="00B4608E">
        <w:rPr>
          <w:lang w:val="en-AU"/>
        </w:rPr>
        <w:t>For completeness, t</w:t>
      </w:r>
      <w:r w:rsidR="00187ED2" w:rsidRPr="00187ED2">
        <w:rPr>
          <w:lang w:val="en-AU"/>
        </w:rPr>
        <w:t xml:space="preserve">rading </w:t>
      </w:r>
      <w:r w:rsidR="00022632">
        <w:rPr>
          <w:lang w:val="en-AU"/>
        </w:rPr>
        <w:t>w</w:t>
      </w:r>
      <w:r w:rsidR="00187ED2" w:rsidRPr="00187ED2">
        <w:rPr>
          <w:lang w:val="en-AU"/>
        </w:rPr>
        <w:t xml:space="preserve">ould still </w:t>
      </w:r>
      <w:r w:rsidR="00022632">
        <w:rPr>
          <w:lang w:val="en-AU"/>
        </w:rPr>
        <w:t>be possible</w:t>
      </w:r>
      <w:r w:rsidR="00913927">
        <w:rPr>
          <w:lang w:val="en-AU"/>
        </w:rPr>
        <w:t xml:space="preserve"> (and indeed encouraged) under this model</w:t>
      </w:r>
      <w:r w:rsidR="00022632">
        <w:rPr>
          <w:lang w:val="en-AU"/>
        </w:rPr>
        <w:t>.  Instead of statutory water entitlements,</w:t>
      </w:r>
      <w:r w:rsidR="00187ED2" w:rsidRPr="00187ED2">
        <w:rPr>
          <w:lang w:val="en-AU"/>
        </w:rPr>
        <w:t xml:space="preserve"> long term contractual entitlements</w:t>
      </w:r>
      <w:r w:rsidR="00022632">
        <w:rPr>
          <w:lang w:val="en-AU"/>
        </w:rPr>
        <w:t xml:space="preserve"> </w:t>
      </w:r>
      <w:r w:rsidR="0031289B">
        <w:rPr>
          <w:lang w:val="en-AU"/>
        </w:rPr>
        <w:t>w</w:t>
      </w:r>
      <w:r w:rsidR="00022632">
        <w:rPr>
          <w:lang w:val="en-AU"/>
        </w:rPr>
        <w:t>ould be traded thus ensuring compliance with NWI para 31.</w:t>
      </w:r>
    </w:p>
    <w:p w:rsidR="00022632" w:rsidRDefault="00022632" w:rsidP="00187ED2">
      <w:pPr>
        <w:rPr>
          <w:lang w:val="en-AU"/>
        </w:rPr>
      </w:pPr>
    </w:p>
    <w:p w:rsidR="00187ED2" w:rsidRPr="00187ED2" w:rsidRDefault="00913927" w:rsidP="00187ED2">
      <w:pPr>
        <w:rPr>
          <w:lang w:val="en-AU"/>
        </w:rPr>
      </w:pPr>
      <w:r>
        <w:rPr>
          <w:lang w:val="en-AU"/>
        </w:rPr>
        <w:t>The above is premise</w:t>
      </w:r>
      <w:r w:rsidR="000E6A2D">
        <w:rPr>
          <w:lang w:val="en-AU"/>
        </w:rPr>
        <w:t>d</w:t>
      </w:r>
      <w:r>
        <w:rPr>
          <w:lang w:val="en-AU"/>
        </w:rPr>
        <w:t xml:space="preserve"> on a </w:t>
      </w:r>
      <w:r w:rsidR="00682992">
        <w:rPr>
          <w:lang w:val="en-AU"/>
        </w:rPr>
        <w:t xml:space="preserve">aggregated contractual model, but </w:t>
      </w:r>
      <w:r w:rsidR="0031289B">
        <w:rPr>
          <w:lang w:val="en-AU"/>
        </w:rPr>
        <w:t xml:space="preserve">it is </w:t>
      </w:r>
      <w:r w:rsidR="00682992" w:rsidRPr="00682992">
        <w:rPr>
          <w:lang w:val="en-AU"/>
        </w:rPr>
        <w:t>recognise</w:t>
      </w:r>
      <w:r w:rsidR="0031289B">
        <w:rPr>
          <w:lang w:val="en-AU"/>
        </w:rPr>
        <w:t>d</w:t>
      </w:r>
      <w:r w:rsidR="00682992" w:rsidRPr="00682992">
        <w:rPr>
          <w:lang w:val="en-AU"/>
        </w:rPr>
        <w:t xml:space="preserve"> that there </w:t>
      </w:r>
      <w:r w:rsidR="0031289B">
        <w:rPr>
          <w:lang w:val="en-AU"/>
        </w:rPr>
        <w:t>are</w:t>
      </w:r>
      <w:r w:rsidR="00682992" w:rsidRPr="00682992">
        <w:rPr>
          <w:lang w:val="en-AU"/>
        </w:rPr>
        <w:t xml:space="preserve"> alternative models to facilitate grid operation</w:t>
      </w:r>
      <w:r w:rsidR="00682992">
        <w:rPr>
          <w:lang w:val="en-AU"/>
        </w:rPr>
        <w:t xml:space="preserve"> that may produce similar benefits.</w:t>
      </w:r>
      <w:r w:rsidR="00A43AA0">
        <w:rPr>
          <w:lang w:val="en-AU"/>
        </w:rPr>
        <w:t xml:space="preserve">  </w:t>
      </w:r>
    </w:p>
    <w:p w:rsidR="00187ED2" w:rsidRPr="00187ED2" w:rsidRDefault="00187ED2" w:rsidP="00187ED2">
      <w:pPr>
        <w:rPr>
          <w:lang w:val="en-AU"/>
        </w:rPr>
      </w:pPr>
    </w:p>
    <w:p w:rsidR="0031289B" w:rsidRPr="0031289B" w:rsidRDefault="0031289B" w:rsidP="0031289B">
      <w:pPr>
        <w:rPr>
          <w:lang w:val="en-AU"/>
        </w:rPr>
      </w:pPr>
      <w:r>
        <w:rPr>
          <w:lang w:val="en-AU"/>
        </w:rPr>
        <w:t>It is recommended that guidance be given around institutional arrangements to recruit the benefits associated with the operation of a grid,</w:t>
      </w:r>
      <w:r w:rsidRPr="0031289B">
        <w:rPr>
          <w:lang w:val="en-AU"/>
        </w:rPr>
        <w:t xml:space="preserve"> </w:t>
      </w:r>
      <w:r>
        <w:rPr>
          <w:lang w:val="en-AU"/>
        </w:rPr>
        <w:t>consistent with existing NWI imperatives</w:t>
      </w:r>
      <w:r w:rsidRPr="0031289B">
        <w:rPr>
          <w:lang w:val="en-AU"/>
        </w:rPr>
        <w:t xml:space="preserve">. </w:t>
      </w:r>
      <w:r w:rsidR="00A43AA0">
        <w:rPr>
          <w:lang w:val="en-AU"/>
        </w:rPr>
        <w:t xml:space="preserve"> Guidance </w:t>
      </w:r>
      <w:r w:rsidR="00B734E7">
        <w:rPr>
          <w:lang w:val="en-AU"/>
        </w:rPr>
        <w:t>sh</w:t>
      </w:r>
      <w:r w:rsidR="00A43AA0">
        <w:rPr>
          <w:lang w:val="en-AU"/>
        </w:rPr>
        <w:t xml:space="preserve">ould also be provided </w:t>
      </w:r>
      <w:r w:rsidR="00171368">
        <w:rPr>
          <w:lang w:val="en-AU"/>
        </w:rPr>
        <w:t xml:space="preserve">upon characteristics of the institutional arrangements for an optimal </w:t>
      </w:r>
      <w:r w:rsidR="00AC67D9">
        <w:rPr>
          <w:lang w:val="en-AU"/>
        </w:rPr>
        <w:t>R</w:t>
      </w:r>
      <w:r w:rsidR="000E6A2D">
        <w:rPr>
          <w:lang w:val="en-AU"/>
        </w:rPr>
        <w:t xml:space="preserve">egional </w:t>
      </w:r>
      <w:r w:rsidR="00AC67D9">
        <w:rPr>
          <w:lang w:val="en-AU"/>
        </w:rPr>
        <w:t>Grid M</w:t>
      </w:r>
      <w:r w:rsidR="00171368">
        <w:rPr>
          <w:lang w:val="en-AU"/>
        </w:rPr>
        <w:t>anager</w:t>
      </w:r>
      <w:r w:rsidR="00AC67D9">
        <w:rPr>
          <w:lang w:val="en-AU"/>
        </w:rPr>
        <w:t xml:space="preserve"> assessed by reference to NWI imperatives</w:t>
      </w:r>
      <w:r w:rsidR="00171368">
        <w:rPr>
          <w:lang w:val="en-AU"/>
        </w:rPr>
        <w:t>.</w:t>
      </w:r>
    </w:p>
    <w:p w:rsidR="0031289B" w:rsidRDefault="0031289B" w:rsidP="00187ED2">
      <w:pPr>
        <w:rPr>
          <w:lang w:val="en-AU"/>
        </w:rPr>
      </w:pPr>
    </w:p>
    <w:p w:rsidR="00014114" w:rsidRPr="0054123B" w:rsidRDefault="00A178C7" w:rsidP="0054123B">
      <w:pPr>
        <w:pStyle w:val="ListParagraph"/>
        <w:numPr>
          <w:ilvl w:val="0"/>
          <w:numId w:val="2"/>
        </w:numPr>
        <w:spacing w:after="120"/>
        <w:ind w:left="714" w:hanging="357"/>
        <w:rPr>
          <w:b/>
          <w:bCs/>
          <w:lang w:val="en-AU"/>
        </w:rPr>
      </w:pPr>
      <w:r w:rsidRPr="0054123B">
        <w:rPr>
          <w:b/>
          <w:bCs/>
          <w:lang w:val="en-AU"/>
        </w:rPr>
        <w:t xml:space="preserve">Economic </w:t>
      </w:r>
      <w:r w:rsidR="0054123B">
        <w:rPr>
          <w:b/>
          <w:bCs/>
          <w:lang w:val="en-AU"/>
        </w:rPr>
        <w:t>Benefits</w:t>
      </w:r>
    </w:p>
    <w:p w:rsidR="00EE565D" w:rsidRDefault="00D40D26" w:rsidP="00EE565D">
      <w:pPr>
        <w:rPr>
          <w:lang w:val="en-AU"/>
        </w:rPr>
      </w:pPr>
      <w:r>
        <w:rPr>
          <w:lang w:val="en-AU"/>
        </w:rPr>
        <w:t>A recurrent criticism of government investment in the water sector, especially regionally, is a failure to transparently demonstrate a positive cost-benefit analysis</w:t>
      </w:r>
      <w:r w:rsidR="0054123B">
        <w:rPr>
          <w:lang w:val="en-AU"/>
        </w:rPr>
        <w:t>.  I</w:t>
      </w:r>
      <w:r w:rsidR="00A178C7">
        <w:rPr>
          <w:lang w:val="en-AU"/>
        </w:rPr>
        <w:t>ndeed, the existence of such criticisms</w:t>
      </w:r>
      <w:r w:rsidR="00A178C7" w:rsidRPr="00A178C7">
        <w:rPr>
          <w:lang w:val="en-AU"/>
        </w:rPr>
        <w:t xml:space="preserve"> is recognised in the </w:t>
      </w:r>
      <w:r w:rsidR="00A178C7">
        <w:rPr>
          <w:lang w:val="en-AU"/>
        </w:rPr>
        <w:t xml:space="preserve">present </w:t>
      </w:r>
      <w:r w:rsidR="00A178C7" w:rsidRPr="00A178C7">
        <w:rPr>
          <w:lang w:val="en-AU"/>
        </w:rPr>
        <w:t>terms</w:t>
      </w:r>
      <w:r w:rsidR="00A178C7">
        <w:rPr>
          <w:lang w:val="en-AU"/>
        </w:rPr>
        <w:t xml:space="preserve"> </w:t>
      </w:r>
      <w:r w:rsidR="0054123B">
        <w:rPr>
          <w:lang w:val="en-AU"/>
        </w:rPr>
        <w:t>of reference</w:t>
      </w:r>
      <w:r w:rsidR="00A178C7">
        <w:rPr>
          <w:lang w:val="en-AU"/>
        </w:rPr>
        <w:t xml:space="preserve"> </w:t>
      </w:r>
      <w:r w:rsidR="0054123B">
        <w:rPr>
          <w:lang w:val="en-AU"/>
        </w:rPr>
        <w:t xml:space="preserve">(at </w:t>
      </w:r>
      <w:r w:rsidR="00A178C7">
        <w:rPr>
          <w:lang w:val="en-AU"/>
        </w:rPr>
        <w:t>p24</w:t>
      </w:r>
      <w:r w:rsidR="0054123B">
        <w:rPr>
          <w:lang w:val="en-AU"/>
        </w:rPr>
        <w:t>)</w:t>
      </w:r>
      <w:r w:rsidR="00A178C7">
        <w:rPr>
          <w:lang w:val="en-AU"/>
        </w:rPr>
        <w:t>.</w:t>
      </w:r>
      <w:r>
        <w:rPr>
          <w:lang w:val="en-AU"/>
        </w:rPr>
        <w:t xml:space="preserve"> </w:t>
      </w:r>
      <w:r w:rsidR="00EE565D">
        <w:rPr>
          <w:lang w:val="en-AU"/>
        </w:rPr>
        <w:t xml:space="preserve"> </w:t>
      </w:r>
      <w:r w:rsidR="00A178C7">
        <w:rPr>
          <w:lang w:val="en-AU"/>
        </w:rPr>
        <w:t>Such</w:t>
      </w:r>
      <w:r w:rsidR="00187ED2" w:rsidRPr="00187ED2">
        <w:rPr>
          <w:lang w:val="en-AU"/>
        </w:rPr>
        <w:t xml:space="preserve"> </w:t>
      </w:r>
      <w:r w:rsidR="00187ED2" w:rsidRPr="00187ED2">
        <w:rPr>
          <w:lang w:val="en-AU"/>
        </w:rPr>
        <w:lastRenderedPageBreak/>
        <w:t xml:space="preserve">arguments </w:t>
      </w:r>
      <w:r>
        <w:rPr>
          <w:lang w:val="en-AU"/>
        </w:rPr>
        <w:t xml:space="preserve">contend </w:t>
      </w:r>
      <w:r w:rsidR="00EE565D">
        <w:rPr>
          <w:lang w:val="en-AU"/>
        </w:rPr>
        <w:t>that this inefficient</w:t>
      </w:r>
      <w:r>
        <w:rPr>
          <w:lang w:val="en-AU"/>
        </w:rPr>
        <w:t xml:space="preserve"> use of public funds can result in </w:t>
      </w:r>
      <w:r w:rsidR="00187ED2" w:rsidRPr="00187ED2">
        <w:rPr>
          <w:lang w:val="en-AU"/>
        </w:rPr>
        <w:t>“wealth transfer”</w:t>
      </w:r>
      <w:r>
        <w:rPr>
          <w:lang w:val="en-AU"/>
        </w:rPr>
        <w:t xml:space="preserve"> to those who acquire the statutory water entitlement.</w:t>
      </w:r>
    </w:p>
    <w:p w:rsidR="00EE565D" w:rsidRDefault="00EE565D" w:rsidP="00EE565D">
      <w:pPr>
        <w:rPr>
          <w:lang w:val="en-AU"/>
        </w:rPr>
      </w:pPr>
    </w:p>
    <w:p w:rsidR="00F52834" w:rsidRDefault="00D40D26" w:rsidP="00EE565D">
      <w:pPr>
        <w:rPr>
          <w:lang w:val="en-AU"/>
        </w:rPr>
      </w:pPr>
      <w:r>
        <w:rPr>
          <w:lang w:val="en-AU"/>
        </w:rPr>
        <w:t>By consolidating such holdings in</w:t>
      </w:r>
      <w:r w:rsidR="00A178C7">
        <w:rPr>
          <w:lang w:val="en-AU"/>
        </w:rPr>
        <w:t>to</w:t>
      </w:r>
      <w:r>
        <w:rPr>
          <w:lang w:val="en-AU"/>
        </w:rPr>
        <w:t xml:space="preserve"> a </w:t>
      </w:r>
      <w:r w:rsidR="00EE565D">
        <w:rPr>
          <w:lang w:val="en-AU"/>
        </w:rPr>
        <w:t>publicly owned entity that issues long term (say 20 year</w:t>
      </w:r>
      <w:r w:rsidR="00A93A10">
        <w:rPr>
          <w:lang w:val="en-AU"/>
        </w:rPr>
        <w:t>)</w:t>
      </w:r>
      <w:r w:rsidR="00EE565D">
        <w:rPr>
          <w:lang w:val="en-AU"/>
        </w:rPr>
        <w:t xml:space="preserve"> water supply contracts</w:t>
      </w:r>
      <w:r w:rsidR="00A178C7">
        <w:rPr>
          <w:lang w:val="en-AU"/>
        </w:rPr>
        <w:t xml:space="preserve"> government has the potential to absorb </w:t>
      </w:r>
      <w:r w:rsidR="00944D76">
        <w:rPr>
          <w:lang w:val="en-AU"/>
        </w:rPr>
        <w:t xml:space="preserve">the </w:t>
      </w:r>
      <w:r w:rsidR="00A178C7">
        <w:rPr>
          <w:lang w:val="en-AU"/>
        </w:rPr>
        <w:t>financial ri</w:t>
      </w:r>
      <w:r w:rsidR="00944D76">
        <w:rPr>
          <w:lang w:val="en-AU"/>
        </w:rPr>
        <w:t>sk in the short term</w:t>
      </w:r>
      <w:r w:rsidR="00A178C7">
        <w:rPr>
          <w:lang w:val="en-AU"/>
        </w:rPr>
        <w:t xml:space="preserve">, </w:t>
      </w:r>
      <w:r w:rsidR="00944D76">
        <w:rPr>
          <w:lang w:val="en-AU"/>
        </w:rPr>
        <w:t>whilst</w:t>
      </w:r>
      <w:r w:rsidR="00A178C7">
        <w:rPr>
          <w:lang w:val="en-AU"/>
        </w:rPr>
        <w:t xml:space="preserve"> </w:t>
      </w:r>
      <w:r w:rsidR="00944D76">
        <w:rPr>
          <w:lang w:val="en-AU"/>
        </w:rPr>
        <w:t>retaining the</w:t>
      </w:r>
      <w:r w:rsidR="00A178C7">
        <w:rPr>
          <w:lang w:val="en-AU"/>
        </w:rPr>
        <w:t xml:space="preserve"> </w:t>
      </w:r>
      <w:r w:rsidR="00944D76">
        <w:rPr>
          <w:lang w:val="en-AU"/>
        </w:rPr>
        <w:t xml:space="preserve">ability to receive a financial return should and when developing </w:t>
      </w:r>
      <w:r w:rsidR="00A93A10">
        <w:rPr>
          <w:lang w:val="en-AU"/>
        </w:rPr>
        <w:t xml:space="preserve">agricultural </w:t>
      </w:r>
      <w:r w:rsidR="0054123B">
        <w:rPr>
          <w:lang w:val="en-AU"/>
        </w:rPr>
        <w:t>markets</w:t>
      </w:r>
      <w:r w:rsidR="00944D76">
        <w:rPr>
          <w:lang w:val="en-AU"/>
        </w:rPr>
        <w:t xml:space="preserve"> becomes more profitable</w:t>
      </w:r>
      <w:r w:rsidR="00A33101">
        <w:rPr>
          <w:lang w:val="en-AU"/>
        </w:rPr>
        <w:t>.</w:t>
      </w:r>
      <w:r w:rsidR="00AC67D9">
        <w:t xml:space="preserve"> A publicly owned </w:t>
      </w:r>
      <w:r w:rsidR="001B712F">
        <w:rPr>
          <w:lang w:val="en-AU"/>
        </w:rPr>
        <w:t xml:space="preserve">statutory </w:t>
      </w:r>
      <w:r w:rsidR="00A93A10">
        <w:rPr>
          <w:lang w:val="en-AU"/>
        </w:rPr>
        <w:t xml:space="preserve">water </w:t>
      </w:r>
      <w:r w:rsidR="001B712F">
        <w:rPr>
          <w:lang w:val="en-AU"/>
        </w:rPr>
        <w:t>entitlement</w:t>
      </w:r>
      <w:r w:rsidR="00204CC3" w:rsidRPr="00204CC3">
        <w:rPr>
          <w:lang w:val="en-AU"/>
        </w:rPr>
        <w:t xml:space="preserve"> aggregation e</w:t>
      </w:r>
      <w:r w:rsidR="00AC67D9">
        <w:rPr>
          <w:lang w:val="en-AU"/>
        </w:rPr>
        <w:t>ntity, such as a Regional Grid O</w:t>
      </w:r>
      <w:r w:rsidR="00204CC3" w:rsidRPr="00204CC3">
        <w:rPr>
          <w:lang w:val="en-AU"/>
        </w:rPr>
        <w:t xml:space="preserve">perator, </w:t>
      </w:r>
      <w:r w:rsidR="00A93A10">
        <w:rPr>
          <w:lang w:val="en-AU"/>
        </w:rPr>
        <w:t xml:space="preserve">could be </w:t>
      </w:r>
      <w:r w:rsidR="0054123B">
        <w:rPr>
          <w:lang w:val="en-AU"/>
        </w:rPr>
        <w:t>as</w:t>
      </w:r>
      <w:r w:rsidR="00204CC3" w:rsidRPr="00204CC3">
        <w:rPr>
          <w:lang w:val="en-AU"/>
        </w:rPr>
        <w:t xml:space="preserve"> an a</w:t>
      </w:r>
      <w:r w:rsidR="00AC67D9">
        <w:rPr>
          <w:lang w:val="en-AU"/>
        </w:rPr>
        <w:t>ppropriate medium</w:t>
      </w:r>
      <w:r w:rsidR="00204CC3" w:rsidRPr="00204CC3">
        <w:rPr>
          <w:lang w:val="en-AU"/>
        </w:rPr>
        <w:t xml:space="preserve"> to </w:t>
      </w:r>
      <w:r w:rsidR="00AC67D9">
        <w:rPr>
          <w:lang w:val="en-AU"/>
        </w:rPr>
        <w:t>have allocated</w:t>
      </w:r>
      <w:r w:rsidR="00204CC3" w:rsidRPr="00204CC3">
        <w:rPr>
          <w:lang w:val="en-AU"/>
        </w:rPr>
        <w:t xml:space="preserve"> such risk.</w:t>
      </w:r>
    </w:p>
    <w:p w:rsidR="00A93A10" w:rsidRPr="00A93A10" w:rsidRDefault="00A93A10" w:rsidP="00EE565D"/>
    <w:p w:rsidR="00F52834" w:rsidRDefault="0054123B" w:rsidP="00B77E7D">
      <w:pPr>
        <w:rPr>
          <w:lang w:val="en-US"/>
        </w:rPr>
      </w:pPr>
      <w:r>
        <w:rPr>
          <w:lang w:val="en-AU"/>
        </w:rPr>
        <w:t>A</w:t>
      </w:r>
      <w:r w:rsidR="00F52834">
        <w:rPr>
          <w:lang w:val="en-AU"/>
        </w:rPr>
        <w:t>ssumptions</w:t>
      </w:r>
      <w:r w:rsidR="00DA31EF">
        <w:rPr>
          <w:lang w:val="en-AU"/>
        </w:rPr>
        <w:t xml:space="preserve"> around</w:t>
      </w:r>
      <w:r>
        <w:rPr>
          <w:lang w:val="en-AU"/>
        </w:rPr>
        <w:t xml:space="preserve"> the</w:t>
      </w:r>
      <w:r w:rsidR="00DA31EF">
        <w:rPr>
          <w:lang w:val="en-AU"/>
        </w:rPr>
        <w:t xml:space="preserve"> capacity</w:t>
      </w:r>
      <w:r>
        <w:rPr>
          <w:lang w:val="en-AU"/>
        </w:rPr>
        <w:t xml:space="preserve"> for agricultural markets</w:t>
      </w:r>
      <w:r w:rsidR="00DA31EF">
        <w:rPr>
          <w:lang w:val="en-AU"/>
        </w:rPr>
        <w:t xml:space="preserve"> to support higher prices into future</w:t>
      </w:r>
      <w:r w:rsidR="00F52834">
        <w:rPr>
          <w:lang w:val="en-AU"/>
        </w:rPr>
        <w:t xml:space="preserve"> have basis.  </w:t>
      </w:r>
      <w:r w:rsidR="00B77E7D" w:rsidRPr="00B77E7D">
        <w:rPr>
          <w:lang w:val="en-US"/>
        </w:rPr>
        <w:t>Australia (and particularly Northern Australia) is geographically close to growing Asian markets for high-quality food.  Moreover, Australia enjoys a premium reputation for its agricultural produce due to the perception with Asia of the purity of its environment.</w:t>
      </w:r>
      <w:r w:rsidR="00B77E7D">
        <w:rPr>
          <w:lang w:val="en-US"/>
        </w:rPr>
        <w:t xml:space="preserve">  </w:t>
      </w:r>
      <w:r w:rsidR="00B77E7D" w:rsidRPr="00B77E7D">
        <w:rPr>
          <w:lang w:val="en-US"/>
        </w:rPr>
        <w:t>Over the coming decades</w:t>
      </w:r>
      <w:r w:rsidR="00DA31EF">
        <w:rPr>
          <w:lang w:val="en-US"/>
        </w:rPr>
        <w:t>, I suggest that</w:t>
      </w:r>
      <w:r w:rsidR="00B77E7D" w:rsidRPr="00B77E7D">
        <w:rPr>
          <w:lang w:val="en-US"/>
        </w:rPr>
        <w:t xml:space="preserve"> </w:t>
      </w:r>
      <w:r w:rsidR="00B77E7D">
        <w:rPr>
          <w:lang w:val="en-US"/>
        </w:rPr>
        <w:t>there is a strong basis to forecast transition of the use of water</w:t>
      </w:r>
      <w:r w:rsidR="00B77E7D" w:rsidRPr="00B77E7D">
        <w:rPr>
          <w:lang w:val="en-US"/>
        </w:rPr>
        <w:t xml:space="preserve"> </w:t>
      </w:r>
      <w:r w:rsidR="00B77E7D">
        <w:rPr>
          <w:lang w:val="en-US"/>
        </w:rPr>
        <w:t>from</w:t>
      </w:r>
      <w:r w:rsidR="00B77E7D" w:rsidRPr="00B77E7D">
        <w:rPr>
          <w:lang w:val="en-US"/>
        </w:rPr>
        <w:t xml:space="preserve"> relatively low value crops to higher value products</w:t>
      </w:r>
      <w:r w:rsidR="00B77E7D">
        <w:rPr>
          <w:lang w:val="en-US"/>
        </w:rPr>
        <w:t>.</w:t>
      </w:r>
    </w:p>
    <w:p w:rsidR="00944D76" w:rsidRDefault="00944D76" w:rsidP="00B77E7D">
      <w:pPr>
        <w:rPr>
          <w:lang w:val="en-US"/>
        </w:rPr>
      </w:pPr>
    </w:p>
    <w:p w:rsidR="00944D76" w:rsidRPr="00944D76" w:rsidRDefault="00944D76" w:rsidP="00944D76">
      <w:pPr>
        <w:rPr>
          <w:lang w:val="en-AU"/>
        </w:rPr>
      </w:pPr>
      <w:r>
        <w:rPr>
          <w:lang w:val="en-AU"/>
        </w:rPr>
        <w:t xml:space="preserve">In such circumstances </w:t>
      </w:r>
      <w:r w:rsidRPr="00944D76">
        <w:rPr>
          <w:lang w:val="en-AU"/>
        </w:rPr>
        <w:t xml:space="preserve">there is potential to uplift water prices should </w:t>
      </w:r>
      <w:r w:rsidR="0054123B">
        <w:rPr>
          <w:lang w:val="en-AU"/>
        </w:rPr>
        <w:t>these markets</w:t>
      </w:r>
      <w:r w:rsidRPr="00944D76">
        <w:rPr>
          <w:lang w:val="en-AU"/>
        </w:rPr>
        <w:t xml:space="preserve"> (as an example) exceed</w:t>
      </w:r>
      <w:r w:rsidR="0054123B">
        <w:rPr>
          <w:lang w:val="en-AU"/>
        </w:rPr>
        <w:t xml:space="preserve"> nominated profitability</w:t>
      </w:r>
      <w:r w:rsidRPr="00944D76">
        <w:rPr>
          <w:lang w:val="en-AU"/>
        </w:rPr>
        <w:t xml:space="preserve"> benchmark</w:t>
      </w:r>
      <w:r w:rsidR="0054123B">
        <w:rPr>
          <w:lang w:val="en-AU"/>
        </w:rPr>
        <w:t>s</w:t>
      </w:r>
      <w:r w:rsidRPr="00944D76">
        <w:rPr>
          <w:lang w:val="en-AU"/>
        </w:rPr>
        <w:t xml:space="preserve"> (</w:t>
      </w:r>
      <w:r w:rsidR="0054123B">
        <w:rPr>
          <w:lang w:val="en-AU"/>
        </w:rPr>
        <w:t>that could be</w:t>
      </w:r>
      <w:r w:rsidRPr="00944D76">
        <w:rPr>
          <w:lang w:val="en-AU"/>
        </w:rPr>
        <w:t xml:space="preserve"> set and supervised by an independent economic regulator).</w:t>
      </w:r>
    </w:p>
    <w:p w:rsidR="00B734E7" w:rsidRDefault="00B734E7" w:rsidP="00EE565D">
      <w:pPr>
        <w:rPr>
          <w:lang w:val="en-AU"/>
        </w:rPr>
      </w:pPr>
    </w:p>
    <w:p w:rsidR="003A2DE8" w:rsidRPr="003A2DE8" w:rsidRDefault="003A2DE8" w:rsidP="003A2DE8">
      <w:r w:rsidRPr="003A2DE8">
        <w:rPr>
          <w:lang w:val="en-AU"/>
        </w:rPr>
        <w:t xml:space="preserve">Another potential benefit </w:t>
      </w:r>
      <w:r w:rsidR="00DA31EF">
        <w:rPr>
          <w:lang w:val="en-AU"/>
        </w:rPr>
        <w:t xml:space="preserve">of a </w:t>
      </w:r>
      <w:r w:rsidR="00DA31EF" w:rsidRPr="00DA31EF">
        <w:t xml:space="preserve">publicly owned </w:t>
      </w:r>
      <w:r w:rsidR="00DA31EF" w:rsidRPr="00DA31EF">
        <w:rPr>
          <w:lang w:val="en-AU"/>
        </w:rPr>
        <w:t xml:space="preserve">allocation aggregation entity </w:t>
      </w:r>
      <w:r w:rsidRPr="003A2DE8">
        <w:rPr>
          <w:lang w:val="en-AU"/>
        </w:rPr>
        <w:t>relates the potential to support private investment in new dams</w:t>
      </w:r>
      <w:r w:rsidR="00CD2E07">
        <w:rPr>
          <w:lang w:val="en-AU"/>
        </w:rPr>
        <w:t xml:space="preserve"> and other bulk water suppliers</w:t>
      </w:r>
      <w:r w:rsidRPr="003A2DE8">
        <w:rPr>
          <w:lang w:val="en-AU"/>
        </w:rPr>
        <w:t xml:space="preserve"> by providing a single counterpart</w:t>
      </w:r>
      <w:r w:rsidR="00B734E7">
        <w:rPr>
          <w:lang w:val="en-AU"/>
        </w:rPr>
        <w:t xml:space="preserve">y </w:t>
      </w:r>
      <w:r w:rsidRPr="003A2DE8">
        <w:rPr>
          <w:lang w:val="en-AU"/>
        </w:rPr>
        <w:t xml:space="preserve">with whom agreement must be reached to achieve </w:t>
      </w:r>
      <w:r w:rsidR="0054123B">
        <w:rPr>
          <w:lang w:val="en-AU"/>
        </w:rPr>
        <w:t xml:space="preserve">a </w:t>
      </w:r>
      <w:r w:rsidRPr="003A2DE8">
        <w:rPr>
          <w:lang w:val="en-AU"/>
        </w:rPr>
        <w:t xml:space="preserve">Final Investment Decision.  </w:t>
      </w:r>
    </w:p>
    <w:p w:rsidR="00B31D3E" w:rsidRDefault="00B31D3E" w:rsidP="003A2DE8"/>
    <w:p w:rsidR="00B31D3E" w:rsidRDefault="00772B87" w:rsidP="00B31D3E">
      <w:r>
        <w:t>Notwithstanding the potential public policy attributes, the necessary change to recruit these benefits needs to be the subject of careful consultation</w:t>
      </w:r>
      <w:r w:rsidR="00B31D3E">
        <w:t xml:space="preserve"> (</w:t>
      </w:r>
      <w:r w:rsidR="0054123B">
        <w:t xml:space="preserve">on </w:t>
      </w:r>
      <w:r w:rsidR="00A93A10">
        <w:t>matters</w:t>
      </w:r>
      <w:r w:rsidR="0054123B">
        <w:t xml:space="preserve"> includ</w:t>
      </w:r>
      <w:r w:rsidR="00A93A10">
        <w:t>ing</w:t>
      </w:r>
      <w:r w:rsidR="00B31D3E">
        <w:t xml:space="preserve"> compensation)</w:t>
      </w:r>
      <w:r>
        <w:t xml:space="preserve"> </w:t>
      </w:r>
      <w:r w:rsidR="00B5278F">
        <w:t>with exiting statutory water entitlement holders.</w:t>
      </w:r>
    </w:p>
    <w:p w:rsidR="00B31D3E" w:rsidRDefault="00B31D3E" w:rsidP="00B31D3E"/>
    <w:p w:rsidR="00B31D3E" w:rsidRPr="00944D76" w:rsidRDefault="00B31D3E" w:rsidP="00B31D3E">
      <w:pPr>
        <w:rPr>
          <w:lang w:val="en-AU"/>
        </w:rPr>
      </w:pPr>
      <w:r w:rsidRPr="00944D76">
        <w:rPr>
          <w:lang w:val="en-AU"/>
        </w:rPr>
        <w:t xml:space="preserve">In my experience </w:t>
      </w:r>
      <w:r w:rsidR="0054123B">
        <w:rPr>
          <w:lang w:val="en-AU"/>
        </w:rPr>
        <w:t>agri</w:t>
      </w:r>
      <w:r w:rsidR="00CD2E07">
        <w:rPr>
          <w:lang w:val="en-AU"/>
        </w:rPr>
        <w:t>cultural prodcuers</w:t>
      </w:r>
      <w:r w:rsidR="0054123B">
        <w:rPr>
          <w:lang w:val="en-AU"/>
        </w:rPr>
        <w:t xml:space="preserve"> </w:t>
      </w:r>
      <w:r w:rsidRPr="00944D76">
        <w:rPr>
          <w:lang w:val="en-AU"/>
        </w:rPr>
        <w:t xml:space="preserve">prefer statutory water entitlements to contractual entitlements because such statutory entitlements are viewed as real and tangible as opposed to </w:t>
      </w:r>
      <w:r w:rsidR="0054123B">
        <w:rPr>
          <w:lang w:val="en-AU"/>
        </w:rPr>
        <w:t>a rig</w:t>
      </w:r>
      <w:r w:rsidR="00552C61">
        <w:rPr>
          <w:lang w:val="en-AU"/>
        </w:rPr>
        <w:t>ht under a contract</w:t>
      </w:r>
      <w:r w:rsidRPr="00944D76">
        <w:rPr>
          <w:lang w:val="en-AU"/>
        </w:rPr>
        <w:t xml:space="preserve"> which is intangible.  Another reason is that statutory water entitlements do not require a counter party</w:t>
      </w:r>
      <w:r w:rsidR="00204CC3">
        <w:rPr>
          <w:lang w:val="en-AU"/>
        </w:rPr>
        <w:t>, the introduction of an intermediary</w:t>
      </w:r>
      <w:r w:rsidRPr="00944D76">
        <w:rPr>
          <w:lang w:val="en-AU"/>
        </w:rPr>
        <w:t xml:space="preserve"> </w:t>
      </w:r>
      <w:r w:rsidR="00A93A10">
        <w:rPr>
          <w:lang w:val="en-AU"/>
        </w:rPr>
        <w:t>is</w:t>
      </w:r>
      <w:r w:rsidRPr="00944D76">
        <w:rPr>
          <w:lang w:val="en-AU"/>
        </w:rPr>
        <w:t xml:space="preserve"> seen to introduce </w:t>
      </w:r>
      <w:r w:rsidR="00204CC3">
        <w:rPr>
          <w:lang w:val="en-AU"/>
        </w:rPr>
        <w:t xml:space="preserve">avoidable </w:t>
      </w:r>
      <w:r w:rsidRPr="00944D76">
        <w:rPr>
          <w:lang w:val="en-AU"/>
        </w:rPr>
        <w:t xml:space="preserve">risk and inefficiency.   </w:t>
      </w:r>
    </w:p>
    <w:p w:rsidR="00A43AA0" w:rsidRDefault="00A43AA0" w:rsidP="003A2DE8"/>
    <w:p w:rsidR="00204CC3" w:rsidRPr="00204CC3" w:rsidRDefault="00204CC3" w:rsidP="00204CC3">
      <w:r w:rsidRPr="00204CC3">
        <w:t xml:space="preserve">It is recommended that the Commission consider the potential to </w:t>
      </w:r>
      <w:r w:rsidR="00552C61">
        <w:t>capture</w:t>
      </w:r>
      <w:r w:rsidRPr="00204CC3">
        <w:t xml:space="preserve"> broader economic benefit when describing the</w:t>
      </w:r>
      <w:r w:rsidRPr="00204CC3">
        <w:rPr>
          <w:lang w:val="en-AU"/>
        </w:rPr>
        <w:t xml:space="preserve"> characteristics of the institutional arrangements it </w:t>
      </w:r>
      <w:r w:rsidR="00552C61">
        <w:rPr>
          <w:lang w:val="en-AU"/>
        </w:rPr>
        <w:t xml:space="preserve">may </w:t>
      </w:r>
      <w:r w:rsidRPr="00204CC3">
        <w:rPr>
          <w:lang w:val="en-AU"/>
        </w:rPr>
        <w:t xml:space="preserve">advocate for </w:t>
      </w:r>
      <w:r w:rsidR="00AC67D9">
        <w:rPr>
          <w:lang w:val="en-AU"/>
        </w:rPr>
        <w:t>R</w:t>
      </w:r>
      <w:r w:rsidR="000E6A2D">
        <w:rPr>
          <w:lang w:val="en-AU"/>
        </w:rPr>
        <w:t>egional</w:t>
      </w:r>
      <w:r w:rsidR="00AC67D9">
        <w:rPr>
          <w:lang w:val="en-AU"/>
        </w:rPr>
        <w:t xml:space="preserve"> Grid M</w:t>
      </w:r>
      <w:r w:rsidRPr="00204CC3">
        <w:rPr>
          <w:lang w:val="en-AU"/>
        </w:rPr>
        <w:t>anager</w:t>
      </w:r>
      <w:r w:rsidR="000E6A2D">
        <w:rPr>
          <w:lang w:val="en-AU"/>
        </w:rPr>
        <w:t>s</w:t>
      </w:r>
      <w:r w:rsidRPr="00204CC3">
        <w:t>.</w:t>
      </w:r>
      <w:r>
        <w:t xml:space="preserve">  It is also recommended that the Commission provide guidance </w:t>
      </w:r>
      <w:r w:rsidR="000E6A2D">
        <w:t>around the process to equitably support the e</w:t>
      </w:r>
      <w:r w:rsidR="00AC67D9">
        <w:t>stablishment of Regional Water G</w:t>
      </w:r>
      <w:r w:rsidR="000E6A2D">
        <w:t>rids.</w:t>
      </w:r>
    </w:p>
    <w:p w:rsidR="00A178C7" w:rsidRDefault="00A178C7" w:rsidP="00A178C7">
      <w:pPr>
        <w:rPr>
          <w:lang w:val="en-AU"/>
        </w:rPr>
      </w:pPr>
    </w:p>
    <w:p w:rsidR="00204CC3" w:rsidRDefault="000E6A2D" w:rsidP="00A178C7">
      <w:pPr>
        <w:rPr>
          <w:lang w:val="en-AU"/>
        </w:rPr>
      </w:pPr>
      <w:r>
        <w:rPr>
          <w:lang w:val="en-AU"/>
        </w:rPr>
        <w:t>Yours faithfully</w:t>
      </w:r>
    </w:p>
    <w:p w:rsidR="000E6A2D" w:rsidRDefault="000E6A2D" w:rsidP="00A178C7">
      <w:pPr>
        <w:rPr>
          <w:lang w:val="en-AU"/>
        </w:rPr>
      </w:pPr>
    </w:p>
    <w:p w:rsidR="000E6A2D" w:rsidRDefault="000E6A2D" w:rsidP="00A178C7">
      <w:pPr>
        <w:rPr>
          <w:lang w:val="en-AU"/>
        </w:rPr>
      </w:pPr>
    </w:p>
    <w:p w:rsidR="000E6A2D" w:rsidRPr="000E6A2D" w:rsidRDefault="000E6A2D" w:rsidP="00A178C7">
      <w:pPr>
        <w:rPr>
          <w:b/>
          <w:bCs/>
          <w:lang w:val="en-AU"/>
        </w:rPr>
      </w:pPr>
      <w:r w:rsidRPr="000E6A2D">
        <w:rPr>
          <w:b/>
          <w:bCs/>
          <w:lang w:val="en-AU"/>
        </w:rPr>
        <w:t>Jim Grayson</w:t>
      </w:r>
    </w:p>
    <w:p w:rsidR="00A178C7" w:rsidRDefault="00A178C7" w:rsidP="003A2DE8"/>
    <w:sectPr w:rsidR="00A178C7" w:rsidSect="000E6A2D">
      <w:headerReference w:type="even" r:id="rId8"/>
      <w:headerReference w:type="defaul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FC" w:rsidRDefault="005145FC" w:rsidP="000E6A2D">
      <w:r>
        <w:separator/>
      </w:r>
    </w:p>
  </w:endnote>
  <w:endnote w:type="continuationSeparator" w:id="0">
    <w:p w:rsidR="005145FC" w:rsidRDefault="005145FC" w:rsidP="000E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FC" w:rsidRDefault="005145FC" w:rsidP="000E6A2D">
      <w:r>
        <w:separator/>
      </w:r>
    </w:p>
  </w:footnote>
  <w:footnote w:type="continuationSeparator" w:id="0">
    <w:p w:rsidR="005145FC" w:rsidRDefault="005145FC" w:rsidP="000E6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49178192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0E6A2D" w:rsidRDefault="000E6A2D" w:rsidP="007B5D1E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E6A2D" w:rsidRDefault="000E6A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60269322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0E6A2D" w:rsidRDefault="000E6A2D" w:rsidP="007B5D1E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D6D32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0E6A2D" w:rsidRDefault="000E6A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02FB7"/>
    <w:multiLevelType w:val="hybridMultilevel"/>
    <w:tmpl w:val="02781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53694"/>
    <w:multiLevelType w:val="hybridMultilevel"/>
    <w:tmpl w:val="021C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B725D"/>
    <w:multiLevelType w:val="multilevel"/>
    <w:tmpl w:val="400A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D2"/>
    <w:rsid w:val="00014114"/>
    <w:rsid w:val="00022632"/>
    <w:rsid w:val="000E6351"/>
    <w:rsid w:val="000E6A2D"/>
    <w:rsid w:val="0015203D"/>
    <w:rsid w:val="001564B2"/>
    <w:rsid w:val="00171368"/>
    <w:rsid w:val="00187ED2"/>
    <w:rsid w:val="001B712F"/>
    <w:rsid w:val="00204CC3"/>
    <w:rsid w:val="002F7510"/>
    <w:rsid w:val="0031289B"/>
    <w:rsid w:val="003A2DE8"/>
    <w:rsid w:val="005145FC"/>
    <w:rsid w:val="0054123B"/>
    <w:rsid w:val="00552C61"/>
    <w:rsid w:val="00565C4A"/>
    <w:rsid w:val="005B5446"/>
    <w:rsid w:val="006207AD"/>
    <w:rsid w:val="00627964"/>
    <w:rsid w:val="00680A66"/>
    <w:rsid w:val="00682992"/>
    <w:rsid w:val="00772B87"/>
    <w:rsid w:val="007876BA"/>
    <w:rsid w:val="00845BA4"/>
    <w:rsid w:val="0090357F"/>
    <w:rsid w:val="00913927"/>
    <w:rsid w:val="00944D76"/>
    <w:rsid w:val="00A178C7"/>
    <w:rsid w:val="00A33101"/>
    <w:rsid w:val="00A43AA0"/>
    <w:rsid w:val="00A71B38"/>
    <w:rsid w:val="00A93A10"/>
    <w:rsid w:val="00AA6280"/>
    <w:rsid w:val="00AC67D9"/>
    <w:rsid w:val="00AD6D32"/>
    <w:rsid w:val="00B31D3E"/>
    <w:rsid w:val="00B4608E"/>
    <w:rsid w:val="00B5278F"/>
    <w:rsid w:val="00B734E7"/>
    <w:rsid w:val="00B77E7D"/>
    <w:rsid w:val="00BF5760"/>
    <w:rsid w:val="00C01A1F"/>
    <w:rsid w:val="00C64BFC"/>
    <w:rsid w:val="00CD2E07"/>
    <w:rsid w:val="00CD5792"/>
    <w:rsid w:val="00D40D26"/>
    <w:rsid w:val="00DA31EF"/>
    <w:rsid w:val="00DB6294"/>
    <w:rsid w:val="00DD20D0"/>
    <w:rsid w:val="00E3135F"/>
    <w:rsid w:val="00E43ACE"/>
    <w:rsid w:val="00EE565D"/>
    <w:rsid w:val="00F02692"/>
    <w:rsid w:val="00F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357AEF15-4EDE-F04C-94C5-66CB743C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7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289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E6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A2D"/>
  </w:style>
  <w:style w:type="character" w:styleId="PageNumber">
    <w:name w:val="page number"/>
    <w:basedOn w:val="DefaultParagraphFont"/>
    <w:uiPriority w:val="99"/>
    <w:semiHidden/>
    <w:unhideWhenUsed/>
    <w:rsid w:val="000E6A2D"/>
  </w:style>
  <w:style w:type="character" w:styleId="Hyperlink">
    <w:name w:val="Hyperlink"/>
    <w:basedOn w:val="DefaultParagraphFont"/>
    <w:uiPriority w:val="99"/>
    <w:unhideWhenUsed/>
    <w:rsid w:val="00BF57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BF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ter.reform.2020@p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80FF09B0.dotm</Template>
  <TotalTime>10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9 - Jim Grayson - National Water Reform - Public inquiry</vt:lpstr>
    </vt:vector>
  </TitlesOfParts>
  <Company>Jim Grayson</Company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9 - Jim Grayson - National Water Reform - Public inquiry</dc:title>
  <dc:subject/>
  <dc:creator>Jim Grayson</dc:creator>
  <cp:keywords/>
  <dc:description/>
  <cp:lastModifiedBy>Productivity Commission</cp:lastModifiedBy>
  <cp:revision>4</cp:revision>
  <dcterms:created xsi:type="dcterms:W3CDTF">2020-08-13T03:50:00Z</dcterms:created>
  <dcterms:modified xsi:type="dcterms:W3CDTF">2020-08-18T04:33:00Z</dcterms:modified>
</cp:coreProperties>
</file>