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B1F" w:rsidRPr="006605AE" w:rsidRDefault="00CF0B1F" w:rsidP="008A4F93">
      <w:pPr>
        <w:pStyle w:val="Heading1"/>
        <w:rPr>
          <w:rFonts w:ascii="Century Gothic" w:hAnsi="Century Gothic"/>
        </w:rPr>
      </w:pPr>
      <w:bookmarkStart w:id="0" w:name="_GoBack"/>
      <w:bookmarkEnd w:id="0"/>
    </w:p>
    <w:tbl>
      <w:tblPr>
        <w:tblW w:w="9908" w:type="dxa"/>
        <w:tblLook w:val="00A0" w:firstRow="1" w:lastRow="0" w:firstColumn="1" w:lastColumn="0" w:noHBand="0" w:noVBand="0"/>
      </w:tblPr>
      <w:tblGrid>
        <w:gridCol w:w="9908"/>
      </w:tblGrid>
      <w:tr w:rsidR="00CF0B1F" w:rsidRPr="006605AE">
        <w:trPr>
          <w:trHeight w:val="542"/>
        </w:trPr>
        <w:tc>
          <w:tcPr>
            <w:tcW w:w="9908" w:type="dxa"/>
          </w:tcPr>
          <w:p w:rsidR="00CF0B1F" w:rsidRPr="006605AE" w:rsidRDefault="0099095B" w:rsidP="00CF0B1F">
            <w:pPr>
              <w:rPr>
                <w:rFonts w:ascii="Century Gothic" w:hAnsi="Century Gothic"/>
              </w:rPr>
            </w:pPr>
            <w:r w:rsidRPr="006605AE">
              <w:rPr>
                <w:rFonts w:ascii="Century Gothic" w:hAnsi="Century Gothic"/>
                <w:noProof/>
                <w:lang w:eastAsia="en-AU"/>
              </w:rPr>
              <mc:AlternateContent>
                <mc:Choice Requires="wps">
                  <w:drawing>
                    <wp:inline distT="0" distB="0" distL="0" distR="0" wp14:anchorId="6FA3F76F" wp14:editId="0058537E">
                      <wp:extent cx="6038850" cy="7620"/>
                      <wp:effectExtent l="0" t="19050" r="19050" b="49530"/>
                      <wp:docPr id="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7620"/>
                              </a:xfrm>
                              <a:prstGeom prst="line">
                                <a:avLst/>
                              </a:prstGeom>
                              <a:noFill/>
                              <a:ln w="571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inline>
                  </w:drawing>
                </mc:Choice>
                <mc:Fallback>
                  <w:pict>
                    <v:line id="Line 30" o:spid="_x0000_s1026" style="flip:y;visibility:visible;mso-wrap-style:square;mso-left-percent:-10001;mso-top-percent:-10001;mso-position-horizontal:absolute;mso-position-horizontal-relative:char;mso-position-vertical:absolute;mso-position-vertical-relative:line;mso-left-percent:-10001;mso-top-percent:-10001" from="0,0" to="47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" strokeweight="4.5pt">
                      <v:shadow opacity="22938f" offset="0"/>
                      <w10:anchorlock/>
                    </v:line>
                  </w:pict>
                </mc:Fallback>
              </mc:AlternateContent>
            </w:r>
          </w:p>
        </w:tc>
      </w:tr>
      <w:tr w:rsidR="00CF0B1F" w:rsidRPr="006605AE">
        <w:trPr>
          <w:trHeight w:val="704"/>
        </w:trPr>
        <w:tc>
          <w:tcPr>
            <w:tcW w:w="9908" w:type="dxa"/>
          </w:tcPr>
          <w:p w:rsidR="00CF0B1F" w:rsidRPr="006605AE" w:rsidRDefault="00E35979" w:rsidP="008A4F93">
            <w:pPr>
              <w:pStyle w:val="Heading1"/>
              <w:rPr>
                <w:rFonts w:ascii="Century Gothic" w:hAnsi="Century Gothic"/>
                <w:i/>
              </w:rPr>
            </w:pPr>
            <w:bookmarkStart w:id="1" w:name="_Toc365981947"/>
            <w:bookmarkStart w:id="2" w:name="_Toc365981981"/>
            <w:r>
              <w:rPr>
                <w:rFonts w:ascii="Century Gothic" w:hAnsi="Century Gothic"/>
              </w:rPr>
              <w:t>Geographic labour Mobility</w:t>
            </w:r>
            <w:bookmarkEnd w:id="1"/>
            <w:bookmarkEnd w:id="2"/>
          </w:p>
        </w:tc>
      </w:tr>
      <w:tr w:rsidR="00CF0B1F" w:rsidRPr="006605AE">
        <w:trPr>
          <w:trHeight w:val="54"/>
        </w:trPr>
        <w:tc>
          <w:tcPr>
            <w:tcW w:w="9908" w:type="dxa"/>
          </w:tcPr>
          <w:p w:rsidR="00CF0B1F" w:rsidRPr="006605AE" w:rsidRDefault="0099095B" w:rsidP="00CF0B1F">
            <w:pPr>
              <w:rPr>
                <w:rFonts w:ascii="Century Gothic" w:hAnsi="Century Gothic"/>
                <w:spacing w:val="-60"/>
                <w:sz w:val="72"/>
                <w:szCs w:val="72"/>
              </w:rPr>
            </w:pPr>
            <w:r w:rsidRPr="006605AE">
              <w:rPr>
                <w:rFonts w:ascii="Century Gothic" w:hAnsi="Century Gothic"/>
                <w:noProof/>
                <w:spacing w:val="-60"/>
                <w:sz w:val="72"/>
                <w:szCs w:val="72"/>
                <w:lang w:eastAsia="en-AU"/>
              </w:rPr>
              <mc:AlternateContent>
                <mc:Choice Requires="wps">
                  <w:drawing>
                    <wp:anchor distT="0" distB="0" distL="114300" distR="114300" simplePos="0" relativeHeight="251663872" behindDoc="1" locked="0" layoutInCell="1" allowOverlap="1" wp14:anchorId="5787A71E" wp14:editId="0A231966">
                      <wp:simplePos x="0" y="0"/>
                      <wp:positionH relativeFrom="column">
                        <wp:posOffset>22860</wp:posOffset>
                      </wp:positionH>
                      <wp:positionV relativeFrom="paragraph">
                        <wp:posOffset>253365</wp:posOffset>
                      </wp:positionV>
                      <wp:extent cx="6055360" cy="10795"/>
                      <wp:effectExtent l="0" t="0" r="21590" b="27305"/>
                      <wp:wrapNone/>
                      <wp:docPr id="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5360" cy="1079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9.95pt" to="478.6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" strokeweight="1.5pt">
                      <v:shadow opacity="22938f" offset="0"/>
                    </v:line>
                  </w:pict>
                </mc:Fallback>
              </mc:AlternateContent>
            </w:r>
          </w:p>
        </w:tc>
      </w:tr>
    </w:tbl>
    <w:p w:rsidR="00CF0B1F" w:rsidRPr="006605AE" w:rsidRDefault="00CF0B1F" w:rsidP="00E37F0F">
      <w:pPr>
        <w:pStyle w:val="Heading2ExcludeTOC"/>
        <w:rPr>
          <w:rFonts w:ascii="Century Gothic" w:hAnsi="Century Gothic"/>
        </w:rPr>
      </w:pPr>
      <w:bookmarkStart w:id="3" w:name="_Toc365981948"/>
      <w:bookmarkStart w:id="4" w:name="_Toc365981982"/>
      <w:r w:rsidRPr="006605AE">
        <w:rPr>
          <w:rFonts w:ascii="Century Gothic" w:hAnsi="Century Gothic"/>
        </w:rPr>
        <w:t xml:space="preserve">VCOSS </w:t>
      </w:r>
      <w:r w:rsidR="0055700D" w:rsidRPr="006605AE">
        <w:rPr>
          <w:rFonts w:ascii="Century Gothic" w:hAnsi="Century Gothic"/>
        </w:rPr>
        <w:t>s</w:t>
      </w:r>
      <w:r w:rsidRPr="006605AE">
        <w:rPr>
          <w:rFonts w:ascii="Century Gothic" w:hAnsi="Century Gothic"/>
        </w:rPr>
        <w:t>ubmission</w:t>
      </w:r>
      <w:r w:rsidR="008A4F93" w:rsidRPr="006605AE">
        <w:rPr>
          <w:rFonts w:ascii="Century Gothic" w:hAnsi="Century Gothic"/>
        </w:rPr>
        <w:t xml:space="preserve"> to the </w:t>
      </w:r>
      <w:r w:rsidR="00E35979">
        <w:rPr>
          <w:rFonts w:ascii="Century Gothic" w:hAnsi="Century Gothic"/>
        </w:rPr>
        <w:t xml:space="preserve">Productivity Commission’s </w:t>
      </w:r>
      <w:r w:rsidR="008A4F93" w:rsidRPr="006605AE">
        <w:rPr>
          <w:rFonts w:ascii="Century Gothic" w:hAnsi="Century Gothic"/>
        </w:rPr>
        <w:t>Issues Paper</w:t>
      </w:r>
      <w:bookmarkEnd w:id="3"/>
      <w:bookmarkEnd w:id="4"/>
    </w:p>
    <w:p w:rsidR="00CF0B1F" w:rsidRPr="006605AE" w:rsidRDefault="00CF0B1F" w:rsidP="00CF0B1F">
      <w:pPr>
        <w:rPr>
          <w:rFonts w:ascii="Century Gothic" w:hAnsi="Century Gothic"/>
        </w:rPr>
      </w:pPr>
    </w:p>
    <w:p w:rsidR="00CF0B1F" w:rsidRPr="006605AE" w:rsidRDefault="00E35979" w:rsidP="00E37F0F">
      <w:pPr>
        <w:pStyle w:val="Heading3nospacingabove"/>
        <w:rPr>
          <w:rFonts w:ascii="Century Gothic" w:hAnsi="Century Gothic"/>
        </w:rPr>
      </w:pPr>
      <w:bookmarkStart w:id="5" w:name="_Toc365981949"/>
      <w:bookmarkStart w:id="6" w:name="_Toc365981983"/>
      <w:r>
        <w:rPr>
          <w:rFonts w:ascii="Century Gothic" w:hAnsi="Century Gothic"/>
        </w:rPr>
        <w:t>September</w:t>
      </w:r>
      <w:r w:rsidR="008A4F93" w:rsidRPr="006605AE">
        <w:rPr>
          <w:rFonts w:ascii="Century Gothic" w:hAnsi="Century Gothic"/>
        </w:rPr>
        <w:t xml:space="preserve"> 2013</w:t>
      </w:r>
      <w:bookmarkEnd w:id="5"/>
      <w:bookmarkEnd w:id="6"/>
    </w:p>
    <w:p w:rsidR="00CF0B1F" w:rsidRPr="006605AE" w:rsidRDefault="0060118E" w:rsidP="00E35979">
      <w:pPr>
        <w:pStyle w:val="Heading2ExcludeTOC"/>
      </w:pPr>
      <w:r>
        <w:rPr>
          <w:rFonts w:ascii="Century Gothic" w:hAnsi="Century Gothic"/>
          <w:noProof/>
          <w:lang w:eastAsia="en-AU"/>
        </w:rPr>
        <w:drawing>
          <wp:anchor distT="0" distB="0" distL="114300" distR="114300" simplePos="0" relativeHeight="251665920" behindDoc="0" locked="0" layoutInCell="1" allowOverlap="1" wp14:anchorId="3A8AAD46" wp14:editId="75261AE9">
            <wp:simplePos x="0" y="0"/>
            <wp:positionH relativeFrom="column">
              <wp:posOffset>4999990</wp:posOffset>
            </wp:positionH>
            <wp:positionV relativeFrom="page">
              <wp:posOffset>8261985</wp:posOffset>
            </wp:positionV>
            <wp:extent cx="1092200" cy="1460500"/>
            <wp:effectExtent l="0" t="0" r="0" b="6350"/>
            <wp:wrapSquare wrapText="bothSides"/>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2200" cy="1460500"/>
                    </a:xfrm>
                    <a:prstGeom prst="rect">
                      <a:avLst/>
                    </a:prstGeom>
                    <a:noFill/>
                  </pic:spPr>
                </pic:pic>
              </a:graphicData>
            </a:graphic>
            <wp14:sizeRelH relativeFrom="page">
              <wp14:pctWidth>0</wp14:pctWidth>
            </wp14:sizeRelH>
            <wp14:sizeRelV relativeFrom="page">
              <wp14:pctHeight>0</wp14:pctHeight>
            </wp14:sizeRelV>
          </wp:anchor>
        </w:drawing>
      </w:r>
      <w:r w:rsidR="00024E48" w:rsidRPr="006605AE">
        <w:br w:type="page"/>
      </w:r>
      <w:bookmarkStart w:id="7" w:name="_Toc331496525"/>
      <w:bookmarkStart w:id="8" w:name="_Toc365981899"/>
      <w:bookmarkStart w:id="9" w:name="_Toc365981984"/>
      <w:r w:rsidR="00024E48" w:rsidRPr="006605AE">
        <w:lastRenderedPageBreak/>
        <w:t>About VCOSS</w:t>
      </w:r>
      <w:bookmarkEnd w:id="7"/>
      <w:bookmarkEnd w:id="8"/>
      <w:bookmarkEnd w:id="9"/>
    </w:p>
    <w:p w:rsidR="00CF0B1F" w:rsidRPr="006605AE" w:rsidRDefault="00024E48" w:rsidP="00CF0B1F">
      <w:pPr>
        <w:rPr>
          <w:rFonts w:ascii="Century Gothic" w:hAnsi="Century Gothic"/>
        </w:rPr>
      </w:pPr>
      <w:r w:rsidRPr="006605AE">
        <w:rPr>
          <w:rFonts w:ascii="Century Gothic" w:hAnsi="Century Gothic"/>
        </w:rPr>
        <w:t>The Victorian Council of Social Service (VCOSS) is the peak body of the social and community sector in Victoria. VCOSS works to ensure that all Victorians have access to and a fair share of the community’s resources and services, through advocating for the development of a sustainable, fair and equitable society. VCOSS members reflect a wide diversity</w:t>
      </w:r>
      <w:r w:rsidR="00276BDB" w:rsidRPr="006605AE">
        <w:rPr>
          <w:rFonts w:ascii="Century Gothic" w:hAnsi="Century Gothic"/>
        </w:rPr>
        <w:t>, ranging</w:t>
      </w:r>
      <w:r w:rsidRPr="006605AE">
        <w:rPr>
          <w:rFonts w:ascii="Century Gothic" w:hAnsi="Century Gothic"/>
        </w:rPr>
        <w:t xml:space="preserve"> from large charities, sector peak organisations, small community services, advocacy groups and individuals involved in social policy debates.</w:t>
      </w:r>
    </w:p>
    <w:p w:rsidR="00CF0B1F" w:rsidRPr="006605AE" w:rsidRDefault="00CF0B1F" w:rsidP="00CF0B1F">
      <w:pPr>
        <w:rPr>
          <w:rFonts w:ascii="Century Gothic" w:hAnsi="Century Gothic"/>
          <w:b/>
        </w:rPr>
      </w:pPr>
    </w:p>
    <w:p w:rsidR="00CF0B1F" w:rsidRPr="006605AE" w:rsidRDefault="00CF0B1F" w:rsidP="00CF0B1F">
      <w:pPr>
        <w:rPr>
          <w:rFonts w:ascii="Century Gothic" w:hAnsi="Century Gothic"/>
          <w:b/>
        </w:rPr>
      </w:pPr>
    </w:p>
    <w:p w:rsidR="00CF0B1F" w:rsidRPr="006605AE" w:rsidRDefault="00CF0B1F" w:rsidP="00CF0B1F">
      <w:pPr>
        <w:rPr>
          <w:rFonts w:ascii="Century Gothic" w:hAnsi="Century Gothic"/>
          <w:b/>
        </w:rPr>
      </w:pPr>
    </w:p>
    <w:p w:rsidR="00CF0B1F" w:rsidRPr="006605AE" w:rsidRDefault="00CF0B1F" w:rsidP="00CF0B1F">
      <w:pPr>
        <w:rPr>
          <w:rFonts w:ascii="Century Gothic" w:hAnsi="Century Gothic"/>
          <w:b/>
        </w:rPr>
      </w:pPr>
    </w:p>
    <w:p w:rsidR="00CF0B1F" w:rsidRPr="006605AE" w:rsidRDefault="00CF0B1F" w:rsidP="00CF0B1F">
      <w:pPr>
        <w:rPr>
          <w:rFonts w:ascii="Century Gothic" w:hAnsi="Century Gothic"/>
          <w:b/>
        </w:rPr>
      </w:pPr>
    </w:p>
    <w:p w:rsidR="00CF0B1F" w:rsidRPr="006605AE" w:rsidRDefault="00CF0B1F" w:rsidP="00CF0B1F">
      <w:pPr>
        <w:rPr>
          <w:rFonts w:ascii="Century Gothic" w:hAnsi="Century Gothic"/>
          <w:b/>
        </w:rPr>
      </w:pPr>
    </w:p>
    <w:p w:rsidR="00CF0B1F" w:rsidRPr="006605AE" w:rsidRDefault="00CF0B1F" w:rsidP="00CF0B1F">
      <w:pPr>
        <w:rPr>
          <w:rFonts w:ascii="Century Gothic" w:hAnsi="Century Gothic"/>
          <w:b/>
        </w:rPr>
      </w:pPr>
    </w:p>
    <w:p w:rsidR="00CF0B1F" w:rsidRPr="006605AE" w:rsidRDefault="00CF0B1F" w:rsidP="00CF0B1F">
      <w:pPr>
        <w:rPr>
          <w:rFonts w:ascii="Century Gothic" w:hAnsi="Century Gothic"/>
          <w:b/>
        </w:rPr>
      </w:pPr>
    </w:p>
    <w:p w:rsidR="00CF0B1F" w:rsidRPr="006605AE" w:rsidRDefault="00024E48" w:rsidP="00CF0B1F">
      <w:pPr>
        <w:rPr>
          <w:rFonts w:ascii="Century Gothic" w:hAnsi="Century Gothic"/>
        </w:rPr>
      </w:pPr>
      <w:r w:rsidRPr="006605AE">
        <w:rPr>
          <w:rFonts w:ascii="Century Gothic" w:hAnsi="Century Gothic"/>
          <w:b/>
        </w:rPr>
        <w:t>Authorised by</w:t>
      </w:r>
      <w:r w:rsidR="00F66FC6" w:rsidRPr="006605AE">
        <w:rPr>
          <w:rFonts w:ascii="Century Gothic" w:hAnsi="Century Gothic"/>
          <w:b/>
        </w:rPr>
        <w:t xml:space="preserve">: </w:t>
      </w:r>
      <w:r w:rsidRPr="006605AE">
        <w:rPr>
          <w:rFonts w:ascii="Century Gothic" w:hAnsi="Century Gothic"/>
          <w:b/>
        </w:rPr>
        <w:br/>
      </w:r>
      <w:r w:rsidR="00E35979">
        <w:rPr>
          <w:rFonts w:ascii="Century Gothic" w:hAnsi="Century Gothic"/>
        </w:rPr>
        <w:t>Emma King</w:t>
      </w:r>
      <w:r w:rsidRPr="006605AE">
        <w:rPr>
          <w:rFonts w:ascii="Century Gothic" w:hAnsi="Century Gothic"/>
        </w:rPr>
        <w:t>,</w:t>
      </w:r>
      <w:r w:rsidR="00E35979">
        <w:rPr>
          <w:rFonts w:ascii="Century Gothic" w:hAnsi="Century Gothic"/>
        </w:rPr>
        <w:t xml:space="preserve"> </w:t>
      </w:r>
      <w:r w:rsidRPr="006605AE">
        <w:rPr>
          <w:rFonts w:ascii="Century Gothic" w:hAnsi="Century Gothic"/>
        </w:rPr>
        <w:t>Chief Executive Officer</w:t>
      </w:r>
    </w:p>
    <w:p w:rsidR="00CF0B1F" w:rsidRPr="006605AE" w:rsidRDefault="00024E48" w:rsidP="00CF0B1F">
      <w:pPr>
        <w:rPr>
          <w:rFonts w:ascii="Century Gothic" w:hAnsi="Century Gothic"/>
        </w:rPr>
      </w:pPr>
      <w:r w:rsidRPr="006605AE">
        <w:rPr>
          <w:rFonts w:ascii="Century Gothic" w:hAnsi="Century Gothic"/>
        </w:rPr>
        <w:t>© Copyright 20</w:t>
      </w:r>
      <w:r w:rsidR="00DA40CA" w:rsidRPr="006605AE">
        <w:rPr>
          <w:rFonts w:ascii="Century Gothic" w:hAnsi="Century Gothic"/>
        </w:rPr>
        <w:t>13</w:t>
      </w:r>
      <w:r w:rsidRPr="006605AE">
        <w:rPr>
          <w:rFonts w:ascii="Century Gothic" w:hAnsi="Century Gothic"/>
        </w:rPr>
        <w:t xml:space="preserve"> Victorian Council of Social Service</w:t>
      </w:r>
    </w:p>
    <w:p w:rsidR="00CF0B1F" w:rsidRPr="006605AE" w:rsidRDefault="00CF0B1F" w:rsidP="00CF0B1F">
      <w:pPr>
        <w:rPr>
          <w:rFonts w:ascii="Century Gothic" w:hAnsi="Century Gothic"/>
          <w:b/>
        </w:rPr>
      </w:pPr>
    </w:p>
    <w:p w:rsidR="00CF0B1F" w:rsidRPr="006605AE" w:rsidRDefault="00024E48" w:rsidP="00CF0B1F">
      <w:pPr>
        <w:rPr>
          <w:rFonts w:ascii="Century Gothic" w:hAnsi="Century Gothic"/>
        </w:rPr>
      </w:pPr>
      <w:r w:rsidRPr="006605AE">
        <w:rPr>
          <w:rFonts w:ascii="Century Gothic" w:hAnsi="Century Gothic"/>
          <w:b/>
        </w:rPr>
        <w:t>Victorian Council of Social Service</w:t>
      </w:r>
      <w:r w:rsidRPr="006605AE">
        <w:rPr>
          <w:rFonts w:ascii="Century Gothic" w:hAnsi="Century Gothic"/>
        </w:rPr>
        <w:br/>
        <w:t>Level 8, 128 Exhibition Street</w:t>
      </w:r>
      <w:r w:rsidRPr="006605AE">
        <w:rPr>
          <w:rFonts w:ascii="Century Gothic" w:hAnsi="Century Gothic"/>
        </w:rPr>
        <w:br/>
        <w:t>Melbourne</w:t>
      </w:r>
      <w:r w:rsidR="00DA40CA" w:rsidRPr="006605AE">
        <w:rPr>
          <w:rFonts w:ascii="Century Gothic" w:hAnsi="Century Gothic"/>
        </w:rPr>
        <w:t>, Victoria, 3000</w:t>
      </w:r>
      <w:r w:rsidR="00DA40CA" w:rsidRPr="006605AE">
        <w:rPr>
          <w:rFonts w:ascii="Century Gothic" w:hAnsi="Century Gothic"/>
        </w:rPr>
        <w:br/>
        <w:t>+61 3 9235 1000</w:t>
      </w:r>
    </w:p>
    <w:p w:rsidR="00CF0B1F" w:rsidRPr="006605AE" w:rsidRDefault="00CF0B1F" w:rsidP="00CF0B1F">
      <w:pPr>
        <w:rPr>
          <w:rFonts w:ascii="Century Gothic" w:hAnsi="Century Gothic"/>
        </w:rPr>
      </w:pPr>
    </w:p>
    <w:p w:rsidR="00CF0B1F" w:rsidRPr="006605AE" w:rsidRDefault="00024E48" w:rsidP="00CF0B1F">
      <w:pPr>
        <w:rPr>
          <w:rFonts w:ascii="Century Gothic" w:hAnsi="Century Gothic"/>
        </w:rPr>
      </w:pPr>
      <w:r w:rsidRPr="006605AE">
        <w:rPr>
          <w:rFonts w:ascii="Century Gothic" w:hAnsi="Century Gothic"/>
          <w:b/>
        </w:rPr>
        <w:t>For inquiries</w:t>
      </w:r>
      <w:r w:rsidR="00F66FC6" w:rsidRPr="006605AE">
        <w:rPr>
          <w:rFonts w:ascii="Century Gothic" w:hAnsi="Century Gothic"/>
          <w:b/>
        </w:rPr>
        <w:t xml:space="preserve">: </w:t>
      </w:r>
      <w:r w:rsidRPr="006605AE">
        <w:rPr>
          <w:rFonts w:ascii="Century Gothic" w:hAnsi="Century Gothic"/>
          <w:b/>
        </w:rPr>
        <w:br/>
      </w:r>
      <w:r w:rsidR="00CF0B1F" w:rsidRPr="006605AE">
        <w:rPr>
          <w:rFonts w:ascii="Century Gothic" w:hAnsi="Century Gothic"/>
        </w:rPr>
        <w:t>Llewellyn Reynders</w:t>
      </w:r>
      <w:r w:rsidR="00CF0B1F" w:rsidRPr="006605AE">
        <w:rPr>
          <w:rFonts w:ascii="Century Gothic" w:hAnsi="Century Gothic"/>
        </w:rPr>
        <w:br/>
        <w:t xml:space="preserve">Policy and </w:t>
      </w:r>
      <w:r w:rsidR="006605AE" w:rsidRPr="006605AE">
        <w:rPr>
          <w:rFonts w:ascii="Century Gothic" w:hAnsi="Century Gothic"/>
        </w:rPr>
        <w:t>Programs</w:t>
      </w:r>
      <w:r w:rsidR="00CF0B1F" w:rsidRPr="006605AE">
        <w:rPr>
          <w:rFonts w:ascii="Century Gothic" w:hAnsi="Century Gothic"/>
        </w:rPr>
        <w:t xml:space="preserve"> Manager</w:t>
      </w:r>
      <w:r w:rsidR="00CF0B1F" w:rsidRPr="006605AE">
        <w:rPr>
          <w:rFonts w:ascii="Century Gothic" w:hAnsi="Century Gothic"/>
        </w:rPr>
        <w:br/>
        <w:t>llewellyn.reynders</w:t>
      </w:r>
      <w:r w:rsidRPr="006605AE">
        <w:rPr>
          <w:rFonts w:ascii="Century Gothic" w:hAnsi="Century Gothic"/>
        </w:rPr>
        <w:t>@vcoss.org.au</w:t>
      </w:r>
    </w:p>
    <w:p w:rsidR="00A93DB7" w:rsidRPr="006605AE" w:rsidRDefault="00024E48" w:rsidP="00E35979">
      <w:pPr>
        <w:pStyle w:val="Heading2ExcludeTOC"/>
      </w:pPr>
      <w:r w:rsidRPr="006605AE">
        <w:br w:type="page"/>
      </w:r>
      <w:bookmarkStart w:id="10" w:name="_Toc331496526"/>
      <w:bookmarkStart w:id="11" w:name="_Toc365981985"/>
      <w:r w:rsidR="00A93DB7" w:rsidRPr="006605AE">
        <w:lastRenderedPageBreak/>
        <w:t>Contents</w:t>
      </w:r>
      <w:bookmarkEnd w:id="10"/>
      <w:bookmarkEnd w:id="11"/>
    </w:p>
    <w:p w:rsidR="00E35979" w:rsidRDefault="00E35979" w:rsidP="00E35979">
      <w:pPr>
        <w:pStyle w:val="TOC1"/>
        <w:rPr>
          <w:rFonts w:asciiTheme="minorHAnsi" w:eastAsiaTheme="minorEastAsia" w:hAnsiTheme="minorHAnsi" w:cstheme="minorBidi"/>
          <w:noProof/>
          <w:lang w:eastAsia="en-AU"/>
        </w:rPr>
      </w:pPr>
      <w:r>
        <w:rPr>
          <w:rFonts w:ascii="Century Gothic" w:hAnsi="Century Gothic"/>
        </w:rPr>
        <w:fldChar w:fldCharType="begin"/>
      </w:r>
      <w:r>
        <w:rPr>
          <w:rFonts w:ascii="Century Gothic" w:hAnsi="Century Gothic"/>
        </w:rPr>
        <w:instrText xml:space="preserve"> TOC \o "1-3" \h \z \u </w:instrText>
      </w:r>
      <w:r>
        <w:rPr>
          <w:rFonts w:ascii="Century Gothic" w:hAnsi="Century Gothic"/>
        </w:rPr>
        <w:fldChar w:fldCharType="separate"/>
      </w:r>
    </w:p>
    <w:p w:rsidR="00E35979" w:rsidRDefault="00C8187C">
      <w:pPr>
        <w:pStyle w:val="TOC2"/>
        <w:rPr>
          <w:rFonts w:asciiTheme="minorHAnsi" w:eastAsiaTheme="minorEastAsia" w:hAnsiTheme="minorHAnsi" w:cstheme="minorBidi"/>
          <w:noProof/>
          <w:lang w:eastAsia="en-AU"/>
        </w:rPr>
      </w:pPr>
      <w:hyperlink w:anchor="_Toc365981984" w:history="1">
        <w:r w:rsidR="00E35979" w:rsidRPr="00BC33D3">
          <w:rPr>
            <w:rStyle w:val="Hyperlink"/>
            <w:noProof/>
          </w:rPr>
          <w:t>About VCOSS</w:t>
        </w:r>
        <w:r w:rsidR="00E35979">
          <w:rPr>
            <w:noProof/>
            <w:webHidden/>
          </w:rPr>
          <w:tab/>
        </w:r>
        <w:r w:rsidR="00E35979">
          <w:rPr>
            <w:noProof/>
            <w:webHidden/>
          </w:rPr>
          <w:fldChar w:fldCharType="begin"/>
        </w:r>
        <w:r w:rsidR="00E35979">
          <w:rPr>
            <w:noProof/>
            <w:webHidden/>
          </w:rPr>
          <w:instrText xml:space="preserve"> PAGEREF _Toc365981984 \h </w:instrText>
        </w:r>
        <w:r w:rsidR="00E35979">
          <w:rPr>
            <w:noProof/>
            <w:webHidden/>
          </w:rPr>
        </w:r>
        <w:r w:rsidR="00E35979">
          <w:rPr>
            <w:noProof/>
            <w:webHidden/>
          </w:rPr>
          <w:fldChar w:fldCharType="separate"/>
        </w:r>
        <w:r w:rsidR="0076526F">
          <w:rPr>
            <w:noProof/>
            <w:webHidden/>
          </w:rPr>
          <w:t>2</w:t>
        </w:r>
        <w:r w:rsidR="00E35979">
          <w:rPr>
            <w:noProof/>
            <w:webHidden/>
          </w:rPr>
          <w:fldChar w:fldCharType="end"/>
        </w:r>
      </w:hyperlink>
    </w:p>
    <w:p w:rsidR="00E35979" w:rsidRDefault="00C8187C">
      <w:pPr>
        <w:pStyle w:val="TOC2"/>
        <w:rPr>
          <w:rFonts w:asciiTheme="minorHAnsi" w:eastAsiaTheme="minorEastAsia" w:hAnsiTheme="minorHAnsi" w:cstheme="minorBidi"/>
          <w:noProof/>
          <w:lang w:eastAsia="en-AU"/>
        </w:rPr>
      </w:pPr>
      <w:hyperlink w:anchor="_Toc365981985" w:history="1">
        <w:r w:rsidR="00E35979" w:rsidRPr="00BC33D3">
          <w:rPr>
            <w:rStyle w:val="Hyperlink"/>
            <w:noProof/>
          </w:rPr>
          <w:t>Contents</w:t>
        </w:r>
        <w:r w:rsidR="00E35979">
          <w:rPr>
            <w:noProof/>
            <w:webHidden/>
          </w:rPr>
          <w:tab/>
        </w:r>
        <w:r w:rsidR="00E35979">
          <w:rPr>
            <w:noProof/>
            <w:webHidden/>
          </w:rPr>
          <w:fldChar w:fldCharType="begin"/>
        </w:r>
        <w:r w:rsidR="00E35979">
          <w:rPr>
            <w:noProof/>
            <w:webHidden/>
          </w:rPr>
          <w:instrText xml:space="preserve"> PAGEREF _Toc365981985 \h </w:instrText>
        </w:r>
        <w:r w:rsidR="00E35979">
          <w:rPr>
            <w:noProof/>
            <w:webHidden/>
          </w:rPr>
        </w:r>
        <w:r w:rsidR="00E35979">
          <w:rPr>
            <w:noProof/>
            <w:webHidden/>
          </w:rPr>
          <w:fldChar w:fldCharType="separate"/>
        </w:r>
        <w:r w:rsidR="0076526F">
          <w:rPr>
            <w:noProof/>
            <w:webHidden/>
          </w:rPr>
          <w:t>3</w:t>
        </w:r>
        <w:r w:rsidR="00E35979">
          <w:rPr>
            <w:noProof/>
            <w:webHidden/>
          </w:rPr>
          <w:fldChar w:fldCharType="end"/>
        </w:r>
      </w:hyperlink>
    </w:p>
    <w:p w:rsidR="00E35979" w:rsidRDefault="00C8187C">
      <w:pPr>
        <w:pStyle w:val="TOC2"/>
        <w:rPr>
          <w:rFonts w:asciiTheme="minorHAnsi" w:eastAsiaTheme="minorEastAsia" w:hAnsiTheme="minorHAnsi" w:cstheme="minorBidi"/>
          <w:noProof/>
          <w:lang w:eastAsia="en-AU"/>
        </w:rPr>
      </w:pPr>
      <w:hyperlink w:anchor="_Toc365981986" w:history="1">
        <w:r w:rsidR="00E35979" w:rsidRPr="00BC33D3">
          <w:rPr>
            <w:rStyle w:val="Hyperlink"/>
            <w:noProof/>
          </w:rPr>
          <w:t>Foreword</w:t>
        </w:r>
        <w:r w:rsidR="00E35979">
          <w:rPr>
            <w:noProof/>
            <w:webHidden/>
          </w:rPr>
          <w:tab/>
        </w:r>
        <w:r w:rsidR="00E35979">
          <w:rPr>
            <w:noProof/>
            <w:webHidden/>
          </w:rPr>
          <w:fldChar w:fldCharType="begin"/>
        </w:r>
        <w:r w:rsidR="00E35979">
          <w:rPr>
            <w:noProof/>
            <w:webHidden/>
          </w:rPr>
          <w:instrText xml:space="preserve"> PAGEREF _Toc365981986 \h </w:instrText>
        </w:r>
        <w:r w:rsidR="00E35979">
          <w:rPr>
            <w:noProof/>
            <w:webHidden/>
          </w:rPr>
        </w:r>
        <w:r w:rsidR="00E35979">
          <w:rPr>
            <w:noProof/>
            <w:webHidden/>
          </w:rPr>
          <w:fldChar w:fldCharType="separate"/>
        </w:r>
        <w:r w:rsidR="0076526F">
          <w:rPr>
            <w:noProof/>
            <w:webHidden/>
          </w:rPr>
          <w:t>4</w:t>
        </w:r>
        <w:r w:rsidR="00E35979">
          <w:rPr>
            <w:noProof/>
            <w:webHidden/>
          </w:rPr>
          <w:fldChar w:fldCharType="end"/>
        </w:r>
      </w:hyperlink>
    </w:p>
    <w:p w:rsidR="00E35979" w:rsidRDefault="00C8187C">
      <w:pPr>
        <w:pStyle w:val="TOC2"/>
        <w:rPr>
          <w:rFonts w:asciiTheme="minorHAnsi" w:eastAsiaTheme="minorEastAsia" w:hAnsiTheme="minorHAnsi" w:cstheme="minorBidi"/>
          <w:noProof/>
          <w:lang w:eastAsia="en-AU"/>
        </w:rPr>
      </w:pPr>
      <w:hyperlink w:anchor="_Toc365981987" w:history="1">
        <w:r w:rsidR="00E35979" w:rsidRPr="00BC33D3">
          <w:rPr>
            <w:rStyle w:val="Hyperlink"/>
            <w:noProof/>
          </w:rPr>
          <w:t>Introduction</w:t>
        </w:r>
        <w:r w:rsidR="00E35979">
          <w:rPr>
            <w:noProof/>
            <w:webHidden/>
          </w:rPr>
          <w:tab/>
        </w:r>
        <w:r w:rsidR="00E35979">
          <w:rPr>
            <w:noProof/>
            <w:webHidden/>
          </w:rPr>
          <w:fldChar w:fldCharType="begin"/>
        </w:r>
        <w:r w:rsidR="00E35979">
          <w:rPr>
            <w:noProof/>
            <w:webHidden/>
          </w:rPr>
          <w:instrText xml:space="preserve"> PAGEREF _Toc365981987 \h </w:instrText>
        </w:r>
        <w:r w:rsidR="00E35979">
          <w:rPr>
            <w:noProof/>
            <w:webHidden/>
          </w:rPr>
        </w:r>
        <w:r w:rsidR="00E35979">
          <w:rPr>
            <w:noProof/>
            <w:webHidden/>
          </w:rPr>
          <w:fldChar w:fldCharType="separate"/>
        </w:r>
        <w:r w:rsidR="0076526F">
          <w:rPr>
            <w:noProof/>
            <w:webHidden/>
          </w:rPr>
          <w:t>4</w:t>
        </w:r>
        <w:r w:rsidR="00E35979">
          <w:rPr>
            <w:noProof/>
            <w:webHidden/>
          </w:rPr>
          <w:fldChar w:fldCharType="end"/>
        </w:r>
      </w:hyperlink>
    </w:p>
    <w:p w:rsidR="00E35979" w:rsidRDefault="00C8187C">
      <w:pPr>
        <w:pStyle w:val="TOC2"/>
        <w:rPr>
          <w:rFonts w:asciiTheme="minorHAnsi" w:eastAsiaTheme="minorEastAsia" w:hAnsiTheme="minorHAnsi" w:cstheme="minorBidi"/>
          <w:noProof/>
          <w:lang w:eastAsia="en-AU"/>
        </w:rPr>
      </w:pPr>
      <w:hyperlink w:anchor="_Toc365981988" w:history="1">
        <w:r w:rsidR="00E35979" w:rsidRPr="00BC33D3">
          <w:rPr>
            <w:rStyle w:val="Hyperlink"/>
            <w:noProof/>
          </w:rPr>
          <w:t>Employment availability</w:t>
        </w:r>
        <w:r w:rsidR="00E35979">
          <w:rPr>
            <w:noProof/>
            <w:webHidden/>
          </w:rPr>
          <w:tab/>
        </w:r>
        <w:r w:rsidR="00E35979">
          <w:rPr>
            <w:noProof/>
            <w:webHidden/>
          </w:rPr>
          <w:fldChar w:fldCharType="begin"/>
        </w:r>
        <w:r w:rsidR="00E35979">
          <w:rPr>
            <w:noProof/>
            <w:webHidden/>
          </w:rPr>
          <w:instrText xml:space="preserve"> PAGEREF _Toc365981988 \h </w:instrText>
        </w:r>
        <w:r w:rsidR="00E35979">
          <w:rPr>
            <w:noProof/>
            <w:webHidden/>
          </w:rPr>
        </w:r>
        <w:r w:rsidR="00E35979">
          <w:rPr>
            <w:noProof/>
            <w:webHidden/>
          </w:rPr>
          <w:fldChar w:fldCharType="separate"/>
        </w:r>
        <w:r w:rsidR="0076526F">
          <w:rPr>
            <w:noProof/>
            <w:webHidden/>
          </w:rPr>
          <w:t>5</w:t>
        </w:r>
        <w:r w:rsidR="00E35979">
          <w:rPr>
            <w:noProof/>
            <w:webHidden/>
          </w:rPr>
          <w:fldChar w:fldCharType="end"/>
        </w:r>
      </w:hyperlink>
    </w:p>
    <w:p w:rsidR="00E35979" w:rsidRDefault="00C8187C">
      <w:pPr>
        <w:pStyle w:val="TOC2"/>
        <w:rPr>
          <w:rFonts w:asciiTheme="minorHAnsi" w:eastAsiaTheme="minorEastAsia" w:hAnsiTheme="minorHAnsi" w:cstheme="minorBidi"/>
          <w:noProof/>
          <w:lang w:eastAsia="en-AU"/>
        </w:rPr>
      </w:pPr>
      <w:hyperlink w:anchor="_Toc365981989" w:history="1">
        <w:r w:rsidR="00E35979" w:rsidRPr="00BC33D3">
          <w:rPr>
            <w:rStyle w:val="Hyperlink"/>
            <w:noProof/>
          </w:rPr>
          <w:t>Housing costs and tenure</w:t>
        </w:r>
        <w:r w:rsidR="00E35979">
          <w:rPr>
            <w:noProof/>
            <w:webHidden/>
          </w:rPr>
          <w:tab/>
        </w:r>
        <w:r w:rsidR="00E35979">
          <w:rPr>
            <w:noProof/>
            <w:webHidden/>
          </w:rPr>
          <w:fldChar w:fldCharType="begin"/>
        </w:r>
        <w:r w:rsidR="00E35979">
          <w:rPr>
            <w:noProof/>
            <w:webHidden/>
          </w:rPr>
          <w:instrText xml:space="preserve"> PAGEREF _Toc365981989 \h </w:instrText>
        </w:r>
        <w:r w:rsidR="00E35979">
          <w:rPr>
            <w:noProof/>
            <w:webHidden/>
          </w:rPr>
        </w:r>
        <w:r w:rsidR="00E35979">
          <w:rPr>
            <w:noProof/>
            <w:webHidden/>
          </w:rPr>
          <w:fldChar w:fldCharType="separate"/>
        </w:r>
        <w:r w:rsidR="0076526F">
          <w:rPr>
            <w:noProof/>
            <w:webHidden/>
          </w:rPr>
          <w:t>7</w:t>
        </w:r>
        <w:r w:rsidR="00E35979">
          <w:rPr>
            <w:noProof/>
            <w:webHidden/>
          </w:rPr>
          <w:fldChar w:fldCharType="end"/>
        </w:r>
      </w:hyperlink>
    </w:p>
    <w:p w:rsidR="00E35979" w:rsidRDefault="00C8187C">
      <w:pPr>
        <w:pStyle w:val="TOC2"/>
        <w:rPr>
          <w:rFonts w:asciiTheme="minorHAnsi" w:eastAsiaTheme="minorEastAsia" w:hAnsiTheme="minorHAnsi" w:cstheme="minorBidi"/>
          <w:noProof/>
          <w:lang w:eastAsia="en-AU"/>
        </w:rPr>
      </w:pPr>
      <w:hyperlink w:anchor="_Toc365981990" w:history="1">
        <w:r w:rsidR="00E35979" w:rsidRPr="00BC33D3">
          <w:rPr>
            <w:rStyle w:val="Hyperlink"/>
            <w:noProof/>
          </w:rPr>
          <w:t>Amenity and access to services</w:t>
        </w:r>
        <w:r w:rsidR="00E35979">
          <w:rPr>
            <w:noProof/>
            <w:webHidden/>
          </w:rPr>
          <w:tab/>
        </w:r>
        <w:r w:rsidR="00E35979">
          <w:rPr>
            <w:noProof/>
            <w:webHidden/>
          </w:rPr>
          <w:fldChar w:fldCharType="begin"/>
        </w:r>
        <w:r w:rsidR="00E35979">
          <w:rPr>
            <w:noProof/>
            <w:webHidden/>
          </w:rPr>
          <w:instrText xml:space="preserve"> PAGEREF _Toc365981990 \h </w:instrText>
        </w:r>
        <w:r w:rsidR="00E35979">
          <w:rPr>
            <w:noProof/>
            <w:webHidden/>
          </w:rPr>
        </w:r>
        <w:r w:rsidR="00E35979">
          <w:rPr>
            <w:noProof/>
            <w:webHidden/>
          </w:rPr>
          <w:fldChar w:fldCharType="separate"/>
        </w:r>
        <w:r w:rsidR="0076526F">
          <w:rPr>
            <w:noProof/>
            <w:webHidden/>
          </w:rPr>
          <w:t>8</w:t>
        </w:r>
        <w:r w:rsidR="00E35979">
          <w:rPr>
            <w:noProof/>
            <w:webHidden/>
          </w:rPr>
          <w:fldChar w:fldCharType="end"/>
        </w:r>
      </w:hyperlink>
    </w:p>
    <w:p w:rsidR="00E35979" w:rsidRDefault="00C8187C">
      <w:pPr>
        <w:pStyle w:val="TOC2"/>
        <w:rPr>
          <w:rFonts w:asciiTheme="minorHAnsi" w:eastAsiaTheme="minorEastAsia" w:hAnsiTheme="minorHAnsi" w:cstheme="minorBidi"/>
          <w:noProof/>
          <w:lang w:eastAsia="en-AU"/>
        </w:rPr>
      </w:pPr>
      <w:hyperlink w:anchor="_Toc365981991" w:history="1">
        <w:r w:rsidR="00E35979" w:rsidRPr="00BC33D3">
          <w:rPr>
            <w:rStyle w:val="Hyperlink"/>
            <w:noProof/>
          </w:rPr>
          <w:t>Transport and employment access</w:t>
        </w:r>
        <w:r w:rsidR="00E35979">
          <w:rPr>
            <w:noProof/>
            <w:webHidden/>
          </w:rPr>
          <w:tab/>
        </w:r>
        <w:r w:rsidR="00E35979">
          <w:rPr>
            <w:noProof/>
            <w:webHidden/>
          </w:rPr>
          <w:fldChar w:fldCharType="begin"/>
        </w:r>
        <w:r w:rsidR="00E35979">
          <w:rPr>
            <w:noProof/>
            <w:webHidden/>
          </w:rPr>
          <w:instrText xml:space="preserve"> PAGEREF _Toc365981991 \h </w:instrText>
        </w:r>
        <w:r w:rsidR="00E35979">
          <w:rPr>
            <w:noProof/>
            <w:webHidden/>
          </w:rPr>
        </w:r>
        <w:r w:rsidR="00E35979">
          <w:rPr>
            <w:noProof/>
            <w:webHidden/>
          </w:rPr>
          <w:fldChar w:fldCharType="separate"/>
        </w:r>
        <w:r w:rsidR="0076526F">
          <w:rPr>
            <w:noProof/>
            <w:webHidden/>
          </w:rPr>
          <w:t>9</w:t>
        </w:r>
        <w:r w:rsidR="00E35979">
          <w:rPr>
            <w:noProof/>
            <w:webHidden/>
          </w:rPr>
          <w:fldChar w:fldCharType="end"/>
        </w:r>
      </w:hyperlink>
    </w:p>
    <w:p w:rsidR="00E35979" w:rsidRDefault="00C8187C">
      <w:pPr>
        <w:pStyle w:val="TOC2"/>
        <w:rPr>
          <w:rFonts w:asciiTheme="minorHAnsi" w:eastAsiaTheme="minorEastAsia" w:hAnsiTheme="minorHAnsi" w:cstheme="minorBidi"/>
          <w:noProof/>
          <w:lang w:eastAsia="en-AU"/>
        </w:rPr>
      </w:pPr>
      <w:hyperlink w:anchor="_Toc365981992" w:history="1">
        <w:r w:rsidR="00E35979" w:rsidRPr="00BC33D3">
          <w:rPr>
            <w:rStyle w:val="Hyperlink"/>
            <w:noProof/>
          </w:rPr>
          <w:t>Social and familial factors</w:t>
        </w:r>
        <w:r w:rsidR="00E35979">
          <w:rPr>
            <w:noProof/>
            <w:webHidden/>
          </w:rPr>
          <w:tab/>
        </w:r>
        <w:r w:rsidR="00E35979">
          <w:rPr>
            <w:noProof/>
            <w:webHidden/>
          </w:rPr>
          <w:fldChar w:fldCharType="begin"/>
        </w:r>
        <w:r w:rsidR="00E35979">
          <w:rPr>
            <w:noProof/>
            <w:webHidden/>
          </w:rPr>
          <w:instrText xml:space="preserve"> PAGEREF _Toc365981992 \h </w:instrText>
        </w:r>
        <w:r w:rsidR="00E35979">
          <w:rPr>
            <w:noProof/>
            <w:webHidden/>
          </w:rPr>
        </w:r>
        <w:r w:rsidR="00E35979">
          <w:rPr>
            <w:noProof/>
            <w:webHidden/>
          </w:rPr>
          <w:fldChar w:fldCharType="separate"/>
        </w:r>
        <w:r w:rsidR="0076526F">
          <w:rPr>
            <w:noProof/>
            <w:webHidden/>
          </w:rPr>
          <w:t>10</w:t>
        </w:r>
        <w:r w:rsidR="00E35979">
          <w:rPr>
            <w:noProof/>
            <w:webHidden/>
          </w:rPr>
          <w:fldChar w:fldCharType="end"/>
        </w:r>
      </w:hyperlink>
    </w:p>
    <w:p w:rsidR="00A93DB7" w:rsidRPr="006605AE" w:rsidRDefault="00E35979" w:rsidP="00E37F0F">
      <w:pPr>
        <w:pStyle w:val="Heading2"/>
        <w:rPr>
          <w:rFonts w:ascii="Century Gothic" w:hAnsi="Century Gothic"/>
        </w:rPr>
      </w:pPr>
      <w:r>
        <w:rPr>
          <w:rFonts w:ascii="Century Gothic" w:hAnsi="Century Gothic"/>
        </w:rPr>
        <w:fldChar w:fldCharType="end"/>
      </w:r>
    </w:p>
    <w:p w:rsidR="00E35979" w:rsidRPr="00E35979" w:rsidRDefault="00A93DB7" w:rsidP="00E35979">
      <w:pPr>
        <w:pStyle w:val="Heading2ExcludeTOC"/>
      </w:pPr>
      <w:r w:rsidRPr="006605AE">
        <w:br w:type="page"/>
      </w:r>
      <w:bookmarkStart w:id="12" w:name="_Toc365981986"/>
      <w:r w:rsidR="00E35979" w:rsidRPr="00E35979">
        <w:lastRenderedPageBreak/>
        <w:t>Foreword</w:t>
      </w:r>
      <w:bookmarkEnd w:id="12"/>
    </w:p>
    <w:p w:rsidR="00E35979" w:rsidRPr="00E35979" w:rsidRDefault="00E35979" w:rsidP="00E35979">
      <w:pPr>
        <w:rPr>
          <w:rFonts w:ascii="Century Gothic" w:hAnsi="Century Gothic"/>
        </w:rPr>
      </w:pPr>
      <w:r w:rsidRPr="00E35979">
        <w:rPr>
          <w:rFonts w:ascii="Century Gothic" w:hAnsi="Century Gothic"/>
        </w:rPr>
        <w:t xml:space="preserve">VCOSS welcomes the opportunity to contribute to the Productivity Commission (the Commission) study on geographic labour mobility. VCOSS has a particular interest in this issue in relation to people who are unemployed, underemployed, receive low-wages, experience insecure employment or are disengaged from or marginally attached to the labour force. We are interested in </w:t>
      </w:r>
      <w:r w:rsidR="00C612D4">
        <w:rPr>
          <w:rFonts w:ascii="Century Gothic" w:hAnsi="Century Gothic"/>
        </w:rPr>
        <w:t>this study as it may identify the aspects of</w:t>
      </w:r>
      <w:r w:rsidRPr="00E35979">
        <w:rPr>
          <w:rFonts w:ascii="Century Gothic" w:hAnsi="Century Gothic"/>
        </w:rPr>
        <w:t xml:space="preserve"> geographic labour mobility</w:t>
      </w:r>
      <w:r w:rsidR="00C612D4">
        <w:rPr>
          <w:rFonts w:ascii="Century Gothic" w:hAnsi="Century Gothic"/>
        </w:rPr>
        <w:t xml:space="preserve"> that</w:t>
      </w:r>
      <w:r w:rsidRPr="00E35979">
        <w:rPr>
          <w:rFonts w:ascii="Century Gothic" w:hAnsi="Century Gothic"/>
        </w:rPr>
        <w:t xml:space="preserve"> might improve economic and social outcomes for people experiencing disadvantage</w:t>
      </w:r>
      <w:r w:rsidR="00C612D4">
        <w:rPr>
          <w:rFonts w:ascii="Century Gothic" w:hAnsi="Century Gothic"/>
        </w:rPr>
        <w:t>. We also believe it would be advantageous to be able to distinguish</w:t>
      </w:r>
      <w:r w:rsidRPr="00E35979">
        <w:rPr>
          <w:rFonts w:ascii="Century Gothic" w:hAnsi="Century Gothic"/>
        </w:rPr>
        <w:t xml:space="preserve"> proposals or interventions that may result in poor outcomes for people experiencing disadvantage</w:t>
      </w:r>
      <w:r w:rsidR="00C612D4">
        <w:rPr>
          <w:rFonts w:ascii="Century Gothic" w:hAnsi="Century Gothic"/>
        </w:rPr>
        <w:t>, so they may be avoided or removed.</w:t>
      </w:r>
    </w:p>
    <w:p w:rsidR="00E35979" w:rsidRPr="00E35979" w:rsidRDefault="00E35979" w:rsidP="00E35979">
      <w:pPr>
        <w:pStyle w:val="Heading2ExcludeTOC"/>
      </w:pPr>
      <w:bookmarkStart w:id="13" w:name="_Toc365981987"/>
      <w:r w:rsidRPr="00E35979">
        <w:t>Introduction</w:t>
      </w:r>
      <w:bookmarkEnd w:id="13"/>
    </w:p>
    <w:p w:rsidR="00E35979" w:rsidRPr="00E35979" w:rsidRDefault="00E35979" w:rsidP="00E35979">
      <w:pPr>
        <w:rPr>
          <w:rFonts w:ascii="Century Gothic" w:hAnsi="Century Gothic"/>
        </w:rPr>
      </w:pPr>
      <w:r w:rsidRPr="00E35979">
        <w:rPr>
          <w:rFonts w:ascii="Century Gothic" w:hAnsi="Century Gothic"/>
        </w:rPr>
        <w:t xml:space="preserve">Access to secure and meaningful work is an important aspect of individual and community well-being. Paid employment does not merely generate income; it can also confer social status and identity, command respect, and provide life satisfaction to employees. Unpaid work can also confer these benefits, and the Commission may wish to consider whether its definition of ‘labour’ should </w:t>
      </w:r>
      <w:r w:rsidR="00E24261">
        <w:rPr>
          <w:rFonts w:ascii="Century Gothic" w:hAnsi="Century Gothic"/>
        </w:rPr>
        <w:t>include</w:t>
      </w:r>
      <w:r w:rsidRPr="00E35979">
        <w:rPr>
          <w:rFonts w:ascii="Century Gothic" w:hAnsi="Century Gothic"/>
        </w:rPr>
        <w:t xml:space="preserve"> voluntary work or informal employment.</w:t>
      </w:r>
    </w:p>
    <w:p w:rsidR="00E35979" w:rsidRPr="00E35979" w:rsidRDefault="00E35979" w:rsidP="00E35979">
      <w:pPr>
        <w:rPr>
          <w:rFonts w:ascii="Century Gothic" w:hAnsi="Century Gothic"/>
        </w:rPr>
      </w:pPr>
      <w:r w:rsidRPr="00E35979">
        <w:rPr>
          <w:rFonts w:ascii="Century Gothic" w:hAnsi="Century Gothic"/>
        </w:rPr>
        <w:t xml:space="preserve">Geographic labour mobility might be considered the spatial aspect of employment, which emphasises that employment relationships do not only involve matching employers skills requirements with those available in the population, but that this match needs to occur in </w:t>
      </w:r>
      <w:r w:rsidR="00B24F61">
        <w:rPr>
          <w:rFonts w:ascii="Century Gothic" w:hAnsi="Century Gothic"/>
        </w:rPr>
        <w:t>a particular location</w:t>
      </w:r>
      <w:r w:rsidRPr="00E35979">
        <w:rPr>
          <w:rFonts w:ascii="Century Gothic" w:hAnsi="Century Gothic"/>
        </w:rPr>
        <w:t xml:space="preserve">. </w:t>
      </w:r>
      <w:r w:rsidR="00E24261">
        <w:rPr>
          <w:rFonts w:ascii="Century Gothic" w:hAnsi="Century Gothic"/>
        </w:rPr>
        <w:t xml:space="preserve">Expanding </w:t>
      </w:r>
      <w:r w:rsidR="00E05B3F">
        <w:rPr>
          <w:rFonts w:ascii="Century Gothic" w:hAnsi="Century Gothic"/>
        </w:rPr>
        <w:t>the number of</w:t>
      </w:r>
      <w:r w:rsidRPr="00E35979">
        <w:rPr>
          <w:rFonts w:ascii="Century Gothic" w:hAnsi="Century Gothic"/>
        </w:rPr>
        <w:t xml:space="preserve"> locations in which a person might </w:t>
      </w:r>
      <w:r w:rsidR="00E24261">
        <w:rPr>
          <w:rFonts w:ascii="Century Gothic" w:hAnsi="Century Gothic"/>
        </w:rPr>
        <w:t xml:space="preserve">find and have work </w:t>
      </w:r>
      <w:r w:rsidRPr="00E35979">
        <w:rPr>
          <w:rFonts w:ascii="Century Gothic" w:hAnsi="Century Gothic"/>
        </w:rPr>
        <w:t>represents a</w:t>
      </w:r>
      <w:r w:rsidR="00E24261">
        <w:rPr>
          <w:rFonts w:ascii="Century Gothic" w:hAnsi="Century Gothic"/>
        </w:rPr>
        <w:t>n</w:t>
      </w:r>
      <w:r w:rsidRPr="00E35979">
        <w:rPr>
          <w:rFonts w:ascii="Century Gothic" w:hAnsi="Century Gothic"/>
        </w:rPr>
        <w:t xml:space="preserve"> increase in labour mobility – whether or not the person chooses to change employment or not. </w:t>
      </w:r>
      <w:r w:rsidR="00E24261">
        <w:rPr>
          <w:rFonts w:ascii="Century Gothic" w:hAnsi="Century Gothic"/>
        </w:rPr>
        <w:t xml:space="preserve">Under this </w:t>
      </w:r>
      <w:r w:rsidRPr="00E35979">
        <w:rPr>
          <w:rFonts w:ascii="Century Gothic" w:hAnsi="Century Gothic"/>
        </w:rPr>
        <w:t xml:space="preserve">conception, increased geographic labour mobility might be achieved by either </w:t>
      </w:r>
      <w:r w:rsidR="00E24261">
        <w:rPr>
          <w:rFonts w:ascii="Century Gothic" w:hAnsi="Century Gothic"/>
        </w:rPr>
        <w:t xml:space="preserve">ensuring </w:t>
      </w:r>
      <w:r w:rsidRPr="00E35979">
        <w:rPr>
          <w:rFonts w:ascii="Century Gothic" w:hAnsi="Century Gothic"/>
        </w:rPr>
        <w:t xml:space="preserve"> someone </w:t>
      </w:r>
      <w:r w:rsidR="00E24261">
        <w:rPr>
          <w:rFonts w:ascii="Century Gothic" w:hAnsi="Century Gothic"/>
        </w:rPr>
        <w:t>can</w:t>
      </w:r>
      <w:r w:rsidRPr="00E35979">
        <w:rPr>
          <w:rFonts w:ascii="Century Gothic" w:hAnsi="Century Gothic"/>
        </w:rPr>
        <w:t xml:space="preserve"> </w:t>
      </w:r>
      <w:r w:rsidR="00E24261">
        <w:rPr>
          <w:rFonts w:ascii="Century Gothic" w:hAnsi="Century Gothic"/>
        </w:rPr>
        <w:t xml:space="preserve">move </w:t>
      </w:r>
      <w:r w:rsidRPr="00E35979">
        <w:rPr>
          <w:rFonts w:ascii="Century Gothic" w:hAnsi="Century Gothic"/>
        </w:rPr>
        <w:t xml:space="preserve"> in order to access additional employment opportunities, or by improving access to employment where they already </w:t>
      </w:r>
      <w:r w:rsidR="00E24261">
        <w:rPr>
          <w:rFonts w:ascii="Century Gothic" w:hAnsi="Century Gothic"/>
        </w:rPr>
        <w:t>live</w:t>
      </w:r>
      <w:r w:rsidRPr="00E35979">
        <w:rPr>
          <w:rFonts w:ascii="Century Gothic" w:hAnsi="Century Gothic"/>
        </w:rPr>
        <w:t xml:space="preserve"> - for instance, by increasing local job opportunities, improving public transport or improving access to telecommuting.</w:t>
      </w:r>
    </w:p>
    <w:p w:rsidR="00E35979" w:rsidRPr="00E35979" w:rsidRDefault="00E35979" w:rsidP="00E35979">
      <w:pPr>
        <w:rPr>
          <w:rFonts w:ascii="Century Gothic" w:hAnsi="Century Gothic"/>
        </w:rPr>
      </w:pPr>
      <w:r w:rsidRPr="00E35979">
        <w:rPr>
          <w:rFonts w:ascii="Century Gothic" w:hAnsi="Century Gothic"/>
        </w:rPr>
        <w:t xml:space="preserve">The flipside of this conception is that </w:t>
      </w:r>
      <w:r w:rsidR="00970B8D">
        <w:rPr>
          <w:rFonts w:ascii="Century Gothic" w:hAnsi="Century Gothic"/>
        </w:rPr>
        <w:t xml:space="preserve">restrictions in </w:t>
      </w:r>
      <w:r w:rsidRPr="00E35979">
        <w:rPr>
          <w:rFonts w:ascii="Century Gothic" w:hAnsi="Century Gothic"/>
        </w:rPr>
        <w:t xml:space="preserve">the choice of </w:t>
      </w:r>
      <w:r w:rsidR="00970B8D">
        <w:rPr>
          <w:rFonts w:ascii="Century Gothic" w:hAnsi="Century Gothic"/>
        </w:rPr>
        <w:t xml:space="preserve">job or home </w:t>
      </w:r>
      <w:r w:rsidRPr="00E35979">
        <w:rPr>
          <w:rFonts w:ascii="Century Gothic" w:hAnsi="Century Gothic"/>
        </w:rPr>
        <w:t xml:space="preserve">location </w:t>
      </w:r>
      <w:r w:rsidR="00970B8D">
        <w:rPr>
          <w:rFonts w:ascii="Century Gothic" w:hAnsi="Century Gothic"/>
        </w:rPr>
        <w:t xml:space="preserve">will </w:t>
      </w:r>
      <w:r w:rsidR="00B24F61">
        <w:rPr>
          <w:rFonts w:ascii="Century Gothic" w:hAnsi="Century Gothic"/>
        </w:rPr>
        <w:t xml:space="preserve">curtail </w:t>
      </w:r>
      <w:r w:rsidR="00B24F61" w:rsidRPr="00E35979">
        <w:rPr>
          <w:rFonts w:ascii="Century Gothic" w:hAnsi="Century Gothic"/>
        </w:rPr>
        <w:t>geographic</w:t>
      </w:r>
      <w:r w:rsidRPr="00E35979">
        <w:rPr>
          <w:rFonts w:ascii="Century Gothic" w:hAnsi="Century Gothic"/>
        </w:rPr>
        <w:t xml:space="preserve"> labour mobility. Note that this might be the result of being forced to move, such as through a loss of employment or eviction from housing. In circumstances such as this, the Commission should be careful not to equate ‘movement’ with ‘mobility’ – as in some situations movement is effectively involuntary, and may actually result in less capacity to access employment. For instance, the Commission notes that unemployed </w:t>
      </w:r>
      <w:r w:rsidRPr="00E35979">
        <w:rPr>
          <w:rFonts w:ascii="Century Gothic" w:hAnsi="Century Gothic"/>
        </w:rPr>
        <w:lastRenderedPageBreak/>
        <w:t>people are more likely to move,</w:t>
      </w:r>
      <w:r w:rsidRPr="00E35979">
        <w:rPr>
          <w:rFonts w:ascii="Century Gothic" w:hAnsi="Century Gothic"/>
          <w:vertAlign w:val="superscript"/>
        </w:rPr>
        <w:footnoteReference w:id="1"/>
      </w:r>
      <w:r w:rsidRPr="00E35979">
        <w:rPr>
          <w:rFonts w:ascii="Century Gothic" w:hAnsi="Century Gothic"/>
        </w:rPr>
        <w:t xml:space="preserve"> but this does not necessarily mean they are any more likely to have improved access to employment as a result. </w:t>
      </w:r>
    </w:p>
    <w:p w:rsidR="00E35979" w:rsidRPr="00E35979" w:rsidRDefault="00E35979" w:rsidP="00E35979">
      <w:pPr>
        <w:rPr>
          <w:rFonts w:ascii="Century Gothic" w:hAnsi="Century Gothic"/>
        </w:rPr>
      </w:pPr>
      <w:r w:rsidRPr="00E35979">
        <w:rPr>
          <w:rFonts w:ascii="Century Gothic" w:hAnsi="Century Gothic"/>
        </w:rPr>
        <w:t>The central point is that ‘movement’ may be positive or negative</w:t>
      </w:r>
      <w:r w:rsidR="00970B8D">
        <w:rPr>
          <w:rFonts w:ascii="Century Gothic" w:hAnsi="Century Gothic"/>
        </w:rPr>
        <w:t>, so</w:t>
      </w:r>
      <w:r w:rsidRPr="00E35979">
        <w:rPr>
          <w:rFonts w:ascii="Century Gothic" w:hAnsi="Century Gothic"/>
        </w:rPr>
        <w:t xml:space="preserve"> simply generating more movement should not be a goal of public policy, just as it would not be a goal simply to make people change jobs more often. Changing residence and jobs </w:t>
      </w:r>
      <w:r w:rsidR="00AF51BB">
        <w:rPr>
          <w:rFonts w:ascii="Century Gothic" w:hAnsi="Century Gothic"/>
        </w:rPr>
        <w:t>are</w:t>
      </w:r>
      <w:r w:rsidRPr="00E35979">
        <w:rPr>
          <w:rFonts w:ascii="Century Gothic" w:hAnsi="Century Gothic"/>
        </w:rPr>
        <w:t xml:space="preserve"> not </w:t>
      </w:r>
      <w:r w:rsidR="00970B8D">
        <w:rPr>
          <w:rFonts w:ascii="Century Gothic" w:hAnsi="Century Gothic"/>
        </w:rPr>
        <w:t xml:space="preserve">without </w:t>
      </w:r>
      <w:r w:rsidRPr="00E35979">
        <w:rPr>
          <w:rFonts w:ascii="Century Gothic" w:hAnsi="Century Gothic"/>
        </w:rPr>
        <w:t>cost, either economically, socially or psychologically, and it is important to ensure that increased mobility is associated with a positive net benefit to both individuals and communities.  Data that merely records ‘movement’ may not accurately reflect changes in labour mobility – especially if these moves are involuntary. Similarly, proposals that seek to coerce people to move may not actually enhanc</w:t>
      </w:r>
      <w:r w:rsidR="00AF51BB">
        <w:rPr>
          <w:rFonts w:ascii="Century Gothic" w:hAnsi="Century Gothic"/>
        </w:rPr>
        <w:t>e</w:t>
      </w:r>
      <w:r w:rsidR="00E05B3F">
        <w:rPr>
          <w:rFonts w:ascii="Century Gothic" w:hAnsi="Century Gothic"/>
        </w:rPr>
        <w:t xml:space="preserve"> labour</w:t>
      </w:r>
      <w:r w:rsidRPr="00E35979">
        <w:rPr>
          <w:rFonts w:ascii="Century Gothic" w:hAnsi="Century Gothic"/>
        </w:rPr>
        <w:t xml:space="preserve"> mobility.</w:t>
      </w:r>
    </w:p>
    <w:p w:rsidR="00E35979" w:rsidRPr="00E35979" w:rsidRDefault="009C48F5" w:rsidP="00E35979">
      <w:pPr>
        <w:rPr>
          <w:rFonts w:ascii="Century Gothic" w:hAnsi="Century Gothic"/>
        </w:rPr>
      </w:pPr>
      <w:r>
        <w:rPr>
          <w:rFonts w:ascii="Century Gothic" w:hAnsi="Century Gothic"/>
        </w:rPr>
        <w:t xml:space="preserve">Another consideration </w:t>
      </w:r>
      <w:r w:rsidR="00E35979" w:rsidRPr="00E35979">
        <w:rPr>
          <w:rFonts w:ascii="Century Gothic" w:hAnsi="Century Gothic"/>
        </w:rPr>
        <w:t>is that improve</w:t>
      </w:r>
      <w:r w:rsidR="00E05B3F">
        <w:rPr>
          <w:rFonts w:ascii="Century Gothic" w:hAnsi="Century Gothic"/>
        </w:rPr>
        <w:t>ment in geographic mobility can</w:t>
      </w:r>
      <w:r w:rsidR="00E35979" w:rsidRPr="00E35979">
        <w:rPr>
          <w:rFonts w:ascii="Century Gothic" w:hAnsi="Century Gothic"/>
        </w:rPr>
        <w:t xml:space="preserve"> redress spatial mismatches in labour supply and demand</w:t>
      </w:r>
      <w:r w:rsidR="00E05B3F">
        <w:rPr>
          <w:rFonts w:ascii="Century Gothic" w:hAnsi="Century Gothic"/>
        </w:rPr>
        <w:t>, but is</w:t>
      </w:r>
      <w:r w:rsidR="00E35979" w:rsidRPr="00E35979">
        <w:rPr>
          <w:rFonts w:ascii="Century Gothic" w:hAnsi="Century Gothic"/>
        </w:rPr>
        <w:t xml:space="preserve"> unlikely to address cyclical or structural problems in the labour market. For instance, if there is insufficient demand for low-skilled labour in aggregate, then improvements in mobility for low-skilled workers are unlikely to produce more employment. Similarly, if there is a ‘skills-shortage’ nationally in a particular field, then enhanced mobility will not create more skilled workers – at best, it might spread them more thinly.</w:t>
      </w:r>
    </w:p>
    <w:p w:rsidR="00E35979" w:rsidRPr="00E35979" w:rsidRDefault="00E35979" w:rsidP="00E35979">
      <w:pPr>
        <w:rPr>
          <w:rFonts w:ascii="Century Gothic" w:hAnsi="Century Gothic"/>
        </w:rPr>
      </w:pPr>
      <w:r w:rsidRPr="00E35979">
        <w:rPr>
          <w:rFonts w:ascii="Century Gothic" w:hAnsi="Century Gothic"/>
        </w:rPr>
        <w:t>This submission will discuss some of the factors that may cause people to ‘stay’ or ‘go’ – for better or for worse. In particular, we consider:</w:t>
      </w:r>
    </w:p>
    <w:p w:rsidR="00E35979" w:rsidRPr="00E35979" w:rsidRDefault="00E35979" w:rsidP="00E35979">
      <w:pPr>
        <w:numPr>
          <w:ilvl w:val="0"/>
          <w:numId w:val="53"/>
        </w:numPr>
        <w:rPr>
          <w:rFonts w:ascii="Century Gothic" w:hAnsi="Century Gothic"/>
        </w:rPr>
      </w:pPr>
      <w:r w:rsidRPr="00E35979">
        <w:rPr>
          <w:rFonts w:ascii="Century Gothic" w:hAnsi="Century Gothic"/>
        </w:rPr>
        <w:t>Employment availability</w:t>
      </w:r>
    </w:p>
    <w:p w:rsidR="00E35979" w:rsidRPr="00E35979" w:rsidRDefault="00E35979" w:rsidP="00E35979">
      <w:pPr>
        <w:numPr>
          <w:ilvl w:val="0"/>
          <w:numId w:val="53"/>
        </w:numPr>
        <w:rPr>
          <w:rFonts w:ascii="Century Gothic" w:hAnsi="Century Gothic"/>
        </w:rPr>
      </w:pPr>
      <w:r w:rsidRPr="00E35979">
        <w:rPr>
          <w:rFonts w:ascii="Century Gothic" w:hAnsi="Century Gothic"/>
        </w:rPr>
        <w:t>Housing costs and tenure</w:t>
      </w:r>
    </w:p>
    <w:p w:rsidR="00E35979" w:rsidRPr="00E35979" w:rsidRDefault="00E35979" w:rsidP="00E35979">
      <w:pPr>
        <w:numPr>
          <w:ilvl w:val="0"/>
          <w:numId w:val="53"/>
        </w:numPr>
        <w:rPr>
          <w:rFonts w:ascii="Century Gothic" w:hAnsi="Century Gothic"/>
        </w:rPr>
      </w:pPr>
      <w:r w:rsidRPr="00E35979">
        <w:rPr>
          <w:rFonts w:ascii="Century Gothic" w:hAnsi="Century Gothic"/>
        </w:rPr>
        <w:t>Amenity and access to services</w:t>
      </w:r>
    </w:p>
    <w:p w:rsidR="00E35979" w:rsidRPr="00E35979" w:rsidRDefault="00E35979" w:rsidP="00E35979">
      <w:pPr>
        <w:numPr>
          <w:ilvl w:val="0"/>
          <w:numId w:val="53"/>
        </w:numPr>
        <w:rPr>
          <w:rFonts w:ascii="Century Gothic" w:hAnsi="Century Gothic"/>
        </w:rPr>
      </w:pPr>
      <w:r w:rsidRPr="00E35979">
        <w:rPr>
          <w:rFonts w:ascii="Century Gothic" w:hAnsi="Century Gothic"/>
        </w:rPr>
        <w:t>Transport and employment access</w:t>
      </w:r>
    </w:p>
    <w:p w:rsidR="00E35979" w:rsidRPr="00E35979" w:rsidRDefault="00E35979" w:rsidP="00E35979">
      <w:pPr>
        <w:numPr>
          <w:ilvl w:val="0"/>
          <w:numId w:val="53"/>
        </w:numPr>
        <w:rPr>
          <w:rFonts w:ascii="Century Gothic" w:hAnsi="Century Gothic"/>
        </w:rPr>
      </w:pPr>
      <w:r w:rsidRPr="00E35979">
        <w:rPr>
          <w:rFonts w:ascii="Century Gothic" w:hAnsi="Century Gothic"/>
        </w:rPr>
        <w:t>Social and familial factors</w:t>
      </w:r>
    </w:p>
    <w:p w:rsidR="00E35979" w:rsidRPr="00E35979" w:rsidRDefault="00E35979" w:rsidP="00E35979">
      <w:pPr>
        <w:pStyle w:val="Heading2ExcludeTOC"/>
      </w:pPr>
      <w:bookmarkStart w:id="14" w:name="_Toc365981988"/>
      <w:r w:rsidRPr="00E35979">
        <w:t>Employment availability</w:t>
      </w:r>
      <w:bookmarkEnd w:id="14"/>
    </w:p>
    <w:p w:rsidR="00E35979" w:rsidRPr="00E35979" w:rsidRDefault="00E35979" w:rsidP="00E35979">
      <w:pPr>
        <w:rPr>
          <w:rFonts w:ascii="Century Gothic" w:hAnsi="Century Gothic"/>
        </w:rPr>
      </w:pPr>
      <w:r w:rsidRPr="00E35979">
        <w:rPr>
          <w:rFonts w:ascii="Century Gothic" w:hAnsi="Century Gothic"/>
        </w:rPr>
        <w:t xml:space="preserve">A key driver of any decision to relocate will be the relative availability of jobs in different regions. Some care needs to be taken in examining jobs data – as often other proxies are used for employment availability which may not be good indicators of employment for particular individuals. For instance, often the local unemployment rate is used as a proxy for job availability, however, this does not actually mean that the employment is located in that area, nor  necessarily indicate what level of skills or experience might be required to be employed in that location. </w:t>
      </w:r>
    </w:p>
    <w:p w:rsidR="00E35979" w:rsidRPr="00E35979" w:rsidRDefault="00E35979" w:rsidP="00E35979">
      <w:pPr>
        <w:rPr>
          <w:rFonts w:ascii="Century Gothic" w:hAnsi="Century Gothic"/>
        </w:rPr>
      </w:pPr>
      <w:r w:rsidRPr="00E35979">
        <w:rPr>
          <w:rFonts w:ascii="Century Gothic" w:hAnsi="Century Gothic"/>
        </w:rPr>
        <w:lastRenderedPageBreak/>
        <w:t xml:space="preserve">From the perspective of people with low skill levels, the important consideration is whether there are low-skilled vacancies in another area that they are likely to be able to fill given their skills and work history. </w:t>
      </w:r>
      <w:r w:rsidR="00F8309F">
        <w:rPr>
          <w:rFonts w:ascii="Century Gothic" w:hAnsi="Century Gothic"/>
        </w:rPr>
        <w:t>E</w:t>
      </w:r>
      <w:r w:rsidRPr="00E35979">
        <w:rPr>
          <w:rFonts w:ascii="Century Gothic" w:hAnsi="Century Gothic"/>
        </w:rPr>
        <w:t>ven in areas where</w:t>
      </w:r>
      <w:r w:rsidR="00E05B3F">
        <w:rPr>
          <w:rFonts w:ascii="Century Gothic" w:hAnsi="Century Gothic"/>
        </w:rPr>
        <w:t xml:space="preserve"> there is a demand for labour, </w:t>
      </w:r>
      <w:r w:rsidRPr="00E35979">
        <w:rPr>
          <w:rFonts w:ascii="Century Gothic" w:hAnsi="Century Gothic"/>
        </w:rPr>
        <w:t>relocating people who are unemployed with low skills may have little benefit for their employment outcomes</w:t>
      </w:r>
      <w:r w:rsidR="00F8309F">
        <w:rPr>
          <w:rFonts w:ascii="Century Gothic" w:hAnsi="Century Gothic"/>
        </w:rPr>
        <w:t xml:space="preserve"> if the demand is for specialist skills or training</w:t>
      </w:r>
      <w:r w:rsidRPr="00E35979">
        <w:rPr>
          <w:rFonts w:ascii="Century Gothic" w:hAnsi="Century Gothic"/>
        </w:rPr>
        <w:t>.</w:t>
      </w:r>
    </w:p>
    <w:p w:rsidR="00E35979" w:rsidRPr="00E35979" w:rsidRDefault="00E35979" w:rsidP="00E35979">
      <w:pPr>
        <w:rPr>
          <w:rFonts w:ascii="Century Gothic" w:hAnsi="Century Gothic"/>
        </w:rPr>
      </w:pPr>
      <w:r w:rsidRPr="00E35979">
        <w:rPr>
          <w:rFonts w:ascii="Century Gothic" w:hAnsi="Century Gothic"/>
        </w:rPr>
        <w:t xml:space="preserve">Another concern of VCOSS is the phenomenon of ‘stranded workers’ – workers whose particular skills are no longer required by the labour market. Workers might be stranded </w:t>
      </w:r>
      <w:r w:rsidR="0060118E" w:rsidRPr="00E35979">
        <w:rPr>
          <w:rFonts w:ascii="Century Gothic" w:hAnsi="Century Gothic"/>
        </w:rPr>
        <w:t>both by geographic or structural change</w:t>
      </w:r>
      <w:r w:rsidR="0060118E">
        <w:rPr>
          <w:rFonts w:ascii="Century Gothic" w:hAnsi="Century Gothic"/>
        </w:rPr>
        <w:t xml:space="preserve">, for instance those in </w:t>
      </w:r>
      <w:r w:rsidR="0060118E" w:rsidRPr="00E35979">
        <w:rPr>
          <w:rFonts w:ascii="Century Gothic" w:hAnsi="Century Gothic"/>
        </w:rPr>
        <w:t>manufacturing industries</w:t>
      </w:r>
      <w:r w:rsidR="0060118E">
        <w:rPr>
          <w:rFonts w:ascii="Century Gothic" w:hAnsi="Century Gothic"/>
        </w:rPr>
        <w:t>, and</w:t>
      </w:r>
      <w:r w:rsidRPr="00E35979">
        <w:rPr>
          <w:rFonts w:ascii="Century Gothic" w:hAnsi="Century Gothic"/>
        </w:rPr>
        <w:t xml:space="preserve"> in areas with low population growth and significant population ageing</w:t>
      </w:r>
      <w:r w:rsidR="00F8309F">
        <w:rPr>
          <w:rFonts w:ascii="Century Gothic" w:hAnsi="Century Gothic"/>
        </w:rPr>
        <w:t xml:space="preserve">, including </w:t>
      </w:r>
      <w:r w:rsidRPr="00E35979">
        <w:rPr>
          <w:rFonts w:ascii="Century Gothic" w:hAnsi="Century Gothic"/>
        </w:rPr>
        <w:t>some smaller regional communities.</w:t>
      </w:r>
    </w:p>
    <w:p w:rsidR="00E35979" w:rsidRPr="00E35979" w:rsidRDefault="00E35979" w:rsidP="00E35979">
      <w:pPr>
        <w:rPr>
          <w:rFonts w:ascii="Century Gothic" w:hAnsi="Century Gothic"/>
        </w:rPr>
      </w:pPr>
      <w:r w:rsidRPr="00E35979">
        <w:rPr>
          <w:rFonts w:ascii="Century Gothic" w:hAnsi="Century Gothic"/>
        </w:rPr>
        <w:t>VCOSS is particularly aware of competing structural changes in residential location and employment availability. Two phenomena come to mind:</w:t>
      </w:r>
    </w:p>
    <w:p w:rsidR="00E35979" w:rsidRPr="00E35979" w:rsidRDefault="00051BA1" w:rsidP="00E35979">
      <w:pPr>
        <w:numPr>
          <w:ilvl w:val="0"/>
          <w:numId w:val="53"/>
        </w:numPr>
        <w:rPr>
          <w:rFonts w:ascii="Century Gothic" w:hAnsi="Century Gothic"/>
        </w:rPr>
      </w:pPr>
      <w:r>
        <w:rPr>
          <w:rFonts w:ascii="Century Gothic" w:hAnsi="Century Gothic"/>
        </w:rPr>
        <w:t>t</w:t>
      </w:r>
      <w:r w:rsidR="00E35979" w:rsidRPr="00E35979">
        <w:rPr>
          <w:rFonts w:ascii="Century Gothic" w:hAnsi="Century Gothic"/>
        </w:rPr>
        <w:t>he growing spatial mismatch between residential location and employment growth in metropolitan areas</w:t>
      </w:r>
      <w:r w:rsidR="00B24F61">
        <w:rPr>
          <w:rFonts w:ascii="Century Gothic" w:hAnsi="Century Gothic"/>
        </w:rPr>
        <w:t>; and</w:t>
      </w:r>
    </w:p>
    <w:p w:rsidR="00E35979" w:rsidRPr="00E35979" w:rsidRDefault="00051BA1" w:rsidP="00E35979">
      <w:pPr>
        <w:numPr>
          <w:ilvl w:val="0"/>
          <w:numId w:val="53"/>
        </w:numPr>
        <w:rPr>
          <w:rFonts w:ascii="Century Gothic" w:hAnsi="Century Gothic"/>
        </w:rPr>
      </w:pPr>
      <w:r>
        <w:rPr>
          <w:rFonts w:ascii="Century Gothic" w:hAnsi="Century Gothic"/>
        </w:rPr>
        <w:t>t</w:t>
      </w:r>
      <w:r w:rsidR="00E35979" w:rsidRPr="00E35979">
        <w:rPr>
          <w:rFonts w:ascii="Century Gothic" w:hAnsi="Century Gothic"/>
        </w:rPr>
        <w:t>he phenomenon of ‘declining towns’</w:t>
      </w:r>
      <w:r>
        <w:rPr>
          <w:rFonts w:ascii="Century Gothic" w:hAnsi="Century Gothic"/>
        </w:rPr>
        <w:t>.</w:t>
      </w:r>
    </w:p>
    <w:p w:rsidR="00E35979" w:rsidRPr="00E35979" w:rsidRDefault="00E35979" w:rsidP="00E35979">
      <w:pPr>
        <w:rPr>
          <w:rFonts w:ascii="Century Gothic" w:hAnsi="Century Gothic"/>
        </w:rPr>
      </w:pPr>
      <w:r w:rsidRPr="00E35979">
        <w:rPr>
          <w:rFonts w:ascii="Century Gothic" w:hAnsi="Century Gothic"/>
        </w:rPr>
        <w:t xml:space="preserve">The recent </w:t>
      </w:r>
      <w:r w:rsidRPr="00E35979">
        <w:rPr>
          <w:rFonts w:ascii="Century Gothic" w:hAnsi="Century Gothic"/>
          <w:i/>
        </w:rPr>
        <w:t>State of Australian Cities</w:t>
      </w:r>
      <w:r w:rsidRPr="00E35979">
        <w:rPr>
          <w:rFonts w:ascii="Century Gothic" w:hAnsi="Century Gothic"/>
        </w:rPr>
        <w:t xml:space="preserve"> report chronicles the first issue. It finds that “an increasing number of people are living further away from the centres of major cities while higher-skill, higher-paying jobs are becoming concentrated in central areas.”</w:t>
      </w:r>
      <w:r w:rsidRPr="00E35979">
        <w:rPr>
          <w:rFonts w:ascii="Century Gothic" w:hAnsi="Century Gothic"/>
          <w:vertAlign w:val="superscript"/>
        </w:rPr>
        <w:footnoteReference w:id="2"/>
      </w:r>
      <w:r w:rsidRPr="00E35979">
        <w:rPr>
          <w:rFonts w:ascii="Century Gothic" w:hAnsi="Century Gothic"/>
        </w:rPr>
        <w:t xml:space="preserve"> This means new urban communities on the urban fringe</w:t>
      </w:r>
      <w:r w:rsidR="0064651A">
        <w:rPr>
          <w:rFonts w:ascii="Century Gothic" w:hAnsi="Century Gothic"/>
        </w:rPr>
        <w:t xml:space="preserve"> hav</w:t>
      </w:r>
      <w:r w:rsidR="00B24F61">
        <w:rPr>
          <w:rFonts w:ascii="Century Gothic" w:hAnsi="Century Gothic"/>
        </w:rPr>
        <w:t>e</w:t>
      </w:r>
      <w:r w:rsidR="0064651A">
        <w:rPr>
          <w:rFonts w:ascii="Century Gothic" w:hAnsi="Century Gothic"/>
        </w:rPr>
        <w:t xml:space="preserve"> </w:t>
      </w:r>
      <w:r w:rsidR="00B24F61">
        <w:rPr>
          <w:rFonts w:ascii="Century Gothic" w:hAnsi="Century Gothic"/>
        </w:rPr>
        <w:t xml:space="preserve">less </w:t>
      </w:r>
      <w:r w:rsidRPr="00E35979">
        <w:rPr>
          <w:rFonts w:ascii="Century Gothic" w:hAnsi="Century Gothic"/>
        </w:rPr>
        <w:t>access to metropolitan employment opportunities within a reasonable commuting time. At the same time, they find that “on the fringes of cities there is an outer belt of home renters. This outer belt of renters appears to be little studied.”</w:t>
      </w:r>
      <w:r w:rsidRPr="00E35979">
        <w:rPr>
          <w:rFonts w:ascii="Century Gothic" w:hAnsi="Century Gothic"/>
          <w:vertAlign w:val="superscript"/>
        </w:rPr>
        <w:footnoteReference w:id="3"/>
      </w:r>
      <w:r w:rsidRPr="00E35979">
        <w:rPr>
          <w:rFonts w:ascii="Century Gothic" w:hAnsi="Century Gothic"/>
        </w:rPr>
        <w:t xml:space="preserve"> We fear that current patterns of metropolitan development and employment change are creating a group of low-income outer suburban renters with little access to employment.</w:t>
      </w:r>
    </w:p>
    <w:p w:rsidR="00E35979" w:rsidRPr="00E35979" w:rsidRDefault="00E35979" w:rsidP="00E35979">
      <w:pPr>
        <w:rPr>
          <w:rFonts w:ascii="Century Gothic" w:hAnsi="Century Gothic"/>
        </w:rPr>
      </w:pPr>
      <w:r w:rsidRPr="00E35979">
        <w:rPr>
          <w:rFonts w:ascii="Century Gothic" w:hAnsi="Century Gothic"/>
        </w:rPr>
        <w:t>A second issue is the</w:t>
      </w:r>
      <w:r w:rsidR="0064651A">
        <w:rPr>
          <w:rFonts w:ascii="Century Gothic" w:hAnsi="Century Gothic"/>
        </w:rPr>
        <w:t xml:space="preserve"> differing</w:t>
      </w:r>
      <w:r w:rsidRPr="00E35979">
        <w:rPr>
          <w:rFonts w:ascii="Century Gothic" w:hAnsi="Century Gothic"/>
        </w:rPr>
        <w:t xml:space="preserve"> impacts of economic and population change on rural and regional communities. As the Commission has noted, regional population growth is uneven, with some regional cities and coastal regions experiencing high rates of population growth, and others experiencing low growth or even decline. While geographic labour mobility can assist people to relocate from areas with declining opportunities to those experiencing higher labour demand, the effect on those left behind also needs to be considered. The shrinking population or consumption base of these communities can develop into a ‘downwards spiral’ with the withdrawal of both commercial and public services from the area – further exacerbating the loss of </w:t>
      </w:r>
      <w:r w:rsidRPr="00E35979">
        <w:rPr>
          <w:rFonts w:ascii="Century Gothic" w:hAnsi="Century Gothic"/>
        </w:rPr>
        <w:lastRenderedPageBreak/>
        <w:t>employment opportunities. The appropriate government response to this situation should be considered.</w:t>
      </w:r>
    </w:p>
    <w:p w:rsidR="00E35979" w:rsidRPr="00E35979" w:rsidRDefault="00E35979" w:rsidP="00E35979">
      <w:pPr>
        <w:pStyle w:val="Heading2ExcludeTOC"/>
      </w:pPr>
      <w:bookmarkStart w:id="15" w:name="_Toc365981989"/>
      <w:r w:rsidRPr="00E35979">
        <w:t>Housing costs and tenure</w:t>
      </w:r>
      <w:bookmarkEnd w:id="15"/>
    </w:p>
    <w:p w:rsidR="00E35979" w:rsidRPr="00E35979" w:rsidRDefault="00E35979" w:rsidP="00E35979">
      <w:pPr>
        <w:rPr>
          <w:rFonts w:ascii="Century Gothic" w:hAnsi="Century Gothic"/>
        </w:rPr>
      </w:pPr>
      <w:r w:rsidRPr="00E35979">
        <w:rPr>
          <w:rFonts w:ascii="Century Gothic" w:hAnsi="Century Gothic"/>
        </w:rPr>
        <w:t xml:space="preserve">We believe a primary reason for many of the spatial mismatches between labour demand and supply relates to the costs of housing. As </w:t>
      </w:r>
      <w:r w:rsidR="0064651A">
        <w:rPr>
          <w:rFonts w:ascii="Century Gothic" w:hAnsi="Century Gothic"/>
        </w:rPr>
        <w:t xml:space="preserve">the </w:t>
      </w:r>
      <w:r w:rsidRPr="00E35979">
        <w:rPr>
          <w:rFonts w:ascii="Century Gothic" w:hAnsi="Century Gothic"/>
        </w:rPr>
        <w:t xml:space="preserve">Australians for Affordable Housing </w:t>
      </w:r>
      <w:r w:rsidR="0064651A">
        <w:rPr>
          <w:rFonts w:ascii="Century Gothic" w:hAnsi="Century Gothic"/>
        </w:rPr>
        <w:t xml:space="preserve">coalition </w:t>
      </w:r>
      <w:r w:rsidRPr="00E35979">
        <w:rPr>
          <w:rFonts w:ascii="Century Gothic" w:hAnsi="Century Gothic"/>
        </w:rPr>
        <w:t xml:space="preserve">has recently pointed out, areas with large numbers of low-skilled jobs </w:t>
      </w:r>
      <w:r w:rsidR="000B0927">
        <w:rPr>
          <w:rFonts w:ascii="Century Gothic" w:hAnsi="Century Gothic"/>
        </w:rPr>
        <w:t>often also have relatively expensive</w:t>
      </w:r>
      <w:r w:rsidRPr="00E35979">
        <w:rPr>
          <w:rFonts w:ascii="Century Gothic" w:hAnsi="Century Gothic"/>
        </w:rPr>
        <w:t xml:space="preserve"> rental costs.</w:t>
      </w:r>
      <w:r w:rsidRPr="00E35979">
        <w:rPr>
          <w:rFonts w:ascii="Century Gothic" w:hAnsi="Century Gothic"/>
          <w:vertAlign w:val="superscript"/>
        </w:rPr>
        <w:footnoteReference w:id="4"/>
      </w:r>
      <w:r w:rsidRPr="00E35979">
        <w:rPr>
          <w:rFonts w:ascii="Century Gothic" w:hAnsi="Century Gothic"/>
        </w:rPr>
        <w:t xml:space="preserve"> Similarly, the housing cost gradient in cities has grown significantly in recent decades, with housing located close to the ‘job-rich’ inner city becoming relatively (and absolutely) more expensive over time.</w:t>
      </w:r>
      <w:r w:rsidRPr="00E35979">
        <w:rPr>
          <w:rFonts w:ascii="Century Gothic" w:hAnsi="Century Gothic"/>
          <w:vertAlign w:val="superscript"/>
        </w:rPr>
        <w:footnoteReference w:id="5"/>
      </w:r>
      <w:r w:rsidRPr="00E35979">
        <w:rPr>
          <w:rFonts w:ascii="Century Gothic" w:hAnsi="Century Gothic"/>
        </w:rPr>
        <w:t xml:space="preserve"> The inability of people with low</w:t>
      </w:r>
      <w:r w:rsidR="0064651A">
        <w:rPr>
          <w:rFonts w:ascii="Century Gothic" w:hAnsi="Century Gothic"/>
        </w:rPr>
        <w:t xml:space="preserve"> </w:t>
      </w:r>
      <w:r w:rsidRPr="00E35979">
        <w:rPr>
          <w:rFonts w:ascii="Century Gothic" w:hAnsi="Century Gothic"/>
        </w:rPr>
        <w:t xml:space="preserve">incomes to </w:t>
      </w:r>
      <w:r w:rsidR="000B0927">
        <w:rPr>
          <w:rFonts w:ascii="Century Gothic" w:hAnsi="Century Gothic"/>
        </w:rPr>
        <w:t xml:space="preserve">be able to afford </w:t>
      </w:r>
      <w:r w:rsidRPr="00E35979">
        <w:rPr>
          <w:rFonts w:ascii="Century Gothic" w:hAnsi="Century Gothic"/>
        </w:rPr>
        <w:t xml:space="preserve">housing near employment opportunities has worrying implications for geographic labour mobility and the effective operation of the labour market. In particular, it can ‘lock-in’ unemployment – with </w:t>
      </w:r>
      <w:r w:rsidR="000B0927">
        <w:rPr>
          <w:rFonts w:ascii="Century Gothic" w:hAnsi="Century Gothic"/>
        </w:rPr>
        <w:t xml:space="preserve">unemployed </w:t>
      </w:r>
      <w:r w:rsidRPr="00E35979">
        <w:rPr>
          <w:rFonts w:ascii="Century Gothic" w:hAnsi="Century Gothic"/>
        </w:rPr>
        <w:t>people unable to relocate from rural or regional areas or the urban fringe to areas with better employment opportunities.</w:t>
      </w:r>
    </w:p>
    <w:p w:rsidR="00E35979" w:rsidRPr="00E35979" w:rsidRDefault="000B0927" w:rsidP="00E35979">
      <w:pPr>
        <w:rPr>
          <w:rFonts w:ascii="Century Gothic" w:hAnsi="Century Gothic"/>
        </w:rPr>
      </w:pPr>
      <w:r>
        <w:rPr>
          <w:rFonts w:ascii="Century Gothic" w:hAnsi="Century Gothic"/>
        </w:rPr>
        <w:t xml:space="preserve">The cost of </w:t>
      </w:r>
      <w:r w:rsidR="00E35979" w:rsidRPr="00E35979">
        <w:rPr>
          <w:rFonts w:ascii="Century Gothic" w:hAnsi="Century Gothic"/>
        </w:rPr>
        <w:t>relocation</w:t>
      </w:r>
      <w:r>
        <w:rPr>
          <w:rFonts w:ascii="Century Gothic" w:hAnsi="Century Gothic"/>
        </w:rPr>
        <w:t xml:space="preserve"> is itself a factor: it is difficult for </w:t>
      </w:r>
      <w:r w:rsidR="00E35979" w:rsidRPr="00E35979">
        <w:rPr>
          <w:rFonts w:ascii="Century Gothic" w:hAnsi="Century Gothic"/>
        </w:rPr>
        <w:t xml:space="preserve">low-income households with few savings to cover </w:t>
      </w:r>
      <w:r>
        <w:rPr>
          <w:rFonts w:ascii="Century Gothic" w:hAnsi="Century Gothic"/>
        </w:rPr>
        <w:t>the</w:t>
      </w:r>
      <w:r w:rsidR="00E35979" w:rsidRPr="00E35979">
        <w:rPr>
          <w:rFonts w:ascii="Century Gothic" w:hAnsi="Century Gothic"/>
        </w:rPr>
        <w:t xml:space="preserve"> large ‘lumpy’ </w:t>
      </w:r>
      <w:r w:rsidR="0043733C">
        <w:rPr>
          <w:rFonts w:ascii="Century Gothic" w:hAnsi="Century Gothic"/>
        </w:rPr>
        <w:t xml:space="preserve">costs </w:t>
      </w:r>
      <w:r>
        <w:rPr>
          <w:rFonts w:ascii="Century Gothic" w:hAnsi="Century Gothic"/>
        </w:rPr>
        <w:t>of</w:t>
      </w:r>
      <w:r w:rsidR="00E35979" w:rsidRPr="00E35979">
        <w:rPr>
          <w:rFonts w:ascii="Century Gothic" w:hAnsi="Century Gothic"/>
        </w:rPr>
        <w:t xml:space="preserve"> relocation</w:t>
      </w:r>
      <w:r>
        <w:rPr>
          <w:rFonts w:ascii="Century Gothic" w:hAnsi="Century Gothic"/>
        </w:rPr>
        <w:t>. However</w:t>
      </w:r>
      <w:r w:rsidR="00E35979" w:rsidRPr="00E35979">
        <w:rPr>
          <w:rFonts w:ascii="Century Gothic" w:hAnsi="Century Gothic"/>
        </w:rPr>
        <w:t xml:space="preserve">, the ongoing cost of higher housing is likely the stronger deterrent. While existing programs such as </w:t>
      </w:r>
      <w:r w:rsidR="00C612D4">
        <w:rPr>
          <w:rFonts w:ascii="Century Gothic" w:hAnsi="Century Gothic"/>
        </w:rPr>
        <w:t>the Department of Education, Employment and Workplace Relations’</w:t>
      </w:r>
      <w:r w:rsidR="00E35979" w:rsidRPr="00E35979">
        <w:rPr>
          <w:rFonts w:ascii="Century Gothic" w:hAnsi="Century Gothic"/>
        </w:rPr>
        <w:t xml:space="preserve"> ‘Move 2 Work’ program are able to assist with relocation expenses, they </w:t>
      </w:r>
      <w:r w:rsidR="00E05B3F">
        <w:rPr>
          <w:rFonts w:ascii="Century Gothic" w:hAnsi="Century Gothic"/>
        </w:rPr>
        <w:t xml:space="preserve">do </w:t>
      </w:r>
      <w:r>
        <w:rPr>
          <w:rFonts w:ascii="Century Gothic" w:hAnsi="Century Gothic"/>
        </w:rPr>
        <w:t>not</w:t>
      </w:r>
      <w:r w:rsidR="00E35979" w:rsidRPr="00E35979">
        <w:rPr>
          <w:rFonts w:ascii="Century Gothic" w:hAnsi="Century Gothic"/>
        </w:rPr>
        <w:t xml:space="preserve"> maintain lower housing costs over time.</w:t>
      </w:r>
      <w:r w:rsidR="00E35979" w:rsidRPr="00E35979">
        <w:rPr>
          <w:rFonts w:ascii="Century Gothic" w:hAnsi="Century Gothic"/>
          <w:vertAlign w:val="superscript"/>
        </w:rPr>
        <w:footnoteReference w:id="6"/>
      </w:r>
      <w:r w:rsidR="00E35979" w:rsidRPr="00E35979">
        <w:rPr>
          <w:rFonts w:ascii="Century Gothic" w:hAnsi="Century Gothic"/>
        </w:rPr>
        <w:t xml:space="preserve"> In addition, </w:t>
      </w:r>
      <w:r w:rsidR="00B24F61" w:rsidRPr="00E35979">
        <w:rPr>
          <w:rFonts w:ascii="Century Gothic" w:hAnsi="Century Gothic"/>
        </w:rPr>
        <w:t>the program</w:t>
      </w:r>
      <w:r w:rsidR="00E35979" w:rsidRPr="00E35979">
        <w:rPr>
          <w:rFonts w:ascii="Century Gothic" w:hAnsi="Century Gothic"/>
        </w:rPr>
        <w:t xml:space="preserve"> require</w:t>
      </w:r>
      <w:r>
        <w:rPr>
          <w:rFonts w:ascii="Century Gothic" w:hAnsi="Century Gothic"/>
        </w:rPr>
        <w:t>s</w:t>
      </w:r>
      <w:r w:rsidR="00E35979" w:rsidRPr="00E35979">
        <w:rPr>
          <w:rFonts w:ascii="Century Gothic" w:hAnsi="Century Gothic"/>
        </w:rPr>
        <w:t xml:space="preserve"> a person to have already obtained ongoing work or an apprenticeship – there is no assistance available to move to enhance job search.</w:t>
      </w:r>
    </w:p>
    <w:p w:rsidR="00E35979" w:rsidRDefault="00E35979" w:rsidP="00E35979">
      <w:pPr>
        <w:rPr>
          <w:rFonts w:ascii="Century Gothic" w:hAnsi="Century Gothic"/>
        </w:rPr>
      </w:pPr>
      <w:r w:rsidRPr="00E35979">
        <w:rPr>
          <w:rFonts w:ascii="Century Gothic" w:hAnsi="Century Gothic"/>
        </w:rPr>
        <w:t>The Commission has been asked to consider the effectiveness of market signals, such as wages, in enhancing geographic labour mobility. VCOSS would encourage the Commission to also examine the importance of market signals in the housing market, particular</w:t>
      </w:r>
      <w:r w:rsidR="000B0927">
        <w:rPr>
          <w:rFonts w:ascii="Century Gothic" w:hAnsi="Century Gothic"/>
        </w:rPr>
        <w:t>ly</w:t>
      </w:r>
      <w:r w:rsidRPr="00E35979">
        <w:rPr>
          <w:rFonts w:ascii="Century Gothic" w:hAnsi="Century Gothic"/>
        </w:rPr>
        <w:t xml:space="preserve"> rents, as we believe these are often strong counteracting incentives. Put simpl</w:t>
      </w:r>
      <w:r w:rsidR="000B0927">
        <w:rPr>
          <w:rFonts w:ascii="Century Gothic" w:hAnsi="Century Gothic"/>
        </w:rPr>
        <w:t xml:space="preserve">y, if extra earnings are cut by </w:t>
      </w:r>
      <w:r w:rsidRPr="00E35979">
        <w:rPr>
          <w:rFonts w:ascii="Century Gothic" w:hAnsi="Century Gothic"/>
        </w:rPr>
        <w:t xml:space="preserve">additional housing costs, then the incentives to relocate are significantly diminished. </w:t>
      </w:r>
      <w:r w:rsidR="000B0927">
        <w:rPr>
          <w:rFonts w:ascii="Century Gothic" w:hAnsi="Century Gothic"/>
        </w:rPr>
        <w:t>This factor and others</w:t>
      </w:r>
      <w:r w:rsidRPr="00E35979">
        <w:rPr>
          <w:rFonts w:ascii="Century Gothic" w:hAnsi="Century Gothic"/>
        </w:rPr>
        <w:t xml:space="preserve"> discussed in this submission </w:t>
      </w:r>
      <w:r w:rsidR="000B0927">
        <w:rPr>
          <w:rFonts w:ascii="Century Gothic" w:hAnsi="Century Gothic"/>
        </w:rPr>
        <w:t>indicate th</w:t>
      </w:r>
      <w:r w:rsidR="00B24F61">
        <w:rPr>
          <w:rFonts w:ascii="Century Gothic" w:hAnsi="Century Gothic"/>
        </w:rPr>
        <w:t>a</w:t>
      </w:r>
      <w:r w:rsidR="000B0927">
        <w:rPr>
          <w:rFonts w:ascii="Century Gothic" w:hAnsi="Century Gothic"/>
        </w:rPr>
        <w:t>t</w:t>
      </w:r>
      <w:r w:rsidRPr="00E35979">
        <w:rPr>
          <w:rFonts w:ascii="Century Gothic" w:hAnsi="Century Gothic"/>
        </w:rPr>
        <w:t xml:space="preserve"> the wage-price signal may be relatively weak.</w:t>
      </w:r>
    </w:p>
    <w:p w:rsidR="00C612D4" w:rsidRPr="00E35979" w:rsidRDefault="00C612D4" w:rsidP="00E35979">
      <w:pPr>
        <w:rPr>
          <w:rFonts w:ascii="Century Gothic" w:hAnsi="Century Gothic"/>
        </w:rPr>
      </w:pPr>
      <w:r>
        <w:rPr>
          <w:rFonts w:ascii="Century Gothic" w:hAnsi="Century Gothic"/>
        </w:rPr>
        <w:t xml:space="preserve">Another element in considering market signals, such as wage prices, is also not only the level of remuneration, but the level of security in work. Where available work is precarious – because it is casual, seasonal, only available for short periods of time, or subject to high demand fluctuations, there is not enough certainty for people to be able to commit to </w:t>
      </w:r>
      <w:r>
        <w:rPr>
          <w:rFonts w:ascii="Century Gothic" w:hAnsi="Century Gothic"/>
        </w:rPr>
        <w:lastRenderedPageBreak/>
        <w:t>higher levels of housing costs – as the high cost of relocating and length of standard rental tenure means there may be little benefit in moving.</w:t>
      </w:r>
    </w:p>
    <w:p w:rsidR="00E35979" w:rsidRPr="00E35979" w:rsidRDefault="00E35979" w:rsidP="00E35979">
      <w:pPr>
        <w:rPr>
          <w:rFonts w:ascii="Century Gothic" w:hAnsi="Century Gothic"/>
        </w:rPr>
      </w:pPr>
      <w:r w:rsidRPr="00E35979">
        <w:rPr>
          <w:rFonts w:ascii="Century Gothic" w:hAnsi="Century Gothic"/>
        </w:rPr>
        <w:t>The Commission has also noted the impact of housing tenure as a potential factor in labour mobility. The Australian Housing and Urban Research Institute ha</w:t>
      </w:r>
      <w:r w:rsidR="005E241F">
        <w:rPr>
          <w:rFonts w:ascii="Century Gothic" w:hAnsi="Century Gothic"/>
        </w:rPr>
        <w:t>s</w:t>
      </w:r>
      <w:r w:rsidRPr="00E35979">
        <w:rPr>
          <w:rFonts w:ascii="Century Gothic" w:hAnsi="Century Gothic"/>
        </w:rPr>
        <w:t xml:space="preserve"> recently reported </w:t>
      </w:r>
      <w:r w:rsidR="005E241F">
        <w:rPr>
          <w:rFonts w:ascii="Century Gothic" w:hAnsi="Century Gothic"/>
        </w:rPr>
        <w:t>that</w:t>
      </w:r>
      <w:r w:rsidRPr="00E35979">
        <w:rPr>
          <w:rFonts w:ascii="Century Gothic" w:hAnsi="Century Gothic"/>
        </w:rPr>
        <w:t xml:space="preserve"> private rent</w:t>
      </w:r>
      <w:r w:rsidR="005E241F">
        <w:rPr>
          <w:rFonts w:ascii="Century Gothic" w:hAnsi="Century Gothic"/>
        </w:rPr>
        <w:t>al</w:t>
      </w:r>
      <w:r w:rsidRPr="00E35979">
        <w:rPr>
          <w:rFonts w:ascii="Century Gothic" w:hAnsi="Century Gothic"/>
        </w:rPr>
        <w:t xml:space="preserve"> households</w:t>
      </w:r>
      <w:r w:rsidR="00B24F61">
        <w:rPr>
          <w:rFonts w:ascii="Century Gothic" w:hAnsi="Century Gothic"/>
        </w:rPr>
        <w:t xml:space="preserve"> </w:t>
      </w:r>
      <w:r w:rsidR="005E241F">
        <w:rPr>
          <w:rFonts w:ascii="Century Gothic" w:hAnsi="Century Gothic"/>
        </w:rPr>
        <w:t>have</w:t>
      </w:r>
      <w:r w:rsidRPr="00E35979">
        <w:rPr>
          <w:rFonts w:ascii="Century Gothic" w:hAnsi="Century Gothic"/>
        </w:rPr>
        <w:t xml:space="preserve"> the highest rates of mobility. However, this mobility is associated with the insecurity of private rental tenure, with nearly 40</w:t>
      </w:r>
      <w:r w:rsidR="005E241F">
        <w:rPr>
          <w:rFonts w:ascii="Century Gothic" w:hAnsi="Century Gothic"/>
        </w:rPr>
        <w:t xml:space="preserve"> per cent</w:t>
      </w:r>
      <w:r w:rsidRPr="00E35979">
        <w:rPr>
          <w:rFonts w:ascii="Century Gothic" w:hAnsi="Century Gothic"/>
        </w:rPr>
        <w:t xml:space="preserve"> of private rent</w:t>
      </w:r>
      <w:r w:rsidR="005E241F">
        <w:rPr>
          <w:rFonts w:ascii="Century Gothic" w:hAnsi="Century Gothic"/>
        </w:rPr>
        <w:t>al</w:t>
      </w:r>
      <w:r w:rsidRPr="00E35979">
        <w:rPr>
          <w:rFonts w:ascii="Century Gothic" w:hAnsi="Century Gothic"/>
        </w:rPr>
        <w:t xml:space="preserve"> household</w:t>
      </w:r>
      <w:r w:rsidR="005E241F">
        <w:rPr>
          <w:rFonts w:ascii="Century Gothic" w:hAnsi="Century Gothic"/>
        </w:rPr>
        <w:t>s</w:t>
      </w:r>
      <w:r w:rsidRPr="00E35979">
        <w:rPr>
          <w:rFonts w:ascii="Century Gothic" w:hAnsi="Century Gothic"/>
        </w:rPr>
        <w:t xml:space="preserve"> moving </w:t>
      </w:r>
      <w:r w:rsidR="005E241F">
        <w:rPr>
          <w:rFonts w:ascii="Century Gothic" w:hAnsi="Century Gothic"/>
        </w:rPr>
        <w:t xml:space="preserve">three </w:t>
      </w:r>
      <w:r w:rsidRPr="00E35979">
        <w:rPr>
          <w:rFonts w:ascii="Century Gothic" w:hAnsi="Century Gothic"/>
        </w:rPr>
        <w:t xml:space="preserve">or more times in the past </w:t>
      </w:r>
      <w:r w:rsidR="005E241F">
        <w:rPr>
          <w:rFonts w:ascii="Century Gothic" w:hAnsi="Century Gothic"/>
        </w:rPr>
        <w:t>five</w:t>
      </w:r>
      <w:r w:rsidRPr="00E35979">
        <w:rPr>
          <w:rFonts w:ascii="Century Gothic" w:hAnsi="Century Gothic"/>
        </w:rPr>
        <w:t xml:space="preserve"> years</w:t>
      </w:r>
      <w:r w:rsidR="005E241F">
        <w:rPr>
          <w:rFonts w:ascii="Century Gothic" w:hAnsi="Century Gothic"/>
        </w:rPr>
        <w:t xml:space="preserve">. AHURI describes this </w:t>
      </w:r>
      <w:r w:rsidRPr="00E35979">
        <w:rPr>
          <w:rFonts w:ascii="Century Gothic" w:hAnsi="Century Gothic"/>
        </w:rPr>
        <w:t>as “a very high, and potentially destabilising, rate of mobility.”</w:t>
      </w:r>
      <w:r w:rsidRPr="00E35979">
        <w:rPr>
          <w:rFonts w:ascii="Century Gothic" w:hAnsi="Century Gothic"/>
          <w:vertAlign w:val="superscript"/>
        </w:rPr>
        <w:footnoteReference w:id="7"/>
      </w:r>
      <w:r w:rsidRPr="00E35979">
        <w:rPr>
          <w:rFonts w:ascii="Century Gothic" w:hAnsi="Century Gothic"/>
        </w:rPr>
        <w:t xml:space="preserve"> Nearly a third of moves were described as ‘forced’ – due to eviction, affordability, health, relationship or job loss, while only a relatively small minority – 12.7 per cent – were associated with employment reasons. Again, this confirms our caution for the Commission to not conflate ‘movement’ with ‘mobility’.</w:t>
      </w:r>
    </w:p>
    <w:p w:rsidR="00E35979" w:rsidRPr="00E35979" w:rsidRDefault="00E35979" w:rsidP="00E35979">
      <w:pPr>
        <w:rPr>
          <w:rFonts w:ascii="Century Gothic" w:hAnsi="Century Gothic"/>
        </w:rPr>
      </w:pPr>
      <w:r w:rsidRPr="00E35979">
        <w:rPr>
          <w:rFonts w:ascii="Century Gothic" w:hAnsi="Century Gothic"/>
        </w:rPr>
        <w:t xml:space="preserve">Similarly, the association has often been made between public housing tenure and reduced mobility. While no doubt this correlation exists, at times it has been interpreted as causal – that public housing tenure is by its nature an impediment to mobility. While no doubt there is room for improvement in public (and community) housing policies to enable greater labour mobility, we would consider that </w:t>
      </w:r>
      <w:r w:rsidR="006139F3">
        <w:rPr>
          <w:rFonts w:ascii="Century Gothic" w:hAnsi="Century Gothic"/>
        </w:rPr>
        <w:t>immobility relates more to</w:t>
      </w:r>
      <w:r w:rsidRPr="00E35979">
        <w:rPr>
          <w:rFonts w:ascii="Century Gothic" w:hAnsi="Century Gothic"/>
        </w:rPr>
        <w:t xml:space="preserve"> the nature of the tenant profile – primarily consisting of low-income, low-skilled tenants, often experiencing other forms of disadvantage – as well as the protection social housing offers from ‘forced’ moves and housing insecurity.</w:t>
      </w:r>
    </w:p>
    <w:p w:rsidR="00E35979" w:rsidRPr="00E35979" w:rsidRDefault="00E35979" w:rsidP="00E35979">
      <w:pPr>
        <w:rPr>
          <w:rFonts w:ascii="Century Gothic" w:hAnsi="Century Gothic"/>
        </w:rPr>
      </w:pPr>
      <w:r w:rsidRPr="00E35979">
        <w:rPr>
          <w:rFonts w:ascii="Century Gothic" w:hAnsi="Century Gothic"/>
        </w:rPr>
        <w:t>Finally, VCOSS notes that housing markets themselves are highly distorted</w:t>
      </w:r>
      <w:r w:rsidR="006544B4">
        <w:rPr>
          <w:rFonts w:ascii="Century Gothic" w:hAnsi="Century Gothic"/>
        </w:rPr>
        <w:t xml:space="preserve"> and</w:t>
      </w:r>
      <w:r w:rsidRPr="00E35979">
        <w:rPr>
          <w:rFonts w:ascii="Century Gothic" w:hAnsi="Century Gothic"/>
        </w:rPr>
        <w:t xml:space="preserve"> subject to a variety of regulatory controls – through planning and building regulation, </w:t>
      </w:r>
      <w:r w:rsidR="006139F3">
        <w:rPr>
          <w:rFonts w:ascii="Century Gothic" w:hAnsi="Century Gothic"/>
        </w:rPr>
        <w:t>and</w:t>
      </w:r>
      <w:r w:rsidRPr="00E35979">
        <w:rPr>
          <w:rFonts w:ascii="Century Gothic" w:hAnsi="Century Gothic"/>
        </w:rPr>
        <w:t xml:space="preserve"> differences in taxation treatment based on tenure. Particular taxation policies that favour housing investors include negative gearing and capital gains tax concessions, while stamp duties on residential property transfers may increase re-location costs. The treatment of welfare transfers also significant</w:t>
      </w:r>
      <w:r w:rsidR="006139F3">
        <w:rPr>
          <w:rFonts w:ascii="Century Gothic" w:hAnsi="Century Gothic"/>
        </w:rPr>
        <w:t>ly</w:t>
      </w:r>
      <w:r w:rsidRPr="00E35979">
        <w:rPr>
          <w:rFonts w:ascii="Century Gothic" w:hAnsi="Century Gothic"/>
        </w:rPr>
        <w:t xml:space="preserve"> distorts incentives for housing tenure – such as the excision of the value of owner-occupied housing from means-tested benefits. Finally, the design of public assistance for housing affordability – including direct subsidies to public and community housing, First Homeowner Grants, and Commonwealth Rent Assistance, will have effects on housing affordability and consequent labour mobility.</w:t>
      </w:r>
    </w:p>
    <w:p w:rsidR="00E35979" w:rsidRPr="00E35979" w:rsidRDefault="00E35979" w:rsidP="00E35979">
      <w:pPr>
        <w:rPr>
          <w:rFonts w:ascii="Century Gothic" w:hAnsi="Century Gothic"/>
        </w:rPr>
      </w:pPr>
      <w:r w:rsidRPr="00E35979">
        <w:rPr>
          <w:rFonts w:ascii="Century Gothic" w:hAnsi="Century Gothic"/>
        </w:rPr>
        <w:t>VCOSS believes that more effective expenditure on housing affordability (including tax expenditures, subsidies and means-testing) may yield greater ge</w:t>
      </w:r>
      <w:r w:rsidR="0043733C">
        <w:rPr>
          <w:rFonts w:ascii="Century Gothic" w:hAnsi="Century Gothic"/>
        </w:rPr>
        <w:t>ographic labour mobility.</w:t>
      </w:r>
    </w:p>
    <w:p w:rsidR="00E35979" w:rsidRPr="00E35979" w:rsidRDefault="00E35979" w:rsidP="00E35979">
      <w:pPr>
        <w:pStyle w:val="Heading2ExcludeTOC"/>
      </w:pPr>
      <w:bookmarkStart w:id="16" w:name="_Toc365981990"/>
      <w:r w:rsidRPr="00E35979">
        <w:lastRenderedPageBreak/>
        <w:t>Amenity and access to services</w:t>
      </w:r>
      <w:bookmarkEnd w:id="16"/>
    </w:p>
    <w:p w:rsidR="006139F3" w:rsidRDefault="00E35979" w:rsidP="00E35979">
      <w:pPr>
        <w:rPr>
          <w:rFonts w:ascii="Century Gothic" w:hAnsi="Century Gothic"/>
        </w:rPr>
      </w:pPr>
      <w:r w:rsidRPr="00E35979">
        <w:rPr>
          <w:rFonts w:ascii="Century Gothic" w:hAnsi="Century Gothic"/>
        </w:rPr>
        <w:t xml:space="preserve">Another aspect of the decision about where to live and work is the amenity provided by different locations. This is not only </w:t>
      </w:r>
      <w:r w:rsidR="006139F3">
        <w:rPr>
          <w:rFonts w:ascii="Century Gothic" w:hAnsi="Century Gothic"/>
        </w:rPr>
        <w:t xml:space="preserve">about </w:t>
      </w:r>
      <w:r w:rsidRPr="00E35979">
        <w:rPr>
          <w:rFonts w:ascii="Century Gothic" w:hAnsi="Century Gothic"/>
        </w:rPr>
        <w:t xml:space="preserve">environmental and ‘lifestyle’ considerations – such as ‘country living’ or ‘urban chic’, but includes the basic provision of social services.  If an area is likely to have poorer access to services – such as healthcare, educational institutions, and community services, then this </w:t>
      </w:r>
      <w:r w:rsidR="006139F3">
        <w:rPr>
          <w:rFonts w:ascii="Century Gothic" w:hAnsi="Century Gothic"/>
        </w:rPr>
        <w:t xml:space="preserve">will make it harder </w:t>
      </w:r>
      <w:r w:rsidRPr="00E35979">
        <w:rPr>
          <w:rFonts w:ascii="Century Gothic" w:hAnsi="Century Gothic"/>
        </w:rPr>
        <w:t xml:space="preserve">for people to move </w:t>
      </w:r>
      <w:r w:rsidR="006139F3">
        <w:rPr>
          <w:rFonts w:ascii="Century Gothic" w:hAnsi="Century Gothic"/>
        </w:rPr>
        <w:t>there.</w:t>
      </w:r>
    </w:p>
    <w:p w:rsidR="006139F3" w:rsidRDefault="00E35979" w:rsidP="00E35979">
      <w:pPr>
        <w:rPr>
          <w:rFonts w:ascii="Century Gothic" w:hAnsi="Century Gothic"/>
        </w:rPr>
      </w:pPr>
      <w:r w:rsidRPr="00E35979">
        <w:rPr>
          <w:rFonts w:ascii="Century Gothic" w:hAnsi="Century Gothic"/>
        </w:rPr>
        <w:t xml:space="preserve">Just as importantly, the converse is also true. Areas with poor social infrastructure may </w:t>
      </w:r>
      <w:r w:rsidR="006139F3">
        <w:rPr>
          <w:rFonts w:ascii="Century Gothic" w:hAnsi="Century Gothic"/>
        </w:rPr>
        <w:t xml:space="preserve">be less able to support </w:t>
      </w:r>
      <w:r w:rsidRPr="00E35979">
        <w:rPr>
          <w:rFonts w:ascii="Century Gothic" w:hAnsi="Century Gothic"/>
        </w:rPr>
        <w:t xml:space="preserve">their residents to pursue broader opportunities elsewhere. For instance, if access to education is limited by under-resourced local schools or </w:t>
      </w:r>
      <w:r w:rsidR="006139F3">
        <w:rPr>
          <w:rFonts w:ascii="Century Gothic" w:hAnsi="Century Gothic"/>
        </w:rPr>
        <w:t xml:space="preserve">distant </w:t>
      </w:r>
      <w:r w:rsidRPr="00E35979">
        <w:rPr>
          <w:rFonts w:ascii="Century Gothic" w:hAnsi="Century Gothic"/>
        </w:rPr>
        <w:t>tertiary education</w:t>
      </w:r>
      <w:r w:rsidR="006139F3">
        <w:rPr>
          <w:rFonts w:ascii="Century Gothic" w:hAnsi="Century Gothic"/>
        </w:rPr>
        <w:t xml:space="preserve"> facilities</w:t>
      </w:r>
      <w:r w:rsidRPr="00E35979">
        <w:rPr>
          <w:rFonts w:ascii="Century Gothic" w:hAnsi="Century Gothic"/>
        </w:rPr>
        <w:t>, then local residents will have less chance to gain transferable skills that allow them to be more mobile. Thus, ‘service equity’ is an important element of geographic labour mobility</w:t>
      </w:r>
      <w:r w:rsidR="006139F3">
        <w:rPr>
          <w:rFonts w:ascii="Century Gothic" w:hAnsi="Century Gothic"/>
        </w:rPr>
        <w:t>.</w:t>
      </w:r>
    </w:p>
    <w:p w:rsidR="00E35979" w:rsidRPr="00E35979" w:rsidRDefault="00E35979" w:rsidP="00E35979">
      <w:pPr>
        <w:rPr>
          <w:rFonts w:ascii="Century Gothic" w:hAnsi="Century Gothic"/>
        </w:rPr>
      </w:pPr>
      <w:r w:rsidRPr="00E35979">
        <w:rPr>
          <w:rFonts w:ascii="Century Gothic" w:hAnsi="Century Gothic"/>
        </w:rPr>
        <w:t>VCOSS is particularly concerned about the effects of concentrated social disadvantage – including its geographic labour mobility effects. The phenomenon of communities experiencing entrenched disadvantage includes a confluence of the above factors – low-cost housing combined with poor social services effectively ‘locking-in’ people to a disadvantaged location with large barriers to employment or relocation.</w:t>
      </w:r>
    </w:p>
    <w:p w:rsidR="00E35979" w:rsidRPr="00E35979" w:rsidRDefault="00E35979" w:rsidP="00E35979">
      <w:pPr>
        <w:rPr>
          <w:rFonts w:ascii="Century Gothic" w:hAnsi="Century Gothic"/>
        </w:rPr>
      </w:pPr>
      <w:r w:rsidRPr="00E35979">
        <w:rPr>
          <w:rFonts w:ascii="Century Gothic" w:hAnsi="Century Gothic"/>
        </w:rPr>
        <w:t>A similar problem may be at work in urban growth areas – where low-cost housing is available, but the social infrastructure in these communities often lags by a substantial period. In these areas, rapid development has created ‘instant communities’ that lack employment</w:t>
      </w:r>
      <w:r w:rsidR="006139F3">
        <w:rPr>
          <w:rFonts w:ascii="Century Gothic" w:hAnsi="Century Gothic"/>
        </w:rPr>
        <w:t xml:space="preserve"> and</w:t>
      </w:r>
      <w:r w:rsidRPr="00E35979">
        <w:rPr>
          <w:rFonts w:ascii="Century Gothic" w:hAnsi="Century Gothic"/>
        </w:rPr>
        <w:t xml:space="preserve"> social services</w:t>
      </w:r>
      <w:r w:rsidR="006139F3">
        <w:rPr>
          <w:rFonts w:ascii="Century Gothic" w:hAnsi="Century Gothic"/>
        </w:rPr>
        <w:t>,</w:t>
      </w:r>
      <w:r w:rsidRPr="00E35979">
        <w:rPr>
          <w:rFonts w:ascii="Century Gothic" w:hAnsi="Century Gothic"/>
        </w:rPr>
        <w:t xml:space="preserve"> as well as </w:t>
      </w:r>
      <w:r w:rsidR="0043733C">
        <w:rPr>
          <w:rFonts w:ascii="Century Gothic" w:hAnsi="Century Gothic"/>
        </w:rPr>
        <w:t xml:space="preserve">the </w:t>
      </w:r>
      <w:r w:rsidRPr="00E35979">
        <w:rPr>
          <w:rFonts w:ascii="Century Gothic" w:hAnsi="Century Gothic"/>
        </w:rPr>
        <w:t>capacity to form social connections</w:t>
      </w:r>
      <w:r w:rsidR="006139F3">
        <w:rPr>
          <w:rFonts w:ascii="Century Gothic" w:hAnsi="Century Gothic"/>
        </w:rPr>
        <w:t>. This affects</w:t>
      </w:r>
      <w:r w:rsidR="0043733C">
        <w:rPr>
          <w:rFonts w:ascii="Century Gothic" w:hAnsi="Century Gothic"/>
        </w:rPr>
        <w:t xml:space="preserve"> social </w:t>
      </w:r>
      <w:r w:rsidRPr="00E35979">
        <w:rPr>
          <w:rFonts w:ascii="Century Gothic" w:hAnsi="Century Gothic"/>
        </w:rPr>
        <w:t>cohesion and community capability.</w:t>
      </w:r>
    </w:p>
    <w:p w:rsidR="00E35979" w:rsidRPr="00E35979" w:rsidRDefault="00E35979" w:rsidP="00E35979">
      <w:pPr>
        <w:pStyle w:val="Heading2ExcludeTOC"/>
      </w:pPr>
      <w:bookmarkStart w:id="17" w:name="_Toc365981991"/>
      <w:r w:rsidRPr="00E35979">
        <w:t>Transport and employment access</w:t>
      </w:r>
      <w:bookmarkEnd w:id="17"/>
    </w:p>
    <w:p w:rsidR="00E35979" w:rsidRPr="00E35979" w:rsidRDefault="00E35979" w:rsidP="00E35979">
      <w:pPr>
        <w:rPr>
          <w:rFonts w:ascii="Century Gothic" w:hAnsi="Century Gothic"/>
        </w:rPr>
      </w:pPr>
      <w:r w:rsidRPr="00E35979">
        <w:rPr>
          <w:rFonts w:ascii="Century Gothic" w:hAnsi="Century Gothic"/>
        </w:rPr>
        <w:t xml:space="preserve">Geographic labour mobility can be increased by expanding the geographic area of employment opportunities available from a person’s current residential location, not only by requiring them to relocate their residence. Indeed, in many ways, this form of mobility is preferable, as it has fewer transaction costs, </w:t>
      </w:r>
      <w:r w:rsidR="006139F3">
        <w:rPr>
          <w:rFonts w:ascii="Century Gothic" w:hAnsi="Century Gothic"/>
        </w:rPr>
        <w:t xml:space="preserve">improves employment outcomes and labour market efficiency, </w:t>
      </w:r>
      <w:r w:rsidRPr="00E35979">
        <w:rPr>
          <w:rFonts w:ascii="Century Gothic" w:hAnsi="Century Gothic"/>
        </w:rPr>
        <w:t xml:space="preserve">and </w:t>
      </w:r>
      <w:r w:rsidR="006139F3">
        <w:rPr>
          <w:rFonts w:ascii="Century Gothic" w:hAnsi="Century Gothic"/>
        </w:rPr>
        <w:t>maintains</w:t>
      </w:r>
      <w:r w:rsidRPr="00E35979">
        <w:rPr>
          <w:rFonts w:ascii="Century Gothic" w:hAnsi="Century Gothic"/>
        </w:rPr>
        <w:t xml:space="preserve"> existing social and community benefits</w:t>
      </w:r>
      <w:r w:rsidR="0043733C">
        <w:rPr>
          <w:rFonts w:ascii="Century Gothic" w:hAnsi="Century Gothic"/>
        </w:rPr>
        <w:t>.</w:t>
      </w:r>
    </w:p>
    <w:p w:rsidR="00E35979" w:rsidRPr="00E35979" w:rsidRDefault="00E35979" w:rsidP="00E35979">
      <w:pPr>
        <w:rPr>
          <w:rFonts w:ascii="Century Gothic" w:hAnsi="Century Gothic"/>
        </w:rPr>
      </w:pPr>
      <w:r w:rsidRPr="00E35979">
        <w:rPr>
          <w:rFonts w:ascii="Century Gothic" w:hAnsi="Century Gothic"/>
        </w:rPr>
        <w:t xml:space="preserve">An obvious way to </w:t>
      </w:r>
      <w:r w:rsidR="006139F3">
        <w:rPr>
          <w:rFonts w:ascii="Century Gothic" w:hAnsi="Century Gothic"/>
        </w:rPr>
        <w:t xml:space="preserve">achieve </w:t>
      </w:r>
      <w:r w:rsidRPr="00E35979">
        <w:rPr>
          <w:rFonts w:ascii="Century Gothic" w:hAnsi="Century Gothic"/>
        </w:rPr>
        <w:t xml:space="preserve">this is to </w:t>
      </w:r>
      <w:r w:rsidR="0043733C">
        <w:rPr>
          <w:rFonts w:ascii="Century Gothic" w:hAnsi="Century Gothic"/>
        </w:rPr>
        <w:t>improve transport connections, such as</w:t>
      </w:r>
      <w:r w:rsidRPr="00E35979">
        <w:rPr>
          <w:rFonts w:ascii="Century Gothic" w:hAnsi="Century Gothic"/>
        </w:rPr>
        <w:t xml:space="preserve"> through faster and more frequent public transport</w:t>
      </w:r>
      <w:r w:rsidR="006139F3">
        <w:rPr>
          <w:rFonts w:ascii="Century Gothic" w:hAnsi="Century Gothic"/>
        </w:rPr>
        <w:t>. A</w:t>
      </w:r>
      <w:r w:rsidRPr="00E35979">
        <w:rPr>
          <w:rFonts w:ascii="Century Gothic" w:hAnsi="Century Gothic"/>
        </w:rPr>
        <w:t>dditional road capacity</w:t>
      </w:r>
      <w:r w:rsidR="006139F3">
        <w:rPr>
          <w:rFonts w:ascii="Century Gothic" w:hAnsi="Century Gothic"/>
        </w:rPr>
        <w:t xml:space="preserve"> is also an option, although we </w:t>
      </w:r>
      <w:r w:rsidRPr="00E35979">
        <w:rPr>
          <w:rFonts w:ascii="Century Gothic" w:hAnsi="Century Gothic"/>
        </w:rPr>
        <w:t xml:space="preserve">note that road improvements do little to improve labour mobility of those who cannot drive, or cannot afford to, and </w:t>
      </w:r>
      <w:r w:rsidR="0043733C">
        <w:rPr>
          <w:rFonts w:ascii="Century Gothic" w:hAnsi="Century Gothic"/>
        </w:rPr>
        <w:t>the private costs are likely larger</w:t>
      </w:r>
      <w:r w:rsidR="006139F3">
        <w:rPr>
          <w:rFonts w:ascii="Century Gothic" w:hAnsi="Century Gothic"/>
        </w:rPr>
        <w:t xml:space="preserve"> than</w:t>
      </w:r>
      <w:r w:rsidRPr="00E35979">
        <w:rPr>
          <w:rFonts w:ascii="Century Gothic" w:hAnsi="Century Gothic"/>
        </w:rPr>
        <w:t xml:space="preserve"> </w:t>
      </w:r>
      <w:r w:rsidR="0043733C">
        <w:rPr>
          <w:rFonts w:ascii="Century Gothic" w:hAnsi="Century Gothic"/>
        </w:rPr>
        <w:t xml:space="preserve">for </w:t>
      </w:r>
      <w:r w:rsidRPr="00E35979">
        <w:rPr>
          <w:rFonts w:ascii="Century Gothic" w:hAnsi="Century Gothic"/>
        </w:rPr>
        <w:t>public transport access.</w:t>
      </w:r>
    </w:p>
    <w:p w:rsidR="00E35979" w:rsidRPr="00E35979" w:rsidRDefault="00E35979" w:rsidP="00E35979">
      <w:pPr>
        <w:rPr>
          <w:rFonts w:ascii="Century Gothic" w:hAnsi="Century Gothic"/>
        </w:rPr>
      </w:pPr>
      <w:r w:rsidRPr="00E35979">
        <w:rPr>
          <w:rFonts w:ascii="Century Gothic" w:hAnsi="Century Gothic"/>
        </w:rPr>
        <w:t xml:space="preserve">An interesting case study </w:t>
      </w:r>
      <w:r w:rsidR="006C5916">
        <w:rPr>
          <w:rFonts w:ascii="Century Gothic" w:hAnsi="Century Gothic"/>
        </w:rPr>
        <w:t>is</w:t>
      </w:r>
      <w:r w:rsidRPr="00E35979">
        <w:rPr>
          <w:rFonts w:ascii="Century Gothic" w:hAnsi="Century Gothic"/>
        </w:rPr>
        <w:t xml:space="preserve"> the Regional Fast Rail projects conducted in Victoria in the early- to mid- 2000s. These passenger rail improvements substantially improved travel times </w:t>
      </w:r>
      <w:r w:rsidRPr="00E35979">
        <w:rPr>
          <w:rFonts w:ascii="Century Gothic" w:hAnsi="Century Gothic"/>
        </w:rPr>
        <w:lastRenderedPageBreak/>
        <w:t>from regional cities to Melbourne</w:t>
      </w:r>
      <w:r w:rsidR="007A1B52">
        <w:rPr>
          <w:rFonts w:ascii="Century Gothic" w:hAnsi="Century Gothic"/>
        </w:rPr>
        <w:t xml:space="preserve">; </w:t>
      </w:r>
      <w:r w:rsidRPr="00E35979">
        <w:rPr>
          <w:rFonts w:ascii="Century Gothic" w:hAnsi="Century Gothic"/>
        </w:rPr>
        <w:t xml:space="preserve">while at the same time, rail capacity was increased and prices reduced. The result was </w:t>
      </w:r>
      <w:r w:rsidR="007A1B52">
        <w:rPr>
          <w:rFonts w:ascii="Century Gothic" w:hAnsi="Century Gothic"/>
        </w:rPr>
        <w:t>better</w:t>
      </w:r>
      <w:r w:rsidRPr="00E35979">
        <w:rPr>
          <w:rFonts w:ascii="Century Gothic" w:hAnsi="Century Gothic"/>
        </w:rPr>
        <w:t xml:space="preserve"> access to employment </w:t>
      </w:r>
      <w:r w:rsidR="007A1B52">
        <w:rPr>
          <w:rFonts w:ascii="Century Gothic" w:hAnsi="Century Gothic"/>
        </w:rPr>
        <w:t>in</w:t>
      </w:r>
      <w:r w:rsidRPr="00E35979">
        <w:rPr>
          <w:rFonts w:ascii="Century Gothic" w:hAnsi="Century Gothic"/>
        </w:rPr>
        <w:t xml:space="preserve"> both Melbourne and regional centres, including from the smaller communities in-between.  This has had a substantial effect on regional towns and cities, </w:t>
      </w:r>
      <w:r w:rsidR="0043733C">
        <w:rPr>
          <w:rFonts w:ascii="Century Gothic" w:hAnsi="Century Gothic"/>
        </w:rPr>
        <w:t>reversing</w:t>
      </w:r>
      <w:r w:rsidRPr="00E35979">
        <w:rPr>
          <w:rFonts w:ascii="Century Gothic" w:hAnsi="Century Gothic"/>
        </w:rPr>
        <w:t xml:space="preserve"> population decline, reviv</w:t>
      </w:r>
      <w:r w:rsidR="007A1B52">
        <w:rPr>
          <w:rFonts w:ascii="Century Gothic" w:hAnsi="Century Gothic"/>
        </w:rPr>
        <w:t>ing</w:t>
      </w:r>
      <w:r w:rsidRPr="00E35979">
        <w:rPr>
          <w:rFonts w:ascii="Century Gothic" w:hAnsi="Century Gothic"/>
        </w:rPr>
        <w:t xml:space="preserve"> economic conditions and </w:t>
      </w:r>
      <w:r w:rsidR="007A1B52">
        <w:rPr>
          <w:rFonts w:ascii="Century Gothic" w:hAnsi="Century Gothic"/>
        </w:rPr>
        <w:t>changing</w:t>
      </w:r>
      <w:r w:rsidR="0043733C">
        <w:rPr>
          <w:rFonts w:ascii="Century Gothic" w:hAnsi="Century Gothic"/>
        </w:rPr>
        <w:t xml:space="preserve"> settlement patterns</w:t>
      </w:r>
      <w:r w:rsidRPr="00E35979">
        <w:rPr>
          <w:rFonts w:ascii="Century Gothic" w:hAnsi="Century Gothic"/>
        </w:rPr>
        <w:t>.</w:t>
      </w:r>
    </w:p>
    <w:p w:rsidR="00E35979" w:rsidRPr="00E35979" w:rsidRDefault="00E35979" w:rsidP="00E35979">
      <w:pPr>
        <w:rPr>
          <w:rFonts w:ascii="Century Gothic" w:hAnsi="Century Gothic"/>
        </w:rPr>
      </w:pPr>
      <w:r w:rsidRPr="00E35979">
        <w:rPr>
          <w:rFonts w:ascii="Century Gothic" w:hAnsi="Century Gothic"/>
        </w:rPr>
        <w:t>The flipside, however, of long-distance commuting – whether by public or private transport – is the possib</w:t>
      </w:r>
      <w:r w:rsidR="0043733C">
        <w:rPr>
          <w:rFonts w:ascii="Century Gothic" w:hAnsi="Century Gothic"/>
        </w:rPr>
        <w:t>le creation of ‘bedroom suburbs</w:t>
      </w:r>
      <w:r w:rsidRPr="00E35979">
        <w:rPr>
          <w:rFonts w:ascii="Century Gothic" w:hAnsi="Century Gothic"/>
        </w:rPr>
        <w:t>’</w:t>
      </w:r>
      <w:r w:rsidR="0043733C">
        <w:rPr>
          <w:rFonts w:ascii="Century Gothic" w:hAnsi="Century Gothic"/>
        </w:rPr>
        <w:t>,</w:t>
      </w:r>
      <w:r w:rsidRPr="00E35979">
        <w:rPr>
          <w:rFonts w:ascii="Century Gothic" w:hAnsi="Century Gothic"/>
        </w:rPr>
        <w:t xml:space="preserve"> </w:t>
      </w:r>
      <w:r w:rsidR="007A1B52">
        <w:rPr>
          <w:rFonts w:ascii="Century Gothic" w:hAnsi="Century Gothic"/>
        </w:rPr>
        <w:t>where the vast majority of resid</w:t>
      </w:r>
      <w:r w:rsidR="006C5916">
        <w:rPr>
          <w:rFonts w:ascii="Century Gothic" w:hAnsi="Century Gothic"/>
        </w:rPr>
        <w:t>ents are ‘away’ through the day</w:t>
      </w:r>
      <w:r w:rsidR="007A1B52">
        <w:rPr>
          <w:rFonts w:ascii="Century Gothic" w:hAnsi="Century Gothic"/>
        </w:rPr>
        <w:t xml:space="preserve">, reducing local social interaction and connections. </w:t>
      </w:r>
      <w:r w:rsidRPr="00E35979">
        <w:rPr>
          <w:rFonts w:ascii="Century Gothic" w:hAnsi="Century Gothic"/>
        </w:rPr>
        <w:t xml:space="preserve"> People who engage in long-distance commuting also experience significant time costs as a result – time which may have been spent more usefully engaging in family or social activities.</w:t>
      </w:r>
    </w:p>
    <w:p w:rsidR="00E35979" w:rsidRPr="00E35979" w:rsidRDefault="00E35979" w:rsidP="00E35979">
      <w:pPr>
        <w:rPr>
          <w:rFonts w:ascii="Century Gothic" w:hAnsi="Century Gothic"/>
        </w:rPr>
      </w:pPr>
      <w:r w:rsidRPr="00E35979">
        <w:rPr>
          <w:rFonts w:ascii="Century Gothic" w:hAnsi="Century Gothic"/>
        </w:rPr>
        <w:t>Other means of expanding geographic labour mobility without residential relocation include variations of ‘telecommuting’ or ‘home-based work’, which allow people to work at home or locally, even when their employer is more distant. A related development is also ‘outsourcing’ and ‘sub-contracting’ – where lower cost elements of a business might be purchased by another supplier in a distan</w:t>
      </w:r>
      <w:r w:rsidR="007A1B52">
        <w:rPr>
          <w:rFonts w:ascii="Century Gothic" w:hAnsi="Century Gothic"/>
        </w:rPr>
        <w:t>t</w:t>
      </w:r>
      <w:r w:rsidR="0043733C">
        <w:rPr>
          <w:rFonts w:ascii="Century Gothic" w:hAnsi="Century Gothic"/>
        </w:rPr>
        <w:t xml:space="preserve"> </w:t>
      </w:r>
      <w:r w:rsidRPr="00E35979">
        <w:rPr>
          <w:rFonts w:ascii="Century Gothic" w:hAnsi="Century Gothic"/>
        </w:rPr>
        <w:t>physical location. The impact of changes in technology is uncer</w:t>
      </w:r>
      <w:r w:rsidR="009C48F5">
        <w:rPr>
          <w:rFonts w:ascii="Century Gothic" w:hAnsi="Century Gothic"/>
        </w:rPr>
        <w:t>tain, although it is clear that</w:t>
      </w:r>
      <w:r w:rsidRPr="00E35979">
        <w:rPr>
          <w:rFonts w:ascii="Century Gothic" w:hAnsi="Century Gothic"/>
        </w:rPr>
        <w:t xml:space="preserve"> significant advances in technology </w:t>
      </w:r>
      <w:r w:rsidR="007A1B52">
        <w:rPr>
          <w:rFonts w:ascii="Century Gothic" w:hAnsi="Century Gothic"/>
        </w:rPr>
        <w:t xml:space="preserve">already </w:t>
      </w:r>
      <w:r w:rsidRPr="00E35979">
        <w:rPr>
          <w:rFonts w:ascii="Century Gothic" w:hAnsi="Century Gothic"/>
        </w:rPr>
        <w:t>have made remote work more achievable in some instances. On the other hand, there are a range of occupations and industries where the capacit</w:t>
      </w:r>
      <w:r w:rsidR="009C48F5">
        <w:rPr>
          <w:rFonts w:ascii="Century Gothic" w:hAnsi="Century Gothic"/>
        </w:rPr>
        <w:t xml:space="preserve">y for remote work is limited – </w:t>
      </w:r>
      <w:r w:rsidRPr="00E35979">
        <w:rPr>
          <w:rFonts w:ascii="Century Gothic" w:hAnsi="Century Gothic"/>
        </w:rPr>
        <w:t xml:space="preserve">wait-staff or cleaners </w:t>
      </w:r>
      <w:r w:rsidR="007A1B52">
        <w:rPr>
          <w:rFonts w:ascii="Century Gothic" w:hAnsi="Century Gothic"/>
        </w:rPr>
        <w:t>clearly are not able</w:t>
      </w:r>
      <w:r w:rsidRPr="00E35979">
        <w:rPr>
          <w:rFonts w:ascii="Century Gothic" w:hAnsi="Century Gothic"/>
        </w:rPr>
        <w:t xml:space="preserve"> to telecommute.</w:t>
      </w:r>
    </w:p>
    <w:p w:rsidR="00E35979" w:rsidRPr="00E35979" w:rsidRDefault="00E35979" w:rsidP="00E35979">
      <w:pPr>
        <w:rPr>
          <w:rFonts w:ascii="Century Gothic" w:hAnsi="Century Gothic"/>
        </w:rPr>
      </w:pPr>
      <w:r w:rsidRPr="00E35979">
        <w:rPr>
          <w:rFonts w:ascii="Century Gothic" w:hAnsi="Century Gothic"/>
        </w:rPr>
        <w:t>VCOSS also notes that</w:t>
      </w:r>
      <w:r w:rsidR="007A1B52">
        <w:rPr>
          <w:rFonts w:ascii="Century Gothic" w:hAnsi="Century Gothic"/>
        </w:rPr>
        <w:t xml:space="preserve"> a number of policy areas impact on these factors, including the priorities of transport and communications spending: for instance, </w:t>
      </w:r>
      <w:r w:rsidR="007A1B52" w:rsidRPr="00E35979">
        <w:rPr>
          <w:rFonts w:ascii="Century Gothic" w:hAnsi="Century Gothic"/>
        </w:rPr>
        <w:t>whether public or private transport is prioritised or whether internet investments are likely to provide low-cost access for disadvantaged groups.</w:t>
      </w:r>
      <w:r w:rsidR="007A1B52">
        <w:rPr>
          <w:rFonts w:ascii="Century Gothic" w:hAnsi="Century Gothic"/>
        </w:rPr>
        <w:t xml:space="preserve"> T</w:t>
      </w:r>
      <w:r w:rsidRPr="00E35979">
        <w:rPr>
          <w:rFonts w:ascii="Century Gothic" w:hAnsi="Century Gothic"/>
        </w:rPr>
        <w:t>axation policy may also impact upon transport access, for instance, whether taxation policies favour employer-provided vehicles over public transport alternatives.</w:t>
      </w:r>
    </w:p>
    <w:p w:rsidR="00E35979" w:rsidRPr="00E35979" w:rsidRDefault="00E35979" w:rsidP="00E35979">
      <w:pPr>
        <w:pStyle w:val="Heading2ExcludeTOC"/>
      </w:pPr>
      <w:bookmarkStart w:id="18" w:name="_Toc365981992"/>
      <w:r w:rsidRPr="00E35979">
        <w:t>Social and familial factors</w:t>
      </w:r>
      <w:bookmarkEnd w:id="18"/>
    </w:p>
    <w:p w:rsidR="00E35979" w:rsidRPr="00E35979" w:rsidRDefault="00E35979" w:rsidP="00E35979">
      <w:pPr>
        <w:rPr>
          <w:rFonts w:ascii="Century Gothic" w:hAnsi="Century Gothic"/>
        </w:rPr>
      </w:pPr>
      <w:r w:rsidRPr="00E35979">
        <w:rPr>
          <w:rFonts w:ascii="Century Gothic" w:hAnsi="Century Gothic"/>
        </w:rPr>
        <w:t xml:space="preserve">The decision to </w:t>
      </w:r>
      <w:r w:rsidR="007A1B52">
        <w:rPr>
          <w:rFonts w:ascii="Century Gothic" w:hAnsi="Century Gothic"/>
        </w:rPr>
        <w:t>move house or change jobs</w:t>
      </w:r>
      <w:r w:rsidRPr="00E35979">
        <w:rPr>
          <w:rFonts w:ascii="Century Gothic" w:hAnsi="Century Gothic"/>
        </w:rPr>
        <w:t xml:space="preserve"> incorporates a range of decisions, well beyond economic considerations alone. Many of these will be social and family factors, including issues such as:</w:t>
      </w:r>
    </w:p>
    <w:p w:rsidR="00E35979" w:rsidRPr="00E35979" w:rsidRDefault="009C48F5" w:rsidP="00E35979">
      <w:pPr>
        <w:numPr>
          <w:ilvl w:val="0"/>
          <w:numId w:val="53"/>
        </w:numPr>
        <w:rPr>
          <w:rFonts w:ascii="Century Gothic" w:hAnsi="Century Gothic"/>
        </w:rPr>
      </w:pPr>
      <w:r>
        <w:rPr>
          <w:rFonts w:ascii="Century Gothic" w:hAnsi="Century Gothic"/>
        </w:rPr>
        <w:t>t</w:t>
      </w:r>
      <w:r w:rsidR="00E35979" w:rsidRPr="00E35979">
        <w:rPr>
          <w:rFonts w:ascii="Century Gothic" w:hAnsi="Century Gothic"/>
        </w:rPr>
        <w:t>he strength of personal relationships</w:t>
      </w:r>
      <w:r>
        <w:rPr>
          <w:rFonts w:ascii="Century Gothic" w:hAnsi="Century Gothic"/>
        </w:rPr>
        <w:t>;</w:t>
      </w:r>
    </w:p>
    <w:p w:rsidR="00E35979" w:rsidRPr="00E35979" w:rsidRDefault="007A1B52" w:rsidP="00E35979">
      <w:pPr>
        <w:numPr>
          <w:ilvl w:val="0"/>
          <w:numId w:val="53"/>
        </w:numPr>
        <w:rPr>
          <w:rFonts w:ascii="Century Gothic" w:hAnsi="Century Gothic"/>
        </w:rPr>
      </w:pPr>
      <w:r>
        <w:rPr>
          <w:rFonts w:ascii="Century Gothic" w:hAnsi="Century Gothic"/>
        </w:rPr>
        <w:t>t</w:t>
      </w:r>
      <w:r w:rsidR="00E35979" w:rsidRPr="00E35979">
        <w:rPr>
          <w:rFonts w:ascii="Century Gothic" w:hAnsi="Century Gothic"/>
        </w:rPr>
        <w:t>he capacity for finding work for both members of a couple</w:t>
      </w:r>
      <w:r w:rsidR="009C48F5">
        <w:rPr>
          <w:rFonts w:ascii="Century Gothic" w:hAnsi="Century Gothic"/>
        </w:rPr>
        <w:t>;</w:t>
      </w:r>
    </w:p>
    <w:p w:rsidR="00E35979" w:rsidRPr="00E35979" w:rsidRDefault="007A1B52" w:rsidP="00E35979">
      <w:pPr>
        <w:numPr>
          <w:ilvl w:val="0"/>
          <w:numId w:val="53"/>
        </w:numPr>
        <w:rPr>
          <w:rFonts w:ascii="Century Gothic" w:hAnsi="Century Gothic"/>
        </w:rPr>
      </w:pPr>
      <w:r>
        <w:rPr>
          <w:rFonts w:ascii="Century Gothic" w:hAnsi="Century Gothic"/>
        </w:rPr>
        <w:t>t</w:t>
      </w:r>
      <w:r w:rsidR="00E35979" w:rsidRPr="00E35979">
        <w:rPr>
          <w:rFonts w:ascii="Century Gothic" w:hAnsi="Century Gothic"/>
        </w:rPr>
        <w:t>he well-being and needs of children, particularly regarding continuity in education and care</w:t>
      </w:r>
      <w:r w:rsidR="009C48F5">
        <w:rPr>
          <w:rFonts w:ascii="Century Gothic" w:hAnsi="Century Gothic"/>
        </w:rPr>
        <w:t>;</w:t>
      </w:r>
    </w:p>
    <w:p w:rsidR="009C48F5" w:rsidRPr="009C48F5" w:rsidRDefault="007A1B52" w:rsidP="009C48F5">
      <w:pPr>
        <w:numPr>
          <w:ilvl w:val="0"/>
          <w:numId w:val="53"/>
        </w:numPr>
        <w:rPr>
          <w:rFonts w:ascii="Century Gothic" w:hAnsi="Century Gothic"/>
        </w:rPr>
      </w:pPr>
      <w:r>
        <w:rPr>
          <w:rFonts w:ascii="Century Gothic" w:hAnsi="Century Gothic"/>
        </w:rPr>
        <w:t>t</w:t>
      </w:r>
      <w:r w:rsidR="00E35979" w:rsidRPr="00E35979">
        <w:rPr>
          <w:rFonts w:ascii="Century Gothic" w:hAnsi="Century Gothic"/>
        </w:rPr>
        <w:t xml:space="preserve">he loss of social connections and extended family support, and the capability to </w:t>
      </w:r>
      <w:r w:rsidR="00E35979" w:rsidRPr="00E35979">
        <w:rPr>
          <w:rFonts w:ascii="Century Gothic" w:hAnsi="Century Gothic"/>
        </w:rPr>
        <w:lastRenderedPageBreak/>
        <w:t>form new connections</w:t>
      </w:r>
      <w:r w:rsidR="009C48F5">
        <w:rPr>
          <w:rFonts w:ascii="Century Gothic" w:hAnsi="Century Gothic"/>
        </w:rPr>
        <w:t>; and</w:t>
      </w:r>
    </w:p>
    <w:p w:rsidR="00E35979" w:rsidRPr="00E35979" w:rsidRDefault="007A1B52" w:rsidP="00E35979">
      <w:pPr>
        <w:numPr>
          <w:ilvl w:val="0"/>
          <w:numId w:val="53"/>
        </w:numPr>
        <w:rPr>
          <w:rFonts w:ascii="Century Gothic" w:hAnsi="Century Gothic"/>
        </w:rPr>
      </w:pPr>
      <w:r>
        <w:rPr>
          <w:rFonts w:ascii="Century Gothic" w:hAnsi="Century Gothic"/>
        </w:rPr>
        <w:t>p</w:t>
      </w:r>
      <w:r w:rsidR="00E35979" w:rsidRPr="00E35979">
        <w:rPr>
          <w:rFonts w:ascii="Century Gothic" w:hAnsi="Century Gothic"/>
        </w:rPr>
        <w:t>eople’s caring responsibilities, for instance, of elderly relatives or people with disabilities</w:t>
      </w:r>
      <w:r>
        <w:rPr>
          <w:rFonts w:ascii="Century Gothic" w:hAnsi="Century Gothic"/>
        </w:rPr>
        <w:t>.</w:t>
      </w:r>
    </w:p>
    <w:p w:rsidR="00E35979" w:rsidRPr="00E35979" w:rsidRDefault="007A1B52" w:rsidP="00E35979">
      <w:pPr>
        <w:rPr>
          <w:rFonts w:ascii="Century Gothic" w:hAnsi="Century Gothic"/>
        </w:rPr>
      </w:pPr>
      <w:r>
        <w:rPr>
          <w:rFonts w:ascii="Century Gothic" w:hAnsi="Century Gothic"/>
        </w:rPr>
        <w:t xml:space="preserve">Public policy may struggle to influence all of </w:t>
      </w:r>
      <w:r w:rsidR="0060118E">
        <w:rPr>
          <w:rFonts w:ascii="Century Gothic" w:hAnsi="Century Gothic"/>
        </w:rPr>
        <w:t>these;</w:t>
      </w:r>
      <w:r>
        <w:rPr>
          <w:rFonts w:ascii="Century Gothic" w:hAnsi="Century Gothic"/>
        </w:rPr>
        <w:t xml:space="preserve"> </w:t>
      </w:r>
      <w:r w:rsidR="006544B4">
        <w:rPr>
          <w:rFonts w:ascii="Century Gothic" w:hAnsi="Century Gothic"/>
        </w:rPr>
        <w:t xml:space="preserve">however </w:t>
      </w:r>
      <w:r w:rsidR="006544B4" w:rsidRPr="00E35979">
        <w:rPr>
          <w:rFonts w:ascii="Century Gothic" w:hAnsi="Century Gothic"/>
        </w:rPr>
        <w:t>the</w:t>
      </w:r>
      <w:r w:rsidR="00E35979" w:rsidRPr="00E35979">
        <w:rPr>
          <w:rFonts w:ascii="Century Gothic" w:hAnsi="Century Gothic"/>
        </w:rPr>
        <w:t xml:space="preserve"> availability of social entitlements </w:t>
      </w:r>
      <w:r>
        <w:rPr>
          <w:rFonts w:ascii="Century Gothic" w:hAnsi="Century Gothic"/>
        </w:rPr>
        <w:t xml:space="preserve">also </w:t>
      </w:r>
      <w:r w:rsidR="00E35979" w:rsidRPr="00E35979">
        <w:rPr>
          <w:rFonts w:ascii="Century Gothic" w:hAnsi="Century Gothic"/>
        </w:rPr>
        <w:t xml:space="preserve">is an important consideration. For instance, the introduction of DisabilityCare Australia may allow people with disabilities more capacity to move than previously, as </w:t>
      </w:r>
      <w:r>
        <w:rPr>
          <w:rFonts w:ascii="Century Gothic" w:hAnsi="Century Gothic"/>
        </w:rPr>
        <w:t xml:space="preserve">entitlements are portable under </w:t>
      </w:r>
      <w:r w:rsidR="00E35979" w:rsidRPr="00E35979">
        <w:rPr>
          <w:rFonts w:ascii="Century Gothic" w:hAnsi="Century Gothic"/>
        </w:rPr>
        <w:t xml:space="preserve">this individualised funding </w:t>
      </w:r>
      <w:r w:rsidR="006544B4" w:rsidRPr="00E35979">
        <w:rPr>
          <w:rFonts w:ascii="Century Gothic" w:hAnsi="Century Gothic"/>
        </w:rPr>
        <w:t>model and</w:t>
      </w:r>
      <w:r w:rsidR="00E35979" w:rsidRPr="00E35979">
        <w:rPr>
          <w:rFonts w:ascii="Century Gothic" w:hAnsi="Century Gothic"/>
        </w:rPr>
        <w:t xml:space="preserve"> </w:t>
      </w:r>
      <w:r>
        <w:rPr>
          <w:rFonts w:ascii="Century Gothic" w:hAnsi="Century Gothic"/>
        </w:rPr>
        <w:t>are</w:t>
      </w:r>
      <w:r w:rsidR="00E35979" w:rsidRPr="00E35979">
        <w:rPr>
          <w:rFonts w:ascii="Century Gothic" w:hAnsi="Century Gothic"/>
        </w:rPr>
        <w:t xml:space="preserve"> not attached to an organisation in a particular location. </w:t>
      </w:r>
      <w:r>
        <w:rPr>
          <w:rFonts w:ascii="Century Gothic" w:hAnsi="Century Gothic"/>
        </w:rPr>
        <w:t xml:space="preserve">Government may need </w:t>
      </w:r>
      <w:r w:rsidR="006544B4">
        <w:rPr>
          <w:rFonts w:ascii="Century Gothic" w:hAnsi="Century Gothic"/>
        </w:rPr>
        <w:t xml:space="preserve">to </w:t>
      </w:r>
      <w:r w:rsidR="0060118E" w:rsidRPr="00E35979">
        <w:rPr>
          <w:rFonts w:ascii="Century Gothic" w:hAnsi="Century Gothic"/>
        </w:rPr>
        <w:t>consider the</w:t>
      </w:r>
      <w:r w:rsidR="00E35979" w:rsidRPr="00E35979">
        <w:rPr>
          <w:rFonts w:ascii="Century Gothic" w:hAnsi="Century Gothic"/>
        </w:rPr>
        <w:t xml:space="preserve"> transferability of other forms of social care, such as child</w:t>
      </w:r>
      <w:r>
        <w:rPr>
          <w:rFonts w:ascii="Century Gothic" w:hAnsi="Century Gothic"/>
        </w:rPr>
        <w:t xml:space="preserve"> </w:t>
      </w:r>
      <w:r w:rsidR="00E35979" w:rsidRPr="00E35979">
        <w:rPr>
          <w:rFonts w:ascii="Century Gothic" w:hAnsi="Century Gothic"/>
        </w:rPr>
        <w:t>care and aged care, and their capacity to act as impediments or enablers to labour mobility.</w:t>
      </w:r>
    </w:p>
    <w:p w:rsidR="00A93DB7" w:rsidRPr="006605AE" w:rsidRDefault="00A93DB7" w:rsidP="00A93DB7">
      <w:pPr>
        <w:rPr>
          <w:rFonts w:ascii="Century Gothic" w:eastAsia="SimSun" w:hAnsi="Century Gothic"/>
          <w:spacing w:val="-10"/>
          <w:sz w:val="48"/>
          <w:szCs w:val="36"/>
        </w:rPr>
      </w:pPr>
    </w:p>
    <w:sectPr w:rsidR="00A93DB7" w:rsidRPr="006605AE" w:rsidSect="009C48F5">
      <w:footerReference w:type="even" r:id="rId10"/>
      <w:footerReference w:type="default" r:id="rId11"/>
      <w:headerReference w:type="first" r:id="rId12"/>
      <w:footerReference w:type="first" r:id="rId13"/>
      <w:endnotePr>
        <w:numFmt w:val="decimal"/>
      </w:endnotePr>
      <w:pgSz w:w="11906" w:h="16838" w:code="9"/>
      <w:pgMar w:top="1418" w:right="1134" w:bottom="1418" w:left="1134" w:header="709" w:footer="54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2D4" w:rsidRDefault="00C612D4" w:rsidP="00CF0B1F">
      <w:r>
        <w:separator/>
      </w:r>
    </w:p>
    <w:p w:rsidR="00C612D4" w:rsidRDefault="00C612D4"/>
  </w:endnote>
  <w:endnote w:type="continuationSeparator" w:id="0">
    <w:p w:rsidR="00C612D4" w:rsidRDefault="00C612D4" w:rsidP="00CF0B1F">
      <w:r>
        <w:continuationSeparator/>
      </w:r>
    </w:p>
    <w:p w:rsidR="00C612D4" w:rsidRDefault="00C61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Helvetica Neue Light">
    <w:altName w:val="Malgun Gothic"/>
    <w:charset w:val="00"/>
    <w:family w:val="auto"/>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2D4" w:rsidRDefault="00C612D4" w:rsidP="00CF0B1F">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C612D4" w:rsidRDefault="00C612D4" w:rsidP="00CF0B1F">
    <w:pPr>
      <w:ind w:right="360" w:firstLine="360"/>
    </w:pPr>
  </w:p>
  <w:p w:rsidR="00C612D4" w:rsidRDefault="00C612D4" w:rsidP="00CF0B1F"/>
  <w:p w:rsidR="00C612D4" w:rsidRDefault="00C612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2D4" w:rsidRDefault="00C612D4" w:rsidP="00CF0B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11CC">
      <w:rPr>
        <w:rStyle w:val="PageNumber"/>
        <w:noProof/>
      </w:rPr>
      <w:t>2</w:t>
    </w:r>
    <w:r>
      <w:rPr>
        <w:rStyle w:val="PageNumber"/>
      </w:rPr>
      <w:fldChar w:fldCharType="end"/>
    </w:r>
  </w:p>
  <w:p w:rsidR="00C612D4" w:rsidRPr="006605AE" w:rsidRDefault="00C612D4" w:rsidP="00CF0B1F">
    <w:pPr>
      <w:pStyle w:val="Footer"/>
      <w:tabs>
        <w:tab w:val="left" w:pos="1276"/>
      </w:tabs>
      <w:ind w:right="360" w:firstLine="360"/>
      <w:rPr>
        <w:rFonts w:ascii="Century Gothic" w:hAnsi="Century Gothic"/>
        <w:sz w:val="20"/>
        <w:szCs w:val="20"/>
      </w:rPr>
    </w:pPr>
    <w:r w:rsidRPr="006240CF">
      <w:rPr>
        <w:noProof/>
        <w:lang w:eastAsia="en-AU"/>
      </w:rPr>
      <w:drawing>
        <wp:anchor distT="0" distB="0" distL="114300" distR="114300" simplePos="0" relativeHeight="251663360" behindDoc="0" locked="0" layoutInCell="1" allowOverlap="1" wp14:anchorId="53239066" wp14:editId="166781A8">
          <wp:simplePos x="0" y="0"/>
          <wp:positionH relativeFrom="column">
            <wp:posOffset>3810</wp:posOffset>
          </wp:positionH>
          <wp:positionV relativeFrom="page">
            <wp:posOffset>9790430</wp:posOffset>
          </wp:positionV>
          <wp:extent cx="359410" cy="481330"/>
          <wp:effectExtent l="25400" t="0" r="0" b="0"/>
          <wp:wrapSquare wrapText="bothSides"/>
          <wp:docPr id="3"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srcRect/>
                  <a:stretch>
                    <a:fillRect/>
                  </a:stretch>
                </pic:blipFill>
                <pic:spPr bwMode="auto">
                  <a:xfrm>
                    <a:off x="0" y="0"/>
                    <a:ext cx="359410" cy="481330"/>
                  </a:xfrm>
                  <a:prstGeom prst="rect">
                    <a:avLst/>
                  </a:prstGeom>
                  <a:noFill/>
                  <a:ln w="9525">
                    <a:noFill/>
                    <a:miter lim="800000"/>
                    <a:headEnd/>
                    <a:tailEnd/>
                  </a:ln>
                </pic:spPr>
              </pic:pic>
            </a:graphicData>
          </a:graphic>
        </wp:anchor>
      </w:drawing>
    </w:r>
    <w:r w:rsidRPr="006605AE">
      <w:rPr>
        <w:rFonts w:ascii="Century Gothic" w:hAnsi="Century Gothic"/>
        <w:sz w:val="20"/>
        <w:szCs w:val="20"/>
      </w:rPr>
      <w:tab/>
    </w:r>
    <w:r>
      <w:rPr>
        <w:rFonts w:ascii="Century Gothic" w:hAnsi="Century Gothic"/>
        <w:sz w:val="20"/>
        <w:szCs w:val="20"/>
      </w:rPr>
      <w:t>Geographic Labour Mobility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2D4" w:rsidRDefault="00C612D4" w:rsidP="00CF0B1F">
    <w:pPr>
      <w:pStyle w:val="Footer"/>
      <w:tabs>
        <w:tab w:val="clear" w:pos="4320"/>
        <w:tab w:val="clear" w:pos="8640"/>
        <w:tab w:val="left" w:pos="3260"/>
      </w:tabs>
    </w:pPr>
    <w:r w:rsidRPr="00AD50D3">
      <w:rPr>
        <w:noProof/>
        <w:lang w:eastAsia="en-AU"/>
      </w:rPr>
      <w:drawing>
        <wp:anchor distT="0" distB="0" distL="114300" distR="114300" simplePos="0" relativeHeight="251661312" behindDoc="0" locked="0" layoutInCell="1" allowOverlap="1" wp14:anchorId="106E1A05" wp14:editId="6AE8FA58">
          <wp:simplePos x="0" y="0"/>
          <wp:positionH relativeFrom="column">
            <wp:posOffset>4994910</wp:posOffset>
          </wp:positionH>
          <wp:positionV relativeFrom="page">
            <wp:posOffset>8686800</wp:posOffset>
          </wp:positionV>
          <wp:extent cx="1092200" cy="1460500"/>
          <wp:effectExtent l="25400" t="0" r="0" b="0"/>
          <wp:wrapSquare wrapText="bothSides"/>
          <wp:docPr id="2"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srcRect/>
                  <a:stretch>
                    <a:fillRect/>
                  </a:stretch>
                </pic:blipFill>
                <pic:spPr bwMode="auto">
                  <a:xfrm>
                    <a:off x="0" y="0"/>
                    <a:ext cx="1092200" cy="14605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2D4" w:rsidRPr="00890C0B" w:rsidRDefault="00C612D4" w:rsidP="00CF0B1F">
      <w:pPr>
        <w:pStyle w:val="Normaltextnospaceafter"/>
      </w:pPr>
      <w:r w:rsidRPr="00890C0B">
        <w:separator/>
      </w:r>
    </w:p>
  </w:footnote>
  <w:footnote w:type="continuationSeparator" w:id="0">
    <w:p w:rsidR="00C612D4" w:rsidRDefault="00C612D4" w:rsidP="00CF0B1F">
      <w:r>
        <w:continuationSeparator/>
      </w:r>
    </w:p>
    <w:p w:rsidR="00C612D4" w:rsidRDefault="00C612D4"/>
  </w:footnote>
  <w:footnote w:id="1">
    <w:p w:rsidR="00C612D4" w:rsidRDefault="00C612D4" w:rsidP="00E35979">
      <w:pPr>
        <w:pStyle w:val="FootnoteText"/>
      </w:pPr>
      <w:r>
        <w:rPr>
          <w:rStyle w:val="FootnoteReference"/>
        </w:rPr>
        <w:footnoteRef/>
      </w:r>
      <w:r>
        <w:t xml:space="preserve"> Issues paper, p.9, Box 4</w:t>
      </w:r>
    </w:p>
  </w:footnote>
  <w:footnote w:id="2">
    <w:p w:rsidR="00C612D4" w:rsidRDefault="00C612D4" w:rsidP="00E35979">
      <w:pPr>
        <w:pStyle w:val="FootnoteText"/>
      </w:pPr>
      <w:r>
        <w:rPr>
          <w:rStyle w:val="FootnoteReference"/>
        </w:rPr>
        <w:footnoteRef/>
      </w:r>
      <w:r>
        <w:t xml:space="preserve"> Department of Infrastructure and Transport, </w:t>
      </w:r>
      <w:r w:rsidRPr="00B24F61">
        <w:rPr>
          <w:i/>
        </w:rPr>
        <w:t>State of Australian Cities 2013</w:t>
      </w:r>
      <w:r>
        <w:t>, p.84</w:t>
      </w:r>
    </w:p>
  </w:footnote>
  <w:footnote w:id="3">
    <w:p w:rsidR="00C612D4" w:rsidRDefault="00C612D4" w:rsidP="00E35979">
      <w:pPr>
        <w:pStyle w:val="FootnoteText"/>
      </w:pPr>
      <w:r>
        <w:rPr>
          <w:rStyle w:val="FootnoteReference"/>
        </w:rPr>
        <w:footnoteRef/>
      </w:r>
      <w:r>
        <w:t xml:space="preserve"> Ibid, p.270</w:t>
      </w:r>
    </w:p>
  </w:footnote>
  <w:footnote w:id="4">
    <w:p w:rsidR="00C612D4" w:rsidRDefault="00C612D4" w:rsidP="00E35979">
      <w:pPr>
        <w:pStyle w:val="FootnoteText"/>
      </w:pPr>
      <w:r>
        <w:rPr>
          <w:rStyle w:val="FootnoteReference"/>
        </w:rPr>
        <w:footnoteRef/>
      </w:r>
      <w:r>
        <w:t xml:space="preserve"> Australians for Affordable Housing, </w:t>
      </w:r>
      <w:r w:rsidRPr="00312DAC">
        <w:rPr>
          <w:i/>
        </w:rPr>
        <w:t>Opening Doors to Employment: Is housing affordability hindering jobseekers?</w:t>
      </w:r>
      <w:r>
        <w:t>, 2013</w:t>
      </w:r>
    </w:p>
  </w:footnote>
  <w:footnote w:id="5">
    <w:p w:rsidR="00C612D4" w:rsidRDefault="00C612D4" w:rsidP="00E35979">
      <w:pPr>
        <w:pStyle w:val="FootnoteText"/>
      </w:pPr>
      <w:r>
        <w:rPr>
          <w:rStyle w:val="FootnoteReference"/>
        </w:rPr>
        <w:footnoteRef/>
      </w:r>
      <w:r>
        <w:t xml:space="preserve"> Department of Infrastructure and Transport, </w:t>
      </w:r>
      <w:r w:rsidRPr="00B24F61">
        <w:rPr>
          <w:i/>
        </w:rPr>
        <w:t>State of Australian Cities 2013</w:t>
      </w:r>
      <w:r>
        <w:t>, p.89</w:t>
      </w:r>
    </w:p>
  </w:footnote>
  <w:footnote w:id="6">
    <w:p w:rsidR="00C612D4" w:rsidRDefault="00C612D4" w:rsidP="00E35979">
      <w:pPr>
        <w:pStyle w:val="FootnoteText"/>
      </w:pPr>
      <w:r>
        <w:rPr>
          <w:rStyle w:val="FootnoteReference"/>
        </w:rPr>
        <w:footnoteRef/>
      </w:r>
      <w:r>
        <w:t xml:space="preserve"> Department of Education, Employment and Workplace Relations, </w:t>
      </w:r>
      <w:r w:rsidRPr="003B250C">
        <w:rPr>
          <w:i/>
        </w:rPr>
        <w:t>Move 2 Work Job Seeker Fact Sheet</w:t>
      </w:r>
      <w:r>
        <w:t xml:space="preserve"> </w:t>
      </w:r>
      <w:hyperlink r:id="rId1" w:history="1">
        <w:r w:rsidRPr="009558F1">
          <w:rPr>
            <w:rStyle w:val="Hyperlink"/>
          </w:rPr>
          <w:t>http://foi.deewr.gov.au/node/32657</w:t>
        </w:r>
      </w:hyperlink>
      <w:r>
        <w:t xml:space="preserve">, accessed 3 September 2013 </w:t>
      </w:r>
    </w:p>
  </w:footnote>
  <w:footnote w:id="7">
    <w:p w:rsidR="00C612D4" w:rsidRDefault="00C612D4" w:rsidP="00E35979">
      <w:pPr>
        <w:pStyle w:val="FootnoteText"/>
      </w:pPr>
      <w:r>
        <w:rPr>
          <w:rStyle w:val="FootnoteReference"/>
        </w:rPr>
        <w:footnoteRef/>
      </w:r>
      <w:r>
        <w:t xml:space="preserve"> Stone, W</w:t>
      </w:r>
      <w:r w:rsidRPr="008118EB">
        <w:t xml:space="preserve">, Burke, </w:t>
      </w:r>
      <w:r>
        <w:t>T, Hulse, K and Ralston, L,</w:t>
      </w:r>
      <w:r w:rsidRPr="008118EB">
        <w:t xml:space="preserve"> </w:t>
      </w:r>
      <w:r w:rsidRPr="008118EB">
        <w:rPr>
          <w:i/>
        </w:rPr>
        <w:t>Long-term private rental in a changing Australian private rental sector, AHURI Final Report No.209</w:t>
      </w:r>
      <w:r>
        <w:t>,</w:t>
      </w:r>
      <w:r w:rsidRPr="008118EB">
        <w:t xml:space="preserve"> Melbourne: Australian Housi</w:t>
      </w:r>
      <w:r>
        <w:t>ng and Urban Research Institute, 2013, p.20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2D4" w:rsidRDefault="00C612D4">
    <w:pPr>
      <w:pStyle w:val="Header"/>
    </w:pPr>
    <w:r>
      <w:rPr>
        <w:noProof/>
        <w:lang w:eastAsia="en-AU"/>
      </w:rPr>
      <mc:AlternateContent>
        <mc:Choice Requires="wps">
          <w:drawing>
            <wp:anchor distT="0" distB="0" distL="114300" distR="114300" simplePos="0" relativeHeight="251664384" behindDoc="0" locked="0" layoutInCell="1" allowOverlap="1" wp14:anchorId="1BE5D363" wp14:editId="5AEB5022">
              <wp:simplePos x="0" y="0"/>
              <wp:positionH relativeFrom="column">
                <wp:posOffset>-758825</wp:posOffset>
              </wp:positionH>
              <wp:positionV relativeFrom="paragraph">
                <wp:posOffset>-454660</wp:posOffset>
              </wp:positionV>
              <wp:extent cx="7604125" cy="10734675"/>
              <wp:effectExtent l="0" t="0" r="0" b="476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4125" cy="10734675"/>
                      </a:xfrm>
                      <a:prstGeom prst="rect">
                        <a:avLst/>
                      </a:prstGeom>
                      <a:gradFill rotWithShape="0">
                        <a:gsLst>
                          <a:gs pos="0">
                            <a:srgbClr val="BACFF6"/>
                          </a:gs>
                          <a:gs pos="50000">
                            <a:srgbClr val="CFDDF6"/>
                          </a:gs>
                          <a:gs pos="100000">
                            <a:srgbClr val="BACFF6"/>
                          </a:gs>
                        </a:gsLst>
                        <a:lin ang="5400000" scaled="1"/>
                      </a:gra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9.75pt;margin-top:-35.8pt;width:598.75pt;height:84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" fillcolor="#bacff6" stroked="f" strokecolor="#4a7ebb" strokeweight="1.5pt">
              <v:fill color2="#cfddf6" focus="50%" type="gradient"/>
              <v:shadow on="t" opacity="22938f" offset="0"/>
              <v:textbox inset=",7.2pt,,7.2p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8EF64"/>
    <w:lvl w:ilvl="0">
      <w:start w:val="1"/>
      <w:numFmt w:val="decimal"/>
      <w:lvlText w:val="%1."/>
      <w:lvlJc w:val="left"/>
      <w:pPr>
        <w:tabs>
          <w:tab w:val="num" w:pos="1492"/>
        </w:tabs>
        <w:ind w:left="1492" w:hanging="360"/>
      </w:pPr>
    </w:lvl>
  </w:abstractNum>
  <w:abstractNum w:abstractNumId="1">
    <w:nsid w:val="FFFFFF7D"/>
    <w:multiLevelType w:val="singleLevel"/>
    <w:tmpl w:val="15EA0986"/>
    <w:lvl w:ilvl="0">
      <w:start w:val="1"/>
      <w:numFmt w:val="decimal"/>
      <w:lvlText w:val="%1."/>
      <w:lvlJc w:val="left"/>
      <w:pPr>
        <w:tabs>
          <w:tab w:val="num" w:pos="1209"/>
        </w:tabs>
        <w:ind w:left="1209" w:hanging="360"/>
      </w:pPr>
    </w:lvl>
  </w:abstractNum>
  <w:abstractNum w:abstractNumId="2">
    <w:nsid w:val="FFFFFF7E"/>
    <w:multiLevelType w:val="singleLevel"/>
    <w:tmpl w:val="6588963C"/>
    <w:lvl w:ilvl="0">
      <w:start w:val="1"/>
      <w:numFmt w:val="decimal"/>
      <w:lvlText w:val="%1."/>
      <w:lvlJc w:val="left"/>
      <w:pPr>
        <w:tabs>
          <w:tab w:val="num" w:pos="926"/>
        </w:tabs>
        <w:ind w:left="926" w:hanging="360"/>
      </w:pPr>
    </w:lvl>
  </w:abstractNum>
  <w:abstractNum w:abstractNumId="3">
    <w:nsid w:val="FFFFFF7F"/>
    <w:multiLevelType w:val="singleLevel"/>
    <w:tmpl w:val="6158E832"/>
    <w:lvl w:ilvl="0">
      <w:start w:val="1"/>
      <w:numFmt w:val="decimal"/>
      <w:lvlText w:val="%1."/>
      <w:lvlJc w:val="left"/>
      <w:pPr>
        <w:tabs>
          <w:tab w:val="num" w:pos="643"/>
        </w:tabs>
        <w:ind w:left="643" w:hanging="360"/>
      </w:pPr>
    </w:lvl>
  </w:abstractNum>
  <w:abstractNum w:abstractNumId="4">
    <w:nsid w:val="FFFFFF80"/>
    <w:multiLevelType w:val="singleLevel"/>
    <w:tmpl w:val="CB5AF6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F4CA3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54C43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0E2AA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F0BC96"/>
    <w:lvl w:ilvl="0">
      <w:start w:val="1"/>
      <w:numFmt w:val="decimal"/>
      <w:lvlText w:val="%1."/>
      <w:lvlJc w:val="left"/>
      <w:pPr>
        <w:tabs>
          <w:tab w:val="num" w:pos="360"/>
        </w:tabs>
        <w:ind w:left="360" w:hanging="360"/>
      </w:pPr>
    </w:lvl>
  </w:abstractNum>
  <w:abstractNum w:abstractNumId="9">
    <w:nsid w:val="FFFFFF89"/>
    <w:multiLevelType w:val="singleLevel"/>
    <w:tmpl w:val="A2FE7722"/>
    <w:lvl w:ilvl="0">
      <w:start w:val="1"/>
      <w:numFmt w:val="bullet"/>
      <w:lvlText w:val=""/>
      <w:lvlJc w:val="left"/>
      <w:pPr>
        <w:tabs>
          <w:tab w:val="num" w:pos="360"/>
        </w:tabs>
        <w:ind w:left="360" w:hanging="360"/>
      </w:pPr>
      <w:rPr>
        <w:rFonts w:ascii="Symbol" w:hAnsi="Symbol" w:hint="default"/>
      </w:rPr>
    </w:lvl>
  </w:abstractNum>
  <w:abstractNum w:abstractNumId="10">
    <w:nsid w:val="02827206"/>
    <w:multiLevelType w:val="hybridMultilevel"/>
    <w:tmpl w:val="5DCA66A0"/>
    <w:lvl w:ilvl="0" w:tplc="CE42737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78E025A"/>
    <w:multiLevelType w:val="hybridMultilevel"/>
    <w:tmpl w:val="B79461E0"/>
    <w:lvl w:ilvl="0" w:tplc="2AF6AB7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86B1E9F"/>
    <w:multiLevelType w:val="hybridMultilevel"/>
    <w:tmpl w:val="06AE8EB4"/>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9CA29CE"/>
    <w:multiLevelType w:val="hybridMultilevel"/>
    <w:tmpl w:val="06DEAEDE"/>
    <w:lvl w:ilvl="0" w:tplc="2AF6AB7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FAA2687"/>
    <w:multiLevelType w:val="hybridMultilevel"/>
    <w:tmpl w:val="AA201E72"/>
    <w:lvl w:ilvl="0" w:tplc="0FFEC57C">
      <w:start w:val="31"/>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1BE6880"/>
    <w:multiLevelType w:val="hybridMultilevel"/>
    <w:tmpl w:val="69D210DC"/>
    <w:lvl w:ilvl="0" w:tplc="2C3A0E8E">
      <w:start w:val="1"/>
      <w:numFmt w:val="bullet"/>
      <w:lvlText w:val="o"/>
      <w:lvlJc w:val="left"/>
      <w:pPr>
        <w:ind w:left="567" w:hanging="113"/>
      </w:pPr>
      <w:rPr>
        <w:rFonts w:ascii="Courier New" w:hAnsi="Courier New"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240F46"/>
    <w:multiLevelType w:val="multilevel"/>
    <w:tmpl w:val="D3F85708"/>
    <w:numStyleLink w:val="BulletList"/>
  </w:abstractNum>
  <w:abstractNum w:abstractNumId="17">
    <w:nsid w:val="18470E61"/>
    <w:multiLevelType w:val="multilevel"/>
    <w:tmpl w:val="D3F85708"/>
    <w:numStyleLink w:val="BulletList"/>
  </w:abstractNum>
  <w:abstractNum w:abstractNumId="18">
    <w:nsid w:val="1A3A6814"/>
    <w:multiLevelType w:val="multilevel"/>
    <w:tmpl w:val="D3F85708"/>
    <w:lvl w:ilvl="0">
      <w:start w:val="1"/>
      <w:numFmt w:val="bullet"/>
      <w:lvlText w:val=""/>
      <w:lvlJc w:val="left"/>
      <w:pPr>
        <w:tabs>
          <w:tab w:val="num" w:pos="1021"/>
        </w:tabs>
        <w:ind w:left="890" w:hanging="170"/>
      </w:pPr>
      <w:rPr>
        <w:rFonts w:ascii="Wingdings" w:hAnsi="Wingdings" w:hint="default"/>
      </w:rPr>
    </w:lvl>
    <w:lvl w:ilvl="1">
      <w:start w:val="1"/>
      <w:numFmt w:val="bullet"/>
      <w:lvlText w:val="o"/>
      <w:lvlJc w:val="left"/>
      <w:pPr>
        <w:ind w:left="1800" w:hanging="360"/>
      </w:pPr>
      <w:rPr>
        <w:rFonts w:ascii="Courier New" w:hAnsi="Courier New" w:hint="default"/>
        <w:sz w:val="16"/>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Wingdings" w:hAnsi="Wingdings" w:hint="default"/>
        <w:sz w:val="16"/>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1D9E5A8E"/>
    <w:multiLevelType w:val="hybridMultilevel"/>
    <w:tmpl w:val="8342EDF2"/>
    <w:lvl w:ilvl="0" w:tplc="D184519C">
      <w:start w:val="1"/>
      <w:numFmt w:val="bullet"/>
      <w:lvlText w:val=""/>
      <w:lvlJc w:val="left"/>
      <w:pPr>
        <w:ind w:left="73" w:hanging="73"/>
      </w:pPr>
      <w:rPr>
        <w:rFonts w:ascii="Wingdings" w:hAnsi="Wingdings"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0">
    <w:nsid w:val="1E6658FD"/>
    <w:multiLevelType w:val="hybridMultilevel"/>
    <w:tmpl w:val="2FD2F9A2"/>
    <w:lvl w:ilvl="0" w:tplc="BC828004">
      <w:start w:val="1"/>
      <w:numFmt w:val="bullet"/>
      <w:lvlText w:val="o"/>
      <w:lvlJc w:val="left"/>
      <w:pPr>
        <w:ind w:left="1247" w:hanging="34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1A626A"/>
    <w:multiLevelType w:val="multilevel"/>
    <w:tmpl w:val="D3F85708"/>
    <w:numStyleLink w:val="BulletList"/>
  </w:abstractNum>
  <w:abstractNum w:abstractNumId="22">
    <w:nsid w:val="1FF37092"/>
    <w:multiLevelType w:val="multilevel"/>
    <w:tmpl w:val="D3F85708"/>
    <w:numStyleLink w:val="BulletList"/>
  </w:abstractNum>
  <w:abstractNum w:abstractNumId="23">
    <w:nsid w:val="204774F1"/>
    <w:multiLevelType w:val="hybridMultilevel"/>
    <w:tmpl w:val="213A360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5163F5"/>
    <w:multiLevelType w:val="hybridMultilevel"/>
    <w:tmpl w:val="0AC6A366"/>
    <w:lvl w:ilvl="0" w:tplc="0FFEC57C">
      <w:start w:val="31"/>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2F7089B"/>
    <w:multiLevelType w:val="hybridMultilevel"/>
    <w:tmpl w:val="BA46C98E"/>
    <w:lvl w:ilvl="0" w:tplc="0FFEC57C">
      <w:start w:val="31"/>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268628BC"/>
    <w:multiLevelType w:val="hybridMultilevel"/>
    <w:tmpl w:val="F326B1DE"/>
    <w:lvl w:ilvl="0" w:tplc="CE427370">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2BBF08BA"/>
    <w:multiLevelType w:val="hybridMultilevel"/>
    <w:tmpl w:val="74FA367C"/>
    <w:lvl w:ilvl="0" w:tplc="2F427CC8">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2C0A3244"/>
    <w:multiLevelType w:val="multilevel"/>
    <w:tmpl w:val="D3F85708"/>
    <w:numStyleLink w:val="BulletList"/>
  </w:abstractNum>
  <w:abstractNum w:abstractNumId="29">
    <w:nsid w:val="2D7771EE"/>
    <w:multiLevelType w:val="hybridMultilevel"/>
    <w:tmpl w:val="3300F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2006FA0"/>
    <w:multiLevelType w:val="hybridMultilevel"/>
    <w:tmpl w:val="BB8A2D50"/>
    <w:lvl w:ilvl="0" w:tplc="0FFEC57C">
      <w:start w:val="31"/>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322614B8"/>
    <w:multiLevelType w:val="hybridMultilevel"/>
    <w:tmpl w:val="2396899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4765E28"/>
    <w:multiLevelType w:val="multilevel"/>
    <w:tmpl w:val="D3F85708"/>
    <w:styleLink w:val="BulletList"/>
    <w:lvl w:ilvl="0">
      <w:start w:val="1"/>
      <w:numFmt w:val="bullet"/>
      <w:lvlText w:val=""/>
      <w:lvlJc w:val="left"/>
      <w:pPr>
        <w:tabs>
          <w:tab w:val="num" w:pos="1021"/>
        </w:tabs>
        <w:ind w:left="170" w:hanging="170"/>
      </w:pPr>
      <w:rPr>
        <w:rFonts w:ascii="Wingdings" w:hAnsi="Wingdings" w:hint="default"/>
      </w:rPr>
    </w:lvl>
    <w:lvl w:ilvl="1">
      <w:start w:val="1"/>
      <w:numFmt w:val="bullet"/>
      <w:lvlText w:val="o"/>
      <w:lvlJc w:val="left"/>
      <w:pPr>
        <w:ind w:left="1080" w:hanging="360"/>
      </w:pPr>
      <w:rPr>
        <w:rFonts w:ascii="Courier New" w:hAnsi="Courier New"/>
        <w:position w:val="4"/>
        <w:sz w:val="16"/>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position w:val="4"/>
        <w:sz w:val="1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38F66F8B"/>
    <w:multiLevelType w:val="hybridMultilevel"/>
    <w:tmpl w:val="DD68931C"/>
    <w:lvl w:ilvl="0" w:tplc="2AF6AB7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39A10C4E"/>
    <w:multiLevelType w:val="hybridMultilevel"/>
    <w:tmpl w:val="1F6E450E"/>
    <w:lvl w:ilvl="0" w:tplc="2AF6AB7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3CC63188"/>
    <w:multiLevelType w:val="multilevel"/>
    <w:tmpl w:val="D3F85708"/>
    <w:numStyleLink w:val="BulletList"/>
  </w:abstractNum>
  <w:abstractNum w:abstractNumId="36">
    <w:nsid w:val="3DF52F96"/>
    <w:multiLevelType w:val="hybridMultilevel"/>
    <w:tmpl w:val="D046C3E8"/>
    <w:lvl w:ilvl="0" w:tplc="B58099E6">
      <w:start w:val="1"/>
      <w:numFmt w:val="bullet"/>
      <w:lvlText w:val=""/>
      <w:lvlJc w:val="left"/>
      <w:pPr>
        <w:ind w:left="215" w:hanging="73"/>
      </w:pPr>
      <w:rPr>
        <w:rFonts w:ascii="Wingdings" w:hAnsi="Wingdings" w:hint="default"/>
      </w:rPr>
    </w:lvl>
    <w:lvl w:ilvl="1" w:tplc="B58099E6">
      <w:start w:val="1"/>
      <w:numFmt w:val="bullet"/>
      <w:lvlText w:val=""/>
      <w:lvlJc w:val="left"/>
      <w:pPr>
        <w:ind w:left="1153" w:hanging="73"/>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3153F18"/>
    <w:multiLevelType w:val="hybridMultilevel"/>
    <w:tmpl w:val="8E641FF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43A97CA9"/>
    <w:multiLevelType w:val="hybridMultilevel"/>
    <w:tmpl w:val="7FC6552E"/>
    <w:lvl w:ilvl="0" w:tplc="2AF6AB7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47943998"/>
    <w:multiLevelType w:val="hybridMultilevel"/>
    <w:tmpl w:val="89342D5E"/>
    <w:lvl w:ilvl="0" w:tplc="0FFEC57C">
      <w:start w:val="31"/>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48E549D3"/>
    <w:multiLevelType w:val="hybridMultilevel"/>
    <w:tmpl w:val="D3F85708"/>
    <w:lvl w:ilvl="0" w:tplc="62501D5A">
      <w:start w:val="1"/>
      <w:numFmt w:val="bullet"/>
      <w:lvlText w:val=""/>
      <w:lvlJc w:val="left"/>
      <w:pPr>
        <w:tabs>
          <w:tab w:val="num" w:pos="1021"/>
        </w:tabs>
        <w:ind w:left="1021" w:hanging="17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E46095D"/>
    <w:multiLevelType w:val="multilevel"/>
    <w:tmpl w:val="D3F85708"/>
    <w:numStyleLink w:val="BulletList"/>
  </w:abstractNum>
  <w:abstractNum w:abstractNumId="42">
    <w:nsid w:val="50B73F30"/>
    <w:multiLevelType w:val="multilevel"/>
    <w:tmpl w:val="DAD6BF86"/>
    <w:lvl w:ilvl="0">
      <w:start w:val="1"/>
      <w:numFmt w:val="bullet"/>
      <w:lvlText w:val=""/>
      <w:lvlJc w:val="left"/>
      <w:pPr>
        <w:tabs>
          <w:tab w:val="num" w:pos="1021"/>
        </w:tabs>
        <w:ind w:left="1021"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554C0D19"/>
    <w:multiLevelType w:val="hybridMultilevel"/>
    <w:tmpl w:val="69FA103A"/>
    <w:lvl w:ilvl="0" w:tplc="97D68470">
      <w:start w:val="1"/>
      <w:numFmt w:val="bullet"/>
      <w:lvlText w:val=""/>
      <w:lvlJc w:val="left"/>
      <w:pPr>
        <w:ind w:left="215" w:hanging="73"/>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8E46386"/>
    <w:multiLevelType w:val="hybridMultilevel"/>
    <w:tmpl w:val="B4AEED5C"/>
    <w:lvl w:ilvl="0" w:tplc="D810673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54C662B"/>
    <w:multiLevelType w:val="hybridMultilevel"/>
    <w:tmpl w:val="B7DE3048"/>
    <w:lvl w:ilvl="0" w:tplc="991690A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1C0224"/>
    <w:multiLevelType w:val="multilevel"/>
    <w:tmpl w:val="D3F85708"/>
    <w:numStyleLink w:val="BulletList"/>
  </w:abstractNum>
  <w:abstractNum w:abstractNumId="47">
    <w:nsid w:val="705F2F17"/>
    <w:multiLevelType w:val="multilevel"/>
    <w:tmpl w:val="D3F85708"/>
    <w:numStyleLink w:val="BulletList"/>
  </w:abstractNum>
  <w:abstractNum w:abstractNumId="48">
    <w:nsid w:val="774E4385"/>
    <w:multiLevelType w:val="multilevel"/>
    <w:tmpl w:val="D3F85708"/>
    <w:numStyleLink w:val="BulletList"/>
  </w:abstractNum>
  <w:abstractNum w:abstractNumId="49">
    <w:nsid w:val="799E71FE"/>
    <w:multiLevelType w:val="hybridMultilevel"/>
    <w:tmpl w:val="CC06A718"/>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AC22DC4"/>
    <w:multiLevelType w:val="hybridMultilevel"/>
    <w:tmpl w:val="CA9EA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7ADF1C82"/>
    <w:multiLevelType w:val="hybridMultilevel"/>
    <w:tmpl w:val="BF7C6964"/>
    <w:lvl w:ilvl="0" w:tplc="1AA6ADB4">
      <w:start w:val="1"/>
      <w:numFmt w:val="bullet"/>
      <w:lvlText w:val=""/>
      <w:lvlJc w:val="left"/>
      <w:pPr>
        <w:ind w:left="1531" w:hanging="284"/>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D76649F"/>
    <w:multiLevelType w:val="hybridMultilevel"/>
    <w:tmpl w:val="F9C22BC2"/>
    <w:lvl w:ilvl="0" w:tplc="D184519C">
      <w:start w:val="1"/>
      <w:numFmt w:val="bullet"/>
      <w:lvlText w:val=""/>
      <w:lvlJc w:val="left"/>
      <w:pPr>
        <w:ind w:left="215" w:hanging="73"/>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49"/>
  </w:num>
  <w:num w:numId="3">
    <w:abstractNumId w:val="23"/>
  </w:num>
  <w:num w:numId="4">
    <w:abstractNumId w:val="31"/>
  </w:num>
  <w:num w:numId="5">
    <w:abstractNumId w:val="20"/>
  </w:num>
  <w:num w:numId="6">
    <w:abstractNumId w:val="51"/>
  </w:num>
  <w:num w:numId="7">
    <w:abstractNumId w:val="36"/>
  </w:num>
  <w:num w:numId="8">
    <w:abstractNumId w:val="43"/>
  </w:num>
  <w:num w:numId="9">
    <w:abstractNumId w:val="15"/>
  </w:num>
  <w:num w:numId="10">
    <w:abstractNumId w:val="40"/>
  </w:num>
  <w:num w:numId="11">
    <w:abstractNumId w:val="42"/>
  </w:num>
  <w:num w:numId="12">
    <w:abstractNumId w:val="32"/>
  </w:num>
  <w:num w:numId="13">
    <w:abstractNumId w:val="16"/>
  </w:num>
  <w:num w:numId="14">
    <w:abstractNumId w:val="28"/>
  </w:num>
  <w:num w:numId="15">
    <w:abstractNumId w:val="18"/>
  </w:num>
  <w:num w:numId="16">
    <w:abstractNumId w:val="22"/>
  </w:num>
  <w:num w:numId="17">
    <w:abstractNumId w:val="47"/>
  </w:num>
  <w:num w:numId="18">
    <w:abstractNumId w:val="19"/>
  </w:num>
  <w:num w:numId="19">
    <w:abstractNumId w:val="52"/>
  </w:num>
  <w:num w:numId="20">
    <w:abstractNumId w:val="46"/>
  </w:num>
  <w:num w:numId="21">
    <w:abstractNumId w:val="17"/>
  </w:num>
  <w:num w:numId="22">
    <w:abstractNumId w:val="35"/>
  </w:num>
  <w:num w:numId="23">
    <w:abstractNumId w:val="41"/>
  </w:num>
  <w:num w:numId="24">
    <w:abstractNumId w:val="48"/>
  </w:num>
  <w:num w:numId="25">
    <w:abstractNumId w:val="21"/>
  </w:num>
  <w:num w:numId="26">
    <w:abstractNumId w:val="34"/>
  </w:num>
  <w:num w:numId="27">
    <w:abstractNumId w:val="30"/>
  </w:num>
  <w:num w:numId="28">
    <w:abstractNumId w:val="25"/>
  </w:num>
  <w:num w:numId="29">
    <w:abstractNumId w:val="39"/>
  </w:num>
  <w:num w:numId="30">
    <w:abstractNumId w:val="14"/>
  </w:num>
  <w:num w:numId="31">
    <w:abstractNumId w:val="24"/>
  </w:num>
  <w:num w:numId="32">
    <w:abstractNumId w:val="38"/>
  </w:num>
  <w:num w:numId="33">
    <w:abstractNumId w:val="11"/>
  </w:num>
  <w:num w:numId="34">
    <w:abstractNumId w:val="33"/>
  </w:num>
  <w:num w:numId="35">
    <w:abstractNumId w:val="13"/>
  </w:num>
  <w:num w:numId="36">
    <w:abstractNumId w:val="27"/>
  </w:num>
  <w:num w:numId="37">
    <w:abstractNumId w:val="26"/>
  </w:num>
  <w:num w:numId="38">
    <w:abstractNumId w:val="10"/>
  </w:num>
  <w:num w:numId="39">
    <w:abstractNumId w:val="50"/>
  </w:num>
  <w:num w:numId="40">
    <w:abstractNumId w:val="2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 w:numId="51">
    <w:abstractNumId w:val="37"/>
  </w:num>
  <w:num w:numId="52">
    <w:abstractNumId w:val="12"/>
  </w:num>
  <w:num w:numId="53">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defaultTabStop w:val="720"/>
  <w:drawingGridHorizontalSpacing w:val="110"/>
  <w:displayHorizontalDrawingGridEvery w:val="2"/>
  <w:characterSpacingControl w:val="doNotCompress"/>
  <w:hdrShapeDefaults>
    <o:shapedefaults v:ext="edit" spidmax="18433">
      <o:colormru v:ext="edit" colors="#bacff6,#cfddf6"/>
    </o:shapedefaults>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25"/>
    <w:rsid w:val="000163F8"/>
    <w:rsid w:val="00024E48"/>
    <w:rsid w:val="00051BA1"/>
    <w:rsid w:val="00087036"/>
    <w:rsid w:val="000B0927"/>
    <w:rsid w:val="000B278E"/>
    <w:rsid w:val="000D49A0"/>
    <w:rsid w:val="00105320"/>
    <w:rsid w:val="00114298"/>
    <w:rsid w:val="001452D3"/>
    <w:rsid w:val="0017228E"/>
    <w:rsid w:val="001E5B76"/>
    <w:rsid w:val="001F1011"/>
    <w:rsid w:val="001F1446"/>
    <w:rsid w:val="001F62A0"/>
    <w:rsid w:val="00233D07"/>
    <w:rsid w:val="00250D95"/>
    <w:rsid w:val="002526D3"/>
    <w:rsid w:val="00255EE9"/>
    <w:rsid w:val="00276BDB"/>
    <w:rsid w:val="002B60E4"/>
    <w:rsid w:val="002E5BB4"/>
    <w:rsid w:val="002F6FE3"/>
    <w:rsid w:val="003028DF"/>
    <w:rsid w:val="0034058C"/>
    <w:rsid w:val="00361D41"/>
    <w:rsid w:val="00374ECE"/>
    <w:rsid w:val="00394026"/>
    <w:rsid w:val="003A1668"/>
    <w:rsid w:val="003A5EAB"/>
    <w:rsid w:val="003E7E0D"/>
    <w:rsid w:val="0043733C"/>
    <w:rsid w:val="0044549D"/>
    <w:rsid w:val="004B3917"/>
    <w:rsid w:val="004E6A24"/>
    <w:rsid w:val="00503931"/>
    <w:rsid w:val="00510BEB"/>
    <w:rsid w:val="00540787"/>
    <w:rsid w:val="00552975"/>
    <w:rsid w:val="0055700D"/>
    <w:rsid w:val="00565781"/>
    <w:rsid w:val="00574D91"/>
    <w:rsid w:val="005A1EEC"/>
    <w:rsid w:val="005E241F"/>
    <w:rsid w:val="005F5745"/>
    <w:rsid w:val="0060118E"/>
    <w:rsid w:val="006130B4"/>
    <w:rsid w:val="006139F3"/>
    <w:rsid w:val="00636F59"/>
    <w:rsid w:val="00642BF2"/>
    <w:rsid w:val="0064651A"/>
    <w:rsid w:val="006544B4"/>
    <w:rsid w:val="006605AE"/>
    <w:rsid w:val="00661CA0"/>
    <w:rsid w:val="00682EC7"/>
    <w:rsid w:val="006C2FC8"/>
    <w:rsid w:val="006C5916"/>
    <w:rsid w:val="006E50AA"/>
    <w:rsid w:val="0073472F"/>
    <w:rsid w:val="0076526F"/>
    <w:rsid w:val="007A1B52"/>
    <w:rsid w:val="007C1382"/>
    <w:rsid w:val="008205E4"/>
    <w:rsid w:val="008A43F7"/>
    <w:rsid w:val="008A4F93"/>
    <w:rsid w:val="008B6ADA"/>
    <w:rsid w:val="00910E6C"/>
    <w:rsid w:val="00936DB7"/>
    <w:rsid w:val="009441FE"/>
    <w:rsid w:val="009511CC"/>
    <w:rsid w:val="00952151"/>
    <w:rsid w:val="00970B8D"/>
    <w:rsid w:val="00971573"/>
    <w:rsid w:val="00972B53"/>
    <w:rsid w:val="0099095B"/>
    <w:rsid w:val="009C48F5"/>
    <w:rsid w:val="009D6775"/>
    <w:rsid w:val="00A6200A"/>
    <w:rsid w:val="00A7175A"/>
    <w:rsid w:val="00A8455B"/>
    <w:rsid w:val="00A93DB7"/>
    <w:rsid w:val="00AB132D"/>
    <w:rsid w:val="00AD178F"/>
    <w:rsid w:val="00AE6F8B"/>
    <w:rsid w:val="00AF51BB"/>
    <w:rsid w:val="00B05DD0"/>
    <w:rsid w:val="00B218C0"/>
    <w:rsid w:val="00B22523"/>
    <w:rsid w:val="00B24F61"/>
    <w:rsid w:val="00BB1D65"/>
    <w:rsid w:val="00BE2047"/>
    <w:rsid w:val="00BE3F41"/>
    <w:rsid w:val="00BF5CE6"/>
    <w:rsid w:val="00C162F1"/>
    <w:rsid w:val="00C612D4"/>
    <w:rsid w:val="00CA418F"/>
    <w:rsid w:val="00CB3251"/>
    <w:rsid w:val="00CF0B1F"/>
    <w:rsid w:val="00D02E37"/>
    <w:rsid w:val="00D63055"/>
    <w:rsid w:val="00D705E3"/>
    <w:rsid w:val="00D76025"/>
    <w:rsid w:val="00DA0E9E"/>
    <w:rsid w:val="00DA40CA"/>
    <w:rsid w:val="00DD0417"/>
    <w:rsid w:val="00E001F6"/>
    <w:rsid w:val="00E05B3F"/>
    <w:rsid w:val="00E24261"/>
    <w:rsid w:val="00E35979"/>
    <w:rsid w:val="00E37F0F"/>
    <w:rsid w:val="00E54A30"/>
    <w:rsid w:val="00E5743E"/>
    <w:rsid w:val="00E638B4"/>
    <w:rsid w:val="00E97F74"/>
    <w:rsid w:val="00EB35E2"/>
    <w:rsid w:val="00EC67CE"/>
    <w:rsid w:val="00EF2D0D"/>
    <w:rsid w:val="00F66FC6"/>
    <w:rsid w:val="00F8309F"/>
    <w:rsid w:val="00FA1EBD"/>
    <w:rsid w:val="00FB4296"/>
    <w:rsid w:val="00FC00EB"/>
    <w:rsid w:val="00FE143F"/>
    <w:rsid w:val="00FE6CB8"/>
    <w:rsid w:val="00FF548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colormru v:ext="edit" colors="#bacff6,#cfddf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AU"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footnote text" w:uiPriority="99"/>
    <w:lsdException w:name="footnote reference" w:uiPriority="99"/>
    <w:lsdException w:name="Hyperlink" w:uiPriority="99"/>
    <w:lsdException w:name="List Paragraph" w:uiPriority="34" w:qFormat="1"/>
  </w:latentStyles>
  <w:style w:type="paragraph" w:default="1" w:styleId="Normal">
    <w:name w:val="Normal"/>
    <w:qFormat/>
    <w:rsid w:val="00E37F0F"/>
    <w:pPr>
      <w:spacing w:after="240" w:line="300" w:lineRule="auto"/>
    </w:pPr>
    <w:rPr>
      <w:rFonts w:asciiTheme="majorHAnsi" w:hAnsiTheme="majorHAnsi" w:cs="Arial"/>
      <w:sz w:val="22"/>
      <w:szCs w:val="22"/>
    </w:rPr>
  </w:style>
  <w:style w:type="paragraph" w:styleId="Heading1">
    <w:name w:val="heading 1"/>
    <w:basedOn w:val="Normal"/>
    <w:next w:val="Normal"/>
    <w:link w:val="Heading1Char"/>
    <w:autoRedefine/>
    <w:uiPriority w:val="99"/>
    <w:qFormat/>
    <w:rsid w:val="008A4F93"/>
    <w:pPr>
      <w:keepNext/>
      <w:spacing w:after="0" w:line="240" w:lineRule="auto"/>
      <w:outlineLvl w:val="0"/>
    </w:pPr>
    <w:rPr>
      <w:rFonts w:eastAsia="SimSun"/>
      <w:bCs/>
      <w:caps/>
      <w:spacing w:val="-10"/>
      <w:sz w:val="56"/>
      <w:szCs w:val="56"/>
    </w:rPr>
  </w:style>
  <w:style w:type="paragraph" w:styleId="Heading2">
    <w:name w:val="heading 2"/>
    <w:basedOn w:val="Heading1"/>
    <w:next w:val="Normal"/>
    <w:link w:val="Heading2Char"/>
    <w:autoRedefine/>
    <w:uiPriority w:val="99"/>
    <w:qFormat/>
    <w:rsid w:val="00E37F0F"/>
    <w:pPr>
      <w:suppressAutoHyphens/>
      <w:spacing w:before="360" w:after="120" w:line="264" w:lineRule="auto"/>
      <w:outlineLvl w:val="1"/>
    </w:pPr>
    <w:rPr>
      <w:caps w:val="0"/>
      <w:sz w:val="36"/>
    </w:rPr>
  </w:style>
  <w:style w:type="paragraph" w:styleId="Heading3">
    <w:name w:val="heading 3"/>
    <w:basedOn w:val="BodyText"/>
    <w:link w:val="Heading3Char"/>
    <w:uiPriority w:val="99"/>
    <w:qFormat/>
    <w:rsid w:val="00E37F0F"/>
    <w:pPr>
      <w:keepNext/>
      <w:suppressAutoHyphens/>
      <w:spacing w:before="480" w:after="240" w:line="264" w:lineRule="auto"/>
      <w:outlineLvl w:val="2"/>
    </w:pPr>
    <w:rPr>
      <w:b/>
      <w:sz w:val="24"/>
    </w:rPr>
  </w:style>
  <w:style w:type="paragraph" w:styleId="Heading4">
    <w:name w:val="heading 4"/>
    <w:basedOn w:val="Heading3"/>
    <w:next w:val="Normal"/>
    <w:link w:val="Heading4Char"/>
    <w:uiPriority w:val="99"/>
    <w:qFormat/>
    <w:rsid w:val="00A25C99"/>
    <w:pPr>
      <w:spacing w:before="240" w:after="60"/>
      <w:outlineLvl w:val="3"/>
    </w:pPr>
    <w:rPr>
      <w:rFonts w:eastAsia="Times New Roman"/>
      <w:b w:val="0"/>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NoListPara"/>
    <w:uiPriority w:val="99"/>
    <w:semiHidden/>
    <w:unhideWhenUsed/>
  </w:style>
  <w:style w:type="character" w:customStyle="1" w:styleId="Heading1Char">
    <w:name w:val="Heading 1 Char"/>
    <w:basedOn w:val="DefaultParagraphFont"/>
    <w:link w:val="Heading1"/>
    <w:uiPriority w:val="99"/>
    <w:rsid w:val="008A4F93"/>
    <w:rPr>
      <w:rFonts w:ascii="Century Gothic" w:eastAsia="SimSun" w:hAnsi="Century Gothic" w:cs="Arial"/>
      <w:bCs/>
      <w:caps/>
      <w:spacing w:val="-10"/>
      <w:sz w:val="56"/>
      <w:szCs w:val="56"/>
    </w:rPr>
  </w:style>
  <w:style w:type="character" w:customStyle="1" w:styleId="Heading2Char">
    <w:name w:val="Heading 2 Char"/>
    <w:basedOn w:val="DefaultParagraphFont"/>
    <w:link w:val="Heading2"/>
    <w:uiPriority w:val="99"/>
    <w:rsid w:val="00E37F0F"/>
    <w:rPr>
      <w:rFonts w:asciiTheme="majorHAnsi" w:eastAsia="SimSun" w:hAnsiTheme="majorHAnsi" w:cs="Arial"/>
      <w:bCs/>
      <w:spacing w:val="-10"/>
      <w:sz w:val="36"/>
      <w:szCs w:val="56"/>
    </w:rPr>
  </w:style>
  <w:style w:type="character" w:customStyle="1" w:styleId="Heading3Char">
    <w:name w:val="Heading 3 Char"/>
    <w:basedOn w:val="DefaultParagraphFont"/>
    <w:link w:val="Heading3"/>
    <w:uiPriority w:val="99"/>
    <w:rsid w:val="00E37F0F"/>
    <w:rPr>
      <w:rFonts w:ascii="Century Gothic" w:hAnsi="Century Gothic" w:cs="Arial"/>
      <w:b/>
      <w:lang w:eastAsia="en-AU"/>
    </w:rPr>
  </w:style>
  <w:style w:type="character" w:customStyle="1" w:styleId="Heading4Char">
    <w:name w:val="Heading 4 Char"/>
    <w:basedOn w:val="DefaultParagraphFont"/>
    <w:link w:val="Heading4"/>
    <w:uiPriority w:val="99"/>
    <w:rsid w:val="00A25C99"/>
    <w:rPr>
      <w:rFonts w:ascii="Century Gothic" w:eastAsia="Times New Roman" w:hAnsi="Century Gothic" w:cs="Arial"/>
      <w:b/>
      <w:bCs/>
      <w:szCs w:val="28"/>
      <w:lang w:eastAsia="en-AU"/>
    </w:rPr>
  </w:style>
  <w:style w:type="paragraph" w:styleId="BodyText">
    <w:name w:val="Body Text"/>
    <w:basedOn w:val="Normal"/>
    <w:link w:val="BodyTextChar"/>
    <w:uiPriority w:val="99"/>
    <w:rsid w:val="00B141A1"/>
    <w:pPr>
      <w:spacing w:after="200"/>
    </w:pPr>
    <w:rPr>
      <w:szCs w:val="24"/>
      <w:lang w:eastAsia="en-AU"/>
    </w:rPr>
  </w:style>
  <w:style w:type="character" w:customStyle="1" w:styleId="BodyTextChar">
    <w:name w:val="Body Text Char"/>
    <w:basedOn w:val="DefaultParagraphFont"/>
    <w:link w:val="BodyText"/>
    <w:uiPriority w:val="99"/>
    <w:rsid w:val="00B141A1"/>
    <w:rPr>
      <w:rFonts w:ascii="Helvetica Neue Light" w:hAnsi="Helvetica Neue Light" w:cs="Arial"/>
      <w:spacing w:val="2"/>
      <w:sz w:val="22"/>
      <w:szCs w:val="24"/>
      <w:lang w:eastAsia="en-AU"/>
    </w:rPr>
  </w:style>
  <w:style w:type="paragraph" w:styleId="BodyTextIndent2">
    <w:name w:val="Body Text Indent 2"/>
    <w:basedOn w:val="BodyText"/>
    <w:link w:val="BodyTextIndent2Char"/>
    <w:uiPriority w:val="99"/>
    <w:unhideWhenUsed/>
    <w:rsid w:val="00165CA0"/>
    <w:pPr>
      <w:spacing w:line="312" w:lineRule="auto"/>
      <w:ind w:left="284"/>
    </w:pPr>
  </w:style>
  <w:style w:type="character" w:customStyle="1" w:styleId="BodyTextIndent2Char">
    <w:name w:val="Body Text Indent 2 Char"/>
    <w:basedOn w:val="DefaultParagraphFont"/>
    <w:link w:val="BodyTextIndent2"/>
    <w:uiPriority w:val="99"/>
    <w:rsid w:val="00165CA0"/>
    <w:rPr>
      <w:rFonts w:ascii="Helvetica Neue Light" w:hAnsi="Helvetica Neue Light" w:cs="Arial"/>
      <w:spacing w:val="2"/>
      <w:sz w:val="24"/>
      <w:szCs w:val="24"/>
      <w:lang w:eastAsia="en-AU"/>
    </w:rPr>
  </w:style>
  <w:style w:type="paragraph" w:styleId="Header">
    <w:name w:val="header"/>
    <w:basedOn w:val="Normal"/>
    <w:link w:val="HeaderChar"/>
    <w:rsid w:val="009850DA"/>
    <w:pPr>
      <w:tabs>
        <w:tab w:val="center" w:pos="4320"/>
        <w:tab w:val="right" w:pos="8640"/>
      </w:tabs>
    </w:pPr>
  </w:style>
  <w:style w:type="character" w:customStyle="1" w:styleId="HeaderChar">
    <w:name w:val="Header Char"/>
    <w:basedOn w:val="DefaultParagraphFont"/>
    <w:link w:val="Header"/>
    <w:rsid w:val="009850DA"/>
    <w:rPr>
      <w:rFonts w:ascii="Helvetica Neue Light" w:hAnsi="Helvetica Neue Light" w:cs="Arial"/>
      <w:spacing w:val="2"/>
      <w:sz w:val="24"/>
      <w:szCs w:val="22"/>
    </w:rPr>
  </w:style>
  <w:style w:type="paragraph" w:styleId="Footer">
    <w:name w:val="footer"/>
    <w:basedOn w:val="Normal"/>
    <w:link w:val="FooterChar"/>
    <w:rsid w:val="009850DA"/>
    <w:pPr>
      <w:tabs>
        <w:tab w:val="center" w:pos="4320"/>
        <w:tab w:val="right" w:pos="8640"/>
      </w:tabs>
    </w:pPr>
  </w:style>
  <w:style w:type="character" w:customStyle="1" w:styleId="FooterChar">
    <w:name w:val="Footer Char"/>
    <w:basedOn w:val="DefaultParagraphFont"/>
    <w:link w:val="Footer"/>
    <w:rsid w:val="009850DA"/>
    <w:rPr>
      <w:rFonts w:ascii="Helvetica Neue Light" w:hAnsi="Helvetica Neue Light" w:cs="Arial"/>
      <w:spacing w:val="2"/>
      <w:sz w:val="24"/>
      <w:szCs w:val="22"/>
    </w:rPr>
  </w:style>
  <w:style w:type="character" w:styleId="PageNumber">
    <w:name w:val="page number"/>
    <w:basedOn w:val="DefaultParagraphFont"/>
    <w:rsid w:val="009850DA"/>
  </w:style>
  <w:style w:type="paragraph" w:customStyle="1" w:styleId="Heading3ExcludeTOC">
    <w:name w:val="Heading 3 (Exclude TOC)"/>
    <w:basedOn w:val="Heading3"/>
    <w:link w:val="Heading3ExcludeTOCChar"/>
    <w:qFormat/>
    <w:rsid w:val="00707F9B"/>
  </w:style>
  <w:style w:type="paragraph" w:styleId="TOC2">
    <w:name w:val="toc 2"/>
    <w:basedOn w:val="Normal"/>
    <w:next w:val="Normal"/>
    <w:autoRedefine/>
    <w:uiPriority w:val="39"/>
    <w:rsid w:val="00105320"/>
    <w:pPr>
      <w:tabs>
        <w:tab w:val="right" w:leader="dot" w:pos="9628"/>
      </w:tabs>
      <w:spacing w:after="0"/>
      <w:ind w:left="340"/>
    </w:pPr>
  </w:style>
  <w:style w:type="paragraph" w:styleId="TOC1">
    <w:name w:val="toc 1"/>
    <w:basedOn w:val="Normal"/>
    <w:next w:val="Normal"/>
    <w:autoRedefine/>
    <w:uiPriority w:val="39"/>
    <w:rsid w:val="00105320"/>
    <w:pPr>
      <w:tabs>
        <w:tab w:val="right" w:leader="dot" w:pos="9628"/>
      </w:tabs>
      <w:spacing w:after="0"/>
    </w:pPr>
    <w:rPr>
      <w:b/>
    </w:rPr>
  </w:style>
  <w:style w:type="paragraph" w:styleId="TOC3">
    <w:name w:val="toc 3"/>
    <w:basedOn w:val="Normal"/>
    <w:next w:val="Normal"/>
    <w:autoRedefine/>
    <w:uiPriority w:val="39"/>
    <w:rsid w:val="009850DA"/>
    <w:pPr>
      <w:ind w:left="480"/>
    </w:pPr>
  </w:style>
  <w:style w:type="paragraph" w:styleId="TOC4">
    <w:name w:val="toc 4"/>
    <w:basedOn w:val="Normal"/>
    <w:next w:val="Normal"/>
    <w:autoRedefine/>
    <w:rsid w:val="009850DA"/>
    <w:pPr>
      <w:ind w:left="720"/>
    </w:pPr>
  </w:style>
  <w:style w:type="paragraph" w:styleId="TOC5">
    <w:name w:val="toc 5"/>
    <w:basedOn w:val="Normal"/>
    <w:next w:val="Normal"/>
    <w:autoRedefine/>
    <w:rsid w:val="009850DA"/>
    <w:pPr>
      <w:ind w:left="960"/>
    </w:pPr>
  </w:style>
  <w:style w:type="paragraph" w:styleId="TOC6">
    <w:name w:val="toc 6"/>
    <w:basedOn w:val="Normal"/>
    <w:next w:val="Normal"/>
    <w:autoRedefine/>
    <w:rsid w:val="009850DA"/>
    <w:pPr>
      <w:ind w:left="1200"/>
    </w:pPr>
  </w:style>
  <w:style w:type="paragraph" w:styleId="TOC7">
    <w:name w:val="toc 7"/>
    <w:basedOn w:val="Normal"/>
    <w:next w:val="Normal"/>
    <w:autoRedefine/>
    <w:rsid w:val="009850DA"/>
    <w:pPr>
      <w:ind w:left="1440"/>
    </w:pPr>
  </w:style>
  <w:style w:type="paragraph" w:styleId="TOC8">
    <w:name w:val="toc 8"/>
    <w:basedOn w:val="Normal"/>
    <w:next w:val="Normal"/>
    <w:autoRedefine/>
    <w:rsid w:val="009850DA"/>
    <w:pPr>
      <w:ind w:left="1680"/>
    </w:pPr>
  </w:style>
  <w:style w:type="paragraph" w:styleId="TOC9">
    <w:name w:val="toc 9"/>
    <w:basedOn w:val="Normal"/>
    <w:next w:val="Normal"/>
    <w:autoRedefine/>
    <w:rsid w:val="009850DA"/>
    <w:pPr>
      <w:ind w:left="1920"/>
    </w:pPr>
  </w:style>
  <w:style w:type="paragraph" w:styleId="FootnoteText">
    <w:name w:val="footnote text"/>
    <w:basedOn w:val="Normal"/>
    <w:link w:val="FootnoteTextChar"/>
    <w:autoRedefine/>
    <w:uiPriority w:val="99"/>
    <w:rsid w:val="00E37F0F"/>
    <w:pPr>
      <w:spacing w:after="60" w:line="240" w:lineRule="auto"/>
    </w:pPr>
    <w:rPr>
      <w:sz w:val="16"/>
      <w:szCs w:val="24"/>
    </w:rPr>
  </w:style>
  <w:style w:type="character" w:customStyle="1" w:styleId="FootnoteTextChar">
    <w:name w:val="Footnote Text Char"/>
    <w:basedOn w:val="DefaultParagraphFont"/>
    <w:link w:val="FootnoteText"/>
    <w:uiPriority w:val="99"/>
    <w:rsid w:val="00E37F0F"/>
    <w:rPr>
      <w:rFonts w:ascii="Century Gothic" w:hAnsi="Century Gothic" w:cs="Arial"/>
      <w:sz w:val="16"/>
    </w:rPr>
  </w:style>
  <w:style w:type="character" w:styleId="FootnoteReference">
    <w:name w:val="footnote reference"/>
    <w:basedOn w:val="DefaultParagraphFont"/>
    <w:uiPriority w:val="99"/>
    <w:rsid w:val="00D163F2"/>
    <w:rPr>
      <w:vertAlign w:val="superscript"/>
    </w:rPr>
  </w:style>
  <w:style w:type="character" w:customStyle="1" w:styleId="Heading3ExcludeTOCChar">
    <w:name w:val="Heading 3 (Exclude TOC) Char"/>
    <w:basedOn w:val="Heading3Char"/>
    <w:link w:val="Heading3ExcludeTOC"/>
    <w:rsid w:val="00707F9B"/>
    <w:rPr>
      <w:rFonts w:ascii="Century Gothic" w:hAnsi="Century Gothic" w:cs="Arial"/>
      <w:b/>
      <w:sz w:val="36"/>
      <w:lang w:eastAsia="en-AU"/>
    </w:rPr>
  </w:style>
  <w:style w:type="paragraph" w:customStyle="1" w:styleId="Heading2ExcludeTOC">
    <w:name w:val="Heading 2 (Exclude TOC)"/>
    <w:basedOn w:val="Heading2"/>
    <w:link w:val="Heading2ExcludeTOCChar"/>
    <w:qFormat/>
    <w:rsid w:val="00707F9B"/>
  </w:style>
  <w:style w:type="paragraph" w:styleId="Caption">
    <w:name w:val="caption"/>
    <w:basedOn w:val="Normal"/>
    <w:next w:val="Normal"/>
    <w:rsid w:val="00EF0D7A"/>
    <w:pPr>
      <w:spacing w:after="360"/>
    </w:pPr>
    <w:rPr>
      <w:b/>
      <w:bCs/>
      <w:szCs w:val="20"/>
    </w:rPr>
  </w:style>
  <w:style w:type="table" w:styleId="TableGrid">
    <w:name w:val="Table Grid"/>
    <w:aliases w:val="Table (coloured)"/>
    <w:basedOn w:val="TableNormal"/>
    <w:rsid w:val="00A6200A"/>
    <w:tblPr>
      <w:tblInd w:w="0" w:type="dxa"/>
      <w:tblBorders>
        <w:insideH w:val="single" w:sz="18" w:space="0" w:color="F2F2F2" w:themeColor="background1" w:themeShade="F2"/>
        <w:insideV w:val="single" w:sz="18" w:space="0" w:color="F2F2F2" w:themeColor="background1" w:themeShade="F2"/>
      </w:tblBorders>
      <w:tblCellMar>
        <w:top w:w="108" w:type="dxa"/>
        <w:left w:w="108" w:type="dxa"/>
        <w:bottom w:w="108" w:type="dxa"/>
        <w:right w:w="108" w:type="dxa"/>
      </w:tblCellMar>
    </w:tblPr>
    <w:tcPr>
      <w:shd w:val="clear" w:color="auto" w:fill="auto"/>
      <w:vAlign w:val="center"/>
    </w:tcPr>
    <w:tblStylePr w:type="firstRow">
      <w:rPr>
        <w:b/>
      </w:rPr>
      <w:tblPr/>
      <w:tcPr>
        <w:shd w:val="clear" w:color="auto" w:fill="BACFF6"/>
      </w:tcPr>
    </w:tblStylePr>
  </w:style>
  <w:style w:type="paragraph" w:customStyle="1" w:styleId="Table-Text">
    <w:name w:val="Table - Text"/>
    <w:basedOn w:val="BodyText"/>
    <w:qFormat/>
    <w:rsid w:val="008F4B31"/>
    <w:pPr>
      <w:spacing w:before="60" w:after="60" w:line="240" w:lineRule="auto"/>
    </w:pPr>
  </w:style>
  <w:style w:type="paragraph" w:customStyle="1" w:styleId="Table-HeaderText">
    <w:name w:val="Table - Header Text"/>
    <w:basedOn w:val="Normal"/>
    <w:qFormat/>
    <w:rsid w:val="008F4B31"/>
    <w:pPr>
      <w:spacing w:before="60" w:after="60"/>
    </w:pPr>
    <w:rPr>
      <w:rFonts w:ascii="Helvetica Neue" w:hAnsi="Helvetica Neue"/>
    </w:rPr>
  </w:style>
  <w:style w:type="character" w:customStyle="1" w:styleId="Heading2ExcludeTOCChar">
    <w:name w:val="Heading 2 (Exclude TOC) Char"/>
    <w:basedOn w:val="Heading3Char"/>
    <w:link w:val="Heading2ExcludeTOC"/>
    <w:rsid w:val="00707F9B"/>
    <w:rPr>
      <w:rFonts w:ascii="Century Gothic" w:hAnsi="Century Gothic" w:cs="Arial"/>
      <w:b/>
      <w:sz w:val="36"/>
      <w:lang w:eastAsia="en-AU"/>
    </w:rPr>
  </w:style>
  <w:style w:type="paragraph" w:customStyle="1" w:styleId="Normaltextnospaceafter">
    <w:name w:val="Normal text (no space after)"/>
    <w:basedOn w:val="Normal"/>
    <w:qFormat/>
    <w:rsid w:val="00510F45"/>
    <w:pPr>
      <w:spacing w:after="0"/>
    </w:pPr>
  </w:style>
  <w:style w:type="paragraph" w:customStyle="1" w:styleId="Normaltextfortables">
    <w:name w:val="Normal text (for tables)"/>
    <w:basedOn w:val="Normal"/>
    <w:qFormat/>
    <w:rsid w:val="00507345"/>
    <w:pPr>
      <w:spacing w:after="0" w:line="264" w:lineRule="auto"/>
    </w:pPr>
  </w:style>
  <w:style w:type="paragraph" w:customStyle="1" w:styleId="Heading2nospacingabove">
    <w:name w:val="Heading 2 (no spacing above)"/>
    <w:basedOn w:val="Heading2"/>
    <w:link w:val="Heading2nospacingaboveChar"/>
    <w:qFormat/>
    <w:rsid w:val="00E37F0F"/>
    <w:pPr>
      <w:spacing w:before="0"/>
    </w:pPr>
  </w:style>
  <w:style w:type="character" w:customStyle="1" w:styleId="Heading2nospacingaboveChar">
    <w:name w:val="Heading 2 (no spacing above) Char"/>
    <w:basedOn w:val="Heading2Char"/>
    <w:link w:val="Heading2nospacingabove"/>
    <w:rsid w:val="00E37F0F"/>
    <w:rPr>
      <w:rFonts w:asciiTheme="majorHAnsi" w:eastAsia="SimSun" w:hAnsiTheme="majorHAnsi" w:cs="Arial"/>
      <w:bCs/>
      <w:spacing w:val="-10"/>
      <w:sz w:val="36"/>
      <w:szCs w:val="56"/>
    </w:rPr>
  </w:style>
  <w:style w:type="paragraph" w:customStyle="1" w:styleId="Heading3nospacingabove">
    <w:name w:val="Heading 3 (no spacing above)"/>
    <w:basedOn w:val="Heading3"/>
    <w:link w:val="Heading3nospacingaboveChar"/>
    <w:qFormat/>
    <w:rsid w:val="00E37F0F"/>
    <w:pPr>
      <w:spacing w:before="0"/>
    </w:pPr>
    <w:rPr>
      <w:b w:val="0"/>
    </w:rPr>
  </w:style>
  <w:style w:type="character" w:customStyle="1" w:styleId="Heading3nospacingaboveChar">
    <w:name w:val="Heading 3 (no spacing above) Char"/>
    <w:basedOn w:val="Heading4Char"/>
    <w:link w:val="Heading3nospacingabove"/>
    <w:rsid w:val="00E37F0F"/>
    <w:rPr>
      <w:rFonts w:ascii="Century Gothic" w:eastAsia="Times New Roman" w:hAnsi="Century Gothic" w:cs="Arial"/>
      <w:b/>
      <w:bCs w:val="0"/>
      <w:szCs w:val="28"/>
      <w:lang w:eastAsia="en-AU"/>
    </w:rPr>
  </w:style>
  <w:style w:type="paragraph" w:customStyle="1" w:styleId="Heading4nospacingabove">
    <w:name w:val="Heading 4 (no spacing above)"/>
    <w:basedOn w:val="Heading4"/>
    <w:link w:val="Heading4nospacingaboveChar"/>
    <w:qFormat/>
    <w:rsid w:val="00C375BF"/>
    <w:pPr>
      <w:spacing w:before="0"/>
    </w:pPr>
  </w:style>
  <w:style w:type="character" w:customStyle="1" w:styleId="Heading4nospacingaboveChar">
    <w:name w:val="Heading 4 (no spacing above) Char"/>
    <w:basedOn w:val="Heading4Char"/>
    <w:link w:val="Heading4nospacingabove"/>
    <w:rsid w:val="00C375BF"/>
    <w:rPr>
      <w:rFonts w:ascii="Century Gothic" w:eastAsia="Times New Roman" w:hAnsi="Century Gothic" w:cs="Arial"/>
      <w:b/>
      <w:bCs/>
      <w:szCs w:val="28"/>
      <w:lang w:eastAsia="en-AU"/>
    </w:rPr>
  </w:style>
  <w:style w:type="numbering" w:customStyle="1" w:styleId="BulletList">
    <w:name w:val="Bullet List"/>
    <w:basedOn w:val="NoList"/>
    <w:link w:val="BulletListPara"/>
    <w:rsid w:val="00C20EAA"/>
    <w:pPr>
      <w:numPr>
        <w:numId w:val="12"/>
      </w:numPr>
    </w:pPr>
  </w:style>
  <w:style w:type="paragraph" w:customStyle="1" w:styleId="NoListPara">
    <w:name w:val="No List Para"/>
    <w:basedOn w:val="Normal"/>
    <w:link w:val="NoList"/>
    <w:rsid w:val="00C20EAA"/>
  </w:style>
  <w:style w:type="paragraph" w:customStyle="1" w:styleId="BulletListPara">
    <w:name w:val="Bullet List Para"/>
    <w:basedOn w:val="NoListPara"/>
    <w:link w:val="BulletList"/>
    <w:rsid w:val="00C20EAA"/>
  </w:style>
  <w:style w:type="paragraph" w:styleId="ListParagraph">
    <w:name w:val="List Paragraph"/>
    <w:basedOn w:val="Normal"/>
    <w:uiPriority w:val="34"/>
    <w:qFormat/>
    <w:rsid w:val="00E37F0F"/>
    <w:pPr>
      <w:spacing w:after="200" w:line="276" w:lineRule="auto"/>
      <w:ind w:left="720"/>
      <w:contextualSpacing/>
    </w:pPr>
    <w:rPr>
      <w:rFonts w:eastAsiaTheme="minorHAnsi" w:cstheme="minorBidi"/>
    </w:rPr>
  </w:style>
  <w:style w:type="paragraph" w:styleId="BalloonText">
    <w:name w:val="Balloon Text"/>
    <w:basedOn w:val="Normal"/>
    <w:link w:val="BalloonTextChar"/>
    <w:rsid w:val="00D70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705E3"/>
    <w:rPr>
      <w:rFonts w:ascii="Tahoma" w:hAnsi="Tahoma" w:cs="Tahoma"/>
      <w:sz w:val="16"/>
      <w:szCs w:val="16"/>
    </w:rPr>
  </w:style>
  <w:style w:type="character" w:styleId="CommentReference">
    <w:name w:val="annotation reference"/>
    <w:basedOn w:val="DefaultParagraphFont"/>
    <w:rsid w:val="00910E6C"/>
    <w:rPr>
      <w:sz w:val="16"/>
      <w:szCs w:val="16"/>
    </w:rPr>
  </w:style>
  <w:style w:type="paragraph" w:styleId="CommentText">
    <w:name w:val="annotation text"/>
    <w:basedOn w:val="Normal"/>
    <w:link w:val="CommentTextChar"/>
    <w:rsid w:val="00910E6C"/>
    <w:pPr>
      <w:spacing w:line="240" w:lineRule="auto"/>
    </w:pPr>
    <w:rPr>
      <w:szCs w:val="20"/>
    </w:rPr>
  </w:style>
  <w:style w:type="character" w:customStyle="1" w:styleId="CommentTextChar">
    <w:name w:val="Comment Text Char"/>
    <w:basedOn w:val="DefaultParagraphFont"/>
    <w:link w:val="CommentText"/>
    <w:rsid w:val="00910E6C"/>
    <w:rPr>
      <w:rFonts w:ascii="Century Gothic" w:hAnsi="Century Gothic" w:cs="Arial"/>
      <w:sz w:val="20"/>
      <w:szCs w:val="20"/>
    </w:rPr>
  </w:style>
  <w:style w:type="paragraph" w:styleId="CommentSubject">
    <w:name w:val="annotation subject"/>
    <w:basedOn w:val="CommentText"/>
    <w:next w:val="CommentText"/>
    <w:link w:val="CommentSubjectChar"/>
    <w:rsid w:val="00910E6C"/>
    <w:rPr>
      <w:b/>
      <w:bCs/>
    </w:rPr>
  </w:style>
  <w:style w:type="character" w:customStyle="1" w:styleId="CommentSubjectChar">
    <w:name w:val="Comment Subject Char"/>
    <w:basedOn w:val="CommentTextChar"/>
    <w:link w:val="CommentSubject"/>
    <w:rsid w:val="00910E6C"/>
    <w:rPr>
      <w:rFonts w:ascii="Century Gothic" w:hAnsi="Century Gothic" w:cs="Arial"/>
      <w:b/>
      <w:bCs/>
      <w:sz w:val="20"/>
      <w:szCs w:val="20"/>
    </w:rPr>
  </w:style>
  <w:style w:type="character" w:styleId="Hyperlink">
    <w:name w:val="Hyperlink"/>
    <w:basedOn w:val="DefaultParagraphFont"/>
    <w:uiPriority w:val="99"/>
    <w:unhideWhenUsed/>
    <w:rsid w:val="00C612D4"/>
    <w:rPr>
      <w:rFonts w:ascii="Century Gothic" w:hAnsi="Century Gothic"/>
      <w:color w:val="auto"/>
      <w:u w:val="single"/>
    </w:rPr>
  </w:style>
  <w:style w:type="character" w:styleId="Strong">
    <w:name w:val="Strong"/>
    <w:basedOn w:val="DefaultParagraphFont"/>
    <w:rsid w:val="001053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AU"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footnote text" w:uiPriority="99"/>
    <w:lsdException w:name="footnote reference" w:uiPriority="99"/>
    <w:lsdException w:name="Hyperlink" w:uiPriority="99"/>
    <w:lsdException w:name="List Paragraph" w:uiPriority="34" w:qFormat="1"/>
  </w:latentStyles>
  <w:style w:type="paragraph" w:default="1" w:styleId="Normal">
    <w:name w:val="Normal"/>
    <w:qFormat/>
    <w:rsid w:val="00E37F0F"/>
    <w:pPr>
      <w:spacing w:after="240" w:line="300" w:lineRule="auto"/>
    </w:pPr>
    <w:rPr>
      <w:rFonts w:asciiTheme="majorHAnsi" w:hAnsiTheme="majorHAnsi" w:cs="Arial"/>
      <w:sz w:val="22"/>
      <w:szCs w:val="22"/>
    </w:rPr>
  </w:style>
  <w:style w:type="paragraph" w:styleId="Heading1">
    <w:name w:val="heading 1"/>
    <w:basedOn w:val="Normal"/>
    <w:next w:val="Normal"/>
    <w:link w:val="Heading1Char"/>
    <w:autoRedefine/>
    <w:uiPriority w:val="99"/>
    <w:qFormat/>
    <w:rsid w:val="008A4F93"/>
    <w:pPr>
      <w:keepNext/>
      <w:spacing w:after="0" w:line="240" w:lineRule="auto"/>
      <w:outlineLvl w:val="0"/>
    </w:pPr>
    <w:rPr>
      <w:rFonts w:eastAsia="SimSun"/>
      <w:bCs/>
      <w:caps/>
      <w:spacing w:val="-10"/>
      <w:sz w:val="56"/>
      <w:szCs w:val="56"/>
    </w:rPr>
  </w:style>
  <w:style w:type="paragraph" w:styleId="Heading2">
    <w:name w:val="heading 2"/>
    <w:basedOn w:val="Heading1"/>
    <w:next w:val="Normal"/>
    <w:link w:val="Heading2Char"/>
    <w:autoRedefine/>
    <w:uiPriority w:val="99"/>
    <w:qFormat/>
    <w:rsid w:val="00E37F0F"/>
    <w:pPr>
      <w:suppressAutoHyphens/>
      <w:spacing w:before="360" w:after="120" w:line="264" w:lineRule="auto"/>
      <w:outlineLvl w:val="1"/>
    </w:pPr>
    <w:rPr>
      <w:caps w:val="0"/>
      <w:sz w:val="36"/>
    </w:rPr>
  </w:style>
  <w:style w:type="paragraph" w:styleId="Heading3">
    <w:name w:val="heading 3"/>
    <w:basedOn w:val="BodyText"/>
    <w:link w:val="Heading3Char"/>
    <w:uiPriority w:val="99"/>
    <w:qFormat/>
    <w:rsid w:val="00E37F0F"/>
    <w:pPr>
      <w:keepNext/>
      <w:suppressAutoHyphens/>
      <w:spacing w:before="480" w:after="240" w:line="264" w:lineRule="auto"/>
      <w:outlineLvl w:val="2"/>
    </w:pPr>
    <w:rPr>
      <w:b/>
      <w:sz w:val="24"/>
    </w:rPr>
  </w:style>
  <w:style w:type="paragraph" w:styleId="Heading4">
    <w:name w:val="heading 4"/>
    <w:basedOn w:val="Heading3"/>
    <w:next w:val="Normal"/>
    <w:link w:val="Heading4Char"/>
    <w:uiPriority w:val="99"/>
    <w:qFormat/>
    <w:rsid w:val="00A25C99"/>
    <w:pPr>
      <w:spacing w:before="240" w:after="60"/>
      <w:outlineLvl w:val="3"/>
    </w:pPr>
    <w:rPr>
      <w:rFonts w:eastAsia="Times New Roman"/>
      <w:b w:val="0"/>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NoListPara"/>
    <w:uiPriority w:val="99"/>
    <w:semiHidden/>
    <w:unhideWhenUsed/>
  </w:style>
  <w:style w:type="character" w:customStyle="1" w:styleId="Heading1Char">
    <w:name w:val="Heading 1 Char"/>
    <w:basedOn w:val="DefaultParagraphFont"/>
    <w:link w:val="Heading1"/>
    <w:uiPriority w:val="99"/>
    <w:rsid w:val="008A4F93"/>
    <w:rPr>
      <w:rFonts w:ascii="Century Gothic" w:eastAsia="SimSun" w:hAnsi="Century Gothic" w:cs="Arial"/>
      <w:bCs/>
      <w:caps/>
      <w:spacing w:val="-10"/>
      <w:sz w:val="56"/>
      <w:szCs w:val="56"/>
    </w:rPr>
  </w:style>
  <w:style w:type="character" w:customStyle="1" w:styleId="Heading2Char">
    <w:name w:val="Heading 2 Char"/>
    <w:basedOn w:val="DefaultParagraphFont"/>
    <w:link w:val="Heading2"/>
    <w:uiPriority w:val="99"/>
    <w:rsid w:val="00E37F0F"/>
    <w:rPr>
      <w:rFonts w:asciiTheme="majorHAnsi" w:eastAsia="SimSun" w:hAnsiTheme="majorHAnsi" w:cs="Arial"/>
      <w:bCs/>
      <w:spacing w:val="-10"/>
      <w:sz w:val="36"/>
      <w:szCs w:val="56"/>
    </w:rPr>
  </w:style>
  <w:style w:type="character" w:customStyle="1" w:styleId="Heading3Char">
    <w:name w:val="Heading 3 Char"/>
    <w:basedOn w:val="DefaultParagraphFont"/>
    <w:link w:val="Heading3"/>
    <w:uiPriority w:val="99"/>
    <w:rsid w:val="00E37F0F"/>
    <w:rPr>
      <w:rFonts w:ascii="Century Gothic" w:hAnsi="Century Gothic" w:cs="Arial"/>
      <w:b/>
      <w:lang w:eastAsia="en-AU"/>
    </w:rPr>
  </w:style>
  <w:style w:type="character" w:customStyle="1" w:styleId="Heading4Char">
    <w:name w:val="Heading 4 Char"/>
    <w:basedOn w:val="DefaultParagraphFont"/>
    <w:link w:val="Heading4"/>
    <w:uiPriority w:val="99"/>
    <w:rsid w:val="00A25C99"/>
    <w:rPr>
      <w:rFonts w:ascii="Century Gothic" w:eastAsia="Times New Roman" w:hAnsi="Century Gothic" w:cs="Arial"/>
      <w:b/>
      <w:bCs/>
      <w:szCs w:val="28"/>
      <w:lang w:eastAsia="en-AU"/>
    </w:rPr>
  </w:style>
  <w:style w:type="paragraph" w:styleId="BodyText">
    <w:name w:val="Body Text"/>
    <w:basedOn w:val="Normal"/>
    <w:link w:val="BodyTextChar"/>
    <w:uiPriority w:val="99"/>
    <w:rsid w:val="00B141A1"/>
    <w:pPr>
      <w:spacing w:after="200"/>
    </w:pPr>
    <w:rPr>
      <w:szCs w:val="24"/>
      <w:lang w:eastAsia="en-AU"/>
    </w:rPr>
  </w:style>
  <w:style w:type="character" w:customStyle="1" w:styleId="BodyTextChar">
    <w:name w:val="Body Text Char"/>
    <w:basedOn w:val="DefaultParagraphFont"/>
    <w:link w:val="BodyText"/>
    <w:uiPriority w:val="99"/>
    <w:rsid w:val="00B141A1"/>
    <w:rPr>
      <w:rFonts w:ascii="Helvetica Neue Light" w:hAnsi="Helvetica Neue Light" w:cs="Arial"/>
      <w:spacing w:val="2"/>
      <w:sz w:val="22"/>
      <w:szCs w:val="24"/>
      <w:lang w:eastAsia="en-AU"/>
    </w:rPr>
  </w:style>
  <w:style w:type="paragraph" w:styleId="BodyTextIndent2">
    <w:name w:val="Body Text Indent 2"/>
    <w:basedOn w:val="BodyText"/>
    <w:link w:val="BodyTextIndent2Char"/>
    <w:uiPriority w:val="99"/>
    <w:unhideWhenUsed/>
    <w:rsid w:val="00165CA0"/>
    <w:pPr>
      <w:spacing w:line="312" w:lineRule="auto"/>
      <w:ind w:left="284"/>
    </w:pPr>
  </w:style>
  <w:style w:type="character" w:customStyle="1" w:styleId="BodyTextIndent2Char">
    <w:name w:val="Body Text Indent 2 Char"/>
    <w:basedOn w:val="DefaultParagraphFont"/>
    <w:link w:val="BodyTextIndent2"/>
    <w:uiPriority w:val="99"/>
    <w:rsid w:val="00165CA0"/>
    <w:rPr>
      <w:rFonts w:ascii="Helvetica Neue Light" w:hAnsi="Helvetica Neue Light" w:cs="Arial"/>
      <w:spacing w:val="2"/>
      <w:sz w:val="24"/>
      <w:szCs w:val="24"/>
      <w:lang w:eastAsia="en-AU"/>
    </w:rPr>
  </w:style>
  <w:style w:type="paragraph" w:styleId="Header">
    <w:name w:val="header"/>
    <w:basedOn w:val="Normal"/>
    <w:link w:val="HeaderChar"/>
    <w:rsid w:val="009850DA"/>
    <w:pPr>
      <w:tabs>
        <w:tab w:val="center" w:pos="4320"/>
        <w:tab w:val="right" w:pos="8640"/>
      </w:tabs>
    </w:pPr>
  </w:style>
  <w:style w:type="character" w:customStyle="1" w:styleId="HeaderChar">
    <w:name w:val="Header Char"/>
    <w:basedOn w:val="DefaultParagraphFont"/>
    <w:link w:val="Header"/>
    <w:rsid w:val="009850DA"/>
    <w:rPr>
      <w:rFonts w:ascii="Helvetica Neue Light" w:hAnsi="Helvetica Neue Light" w:cs="Arial"/>
      <w:spacing w:val="2"/>
      <w:sz w:val="24"/>
      <w:szCs w:val="22"/>
    </w:rPr>
  </w:style>
  <w:style w:type="paragraph" w:styleId="Footer">
    <w:name w:val="footer"/>
    <w:basedOn w:val="Normal"/>
    <w:link w:val="FooterChar"/>
    <w:rsid w:val="009850DA"/>
    <w:pPr>
      <w:tabs>
        <w:tab w:val="center" w:pos="4320"/>
        <w:tab w:val="right" w:pos="8640"/>
      </w:tabs>
    </w:pPr>
  </w:style>
  <w:style w:type="character" w:customStyle="1" w:styleId="FooterChar">
    <w:name w:val="Footer Char"/>
    <w:basedOn w:val="DefaultParagraphFont"/>
    <w:link w:val="Footer"/>
    <w:rsid w:val="009850DA"/>
    <w:rPr>
      <w:rFonts w:ascii="Helvetica Neue Light" w:hAnsi="Helvetica Neue Light" w:cs="Arial"/>
      <w:spacing w:val="2"/>
      <w:sz w:val="24"/>
      <w:szCs w:val="22"/>
    </w:rPr>
  </w:style>
  <w:style w:type="character" w:styleId="PageNumber">
    <w:name w:val="page number"/>
    <w:basedOn w:val="DefaultParagraphFont"/>
    <w:rsid w:val="009850DA"/>
  </w:style>
  <w:style w:type="paragraph" w:customStyle="1" w:styleId="Heading3ExcludeTOC">
    <w:name w:val="Heading 3 (Exclude TOC)"/>
    <w:basedOn w:val="Heading3"/>
    <w:link w:val="Heading3ExcludeTOCChar"/>
    <w:qFormat/>
    <w:rsid w:val="00707F9B"/>
  </w:style>
  <w:style w:type="paragraph" w:styleId="TOC2">
    <w:name w:val="toc 2"/>
    <w:basedOn w:val="Normal"/>
    <w:next w:val="Normal"/>
    <w:autoRedefine/>
    <w:uiPriority w:val="39"/>
    <w:rsid w:val="00105320"/>
    <w:pPr>
      <w:tabs>
        <w:tab w:val="right" w:leader="dot" w:pos="9628"/>
      </w:tabs>
      <w:spacing w:after="0"/>
      <w:ind w:left="340"/>
    </w:pPr>
  </w:style>
  <w:style w:type="paragraph" w:styleId="TOC1">
    <w:name w:val="toc 1"/>
    <w:basedOn w:val="Normal"/>
    <w:next w:val="Normal"/>
    <w:autoRedefine/>
    <w:uiPriority w:val="39"/>
    <w:rsid w:val="00105320"/>
    <w:pPr>
      <w:tabs>
        <w:tab w:val="right" w:leader="dot" w:pos="9628"/>
      </w:tabs>
      <w:spacing w:after="0"/>
    </w:pPr>
    <w:rPr>
      <w:b/>
    </w:rPr>
  </w:style>
  <w:style w:type="paragraph" w:styleId="TOC3">
    <w:name w:val="toc 3"/>
    <w:basedOn w:val="Normal"/>
    <w:next w:val="Normal"/>
    <w:autoRedefine/>
    <w:uiPriority w:val="39"/>
    <w:rsid w:val="009850DA"/>
    <w:pPr>
      <w:ind w:left="480"/>
    </w:pPr>
  </w:style>
  <w:style w:type="paragraph" w:styleId="TOC4">
    <w:name w:val="toc 4"/>
    <w:basedOn w:val="Normal"/>
    <w:next w:val="Normal"/>
    <w:autoRedefine/>
    <w:rsid w:val="009850DA"/>
    <w:pPr>
      <w:ind w:left="720"/>
    </w:pPr>
  </w:style>
  <w:style w:type="paragraph" w:styleId="TOC5">
    <w:name w:val="toc 5"/>
    <w:basedOn w:val="Normal"/>
    <w:next w:val="Normal"/>
    <w:autoRedefine/>
    <w:rsid w:val="009850DA"/>
    <w:pPr>
      <w:ind w:left="960"/>
    </w:pPr>
  </w:style>
  <w:style w:type="paragraph" w:styleId="TOC6">
    <w:name w:val="toc 6"/>
    <w:basedOn w:val="Normal"/>
    <w:next w:val="Normal"/>
    <w:autoRedefine/>
    <w:rsid w:val="009850DA"/>
    <w:pPr>
      <w:ind w:left="1200"/>
    </w:pPr>
  </w:style>
  <w:style w:type="paragraph" w:styleId="TOC7">
    <w:name w:val="toc 7"/>
    <w:basedOn w:val="Normal"/>
    <w:next w:val="Normal"/>
    <w:autoRedefine/>
    <w:rsid w:val="009850DA"/>
    <w:pPr>
      <w:ind w:left="1440"/>
    </w:pPr>
  </w:style>
  <w:style w:type="paragraph" w:styleId="TOC8">
    <w:name w:val="toc 8"/>
    <w:basedOn w:val="Normal"/>
    <w:next w:val="Normal"/>
    <w:autoRedefine/>
    <w:rsid w:val="009850DA"/>
    <w:pPr>
      <w:ind w:left="1680"/>
    </w:pPr>
  </w:style>
  <w:style w:type="paragraph" w:styleId="TOC9">
    <w:name w:val="toc 9"/>
    <w:basedOn w:val="Normal"/>
    <w:next w:val="Normal"/>
    <w:autoRedefine/>
    <w:rsid w:val="009850DA"/>
    <w:pPr>
      <w:ind w:left="1920"/>
    </w:pPr>
  </w:style>
  <w:style w:type="paragraph" w:styleId="FootnoteText">
    <w:name w:val="footnote text"/>
    <w:basedOn w:val="Normal"/>
    <w:link w:val="FootnoteTextChar"/>
    <w:autoRedefine/>
    <w:uiPriority w:val="99"/>
    <w:rsid w:val="00E37F0F"/>
    <w:pPr>
      <w:spacing w:after="60" w:line="240" w:lineRule="auto"/>
    </w:pPr>
    <w:rPr>
      <w:sz w:val="16"/>
      <w:szCs w:val="24"/>
    </w:rPr>
  </w:style>
  <w:style w:type="character" w:customStyle="1" w:styleId="FootnoteTextChar">
    <w:name w:val="Footnote Text Char"/>
    <w:basedOn w:val="DefaultParagraphFont"/>
    <w:link w:val="FootnoteText"/>
    <w:uiPriority w:val="99"/>
    <w:rsid w:val="00E37F0F"/>
    <w:rPr>
      <w:rFonts w:ascii="Century Gothic" w:hAnsi="Century Gothic" w:cs="Arial"/>
      <w:sz w:val="16"/>
    </w:rPr>
  </w:style>
  <w:style w:type="character" w:styleId="FootnoteReference">
    <w:name w:val="footnote reference"/>
    <w:basedOn w:val="DefaultParagraphFont"/>
    <w:uiPriority w:val="99"/>
    <w:rsid w:val="00D163F2"/>
    <w:rPr>
      <w:vertAlign w:val="superscript"/>
    </w:rPr>
  </w:style>
  <w:style w:type="character" w:customStyle="1" w:styleId="Heading3ExcludeTOCChar">
    <w:name w:val="Heading 3 (Exclude TOC) Char"/>
    <w:basedOn w:val="Heading3Char"/>
    <w:link w:val="Heading3ExcludeTOC"/>
    <w:rsid w:val="00707F9B"/>
    <w:rPr>
      <w:rFonts w:ascii="Century Gothic" w:hAnsi="Century Gothic" w:cs="Arial"/>
      <w:b/>
      <w:sz w:val="36"/>
      <w:lang w:eastAsia="en-AU"/>
    </w:rPr>
  </w:style>
  <w:style w:type="paragraph" w:customStyle="1" w:styleId="Heading2ExcludeTOC">
    <w:name w:val="Heading 2 (Exclude TOC)"/>
    <w:basedOn w:val="Heading2"/>
    <w:link w:val="Heading2ExcludeTOCChar"/>
    <w:qFormat/>
    <w:rsid w:val="00707F9B"/>
  </w:style>
  <w:style w:type="paragraph" w:styleId="Caption">
    <w:name w:val="caption"/>
    <w:basedOn w:val="Normal"/>
    <w:next w:val="Normal"/>
    <w:rsid w:val="00EF0D7A"/>
    <w:pPr>
      <w:spacing w:after="360"/>
    </w:pPr>
    <w:rPr>
      <w:b/>
      <w:bCs/>
      <w:szCs w:val="20"/>
    </w:rPr>
  </w:style>
  <w:style w:type="table" w:styleId="TableGrid">
    <w:name w:val="Table Grid"/>
    <w:aliases w:val="Table (coloured)"/>
    <w:basedOn w:val="TableNormal"/>
    <w:rsid w:val="00A6200A"/>
    <w:tblPr>
      <w:tblInd w:w="0" w:type="dxa"/>
      <w:tblBorders>
        <w:insideH w:val="single" w:sz="18" w:space="0" w:color="F2F2F2" w:themeColor="background1" w:themeShade="F2"/>
        <w:insideV w:val="single" w:sz="18" w:space="0" w:color="F2F2F2" w:themeColor="background1" w:themeShade="F2"/>
      </w:tblBorders>
      <w:tblCellMar>
        <w:top w:w="108" w:type="dxa"/>
        <w:left w:w="108" w:type="dxa"/>
        <w:bottom w:w="108" w:type="dxa"/>
        <w:right w:w="108" w:type="dxa"/>
      </w:tblCellMar>
    </w:tblPr>
    <w:tcPr>
      <w:shd w:val="clear" w:color="auto" w:fill="auto"/>
      <w:vAlign w:val="center"/>
    </w:tcPr>
    <w:tblStylePr w:type="firstRow">
      <w:rPr>
        <w:b/>
      </w:rPr>
      <w:tblPr/>
      <w:tcPr>
        <w:shd w:val="clear" w:color="auto" w:fill="BACFF6"/>
      </w:tcPr>
    </w:tblStylePr>
  </w:style>
  <w:style w:type="paragraph" w:customStyle="1" w:styleId="Table-Text">
    <w:name w:val="Table - Text"/>
    <w:basedOn w:val="BodyText"/>
    <w:qFormat/>
    <w:rsid w:val="008F4B31"/>
    <w:pPr>
      <w:spacing w:before="60" w:after="60" w:line="240" w:lineRule="auto"/>
    </w:pPr>
  </w:style>
  <w:style w:type="paragraph" w:customStyle="1" w:styleId="Table-HeaderText">
    <w:name w:val="Table - Header Text"/>
    <w:basedOn w:val="Normal"/>
    <w:qFormat/>
    <w:rsid w:val="008F4B31"/>
    <w:pPr>
      <w:spacing w:before="60" w:after="60"/>
    </w:pPr>
    <w:rPr>
      <w:rFonts w:ascii="Helvetica Neue" w:hAnsi="Helvetica Neue"/>
    </w:rPr>
  </w:style>
  <w:style w:type="character" w:customStyle="1" w:styleId="Heading2ExcludeTOCChar">
    <w:name w:val="Heading 2 (Exclude TOC) Char"/>
    <w:basedOn w:val="Heading3Char"/>
    <w:link w:val="Heading2ExcludeTOC"/>
    <w:rsid w:val="00707F9B"/>
    <w:rPr>
      <w:rFonts w:ascii="Century Gothic" w:hAnsi="Century Gothic" w:cs="Arial"/>
      <w:b/>
      <w:sz w:val="36"/>
      <w:lang w:eastAsia="en-AU"/>
    </w:rPr>
  </w:style>
  <w:style w:type="paragraph" w:customStyle="1" w:styleId="Normaltextnospaceafter">
    <w:name w:val="Normal text (no space after)"/>
    <w:basedOn w:val="Normal"/>
    <w:qFormat/>
    <w:rsid w:val="00510F45"/>
    <w:pPr>
      <w:spacing w:after="0"/>
    </w:pPr>
  </w:style>
  <w:style w:type="paragraph" w:customStyle="1" w:styleId="Normaltextfortables">
    <w:name w:val="Normal text (for tables)"/>
    <w:basedOn w:val="Normal"/>
    <w:qFormat/>
    <w:rsid w:val="00507345"/>
    <w:pPr>
      <w:spacing w:after="0" w:line="264" w:lineRule="auto"/>
    </w:pPr>
  </w:style>
  <w:style w:type="paragraph" w:customStyle="1" w:styleId="Heading2nospacingabove">
    <w:name w:val="Heading 2 (no spacing above)"/>
    <w:basedOn w:val="Heading2"/>
    <w:link w:val="Heading2nospacingaboveChar"/>
    <w:qFormat/>
    <w:rsid w:val="00E37F0F"/>
    <w:pPr>
      <w:spacing w:before="0"/>
    </w:pPr>
  </w:style>
  <w:style w:type="character" w:customStyle="1" w:styleId="Heading2nospacingaboveChar">
    <w:name w:val="Heading 2 (no spacing above) Char"/>
    <w:basedOn w:val="Heading2Char"/>
    <w:link w:val="Heading2nospacingabove"/>
    <w:rsid w:val="00E37F0F"/>
    <w:rPr>
      <w:rFonts w:asciiTheme="majorHAnsi" w:eastAsia="SimSun" w:hAnsiTheme="majorHAnsi" w:cs="Arial"/>
      <w:bCs/>
      <w:spacing w:val="-10"/>
      <w:sz w:val="36"/>
      <w:szCs w:val="56"/>
    </w:rPr>
  </w:style>
  <w:style w:type="paragraph" w:customStyle="1" w:styleId="Heading3nospacingabove">
    <w:name w:val="Heading 3 (no spacing above)"/>
    <w:basedOn w:val="Heading3"/>
    <w:link w:val="Heading3nospacingaboveChar"/>
    <w:qFormat/>
    <w:rsid w:val="00E37F0F"/>
    <w:pPr>
      <w:spacing w:before="0"/>
    </w:pPr>
    <w:rPr>
      <w:b w:val="0"/>
    </w:rPr>
  </w:style>
  <w:style w:type="character" w:customStyle="1" w:styleId="Heading3nospacingaboveChar">
    <w:name w:val="Heading 3 (no spacing above) Char"/>
    <w:basedOn w:val="Heading4Char"/>
    <w:link w:val="Heading3nospacingabove"/>
    <w:rsid w:val="00E37F0F"/>
    <w:rPr>
      <w:rFonts w:ascii="Century Gothic" w:eastAsia="Times New Roman" w:hAnsi="Century Gothic" w:cs="Arial"/>
      <w:b/>
      <w:bCs w:val="0"/>
      <w:szCs w:val="28"/>
      <w:lang w:eastAsia="en-AU"/>
    </w:rPr>
  </w:style>
  <w:style w:type="paragraph" w:customStyle="1" w:styleId="Heading4nospacingabove">
    <w:name w:val="Heading 4 (no spacing above)"/>
    <w:basedOn w:val="Heading4"/>
    <w:link w:val="Heading4nospacingaboveChar"/>
    <w:qFormat/>
    <w:rsid w:val="00C375BF"/>
    <w:pPr>
      <w:spacing w:before="0"/>
    </w:pPr>
  </w:style>
  <w:style w:type="character" w:customStyle="1" w:styleId="Heading4nospacingaboveChar">
    <w:name w:val="Heading 4 (no spacing above) Char"/>
    <w:basedOn w:val="Heading4Char"/>
    <w:link w:val="Heading4nospacingabove"/>
    <w:rsid w:val="00C375BF"/>
    <w:rPr>
      <w:rFonts w:ascii="Century Gothic" w:eastAsia="Times New Roman" w:hAnsi="Century Gothic" w:cs="Arial"/>
      <w:b/>
      <w:bCs/>
      <w:szCs w:val="28"/>
      <w:lang w:eastAsia="en-AU"/>
    </w:rPr>
  </w:style>
  <w:style w:type="numbering" w:customStyle="1" w:styleId="BulletList">
    <w:name w:val="Bullet List"/>
    <w:basedOn w:val="NoList"/>
    <w:link w:val="BulletListPara"/>
    <w:rsid w:val="00C20EAA"/>
    <w:pPr>
      <w:numPr>
        <w:numId w:val="12"/>
      </w:numPr>
    </w:pPr>
  </w:style>
  <w:style w:type="paragraph" w:customStyle="1" w:styleId="NoListPara">
    <w:name w:val="No List Para"/>
    <w:basedOn w:val="Normal"/>
    <w:link w:val="NoList"/>
    <w:rsid w:val="00C20EAA"/>
  </w:style>
  <w:style w:type="paragraph" w:customStyle="1" w:styleId="BulletListPara">
    <w:name w:val="Bullet List Para"/>
    <w:basedOn w:val="NoListPara"/>
    <w:link w:val="BulletList"/>
    <w:rsid w:val="00C20EAA"/>
  </w:style>
  <w:style w:type="paragraph" w:styleId="ListParagraph">
    <w:name w:val="List Paragraph"/>
    <w:basedOn w:val="Normal"/>
    <w:uiPriority w:val="34"/>
    <w:qFormat/>
    <w:rsid w:val="00E37F0F"/>
    <w:pPr>
      <w:spacing w:after="200" w:line="276" w:lineRule="auto"/>
      <w:ind w:left="720"/>
      <w:contextualSpacing/>
    </w:pPr>
    <w:rPr>
      <w:rFonts w:eastAsiaTheme="minorHAnsi" w:cstheme="minorBidi"/>
    </w:rPr>
  </w:style>
  <w:style w:type="paragraph" w:styleId="BalloonText">
    <w:name w:val="Balloon Text"/>
    <w:basedOn w:val="Normal"/>
    <w:link w:val="BalloonTextChar"/>
    <w:rsid w:val="00D70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705E3"/>
    <w:rPr>
      <w:rFonts w:ascii="Tahoma" w:hAnsi="Tahoma" w:cs="Tahoma"/>
      <w:sz w:val="16"/>
      <w:szCs w:val="16"/>
    </w:rPr>
  </w:style>
  <w:style w:type="character" w:styleId="CommentReference">
    <w:name w:val="annotation reference"/>
    <w:basedOn w:val="DefaultParagraphFont"/>
    <w:rsid w:val="00910E6C"/>
    <w:rPr>
      <w:sz w:val="16"/>
      <w:szCs w:val="16"/>
    </w:rPr>
  </w:style>
  <w:style w:type="paragraph" w:styleId="CommentText">
    <w:name w:val="annotation text"/>
    <w:basedOn w:val="Normal"/>
    <w:link w:val="CommentTextChar"/>
    <w:rsid w:val="00910E6C"/>
    <w:pPr>
      <w:spacing w:line="240" w:lineRule="auto"/>
    </w:pPr>
    <w:rPr>
      <w:szCs w:val="20"/>
    </w:rPr>
  </w:style>
  <w:style w:type="character" w:customStyle="1" w:styleId="CommentTextChar">
    <w:name w:val="Comment Text Char"/>
    <w:basedOn w:val="DefaultParagraphFont"/>
    <w:link w:val="CommentText"/>
    <w:rsid w:val="00910E6C"/>
    <w:rPr>
      <w:rFonts w:ascii="Century Gothic" w:hAnsi="Century Gothic" w:cs="Arial"/>
      <w:sz w:val="20"/>
      <w:szCs w:val="20"/>
    </w:rPr>
  </w:style>
  <w:style w:type="paragraph" w:styleId="CommentSubject">
    <w:name w:val="annotation subject"/>
    <w:basedOn w:val="CommentText"/>
    <w:next w:val="CommentText"/>
    <w:link w:val="CommentSubjectChar"/>
    <w:rsid w:val="00910E6C"/>
    <w:rPr>
      <w:b/>
      <w:bCs/>
    </w:rPr>
  </w:style>
  <w:style w:type="character" w:customStyle="1" w:styleId="CommentSubjectChar">
    <w:name w:val="Comment Subject Char"/>
    <w:basedOn w:val="CommentTextChar"/>
    <w:link w:val="CommentSubject"/>
    <w:rsid w:val="00910E6C"/>
    <w:rPr>
      <w:rFonts w:ascii="Century Gothic" w:hAnsi="Century Gothic" w:cs="Arial"/>
      <w:b/>
      <w:bCs/>
      <w:sz w:val="20"/>
      <w:szCs w:val="20"/>
    </w:rPr>
  </w:style>
  <w:style w:type="character" w:styleId="Hyperlink">
    <w:name w:val="Hyperlink"/>
    <w:basedOn w:val="DefaultParagraphFont"/>
    <w:uiPriority w:val="99"/>
    <w:unhideWhenUsed/>
    <w:rsid w:val="00C612D4"/>
    <w:rPr>
      <w:rFonts w:ascii="Century Gothic" w:hAnsi="Century Gothic"/>
      <w:color w:val="auto"/>
      <w:u w:val="single"/>
    </w:rPr>
  </w:style>
  <w:style w:type="character" w:styleId="Strong">
    <w:name w:val="Strong"/>
    <w:basedOn w:val="DefaultParagraphFont"/>
    <w:rsid w:val="001053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foi.deewr.gov.au/node/326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72733-2EC8-4AC6-B767-C6E2B3FE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3066</Words>
  <Characters>17417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Submission 27 - Victorian Council of Social Service (VCOSS) - Geographic Labour Mobility - Commissioned study</vt:lpstr>
    </vt:vector>
  </TitlesOfParts>
  <Company>Victorian Council of Social Service (VCOSS)</Company>
  <LinksUpToDate>false</LinksUpToDate>
  <CharactersWithSpaces>20397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27 - Victorian Council of Social Service (VCOSS) - Geographic Labour Mobility - Commissioned study</dc:title>
  <dc:creator>Victorian Council of Social Service (VCOSS)</dc:creator>
  <cp:lastModifiedBy>Productivity Commission</cp:lastModifiedBy>
  <cp:revision>2</cp:revision>
  <cp:lastPrinted>2013-09-04T00:31:00Z</cp:lastPrinted>
  <dcterms:created xsi:type="dcterms:W3CDTF">2013-09-06T02:27:00Z</dcterms:created>
  <dcterms:modified xsi:type="dcterms:W3CDTF">2013-09-06T02:27:00Z</dcterms:modified>
</cp:coreProperties>
</file>