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51" w:rsidRPr="00A026D2" w:rsidRDefault="00B8438E">
      <w:pPr>
        <w:rPr>
          <w:sz w:val="20"/>
          <w:szCs w:val="20"/>
        </w:rPr>
      </w:pPr>
      <w:bookmarkStart w:id="0" w:name="_GoBack"/>
      <w:bookmarkEnd w:id="0"/>
      <w:r w:rsidRPr="00A026D2">
        <w:rPr>
          <w:sz w:val="20"/>
          <w:szCs w:val="20"/>
        </w:rPr>
        <w:t xml:space="preserve"> </w:t>
      </w:r>
      <w:r w:rsidR="00F12268">
        <w:rPr>
          <w:sz w:val="20"/>
          <w:szCs w:val="20"/>
        </w:rPr>
        <w:t xml:space="preserve">14 </w:t>
      </w:r>
      <w:r w:rsidRPr="00A026D2">
        <w:rPr>
          <w:sz w:val="20"/>
          <w:szCs w:val="20"/>
        </w:rPr>
        <w:t>February 2017</w:t>
      </w:r>
    </w:p>
    <w:p w:rsidR="00B8438E" w:rsidRPr="00A026D2" w:rsidRDefault="00B8438E">
      <w:pPr>
        <w:rPr>
          <w:sz w:val="20"/>
          <w:szCs w:val="20"/>
        </w:rPr>
      </w:pPr>
    </w:p>
    <w:p w:rsidR="00B8438E" w:rsidRPr="00A026D2" w:rsidRDefault="00B8438E">
      <w:pPr>
        <w:rPr>
          <w:sz w:val="20"/>
          <w:szCs w:val="20"/>
        </w:rPr>
      </w:pPr>
    </w:p>
    <w:p w:rsidR="00B8438E" w:rsidRPr="00A026D2" w:rsidRDefault="00B8438E" w:rsidP="00B8438E">
      <w:pPr>
        <w:spacing w:after="0"/>
        <w:rPr>
          <w:sz w:val="20"/>
          <w:szCs w:val="20"/>
        </w:rPr>
      </w:pPr>
      <w:r w:rsidRPr="00A026D2">
        <w:rPr>
          <w:sz w:val="20"/>
          <w:szCs w:val="20"/>
        </w:rPr>
        <w:t xml:space="preserve">Paul </w:t>
      </w:r>
      <w:proofErr w:type="spellStart"/>
      <w:r w:rsidRPr="00A026D2">
        <w:rPr>
          <w:sz w:val="20"/>
          <w:szCs w:val="20"/>
        </w:rPr>
        <w:t>Lindwall</w:t>
      </w:r>
      <w:proofErr w:type="spellEnd"/>
      <w:r w:rsidRPr="00A026D2">
        <w:rPr>
          <w:sz w:val="20"/>
          <w:szCs w:val="20"/>
        </w:rPr>
        <w:t xml:space="preserve"> Commissioner</w:t>
      </w:r>
    </w:p>
    <w:p w:rsidR="00B8438E" w:rsidRPr="00A026D2" w:rsidRDefault="00B8438E" w:rsidP="00B8438E">
      <w:pPr>
        <w:spacing w:after="0"/>
        <w:rPr>
          <w:sz w:val="20"/>
          <w:szCs w:val="20"/>
        </w:rPr>
      </w:pPr>
      <w:r w:rsidRPr="00A026D2">
        <w:rPr>
          <w:sz w:val="20"/>
          <w:szCs w:val="20"/>
        </w:rPr>
        <w:t>GPO Box 1428</w:t>
      </w:r>
    </w:p>
    <w:p w:rsidR="00B8438E" w:rsidRPr="00A026D2" w:rsidRDefault="00B8438E" w:rsidP="00B8438E">
      <w:pPr>
        <w:spacing w:after="0"/>
        <w:rPr>
          <w:sz w:val="20"/>
          <w:szCs w:val="20"/>
        </w:rPr>
      </w:pPr>
      <w:r w:rsidRPr="00A026D2">
        <w:rPr>
          <w:sz w:val="20"/>
          <w:szCs w:val="20"/>
        </w:rPr>
        <w:t xml:space="preserve">Canberra ACT 2601 </w:t>
      </w:r>
    </w:p>
    <w:p w:rsidR="00B8438E" w:rsidRPr="00A026D2" w:rsidRDefault="00B8438E" w:rsidP="00B8438E">
      <w:pPr>
        <w:spacing w:after="0"/>
        <w:rPr>
          <w:sz w:val="20"/>
          <w:szCs w:val="20"/>
        </w:rPr>
      </w:pPr>
      <w:r w:rsidRPr="00A026D2">
        <w:rPr>
          <w:sz w:val="20"/>
          <w:szCs w:val="20"/>
        </w:rPr>
        <w:t xml:space="preserve">By email: </w:t>
      </w:r>
      <w:hyperlink r:id="rId15" w:history="1">
        <w:r w:rsidRPr="00A026D2">
          <w:rPr>
            <w:rStyle w:val="Hyperlink"/>
            <w:sz w:val="20"/>
            <w:szCs w:val="20"/>
          </w:rPr>
          <w:t>telecommunications@pc.gov.au</w:t>
        </w:r>
      </w:hyperlink>
    </w:p>
    <w:p w:rsidR="00B8438E" w:rsidRPr="00A026D2" w:rsidRDefault="00B8438E" w:rsidP="00B8438E">
      <w:pPr>
        <w:spacing w:after="0"/>
        <w:rPr>
          <w:sz w:val="20"/>
          <w:szCs w:val="20"/>
        </w:rPr>
      </w:pPr>
    </w:p>
    <w:p w:rsidR="00B8438E" w:rsidRPr="00A026D2" w:rsidRDefault="00B8438E" w:rsidP="00B8438E">
      <w:pPr>
        <w:spacing w:after="0"/>
        <w:rPr>
          <w:sz w:val="20"/>
          <w:szCs w:val="20"/>
        </w:rPr>
      </w:pPr>
    </w:p>
    <w:p w:rsidR="00B8438E" w:rsidRPr="00A026D2" w:rsidRDefault="00B8438E" w:rsidP="00B8438E">
      <w:pPr>
        <w:spacing w:after="0"/>
        <w:rPr>
          <w:sz w:val="20"/>
          <w:szCs w:val="20"/>
        </w:rPr>
      </w:pPr>
      <w:r w:rsidRPr="00A026D2">
        <w:rPr>
          <w:sz w:val="20"/>
          <w:szCs w:val="20"/>
        </w:rPr>
        <w:t xml:space="preserve">Dear Mr </w:t>
      </w:r>
      <w:proofErr w:type="spellStart"/>
      <w:r w:rsidRPr="00A026D2">
        <w:rPr>
          <w:sz w:val="20"/>
          <w:szCs w:val="20"/>
        </w:rPr>
        <w:t>Lindwall</w:t>
      </w:r>
      <w:proofErr w:type="spellEnd"/>
      <w:r w:rsidRPr="00A026D2">
        <w:rPr>
          <w:sz w:val="20"/>
          <w:szCs w:val="20"/>
        </w:rPr>
        <w:t xml:space="preserve">, </w:t>
      </w:r>
    </w:p>
    <w:p w:rsidR="00B8438E" w:rsidRPr="00A026D2" w:rsidRDefault="00B8438E" w:rsidP="00B8438E">
      <w:pPr>
        <w:spacing w:after="0"/>
        <w:rPr>
          <w:sz w:val="20"/>
          <w:szCs w:val="20"/>
        </w:rPr>
      </w:pPr>
    </w:p>
    <w:p w:rsidR="00B8438E" w:rsidRPr="00A026D2" w:rsidRDefault="00B8438E" w:rsidP="00B8438E">
      <w:pPr>
        <w:spacing w:after="0"/>
        <w:ind w:firstLine="720"/>
        <w:rPr>
          <w:b/>
          <w:sz w:val="20"/>
          <w:szCs w:val="20"/>
        </w:rPr>
      </w:pPr>
      <w:r w:rsidRPr="00A026D2">
        <w:rPr>
          <w:b/>
          <w:sz w:val="20"/>
          <w:szCs w:val="20"/>
        </w:rPr>
        <w:t>Re: Telecommunications Universal Service Obligation Inquiry</w:t>
      </w:r>
    </w:p>
    <w:p w:rsidR="00B8438E" w:rsidRPr="00A026D2" w:rsidRDefault="00B8438E" w:rsidP="00B8438E">
      <w:pPr>
        <w:spacing w:after="0"/>
        <w:rPr>
          <w:sz w:val="20"/>
          <w:szCs w:val="20"/>
        </w:rPr>
      </w:pPr>
    </w:p>
    <w:p w:rsidR="00B8438E" w:rsidRPr="00A026D2" w:rsidRDefault="00B8438E" w:rsidP="00B8438E">
      <w:pPr>
        <w:spacing w:after="0"/>
        <w:rPr>
          <w:sz w:val="20"/>
          <w:szCs w:val="20"/>
        </w:rPr>
      </w:pPr>
      <w:r w:rsidRPr="00A026D2">
        <w:rPr>
          <w:sz w:val="20"/>
          <w:szCs w:val="20"/>
        </w:rPr>
        <w:t xml:space="preserve">Thank you for the opportunity to comment on the Productivity Commission's draft report, dated November 2016, in respect of the above inquiry. I am writing as a private citizen sensitive to pulsed radio frequency electromagnetic radiation </w:t>
      </w:r>
      <w:r w:rsidR="0002507F" w:rsidRPr="00A026D2">
        <w:rPr>
          <w:sz w:val="20"/>
          <w:szCs w:val="20"/>
        </w:rPr>
        <w:t xml:space="preserve">(EMR) </w:t>
      </w:r>
      <w:r w:rsidRPr="00A026D2">
        <w:rPr>
          <w:sz w:val="20"/>
          <w:szCs w:val="20"/>
        </w:rPr>
        <w:t xml:space="preserve">used for </w:t>
      </w:r>
      <w:r w:rsidR="00D90E24" w:rsidRPr="00A026D2">
        <w:rPr>
          <w:sz w:val="20"/>
          <w:szCs w:val="20"/>
        </w:rPr>
        <w:t>digital communication networks</w:t>
      </w:r>
      <w:r w:rsidR="00902F31">
        <w:rPr>
          <w:sz w:val="20"/>
          <w:szCs w:val="20"/>
        </w:rPr>
        <w:t xml:space="preserve"> and other purposes</w:t>
      </w:r>
      <w:r w:rsidR="00A368C8" w:rsidRPr="00A026D2">
        <w:rPr>
          <w:sz w:val="20"/>
          <w:szCs w:val="20"/>
        </w:rPr>
        <w:t>, and as such someone</w:t>
      </w:r>
      <w:r w:rsidR="00D90E24" w:rsidRPr="00A026D2">
        <w:rPr>
          <w:sz w:val="20"/>
          <w:szCs w:val="20"/>
        </w:rPr>
        <w:t xml:space="preserve"> who relies on a home landline for work purposes and social communications.</w:t>
      </w:r>
    </w:p>
    <w:p w:rsidR="00B8438E" w:rsidRPr="00A026D2" w:rsidRDefault="00B8438E" w:rsidP="00B8438E">
      <w:pPr>
        <w:spacing w:after="0"/>
        <w:rPr>
          <w:sz w:val="20"/>
          <w:szCs w:val="20"/>
        </w:rPr>
      </w:pPr>
    </w:p>
    <w:p w:rsidR="00D90E24" w:rsidRPr="00A026D2" w:rsidRDefault="00D90E24" w:rsidP="00B8438E">
      <w:pPr>
        <w:spacing w:after="0"/>
        <w:rPr>
          <w:sz w:val="20"/>
          <w:szCs w:val="20"/>
          <w:u w:val="single"/>
        </w:rPr>
      </w:pPr>
      <w:r w:rsidRPr="00A026D2">
        <w:rPr>
          <w:sz w:val="20"/>
          <w:szCs w:val="20"/>
          <w:u w:val="single"/>
        </w:rPr>
        <w:t>Background</w:t>
      </w:r>
    </w:p>
    <w:p w:rsidR="0002507F" w:rsidRPr="00A026D2" w:rsidRDefault="00B8438E" w:rsidP="00B8438E">
      <w:pPr>
        <w:spacing w:after="0"/>
        <w:rPr>
          <w:sz w:val="20"/>
          <w:szCs w:val="20"/>
        </w:rPr>
      </w:pPr>
      <w:r w:rsidRPr="00A026D2">
        <w:rPr>
          <w:sz w:val="20"/>
          <w:szCs w:val="20"/>
        </w:rPr>
        <w:t>I became ill in 2004/2005</w:t>
      </w:r>
      <w:r w:rsidR="0002507F" w:rsidRPr="00A026D2">
        <w:rPr>
          <w:sz w:val="20"/>
          <w:szCs w:val="20"/>
        </w:rPr>
        <w:t xml:space="preserve"> - </w:t>
      </w:r>
      <w:r w:rsidRPr="00A026D2">
        <w:rPr>
          <w:sz w:val="20"/>
          <w:szCs w:val="20"/>
        </w:rPr>
        <w:t>the time of the</w:t>
      </w:r>
      <w:r w:rsidR="0002507F" w:rsidRPr="00A026D2">
        <w:rPr>
          <w:sz w:val="20"/>
          <w:szCs w:val="20"/>
        </w:rPr>
        <w:t xml:space="preserve"> development of the</w:t>
      </w:r>
      <w:r w:rsidRPr="00A026D2">
        <w:rPr>
          <w:sz w:val="20"/>
          <w:szCs w:val="20"/>
        </w:rPr>
        <w:t xml:space="preserve"> 3G mobile network and </w:t>
      </w:r>
      <w:r w:rsidR="0002507F" w:rsidRPr="00A026D2">
        <w:rPr>
          <w:sz w:val="20"/>
          <w:szCs w:val="20"/>
        </w:rPr>
        <w:t xml:space="preserve">the beginning of </w:t>
      </w:r>
      <w:r w:rsidRPr="00A026D2">
        <w:rPr>
          <w:sz w:val="20"/>
          <w:szCs w:val="20"/>
        </w:rPr>
        <w:t>widespread use of sma</w:t>
      </w:r>
      <w:r w:rsidR="00902F31">
        <w:rPr>
          <w:sz w:val="20"/>
          <w:szCs w:val="20"/>
        </w:rPr>
        <w:t>rtphones and Wi-Fi networks. After years</w:t>
      </w:r>
      <w:r w:rsidR="00F12268">
        <w:rPr>
          <w:sz w:val="20"/>
          <w:szCs w:val="20"/>
        </w:rPr>
        <w:t xml:space="preserve"> of ill health but no diagnosis</w:t>
      </w:r>
      <w:r w:rsidR="00902F31">
        <w:rPr>
          <w:sz w:val="20"/>
          <w:szCs w:val="20"/>
        </w:rPr>
        <w:t xml:space="preserve"> I received</w:t>
      </w:r>
      <w:r w:rsidR="00D90E24" w:rsidRPr="00A026D2">
        <w:rPr>
          <w:sz w:val="20"/>
          <w:szCs w:val="20"/>
        </w:rPr>
        <w:t xml:space="preserve"> advice to reduce my exposure to radio frequency EMR</w:t>
      </w:r>
      <w:r w:rsidR="00F12268">
        <w:rPr>
          <w:sz w:val="20"/>
          <w:szCs w:val="20"/>
        </w:rPr>
        <w:t>,</w:t>
      </w:r>
      <w:r w:rsidR="00D90E24" w:rsidRPr="00A026D2">
        <w:rPr>
          <w:sz w:val="20"/>
          <w:szCs w:val="20"/>
        </w:rPr>
        <w:t xml:space="preserve"> </w:t>
      </w:r>
      <w:r w:rsidR="00F12268">
        <w:rPr>
          <w:sz w:val="20"/>
          <w:szCs w:val="20"/>
        </w:rPr>
        <w:t>and</w:t>
      </w:r>
      <w:r w:rsidR="0002507F" w:rsidRPr="00A026D2">
        <w:rPr>
          <w:sz w:val="20"/>
          <w:szCs w:val="20"/>
        </w:rPr>
        <w:t xml:space="preserve"> move</w:t>
      </w:r>
      <w:r w:rsidR="00D90E24" w:rsidRPr="00A026D2">
        <w:rPr>
          <w:sz w:val="20"/>
          <w:szCs w:val="20"/>
        </w:rPr>
        <w:t>d</w:t>
      </w:r>
      <w:r w:rsidR="0002507F" w:rsidRPr="00A026D2">
        <w:rPr>
          <w:sz w:val="20"/>
          <w:szCs w:val="20"/>
        </w:rPr>
        <w:t xml:space="preserve"> out </w:t>
      </w:r>
      <w:r w:rsidR="00A368C8" w:rsidRPr="00A026D2">
        <w:rPr>
          <w:sz w:val="20"/>
          <w:szCs w:val="20"/>
        </w:rPr>
        <w:t xml:space="preserve">of </w:t>
      </w:r>
      <w:r w:rsidR="0002507F" w:rsidRPr="00A026D2">
        <w:rPr>
          <w:sz w:val="20"/>
          <w:szCs w:val="20"/>
        </w:rPr>
        <w:t xml:space="preserve">an apartment in Elizabeth Bay to a </w:t>
      </w:r>
      <w:r w:rsidR="00A368C8" w:rsidRPr="00A026D2">
        <w:rPr>
          <w:sz w:val="20"/>
          <w:szCs w:val="20"/>
        </w:rPr>
        <w:t>house in Glenhaven</w:t>
      </w:r>
      <w:r w:rsidR="00FF5465" w:rsidRPr="00A026D2">
        <w:rPr>
          <w:sz w:val="20"/>
          <w:szCs w:val="20"/>
        </w:rPr>
        <w:t xml:space="preserve"> in late 2013. At this time I experienced </w:t>
      </w:r>
      <w:r w:rsidR="0002507F" w:rsidRPr="00A026D2">
        <w:rPr>
          <w:sz w:val="20"/>
          <w:szCs w:val="20"/>
        </w:rPr>
        <w:t xml:space="preserve">a 16,000 fold reduction in overnight exposure to radio frequency EMR </w:t>
      </w:r>
      <w:r w:rsidR="00FF5465" w:rsidRPr="00A026D2">
        <w:rPr>
          <w:sz w:val="20"/>
          <w:szCs w:val="20"/>
        </w:rPr>
        <w:t xml:space="preserve">and </w:t>
      </w:r>
      <w:r w:rsidR="0002507F" w:rsidRPr="00A026D2">
        <w:rPr>
          <w:sz w:val="20"/>
          <w:szCs w:val="20"/>
        </w:rPr>
        <w:t>saw the following change in symptoms</w:t>
      </w:r>
      <w:r w:rsidR="00FF5465" w:rsidRPr="00A026D2">
        <w:rPr>
          <w:sz w:val="20"/>
          <w:szCs w:val="20"/>
        </w:rPr>
        <w:t xml:space="preserve"> in a </w:t>
      </w:r>
      <w:r w:rsidR="00FF5465" w:rsidRPr="00A026D2">
        <w:rPr>
          <w:sz w:val="20"/>
          <w:szCs w:val="20"/>
          <w:u w:val="single"/>
        </w:rPr>
        <w:t>matter of weeks</w:t>
      </w:r>
      <w:r w:rsidR="0002507F" w:rsidRPr="00A026D2">
        <w:rPr>
          <w:sz w:val="20"/>
          <w:szCs w:val="20"/>
        </w:rPr>
        <w:t>:</w:t>
      </w:r>
    </w:p>
    <w:p w:rsidR="0002507F" w:rsidRPr="00A026D2" w:rsidRDefault="0002507F" w:rsidP="0002507F">
      <w:pPr>
        <w:spacing w:after="0"/>
        <w:rPr>
          <w:sz w:val="20"/>
          <w:szCs w:val="20"/>
        </w:rPr>
      </w:pPr>
    </w:p>
    <w:p w:rsidR="0002507F" w:rsidRPr="00A026D2" w:rsidRDefault="0002507F" w:rsidP="0002507F">
      <w:pPr>
        <w:pStyle w:val="ListParagraph"/>
        <w:numPr>
          <w:ilvl w:val="0"/>
          <w:numId w:val="1"/>
        </w:numPr>
        <w:spacing w:after="0"/>
        <w:rPr>
          <w:sz w:val="20"/>
          <w:szCs w:val="20"/>
        </w:rPr>
      </w:pPr>
      <w:r w:rsidRPr="00A026D2">
        <w:rPr>
          <w:sz w:val="20"/>
          <w:szCs w:val="20"/>
        </w:rPr>
        <w:t>sleep returned to normal</w:t>
      </w:r>
    </w:p>
    <w:p w:rsidR="0002507F" w:rsidRPr="00A026D2" w:rsidRDefault="0002507F" w:rsidP="0002507F">
      <w:pPr>
        <w:pStyle w:val="ListParagraph"/>
        <w:numPr>
          <w:ilvl w:val="0"/>
          <w:numId w:val="1"/>
        </w:numPr>
        <w:spacing w:after="0"/>
        <w:rPr>
          <w:sz w:val="20"/>
          <w:szCs w:val="20"/>
        </w:rPr>
      </w:pPr>
      <w:r w:rsidRPr="00A026D2">
        <w:rPr>
          <w:sz w:val="20"/>
          <w:szCs w:val="20"/>
        </w:rPr>
        <w:t>migraines stopped</w:t>
      </w:r>
    </w:p>
    <w:p w:rsidR="0002507F" w:rsidRPr="00A026D2" w:rsidRDefault="0002507F" w:rsidP="0002507F">
      <w:pPr>
        <w:pStyle w:val="ListParagraph"/>
        <w:numPr>
          <w:ilvl w:val="0"/>
          <w:numId w:val="1"/>
        </w:numPr>
        <w:spacing w:after="0"/>
        <w:rPr>
          <w:sz w:val="20"/>
          <w:szCs w:val="20"/>
        </w:rPr>
      </w:pPr>
      <w:r w:rsidRPr="00A026D2">
        <w:rPr>
          <w:sz w:val="20"/>
          <w:szCs w:val="20"/>
        </w:rPr>
        <w:t>allergic rhinitis stopped</w:t>
      </w:r>
    </w:p>
    <w:p w:rsidR="0002507F" w:rsidRPr="00A026D2" w:rsidRDefault="0002507F" w:rsidP="0002507F">
      <w:pPr>
        <w:pStyle w:val="ListParagraph"/>
        <w:numPr>
          <w:ilvl w:val="0"/>
          <w:numId w:val="1"/>
        </w:numPr>
        <w:spacing w:after="0"/>
        <w:rPr>
          <w:sz w:val="20"/>
          <w:szCs w:val="20"/>
        </w:rPr>
      </w:pPr>
      <w:r w:rsidRPr="00A026D2">
        <w:rPr>
          <w:sz w:val="20"/>
          <w:szCs w:val="20"/>
        </w:rPr>
        <w:t xml:space="preserve">muscle weakness reduced </w:t>
      </w:r>
    </w:p>
    <w:p w:rsidR="0002507F" w:rsidRPr="00A026D2" w:rsidRDefault="0002507F" w:rsidP="0002507F">
      <w:pPr>
        <w:pStyle w:val="ListParagraph"/>
        <w:numPr>
          <w:ilvl w:val="0"/>
          <w:numId w:val="1"/>
        </w:numPr>
        <w:spacing w:after="0"/>
        <w:rPr>
          <w:sz w:val="20"/>
          <w:szCs w:val="20"/>
        </w:rPr>
      </w:pPr>
      <w:r w:rsidRPr="00A026D2">
        <w:rPr>
          <w:sz w:val="20"/>
          <w:szCs w:val="20"/>
        </w:rPr>
        <w:t>fatigue reduced</w:t>
      </w:r>
    </w:p>
    <w:p w:rsidR="0002507F" w:rsidRPr="00A026D2" w:rsidRDefault="0002507F" w:rsidP="0002507F">
      <w:pPr>
        <w:pStyle w:val="ListParagraph"/>
        <w:numPr>
          <w:ilvl w:val="0"/>
          <w:numId w:val="1"/>
        </w:numPr>
        <w:spacing w:after="0"/>
        <w:rPr>
          <w:sz w:val="20"/>
          <w:szCs w:val="20"/>
        </w:rPr>
      </w:pPr>
      <w:r w:rsidRPr="00A026D2">
        <w:rPr>
          <w:sz w:val="20"/>
          <w:szCs w:val="20"/>
        </w:rPr>
        <w:t>sore muscles reduced</w:t>
      </w:r>
    </w:p>
    <w:p w:rsidR="0002507F" w:rsidRPr="00A026D2" w:rsidRDefault="0002507F" w:rsidP="0002507F">
      <w:pPr>
        <w:pStyle w:val="ListParagraph"/>
        <w:numPr>
          <w:ilvl w:val="0"/>
          <w:numId w:val="1"/>
        </w:numPr>
        <w:spacing w:after="0"/>
        <w:rPr>
          <w:sz w:val="20"/>
          <w:szCs w:val="20"/>
        </w:rPr>
      </w:pPr>
      <w:r w:rsidRPr="00A026D2">
        <w:rPr>
          <w:sz w:val="20"/>
          <w:szCs w:val="20"/>
        </w:rPr>
        <w:t>tingling hands and fee</w:t>
      </w:r>
      <w:r w:rsidR="003D7C5C" w:rsidRPr="00A026D2">
        <w:rPr>
          <w:sz w:val="20"/>
          <w:szCs w:val="20"/>
        </w:rPr>
        <w:t>t</w:t>
      </w:r>
      <w:r w:rsidRPr="00A026D2">
        <w:rPr>
          <w:sz w:val="20"/>
          <w:szCs w:val="20"/>
        </w:rPr>
        <w:t xml:space="preserve"> stopped</w:t>
      </w:r>
    </w:p>
    <w:p w:rsidR="0002507F" w:rsidRPr="00A026D2" w:rsidRDefault="0002507F" w:rsidP="0002507F">
      <w:pPr>
        <w:pStyle w:val="ListParagraph"/>
        <w:numPr>
          <w:ilvl w:val="0"/>
          <w:numId w:val="1"/>
        </w:numPr>
        <w:spacing w:after="0"/>
        <w:rPr>
          <w:sz w:val="20"/>
          <w:szCs w:val="20"/>
        </w:rPr>
      </w:pPr>
      <w:r w:rsidRPr="00A026D2">
        <w:rPr>
          <w:sz w:val="20"/>
          <w:szCs w:val="20"/>
        </w:rPr>
        <w:t>nausea and upset stomach stopped</w:t>
      </w:r>
    </w:p>
    <w:p w:rsidR="0002507F" w:rsidRPr="00A026D2" w:rsidRDefault="0002507F" w:rsidP="0002507F">
      <w:pPr>
        <w:pStyle w:val="ListParagraph"/>
        <w:numPr>
          <w:ilvl w:val="0"/>
          <w:numId w:val="1"/>
        </w:numPr>
        <w:spacing w:after="0"/>
        <w:rPr>
          <w:sz w:val="20"/>
          <w:szCs w:val="20"/>
        </w:rPr>
      </w:pPr>
      <w:r w:rsidRPr="00A026D2">
        <w:rPr>
          <w:sz w:val="20"/>
          <w:szCs w:val="20"/>
        </w:rPr>
        <w:t>aching thyroid reduced significantly</w:t>
      </w:r>
    </w:p>
    <w:p w:rsidR="0002507F" w:rsidRPr="00A026D2" w:rsidRDefault="0002507F" w:rsidP="0002507F">
      <w:pPr>
        <w:pStyle w:val="ListParagraph"/>
        <w:numPr>
          <w:ilvl w:val="0"/>
          <w:numId w:val="1"/>
        </w:numPr>
        <w:spacing w:after="0"/>
        <w:rPr>
          <w:sz w:val="20"/>
          <w:szCs w:val="20"/>
        </w:rPr>
      </w:pPr>
      <w:r w:rsidRPr="00A026D2">
        <w:rPr>
          <w:sz w:val="20"/>
          <w:szCs w:val="20"/>
        </w:rPr>
        <w:t>brain fog and mental fatigue reduced significantly</w:t>
      </w:r>
    </w:p>
    <w:p w:rsidR="0002507F" w:rsidRPr="00A026D2" w:rsidRDefault="0002507F" w:rsidP="00B8438E">
      <w:pPr>
        <w:spacing w:after="0"/>
        <w:rPr>
          <w:sz w:val="20"/>
          <w:szCs w:val="20"/>
        </w:rPr>
      </w:pPr>
    </w:p>
    <w:p w:rsidR="0002507F" w:rsidRDefault="0002507F" w:rsidP="00B8438E">
      <w:pPr>
        <w:spacing w:after="0"/>
        <w:rPr>
          <w:sz w:val="20"/>
          <w:szCs w:val="20"/>
        </w:rPr>
      </w:pPr>
      <w:r w:rsidRPr="00A026D2">
        <w:rPr>
          <w:sz w:val="20"/>
          <w:szCs w:val="20"/>
        </w:rPr>
        <w:t xml:space="preserve">I had one month off work at this time and remained out of the city and away from routers and Wi-Fi networks, but </w:t>
      </w:r>
      <w:r w:rsidR="00FF5465" w:rsidRPr="00A026D2">
        <w:rPr>
          <w:sz w:val="20"/>
          <w:szCs w:val="20"/>
        </w:rPr>
        <w:t xml:space="preserve">also </w:t>
      </w:r>
      <w:r w:rsidRPr="00A026D2">
        <w:rPr>
          <w:sz w:val="20"/>
          <w:szCs w:val="20"/>
        </w:rPr>
        <w:t>disconnected cordless phones in my vicinity and used my mobil</w:t>
      </w:r>
      <w:r w:rsidR="003D7C5C" w:rsidRPr="00A026D2">
        <w:rPr>
          <w:sz w:val="20"/>
          <w:szCs w:val="20"/>
        </w:rPr>
        <w:t xml:space="preserve">e phone </w:t>
      </w:r>
      <w:r w:rsidR="00902F31">
        <w:rPr>
          <w:sz w:val="20"/>
          <w:szCs w:val="20"/>
        </w:rPr>
        <w:t>minimally.</w:t>
      </w:r>
    </w:p>
    <w:p w:rsidR="00902F31" w:rsidRPr="00A026D2" w:rsidRDefault="00902F31" w:rsidP="00B8438E">
      <w:pPr>
        <w:spacing w:after="0"/>
        <w:rPr>
          <w:sz w:val="20"/>
          <w:szCs w:val="20"/>
        </w:rPr>
      </w:pPr>
    </w:p>
    <w:p w:rsidR="00D90E24" w:rsidRPr="00A026D2" w:rsidRDefault="00A368C8" w:rsidP="00B8438E">
      <w:pPr>
        <w:spacing w:after="0"/>
        <w:rPr>
          <w:sz w:val="20"/>
          <w:szCs w:val="20"/>
        </w:rPr>
      </w:pPr>
      <w:r w:rsidRPr="00A026D2">
        <w:rPr>
          <w:sz w:val="20"/>
          <w:szCs w:val="20"/>
        </w:rPr>
        <w:t>On return to work in early 2014 m</w:t>
      </w:r>
      <w:r w:rsidR="00D90E24" w:rsidRPr="00A026D2">
        <w:rPr>
          <w:sz w:val="20"/>
          <w:szCs w:val="20"/>
        </w:rPr>
        <w:t xml:space="preserve">y health deteriorated </w:t>
      </w:r>
      <w:r w:rsidR="006A053B" w:rsidRPr="00A026D2">
        <w:rPr>
          <w:sz w:val="20"/>
          <w:szCs w:val="20"/>
        </w:rPr>
        <w:t xml:space="preserve">rapidly </w:t>
      </w:r>
      <w:r w:rsidR="0002507F" w:rsidRPr="00A026D2">
        <w:rPr>
          <w:sz w:val="20"/>
          <w:szCs w:val="20"/>
        </w:rPr>
        <w:t xml:space="preserve">with the immediate return of the following symptoms when in </w:t>
      </w:r>
      <w:r w:rsidR="00D90E24" w:rsidRPr="00A026D2">
        <w:rPr>
          <w:sz w:val="20"/>
          <w:szCs w:val="20"/>
        </w:rPr>
        <w:t>my workplace in Camperdown:</w:t>
      </w:r>
    </w:p>
    <w:p w:rsidR="00D90E24" w:rsidRPr="00A026D2" w:rsidRDefault="00D90E24" w:rsidP="00B8438E">
      <w:pPr>
        <w:spacing w:after="0"/>
        <w:rPr>
          <w:sz w:val="20"/>
          <w:szCs w:val="20"/>
        </w:rPr>
      </w:pPr>
    </w:p>
    <w:p w:rsidR="00D90E24" w:rsidRPr="00A026D2" w:rsidRDefault="00D90E24" w:rsidP="00D90E24">
      <w:pPr>
        <w:pStyle w:val="ListParagraph"/>
        <w:numPr>
          <w:ilvl w:val="0"/>
          <w:numId w:val="2"/>
        </w:numPr>
        <w:spacing w:after="0"/>
        <w:rPr>
          <w:sz w:val="20"/>
          <w:szCs w:val="20"/>
        </w:rPr>
      </w:pPr>
      <w:r w:rsidRPr="00A026D2">
        <w:rPr>
          <w:sz w:val="20"/>
          <w:szCs w:val="20"/>
        </w:rPr>
        <w:t>nausea</w:t>
      </w:r>
    </w:p>
    <w:p w:rsidR="00D90E24" w:rsidRPr="00A026D2" w:rsidRDefault="0002507F" w:rsidP="00D90E24">
      <w:pPr>
        <w:pStyle w:val="ListParagraph"/>
        <w:numPr>
          <w:ilvl w:val="0"/>
          <w:numId w:val="2"/>
        </w:numPr>
        <w:spacing w:after="0"/>
        <w:rPr>
          <w:sz w:val="20"/>
          <w:szCs w:val="20"/>
        </w:rPr>
      </w:pPr>
      <w:r w:rsidRPr="00A026D2">
        <w:rPr>
          <w:sz w:val="20"/>
          <w:szCs w:val="20"/>
        </w:rPr>
        <w:t>headaches</w:t>
      </w:r>
    </w:p>
    <w:p w:rsidR="00D90E24" w:rsidRPr="00A026D2" w:rsidRDefault="00D90E24" w:rsidP="00D90E24">
      <w:pPr>
        <w:pStyle w:val="ListParagraph"/>
        <w:numPr>
          <w:ilvl w:val="0"/>
          <w:numId w:val="2"/>
        </w:numPr>
        <w:spacing w:after="0"/>
        <w:rPr>
          <w:sz w:val="20"/>
          <w:szCs w:val="20"/>
        </w:rPr>
      </w:pPr>
      <w:r w:rsidRPr="00A026D2">
        <w:rPr>
          <w:sz w:val="20"/>
          <w:szCs w:val="20"/>
        </w:rPr>
        <w:t>muscle weakness and pain</w:t>
      </w:r>
    </w:p>
    <w:p w:rsidR="00D90E24" w:rsidRPr="00A026D2" w:rsidRDefault="00D90E24" w:rsidP="00D90E24">
      <w:pPr>
        <w:pStyle w:val="ListParagraph"/>
        <w:numPr>
          <w:ilvl w:val="0"/>
          <w:numId w:val="2"/>
        </w:numPr>
        <w:spacing w:after="0"/>
        <w:rPr>
          <w:sz w:val="20"/>
          <w:szCs w:val="20"/>
        </w:rPr>
      </w:pPr>
      <w:r w:rsidRPr="00A026D2">
        <w:rPr>
          <w:sz w:val="20"/>
          <w:szCs w:val="20"/>
        </w:rPr>
        <w:t>fatigue</w:t>
      </w:r>
    </w:p>
    <w:p w:rsidR="00D90E24" w:rsidRPr="00A026D2" w:rsidRDefault="0002507F" w:rsidP="00D90E24">
      <w:pPr>
        <w:pStyle w:val="ListParagraph"/>
        <w:numPr>
          <w:ilvl w:val="0"/>
          <w:numId w:val="2"/>
        </w:numPr>
        <w:spacing w:after="0"/>
        <w:rPr>
          <w:sz w:val="20"/>
          <w:szCs w:val="20"/>
        </w:rPr>
      </w:pPr>
      <w:r w:rsidRPr="00A026D2">
        <w:rPr>
          <w:sz w:val="20"/>
          <w:szCs w:val="20"/>
        </w:rPr>
        <w:t>brain fog</w:t>
      </w:r>
      <w:r w:rsidR="00D90E24" w:rsidRPr="00A026D2">
        <w:rPr>
          <w:sz w:val="20"/>
          <w:szCs w:val="20"/>
        </w:rPr>
        <w:t xml:space="preserve"> and inability to concentrate</w:t>
      </w:r>
    </w:p>
    <w:p w:rsidR="00D90E24" w:rsidRPr="00A026D2" w:rsidRDefault="00D90E24" w:rsidP="00D90E24">
      <w:pPr>
        <w:pStyle w:val="ListParagraph"/>
        <w:numPr>
          <w:ilvl w:val="0"/>
          <w:numId w:val="2"/>
        </w:numPr>
        <w:spacing w:after="0"/>
        <w:rPr>
          <w:sz w:val="20"/>
          <w:szCs w:val="20"/>
        </w:rPr>
      </w:pPr>
      <w:r w:rsidRPr="00A026D2">
        <w:rPr>
          <w:sz w:val="20"/>
          <w:szCs w:val="20"/>
        </w:rPr>
        <w:lastRenderedPageBreak/>
        <w:t>thyroid aching,</w:t>
      </w:r>
    </w:p>
    <w:p w:rsidR="00B8438E" w:rsidRPr="00A026D2" w:rsidRDefault="0002507F" w:rsidP="00D90E24">
      <w:pPr>
        <w:pStyle w:val="ListParagraph"/>
        <w:numPr>
          <w:ilvl w:val="0"/>
          <w:numId w:val="2"/>
        </w:numPr>
        <w:spacing w:after="0"/>
        <w:rPr>
          <w:sz w:val="20"/>
          <w:szCs w:val="20"/>
        </w:rPr>
      </w:pPr>
      <w:r w:rsidRPr="00A026D2">
        <w:rPr>
          <w:sz w:val="20"/>
          <w:szCs w:val="20"/>
        </w:rPr>
        <w:t>tingling hands</w:t>
      </w:r>
      <w:r w:rsidR="00D90E24" w:rsidRPr="00A026D2">
        <w:rPr>
          <w:sz w:val="20"/>
          <w:szCs w:val="20"/>
        </w:rPr>
        <w:t xml:space="preserve"> and feet</w:t>
      </w:r>
    </w:p>
    <w:p w:rsidR="00D90E24" w:rsidRDefault="00D90E24" w:rsidP="00D90E24">
      <w:pPr>
        <w:spacing w:after="0"/>
        <w:rPr>
          <w:sz w:val="20"/>
          <w:szCs w:val="20"/>
        </w:rPr>
      </w:pPr>
    </w:p>
    <w:p w:rsidR="00902F31" w:rsidRPr="00A4740A" w:rsidRDefault="00902F31" w:rsidP="00D90E24">
      <w:pPr>
        <w:spacing w:after="0"/>
        <w:rPr>
          <w:sz w:val="20"/>
          <w:szCs w:val="20"/>
          <w:u w:val="single"/>
        </w:rPr>
      </w:pPr>
      <w:r w:rsidRPr="00A4740A">
        <w:rPr>
          <w:sz w:val="20"/>
          <w:szCs w:val="20"/>
          <w:u w:val="single"/>
        </w:rPr>
        <w:t xml:space="preserve">My workplace is now aware of my </w:t>
      </w:r>
      <w:r w:rsidR="00A4740A" w:rsidRPr="00A4740A">
        <w:rPr>
          <w:sz w:val="20"/>
          <w:szCs w:val="20"/>
          <w:u w:val="single"/>
        </w:rPr>
        <w:t>sensitivity to radio frequency EMR</w:t>
      </w:r>
      <w:r w:rsidR="003B4024">
        <w:rPr>
          <w:sz w:val="20"/>
          <w:szCs w:val="20"/>
          <w:u w:val="single"/>
        </w:rPr>
        <w:t xml:space="preserve"> and has taken steps to accommodate this sensitivity</w:t>
      </w:r>
    </w:p>
    <w:p w:rsidR="00A4740A" w:rsidRDefault="00D90E24" w:rsidP="00B42757">
      <w:pPr>
        <w:spacing w:after="0"/>
        <w:rPr>
          <w:sz w:val="20"/>
          <w:szCs w:val="20"/>
        </w:rPr>
      </w:pPr>
      <w:r w:rsidRPr="00A026D2">
        <w:rPr>
          <w:sz w:val="20"/>
          <w:szCs w:val="20"/>
        </w:rPr>
        <w:t xml:space="preserve">My workplace is now aware of my sensitivity </w:t>
      </w:r>
      <w:r w:rsidR="006A053B" w:rsidRPr="00A026D2">
        <w:rPr>
          <w:sz w:val="20"/>
          <w:szCs w:val="20"/>
        </w:rPr>
        <w:t xml:space="preserve">to radio frequency EMR </w:t>
      </w:r>
      <w:r w:rsidRPr="00A026D2">
        <w:rPr>
          <w:sz w:val="20"/>
          <w:szCs w:val="20"/>
        </w:rPr>
        <w:t>and allows me to work primarily from home and limit my time in the office – due to the large number of mobil</w:t>
      </w:r>
      <w:r w:rsidR="00BC5F68" w:rsidRPr="00A026D2">
        <w:rPr>
          <w:sz w:val="20"/>
          <w:szCs w:val="20"/>
        </w:rPr>
        <w:t>e phones in use and the strong W</w:t>
      </w:r>
      <w:r w:rsidRPr="00A026D2">
        <w:rPr>
          <w:sz w:val="20"/>
          <w:szCs w:val="20"/>
        </w:rPr>
        <w:t>i-Fi network deployed throughout the institution</w:t>
      </w:r>
      <w:r w:rsidR="00A4740A">
        <w:rPr>
          <w:sz w:val="20"/>
          <w:szCs w:val="20"/>
        </w:rPr>
        <w:t xml:space="preserve"> (with multiple routers and boosters in use on a single floor of the building)</w:t>
      </w:r>
      <w:r w:rsidR="005C62C0">
        <w:rPr>
          <w:sz w:val="20"/>
          <w:szCs w:val="20"/>
        </w:rPr>
        <w:t xml:space="preserve"> leading me to feel chronically unwell when in the office (and afterwards as I recover).</w:t>
      </w:r>
    </w:p>
    <w:p w:rsidR="00A4740A" w:rsidRDefault="00A4740A" w:rsidP="00B42757">
      <w:pPr>
        <w:spacing w:after="0"/>
        <w:rPr>
          <w:sz w:val="20"/>
          <w:szCs w:val="20"/>
        </w:rPr>
      </w:pPr>
    </w:p>
    <w:p w:rsidR="00A4740A" w:rsidRDefault="00FF5465" w:rsidP="00B42757">
      <w:pPr>
        <w:spacing w:after="0"/>
        <w:rPr>
          <w:sz w:val="20"/>
          <w:szCs w:val="20"/>
        </w:rPr>
      </w:pPr>
      <w:r w:rsidRPr="00A026D2">
        <w:rPr>
          <w:sz w:val="20"/>
          <w:szCs w:val="20"/>
        </w:rPr>
        <w:t xml:space="preserve">Key infrastructure allowing me to work from home is a home landline and a wired Internet connection. </w:t>
      </w:r>
      <w:r w:rsidR="00B42757" w:rsidRPr="00A026D2">
        <w:rPr>
          <w:sz w:val="20"/>
          <w:szCs w:val="20"/>
        </w:rPr>
        <w:t xml:space="preserve"> This is in line with the recommendations of the </w:t>
      </w:r>
      <w:r w:rsidR="00A368C8" w:rsidRPr="00A026D2">
        <w:rPr>
          <w:i/>
          <w:sz w:val="20"/>
          <w:szCs w:val="20"/>
        </w:rPr>
        <w:t>‘</w:t>
      </w:r>
      <w:r w:rsidR="00B42757" w:rsidRPr="00A026D2">
        <w:rPr>
          <w:i/>
          <w:sz w:val="20"/>
          <w:szCs w:val="20"/>
        </w:rPr>
        <w:t>EUROPAEM</w:t>
      </w:r>
      <w:r w:rsidR="00B42757" w:rsidRPr="00A026D2">
        <w:rPr>
          <w:rStyle w:val="FootnoteReference"/>
          <w:i/>
          <w:sz w:val="20"/>
          <w:szCs w:val="20"/>
        </w:rPr>
        <w:footnoteReference w:id="1"/>
      </w:r>
      <w:r w:rsidR="00E0740F" w:rsidRPr="00A026D2">
        <w:rPr>
          <w:i/>
          <w:sz w:val="20"/>
          <w:szCs w:val="20"/>
        </w:rPr>
        <w:t xml:space="preserve"> Electromagnetic Field (EMF) </w:t>
      </w:r>
      <w:r w:rsidR="00B42757" w:rsidRPr="00A026D2">
        <w:rPr>
          <w:i/>
          <w:sz w:val="20"/>
          <w:szCs w:val="20"/>
        </w:rPr>
        <w:t>Guideline 2016 for the prevention, diagnosis and treatment of EMF-related health problems and illnesses</w:t>
      </w:r>
      <w:r w:rsidR="00A368C8" w:rsidRPr="00A026D2">
        <w:rPr>
          <w:i/>
          <w:sz w:val="20"/>
          <w:szCs w:val="20"/>
        </w:rPr>
        <w:t>’</w:t>
      </w:r>
      <w:r w:rsidR="00E0740F" w:rsidRPr="00A026D2">
        <w:rPr>
          <w:sz w:val="20"/>
          <w:szCs w:val="20"/>
        </w:rPr>
        <w:t xml:space="preserve"> that the best way to reduce symptoms </w:t>
      </w:r>
      <w:r w:rsidR="00902F31">
        <w:rPr>
          <w:sz w:val="20"/>
          <w:szCs w:val="20"/>
        </w:rPr>
        <w:t>of ‘</w:t>
      </w:r>
      <w:proofErr w:type="spellStart"/>
      <w:r w:rsidR="00902F31">
        <w:rPr>
          <w:sz w:val="20"/>
          <w:szCs w:val="20"/>
        </w:rPr>
        <w:t>electrohypersensitivity</w:t>
      </w:r>
      <w:proofErr w:type="spellEnd"/>
      <w:r w:rsidR="00902F31">
        <w:rPr>
          <w:sz w:val="20"/>
          <w:szCs w:val="20"/>
        </w:rPr>
        <w:t>’ (E</w:t>
      </w:r>
      <w:r w:rsidR="00A368C8" w:rsidRPr="00A026D2">
        <w:rPr>
          <w:sz w:val="20"/>
          <w:szCs w:val="20"/>
        </w:rPr>
        <w:t>HS</w:t>
      </w:r>
      <w:r w:rsidR="00902F31">
        <w:rPr>
          <w:sz w:val="20"/>
          <w:szCs w:val="20"/>
        </w:rPr>
        <w:t>)</w:t>
      </w:r>
      <w:r w:rsidR="00A368C8" w:rsidRPr="00A026D2">
        <w:rPr>
          <w:sz w:val="20"/>
          <w:szCs w:val="20"/>
        </w:rPr>
        <w:t xml:space="preserve"> </w:t>
      </w:r>
      <w:r w:rsidR="00E0740F" w:rsidRPr="00A026D2">
        <w:rPr>
          <w:sz w:val="20"/>
          <w:szCs w:val="20"/>
        </w:rPr>
        <w:t>is to minimise exposure to EMFs and EMR.</w:t>
      </w:r>
      <w:r w:rsidR="006A053B" w:rsidRPr="00A026D2">
        <w:rPr>
          <w:sz w:val="20"/>
          <w:szCs w:val="20"/>
        </w:rPr>
        <w:t xml:space="preserve"> </w:t>
      </w:r>
    </w:p>
    <w:p w:rsidR="00A4740A" w:rsidRDefault="00A4740A" w:rsidP="00B42757">
      <w:pPr>
        <w:spacing w:after="0"/>
        <w:rPr>
          <w:sz w:val="20"/>
          <w:szCs w:val="20"/>
        </w:rPr>
      </w:pPr>
    </w:p>
    <w:p w:rsidR="00D90E24" w:rsidRPr="00A026D2" w:rsidRDefault="006A053B" w:rsidP="00B42757">
      <w:pPr>
        <w:spacing w:after="0"/>
        <w:rPr>
          <w:sz w:val="20"/>
          <w:szCs w:val="20"/>
        </w:rPr>
      </w:pPr>
      <w:r w:rsidRPr="00A026D2">
        <w:rPr>
          <w:sz w:val="20"/>
          <w:szCs w:val="20"/>
        </w:rPr>
        <w:t>I have requested that a Wi-Fi free area be provided at</w:t>
      </w:r>
      <w:r w:rsidR="00902F31">
        <w:rPr>
          <w:sz w:val="20"/>
          <w:szCs w:val="20"/>
        </w:rPr>
        <w:t xml:space="preserve"> w</w:t>
      </w:r>
      <w:r w:rsidR="00A4740A">
        <w:rPr>
          <w:sz w:val="20"/>
          <w:szCs w:val="20"/>
        </w:rPr>
        <w:t>ork but this has been refused. H</w:t>
      </w:r>
      <w:r w:rsidR="00902F31">
        <w:rPr>
          <w:sz w:val="20"/>
          <w:szCs w:val="20"/>
        </w:rPr>
        <w:t>owever</w:t>
      </w:r>
      <w:r w:rsidR="00A4740A">
        <w:rPr>
          <w:sz w:val="20"/>
          <w:szCs w:val="20"/>
        </w:rPr>
        <w:t>,</w:t>
      </w:r>
      <w:r w:rsidR="00902F31">
        <w:rPr>
          <w:sz w:val="20"/>
          <w:szCs w:val="20"/>
        </w:rPr>
        <w:t xml:space="preserve"> my workplace has agreed to partially shield my office </w:t>
      </w:r>
      <w:r w:rsidR="00A4740A">
        <w:rPr>
          <w:sz w:val="20"/>
          <w:szCs w:val="20"/>
        </w:rPr>
        <w:t>and the shielding</w:t>
      </w:r>
      <w:r w:rsidR="00902F31">
        <w:rPr>
          <w:sz w:val="20"/>
          <w:szCs w:val="20"/>
        </w:rPr>
        <w:t xml:space="preserve"> is being operationalised currently. While the shielding of my office may enable me to work more in my workplace office, I think this is unlikely as the agreement so far has been to shield only one wall in my office. </w:t>
      </w:r>
    </w:p>
    <w:p w:rsidR="00BC5F68" w:rsidRPr="00A026D2" w:rsidRDefault="00BC5F68" w:rsidP="00D90E24">
      <w:pPr>
        <w:spacing w:after="0"/>
        <w:rPr>
          <w:sz w:val="20"/>
          <w:szCs w:val="20"/>
        </w:rPr>
      </w:pPr>
    </w:p>
    <w:p w:rsidR="00BC5F68" w:rsidRPr="00A026D2" w:rsidRDefault="00BC5F68" w:rsidP="00D90E24">
      <w:pPr>
        <w:spacing w:after="0"/>
        <w:rPr>
          <w:sz w:val="20"/>
          <w:szCs w:val="20"/>
          <w:u w:val="single"/>
        </w:rPr>
      </w:pPr>
      <w:r w:rsidRPr="00A026D2">
        <w:rPr>
          <w:sz w:val="20"/>
          <w:szCs w:val="20"/>
          <w:u w:val="single"/>
        </w:rPr>
        <w:t>Background information for the Productivity Commission</w:t>
      </w:r>
    </w:p>
    <w:p w:rsidR="00D90E24" w:rsidRPr="00A026D2" w:rsidRDefault="00D90E24" w:rsidP="00D90E24">
      <w:pPr>
        <w:spacing w:after="0"/>
        <w:rPr>
          <w:sz w:val="20"/>
          <w:szCs w:val="20"/>
        </w:rPr>
      </w:pPr>
    </w:p>
    <w:p w:rsidR="00BC5F68" w:rsidRPr="00A026D2" w:rsidRDefault="00D80357" w:rsidP="00D90E24">
      <w:pPr>
        <w:spacing w:after="0"/>
        <w:rPr>
          <w:i/>
          <w:sz w:val="20"/>
          <w:szCs w:val="20"/>
        </w:rPr>
      </w:pPr>
      <w:r w:rsidRPr="00A026D2">
        <w:rPr>
          <w:i/>
          <w:sz w:val="20"/>
          <w:szCs w:val="20"/>
        </w:rPr>
        <w:t>Public exposure standards</w:t>
      </w:r>
    </w:p>
    <w:p w:rsidR="00BC5F68" w:rsidRPr="00A026D2" w:rsidRDefault="00BC5F68" w:rsidP="00D90E24">
      <w:pPr>
        <w:spacing w:after="0"/>
        <w:rPr>
          <w:sz w:val="20"/>
          <w:szCs w:val="20"/>
        </w:rPr>
      </w:pPr>
    </w:p>
    <w:p w:rsidR="00BC5F68" w:rsidRPr="00A026D2" w:rsidRDefault="00BC5F68" w:rsidP="00D90E24">
      <w:pPr>
        <w:spacing w:after="0"/>
        <w:rPr>
          <w:sz w:val="20"/>
          <w:szCs w:val="20"/>
        </w:rPr>
      </w:pPr>
      <w:r w:rsidRPr="00A026D2">
        <w:rPr>
          <w:rFonts w:cs="Tahoma"/>
          <w:color w:val="000000"/>
          <w:sz w:val="20"/>
          <w:szCs w:val="20"/>
        </w:rPr>
        <w:t xml:space="preserve">Public exposure standards </w:t>
      </w:r>
      <w:r w:rsidR="00D80357" w:rsidRPr="00A026D2">
        <w:rPr>
          <w:rFonts w:cs="Tahoma"/>
          <w:color w:val="000000"/>
          <w:sz w:val="20"/>
          <w:szCs w:val="20"/>
        </w:rPr>
        <w:t xml:space="preserve">developed by the Australian Radiation Protection and Nuclear Safety Agency (ARPANSA) based on the 1998 International Commission on Non-Ionizing Radiation Protection (ICNIRP) </w:t>
      </w:r>
      <w:r w:rsidRPr="00A026D2">
        <w:rPr>
          <w:rFonts w:cs="Tahoma"/>
          <w:color w:val="000000"/>
          <w:sz w:val="20"/>
          <w:szCs w:val="20"/>
        </w:rPr>
        <w:t xml:space="preserve">are set to prevent tissue heating/ thermal damage – based on 6 minute and 30 minute exposures – but </w:t>
      </w:r>
      <w:proofErr w:type="gramStart"/>
      <w:r w:rsidRPr="00A026D2">
        <w:rPr>
          <w:rFonts w:cs="Tahoma"/>
          <w:color w:val="000000"/>
          <w:sz w:val="20"/>
          <w:szCs w:val="20"/>
        </w:rPr>
        <w:t>are</w:t>
      </w:r>
      <w:proofErr w:type="gramEnd"/>
      <w:r w:rsidRPr="00A026D2">
        <w:rPr>
          <w:rFonts w:cs="Tahoma"/>
          <w:color w:val="000000"/>
          <w:sz w:val="20"/>
          <w:szCs w:val="20"/>
        </w:rPr>
        <w:t xml:space="preserve"> not protective of biological effects at or below allowed exposures (increasingly evidenc</w:t>
      </w:r>
      <w:r w:rsidR="006A053B" w:rsidRPr="00A026D2">
        <w:rPr>
          <w:rFonts w:cs="Tahoma"/>
          <w:color w:val="000000"/>
          <w:sz w:val="20"/>
          <w:szCs w:val="20"/>
        </w:rPr>
        <w:t>ed in the research literature).</w:t>
      </w:r>
    </w:p>
    <w:p w:rsidR="00BC5F68" w:rsidRPr="00A026D2" w:rsidRDefault="00BC5F68" w:rsidP="00D90E24">
      <w:pPr>
        <w:spacing w:after="0"/>
        <w:rPr>
          <w:sz w:val="20"/>
          <w:szCs w:val="20"/>
        </w:rPr>
      </w:pPr>
    </w:p>
    <w:p w:rsidR="00D80357" w:rsidRPr="00A026D2" w:rsidRDefault="00D80357" w:rsidP="00D80357">
      <w:pPr>
        <w:spacing w:after="0"/>
        <w:rPr>
          <w:i/>
          <w:sz w:val="20"/>
          <w:szCs w:val="20"/>
        </w:rPr>
      </w:pPr>
      <w:r w:rsidRPr="00A026D2">
        <w:rPr>
          <w:i/>
          <w:sz w:val="20"/>
          <w:szCs w:val="20"/>
        </w:rPr>
        <w:t>Evidence of harm of increasing</w:t>
      </w:r>
    </w:p>
    <w:p w:rsidR="00D80357" w:rsidRPr="00A026D2" w:rsidRDefault="00D80357" w:rsidP="00D80357">
      <w:pPr>
        <w:spacing w:after="0"/>
        <w:rPr>
          <w:i/>
          <w:sz w:val="20"/>
          <w:szCs w:val="20"/>
        </w:rPr>
      </w:pPr>
    </w:p>
    <w:p w:rsidR="00D80357" w:rsidRPr="00A026D2" w:rsidRDefault="00BC5F68" w:rsidP="00D80357">
      <w:pPr>
        <w:rPr>
          <w:sz w:val="20"/>
          <w:szCs w:val="20"/>
        </w:rPr>
      </w:pPr>
      <w:r w:rsidRPr="00A026D2">
        <w:rPr>
          <w:sz w:val="20"/>
          <w:szCs w:val="20"/>
        </w:rPr>
        <w:t>T</w:t>
      </w:r>
      <w:r w:rsidR="00BA1E91" w:rsidRPr="00A026D2">
        <w:rPr>
          <w:sz w:val="20"/>
          <w:szCs w:val="20"/>
        </w:rPr>
        <w:t xml:space="preserve">he World Health Organization classified radiofrequency </w:t>
      </w:r>
      <w:r w:rsidR="00C97DD3" w:rsidRPr="00A026D2">
        <w:rPr>
          <w:sz w:val="20"/>
          <w:szCs w:val="20"/>
        </w:rPr>
        <w:t xml:space="preserve">EMR </w:t>
      </w:r>
      <w:r w:rsidR="00BA1E91" w:rsidRPr="00A026D2">
        <w:rPr>
          <w:sz w:val="20"/>
          <w:szCs w:val="20"/>
        </w:rPr>
        <w:t>as a Group 2B carcinogen</w:t>
      </w:r>
      <w:r w:rsidR="00C97DD3" w:rsidRPr="00A026D2">
        <w:rPr>
          <w:sz w:val="20"/>
          <w:szCs w:val="20"/>
        </w:rPr>
        <w:t xml:space="preserve"> in 2011</w:t>
      </w:r>
      <w:r w:rsidR="00BA1E91" w:rsidRPr="00A026D2">
        <w:rPr>
          <w:sz w:val="20"/>
          <w:szCs w:val="20"/>
        </w:rPr>
        <w:t>, that is, as being possibly carcinogenic to humans. Emissions from mobile phones</w:t>
      </w:r>
      <w:r w:rsidR="00A4740A">
        <w:rPr>
          <w:sz w:val="20"/>
          <w:szCs w:val="20"/>
        </w:rPr>
        <w:t xml:space="preserve"> and mobile phone networks</w:t>
      </w:r>
      <w:r w:rsidR="00BA1E91" w:rsidRPr="00A026D2">
        <w:rPr>
          <w:sz w:val="20"/>
          <w:szCs w:val="20"/>
        </w:rPr>
        <w:t>, NBN fixed wireless and Wi</w:t>
      </w:r>
      <w:r w:rsidR="00C97DD3" w:rsidRPr="00A026D2">
        <w:rPr>
          <w:sz w:val="20"/>
          <w:szCs w:val="20"/>
        </w:rPr>
        <w:t>-</w:t>
      </w:r>
      <w:r w:rsidR="00BA1E91" w:rsidRPr="00A026D2">
        <w:rPr>
          <w:sz w:val="20"/>
          <w:szCs w:val="20"/>
        </w:rPr>
        <w:t>Fi fall into this classification.</w:t>
      </w:r>
      <w:r w:rsidR="00C97DD3" w:rsidRPr="00A026D2">
        <w:rPr>
          <w:sz w:val="20"/>
          <w:szCs w:val="20"/>
        </w:rPr>
        <w:t xml:space="preserve"> </w:t>
      </w:r>
      <w:r w:rsidR="00D80357" w:rsidRPr="00A026D2">
        <w:rPr>
          <w:sz w:val="20"/>
          <w:szCs w:val="20"/>
        </w:rPr>
        <w:t>This was on the basis of findings of key population studies (</w:t>
      </w:r>
      <w:r w:rsidR="00A368C8" w:rsidRPr="00A026D2">
        <w:rPr>
          <w:sz w:val="20"/>
          <w:szCs w:val="20"/>
        </w:rPr>
        <w:t xml:space="preserve">the </w:t>
      </w:r>
      <w:r w:rsidR="00D80357" w:rsidRPr="00A026D2">
        <w:rPr>
          <w:sz w:val="20"/>
          <w:szCs w:val="20"/>
        </w:rPr>
        <w:t>INTERPHONE Study</w:t>
      </w:r>
      <w:r w:rsidR="008E7C25">
        <w:rPr>
          <w:rStyle w:val="FootnoteReference"/>
          <w:sz w:val="20"/>
          <w:szCs w:val="20"/>
        </w:rPr>
        <w:footnoteReference w:id="2"/>
      </w:r>
      <w:r w:rsidR="00D80357" w:rsidRPr="00A026D2">
        <w:rPr>
          <w:sz w:val="20"/>
          <w:szCs w:val="20"/>
        </w:rPr>
        <w:t xml:space="preserve"> and work by the </w:t>
      </w:r>
      <w:proofErr w:type="spellStart"/>
      <w:r w:rsidR="00D80357" w:rsidRPr="00A026D2">
        <w:rPr>
          <w:sz w:val="20"/>
          <w:szCs w:val="20"/>
        </w:rPr>
        <w:t>Hardell</w:t>
      </w:r>
      <w:proofErr w:type="spellEnd"/>
      <w:r w:rsidR="00D80357" w:rsidRPr="00A026D2">
        <w:rPr>
          <w:sz w:val="20"/>
          <w:szCs w:val="20"/>
        </w:rPr>
        <w:t xml:space="preserve"> Group in Sweden</w:t>
      </w:r>
      <w:r w:rsidR="008E7C25">
        <w:rPr>
          <w:rStyle w:val="FootnoteReference"/>
          <w:sz w:val="20"/>
          <w:szCs w:val="20"/>
        </w:rPr>
        <w:footnoteReference w:id="3"/>
      </w:r>
      <w:r w:rsidR="00D80357" w:rsidRPr="00A026D2">
        <w:rPr>
          <w:sz w:val="20"/>
          <w:szCs w:val="20"/>
        </w:rPr>
        <w:t xml:space="preserve">) that showed the risk of glioma was increased in long-term avid users of mobile phones - 30 minutes a day, 10+ years. Findings of the CERENAT study, </w:t>
      </w:r>
      <w:r w:rsidR="008E7C25">
        <w:rPr>
          <w:rStyle w:val="FootnoteReference"/>
          <w:sz w:val="20"/>
          <w:szCs w:val="20"/>
        </w:rPr>
        <w:footnoteReference w:id="4"/>
      </w:r>
      <w:r w:rsidR="00D80357" w:rsidRPr="00A026D2">
        <w:rPr>
          <w:sz w:val="20"/>
          <w:szCs w:val="20"/>
        </w:rPr>
        <w:t xml:space="preserve">released after 2011, confirm this finding. </w:t>
      </w:r>
    </w:p>
    <w:p w:rsidR="00D80357" w:rsidRPr="00A026D2" w:rsidRDefault="00D80357" w:rsidP="00D80357">
      <w:pPr>
        <w:rPr>
          <w:sz w:val="20"/>
          <w:szCs w:val="20"/>
        </w:rPr>
      </w:pPr>
      <w:r w:rsidRPr="00A026D2">
        <w:rPr>
          <w:sz w:val="20"/>
          <w:szCs w:val="20"/>
        </w:rPr>
        <w:t xml:space="preserve">Further to this, the National Toxicology Program (NTP) in the United States </w:t>
      </w:r>
      <w:r w:rsidR="006A053B" w:rsidRPr="00A026D2">
        <w:rPr>
          <w:sz w:val="20"/>
          <w:szCs w:val="20"/>
        </w:rPr>
        <w:t>recently released early findings of</w:t>
      </w:r>
      <w:r w:rsidRPr="00A026D2">
        <w:rPr>
          <w:sz w:val="20"/>
          <w:szCs w:val="20"/>
        </w:rPr>
        <w:t xml:space="preserve"> a bio-assay assessing toxicological and carcinogenicity of radio frequency EMR (used for 2G mobile technology) and found exposed rats (males) had significantly increased risk of glioma and schwannomas (of the heart). </w:t>
      </w:r>
      <w:r w:rsidR="00F12268">
        <w:rPr>
          <w:sz w:val="20"/>
          <w:szCs w:val="20"/>
        </w:rPr>
        <w:t xml:space="preserve">See </w:t>
      </w:r>
      <w:r w:rsidR="00F12268">
        <w:rPr>
          <w:sz w:val="20"/>
          <w:szCs w:val="20"/>
        </w:rPr>
        <w:lastRenderedPageBreak/>
        <w:t>“Report</w:t>
      </w:r>
      <w:r w:rsidR="00F12268" w:rsidRPr="00F12268">
        <w:rPr>
          <w:sz w:val="20"/>
          <w:szCs w:val="20"/>
        </w:rPr>
        <w:t xml:space="preserve"> of Par</w:t>
      </w:r>
      <w:r w:rsidR="00F12268">
        <w:rPr>
          <w:sz w:val="20"/>
          <w:szCs w:val="20"/>
        </w:rPr>
        <w:t xml:space="preserve">tial Findings from the National </w:t>
      </w:r>
      <w:r w:rsidR="00F12268" w:rsidRPr="00F12268">
        <w:rPr>
          <w:sz w:val="20"/>
          <w:szCs w:val="20"/>
        </w:rPr>
        <w:t>Toxicology Program</w:t>
      </w:r>
      <w:r w:rsidR="00F12268">
        <w:rPr>
          <w:sz w:val="20"/>
          <w:szCs w:val="20"/>
        </w:rPr>
        <w:t xml:space="preserve"> Carcinogenesis Studies of Cell Phone </w:t>
      </w:r>
      <w:r w:rsidR="00F12268" w:rsidRPr="00F12268">
        <w:rPr>
          <w:sz w:val="20"/>
          <w:szCs w:val="20"/>
        </w:rPr>
        <w:t>Radiofreq</w:t>
      </w:r>
      <w:r w:rsidR="00F12268">
        <w:rPr>
          <w:sz w:val="20"/>
          <w:szCs w:val="20"/>
        </w:rPr>
        <w:t xml:space="preserve">uency Radiation in </w:t>
      </w:r>
      <w:proofErr w:type="spellStart"/>
      <w:r w:rsidR="00F12268">
        <w:rPr>
          <w:sz w:val="20"/>
          <w:szCs w:val="20"/>
        </w:rPr>
        <w:t>Hsd</w:t>
      </w:r>
      <w:proofErr w:type="spellEnd"/>
      <w:r w:rsidR="00F12268">
        <w:rPr>
          <w:sz w:val="20"/>
          <w:szCs w:val="20"/>
        </w:rPr>
        <w:t xml:space="preserve">: Sprague </w:t>
      </w:r>
      <w:proofErr w:type="spellStart"/>
      <w:r w:rsidR="00F12268">
        <w:rPr>
          <w:sz w:val="20"/>
          <w:szCs w:val="20"/>
        </w:rPr>
        <w:t>Dawle</w:t>
      </w:r>
      <w:proofErr w:type="spellEnd"/>
      <w:r w:rsidR="00F12268" w:rsidRPr="00F12268">
        <w:rPr>
          <w:sz w:val="20"/>
          <w:szCs w:val="20"/>
        </w:rPr>
        <w:t xml:space="preserve"> SD rats (Whole Body Exposures)</w:t>
      </w:r>
      <w:r w:rsidR="00F12268">
        <w:rPr>
          <w:sz w:val="20"/>
          <w:szCs w:val="20"/>
        </w:rPr>
        <w:t>”</w:t>
      </w:r>
      <w:r w:rsidR="005C62C0">
        <w:rPr>
          <w:sz w:val="20"/>
          <w:szCs w:val="20"/>
        </w:rPr>
        <w:t xml:space="preserve"> for more detail</w:t>
      </w:r>
      <w:r w:rsidR="00F12268">
        <w:rPr>
          <w:sz w:val="20"/>
          <w:szCs w:val="20"/>
        </w:rPr>
        <w:t xml:space="preserve">. </w:t>
      </w:r>
      <w:r w:rsidRPr="00A026D2">
        <w:rPr>
          <w:sz w:val="20"/>
          <w:szCs w:val="20"/>
        </w:rPr>
        <w:t xml:space="preserve">The NTP released these findings early </w:t>
      </w:r>
      <w:r w:rsidR="00A368C8" w:rsidRPr="00A026D2">
        <w:rPr>
          <w:sz w:val="20"/>
          <w:szCs w:val="20"/>
        </w:rPr>
        <w:t xml:space="preserve">– in 2016 - </w:t>
      </w:r>
      <w:r w:rsidRPr="00A026D2">
        <w:rPr>
          <w:sz w:val="20"/>
          <w:szCs w:val="20"/>
        </w:rPr>
        <w:t>as they are in line with epidemiological studies listed above relating to glioma risk but also evidence suggesting an increased risk of acoustic neuroma (a type of schwannoma) in long-term avid users of mobile phones.</w:t>
      </w:r>
    </w:p>
    <w:p w:rsidR="00732C34" w:rsidRPr="00A026D2" w:rsidRDefault="00732C34" w:rsidP="00D80357">
      <w:pPr>
        <w:rPr>
          <w:sz w:val="20"/>
          <w:szCs w:val="20"/>
        </w:rPr>
      </w:pPr>
      <w:r w:rsidRPr="00A026D2">
        <w:rPr>
          <w:sz w:val="20"/>
          <w:szCs w:val="20"/>
        </w:rPr>
        <w:t>There is good</w:t>
      </w:r>
      <w:r w:rsidR="00A368C8" w:rsidRPr="00A026D2">
        <w:rPr>
          <w:sz w:val="20"/>
          <w:szCs w:val="20"/>
        </w:rPr>
        <w:t xml:space="preserve"> evidence of sperm damage related to radio frequency EMR exposures and I</w:t>
      </w:r>
      <w:r w:rsidRPr="00A026D2">
        <w:rPr>
          <w:sz w:val="20"/>
          <w:szCs w:val="20"/>
        </w:rPr>
        <w:t xml:space="preserve"> refer you to an excellent review article by Adams </w:t>
      </w:r>
      <w:r w:rsidR="00A368C8" w:rsidRPr="00A026D2">
        <w:rPr>
          <w:sz w:val="20"/>
          <w:szCs w:val="20"/>
        </w:rPr>
        <w:t>et al</w:t>
      </w:r>
      <w:r w:rsidR="00A368C8" w:rsidRPr="00A026D2">
        <w:rPr>
          <w:rStyle w:val="FootnoteReference"/>
          <w:sz w:val="20"/>
          <w:szCs w:val="20"/>
        </w:rPr>
        <w:footnoteReference w:id="5"/>
      </w:r>
      <w:r w:rsidR="00A368C8" w:rsidRPr="00A026D2">
        <w:rPr>
          <w:sz w:val="20"/>
          <w:szCs w:val="20"/>
        </w:rPr>
        <w:t xml:space="preserve">, </w:t>
      </w:r>
      <w:r w:rsidRPr="00A026D2">
        <w:rPr>
          <w:sz w:val="20"/>
          <w:szCs w:val="20"/>
        </w:rPr>
        <w:t xml:space="preserve">and </w:t>
      </w:r>
      <w:proofErr w:type="spellStart"/>
      <w:r w:rsidR="00D80357" w:rsidRPr="00A026D2">
        <w:rPr>
          <w:sz w:val="20"/>
          <w:szCs w:val="20"/>
        </w:rPr>
        <w:t>neurobehavioural</w:t>
      </w:r>
      <w:proofErr w:type="spellEnd"/>
      <w:r w:rsidR="00D80357" w:rsidRPr="00A026D2">
        <w:rPr>
          <w:sz w:val="20"/>
          <w:szCs w:val="20"/>
        </w:rPr>
        <w:t xml:space="preserve"> problems near Mobile Base Stations are well documented:</w:t>
      </w:r>
    </w:p>
    <w:p w:rsidR="00732C34" w:rsidRPr="00A026D2" w:rsidRDefault="00D80357" w:rsidP="00D80357">
      <w:pPr>
        <w:pStyle w:val="ListParagraph"/>
        <w:numPr>
          <w:ilvl w:val="0"/>
          <w:numId w:val="4"/>
        </w:numPr>
        <w:rPr>
          <w:sz w:val="20"/>
          <w:szCs w:val="20"/>
        </w:rPr>
      </w:pPr>
      <w:r w:rsidRPr="00A026D2">
        <w:rPr>
          <w:sz w:val="20"/>
          <w:szCs w:val="20"/>
        </w:rPr>
        <w:t xml:space="preserve">Spain - Navarro et at., </w:t>
      </w:r>
      <w:proofErr w:type="spellStart"/>
      <w:r w:rsidRPr="00A026D2">
        <w:rPr>
          <w:sz w:val="20"/>
          <w:szCs w:val="20"/>
        </w:rPr>
        <w:t>Electromag</w:t>
      </w:r>
      <w:proofErr w:type="spellEnd"/>
      <w:r w:rsidRPr="00A026D2">
        <w:rPr>
          <w:sz w:val="20"/>
          <w:szCs w:val="20"/>
        </w:rPr>
        <w:t xml:space="preserve"> </w:t>
      </w:r>
      <w:proofErr w:type="spellStart"/>
      <w:r w:rsidRPr="00A026D2">
        <w:rPr>
          <w:sz w:val="20"/>
          <w:szCs w:val="20"/>
        </w:rPr>
        <w:t>Biol</w:t>
      </w:r>
      <w:proofErr w:type="spellEnd"/>
      <w:r w:rsidRPr="00A026D2">
        <w:rPr>
          <w:sz w:val="20"/>
          <w:szCs w:val="20"/>
        </w:rPr>
        <w:t xml:space="preserve"> Med 2003; 22</w:t>
      </w:r>
      <w:proofErr w:type="gramStart"/>
      <w:r w:rsidRPr="00A026D2">
        <w:rPr>
          <w:sz w:val="20"/>
          <w:szCs w:val="20"/>
        </w:rPr>
        <w:t>;161</w:t>
      </w:r>
      <w:proofErr w:type="gramEnd"/>
      <w:r w:rsidRPr="00A026D2">
        <w:rPr>
          <w:sz w:val="20"/>
          <w:szCs w:val="20"/>
        </w:rPr>
        <w:t>-169.</w:t>
      </w:r>
    </w:p>
    <w:p w:rsidR="00732C34" w:rsidRPr="00A026D2" w:rsidRDefault="00D80357" w:rsidP="00D80357">
      <w:pPr>
        <w:pStyle w:val="ListParagraph"/>
        <w:numPr>
          <w:ilvl w:val="0"/>
          <w:numId w:val="4"/>
        </w:numPr>
        <w:rPr>
          <w:sz w:val="20"/>
          <w:szCs w:val="20"/>
        </w:rPr>
      </w:pPr>
      <w:r w:rsidRPr="00A026D2">
        <w:rPr>
          <w:sz w:val="20"/>
          <w:szCs w:val="20"/>
        </w:rPr>
        <w:t xml:space="preserve">France - </w:t>
      </w:r>
      <w:proofErr w:type="spellStart"/>
      <w:r w:rsidRPr="00A026D2">
        <w:rPr>
          <w:sz w:val="20"/>
          <w:szCs w:val="20"/>
        </w:rPr>
        <w:t>Santini</w:t>
      </w:r>
      <w:proofErr w:type="spellEnd"/>
      <w:r w:rsidRPr="00A026D2">
        <w:rPr>
          <w:sz w:val="20"/>
          <w:szCs w:val="20"/>
        </w:rPr>
        <w:t xml:space="preserve"> et al., </w:t>
      </w:r>
      <w:proofErr w:type="spellStart"/>
      <w:r w:rsidRPr="00A026D2">
        <w:rPr>
          <w:sz w:val="20"/>
          <w:szCs w:val="20"/>
        </w:rPr>
        <w:t>Electromag</w:t>
      </w:r>
      <w:proofErr w:type="spellEnd"/>
      <w:r w:rsidRPr="00A026D2">
        <w:rPr>
          <w:sz w:val="20"/>
          <w:szCs w:val="20"/>
        </w:rPr>
        <w:t xml:space="preserve"> </w:t>
      </w:r>
      <w:proofErr w:type="spellStart"/>
      <w:r w:rsidRPr="00A026D2">
        <w:rPr>
          <w:sz w:val="20"/>
          <w:szCs w:val="20"/>
        </w:rPr>
        <w:t>Biol</w:t>
      </w:r>
      <w:proofErr w:type="spellEnd"/>
      <w:r w:rsidRPr="00A026D2">
        <w:rPr>
          <w:sz w:val="20"/>
          <w:szCs w:val="20"/>
        </w:rPr>
        <w:t xml:space="preserve"> Med. 2003; 22</w:t>
      </w:r>
      <w:proofErr w:type="gramStart"/>
      <w:r w:rsidRPr="00A026D2">
        <w:rPr>
          <w:sz w:val="20"/>
          <w:szCs w:val="20"/>
        </w:rPr>
        <w:t>;41</w:t>
      </w:r>
      <w:proofErr w:type="gramEnd"/>
      <w:r w:rsidRPr="00A026D2">
        <w:rPr>
          <w:sz w:val="20"/>
          <w:szCs w:val="20"/>
        </w:rPr>
        <w:t>-49.</w:t>
      </w:r>
    </w:p>
    <w:p w:rsidR="00732C34" w:rsidRPr="00A026D2" w:rsidRDefault="00D80357" w:rsidP="00D80357">
      <w:pPr>
        <w:pStyle w:val="ListParagraph"/>
        <w:numPr>
          <w:ilvl w:val="0"/>
          <w:numId w:val="4"/>
        </w:numPr>
        <w:rPr>
          <w:sz w:val="20"/>
          <w:szCs w:val="20"/>
        </w:rPr>
      </w:pPr>
      <w:r w:rsidRPr="00A026D2">
        <w:rPr>
          <w:sz w:val="20"/>
          <w:szCs w:val="20"/>
        </w:rPr>
        <w:t xml:space="preserve">Poland - </w:t>
      </w:r>
      <w:proofErr w:type="spellStart"/>
      <w:r w:rsidRPr="00A026D2">
        <w:rPr>
          <w:sz w:val="20"/>
          <w:szCs w:val="20"/>
        </w:rPr>
        <w:t>Gadzicka</w:t>
      </w:r>
      <w:proofErr w:type="spellEnd"/>
      <w:r w:rsidRPr="00A026D2">
        <w:rPr>
          <w:sz w:val="20"/>
          <w:szCs w:val="20"/>
        </w:rPr>
        <w:t xml:space="preserve"> E et al, </w:t>
      </w:r>
      <w:proofErr w:type="spellStart"/>
      <w:r w:rsidRPr="00A026D2">
        <w:rPr>
          <w:sz w:val="20"/>
          <w:szCs w:val="20"/>
        </w:rPr>
        <w:t>Biuletyn</w:t>
      </w:r>
      <w:proofErr w:type="spellEnd"/>
      <w:r w:rsidRPr="00A026D2">
        <w:rPr>
          <w:sz w:val="20"/>
          <w:szCs w:val="20"/>
        </w:rPr>
        <w:t xml:space="preserve"> PTZE Warszawa 2006; 14:23-</w:t>
      </w:r>
      <w:proofErr w:type="gramStart"/>
      <w:r w:rsidRPr="00A026D2">
        <w:rPr>
          <w:sz w:val="20"/>
          <w:szCs w:val="20"/>
        </w:rPr>
        <w:t>26 .</w:t>
      </w:r>
      <w:proofErr w:type="gramEnd"/>
    </w:p>
    <w:p w:rsidR="00732C34" w:rsidRPr="00A026D2" w:rsidRDefault="00D80357" w:rsidP="00D80357">
      <w:pPr>
        <w:pStyle w:val="ListParagraph"/>
        <w:numPr>
          <w:ilvl w:val="0"/>
          <w:numId w:val="4"/>
        </w:numPr>
        <w:rPr>
          <w:sz w:val="20"/>
          <w:szCs w:val="20"/>
        </w:rPr>
      </w:pPr>
      <w:r w:rsidRPr="00A026D2">
        <w:rPr>
          <w:sz w:val="20"/>
          <w:szCs w:val="20"/>
        </w:rPr>
        <w:t xml:space="preserve">Austria - </w:t>
      </w:r>
      <w:proofErr w:type="spellStart"/>
      <w:r w:rsidRPr="00A026D2">
        <w:rPr>
          <w:sz w:val="20"/>
          <w:szCs w:val="20"/>
        </w:rPr>
        <w:t>Hutter</w:t>
      </w:r>
      <w:proofErr w:type="spellEnd"/>
      <w:r w:rsidRPr="00A026D2">
        <w:rPr>
          <w:sz w:val="20"/>
          <w:szCs w:val="20"/>
        </w:rPr>
        <w:t xml:space="preserve"> et al., </w:t>
      </w:r>
      <w:proofErr w:type="spellStart"/>
      <w:r w:rsidRPr="00A026D2">
        <w:rPr>
          <w:sz w:val="20"/>
          <w:szCs w:val="20"/>
        </w:rPr>
        <w:t>Occup</w:t>
      </w:r>
      <w:proofErr w:type="spellEnd"/>
      <w:r w:rsidRPr="00A026D2">
        <w:rPr>
          <w:sz w:val="20"/>
          <w:szCs w:val="20"/>
        </w:rPr>
        <w:t xml:space="preserve"> Environ Med 2006; 63:307-313.</w:t>
      </w:r>
    </w:p>
    <w:p w:rsidR="00732C34" w:rsidRPr="00A026D2" w:rsidRDefault="00D80357" w:rsidP="00D80357">
      <w:pPr>
        <w:pStyle w:val="ListParagraph"/>
        <w:numPr>
          <w:ilvl w:val="0"/>
          <w:numId w:val="4"/>
        </w:numPr>
        <w:rPr>
          <w:sz w:val="20"/>
          <w:szCs w:val="20"/>
        </w:rPr>
      </w:pPr>
      <w:r w:rsidRPr="00A026D2">
        <w:rPr>
          <w:sz w:val="20"/>
          <w:szCs w:val="20"/>
        </w:rPr>
        <w:t>Egypt - Abdel-</w:t>
      </w:r>
      <w:proofErr w:type="spellStart"/>
      <w:r w:rsidRPr="00A026D2">
        <w:rPr>
          <w:sz w:val="20"/>
          <w:szCs w:val="20"/>
        </w:rPr>
        <w:t>Rassoul</w:t>
      </w:r>
      <w:proofErr w:type="spellEnd"/>
      <w:r w:rsidRPr="00A026D2">
        <w:rPr>
          <w:sz w:val="20"/>
          <w:szCs w:val="20"/>
        </w:rPr>
        <w:t xml:space="preserve"> et al., </w:t>
      </w:r>
      <w:proofErr w:type="spellStart"/>
      <w:r w:rsidRPr="00A026D2">
        <w:rPr>
          <w:sz w:val="20"/>
          <w:szCs w:val="20"/>
        </w:rPr>
        <w:t>Neurotoxicology</w:t>
      </w:r>
      <w:proofErr w:type="spellEnd"/>
      <w:r w:rsidRPr="00A026D2">
        <w:rPr>
          <w:sz w:val="20"/>
          <w:szCs w:val="20"/>
        </w:rPr>
        <w:t xml:space="preserve"> 2007; 28:434-440.</w:t>
      </w:r>
    </w:p>
    <w:p w:rsidR="00732C34" w:rsidRPr="00A026D2" w:rsidRDefault="00D80357" w:rsidP="00D80357">
      <w:pPr>
        <w:pStyle w:val="ListParagraph"/>
        <w:numPr>
          <w:ilvl w:val="0"/>
          <w:numId w:val="4"/>
        </w:numPr>
        <w:rPr>
          <w:sz w:val="20"/>
          <w:szCs w:val="20"/>
        </w:rPr>
      </w:pPr>
      <w:r w:rsidRPr="00A026D2">
        <w:rPr>
          <w:sz w:val="20"/>
          <w:szCs w:val="20"/>
        </w:rPr>
        <w:t xml:space="preserve">Germany - </w:t>
      </w:r>
      <w:proofErr w:type="spellStart"/>
      <w:r w:rsidRPr="00A026D2">
        <w:rPr>
          <w:sz w:val="20"/>
          <w:szCs w:val="20"/>
        </w:rPr>
        <w:t>Blettner</w:t>
      </w:r>
      <w:proofErr w:type="spellEnd"/>
      <w:r w:rsidRPr="00A026D2">
        <w:rPr>
          <w:sz w:val="20"/>
          <w:szCs w:val="20"/>
        </w:rPr>
        <w:t xml:space="preserve"> et al., </w:t>
      </w:r>
      <w:proofErr w:type="spellStart"/>
      <w:r w:rsidRPr="00A026D2">
        <w:rPr>
          <w:sz w:val="20"/>
          <w:szCs w:val="20"/>
        </w:rPr>
        <w:t>Occup</w:t>
      </w:r>
      <w:proofErr w:type="spellEnd"/>
      <w:r w:rsidRPr="00A026D2">
        <w:rPr>
          <w:sz w:val="20"/>
          <w:szCs w:val="20"/>
        </w:rPr>
        <w:t xml:space="preserve"> Environ Med 2009; 66:118-123.</w:t>
      </w:r>
    </w:p>
    <w:p w:rsidR="00732C34" w:rsidRPr="00A026D2" w:rsidRDefault="00D80357" w:rsidP="00D80357">
      <w:pPr>
        <w:pStyle w:val="ListParagraph"/>
        <w:numPr>
          <w:ilvl w:val="0"/>
          <w:numId w:val="4"/>
        </w:numPr>
        <w:rPr>
          <w:sz w:val="20"/>
          <w:szCs w:val="20"/>
        </w:rPr>
      </w:pPr>
      <w:r w:rsidRPr="00A026D2">
        <w:rPr>
          <w:sz w:val="20"/>
          <w:szCs w:val="20"/>
        </w:rPr>
        <w:t>Germany - Berg-</w:t>
      </w:r>
      <w:proofErr w:type="spellStart"/>
      <w:r w:rsidRPr="00A026D2">
        <w:rPr>
          <w:sz w:val="20"/>
          <w:szCs w:val="20"/>
        </w:rPr>
        <w:t>Beckhoff</w:t>
      </w:r>
      <w:proofErr w:type="spellEnd"/>
      <w:r w:rsidRPr="00A026D2">
        <w:rPr>
          <w:sz w:val="20"/>
          <w:szCs w:val="20"/>
        </w:rPr>
        <w:t xml:space="preserve"> et at., </w:t>
      </w:r>
      <w:proofErr w:type="spellStart"/>
      <w:r w:rsidRPr="00A026D2">
        <w:rPr>
          <w:sz w:val="20"/>
          <w:szCs w:val="20"/>
        </w:rPr>
        <w:t>Occup</w:t>
      </w:r>
      <w:proofErr w:type="spellEnd"/>
      <w:r w:rsidRPr="00A026D2">
        <w:rPr>
          <w:sz w:val="20"/>
          <w:szCs w:val="20"/>
        </w:rPr>
        <w:t xml:space="preserve"> Environ Med 2009; 66:124-</w:t>
      </w:r>
      <w:proofErr w:type="gramStart"/>
      <w:r w:rsidRPr="00A026D2">
        <w:rPr>
          <w:sz w:val="20"/>
          <w:szCs w:val="20"/>
        </w:rPr>
        <w:t>130 .</w:t>
      </w:r>
      <w:proofErr w:type="gramEnd"/>
    </w:p>
    <w:p w:rsidR="00732C34" w:rsidRPr="00A026D2" w:rsidRDefault="00D80357" w:rsidP="00D80357">
      <w:pPr>
        <w:pStyle w:val="ListParagraph"/>
        <w:numPr>
          <w:ilvl w:val="0"/>
          <w:numId w:val="4"/>
        </w:numPr>
        <w:rPr>
          <w:sz w:val="20"/>
          <w:szCs w:val="20"/>
        </w:rPr>
      </w:pPr>
      <w:r w:rsidRPr="00A026D2">
        <w:rPr>
          <w:sz w:val="20"/>
          <w:szCs w:val="20"/>
        </w:rPr>
        <w:t xml:space="preserve">India - </w:t>
      </w:r>
      <w:proofErr w:type="spellStart"/>
      <w:r w:rsidRPr="00A026D2">
        <w:rPr>
          <w:sz w:val="20"/>
          <w:szCs w:val="20"/>
        </w:rPr>
        <w:t>Augner</w:t>
      </w:r>
      <w:proofErr w:type="spellEnd"/>
      <w:r w:rsidRPr="00A026D2">
        <w:rPr>
          <w:sz w:val="20"/>
          <w:szCs w:val="20"/>
        </w:rPr>
        <w:t xml:space="preserve"> C, Hacker GW. Indian J </w:t>
      </w:r>
      <w:proofErr w:type="spellStart"/>
      <w:r w:rsidRPr="00A026D2">
        <w:rPr>
          <w:sz w:val="20"/>
          <w:szCs w:val="20"/>
        </w:rPr>
        <w:t>Occup</w:t>
      </w:r>
      <w:proofErr w:type="spellEnd"/>
      <w:r w:rsidRPr="00A026D2">
        <w:rPr>
          <w:sz w:val="20"/>
          <w:szCs w:val="20"/>
        </w:rPr>
        <w:t xml:space="preserve"> Environ Med. 2009; 13(3):141-145.</w:t>
      </w:r>
    </w:p>
    <w:p w:rsidR="00732C34" w:rsidRPr="00A026D2" w:rsidRDefault="00D80357" w:rsidP="00D80357">
      <w:pPr>
        <w:pStyle w:val="ListParagraph"/>
        <w:numPr>
          <w:ilvl w:val="0"/>
          <w:numId w:val="4"/>
        </w:numPr>
        <w:rPr>
          <w:sz w:val="20"/>
          <w:szCs w:val="20"/>
        </w:rPr>
      </w:pPr>
      <w:r w:rsidRPr="00A026D2">
        <w:rPr>
          <w:sz w:val="20"/>
          <w:szCs w:val="20"/>
        </w:rPr>
        <w:t xml:space="preserve">Poland - </w:t>
      </w:r>
      <w:proofErr w:type="spellStart"/>
      <w:r w:rsidRPr="00A026D2">
        <w:rPr>
          <w:sz w:val="20"/>
          <w:szCs w:val="20"/>
        </w:rPr>
        <w:t>Bortkiewicz</w:t>
      </w:r>
      <w:proofErr w:type="spellEnd"/>
      <w:r w:rsidRPr="00A026D2">
        <w:rPr>
          <w:sz w:val="20"/>
          <w:szCs w:val="20"/>
        </w:rPr>
        <w:t xml:space="preserve"> et al., </w:t>
      </w:r>
      <w:proofErr w:type="spellStart"/>
      <w:r w:rsidRPr="00A026D2">
        <w:rPr>
          <w:sz w:val="20"/>
          <w:szCs w:val="20"/>
        </w:rPr>
        <w:t>Int</w:t>
      </w:r>
      <w:proofErr w:type="spellEnd"/>
      <w:r w:rsidRPr="00A026D2">
        <w:rPr>
          <w:sz w:val="20"/>
          <w:szCs w:val="20"/>
        </w:rPr>
        <w:t xml:space="preserve"> J </w:t>
      </w:r>
      <w:proofErr w:type="spellStart"/>
      <w:r w:rsidRPr="00A026D2">
        <w:rPr>
          <w:sz w:val="20"/>
          <w:szCs w:val="20"/>
        </w:rPr>
        <w:t>Occup</w:t>
      </w:r>
      <w:proofErr w:type="spellEnd"/>
      <w:r w:rsidRPr="00A026D2">
        <w:rPr>
          <w:sz w:val="20"/>
          <w:szCs w:val="20"/>
        </w:rPr>
        <w:t xml:space="preserve"> Med Environ Health 2012; 25(1):31-</w:t>
      </w:r>
      <w:proofErr w:type="gramStart"/>
      <w:r w:rsidRPr="00A026D2">
        <w:rPr>
          <w:sz w:val="20"/>
          <w:szCs w:val="20"/>
        </w:rPr>
        <w:t>40 .</w:t>
      </w:r>
      <w:proofErr w:type="gramEnd"/>
    </w:p>
    <w:p w:rsidR="00732C34" w:rsidRPr="00A026D2" w:rsidRDefault="00D80357" w:rsidP="00D80357">
      <w:pPr>
        <w:pStyle w:val="ListParagraph"/>
        <w:numPr>
          <w:ilvl w:val="0"/>
          <w:numId w:val="4"/>
        </w:numPr>
        <w:rPr>
          <w:sz w:val="20"/>
          <w:szCs w:val="20"/>
        </w:rPr>
      </w:pPr>
      <w:r w:rsidRPr="00A026D2">
        <w:rPr>
          <w:sz w:val="20"/>
          <w:szCs w:val="20"/>
        </w:rPr>
        <w:t xml:space="preserve">Germany - Eger H &amp; Manfred J. </w:t>
      </w:r>
      <w:proofErr w:type="spellStart"/>
      <w:r w:rsidRPr="00A026D2">
        <w:rPr>
          <w:sz w:val="20"/>
          <w:szCs w:val="20"/>
        </w:rPr>
        <w:t>Umwelt·Medizin·Gesellschaft</w:t>
      </w:r>
      <w:proofErr w:type="spellEnd"/>
      <w:r w:rsidRPr="00A026D2">
        <w:rPr>
          <w:sz w:val="20"/>
          <w:szCs w:val="20"/>
        </w:rPr>
        <w:t>, Feb 2010: 130-139.</w:t>
      </w:r>
    </w:p>
    <w:p w:rsidR="00732C34" w:rsidRPr="00A026D2" w:rsidRDefault="00D80357" w:rsidP="00D80357">
      <w:pPr>
        <w:pStyle w:val="ListParagraph"/>
        <w:numPr>
          <w:ilvl w:val="0"/>
          <w:numId w:val="4"/>
        </w:numPr>
        <w:rPr>
          <w:sz w:val="20"/>
          <w:szCs w:val="20"/>
        </w:rPr>
      </w:pPr>
      <w:r w:rsidRPr="00A026D2">
        <w:rPr>
          <w:sz w:val="20"/>
          <w:szCs w:val="20"/>
        </w:rPr>
        <w:t>Spain - Gómez-</w:t>
      </w:r>
      <w:proofErr w:type="spellStart"/>
      <w:r w:rsidRPr="00A026D2">
        <w:rPr>
          <w:sz w:val="20"/>
          <w:szCs w:val="20"/>
        </w:rPr>
        <w:t>Perretta</w:t>
      </w:r>
      <w:proofErr w:type="spellEnd"/>
      <w:r w:rsidRPr="00A026D2">
        <w:rPr>
          <w:sz w:val="20"/>
          <w:szCs w:val="20"/>
        </w:rPr>
        <w:t xml:space="preserve"> C et al., BMJ 2013; 3(12):1-7.</w:t>
      </w:r>
    </w:p>
    <w:p w:rsidR="00D80357" w:rsidRPr="00A026D2" w:rsidRDefault="00D80357" w:rsidP="00D80357">
      <w:pPr>
        <w:pStyle w:val="ListParagraph"/>
        <w:numPr>
          <w:ilvl w:val="0"/>
          <w:numId w:val="4"/>
        </w:numPr>
        <w:rPr>
          <w:sz w:val="20"/>
          <w:szCs w:val="20"/>
        </w:rPr>
      </w:pPr>
      <w:r w:rsidRPr="00A026D2">
        <w:rPr>
          <w:sz w:val="20"/>
          <w:szCs w:val="20"/>
        </w:rPr>
        <w:t xml:space="preserve">Iran - </w:t>
      </w:r>
      <w:proofErr w:type="spellStart"/>
      <w:r w:rsidRPr="00A026D2">
        <w:rPr>
          <w:sz w:val="20"/>
          <w:szCs w:val="20"/>
        </w:rPr>
        <w:t>Shahbazi-Gahrouei</w:t>
      </w:r>
      <w:proofErr w:type="spellEnd"/>
      <w:r w:rsidRPr="00A026D2">
        <w:rPr>
          <w:sz w:val="20"/>
          <w:szCs w:val="20"/>
        </w:rPr>
        <w:t xml:space="preserve"> et al., </w:t>
      </w:r>
      <w:proofErr w:type="spellStart"/>
      <w:r w:rsidRPr="00A026D2">
        <w:rPr>
          <w:sz w:val="20"/>
          <w:szCs w:val="20"/>
        </w:rPr>
        <w:t>Electromagn</w:t>
      </w:r>
      <w:proofErr w:type="spellEnd"/>
      <w:r w:rsidRPr="00A026D2">
        <w:rPr>
          <w:sz w:val="20"/>
          <w:szCs w:val="20"/>
        </w:rPr>
        <w:t xml:space="preserve"> </w:t>
      </w:r>
      <w:proofErr w:type="spellStart"/>
      <w:r w:rsidRPr="00A026D2">
        <w:rPr>
          <w:sz w:val="20"/>
          <w:szCs w:val="20"/>
        </w:rPr>
        <w:t>Biol</w:t>
      </w:r>
      <w:proofErr w:type="spellEnd"/>
      <w:r w:rsidRPr="00A026D2">
        <w:rPr>
          <w:sz w:val="20"/>
          <w:szCs w:val="20"/>
        </w:rPr>
        <w:t xml:space="preserve"> Med 2014;33(3):206-10</w:t>
      </w:r>
    </w:p>
    <w:p w:rsidR="00872F86" w:rsidRPr="00A026D2" w:rsidRDefault="00872F86" w:rsidP="00BA1E91">
      <w:pPr>
        <w:rPr>
          <w:i/>
          <w:sz w:val="20"/>
          <w:szCs w:val="20"/>
        </w:rPr>
      </w:pPr>
      <w:r w:rsidRPr="00A026D2">
        <w:rPr>
          <w:i/>
          <w:sz w:val="20"/>
          <w:szCs w:val="20"/>
        </w:rPr>
        <w:t>Evidence of EHS</w:t>
      </w:r>
    </w:p>
    <w:p w:rsidR="00872F86" w:rsidRDefault="006A053B" w:rsidP="00872F86">
      <w:pPr>
        <w:rPr>
          <w:sz w:val="20"/>
          <w:szCs w:val="20"/>
        </w:rPr>
      </w:pPr>
      <w:r w:rsidRPr="00A026D2">
        <w:rPr>
          <w:sz w:val="20"/>
          <w:szCs w:val="20"/>
        </w:rPr>
        <w:t xml:space="preserve">Although the </w:t>
      </w:r>
      <w:r w:rsidR="00872F86" w:rsidRPr="00A026D2">
        <w:rPr>
          <w:sz w:val="20"/>
          <w:szCs w:val="20"/>
        </w:rPr>
        <w:t xml:space="preserve">research </w:t>
      </w:r>
      <w:r w:rsidRPr="00A026D2">
        <w:rPr>
          <w:sz w:val="20"/>
          <w:szCs w:val="20"/>
        </w:rPr>
        <w:t xml:space="preserve">evidence </w:t>
      </w:r>
      <w:r w:rsidR="00872F86" w:rsidRPr="00A026D2">
        <w:rPr>
          <w:sz w:val="20"/>
          <w:szCs w:val="20"/>
        </w:rPr>
        <w:t>relating to</w:t>
      </w:r>
      <w:r w:rsidRPr="00A026D2">
        <w:rPr>
          <w:sz w:val="20"/>
          <w:szCs w:val="20"/>
        </w:rPr>
        <w:t xml:space="preserve"> EHS </w:t>
      </w:r>
      <w:r w:rsidR="00872F86" w:rsidRPr="00A026D2">
        <w:rPr>
          <w:sz w:val="20"/>
          <w:szCs w:val="20"/>
        </w:rPr>
        <w:t>can best be described as</w:t>
      </w:r>
      <w:r w:rsidRPr="00A026D2">
        <w:rPr>
          <w:sz w:val="20"/>
          <w:szCs w:val="20"/>
        </w:rPr>
        <w:t xml:space="preserve"> equivocal, to date most research into EHS has been poorly conducted provocation studies testing if self-described EHS sufferers can detect an active signal or not and describing how they feel. </w:t>
      </w:r>
      <w:r w:rsidR="00872F86" w:rsidRPr="00A026D2">
        <w:rPr>
          <w:sz w:val="20"/>
          <w:szCs w:val="20"/>
        </w:rPr>
        <w:t>M</w:t>
      </w:r>
      <w:r w:rsidRPr="00A026D2">
        <w:rPr>
          <w:sz w:val="20"/>
          <w:szCs w:val="20"/>
        </w:rPr>
        <w:t xml:space="preserve">ore recently </w:t>
      </w:r>
      <w:r w:rsidR="00872F86" w:rsidRPr="00A026D2">
        <w:rPr>
          <w:sz w:val="20"/>
          <w:szCs w:val="20"/>
        </w:rPr>
        <w:t xml:space="preserve">though, </w:t>
      </w:r>
      <w:r w:rsidRPr="00A026D2">
        <w:rPr>
          <w:sz w:val="20"/>
          <w:szCs w:val="20"/>
        </w:rPr>
        <w:t xml:space="preserve">researchers have </w:t>
      </w:r>
      <w:r w:rsidR="00872F86" w:rsidRPr="00A026D2">
        <w:rPr>
          <w:sz w:val="20"/>
          <w:szCs w:val="20"/>
        </w:rPr>
        <w:t>focused on</w:t>
      </w:r>
      <w:r w:rsidR="00A026D2" w:rsidRPr="00A026D2">
        <w:rPr>
          <w:sz w:val="20"/>
          <w:szCs w:val="20"/>
        </w:rPr>
        <w:t xml:space="preserve"> determining</w:t>
      </w:r>
      <w:r w:rsidR="00872F86" w:rsidRPr="00A026D2">
        <w:rPr>
          <w:sz w:val="20"/>
          <w:szCs w:val="20"/>
        </w:rPr>
        <w:t xml:space="preserve"> </w:t>
      </w:r>
      <w:r w:rsidRPr="00A026D2">
        <w:rPr>
          <w:sz w:val="20"/>
          <w:szCs w:val="20"/>
        </w:rPr>
        <w:t xml:space="preserve">biomarkers </w:t>
      </w:r>
      <w:r w:rsidR="00872F86" w:rsidRPr="00A026D2">
        <w:rPr>
          <w:sz w:val="20"/>
          <w:szCs w:val="20"/>
        </w:rPr>
        <w:t xml:space="preserve">and genetic markers </w:t>
      </w:r>
      <w:r w:rsidR="00A026D2" w:rsidRPr="00A026D2">
        <w:rPr>
          <w:sz w:val="20"/>
          <w:szCs w:val="20"/>
        </w:rPr>
        <w:t xml:space="preserve">for EHS </w:t>
      </w:r>
      <w:r w:rsidR="00872F86" w:rsidRPr="00A026D2">
        <w:rPr>
          <w:sz w:val="20"/>
          <w:szCs w:val="20"/>
        </w:rPr>
        <w:t xml:space="preserve">– see article by </w:t>
      </w:r>
      <w:proofErr w:type="spellStart"/>
      <w:r w:rsidR="00872F86" w:rsidRPr="00A026D2">
        <w:rPr>
          <w:sz w:val="20"/>
          <w:szCs w:val="20"/>
        </w:rPr>
        <w:t>Belpomme</w:t>
      </w:r>
      <w:proofErr w:type="spellEnd"/>
      <w:r w:rsidR="00872F86" w:rsidRPr="00A026D2">
        <w:rPr>
          <w:sz w:val="20"/>
          <w:szCs w:val="20"/>
        </w:rPr>
        <w:t xml:space="preserve"> et al. Reliable disease biomarkers characterizing and identifying </w:t>
      </w:r>
      <w:proofErr w:type="spellStart"/>
      <w:r w:rsidR="00872F86" w:rsidRPr="00A026D2">
        <w:rPr>
          <w:sz w:val="20"/>
          <w:szCs w:val="20"/>
        </w:rPr>
        <w:t>electrohypersensitivity</w:t>
      </w:r>
      <w:proofErr w:type="spellEnd"/>
      <w:r w:rsidR="00872F86" w:rsidRPr="00A026D2">
        <w:rPr>
          <w:sz w:val="20"/>
          <w:szCs w:val="20"/>
        </w:rPr>
        <w:t xml:space="preserve"> and multiple chemical sensitivity as two </w:t>
      </w:r>
      <w:proofErr w:type="spellStart"/>
      <w:r w:rsidR="00872F86" w:rsidRPr="00A026D2">
        <w:rPr>
          <w:sz w:val="20"/>
          <w:szCs w:val="20"/>
        </w:rPr>
        <w:t>etiopathogenic</w:t>
      </w:r>
      <w:proofErr w:type="spellEnd"/>
      <w:r w:rsidR="00872F86" w:rsidRPr="00A026D2">
        <w:rPr>
          <w:sz w:val="20"/>
          <w:szCs w:val="20"/>
        </w:rPr>
        <w:t xml:space="preserve"> aspects of a unique pathological disorder. </w:t>
      </w:r>
      <w:r w:rsidR="00872F86" w:rsidRPr="00A4740A">
        <w:rPr>
          <w:i/>
          <w:sz w:val="20"/>
          <w:szCs w:val="20"/>
        </w:rPr>
        <w:t>Rev Environ Health</w:t>
      </w:r>
      <w:r w:rsidR="00872F86" w:rsidRPr="00A026D2">
        <w:rPr>
          <w:sz w:val="20"/>
          <w:szCs w:val="20"/>
        </w:rPr>
        <w:t xml:space="preserve">. 2015; 30(4):251-71. </w:t>
      </w:r>
    </w:p>
    <w:p w:rsidR="003B4024" w:rsidRPr="003B4024" w:rsidRDefault="003B4024" w:rsidP="00872F86">
      <w:pPr>
        <w:rPr>
          <w:i/>
          <w:sz w:val="20"/>
          <w:szCs w:val="20"/>
        </w:rPr>
      </w:pPr>
      <w:r w:rsidRPr="003B4024">
        <w:rPr>
          <w:i/>
          <w:sz w:val="20"/>
          <w:szCs w:val="20"/>
        </w:rPr>
        <w:t>Why aren’t we hearing more about sufferers of EHS?</w:t>
      </w:r>
    </w:p>
    <w:p w:rsidR="00872F86" w:rsidRPr="00A026D2" w:rsidRDefault="003B4024" w:rsidP="006A053B">
      <w:pPr>
        <w:rPr>
          <w:sz w:val="20"/>
          <w:szCs w:val="20"/>
        </w:rPr>
      </w:pPr>
      <w:r>
        <w:rPr>
          <w:sz w:val="20"/>
          <w:szCs w:val="20"/>
        </w:rPr>
        <w:t>D</w:t>
      </w:r>
      <w:r w:rsidR="00872F86" w:rsidRPr="00A026D2">
        <w:rPr>
          <w:sz w:val="20"/>
          <w:szCs w:val="20"/>
        </w:rPr>
        <w:t>espite the increasing numbers of people claiming harm related to radio frequency EMR exposures and choosing to prioritise infrastructure such as landlines and wired Internet connections, these individuals are struggling to gain recognition of their sensitivity. There are a number of reasons for this:</w:t>
      </w:r>
    </w:p>
    <w:p w:rsidR="00872F86" w:rsidRPr="00A026D2" w:rsidRDefault="00872F86" w:rsidP="006A053B">
      <w:pPr>
        <w:pStyle w:val="ListParagraph"/>
        <w:numPr>
          <w:ilvl w:val="0"/>
          <w:numId w:val="5"/>
        </w:numPr>
        <w:rPr>
          <w:sz w:val="20"/>
          <w:szCs w:val="20"/>
        </w:rPr>
      </w:pPr>
      <w:r w:rsidRPr="00A026D2">
        <w:rPr>
          <w:sz w:val="20"/>
          <w:szCs w:val="20"/>
        </w:rPr>
        <w:t>M</w:t>
      </w:r>
      <w:r w:rsidR="006A053B" w:rsidRPr="00A026D2">
        <w:rPr>
          <w:sz w:val="20"/>
          <w:szCs w:val="20"/>
        </w:rPr>
        <w:t xml:space="preserve">ost doctors don’t know about EHS and/or don’t know what to do about it, and most medical professionals have little knowledge of the growing body of evidence of harm </w:t>
      </w:r>
    </w:p>
    <w:p w:rsidR="00872F86" w:rsidRPr="00A026D2" w:rsidRDefault="006A053B" w:rsidP="006A053B">
      <w:pPr>
        <w:pStyle w:val="ListParagraph"/>
        <w:numPr>
          <w:ilvl w:val="0"/>
          <w:numId w:val="5"/>
        </w:numPr>
        <w:rPr>
          <w:sz w:val="20"/>
          <w:szCs w:val="20"/>
        </w:rPr>
      </w:pPr>
      <w:r w:rsidRPr="00A026D2">
        <w:rPr>
          <w:sz w:val="20"/>
          <w:szCs w:val="20"/>
        </w:rPr>
        <w:t xml:space="preserve">There is a small number of people affected badly and they are struggling to cope with everyday life – in particular if they don’t have a partner to support them </w:t>
      </w:r>
    </w:p>
    <w:p w:rsidR="00872F86" w:rsidRPr="00A026D2" w:rsidRDefault="006A053B" w:rsidP="006A053B">
      <w:pPr>
        <w:pStyle w:val="ListParagraph"/>
        <w:numPr>
          <w:ilvl w:val="0"/>
          <w:numId w:val="5"/>
        </w:numPr>
        <w:rPr>
          <w:sz w:val="20"/>
          <w:szCs w:val="20"/>
        </w:rPr>
      </w:pPr>
      <w:r w:rsidRPr="00A026D2">
        <w:rPr>
          <w:sz w:val="20"/>
          <w:szCs w:val="20"/>
        </w:rPr>
        <w:t>Individuals who make their sensitivity public are fr</w:t>
      </w:r>
      <w:r w:rsidR="00872F86" w:rsidRPr="00A026D2">
        <w:rPr>
          <w:sz w:val="20"/>
          <w:szCs w:val="20"/>
        </w:rPr>
        <w:t>equently ridiculed in the media, and</w:t>
      </w:r>
    </w:p>
    <w:p w:rsidR="006A053B" w:rsidRDefault="00872F86" w:rsidP="006A053B">
      <w:pPr>
        <w:pStyle w:val="ListParagraph"/>
        <w:numPr>
          <w:ilvl w:val="0"/>
          <w:numId w:val="5"/>
        </w:numPr>
        <w:rPr>
          <w:sz w:val="20"/>
          <w:szCs w:val="20"/>
        </w:rPr>
      </w:pPr>
      <w:r w:rsidRPr="00A026D2">
        <w:rPr>
          <w:sz w:val="20"/>
          <w:szCs w:val="20"/>
        </w:rPr>
        <w:t>I</w:t>
      </w:r>
      <w:r w:rsidR="006A053B" w:rsidRPr="00A026D2">
        <w:rPr>
          <w:sz w:val="20"/>
          <w:szCs w:val="20"/>
        </w:rPr>
        <w:t>t is likely many people do not know why they are chronically unwell</w:t>
      </w:r>
      <w:r w:rsidRPr="00A026D2">
        <w:rPr>
          <w:sz w:val="20"/>
          <w:szCs w:val="20"/>
        </w:rPr>
        <w:t>.</w:t>
      </w:r>
    </w:p>
    <w:p w:rsidR="00195BDE" w:rsidRPr="00195BDE" w:rsidRDefault="00195BDE" w:rsidP="00195BDE">
      <w:pPr>
        <w:rPr>
          <w:i/>
          <w:sz w:val="20"/>
          <w:szCs w:val="20"/>
        </w:rPr>
      </w:pPr>
      <w:r w:rsidRPr="00195BDE">
        <w:rPr>
          <w:i/>
          <w:sz w:val="20"/>
          <w:szCs w:val="20"/>
        </w:rPr>
        <w:t>EHS is recognised as a functional impairment caused by an environmental agent in Sweden</w:t>
      </w:r>
    </w:p>
    <w:p w:rsidR="00195BDE" w:rsidRPr="00195BDE" w:rsidRDefault="005C62C0" w:rsidP="005C62C0">
      <w:pPr>
        <w:tabs>
          <w:tab w:val="center" w:pos="4513"/>
        </w:tabs>
        <w:rPr>
          <w:sz w:val="20"/>
          <w:szCs w:val="20"/>
        </w:rPr>
      </w:pPr>
      <w:r>
        <w:rPr>
          <w:sz w:val="20"/>
          <w:szCs w:val="20"/>
        </w:rPr>
        <w:t xml:space="preserve">While EHS is not recognised in Australia, EHS is </w:t>
      </w:r>
      <w:r w:rsidRPr="005C62C0">
        <w:rPr>
          <w:sz w:val="20"/>
          <w:szCs w:val="20"/>
        </w:rPr>
        <w:t>recognised as a functional impairment</w:t>
      </w:r>
      <w:r>
        <w:rPr>
          <w:sz w:val="20"/>
          <w:szCs w:val="20"/>
        </w:rPr>
        <w:t xml:space="preserve"> (disability)</w:t>
      </w:r>
      <w:r w:rsidRPr="005C62C0">
        <w:rPr>
          <w:sz w:val="20"/>
          <w:szCs w:val="20"/>
        </w:rPr>
        <w:t xml:space="preserve"> caused by an environmental agent in Sweden</w:t>
      </w:r>
      <w:r w:rsidR="00006A17">
        <w:rPr>
          <w:sz w:val="20"/>
          <w:szCs w:val="20"/>
        </w:rPr>
        <w:t>.</w:t>
      </w:r>
      <w:r>
        <w:rPr>
          <w:rStyle w:val="FootnoteReference"/>
          <w:sz w:val="20"/>
          <w:szCs w:val="20"/>
        </w:rPr>
        <w:footnoteReference w:id="6"/>
      </w:r>
      <w:r>
        <w:rPr>
          <w:sz w:val="20"/>
          <w:szCs w:val="20"/>
        </w:rPr>
        <w:t xml:space="preserve"> </w:t>
      </w:r>
      <w:r w:rsidR="00006A17">
        <w:rPr>
          <w:sz w:val="20"/>
          <w:szCs w:val="20"/>
        </w:rPr>
        <w:t>S</w:t>
      </w:r>
      <w:r>
        <w:rPr>
          <w:sz w:val="20"/>
          <w:szCs w:val="20"/>
        </w:rPr>
        <w:t>uffer</w:t>
      </w:r>
      <w:r w:rsidR="00006A17">
        <w:rPr>
          <w:sz w:val="20"/>
          <w:szCs w:val="20"/>
        </w:rPr>
        <w:t>er</w:t>
      </w:r>
      <w:r>
        <w:rPr>
          <w:sz w:val="20"/>
          <w:szCs w:val="20"/>
        </w:rPr>
        <w:t xml:space="preserve">s </w:t>
      </w:r>
      <w:r w:rsidR="00006A17">
        <w:rPr>
          <w:sz w:val="20"/>
          <w:szCs w:val="20"/>
        </w:rPr>
        <w:t xml:space="preserve">are </w:t>
      </w:r>
      <w:r>
        <w:rPr>
          <w:sz w:val="20"/>
          <w:szCs w:val="20"/>
        </w:rPr>
        <w:t>compensated accordingly and councils</w:t>
      </w:r>
      <w:r w:rsidR="00006A17">
        <w:rPr>
          <w:sz w:val="20"/>
          <w:szCs w:val="20"/>
        </w:rPr>
        <w:t xml:space="preserve"> are</w:t>
      </w:r>
      <w:r>
        <w:rPr>
          <w:sz w:val="20"/>
          <w:szCs w:val="20"/>
        </w:rPr>
        <w:t xml:space="preserve"> responsible for </w:t>
      </w:r>
      <w:r>
        <w:rPr>
          <w:sz w:val="20"/>
          <w:szCs w:val="20"/>
        </w:rPr>
        <w:lastRenderedPageBreak/>
        <w:t xml:space="preserve">ensuring </w:t>
      </w:r>
      <w:r w:rsidR="00006A17">
        <w:rPr>
          <w:sz w:val="20"/>
          <w:szCs w:val="20"/>
        </w:rPr>
        <w:t>these individuals</w:t>
      </w:r>
      <w:r>
        <w:rPr>
          <w:sz w:val="20"/>
          <w:szCs w:val="20"/>
        </w:rPr>
        <w:t xml:space="preserve"> live in a safe environment and workplaces</w:t>
      </w:r>
      <w:r w:rsidR="00006A17">
        <w:rPr>
          <w:sz w:val="20"/>
          <w:szCs w:val="20"/>
        </w:rPr>
        <w:t xml:space="preserve"> are</w:t>
      </w:r>
      <w:r>
        <w:rPr>
          <w:sz w:val="20"/>
          <w:szCs w:val="20"/>
        </w:rPr>
        <w:t xml:space="preserve"> responsible for ensuring these individuals can access work.</w:t>
      </w:r>
    </w:p>
    <w:p w:rsidR="00A4740A" w:rsidRPr="007A3C85" w:rsidRDefault="00830FFC" w:rsidP="00A4740A">
      <w:pPr>
        <w:rPr>
          <w:sz w:val="20"/>
          <w:szCs w:val="20"/>
          <w:u w:val="single"/>
        </w:rPr>
      </w:pPr>
      <w:r>
        <w:rPr>
          <w:sz w:val="20"/>
          <w:szCs w:val="20"/>
          <w:u w:val="single"/>
        </w:rPr>
        <w:t>The NBN d</w:t>
      </w:r>
      <w:r w:rsidR="00A4740A" w:rsidRPr="007A3C85">
        <w:rPr>
          <w:sz w:val="20"/>
          <w:szCs w:val="20"/>
          <w:u w:val="single"/>
        </w:rPr>
        <w:t>eployment</w:t>
      </w:r>
      <w:r>
        <w:rPr>
          <w:sz w:val="20"/>
          <w:szCs w:val="20"/>
          <w:u w:val="single"/>
        </w:rPr>
        <w:t xml:space="preserve"> </w:t>
      </w:r>
      <w:r w:rsidR="007A3C85">
        <w:rPr>
          <w:sz w:val="20"/>
          <w:szCs w:val="20"/>
          <w:u w:val="single"/>
        </w:rPr>
        <w:t>relies heavily on</w:t>
      </w:r>
      <w:r w:rsidR="00A4740A" w:rsidRPr="007A3C85">
        <w:rPr>
          <w:sz w:val="20"/>
          <w:szCs w:val="20"/>
          <w:u w:val="single"/>
        </w:rPr>
        <w:t xml:space="preserve"> wireless </w:t>
      </w:r>
      <w:r w:rsidR="007A3C85">
        <w:rPr>
          <w:sz w:val="20"/>
          <w:szCs w:val="20"/>
          <w:u w:val="single"/>
        </w:rPr>
        <w:t>technology</w:t>
      </w:r>
      <w:r w:rsidR="00A4740A" w:rsidRPr="007A3C85">
        <w:rPr>
          <w:sz w:val="20"/>
          <w:szCs w:val="20"/>
          <w:u w:val="single"/>
        </w:rPr>
        <w:t xml:space="preserve"> even in </w:t>
      </w:r>
      <w:r w:rsidR="007A3C85" w:rsidRPr="007A3C85">
        <w:rPr>
          <w:sz w:val="20"/>
          <w:szCs w:val="20"/>
          <w:u w:val="single"/>
        </w:rPr>
        <w:t>areas covered by Fixed Line Wireless</w:t>
      </w:r>
      <w:r>
        <w:rPr>
          <w:sz w:val="20"/>
          <w:szCs w:val="20"/>
          <w:u w:val="single"/>
        </w:rPr>
        <w:t xml:space="preserve"> </w:t>
      </w:r>
    </w:p>
    <w:p w:rsidR="00830FFC" w:rsidRDefault="00830FFC" w:rsidP="00F25D53">
      <w:pPr>
        <w:rPr>
          <w:sz w:val="20"/>
          <w:szCs w:val="20"/>
        </w:rPr>
      </w:pPr>
      <w:r w:rsidRPr="00F25D53">
        <w:rPr>
          <w:sz w:val="20"/>
          <w:szCs w:val="20"/>
        </w:rPr>
        <w:t xml:space="preserve">Fixed Line NBN uses wireless technology </w:t>
      </w:r>
      <w:r w:rsidR="00D74D08" w:rsidRPr="00F25D53">
        <w:rPr>
          <w:sz w:val="20"/>
          <w:szCs w:val="20"/>
        </w:rPr>
        <w:t>as well as wired technology and this is a se</w:t>
      </w:r>
      <w:r w:rsidR="008C1014" w:rsidRPr="00F25D53">
        <w:rPr>
          <w:sz w:val="20"/>
          <w:szCs w:val="20"/>
        </w:rPr>
        <w:t>rious problem for EHS sufferers</w:t>
      </w:r>
      <w:r w:rsidR="003B4024" w:rsidRPr="00F25D53">
        <w:rPr>
          <w:sz w:val="20"/>
          <w:szCs w:val="20"/>
        </w:rPr>
        <w:t>; EHS sufferers sensitive to radio frequency EMR need to use wired Internet services exclusively with</w:t>
      </w:r>
      <w:r w:rsidR="00F25D53">
        <w:rPr>
          <w:sz w:val="20"/>
          <w:szCs w:val="20"/>
        </w:rPr>
        <w:t>out any wireless infrastructure in their home.</w:t>
      </w:r>
    </w:p>
    <w:p w:rsidR="00F25D53" w:rsidRPr="00F25D53" w:rsidRDefault="00F25D53" w:rsidP="00F25D53">
      <w:pPr>
        <w:rPr>
          <w:sz w:val="20"/>
          <w:szCs w:val="20"/>
        </w:rPr>
      </w:pPr>
      <w:r w:rsidRPr="00F25D53">
        <w:rPr>
          <w:sz w:val="20"/>
          <w:szCs w:val="20"/>
        </w:rPr>
        <w:t>EHS sufferers will not be able to live in Fixed Wireless areas</w:t>
      </w:r>
      <w:r>
        <w:rPr>
          <w:sz w:val="20"/>
          <w:szCs w:val="20"/>
        </w:rPr>
        <w:t xml:space="preserve"> and if they have to – as these areas are in the country </w:t>
      </w:r>
      <w:r w:rsidR="00183B90">
        <w:rPr>
          <w:sz w:val="20"/>
          <w:szCs w:val="20"/>
        </w:rPr>
        <w:t xml:space="preserve">areas </w:t>
      </w:r>
      <w:r>
        <w:rPr>
          <w:sz w:val="20"/>
          <w:szCs w:val="20"/>
        </w:rPr>
        <w:t xml:space="preserve">and likely to provide cheaper housing - </w:t>
      </w:r>
      <w:r w:rsidRPr="00F25D53">
        <w:rPr>
          <w:sz w:val="20"/>
          <w:szCs w:val="20"/>
        </w:rPr>
        <w:t xml:space="preserve">they will have </w:t>
      </w:r>
      <w:r w:rsidR="00183B90">
        <w:rPr>
          <w:sz w:val="20"/>
          <w:szCs w:val="20"/>
        </w:rPr>
        <w:t xml:space="preserve">severely </w:t>
      </w:r>
      <w:r w:rsidRPr="00F25D53">
        <w:rPr>
          <w:sz w:val="20"/>
          <w:szCs w:val="20"/>
        </w:rPr>
        <w:t>limited communications options</w:t>
      </w:r>
      <w:r w:rsidR="00183B90">
        <w:rPr>
          <w:sz w:val="20"/>
          <w:szCs w:val="20"/>
        </w:rPr>
        <w:t>: unable to use wireless Internet for more than a short period of time and ha</w:t>
      </w:r>
      <w:r w:rsidR="00EA52DE">
        <w:rPr>
          <w:sz w:val="20"/>
          <w:szCs w:val="20"/>
        </w:rPr>
        <w:t>ving to limit use of mobile phon</w:t>
      </w:r>
      <w:r w:rsidR="00183B90">
        <w:rPr>
          <w:sz w:val="20"/>
          <w:szCs w:val="20"/>
        </w:rPr>
        <w:t xml:space="preserve">es. </w:t>
      </w:r>
    </w:p>
    <w:p w:rsidR="006A053B" w:rsidRDefault="00A4740A" w:rsidP="00BA1E91">
      <w:pPr>
        <w:rPr>
          <w:sz w:val="20"/>
          <w:szCs w:val="20"/>
        </w:rPr>
      </w:pPr>
      <w:r w:rsidRPr="00A4740A">
        <w:rPr>
          <w:sz w:val="20"/>
          <w:szCs w:val="20"/>
        </w:rPr>
        <w:t xml:space="preserve">Therefore, on the basis of my sensitivity to radio frequency EMR and the resulting need for me to work from home relying heavily on a landline telephone and a wired Internet connection, but also the </w:t>
      </w:r>
      <w:r w:rsidR="00EB5617">
        <w:rPr>
          <w:sz w:val="20"/>
          <w:szCs w:val="20"/>
        </w:rPr>
        <w:t xml:space="preserve">high use of wireless technology in the deployment of the NBN (even in areas with Fixed Line NBN) and </w:t>
      </w:r>
      <w:r w:rsidRPr="00A4740A">
        <w:rPr>
          <w:sz w:val="20"/>
          <w:szCs w:val="20"/>
        </w:rPr>
        <w:t>classification of radio frequency EMR as a 2B possible carcinogen, I oppose the Productivity Commission’s recommendation that the Australian Government phase out the telecommunications universal service obligation of providing landlines.</w:t>
      </w:r>
    </w:p>
    <w:p w:rsidR="00A4740A" w:rsidRDefault="00A4740A" w:rsidP="00BA1E91">
      <w:pPr>
        <w:rPr>
          <w:sz w:val="20"/>
          <w:szCs w:val="20"/>
        </w:rPr>
      </w:pPr>
    </w:p>
    <w:p w:rsidR="00A4740A" w:rsidRPr="00A026D2" w:rsidRDefault="00A4740A" w:rsidP="00BA1E91">
      <w:pPr>
        <w:rPr>
          <w:sz w:val="20"/>
          <w:szCs w:val="20"/>
        </w:rPr>
      </w:pPr>
    </w:p>
    <w:p w:rsidR="006A053B" w:rsidRDefault="006A053B" w:rsidP="00BA1E91">
      <w:pPr>
        <w:rPr>
          <w:sz w:val="20"/>
          <w:szCs w:val="20"/>
        </w:rPr>
      </w:pPr>
      <w:r w:rsidRPr="00A026D2">
        <w:rPr>
          <w:sz w:val="20"/>
          <w:szCs w:val="20"/>
        </w:rPr>
        <w:t xml:space="preserve">Yours sincerely, </w:t>
      </w:r>
    </w:p>
    <w:p w:rsidR="006A053B" w:rsidRPr="00A026D2" w:rsidRDefault="006A053B" w:rsidP="00BA1E91">
      <w:pPr>
        <w:rPr>
          <w:sz w:val="20"/>
          <w:szCs w:val="20"/>
        </w:rPr>
      </w:pPr>
    </w:p>
    <w:sectPr w:rsidR="006A053B" w:rsidRPr="00A026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57" w:rsidRDefault="00B42757" w:rsidP="00B42757">
      <w:pPr>
        <w:spacing w:after="0" w:line="240" w:lineRule="auto"/>
      </w:pPr>
      <w:r>
        <w:separator/>
      </w:r>
    </w:p>
  </w:endnote>
  <w:endnote w:type="continuationSeparator" w:id="0">
    <w:p w:rsidR="00B42757" w:rsidRDefault="00B42757" w:rsidP="00B4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57" w:rsidRDefault="00B42757" w:rsidP="00B42757">
      <w:pPr>
        <w:spacing w:after="0" w:line="240" w:lineRule="auto"/>
      </w:pPr>
      <w:r>
        <w:separator/>
      </w:r>
    </w:p>
  </w:footnote>
  <w:footnote w:type="continuationSeparator" w:id="0">
    <w:p w:rsidR="00B42757" w:rsidRDefault="00B42757" w:rsidP="00B42757">
      <w:pPr>
        <w:spacing w:after="0" w:line="240" w:lineRule="auto"/>
      </w:pPr>
      <w:r>
        <w:continuationSeparator/>
      </w:r>
    </w:p>
  </w:footnote>
  <w:footnote w:id="1">
    <w:p w:rsidR="00B42757" w:rsidRPr="00195BDE" w:rsidRDefault="00B42757">
      <w:pPr>
        <w:pStyle w:val="FootnoteText"/>
        <w:rPr>
          <w:sz w:val="18"/>
        </w:rPr>
      </w:pPr>
      <w:r w:rsidRPr="00195BDE">
        <w:rPr>
          <w:rStyle w:val="FootnoteReference"/>
          <w:sz w:val="18"/>
        </w:rPr>
        <w:footnoteRef/>
      </w:r>
      <w:r w:rsidRPr="00195BDE">
        <w:rPr>
          <w:sz w:val="18"/>
        </w:rPr>
        <w:t xml:space="preserve"> EUROPEAM – European Academy of </w:t>
      </w:r>
      <w:r w:rsidR="00E0740F" w:rsidRPr="00195BDE">
        <w:rPr>
          <w:sz w:val="18"/>
        </w:rPr>
        <w:t>Environmental Medicine</w:t>
      </w:r>
    </w:p>
  </w:footnote>
  <w:footnote w:id="2">
    <w:p w:rsidR="008E7C25" w:rsidRPr="00195BDE" w:rsidRDefault="008E7C25">
      <w:pPr>
        <w:pStyle w:val="FootnoteText"/>
        <w:rPr>
          <w:sz w:val="18"/>
        </w:rPr>
      </w:pPr>
      <w:r w:rsidRPr="00195BDE">
        <w:rPr>
          <w:rStyle w:val="FootnoteReference"/>
          <w:sz w:val="18"/>
        </w:rPr>
        <w:footnoteRef/>
      </w:r>
      <w:r w:rsidRPr="00195BDE">
        <w:rPr>
          <w:sz w:val="18"/>
        </w:rPr>
        <w:t xml:space="preserve"> </w:t>
      </w:r>
      <w:proofErr w:type="spellStart"/>
      <w:r w:rsidRPr="00195BDE">
        <w:rPr>
          <w:sz w:val="18"/>
        </w:rPr>
        <w:t>Cardis</w:t>
      </w:r>
      <w:proofErr w:type="spellEnd"/>
      <w:r w:rsidRPr="00195BDE">
        <w:rPr>
          <w:sz w:val="18"/>
        </w:rPr>
        <w:t xml:space="preserve"> E et al. </w:t>
      </w:r>
      <w:proofErr w:type="spellStart"/>
      <w:r w:rsidRPr="00195BDE">
        <w:rPr>
          <w:sz w:val="18"/>
        </w:rPr>
        <w:t>Int</w:t>
      </w:r>
      <w:proofErr w:type="spellEnd"/>
      <w:r w:rsidRPr="00195BDE">
        <w:rPr>
          <w:sz w:val="18"/>
        </w:rPr>
        <w:t xml:space="preserve"> J </w:t>
      </w:r>
      <w:proofErr w:type="spellStart"/>
      <w:r w:rsidRPr="00195BDE">
        <w:rPr>
          <w:sz w:val="18"/>
        </w:rPr>
        <w:t>Epidemiol</w:t>
      </w:r>
      <w:proofErr w:type="spellEnd"/>
      <w:r w:rsidRPr="00195BDE">
        <w:rPr>
          <w:sz w:val="18"/>
        </w:rPr>
        <w:t xml:space="preserve"> 2010; 39: 675-694; </w:t>
      </w:r>
      <w:proofErr w:type="spellStart"/>
      <w:r w:rsidRPr="00195BDE">
        <w:rPr>
          <w:sz w:val="18"/>
        </w:rPr>
        <w:t>Occup</w:t>
      </w:r>
      <w:proofErr w:type="spellEnd"/>
      <w:r w:rsidRPr="00195BDE">
        <w:rPr>
          <w:sz w:val="18"/>
        </w:rPr>
        <w:t xml:space="preserve"> Environ Med. 2011 Sep; 68(9): 631-40; INTERPHONE Study Group. Cancer </w:t>
      </w:r>
      <w:proofErr w:type="spellStart"/>
      <w:r w:rsidRPr="00195BDE">
        <w:rPr>
          <w:sz w:val="18"/>
        </w:rPr>
        <w:t>Epidemiol</w:t>
      </w:r>
      <w:proofErr w:type="spellEnd"/>
      <w:r w:rsidRPr="00195BDE">
        <w:rPr>
          <w:sz w:val="18"/>
        </w:rPr>
        <w:t xml:space="preserve"> 2011 Oct; 35(5): 453-64.</w:t>
      </w:r>
    </w:p>
  </w:footnote>
  <w:footnote w:id="3">
    <w:p w:rsidR="008E7C25" w:rsidRPr="00195BDE" w:rsidRDefault="008E7C25">
      <w:pPr>
        <w:pStyle w:val="FootnoteText"/>
        <w:rPr>
          <w:sz w:val="18"/>
        </w:rPr>
      </w:pPr>
      <w:r w:rsidRPr="00195BDE">
        <w:rPr>
          <w:rStyle w:val="FootnoteReference"/>
          <w:sz w:val="18"/>
        </w:rPr>
        <w:footnoteRef/>
      </w:r>
      <w:r w:rsidRPr="00195BDE">
        <w:rPr>
          <w:sz w:val="18"/>
        </w:rPr>
        <w:t xml:space="preserve"> </w:t>
      </w:r>
      <w:proofErr w:type="spellStart"/>
      <w:r w:rsidRPr="00195BDE">
        <w:rPr>
          <w:sz w:val="18"/>
        </w:rPr>
        <w:t>Hardell</w:t>
      </w:r>
      <w:proofErr w:type="spellEnd"/>
      <w:r w:rsidRPr="00195BDE">
        <w:rPr>
          <w:sz w:val="18"/>
        </w:rPr>
        <w:t xml:space="preserve"> et al, </w:t>
      </w:r>
      <w:proofErr w:type="spellStart"/>
      <w:r w:rsidRPr="00195BDE">
        <w:rPr>
          <w:sz w:val="18"/>
        </w:rPr>
        <w:t>Int</w:t>
      </w:r>
      <w:proofErr w:type="spellEnd"/>
      <w:r w:rsidRPr="00195BDE">
        <w:rPr>
          <w:sz w:val="18"/>
        </w:rPr>
        <w:t xml:space="preserve"> J </w:t>
      </w:r>
      <w:proofErr w:type="spellStart"/>
      <w:r w:rsidRPr="00195BDE">
        <w:rPr>
          <w:sz w:val="18"/>
        </w:rPr>
        <w:t>Oncol</w:t>
      </w:r>
      <w:proofErr w:type="spellEnd"/>
      <w:r w:rsidRPr="00195BDE">
        <w:rPr>
          <w:sz w:val="18"/>
        </w:rPr>
        <w:t xml:space="preserve"> 2008; 32(5): 1097-103; </w:t>
      </w:r>
      <w:proofErr w:type="spellStart"/>
      <w:r w:rsidRPr="00195BDE">
        <w:rPr>
          <w:sz w:val="18"/>
        </w:rPr>
        <w:t>Int</w:t>
      </w:r>
      <w:proofErr w:type="spellEnd"/>
      <w:r w:rsidRPr="00195BDE">
        <w:rPr>
          <w:sz w:val="18"/>
        </w:rPr>
        <w:t xml:space="preserve"> J </w:t>
      </w:r>
      <w:proofErr w:type="spellStart"/>
      <w:r w:rsidRPr="00195BDE">
        <w:rPr>
          <w:sz w:val="18"/>
        </w:rPr>
        <w:t>Oncol</w:t>
      </w:r>
      <w:proofErr w:type="spellEnd"/>
      <w:r w:rsidRPr="00195BDE">
        <w:rPr>
          <w:sz w:val="18"/>
        </w:rPr>
        <w:t xml:space="preserve"> 2009; 35(1): 5-17; </w:t>
      </w:r>
      <w:proofErr w:type="spellStart"/>
      <w:r w:rsidRPr="00195BDE">
        <w:rPr>
          <w:sz w:val="18"/>
        </w:rPr>
        <w:t>Int</w:t>
      </w:r>
      <w:proofErr w:type="spellEnd"/>
      <w:r w:rsidRPr="00195BDE">
        <w:rPr>
          <w:sz w:val="18"/>
        </w:rPr>
        <w:t xml:space="preserve"> J </w:t>
      </w:r>
      <w:proofErr w:type="spellStart"/>
      <w:r w:rsidRPr="00195BDE">
        <w:rPr>
          <w:sz w:val="18"/>
        </w:rPr>
        <w:t>Oncol</w:t>
      </w:r>
      <w:proofErr w:type="spellEnd"/>
      <w:r w:rsidRPr="00195BDE">
        <w:rPr>
          <w:sz w:val="18"/>
        </w:rPr>
        <w:t xml:space="preserve"> 2011; 38(5): 1465-74; </w:t>
      </w:r>
      <w:proofErr w:type="spellStart"/>
      <w:r w:rsidRPr="00195BDE">
        <w:rPr>
          <w:sz w:val="18"/>
        </w:rPr>
        <w:t>Int</w:t>
      </w:r>
      <w:proofErr w:type="spellEnd"/>
      <w:r w:rsidRPr="00195BDE">
        <w:rPr>
          <w:sz w:val="18"/>
        </w:rPr>
        <w:t xml:space="preserve"> J </w:t>
      </w:r>
      <w:proofErr w:type="spellStart"/>
      <w:r w:rsidRPr="00195BDE">
        <w:rPr>
          <w:sz w:val="18"/>
        </w:rPr>
        <w:t>Epidemiol</w:t>
      </w:r>
      <w:proofErr w:type="spellEnd"/>
      <w:r w:rsidRPr="00195BDE">
        <w:rPr>
          <w:sz w:val="18"/>
        </w:rPr>
        <w:t xml:space="preserve"> 2011; 40(4): 1126-8; </w:t>
      </w:r>
      <w:proofErr w:type="spellStart"/>
      <w:r w:rsidRPr="00195BDE">
        <w:rPr>
          <w:sz w:val="18"/>
        </w:rPr>
        <w:t>Pathophysiol</w:t>
      </w:r>
      <w:proofErr w:type="spellEnd"/>
      <w:r w:rsidRPr="00195BDE">
        <w:rPr>
          <w:sz w:val="18"/>
        </w:rPr>
        <w:t xml:space="preserve"> 2013; 20(2): 85-110; </w:t>
      </w:r>
      <w:proofErr w:type="spellStart"/>
      <w:r w:rsidRPr="00195BDE">
        <w:rPr>
          <w:sz w:val="18"/>
        </w:rPr>
        <w:t>Carlberg</w:t>
      </w:r>
      <w:proofErr w:type="spellEnd"/>
      <w:r w:rsidRPr="00195BDE">
        <w:rPr>
          <w:sz w:val="18"/>
        </w:rPr>
        <w:t xml:space="preserve"> M, </w:t>
      </w:r>
      <w:proofErr w:type="spellStart"/>
      <w:r w:rsidRPr="00195BDE">
        <w:rPr>
          <w:sz w:val="18"/>
        </w:rPr>
        <w:t>Hardell</w:t>
      </w:r>
      <w:proofErr w:type="spellEnd"/>
      <w:r w:rsidRPr="00195BDE">
        <w:rPr>
          <w:sz w:val="18"/>
        </w:rPr>
        <w:t xml:space="preserve"> L. </w:t>
      </w:r>
      <w:proofErr w:type="spellStart"/>
      <w:r w:rsidRPr="00195BDE">
        <w:rPr>
          <w:sz w:val="18"/>
        </w:rPr>
        <w:t>Oncol</w:t>
      </w:r>
      <w:proofErr w:type="spellEnd"/>
      <w:r w:rsidRPr="00195BDE">
        <w:rPr>
          <w:sz w:val="18"/>
        </w:rPr>
        <w:t xml:space="preserve"> Rep 2015; 33(6): 3093-8; </w:t>
      </w:r>
      <w:proofErr w:type="spellStart"/>
      <w:r w:rsidRPr="00195BDE">
        <w:rPr>
          <w:sz w:val="18"/>
        </w:rPr>
        <w:t>Hardell</w:t>
      </w:r>
      <w:proofErr w:type="spellEnd"/>
      <w:r w:rsidRPr="00195BDE">
        <w:rPr>
          <w:sz w:val="18"/>
        </w:rPr>
        <w:t xml:space="preserve"> L, </w:t>
      </w:r>
      <w:proofErr w:type="spellStart"/>
      <w:r w:rsidRPr="00195BDE">
        <w:rPr>
          <w:sz w:val="18"/>
        </w:rPr>
        <w:t>Carlberg</w:t>
      </w:r>
      <w:proofErr w:type="spellEnd"/>
      <w:r w:rsidRPr="00195BDE">
        <w:rPr>
          <w:sz w:val="18"/>
        </w:rPr>
        <w:t xml:space="preserve"> M. </w:t>
      </w:r>
      <w:proofErr w:type="spellStart"/>
      <w:r w:rsidRPr="00195BDE">
        <w:rPr>
          <w:sz w:val="18"/>
        </w:rPr>
        <w:t>Pathophysiol</w:t>
      </w:r>
      <w:proofErr w:type="spellEnd"/>
      <w:r w:rsidRPr="00195BDE">
        <w:rPr>
          <w:sz w:val="18"/>
        </w:rPr>
        <w:t xml:space="preserve"> 2015; 22(1): 1-13.</w:t>
      </w:r>
    </w:p>
  </w:footnote>
  <w:footnote w:id="4">
    <w:p w:rsidR="008E7C25" w:rsidRDefault="008E7C25">
      <w:pPr>
        <w:pStyle w:val="FootnoteText"/>
      </w:pPr>
      <w:r w:rsidRPr="00195BDE">
        <w:rPr>
          <w:rStyle w:val="FootnoteReference"/>
          <w:sz w:val="18"/>
        </w:rPr>
        <w:footnoteRef/>
      </w:r>
      <w:r w:rsidRPr="00195BDE">
        <w:rPr>
          <w:sz w:val="18"/>
        </w:rPr>
        <w:t xml:space="preserve"> </w:t>
      </w:r>
      <w:proofErr w:type="spellStart"/>
      <w:proofErr w:type="gramStart"/>
      <w:r w:rsidRPr="00195BDE">
        <w:rPr>
          <w:sz w:val="18"/>
        </w:rPr>
        <w:t>Coureau</w:t>
      </w:r>
      <w:proofErr w:type="spellEnd"/>
      <w:r w:rsidRPr="00195BDE">
        <w:rPr>
          <w:sz w:val="18"/>
        </w:rPr>
        <w:t xml:space="preserve"> G et al. Mobile phone use and brain tumours in the CERENAT case-control study.</w:t>
      </w:r>
      <w:proofErr w:type="gramEnd"/>
      <w:r w:rsidRPr="00195BDE">
        <w:rPr>
          <w:sz w:val="18"/>
        </w:rPr>
        <w:t xml:space="preserve"> </w:t>
      </w:r>
      <w:proofErr w:type="spellStart"/>
      <w:r w:rsidRPr="00195BDE">
        <w:rPr>
          <w:sz w:val="18"/>
        </w:rPr>
        <w:t>Occup</w:t>
      </w:r>
      <w:proofErr w:type="spellEnd"/>
      <w:r w:rsidRPr="00195BDE">
        <w:rPr>
          <w:sz w:val="18"/>
        </w:rPr>
        <w:t xml:space="preserve"> Environ Med 2014 Jul; 71(7): 514-22.</w:t>
      </w:r>
    </w:p>
  </w:footnote>
  <w:footnote w:id="5">
    <w:p w:rsidR="00A368C8" w:rsidRDefault="00A368C8">
      <w:pPr>
        <w:pStyle w:val="FootnoteText"/>
      </w:pPr>
      <w:r>
        <w:rPr>
          <w:rStyle w:val="FootnoteReference"/>
        </w:rPr>
        <w:footnoteRef/>
      </w:r>
      <w:r>
        <w:t xml:space="preserve"> </w:t>
      </w:r>
      <w:r w:rsidRPr="00A368C8">
        <w:t>Adams JA et al., Effect of mobile telephones on sperm quality: A systematic review and meta-analysis. Environ Int. 2014</w:t>
      </w:r>
      <w:proofErr w:type="gramStart"/>
      <w:r w:rsidRPr="00A368C8">
        <w:t>;70:106</w:t>
      </w:r>
      <w:proofErr w:type="gramEnd"/>
      <w:r w:rsidRPr="00A368C8">
        <w:t>-12</w:t>
      </w:r>
      <w:r>
        <w:t>.</w:t>
      </w:r>
    </w:p>
  </w:footnote>
  <w:footnote w:id="6">
    <w:p w:rsidR="005C62C0" w:rsidRDefault="005C62C0">
      <w:pPr>
        <w:pStyle w:val="FootnoteText"/>
      </w:pPr>
      <w:r>
        <w:rPr>
          <w:rStyle w:val="FootnoteReference"/>
        </w:rPr>
        <w:footnoteRef/>
      </w:r>
      <w:r>
        <w:t xml:space="preserve"> </w:t>
      </w:r>
      <w:proofErr w:type="spellStart"/>
      <w:r w:rsidRPr="00675D8F">
        <w:rPr>
          <w:sz w:val="18"/>
        </w:rPr>
        <w:t>Johannson</w:t>
      </w:r>
      <w:proofErr w:type="spellEnd"/>
      <w:r w:rsidRPr="00675D8F">
        <w:rPr>
          <w:sz w:val="18"/>
        </w:rPr>
        <w:t xml:space="preserve"> O. </w:t>
      </w:r>
      <w:proofErr w:type="spellStart"/>
      <w:r w:rsidRPr="00675D8F">
        <w:rPr>
          <w:sz w:val="18"/>
        </w:rPr>
        <w:t>Electrohypersensitivity</w:t>
      </w:r>
      <w:proofErr w:type="spellEnd"/>
      <w:r w:rsidRPr="00675D8F">
        <w:rPr>
          <w:sz w:val="18"/>
        </w:rPr>
        <w:t xml:space="preserve">: State-of-the-Art of a Functional Impairment. </w:t>
      </w:r>
      <w:proofErr w:type="gramStart"/>
      <w:r w:rsidRPr="00675D8F">
        <w:rPr>
          <w:sz w:val="18"/>
        </w:rPr>
        <w:t>Electromagnetic Biology and Medicine 2006; 25: 245-58.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3A1"/>
    <w:multiLevelType w:val="hybridMultilevel"/>
    <w:tmpl w:val="C780F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C912C7E"/>
    <w:multiLevelType w:val="hybridMultilevel"/>
    <w:tmpl w:val="4984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5700A1"/>
    <w:multiLevelType w:val="hybridMultilevel"/>
    <w:tmpl w:val="920EB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19549C5"/>
    <w:multiLevelType w:val="hybridMultilevel"/>
    <w:tmpl w:val="A9E2C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DE778F3"/>
    <w:multiLevelType w:val="hybridMultilevel"/>
    <w:tmpl w:val="F7CE47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44E1677"/>
    <w:multiLevelType w:val="hybridMultilevel"/>
    <w:tmpl w:val="3170164E"/>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38E"/>
    <w:rsid w:val="00006A17"/>
    <w:rsid w:val="000161DD"/>
    <w:rsid w:val="0002507F"/>
    <w:rsid w:val="00183B90"/>
    <w:rsid w:val="00195BDE"/>
    <w:rsid w:val="003039AD"/>
    <w:rsid w:val="003B4024"/>
    <w:rsid w:val="003D7C5C"/>
    <w:rsid w:val="005B5603"/>
    <w:rsid w:val="005C62C0"/>
    <w:rsid w:val="0061281E"/>
    <w:rsid w:val="00637397"/>
    <w:rsid w:val="00675D8F"/>
    <w:rsid w:val="006A053B"/>
    <w:rsid w:val="006C664D"/>
    <w:rsid w:val="00732C34"/>
    <w:rsid w:val="007A3C85"/>
    <w:rsid w:val="007A638B"/>
    <w:rsid w:val="00830FFC"/>
    <w:rsid w:val="00872F86"/>
    <w:rsid w:val="008C1014"/>
    <w:rsid w:val="008E7C25"/>
    <w:rsid w:val="00902F31"/>
    <w:rsid w:val="00A026D2"/>
    <w:rsid w:val="00A368C8"/>
    <w:rsid w:val="00A4740A"/>
    <w:rsid w:val="00B42757"/>
    <w:rsid w:val="00B8438E"/>
    <w:rsid w:val="00BA1E91"/>
    <w:rsid w:val="00BC5F68"/>
    <w:rsid w:val="00C97DD3"/>
    <w:rsid w:val="00D74D08"/>
    <w:rsid w:val="00D80357"/>
    <w:rsid w:val="00D90E24"/>
    <w:rsid w:val="00E0740F"/>
    <w:rsid w:val="00EA52DE"/>
    <w:rsid w:val="00EB5617"/>
    <w:rsid w:val="00F12268"/>
    <w:rsid w:val="00F25D53"/>
    <w:rsid w:val="00FF5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38E"/>
    <w:rPr>
      <w:color w:val="0000FF" w:themeColor="hyperlink"/>
      <w:u w:val="single"/>
    </w:rPr>
  </w:style>
  <w:style w:type="paragraph" w:styleId="ListParagraph">
    <w:name w:val="List Paragraph"/>
    <w:basedOn w:val="Normal"/>
    <w:uiPriority w:val="34"/>
    <w:qFormat/>
    <w:rsid w:val="0002507F"/>
    <w:pPr>
      <w:ind w:left="720"/>
      <w:contextualSpacing/>
    </w:pPr>
  </w:style>
  <w:style w:type="paragraph" w:styleId="FootnoteText">
    <w:name w:val="footnote text"/>
    <w:basedOn w:val="Normal"/>
    <w:link w:val="FootnoteTextChar"/>
    <w:uiPriority w:val="99"/>
    <w:semiHidden/>
    <w:unhideWhenUsed/>
    <w:rsid w:val="00B427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757"/>
    <w:rPr>
      <w:sz w:val="20"/>
      <w:szCs w:val="20"/>
    </w:rPr>
  </w:style>
  <w:style w:type="character" w:styleId="FootnoteReference">
    <w:name w:val="footnote reference"/>
    <w:basedOn w:val="DefaultParagraphFont"/>
    <w:uiPriority w:val="99"/>
    <w:semiHidden/>
    <w:unhideWhenUsed/>
    <w:rsid w:val="00B427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38E"/>
    <w:rPr>
      <w:color w:val="0000FF" w:themeColor="hyperlink"/>
      <w:u w:val="single"/>
    </w:rPr>
  </w:style>
  <w:style w:type="paragraph" w:styleId="ListParagraph">
    <w:name w:val="List Paragraph"/>
    <w:basedOn w:val="Normal"/>
    <w:uiPriority w:val="34"/>
    <w:qFormat/>
    <w:rsid w:val="0002507F"/>
    <w:pPr>
      <w:ind w:left="720"/>
      <w:contextualSpacing/>
    </w:pPr>
  </w:style>
  <w:style w:type="paragraph" w:styleId="FootnoteText">
    <w:name w:val="footnote text"/>
    <w:basedOn w:val="Normal"/>
    <w:link w:val="FootnoteTextChar"/>
    <w:uiPriority w:val="99"/>
    <w:semiHidden/>
    <w:unhideWhenUsed/>
    <w:rsid w:val="00B427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757"/>
    <w:rPr>
      <w:sz w:val="20"/>
      <w:szCs w:val="20"/>
    </w:rPr>
  </w:style>
  <w:style w:type="character" w:styleId="FootnoteReference">
    <w:name w:val="footnote reference"/>
    <w:basedOn w:val="DefaultParagraphFont"/>
    <w:uiPriority w:val="99"/>
    <w:semiHidden/>
    <w:unhideWhenUsed/>
    <w:rsid w:val="00B42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telecommunications@pc.gov.au"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PCDOC-1117832070-205</_dlc_DocId>
    <_dlc_DocIdUrl xmlns="3f4bcce7-ac1a-4c9d-aa3e-7e77695652db">
      <Url>https://inet.pc.gov.au/pmo/inq/tele/_layouts/15/DocIdRedir.aspx?ID=PCDOC-1117832070-205</Url>
      <Description>PCDOC-1117832070-205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60F8-FB37-4767-8A76-C2F6CC2034F9}">
  <ds:schemaRefs>
    <ds:schemaRef ds:uri="Microsoft.SharePoint.Taxonomy.ContentTypeSync"/>
  </ds:schemaRefs>
</ds:datastoreItem>
</file>

<file path=customXml/itemProps2.xml><?xml version="1.0" encoding="utf-8"?>
<ds:datastoreItem xmlns:ds="http://schemas.openxmlformats.org/officeDocument/2006/customXml" ds:itemID="{C35C7422-E2B3-4FEF-B240-3C1DD4C9F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30F49-86C9-44F3-946A-996E93029D38}">
  <ds:schemaRefs>
    <ds:schemaRef ds:uri="http://purl.org/dc/dcmitype/"/>
    <ds:schemaRef ds:uri="http://schemas.openxmlformats.org/package/2006/metadata/core-properties"/>
    <ds:schemaRef ds:uri="http://schemas.microsoft.com/sharepoint/v3"/>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3f4bcce7-ac1a-4c9d-aa3e-7e77695652db"/>
    <ds:schemaRef ds:uri="http://www.w3.org/XML/1998/namespace"/>
  </ds:schemaRefs>
</ds:datastoreItem>
</file>

<file path=customXml/itemProps4.xml><?xml version="1.0" encoding="utf-8"?>
<ds:datastoreItem xmlns:ds="http://schemas.openxmlformats.org/officeDocument/2006/customXml" ds:itemID="{4094823E-E5A1-413F-8F7C-8F0DF24BADCC}">
  <ds:schemaRefs>
    <ds:schemaRef ds:uri="http://schemas.microsoft.com/sharepoint/v3/contenttype/forms"/>
  </ds:schemaRefs>
</ds:datastoreItem>
</file>

<file path=customXml/itemProps5.xml><?xml version="1.0" encoding="utf-8"?>
<ds:datastoreItem xmlns:ds="http://schemas.openxmlformats.org/officeDocument/2006/customXml" ds:itemID="{2E0A592E-F9D7-472C-864A-733161BF983D}">
  <ds:schemaRefs>
    <ds:schemaRef ds:uri="http://schemas.microsoft.com/sharepoint/events"/>
  </ds:schemaRefs>
</ds:datastoreItem>
</file>

<file path=customXml/itemProps6.xml><?xml version="1.0" encoding="utf-8"?>
<ds:datastoreItem xmlns:ds="http://schemas.openxmlformats.org/officeDocument/2006/customXml" ds:itemID="{FD427091-DE0D-452C-82BA-64942D9862C9}">
  <ds:schemaRefs>
    <ds:schemaRef ds:uri="http://schemas.microsoft.com/office/2006/metadata/customXsn"/>
  </ds:schemaRefs>
</ds:datastoreItem>
</file>

<file path=customXml/itemProps7.xml><?xml version="1.0" encoding="utf-8"?>
<ds:datastoreItem xmlns:ds="http://schemas.openxmlformats.org/officeDocument/2006/customXml" ds:itemID="{DC06FC1A-86F7-480D-BFC7-C0FD32B68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Submission DR161 - Name withheld - Telecommunications Universal Service Obligation - Public inquiry</vt:lpstr>
    </vt:vector>
  </TitlesOfParts>
  <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DR161 - Name withheld - Telecommunications Universal Service Obligation - Public inquiry</dc:title>
  <dc:creator>Name withheld</dc:creator>
  <cp:keywords/>
  <cp:lastModifiedBy>Pimperl, Mark</cp:lastModifiedBy>
  <cp:revision>3</cp:revision>
  <dcterms:created xsi:type="dcterms:W3CDTF">2017-02-15T21:59:00Z</dcterms:created>
  <dcterms:modified xsi:type="dcterms:W3CDTF">2017-02-19T21:30:00Z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eb724f73-a201-437b-84c6-91660d442fb4</vt:lpwstr>
  </property>
  <property fmtid="{D5CDD505-2E9C-101B-9397-08002B2CF9AE}" pid="4" name="Record Tag">
    <vt:lpwstr>4487;#Submissions - Stage 2|df6c8b62-a0f6-48ca-9bad-05bd9d9348d3</vt:lpwstr>
  </property>
  <property fmtid="{D5CDD505-2E9C-101B-9397-08002B2CF9AE}" pid="5" name="TaxKeyword">
    <vt:lpwstr/>
  </property>
</Properties>
</file>