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9BC95" w14:textId="77777777" w:rsidR="00323E4A" w:rsidRPr="00323E4A" w:rsidRDefault="00323E4A" w:rsidP="003F1075">
      <w:pPr>
        <w:pStyle w:val="ListBullet"/>
        <w:numPr>
          <w:ilvl w:val="0"/>
          <w:numId w:val="0"/>
        </w:numPr>
        <w:tabs>
          <w:tab w:val="left" w:pos="720"/>
        </w:tabs>
        <w:ind w:hanging="340"/>
        <w:rPr>
          <w:rFonts w:asciiTheme="minorHAnsi" w:hAnsiTheme="minorHAnsi" w:cstheme="minorHAnsi"/>
          <w:b/>
          <w:sz w:val="28"/>
          <w:szCs w:val="28"/>
          <w:lang w:val="en"/>
        </w:rPr>
      </w:pPr>
      <w:r>
        <w:rPr>
          <w:rFonts w:asciiTheme="minorHAnsi" w:hAnsiTheme="minorHAnsi" w:cstheme="minorHAnsi"/>
          <w:b/>
          <w:sz w:val="22"/>
          <w:szCs w:val="22"/>
          <w:lang w:val="en"/>
        </w:rPr>
        <w:t xml:space="preserve">       </w:t>
      </w:r>
      <w:r w:rsidR="00C20E71">
        <w:rPr>
          <w:rFonts w:asciiTheme="minorHAnsi" w:hAnsiTheme="minorHAnsi" w:cstheme="minorHAnsi"/>
          <w:b/>
          <w:sz w:val="22"/>
          <w:szCs w:val="22"/>
          <w:lang w:val="en"/>
        </w:rPr>
        <w:t xml:space="preserve"> </w:t>
      </w:r>
      <w:r w:rsidRPr="00323E4A">
        <w:rPr>
          <w:rFonts w:asciiTheme="minorHAnsi" w:hAnsiTheme="minorHAnsi" w:cstheme="minorHAnsi"/>
          <w:b/>
          <w:sz w:val="28"/>
          <w:szCs w:val="28"/>
          <w:lang w:val="en"/>
        </w:rPr>
        <w:t>Productivity Commission</w:t>
      </w:r>
    </w:p>
    <w:p w14:paraId="7E99BC96" w14:textId="77777777" w:rsidR="00C20E71" w:rsidRPr="00323E4A" w:rsidRDefault="00323E4A" w:rsidP="003F1075">
      <w:pPr>
        <w:pStyle w:val="ListBullet"/>
        <w:numPr>
          <w:ilvl w:val="0"/>
          <w:numId w:val="0"/>
        </w:numPr>
        <w:tabs>
          <w:tab w:val="left" w:pos="720"/>
        </w:tabs>
        <w:ind w:hanging="340"/>
        <w:rPr>
          <w:rFonts w:asciiTheme="minorHAnsi" w:hAnsiTheme="minorHAnsi" w:cstheme="minorHAnsi"/>
          <w:b/>
          <w:sz w:val="22"/>
          <w:szCs w:val="22"/>
        </w:rPr>
      </w:pPr>
      <w:r>
        <w:rPr>
          <w:rFonts w:asciiTheme="minorHAnsi" w:hAnsiTheme="minorHAnsi" w:cstheme="minorHAnsi"/>
          <w:b/>
          <w:sz w:val="22"/>
          <w:szCs w:val="22"/>
          <w:lang w:val="en"/>
        </w:rPr>
        <w:t xml:space="preserve">        </w:t>
      </w:r>
      <w:r w:rsidR="00C20E71" w:rsidRPr="00323E4A">
        <w:rPr>
          <w:rFonts w:asciiTheme="minorHAnsi" w:hAnsiTheme="minorHAnsi" w:cstheme="minorHAnsi"/>
          <w:b/>
          <w:sz w:val="22"/>
          <w:szCs w:val="22"/>
        </w:rPr>
        <w:t>National Water Reform inquiry</w:t>
      </w:r>
    </w:p>
    <w:p w14:paraId="7E99BC97" w14:textId="77777777" w:rsidR="00C20E71" w:rsidRPr="00576EC2" w:rsidRDefault="00323E4A" w:rsidP="003F1075">
      <w:pPr>
        <w:pStyle w:val="ListBullet"/>
        <w:numPr>
          <w:ilvl w:val="0"/>
          <w:numId w:val="0"/>
        </w:numPr>
        <w:tabs>
          <w:tab w:val="left" w:pos="720"/>
        </w:tabs>
        <w:ind w:hanging="340"/>
        <w:rPr>
          <w:rFonts w:asciiTheme="minorHAnsi" w:hAnsiTheme="minorHAnsi" w:cstheme="minorHAnsi"/>
          <w:sz w:val="16"/>
          <w:szCs w:val="16"/>
        </w:rPr>
      </w:pPr>
      <w:r>
        <w:rPr>
          <w:rFonts w:asciiTheme="minorHAnsi" w:hAnsiTheme="minorHAnsi" w:cstheme="minorHAnsi"/>
          <w:sz w:val="22"/>
          <w:szCs w:val="22"/>
        </w:rPr>
        <w:t xml:space="preserve">       </w:t>
      </w:r>
      <w:r w:rsidRPr="009524FF">
        <w:rPr>
          <w:rFonts w:asciiTheme="minorHAnsi" w:hAnsiTheme="minorHAnsi" w:cstheme="minorHAnsi"/>
          <w:b/>
          <w:sz w:val="16"/>
          <w:szCs w:val="16"/>
        </w:rPr>
        <w:t>12/4/2017</w:t>
      </w:r>
    </w:p>
    <w:p w14:paraId="7E99BC98" w14:textId="77777777" w:rsidR="00C20E71" w:rsidRPr="00576EC2" w:rsidRDefault="00C20E71" w:rsidP="00C20E71">
      <w:pPr>
        <w:spacing w:before="100" w:beforeAutospacing="1" w:after="100" w:afterAutospacing="1" w:line="240" w:lineRule="auto"/>
        <w:rPr>
          <w:rFonts w:eastAsia="Times New Roman" w:cstheme="minorHAnsi"/>
          <w:lang w:eastAsia="en-AU"/>
        </w:rPr>
      </w:pPr>
      <w:r w:rsidRPr="00576EC2">
        <w:rPr>
          <w:rFonts w:eastAsia="Times New Roman" w:cstheme="minorHAnsi"/>
          <w:lang w:eastAsia="en-AU"/>
        </w:rPr>
        <w:t>To whom it may concern,</w:t>
      </w:r>
    </w:p>
    <w:p w14:paraId="7E99BC99" w14:textId="77777777" w:rsidR="009B452C" w:rsidRPr="009B452C" w:rsidRDefault="00323E4A" w:rsidP="009B452C">
      <w:pPr>
        <w:spacing w:before="100" w:beforeAutospacing="1" w:after="100" w:afterAutospacing="1" w:line="240" w:lineRule="auto"/>
        <w:rPr>
          <w:rFonts w:eastAsia="Times New Roman" w:cstheme="minorHAnsi"/>
          <w:lang w:eastAsia="en-AU"/>
        </w:rPr>
      </w:pPr>
      <w:r w:rsidRPr="00576EC2">
        <w:rPr>
          <w:rFonts w:eastAsia="Times New Roman" w:cstheme="minorHAnsi"/>
          <w:lang w:eastAsia="en-AU"/>
        </w:rPr>
        <w:t xml:space="preserve">                                                   </w:t>
      </w:r>
      <w:r w:rsidR="00C20E71" w:rsidRPr="00576EC2">
        <w:rPr>
          <w:rFonts w:eastAsia="Times New Roman" w:cstheme="minorHAnsi"/>
          <w:lang w:eastAsia="en-AU"/>
        </w:rPr>
        <w:t>I offer the following comments in regard to the above inquiry as person with a lifetimes experience in irrigated agriculture in Victoria’s Goulburn Valley. My experience spans irrigated agriculture in the horticulture industry and State Government</w:t>
      </w:r>
      <w:r w:rsidRPr="00576EC2">
        <w:rPr>
          <w:rFonts w:eastAsia="Times New Roman" w:cstheme="minorHAnsi"/>
          <w:lang w:eastAsia="en-AU"/>
        </w:rPr>
        <w:t>,</w:t>
      </w:r>
      <w:r w:rsidR="00C20E71" w:rsidRPr="00576EC2">
        <w:rPr>
          <w:rFonts w:eastAsia="Times New Roman" w:cstheme="minorHAnsi"/>
          <w:lang w:eastAsia="en-AU"/>
        </w:rPr>
        <w:t xml:space="preserve"> Water and Catchment Management </w:t>
      </w:r>
      <w:r w:rsidR="009524FF" w:rsidRPr="00576EC2">
        <w:rPr>
          <w:rFonts w:eastAsia="Times New Roman" w:cstheme="minorHAnsi"/>
          <w:lang w:eastAsia="en-AU"/>
        </w:rPr>
        <w:t>A</w:t>
      </w:r>
      <w:r w:rsidR="00C20E71" w:rsidRPr="00576EC2">
        <w:rPr>
          <w:rFonts w:eastAsia="Times New Roman" w:cstheme="minorHAnsi"/>
          <w:lang w:eastAsia="en-AU"/>
        </w:rPr>
        <w:t>uthorities.</w:t>
      </w:r>
      <w:r w:rsidR="009B452C">
        <w:rPr>
          <w:rFonts w:eastAsia="Times New Roman" w:cstheme="minorHAnsi"/>
          <w:lang w:eastAsia="en-AU"/>
        </w:rPr>
        <w:t xml:space="preserve">                                                                                                                                  </w:t>
      </w:r>
      <w:r w:rsidR="009B452C" w:rsidRPr="009B452C">
        <w:rPr>
          <w:rFonts w:ascii="Calibri" w:hAnsi="Calibri"/>
        </w:rPr>
        <w:t xml:space="preserve">The establishment of the National Water Initiative was a key step in the national water reform process and it has led to many substantial achievements </w:t>
      </w:r>
      <w:r w:rsidR="009B452C">
        <w:rPr>
          <w:rFonts w:ascii="Calibri" w:hAnsi="Calibri"/>
        </w:rPr>
        <w:t>in our industry. These changes have also brought with them challenges that I highlight in my following comments.</w:t>
      </w:r>
    </w:p>
    <w:p w14:paraId="7E99BC9A" w14:textId="77777777" w:rsidR="003F1075" w:rsidRPr="00C36C0B" w:rsidRDefault="00C20E71" w:rsidP="00CD4976">
      <w:pPr>
        <w:pStyle w:val="ListBullet"/>
        <w:numPr>
          <w:ilvl w:val="0"/>
          <w:numId w:val="0"/>
        </w:numPr>
        <w:tabs>
          <w:tab w:val="left" w:pos="720"/>
        </w:tabs>
        <w:rPr>
          <w:rFonts w:asciiTheme="minorHAnsi" w:hAnsiTheme="minorHAnsi" w:cstheme="minorHAnsi"/>
          <w:sz w:val="22"/>
          <w:szCs w:val="22"/>
          <w:lang w:val="en"/>
        </w:rPr>
      </w:pPr>
      <w:r w:rsidRPr="00576EC2">
        <w:rPr>
          <w:rFonts w:asciiTheme="minorHAnsi" w:hAnsiTheme="minorHAnsi" w:cstheme="minorHAnsi"/>
          <w:sz w:val="22"/>
          <w:szCs w:val="22"/>
          <w:lang w:val="en"/>
        </w:rPr>
        <w:t xml:space="preserve">  </w:t>
      </w:r>
      <w:r w:rsidR="00C36C0B">
        <w:rPr>
          <w:rFonts w:asciiTheme="minorHAnsi" w:hAnsiTheme="minorHAnsi" w:cstheme="minorHAnsi"/>
          <w:sz w:val="22"/>
          <w:szCs w:val="22"/>
          <w:lang w:val="en"/>
        </w:rPr>
        <w:t>Historically t</w:t>
      </w:r>
      <w:r w:rsidR="003F1075" w:rsidRPr="00576EC2">
        <w:rPr>
          <w:rFonts w:asciiTheme="minorHAnsi" w:hAnsiTheme="minorHAnsi" w:cstheme="minorHAnsi"/>
          <w:sz w:val="22"/>
          <w:szCs w:val="22"/>
          <w:lang w:val="en"/>
        </w:rPr>
        <w:t xml:space="preserve">he implementation of water reforms nationally has </w:t>
      </w:r>
      <w:r w:rsidR="00576EC2">
        <w:rPr>
          <w:rFonts w:asciiTheme="minorHAnsi" w:hAnsiTheme="minorHAnsi" w:cstheme="minorHAnsi"/>
          <w:sz w:val="22"/>
          <w:szCs w:val="22"/>
          <w:lang w:val="en"/>
        </w:rPr>
        <w:t>from time to time been held up</w:t>
      </w:r>
      <w:r w:rsidR="003F1075" w:rsidRPr="00576EC2">
        <w:rPr>
          <w:rFonts w:asciiTheme="minorHAnsi" w:hAnsiTheme="minorHAnsi" w:cstheme="minorHAnsi"/>
          <w:sz w:val="22"/>
          <w:szCs w:val="22"/>
          <w:lang w:val="en"/>
        </w:rPr>
        <w:t xml:space="preserve"> by States and parochial interests </w:t>
      </w:r>
      <w:r w:rsidR="00576EC2">
        <w:rPr>
          <w:rFonts w:asciiTheme="minorHAnsi" w:hAnsiTheme="minorHAnsi" w:cstheme="minorHAnsi"/>
          <w:sz w:val="22"/>
          <w:szCs w:val="22"/>
          <w:lang w:val="en"/>
        </w:rPr>
        <w:t xml:space="preserve">of </w:t>
      </w:r>
      <w:r w:rsidR="00C36C0B">
        <w:rPr>
          <w:rFonts w:asciiTheme="minorHAnsi" w:hAnsiTheme="minorHAnsi" w:cstheme="minorHAnsi"/>
          <w:sz w:val="22"/>
          <w:szCs w:val="22"/>
          <w:lang w:val="en"/>
        </w:rPr>
        <w:t xml:space="preserve">industries and </w:t>
      </w:r>
      <w:r w:rsidR="00576EC2">
        <w:rPr>
          <w:rFonts w:asciiTheme="minorHAnsi" w:hAnsiTheme="minorHAnsi" w:cstheme="minorHAnsi"/>
          <w:sz w:val="22"/>
          <w:szCs w:val="22"/>
          <w:lang w:val="en"/>
        </w:rPr>
        <w:t>regions. This reluctance of S</w:t>
      </w:r>
      <w:r w:rsidR="003F1075" w:rsidRPr="00576EC2">
        <w:rPr>
          <w:rFonts w:asciiTheme="minorHAnsi" w:hAnsiTheme="minorHAnsi" w:cstheme="minorHAnsi"/>
          <w:sz w:val="22"/>
          <w:szCs w:val="22"/>
          <w:lang w:val="en"/>
        </w:rPr>
        <w:t>tates to implement reforms continues with NSW and to a lesser extent Victoria hindering the implementation of the Basin Plan. NSW continue</w:t>
      </w:r>
      <w:r w:rsidR="00A27954" w:rsidRPr="00576EC2">
        <w:rPr>
          <w:rFonts w:asciiTheme="minorHAnsi" w:hAnsiTheme="minorHAnsi" w:cstheme="minorHAnsi"/>
          <w:sz w:val="22"/>
          <w:szCs w:val="22"/>
          <w:lang w:val="en"/>
        </w:rPr>
        <w:t>s</w:t>
      </w:r>
      <w:r w:rsidR="003F1075" w:rsidRPr="00576EC2">
        <w:rPr>
          <w:rFonts w:asciiTheme="minorHAnsi" w:hAnsiTheme="minorHAnsi" w:cstheme="minorHAnsi"/>
          <w:sz w:val="22"/>
          <w:szCs w:val="22"/>
          <w:lang w:val="en"/>
        </w:rPr>
        <w:t xml:space="preserve"> to refuse to address the implementation of flow shepherding rules that is the foundation of delivering environmental flows throughout the Basin. NSW also continue</w:t>
      </w:r>
      <w:r w:rsidR="00A27954" w:rsidRPr="00576EC2">
        <w:rPr>
          <w:rFonts w:asciiTheme="minorHAnsi" w:hAnsiTheme="minorHAnsi" w:cstheme="minorHAnsi"/>
          <w:sz w:val="22"/>
          <w:szCs w:val="22"/>
          <w:lang w:val="en"/>
        </w:rPr>
        <w:t>s</w:t>
      </w:r>
      <w:r w:rsidR="003F1075" w:rsidRPr="00576EC2">
        <w:rPr>
          <w:rFonts w:asciiTheme="minorHAnsi" w:hAnsiTheme="minorHAnsi" w:cstheme="minorHAnsi"/>
          <w:sz w:val="22"/>
          <w:szCs w:val="22"/>
          <w:lang w:val="en"/>
        </w:rPr>
        <w:t xml:space="preserve"> to enhance </w:t>
      </w:r>
      <w:r w:rsidR="00A27954" w:rsidRPr="00576EC2">
        <w:rPr>
          <w:rFonts w:asciiTheme="minorHAnsi" w:hAnsiTheme="minorHAnsi" w:cstheme="minorHAnsi"/>
          <w:sz w:val="22"/>
          <w:szCs w:val="22"/>
          <w:lang w:val="en"/>
        </w:rPr>
        <w:t>irrigations</w:t>
      </w:r>
      <w:r w:rsidR="003F1075" w:rsidRPr="00576EC2">
        <w:rPr>
          <w:rFonts w:asciiTheme="minorHAnsi" w:hAnsiTheme="minorHAnsi" w:cstheme="minorHAnsi"/>
          <w:sz w:val="22"/>
          <w:szCs w:val="22"/>
          <w:lang w:val="en"/>
        </w:rPr>
        <w:t xml:space="preserve"> ability to pump on unregulated streams</w:t>
      </w:r>
      <w:r w:rsidR="00A27954" w:rsidRPr="00576EC2">
        <w:rPr>
          <w:rFonts w:asciiTheme="minorHAnsi" w:hAnsiTheme="minorHAnsi" w:cstheme="minorHAnsi"/>
          <w:sz w:val="22"/>
          <w:szCs w:val="22"/>
          <w:lang w:val="en"/>
        </w:rPr>
        <w:t>. This easing of restrictions,</w:t>
      </w:r>
      <w:r w:rsidR="003F1075" w:rsidRPr="00576EC2">
        <w:rPr>
          <w:rFonts w:asciiTheme="minorHAnsi" w:hAnsiTheme="minorHAnsi" w:cstheme="minorHAnsi"/>
          <w:sz w:val="22"/>
          <w:szCs w:val="22"/>
          <w:lang w:val="en"/>
        </w:rPr>
        <w:t xml:space="preserve"> effectivel</w:t>
      </w:r>
      <w:r w:rsidR="00A27954" w:rsidRPr="00576EC2">
        <w:rPr>
          <w:rFonts w:asciiTheme="minorHAnsi" w:hAnsiTheme="minorHAnsi" w:cstheme="minorHAnsi"/>
          <w:sz w:val="22"/>
          <w:szCs w:val="22"/>
          <w:lang w:val="en"/>
        </w:rPr>
        <w:t>y is an increase in water entitlement</w:t>
      </w:r>
      <w:r w:rsidR="00C36C0B">
        <w:rPr>
          <w:rFonts w:asciiTheme="minorHAnsi" w:hAnsiTheme="minorHAnsi" w:cstheme="minorHAnsi"/>
          <w:sz w:val="22"/>
          <w:szCs w:val="22"/>
          <w:lang w:val="en"/>
        </w:rPr>
        <w:t>s</w:t>
      </w:r>
      <w:r w:rsidR="00A27954" w:rsidRPr="00576EC2">
        <w:rPr>
          <w:rFonts w:asciiTheme="minorHAnsi" w:hAnsiTheme="minorHAnsi" w:cstheme="minorHAnsi"/>
          <w:sz w:val="22"/>
          <w:szCs w:val="22"/>
          <w:lang w:val="en"/>
        </w:rPr>
        <w:t>,</w:t>
      </w:r>
      <w:r w:rsidR="003F1075" w:rsidRPr="00576EC2">
        <w:rPr>
          <w:rFonts w:asciiTheme="minorHAnsi" w:hAnsiTheme="minorHAnsi" w:cstheme="minorHAnsi"/>
          <w:sz w:val="22"/>
          <w:szCs w:val="22"/>
          <w:lang w:val="en"/>
        </w:rPr>
        <w:t xml:space="preserve"> </w:t>
      </w:r>
      <w:r w:rsidR="00A27954" w:rsidRPr="00576EC2">
        <w:rPr>
          <w:rFonts w:asciiTheme="minorHAnsi" w:hAnsiTheme="minorHAnsi" w:cstheme="minorHAnsi"/>
          <w:sz w:val="22"/>
          <w:szCs w:val="22"/>
          <w:lang w:val="en"/>
        </w:rPr>
        <w:t>has</w:t>
      </w:r>
      <w:r w:rsidR="003F1075" w:rsidRPr="00576EC2">
        <w:rPr>
          <w:rFonts w:asciiTheme="minorHAnsi" w:hAnsiTheme="minorHAnsi" w:cstheme="minorHAnsi"/>
          <w:sz w:val="22"/>
          <w:szCs w:val="22"/>
          <w:lang w:val="en"/>
        </w:rPr>
        <w:t xml:space="preserve"> impacted irrigators, towns, communities and the environmental health of rivers downstream.  A prime example of this is the </w:t>
      </w:r>
      <w:r w:rsidR="003F1075" w:rsidRPr="00576EC2">
        <w:rPr>
          <w:rFonts w:asciiTheme="minorHAnsi" w:eastAsia="Calibri" w:hAnsiTheme="minorHAnsi" w:cstheme="minorHAnsi"/>
          <w:sz w:val="22"/>
          <w:szCs w:val="22"/>
          <w:lang w:eastAsia="en-US"/>
        </w:rPr>
        <w:t>NSW Governments   Barwon-Darling Water Sharing Plan, adopted in 2012.</w:t>
      </w:r>
    </w:p>
    <w:p w14:paraId="7E99BC9B" w14:textId="77777777" w:rsidR="006F5DBF" w:rsidRPr="00576EC2" w:rsidRDefault="006F5DBF" w:rsidP="00CD4976">
      <w:pPr>
        <w:pStyle w:val="ListBullet"/>
        <w:numPr>
          <w:ilvl w:val="0"/>
          <w:numId w:val="0"/>
        </w:numPr>
        <w:tabs>
          <w:tab w:val="left" w:pos="720"/>
        </w:tabs>
        <w:rPr>
          <w:rFonts w:asciiTheme="minorHAnsi" w:hAnsiTheme="minorHAnsi" w:cstheme="minorHAnsi"/>
          <w:sz w:val="22"/>
          <w:szCs w:val="22"/>
          <w:lang w:val="en"/>
        </w:rPr>
      </w:pPr>
      <w:r>
        <w:rPr>
          <w:rFonts w:asciiTheme="minorHAnsi" w:eastAsia="Calibri" w:hAnsiTheme="minorHAnsi" w:cstheme="minorHAnsi"/>
          <w:sz w:val="22"/>
          <w:szCs w:val="22"/>
          <w:lang w:eastAsia="en-US"/>
        </w:rPr>
        <w:t>State governments are also failing to address requirements in the Basin Plan to develop strategies for the removal of constraints that compromise the delivery of environmental flows.    These constraints have received limited recent publicity however, to maximise the environmental gains of limited water for the environment, need to be overcome. Why would in excess of $10b of taxpayers funds be spent and then purposely restrict the effectiveness of this outlay?</w:t>
      </w:r>
    </w:p>
    <w:p w14:paraId="7E99BC9C" w14:textId="77777777" w:rsidR="003F1075" w:rsidRPr="00576EC2" w:rsidRDefault="003F1075" w:rsidP="003F1075">
      <w:pPr>
        <w:pStyle w:val="ListBullet"/>
        <w:numPr>
          <w:ilvl w:val="0"/>
          <w:numId w:val="0"/>
        </w:numPr>
        <w:tabs>
          <w:tab w:val="left" w:pos="720"/>
        </w:tabs>
        <w:rPr>
          <w:rFonts w:asciiTheme="minorHAnsi" w:hAnsiTheme="minorHAnsi" w:cstheme="minorHAnsi"/>
          <w:sz w:val="22"/>
          <w:szCs w:val="22"/>
          <w:lang w:val="en"/>
        </w:rPr>
      </w:pPr>
      <w:r w:rsidRPr="00576EC2">
        <w:rPr>
          <w:rFonts w:asciiTheme="minorHAnsi" w:hAnsiTheme="minorHAnsi" w:cstheme="minorHAnsi"/>
          <w:sz w:val="22"/>
          <w:szCs w:val="22"/>
          <w:lang w:val="en"/>
        </w:rPr>
        <w:t>The dramatic and mostly unmonitored growth of water markets poses an unacceptable   governance and reputational risk to water reform</w:t>
      </w:r>
      <w:r w:rsidR="00A27954" w:rsidRPr="00576EC2">
        <w:rPr>
          <w:rFonts w:asciiTheme="minorHAnsi" w:hAnsiTheme="minorHAnsi" w:cstheme="minorHAnsi"/>
          <w:sz w:val="22"/>
          <w:szCs w:val="22"/>
          <w:lang w:val="en"/>
        </w:rPr>
        <w:t xml:space="preserve"> and the water industry</w:t>
      </w:r>
      <w:r w:rsidRPr="00576EC2">
        <w:rPr>
          <w:rFonts w:asciiTheme="minorHAnsi" w:hAnsiTheme="minorHAnsi" w:cstheme="minorHAnsi"/>
          <w:sz w:val="22"/>
          <w:szCs w:val="22"/>
          <w:lang w:val="en"/>
        </w:rPr>
        <w:t xml:space="preserve">.  With dispersed trading </w:t>
      </w:r>
      <w:r w:rsidR="00A27954" w:rsidRPr="00576EC2">
        <w:rPr>
          <w:rFonts w:asciiTheme="minorHAnsi" w:hAnsiTheme="minorHAnsi" w:cstheme="minorHAnsi"/>
          <w:sz w:val="22"/>
          <w:szCs w:val="22"/>
          <w:lang w:val="en"/>
        </w:rPr>
        <w:t>agencies</w:t>
      </w:r>
      <w:r w:rsidRPr="00576EC2">
        <w:rPr>
          <w:rFonts w:asciiTheme="minorHAnsi" w:hAnsiTheme="minorHAnsi" w:cstheme="minorHAnsi"/>
          <w:sz w:val="22"/>
          <w:szCs w:val="22"/>
          <w:lang w:val="en"/>
        </w:rPr>
        <w:t xml:space="preserve">, unlicensed operators and little in the way of checks and balances of trades, time is overdue for a </w:t>
      </w:r>
      <w:r w:rsidR="00C04549">
        <w:rPr>
          <w:rFonts w:asciiTheme="minorHAnsi" w:hAnsiTheme="minorHAnsi" w:cstheme="minorHAnsi"/>
          <w:sz w:val="22"/>
          <w:szCs w:val="22"/>
          <w:lang w:val="en"/>
        </w:rPr>
        <w:t xml:space="preserve">single </w:t>
      </w:r>
      <w:r w:rsidRPr="00576EC2">
        <w:rPr>
          <w:rFonts w:asciiTheme="minorHAnsi" w:hAnsiTheme="minorHAnsi" w:cstheme="minorHAnsi"/>
          <w:sz w:val="22"/>
          <w:szCs w:val="22"/>
          <w:lang w:val="en"/>
        </w:rPr>
        <w:t xml:space="preserve">national water trading market. Recently </w:t>
      </w:r>
      <w:r w:rsidR="00A27954" w:rsidRPr="00576EC2">
        <w:rPr>
          <w:rFonts w:asciiTheme="minorHAnsi" w:hAnsiTheme="minorHAnsi" w:cstheme="minorHAnsi"/>
          <w:sz w:val="22"/>
          <w:szCs w:val="22"/>
          <w:lang w:val="en"/>
        </w:rPr>
        <w:t>we’ve</w:t>
      </w:r>
      <w:r w:rsidRPr="00576EC2">
        <w:rPr>
          <w:rFonts w:asciiTheme="minorHAnsi" w:hAnsiTheme="minorHAnsi" w:cstheme="minorHAnsi"/>
          <w:sz w:val="22"/>
          <w:szCs w:val="22"/>
          <w:lang w:val="en"/>
        </w:rPr>
        <w:t xml:space="preserve"> see</w:t>
      </w:r>
      <w:r w:rsidR="00A27954" w:rsidRPr="00576EC2">
        <w:rPr>
          <w:rFonts w:asciiTheme="minorHAnsi" w:hAnsiTheme="minorHAnsi" w:cstheme="minorHAnsi"/>
          <w:sz w:val="22"/>
          <w:szCs w:val="22"/>
          <w:lang w:val="en"/>
        </w:rPr>
        <w:t>n</w:t>
      </w:r>
      <w:r w:rsidRPr="00576EC2">
        <w:rPr>
          <w:rFonts w:asciiTheme="minorHAnsi" w:hAnsiTheme="minorHAnsi" w:cstheme="minorHAnsi"/>
          <w:sz w:val="22"/>
          <w:szCs w:val="22"/>
          <w:lang w:val="en"/>
        </w:rPr>
        <w:t xml:space="preserve"> examples of these trading </w:t>
      </w:r>
      <w:r w:rsidR="00A27954" w:rsidRPr="00576EC2">
        <w:rPr>
          <w:rFonts w:asciiTheme="minorHAnsi" w:hAnsiTheme="minorHAnsi" w:cstheme="minorHAnsi"/>
          <w:sz w:val="22"/>
          <w:szCs w:val="22"/>
          <w:lang w:val="en"/>
        </w:rPr>
        <w:t>agencies</w:t>
      </w:r>
      <w:r w:rsidRPr="00576EC2">
        <w:rPr>
          <w:rFonts w:asciiTheme="minorHAnsi" w:hAnsiTheme="minorHAnsi" w:cstheme="minorHAnsi"/>
          <w:sz w:val="22"/>
          <w:szCs w:val="22"/>
          <w:lang w:val="en"/>
        </w:rPr>
        <w:t xml:space="preserve"> being not only the agent, but also sellers and buyers of entitlements. There is a lack of </w:t>
      </w:r>
      <w:r w:rsidR="00A27954" w:rsidRPr="00576EC2">
        <w:rPr>
          <w:rFonts w:asciiTheme="minorHAnsi" w:hAnsiTheme="minorHAnsi" w:cstheme="minorHAnsi"/>
          <w:sz w:val="22"/>
          <w:szCs w:val="22"/>
          <w:lang w:val="en"/>
        </w:rPr>
        <w:t>equity</w:t>
      </w:r>
      <w:r w:rsidRPr="00576EC2">
        <w:rPr>
          <w:rFonts w:asciiTheme="minorHAnsi" w:hAnsiTheme="minorHAnsi" w:cstheme="minorHAnsi"/>
          <w:sz w:val="22"/>
          <w:szCs w:val="22"/>
          <w:lang w:val="en"/>
        </w:rPr>
        <w:t xml:space="preserve"> and transparency in </w:t>
      </w:r>
      <w:r w:rsidR="00A27954" w:rsidRPr="00576EC2">
        <w:rPr>
          <w:rFonts w:asciiTheme="minorHAnsi" w:hAnsiTheme="minorHAnsi" w:cstheme="minorHAnsi"/>
          <w:sz w:val="22"/>
          <w:szCs w:val="22"/>
          <w:lang w:val="en"/>
        </w:rPr>
        <w:t xml:space="preserve">the </w:t>
      </w:r>
      <w:r w:rsidRPr="00576EC2">
        <w:rPr>
          <w:rFonts w:asciiTheme="minorHAnsi" w:hAnsiTheme="minorHAnsi" w:cstheme="minorHAnsi"/>
          <w:sz w:val="22"/>
          <w:szCs w:val="22"/>
          <w:lang w:val="en"/>
        </w:rPr>
        <w:t xml:space="preserve">current </w:t>
      </w:r>
      <w:r w:rsidR="00A27954" w:rsidRPr="00576EC2">
        <w:rPr>
          <w:rFonts w:asciiTheme="minorHAnsi" w:hAnsiTheme="minorHAnsi" w:cstheme="minorHAnsi"/>
          <w:sz w:val="22"/>
          <w:szCs w:val="22"/>
          <w:lang w:val="en"/>
        </w:rPr>
        <w:t xml:space="preserve">myriad of </w:t>
      </w:r>
      <w:r w:rsidRPr="00576EC2">
        <w:rPr>
          <w:rFonts w:asciiTheme="minorHAnsi" w:hAnsiTheme="minorHAnsi" w:cstheme="minorHAnsi"/>
          <w:sz w:val="22"/>
          <w:szCs w:val="22"/>
          <w:lang w:val="en"/>
        </w:rPr>
        <w:t>markets.</w:t>
      </w:r>
    </w:p>
    <w:p w14:paraId="7E99BC9D" w14:textId="77777777" w:rsidR="003F1075" w:rsidRPr="00576EC2" w:rsidRDefault="003F1075" w:rsidP="003F1075">
      <w:pPr>
        <w:pStyle w:val="ListBullet"/>
        <w:numPr>
          <w:ilvl w:val="0"/>
          <w:numId w:val="0"/>
        </w:numPr>
        <w:tabs>
          <w:tab w:val="left" w:pos="720"/>
        </w:tabs>
        <w:rPr>
          <w:rFonts w:asciiTheme="minorHAnsi" w:hAnsiTheme="minorHAnsi" w:cstheme="minorHAnsi"/>
          <w:sz w:val="22"/>
          <w:szCs w:val="22"/>
          <w:lang w:val="en"/>
        </w:rPr>
      </w:pPr>
      <w:r w:rsidRPr="00576EC2">
        <w:rPr>
          <w:rFonts w:asciiTheme="minorHAnsi" w:hAnsiTheme="minorHAnsi" w:cstheme="minorHAnsi"/>
          <w:sz w:val="22"/>
          <w:szCs w:val="22"/>
          <w:lang w:val="en"/>
        </w:rPr>
        <w:t>Water reform has on balance been successful in moving finite water resources to highest value return commodities. Water has traded out of marginal area</w:t>
      </w:r>
      <w:r w:rsidR="00A27954" w:rsidRPr="00576EC2">
        <w:rPr>
          <w:rFonts w:asciiTheme="minorHAnsi" w:hAnsiTheme="minorHAnsi" w:cstheme="minorHAnsi"/>
          <w:sz w:val="22"/>
          <w:szCs w:val="22"/>
          <w:lang w:val="en"/>
        </w:rPr>
        <w:t>s</w:t>
      </w:r>
      <w:r w:rsidRPr="00576EC2">
        <w:rPr>
          <w:rFonts w:asciiTheme="minorHAnsi" w:hAnsiTheme="minorHAnsi" w:cstheme="minorHAnsi"/>
          <w:sz w:val="22"/>
          <w:szCs w:val="22"/>
          <w:lang w:val="en"/>
        </w:rPr>
        <w:t xml:space="preserve"> and commodities to high value crops. Without these changes, and in particular water trading, many of our traditional commodities and irrigation regions would not have survived the millennium drought.  However there will always be winners and losers, and some towns and districts have lost water entitlements </w:t>
      </w:r>
      <w:r w:rsidR="00D11D90" w:rsidRPr="00576EC2">
        <w:rPr>
          <w:rFonts w:asciiTheme="minorHAnsi" w:hAnsiTheme="minorHAnsi" w:cstheme="minorHAnsi"/>
          <w:sz w:val="22"/>
          <w:szCs w:val="22"/>
          <w:lang w:val="en"/>
        </w:rPr>
        <w:t>to the</w:t>
      </w:r>
      <w:r w:rsidRPr="00576EC2">
        <w:rPr>
          <w:rFonts w:asciiTheme="minorHAnsi" w:hAnsiTheme="minorHAnsi" w:cstheme="minorHAnsi"/>
          <w:sz w:val="22"/>
          <w:szCs w:val="22"/>
          <w:lang w:val="en"/>
        </w:rPr>
        <w:t xml:space="preserve"> detriment of the community. Unfortunately this past and continuing movement of entitlements is now affecting the implementation of the Basin Plan.</w:t>
      </w:r>
    </w:p>
    <w:p w14:paraId="7E99BC9E" w14:textId="77777777" w:rsidR="003F1075" w:rsidRPr="00576EC2" w:rsidRDefault="00A27954" w:rsidP="003F1075">
      <w:pPr>
        <w:pStyle w:val="ListBullet"/>
        <w:numPr>
          <w:ilvl w:val="0"/>
          <w:numId w:val="0"/>
        </w:numPr>
        <w:tabs>
          <w:tab w:val="left" w:pos="720"/>
        </w:tabs>
        <w:rPr>
          <w:rFonts w:asciiTheme="minorHAnsi" w:hAnsiTheme="minorHAnsi" w:cstheme="minorHAnsi"/>
          <w:sz w:val="22"/>
          <w:szCs w:val="22"/>
          <w:lang w:val="en"/>
        </w:rPr>
      </w:pPr>
      <w:r w:rsidRPr="00576EC2">
        <w:rPr>
          <w:rFonts w:asciiTheme="minorHAnsi" w:hAnsiTheme="minorHAnsi" w:cstheme="minorHAnsi"/>
          <w:sz w:val="22"/>
          <w:szCs w:val="22"/>
          <w:lang w:val="en"/>
        </w:rPr>
        <w:t>Communities are claiming the B</w:t>
      </w:r>
      <w:r w:rsidR="003F1075" w:rsidRPr="00576EC2">
        <w:rPr>
          <w:rFonts w:asciiTheme="minorHAnsi" w:hAnsiTheme="minorHAnsi" w:cstheme="minorHAnsi"/>
          <w:sz w:val="22"/>
          <w:szCs w:val="22"/>
          <w:lang w:val="en"/>
        </w:rPr>
        <w:t xml:space="preserve">asin Plan and the buyback of water entitlements are the root cause of their problems and campaigning for reduced environmental water and flows. </w:t>
      </w:r>
    </w:p>
    <w:p w14:paraId="7E99BC9F" w14:textId="77777777" w:rsidR="003F1075" w:rsidRPr="00576EC2" w:rsidRDefault="003F1075" w:rsidP="003F1075">
      <w:pPr>
        <w:pStyle w:val="ListBullet"/>
        <w:numPr>
          <w:ilvl w:val="0"/>
          <w:numId w:val="0"/>
        </w:numPr>
        <w:tabs>
          <w:tab w:val="left" w:pos="720"/>
        </w:tabs>
        <w:rPr>
          <w:rFonts w:asciiTheme="minorHAnsi" w:hAnsiTheme="minorHAnsi" w:cstheme="minorHAnsi"/>
          <w:sz w:val="22"/>
          <w:szCs w:val="22"/>
          <w:lang w:val="en"/>
        </w:rPr>
      </w:pPr>
      <w:r w:rsidRPr="00576EC2">
        <w:rPr>
          <w:rFonts w:asciiTheme="minorHAnsi" w:hAnsiTheme="minorHAnsi" w:cstheme="minorHAnsi"/>
          <w:sz w:val="22"/>
          <w:szCs w:val="22"/>
          <w:lang w:val="en"/>
        </w:rPr>
        <w:lastRenderedPageBreak/>
        <w:t>The distinction between th</w:t>
      </w:r>
      <w:r w:rsidR="00A27954" w:rsidRPr="00576EC2">
        <w:rPr>
          <w:rFonts w:asciiTheme="minorHAnsi" w:hAnsiTheme="minorHAnsi" w:cstheme="minorHAnsi"/>
          <w:sz w:val="22"/>
          <w:szCs w:val="22"/>
          <w:lang w:val="en"/>
        </w:rPr>
        <w:t>e water reforms and the Basin Pl</w:t>
      </w:r>
      <w:r w:rsidRPr="00576EC2">
        <w:rPr>
          <w:rFonts w:asciiTheme="minorHAnsi" w:hAnsiTheme="minorHAnsi" w:cstheme="minorHAnsi"/>
          <w:sz w:val="22"/>
          <w:szCs w:val="22"/>
          <w:lang w:val="en"/>
        </w:rPr>
        <w:t>an is not well understood and should be addressed.</w:t>
      </w:r>
    </w:p>
    <w:p w14:paraId="7E99BCA0" w14:textId="77777777" w:rsidR="00A27954" w:rsidRPr="00576EC2" w:rsidRDefault="00A27954" w:rsidP="003F1075">
      <w:pPr>
        <w:pStyle w:val="ListBullet"/>
        <w:numPr>
          <w:ilvl w:val="0"/>
          <w:numId w:val="0"/>
        </w:numPr>
        <w:tabs>
          <w:tab w:val="left" w:pos="720"/>
        </w:tabs>
        <w:rPr>
          <w:rFonts w:asciiTheme="minorHAnsi" w:hAnsiTheme="minorHAnsi" w:cstheme="minorHAnsi"/>
          <w:sz w:val="22"/>
          <w:szCs w:val="22"/>
          <w:lang w:val="en"/>
        </w:rPr>
      </w:pPr>
      <w:r w:rsidRPr="00576EC2">
        <w:rPr>
          <w:rFonts w:asciiTheme="minorHAnsi" w:hAnsiTheme="minorHAnsi" w:cstheme="minorHAnsi"/>
          <w:sz w:val="22"/>
          <w:szCs w:val="22"/>
          <w:lang w:val="en"/>
        </w:rPr>
        <w:t xml:space="preserve">I believe funding support for industry and </w:t>
      </w:r>
      <w:r w:rsidR="00D11D90" w:rsidRPr="00576EC2">
        <w:rPr>
          <w:rFonts w:asciiTheme="minorHAnsi" w:hAnsiTheme="minorHAnsi" w:cstheme="minorHAnsi"/>
          <w:sz w:val="22"/>
          <w:szCs w:val="22"/>
          <w:lang w:val="en"/>
        </w:rPr>
        <w:t>community</w:t>
      </w:r>
      <w:r w:rsidRPr="00576EC2">
        <w:rPr>
          <w:rFonts w:asciiTheme="minorHAnsi" w:hAnsiTheme="minorHAnsi" w:cstheme="minorHAnsi"/>
          <w:sz w:val="22"/>
          <w:szCs w:val="22"/>
          <w:lang w:val="en"/>
        </w:rPr>
        <w:t xml:space="preserve"> </w:t>
      </w:r>
      <w:r w:rsidR="00D11D90" w:rsidRPr="00576EC2">
        <w:rPr>
          <w:rFonts w:asciiTheme="minorHAnsi" w:hAnsiTheme="minorHAnsi" w:cstheme="minorHAnsi"/>
          <w:sz w:val="22"/>
          <w:szCs w:val="22"/>
          <w:lang w:val="en"/>
        </w:rPr>
        <w:t>transition during past water reforms and the implementation of the Basin Plan has</w:t>
      </w:r>
      <w:r w:rsidRPr="00576EC2">
        <w:rPr>
          <w:rFonts w:asciiTheme="minorHAnsi" w:hAnsiTheme="minorHAnsi" w:cstheme="minorHAnsi"/>
          <w:sz w:val="22"/>
          <w:szCs w:val="22"/>
          <w:lang w:val="en"/>
        </w:rPr>
        <w:t xml:space="preserve"> </w:t>
      </w:r>
      <w:r w:rsidR="00D11D90" w:rsidRPr="00576EC2">
        <w:rPr>
          <w:rFonts w:asciiTheme="minorHAnsi" w:hAnsiTheme="minorHAnsi" w:cstheme="minorHAnsi"/>
          <w:sz w:val="22"/>
          <w:szCs w:val="22"/>
          <w:lang w:val="en"/>
        </w:rPr>
        <w:t>been</w:t>
      </w:r>
      <w:r w:rsidRPr="00576EC2">
        <w:rPr>
          <w:rFonts w:asciiTheme="minorHAnsi" w:hAnsiTheme="minorHAnsi" w:cstheme="minorHAnsi"/>
          <w:sz w:val="22"/>
          <w:szCs w:val="22"/>
          <w:lang w:val="en"/>
        </w:rPr>
        <w:t xml:space="preserve"> inadequate</w:t>
      </w:r>
      <w:r w:rsidR="00D11D90" w:rsidRPr="00576EC2">
        <w:rPr>
          <w:rFonts w:asciiTheme="minorHAnsi" w:hAnsiTheme="minorHAnsi" w:cstheme="minorHAnsi"/>
          <w:sz w:val="22"/>
          <w:szCs w:val="22"/>
          <w:lang w:val="en"/>
        </w:rPr>
        <w:t xml:space="preserve"> and ill planned, it has in many cases failed to achieve desired outcomes</w:t>
      </w:r>
      <w:r w:rsidR="009871B2">
        <w:rPr>
          <w:rFonts w:asciiTheme="minorHAnsi" w:hAnsiTheme="minorHAnsi" w:cstheme="minorHAnsi"/>
          <w:sz w:val="22"/>
          <w:szCs w:val="22"/>
          <w:lang w:val="en"/>
        </w:rPr>
        <w:t>,</w:t>
      </w:r>
      <w:r w:rsidR="00D11D90" w:rsidRPr="00576EC2">
        <w:rPr>
          <w:rFonts w:asciiTheme="minorHAnsi" w:hAnsiTheme="minorHAnsi" w:cstheme="minorHAnsi"/>
          <w:sz w:val="22"/>
          <w:szCs w:val="22"/>
          <w:lang w:val="en"/>
        </w:rPr>
        <w:t xml:space="preserve"> and should be addressed.</w:t>
      </w:r>
    </w:p>
    <w:p w14:paraId="7E99BCA1" w14:textId="77777777" w:rsidR="003F1075" w:rsidRPr="00576EC2" w:rsidRDefault="003F1075" w:rsidP="003F1075">
      <w:pPr>
        <w:pStyle w:val="ListBullet2"/>
        <w:numPr>
          <w:ilvl w:val="0"/>
          <w:numId w:val="0"/>
        </w:numPr>
        <w:tabs>
          <w:tab w:val="left" w:pos="720"/>
        </w:tabs>
        <w:rPr>
          <w:rFonts w:asciiTheme="minorHAnsi" w:hAnsiTheme="minorHAnsi" w:cstheme="minorHAnsi"/>
          <w:sz w:val="22"/>
          <w:szCs w:val="22"/>
          <w:lang w:val="en"/>
        </w:rPr>
      </w:pPr>
      <w:r w:rsidRPr="00576EC2">
        <w:rPr>
          <w:rFonts w:asciiTheme="minorHAnsi" w:hAnsiTheme="minorHAnsi" w:cstheme="minorHAnsi"/>
          <w:sz w:val="22"/>
          <w:szCs w:val="22"/>
          <w:lang w:val="en"/>
        </w:rPr>
        <w:t xml:space="preserve">The opportunity to reduce the size of irrigation regions and in some cases the retirement of districts altogether from irrigation has in most cases been missed by State Governments and Water authorities taking easy options, avoiding the required hard decisions. Only by reducing the footprint and associated costs of irrigation can irrigation industries remain </w:t>
      </w:r>
      <w:r w:rsidR="00D11D90" w:rsidRPr="00576EC2">
        <w:rPr>
          <w:rFonts w:asciiTheme="minorHAnsi" w:hAnsiTheme="minorHAnsi" w:cstheme="minorHAnsi"/>
          <w:sz w:val="22"/>
          <w:szCs w:val="22"/>
          <w:lang w:val="en"/>
        </w:rPr>
        <w:t xml:space="preserve">financially </w:t>
      </w:r>
      <w:r w:rsidRPr="00576EC2">
        <w:rPr>
          <w:rFonts w:asciiTheme="minorHAnsi" w:hAnsiTheme="minorHAnsi" w:cstheme="minorHAnsi"/>
          <w:sz w:val="22"/>
          <w:szCs w:val="22"/>
          <w:lang w:val="en"/>
        </w:rPr>
        <w:t xml:space="preserve">sustainable into the future.  </w:t>
      </w:r>
    </w:p>
    <w:p w14:paraId="7E99BCA2" w14:textId="77777777" w:rsidR="00D11D90" w:rsidRPr="00576EC2" w:rsidRDefault="009D67BE" w:rsidP="00D11D90">
      <w:pPr>
        <w:pStyle w:val="ListBullet2"/>
        <w:numPr>
          <w:ilvl w:val="0"/>
          <w:numId w:val="0"/>
        </w:numPr>
        <w:tabs>
          <w:tab w:val="left" w:pos="720"/>
        </w:tabs>
        <w:rPr>
          <w:rFonts w:asciiTheme="minorHAnsi" w:hAnsiTheme="minorHAnsi" w:cstheme="minorHAnsi"/>
          <w:sz w:val="22"/>
          <w:szCs w:val="22"/>
          <w:lang w:val="en"/>
        </w:rPr>
      </w:pPr>
      <w:r w:rsidRPr="00576EC2">
        <w:rPr>
          <w:rFonts w:asciiTheme="minorHAnsi" w:hAnsiTheme="minorHAnsi" w:cstheme="minorHAnsi"/>
          <w:sz w:val="22"/>
          <w:szCs w:val="22"/>
          <w:lang w:val="en"/>
        </w:rPr>
        <w:t>On-Farm Water Efficiency Programs have had unintended impacts with</w:t>
      </w:r>
      <w:r w:rsidR="00D11D90" w:rsidRPr="00576EC2">
        <w:rPr>
          <w:rFonts w:asciiTheme="minorHAnsi" w:hAnsiTheme="minorHAnsi" w:cstheme="minorHAnsi"/>
          <w:sz w:val="22"/>
          <w:szCs w:val="22"/>
          <w:lang w:val="en"/>
        </w:rPr>
        <w:t xml:space="preserve"> a trend towards more energy intensive irrigation methods. These grants encourage increased </w:t>
      </w:r>
      <w:r w:rsidR="00F83A77" w:rsidRPr="00576EC2">
        <w:rPr>
          <w:rFonts w:asciiTheme="minorHAnsi" w:hAnsiTheme="minorHAnsi" w:cstheme="minorHAnsi"/>
          <w:sz w:val="22"/>
          <w:szCs w:val="22"/>
          <w:lang w:val="en"/>
        </w:rPr>
        <w:t xml:space="preserve">dependence on </w:t>
      </w:r>
      <w:r w:rsidR="00D11D90" w:rsidRPr="00576EC2">
        <w:rPr>
          <w:rFonts w:asciiTheme="minorHAnsi" w:hAnsiTheme="minorHAnsi" w:cstheme="minorHAnsi"/>
          <w:sz w:val="22"/>
          <w:szCs w:val="22"/>
          <w:lang w:val="en"/>
        </w:rPr>
        <w:t xml:space="preserve">power usage, and </w:t>
      </w:r>
      <w:r w:rsidR="00F83A77" w:rsidRPr="00576EC2">
        <w:rPr>
          <w:rFonts w:asciiTheme="minorHAnsi" w:hAnsiTheme="minorHAnsi" w:cstheme="minorHAnsi"/>
          <w:sz w:val="22"/>
          <w:szCs w:val="22"/>
          <w:lang w:val="en"/>
        </w:rPr>
        <w:t>in many examples</w:t>
      </w:r>
      <w:r w:rsidR="00D11D90" w:rsidRPr="00576EC2">
        <w:rPr>
          <w:rFonts w:asciiTheme="minorHAnsi" w:hAnsiTheme="minorHAnsi" w:cstheme="minorHAnsi"/>
          <w:sz w:val="22"/>
          <w:szCs w:val="22"/>
          <w:lang w:val="en"/>
        </w:rPr>
        <w:t xml:space="preserve"> have adverse impacts on the environment</w:t>
      </w:r>
      <w:r w:rsidR="00F83A77" w:rsidRPr="00576EC2">
        <w:rPr>
          <w:rFonts w:asciiTheme="minorHAnsi" w:hAnsiTheme="minorHAnsi" w:cstheme="minorHAnsi"/>
          <w:sz w:val="22"/>
          <w:szCs w:val="22"/>
          <w:lang w:val="en"/>
        </w:rPr>
        <w:t>, by the clearing</w:t>
      </w:r>
      <w:r w:rsidR="00D11D90" w:rsidRPr="00576EC2">
        <w:rPr>
          <w:rFonts w:asciiTheme="minorHAnsi" w:hAnsiTheme="minorHAnsi" w:cstheme="minorHAnsi"/>
          <w:sz w:val="22"/>
          <w:szCs w:val="22"/>
          <w:lang w:val="en"/>
        </w:rPr>
        <w:t xml:space="preserve"> of remnant vegetation </w:t>
      </w:r>
      <w:r w:rsidR="00F83A77" w:rsidRPr="00576EC2">
        <w:rPr>
          <w:rFonts w:asciiTheme="minorHAnsi" w:hAnsiTheme="minorHAnsi" w:cstheme="minorHAnsi"/>
          <w:sz w:val="22"/>
          <w:szCs w:val="22"/>
          <w:lang w:val="en"/>
        </w:rPr>
        <w:t xml:space="preserve">and bio-diversity. </w:t>
      </w:r>
      <w:r w:rsidR="00576EC2" w:rsidRPr="00576EC2">
        <w:rPr>
          <w:rFonts w:asciiTheme="minorHAnsi" w:hAnsiTheme="minorHAnsi" w:cstheme="minorHAnsi"/>
          <w:sz w:val="22"/>
          <w:szCs w:val="22"/>
          <w:lang w:val="en"/>
        </w:rPr>
        <w:t xml:space="preserve"> Unfortunately over time, water efficiency has dominated planning to the detriment of the environment and in some cases the ongoing financial viability of irrigation enterprises. </w:t>
      </w:r>
    </w:p>
    <w:p w14:paraId="7E99BCA3" w14:textId="77777777" w:rsidR="00D11D90" w:rsidRPr="00576EC2" w:rsidRDefault="00D11D90" w:rsidP="003F1075">
      <w:pPr>
        <w:pStyle w:val="ListBullet2"/>
        <w:numPr>
          <w:ilvl w:val="0"/>
          <w:numId w:val="0"/>
        </w:numPr>
        <w:tabs>
          <w:tab w:val="left" w:pos="720"/>
        </w:tabs>
        <w:rPr>
          <w:rFonts w:cstheme="minorHAnsi"/>
        </w:rPr>
      </w:pPr>
    </w:p>
    <w:p w14:paraId="7E99BCA4" w14:textId="77777777" w:rsidR="00F83A77" w:rsidRPr="00576EC2" w:rsidRDefault="003F1075" w:rsidP="00F83A77">
      <w:r w:rsidRPr="00576EC2">
        <w:t xml:space="preserve">With a high proportion of water transfers shifting water downstream to green field sites, the </w:t>
      </w:r>
      <w:r w:rsidR="009524FF" w:rsidRPr="00576EC2">
        <w:t xml:space="preserve">timely </w:t>
      </w:r>
      <w:r w:rsidRPr="00576EC2">
        <w:t xml:space="preserve">delivery of this water </w:t>
      </w:r>
      <w:r w:rsidR="00F83A77" w:rsidRPr="00576EC2">
        <w:t>will</w:t>
      </w:r>
      <w:r w:rsidRPr="00576EC2">
        <w:t xml:space="preserve"> be problematic </w:t>
      </w:r>
      <w:r w:rsidR="009524FF" w:rsidRPr="00576EC2">
        <w:t xml:space="preserve">at times </w:t>
      </w:r>
      <w:r w:rsidRPr="00576EC2">
        <w:t>in future years.</w:t>
      </w:r>
      <w:r w:rsidR="00F83A77" w:rsidRPr="00576EC2">
        <w:t xml:space="preserve"> The delivery of this water to downstream users is also potentially a serious environmental risk to the Goulburn and Murray River channels with unseasonal high flows during irrigation </w:t>
      </w:r>
      <w:r w:rsidR="009B452C">
        <w:t>demand</w:t>
      </w:r>
      <w:r w:rsidR="00F83A77" w:rsidRPr="00576EC2">
        <w:t xml:space="preserve">.  There is a strong </w:t>
      </w:r>
      <w:r w:rsidR="009D67BE" w:rsidRPr="00576EC2">
        <w:t>argument</w:t>
      </w:r>
      <w:r w:rsidR="00F83A77" w:rsidRPr="00576EC2">
        <w:t xml:space="preserve"> for a moratorium </w:t>
      </w:r>
      <w:r w:rsidR="009D67BE" w:rsidRPr="00576EC2">
        <w:t>being declared on the downstream trade of perman</w:t>
      </w:r>
      <w:r w:rsidR="00F83A77" w:rsidRPr="00576EC2">
        <w:t xml:space="preserve">ent </w:t>
      </w:r>
      <w:r w:rsidR="009D67BE" w:rsidRPr="00576EC2">
        <w:t>water entitlements</w:t>
      </w:r>
      <w:r w:rsidR="00F83A77" w:rsidRPr="00576EC2">
        <w:t xml:space="preserve"> until </w:t>
      </w:r>
      <w:r w:rsidR="009D67BE" w:rsidRPr="00576EC2">
        <w:t>t</w:t>
      </w:r>
      <w:r w:rsidR="00F83A77" w:rsidRPr="00576EC2">
        <w:t xml:space="preserve">his issue </w:t>
      </w:r>
      <w:r w:rsidR="009D67BE" w:rsidRPr="00576EC2">
        <w:t>is resolved and anticipated</w:t>
      </w:r>
      <w:r w:rsidR="00F83A77" w:rsidRPr="00576EC2">
        <w:t xml:space="preserve"> restrictions </w:t>
      </w:r>
      <w:r w:rsidR="009D67BE" w:rsidRPr="00576EC2">
        <w:t>implemented.</w:t>
      </w:r>
    </w:p>
    <w:p w14:paraId="7E99BCA5" w14:textId="77777777" w:rsidR="0095640B" w:rsidRDefault="0095640B" w:rsidP="003F1075">
      <w:pPr>
        <w:rPr>
          <w:b/>
        </w:rPr>
      </w:pPr>
    </w:p>
    <w:p w14:paraId="7E99BCA6" w14:textId="77777777" w:rsidR="00C20E71" w:rsidRDefault="00C20E71" w:rsidP="003F1075">
      <w:pPr>
        <w:rPr>
          <w: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tblGrid>
      <w:tr w:rsidR="00C20E71" w14:paraId="7E99BCA8" w14:textId="77777777" w:rsidTr="00C20E71">
        <w:tc>
          <w:tcPr>
            <w:tcW w:w="7621" w:type="dxa"/>
            <w:hideMark/>
          </w:tcPr>
          <w:p w14:paraId="7E99BCA7" w14:textId="77777777" w:rsidR="00C20E71" w:rsidRDefault="00C20E71">
            <w:pPr>
              <w:pStyle w:val="BodyText"/>
              <w:tabs>
                <w:tab w:val="left" w:pos="1701"/>
              </w:tabs>
              <w:spacing w:before="120"/>
              <w:rPr>
                <w:u w:val="single"/>
              </w:rPr>
            </w:pPr>
          </w:p>
        </w:tc>
      </w:tr>
      <w:tr w:rsidR="00C20E71" w14:paraId="7E99BCAA" w14:textId="77777777" w:rsidTr="00C20E71">
        <w:tc>
          <w:tcPr>
            <w:tcW w:w="7621" w:type="dxa"/>
            <w:hideMark/>
          </w:tcPr>
          <w:p w14:paraId="7E99BCA9" w14:textId="77777777" w:rsidR="00C20E71" w:rsidRDefault="00C20E71">
            <w:pPr>
              <w:pStyle w:val="BodyText"/>
              <w:spacing w:before="120"/>
            </w:pPr>
          </w:p>
        </w:tc>
      </w:tr>
    </w:tbl>
    <w:p w14:paraId="7E99BCAB" w14:textId="77777777" w:rsidR="00CD4976" w:rsidRPr="009524FF" w:rsidRDefault="00CD4976" w:rsidP="00CD4976">
      <w:pPr>
        <w:spacing w:before="100" w:beforeAutospacing="1" w:after="100" w:afterAutospacing="1" w:line="240" w:lineRule="auto"/>
        <w:rPr>
          <w:rFonts w:eastAsia="Times New Roman" w:cstheme="minorHAnsi"/>
          <w:lang w:eastAsia="en-AU"/>
        </w:rPr>
      </w:pPr>
      <w:r w:rsidRPr="009524FF">
        <w:rPr>
          <w:rFonts w:eastAsia="Times New Roman" w:cstheme="minorHAnsi"/>
          <w:lang w:eastAsia="en-AU"/>
        </w:rPr>
        <w:t xml:space="preserve">John Pettigrew </w:t>
      </w:r>
    </w:p>
    <w:p w14:paraId="7E99BCAC" w14:textId="3A53B564" w:rsidR="00CD4976" w:rsidRPr="009524FF" w:rsidRDefault="00CD4976" w:rsidP="00CD4976">
      <w:pPr>
        <w:spacing w:before="100" w:beforeAutospacing="1" w:after="100" w:afterAutospacing="1" w:line="240" w:lineRule="auto"/>
        <w:rPr>
          <w:rFonts w:eastAsia="Times New Roman" w:cstheme="minorHAnsi"/>
          <w:lang w:eastAsia="en-AU"/>
        </w:rPr>
      </w:pPr>
      <w:bookmarkStart w:id="0" w:name="_GoBack"/>
      <w:bookmarkEnd w:id="0"/>
      <w:r w:rsidRPr="009524FF">
        <w:rPr>
          <w:rFonts w:eastAsia="Times New Roman" w:cstheme="minorHAnsi"/>
          <w:lang w:eastAsia="en-AU"/>
        </w:rPr>
        <w:t>Victoria. 3634</w:t>
      </w:r>
    </w:p>
    <w:p w14:paraId="7E99BCAF" w14:textId="77777777" w:rsidR="00C20E71" w:rsidRDefault="00C20E71" w:rsidP="003F1075"/>
    <w:sectPr w:rsidR="00C20E7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9BCB2" w14:textId="77777777" w:rsidR="0089204B" w:rsidRDefault="0089204B" w:rsidP="00576EC2">
      <w:pPr>
        <w:spacing w:after="0" w:line="240" w:lineRule="auto"/>
      </w:pPr>
      <w:r>
        <w:separator/>
      </w:r>
    </w:p>
  </w:endnote>
  <w:endnote w:type="continuationSeparator" w:id="0">
    <w:p w14:paraId="7E99BCB3" w14:textId="77777777" w:rsidR="0089204B" w:rsidRDefault="0089204B" w:rsidP="0057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BCB6" w14:textId="77777777" w:rsidR="00576EC2" w:rsidRDefault="00576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BCB7" w14:textId="77777777" w:rsidR="00576EC2" w:rsidRDefault="00576E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BCB9" w14:textId="77777777" w:rsidR="00576EC2" w:rsidRDefault="00576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9BCB0" w14:textId="77777777" w:rsidR="0089204B" w:rsidRDefault="0089204B" w:rsidP="00576EC2">
      <w:pPr>
        <w:spacing w:after="0" w:line="240" w:lineRule="auto"/>
      </w:pPr>
      <w:r>
        <w:separator/>
      </w:r>
    </w:p>
  </w:footnote>
  <w:footnote w:type="continuationSeparator" w:id="0">
    <w:p w14:paraId="7E99BCB1" w14:textId="77777777" w:rsidR="0089204B" w:rsidRDefault="0089204B" w:rsidP="00576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BCB4" w14:textId="77777777" w:rsidR="00576EC2" w:rsidRDefault="00576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BCB5" w14:textId="77777777" w:rsidR="00576EC2" w:rsidRDefault="00576E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BCB8" w14:textId="77777777" w:rsidR="00576EC2" w:rsidRDefault="00576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
    <w:nsid w:val="54382D6E"/>
    <w:multiLevelType w:val="singleLevel"/>
    <w:tmpl w:val="315ABD1E"/>
    <w:lvl w:ilvl="0">
      <w:numFmt w:val="bullet"/>
      <w:pStyle w:val="ListBullet"/>
      <w:lvlText w:val=""/>
      <w:lvlJc w:val="left"/>
      <w:pPr>
        <w:tabs>
          <w:tab w:val="num" w:pos="482"/>
        </w:tabs>
        <w:ind w:left="482" w:hanging="340"/>
      </w:pPr>
      <w:rPr>
        <w:rFonts w:ascii="Symbol" w:hAnsi="Symbol" w:hint="default"/>
        <w:sz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75"/>
    <w:rsid w:val="0010225B"/>
    <w:rsid w:val="00191BCF"/>
    <w:rsid w:val="0030185C"/>
    <w:rsid w:val="00323E4A"/>
    <w:rsid w:val="003F1075"/>
    <w:rsid w:val="00576EC2"/>
    <w:rsid w:val="005906AB"/>
    <w:rsid w:val="006F5DBF"/>
    <w:rsid w:val="00705805"/>
    <w:rsid w:val="0089204B"/>
    <w:rsid w:val="009524FF"/>
    <w:rsid w:val="0095640B"/>
    <w:rsid w:val="009871B2"/>
    <w:rsid w:val="009B452C"/>
    <w:rsid w:val="009D67BE"/>
    <w:rsid w:val="00A27954"/>
    <w:rsid w:val="00B4302A"/>
    <w:rsid w:val="00C04549"/>
    <w:rsid w:val="00C20E71"/>
    <w:rsid w:val="00C36C0B"/>
    <w:rsid w:val="00C61908"/>
    <w:rsid w:val="00CD4976"/>
    <w:rsid w:val="00D11D90"/>
    <w:rsid w:val="00D64D29"/>
    <w:rsid w:val="00DE3FC7"/>
    <w:rsid w:val="00F25BC2"/>
    <w:rsid w:val="00F37570"/>
    <w:rsid w:val="00F83A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99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semiHidden/>
    <w:unhideWhenUsed/>
    <w:rsid w:val="003F1075"/>
    <w:pPr>
      <w:numPr>
        <w:numId w:val="1"/>
      </w:numPr>
      <w:tabs>
        <w:tab w:val="clear" w:pos="482"/>
        <w:tab w:val="num" w:pos="340"/>
      </w:tabs>
      <w:spacing w:before="120" w:after="0" w:line="300" w:lineRule="atLeast"/>
      <w:ind w:left="340" w:firstLine="0"/>
      <w:jc w:val="both"/>
    </w:pPr>
    <w:rPr>
      <w:rFonts w:ascii="Times New Roman" w:eastAsia="Times New Roman" w:hAnsi="Times New Roman" w:cs="Times New Roman"/>
      <w:sz w:val="24"/>
      <w:szCs w:val="20"/>
      <w:lang w:eastAsia="en-AU"/>
    </w:rPr>
  </w:style>
  <w:style w:type="paragraph" w:styleId="ListBullet2">
    <w:name w:val="List Bullet 2"/>
    <w:basedOn w:val="BodyText"/>
    <w:semiHidden/>
    <w:unhideWhenUsed/>
    <w:rsid w:val="003F1075"/>
    <w:pPr>
      <w:numPr>
        <w:numId w:val="2"/>
      </w:numPr>
      <w:tabs>
        <w:tab w:val="clear" w:pos="680"/>
        <w:tab w:val="num" w:pos="360"/>
      </w:tabs>
      <w:spacing w:before="120" w:after="0" w:line="300" w:lineRule="atLeast"/>
      <w:ind w:left="0" w:firstLine="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3F1075"/>
    <w:pPr>
      <w:spacing w:after="120"/>
    </w:pPr>
  </w:style>
  <w:style w:type="character" w:customStyle="1" w:styleId="BodyTextChar">
    <w:name w:val="Body Text Char"/>
    <w:basedOn w:val="DefaultParagraphFont"/>
    <w:link w:val="BodyText"/>
    <w:uiPriority w:val="99"/>
    <w:semiHidden/>
    <w:rsid w:val="003F1075"/>
  </w:style>
  <w:style w:type="table" w:styleId="TableGrid">
    <w:name w:val="Table Grid"/>
    <w:basedOn w:val="TableNormal"/>
    <w:rsid w:val="00C20E71"/>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976"/>
    <w:rPr>
      <w:color w:val="0000FF" w:themeColor="hyperlink"/>
      <w:u w:val="single"/>
    </w:rPr>
  </w:style>
  <w:style w:type="paragraph" w:styleId="Header">
    <w:name w:val="header"/>
    <w:basedOn w:val="Normal"/>
    <w:link w:val="HeaderChar"/>
    <w:uiPriority w:val="99"/>
    <w:unhideWhenUsed/>
    <w:rsid w:val="00576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EC2"/>
  </w:style>
  <w:style w:type="paragraph" w:styleId="Footer">
    <w:name w:val="footer"/>
    <w:basedOn w:val="Normal"/>
    <w:link w:val="FooterChar"/>
    <w:uiPriority w:val="99"/>
    <w:unhideWhenUsed/>
    <w:rsid w:val="00576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semiHidden/>
    <w:unhideWhenUsed/>
    <w:rsid w:val="003F1075"/>
    <w:pPr>
      <w:numPr>
        <w:numId w:val="1"/>
      </w:numPr>
      <w:tabs>
        <w:tab w:val="clear" w:pos="482"/>
        <w:tab w:val="num" w:pos="340"/>
      </w:tabs>
      <w:spacing w:before="120" w:after="0" w:line="300" w:lineRule="atLeast"/>
      <w:ind w:left="340" w:firstLine="0"/>
      <w:jc w:val="both"/>
    </w:pPr>
    <w:rPr>
      <w:rFonts w:ascii="Times New Roman" w:eastAsia="Times New Roman" w:hAnsi="Times New Roman" w:cs="Times New Roman"/>
      <w:sz w:val="24"/>
      <w:szCs w:val="20"/>
      <w:lang w:eastAsia="en-AU"/>
    </w:rPr>
  </w:style>
  <w:style w:type="paragraph" w:styleId="ListBullet2">
    <w:name w:val="List Bullet 2"/>
    <w:basedOn w:val="BodyText"/>
    <w:semiHidden/>
    <w:unhideWhenUsed/>
    <w:rsid w:val="003F1075"/>
    <w:pPr>
      <w:numPr>
        <w:numId w:val="2"/>
      </w:numPr>
      <w:tabs>
        <w:tab w:val="clear" w:pos="680"/>
        <w:tab w:val="num" w:pos="360"/>
      </w:tabs>
      <w:spacing w:before="120" w:after="0" w:line="300" w:lineRule="atLeast"/>
      <w:ind w:left="0" w:firstLine="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3F1075"/>
    <w:pPr>
      <w:spacing w:after="120"/>
    </w:pPr>
  </w:style>
  <w:style w:type="character" w:customStyle="1" w:styleId="BodyTextChar">
    <w:name w:val="Body Text Char"/>
    <w:basedOn w:val="DefaultParagraphFont"/>
    <w:link w:val="BodyText"/>
    <w:uiPriority w:val="99"/>
    <w:semiHidden/>
    <w:rsid w:val="003F1075"/>
  </w:style>
  <w:style w:type="table" w:styleId="TableGrid">
    <w:name w:val="Table Grid"/>
    <w:basedOn w:val="TableNormal"/>
    <w:rsid w:val="00C20E71"/>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976"/>
    <w:rPr>
      <w:color w:val="0000FF" w:themeColor="hyperlink"/>
      <w:u w:val="single"/>
    </w:rPr>
  </w:style>
  <w:style w:type="paragraph" w:styleId="Header">
    <w:name w:val="header"/>
    <w:basedOn w:val="Normal"/>
    <w:link w:val="HeaderChar"/>
    <w:uiPriority w:val="99"/>
    <w:unhideWhenUsed/>
    <w:rsid w:val="00576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EC2"/>
  </w:style>
  <w:style w:type="paragraph" w:styleId="Footer">
    <w:name w:val="footer"/>
    <w:basedOn w:val="Normal"/>
    <w:link w:val="FooterChar"/>
    <w:uiPriority w:val="99"/>
    <w:unhideWhenUsed/>
    <w:rsid w:val="00576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27555">
      <w:bodyDiv w:val="1"/>
      <w:marLeft w:val="0"/>
      <w:marRight w:val="0"/>
      <w:marTop w:val="0"/>
      <w:marBottom w:val="0"/>
      <w:divBdr>
        <w:top w:val="none" w:sz="0" w:space="0" w:color="auto"/>
        <w:left w:val="none" w:sz="0" w:space="0" w:color="auto"/>
        <w:bottom w:val="none" w:sz="0" w:space="0" w:color="auto"/>
        <w:right w:val="none" w:sz="0" w:space="0" w:color="auto"/>
      </w:divBdr>
    </w:div>
    <w:div w:id="15449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PCDOC-1656434903-50</_dlc_DocId>
    <_dlc_DocIdUrl xmlns="3f4bcce7-ac1a-4c9d-aa3e-7e77695652db">
      <Url>https://inet.pc.gov.au/pmo/inq/nwi/_layouts/15/DocIdRedir.aspx?ID=PCDOC-1656434903-50</Url>
      <Description>PCDOC-1656434903-50</Description>
    </_dlc_DocIdUrl>
  </documentManagement>
</p:propertie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2A79C9CA-BCEB-4BC7-B3B7-7A50104B6C20}">
  <ds:schemaRefs>
    <ds:schemaRef ds:uri="http://schemas.microsoft.com/sharepoint/events"/>
  </ds:schemaRefs>
</ds:datastoreItem>
</file>

<file path=customXml/itemProps2.xml><?xml version="1.0" encoding="utf-8"?>
<ds:datastoreItem xmlns:ds="http://schemas.openxmlformats.org/officeDocument/2006/customXml" ds:itemID="{41F79A14-C354-481D-9C44-494ABC94C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4DC1E-4067-4FA9-8068-B5FE12BC25B2}">
  <ds:schemaRefs>
    <ds:schemaRef ds:uri="http://schemas.microsoft.com/sharepoint/v3/contenttype/forms"/>
  </ds:schemaRefs>
</ds:datastoreItem>
</file>

<file path=customXml/itemProps4.xml><?xml version="1.0" encoding="utf-8"?>
<ds:datastoreItem xmlns:ds="http://schemas.openxmlformats.org/officeDocument/2006/customXml" ds:itemID="{06A7BB47-2050-4DE1-BF86-84D94752D385}">
  <ds:schemaRefs>
    <ds:schemaRef ds:uri="http://schemas.microsoft.com/office/2006/metadata/customXsn"/>
  </ds:schemaRefs>
</ds:datastoreItem>
</file>

<file path=customXml/itemProps5.xml><?xml version="1.0" encoding="utf-8"?>
<ds:datastoreItem xmlns:ds="http://schemas.openxmlformats.org/officeDocument/2006/customXml" ds:itemID="{898CC1F8-C6D1-424A-9F09-79ED3A06F82F}">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3f4bcce7-ac1a-4c9d-aa3e-7e77695652db"/>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02FB574C-2C15-425B-AC01-75459FFABF4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39 - John Pettigrew - National Water Reform - Public inquiry</vt:lpstr>
    </vt:vector>
  </TitlesOfParts>
  <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John Pettigrew - National Water Reform - Public inquiry</dc:title>
  <dc:creator>John Pettigrew</dc:creator>
  <cp:keywords/>
  <cp:lastModifiedBy>Pimperl, Mark</cp:lastModifiedBy>
  <cp:revision>19</cp:revision>
  <cp:lastPrinted>2017-04-10T23:53:00Z</cp:lastPrinted>
  <dcterms:created xsi:type="dcterms:W3CDTF">2017-04-10T23:29:00Z</dcterms:created>
  <dcterms:modified xsi:type="dcterms:W3CDTF">2017-04-20T05:56:00Z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_dlc_DocIdItemGuid">
    <vt:lpwstr>ea31f131-aa40-42b8-907e-eed1ccd0030f</vt:lpwstr>
  </property>
  <property fmtid="{D5CDD505-2E9C-101B-9397-08002B2CF9AE}" pid="4" name="Record Tag">
    <vt:lpwstr>139;#Submissions|c6e0dbf8-5444-433c-844d-d567dd519a05</vt:lpwstr>
  </property>
  <property fmtid="{D5CDD505-2E9C-101B-9397-08002B2CF9AE}" pid="5" name="TaxKeyword">
    <vt:lpwstr/>
  </property>
</Properties>
</file>